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B1F" w:rsidRDefault="00B17B1F" w:rsidP="00B17B1F"/>
    <w:p w:rsidR="00B17B1F" w:rsidRDefault="00B17B1F" w:rsidP="00B17B1F"/>
    <w:p w:rsidR="00B17B1F" w:rsidRDefault="00B17B1F" w:rsidP="00B17B1F"/>
    <w:p w:rsidR="00B17B1F" w:rsidRDefault="00B17B1F" w:rsidP="00B17B1F"/>
    <w:p w:rsidR="00B17B1F" w:rsidRDefault="00B17B1F" w:rsidP="00B17B1F"/>
    <w:p w:rsidR="00B17B1F" w:rsidRDefault="00B17B1F" w:rsidP="00B17B1F"/>
    <w:p w:rsidR="00B17B1F" w:rsidRDefault="00B17B1F" w:rsidP="00B17B1F"/>
    <w:p w:rsidR="00B17B1F" w:rsidRDefault="00B17B1F" w:rsidP="00B17B1F"/>
    <w:p w:rsidR="00B17B1F" w:rsidRDefault="00B17B1F" w:rsidP="00B17B1F"/>
    <w:p w:rsidR="00B17B1F" w:rsidRDefault="00B17B1F" w:rsidP="00B17B1F"/>
    <w:p w:rsidR="00B17B1F" w:rsidRDefault="00B17B1F" w:rsidP="00B17B1F"/>
    <w:tbl>
      <w:tblPr>
        <w:tblW w:w="10089" w:type="dxa"/>
        <w:tblLook w:val="01E0" w:firstRow="1" w:lastRow="1" w:firstColumn="1" w:lastColumn="1" w:noHBand="0" w:noVBand="0"/>
      </w:tblPr>
      <w:tblGrid>
        <w:gridCol w:w="10089"/>
      </w:tblGrid>
      <w:tr w:rsidR="00B17B1F" w:rsidRPr="00CA109F" w:rsidTr="00DF0026">
        <w:tc>
          <w:tcPr>
            <w:tcW w:w="10089" w:type="dxa"/>
          </w:tcPr>
          <w:p w:rsidR="00B17B1F" w:rsidRPr="00CA109F" w:rsidRDefault="00B17B1F" w:rsidP="00DF0026">
            <w:pPr>
              <w:spacing w:before="380" w:line="280" w:lineRule="exact"/>
              <w:jc w:val="right"/>
              <w:rPr>
                <w:rFonts w:ascii="Tahoma" w:hAnsi="Tahoma" w:cs="Tahoma"/>
                <w:b/>
                <w:bCs/>
                <w:iCs/>
                <w:color w:val="509141"/>
                <w:sz w:val="32"/>
                <w:szCs w:val="32"/>
                <w:lang w:val="en-US"/>
              </w:rPr>
            </w:pPr>
          </w:p>
          <w:p w:rsidR="00B17B1F" w:rsidRPr="005D41C4" w:rsidRDefault="00B17B1F" w:rsidP="00DF0026">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Informe  UIT-R  SM.</w:t>
            </w:r>
            <w:r w:rsidR="00830964">
              <w:rPr>
                <w:rFonts w:ascii="Tahoma" w:hAnsi="Tahoma" w:cs="Tahoma"/>
                <w:b/>
                <w:bCs/>
                <w:iCs/>
                <w:color w:val="509141"/>
                <w:sz w:val="36"/>
                <w:szCs w:val="36"/>
                <w:lang w:val="fr-CH"/>
              </w:rPr>
              <w:t>2269</w:t>
            </w:r>
            <w:r w:rsidRPr="005D41C4">
              <w:rPr>
                <w:rFonts w:ascii="Tahoma" w:hAnsi="Tahoma" w:cs="Tahoma"/>
                <w:b/>
                <w:bCs/>
                <w:iCs/>
                <w:color w:val="509141"/>
                <w:sz w:val="36"/>
                <w:szCs w:val="36"/>
                <w:lang w:val="fr-CH"/>
              </w:rPr>
              <w:t xml:space="preserve">  </w:t>
            </w:r>
          </w:p>
          <w:p w:rsidR="00B17B1F" w:rsidRPr="005D41C4" w:rsidRDefault="00B17B1F" w:rsidP="00830964">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830964">
              <w:rPr>
                <w:rFonts w:ascii="Tahoma" w:hAnsi="Tahoma" w:cs="Tahoma"/>
                <w:b/>
                <w:bCs/>
                <w:iCs/>
                <w:color w:val="509141"/>
                <w:szCs w:val="24"/>
                <w:lang w:val="fr-CH"/>
              </w:rPr>
              <w:t>06</w:t>
            </w:r>
            <w:r w:rsidRPr="005D41C4">
              <w:rPr>
                <w:rFonts w:ascii="Tahoma" w:hAnsi="Tahoma" w:cs="Tahoma"/>
                <w:b/>
                <w:bCs/>
                <w:iCs/>
                <w:color w:val="509141"/>
                <w:szCs w:val="24"/>
                <w:lang w:val="fr-CH"/>
              </w:rPr>
              <w:t>/20</w:t>
            </w:r>
            <w:r w:rsidR="00830964">
              <w:rPr>
                <w:rFonts w:ascii="Tahoma" w:hAnsi="Tahoma" w:cs="Tahoma"/>
                <w:b/>
                <w:bCs/>
                <w:iCs/>
                <w:color w:val="509141"/>
                <w:szCs w:val="24"/>
                <w:lang w:val="fr-CH"/>
              </w:rPr>
              <w:t>13</w:t>
            </w:r>
            <w:r w:rsidRPr="005D41C4">
              <w:rPr>
                <w:rFonts w:ascii="Tahoma" w:hAnsi="Tahoma" w:cs="Tahoma"/>
                <w:b/>
                <w:bCs/>
                <w:iCs/>
                <w:color w:val="509141"/>
                <w:szCs w:val="24"/>
                <w:lang w:val="fr-CH"/>
              </w:rPr>
              <w:t>)</w:t>
            </w:r>
          </w:p>
        </w:tc>
      </w:tr>
      <w:tr w:rsidR="00B17B1F" w:rsidRPr="00142C14" w:rsidTr="00DF0026">
        <w:tc>
          <w:tcPr>
            <w:tcW w:w="10089" w:type="dxa"/>
          </w:tcPr>
          <w:p w:rsidR="00B17B1F" w:rsidRPr="00830964" w:rsidRDefault="00B17B1F" w:rsidP="00DF0026">
            <w:pPr>
              <w:spacing w:before="80" w:line="500" w:lineRule="exact"/>
              <w:jc w:val="right"/>
              <w:rPr>
                <w:rFonts w:ascii="Tahoma" w:hAnsi="Tahoma" w:cs="Tahoma"/>
                <w:b/>
                <w:bCs/>
                <w:iCs/>
                <w:color w:val="509141"/>
                <w:sz w:val="44"/>
                <w:szCs w:val="44"/>
                <w:lang w:val="es-ES_tradnl"/>
              </w:rPr>
            </w:pPr>
          </w:p>
          <w:p w:rsidR="00B17B1F" w:rsidRPr="00CA109F" w:rsidRDefault="00830964" w:rsidP="00830964">
            <w:pPr>
              <w:spacing w:before="80" w:line="500" w:lineRule="exact"/>
              <w:jc w:val="right"/>
              <w:rPr>
                <w:rFonts w:ascii="Tahoma" w:hAnsi="Tahoma" w:cs="Tahoma"/>
                <w:b/>
                <w:bCs/>
                <w:iCs/>
                <w:color w:val="509141"/>
                <w:sz w:val="44"/>
                <w:szCs w:val="44"/>
                <w:lang w:val="es-ES_tradnl"/>
              </w:rPr>
            </w:pPr>
            <w:r w:rsidRPr="000F550F">
              <w:rPr>
                <w:rFonts w:ascii="Tahoma" w:hAnsi="Tahoma" w:cs="Tahoma"/>
                <w:b/>
                <w:bCs/>
                <w:iCs/>
                <w:color w:val="509141"/>
                <w:sz w:val="44"/>
                <w:szCs w:val="44"/>
                <w:lang w:val="es-ES_tradnl"/>
              </w:rPr>
              <w:t>Metodología para relacionar la radiación procedente de instalaciones</w:t>
            </w:r>
            <w:r>
              <w:rPr>
                <w:rFonts w:ascii="Tahoma" w:hAnsi="Tahoma" w:cs="Tahoma"/>
                <w:b/>
                <w:bCs/>
                <w:iCs/>
                <w:color w:val="509141"/>
                <w:sz w:val="44"/>
                <w:szCs w:val="44"/>
                <w:lang w:val="es-ES_tradnl"/>
              </w:rPr>
              <w:t xml:space="preserve"> </w:t>
            </w:r>
            <w:r w:rsidRPr="000F550F">
              <w:rPr>
                <w:rFonts w:ascii="Tahoma" w:hAnsi="Tahoma" w:cs="Tahoma"/>
                <w:b/>
                <w:bCs/>
                <w:iCs/>
                <w:color w:val="509141"/>
                <w:sz w:val="44"/>
                <w:szCs w:val="44"/>
                <w:lang w:val="es-ES_tradnl"/>
              </w:rPr>
              <w:t>de telecomunicaciones por líneas</w:t>
            </w:r>
            <w:r>
              <w:rPr>
                <w:rFonts w:ascii="Tahoma" w:hAnsi="Tahoma" w:cs="Tahoma"/>
                <w:b/>
                <w:bCs/>
                <w:iCs/>
                <w:color w:val="509141"/>
                <w:sz w:val="44"/>
                <w:szCs w:val="44"/>
                <w:lang w:val="es-ES_tradnl"/>
              </w:rPr>
              <w:br/>
            </w:r>
            <w:r w:rsidRPr="000F550F">
              <w:rPr>
                <w:rFonts w:ascii="Tahoma" w:hAnsi="Tahoma" w:cs="Tahoma"/>
                <w:b/>
                <w:bCs/>
                <w:iCs/>
                <w:color w:val="509141"/>
                <w:sz w:val="44"/>
                <w:szCs w:val="44"/>
                <w:lang w:val="es-ES_tradnl"/>
              </w:rPr>
              <w:t>eléctricas</w:t>
            </w:r>
            <w:r>
              <w:rPr>
                <w:rFonts w:ascii="Tahoma" w:hAnsi="Tahoma" w:cs="Tahoma"/>
                <w:b/>
                <w:bCs/>
                <w:iCs/>
                <w:color w:val="509141"/>
                <w:sz w:val="44"/>
                <w:szCs w:val="44"/>
                <w:lang w:val="es-ES_tradnl"/>
              </w:rPr>
              <w:t xml:space="preserve"> </w:t>
            </w:r>
            <w:r w:rsidRPr="000F550F">
              <w:rPr>
                <w:rFonts w:ascii="Tahoma" w:hAnsi="Tahoma" w:cs="Tahoma"/>
                <w:b/>
                <w:bCs/>
                <w:iCs/>
                <w:color w:val="509141"/>
                <w:sz w:val="44"/>
                <w:szCs w:val="44"/>
                <w:lang w:val="es-ES_tradnl"/>
              </w:rPr>
              <w:t>con la salida de un módem</w:t>
            </w:r>
            <w:r>
              <w:rPr>
                <w:rFonts w:ascii="Tahoma" w:hAnsi="Tahoma" w:cs="Tahoma"/>
                <w:b/>
                <w:bCs/>
                <w:iCs/>
                <w:color w:val="509141"/>
                <w:sz w:val="44"/>
                <w:szCs w:val="44"/>
                <w:lang w:val="es-ES_tradnl"/>
              </w:rPr>
              <w:t xml:space="preserve"> de</w:t>
            </w:r>
            <w:r>
              <w:rPr>
                <w:rFonts w:ascii="Tahoma" w:hAnsi="Tahoma" w:cs="Tahoma"/>
                <w:b/>
                <w:bCs/>
                <w:iCs/>
                <w:color w:val="509141"/>
                <w:sz w:val="44"/>
                <w:szCs w:val="44"/>
                <w:lang w:val="es-ES_tradnl"/>
              </w:rPr>
              <w:br/>
            </w:r>
            <w:r w:rsidRPr="000F550F">
              <w:rPr>
                <w:rFonts w:ascii="Tahoma" w:hAnsi="Tahoma" w:cs="Tahoma"/>
                <w:b/>
                <w:bCs/>
                <w:iCs/>
                <w:color w:val="509141"/>
                <w:sz w:val="44"/>
                <w:szCs w:val="44"/>
                <w:lang w:val="es-ES_tradnl"/>
              </w:rPr>
              <w:t xml:space="preserve">telecomunicaciones por líneas eléctricas </w:t>
            </w:r>
          </w:p>
        </w:tc>
      </w:tr>
      <w:tr w:rsidR="00B17B1F" w:rsidRPr="00142C14" w:rsidTr="00DF0026">
        <w:tc>
          <w:tcPr>
            <w:tcW w:w="10089" w:type="dxa"/>
          </w:tcPr>
          <w:p w:rsidR="00830964" w:rsidRPr="00830964" w:rsidRDefault="00830964" w:rsidP="00830964">
            <w:pPr>
              <w:spacing w:before="0" w:line="360" w:lineRule="exact"/>
              <w:jc w:val="left"/>
              <w:rPr>
                <w:rFonts w:ascii="Tahoma" w:hAnsi="Tahoma" w:cs="Tahoma"/>
                <w:b/>
                <w:bCs/>
                <w:iCs/>
                <w:color w:val="509141"/>
                <w:sz w:val="32"/>
                <w:szCs w:val="36"/>
                <w:lang w:val="es-ES_tradnl"/>
              </w:rPr>
            </w:pPr>
          </w:p>
          <w:p w:rsidR="00830964" w:rsidRDefault="00830964" w:rsidP="00830964">
            <w:pPr>
              <w:spacing w:before="0" w:line="360" w:lineRule="exact"/>
              <w:jc w:val="left"/>
              <w:rPr>
                <w:rFonts w:ascii="Tahoma" w:hAnsi="Tahoma" w:cs="Tahoma"/>
                <w:b/>
                <w:bCs/>
                <w:iCs/>
                <w:color w:val="509141"/>
                <w:sz w:val="32"/>
                <w:szCs w:val="36"/>
                <w:lang w:val="es-ES_tradnl"/>
              </w:rPr>
            </w:pPr>
          </w:p>
          <w:p w:rsidR="0049280D" w:rsidRPr="00830964" w:rsidRDefault="0049280D" w:rsidP="00830964">
            <w:pPr>
              <w:spacing w:before="0" w:line="360" w:lineRule="exact"/>
              <w:jc w:val="left"/>
              <w:rPr>
                <w:rFonts w:ascii="Tahoma" w:hAnsi="Tahoma" w:cs="Tahoma"/>
                <w:b/>
                <w:bCs/>
                <w:iCs/>
                <w:color w:val="509141"/>
                <w:sz w:val="32"/>
                <w:szCs w:val="36"/>
                <w:lang w:val="es-ES_tradnl"/>
              </w:rPr>
            </w:pPr>
          </w:p>
          <w:p w:rsidR="00830964" w:rsidRPr="00830964" w:rsidRDefault="00830964" w:rsidP="00830964">
            <w:pPr>
              <w:spacing w:before="0" w:line="360" w:lineRule="exact"/>
              <w:jc w:val="left"/>
              <w:rPr>
                <w:rFonts w:ascii="Tahoma" w:hAnsi="Tahoma" w:cs="Tahoma"/>
                <w:b/>
                <w:bCs/>
                <w:iCs/>
                <w:color w:val="509141"/>
                <w:sz w:val="32"/>
                <w:szCs w:val="36"/>
                <w:lang w:val="es-ES_tradnl"/>
              </w:rPr>
            </w:pPr>
          </w:p>
          <w:p w:rsidR="00B17B1F" w:rsidRPr="00CA109F" w:rsidRDefault="00B17B1F" w:rsidP="00DF0026">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B17B1F" w:rsidRPr="00CA109F" w:rsidRDefault="00B17B1F" w:rsidP="00DF0026">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B17B1F" w:rsidRPr="00AF1597" w:rsidRDefault="00B17B1F" w:rsidP="00B17B1F">
      <w:pPr>
        <w:spacing w:before="80"/>
        <w:rPr>
          <w:i/>
          <w:sz w:val="22"/>
          <w:lang w:val="es-ES_tradnl"/>
        </w:rPr>
      </w:pPr>
    </w:p>
    <w:p w:rsidR="00B17B1F" w:rsidRPr="00AF1597" w:rsidRDefault="00B17B1F" w:rsidP="00B17B1F">
      <w:pPr>
        <w:spacing w:before="80"/>
        <w:rPr>
          <w:i/>
          <w:sz w:val="22"/>
          <w:lang w:val="es-ES_tradnl"/>
        </w:rPr>
      </w:pPr>
    </w:p>
    <w:p w:rsidR="00B17B1F" w:rsidRPr="00AF1597" w:rsidRDefault="00B17B1F" w:rsidP="00B17B1F">
      <w:pPr>
        <w:spacing w:before="80"/>
        <w:rPr>
          <w:i/>
          <w:sz w:val="22"/>
          <w:lang w:val="es-ES_tradnl"/>
        </w:rPr>
      </w:pPr>
    </w:p>
    <w:p w:rsidR="00B17B1F" w:rsidRPr="00AF1597" w:rsidRDefault="00B17B1F" w:rsidP="00B17B1F">
      <w:pPr>
        <w:spacing w:before="80"/>
        <w:rPr>
          <w:i/>
          <w:sz w:val="22"/>
          <w:lang w:val="es-ES_tradnl"/>
        </w:rPr>
      </w:pPr>
    </w:p>
    <w:p w:rsidR="00B17B1F" w:rsidRPr="00AF1597" w:rsidRDefault="00B17B1F" w:rsidP="00B17B1F">
      <w:pPr>
        <w:spacing w:before="80"/>
        <w:rPr>
          <w:i/>
          <w:sz w:val="22"/>
          <w:lang w:val="es-ES_tradnl"/>
        </w:rPr>
      </w:pPr>
    </w:p>
    <w:p w:rsidR="00B17B1F" w:rsidRPr="00AF1597" w:rsidRDefault="00B17B1F" w:rsidP="00B17B1F">
      <w:pPr>
        <w:spacing w:before="80"/>
        <w:rPr>
          <w:i/>
          <w:sz w:val="22"/>
          <w:lang w:val="es-ES_tradnl"/>
        </w:rPr>
      </w:pPr>
    </w:p>
    <w:p w:rsidR="00B17B1F" w:rsidRPr="00AF1597" w:rsidRDefault="00B17B1F" w:rsidP="00B17B1F">
      <w:pPr>
        <w:pStyle w:val="Equation"/>
        <w:tabs>
          <w:tab w:val="clear" w:pos="4820"/>
          <w:tab w:val="clear" w:pos="9639"/>
          <w:tab w:val="left" w:pos="1191"/>
          <w:tab w:val="left" w:pos="1588"/>
          <w:tab w:val="left" w:pos="1985"/>
        </w:tabs>
        <w:rPr>
          <w:rFonts w:ascii="Palatino Linotype" w:hAnsi="Palatino Linotype"/>
          <w:lang w:val="es-ES_tradnl"/>
        </w:rPr>
        <w:sectPr w:rsidR="00B17B1F" w:rsidRPr="00AF1597">
          <w:headerReference w:type="even" r:id="rId8"/>
          <w:headerReference w:type="default" r:id="rId9"/>
          <w:pgSz w:w="11907" w:h="16840" w:code="9"/>
          <w:pgMar w:top="1089" w:right="1089" w:bottom="284" w:left="1089" w:header="567" w:footer="284" w:gutter="0"/>
          <w:pgNumType w:start="1"/>
          <w:cols w:space="720"/>
        </w:sectPr>
      </w:pPr>
    </w:p>
    <w:p w:rsidR="00B17B1F" w:rsidRPr="006C718C" w:rsidRDefault="00B17B1F" w:rsidP="00B17B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B17B1F" w:rsidRPr="006C718C" w:rsidRDefault="00B17B1F" w:rsidP="00B17B1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B1F" w:rsidRDefault="00B17B1F" w:rsidP="00B17B1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B1F" w:rsidRDefault="00B17B1F" w:rsidP="00B17B1F">
      <w:pPr>
        <w:spacing w:before="0"/>
        <w:rPr>
          <w:sz w:val="20"/>
          <w:lang w:val="es-ES_tradnl"/>
        </w:rPr>
      </w:pPr>
    </w:p>
    <w:p w:rsidR="00B17B1F" w:rsidRPr="006C718C" w:rsidRDefault="00B17B1F" w:rsidP="00B17B1F">
      <w:pPr>
        <w:spacing w:before="0"/>
        <w:rPr>
          <w:sz w:val="20"/>
          <w:lang w:val="es-ES_tradnl"/>
        </w:rPr>
      </w:pPr>
    </w:p>
    <w:p w:rsidR="00B17B1F" w:rsidRPr="00021E8A" w:rsidRDefault="00B17B1F" w:rsidP="00B17B1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B1F" w:rsidRPr="00021E8A" w:rsidRDefault="00B17B1F" w:rsidP="00B17B1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B1F" w:rsidRDefault="00B17B1F" w:rsidP="00B17B1F">
      <w:pPr>
        <w:spacing w:before="0"/>
        <w:jc w:val="center"/>
        <w:rPr>
          <w:sz w:val="22"/>
          <w:lang w:val="es-ES_tradnl"/>
        </w:rPr>
      </w:pPr>
    </w:p>
    <w:p w:rsidR="00B17B1F" w:rsidRPr="007C36CA" w:rsidRDefault="00B17B1F" w:rsidP="00B17B1F">
      <w:pPr>
        <w:spacing w:before="0"/>
        <w:jc w:val="center"/>
        <w:rPr>
          <w:sz w:val="22"/>
          <w:lang w:val="es-ES_tradnl"/>
        </w:rPr>
      </w:pPr>
    </w:p>
    <w:p w:rsidR="00B17B1F" w:rsidRPr="007C36CA" w:rsidRDefault="00B17B1F" w:rsidP="00B17B1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B1F" w:rsidRPr="00142C14" w:rsidTr="00DF0026">
        <w:tc>
          <w:tcPr>
            <w:tcW w:w="9360" w:type="dxa"/>
            <w:gridSpan w:val="2"/>
          </w:tcPr>
          <w:p w:rsidR="00B17B1F" w:rsidRPr="00021E8A" w:rsidRDefault="00B17B1F" w:rsidP="00DF002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B17B1F" w:rsidRPr="00763D08" w:rsidRDefault="00B17B1F" w:rsidP="00DF00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B17B1F" w:rsidRPr="00036EE3" w:rsidTr="00DF0026">
        <w:tc>
          <w:tcPr>
            <w:tcW w:w="1140" w:type="dxa"/>
            <w:tcBorders>
              <w:bottom w:val="nil"/>
            </w:tcBorders>
          </w:tcPr>
          <w:p w:rsidR="00B17B1F" w:rsidRPr="00036EE3" w:rsidRDefault="00B17B1F" w:rsidP="00DF0026">
            <w:pPr>
              <w:spacing w:before="180" w:after="100"/>
              <w:ind w:left="57"/>
              <w:rPr>
                <w:b/>
                <w:bCs/>
                <w:sz w:val="20"/>
                <w:lang w:val="en-US"/>
              </w:rPr>
            </w:pPr>
            <w:r w:rsidRPr="00036EE3">
              <w:rPr>
                <w:b/>
                <w:bCs/>
                <w:sz w:val="20"/>
                <w:lang w:val="en-US"/>
              </w:rPr>
              <w:t>Series</w:t>
            </w:r>
          </w:p>
        </w:tc>
        <w:tc>
          <w:tcPr>
            <w:tcW w:w="8220" w:type="dxa"/>
            <w:tcBorders>
              <w:bottom w:val="nil"/>
            </w:tcBorders>
          </w:tcPr>
          <w:p w:rsidR="00B17B1F" w:rsidRPr="00036EE3" w:rsidRDefault="00B17B1F" w:rsidP="00DF00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B1F" w:rsidRPr="00EC62B0" w:rsidTr="00DF0026">
        <w:tc>
          <w:tcPr>
            <w:tcW w:w="1140" w:type="dxa"/>
            <w:tcBorders>
              <w:top w:val="nil"/>
              <w:bottom w:val="nil"/>
            </w:tcBorders>
            <w:shd w:val="clear" w:color="auto" w:fill="auto"/>
          </w:tcPr>
          <w:p w:rsidR="00B17B1F" w:rsidRPr="00EC62B0" w:rsidRDefault="00B17B1F" w:rsidP="00DF0026">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B17B1F" w:rsidRPr="00EC62B0" w:rsidRDefault="00B17B1F" w:rsidP="00DF00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B17B1F" w:rsidRPr="00142C14" w:rsidTr="00DF0026">
        <w:tc>
          <w:tcPr>
            <w:tcW w:w="1140" w:type="dxa"/>
            <w:tcBorders>
              <w:top w:val="nil"/>
              <w:bottom w:val="nil"/>
            </w:tcBorders>
            <w:shd w:val="clear" w:color="auto" w:fill="auto"/>
          </w:tcPr>
          <w:p w:rsidR="00B17B1F" w:rsidRPr="00F12544" w:rsidRDefault="00B17B1F" w:rsidP="00DF0026">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B17B1F" w:rsidRPr="00F12544" w:rsidRDefault="00B17B1F" w:rsidP="00DF00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B17B1F" w:rsidRPr="00B11D5D" w:rsidTr="00DF0026">
        <w:tc>
          <w:tcPr>
            <w:tcW w:w="1140" w:type="dxa"/>
            <w:tcBorders>
              <w:top w:val="nil"/>
              <w:bottom w:val="nil"/>
            </w:tcBorders>
            <w:shd w:val="clear" w:color="auto" w:fill="auto"/>
          </w:tcPr>
          <w:p w:rsidR="00B17B1F" w:rsidRPr="00B11D5D" w:rsidRDefault="00B17B1F" w:rsidP="00DF0026">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B17B1F" w:rsidRPr="00B11D5D" w:rsidRDefault="00B17B1F" w:rsidP="00DF00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B17B1F" w:rsidRPr="00D73486" w:rsidTr="00DF0026">
        <w:tc>
          <w:tcPr>
            <w:tcW w:w="1140" w:type="dxa"/>
            <w:tcBorders>
              <w:top w:val="nil"/>
              <w:bottom w:val="nil"/>
            </w:tcBorders>
            <w:shd w:val="clear" w:color="auto" w:fill="auto"/>
          </w:tcPr>
          <w:p w:rsidR="00B17B1F" w:rsidRPr="00D73486" w:rsidRDefault="00B17B1F" w:rsidP="00DF0026">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B17B1F" w:rsidRPr="00D73486" w:rsidRDefault="00B17B1F" w:rsidP="00DF00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B17B1F" w:rsidRPr="0064346B" w:rsidTr="00DF0026">
        <w:tc>
          <w:tcPr>
            <w:tcW w:w="1140" w:type="dxa"/>
            <w:tcBorders>
              <w:top w:val="nil"/>
              <w:bottom w:val="nil"/>
            </w:tcBorders>
            <w:shd w:val="clear" w:color="auto" w:fill="auto"/>
          </w:tcPr>
          <w:p w:rsidR="00B17B1F" w:rsidRPr="0064346B" w:rsidRDefault="00B17B1F" w:rsidP="00DF0026">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B17B1F" w:rsidRPr="0064346B" w:rsidRDefault="00B17B1F" w:rsidP="00DF00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B17B1F" w:rsidRPr="00142C14" w:rsidTr="00DF0026">
        <w:tc>
          <w:tcPr>
            <w:tcW w:w="1140" w:type="dxa"/>
            <w:tcBorders>
              <w:top w:val="nil"/>
              <w:bottom w:val="nil"/>
            </w:tcBorders>
            <w:shd w:val="clear" w:color="auto" w:fill="auto"/>
          </w:tcPr>
          <w:p w:rsidR="00B17B1F" w:rsidRPr="00297C87" w:rsidRDefault="00B17B1F" w:rsidP="00DF0026">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B17B1F" w:rsidRPr="00297C87" w:rsidRDefault="00B17B1F" w:rsidP="00DF00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B17B1F" w:rsidRPr="00142C14" w:rsidTr="00DF0026">
        <w:tc>
          <w:tcPr>
            <w:tcW w:w="1140" w:type="dxa"/>
            <w:tcBorders>
              <w:top w:val="nil"/>
              <w:bottom w:val="nil"/>
            </w:tcBorders>
            <w:shd w:val="clear" w:color="auto" w:fill="auto"/>
          </w:tcPr>
          <w:p w:rsidR="00B17B1F" w:rsidRPr="00F84F54" w:rsidRDefault="00B17B1F" w:rsidP="00DF0026">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B17B1F" w:rsidRPr="00F84F54" w:rsidRDefault="00B17B1F" w:rsidP="00DF0026">
            <w:pPr>
              <w:spacing w:before="30" w:after="30"/>
              <w:jc w:val="left"/>
              <w:rPr>
                <w:sz w:val="20"/>
                <w:lang w:val="es-ES_tradnl"/>
              </w:rPr>
            </w:pPr>
            <w:r w:rsidRPr="00F84F54">
              <w:rPr>
                <w:sz w:val="20"/>
                <w:lang w:val="es-ES_tradnl"/>
              </w:rPr>
              <w:t>Propagación de las ondas radioeléctricas</w:t>
            </w:r>
          </w:p>
        </w:tc>
      </w:tr>
      <w:tr w:rsidR="00B17B1F" w:rsidRPr="00A10F3A" w:rsidTr="00DF0026">
        <w:tc>
          <w:tcPr>
            <w:tcW w:w="1140" w:type="dxa"/>
            <w:tcBorders>
              <w:top w:val="nil"/>
              <w:bottom w:val="nil"/>
            </w:tcBorders>
            <w:shd w:val="clear" w:color="auto" w:fill="auto"/>
          </w:tcPr>
          <w:p w:rsidR="00B17B1F" w:rsidRPr="00A10F3A" w:rsidRDefault="00B17B1F" w:rsidP="00DF0026">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B17B1F" w:rsidRPr="00A10F3A" w:rsidRDefault="00B17B1F" w:rsidP="00DF00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B17B1F" w:rsidRPr="00142C14" w:rsidTr="00DF0026">
        <w:tc>
          <w:tcPr>
            <w:tcW w:w="1140" w:type="dxa"/>
            <w:tcBorders>
              <w:top w:val="nil"/>
              <w:bottom w:val="nil"/>
            </w:tcBorders>
            <w:shd w:val="clear" w:color="auto" w:fill="auto"/>
          </w:tcPr>
          <w:p w:rsidR="00B17B1F" w:rsidRPr="007C5CE9" w:rsidRDefault="00B17B1F" w:rsidP="00DF0026">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B17B1F" w:rsidRPr="007C5CE9" w:rsidRDefault="00B17B1F" w:rsidP="00DF00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B17B1F" w:rsidRPr="00AC1323" w:rsidTr="00DF0026">
        <w:tc>
          <w:tcPr>
            <w:tcW w:w="1140" w:type="dxa"/>
            <w:tcBorders>
              <w:top w:val="nil"/>
              <w:bottom w:val="nil"/>
            </w:tcBorders>
            <w:shd w:val="clear" w:color="auto" w:fill="auto"/>
          </w:tcPr>
          <w:p w:rsidR="00B17B1F" w:rsidRPr="00AC1323" w:rsidRDefault="00B17B1F" w:rsidP="00DF0026">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B17B1F" w:rsidRPr="00AC1323" w:rsidRDefault="00B17B1F" w:rsidP="00DF0026">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B17B1F" w:rsidRPr="00BA28E1" w:rsidTr="00DF0026">
        <w:tc>
          <w:tcPr>
            <w:tcW w:w="1140" w:type="dxa"/>
            <w:tcBorders>
              <w:top w:val="nil"/>
              <w:bottom w:val="nil"/>
            </w:tcBorders>
            <w:shd w:val="clear" w:color="auto" w:fill="auto"/>
          </w:tcPr>
          <w:p w:rsidR="00B17B1F" w:rsidRPr="00BA28E1" w:rsidRDefault="00B17B1F" w:rsidP="00DF0026">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B17B1F" w:rsidRPr="00BA28E1" w:rsidRDefault="00B17B1F" w:rsidP="00DF0026">
            <w:pPr>
              <w:spacing w:before="30" w:after="30"/>
              <w:jc w:val="left"/>
              <w:rPr>
                <w:sz w:val="20"/>
                <w:lang w:val="en-US"/>
              </w:rPr>
            </w:pPr>
            <w:r w:rsidRPr="00BA28E1">
              <w:rPr>
                <w:sz w:val="20"/>
              </w:rPr>
              <w:t>Aplicaciones espaciales y meteorología</w:t>
            </w:r>
          </w:p>
        </w:tc>
      </w:tr>
      <w:tr w:rsidR="00B17B1F" w:rsidRPr="00142C14" w:rsidTr="00DF0026">
        <w:tc>
          <w:tcPr>
            <w:tcW w:w="1140" w:type="dxa"/>
            <w:tcBorders>
              <w:top w:val="nil"/>
              <w:bottom w:val="nil"/>
            </w:tcBorders>
            <w:shd w:val="clear" w:color="auto" w:fill="auto"/>
          </w:tcPr>
          <w:p w:rsidR="00B17B1F" w:rsidRPr="003A6B2B" w:rsidRDefault="00B17B1F" w:rsidP="00DF0026">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B17B1F" w:rsidRPr="003A6B2B" w:rsidRDefault="00B17B1F" w:rsidP="00DF0026">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B17B1F" w:rsidRPr="003A6B2B" w:rsidTr="00DF0026">
        <w:tc>
          <w:tcPr>
            <w:tcW w:w="1140" w:type="dxa"/>
            <w:tcBorders>
              <w:top w:val="nil"/>
              <w:bottom w:val="nil"/>
            </w:tcBorders>
            <w:shd w:val="clear" w:color="auto" w:fill="F3F3F3"/>
          </w:tcPr>
          <w:p w:rsidR="00B17B1F" w:rsidRPr="003A6B2B" w:rsidRDefault="00B17B1F" w:rsidP="00DF0026">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B17B1F" w:rsidRPr="003A6B2B" w:rsidRDefault="00B17B1F" w:rsidP="00DF0026">
            <w:pPr>
              <w:spacing w:before="30"/>
              <w:jc w:val="left"/>
              <w:rPr>
                <w:b/>
                <w:bCs/>
                <w:color w:val="000080"/>
                <w:sz w:val="20"/>
                <w:lang w:val="en-US"/>
              </w:rPr>
            </w:pPr>
            <w:r w:rsidRPr="003A6B2B">
              <w:rPr>
                <w:b/>
                <w:bCs/>
                <w:color w:val="000080"/>
                <w:sz w:val="20"/>
              </w:rPr>
              <w:t>Gestión del espectro</w:t>
            </w:r>
          </w:p>
        </w:tc>
      </w:tr>
      <w:tr w:rsidR="00B17B1F" w:rsidRPr="00036EE3" w:rsidTr="00DF0026">
        <w:tc>
          <w:tcPr>
            <w:tcW w:w="1140" w:type="dxa"/>
            <w:tcBorders>
              <w:top w:val="nil"/>
            </w:tcBorders>
            <w:shd w:val="clear" w:color="auto" w:fill="auto"/>
          </w:tcPr>
          <w:p w:rsidR="00B17B1F" w:rsidRPr="0041026E" w:rsidRDefault="00B17B1F" w:rsidP="00DF0026">
            <w:pPr>
              <w:spacing w:before="0" w:after="30"/>
              <w:ind w:left="57"/>
              <w:jc w:val="left"/>
              <w:rPr>
                <w:b/>
                <w:bCs/>
                <w:color w:val="000080"/>
                <w:sz w:val="20"/>
                <w:lang w:val="en-US"/>
              </w:rPr>
            </w:pPr>
          </w:p>
        </w:tc>
        <w:tc>
          <w:tcPr>
            <w:tcW w:w="8220" w:type="dxa"/>
            <w:tcBorders>
              <w:top w:val="nil"/>
            </w:tcBorders>
            <w:shd w:val="clear" w:color="auto" w:fill="auto"/>
          </w:tcPr>
          <w:p w:rsidR="00B17B1F" w:rsidRPr="0041026E" w:rsidRDefault="00B17B1F" w:rsidP="00DF0026">
            <w:pPr>
              <w:spacing w:before="0"/>
              <w:jc w:val="left"/>
              <w:rPr>
                <w:b/>
                <w:bCs/>
                <w:color w:val="000080"/>
                <w:sz w:val="20"/>
              </w:rPr>
            </w:pPr>
          </w:p>
        </w:tc>
      </w:tr>
    </w:tbl>
    <w:p w:rsidR="00B17B1F" w:rsidRPr="00036EE3" w:rsidRDefault="00B17B1F" w:rsidP="00B17B1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B1F" w:rsidTr="00DF0026">
        <w:tc>
          <w:tcPr>
            <w:tcW w:w="720" w:type="dxa"/>
          </w:tcPr>
          <w:p w:rsidR="00B17B1F" w:rsidRDefault="00B17B1F" w:rsidP="00DF002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7B1F" w:rsidRPr="00142C14" w:rsidTr="00DF0026">
        <w:tc>
          <w:tcPr>
            <w:tcW w:w="9360" w:type="dxa"/>
          </w:tcPr>
          <w:p w:rsidR="00B17B1F" w:rsidRPr="00CA109F" w:rsidRDefault="00B17B1F" w:rsidP="00DF0026">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Pr>
                <w:i/>
                <w:iCs/>
                <w:sz w:val="20"/>
                <w:lang w:val="es-ES_tradnl"/>
              </w:rPr>
              <w:t xml:space="preserve"> procedimiento detallado en la </w:t>
            </w:r>
            <w:r w:rsidRPr="00CA109F">
              <w:rPr>
                <w:i/>
                <w:iCs/>
                <w:sz w:val="20"/>
                <w:lang w:val="es-ES_tradnl"/>
              </w:rPr>
              <w:t>Resolución UIT-R 1.</w:t>
            </w:r>
          </w:p>
        </w:tc>
      </w:tr>
    </w:tbl>
    <w:p w:rsidR="00B17B1F" w:rsidRPr="00763D08" w:rsidRDefault="00B17B1F" w:rsidP="00B17B1F">
      <w:pPr>
        <w:spacing w:before="0"/>
        <w:jc w:val="center"/>
        <w:rPr>
          <w:sz w:val="22"/>
          <w:lang w:val="es-ES_tradnl"/>
        </w:rPr>
      </w:pPr>
    </w:p>
    <w:p w:rsidR="00B17B1F" w:rsidRPr="00763D08" w:rsidRDefault="00B17B1F" w:rsidP="00B17B1F">
      <w:pPr>
        <w:spacing w:before="60"/>
        <w:jc w:val="right"/>
        <w:rPr>
          <w:i/>
          <w:iCs/>
          <w:sz w:val="20"/>
          <w:lang w:val="es-ES_tradnl"/>
        </w:rPr>
      </w:pPr>
      <w:r w:rsidRPr="00763D08">
        <w:rPr>
          <w:i/>
          <w:iCs/>
          <w:sz w:val="20"/>
          <w:lang w:val="es-ES_tradnl"/>
        </w:rPr>
        <w:t>Publicación electrónica</w:t>
      </w:r>
    </w:p>
    <w:p w:rsidR="00B17B1F" w:rsidRPr="00763D08" w:rsidRDefault="00B17B1F" w:rsidP="00B17B1F">
      <w:pPr>
        <w:spacing w:before="0" w:after="40"/>
        <w:jc w:val="right"/>
        <w:rPr>
          <w:sz w:val="20"/>
          <w:lang w:val="es-ES_tradnl"/>
        </w:rPr>
      </w:pPr>
      <w:r w:rsidRPr="00763D08">
        <w:rPr>
          <w:sz w:val="20"/>
          <w:lang w:val="es-ES_tradnl"/>
        </w:rPr>
        <w:t>Ginebra, 20</w:t>
      </w:r>
      <w:r>
        <w:rPr>
          <w:sz w:val="20"/>
          <w:lang w:val="es-ES_tradnl"/>
        </w:rPr>
        <w:t>14</w:t>
      </w:r>
    </w:p>
    <w:p w:rsidR="00B17B1F" w:rsidRPr="00763D08" w:rsidRDefault="00B17B1F" w:rsidP="00B17B1F">
      <w:pPr>
        <w:spacing w:before="0"/>
        <w:jc w:val="center"/>
        <w:rPr>
          <w:sz w:val="22"/>
          <w:lang w:val="es-ES_tradnl"/>
        </w:rPr>
      </w:pPr>
    </w:p>
    <w:p w:rsidR="00B17B1F" w:rsidRPr="00763D08" w:rsidRDefault="00B17B1F" w:rsidP="00B17B1F">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14</w:t>
      </w:r>
    </w:p>
    <w:p w:rsidR="00B17B1F" w:rsidRPr="006C718C" w:rsidRDefault="00B17B1F" w:rsidP="00B17B1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B1F" w:rsidRPr="006C718C" w:rsidRDefault="00B17B1F" w:rsidP="00B17B1F">
      <w:pPr>
        <w:spacing w:before="160"/>
        <w:rPr>
          <w:i/>
          <w:sz w:val="20"/>
          <w:highlight w:val="yellow"/>
          <w:lang w:val="es-ES_tradnl"/>
        </w:rPr>
        <w:sectPr w:rsidR="00B17B1F" w:rsidRPr="006C718C" w:rsidSect="00DF0026">
          <w:headerReference w:type="even" r:id="rId12"/>
          <w:headerReference w:type="default" r:id="rId13"/>
          <w:pgSz w:w="11907" w:h="16834" w:code="9"/>
          <w:pgMar w:top="1418" w:right="1134" w:bottom="1134" w:left="1134" w:header="720" w:footer="482" w:gutter="0"/>
          <w:pgNumType w:fmt="lowerRoman" w:start="2"/>
          <w:cols w:space="720"/>
        </w:sectPr>
      </w:pPr>
    </w:p>
    <w:p w:rsidR="00B17B1F" w:rsidRPr="00B17B1F" w:rsidRDefault="00B17B1F" w:rsidP="00B17B1F">
      <w:pPr>
        <w:pStyle w:val="RepNo"/>
        <w:spacing w:before="0"/>
        <w:rPr>
          <w:lang w:val="es-ES_tradnl"/>
        </w:rPr>
      </w:pPr>
      <w:r w:rsidRPr="00B17B1F">
        <w:rPr>
          <w:lang w:val="es-ES_tradnl"/>
        </w:rPr>
        <w:lastRenderedPageBreak/>
        <w:t xml:space="preserve">INFORME  </w:t>
      </w:r>
      <w:r w:rsidRPr="00B17B1F">
        <w:rPr>
          <w:rStyle w:val="href"/>
          <w:lang w:val="es-ES_tradnl"/>
        </w:rPr>
        <w:t>UIT-R  SM.</w:t>
      </w:r>
      <w:r w:rsidR="007779D5">
        <w:rPr>
          <w:rStyle w:val="href"/>
          <w:lang w:val="es-ES_tradnl"/>
        </w:rPr>
        <w:t>2269</w:t>
      </w:r>
    </w:p>
    <w:p w:rsidR="00B17B1F" w:rsidRPr="000F550F" w:rsidRDefault="00B17B1F" w:rsidP="00B17B1F">
      <w:pPr>
        <w:pStyle w:val="Reptitle"/>
        <w:rPr>
          <w:lang w:val="es-ES_tradnl"/>
        </w:rPr>
      </w:pPr>
      <w:r w:rsidRPr="000F550F">
        <w:rPr>
          <w:lang w:val="es-ES_tradnl"/>
        </w:rPr>
        <w:t>Metodología para relacionar la radiación procedente de instalaciones</w:t>
      </w:r>
      <w:r w:rsidR="00960AF3">
        <w:rPr>
          <w:lang w:val="es-ES_tradnl"/>
        </w:rPr>
        <w:t xml:space="preserve"> de</w:t>
      </w:r>
      <w:bookmarkStart w:id="1" w:name="_GoBack"/>
      <w:bookmarkEnd w:id="1"/>
      <w:r w:rsidR="00960AF3">
        <w:rPr>
          <w:lang w:val="es-ES_tradnl"/>
        </w:rPr>
        <w:br/>
      </w:r>
      <w:r w:rsidRPr="000F550F">
        <w:rPr>
          <w:lang w:val="es-ES_tradnl"/>
        </w:rPr>
        <w:t>telecomunicaciones por líneas eléctricas con la salida de un módem</w:t>
      </w:r>
      <w:r w:rsidR="00830964">
        <w:rPr>
          <w:lang w:val="es-ES_tradnl"/>
        </w:rPr>
        <w:br/>
      </w:r>
      <w:r w:rsidRPr="000F550F">
        <w:rPr>
          <w:lang w:val="es-ES_tradnl"/>
        </w:rPr>
        <w:t>de telecomunicaciones por líneas eléctricas</w:t>
      </w:r>
    </w:p>
    <w:p w:rsidR="00B17B1F" w:rsidRPr="000F550F" w:rsidRDefault="00B17B1F" w:rsidP="00B17B1F">
      <w:pPr>
        <w:pStyle w:val="Repref"/>
        <w:rPr>
          <w:lang w:val="es-ES_tradnl"/>
        </w:rPr>
      </w:pPr>
      <w:r w:rsidRPr="000F550F">
        <w:rPr>
          <w:lang w:val="es-ES_tradnl"/>
        </w:rPr>
        <w:t>(Cuestión UIT-R 221-1/1)</w:t>
      </w:r>
    </w:p>
    <w:p w:rsidR="00B17B1F" w:rsidRPr="000F550F" w:rsidRDefault="00B17B1F" w:rsidP="00B17B1F">
      <w:pPr>
        <w:pStyle w:val="Blanc"/>
        <w:rPr>
          <w:lang w:val="es-ES_tradnl"/>
        </w:rPr>
      </w:pPr>
    </w:p>
    <w:p w:rsidR="00B17B1F" w:rsidRPr="000F550F" w:rsidRDefault="00B17B1F" w:rsidP="00B17B1F">
      <w:pPr>
        <w:pStyle w:val="Repdate"/>
        <w:rPr>
          <w:lang w:val="es-ES_tradnl"/>
        </w:rPr>
      </w:pPr>
      <w:r w:rsidRPr="000F550F">
        <w:rPr>
          <w:lang w:val="es-ES_tradnl"/>
        </w:rPr>
        <w:t>(2013)</w:t>
      </w:r>
    </w:p>
    <w:p w:rsidR="00B17B1F" w:rsidRPr="000F550F" w:rsidRDefault="00B17B1F" w:rsidP="00B17B1F">
      <w:pPr>
        <w:rPr>
          <w:lang w:val="es-ES_tradnl"/>
        </w:rPr>
      </w:pPr>
    </w:p>
    <w:p w:rsidR="00B17B1F" w:rsidRPr="000F550F" w:rsidRDefault="00B17B1F" w:rsidP="00B17B1F">
      <w:pPr>
        <w:jc w:val="center"/>
        <w:rPr>
          <w:lang w:val="es-ES_tradnl"/>
        </w:rPr>
      </w:pPr>
      <w:r w:rsidRPr="000F550F">
        <w:rPr>
          <w:lang w:val="es-ES_tradnl"/>
        </w:rPr>
        <w:t>ÍNDICE</w:t>
      </w:r>
    </w:p>
    <w:p w:rsidR="00B17B1F" w:rsidRPr="000F550F" w:rsidRDefault="00B17B1F" w:rsidP="00B17B1F">
      <w:pPr>
        <w:pStyle w:val="toc0"/>
        <w:rPr>
          <w:lang w:val="es-ES_tradnl"/>
        </w:rPr>
      </w:pPr>
      <w:r w:rsidRPr="000F550F">
        <w:rPr>
          <w:lang w:val="es-ES_tradnl"/>
        </w:rPr>
        <w:tab/>
        <w:t>Página</w:t>
      </w:r>
    </w:p>
    <w:p w:rsidR="00B17B1F" w:rsidRPr="000F550F" w:rsidRDefault="00B17B1F" w:rsidP="00B17B1F">
      <w:pPr>
        <w:pStyle w:val="TOC1"/>
        <w:rPr>
          <w:rFonts w:asciiTheme="minorHAnsi" w:eastAsiaTheme="minorEastAsia" w:hAnsiTheme="minorHAnsi" w:cstheme="minorBidi"/>
          <w:noProof/>
          <w:sz w:val="22"/>
          <w:szCs w:val="22"/>
          <w:lang w:val="es-ES_tradnl" w:eastAsia="zh-CN"/>
        </w:rPr>
      </w:pPr>
      <w:r w:rsidRPr="000F550F">
        <w:rPr>
          <w:lang w:val="es-ES_tradnl" w:eastAsia="zh-CN"/>
        </w:rPr>
        <w:fldChar w:fldCharType="begin"/>
      </w:r>
      <w:r w:rsidRPr="000F550F">
        <w:rPr>
          <w:lang w:val="es-ES_tradnl" w:eastAsia="zh-CN"/>
        </w:rPr>
        <w:instrText xml:space="preserve"> TOC \o "1-1" \h \z </w:instrText>
      </w:r>
      <w:r w:rsidRPr="000F550F">
        <w:rPr>
          <w:lang w:val="es-ES_tradnl" w:eastAsia="zh-CN"/>
        </w:rPr>
        <w:fldChar w:fldCharType="separate"/>
      </w:r>
      <w:hyperlink w:anchor="_Toc391562221" w:history="1">
        <w:r w:rsidRPr="000F550F">
          <w:rPr>
            <w:rStyle w:val="Hyperlink"/>
            <w:noProof/>
            <w:lang w:val="es-ES_tradnl"/>
          </w:rPr>
          <w:t>1</w:t>
        </w:r>
        <w:r w:rsidRPr="000F550F">
          <w:rPr>
            <w:rFonts w:asciiTheme="minorHAnsi" w:eastAsiaTheme="minorEastAsia" w:hAnsiTheme="minorHAnsi" w:cstheme="minorBidi"/>
            <w:noProof/>
            <w:sz w:val="22"/>
            <w:szCs w:val="22"/>
            <w:lang w:val="es-ES_tradnl" w:eastAsia="zh-CN"/>
          </w:rPr>
          <w:tab/>
        </w:r>
        <w:r w:rsidRPr="000F550F">
          <w:rPr>
            <w:rStyle w:val="Hyperlink"/>
            <w:noProof/>
            <w:lang w:val="es-ES_tradnl"/>
          </w:rPr>
          <w:t>Introducción</w:t>
        </w:r>
        <w:r w:rsidRPr="000F550F">
          <w:rPr>
            <w:noProof/>
            <w:webHidden/>
            <w:lang w:val="es-ES_tradnl"/>
          </w:rPr>
          <w:tab/>
        </w:r>
        <w:r w:rsidRPr="000F550F">
          <w:rPr>
            <w:noProof/>
            <w:webHidden/>
            <w:lang w:val="es-ES_tradnl"/>
          </w:rPr>
          <w:tab/>
        </w:r>
        <w:r w:rsidRPr="000F550F">
          <w:rPr>
            <w:noProof/>
            <w:webHidden/>
            <w:lang w:val="es-ES_tradnl"/>
          </w:rPr>
          <w:fldChar w:fldCharType="begin"/>
        </w:r>
        <w:r w:rsidRPr="000F550F">
          <w:rPr>
            <w:noProof/>
            <w:webHidden/>
            <w:lang w:val="es-ES_tradnl"/>
          </w:rPr>
          <w:instrText xml:space="preserve"> PAGEREF _Toc391562221 \h </w:instrText>
        </w:r>
        <w:r w:rsidRPr="000F550F">
          <w:rPr>
            <w:noProof/>
            <w:webHidden/>
            <w:lang w:val="es-ES_tradnl"/>
          </w:rPr>
        </w:r>
        <w:r w:rsidRPr="000F550F">
          <w:rPr>
            <w:noProof/>
            <w:webHidden/>
            <w:lang w:val="es-ES_tradnl"/>
          </w:rPr>
          <w:fldChar w:fldCharType="separate"/>
        </w:r>
        <w:r w:rsidR="00142C14">
          <w:rPr>
            <w:noProof/>
            <w:webHidden/>
            <w:lang w:val="es-ES_tradnl"/>
          </w:rPr>
          <w:t>1</w:t>
        </w:r>
        <w:r w:rsidRPr="000F550F">
          <w:rPr>
            <w:noProof/>
            <w:webHidden/>
            <w:lang w:val="es-ES_tradnl"/>
          </w:rPr>
          <w:fldChar w:fldCharType="end"/>
        </w:r>
      </w:hyperlink>
    </w:p>
    <w:p w:rsidR="00B17B1F" w:rsidRPr="000F550F" w:rsidRDefault="00142C14" w:rsidP="00B17B1F">
      <w:pPr>
        <w:pStyle w:val="TOC1"/>
        <w:rPr>
          <w:rFonts w:asciiTheme="minorHAnsi" w:eastAsiaTheme="minorEastAsia" w:hAnsiTheme="minorHAnsi" w:cstheme="minorBidi"/>
          <w:noProof/>
          <w:sz w:val="22"/>
          <w:szCs w:val="22"/>
          <w:lang w:val="es-ES_tradnl" w:eastAsia="zh-CN"/>
        </w:rPr>
      </w:pPr>
      <w:hyperlink w:anchor="_Toc391562222" w:history="1">
        <w:r w:rsidR="00B17B1F" w:rsidRPr="000F550F">
          <w:rPr>
            <w:rStyle w:val="Hyperlink"/>
            <w:noProof/>
            <w:lang w:val="es-ES_tradnl"/>
          </w:rPr>
          <w:t>2</w:t>
        </w:r>
        <w:r w:rsidR="00B17B1F" w:rsidRPr="000F550F">
          <w:rPr>
            <w:rFonts w:asciiTheme="minorHAnsi" w:eastAsiaTheme="minorEastAsia" w:hAnsiTheme="minorHAnsi" w:cstheme="minorBidi"/>
            <w:noProof/>
            <w:sz w:val="22"/>
            <w:szCs w:val="22"/>
            <w:lang w:val="es-ES_tradnl" w:eastAsia="zh-CN"/>
          </w:rPr>
          <w:tab/>
        </w:r>
        <w:r w:rsidR="00B17B1F" w:rsidRPr="000F550F">
          <w:rPr>
            <w:rStyle w:val="Hyperlink"/>
            <w:noProof/>
            <w:lang w:val="es-ES_tradnl"/>
          </w:rPr>
          <w:t>Metodología de las pérdidas de acoplamiento</w:t>
        </w:r>
        <w:r w:rsidR="00B17B1F" w:rsidRPr="000F550F">
          <w:rPr>
            <w:noProof/>
            <w:webHidden/>
            <w:lang w:val="es-ES_tradnl"/>
          </w:rPr>
          <w:tab/>
        </w:r>
        <w:r w:rsidR="00B17B1F" w:rsidRPr="000F550F">
          <w:rPr>
            <w:noProof/>
            <w:webHidden/>
            <w:lang w:val="es-ES_tradnl"/>
          </w:rPr>
          <w:tab/>
        </w:r>
        <w:r w:rsidR="00B17B1F" w:rsidRPr="000F550F">
          <w:rPr>
            <w:noProof/>
            <w:webHidden/>
            <w:lang w:val="es-ES_tradnl"/>
          </w:rPr>
          <w:fldChar w:fldCharType="begin"/>
        </w:r>
        <w:r w:rsidR="00B17B1F" w:rsidRPr="000F550F">
          <w:rPr>
            <w:noProof/>
            <w:webHidden/>
            <w:lang w:val="es-ES_tradnl"/>
          </w:rPr>
          <w:instrText xml:space="preserve"> PAGEREF _Toc391562222 \h </w:instrText>
        </w:r>
        <w:r w:rsidR="00B17B1F" w:rsidRPr="000F550F">
          <w:rPr>
            <w:noProof/>
            <w:webHidden/>
            <w:lang w:val="es-ES_tradnl"/>
          </w:rPr>
        </w:r>
        <w:r w:rsidR="00B17B1F" w:rsidRPr="000F550F">
          <w:rPr>
            <w:noProof/>
            <w:webHidden/>
            <w:lang w:val="es-ES_tradnl"/>
          </w:rPr>
          <w:fldChar w:fldCharType="separate"/>
        </w:r>
        <w:r>
          <w:rPr>
            <w:noProof/>
            <w:webHidden/>
            <w:lang w:val="es-ES_tradnl"/>
          </w:rPr>
          <w:t>2</w:t>
        </w:r>
        <w:r w:rsidR="00B17B1F" w:rsidRPr="000F550F">
          <w:rPr>
            <w:noProof/>
            <w:webHidden/>
            <w:lang w:val="es-ES_tradnl"/>
          </w:rPr>
          <w:fldChar w:fldCharType="end"/>
        </w:r>
      </w:hyperlink>
    </w:p>
    <w:p w:rsidR="00B17B1F" w:rsidRPr="000F550F" w:rsidRDefault="00142C14" w:rsidP="00B17B1F">
      <w:pPr>
        <w:pStyle w:val="TOC1"/>
        <w:rPr>
          <w:rFonts w:asciiTheme="minorHAnsi" w:eastAsiaTheme="minorEastAsia" w:hAnsiTheme="minorHAnsi" w:cstheme="minorBidi"/>
          <w:noProof/>
          <w:sz w:val="22"/>
          <w:szCs w:val="22"/>
          <w:lang w:val="es-ES_tradnl" w:eastAsia="zh-CN"/>
        </w:rPr>
      </w:pPr>
      <w:hyperlink w:anchor="_Toc391562223" w:history="1">
        <w:r w:rsidR="00B17B1F" w:rsidRPr="000F550F">
          <w:rPr>
            <w:rStyle w:val="Hyperlink"/>
            <w:noProof/>
            <w:lang w:val="es-ES_tradnl"/>
          </w:rPr>
          <w:t>3</w:t>
        </w:r>
        <w:r w:rsidR="00B17B1F" w:rsidRPr="000F550F">
          <w:rPr>
            <w:rFonts w:asciiTheme="minorHAnsi" w:eastAsiaTheme="minorEastAsia" w:hAnsiTheme="minorHAnsi" w:cstheme="minorBidi"/>
            <w:noProof/>
            <w:sz w:val="22"/>
            <w:szCs w:val="22"/>
            <w:lang w:val="es-ES_tradnl" w:eastAsia="zh-CN"/>
          </w:rPr>
          <w:tab/>
        </w:r>
        <w:r w:rsidR="00B17B1F" w:rsidRPr="000F550F">
          <w:rPr>
            <w:rStyle w:val="Hyperlink"/>
            <w:noProof/>
            <w:lang w:val="es-ES_tradnl"/>
          </w:rPr>
          <w:t>Metodologías de la fuente del punto de radiación</w:t>
        </w:r>
        <w:r w:rsidR="00B17B1F" w:rsidRPr="000F550F">
          <w:rPr>
            <w:noProof/>
            <w:webHidden/>
            <w:lang w:val="es-ES_tradnl"/>
          </w:rPr>
          <w:tab/>
        </w:r>
        <w:r w:rsidR="00B17B1F" w:rsidRPr="000F550F">
          <w:rPr>
            <w:noProof/>
            <w:webHidden/>
            <w:lang w:val="es-ES_tradnl"/>
          </w:rPr>
          <w:tab/>
        </w:r>
        <w:r w:rsidR="00B17B1F" w:rsidRPr="000F550F">
          <w:rPr>
            <w:noProof/>
            <w:webHidden/>
            <w:lang w:val="es-ES_tradnl"/>
          </w:rPr>
          <w:fldChar w:fldCharType="begin"/>
        </w:r>
        <w:r w:rsidR="00B17B1F" w:rsidRPr="000F550F">
          <w:rPr>
            <w:noProof/>
            <w:webHidden/>
            <w:lang w:val="es-ES_tradnl"/>
          </w:rPr>
          <w:instrText xml:space="preserve"> PAGEREF _Toc391562223 \h </w:instrText>
        </w:r>
        <w:r w:rsidR="00B17B1F" w:rsidRPr="000F550F">
          <w:rPr>
            <w:noProof/>
            <w:webHidden/>
            <w:lang w:val="es-ES_tradnl"/>
          </w:rPr>
        </w:r>
        <w:r w:rsidR="00B17B1F" w:rsidRPr="000F550F">
          <w:rPr>
            <w:noProof/>
            <w:webHidden/>
            <w:lang w:val="es-ES_tradnl"/>
          </w:rPr>
          <w:fldChar w:fldCharType="separate"/>
        </w:r>
        <w:r>
          <w:rPr>
            <w:noProof/>
            <w:webHidden/>
            <w:lang w:val="es-ES_tradnl"/>
          </w:rPr>
          <w:t>10</w:t>
        </w:r>
        <w:r w:rsidR="00B17B1F" w:rsidRPr="000F550F">
          <w:rPr>
            <w:noProof/>
            <w:webHidden/>
            <w:lang w:val="es-ES_tradnl"/>
          </w:rPr>
          <w:fldChar w:fldCharType="end"/>
        </w:r>
      </w:hyperlink>
    </w:p>
    <w:p w:rsidR="00B17B1F" w:rsidRPr="000F550F" w:rsidRDefault="00142C14" w:rsidP="00B17B1F">
      <w:pPr>
        <w:pStyle w:val="TOC1"/>
        <w:rPr>
          <w:rFonts w:asciiTheme="minorHAnsi" w:eastAsiaTheme="minorEastAsia" w:hAnsiTheme="minorHAnsi" w:cstheme="minorBidi"/>
          <w:noProof/>
          <w:sz w:val="22"/>
          <w:szCs w:val="22"/>
          <w:lang w:val="es-ES_tradnl" w:eastAsia="zh-CN"/>
        </w:rPr>
      </w:pPr>
      <w:hyperlink w:anchor="_Toc391562224" w:history="1">
        <w:r w:rsidR="00B17B1F" w:rsidRPr="000F550F">
          <w:rPr>
            <w:rStyle w:val="Hyperlink"/>
            <w:noProof/>
            <w:lang w:val="es-ES_tradnl"/>
          </w:rPr>
          <w:t>4</w:t>
        </w:r>
        <w:r w:rsidR="00B17B1F" w:rsidRPr="000F550F">
          <w:rPr>
            <w:rFonts w:asciiTheme="minorHAnsi" w:eastAsiaTheme="minorEastAsia" w:hAnsiTheme="minorHAnsi" w:cstheme="minorBidi"/>
            <w:noProof/>
            <w:sz w:val="22"/>
            <w:szCs w:val="22"/>
            <w:lang w:val="es-ES_tradnl" w:eastAsia="zh-CN"/>
          </w:rPr>
          <w:tab/>
        </w:r>
        <w:r w:rsidR="00B17B1F" w:rsidRPr="000F550F">
          <w:rPr>
            <w:rStyle w:val="Hyperlink"/>
            <w:noProof/>
            <w:lang w:val="es-ES_tradnl"/>
          </w:rPr>
          <w:t>Determinación experimental de las corrientes de RF que circulan en el cableado eléctrico, de la perturbación de RF y de las características de antena equivalentes de una instalación PLT en el hogar</w:t>
        </w:r>
        <w:r w:rsidR="00B17B1F" w:rsidRPr="000F550F">
          <w:rPr>
            <w:noProof/>
            <w:webHidden/>
            <w:lang w:val="es-ES_tradnl"/>
          </w:rPr>
          <w:tab/>
        </w:r>
        <w:r w:rsidR="00B17B1F" w:rsidRPr="000F550F">
          <w:rPr>
            <w:noProof/>
            <w:webHidden/>
            <w:lang w:val="es-ES_tradnl"/>
          </w:rPr>
          <w:tab/>
        </w:r>
        <w:r w:rsidR="00B17B1F" w:rsidRPr="000F550F">
          <w:rPr>
            <w:noProof/>
            <w:webHidden/>
            <w:lang w:val="es-ES_tradnl"/>
          </w:rPr>
          <w:fldChar w:fldCharType="begin"/>
        </w:r>
        <w:r w:rsidR="00B17B1F" w:rsidRPr="000F550F">
          <w:rPr>
            <w:noProof/>
            <w:webHidden/>
            <w:lang w:val="es-ES_tradnl"/>
          </w:rPr>
          <w:instrText xml:space="preserve"> PAGEREF _Toc391562224 \h </w:instrText>
        </w:r>
        <w:r w:rsidR="00B17B1F" w:rsidRPr="000F550F">
          <w:rPr>
            <w:noProof/>
            <w:webHidden/>
            <w:lang w:val="es-ES_tradnl"/>
          </w:rPr>
        </w:r>
        <w:r w:rsidR="00B17B1F" w:rsidRPr="000F550F">
          <w:rPr>
            <w:noProof/>
            <w:webHidden/>
            <w:lang w:val="es-ES_tradnl"/>
          </w:rPr>
          <w:fldChar w:fldCharType="separate"/>
        </w:r>
        <w:r>
          <w:rPr>
            <w:noProof/>
            <w:webHidden/>
            <w:lang w:val="es-ES_tradnl"/>
          </w:rPr>
          <w:t>17</w:t>
        </w:r>
        <w:r w:rsidR="00B17B1F" w:rsidRPr="000F550F">
          <w:rPr>
            <w:noProof/>
            <w:webHidden/>
            <w:lang w:val="es-ES_tradnl"/>
          </w:rPr>
          <w:fldChar w:fldCharType="end"/>
        </w:r>
      </w:hyperlink>
    </w:p>
    <w:p w:rsidR="00B17B1F" w:rsidRDefault="00B17B1F" w:rsidP="00DF0026">
      <w:pPr>
        <w:rPr>
          <w:lang w:val="es-ES_tradnl" w:eastAsia="zh-CN"/>
        </w:rPr>
      </w:pPr>
      <w:r w:rsidRPr="000F550F">
        <w:rPr>
          <w:lang w:val="es-ES_tradnl" w:eastAsia="zh-CN"/>
        </w:rPr>
        <w:fldChar w:fldCharType="end"/>
      </w:r>
    </w:p>
    <w:p w:rsidR="00B17B1F" w:rsidRPr="000F550F" w:rsidRDefault="00B17B1F" w:rsidP="00B17B1F">
      <w:pPr>
        <w:pStyle w:val="Heading1"/>
        <w:rPr>
          <w:lang w:val="es-ES_tradnl"/>
        </w:rPr>
      </w:pPr>
      <w:bookmarkStart w:id="2" w:name="_Toc391562221"/>
      <w:r w:rsidRPr="000F550F">
        <w:rPr>
          <w:lang w:val="es-ES_tradnl"/>
        </w:rPr>
        <w:t>1</w:t>
      </w:r>
      <w:r w:rsidRPr="000F550F">
        <w:rPr>
          <w:lang w:val="es-ES_tradnl"/>
        </w:rPr>
        <w:tab/>
        <w:t>Introducción</w:t>
      </w:r>
      <w:bookmarkEnd w:id="2"/>
    </w:p>
    <w:p w:rsidR="00B17B1F" w:rsidRPr="000F550F" w:rsidRDefault="00B17B1F" w:rsidP="00B17B1F">
      <w:pPr>
        <w:rPr>
          <w:lang w:val="es-ES_tradnl"/>
        </w:rPr>
      </w:pPr>
      <w:r w:rsidRPr="000F550F">
        <w:rPr>
          <w:lang w:val="es-ES_tradnl"/>
        </w:rPr>
        <w:t>Un elemento fundamental en los estudios sobre la influencia de las telecomunicaciones por líneas eléctricas (PLT) por encima de 80 MHz es la elaboración de métodos para evaluar la cantidad radiada de energía de RF inyectada en los cables eléctricos por los módems PLT. Estas herramientas proporcionan las bases para:</w:t>
      </w:r>
    </w:p>
    <w:p w:rsidR="00B17B1F" w:rsidRPr="000F550F" w:rsidRDefault="00B17B1F" w:rsidP="00B17B1F">
      <w:pPr>
        <w:pStyle w:val="enumlev1"/>
        <w:rPr>
          <w:lang w:val="es-ES_tradnl"/>
        </w:rPr>
      </w:pPr>
      <w:r w:rsidRPr="000F550F">
        <w:rPr>
          <w:lang w:val="es-ES_tradnl"/>
        </w:rPr>
        <w:t>–</w:t>
      </w:r>
      <w:r w:rsidRPr="000F550F">
        <w:rPr>
          <w:lang w:val="es-ES_tradnl"/>
        </w:rPr>
        <w:tab/>
        <w:t>determinar el cumplimiento de los límites de la compatibilidad electromagnética (CEM) en las emisiones radiadas;</w:t>
      </w:r>
    </w:p>
    <w:p w:rsidR="00B17B1F" w:rsidRPr="000F550F" w:rsidRDefault="00B17B1F" w:rsidP="00B17B1F">
      <w:pPr>
        <w:pStyle w:val="enumlev1"/>
        <w:rPr>
          <w:lang w:val="es-ES_tradnl"/>
        </w:rPr>
      </w:pPr>
      <w:r w:rsidRPr="000F550F">
        <w:rPr>
          <w:lang w:val="es-ES_tradnl"/>
        </w:rPr>
        <w:t>–</w:t>
      </w:r>
      <w:r w:rsidRPr="000F550F">
        <w:rPr>
          <w:lang w:val="es-ES_tradnl"/>
        </w:rPr>
        <w:tab/>
        <w:t>calcular el incremento resultante del ruido de fondo; y</w:t>
      </w:r>
    </w:p>
    <w:p w:rsidR="00B17B1F" w:rsidRPr="000F550F" w:rsidRDefault="00B17B1F" w:rsidP="00B17B1F">
      <w:pPr>
        <w:pStyle w:val="enumlev1"/>
        <w:rPr>
          <w:lang w:val="es-ES_tradnl"/>
        </w:rPr>
      </w:pPr>
      <w:r w:rsidRPr="000F550F">
        <w:rPr>
          <w:lang w:val="es-ES_tradnl"/>
        </w:rPr>
        <w:t>–</w:t>
      </w:r>
      <w:r w:rsidRPr="000F550F">
        <w:rPr>
          <w:lang w:val="es-ES_tradnl"/>
        </w:rPr>
        <w:tab/>
        <w:t>evaluar la posibilidad de causar interferencia a los servicios de radiocomunicaciones.</w:t>
      </w:r>
    </w:p>
    <w:p w:rsidR="00B17B1F" w:rsidRPr="000F550F" w:rsidRDefault="00B17B1F" w:rsidP="00B17B1F">
      <w:pPr>
        <w:rPr>
          <w:lang w:val="es-ES_tradnl"/>
        </w:rPr>
      </w:pPr>
      <w:r w:rsidRPr="000F550F">
        <w:rPr>
          <w:lang w:val="es-ES_tradnl"/>
        </w:rPr>
        <w:t>Si se demuestra que es posible relacionar las emisiones radiadas procedentes de instalaciones PLT con cantidades directamente mensurables de la potencia de salida total y la densidad espectral de potencia (DEP) del módem, la tarea de proporcionar directrices sobre la instalación de PLT mediante Recomendaciones UIT-R y UIT-T resulta más sencilla. La familia de Recomendaciones G.9960 del UIT-T incorpora una herramienta que permite a los reguladores nacionales adaptar la máscara de espectro de la densidad espectral de potencia (DEP) y la potencia de salida total de conformidad con las condiciones del mercado local. Actualmente no se dispone de un medio para relacionar los límites de niveles inaceptables del ruido de radiofrecuencia y de interferencia causada a los servicios de radiocomunicaciones con la potencia inyectada y la densidad espectral de los módems PLT.</w:t>
      </w:r>
    </w:p>
    <w:p w:rsidR="00B17B1F" w:rsidRPr="000F550F" w:rsidRDefault="00B17B1F" w:rsidP="00DF0026">
      <w:pPr>
        <w:rPr>
          <w:lang w:val="es-ES_tradnl"/>
        </w:rPr>
      </w:pPr>
      <w:r w:rsidRPr="000F550F">
        <w:rPr>
          <w:lang w:val="es-ES_tradnl"/>
        </w:rPr>
        <w:t>Con objeto de utilizar el nivel de DEP como referencia a fin de evaluar y controlar las emisiones radiadas por las instalaciones PLT, se necesita algún método para determinar las pérdidas de acoplamiento representativas en las instalaciones PLT típicas. Ello permitiría entonces relacionar directamente la cantidad de radiación de las instalaciones PLT típicas con la potencia de salida total y la DEP del módem.</w:t>
      </w:r>
    </w:p>
    <w:p w:rsidR="00B17B1F" w:rsidRPr="000F550F" w:rsidRDefault="00B17B1F" w:rsidP="00B17B1F">
      <w:pPr>
        <w:rPr>
          <w:lang w:val="es-ES_tradnl"/>
        </w:rPr>
      </w:pPr>
      <w:r w:rsidRPr="000F550F">
        <w:rPr>
          <w:lang w:val="es-ES_tradnl"/>
        </w:rPr>
        <w:lastRenderedPageBreak/>
        <w:t>El Informe UIT-R SM.2158 contiene los resultados de varios estudios del UIT-R que presentan las técnicas y los esfuerzos desplegados para llevar a cabo mediciones de la repercusión de la radiación precedente de los sistema PLT en los sistemas de radiocomunicaciones que funcionan por debajo de 80</w:t>
      </w:r>
      <w:r w:rsidR="00DF0026">
        <w:rPr>
          <w:lang w:val="es-ES_tradnl"/>
        </w:rPr>
        <w:t> </w:t>
      </w:r>
      <w:r w:rsidRPr="000F550F">
        <w:rPr>
          <w:lang w:val="es-ES_tradnl"/>
        </w:rPr>
        <w:t>MHz. Los siguientes estudios contenidos en los Apéndices del referido Informe UIT-R SM.2158 se refieren a la medición de la radiación PLT en las bandas de ondas decamétricas:</w:t>
      </w:r>
    </w:p>
    <w:p w:rsidR="00B17B1F" w:rsidRPr="000F550F" w:rsidRDefault="00B17B1F" w:rsidP="00B17B1F">
      <w:pPr>
        <w:pStyle w:val="enumlev1"/>
        <w:rPr>
          <w:lang w:val="es-ES_tradnl"/>
        </w:rPr>
      </w:pPr>
      <w:r w:rsidRPr="000F550F">
        <w:rPr>
          <w:lang w:val="es-ES_tradnl"/>
        </w:rPr>
        <w:t>–</w:t>
      </w:r>
      <w:r w:rsidRPr="000F550F">
        <w:rPr>
          <w:lang w:val="es-ES_tradnl"/>
        </w:rPr>
        <w:tab/>
        <w:t>Estudio A3.1 (Brasil) – Informe sobre las mediciones del campo eléctrico radiado procedente de un solo sistema PLT de acceso. Se llega a la conclusión de que la intensidad de campo interferente no debe rebasar el valor de 16 dB(μV/m) en el emplazamiento de recepción, que puede ser inferior al ruido de fondo ambiente, en vez del valor medido de 60 dB(μV/m).</w:t>
      </w:r>
    </w:p>
    <w:p w:rsidR="00B17B1F" w:rsidRPr="000F550F" w:rsidRDefault="00B17B1F" w:rsidP="00B17B1F">
      <w:pPr>
        <w:pStyle w:val="enumlev1"/>
        <w:rPr>
          <w:lang w:val="es-ES_tradnl"/>
        </w:rPr>
      </w:pPr>
      <w:r w:rsidRPr="000F550F">
        <w:rPr>
          <w:lang w:val="es-ES_tradnl"/>
        </w:rPr>
        <w:t>–</w:t>
      </w:r>
      <w:r w:rsidRPr="000F550F">
        <w:rPr>
          <w:lang w:val="es-ES_tradnl"/>
        </w:rPr>
        <w:tab/>
        <w:t>Estudio A3.2 (NABA/CRC) – Informe sobre mediciones del campo eléctrico radiado desde los locales del sistema PLT. Muestra que las señales PLT se reciben con un nivel de 50</w:t>
      </w:r>
      <w:r w:rsidRPr="000F550F">
        <w:rPr>
          <w:lang w:val="es-ES_tradnl"/>
        </w:rPr>
        <w:noBreakHyphen/>
        <w:t>60 dB(μV/m) a una distancia de 3 a 10 m.</w:t>
      </w:r>
    </w:p>
    <w:p w:rsidR="00B17B1F" w:rsidRPr="000F550F" w:rsidRDefault="00B17B1F" w:rsidP="00B17B1F">
      <w:pPr>
        <w:pStyle w:val="enumlev1"/>
        <w:rPr>
          <w:lang w:val="es-ES_tradnl"/>
        </w:rPr>
      </w:pPr>
      <w:r w:rsidRPr="000F550F">
        <w:rPr>
          <w:lang w:val="es-ES_tradnl"/>
        </w:rPr>
        <w:t>–</w:t>
      </w:r>
      <w:r w:rsidRPr="000F550F">
        <w:rPr>
          <w:lang w:val="es-ES_tradnl"/>
        </w:rPr>
        <w:tab/>
        <w:t>Estudio A3.5.3 (IUCAF) – Informe sobre las mediciones del campo eléctrico radiado por un sistema PLT en una casa aislada. Demuestra que las señales PLT se reciben con un nivel en torno a 50 dB(μV/m)a una distancia de 10 m.</w:t>
      </w:r>
    </w:p>
    <w:p w:rsidR="00B17B1F" w:rsidRPr="000F550F" w:rsidRDefault="00B17B1F" w:rsidP="00B17B1F">
      <w:pPr>
        <w:rPr>
          <w:lang w:val="es-ES_tradnl"/>
        </w:rPr>
      </w:pPr>
      <w:r w:rsidRPr="000F550F">
        <w:rPr>
          <w:lang w:val="es-ES_tradnl"/>
        </w:rPr>
        <w:t>Este Informe agrupa estudios que apoyan la idea de establecer una metodología para relacionar las emisiones radiadas por instalaciones PLT con la densidad espectral y la potencia de salida del módem.</w:t>
      </w:r>
    </w:p>
    <w:p w:rsidR="00B17B1F" w:rsidRPr="000F550F" w:rsidRDefault="00B17B1F" w:rsidP="00B17B1F">
      <w:pPr>
        <w:pStyle w:val="Heading1"/>
        <w:rPr>
          <w:lang w:val="es-ES_tradnl"/>
        </w:rPr>
      </w:pPr>
      <w:bookmarkStart w:id="3" w:name="_Toc391562222"/>
      <w:r w:rsidRPr="000F550F">
        <w:rPr>
          <w:lang w:val="es-ES_tradnl"/>
        </w:rPr>
        <w:t>2</w:t>
      </w:r>
      <w:r w:rsidRPr="000F550F">
        <w:rPr>
          <w:lang w:val="es-ES_tradnl"/>
        </w:rPr>
        <w:tab/>
        <w:t>Metodología de las pérdidas de acoplamiento</w:t>
      </w:r>
      <w:bookmarkEnd w:id="3"/>
    </w:p>
    <w:p w:rsidR="00B17B1F" w:rsidRPr="000F550F" w:rsidRDefault="00B17B1F" w:rsidP="00B17B1F">
      <w:pPr>
        <w:rPr>
          <w:lang w:val="es-ES_tradnl"/>
        </w:rPr>
      </w:pPr>
      <w:r w:rsidRPr="000F550F">
        <w:rPr>
          <w:lang w:val="es-ES_tradnl"/>
        </w:rPr>
        <w:t>Este estudio realizado por Norddeutscher Rundfunk (NDR) y Zweites Deutsches Fernsehen (ZDF) tiene por objeto evaluar las emisiones radiadas por instalaciones PLT considerando las pérdidas de acoplamiento que intervienen. La intención es elaborar un método en el que pueda determinarse una cifra para las pérdidas de acoplamiento totales en una situación típica con objeto de ampliar la técnica a una gama de situaciones representativas.</w:t>
      </w:r>
    </w:p>
    <w:p w:rsidR="00B17B1F" w:rsidRPr="000F550F" w:rsidRDefault="00B17B1F" w:rsidP="00B17B1F">
      <w:pPr>
        <w:rPr>
          <w:lang w:val="es-ES_tradnl"/>
        </w:rPr>
      </w:pPr>
      <w:r w:rsidRPr="000F550F">
        <w:rPr>
          <w:lang w:val="es-ES_tradnl"/>
        </w:rPr>
        <w:t>Este estudio es un seguimiento de las mediciones de la interferencia indicadas en el §</w:t>
      </w:r>
      <w:r w:rsidR="00381EDA">
        <w:rPr>
          <w:lang w:val="es-ES_tradnl"/>
        </w:rPr>
        <w:t> </w:t>
      </w:r>
      <w:r w:rsidRPr="000F550F">
        <w:rPr>
          <w:lang w:val="es-ES_tradnl"/>
        </w:rPr>
        <w:t>3.2.1 a fin de explorar la manera de simplificar la evaluación de las emisiones radiadas por las instalaciones PLT. Hay muchas etapas para determinación cómo un receptor considera la radiación de los sistemas PLT: como ruido adicional o como interferencia. Desafortunadamente, ninguna de estas etapas es fácilmente modelizable o mensurable. La cantidad que puede medirse repetidamente y con certeza es la DEP inyectada por un módem PLT a los cables eléctricos.</w:t>
      </w:r>
    </w:p>
    <w:p w:rsidR="00B17B1F" w:rsidRPr="000F550F" w:rsidRDefault="00B17B1F" w:rsidP="00B17B1F">
      <w:pPr>
        <w:rPr>
          <w:lang w:val="es-ES_tradnl"/>
        </w:rPr>
      </w:pPr>
      <w:r w:rsidRPr="000F550F">
        <w:rPr>
          <w:lang w:val="es-ES_tradnl"/>
        </w:rPr>
        <w:t>La tarea de las administraciones, los reguladores y las organizaciones de normalización sería más sencilla si el nivel de DEP inyectado pudiese utilizarse como referencia al establecer los límites para los niveles inaceptables de ruido e interferencia. Ello requeriría contar con un método para evaluar las pérdidas de acoplamiento representativas en instalaciones PLT típicas, lo que permitiría vincular directamente la DEP del módem y la potencia total de salida con el volumen de radiación procedente de una instalación PLT típica.</w:t>
      </w:r>
    </w:p>
    <w:p w:rsidR="00B17B1F" w:rsidRPr="000F550F" w:rsidRDefault="00B17B1F" w:rsidP="00B16FB9">
      <w:pPr>
        <w:rPr>
          <w:lang w:val="es-ES_tradnl"/>
        </w:rPr>
      </w:pPr>
      <w:r w:rsidRPr="000F550F">
        <w:rPr>
          <w:lang w:val="es-ES_tradnl"/>
        </w:rPr>
        <w:t xml:space="preserve">El objetivo del estudio de NDR/ZDF era crear un modelo de pérdidas de acoplamiento a lo largo de la cadena desde la energía de </w:t>
      </w:r>
      <w:r w:rsidR="001E4C71" w:rsidRPr="000F550F">
        <w:rPr>
          <w:lang w:val="es-ES_tradnl"/>
        </w:rPr>
        <w:t xml:space="preserve">RF </w:t>
      </w:r>
      <w:r w:rsidRPr="000F550F">
        <w:rPr>
          <w:lang w:val="es-ES_tradnl"/>
        </w:rPr>
        <w:t>inyectada al cableado de la red, a continuación a la fracción radiada y por último a la fracción recibida en el edificio. Si pueden combinarse en unas pérdidas de acoplamiento totales representativas, la posible interferencia procedente de dispositivos PLT puede evaluarse conociendo su potencia de salida total y las características de la DEP.</w:t>
      </w:r>
    </w:p>
    <w:p w:rsidR="00B17B1F" w:rsidRPr="000F550F" w:rsidRDefault="00B17B1F" w:rsidP="00B17B1F">
      <w:pPr>
        <w:rPr>
          <w:lang w:val="es-ES_tradnl"/>
        </w:rPr>
      </w:pPr>
      <w:r w:rsidRPr="000F550F">
        <w:rPr>
          <w:lang w:val="es-ES_tradnl"/>
        </w:rPr>
        <w:t>A fin de fijar unas bases repetibles para crear un modelo, este estudio hace uso de un modulador DVB-T para establecer una señal de RF de banda ancha con características espectrales conocidas.</w:t>
      </w:r>
    </w:p>
    <w:p w:rsidR="00B17B1F" w:rsidRPr="000F550F" w:rsidRDefault="00B17B1F" w:rsidP="00B17B1F">
      <w:pPr>
        <w:pStyle w:val="Heading2"/>
        <w:rPr>
          <w:lang w:val="es-ES_tradnl"/>
        </w:rPr>
      </w:pPr>
      <w:r w:rsidRPr="000F550F">
        <w:rPr>
          <w:lang w:val="es-ES_tradnl"/>
        </w:rPr>
        <w:lastRenderedPageBreak/>
        <w:t>2.1</w:t>
      </w:r>
      <w:r w:rsidRPr="000F550F">
        <w:rPr>
          <w:lang w:val="es-ES_tradnl"/>
        </w:rPr>
        <w:tab/>
        <w:t>Filosofía de medición</w:t>
      </w:r>
    </w:p>
    <w:p w:rsidR="00B17B1F" w:rsidRPr="000F550F" w:rsidRDefault="00B17B1F" w:rsidP="00B17B1F">
      <w:pPr>
        <w:rPr>
          <w:lang w:val="es-ES_tradnl"/>
        </w:rPr>
      </w:pPr>
      <w:r w:rsidRPr="000F550F">
        <w:rPr>
          <w:lang w:val="es-ES_tradnl"/>
        </w:rPr>
        <w:t>Es difícil medir el nivel de las emisiones radiadas por una instalación PLT utilizando antenas porque la potencia inyectada por los módems PLT a las líneas de alimentación de energía eléctrica varía con el tiempo. En el modo inactivo, sólo hay presentes algunos picos de señal. La máxima potencia únicamente se transmite durante la transferencia de datos, que no suele ser regular.</w:t>
      </w:r>
    </w:p>
    <w:p w:rsidR="00B17B1F" w:rsidRPr="000F550F" w:rsidRDefault="00B17B1F" w:rsidP="00B17B1F">
      <w:pPr>
        <w:rPr>
          <w:lang w:val="es-ES_tradnl"/>
        </w:rPr>
      </w:pPr>
      <w:r w:rsidRPr="000F550F">
        <w:rPr>
          <w:lang w:val="es-ES_tradnl"/>
        </w:rPr>
        <w:t>El fabricante del dispositivo conoce la potencia de salida del módem PLT. Puede calcularse el nivel de potencia de interferencia a la salida de una antena de recepción definida si se conocen las pérdidas de acoplamiento entre el módem PLT conectado al enchufe de la red y la salida de antena. Las pérdidas de acoplamiento también pueden utilizarse para calcular la máxima potencia de salida del módem PLT o DEP permitidas, si se conoce el máximo nivel de interferencia a la entrada del receptor.</w:t>
      </w:r>
    </w:p>
    <w:p w:rsidR="00B17B1F" w:rsidRPr="000F550F" w:rsidRDefault="00B17B1F" w:rsidP="00B17B1F">
      <w:pPr>
        <w:rPr>
          <w:lang w:val="es-ES_tradnl"/>
        </w:rPr>
      </w:pPr>
      <w:r w:rsidRPr="000F550F">
        <w:rPr>
          <w:lang w:val="es-ES_tradnl"/>
        </w:rPr>
        <w:t>La realización de unas mediciones adecuadas de las pérdidas de acoplamiento lleva mucho tiempo porque deben considerarse diferentes tipos de edificios, de cableados eléctricos, de posiciones de la antena, etc. Un método más eficaz consiste en crear modelos de distintos tipos de edificios con diversos cableados de línea eléctricas, conectar un módem PLT a la línea de alimentación de energía eléctrica en diferentes emplazamientos y hacer uso de las herramientas de cálculo de la radiación electromagnética para determinar las pérdidas de acoplamiento entre el módem PLT y el nivel de señal recibido de una antena en el edificio. La antena debe situarse en muchos emplazamientos y posiciones distintos. Puede calcularse un gran número de valores de pérdidas de acoplamiento para diferentes modelos de cableado y diversas hipótesis, estableciendo así un buen enfoque estadístico. Los valores pueden verificarse mediante algunas mediciones de ejemplo.</w:t>
      </w:r>
    </w:p>
    <w:p w:rsidR="00B17B1F" w:rsidRPr="000F550F" w:rsidRDefault="00B17B1F" w:rsidP="00B17B1F">
      <w:pPr>
        <w:rPr>
          <w:lang w:val="es-ES_tradnl"/>
        </w:rPr>
      </w:pPr>
      <w:r w:rsidRPr="000F550F">
        <w:rPr>
          <w:lang w:val="es-ES_tradnl"/>
        </w:rPr>
        <w:t>Para encontrar algunos valores experimentales de pérdidas de acoplamiento en la banda de frecuencias de ondas métricas, el IRT</w:t>
      </w:r>
      <w:r w:rsidRPr="000F550F">
        <w:rPr>
          <w:rStyle w:val="FootnoteReference"/>
          <w:lang w:val="es-ES_tradnl"/>
        </w:rPr>
        <w:footnoteReference w:id="1"/>
      </w:r>
      <w:r w:rsidRPr="000F550F">
        <w:rPr>
          <w:lang w:val="es-ES_tradnl"/>
        </w:rPr>
        <w:t xml:space="preserve"> realizó mediciones en un laboratorio y en una casa adosada típica situada en una zona rural de Alemania.</w:t>
      </w:r>
    </w:p>
    <w:p w:rsidR="00B17B1F" w:rsidRPr="000F550F" w:rsidRDefault="00B17B1F" w:rsidP="00B17B1F">
      <w:pPr>
        <w:pStyle w:val="Heading2"/>
        <w:rPr>
          <w:lang w:val="es-ES_tradnl"/>
        </w:rPr>
      </w:pPr>
      <w:r w:rsidRPr="000F550F">
        <w:rPr>
          <w:lang w:val="es-ES_tradnl"/>
        </w:rPr>
        <w:t>2.2</w:t>
      </w:r>
      <w:r w:rsidRPr="000F550F">
        <w:rPr>
          <w:lang w:val="es-ES_tradnl"/>
        </w:rPr>
        <w:tab/>
        <w:t>Montaje de medición</w:t>
      </w:r>
    </w:p>
    <w:p w:rsidR="00B17B1F" w:rsidRPr="000F550F" w:rsidRDefault="00B17B1F" w:rsidP="00B17B1F">
      <w:pPr>
        <w:rPr>
          <w:lang w:val="es-ES_tradnl"/>
        </w:rPr>
      </w:pPr>
      <w:r w:rsidRPr="000F550F">
        <w:rPr>
          <w:lang w:val="es-ES_tradnl"/>
        </w:rPr>
        <w:t>Las primeras mediciones de las pérdidas de acoplamiento se realizaron en el laboratorio IRT como primera aproximación. Sin embargo, un laboratorio no es un emplazamiento típico de recepción de radiodifusión. Las mediciones realistas de las pérdidas de acoplamiento se llevaron a cabo en una casa adosada típica situada en una región rural de Alemania. La casa está fabricada con ladrillos, tiene una planta baja y dos pisos con suelos y techos de cemento (véase la Fig. 1).</w:t>
      </w:r>
    </w:p>
    <w:p w:rsidR="00B17B1F" w:rsidRPr="000F550F" w:rsidRDefault="00B17B1F" w:rsidP="00B17B1F">
      <w:pPr>
        <w:pStyle w:val="FigureNo"/>
        <w:rPr>
          <w:lang w:val="es-ES_tradnl"/>
        </w:rPr>
      </w:pPr>
      <w:r w:rsidRPr="000F550F">
        <w:rPr>
          <w:lang w:val="es-ES_tradnl"/>
        </w:rPr>
        <w:lastRenderedPageBreak/>
        <w:t>figurA 1</w:t>
      </w:r>
    </w:p>
    <w:p w:rsidR="00B17B1F" w:rsidRPr="000F550F" w:rsidRDefault="00B17B1F" w:rsidP="00B16FB9">
      <w:pPr>
        <w:pStyle w:val="Figuretitle"/>
        <w:rPr>
          <w:lang w:val="es-ES_tradnl"/>
        </w:rPr>
      </w:pPr>
      <w:r w:rsidRPr="000F550F">
        <w:rPr>
          <w:lang w:val="es-ES_tradnl"/>
        </w:rPr>
        <w:t xml:space="preserve">Casa adosada (en el centro) donde se midieron las pérdidas de acoplamiento </w:t>
      </w:r>
      <w:r w:rsidRPr="000F550F">
        <w:rPr>
          <w:lang w:val="es-ES_tradnl"/>
        </w:rPr>
        <w:br/>
        <w:t>entre el módem PLT y la antena dipolo</w:t>
      </w:r>
    </w:p>
    <w:p w:rsidR="00B17B1F" w:rsidRPr="005F4508" w:rsidRDefault="005F4508" w:rsidP="00B17B1F">
      <w:pPr>
        <w:pStyle w:val="Figure"/>
        <w:rPr>
          <w:lang w:val="fr-CH"/>
        </w:rPr>
      </w:pPr>
      <w:r>
        <w:rPr>
          <w:noProof/>
          <w:lang w:val="en-US"/>
        </w:rPr>
        <w:object w:dxaOrig="3200" w:dyaOrig="2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219.75pt" o:ole="">
            <v:imagedata r:id="rId14" o:title=""/>
          </v:shape>
          <o:OLEObject Type="Embed" ProgID="CorelDRAW.Graphic.14" ShapeID="_x0000_i1025" DrawAspect="Content" ObjectID="_1469000264" r:id="rId15"/>
        </w:object>
      </w:r>
    </w:p>
    <w:p w:rsidR="00B17B1F" w:rsidRPr="005F4508" w:rsidRDefault="00B17B1F" w:rsidP="00B16FB9">
      <w:pPr>
        <w:rPr>
          <w:lang w:val="fr-CH"/>
        </w:rPr>
      </w:pPr>
    </w:p>
    <w:p w:rsidR="00B17B1F" w:rsidRPr="000F550F" w:rsidRDefault="00B17B1F" w:rsidP="00B17B1F">
      <w:pPr>
        <w:rPr>
          <w:lang w:val="es-ES_tradnl"/>
        </w:rPr>
      </w:pPr>
      <w:r w:rsidRPr="000F550F">
        <w:rPr>
          <w:lang w:val="es-ES_tradnl"/>
        </w:rPr>
        <w:t>Para medir la potencia de interferencia radiada y recibida, debe inyectarse una señal estable de nivel conocido en las líneas de energía eléctrica. La salida directa del módem PLT no es adecuada porque es inestable. Como los sistemas PLT hacen uso de señales CODFM para la transmisión de datos, se empleó una señal similar para las mediciones, una señal DVB-T. Un generador de señal SFQ de Rohde &amp; Schwarz (R&amp;S) introdujo una señal DVB-T con una anchura de banda de 7</w:t>
      </w:r>
      <w:r w:rsidR="004A6EE2">
        <w:rPr>
          <w:lang w:val="es-ES_tradnl"/>
        </w:rPr>
        <w:t> </w:t>
      </w:r>
      <w:r w:rsidRPr="000F550F">
        <w:rPr>
          <w:lang w:val="es-ES_tradnl"/>
        </w:rPr>
        <w:t>MHz a una frecuencia de 198,5 MHz en la red eléctrica de la casa (véase la Fig. 2).</w:t>
      </w:r>
    </w:p>
    <w:p w:rsidR="00B17B1F" w:rsidRPr="000F550F" w:rsidRDefault="00B17B1F" w:rsidP="00B17B1F">
      <w:pPr>
        <w:rPr>
          <w:lang w:val="es-ES_tradnl"/>
        </w:rPr>
      </w:pPr>
    </w:p>
    <w:p w:rsidR="00B17B1F" w:rsidRPr="000F550F" w:rsidRDefault="00B17B1F" w:rsidP="00B17B1F">
      <w:pPr>
        <w:pStyle w:val="FigureNo"/>
        <w:rPr>
          <w:lang w:val="es-ES_tradnl"/>
        </w:rPr>
      </w:pPr>
      <w:r w:rsidRPr="000F550F">
        <w:rPr>
          <w:lang w:val="es-ES_tradnl"/>
        </w:rPr>
        <w:t>FIGURA 2</w:t>
      </w:r>
    </w:p>
    <w:p w:rsidR="00B17B1F" w:rsidRPr="000F550F" w:rsidRDefault="00B17B1F" w:rsidP="00B17B1F">
      <w:pPr>
        <w:pStyle w:val="Figuretitle"/>
        <w:rPr>
          <w:lang w:val="es-ES_tradnl"/>
        </w:rPr>
      </w:pPr>
      <w:r w:rsidRPr="000F550F">
        <w:rPr>
          <w:lang w:val="es-ES_tradnl"/>
        </w:rPr>
        <w:t>Generador de señal SFQ aplicando una señal DVB-T a la red eléctrica</w:t>
      </w:r>
    </w:p>
    <w:p w:rsidR="00B17B1F" w:rsidRPr="000F550F" w:rsidRDefault="005F4508" w:rsidP="00B17B1F">
      <w:pPr>
        <w:jc w:val="center"/>
        <w:rPr>
          <w:lang w:val="es-ES_tradnl"/>
        </w:rPr>
      </w:pPr>
      <w:r>
        <w:rPr>
          <w:noProof/>
          <w:lang w:val="en-US" w:eastAsia="zh-CN"/>
        </w:rPr>
        <w:object w:dxaOrig="3240" w:dyaOrig="2603">
          <v:shape id="_x0000_i1026" type="#_x0000_t75" style="width:274.5pt;height:220.5pt" o:ole="">
            <v:imagedata r:id="rId16" o:title=""/>
          </v:shape>
          <o:OLEObject Type="Embed" ProgID="CorelDRAW.Graphic.14" ShapeID="_x0000_i1026" DrawAspect="Content" ObjectID="_1469000265" r:id="rId17"/>
        </w:object>
      </w:r>
    </w:p>
    <w:p w:rsidR="00B17B1F" w:rsidRPr="000F550F" w:rsidRDefault="00B17B1F" w:rsidP="00B17B1F">
      <w:pPr>
        <w:rPr>
          <w:lang w:val="es-ES_tradnl"/>
        </w:rPr>
      </w:pPr>
    </w:p>
    <w:p w:rsidR="00B17B1F" w:rsidRPr="000F550F" w:rsidRDefault="00B17B1F" w:rsidP="00B17B1F">
      <w:pPr>
        <w:rPr>
          <w:lang w:val="es-ES_tradnl"/>
        </w:rPr>
      </w:pPr>
      <w:r w:rsidRPr="000F550F">
        <w:rPr>
          <w:lang w:val="es-ES_tradnl"/>
        </w:rPr>
        <w:lastRenderedPageBreak/>
        <w:t>La adaptación de la salida de generador de 50 Ohmios coaxial a las líneas de potencia simétricas y el aislamiento de 230 V se realizó mediante el circuito representado en la Fig. 3</w:t>
      </w:r>
    </w:p>
    <w:p w:rsidR="00B17B1F" w:rsidRDefault="00B17B1F" w:rsidP="00B17B1F">
      <w:pPr>
        <w:pStyle w:val="FigureNo"/>
        <w:rPr>
          <w:lang w:val="es-ES_tradnl"/>
        </w:rPr>
      </w:pPr>
      <w:r w:rsidRPr="000F550F">
        <w:rPr>
          <w:lang w:val="es-ES_tradnl"/>
        </w:rPr>
        <w:t>FIGURA 3</w:t>
      </w:r>
    </w:p>
    <w:p w:rsidR="00B16FB9" w:rsidRPr="00B16FB9" w:rsidRDefault="00B16FB9" w:rsidP="00B16FB9">
      <w:pPr>
        <w:pStyle w:val="Figuretitle"/>
        <w:rPr>
          <w:lang w:val="es-ES_tradnl"/>
        </w:rPr>
      </w:pPr>
      <w:r w:rsidRPr="000F550F">
        <w:rPr>
          <w:b w:val="0"/>
          <w:sz w:val="20"/>
          <w:lang w:val="es-ES_tradnl"/>
        </w:rPr>
        <w:t>Circuito de adaptación y aislamiento</w:t>
      </w:r>
    </w:p>
    <w:p w:rsidR="00B17B1F" w:rsidRDefault="00B16FB9" w:rsidP="00B16FB9">
      <w:pPr>
        <w:pStyle w:val="Figure"/>
        <w:rPr>
          <w:lang w:val="en-US"/>
        </w:rPr>
      </w:pPr>
      <w:r>
        <w:rPr>
          <w:lang w:val="en-US"/>
        </w:rPr>
        <w:object w:dxaOrig="3101" w:dyaOrig="1619">
          <v:shape id="_x0000_i1027" type="#_x0000_t75" style="width:263.25pt;height:138pt;mso-position-horizontal:absolute" o:ole="">
            <v:imagedata r:id="rId18" o:title=""/>
          </v:shape>
          <o:OLEObject Type="Embed" ProgID="CorelDRAW.Graphic.14" ShapeID="_x0000_i1027" DrawAspect="Content" ObjectID="_1469000266" r:id="rId19"/>
        </w:object>
      </w:r>
    </w:p>
    <w:p w:rsidR="00B17B1F" w:rsidRPr="000F550F" w:rsidRDefault="00B17B1F" w:rsidP="00B17B1F">
      <w:pPr>
        <w:rPr>
          <w:lang w:val="es-ES_tradnl"/>
        </w:rPr>
      </w:pPr>
      <w:r w:rsidRPr="000F550F">
        <w:rPr>
          <w:lang w:val="es-ES_tradnl"/>
        </w:rPr>
        <w:t>El circuito puede atenuar de forma significativa la señal del generador, si la impedancia de la línea es inferior a 1</w:t>
      </w:r>
      <w:r w:rsidR="00B3383F">
        <w:rPr>
          <w:lang w:val="es-ES_tradnl"/>
        </w:rPr>
        <w:t> </w:t>
      </w:r>
      <w:r w:rsidRPr="000F550F">
        <w:rPr>
          <w:lang w:val="es-ES_tradnl"/>
        </w:rPr>
        <w:t>000 ohmios (es decir, 3,5</w:t>
      </w:r>
      <w:r w:rsidR="00B3383F">
        <w:rPr>
          <w:lang w:val="es-ES_tradnl"/>
        </w:rPr>
        <w:t> </w:t>
      </w:r>
      <w:r w:rsidRPr="000F550F">
        <w:rPr>
          <w:lang w:val="es-ES_tradnl"/>
        </w:rPr>
        <w:t>dB a 100</w:t>
      </w:r>
      <w:r w:rsidR="00B3383F">
        <w:rPr>
          <w:lang w:val="es-ES_tradnl"/>
        </w:rPr>
        <w:t> </w:t>
      </w:r>
      <w:r w:rsidRPr="000F550F">
        <w:rPr>
          <w:lang w:val="es-ES_tradnl"/>
        </w:rPr>
        <w:t>ohmios). La impedancia de la línea depende de varios parámetros que no pueden controlarse. A efectos de los cálculos correspondientes se considera aquí que el circuito de adaptación atenúa en 3 dB la señal DVB-T.</w:t>
      </w:r>
    </w:p>
    <w:p w:rsidR="00B17B1F" w:rsidRPr="000F550F" w:rsidRDefault="00B17B1F" w:rsidP="00B17B1F">
      <w:pPr>
        <w:rPr>
          <w:lang w:val="es-ES_tradnl"/>
        </w:rPr>
      </w:pPr>
      <w:r w:rsidRPr="000F550F">
        <w:rPr>
          <w:lang w:val="es-ES_tradnl"/>
        </w:rPr>
        <w:t>Para la recepción de la señal se utilizó una antena de plano de tierra con polarización vertical, como muestra la Fig.</w:t>
      </w:r>
      <w:r w:rsidR="00B3383F">
        <w:rPr>
          <w:lang w:val="es-ES_tradnl"/>
        </w:rPr>
        <w:t> </w:t>
      </w:r>
      <w:r w:rsidRPr="000F550F">
        <w:rPr>
          <w:lang w:val="es-ES_tradnl"/>
        </w:rPr>
        <w:t>4. La antena se situó a 1,5 m sobre el nivel del suelo y se conectó a un analizador de espectro para medir la potencia de canal recibida. La ganancia de la antena de plano de tierra es de</w:t>
      </w:r>
      <w:r w:rsidR="002D20B4">
        <w:rPr>
          <w:lang w:val="es-ES_tradnl"/>
        </w:rPr>
        <w:t> </w:t>
      </w:r>
      <w:r w:rsidRPr="000F550F">
        <w:rPr>
          <w:lang w:val="es-ES_tradnl"/>
        </w:rPr>
        <w:t>0</w:t>
      </w:r>
      <w:r w:rsidR="00B16FB9">
        <w:rPr>
          <w:lang w:val="es-ES_tradnl"/>
        </w:rPr>
        <w:t> </w:t>
      </w:r>
      <w:r w:rsidRPr="000F550F">
        <w:rPr>
          <w:lang w:val="es-ES_tradnl"/>
        </w:rPr>
        <w:t>dB</w:t>
      </w:r>
      <w:r w:rsidR="0022685E" w:rsidRPr="0022685E">
        <w:rPr>
          <w:vertAlign w:val="subscript"/>
          <w:lang w:val="es-ES_tradnl"/>
        </w:rPr>
        <w:t>d</w:t>
      </w:r>
      <w:r w:rsidRPr="000F550F">
        <w:rPr>
          <w:lang w:val="es-ES_tradnl"/>
        </w:rPr>
        <w:t>, la misa que la del dipolo en</w:t>
      </w:r>
      <w:r w:rsidRPr="000F550F">
        <w:rPr>
          <w:rFonts w:cs="Calibri"/>
          <w:lang w:val="es-ES_tradnl"/>
        </w:rPr>
        <w:t xml:space="preserve"> λ</w:t>
      </w:r>
      <w:r w:rsidR="0022685E">
        <w:rPr>
          <w:rFonts w:cs="Calibri"/>
          <w:lang w:val="es-ES_tradnl"/>
        </w:rPr>
        <w:t>/</w:t>
      </w:r>
      <w:r w:rsidRPr="000F550F">
        <w:rPr>
          <w:lang w:val="es-ES_tradnl"/>
        </w:rPr>
        <w:t>2.</w:t>
      </w:r>
    </w:p>
    <w:p w:rsidR="00B17B1F" w:rsidRPr="000F550F" w:rsidRDefault="00B17B1F" w:rsidP="00B17B1F">
      <w:pPr>
        <w:pStyle w:val="FigureNo"/>
        <w:rPr>
          <w:lang w:val="es-ES_tradnl"/>
        </w:rPr>
      </w:pPr>
      <w:r w:rsidRPr="000F550F">
        <w:rPr>
          <w:lang w:val="es-ES_tradnl"/>
        </w:rPr>
        <w:t>FIGURA 4</w:t>
      </w:r>
    </w:p>
    <w:p w:rsidR="00B17B1F" w:rsidRPr="000F550F" w:rsidRDefault="00B17B1F" w:rsidP="00B17B1F">
      <w:pPr>
        <w:pStyle w:val="Figuretitle"/>
        <w:rPr>
          <w:lang w:val="es-ES_tradnl"/>
        </w:rPr>
      </w:pPr>
      <w:r w:rsidRPr="000F550F">
        <w:rPr>
          <w:lang w:val="es-ES_tradnl"/>
        </w:rPr>
        <w:t>Medición por antenas de plano de Tierra con polarización vertical</w:t>
      </w:r>
    </w:p>
    <w:p w:rsidR="00B17B1F" w:rsidRPr="000F550F" w:rsidRDefault="005F4508" w:rsidP="00B17B1F">
      <w:pPr>
        <w:jc w:val="center"/>
        <w:rPr>
          <w:lang w:val="es-ES_tradnl"/>
        </w:rPr>
      </w:pPr>
      <w:r>
        <w:rPr>
          <w:noProof/>
          <w:lang w:val="en-US" w:eastAsia="zh-CN"/>
        </w:rPr>
        <w:object w:dxaOrig="3216" w:dyaOrig="2617">
          <v:shape id="_x0000_i1028" type="#_x0000_t75" style="width:272.65pt;height:220.9pt" o:ole="">
            <v:imagedata r:id="rId20" o:title=""/>
          </v:shape>
          <o:OLEObject Type="Embed" ProgID="CorelDRAW.Graphic.14" ShapeID="_x0000_i1028" DrawAspect="Content" ObjectID="_1469000267" r:id="rId21"/>
        </w:object>
      </w:r>
    </w:p>
    <w:p w:rsidR="00B17B1F" w:rsidRPr="000F550F" w:rsidRDefault="00B17B1F" w:rsidP="00B17B1F">
      <w:pPr>
        <w:rPr>
          <w:lang w:val="es-ES_tradnl"/>
        </w:rPr>
      </w:pPr>
      <w:r w:rsidRPr="000F550F">
        <w:rPr>
          <w:lang w:val="es-ES_tradnl"/>
        </w:rPr>
        <w:t xml:space="preserve">El analizador de espectro utilizado fue un ETL de R&amp;S, que puede medir la potencia en una anchura de banda determinada. Para calibrar el montaje de medición, se fijó el generador de señal SFQ a un nivel de potencia de </w:t>
      </w:r>
      <w:r w:rsidR="005F4508" w:rsidRPr="005F4508">
        <w:rPr>
          <w:lang w:val="es-ES_tradnl"/>
        </w:rPr>
        <w:t>–</w:t>
      </w:r>
      <w:r w:rsidRPr="000F550F">
        <w:rPr>
          <w:lang w:val="es-ES_tradnl"/>
        </w:rPr>
        <w:t>50</w:t>
      </w:r>
      <w:r w:rsidR="0075247D">
        <w:rPr>
          <w:lang w:val="es-ES_tradnl"/>
        </w:rPr>
        <w:t> </w:t>
      </w:r>
      <w:r w:rsidRPr="000F550F">
        <w:rPr>
          <w:lang w:val="es-ES_tradnl"/>
        </w:rPr>
        <w:t>dBm y se conectó directamente al ETL fijado a una anchura de banda de canal de 7</w:t>
      </w:r>
      <w:r w:rsidR="0075247D">
        <w:rPr>
          <w:lang w:val="es-ES_tradnl"/>
        </w:rPr>
        <w:t> </w:t>
      </w:r>
      <w:r w:rsidRPr="000F550F">
        <w:rPr>
          <w:lang w:val="es-ES_tradnl"/>
        </w:rPr>
        <w:t>MHz, que realizó las mediciones. El espectro medido aparece en la Fig.</w:t>
      </w:r>
      <w:r w:rsidR="0022685E">
        <w:rPr>
          <w:lang w:val="es-ES_tradnl"/>
        </w:rPr>
        <w:t> </w:t>
      </w:r>
      <w:r w:rsidRPr="000F550F">
        <w:rPr>
          <w:lang w:val="es-ES_tradnl"/>
        </w:rPr>
        <w:t xml:space="preserve">5; la potencia de canal medida fue de </w:t>
      </w:r>
      <w:r w:rsidR="005F4508" w:rsidRPr="005F4508">
        <w:rPr>
          <w:lang w:val="es-ES_tradnl"/>
        </w:rPr>
        <w:t>–</w:t>
      </w:r>
      <w:r w:rsidRPr="000F550F">
        <w:rPr>
          <w:lang w:val="es-ES_tradnl"/>
        </w:rPr>
        <w:t>49,27</w:t>
      </w:r>
      <w:r w:rsidR="0075247D">
        <w:rPr>
          <w:lang w:val="es-ES_tradnl"/>
        </w:rPr>
        <w:t> </w:t>
      </w:r>
      <w:r w:rsidRPr="000F550F">
        <w:rPr>
          <w:lang w:val="es-ES_tradnl"/>
        </w:rPr>
        <w:t>dBm. Ello significa que el error de medición fue inferior a 1</w:t>
      </w:r>
      <w:r w:rsidR="0075247D">
        <w:rPr>
          <w:lang w:val="es-ES_tradnl"/>
        </w:rPr>
        <w:t> </w:t>
      </w:r>
      <w:r w:rsidRPr="000F550F">
        <w:rPr>
          <w:lang w:val="es-ES_tradnl"/>
        </w:rPr>
        <w:t>dB.</w:t>
      </w:r>
    </w:p>
    <w:p w:rsidR="00B17B1F" w:rsidRPr="000F550F" w:rsidRDefault="00B17B1F" w:rsidP="00B17B1F">
      <w:pPr>
        <w:rPr>
          <w:lang w:val="es-ES_tradnl"/>
        </w:rPr>
      </w:pPr>
      <w:r w:rsidRPr="000F550F">
        <w:rPr>
          <w:lang w:val="es-ES_tradnl"/>
        </w:rPr>
        <w:lastRenderedPageBreak/>
        <w:t>Los ajustes del analizador de espectro permanecieron inalterables para la realización de las siguientes mediciones.</w:t>
      </w:r>
    </w:p>
    <w:p w:rsidR="00B17B1F" w:rsidRPr="000F550F" w:rsidRDefault="00B17B1F" w:rsidP="00B17B1F">
      <w:pPr>
        <w:pStyle w:val="FigureNo"/>
        <w:rPr>
          <w:lang w:val="es-ES_tradnl"/>
        </w:rPr>
      </w:pPr>
      <w:r w:rsidRPr="000F550F">
        <w:rPr>
          <w:lang w:val="es-ES_tradnl"/>
        </w:rPr>
        <w:t>FIGURA 5</w:t>
      </w:r>
    </w:p>
    <w:p w:rsidR="00B17B1F" w:rsidRPr="000F550F" w:rsidRDefault="00B17B1F" w:rsidP="00B17B1F">
      <w:pPr>
        <w:pStyle w:val="Figuretitle"/>
        <w:rPr>
          <w:lang w:val="es-ES_tradnl"/>
        </w:rPr>
      </w:pPr>
      <w:r w:rsidRPr="000F550F">
        <w:rPr>
          <w:lang w:val="es-ES_tradnl"/>
        </w:rPr>
        <w:t xml:space="preserve">Espectro de la señal DVB-T utilizada para las mediciones </w:t>
      </w:r>
      <w:r w:rsidRPr="000F550F">
        <w:rPr>
          <w:lang w:val="es-ES_tradnl"/>
        </w:rPr>
        <w:br/>
        <w:t>(nivel de</w:t>
      </w:r>
      <w:r w:rsidR="0057284E">
        <w:rPr>
          <w:lang w:val="es-ES_tradnl"/>
        </w:rPr>
        <w:t xml:space="preserve"> </w:t>
      </w:r>
      <w:r w:rsidRPr="000F550F">
        <w:rPr>
          <w:lang w:val="es-ES_tradnl"/>
        </w:rPr>
        <w:t>–50</w:t>
      </w:r>
      <w:r w:rsidR="0075247D">
        <w:rPr>
          <w:lang w:val="es-ES_tradnl"/>
        </w:rPr>
        <w:t> </w:t>
      </w:r>
      <w:r w:rsidRPr="000F550F">
        <w:rPr>
          <w:lang w:val="es-ES_tradnl"/>
        </w:rPr>
        <w:t>dBm en el generador)</w:t>
      </w:r>
    </w:p>
    <w:p w:rsidR="00B17B1F" w:rsidRPr="000F550F" w:rsidRDefault="00BA05D8" w:rsidP="00B17B1F">
      <w:pPr>
        <w:pStyle w:val="Figure"/>
        <w:rPr>
          <w:lang w:val="es-ES_tradnl"/>
        </w:rPr>
      </w:pPr>
      <w:r>
        <w:rPr>
          <w:lang w:val="en-US"/>
        </w:rPr>
        <w:object w:dxaOrig="2964" w:dyaOrig="2861">
          <v:shape id="_x0000_i1029" type="#_x0000_t75" style="width:240.4pt;height:231.75pt" o:ole="">
            <v:imagedata r:id="rId22" o:title=""/>
          </v:shape>
          <o:OLEObject Type="Embed" ProgID="CorelDRAW.Graphic.14" ShapeID="_x0000_i1029" DrawAspect="Content" ObjectID="_1469000268" r:id="rId23"/>
        </w:object>
      </w:r>
    </w:p>
    <w:p w:rsidR="008E7F82" w:rsidRPr="000B6DFE" w:rsidRDefault="008E7F82" w:rsidP="008E7F82">
      <w:pPr>
        <w:rPr>
          <w:lang w:val="en-US" w:eastAsia="zh-CN"/>
        </w:rPr>
      </w:pPr>
    </w:p>
    <w:p w:rsidR="00B17B1F" w:rsidRPr="000F550F" w:rsidRDefault="00B17B1F" w:rsidP="00B17B1F">
      <w:pPr>
        <w:pStyle w:val="Heading2"/>
        <w:rPr>
          <w:lang w:val="es-ES_tradnl"/>
        </w:rPr>
      </w:pPr>
      <w:r w:rsidRPr="000F550F">
        <w:rPr>
          <w:lang w:val="es-ES_tradnl"/>
        </w:rPr>
        <w:t>2.3</w:t>
      </w:r>
      <w:r w:rsidRPr="000F550F">
        <w:rPr>
          <w:lang w:val="es-ES_tradnl"/>
        </w:rPr>
        <w:tab/>
        <w:t>Resultados de las mediciones</w:t>
      </w:r>
    </w:p>
    <w:p w:rsidR="00B17B1F" w:rsidRPr="000F550F" w:rsidRDefault="00B17B1F" w:rsidP="00B17B1F">
      <w:pPr>
        <w:pStyle w:val="Heading3"/>
        <w:rPr>
          <w:lang w:val="es-ES_tradnl"/>
        </w:rPr>
      </w:pPr>
      <w:r w:rsidRPr="000F550F">
        <w:rPr>
          <w:lang w:val="es-ES_tradnl"/>
        </w:rPr>
        <w:t>2.3.1</w:t>
      </w:r>
      <w:r w:rsidRPr="000F550F">
        <w:rPr>
          <w:lang w:val="es-ES_tradnl"/>
        </w:rPr>
        <w:tab/>
        <w:t>Resultados de las mediciones en el laboratorio de IRT</w:t>
      </w:r>
    </w:p>
    <w:p w:rsidR="00B17B1F" w:rsidRPr="000F550F" w:rsidRDefault="00B17B1F" w:rsidP="00B17B1F">
      <w:pPr>
        <w:rPr>
          <w:lang w:val="es-ES_tradnl"/>
        </w:rPr>
      </w:pPr>
      <w:r w:rsidRPr="000F550F">
        <w:rPr>
          <w:lang w:val="es-ES_tradnl"/>
        </w:rPr>
        <w:t>El generador de señal DVB-T se conectó a un enchufe de pared de la red. En el laboratorio se midió en seis posiciones la potencia de señal a la salida de la antena de plano de tierra, situada a 1,5</w:t>
      </w:r>
      <w:r w:rsidR="0075247D">
        <w:rPr>
          <w:lang w:val="es-ES_tradnl"/>
        </w:rPr>
        <w:t> </w:t>
      </w:r>
      <w:r w:rsidRPr="000F550F">
        <w:rPr>
          <w:lang w:val="es-ES_tradnl"/>
        </w:rPr>
        <w:t>m sobre el nivel del suelo.</w:t>
      </w:r>
    </w:p>
    <w:p w:rsidR="00B17B1F" w:rsidRPr="000F550F" w:rsidRDefault="00B17B1F" w:rsidP="00B17B1F">
      <w:pPr>
        <w:pStyle w:val="Heading3"/>
        <w:rPr>
          <w:lang w:val="es-ES_tradnl"/>
        </w:rPr>
      </w:pPr>
      <w:r w:rsidRPr="000F550F">
        <w:rPr>
          <w:lang w:val="es-ES_tradnl"/>
        </w:rPr>
        <w:t>2.3.2</w:t>
      </w:r>
      <w:r w:rsidRPr="000F550F">
        <w:rPr>
          <w:lang w:val="es-ES_tradnl"/>
        </w:rPr>
        <w:tab/>
        <w:t>Resultados de las mediciones en una casa adosada</w:t>
      </w:r>
    </w:p>
    <w:p w:rsidR="00B17B1F" w:rsidRPr="000F550F" w:rsidRDefault="00B17B1F" w:rsidP="00B17B1F">
      <w:pPr>
        <w:rPr>
          <w:lang w:val="es-ES_tradnl"/>
        </w:rPr>
      </w:pPr>
      <w:r w:rsidRPr="000F550F">
        <w:rPr>
          <w:lang w:val="es-ES_tradnl"/>
        </w:rPr>
        <w:t>La casa donde se hicieron las mediciones estaba fabricada de ladrillos, disponía de una planta baja y dos pisos, con suelos y techos de cemento (véase la Fig. 1). En realidad, se trataba de tres casa adyacentes, izquierda, centro y derecha. En la Fig. 6</w:t>
      </w:r>
      <w:r w:rsidR="0075247D">
        <w:rPr>
          <w:lang w:val="es-ES_tradnl"/>
        </w:rPr>
        <w:t> </w:t>
      </w:r>
      <w:r w:rsidRPr="000F550F">
        <w:rPr>
          <w:lang w:val="es-ES_tradnl"/>
        </w:rPr>
        <w:t>se representa un esquema de la casa del centro. El esquema correspondiente a la casa adyacente a la izquierda es el de la Fig. 7. La señal de medición se conectó a un enchufe de pared situado en la planta baja de la casa del centro.</w:t>
      </w:r>
    </w:p>
    <w:p w:rsidR="00B17B1F" w:rsidRPr="000F550F" w:rsidRDefault="00B17B1F" w:rsidP="00B17B1F">
      <w:pPr>
        <w:pStyle w:val="FigureNo"/>
        <w:rPr>
          <w:lang w:val="es-ES_tradnl"/>
        </w:rPr>
      </w:pPr>
      <w:r w:rsidRPr="000F550F">
        <w:rPr>
          <w:lang w:val="es-ES_tradnl"/>
        </w:rPr>
        <w:lastRenderedPageBreak/>
        <w:t>FIGURA 6</w:t>
      </w:r>
    </w:p>
    <w:p w:rsidR="00B17B1F" w:rsidRPr="000F550F" w:rsidRDefault="00B17B1F" w:rsidP="00B17B1F">
      <w:pPr>
        <w:pStyle w:val="Figuretitle"/>
        <w:rPr>
          <w:lang w:val="es-ES_tradnl"/>
        </w:rPr>
      </w:pPr>
      <w:r w:rsidRPr="000F550F">
        <w:rPr>
          <w:lang w:val="es-ES_tradnl"/>
        </w:rPr>
        <w:t>Plano de la casa del centro</w:t>
      </w:r>
    </w:p>
    <w:p w:rsidR="00B17B1F" w:rsidRPr="000F550F" w:rsidRDefault="00E00A5A" w:rsidP="00E00A5A">
      <w:pPr>
        <w:pStyle w:val="Figure"/>
        <w:rPr>
          <w:lang w:val="es-ES_tradnl"/>
        </w:rPr>
      </w:pPr>
      <w:r>
        <w:rPr>
          <w:noProof/>
          <w:lang w:val="en-US" w:eastAsia="zh-CN"/>
        </w:rPr>
        <w:object w:dxaOrig="5768" w:dyaOrig="3839">
          <v:shape id="_x0000_i1030" type="#_x0000_t75" style="width:479.25pt;height:319.15pt" o:ole="">
            <v:imagedata r:id="rId24" o:title=""/>
          </v:shape>
          <o:OLEObject Type="Embed" ProgID="CorelDRAW.Graphic.14" ShapeID="_x0000_i1030" DrawAspect="Content" ObjectID="_1469000269" r:id="rId25"/>
        </w:object>
      </w:r>
    </w:p>
    <w:p w:rsidR="002D20B4" w:rsidRDefault="002D20B4" w:rsidP="002D20B4">
      <w:pPr>
        <w:spacing w:before="0"/>
        <w:rPr>
          <w:lang w:val="es-ES_tradnl"/>
        </w:rPr>
      </w:pPr>
    </w:p>
    <w:p w:rsidR="00B17B1F" w:rsidRPr="000F550F" w:rsidRDefault="00B17B1F" w:rsidP="00B17B1F">
      <w:pPr>
        <w:spacing w:before="240"/>
        <w:rPr>
          <w:lang w:val="es-ES_tradnl"/>
        </w:rPr>
      </w:pPr>
      <w:r w:rsidRPr="000F550F">
        <w:rPr>
          <w:lang w:val="es-ES_tradnl"/>
        </w:rPr>
        <w:t>El generador de la señal DVB-T se fijó a una potencia de salida de 0</w:t>
      </w:r>
      <w:r w:rsidR="0075247D">
        <w:rPr>
          <w:lang w:val="es-ES_tradnl"/>
        </w:rPr>
        <w:t> </w:t>
      </w:r>
      <w:r w:rsidRPr="000F550F">
        <w:rPr>
          <w:lang w:val="es-ES_tradnl"/>
        </w:rPr>
        <w:t>dBm y se conectó sucesivamente a los enchufes de pared situados en, los puntos del módem 1</w:t>
      </w:r>
      <w:r w:rsidR="0075247D">
        <w:rPr>
          <w:lang w:val="es-ES_tradnl"/>
        </w:rPr>
        <w:t> </w:t>
      </w:r>
      <w:r w:rsidRPr="000F550F">
        <w:rPr>
          <w:lang w:val="es-ES_tradnl"/>
        </w:rPr>
        <w:t>PLT (blanco), el módem 2</w:t>
      </w:r>
      <w:r w:rsidR="0075247D">
        <w:rPr>
          <w:lang w:val="es-ES_tradnl"/>
        </w:rPr>
        <w:t> </w:t>
      </w:r>
      <w:r w:rsidRPr="000F550F">
        <w:rPr>
          <w:lang w:val="es-ES_tradnl"/>
        </w:rPr>
        <w:t>PLT (amarillo) y el módem 3</w:t>
      </w:r>
      <w:r w:rsidR="0075247D">
        <w:rPr>
          <w:lang w:val="es-ES_tradnl"/>
        </w:rPr>
        <w:t> </w:t>
      </w:r>
      <w:r w:rsidRPr="000F550F">
        <w:rPr>
          <w:lang w:val="es-ES_tradnl"/>
        </w:rPr>
        <w:t>PLT (azul) de la planta baja. Las mediciones se llevaron a cabo en los puentes 1</w:t>
      </w:r>
      <w:r w:rsidR="0075247D">
        <w:rPr>
          <w:lang w:val="es-ES_tradnl"/>
        </w:rPr>
        <w:t xml:space="preserve"> </w:t>
      </w:r>
      <w:r w:rsidRPr="000F550F">
        <w:rPr>
          <w:lang w:val="es-ES_tradnl"/>
        </w:rPr>
        <w:t>a 29 de la casa del centro y en los puntos 30 a 42 de la casa adyacente de la izquierda. El color de los puntos de medición corresponden a la posición de acoplamiento del gene</w:t>
      </w:r>
      <w:r w:rsidR="00793C5A">
        <w:rPr>
          <w:lang w:val="es-ES_tradnl"/>
        </w:rPr>
        <w:t>rador cuando media (módem 1, 2 ó</w:t>
      </w:r>
      <w:r w:rsidRPr="000F550F">
        <w:rPr>
          <w:lang w:val="es-ES_tradnl"/>
        </w:rPr>
        <w:t xml:space="preserve"> 3 PLT).</w:t>
      </w:r>
    </w:p>
    <w:p w:rsidR="00B17B1F" w:rsidRPr="000F550F" w:rsidRDefault="00B17B1F" w:rsidP="00B17B1F">
      <w:pPr>
        <w:pStyle w:val="FigureNo"/>
        <w:rPr>
          <w:lang w:val="es-ES_tradnl"/>
        </w:rPr>
      </w:pPr>
      <w:r w:rsidRPr="000F550F">
        <w:rPr>
          <w:lang w:val="es-ES_tradnl"/>
        </w:rPr>
        <w:lastRenderedPageBreak/>
        <w:t>FIGURA 7</w:t>
      </w:r>
    </w:p>
    <w:p w:rsidR="00B17B1F" w:rsidRDefault="00B17B1F" w:rsidP="00B17B1F">
      <w:pPr>
        <w:pStyle w:val="Figuretitle"/>
        <w:rPr>
          <w:lang w:val="es-ES_tradnl"/>
        </w:rPr>
      </w:pPr>
      <w:r w:rsidRPr="000F550F">
        <w:rPr>
          <w:lang w:val="es-ES_tradnl"/>
        </w:rPr>
        <w:t>Plano de la casa adyacente a la izquierda</w:t>
      </w:r>
    </w:p>
    <w:p w:rsidR="00793C5A" w:rsidRPr="00793C5A" w:rsidRDefault="00793C5A" w:rsidP="00793C5A">
      <w:pPr>
        <w:pStyle w:val="Figure"/>
        <w:rPr>
          <w:lang w:val="es-ES_tradnl"/>
        </w:rPr>
      </w:pPr>
      <w:r>
        <w:rPr>
          <w:noProof/>
          <w:lang w:val="en-US" w:eastAsia="zh-CN"/>
        </w:rPr>
        <w:object w:dxaOrig="5357" w:dyaOrig="3073">
          <v:shape id="_x0000_i1031" type="#_x0000_t75" style="width:430.9pt;height:248.65pt" o:ole="">
            <v:imagedata r:id="rId26" o:title=""/>
          </v:shape>
          <o:OLEObject Type="Embed" ProgID="CorelDRAW.Graphic.14" ShapeID="_x0000_i1031" DrawAspect="Content" ObjectID="_1469000270" r:id="rId27"/>
        </w:object>
      </w:r>
    </w:p>
    <w:p w:rsidR="00B17B1F" w:rsidRPr="000F550F" w:rsidRDefault="00B17B1F" w:rsidP="00793C5A">
      <w:pPr>
        <w:rPr>
          <w:lang w:val="es-ES_tradnl"/>
        </w:rPr>
      </w:pPr>
      <w:r w:rsidRPr="000F550F">
        <w:rPr>
          <w:lang w:val="es-ES_tradnl"/>
        </w:rPr>
        <w:t>La antena se situó en los puntos de medición indicados como en los cuadrados numerados de las Figs.</w:t>
      </w:r>
      <w:r w:rsidR="00793C5A">
        <w:rPr>
          <w:lang w:val="es-ES_tradnl"/>
        </w:rPr>
        <w:t> </w:t>
      </w:r>
      <w:r w:rsidR="0075247D">
        <w:rPr>
          <w:lang w:val="es-ES_tradnl"/>
        </w:rPr>
        <w:t>6</w:t>
      </w:r>
      <w:r w:rsidRPr="000F550F">
        <w:rPr>
          <w:lang w:val="es-ES_tradnl"/>
        </w:rPr>
        <w:t xml:space="preserve"> y 7. Para cada punto de medición se registró el espectro en el equipo ETL-SA. Además, se indicó la potencia de canal recibida. Como ejemplo, en la Fig. 8</w:t>
      </w:r>
      <w:r w:rsidR="0075247D">
        <w:rPr>
          <w:lang w:val="es-ES_tradnl"/>
        </w:rPr>
        <w:t xml:space="preserve"> </w:t>
      </w:r>
      <w:r w:rsidRPr="000F550F">
        <w:rPr>
          <w:lang w:val="es-ES_tradnl"/>
        </w:rPr>
        <w:t>aparecen los resultados para un punto de nivel de interferencia PLT potencialmente elevado y un punto de nivel de interferencia PLT potencialmente bajo.</w:t>
      </w:r>
    </w:p>
    <w:p w:rsidR="00B17B1F" w:rsidRPr="000F550F" w:rsidRDefault="00B17B1F" w:rsidP="00B17B1F">
      <w:pPr>
        <w:pStyle w:val="FigureNo"/>
        <w:rPr>
          <w:lang w:val="es-ES_tradnl"/>
        </w:rPr>
      </w:pPr>
      <w:r w:rsidRPr="000F550F">
        <w:rPr>
          <w:lang w:val="es-ES_tradnl"/>
        </w:rPr>
        <w:t>FIGURA 8</w:t>
      </w:r>
    </w:p>
    <w:p w:rsidR="00B17B1F" w:rsidRDefault="00B17B1F" w:rsidP="00B17B1F">
      <w:pPr>
        <w:pStyle w:val="Figuretitle"/>
        <w:rPr>
          <w:lang w:val="es-ES_tradnl"/>
        </w:rPr>
      </w:pPr>
      <w:r w:rsidRPr="000F550F">
        <w:rPr>
          <w:lang w:val="es-ES_tradnl"/>
        </w:rPr>
        <w:t>Espectro en dos puntos de medición con nivel de interferencia alto y bajo</w:t>
      </w:r>
    </w:p>
    <w:p w:rsidR="008C0EBA" w:rsidRPr="008C0EBA" w:rsidRDefault="008C0EBA" w:rsidP="008C0EBA">
      <w:pPr>
        <w:pStyle w:val="Figure"/>
        <w:rPr>
          <w:lang w:val="es-ES_tradnl"/>
        </w:rPr>
      </w:pPr>
      <w:r>
        <w:rPr>
          <w:lang w:val="en-US"/>
        </w:rPr>
        <w:object w:dxaOrig="5701" w:dyaOrig="2835">
          <v:shape id="_x0000_i1032" type="#_x0000_t75" style="width:476.25pt;height:235.15pt" o:ole="">
            <v:imagedata r:id="rId28" o:title=""/>
          </v:shape>
          <o:OLEObject Type="Embed" ProgID="CorelDRAW.Graphic.14" ShapeID="_x0000_i1032" DrawAspect="Content" ObjectID="_1469000271" r:id="rId29"/>
        </w:object>
      </w:r>
    </w:p>
    <w:p w:rsidR="00B17B1F" w:rsidRPr="000F550F" w:rsidRDefault="00B17B1F" w:rsidP="008C0EBA">
      <w:pPr>
        <w:rPr>
          <w:lang w:val="es-ES_tradnl"/>
        </w:rPr>
      </w:pPr>
      <w:r w:rsidRPr="000F550F">
        <w:rPr>
          <w:lang w:val="es-ES_tradnl"/>
        </w:rPr>
        <w:t>La señal del borde izquierdo de la Fig. 8b</w:t>
      </w:r>
      <w:r w:rsidR="00AA70BC">
        <w:rPr>
          <w:lang w:val="es-ES_tradnl"/>
        </w:rPr>
        <w:t>)</w:t>
      </w:r>
      <w:r w:rsidRPr="000F550F">
        <w:rPr>
          <w:lang w:val="es-ES_tradnl"/>
        </w:rPr>
        <w:t>, situada fuera de la anchura de banda de medición DVB</w:t>
      </w:r>
      <w:r w:rsidRPr="000F550F">
        <w:rPr>
          <w:lang w:val="es-ES_tradnl"/>
        </w:rPr>
        <w:noBreakHyphen/>
        <w:t>T, es una señal DAB trasmitida en la región.</w:t>
      </w:r>
    </w:p>
    <w:p w:rsidR="00B17B1F" w:rsidRPr="000F550F" w:rsidRDefault="00B17B1F" w:rsidP="00B17B1F">
      <w:pPr>
        <w:rPr>
          <w:lang w:val="es-ES_tradnl"/>
        </w:rPr>
      </w:pPr>
      <w:r w:rsidRPr="000F550F">
        <w:rPr>
          <w:lang w:val="es-ES_tradnl"/>
        </w:rPr>
        <w:lastRenderedPageBreak/>
        <w:t>Las mediciones se llevaron a cabo en la casa del centro; en la habitación de la planta baja la señal se inyectó en la red, en la habitación de al lado, en el primer y segundo piso y fuera de la casa.</w:t>
      </w:r>
    </w:p>
    <w:p w:rsidR="00B17B1F" w:rsidRPr="000F550F" w:rsidRDefault="00B17B1F" w:rsidP="00B17B1F">
      <w:pPr>
        <w:rPr>
          <w:lang w:val="es-ES_tradnl"/>
        </w:rPr>
      </w:pPr>
      <w:r w:rsidRPr="000F550F">
        <w:rPr>
          <w:lang w:val="es-ES_tradnl"/>
        </w:rPr>
        <w:t>También se efectuaron mediciones en la casa adyacente de la izquierda, en la planta baja y en el primer y segundo piso.</w:t>
      </w:r>
    </w:p>
    <w:p w:rsidR="00B17B1F" w:rsidRPr="000F550F" w:rsidRDefault="00B17B1F" w:rsidP="00B17B1F">
      <w:pPr>
        <w:pStyle w:val="Heading2"/>
        <w:rPr>
          <w:lang w:val="es-ES_tradnl"/>
        </w:rPr>
      </w:pPr>
      <w:r w:rsidRPr="000F550F">
        <w:rPr>
          <w:lang w:val="es-ES_tradnl"/>
        </w:rPr>
        <w:t>2.4</w:t>
      </w:r>
      <w:r w:rsidRPr="000F550F">
        <w:rPr>
          <w:lang w:val="es-ES_tradnl"/>
        </w:rPr>
        <w:tab/>
        <w:t>Resultados de las mediciones para las pérdidas de acoplamiento</w:t>
      </w:r>
    </w:p>
    <w:p w:rsidR="00B17B1F" w:rsidRPr="000F550F" w:rsidRDefault="00B17B1F" w:rsidP="00B17B1F">
      <w:pPr>
        <w:pStyle w:val="Heading3"/>
        <w:rPr>
          <w:lang w:val="es-ES_tradnl"/>
        </w:rPr>
      </w:pPr>
      <w:r w:rsidRPr="000F550F">
        <w:rPr>
          <w:lang w:val="es-ES_tradnl"/>
        </w:rPr>
        <w:t>2.4.1</w:t>
      </w:r>
      <w:r w:rsidRPr="000F550F">
        <w:rPr>
          <w:lang w:val="es-ES_tradnl"/>
        </w:rPr>
        <w:tab/>
        <w:t>Resultados del laboratorio IRT</w:t>
      </w:r>
    </w:p>
    <w:p w:rsidR="00B17B1F" w:rsidRPr="000F550F" w:rsidRDefault="00B17B1F" w:rsidP="00B17B1F">
      <w:pPr>
        <w:rPr>
          <w:lang w:val="es-ES_tradnl"/>
        </w:rPr>
      </w:pPr>
      <w:r w:rsidRPr="000F550F">
        <w:rPr>
          <w:lang w:val="es-ES_tradnl"/>
        </w:rPr>
        <w:t xml:space="preserve">El valor medio de las pérdidas de acoplamiento en los seis puntos de medición es de </w:t>
      </w:r>
      <w:r w:rsidR="00A60E32" w:rsidRPr="00A60E32">
        <w:rPr>
          <w:lang w:val="es-ES_tradnl"/>
        </w:rPr>
        <w:t>–</w:t>
      </w:r>
      <w:r w:rsidRPr="000F550F">
        <w:rPr>
          <w:lang w:val="es-ES_tradnl"/>
        </w:rPr>
        <w:t>47</w:t>
      </w:r>
      <w:r w:rsidR="0075247D">
        <w:rPr>
          <w:lang w:val="es-ES_tradnl"/>
        </w:rPr>
        <w:t> </w:t>
      </w:r>
      <w:r w:rsidRPr="000F550F">
        <w:rPr>
          <w:lang w:val="es-ES_tradnl"/>
        </w:rPr>
        <w:t>dB, con una desviación típica de los valores de 6</w:t>
      </w:r>
      <w:r w:rsidR="0075247D">
        <w:rPr>
          <w:lang w:val="es-ES_tradnl"/>
        </w:rPr>
        <w:t> </w:t>
      </w:r>
      <w:r w:rsidRPr="000F550F">
        <w:rPr>
          <w:lang w:val="es-ES_tradnl"/>
        </w:rPr>
        <w:t>dB.</w:t>
      </w:r>
    </w:p>
    <w:p w:rsidR="00B17B1F" w:rsidRPr="000F550F" w:rsidRDefault="00B17B1F" w:rsidP="00B17B1F">
      <w:pPr>
        <w:pStyle w:val="Heading3"/>
        <w:rPr>
          <w:lang w:val="es-ES_tradnl"/>
        </w:rPr>
      </w:pPr>
      <w:r w:rsidRPr="000F550F">
        <w:rPr>
          <w:lang w:val="es-ES_tradnl"/>
        </w:rPr>
        <w:t>2.4.2</w:t>
      </w:r>
      <w:r w:rsidRPr="000F550F">
        <w:rPr>
          <w:lang w:val="es-ES_tradnl"/>
        </w:rPr>
        <w:tab/>
        <w:t>Resultados de las mediciones realizadas en la casa del centro</w:t>
      </w:r>
    </w:p>
    <w:p w:rsidR="00B17B1F" w:rsidRPr="000F550F" w:rsidRDefault="00B17B1F" w:rsidP="00B17B1F">
      <w:pPr>
        <w:rPr>
          <w:lang w:val="es-ES_tradnl"/>
        </w:rPr>
      </w:pPr>
      <w:r w:rsidRPr="000F550F">
        <w:rPr>
          <w:lang w:val="es-ES_tradnl"/>
        </w:rPr>
        <w:t>Las pérdidas de acoplamiento entre la salida del módem PLT y la salida de la antena de recepción varían dentro de la misma casa en la gama entre 48</w:t>
      </w:r>
      <w:r w:rsidR="0075247D">
        <w:rPr>
          <w:lang w:val="es-ES_tradnl"/>
        </w:rPr>
        <w:t> </w:t>
      </w:r>
      <w:r w:rsidRPr="000F550F">
        <w:rPr>
          <w:lang w:val="es-ES_tradnl"/>
        </w:rPr>
        <w:t>dB y 57</w:t>
      </w:r>
      <w:r w:rsidR="0075247D">
        <w:rPr>
          <w:lang w:val="es-ES_tradnl"/>
        </w:rPr>
        <w:t> </w:t>
      </w:r>
      <w:r w:rsidRPr="000F550F">
        <w:rPr>
          <w:lang w:val="es-ES_tradnl"/>
        </w:rPr>
        <w:t>dB. La fluctuación de los valores medidos es alta, con una desviación típica de unos 6</w:t>
      </w:r>
      <w:r w:rsidR="0075247D">
        <w:rPr>
          <w:lang w:val="es-ES_tradnl"/>
        </w:rPr>
        <w:t> </w:t>
      </w:r>
      <w:r w:rsidRPr="000F550F">
        <w:rPr>
          <w:lang w:val="es-ES_tradnl"/>
        </w:rPr>
        <w:t>dB. En el exterior del edificio las pérdidas de acoplamiento en puntos situados a una distancia de 4</w:t>
      </w:r>
      <w:r w:rsidR="0075247D">
        <w:rPr>
          <w:lang w:val="es-ES_tradnl"/>
        </w:rPr>
        <w:t> </w:t>
      </w:r>
      <w:r w:rsidRPr="000F550F">
        <w:rPr>
          <w:lang w:val="es-ES_tradnl"/>
        </w:rPr>
        <w:t>m del muro de la casa frente a los edificios es de 57</w:t>
      </w:r>
      <w:r w:rsidR="0075247D">
        <w:rPr>
          <w:lang w:val="es-ES_tradnl"/>
        </w:rPr>
        <w:t> </w:t>
      </w:r>
      <w:r w:rsidRPr="000F550F">
        <w:rPr>
          <w:lang w:val="es-ES_tradnl"/>
        </w:rPr>
        <w:t>dB, las pérdidas de acoplamiento en puntos a una distancia de 10</w:t>
      </w:r>
      <w:r w:rsidR="0075247D">
        <w:rPr>
          <w:lang w:val="es-ES_tradnl"/>
        </w:rPr>
        <w:t> </w:t>
      </w:r>
      <w:r w:rsidRPr="000F550F">
        <w:rPr>
          <w:lang w:val="es-ES_tradnl"/>
        </w:rPr>
        <w:t>m de la parte posterior de la casa es de 60</w:t>
      </w:r>
      <w:r w:rsidR="0075247D">
        <w:rPr>
          <w:lang w:val="es-ES_tradnl"/>
        </w:rPr>
        <w:t> </w:t>
      </w:r>
      <w:r w:rsidRPr="000F550F">
        <w:rPr>
          <w:lang w:val="es-ES_tradnl"/>
        </w:rPr>
        <w:t>dB. Los valores medios reales de las pérdidas de acoplamiento medidos son:</w:t>
      </w:r>
    </w:p>
    <w:p w:rsidR="00B17B1F" w:rsidRPr="000F550F" w:rsidRDefault="00B17B1F" w:rsidP="00B17B1F">
      <w:pPr>
        <w:pStyle w:val="enumlev1"/>
        <w:rPr>
          <w:lang w:val="es-ES_tradnl"/>
        </w:rPr>
      </w:pPr>
      <w:r w:rsidRPr="000F550F">
        <w:rPr>
          <w:lang w:val="es-ES_tradnl"/>
        </w:rPr>
        <w:t>–</w:t>
      </w:r>
      <w:r w:rsidRPr="000F550F">
        <w:rPr>
          <w:lang w:val="es-ES_tradnl"/>
        </w:rPr>
        <w:tab/>
        <w:t>en la misma habitación:</w:t>
      </w:r>
      <w:r w:rsidRPr="000F550F">
        <w:rPr>
          <w:lang w:val="es-ES_tradnl"/>
        </w:rPr>
        <w:tab/>
      </w:r>
      <w:r w:rsidRPr="000F550F">
        <w:rPr>
          <w:lang w:val="es-ES_tradnl"/>
        </w:rPr>
        <w:tab/>
        <w:t>48 dB</w:t>
      </w:r>
    </w:p>
    <w:p w:rsidR="00B17B1F" w:rsidRPr="000F550F" w:rsidRDefault="00B17B1F" w:rsidP="00B17B1F">
      <w:pPr>
        <w:pStyle w:val="enumlev1"/>
        <w:rPr>
          <w:lang w:val="es-ES_tradnl"/>
        </w:rPr>
      </w:pPr>
      <w:r w:rsidRPr="000F550F">
        <w:rPr>
          <w:lang w:val="es-ES_tradnl"/>
        </w:rPr>
        <w:t>–</w:t>
      </w:r>
      <w:r w:rsidRPr="000F550F">
        <w:rPr>
          <w:lang w:val="es-ES_tradnl"/>
        </w:rPr>
        <w:tab/>
        <w:t>en la habitación de al lado</w:t>
      </w:r>
      <w:r w:rsidR="00A60E32">
        <w:rPr>
          <w:lang w:val="es-ES_tradnl"/>
        </w:rPr>
        <w:t>:</w:t>
      </w:r>
      <w:r w:rsidRPr="000F550F">
        <w:rPr>
          <w:lang w:val="es-ES_tradnl"/>
        </w:rPr>
        <w:tab/>
      </w:r>
      <w:r w:rsidRPr="000F550F">
        <w:rPr>
          <w:lang w:val="es-ES_tradnl"/>
        </w:rPr>
        <w:tab/>
        <w:t>44 dB</w:t>
      </w:r>
    </w:p>
    <w:p w:rsidR="00B17B1F" w:rsidRPr="000F550F" w:rsidRDefault="00B17B1F" w:rsidP="00B17B1F">
      <w:pPr>
        <w:pStyle w:val="enumlev1"/>
        <w:rPr>
          <w:lang w:val="es-ES_tradnl"/>
        </w:rPr>
      </w:pPr>
      <w:r w:rsidRPr="000F550F">
        <w:rPr>
          <w:lang w:val="es-ES_tradnl"/>
        </w:rPr>
        <w:t>–</w:t>
      </w:r>
      <w:r w:rsidRPr="000F550F">
        <w:rPr>
          <w:lang w:val="es-ES_tradnl"/>
        </w:rPr>
        <w:tab/>
        <w:t>en el piso de arriba:</w:t>
      </w:r>
      <w:r w:rsidRPr="000F550F">
        <w:rPr>
          <w:lang w:val="es-ES_tradnl"/>
        </w:rPr>
        <w:tab/>
      </w:r>
      <w:r w:rsidRPr="000F550F">
        <w:rPr>
          <w:lang w:val="es-ES_tradnl"/>
        </w:rPr>
        <w:tab/>
      </w:r>
      <w:r w:rsidRPr="000F550F">
        <w:rPr>
          <w:lang w:val="es-ES_tradnl"/>
        </w:rPr>
        <w:tab/>
        <w:t>54 dB</w:t>
      </w:r>
    </w:p>
    <w:p w:rsidR="00B17B1F" w:rsidRPr="000F550F" w:rsidRDefault="00B17B1F" w:rsidP="00B17B1F">
      <w:pPr>
        <w:pStyle w:val="enumlev1"/>
        <w:rPr>
          <w:lang w:val="es-ES_tradnl"/>
        </w:rPr>
      </w:pPr>
      <w:r w:rsidRPr="000F550F">
        <w:rPr>
          <w:lang w:val="es-ES_tradnl"/>
        </w:rPr>
        <w:t>–</w:t>
      </w:r>
      <w:r w:rsidRPr="000F550F">
        <w:rPr>
          <w:lang w:val="es-ES_tradnl"/>
        </w:rPr>
        <w:tab/>
        <w:t>dos pisos arriba:</w:t>
      </w:r>
      <w:r w:rsidRPr="000F550F">
        <w:rPr>
          <w:lang w:val="es-ES_tradnl"/>
        </w:rPr>
        <w:tab/>
      </w:r>
      <w:r w:rsidRPr="000F550F">
        <w:rPr>
          <w:lang w:val="es-ES_tradnl"/>
        </w:rPr>
        <w:tab/>
      </w:r>
      <w:r w:rsidRPr="000F550F">
        <w:rPr>
          <w:lang w:val="es-ES_tradnl"/>
        </w:rPr>
        <w:tab/>
        <w:t>57 dB</w:t>
      </w:r>
    </w:p>
    <w:p w:rsidR="00B17B1F" w:rsidRPr="000F550F" w:rsidRDefault="00B17B1F" w:rsidP="00B17B1F">
      <w:pPr>
        <w:pStyle w:val="enumlev1"/>
        <w:rPr>
          <w:lang w:val="es-ES_tradnl"/>
        </w:rPr>
      </w:pPr>
      <w:r w:rsidRPr="000F550F">
        <w:rPr>
          <w:lang w:val="es-ES_tradnl"/>
        </w:rPr>
        <w:t>–</w:t>
      </w:r>
      <w:r w:rsidRPr="000F550F">
        <w:rPr>
          <w:lang w:val="es-ES_tradnl"/>
        </w:rPr>
        <w:tab/>
        <w:t xml:space="preserve">en puntos situados fuera del </w:t>
      </w:r>
      <w:r w:rsidR="00A60E32">
        <w:rPr>
          <w:lang w:val="es-ES_tradnl"/>
        </w:rPr>
        <w:t>edificio a una distancia de 4 m</w:t>
      </w:r>
      <w:r w:rsidR="00576E76">
        <w:rPr>
          <w:lang w:val="es-ES_tradnl"/>
        </w:rPr>
        <w:t>:</w:t>
      </w:r>
      <w:r w:rsidR="00A60E32">
        <w:rPr>
          <w:lang w:val="es-ES_tradnl"/>
        </w:rPr>
        <w:tab/>
      </w:r>
      <w:r w:rsidRPr="000F550F">
        <w:rPr>
          <w:lang w:val="es-ES_tradnl"/>
        </w:rPr>
        <w:t>57 dB</w:t>
      </w:r>
    </w:p>
    <w:p w:rsidR="00B17B1F" w:rsidRPr="000F550F" w:rsidRDefault="00B17B1F" w:rsidP="00B17B1F">
      <w:pPr>
        <w:pStyle w:val="enumlev1"/>
        <w:rPr>
          <w:lang w:val="es-ES_tradnl"/>
        </w:rPr>
      </w:pPr>
      <w:r w:rsidRPr="000F550F">
        <w:rPr>
          <w:lang w:val="es-ES_tradnl"/>
        </w:rPr>
        <w:t>–</w:t>
      </w:r>
      <w:r w:rsidRPr="000F550F">
        <w:rPr>
          <w:lang w:val="es-ES_tradnl"/>
        </w:rPr>
        <w:tab/>
        <w:t>en puntos situados fuera del edificio a una distancia de 10 m</w:t>
      </w:r>
      <w:r w:rsidR="00576E76">
        <w:rPr>
          <w:lang w:val="es-ES_tradnl"/>
        </w:rPr>
        <w:t>:</w:t>
      </w:r>
      <w:r w:rsidRPr="000F550F">
        <w:rPr>
          <w:lang w:val="es-ES_tradnl"/>
        </w:rPr>
        <w:tab/>
        <w:t>60 dB</w:t>
      </w:r>
    </w:p>
    <w:p w:rsidR="00B17B1F" w:rsidRPr="000F550F" w:rsidRDefault="00B17B1F" w:rsidP="00B17B1F">
      <w:pPr>
        <w:pStyle w:val="Heading3"/>
        <w:rPr>
          <w:lang w:val="es-ES_tradnl"/>
        </w:rPr>
      </w:pPr>
      <w:r w:rsidRPr="000F550F">
        <w:rPr>
          <w:lang w:val="es-ES_tradnl"/>
        </w:rPr>
        <w:t>2.4.3</w:t>
      </w:r>
      <w:r w:rsidRPr="000F550F">
        <w:rPr>
          <w:lang w:val="es-ES_tradnl"/>
        </w:rPr>
        <w:tab/>
        <w:t>Resultados de las mediciones en la casa adyacente</w:t>
      </w:r>
    </w:p>
    <w:p w:rsidR="00B17B1F" w:rsidRPr="000F550F" w:rsidRDefault="00B17B1F" w:rsidP="00B17B1F">
      <w:pPr>
        <w:rPr>
          <w:lang w:val="es-ES_tradnl"/>
        </w:rPr>
      </w:pPr>
      <w:r w:rsidRPr="000F550F">
        <w:rPr>
          <w:lang w:val="es-ES_tradnl"/>
        </w:rPr>
        <w:t>Las pérdidas de acoplamiento entre la salida PLA 1 en la casa del centro y la salida de la antena de recepción en la casa adyacente de la izquierda varían en una gama comprendida entre 62</w:t>
      </w:r>
      <w:r w:rsidR="0075247D">
        <w:rPr>
          <w:lang w:val="es-ES_tradnl"/>
        </w:rPr>
        <w:t> </w:t>
      </w:r>
      <w:r w:rsidRPr="000F550F">
        <w:rPr>
          <w:lang w:val="es-ES_tradnl"/>
        </w:rPr>
        <w:t>dB y 70</w:t>
      </w:r>
      <w:r w:rsidR="0075247D">
        <w:rPr>
          <w:lang w:val="es-ES_tradnl"/>
        </w:rPr>
        <w:t> </w:t>
      </w:r>
      <w:r w:rsidRPr="000F550F">
        <w:rPr>
          <w:lang w:val="es-ES_tradnl"/>
        </w:rPr>
        <w:t>dB, dependiendo de la distancia y del piso. Lo</w:t>
      </w:r>
      <w:r w:rsidR="00576E76">
        <w:rPr>
          <w:lang w:val="es-ES_tradnl"/>
        </w:rPr>
        <w:t>s valores medios medidos fueron:</w:t>
      </w:r>
    </w:p>
    <w:p w:rsidR="00B17B1F" w:rsidRPr="000F550F" w:rsidRDefault="00B17B1F" w:rsidP="00B17B1F">
      <w:pPr>
        <w:pStyle w:val="enumlev1"/>
        <w:rPr>
          <w:lang w:val="es-ES_tradnl"/>
        </w:rPr>
      </w:pPr>
      <w:r w:rsidRPr="000F550F">
        <w:rPr>
          <w:lang w:val="es-ES_tradnl"/>
        </w:rPr>
        <w:t>–</w:t>
      </w:r>
      <w:r w:rsidRPr="000F550F">
        <w:rPr>
          <w:lang w:val="es-ES_tradnl"/>
        </w:rPr>
        <w:tab/>
        <w:t>en el mismo piso</w:t>
      </w:r>
      <w:r w:rsidR="00576E76">
        <w:rPr>
          <w:lang w:val="es-ES_tradnl"/>
        </w:rPr>
        <w:t>:</w:t>
      </w:r>
      <w:r w:rsidRPr="000F550F">
        <w:rPr>
          <w:lang w:val="es-ES_tradnl"/>
        </w:rPr>
        <w:tab/>
      </w:r>
      <w:r w:rsidRPr="000F550F">
        <w:rPr>
          <w:lang w:val="es-ES_tradnl"/>
        </w:rPr>
        <w:tab/>
      </w:r>
      <w:r w:rsidR="00A60E32">
        <w:rPr>
          <w:lang w:val="es-ES_tradnl"/>
        </w:rPr>
        <w:tab/>
      </w:r>
      <w:r w:rsidRPr="000F550F">
        <w:rPr>
          <w:lang w:val="es-ES_tradnl"/>
        </w:rPr>
        <w:t>62 dB</w:t>
      </w:r>
    </w:p>
    <w:p w:rsidR="00B17B1F" w:rsidRPr="000F550F" w:rsidRDefault="00B17B1F" w:rsidP="00B17B1F">
      <w:pPr>
        <w:pStyle w:val="enumlev1"/>
        <w:rPr>
          <w:lang w:val="es-ES_tradnl"/>
        </w:rPr>
      </w:pPr>
      <w:r w:rsidRPr="000F550F">
        <w:rPr>
          <w:lang w:val="es-ES_tradnl"/>
        </w:rPr>
        <w:t>–</w:t>
      </w:r>
      <w:r w:rsidRPr="000F550F">
        <w:rPr>
          <w:lang w:val="es-ES_tradnl"/>
        </w:rPr>
        <w:tab/>
        <w:t>en el piso de arriba</w:t>
      </w:r>
      <w:r w:rsidR="00576E76">
        <w:rPr>
          <w:lang w:val="es-ES_tradnl"/>
        </w:rPr>
        <w:t>:</w:t>
      </w:r>
      <w:r w:rsidRPr="000F550F">
        <w:rPr>
          <w:lang w:val="es-ES_tradnl"/>
        </w:rPr>
        <w:tab/>
      </w:r>
      <w:r w:rsidR="00A60E32">
        <w:rPr>
          <w:lang w:val="es-ES_tradnl"/>
        </w:rPr>
        <w:tab/>
      </w:r>
      <w:r w:rsidRPr="000F550F">
        <w:rPr>
          <w:lang w:val="es-ES_tradnl"/>
        </w:rPr>
        <w:tab/>
        <w:t>62 dB</w:t>
      </w:r>
    </w:p>
    <w:p w:rsidR="00B17B1F" w:rsidRPr="000F550F" w:rsidRDefault="00B17B1F" w:rsidP="00B17B1F">
      <w:pPr>
        <w:pStyle w:val="enumlev1"/>
        <w:rPr>
          <w:lang w:val="es-ES_tradnl"/>
        </w:rPr>
      </w:pPr>
      <w:r w:rsidRPr="000F550F">
        <w:rPr>
          <w:lang w:val="es-ES_tradnl"/>
        </w:rPr>
        <w:t>–</w:t>
      </w:r>
      <w:r w:rsidRPr="000F550F">
        <w:rPr>
          <w:lang w:val="es-ES_tradnl"/>
        </w:rPr>
        <w:tab/>
        <w:t>dos pisos arriba</w:t>
      </w:r>
      <w:r w:rsidR="00576E76">
        <w:rPr>
          <w:lang w:val="es-ES_tradnl"/>
        </w:rPr>
        <w:t>:</w:t>
      </w:r>
      <w:r w:rsidRPr="000F550F">
        <w:rPr>
          <w:lang w:val="es-ES_tradnl"/>
        </w:rPr>
        <w:tab/>
      </w:r>
      <w:r w:rsidRPr="000F550F">
        <w:rPr>
          <w:lang w:val="es-ES_tradnl"/>
        </w:rPr>
        <w:tab/>
      </w:r>
      <w:r w:rsidR="00A60E32">
        <w:rPr>
          <w:lang w:val="es-ES_tradnl"/>
        </w:rPr>
        <w:tab/>
      </w:r>
      <w:r w:rsidRPr="000F550F">
        <w:rPr>
          <w:lang w:val="es-ES_tradnl"/>
        </w:rPr>
        <w:t>70 dB</w:t>
      </w:r>
    </w:p>
    <w:p w:rsidR="00B17B1F" w:rsidRPr="000F550F" w:rsidRDefault="00B17B1F" w:rsidP="00B17B1F">
      <w:pPr>
        <w:pStyle w:val="Heading2"/>
        <w:rPr>
          <w:lang w:val="es-ES_tradnl"/>
        </w:rPr>
      </w:pPr>
      <w:r w:rsidRPr="000F550F">
        <w:rPr>
          <w:lang w:val="es-ES_tradnl"/>
        </w:rPr>
        <w:t>2.5</w:t>
      </w:r>
      <w:r w:rsidRPr="000F550F">
        <w:rPr>
          <w:lang w:val="es-ES_tradnl"/>
        </w:rPr>
        <w:tab/>
        <w:t>Ejemplo de cálculo de la máxima potencia de salida del módem PLT permitida</w:t>
      </w:r>
    </w:p>
    <w:p w:rsidR="00B17B1F" w:rsidRPr="000F550F" w:rsidRDefault="00B17B1F" w:rsidP="00B17B1F">
      <w:pPr>
        <w:rPr>
          <w:lang w:val="es-ES_tradnl"/>
        </w:rPr>
      </w:pPr>
      <w:r w:rsidRPr="000F550F">
        <w:rPr>
          <w:lang w:val="es-ES_tradnl"/>
        </w:rPr>
        <w:t>La máxima potencia permitida a la salida de un módem PLT para evitar la interferencia a una recepción DAB se calculara partiendo de las siguientes hipótesis:</w:t>
      </w:r>
    </w:p>
    <w:p w:rsidR="00B17B1F" w:rsidRPr="000F550F" w:rsidRDefault="00B17B1F" w:rsidP="00B17B1F">
      <w:pPr>
        <w:pStyle w:val="enumlev1"/>
        <w:rPr>
          <w:lang w:val="es-ES_tradnl"/>
        </w:rPr>
      </w:pPr>
      <w:r w:rsidRPr="000F550F">
        <w:rPr>
          <w:lang w:val="es-ES_tradnl"/>
        </w:rPr>
        <w:t>–</w:t>
      </w:r>
      <w:r w:rsidRPr="000F550F">
        <w:rPr>
          <w:lang w:val="es-ES_tradnl"/>
        </w:rPr>
        <w:tab/>
        <w:t>la interferencia causada a la recepción DAB a 200</w:t>
      </w:r>
      <w:r w:rsidR="0075247D">
        <w:rPr>
          <w:lang w:val="es-ES_tradnl"/>
        </w:rPr>
        <w:t> </w:t>
      </w:r>
      <w:r w:rsidRPr="000F550F">
        <w:rPr>
          <w:lang w:val="es-ES_tradnl"/>
        </w:rPr>
        <w:t>MHz no deben incrementarse más del 1% con respecto a la potencia total de ruido recibido;</w:t>
      </w:r>
    </w:p>
    <w:p w:rsidR="00B17B1F" w:rsidRPr="000F550F" w:rsidRDefault="00B17B1F" w:rsidP="00B17B1F">
      <w:pPr>
        <w:pStyle w:val="enumlev1"/>
        <w:rPr>
          <w:lang w:val="es-ES_tradnl"/>
        </w:rPr>
      </w:pPr>
      <w:r w:rsidRPr="000F550F">
        <w:rPr>
          <w:lang w:val="es-ES_tradnl"/>
        </w:rPr>
        <w:t>–</w:t>
      </w:r>
      <w:r w:rsidRPr="000F550F">
        <w:rPr>
          <w:lang w:val="es-ES_tradnl"/>
        </w:rPr>
        <w:tab/>
        <w:t>la instalación PLT trasmite su potencia distribuyéndola de manera uniforme en el espectro entre 30</w:t>
      </w:r>
      <w:r w:rsidR="0075247D">
        <w:rPr>
          <w:lang w:val="es-ES_tradnl"/>
        </w:rPr>
        <w:t> </w:t>
      </w:r>
      <w:r w:rsidRPr="000F550F">
        <w:rPr>
          <w:lang w:val="es-ES_tradnl"/>
        </w:rPr>
        <w:t>MHz y 300</w:t>
      </w:r>
      <w:r w:rsidR="0075247D">
        <w:rPr>
          <w:lang w:val="es-ES_tradnl"/>
        </w:rPr>
        <w:t> </w:t>
      </w:r>
      <w:r w:rsidRPr="000F550F">
        <w:rPr>
          <w:lang w:val="es-ES_tradnl"/>
        </w:rPr>
        <w:t>MHz;</w:t>
      </w:r>
    </w:p>
    <w:p w:rsidR="00B17B1F" w:rsidRPr="000F550F" w:rsidRDefault="00B17B1F" w:rsidP="00B17B1F">
      <w:pPr>
        <w:pStyle w:val="enumlev1"/>
        <w:rPr>
          <w:lang w:val="es-ES_tradnl"/>
        </w:rPr>
      </w:pPr>
      <w:r w:rsidRPr="000F550F">
        <w:rPr>
          <w:lang w:val="es-ES_tradnl"/>
        </w:rPr>
        <w:t>–</w:t>
      </w:r>
      <w:r w:rsidRPr="000F550F">
        <w:rPr>
          <w:lang w:val="es-ES_tradnl"/>
        </w:rPr>
        <w:tab/>
        <w:t>el factor de ruido del receptor DAB (F) es 8</w:t>
      </w:r>
      <w:r w:rsidR="0075247D">
        <w:rPr>
          <w:lang w:val="es-ES_tradnl"/>
        </w:rPr>
        <w:t> </w:t>
      </w:r>
      <w:r w:rsidRPr="000F550F">
        <w:rPr>
          <w:lang w:val="es-ES_tradnl"/>
        </w:rPr>
        <w:t>dB;</w:t>
      </w:r>
    </w:p>
    <w:p w:rsidR="00B17B1F" w:rsidRPr="000F550F" w:rsidRDefault="00B17B1F" w:rsidP="00B17B1F">
      <w:pPr>
        <w:pStyle w:val="enumlev1"/>
        <w:rPr>
          <w:lang w:val="es-ES_tradnl"/>
        </w:rPr>
      </w:pPr>
      <w:r w:rsidRPr="000F550F">
        <w:rPr>
          <w:lang w:val="es-ES_tradnl"/>
        </w:rPr>
        <w:t>–</w:t>
      </w:r>
      <w:r w:rsidRPr="000F550F">
        <w:rPr>
          <w:lang w:val="es-ES_tradnl"/>
        </w:rPr>
        <w:tab/>
        <w:t xml:space="preserve">la ganancia de antena de recepción DAB es </w:t>
      </w:r>
      <w:r w:rsidR="00A60E32" w:rsidRPr="00A60E32">
        <w:rPr>
          <w:lang w:val="es-ES_tradnl"/>
        </w:rPr>
        <w:t>–</w:t>
      </w:r>
      <w:r w:rsidRPr="000F550F">
        <w:rPr>
          <w:lang w:val="es-ES_tradnl"/>
        </w:rPr>
        <w:t>2,2</w:t>
      </w:r>
      <w:r w:rsidR="0075247D">
        <w:rPr>
          <w:lang w:val="es-ES_tradnl"/>
        </w:rPr>
        <w:t> </w:t>
      </w:r>
      <w:r w:rsidRPr="000F550F">
        <w:rPr>
          <w:lang w:val="es-ES_tradnl"/>
        </w:rPr>
        <w:t>dBd;</w:t>
      </w:r>
    </w:p>
    <w:p w:rsidR="00B17B1F" w:rsidRPr="000F550F" w:rsidRDefault="00B17B1F" w:rsidP="00B17B1F">
      <w:pPr>
        <w:pStyle w:val="enumlev1"/>
        <w:rPr>
          <w:lang w:val="es-ES_tradnl"/>
        </w:rPr>
      </w:pPr>
      <w:r w:rsidRPr="000F550F">
        <w:rPr>
          <w:lang w:val="es-ES_tradnl"/>
        </w:rPr>
        <w:t>–</w:t>
      </w:r>
      <w:r w:rsidRPr="000F550F">
        <w:rPr>
          <w:lang w:val="es-ES_tradnl"/>
        </w:rPr>
        <w:tab/>
        <w:t>el margen de ruido artificial a 200</w:t>
      </w:r>
      <w:r w:rsidR="0075247D">
        <w:rPr>
          <w:lang w:val="es-ES_tradnl"/>
        </w:rPr>
        <w:t> </w:t>
      </w:r>
      <w:r w:rsidRPr="000F550F">
        <w:rPr>
          <w:lang w:val="es-ES_tradnl"/>
        </w:rPr>
        <w:t>MHz con la antena antes mencionada es 2 dB;</w:t>
      </w:r>
    </w:p>
    <w:p w:rsidR="00B17B1F" w:rsidRPr="000F550F" w:rsidRDefault="00B17B1F" w:rsidP="00B17B1F">
      <w:pPr>
        <w:pStyle w:val="enumlev1"/>
        <w:rPr>
          <w:lang w:val="es-ES_tradnl"/>
        </w:rPr>
      </w:pPr>
      <w:r w:rsidRPr="000F550F">
        <w:rPr>
          <w:lang w:val="es-ES_tradnl"/>
        </w:rPr>
        <w:t>–</w:t>
      </w:r>
      <w:r w:rsidRPr="000F550F">
        <w:rPr>
          <w:lang w:val="es-ES_tradnl"/>
        </w:rPr>
        <w:tab/>
        <w:t>la recepción DAB se produce en al apartamento adyacente, donde las pérdidas de acoplamiento son de 62 dB.</w:t>
      </w:r>
    </w:p>
    <w:p w:rsidR="00B17B1F" w:rsidRPr="000F550F" w:rsidRDefault="00B17B1F" w:rsidP="00B17B1F">
      <w:pPr>
        <w:rPr>
          <w:lang w:val="es-ES_tradnl"/>
        </w:rPr>
      </w:pPr>
      <w:r w:rsidRPr="000F550F">
        <w:rPr>
          <w:lang w:val="es-ES_tradnl"/>
        </w:rPr>
        <w:lastRenderedPageBreak/>
        <w:t>La señal CODFM del módem PLT ocasiona una perturbación similar al ruido blanco, Si el nivel de interferencia inicial no debe incrementarse más del 1%, la potencia interferente del módem PLT debe encontrarse 20 dB por debajo del nivel de ruido de recepción total equivalente a la entrada del receptor.</w:t>
      </w:r>
    </w:p>
    <w:p w:rsidR="00B17B1F" w:rsidRPr="000F550F" w:rsidRDefault="00B17B1F" w:rsidP="00B17B1F">
      <w:pPr>
        <w:rPr>
          <w:lang w:val="es-ES_tradnl"/>
        </w:rPr>
      </w:pPr>
      <w:r w:rsidRPr="000F550F">
        <w:rPr>
          <w:lang w:val="es-ES_tradnl"/>
        </w:rPr>
        <w:t xml:space="preserve">El nivel de ruido equivalente a la entrada del receptor es el nivel de ruido térmico más el factor de ruido del receptor más el ruido artificial (MMN), el margen debido al ruido artificial recibido por la antena. El resultado no depende de la anchura de banda de la señal si se utiliza </w:t>
      </w:r>
      <w:r w:rsidR="00156B27" w:rsidRPr="000F550F">
        <w:rPr>
          <w:lang w:val="es-ES_tradnl"/>
        </w:rPr>
        <w:t xml:space="preserve">DEP </w:t>
      </w:r>
      <w:r w:rsidRPr="000F550F">
        <w:rPr>
          <w:lang w:val="es-ES_tradnl"/>
        </w:rPr>
        <w:t>en vez de potencia.</w:t>
      </w:r>
    </w:p>
    <w:p w:rsidR="00B17B1F" w:rsidRPr="000F550F" w:rsidRDefault="00B17B1F" w:rsidP="00B17B1F">
      <w:pPr>
        <w:rPr>
          <w:lang w:val="es-ES_tradnl"/>
        </w:rPr>
      </w:pPr>
      <w:r w:rsidRPr="000F550F">
        <w:rPr>
          <w:lang w:val="es-ES_tradnl"/>
        </w:rPr>
        <w:t>La DEP del ruido térmico a 20</w:t>
      </w:r>
      <w:r w:rsidR="0075247D">
        <w:rPr>
          <w:lang w:val="es-ES_tradnl"/>
        </w:rPr>
        <w:t>° </w:t>
      </w:r>
      <w:r w:rsidRPr="000F550F">
        <w:rPr>
          <w:lang w:val="es-ES_tradnl"/>
        </w:rPr>
        <w:t xml:space="preserve">C es </w:t>
      </w:r>
      <w:r w:rsidR="00C16EF1" w:rsidRPr="00C16EF1">
        <w:rPr>
          <w:lang w:val="es-ES_tradnl"/>
        </w:rPr>
        <w:t>–</w:t>
      </w:r>
      <w:r w:rsidRPr="000F550F">
        <w:rPr>
          <w:lang w:val="es-ES_tradnl"/>
        </w:rPr>
        <w:t xml:space="preserve">174 dBm/Hz. Tras sumar F y MMN, la DEP del ruido de fondo a la entrada del receptor es </w:t>
      </w:r>
      <w:r w:rsidR="00C16EF1" w:rsidRPr="00C16EF1">
        <w:rPr>
          <w:lang w:val="es-ES_tradnl"/>
        </w:rPr>
        <w:t>–</w:t>
      </w:r>
      <w:r w:rsidRPr="000F550F">
        <w:rPr>
          <w:lang w:val="es-ES_tradnl"/>
        </w:rPr>
        <w:t>164 dBm/Hz</w:t>
      </w:r>
    </w:p>
    <w:p w:rsidR="00B17B1F" w:rsidRPr="000F550F" w:rsidRDefault="00B17B1F" w:rsidP="00B17B1F">
      <w:pPr>
        <w:rPr>
          <w:lang w:val="es-ES_tradnl"/>
        </w:rPr>
      </w:pPr>
      <w:r w:rsidRPr="000F550F">
        <w:rPr>
          <w:lang w:val="es-ES_tradnl"/>
        </w:rPr>
        <w:t xml:space="preserve">La interferencia PLT debe encontrarse al menos 20 dB por debajo; es decir, a </w:t>
      </w:r>
      <w:r w:rsidR="00C16EF1" w:rsidRPr="00C16EF1">
        <w:rPr>
          <w:lang w:val="es-ES_tradnl"/>
        </w:rPr>
        <w:t>–</w:t>
      </w:r>
      <w:r w:rsidRPr="000F550F">
        <w:rPr>
          <w:lang w:val="es-ES_tradnl"/>
        </w:rPr>
        <w:t>184 dBm/Hz.</w:t>
      </w:r>
    </w:p>
    <w:p w:rsidR="00B17B1F" w:rsidRPr="000F550F" w:rsidRDefault="00B17B1F" w:rsidP="00B17B1F">
      <w:pPr>
        <w:rPr>
          <w:lang w:val="es-ES_tradnl"/>
        </w:rPr>
      </w:pPr>
      <w:r w:rsidRPr="000F550F">
        <w:rPr>
          <w:lang w:val="es-ES_tradnl"/>
        </w:rPr>
        <w:t>Se supone un valor de pérdidas de acoplamiento ente un módem PLT y una antena dipolo de 62</w:t>
      </w:r>
      <w:r w:rsidR="00C16EF1">
        <w:rPr>
          <w:lang w:val="es-ES_tradnl"/>
        </w:rPr>
        <w:t> </w:t>
      </w:r>
      <w:r w:rsidRPr="000F550F">
        <w:rPr>
          <w:lang w:val="es-ES_tradnl"/>
        </w:rPr>
        <w:t xml:space="preserve">dB. La antena de recepción DAB tiene una ganancia de </w:t>
      </w:r>
      <w:r w:rsidR="00A60E32" w:rsidRPr="00A60E32">
        <w:rPr>
          <w:lang w:val="es-ES_tradnl"/>
        </w:rPr>
        <w:t>–</w:t>
      </w:r>
      <w:r w:rsidRPr="000F550F">
        <w:rPr>
          <w:lang w:val="es-ES_tradnl"/>
        </w:rPr>
        <w:t>2,2</w:t>
      </w:r>
      <w:r w:rsidR="00A60E32">
        <w:rPr>
          <w:lang w:val="es-ES_tradnl"/>
        </w:rPr>
        <w:t> </w:t>
      </w:r>
      <w:r w:rsidRPr="000F550F">
        <w:rPr>
          <w:lang w:val="es-ES_tradnl"/>
        </w:rPr>
        <w:t>dB con respecto a un dipolo, de manera que las pérdidas de acoplamiento totales entre un módem PLT y el receptor DAB son de 64,2</w:t>
      </w:r>
      <w:r w:rsidR="00C16EF1">
        <w:rPr>
          <w:lang w:val="es-ES_tradnl"/>
        </w:rPr>
        <w:t> </w:t>
      </w:r>
      <w:r w:rsidRPr="000F550F">
        <w:rPr>
          <w:lang w:val="es-ES_tradnl"/>
        </w:rPr>
        <w:t xml:space="preserve">dB. Añadiendo las pérdidas de acoplamiento a la DEP del ruido de fondo se determina que la DEP a la salida del módem PLT debe ser inferior a </w:t>
      </w:r>
      <w:r w:rsidR="00C16EF1" w:rsidRPr="00C16EF1">
        <w:rPr>
          <w:lang w:val="es-ES_tradnl"/>
        </w:rPr>
        <w:t>–</w:t>
      </w:r>
      <w:r w:rsidRPr="000F550F">
        <w:rPr>
          <w:lang w:val="es-ES_tradnl"/>
        </w:rPr>
        <w:t>119,8 dBm/Hz.</w:t>
      </w:r>
    </w:p>
    <w:p w:rsidR="00B17B1F" w:rsidRPr="000F550F" w:rsidRDefault="00B17B1F" w:rsidP="00B17B1F">
      <w:pPr>
        <w:rPr>
          <w:lang w:val="es-ES_tradnl"/>
        </w:rPr>
      </w:pPr>
      <w:r w:rsidRPr="000F550F">
        <w:rPr>
          <w:lang w:val="es-ES_tradnl"/>
        </w:rPr>
        <w:t>En consecuencia, la potencia de salida total entre 30</w:t>
      </w:r>
      <w:r w:rsidR="0075247D">
        <w:rPr>
          <w:lang w:val="es-ES_tradnl"/>
        </w:rPr>
        <w:t> </w:t>
      </w:r>
      <w:r w:rsidRPr="000F550F">
        <w:rPr>
          <w:lang w:val="es-ES_tradnl"/>
        </w:rPr>
        <w:t>MHz y 300</w:t>
      </w:r>
      <w:r w:rsidR="0075247D">
        <w:rPr>
          <w:lang w:val="es-ES_tradnl"/>
        </w:rPr>
        <w:t> </w:t>
      </w:r>
      <w:r w:rsidRPr="000F550F">
        <w:rPr>
          <w:lang w:val="es-ES_tradnl"/>
        </w:rPr>
        <w:t xml:space="preserve">MHz no debe rebasar el valor de </w:t>
      </w:r>
      <w:r w:rsidR="00C16EF1">
        <w:rPr>
          <w:lang w:val="es-ES_tradnl"/>
        </w:rPr>
        <w:fldChar w:fldCharType="begin"/>
      </w:r>
      <w:r w:rsidR="00C16EF1">
        <w:rPr>
          <w:lang w:val="es-ES_tradnl"/>
        </w:rPr>
        <w:instrText xml:space="preserve"> EQ  </w:instrText>
      </w:r>
      <w:r w:rsidR="00C16EF1" w:rsidRPr="00C16EF1">
        <w:rPr>
          <w:lang w:val="es-ES_tradnl"/>
        </w:rPr>
        <w:instrText>–</w:instrText>
      </w:r>
      <w:r w:rsidR="00C16EF1" w:rsidRPr="000F550F">
        <w:rPr>
          <w:lang w:val="es-ES_tradnl"/>
        </w:rPr>
        <w:instrText>35,5</w:instrText>
      </w:r>
      <w:r w:rsidR="00C16EF1">
        <w:rPr>
          <w:lang w:val="es-ES_tradnl"/>
        </w:rPr>
        <w:fldChar w:fldCharType="end"/>
      </w:r>
      <w:r w:rsidR="00C16EF1">
        <w:rPr>
          <w:lang w:val="es-ES_tradnl"/>
        </w:rPr>
        <w:t> </w:t>
      </w:r>
      <w:r w:rsidRPr="000F550F">
        <w:rPr>
          <w:lang w:val="es-ES_tradnl"/>
        </w:rPr>
        <w:t>dBm.</w:t>
      </w:r>
    </w:p>
    <w:p w:rsidR="00B17B1F" w:rsidRPr="000F550F" w:rsidRDefault="00B17B1F" w:rsidP="00B17B1F">
      <w:pPr>
        <w:pStyle w:val="Heading2"/>
        <w:rPr>
          <w:lang w:val="es-ES_tradnl"/>
        </w:rPr>
      </w:pPr>
      <w:r w:rsidRPr="000F550F">
        <w:rPr>
          <w:lang w:val="es-ES_tradnl"/>
        </w:rPr>
        <w:t>2.6</w:t>
      </w:r>
      <w:r w:rsidRPr="000F550F">
        <w:rPr>
          <w:lang w:val="es-ES_tradnl"/>
        </w:rPr>
        <w:tab/>
        <w:t>Conclusiones</w:t>
      </w:r>
    </w:p>
    <w:p w:rsidR="00B17B1F" w:rsidRPr="000F550F" w:rsidRDefault="00B17B1F" w:rsidP="00B17B1F">
      <w:pPr>
        <w:rPr>
          <w:lang w:val="es-ES_tradnl"/>
        </w:rPr>
      </w:pPr>
      <w:r w:rsidRPr="000F550F">
        <w:rPr>
          <w:lang w:val="es-ES_tradnl"/>
        </w:rPr>
        <w:t>La potencia interferente a la entrada del receptor puede calcularse basándose en la DEP a la salida del módem PLT si se conocen las pérdidas de acoplamiento entre la salida del módem PLT y la salida de antena del receptor. Viceversa, fijando el máximo nivel de interferencia permitido a la entrada del receptor, la máxima DEP de la señal de salida del módem PLT admisible puede calcularse utilizando las pérdidas de acoplamiento.</w:t>
      </w:r>
    </w:p>
    <w:p w:rsidR="00B17B1F" w:rsidRPr="000F550F" w:rsidRDefault="00B17B1F" w:rsidP="00B17B1F">
      <w:pPr>
        <w:rPr>
          <w:lang w:val="es-ES_tradnl"/>
        </w:rPr>
      </w:pPr>
      <w:r w:rsidRPr="000F550F">
        <w:rPr>
          <w:lang w:val="es-ES_tradnl"/>
        </w:rPr>
        <w:t>Las pérdidas de</w:t>
      </w:r>
      <w:r w:rsidRPr="000F550F">
        <w:rPr>
          <w:color w:val="FF0000"/>
          <w:lang w:val="es-ES_tradnl"/>
        </w:rPr>
        <w:t xml:space="preserve"> </w:t>
      </w:r>
      <w:r w:rsidRPr="000F550F">
        <w:rPr>
          <w:lang w:val="es-ES_tradnl"/>
        </w:rPr>
        <w:t>acoplamiento entre un módem PLT conectado a una toma de red y la salida de una antena dipolo con polarización vertical en la gama de frecuencias de ondas métricas se midieron en un laboratorio y en una casa adosada típica situada en una zona rural de Alemania. Los valores registrados se encontraron en la gama entre 48</w:t>
      </w:r>
      <w:r w:rsidR="0075247D">
        <w:rPr>
          <w:lang w:val="es-ES_tradnl"/>
        </w:rPr>
        <w:t> </w:t>
      </w:r>
      <w:r w:rsidRPr="000F550F">
        <w:rPr>
          <w:lang w:val="es-ES_tradnl"/>
        </w:rPr>
        <w:t>dB y 57</w:t>
      </w:r>
      <w:r w:rsidR="0075247D">
        <w:rPr>
          <w:lang w:val="es-ES_tradnl"/>
        </w:rPr>
        <w:t> </w:t>
      </w:r>
      <w:r w:rsidRPr="000F550F">
        <w:rPr>
          <w:lang w:val="es-ES_tradnl"/>
        </w:rPr>
        <w:t>dB dentro de la casa y entre 62</w:t>
      </w:r>
      <w:r w:rsidR="0075247D">
        <w:rPr>
          <w:lang w:val="es-ES_tradnl"/>
        </w:rPr>
        <w:t> </w:t>
      </w:r>
      <w:r w:rsidRPr="000F550F">
        <w:rPr>
          <w:lang w:val="es-ES_tradnl"/>
        </w:rPr>
        <w:t>dB y 70</w:t>
      </w:r>
      <w:r w:rsidR="0075247D">
        <w:rPr>
          <w:lang w:val="es-ES_tradnl"/>
        </w:rPr>
        <w:t> </w:t>
      </w:r>
      <w:r w:rsidRPr="000F550F">
        <w:rPr>
          <w:lang w:val="es-ES_tradnl"/>
        </w:rPr>
        <w:t>dB entre casas adyacentes.</w:t>
      </w:r>
    </w:p>
    <w:p w:rsidR="00B17B1F" w:rsidRPr="000F550F" w:rsidRDefault="00B17B1F" w:rsidP="00B17B1F">
      <w:pPr>
        <w:rPr>
          <w:lang w:val="es-ES_tradnl"/>
        </w:rPr>
      </w:pPr>
      <w:r w:rsidRPr="000F550F">
        <w:rPr>
          <w:lang w:val="es-ES_tradnl"/>
        </w:rPr>
        <w:t xml:space="preserve">Basándose en los resultados de la medición, si la potencia interferente en un apartamento adyacente no debe rebasar la potencia de ruido total recibida para la recepción DAB en la banda de frecuencias de ondas métricas más del 1%, la máxima DEP de la señal de salida del módem PLT no debe superar el valor de </w:t>
      </w:r>
      <w:r w:rsidR="00A60E32" w:rsidRPr="00A60E32">
        <w:rPr>
          <w:lang w:val="es-ES_tradnl"/>
        </w:rPr>
        <w:t>–</w:t>
      </w:r>
      <w:r w:rsidRPr="000F550F">
        <w:rPr>
          <w:lang w:val="es-ES_tradnl"/>
        </w:rPr>
        <w:t>120 dBm/Hz.</w:t>
      </w:r>
    </w:p>
    <w:p w:rsidR="00B17B1F" w:rsidRPr="000F550F" w:rsidRDefault="00B17B1F" w:rsidP="00B17B1F">
      <w:pPr>
        <w:rPr>
          <w:lang w:val="es-ES_tradnl"/>
        </w:rPr>
      </w:pPr>
      <w:r w:rsidRPr="000F550F">
        <w:rPr>
          <w:lang w:val="es-ES_tradnl"/>
        </w:rPr>
        <w:t>Los valores de pérdidas de acoplamiento medidos y el máximo nivel de DEP de la señal de salida del módem PLT calculados son válidos para casas similares a aquéllas donde se realizaron las mediciones, con un cableado de la red eléctrica similar. Para otros tipos de casas y otras formas de cableado los valores pueden diferir muy significativamente.</w:t>
      </w:r>
    </w:p>
    <w:p w:rsidR="00B17B1F" w:rsidRPr="000F550F" w:rsidRDefault="00B17B1F" w:rsidP="00B17B1F">
      <w:pPr>
        <w:pStyle w:val="Heading1"/>
        <w:rPr>
          <w:lang w:val="es-ES_tradnl"/>
        </w:rPr>
      </w:pPr>
      <w:bookmarkStart w:id="4" w:name="_Toc391562223"/>
      <w:r w:rsidRPr="000F550F">
        <w:rPr>
          <w:lang w:val="es-ES_tradnl"/>
        </w:rPr>
        <w:t>3</w:t>
      </w:r>
      <w:r w:rsidRPr="000F550F">
        <w:rPr>
          <w:lang w:val="es-ES_tradnl"/>
        </w:rPr>
        <w:tab/>
        <w:t>Metodologías de la fuente del punto de radiación</w:t>
      </w:r>
      <w:bookmarkEnd w:id="4"/>
    </w:p>
    <w:p w:rsidR="00B17B1F" w:rsidRPr="000F550F" w:rsidRDefault="00B17B1F" w:rsidP="00B17B1F">
      <w:pPr>
        <w:rPr>
          <w:lang w:val="es-ES_tradnl"/>
        </w:rPr>
      </w:pPr>
      <w:r w:rsidRPr="000F550F">
        <w:rPr>
          <w:lang w:val="es-ES_tradnl"/>
        </w:rPr>
        <w:t>Este punto considera la influencia de PLT sobre las comunicaciones celulares móviles en la banda 450-470</w:t>
      </w:r>
      <w:r w:rsidR="0075247D">
        <w:rPr>
          <w:lang w:val="es-ES_tradnl"/>
        </w:rPr>
        <w:t> </w:t>
      </w:r>
      <w:r w:rsidRPr="000F550F">
        <w:rPr>
          <w:lang w:val="es-ES_tradnl"/>
        </w:rPr>
        <w:t>MHz. El comportamiento difícil de los cables eléctricos como fuente de radiación distribuida ha sido un factor de complicación en todas las evaluaciones experimentales y teóricas de la influencia de PLT a frecuencias inferiores a unos 250</w:t>
      </w:r>
      <w:r w:rsidR="0075247D">
        <w:rPr>
          <w:lang w:val="es-ES_tradnl"/>
        </w:rPr>
        <w:t> </w:t>
      </w:r>
      <w:r w:rsidRPr="000F550F">
        <w:rPr>
          <w:lang w:val="es-ES_tradnl"/>
        </w:rPr>
        <w:t>MHz. No obstante, en algunas frecuencias puede suceder que un módem PLT conectado a una cierta longitud de cableado se comporte más bien como una fuente puntual.</w:t>
      </w:r>
    </w:p>
    <w:p w:rsidR="00B17B1F" w:rsidRPr="000F550F" w:rsidRDefault="00B17B1F" w:rsidP="00B17B1F">
      <w:pPr>
        <w:rPr>
          <w:lang w:val="es-ES_tradnl"/>
        </w:rPr>
      </w:pPr>
      <w:r w:rsidRPr="000F550F">
        <w:rPr>
          <w:lang w:val="es-ES_tradnl"/>
        </w:rPr>
        <w:lastRenderedPageBreak/>
        <w:t>El «efecto piel» asegura que la atenuación a lo largo de los cables aumenta con la frecuencia. Por lo tanto, a medida que se eleva la frecuencia de funcionamiento solo una corta longitud del cable próximo al punto de inyección será capaz de radiar y el problema de las emisiones radiadas PLT se reduce al de varios módems PLT radiando como fuentes puntuales desde una longitud corta del cable en cada punto de conexión. Por el mismo motivo, es posible que la comunicación a través del cableado de la red eléctrica se apoye más en la radiación y recepción en cada punto de recepción que en las señales PLT atenuadas que se transmiten por el cableado eléctrico.</w:t>
      </w:r>
    </w:p>
    <w:p w:rsidR="00B17B1F" w:rsidRPr="000F550F" w:rsidRDefault="00B17B1F" w:rsidP="00B17B1F">
      <w:pPr>
        <w:rPr>
          <w:lang w:val="es-ES_tradnl"/>
        </w:rPr>
      </w:pPr>
      <w:r w:rsidRPr="000F550F">
        <w:rPr>
          <w:lang w:val="es-ES_tradnl"/>
        </w:rPr>
        <w:t>No se dispone de información sobre cuándo se produce dicha transición en el comportamiento a lo largo de cables eléctricos típicos, pero es evidente que la utilización de un modelo sencillo de fuente puntual para evaluar las pérdidas de acoplamiento que intervienen en las emisiones PLT radiadas será más adecuado a medida que aumente la frecuencia.</w:t>
      </w:r>
    </w:p>
    <w:p w:rsidR="00B17B1F" w:rsidRPr="000F550F" w:rsidRDefault="00B17B1F" w:rsidP="00B17B1F">
      <w:pPr>
        <w:pStyle w:val="Heading2"/>
        <w:rPr>
          <w:lang w:val="es-ES_tradnl"/>
        </w:rPr>
      </w:pPr>
      <w:r w:rsidRPr="000F550F">
        <w:rPr>
          <w:lang w:val="es-ES_tradnl"/>
        </w:rPr>
        <w:t>3.1</w:t>
      </w:r>
      <w:r w:rsidRPr="000F550F">
        <w:rPr>
          <w:lang w:val="es-ES_tradnl"/>
        </w:rPr>
        <w:tab/>
        <w:t>Metodología y cálculos para proteger los servicios móviles celulares</w:t>
      </w:r>
    </w:p>
    <w:p w:rsidR="00B17B1F" w:rsidRPr="000F550F" w:rsidRDefault="00B17B1F" w:rsidP="00B17B1F">
      <w:pPr>
        <w:rPr>
          <w:lang w:val="es-ES_tradnl"/>
        </w:rPr>
      </w:pPr>
      <w:r w:rsidRPr="000F550F">
        <w:rPr>
          <w:lang w:val="es-ES_tradnl"/>
        </w:rPr>
        <w:t>Las Recomendaciones UIT-R</w:t>
      </w:r>
      <w:r w:rsidR="0075247D">
        <w:rPr>
          <w:lang w:val="es-ES_tradnl"/>
        </w:rPr>
        <w:t> </w:t>
      </w:r>
      <w:r w:rsidRPr="000F550F">
        <w:rPr>
          <w:lang w:val="es-ES_tradnl"/>
        </w:rPr>
        <w:t>M.1767</w:t>
      </w:r>
      <w:r w:rsidR="0075247D">
        <w:rPr>
          <w:lang w:val="es-ES_tradnl"/>
        </w:rPr>
        <w:t xml:space="preserve"> </w:t>
      </w:r>
      <w:r w:rsidRPr="000F550F">
        <w:rPr>
          <w:lang w:val="es-ES_tradnl"/>
        </w:rPr>
        <w:t>y F.1670 aparecen como referencia en el Acuerdo Regional GE06 para proteger los servicios móviles y fijos contra la TV digital. El método de cálculo mostrado en el §</w:t>
      </w:r>
      <w:r w:rsidR="000C6DCB">
        <w:rPr>
          <w:lang w:val="es-ES_tradnl"/>
        </w:rPr>
        <w:t> </w:t>
      </w:r>
      <w:r w:rsidRPr="000F550F">
        <w:rPr>
          <w:lang w:val="es-ES_tradnl"/>
        </w:rPr>
        <w:t>3.2 se basa en la misma metodología y proporciona los umbrales de interferencia y las máscaras de emisión radiada PLT.</w:t>
      </w:r>
    </w:p>
    <w:p w:rsidR="00B17B1F" w:rsidRPr="000F550F" w:rsidRDefault="00B17B1F" w:rsidP="00B17B1F">
      <w:pPr>
        <w:rPr>
          <w:lang w:val="es-ES_tradnl"/>
        </w:rPr>
      </w:pPr>
      <w:r w:rsidRPr="000F550F">
        <w:rPr>
          <w:lang w:val="es-ES_tradnl"/>
        </w:rPr>
        <w:t>Teniendo en cuenta las distancias (PLT al servicio interferido; véanse las distancias entre paréntesis en el Cuadro 1 fila 3) y de las hipótesis previamente realizadas pueden obtenerse los siguientes niveles de activación y los máximos valores permitidos de potencia de cresta PLT:</w:t>
      </w:r>
    </w:p>
    <w:p w:rsidR="00B17B1F" w:rsidRPr="000F550F" w:rsidRDefault="00B17B1F" w:rsidP="00B17B1F">
      <w:pPr>
        <w:pStyle w:val="TableNo"/>
        <w:rPr>
          <w:lang w:val="es-ES_tradnl"/>
        </w:rPr>
      </w:pPr>
      <w:r w:rsidRPr="000F550F">
        <w:rPr>
          <w:lang w:val="es-ES_tradnl"/>
        </w:rPr>
        <w:t>CUADRO 1</w:t>
      </w:r>
    </w:p>
    <w:p w:rsidR="00B17B1F" w:rsidRPr="000F550F" w:rsidRDefault="00B17B1F" w:rsidP="00B17B1F">
      <w:pPr>
        <w:pStyle w:val="Tabletitle"/>
        <w:rPr>
          <w:lang w:val="es-ES_tradnl"/>
        </w:rPr>
      </w:pPr>
      <w:r w:rsidRPr="000F550F">
        <w:rPr>
          <w:lang w:val="es-ES_tradnl"/>
        </w:rPr>
        <w:t xml:space="preserve">Niveles de activación y máxima potencia de cresta PLT </w:t>
      </w:r>
      <w:r w:rsidR="0075247D" w:rsidRPr="000F550F">
        <w:rPr>
          <w:lang w:val="es-ES_tradnl"/>
        </w:rPr>
        <w:t xml:space="preserve">para </w:t>
      </w:r>
      <w:r w:rsidRPr="000F550F">
        <w:rPr>
          <w:lang w:val="es-ES_tradnl"/>
        </w:rPr>
        <w:br/>
      </w:r>
      <w:r w:rsidR="0075247D" w:rsidRPr="000F550F">
        <w:rPr>
          <w:lang w:val="es-ES_tradnl"/>
        </w:rPr>
        <w:t xml:space="preserve">diferentes </w:t>
      </w:r>
      <w:r w:rsidRPr="000F550F">
        <w:rPr>
          <w:lang w:val="es-ES_tradnl"/>
        </w:rPr>
        <w:t>receptores interferidos en la gama 80-470 MHz</w:t>
      </w:r>
    </w:p>
    <w:tbl>
      <w:tblPr>
        <w:tblW w:w="9638" w:type="dxa"/>
        <w:jc w:val="center"/>
        <w:tblLayout w:type="fixed"/>
        <w:tblLook w:val="0000" w:firstRow="0" w:lastRow="0" w:firstColumn="0" w:lastColumn="0" w:noHBand="0" w:noVBand="0"/>
      </w:tblPr>
      <w:tblGrid>
        <w:gridCol w:w="3685"/>
        <w:gridCol w:w="1814"/>
        <w:gridCol w:w="2268"/>
        <w:gridCol w:w="1871"/>
      </w:tblGrid>
      <w:tr w:rsidR="00B17B1F" w:rsidRPr="00142C14" w:rsidTr="000C6DCB">
        <w:trPr>
          <w:jc w:val="center"/>
        </w:trPr>
        <w:tc>
          <w:tcPr>
            <w:tcW w:w="3685" w:type="dxa"/>
            <w:tcBorders>
              <w:top w:val="single" w:sz="2" w:space="0" w:color="000000"/>
              <w:left w:val="single" w:sz="2" w:space="0" w:color="000000"/>
              <w:bottom w:val="single" w:sz="2" w:space="0" w:color="000000"/>
            </w:tcBorders>
            <w:vAlign w:val="center"/>
          </w:tcPr>
          <w:p w:rsidR="00B17B1F" w:rsidRPr="000F550F" w:rsidRDefault="00B17B1F" w:rsidP="009F6F1F">
            <w:pPr>
              <w:pStyle w:val="Tablehead"/>
              <w:rPr>
                <w:lang w:val="es-ES_tradnl"/>
              </w:rPr>
            </w:pPr>
            <w:r w:rsidRPr="000F550F">
              <w:rPr>
                <w:lang w:val="es-ES_tradnl"/>
              </w:rPr>
              <w:t>Potencia e intensidad</w:t>
            </w:r>
            <w:r w:rsidR="009F6F1F">
              <w:rPr>
                <w:lang w:val="es-ES_tradnl"/>
              </w:rPr>
              <w:br/>
            </w:r>
            <w:r w:rsidRPr="000F550F">
              <w:rPr>
                <w:lang w:val="es-ES_tradnl"/>
              </w:rPr>
              <w:t>de campo por</w:t>
            </w:r>
            <w:r w:rsidR="009F6F1F">
              <w:rPr>
                <w:lang w:val="es-ES_tradnl"/>
              </w:rPr>
              <w:br/>
            </w:r>
            <w:r w:rsidRPr="000F550F">
              <w:rPr>
                <w:lang w:val="es-ES_tradnl"/>
              </w:rPr>
              <w:t>1 MHz</w:t>
            </w:r>
          </w:p>
        </w:tc>
        <w:tc>
          <w:tcPr>
            <w:tcW w:w="1814" w:type="dxa"/>
            <w:tcBorders>
              <w:top w:val="single" w:sz="2" w:space="0" w:color="000000"/>
              <w:left w:val="single" w:sz="2" w:space="0" w:color="000000"/>
              <w:bottom w:val="single" w:sz="2" w:space="0" w:color="000000"/>
            </w:tcBorders>
            <w:vAlign w:val="center"/>
          </w:tcPr>
          <w:p w:rsidR="00B17B1F" w:rsidRPr="000F550F" w:rsidRDefault="00B17B1F" w:rsidP="000C6DCB">
            <w:pPr>
              <w:pStyle w:val="Tablehead"/>
              <w:rPr>
                <w:lang w:val="es-ES_tradnl"/>
              </w:rPr>
            </w:pPr>
            <w:r w:rsidRPr="000F550F">
              <w:rPr>
                <w:lang w:val="es-ES_tradnl"/>
              </w:rPr>
              <w:t xml:space="preserve">Terminal </w:t>
            </w:r>
            <w:r w:rsidR="000C6DCB" w:rsidRPr="000F550F">
              <w:rPr>
                <w:lang w:val="es-ES_tradnl"/>
              </w:rPr>
              <w:t xml:space="preserve">celular </w:t>
            </w:r>
            <w:r w:rsidRPr="000F550F">
              <w:rPr>
                <w:lang w:val="es-ES_tradnl"/>
              </w:rPr>
              <w:t>en interiores o estaciones de</w:t>
            </w:r>
            <w:r w:rsidR="000C6DCB">
              <w:rPr>
                <w:lang w:val="es-ES_tradnl"/>
              </w:rPr>
              <w:br/>
            </w:r>
            <w:r w:rsidRPr="000F550F">
              <w:rPr>
                <w:lang w:val="es-ES_tradnl"/>
              </w:rPr>
              <w:t xml:space="preserve">base doméstica </w:t>
            </w:r>
          </w:p>
        </w:tc>
        <w:tc>
          <w:tcPr>
            <w:tcW w:w="2268" w:type="dxa"/>
            <w:tcBorders>
              <w:top w:val="single" w:sz="2" w:space="0" w:color="000000"/>
              <w:left w:val="single" w:sz="2" w:space="0" w:color="000000"/>
              <w:bottom w:val="single" w:sz="2" w:space="0" w:color="000000"/>
            </w:tcBorders>
            <w:vAlign w:val="center"/>
          </w:tcPr>
          <w:p w:rsidR="00B17B1F" w:rsidRPr="000F550F" w:rsidRDefault="00B17B1F" w:rsidP="000C6DCB">
            <w:pPr>
              <w:pStyle w:val="Tablehead"/>
              <w:rPr>
                <w:lang w:val="es-ES_tradnl"/>
              </w:rPr>
            </w:pPr>
            <w:r w:rsidRPr="000F550F">
              <w:rPr>
                <w:lang w:val="es-ES_tradnl"/>
              </w:rPr>
              <w:t>Estación de base celular macrocelular/</w:t>
            </w:r>
            <w:r w:rsidRPr="000F550F">
              <w:rPr>
                <w:lang w:val="es-ES_tradnl"/>
              </w:rPr>
              <w:br/>
              <w:t>microcelular</w:t>
            </w:r>
            <w:r w:rsidR="000C6DCB">
              <w:rPr>
                <w:lang w:val="es-ES_tradnl"/>
              </w:rPr>
              <w:br/>
            </w:r>
            <w:r w:rsidRPr="000F550F">
              <w:rPr>
                <w:lang w:val="es-ES_tradnl"/>
              </w:rPr>
              <w:t>en exteriores</w:t>
            </w:r>
            <w:r w:rsidR="000C6DCB">
              <w:rPr>
                <w:lang w:val="es-ES_tradnl"/>
              </w:rPr>
              <w:br/>
            </w:r>
            <w:r w:rsidRPr="000F550F">
              <w:rPr>
                <w:lang w:val="es-ES_tradnl"/>
              </w:rPr>
              <w:t>y estación fija</w:t>
            </w:r>
          </w:p>
        </w:tc>
        <w:tc>
          <w:tcPr>
            <w:tcW w:w="1871" w:type="dxa"/>
            <w:tcBorders>
              <w:top w:val="single" w:sz="2" w:space="0" w:color="000000"/>
              <w:left w:val="single" w:sz="2" w:space="0" w:color="000000"/>
              <w:bottom w:val="single" w:sz="2" w:space="0" w:color="000000"/>
              <w:right w:val="single" w:sz="2" w:space="0" w:color="000000"/>
            </w:tcBorders>
            <w:vAlign w:val="center"/>
          </w:tcPr>
          <w:p w:rsidR="00B17B1F" w:rsidRPr="000F550F" w:rsidRDefault="00B17B1F" w:rsidP="00DF0026">
            <w:pPr>
              <w:pStyle w:val="Tablehead"/>
              <w:rPr>
                <w:lang w:val="es-ES_tradnl"/>
              </w:rPr>
            </w:pPr>
            <w:r w:rsidRPr="000F550F">
              <w:rPr>
                <w:lang w:val="es-ES_tradnl"/>
              </w:rPr>
              <w:t>Estación de radiolocalización en exteriores</w:t>
            </w:r>
          </w:p>
        </w:tc>
      </w:tr>
      <w:tr w:rsidR="00B17B1F" w:rsidRPr="000F550F" w:rsidTr="000C6DCB">
        <w:trPr>
          <w:trHeight w:val="576"/>
          <w:jc w:val="center"/>
        </w:trPr>
        <w:tc>
          <w:tcPr>
            <w:tcW w:w="3685" w:type="dxa"/>
            <w:tcBorders>
              <w:left w:val="single" w:sz="2" w:space="0" w:color="000000"/>
              <w:bottom w:val="single" w:sz="2" w:space="0" w:color="000000"/>
            </w:tcBorders>
            <w:vAlign w:val="center"/>
          </w:tcPr>
          <w:p w:rsidR="00B17B1F" w:rsidRPr="000F550F" w:rsidRDefault="00B17B1F" w:rsidP="00DF0026">
            <w:pPr>
              <w:pStyle w:val="Tabletext"/>
              <w:jc w:val="left"/>
              <w:rPr>
                <w:lang w:val="es-ES_tradnl"/>
              </w:rPr>
            </w:pPr>
            <w:r w:rsidRPr="000F550F">
              <w:rPr>
                <w:lang w:val="es-ES_tradnl"/>
              </w:rPr>
              <w:t>Nivel de activación de potencia (dBm)</w:t>
            </w:r>
          </w:p>
        </w:tc>
        <w:tc>
          <w:tcPr>
            <w:tcW w:w="1814" w:type="dxa"/>
            <w:tcBorders>
              <w:left w:val="single" w:sz="2" w:space="0" w:color="000000"/>
              <w:bottom w:val="single" w:sz="2" w:space="0" w:color="000000"/>
            </w:tcBorders>
            <w:vAlign w:val="center"/>
          </w:tcPr>
          <w:p w:rsidR="00B17B1F" w:rsidRPr="000F550F" w:rsidRDefault="00B17B1F" w:rsidP="00DF0026">
            <w:pPr>
              <w:pStyle w:val="Tabletext"/>
              <w:jc w:val="center"/>
              <w:rPr>
                <w:lang w:val="es-ES_tradnl"/>
              </w:rPr>
            </w:pPr>
            <w:r w:rsidRPr="000F550F">
              <w:rPr>
                <w:lang w:val="es-ES_tradnl"/>
              </w:rPr>
              <w:t>–129</w:t>
            </w:r>
          </w:p>
        </w:tc>
        <w:tc>
          <w:tcPr>
            <w:tcW w:w="2268" w:type="dxa"/>
            <w:tcBorders>
              <w:left w:val="single" w:sz="2" w:space="0" w:color="000000"/>
              <w:bottom w:val="single" w:sz="2" w:space="0" w:color="000000"/>
            </w:tcBorders>
            <w:vAlign w:val="center"/>
          </w:tcPr>
          <w:p w:rsidR="00B17B1F" w:rsidRPr="000F550F" w:rsidRDefault="00B17B1F" w:rsidP="00DF0026">
            <w:pPr>
              <w:pStyle w:val="Tabletext"/>
              <w:jc w:val="center"/>
              <w:rPr>
                <w:lang w:val="es-ES_tradnl"/>
              </w:rPr>
            </w:pPr>
            <w:r w:rsidRPr="000F550F">
              <w:rPr>
                <w:lang w:val="es-ES_tradnl"/>
              </w:rPr>
              <w:t>–141</w:t>
            </w:r>
          </w:p>
        </w:tc>
        <w:tc>
          <w:tcPr>
            <w:tcW w:w="1871" w:type="dxa"/>
            <w:tcBorders>
              <w:left w:val="single" w:sz="2" w:space="0" w:color="000000"/>
              <w:bottom w:val="single" w:sz="2" w:space="0" w:color="000000"/>
              <w:right w:val="single" w:sz="2" w:space="0" w:color="000000"/>
            </w:tcBorders>
            <w:vAlign w:val="center"/>
          </w:tcPr>
          <w:p w:rsidR="00B17B1F" w:rsidRPr="000F550F" w:rsidRDefault="00B17B1F" w:rsidP="00DF0026">
            <w:pPr>
              <w:pStyle w:val="Tabletext"/>
              <w:jc w:val="center"/>
              <w:rPr>
                <w:lang w:val="es-ES_tradnl"/>
              </w:rPr>
            </w:pPr>
            <w:r w:rsidRPr="000F550F">
              <w:rPr>
                <w:lang w:val="es-ES_tradnl"/>
              </w:rPr>
              <w:t>–149</w:t>
            </w:r>
          </w:p>
        </w:tc>
      </w:tr>
      <w:tr w:rsidR="00B17B1F" w:rsidRPr="000F550F" w:rsidTr="000C6DCB">
        <w:trPr>
          <w:trHeight w:val="576"/>
          <w:jc w:val="center"/>
        </w:trPr>
        <w:tc>
          <w:tcPr>
            <w:tcW w:w="3685" w:type="dxa"/>
            <w:tcBorders>
              <w:left w:val="single" w:sz="2" w:space="0" w:color="000000"/>
              <w:bottom w:val="single" w:sz="2" w:space="0" w:color="000000"/>
            </w:tcBorders>
            <w:vAlign w:val="center"/>
          </w:tcPr>
          <w:p w:rsidR="00B17B1F" w:rsidRPr="000F550F" w:rsidRDefault="00B17B1F" w:rsidP="00DF0026">
            <w:pPr>
              <w:pStyle w:val="Tabletext"/>
              <w:jc w:val="left"/>
              <w:rPr>
                <w:lang w:val="es-ES_tradnl"/>
              </w:rPr>
            </w:pPr>
            <w:r w:rsidRPr="000F550F">
              <w:rPr>
                <w:lang w:val="es-ES_tradnl"/>
              </w:rPr>
              <w:t>Nivel de activación de intensidad de campo (dB</w:t>
            </w:r>
            <w:r w:rsidRPr="000F550F">
              <w:rPr>
                <w:lang w:val="es-ES_tradnl"/>
              </w:rPr>
              <w:sym w:font="Symbol" w:char="F06D"/>
            </w:r>
            <w:r w:rsidRPr="000F550F">
              <w:rPr>
                <w:lang w:val="es-ES_tradnl"/>
              </w:rPr>
              <w:t xml:space="preserve">V/m) </w:t>
            </w:r>
          </w:p>
        </w:tc>
        <w:tc>
          <w:tcPr>
            <w:tcW w:w="1814" w:type="dxa"/>
            <w:tcBorders>
              <w:left w:val="single" w:sz="2" w:space="0" w:color="000000"/>
              <w:bottom w:val="single" w:sz="2" w:space="0" w:color="000000"/>
            </w:tcBorders>
            <w:vAlign w:val="center"/>
          </w:tcPr>
          <w:p w:rsidR="00B17B1F" w:rsidRPr="000F550F" w:rsidRDefault="00B17B1F" w:rsidP="00DF0026">
            <w:pPr>
              <w:pStyle w:val="Tabletext"/>
              <w:jc w:val="center"/>
              <w:rPr>
                <w:lang w:val="es-ES_tradnl"/>
              </w:rPr>
            </w:pPr>
            <w:r w:rsidRPr="000F550F">
              <w:rPr>
                <w:lang w:val="es-ES_tradnl"/>
              </w:rPr>
              <w:t>1,5</w:t>
            </w:r>
          </w:p>
        </w:tc>
        <w:tc>
          <w:tcPr>
            <w:tcW w:w="2268" w:type="dxa"/>
            <w:tcBorders>
              <w:left w:val="single" w:sz="2" w:space="0" w:color="000000"/>
              <w:bottom w:val="single" w:sz="2" w:space="0" w:color="000000"/>
            </w:tcBorders>
            <w:vAlign w:val="center"/>
          </w:tcPr>
          <w:p w:rsidR="00B17B1F" w:rsidRPr="000F550F" w:rsidRDefault="00B17B1F" w:rsidP="00DF0026">
            <w:pPr>
              <w:pStyle w:val="Tabletext"/>
              <w:jc w:val="center"/>
              <w:rPr>
                <w:lang w:val="es-ES_tradnl"/>
              </w:rPr>
            </w:pPr>
            <w:r w:rsidRPr="000F550F">
              <w:rPr>
                <w:lang w:val="es-ES_tradnl"/>
              </w:rPr>
              <w:t>–10,5</w:t>
            </w:r>
          </w:p>
        </w:tc>
        <w:tc>
          <w:tcPr>
            <w:tcW w:w="1871" w:type="dxa"/>
            <w:tcBorders>
              <w:left w:val="single" w:sz="2" w:space="0" w:color="000000"/>
              <w:bottom w:val="single" w:sz="2" w:space="0" w:color="000000"/>
              <w:right w:val="single" w:sz="2" w:space="0" w:color="000000"/>
            </w:tcBorders>
            <w:vAlign w:val="center"/>
          </w:tcPr>
          <w:p w:rsidR="00B17B1F" w:rsidRPr="000F550F" w:rsidRDefault="00B17B1F" w:rsidP="00DF0026">
            <w:pPr>
              <w:pStyle w:val="Tabletext"/>
              <w:jc w:val="center"/>
              <w:rPr>
                <w:lang w:val="es-ES_tradnl"/>
              </w:rPr>
            </w:pPr>
            <w:r w:rsidRPr="000F550F">
              <w:rPr>
                <w:lang w:val="es-ES_tradnl"/>
              </w:rPr>
              <w:t>–18,5</w:t>
            </w:r>
          </w:p>
        </w:tc>
      </w:tr>
      <w:tr w:rsidR="00B17B1F" w:rsidRPr="000F550F" w:rsidTr="000C6DCB">
        <w:trPr>
          <w:trHeight w:val="576"/>
          <w:jc w:val="center"/>
        </w:trPr>
        <w:tc>
          <w:tcPr>
            <w:tcW w:w="3685" w:type="dxa"/>
            <w:tcBorders>
              <w:left w:val="single" w:sz="2" w:space="0" w:color="000000"/>
              <w:bottom w:val="single" w:sz="2" w:space="0" w:color="000000"/>
            </w:tcBorders>
            <w:vAlign w:val="center"/>
          </w:tcPr>
          <w:p w:rsidR="00B17B1F" w:rsidRPr="000F550F" w:rsidRDefault="00B17B1F" w:rsidP="00DF0026">
            <w:pPr>
              <w:pStyle w:val="Tabletext"/>
              <w:jc w:val="left"/>
              <w:rPr>
                <w:lang w:val="es-ES_tradnl"/>
              </w:rPr>
            </w:pPr>
            <w:r w:rsidRPr="000F550F">
              <w:rPr>
                <w:lang w:val="es-ES_tradnl"/>
              </w:rPr>
              <w:t>Máxi</w:t>
            </w:r>
            <w:r w:rsidR="000C6DCB">
              <w:rPr>
                <w:lang w:val="es-ES_tradnl"/>
              </w:rPr>
              <w:t>ma potencia de cresta PLT (dBm)</w:t>
            </w:r>
          </w:p>
        </w:tc>
        <w:tc>
          <w:tcPr>
            <w:tcW w:w="1814" w:type="dxa"/>
            <w:tcBorders>
              <w:left w:val="single" w:sz="2" w:space="0" w:color="000000"/>
              <w:bottom w:val="single" w:sz="2" w:space="0" w:color="000000"/>
            </w:tcBorders>
            <w:vAlign w:val="center"/>
          </w:tcPr>
          <w:p w:rsidR="00B17B1F" w:rsidRPr="000F550F" w:rsidRDefault="00B17B1F" w:rsidP="00DF0026">
            <w:pPr>
              <w:pStyle w:val="Tabletext"/>
              <w:jc w:val="center"/>
              <w:rPr>
                <w:lang w:val="es-ES_tradnl"/>
              </w:rPr>
            </w:pPr>
            <w:r w:rsidRPr="000F550F">
              <w:rPr>
                <w:lang w:val="es-ES_tradnl"/>
              </w:rPr>
              <w:t>–103 (1 m)</w:t>
            </w:r>
          </w:p>
        </w:tc>
        <w:tc>
          <w:tcPr>
            <w:tcW w:w="2268" w:type="dxa"/>
            <w:tcBorders>
              <w:left w:val="single" w:sz="2" w:space="0" w:color="000000"/>
              <w:bottom w:val="single" w:sz="2" w:space="0" w:color="000000"/>
            </w:tcBorders>
            <w:vAlign w:val="center"/>
          </w:tcPr>
          <w:p w:rsidR="00B17B1F" w:rsidRPr="000F550F" w:rsidRDefault="00B17B1F" w:rsidP="00DF0026">
            <w:pPr>
              <w:pStyle w:val="Tabletext"/>
              <w:jc w:val="center"/>
              <w:rPr>
                <w:lang w:val="es-ES_tradnl"/>
              </w:rPr>
            </w:pPr>
            <w:r w:rsidRPr="000F550F">
              <w:rPr>
                <w:lang w:val="es-ES_tradnl"/>
              </w:rPr>
              <w:t>–95 (10 m)</w:t>
            </w:r>
          </w:p>
        </w:tc>
        <w:tc>
          <w:tcPr>
            <w:tcW w:w="1871" w:type="dxa"/>
            <w:tcBorders>
              <w:left w:val="single" w:sz="2" w:space="0" w:color="000000"/>
              <w:bottom w:val="single" w:sz="2" w:space="0" w:color="000000"/>
              <w:right w:val="single" w:sz="2" w:space="0" w:color="000000"/>
            </w:tcBorders>
            <w:vAlign w:val="center"/>
          </w:tcPr>
          <w:p w:rsidR="00B17B1F" w:rsidRPr="000F550F" w:rsidRDefault="00B17B1F" w:rsidP="00DF0026">
            <w:pPr>
              <w:pStyle w:val="Tabletext"/>
              <w:jc w:val="center"/>
              <w:rPr>
                <w:lang w:val="es-ES_tradnl"/>
              </w:rPr>
            </w:pPr>
            <w:r w:rsidRPr="000F550F">
              <w:rPr>
                <w:lang w:val="es-ES_tradnl"/>
              </w:rPr>
              <w:t>–83 (100 m)</w:t>
            </w:r>
          </w:p>
        </w:tc>
      </w:tr>
    </w:tbl>
    <w:p w:rsidR="00B17B1F" w:rsidRPr="000F550F" w:rsidRDefault="00B17B1F" w:rsidP="00B17B1F">
      <w:pPr>
        <w:pStyle w:val="Tablefin"/>
        <w:rPr>
          <w:lang w:val="es-ES_tradnl"/>
        </w:rPr>
      </w:pPr>
    </w:p>
    <w:p w:rsidR="00B17B1F" w:rsidRPr="000F550F" w:rsidRDefault="00B17B1F" w:rsidP="00B17B1F">
      <w:pPr>
        <w:rPr>
          <w:lang w:val="es-ES_tradnl"/>
        </w:rPr>
      </w:pPr>
      <w:r w:rsidRPr="000F550F">
        <w:rPr>
          <w:lang w:val="es-ES_tradnl"/>
        </w:rPr>
        <w:t>Este análisis de la interferencia causada por las emisiones radiadas PLT a la recepción de uno de los servicios terrenales comúnmente utilizados en los hogares también podría emplearse para proteger los servicios de radiodifusión en las bandas de ondas métricas y decimétricas. Además, esta metodología también puede ofrecer una base útil para estudiar la protección de los servicios de radiocomunicaciones contra las emisiones no deseadas de los servicios industriales, científicos y médicos (ICM) y de las instalaciones de la distribución de TV por cable.</w:t>
      </w:r>
    </w:p>
    <w:p w:rsidR="00B17B1F" w:rsidRPr="000F550F" w:rsidRDefault="00B17B1F" w:rsidP="00B17B1F">
      <w:pPr>
        <w:rPr>
          <w:lang w:val="es-ES_tradnl"/>
        </w:rPr>
      </w:pPr>
      <w:r w:rsidRPr="000F550F">
        <w:rPr>
          <w:lang w:val="es-ES_tradnl"/>
        </w:rPr>
        <w:t>La desensibilización tolerada de los receptores terrenales es de 0,05</w:t>
      </w:r>
      <w:r w:rsidR="0075247D">
        <w:rPr>
          <w:lang w:val="es-ES_tradnl"/>
        </w:rPr>
        <w:t> </w:t>
      </w:r>
      <w:r w:rsidRPr="000F550F">
        <w:rPr>
          <w:lang w:val="es-ES_tradnl"/>
        </w:rPr>
        <w:t>dB; la señal interferente permitida se encuentra 20</w:t>
      </w:r>
      <w:r w:rsidR="0075247D">
        <w:rPr>
          <w:lang w:val="es-ES_tradnl"/>
        </w:rPr>
        <w:t> </w:t>
      </w:r>
      <w:r w:rsidRPr="000F550F">
        <w:rPr>
          <w:lang w:val="es-ES_tradnl"/>
        </w:rPr>
        <w:t>dB por debajo del umbral de ruido; el nivel de activación es KTBF</w:t>
      </w:r>
      <w:r w:rsidR="00DE68C7">
        <w:rPr>
          <w:lang w:val="es-ES_tradnl"/>
        </w:rPr>
        <w:t xml:space="preserve"> </w:t>
      </w:r>
      <w:r w:rsidR="00DE68C7" w:rsidRPr="00DE68C7">
        <w:rPr>
          <w:lang w:val="es-ES_tradnl"/>
        </w:rPr>
        <w:t>–</w:t>
      </w:r>
      <w:r w:rsidRPr="000F550F">
        <w:rPr>
          <w:lang w:val="es-ES_tradnl"/>
        </w:rPr>
        <w:t>20</w:t>
      </w:r>
      <w:r w:rsidR="0075247D">
        <w:rPr>
          <w:lang w:val="es-ES_tradnl"/>
        </w:rPr>
        <w:t> </w:t>
      </w:r>
      <w:r w:rsidRPr="000F550F">
        <w:rPr>
          <w:lang w:val="es-ES_tradnl"/>
        </w:rPr>
        <w:t>dB. Si la desensibilización tolerada de los receptores de</w:t>
      </w:r>
      <w:r w:rsidR="00DE68C7">
        <w:rPr>
          <w:lang w:val="es-ES_tradnl"/>
        </w:rPr>
        <w:t xml:space="preserve"> los servicios terrenales es de </w:t>
      </w:r>
      <w:r w:rsidRPr="000F550F">
        <w:rPr>
          <w:lang w:val="es-ES_tradnl"/>
        </w:rPr>
        <w:t>0,5</w:t>
      </w:r>
      <w:r w:rsidR="0075247D">
        <w:rPr>
          <w:lang w:val="es-ES_tradnl"/>
        </w:rPr>
        <w:t> </w:t>
      </w:r>
      <w:r w:rsidRPr="000F550F">
        <w:rPr>
          <w:lang w:val="es-ES_tradnl"/>
        </w:rPr>
        <w:t>dB, la señal interferente permitida se encuentra 10</w:t>
      </w:r>
      <w:r w:rsidR="0075247D">
        <w:rPr>
          <w:lang w:val="es-ES_tradnl"/>
        </w:rPr>
        <w:t> </w:t>
      </w:r>
      <w:r w:rsidRPr="000F550F">
        <w:rPr>
          <w:lang w:val="es-ES_tradnl"/>
        </w:rPr>
        <w:t>dB por debajo del umbral de ruido y todos los valores del Cuadro 1</w:t>
      </w:r>
      <w:r w:rsidR="0075247D">
        <w:rPr>
          <w:lang w:val="es-ES_tradnl"/>
        </w:rPr>
        <w:t> </w:t>
      </w:r>
      <w:r w:rsidRPr="000F550F">
        <w:rPr>
          <w:lang w:val="es-ES_tradnl"/>
        </w:rPr>
        <w:t>serán 10</w:t>
      </w:r>
      <w:r w:rsidR="0075247D">
        <w:rPr>
          <w:lang w:val="es-ES_tradnl"/>
        </w:rPr>
        <w:t> </w:t>
      </w:r>
      <w:r w:rsidRPr="000F550F">
        <w:rPr>
          <w:lang w:val="es-ES_tradnl"/>
        </w:rPr>
        <w:t>dB superiores.</w:t>
      </w:r>
    </w:p>
    <w:p w:rsidR="00B17B1F" w:rsidRPr="000F550F" w:rsidRDefault="00B17B1F" w:rsidP="00B17B1F">
      <w:pPr>
        <w:rPr>
          <w:lang w:val="es-ES_tradnl"/>
        </w:rPr>
      </w:pPr>
      <w:r w:rsidRPr="000F550F">
        <w:rPr>
          <w:lang w:val="es-ES_tradnl"/>
        </w:rPr>
        <w:lastRenderedPageBreak/>
        <w:t>El caso más desfavorable para proteger los servicios terrenales en interiores contra sistemas PLT es un teléfono celular, pues se encuentra a sólo 1</w:t>
      </w:r>
      <w:r w:rsidR="0075247D">
        <w:rPr>
          <w:lang w:val="es-ES_tradnl"/>
        </w:rPr>
        <w:t> </w:t>
      </w:r>
      <w:r w:rsidRPr="000F550F">
        <w:rPr>
          <w:lang w:val="es-ES_tradnl"/>
        </w:rPr>
        <w:t xml:space="preserve">m del sistema PLT. Para proporcionar una adecuada protección al funcionamiento con señales débiles de los servicios terrenales en la gama de frecuencias de ondas métricas y decimétricas, la radiación de los dispositivos o instalaciones PLT no debe rebasar un máximo de </w:t>
      </w:r>
      <w:r w:rsidRPr="000F550F">
        <w:rPr>
          <w:bCs/>
          <w:lang w:val="es-ES_tradnl"/>
        </w:rPr>
        <w:t>1</w:t>
      </w:r>
      <w:r w:rsidR="00DE68C7">
        <w:rPr>
          <w:bCs/>
          <w:lang w:val="es-ES_tradnl"/>
        </w:rPr>
        <w:t>,</w:t>
      </w:r>
      <w:r w:rsidRPr="000F550F">
        <w:rPr>
          <w:bCs/>
          <w:lang w:val="es-ES_tradnl"/>
        </w:rPr>
        <w:t>5</w:t>
      </w:r>
      <w:r w:rsidR="0075247D">
        <w:rPr>
          <w:bCs/>
          <w:lang w:val="es-ES_tradnl"/>
        </w:rPr>
        <w:t> </w:t>
      </w:r>
      <w:r w:rsidRPr="000F550F">
        <w:rPr>
          <w:bCs/>
          <w:lang w:val="es-ES_tradnl"/>
        </w:rPr>
        <w:t>dB</w:t>
      </w:r>
      <w:r w:rsidRPr="000F550F">
        <w:rPr>
          <w:rFonts w:ascii="Symbol" w:hAnsi="Symbol" w:cs="Symbol"/>
          <w:bCs/>
          <w:lang w:val="es-ES_tradnl"/>
        </w:rPr>
        <w:sym w:font="Symbol" w:char="F06D"/>
      </w:r>
      <w:r w:rsidRPr="000F550F">
        <w:rPr>
          <w:bCs/>
          <w:lang w:val="es-ES_tradnl"/>
        </w:rPr>
        <w:t>V/m</w:t>
      </w:r>
      <w:r w:rsidRPr="000F550F">
        <w:rPr>
          <w:lang w:val="es-ES_tradnl"/>
        </w:rPr>
        <w:t xml:space="preserve"> en una anchura de banda de 1</w:t>
      </w:r>
      <w:r w:rsidR="0075247D">
        <w:rPr>
          <w:lang w:val="es-ES_tradnl"/>
        </w:rPr>
        <w:t> </w:t>
      </w:r>
      <w:r w:rsidRPr="000F550F">
        <w:rPr>
          <w:lang w:val="es-ES_tradnl"/>
        </w:rPr>
        <w:t>MHz medida en interiores a una distancia de 1</w:t>
      </w:r>
      <w:r w:rsidR="0075247D">
        <w:rPr>
          <w:lang w:val="es-ES_tradnl"/>
        </w:rPr>
        <w:t> </w:t>
      </w:r>
      <w:r w:rsidRPr="000F550F">
        <w:rPr>
          <w:lang w:val="es-ES_tradnl"/>
        </w:rPr>
        <w:t>m desde la instalación PLT; véanse valores adicionales en el Cuadro 1. La intensidad de campo es independiente de la frecuencia, suponiendo propagación en espacio libre y sin atenuación por los muros. La potencia depende de la RF; para una RF de 460</w:t>
      </w:r>
      <w:r w:rsidR="0075247D">
        <w:rPr>
          <w:lang w:val="es-ES_tradnl"/>
        </w:rPr>
        <w:t> </w:t>
      </w:r>
      <w:r w:rsidRPr="000F550F">
        <w:rPr>
          <w:lang w:val="es-ES_tradnl"/>
        </w:rPr>
        <w:t xml:space="preserve">MHz, la máxima potencia de cresta PLT permitida es </w:t>
      </w:r>
      <w:r w:rsidR="00DE68C7" w:rsidRPr="00DE68C7">
        <w:rPr>
          <w:lang w:val="es-ES_tradnl"/>
        </w:rPr>
        <w:t>–</w:t>
      </w:r>
      <w:r w:rsidRPr="000F550F">
        <w:rPr>
          <w:lang w:val="es-ES_tradnl"/>
        </w:rPr>
        <w:t>103</w:t>
      </w:r>
      <w:r w:rsidR="0075247D">
        <w:rPr>
          <w:lang w:val="es-ES_tradnl"/>
        </w:rPr>
        <w:t> </w:t>
      </w:r>
      <w:r w:rsidRPr="000F550F">
        <w:rPr>
          <w:lang w:val="es-ES_tradnl"/>
        </w:rPr>
        <w:t>dBm/MHz. Para obtener una degradación en el margen de desvanecimiento de 0,5</w:t>
      </w:r>
      <w:r w:rsidR="00E5143A">
        <w:rPr>
          <w:lang w:val="es-ES_tradnl"/>
        </w:rPr>
        <w:t> </w:t>
      </w:r>
      <w:r w:rsidRPr="000F550F">
        <w:rPr>
          <w:lang w:val="es-ES_tradnl"/>
        </w:rPr>
        <w:t>dB (no 0,05</w:t>
      </w:r>
      <w:r w:rsidR="00E5143A">
        <w:rPr>
          <w:lang w:val="es-ES_tradnl"/>
        </w:rPr>
        <w:t> </w:t>
      </w:r>
      <w:r w:rsidRPr="000F550F">
        <w:rPr>
          <w:lang w:val="es-ES_tradnl"/>
        </w:rPr>
        <w:t xml:space="preserve">dB), los valores son </w:t>
      </w:r>
      <w:r w:rsidRPr="000F550F">
        <w:rPr>
          <w:bCs/>
          <w:lang w:val="es-ES_tradnl"/>
        </w:rPr>
        <w:t>11</w:t>
      </w:r>
      <w:r w:rsidR="00DE68C7">
        <w:rPr>
          <w:bCs/>
          <w:lang w:val="es-ES_tradnl"/>
        </w:rPr>
        <w:t>,</w:t>
      </w:r>
      <w:r w:rsidRPr="000F550F">
        <w:rPr>
          <w:bCs/>
          <w:lang w:val="es-ES_tradnl"/>
        </w:rPr>
        <w:t>5</w:t>
      </w:r>
      <w:r w:rsidR="00E5143A">
        <w:rPr>
          <w:bCs/>
          <w:lang w:val="es-ES_tradnl"/>
        </w:rPr>
        <w:t> </w:t>
      </w:r>
      <w:r w:rsidRPr="000F550F">
        <w:rPr>
          <w:bCs/>
          <w:lang w:val="es-ES_tradnl"/>
        </w:rPr>
        <w:t>dB</w:t>
      </w:r>
      <w:r w:rsidRPr="000F550F">
        <w:rPr>
          <w:rFonts w:ascii="Symbol" w:hAnsi="Symbol" w:cs="Symbol"/>
          <w:bCs/>
          <w:lang w:val="es-ES_tradnl"/>
        </w:rPr>
        <w:t></w:t>
      </w:r>
      <w:r w:rsidRPr="000F550F">
        <w:rPr>
          <w:bCs/>
          <w:lang w:val="es-ES_tradnl"/>
        </w:rPr>
        <w:t xml:space="preserve">V/m </w:t>
      </w:r>
      <w:r w:rsidRPr="000F550F">
        <w:rPr>
          <w:lang w:val="es-ES_tradnl"/>
        </w:rPr>
        <w:t>en una anchura de banda de 1</w:t>
      </w:r>
      <w:r w:rsidR="00E5143A">
        <w:rPr>
          <w:lang w:val="es-ES_tradnl"/>
        </w:rPr>
        <w:t> </w:t>
      </w:r>
      <w:r w:rsidRPr="000F550F">
        <w:rPr>
          <w:lang w:val="es-ES_tradnl"/>
        </w:rPr>
        <w:t>MHz, medida en interiores a una distancia de 1</w:t>
      </w:r>
      <w:r w:rsidR="00E5143A">
        <w:rPr>
          <w:lang w:val="es-ES_tradnl"/>
        </w:rPr>
        <w:t> </w:t>
      </w:r>
      <w:r w:rsidRPr="000F550F">
        <w:rPr>
          <w:lang w:val="es-ES_tradnl"/>
        </w:rPr>
        <w:t>m desde la instalación PLT; y para una RF de 460</w:t>
      </w:r>
      <w:r w:rsidR="00E5143A">
        <w:rPr>
          <w:lang w:val="es-ES_tradnl"/>
        </w:rPr>
        <w:t> </w:t>
      </w:r>
      <w:r w:rsidRPr="000F550F">
        <w:rPr>
          <w:lang w:val="es-ES_tradnl"/>
        </w:rPr>
        <w:t xml:space="preserve">MHz la potencia de cresta PLT permitida es </w:t>
      </w:r>
      <w:r w:rsidR="00A60E32" w:rsidRPr="00A60E32">
        <w:rPr>
          <w:lang w:val="es-ES_tradnl"/>
        </w:rPr>
        <w:t>–</w:t>
      </w:r>
      <w:r w:rsidRPr="000F550F">
        <w:rPr>
          <w:lang w:val="es-ES_tradnl"/>
        </w:rPr>
        <w:t>93</w:t>
      </w:r>
      <w:r w:rsidR="00E5143A">
        <w:rPr>
          <w:lang w:val="es-ES_tradnl"/>
        </w:rPr>
        <w:t> </w:t>
      </w:r>
      <w:r w:rsidRPr="000F550F">
        <w:rPr>
          <w:lang w:val="es-ES_tradnl"/>
        </w:rPr>
        <w:t>dBm/MHz.</w:t>
      </w:r>
    </w:p>
    <w:p w:rsidR="00B17B1F" w:rsidRPr="000F550F" w:rsidRDefault="00B17B1F" w:rsidP="00B17B1F">
      <w:pPr>
        <w:rPr>
          <w:lang w:val="es-ES_tradnl"/>
        </w:rPr>
      </w:pPr>
      <w:r w:rsidRPr="000F550F">
        <w:rPr>
          <w:lang w:val="es-ES_tradnl"/>
        </w:rPr>
        <w:t>El caso más desfavorable para proteger los servicios terrenales en exteriores contra los sistemas PLT es una estación de base celular o una estación fija a 10</w:t>
      </w:r>
      <w:r w:rsidR="00E5143A">
        <w:rPr>
          <w:lang w:val="es-ES_tradnl"/>
        </w:rPr>
        <w:t> </w:t>
      </w:r>
      <w:r w:rsidRPr="000F550F">
        <w:rPr>
          <w:lang w:val="es-ES_tradnl"/>
        </w:rPr>
        <w:t xml:space="preserve">m del sistema PLT. En este caso, la máxima potencia de cresta PLT es </w:t>
      </w:r>
      <w:r w:rsidR="00DE68C7" w:rsidRPr="00DE68C7">
        <w:rPr>
          <w:lang w:val="es-ES_tradnl"/>
        </w:rPr>
        <w:t>–</w:t>
      </w:r>
      <w:r w:rsidRPr="000F550F">
        <w:rPr>
          <w:lang w:val="es-ES_tradnl"/>
        </w:rPr>
        <w:t>95</w:t>
      </w:r>
      <w:r w:rsidR="00E5143A">
        <w:rPr>
          <w:lang w:val="es-ES_tradnl"/>
        </w:rPr>
        <w:t> </w:t>
      </w:r>
      <w:r w:rsidRPr="000F550F">
        <w:rPr>
          <w:lang w:val="es-ES_tradnl"/>
        </w:rPr>
        <w:t>dBm/MHz para una degradación del margen de desvanecimiento de 0,05</w:t>
      </w:r>
      <w:r w:rsidR="00E5143A">
        <w:rPr>
          <w:lang w:val="es-ES_tradnl"/>
        </w:rPr>
        <w:t> </w:t>
      </w:r>
      <w:r w:rsidRPr="000F550F">
        <w:rPr>
          <w:lang w:val="es-ES_tradnl"/>
        </w:rPr>
        <w:t xml:space="preserve">dB y </w:t>
      </w:r>
      <w:r w:rsidR="00DE68C7" w:rsidRPr="00DE68C7">
        <w:rPr>
          <w:lang w:val="es-ES_tradnl"/>
        </w:rPr>
        <w:t>–</w:t>
      </w:r>
      <w:r w:rsidRPr="000F550F">
        <w:rPr>
          <w:lang w:val="es-ES_tradnl"/>
        </w:rPr>
        <w:t>85</w:t>
      </w:r>
      <w:r w:rsidR="00E5143A">
        <w:rPr>
          <w:lang w:val="es-ES_tradnl"/>
        </w:rPr>
        <w:t> </w:t>
      </w:r>
      <w:r w:rsidRPr="000F550F">
        <w:rPr>
          <w:lang w:val="es-ES_tradnl"/>
        </w:rPr>
        <w:t>dBm/MHz para una degradación del margen de desvanecimiento de 0,5</w:t>
      </w:r>
      <w:r w:rsidR="00E5143A">
        <w:rPr>
          <w:lang w:val="es-ES_tradnl"/>
        </w:rPr>
        <w:t> </w:t>
      </w:r>
      <w:r w:rsidRPr="000F550F">
        <w:rPr>
          <w:lang w:val="es-ES_tradnl"/>
        </w:rPr>
        <w:t>dB.</w:t>
      </w:r>
    </w:p>
    <w:p w:rsidR="00B17B1F" w:rsidRPr="000F550F" w:rsidRDefault="00B17B1F" w:rsidP="00B17B1F">
      <w:pPr>
        <w:pStyle w:val="Heading2"/>
        <w:rPr>
          <w:lang w:val="es-ES_tradnl"/>
        </w:rPr>
      </w:pPr>
      <w:r w:rsidRPr="000F550F">
        <w:rPr>
          <w:lang w:val="es-ES_tradnl"/>
        </w:rPr>
        <w:t>3.2</w:t>
      </w:r>
      <w:r w:rsidRPr="000F550F">
        <w:rPr>
          <w:lang w:val="es-ES_tradnl"/>
        </w:rPr>
        <w:tab/>
        <w:t>Método de cálculo para evaluar las emisio</w:t>
      </w:r>
      <w:r w:rsidR="000862FF">
        <w:rPr>
          <w:lang w:val="es-ES_tradnl"/>
        </w:rPr>
        <w:t>nes radiadas por un sistema PLT</w:t>
      </w:r>
    </w:p>
    <w:p w:rsidR="00B17B1F" w:rsidRPr="000F550F" w:rsidRDefault="00B17B1F" w:rsidP="00B17B1F">
      <w:pPr>
        <w:rPr>
          <w:lang w:val="es-ES_tradnl"/>
        </w:rPr>
      </w:pPr>
      <w:r w:rsidRPr="000F550F">
        <w:rPr>
          <w:lang w:val="es-ES_tradnl"/>
        </w:rPr>
        <w:t xml:space="preserve">Con objeto de calcular los activadores de potencia y de intensidad de campo implicados cuando se evalúa su vulnerabilidad a la interferencia, los sistemas de radiocomunicaciones pueden caracterizarse por sus parámetros de factor de ruido, </w:t>
      </w:r>
      <w:r w:rsidRPr="000F550F">
        <w:rPr>
          <w:i/>
          <w:iCs/>
          <w:lang w:val="es-ES_tradnl"/>
        </w:rPr>
        <w:t>G</w:t>
      </w:r>
      <w:r w:rsidRPr="000F550F">
        <w:rPr>
          <w:i/>
          <w:iCs/>
          <w:vertAlign w:val="subscript"/>
          <w:lang w:val="es-ES_tradnl"/>
        </w:rPr>
        <w:t>i</w:t>
      </w:r>
      <w:r w:rsidRPr="000F550F">
        <w:rPr>
          <w:lang w:val="es-ES_tradnl"/>
        </w:rPr>
        <w:t xml:space="preserve"> y </w:t>
      </w:r>
      <w:r w:rsidRPr="000F550F">
        <w:rPr>
          <w:i/>
          <w:iCs/>
          <w:lang w:val="es-ES_tradnl"/>
        </w:rPr>
        <w:t>L</w:t>
      </w:r>
      <w:r w:rsidRPr="000F550F">
        <w:rPr>
          <w:i/>
          <w:iCs/>
          <w:vertAlign w:val="subscript"/>
          <w:lang w:val="es-ES_tradnl"/>
        </w:rPr>
        <w:t>F</w:t>
      </w:r>
      <w:r w:rsidRPr="000F550F">
        <w:rPr>
          <w:lang w:val="es-ES_tradnl"/>
        </w:rPr>
        <w:t xml:space="preserve">. Obsérvese que la máscara de emisión radiada PLT admisible depende de la frecuencia deseada, </w:t>
      </w:r>
      <w:r w:rsidRPr="000F550F">
        <w:rPr>
          <w:i/>
          <w:iCs/>
          <w:lang w:val="es-ES_tradnl"/>
        </w:rPr>
        <w:t>R</w:t>
      </w:r>
      <w:r w:rsidRPr="000F550F">
        <w:rPr>
          <w:i/>
          <w:iCs/>
          <w:vertAlign w:val="subscript"/>
          <w:lang w:val="es-ES_tradnl"/>
        </w:rPr>
        <w:t>F</w:t>
      </w:r>
      <w:r w:rsidRPr="000F550F">
        <w:rPr>
          <w:lang w:val="es-ES_tradnl"/>
        </w:rPr>
        <w:t>, puesto que la propagación varía con la frecuencia.</w:t>
      </w:r>
    </w:p>
    <w:p w:rsidR="00B17B1F" w:rsidRPr="000F550F" w:rsidRDefault="00B17B1F" w:rsidP="00B17B1F">
      <w:pPr>
        <w:rPr>
          <w:lang w:val="es-ES_tradnl"/>
        </w:rPr>
      </w:pPr>
      <w:r w:rsidRPr="000F550F">
        <w:rPr>
          <w:lang w:val="es-ES_tradnl"/>
        </w:rPr>
        <w:t>En los cálculos se utilizan los siguientes parámetros:</w:t>
      </w:r>
    </w:p>
    <w:p w:rsidR="00B17B1F" w:rsidRPr="000F550F" w:rsidRDefault="00B17B1F" w:rsidP="00B17B1F">
      <w:pPr>
        <w:pStyle w:val="enumlev1"/>
        <w:rPr>
          <w:lang w:val="es-ES_tradnl"/>
        </w:rPr>
      </w:pPr>
      <w:r w:rsidRPr="000F550F">
        <w:rPr>
          <w:i/>
          <w:iCs/>
          <w:lang w:val="es-ES_tradnl"/>
        </w:rPr>
        <w:t>F</w:t>
      </w:r>
      <w:r w:rsidRPr="000F550F">
        <w:rPr>
          <w:lang w:val="es-ES_tradnl"/>
        </w:rPr>
        <w:t>:</w:t>
      </w:r>
      <w:r w:rsidRPr="000F550F">
        <w:rPr>
          <w:lang w:val="es-ES_tradnl"/>
        </w:rPr>
        <w:tab/>
        <w:t>factor de ruido del receptor de la estación móvil terrenal (dB);</w:t>
      </w:r>
    </w:p>
    <w:p w:rsidR="00B17B1F" w:rsidRPr="000F550F" w:rsidRDefault="00B17B1F" w:rsidP="00B17B1F">
      <w:pPr>
        <w:pStyle w:val="enumlev1"/>
        <w:rPr>
          <w:lang w:val="es-ES_tradnl"/>
        </w:rPr>
      </w:pPr>
      <w:r w:rsidRPr="000F550F">
        <w:rPr>
          <w:i/>
          <w:iCs/>
          <w:lang w:val="es-ES_tradnl"/>
        </w:rPr>
        <w:t>B</w:t>
      </w:r>
      <w:r w:rsidRPr="000F550F">
        <w:rPr>
          <w:lang w:val="es-ES_tradnl"/>
        </w:rPr>
        <w:t>:</w:t>
      </w:r>
      <w:r w:rsidRPr="000F550F">
        <w:rPr>
          <w:lang w:val="es-ES_tradnl"/>
        </w:rPr>
        <w:tab/>
        <w:t>anchura de banda de referencia (BW) del sistema interferente PLT (MHz);</w:t>
      </w:r>
    </w:p>
    <w:p w:rsidR="00B17B1F" w:rsidRPr="000F550F" w:rsidRDefault="00B17B1F" w:rsidP="00B17B1F">
      <w:pPr>
        <w:pStyle w:val="enumlev1"/>
        <w:rPr>
          <w:lang w:val="es-ES_tradnl"/>
        </w:rPr>
      </w:pPr>
      <w:r w:rsidRPr="000F550F">
        <w:rPr>
          <w:i/>
          <w:iCs/>
          <w:lang w:val="es-ES_tradnl"/>
        </w:rPr>
        <w:t>g</w:t>
      </w:r>
      <w:r w:rsidRPr="000F550F">
        <w:rPr>
          <w:i/>
          <w:iCs/>
          <w:vertAlign w:val="subscript"/>
          <w:lang w:val="es-ES_tradnl"/>
        </w:rPr>
        <w:t>i</w:t>
      </w:r>
      <w:r w:rsidRPr="000F550F">
        <w:rPr>
          <w:lang w:val="es-ES_tradnl"/>
        </w:rPr>
        <w:t>:</w:t>
      </w:r>
      <w:r w:rsidRPr="000F550F">
        <w:rPr>
          <w:lang w:val="es-ES_tradnl"/>
        </w:rPr>
        <w:tab/>
        <w:t>ganancia de antena del receptor de la estación terrenal (microteléfono o B) (numeral);</w:t>
      </w:r>
    </w:p>
    <w:p w:rsidR="00B17B1F" w:rsidRPr="000F550F" w:rsidRDefault="00B17B1F" w:rsidP="00B17B1F">
      <w:pPr>
        <w:pStyle w:val="enumlev1"/>
        <w:rPr>
          <w:lang w:val="es-ES_tradnl"/>
        </w:rPr>
      </w:pPr>
      <w:r w:rsidRPr="000F550F">
        <w:rPr>
          <w:i/>
          <w:iCs/>
          <w:lang w:val="es-ES_tradnl"/>
        </w:rPr>
        <w:t>G</w:t>
      </w:r>
      <w:r w:rsidRPr="000F550F">
        <w:rPr>
          <w:i/>
          <w:iCs/>
          <w:vertAlign w:val="subscript"/>
          <w:lang w:val="es-ES_tradnl"/>
        </w:rPr>
        <w:t>i</w:t>
      </w:r>
      <w:r w:rsidRPr="000F550F">
        <w:rPr>
          <w:lang w:val="es-ES_tradnl"/>
        </w:rPr>
        <w:t>:</w:t>
      </w:r>
      <w:r w:rsidRPr="000F550F">
        <w:rPr>
          <w:lang w:val="es-ES_tradnl"/>
        </w:rPr>
        <w:tab/>
        <w:t>ganancia de antena del receptor de la estación celular (microteléfono o B) (dBi);</w:t>
      </w:r>
    </w:p>
    <w:p w:rsidR="00B17B1F" w:rsidRPr="000F550F" w:rsidRDefault="00B17B1F" w:rsidP="00B17B1F">
      <w:pPr>
        <w:pStyle w:val="enumlev1"/>
        <w:rPr>
          <w:lang w:val="es-ES_tradnl"/>
        </w:rPr>
      </w:pPr>
      <w:r w:rsidRPr="000F550F">
        <w:rPr>
          <w:i/>
          <w:iCs/>
          <w:lang w:val="es-ES_tradnl"/>
        </w:rPr>
        <w:t>L</w:t>
      </w:r>
      <w:r w:rsidRPr="000F550F">
        <w:rPr>
          <w:i/>
          <w:iCs/>
          <w:vertAlign w:val="subscript"/>
          <w:lang w:val="es-ES_tradnl"/>
        </w:rPr>
        <w:t>F</w:t>
      </w:r>
      <w:r w:rsidRPr="000F550F">
        <w:rPr>
          <w:lang w:val="es-ES_tradnl"/>
        </w:rPr>
        <w:t>:</w:t>
      </w:r>
      <w:r w:rsidRPr="000F550F">
        <w:rPr>
          <w:lang w:val="es-ES_tradnl"/>
        </w:rPr>
        <w:tab/>
        <w:t>pérdidas en el alimentador del cable de antena (dB);</w:t>
      </w:r>
    </w:p>
    <w:p w:rsidR="00B17B1F" w:rsidRPr="000F550F" w:rsidRDefault="00B17B1F" w:rsidP="00B17B1F">
      <w:pPr>
        <w:pStyle w:val="enumlev1"/>
        <w:rPr>
          <w:lang w:val="es-ES_tradnl"/>
        </w:rPr>
      </w:pPr>
      <w:r w:rsidRPr="000F550F">
        <w:rPr>
          <w:i/>
          <w:iCs/>
          <w:lang w:val="es-ES_tradnl"/>
        </w:rPr>
        <w:t>f</w:t>
      </w:r>
      <w:r w:rsidRPr="000F550F">
        <w:rPr>
          <w:lang w:val="es-ES_tradnl"/>
        </w:rPr>
        <w:t xml:space="preserve"> :</w:t>
      </w:r>
      <w:r w:rsidRPr="000F550F">
        <w:rPr>
          <w:lang w:val="es-ES_tradnl"/>
        </w:rPr>
        <w:tab/>
        <w:t>frecuencia de referencia (MJHz);</w:t>
      </w:r>
    </w:p>
    <w:p w:rsidR="00B17B1F" w:rsidRPr="000F550F" w:rsidRDefault="00B17B1F" w:rsidP="00B17B1F">
      <w:pPr>
        <w:pStyle w:val="enumlev1"/>
        <w:rPr>
          <w:lang w:val="es-ES_tradnl"/>
        </w:rPr>
      </w:pPr>
      <w:r w:rsidRPr="000F550F">
        <w:rPr>
          <w:i/>
          <w:iCs/>
          <w:lang w:val="es-ES_tradnl"/>
        </w:rPr>
        <w:t>P</w:t>
      </w:r>
      <w:r w:rsidRPr="000F550F">
        <w:rPr>
          <w:i/>
          <w:iCs/>
          <w:vertAlign w:val="subscript"/>
          <w:lang w:val="es-ES_tradnl"/>
        </w:rPr>
        <w:t>tfono</w:t>
      </w:r>
      <w:r w:rsidRPr="000F550F">
        <w:rPr>
          <w:lang w:val="es-ES_tradnl"/>
        </w:rPr>
        <w:t>:</w:t>
      </w:r>
      <w:r w:rsidRPr="000F550F">
        <w:rPr>
          <w:lang w:val="es-ES_tradnl"/>
        </w:rPr>
        <w:tab/>
        <w:t>Nivel de activación de potencia/MHz en el teléfono celular (dBm);</w:t>
      </w:r>
    </w:p>
    <w:p w:rsidR="00B17B1F" w:rsidRPr="000F550F" w:rsidRDefault="00B17B1F" w:rsidP="00B17B1F">
      <w:pPr>
        <w:pStyle w:val="enumlev1"/>
        <w:rPr>
          <w:lang w:val="es-ES_tradnl"/>
        </w:rPr>
      </w:pPr>
      <w:r w:rsidRPr="000F550F">
        <w:rPr>
          <w:i/>
          <w:iCs/>
          <w:lang w:val="es-ES_tradnl"/>
        </w:rPr>
        <w:t>P</w:t>
      </w:r>
      <w:r w:rsidRPr="000F550F">
        <w:rPr>
          <w:i/>
          <w:iCs/>
          <w:vertAlign w:val="subscript"/>
          <w:lang w:val="es-ES_tradnl"/>
        </w:rPr>
        <w:t>EB</w:t>
      </w:r>
      <w:r w:rsidRPr="000F550F">
        <w:rPr>
          <w:lang w:val="es-ES_tradnl"/>
        </w:rPr>
        <w:t>:</w:t>
      </w:r>
      <w:r w:rsidRPr="000F550F">
        <w:rPr>
          <w:lang w:val="es-ES_tradnl"/>
        </w:rPr>
        <w:tab/>
        <w:t>Nivel de activación de potencia/MHz en la estación de base terrenal (EB) (dBm);</w:t>
      </w:r>
    </w:p>
    <w:p w:rsidR="00B17B1F" w:rsidRPr="000F550F" w:rsidRDefault="00B17B1F" w:rsidP="00B17B1F">
      <w:pPr>
        <w:pStyle w:val="enumlev1"/>
        <w:rPr>
          <w:lang w:val="es-ES_tradnl"/>
        </w:rPr>
      </w:pPr>
      <w:r w:rsidRPr="000F550F">
        <w:rPr>
          <w:i/>
          <w:iCs/>
          <w:lang w:val="es-ES_tradnl"/>
        </w:rPr>
        <w:t>P</w:t>
      </w:r>
      <w:r w:rsidRPr="000F550F">
        <w:rPr>
          <w:i/>
          <w:iCs/>
          <w:vertAlign w:val="subscript"/>
          <w:lang w:val="es-ES_tradnl"/>
        </w:rPr>
        <w:t>RL</w:t>
      </w:r>
      <w:r w:rsidRPr="000F550F">
        <w:rPr>
          <w:lang w:val="es-ES_tradnl"/>
        </w:rPr>
        <w:t>:</w:t>
      </w:r>
      <w:r w:rsidRPr="000F550F">
        <w:rPr>
          <w:lang w:val="es-ES_tradnl"/>
        </w:rPr>
        <w:tab/>
        <w:t>Nivel de activación de potencia/MHz en la estación de radiolocalización (RL) (dBm);</w:t>
      </w:r>
    </w:p>
    <w:p w:rsidR="00B17B1F" w:rsidRPr="000F550F" w:rsidRDefault="00B17B1F" w:rsidP="00B17B1F">
      <w:pPr>
        <w:pStyle w:val="enumlev1"/>
        <w:rPr>
          <w:lang w:val="es-ES_tradnl"/>
        </w:rPr>
      </w:pPr>
      <w:r w:rsidRPr="000F550F">
        <w:rPr>
          <w:i/>
          <w:iCs/>
          <w:lang w:val="es-ES_tradnl"/>
        </w:rPr>
        <w:t>E</w:t>
      </w:r>
      <w:r w:rsidRPr="000F550F">
        <w:rPr>
          <w:i/>
          <w:iCs/>
          <w:vertAlign w:val="subscript"/>
          <w:lang w:val="es-ES_tradnl"/>
        </w:rPr>
        <w:t>tfono</w:t>
      </w:r>
      <w:r w:rsidRPr="000F550F">
        <w:rPr>
          <w:lang w:val="es-ES_tradnl"/>
        </w:rPr>
        <w:t>:</w:t>
      </w:r>
      <w:r w:rsidRPr="000F550F">
        <w:rPr>
          <w:lang w:val="es-ES_tradnl"/>
        </w:rPr>
        <w:tab/>
        <w:t>Nivel de activación de intensidad de campo/MHz en el teléfono celular (dBμV/m);</w:t>
      </w:r>
    </w:p>
    <w:p w:rsidR="00B17B1F" w:rsidRPr="000F550F" w:rsidRDefault="00B17B1F" w:rsidP="00B17B1F">
      <w:pPr>
        <w:pStyle w:val="enumlev1"/>
        <w:rPr>
          <w:lang w:val="es-ES_tradnl"/>
        </w:rPr>
      </w:pPr>
      <w:r w:rsidRPr="000F550F">
        <w:rPr>
          <w:i/>
          <w:iCs/>
          <w:lang w:val="es-ES_tradnl"/>
        </w:rPr>
        <w:t>E</w:t>
      </w:r>
      <w:r w:rsidRPr="000F550F">
        <w:rPr>
          <w:i/>
          <w:iCs/>
          <w:vertAlign w:val="subscript"/>
          <w:lang w:val="es-ES_tradnl"/>
        </w:rPr>
        <w:t>EB</w:t>
      </w:r>
      <w:r w:rsidRPr="000F550F">
        <w:rPr>
          <w:lang w:val="es-ES_tradnl"/>
        </w:rPr>
        <w:t>:</w:t>
      </w:r>
      <w:r w:rsidRPr="000F550F">
        <w:rPr>
          <w:lang w:val="es-ES_tradnl"/>
        </w:rPr>
        <w:tab/>
        <w:t>Nivel de intensidad de campo/MHz en la estación de base terrenal (dBμV/m).</w:t>
      </w:r>
    </w:p>
    <w:p w:rsidR="00B17B1F" w:rsidRPr="000F550F" w:rsidRDefault="00B17B1F" w:rsidP="00B17B1F">
      <w:pPr>
        <w:pStyle w:val="Heading3"/>
        <w:rPr>
          <w:lang w:val="es-ES_tradnl"/>
        </w:rPr>
      </w:pPr>
      <w:r w:rsidRPr="000F550F">
        <w:rPr>
          <w:lang w:val="es-ES_tradnl"/>
        </w:rPr>
        <w:t>3.2.1</w:t>
      </w:r>
      <w:r w:rsidRPr="000F550F">
        <w:rPr>
          <w:lang w:val="es-ES_tradnl"/>
        </w:rPr>
        <w:tab/>
        <w:t>Niveles de activación para proteger los servicios terrenales contra la radiación PLT</w:t>
      </w:r>
    </w:p>
    <w:p w:rsidR="00B17B1F" w:rsidRPr="000F550F" w:rsidRDefault="00B17B1F" w:rsidP="00B17B1F">
      <w:pPr>
        <w:keepNext/>
        <w:rPr>
          <w:lang w:val="es-ES_tradnl"/>
        </w:rPr>
      </w:pPr>
      <w:r w:rsidRPr="000F550F">
        <w:rPr>
          <w:lang w:val="es-ES_tradnl"/>
        </w:rPr>
        <w:t>La potencia de ruido térmico del receptor KTBF</w:t>
      </w:r>
      <w:r w:rsidRPr="000F550F">
        <w:rPr>
          <w:rStyle w:val="FootnoteReference"/>
          <w:lang w:val="es-ES_tradnl"/>
        </w:rPr>
        <w:footnoteReference w:id="2"/>
      </w:r>
      <w:r w:rsidRPr="000F550F">
        <w:rPr>
          <w:lang w:val="es-ES_tradnl"/>
        </w:rPr>
        <w:t xml:space="preserve"> en una antena isótropa sin pérdidas para una BW</w:t>
      </w:r>
      <w:r w:rsidR="00DE68C7">
        <w:rPr>
          <w:lang w:val="es-ES_tradnl"/>
        </w:rPr>
        <w:t> </w:t>
      </w:r>
      <w:r w:rsidRPr="000F550F">
        <w:rPr>
          <w:lang w:val="es-ES_tradnl"/>
        </w:rPr>
        <w:t>=</w:t>
      </w:r>
      <w:r w:rsidR="00DE68C7">
        <w:rPr>
          <w:lang w:val="es-ES_tradnl"/>
        </w:rPr>
        <w:t> </w:t>
      </w:r>
      <w:r w:rsidRPr="000F550F">
        <w:rPr>
          <w:lang w:val="es-ES_tradnl"/>
        </w:rPr>
        <w:t>1</w:t>
      </w:r>
      <w:r w:rsidR="00E5143A">
        <w:rPr>
          <w:lang w:val="es-ES_tradnl"/>
        </w:rPr>
        <w:t> </w:t>
      </w:r>
      <w:r w:rsidRPr="000F550F">
        <w:rPr>
          <w:lang w:val="es-ES_tradnl"/>
        </w:rPr>
        <w:t>MHz y un factor de ruido típico (F) de 5</w:t>
      </w:r>
      <w:r w:rsidR="00E5143A">
        <w:rPr>
          <w:lang w:val="es-ES_tradnl"/>
        </w:rPr>
        <w:t> </w:t>
      </w:r>
      <w:r w:rsidRPr="000F550F">
        <w:rPr>
          <w:lang w:val="es-ES_tradnl"/>
        </w:rPr>
        <w:t>dB es igual a:</w:t>
      </w:r>
    </w:p>
    <w:p w:rsidR="00B17B1F" w:rsidRPr="000F550F" w:rsidRDefault="00B17B1F" w:rsidP="00B17B1F">
      <w:pPr>
        <w:pStyle w:val="Blanc"/>
        <w:rPr>
          <w:lang w:val="es-ES_tradnl"/>
        </w:rPr>
      </w:pPr>
    </w:p>
    <w:p w:rsidR="00B17B1F" w:rsidRPr="000F550F" w:rsidRDefault="00B17B1F" w:rsidP="00B17B1F">
      <w:pPr>
        <w:pStyle w:val="Equation"/>
        <w:keepNext/>
        <w:keepLines/>
        <w:rPr>
          <w:lang w:val="es-ES_tradnl"/>
        </w:rPr>
      </w:pPr>
      <w:r w:rsidRPr="000F550F">
        <w:rPr>
          <w:lang w:val="es-ES_tradnl"/>
        </w:rPr>
        <w:tab/>
      </w:r>
      <w:r w:rsidRPr="000F550F">
        <w:rPr>
          <w:lang w:val="es-ES_tradnl"/>
        </w:rPr>
        <w:tab/>
        <w:t>KTBF/1 MHz = –114 + 5 = –109 dBm/MHz</w:t>
      </w:r>
      <w:r w:rsidRPr="000F550F">
        <w:rPr>
          <w:lang w:val="es-ES_tradnl"/>
        </w:rPr>
        <w:tab/>
        <w:t>(1)</w:t>
      </w:r>
    </w:p>
    <w:p w:rsidR="00B17B1F" w:rsidRPr="000F550F" w:rsidRDefault="00B17B1F" w:rsidP="00B17B1F">
      <w:pPr>
        <w:pStyle w:val="Equation"/>
        <w:rPr>
          <w:lang w:val="es-ES_tradnl"/>
        </w:rPr>
      </w:pPr>
      <w:r w:rsidRPr="000F550F">
        <w:rPr>
          <w:lang w:val="es-ES_tradnl"/>
        </w:rPr>
        <w:tab/>
      </w:r>
      <w:r w:rsidRPr="000F550F">
        <w:rPr>
          <w:lang w:val="es-ES_tradnl"/>
        </w:rPr>
        <w:tab/>
        <w:t>KTBF – 20 dB (1 MHz) = –109 dBm – 20 dB = –129 dBm/MHz</w:t>
      </w:r>
      <w:r w:rsidRPr="000F550F">
        <w:rPr>
          <w:lang w:val="es-ES_tradnl"/>
        </w:rPr>
        <w:tab/>
        <w:t>(2)</w:t>
      </w:r>
    </w:p>
    <w:p w:rsidR="00B17B1F" w:rsidRPr="000F550F" w:rsidRDefault="00B17B1F" w:rsidP="00B17B1F">
      <w:pPr>
        <w:keepNext/>
        <w:rPr>
          <w:lang w:val="es-ES_tradnl"/>
        </w:rPr>
      </w:pPr>
      <w:r w:rsidRPr="000F550F">
        <w:rPr>
          <w:lang w:val="es-ES_tradnl"/>
        </w:rPr>
        <w:lastRenderedPageBreak/>
        <w:t>Como a los teléfonos no se les puede aplicar ninguna ganancia de antena, el criterio de protección para los teléfonos celulares es que las emisiones radiadas PLT para una señal de referencia de 1 MHz de anchura de banda no debe rebasar el valor:</w:t>
      </w:r>
    </w:p>
    <w:p w:rsidR="00B17B1F" w:rsidRPr="000F550F" w:rsidRDefault="00B17B1F" w:rsidP="00B17B1F">
      <w:pPr>
        <w:pStyle w:val="Blanc"/>
        <w:rPr>
          <w:lang w:val="es-ES_tradnl"/>
        </w:rPr>
      </w:pPr>
    </w:p>
    <w:p w:rsidR="00B17B1F" w:rsidRPr="000F550F" w:rsidRDefault="00B17B1F" w:rsidP="00B17B1F">
      <w:pPr>
        <w:pStyle w:val="Equation"/>
        <w:rPr>
          <w:lang w:val="es-ES_tradnl"/>
        </w:rPr>
      </w:pPr>
      <w:r w:rsidRPr="000F550F">
        <w:rPr>
          <w:lang w:val="es-ES_tradnl"/>
        </w:rPr>
        <w:tab/>
      </w:r>
      <w:r w:rsidRPr="000F550F">
        <w:rPr>
          <w:lang w:val="es-ES_tradnl"/>
        </w:rPr>
        <w:tab/>
      </w:r>
      <w:r w:rsidR="0066213B" w:rsidRPr="000F550F">
        <w:rPr>
          <w:i/>
          <w:iCs/>
          <w:lang w:val="es-ES_tradnl"/>
        </w:rPr>
        <w:t>P</w:t>
      </w:r>
      <w:r w:rsidR="0066213B" w:rsidRPr="000F550F">
        <w:rPr>
          <w:i/>
          <w:iCs/>
          <w:vertAlign w:val="subscript"/>
          <w:lang w:val="es-ES_tradnl"/>
        </w:rPr>
        <w:t>tfono</w:t>
      </w:r>
      <w:r w:rsidRPr="000F550F">
        <w:rPr>
          <w:lang w:val="es-ES_tradnl"/>
        </w:rPr>
        <w:t xml:space="preserve"> (1 MHz) = –129 dBm/MHz</w:t>
      </w:r>
      <w:r w:rsidRPr="000F550F">
        <w:rPr>
          <w:lang w:val="es-ES_tradnl"/>
        </w:rPr>
        <w:tab/>
        <w:t>(3)</w:t>
      </w:r>
    </w:p>
    <w:p w:rsidR="00B17B1F" w:rsidRPr="000F550F" w:rsidRDefault="00B17B1F" w:rsidP="00B17B1F">
      <w:pPr>
        <w:pStyle w:val="Blanc"/>
        <w:rPr>
          <w:lang w:val="es-ES_tradnl"/>
        </w:rPr>
      </w:pPr>
    </w:p>
    <w:p w:rsidR="00B17B1F" w:rsidRPr="000F550F" w:rsidRDefault="00B17B1F" w:rsidP="00B17B1F">
      <w:pPr>
        <w:rPr>
          <w:lang w:val="es-ES_tradnl"/>
        </w:rPr>
      </w:pPr>
      <w:r w:rsidRPr="000F550F">
        <w:rPr>
          <w:lang w:val="es-ES_tradnl"/>
        </w:rPr>
        <w:t xml:space="preserve">Para las estaciones de base de red celular, unos valores de los parámetros de </w:t>
      </w:r>
      <w:r w:rsidRPr="000F550F">
        <w:rPr>
          <w:i/>
          <w:iCs/>
          <w:lang w:val="es-ES_tradnl"/>
        </w:rPr>
        <w:t>G</w:t>
      </w:r>
      <w:r w:rsidRPr="000F550F">
        <w:rPr>
          <w:i/>
          <w:iCs/>
          <w:vertAlign w:val="subscript"/>
          <w:lang w:val="es-ES_tradnl"/>
        </w:rPr>
        <w:t>i</w:t>
      </w:r>
      <w:r w:rsidR="00E5143A" w:rsidRPr="00E5143A">
        <w:rPr>
          <w:lang w:val="es-ES_tradnl"/>
        </w:rPr>
        <w:t> </w:t>
      </w:r>
      <w:r w:rsidRPr="000F550F">
        <w:rPr>
          <w:lang w:val="es-ES_tradnl"/>
        </w:rPr>
        <w:t>=</w:t>
      </w:r>
      <w:r w:rsidR="00E5143A">
        <w:rPr>
          <w:lang w:val="es-ES_tradnl"/>
        </w:rPr>
        <w:t> </w:t>
      </w:r>
      <w:r w:rsidRPr="000F550F">
        <w:rPr>
          <w:lang w:val="es-ES_tradnl"/>
        </w:rPr>
        <w:t>15</w:t>
      </w:r>
      <w:r w:rsidR="00E5143A">
        <w:rPr>
          <w:lang w:val="es-ES_tradnl"/>
        </w:rPr>
        <w:t> </w:t>
      </w:r>
      <w:r w:rsidRPr="000F550F">
        <w:rPr>
          <w:lang w:val="es-ES_tradnl"/>
        </w:rPr>
        <w:t xml:space="preserve">dBi y </w:t>
      </w:r>
      <w:r w:rsidRPr="000F550F">
        <w:rPr>
          <w:i/>
          <w:iCs/>
          <w:lang w:val="es-ES_tradnl"/>
        </w:rPr>
        <w:t>L</w:t>
      </w:r>
      <w:r w:rsidRPr="000F550F">
        <w:rPr>
          <w:i/>
          <w:iCs/>
          <w:vertAlign w:val="subscript"/>
          <w:lang w:val="es-ES_tradnl"/>
        </w:rPr>
        <w:t>F</w:t>
      </w:r>
      <w:r w:rsidR="00E5143A" w:rsidRPr="00E5143A">
        <w:rPr>
          <w:lang w:val="es-ES_tradnl"/>
        </w:rPr>
        <w:t> </w:t>
      </w:r>
      <w:r w:rsidRPr="000F550F">
        <w:rPr>
          <w:lang w:val="es-ES_tradnl"/>
        </w:rPr>
        <w:t>=</w:t>
      </w:r>
      <w:r w:rsidR="00E5143A">
        <w:rPr>
          <w:lang w:val="es-ES_tradnl"/>
        </w:rPr>
        <w:t> </w:t>
      </w:r>
      <w:r w:rsidRPr="000F550F">
        <w:rPr>
          <w:lang w:val="es-ES_tradnl"/>
        </w:rPr>
        <w:t>3 dB son apropiados para determinar los requisitos de protección contra la emisiones radiadas PLT. Por consiguiente, el nivel de activación de potencia a la entrada de la antena de la estación de base viene dado por:</w:t>
      </w:r>
    </w:p>
    <w:p w:rsidR="00B17B1F" w:rsidRPr="000F550F" w:rsidRDefault="00B17B1F" w:rsidP="00B17B1F">
      <w:pPr>
        <w:pStyle w:val="Blanc"/>
        <w:rPr>
          <w:lang w:val="es-ES_tradnl"/>
        </w:rPr>
      </w:pPr>
    </w:p>
    <w:p w:rsidR="00B17B1F" w:rsidRPr="000F550F" w:rsidRDefault="00B17B1F" w:rsidP="00B17B1F">
      <w:pPr>
        <w:pStyle w:val="Equation"/>
        <w:rPr>
          <w:lang w:val="es-ES_tradnl"/>
        </w:rPr>
      </w:pPr>
      <w:r w:rsidRPr="000F550F">
        <w:rPr>
          <w:b/>
          <w:bCs/>
          <w:lang w:val="es-ES_tradnl"/>
        </w:rPr>
        <w:tab/>
      </w:r>
      <w:r w:rsidRPr="000F550F">
        <w:rPr>
          <w:bCs/>
          <w:i/>
          <w:iCs/>
          <w:lang w:val="es-ES_tradnl"/>
        </w:rPr>
        <w:t>P</w:t>
      </w:r>
      <w:r w:rsidRPr="000F550F">
        <w:rPr>
          <w:bCs/>
          <w:i/>
          <w:iCs/>
          <w:vertAlign w:val="subscript"/>
          <w:lang w:val="es-ES_tradnl"/>
        </w:rPr>
        <w:t>EB</w:t>
      </w:r>
      <w:r w:rsidRPr="000F550F">
        <w:rPr>
          <w:bCs/>
          <w:lang w:val="es-ES_tradnl"/>
        </w:rPr>
        <w:t xml:space="preserve"> (1 MHz) </w:t>
      </w:r>
      <w:r w:rsidRPr="000F550F">
        <w:rPr>
          <w:lang w:val="es-ES_tradnl"/>
        </w:rPr>
        <w:t>= –129 dBm/MHz – 15 dB (</w:t>
      </w:r>
      <w:r w:rsidRPr="000F550F">
        <w:rPr>
          <w:i/>
          <w:iCs/>
          <w:lang w:val="es-ES_tradnl"/>
        </w:rPr>
        <w:t>G</w:t>
      </w:r>
      <w:r w:rsidRPr="000F550F">
        <w:rPr>
          <w:i/>
          <w:iCs/>
          <w:vertAlign w:val="subscript"/>
          <w:lang w:val="es-ES_tradnl"/>
        </w:rPr>
        <w:t>i</w:t>
      </w:r>
      <w:r w:rsidRPr="000F550F">
        <w:rPr>
          <w:lang w:val="es-ES_tradnl"/>
        </w:rPr>
        <w:t>) + 3 dB (</w:t>
      </w:r>
      <w:r w:rsidRPr="000F550F">
        <w:rPr>
          <w:i/>
          <w:iCs/>
          <w:lang w:val="es-ES_tradnl"/>
        </w:rPr>
        <w:t>L</w:t>
      </w:r>
      <w:r w:rsidRPr="000F550F">
        <w:rPr>
          <w:i/>
          <w:iCs/>
          <w:vertAlign w:val="subscript"/>
          <w:lang w:val="es-ES_tradnl"/>
        </w:rPr>
        <w:t>F</w:t>
      </w:r>
      <w:r w:rsidRPr="000F550F">
        <w:rPr>
          <w:lang w:val="es-ES_tradnl"/>
        </w:rPr>
        <w:t>) = –</w:t>
      </w:r>
      <w:r w:rsidRPr="000F550F">
        <w:rPr>
          <w:bCs/>
          <w:lang w:val="es-ES_tradnl"/>
        </w:rPr>
        <w:t>141 dBm/MHz</w:t>
      </w:r>
      <w:r w:rsidRPr="000F550F">
        <w:rPr>
          <w:b/>
          <w:bCs/>
          <w:lang w:val="es-ES_tradnl"/>
        </w:rPr>
        <w:tab/>
        <w:t>(</w:t>
      </w:r>
      <w:r w:rsidRPr="000F550F">
        <w:rPr>
          <w:lang w:val="es-ES_tradnl"/>
        </w:rPr>
        <w:t>4)</w:t>
      </w:r>
    </w:p>
    <w:p w:rsidR="00E5143A" w:rsidRPr="000F550F" w:rsidRDefault="00E5143A" w:rsidP="00E5143A">
      <w:pPr>
        <w:pStyle w:val="Blanc"/>
        <w:rPr>
          <w:lang w:val="es-ES_tradnl"/>
        </w:rPr>
      </w:pPr>
    </w:p>
    <w:p w:rsidR="00B17B1F" w:rsidRPr="000F550F" w:rsidRDefault="00B17B1F" w:rsidP="00B17B1F">
      <w:pPr>
        <w:rPr>
          <w:lang w:val="es-ES_tradnl"/>
        </w:rPr>
      </w:pPr>
      <w:r w:rsidRPr="000F550F">
        <w:rPr>
          <w:lang w:val="es-ES_tradnl"/>
        </w:rPr>
        <w:t xml:space="preserve">A título de comparación, para un receptor de radiolocalización, los valores de </w:t>
      </w:r>
      <w:r w:rsidRPr="000F550F">
        <w:rPr>
          <w:i/>
          <w:iCs/>
          <w:lang w:val="es-ES_tradnl"/>
        </w:rPr>
        <w:t>G</w:t>
      </w:r>
      <w:r w:rsidRPr="000F550F">
        <w:rPr>
          <w:i/>
          <w:iCs/>
          <w:vertAlign w:val="subscript"/>
          <w:lang w:val="es-ES_tradnl"/>
        </w:rPr>
        <w:t>i</w:t>
      </w:r>
      <w:r w:rsidR="00E5143A" w:rsidRPr="00E5143A">
        <w:rPr>
          <w:lang w:val="es-ES_tradnl"/>
        </w:rPr>
        <w:t> </w:t>
      </w:r>
      <w:r w:rsidRPr="000F550F">
        <w:rPr>
          <w:lang w:val="es-ES_tradnl"/>
        </w:rPr>
        <w:t>=</w:t>
      </w:r>
      <w:r w:rsidR="00E5143A">
        <w:rPr>
          <w:lang w:val="es-ES_tradnl"/>
        </w:rPr>
        <w:t> </w:t>
      </w:r>
      <w:r w:rsidRPr="000F550F">
        <w:rPr>
          <w:lang w:val="es-ES_tradnl"/>
        </w:rPr>
        <w:t>23</w:t>
      </w:r>
      <w:r w:rsidR="00E5143A">
        <w:rPr>
          <w:lang w:val="es-ES_tradnl"/>
        </w:rPr>
        <w:t> </w:t>
      </w:r>
      <w:r w:rsidRPr="000F550F">
        <w:rPr>
          <w:lang w:val="es-ES_tradnl"/>
        </w:rPr>
        <w:t xml:space="preserve">dBi y </w:t>
      </w:r>
      <w:r w:rsidRPr="000F550F">
        <w:rPr>
          <w:i/>
          <w:iCs/>
          <w:lang w:val="es-ES_tradnl"/>
        </w:rPr>
        <w:t>L</w:t>
      </w:r>
      <w:r w:rsidRPr="000F550F">
        <w:rPr>
          <w:i/>
          <w:iCs/>
          <w:vertAlign w:val="subscript"/>
          <w:lang w:val="es-ES_tradnl"/>
        </w:rPr>
        <w:t>F</w:t>
      </w:r>
      <w:r w:rsidRPr="00A86F9A">
        <w:rPr>
          <w:lang w:val="es-ES_tradnl"/>
        </w:rPr>
        <w:t> </w:t>
      </w:r>
      <w:r w:rsidRPr="000F550F">
        <w:rPr>
          <w:lang w:val="es-ES_tradnl"/>
        </w:rPr>
        <w:t>= 3 dB son apropiados para determinar los requisitos de protección contra las emisiones radiadas PLT</w:t>
      </w:r>
      <w:r w:rsidR="00352D44">
        <w:rPr>
          <w:lang w:val="es-ES_tradnl"/>
        </w:rPr>
        <w:t>.</w:t>
      </w:r>
      <w:r w:rsidRPr="000F550F">
        <w:rPr>
          <w:lang w:val="es-ES_tradnl"/>
        </w:rPr>
        <w:t xml:space="preserve"> Por tanto, el nivel de activación de potencia a la entrada de la antena de radiolocalización bien dado por:</w:t>
      </w:r>
    </w:p>
    <w:p w:rsidR="00B17B1F" w:rsidRPr="000F550F" w:rsidRDefault="00B17B1F" w:rsidP="00B17B1F">
      <w:pPr>
        <w:pStyle w:val="Blanc"/>
        <w:rPr>
          <w:lang w:val="es-ES_tradnl"/>
        </w:rPr>
      </w:pPr>
    </w:p>
    <w:p w:rsidR="00B17B1F" w:rsidRPr="000F550F" w:rsidRDefault="00B17B1F" w:rsidP="00B17B1F">
      <w:pPr>
        <w:pStyle w:val="Equation"/>
        <w:rPr>
          <w:lang w:val="es-ES_tradnl"/>
        </w:rPr>
      </w:pPr>
      <w:r w:rsidRPr="000F550F">
        <w:rPr>
          <w:b/>
          <w:bCs/>
          <w:lang w:val="es-ES_tradnl"/>
        </w:rPr>
        <w:tab/>
      </w:r>
      <w:r w:rsidRPr="000F550F">
        <w:rPr>
          <w:b/>
          <w:bCs/>
          <w:lang w:val="es-ES_tradnl"/>
        </w:rPr>
        <w:tab/>
      </w:r>
      <w:r w:rsidRPr="000F550F">
        <w:rPr>
          <w:bCs/>
          <w:i/>
          <w:iCs/>
          <w:lang w:val="es-ES_tradnl"/>
        </w:rPr>
        <w:t>P</w:t>
      </w:r>
      <w:r w:rsidRPr="000F550F">
        <w:rPr>
          <w:bCs/>
          <w:i/>
          <w:iCs/>
          <w:vertAlign w:val="subscript"/>
          <w:lang w:val="es-ES_tradnl"/>
        </w:rPr>
        <w:t>RL</w:t>
      </w:r>
      <w:r w:rsidRPr="000F550F">
        <w:rPr>
          <w:bCs/>
          <w:lang w:val="es-ES_tradnl"/>
        </w:rPr>
        <w:t xml:space="preserve"> (1 MHz) </w:t>
      </w:r>
      <w:r w:rsidRPr="000F550F">
        <w:rPr>
          <w:lang w:val="es-ES_tradnl"/>
        </w:rPr>
        <w:t>= –129 dBm/MHz – 20 dB = –</w:t>
      </w:r>
      <w:r w:rsidRPr="000F550F">
        <w:rPr>
          <w:bCs/>
          <w:lang w:val="es-ES_tradnl"/>
        </w:rPr>
        <w:t>149 dBm/MHz</w:t>
      </w:r>
      <w:r w:rsidRPr="000F550F">
        <w:rPr>
          <w:b/>
          <w:bCs/>
          <w:lang w:val="es-ES_tradnl"/>
        </w:rPr>
        <w:tab/>
      </w:r>
      <w:r w:rsidRPr="000F550F">
        <w:rPr>
          <w:lang w:val="es-ES_tradnl"/>
        </w:rPr>
        <w:t>(5)</w:t>
      </w:r>
    </w:p>
    <w:p w:rsidR="00B17B1F" w:rsidRPr="000F550F" w:rsidRDefault="00B17B1F" w:rsidP="00B17B1F">
      <w:pPr>
        <w:pStyle w:val="Blanc"/>
        <w:rPr>
          <w:lang w:val="es-ES_tradnl"/>
        </w:rPr>
      </w:pPr>
    </w:p>
    <w:p w:rsidR="00B17B1F" w:rsidRPr="000F550F" w:rsidRDefault="00B17B1F" w:rsidP="00B17B1F">
      <w:pPr>
        <w:rPr>
          <w:lang w:val="es-ES_tradnl"/>
        </w:rPr>
      </w:pPr>
      <w:r w:rsidRPr="000F550F">
        <w:rPr>
          <w:lang w:val="es-ES_tradnl"/>
        </w:rPr>
        <w:t>Utilizando la ecuación normalizada:</w:t>
      </w:r>
    </w:p>
    <w:p w:rsidR="00B17B1F" w:rsidRPr="000F550F" w:rsidRDefault="00B17B1F" w:rsidP="00B17B1F">
      <w:pPr>
        <w:pStyle w:val="Blanc"/>
        <w:rPr>
          <w:lang w:val="es-ES_tradnl"/>
        </w:rPr>
      </w:pPr>
    </w:p>
    <w:p w:rsidR="00B17B1F" w:rsidRPr="000F550F" w:rsidRDefault="00B17B1F" w:rsidP="00B17B1F">
      <w:pPr>
        <w:pStyle w:val="Equation"/>
        <w:rPr>
          <w:lang w:val="es-ES_tradnl"/>
        </w:rPr>
      </w:pPr>
      <w:r w:rsidRPr="000F550F">
        <w:rPr>
          <w:lang w:val="es-ES_tradnl"/>
        </w:rPr>
        <w:tab/>
      </w:r>
      <w:r w:rsidRPr="000F550F">
        <w:rPr>
          <w:lang w:val="es-ES_tradnl"/>
        </w:rPr>
        <w:tab/>
      </w:r>
      <w:r w:rsidRPr="000F550F">
        <w:rPr>
          <w:position w:val="-32"/>
          <w:lang w:val="es-ES_tradnl"/>
        </w:rPr>
        <w:object w:dxaOrig="2600" w:dyaOrig="760">
          <v:shape id="_x0000_i1033" type="#_x0000_t75" style="width:129.4pt;height:37.5pt" o:ole="">
            <v:imagedata r:id="rId30" o:title=""/>
          </v:shape>
          <o:OLEObject Type="Embed" ProgID="Equation.3" ShapeID="_x0000_i1033" DrawAspect="Content" ObjectID="_1469000272" r:id="rId31"/>
        </w:object>
      </w:r>
    </w:p>
    <w:p w:rsidR="00B17B1F" w:rsidRPr="000F550F" w:rsidRDefault="00B17B1F" w:rsidP="00B17B1F">
      <w:pPr>
        <w:rPr>
          <w:lang w:val="es-ES_tradnl"/>
        </w:rPr>
      </w:pPr>
      <w:r w:rsidRPr="000F550F">
        <w:rPr>
          <w:lang w:val="es-ES_tradnl"/>
        </w:rPr>
        <w:t>la fórmula de conversión entre la intensidad de campo eléctrico (dBμV/m) a la entrada de la antena y la potencia (dBm) es</w:t>
      </w:r>
      <w:r w:rsidR="00E5143A">
        <w:rPr>
          <w:lang w:val="es-ES_tradnl"/>
        </w:rPr>
        <w:t>:</w:t>
      </w:r>
    </w:p>
    <w:p w:rsidR="00B17B1F" w:rsidRPr="000F550F" w:rsidRDefault="00B17B1F" w:rsidP="00B17B1F">
      <w:pPr>
        <w:pStyle w:val="Blanc"/>
        <w:rPr>
          <w:lang w:val="es-ES_tradnl"/>
        </w:rPr>
      </w:pPr>
    </w:p>
    <w:p w:rsidR="00B17B1F" w:rsidRPr="000F550F" w:rsidRDefault="00B17B1F" w:rsidP="00B17B1F">
      <w:pPr>
        <w:pStyle w:val="Equation"/>
        <w:rPr>
          <w:lang w:val="es-ES_tradnl"/>
        </w:rPr>
      </w:pPr>
      <w:r w:rsidRPr="000F550F">
        <w:rPr>
          <w:lang w:val="es-ES_tradnl"/>
        </w:rPr>
        <w:tab/>
      </w:r>
      <w:r w:rsidRPr="000F550F">
        <w:rPr>
          <w:lang w:val="es-ES_tradnl"/>
        </w:rPr>
        <w:tab/>
      </w:r>
      <w:r w:rsidRPr="000F550F">
        <w:rPr>
          <w:i/>
          <w:iCs/>
          <w:lang w:val="es-ES_tradnl"/>
        </w:rPr>
        <w:t>P</w:t>
      </w:r>
      <w:r w:rsidRPr="000F550F">
        <w:rPr>
          <w:lang w:val="es-ES_tradnl"/>
        </w:rPr>
        <w:t> (dBm) = </w:t>
      </w:r>
      <w:r w:rsidRPr="000F550F">
        <w:rPr>
          <w:i/>
          <w:iCs/>
          <w:lang w:val="es-ES_tradnl"/>
        </w:rPr>
        <w:t>E</w:t>
      </w:r>
      <w:r w:rsidRPr="000F550F">
        <w:rPr>
          <w:lang w:val="es-ES_tradnl"/>
        </w:rPr>
        <w:t>(dBμV/m) – 77</w:t>
      </w:r>
      <w:r w:rsidR="00203404">
        <w:rPr>
          <w:lang w:val="es-ES_tradnl"/>
        </w:rPr>
        <w:t>,</w:t>
      </w:r>
      <w:r w:rsidRPr="000F550F">
        <w:rPr>
          <w:lang w:val="es-ES_tradnl"/>
        </w:rPr>
        <w:t xml:space="preserve">21 – 20 log </w:t>
      </w:r>
      <w:r w:rsidRPr="000F550F">
        <w:rPr>
          <w:i/>
          <w:iCs/>
          <w:lang w:val="es-ES_tradnl"/>
        </w:rPr>
        <w:t>f</w:t>
      </w:r>
      <w:r w:rsidRPr="000F550F">
        <w:rPr>
          <w:lang w:val="es-ES_tradnl"/>
        </w:rPr>
        <w:t xml:space="preserve"> (MHz) +</w:t>
      </w:r>
      <w:r w:rsidRPr="000F550F">
        <w:rPr>
          <w:i/>
          <w:iCs/>
          <w:lang w:val="es-ES_tradnl"/>
        </w:rPr>
        <w:t xml:space="preserve"> G</w:t>
      </w:r>
      <w:r w:rsidRPr="000F550F">
        <w:rPr>
          <w:i/>
          <w:iCs/>
          <w:vertAlign w:val="subscript"/>
          <w:lang w:val="es-ES_tradnl"/>
        </w:rPr>
        <w:t>i</w:t>
      </w:r>
      <w:r w:rsidRPr="000F550F">
        <w:rPr>
          <w:lang w:val="es-ES_tradnl"/>
        </w:rPr>
        <w:t xml:space="preserve"> –</w:t>
      </w:r>
      <w:r w:rsidRPr="000F550F">
        <w:rPr>
          <w:i/>
          <w:iCs/>
          <w:lang w:val="es-ES_tradnl"/>
        </w:rPr>
        <w:t xml:space="preserve"> L</w:t>
      </w:r>
      <w:r w:rsidRPr="000F550F">
        <w:rPr>
          <w:i/>
          <w:iCs/>
          <w:vertAlign w:val="subscript"/>
          <w:lang w:val="es-ES_tradnl"/>
        </w:rPr>
        <w:t>F</w:t>
      </w:r>
      <w:r w:rsidRPr="000F550F">
        <w:rPr>
          <w:i/>
          <w:iCs/>
          <w:vertAlign w:val="subscript"/>
          <w:lang w:val="es-ES_tradnl"/>
        </w:rPr>
        <w:tab/>
      </w:r>
      <w:r w:rsidRPr="000F550F">
        <w:rPr>
          <w:lang w:val="es-ES_tradnl"/>
        </w:rPr>
        <w:t>(6)</w:t>
      </w:r>
    </w:p>
    <w:p w:rsidR="00B17B1F" w:rsidRPr="000F550F" w:rsidRDefault="00B17B1F" w:rsidP="00B17B1F">
      <w:pPr>
        <w:pStyle w:val="Blanc"/>
        <w:rPr>
          <w:lang w:val="es-ES_tradnl"/>
        </w:rPr>
      </w:pPr>
    </w:p>
    <w:p w:rsidR="00B17B1F" w:rsidRPr="000F550F" w:rsidRDefault="00B17B1F" w:rsidP="00B17B1F">
      <w:pPr>
        <w:rPr>
          <w:lang w:val="es-ES_tradnl"/>
        </w:rPr>
      </w:pPr>
      <w:r w:rsidRPr="000F550F">
        <w:rPr>
          <w:lang w:val="es-ES_tradnl"/>
        </w:rPr>
        <w:t xml:space="preserve">Como el nivel de ruido equivalente a la entrada del receptor (es decir, con factor de ruido, una BW de referencia de 1 MHz y una frecuencia </w:t>
      </w:r>
      <w:r w:rsidRPr="000F550F">
        <w:rPr>
          <w:i/>
          <w:iCs/>
          <w:lang w:val="es-ES_tradnl"/>
        </w:rPr>
        <w:t>R</w:t>
      </w:r>
      <w:r w:rsidRPr="000F550F">
        <w:rPr>
          <w:i/>
          <w:iCs/>
          <w:vertAlign w:val="subscript"/>
          <w:lang w:val="es-ES_tradnl"/>
        </w:rPr>
        <w:t>F</w:t>
      </w:r>
      <w:r w:rsidRPr="000F550F">
        <w:rPr>
          <w:lang w:val="es-ES_tradnl"/>
        </w:rPr>
        <w:t xml:space="preserve"> de 460 MHz) es idéntico, la diferencia en intensidades de campo se obtiene a partir de las distintas ganancias y pérdidas en la entena de recepción.</w:t>
      </w:r>
    </w:p>
    <w:p w:rsidR="00B17B1F" w:rsidRPr="000F550F" w:rsidRDefault="00B17B1F" w:rsidP="00B17B1F">
      <w:pPr>
        <w:rPr>
          <w:lang w:val="es-ES_tradnl"/>
        </w:rPr>
      </w:pPr>
      <w:r w:rsidRPr="000F550F">
        <w:rPr>
          <w:lang w:val="es-ES_tradnl"/>
        </w:rPr>
        <w:t xml:space="preserve">Para la frecuencia de referencia </w:t>
      </w:r>
      <w:r w:rsidRPr="000F550F">
        <w:rPr>
          <w:i/>
          <w:iCs/>
          <w:lang w:val="es-ES_tradnl"/>
        </w:rPr>
        <w:t>R</w:t>
      </w:r>
      <w:r w:rsidRPr="000F550F">
        <w:rPr>
          <w:i/>
          <w:iCs/>
          <w:vertAlign w:val="subscript"/>
          <w:lang w:val="es-ES_tradnl"/>
        </w:rPr>
        <w:t>F</w:t>
      </w:r>
      <w:r w:rsidRPr="000F550F">
        <w:rPr>
          <w:lang w:val="es-ES_tradnl"/>
        </w:rPr>
        <w:t xml:space="preserve"> of 460 MHz, la fórmula de conversión (6) arroja un valor de:</w:t>
      </w:r>
    </w:p>
    <w:p w:rsidR="00B17B1F" w:rsidRPr="000F550F" w:rsidRDefault="00B17B1F" w:rsidP="00B17B1F">
      <w:pPr>
        <w:pStyle w:val="Blanc"/>
        <w:rPr>
          <w:lang w:val="es-ES_tradnl"/>
        </w:rPr>
      </w:pPr>
    </w:p>
    <w:p w:rsidR="00B17B1F" w:rsidRPr="000F550F" w:rsidRDefault="00B17B1F" w:rsidP="00B17B1F">
      <w:pPr>
        <w:pStyle w:val="Equation"/>
        <w:rPr>
          <w:lang w:val="es-ES_tradnl"/>
        </w:rPr>
      </w:pPr>
      <w:r w:rsidRPr="000F550F">
        <w:rPr>
          <w:lang w:val="es-ES_tradnl"/>
        </w:rPr>
        <w:tab/>
      </w:r>
      <w:r w:rsidRPr="000F550F">
        <w:rPr>
          <w:lang w:val="es-ES_tradnl"/>
        </w:rPr>
        <w:tab/>
        <w:t>–129 (dBm) = </w:t>
      </w:r>
      <w:r w:rsidRPr="000F550F">
        <w:rPr>
          <w:i/>
          <w:iCs/>
          <w:lang w:val="es-ES_tradnl"/>
        </w:rPr>
        <w:t>E</w:t>
      </w:r>
      <w:r w:rsidRPr="000F550F">
        <w:rPr>
          <w:lang w:val="es-ES_tradnl"/>
        </w:rPr>
        <w:t>(dBμV/m) – 77</w:t>
      </w:r>
      <w:r w:rsidR="00203404">
        <w:rPr>
          <w:lang w:val="es-ES_tradnl"/>
        </w:rPr>
        <w:t>,</w:t>
      </w:r>
      <w:r w:rsidRPr="000F550F">
        <w:rPr>
          <w:lang w:val="es-ES_tradnl"/>
        </w:rPr>
        <w:t>21 – 53</w:t>
      </w:r>
      <w:r w:rsidR="00203404">
        <w:rPr>
          <w:lang w:val="es-ES_tradnl"/>
        </w:rPr>
        <w:t>,</w:t>
      </w:r>
      <w:r w:rsidRPr="000F550F">
        <w:rPr>
          <w:lang w:val="es-ES_tradnl"/>
        </w:rPr>
        <w:t>25</w:t>
      </w:r>
      <w:r w:rsidRPr="000F550F">
        <w:rPr>
          <w:lang w:val="es-ES_tradnl"/>
        </w:rPr>
        <w:tab/>
        <w:t>(7)</w:t>
      </w:r>
    </w:p>
    <w:p w:rsidR="00B17B1F" w:rsidRPr="000F550F" w:rsidRDefault="00B17B1F" w:rsidP="00B17B1F">
      <w:pPr>
        <w:spacing w:after="120"/>
        <w:rPr>
          <w:lang w:val="es-ES_tradnl"/>
        </w:rPr>
      </w:pPr>
      <w:r w:rsidRPr="000F550F">
        <w:rPr>
          <w:lang w:val="es-ES_tradnl"/>
        </w:rPr>
        <w:t>Por tanto:</w:t>
      </w:r>
    </w:p>
    <w:p w:rsidR="00B17B1F" w:rsidRPr="000F550F" w:rsidRDefault="00B17B1F" w:rsidP="00B17B1F">
      <w:pPr>
        <w:pStyle w:val="Equation"/>
        <w:rPr>
          <w:lang w:val="es-ES_tradnl"/>
        </w:rPr>
      </w:pPr>
      <w:r w:rsidRPr="000F550F">
        <w:rPr>
          <w:lang w:val="es-ES_tradnl"/>
        </w:rPr>
        <w:tab/>
      </w:r>
      <w:r w:rsidRPr="000F550F">
        <w:rPr>
          <w:i/>
          <w:iCs/>
          <w:lang w:val="es-ES_tradnl"/>
        </w:rPr>
        <w:t>E</w:t>
      </w:r>
      <w:r w:rsidRPr="000F550F">
        <w:rPr>
          <w:i/>
          <w:iCs/>
          <w:vertAlign w:val="subscript"/>
          <w:lang w:val="es-ES_tradnl"/>
        </w:rPr>
        <w:t>tfono</w:t>
      </w:r>
      <w:r w:rsidRPr="000F550F">
        <w:rPr>
          <w:lang w:val="es-ES_tradnl"/>
        </w:rPr>
        <w:t xml:space="preserve"> (1 MHz) = 1</w:t>
      </w:r>
      <w:r w:rsidR="00203404">
        <w:rPr>
          <w:lang w:val="es-ES_tradnl"/>
        </w:rPr>
        <w:t>,</w:t>
      </w:r>
      <w:r w:rsidRPr="000F550F">
        <w:rPr>
          <w:lang w:val="es-ES_tradnl"/>
        </w:rPr>
        <w:t>5 (dB</w:t>
      </w:r>
      <w:r w:rsidRPr="000F550F">
        <w:rPr>
          <w:lang w:val="es-ES_tradnl"/>
        </w:rPr>
        <w:sym w:font="Symbol" w:char="F06D"/>
      </w:r>
      <w:r w:rsidRPr="000F550F">
        <w:rPr>
          <w:lang w:val="es-ES_tradnl"/>
        </w:rPr>
        <w:t>V/m)</w:t>
      </w:r>
      <w:r w:rsidRPr="000F550F">
        <w:rPr>
          <w:lang w:val="es-ES_tradnl"/>
        </w:rPr>
        <w:tab/>
      </w:r>
      <w:r w:rsidRPr="000F550F">
        <w:rPr>
          <w:lang w:val="es-ES_tradnl"/>
        </w:rPr>
        <w:tab/>
        <w:t>(8)</w:t>
      </w:r>
    </w:p>
    <w:p w:rsidR="00B17B1F" w:rsidRPr="000F550F" w:rsidRDefault="00B17B1F" w:rsidP="00B17B1F">
      <w:pPr>
        <w:pStyle w:val="Equation"/>
        <w:rPr>
          <w:lang w:val="es-ES_tradnl"/>
        </w:rPr>
      </w:pPr>
      <w:r w:rsidRPr="000F550F">
        <w:rPr>
          <w:lang w:val="es-ES_tradnl"/>
        </w:rPr>
        <w:tab/>
      </w:r>
      <w:r w:rsidRPr="000F550F">
        <w:rPr>
          <w:i/>
          <w:iCs/>
          <w:lang w:val="es-ES_tradnl"/>
        </w:rPr>
        <w:t>E</w:t>
      </w:r>
      <w:r w:rsidRPr="000F550F">
        <w:rPr>
          <w:i/>
          <w:iCs/>
          <w:vertAlign w:val="subscript"/>
          <w:lang w:val="es-ES_tradnl"/>
        </w:rPr>
        <w:t>EB</w:t>
      </w:r>
      <w:r w:rsidRPr="000F550F">
        <w:rPr>
          <w:lang w:val="es-ES_tradnl"/>
        </w:rPr>
        <w:t xml:space="preserve"> (1 MHz) = </w:t>
      </w:r>
      <w:r w:rsidRPr="000F550F">
        <w:rPr>
          <w:i/>
          <w:iCs/>
          <w:lang w:val="es-ES_tradnl"/>
        </w:rPr>
        <w:t>E</w:t>
      </w:r>
      <w:r w:rsidRPr="000F550F">
        <w:rPr>
          <w:i/>
          <w:iCs/>
          <w:vertAlign w:val="subscript"/>
          <w:lang w:val="es-ES_tradnl"/>
        </w:rPr>
        <w:t>fijo</w:t>
      </w:r>
      <w:r w:rsidRPr="000F550F">
        <w:rPr>
          <w:lang w:val="es-ES_tradnl"/>
        </w:rPr>
        <w:t>(1 MHz) = 1</w:t>
      </w:r>
      <w:r w:rsidR="00203404">
        <w:rPr>
          <w:lang w:val="es-ES_tradnl"/>
        </w:rPr>
        <w:t>,</w:t>
      </w:r>
      <w:r w:rsidRPr="000F550F">
        <w:rPr>
          <w:lang w:val="es-ES_tradnl"/>
        </w:rPr>
        <w:t>5 (dBμV/m) – 12 dB = –10</w:t>
      </w:r>
      <w:r w:rsidR="00203404">
        <w:rPr>
          <w:lang w:val="es-ES_tradnl"/>
        </w:rPr>
        <w:t>,</w:t>
      </w:r>
      <w:r w:rsidRPr="000F550F">
        <w:rPr>
          <w:lang w:val="es-ES_tradnl"/>
        </w:rPr>
        <w:t>5 (dBμV/m)</w:t>
      </w:r>
      <w:r w:rsidRPr="000F550F">
        <w:rPr>
          <w:lang w:val="es-ES_tradnl"/>
        </w:rPr>
        <w:tab/>
        <w:t>(9)</w:t>
      </w:r>
    </w:p>
    <w:p w:rsidR="00B17B1F" w:rsidRPr="000F550F" w:rsidRDefault="00B17B1F" w:rsidP="00B17B1F">
      <w:pPr>
        <w:pStyle w:val="Equation"/>
        <w:rPr>
          <w:lang w:val="es-ES_tradnl"/>
        </w:rPr>
      </w:pPr>
      <w:r w:rsidRPr="000F550F">
        <w:rPr>
          <w:lang w:val="es-ES_tradnl"/>
        </w:rPr>
        <w:tab/>
      </w:r>
      <w:r w:rsidRPr="000F550F">
        <w:rPr>
          <w:i/>
          <w:iCs/>
          <w:lang w:val="es-ES_tradnl"/>
        </w:rPr>
        <w:t>E</w:t>
      </w:r>
      <w:r w:rsidRPr="000F550F">
        <w:rPr>
          <w:i/>
          <w:iCs/>
          <w:vertAlign w:val="subscript"/>
          <w:lang w:val="es-ES_tradnl"/>
        </w:rPr>
        <w:t>RL</w:t>
      </w:r>
      <w:r w:rsidRPr="000F550F">
        <w:rPr>
          <w:lang w:val="es-ES_tradnl"/>
        </w:rPr>
        <w:t xml:space="preserve"> (1 MHz) = </w:t>
      </w:r>
      <w:r w:rsidRPr="000F550F">
        <w:rPr>
          <w:i/>
          <w:iCs/>
          <w:lang w:val="es-ES_tradnl"/>
        </w:rPr>
        <w:t>E</w:t>
      </w:r>
      <w:r w:rsidRPr="000F550F">
        <w:rPr>
          <w:lang w:val="es-ES_tradnl"/>
        </w:rPr>
        <w:t xml:space="preserve"> = 1</w:t>
      </w:r>
      <w:r w:rsidR="00203404">
        <w:rPr>
          <w:lang w:val="es-ES_tradnl"/>
        </w:rPr>
        <w:t>,</w:t>
      </w:r>
      <w:r w:rsidRPr="000F550F">
        <w:rPr>
          <w:lang w:val="es-ES_tradnl"/>
        </w:rPr>
        <w:t>5 (dBμV/m) – 20 dB = –18</w:t>
      </w:r>
      <w:r w:rsidR="00203404">
        <w:rPr>
          <w:lang w:val="es-ES_tradnl"/>
        </w:rPr>
        <w:t>,</w:t>
      </w:r>
      <w:r w:rsidRPr="000F550F">
        <w:rPr>
          <w:lang w:val="es-ES_tradnl"/>
        </w:rPr>
        <w:t>5 (dBμV/m)</w:t>
      </w:r>
      <w:r w:rsidRPr="000F550F">
        <w:rPr>
          <w:lang w:val="es-ES_tradnl"/>
        </w:rPr>
        <w:tab/>
        <w:t>(10)</w:t>
      </w:r>
    </w:p>
    <w:p w:rsidR="00B17B1F" w:rsidRPr="000F550F" w:rsidRDefault="00B17B1F" w:rsidP="00B17B1F">
      <w:pPr>
        <w:pStyle w:val="Heading3"/>
        <w:rPr>
          <w:lang w:val="es-ES_tradnl"/>
        </w:rPr>
      </w:pPr>
      <w:r w:rsidRPr="000F550F">
        <w:rPr>
          <w:lang w:val="es-ES_tradnl"/>
        </w:rPr>
        <w:t>3.2.2</w:t>
      </w:r>
      <w:r w:rsidRPr="000F550F">
        <w:rPr>
          <w:lang w:val="es-ES_tradnl"/>
        </w:rPr>
        <w:tab/>
        <w:t>Máscara de nivel de emisión radiada PLT permitida para proteger los servicios terrenales</w:t>
      </w:r>
    </w:p>
    <w:p w:rsidR="00B17B1F" w:rsidRPr="000F550F" w:rsidRDefault="00B17B1F" w:rsidP="00B17B1F">
      <w:pPr>
        <w:rPr>
          <w:lang w:val="es-ES_tradnl"/>
        </w:rPr>
      </w:pPr>
      <w:r w:rsidRPr="000F550F">
        <w:rPr>
          <w:lang w:val="es-ES_tradnl"/>
        </w:rPr>
        <w:t xml:space="preserve">Suponiendo propagación en espacio libre para las emisiones radiadas PLT, consideradas como una fuente puntual, dirigidas a los receptores de radiocomunicaciones terrenales utilizando la ecuación (4) de la </w:t>
      </w:r>
      <w:r w:rsidR="00E5143A">
        <w:rPr>
          <w:lang w:val="es-ES_tradnl"/>
        </w:rPr>
        <w:t>Recomendación UIT-R P.</w:t>
      </w:r>
      <w:r w:rsidRPr="000F550F">
        <w:rPr>
          <w:lang w:val="es-ES_tradnl"/>
        </w:rPr>
        <w:t xml:space="preserve">525 y una distancia </w:t>
      </w:r>
      <w:r w:rsidRPr="000F550F">
        <w:rPr>
          <w:i/>
          <w:iCs/>
          <w:lang w:val="es-ES_tradnl"/>
        </w:rPr>
        <w:t>d</w:t>
      </w:r>
      <w:r w:rsidRPr="000F550F">
        <w:rPr>
          <w:lang w:val="es-ES_tradnl"/>
        </w:rPr>
        <w:t xml:space="preserve"> en metros (no en km)</w:t>
      </w:r>
    </w:p>
    <w:p w:rsidR="00B17B1F" w:rsidRPr="00B17B1F" w:rsidRDefault="00B17B1F" w:rsidP="00B17B1F">
      <w:pPr>
        <w:pStyle w:val="Equation"/>
        <w:rPr>
          <w:lang w:val="en-US"/>
        </w:rPr>
      </w:pPr>
      <w:r w:rsidRPr="000F550F">
        <w:rPr>
          <w:i/>
          <w:iCs/>
          <w:lang w:val="es-ES_tradnl"/>
        </w:rPr>
        <w:tab/>
      </w:r>
      <w:r w:rsidRPr="000F550F">
        <w:rPr>
          <w:i/>
          <w:iCs/>
          <w:lang w:val="es-ES_tradnl"/>
        </w:rPr>
        <w:tab/>
      </w:r>
      <w:r w:rsidRPr="00B17B1F">
        <w:rPr>
          <w:i/>
          <w:iCs/>
          <w:lang w:val="en-US"/>
        </w:rPr>
        <w:t>L</w:t>
      </w:r>
      <w:r w:rsidRPr="00B17B1F">
        <w:rPr>
          <w:i/>
          <w:iCs/>
          <w:sz w:val="18"/>
          <w:szCs w:val="18"/>
          <w:vertAlign w:val="subscript"/>
          <w:lang w:val="en-US"/>
        </w:rPr>
        <w:t>bf</w:t>
      </w:r>
      <w:r w:rsidRPr="00B17B1F">
        <w:rPr>
          <w:vertAlign w:val="subscript"/>
          <w:lang w:val="en-US"/>
        </w:rPr>
        <w:t> </w:t>
      </w:r>
      <w:r w:rsidRPr="00B17B1F">
        <w:rPr>
          <w:lang w:val="en-US"/>
        </w:rPr>
        <w:t>= –27</w:t>
      </w:r>
      <w:r w:rsidR="00203404">
        <w:rPr>
          <w:lang w:val="en-US"/>
        </w:rPr>
        <w:t>,</w:t>
      </w:r>
      <w:r w:rsidR="006B63E1">
        <w:rPr>
          <w:lang w:val="en-US"/>
        </w:rPr>
        <w:t>6 </w:t>
      </w:r>
      <w:r w:rsidRPr="000F550F">
        <w:rPr>
          <w:rFonts w:ascii="Symbol" w:hAnsi="Symbol" w:cs="Symbol"/>
          <w:lang w:val="es-ES_tradnl"/>
        </w:rPr>
        <w:t></w:t>
      </w:r>
      <w:r w:rsidR="006B63E1">
        <w:rPr>
          <w:lang w:val="en-US"/>
        </w:rPr>
        <w:t> </w:t>
      </w:r>
      <w:r w:rsidRPr="00B17B1F">
        <w:rPr>
          <w:lang w:val="en-US"/>
        </w:rPr>
        <w:t xml:space="preserve">20 log </w:t>
      </w:r>
      <w:r w:rsidRPr="00B17B1F">
        <w:rPr>
          <w:i/>
          <w:iCs/>
          <w:lang w:val="en-US"/>
        </w:rPr>
        <w:t>f</w:t>
      </w:r>
      <w:r w:rsidRPr="00B17B1F">
        <w:rPr>
          <w:lang w:val="en-US"/>
        </w:rPr>
        <w:t> </w:t>
      </w:r>
      <w:r w:rsidR="006B63E1">
        <w:rPr>
          <w:lang w:val="en-US"/>
        </w:rPr>
        <w:t>+</w:t>
      </w:r>
      <w:r w:rsidRPr="00B17B1F">
        <w:rPr>
          <w:lang w:val="en-US"/>
        </w:rPr>
        <w:t xml:space="preserve"> 20 log </w:t>
      </w:r>
      <w:r w:rsidRPr="00B17B1F">
        <w:rPr>
          <w:i/>
          <w:iCs/>
          <w:lang w:val="en-US"/>
        </w:rPr>
        <w:t>d</w:t>
      </w:r>
      <w:r w:rsidRPr="00B17B1F">
        <w:rPr>
          <w:color w:val="FFFFFF"/>
          <w:lang w:val="en-US"/>
        </w:rPr>
        <w:t xml:space="preserve"> </w:t>
      </w:r>
      <w:r w:rsidRPr="00B17B1F">
        <w:rPr>
          <w:lang w:val="en-US"/>
        </w:rPr>
        <w:t>(dB)</w:t>
      </w:r>
      <w:r w:rsidRPr="00B17B1F">
        <w:rPr>
          <w:lang w:val="en-US"/>
        </w:rPr>
        <w:tab/>
        <w:t>(11)</w:t>
      </w:r>
    </w:p>
    <w:p w:rsidR="00B17B1F" w:rsidRPr="000F550F" w:rsidRDefault="00B17B1F" w:rsidP="00B17B1F">
      <w:pPr>
        <w:rPr>
          <w:lang w:val="es-ES_tradnl"/>
        </w:rPr>
      </w:pPr>
      <w:r w:rsidRPr="000F550F">
        <w:rPr>
          <w:lang w:val="es-ES_tradnl"/>
        </w:rPr>
        <w:lastRenderedPageBreak/>
        <w:t xml:space="preserve">La máxima potencia de cresta PLT permitida </w:t>
      </w:r>
      <w:r w:rsidRPr="000F550F">
        <w:rPr>
          <w:i/>
          <w:iCs/>
          <w:lang w:val="es-ES_tradnl"/>
        </w:rPr>
        <w:t>P</w:t>
      </w:r>
      <w:r w:rsidRPr="000F550F">
        <w:rPr>
          <w:i/>
          <w:iCs/>
          <w:vertAlign w:val="subscript"/>
          <w:lang w:val="es-ES_tradnl"/>
        </w:rPr>
        <w:t>PLT</w:t>
      </w:r>
      <w:r w:rsidRPr="004950D8">
        <w:rPr>
          <w:lang w:val="es-ES_tradnl"/>
        </w:rPr>
        <w:t xml:space="preserve"> a una </w:t>
      </w:r>
      <w:r w:rsidRPr="000F550F">
        <w:rPr>
          <w:i/>
          <w:iCs/>
          <w:lang w:val="es-ES_tradnl"/>
        </w:rPr>
        <w:t xml:space="preserve">f </w:t>
      </w:r>
      <w:r w:rsidRPr="000F550F">
        <w:rPr>
          <w:lang w:val="es-ES_tradnl"/>
        </w:rPr>
        <w:t>= 460 MHz para proteger un teléfono celular situado a 1 m de una fuente PLT es, por tanto:</w:t>
      </w:r>
    </w:p>
    <w:p w:rsidR="00B17B1F" w:rsidRPr="000F550F" w:rsidRDefault="00B17B1F" w:rsidP="00B17B1F">
      <w:pPr>
        <w:pStyle w:val="Blanc"/>
        <w:rPr>
          <w:lang w:val="es-ES_tradnl"/>
        </w:rPr>
      </w:pPr>
    </w:p>
    <w:p w:rsidR="00B17B1F" w:rsidRPr="000F550F" w:rsidRDefault="00B17B1F" w:rsidP="00B17B1F">
      <w:pPr>
        <w:pStyle w:val="Equation"/>
        <w:rPr>
          <w:i/>
          <w:iCs/>
          <w:lang w:val="es-ES_tradnl"/>
        </w:rPr>
      </w:pPr>
      <w:r w:rsidRPr="000F550F">
        <w:rPr>
          <w:lang w:val="es-ES_tradnl"/>
        </w:rPr>
        <w:tab/>
      </w:r>
      <w:r w:rsidRPr="000F550F">
        <w:rPr>
          <w:i/>
          <w:iCs/>
          <w:lang w:val="es-ES_tradnl"/>
        </w:rPr>
        <w:t>P</w:t>
      </w:r>
      <w:r w:rsidRPr="000F550F">
        <w:rPr>
          <w:i/>
          <w:iCs/>
          <w:vertAlign w:val="subscript"/>
          <w:lang w:val="es-ES_tradnl"/>
        </w:rPr>
        <w:t>PLT</w:t>
      </w:r>
      <w:r w:rsidR="006B63E1">
        <w:rPr>
          <w:lang w:val="es-ES_tradnl"/>
        </w:rPr>
        <w:t xml:space="preserve"> (dBm/MHz) </w:t>
      </w:r>
      <w:r w:rsidRPr="000F550F">
        <w:rPr>
          <w:lang w:val="es-ES_tradnl"/>
        </w:rPr>
        <w:t>= </w:t>
      </w:r>
      <w:r w:rsidRPr="000F550F">
        <w:rPr>
          <w:i/>
          <w:iCs/>
          <w:lang w:val="es-ES_tradnl"/>
        </w:rPr>
        <w:t>P</w:t>
      </w:r>
      <w:r w:rsidRPr="000F550F">
        <w:rPr>
          <w:i/>
          <w:iCs/>
          <w:vertAlign w:val="subscript"/>
          <w:lang w:val="es-ES_tradnl"/>
        </w:rPr>
        <w:t>tfono</w:t>
      </w:r>
      <w:r w:rsidRPr="000F550F">
        <w:rPr>
          <w:lang w:val="es-ES_tradnl"/>
        </w:rPr>
        <w:t xml:space="preserve"> (dBm/MHz) + </w:t>
      </w:r>
      <w:r w:rsidRPr="000F550F">
        <w:rPr>
          <w:i/>
          <w:iCs/>
          <w:lang w:val="es-ES_tradnl"/>
        </w:rPr>
        <w:t>L</w:t>
      </w:r>
      <w:r w:rsidRPr="000F550F">
        <w:rPr>
          <w:i/>
          <w:iCs/>
          <w:vertAlign w:val="subscript"/>
          <w:lang w:val="es-ES_tradnl"/>
        </w:rPr>
        <w:t>bf</w:t>
      </w:r>
      <w:r w:rsidR="006B63E1" w:rsidRPr="000F550F">
        <w:rPr>
          <w:lang w:val="es-ES_tradnl"/>
        </w:rPr>
        <w:t> </w:t>
      </w:r>
      <w:r w:rsidRPr="000F550F">
        <w:rPr>
          <w:lang w:val="es-ES_tradnl"/>
        </w:rPr>
        <w:t>= –129 – 27</w:t>
      </w:r>
      <w:r w:rsidR="00203404">
        <w:rPr>
          <w:lang w:val="es-ES_tradnl"/>
        </w:rPr>
        <w:t>,</w:t>
      </w:r>
      <w:r w:rsidRPr="000F550F">
        <w:rPr>
          <w:lang w:val="es-ES_tradnl"/>
        </w:rPr>
        <w:t>6 </w:t>
      </w:r>
      <w:r w:rsidRPr="000F550F">
        <w:rPr>
          <w:rFonts w:ascii="Symbol" w:hAnsi="Symbol" w:cs="Symbol"/>
          <w:lang w:val="es-ES_tradnl"/>
        </w:rPr>
        <w:t></w:t>
      </w:r>
      <w:r w:rsidRPr="000F550F">
        <w:rPr>
          <w:lang w:val="es-ES_tradnl"/>
        </w:rPr>
        <w:t xml:space="preserve"> 20 log </w:t>
      </w:r>
      <w:r w:rsidRPr="000F550F">
        <w:rPr>
          <w:rFonts w:asciiTheme="majorBidi" w:hAnsiTheme="majorBidi" w:cstheme="majorBidi"/>
          <w:i/>
          <w:iCs/>
          <w:lang w:val="es-ES_tradnl"/>
        </w:rPr>
        <w:t xml:space="preserve">f </w:t>
      </w:r>
      <w:r w:rsidRPr="000F550F">
        <w:rPr>
          <w:lang w:val="es-ES_tradnl"/>
        </w:rPr>
        <w:t xml:space="preserve">+ 20 log </w:t>
      </w:r>
      <w:r w:rsidRPr="000F550F">
        <w:rPr>
          <w:i/>
          <w:iCs/>
          <w:lang w:val="es-ES_tradnl"/>
        </w:rPr>
        <w:t>d</w:t>
      </w:r>
    </w:p>
    <w:p w:rsidR="00B17B1F" w:rsidRPr="000F550F" w:rsidRDefault="00B17B1F" w:rsidP="00B17B1F">
      <w:pPr>
        <w:pStyle w:val="Equation"/>
        <w:rPr>
          <w:lang w:val="es-ES_tradnl"/>
        </w:rPr>
      </w:pPr>
      <w:r w:rsidRPr="000F550F">
        <w:rPr>
          <w:lang w:val="es-ES_tradnl"/>
        </w:rPr>
        <w:tab/>
        <w:t>= –129 – 27</w:t>
      </w:r>
      <w:r w:rsidR="00203404">
        <w:rPr>
          <w:lang w:val="es-ES_tradnl"/>
        </w:rPr>
        <w:t>,</w:t>
      </w:r>
      <w:r w:rsidRPr="000F550F">
        <w:rPr>
          <w:lang w:val="es-ES_tradnl"/>
        </w:rPr>
        <w:t>6 </w:t>
      </w:r>
      <w:r w:rsidRPr="000F550F">
        <w:rPr>
          <w:rFonts w:ascii="Symbol" w:hAnsi="Symbol" w:cs="Symbol"/>
          <w:lang w:val="es-ES_tradnl"/>
        </w:rPr>
        <w:t></w:t>
      </w:r>
      <w:r w:rsidRPr="000F550F">
        <w:rPr>
          <w:lang w:val="es-ES_tradnl"/>
        </w:rPr>
        <w:t xml:space="preserve"> 20 log </w:t>
      </w:r>
      <w:r w:rsidRPr="000F550F">
        <w:rPr>
          <w:rFonts w:ascii="Symbol" w:hAnsi="Symbol" w:cs="Symbol"/>
          <w:lang w:val="es-ES_tradnl"/>
        </w:rPr>
        <w:t></w:t>
      </w:r>
      <w:r w:rsidRPr="000F550F">
        <w:rPr>
          <w:rFonts w:ascii="Symbol" w:hAnsi="Symbol" w:cs="Symbol"/>
          <w:lang w:val="es-ES_tradnl"/>
        </w:rPr>
        <w:t></w:t>
      </w:r>
      <w:r w:rsidRPr="000F550F">
        <w:rPr>
          <w:rFonts w:ascii="Symbol" w:hAnsi="Symbol" w:cs="Symbol"/>
          <w:lang w:val="es-ES_tradnl"/>
        </w:rPr>
        <w:t></w:t>
      </w:r>
      <w:r w:rsidRPr="000F550F">
        <w:rPr>
          <w:rFonts w:ascii="Symbol" w:hAnsi="Symbol" w:cs="Symbol"/>
          <w:lang w:val="es-ES_tradnl"/>
        </w:rPr>
        <w:t></w:t>
      </w:r>
      <w:r w:rsidRPr="000F550F">
        <w:rPr>
          <w:lang w:val="es-ES_tradnl"/>
        </w:rPr>
        <w:t>+ 20 log 1 = –129 – 27</w:t>
      </w:r>
      <w:r w:rsidR="009F6F1F">
        <w:rPr>
          <w:lang w:val="es-ES_tradnl"/>
        </w:rPr>
        <w:t>,</w:t>
      </w:r>
      <w:r w:rsidRPr="000F550F">
        <w:rPr>
          <w:lang w:val="es-ES_tradnl"/>
        </w:rPr>
        <w:t>6 + 53</w:t>
      </w:r>
      <w:r w:rsidR="009F6F1F">
        <w:rPr>
          <w:lang w:val="es-ES_tradnl"/>
        </w:rPr>
        <w:t>,</w:t>
      </w:r>
      <w:r w:rsidRPr="000F550F">
        <w:rPr>
          <w:lang w:val="es-ES_tradnl"/>
        </w:rPr>
        <w:t>3 ≈ –</w:t>
      </w:r>
      <w:r w:rsidRPr="000F550F">
        <w:rPr>
          <w:bCs/>
          <w:lang w:val="es-ES_tradnl"/>
        </w:rPr>
        <w:t>103 (dBm/MHz)</w:t>
      </w:r>
      <w:r w:rsidRPr="000F550F">
        <w:rPr>
          <w:b/>
          <w:bCs/>
          <w:lang w:val="es-ES_tradnl"/>
        </w:rPr>
        <w:tab/>
      </w:r>
      <w:r w:rsidRPr="000F550F">
        <w:rPr>
          <w:lang w:val="es-ES_tradnl"/>
        </w:rPr>
        <w:t>(12)</w:t>
      </w:r>
    </w:p>
    <w:p w:rsidR="00B17B1F" w:rsidRPr="000F550F" w:rsidRDefault="00B17B1F" w:rsidP="00B17B1F">
      <w:pPr>
        <w:pStyle w:val="Blanc"/>
        <w:rPr>
          <w:lang w:val="es-ES_tradnl"/>
        </w:rPr>
      </w:pPr>
    </w:p>
    <w:p w:rsidR="00B17B1F" w:rsidRPr="000F550F" w:rsidRDefault="00B17B1F" w:rsidP="00B17B1F">
      <w:pPr>
        <w:rPr>
          <w:lang w:val="es-ES_tradnl"/>
        </w:rPr>
      </w:pPr>
      <w:r w:rsidRPr="000F550F">
        <w:rPr>
          <w:lang w:val="es-ES_tradnl"/>
        </w:rPr>
        <w:t xml:space="preserve">De forma similar, la máxima potencia de cresta PLT permitida </w:t>
      </w:r>
      <w:r w:rsidRPr="000F550F">
        <w:rPr>
          <w:i/>
          <w:iCs/>
          <w:lang w:val="es-ES_tradnl"/>
        </w:rPr>
        <w:t>P</w:t>
      </w:r>
      <w:r w:rsidRPr="000F550F">
        <w:rPr>
          <w:i/>
          <w:iCs/>
          <w:vertAlign w:val="subscript"/>
          <w:lang w:val="es-ES_tradnl"/>
        </w:rPr>
        <w:t>PLT</w:t>
      </w:r>
      <w:r w:rsidRPr="000F550F">
        <w:rPr>
          <w:position w:val="-6"/>
          <w:lang w:val="es-ES_tradnl"/>
        </w:rPr>
        <w:t xml:space="preserve"> </w:t>
      </w:r>
      <w:r w:rsidRPr="000F550F">
        <w:rPr>
          <w:lang w:val="es-ES_tradnl"/>
        </w:rPr>
        <w:t xml:space="preserve">a una </w:t>
      </w:r>
      <w:r w:rsidRPr="000F550F">
        <w:rPr>
          <w:i/>
          <w:iCs/>
          <w:lang w:val="es-ES_tradnl"/>
        </w:rPr>
        <w:t xml:space="preserve">f </w:t>
      </w:r>
      <w:r w:rsidRPr="000F550F">
        <w:rPr>
          <w:lang w:val="es-ES_tradnl"/>
        </w:rPr>
        <w:t>= 460 MHz para proteger una estación de base IMT/celular situada a 10 m de una fuente PLT es:</w:t>
      </w:r>
    </w:p>
    <w:p w:rsidR="00B17B1F" w:rsidRPr="000F550F" w:rsidRDefault="00B17B1F" w:rsidP="00B17B1F">
      <w:pPr>
        <w:pStyle w:val="Blanc"/>
        <w:rPr>
          <w:lang w:val="es-ES_tradnl"/>
        </w:rPr>
      </w:pPr>
    </w:p>
    <w:p w:rsidR="00B17B1F" w:rsidRPr="000F550F" w:rsidRDefault="00B17B1F" w:rsidP="00B17B1F">
      <w:pPr>
        <w:pStyle w:val="Equation"/>
        <w:rPr>
          <w:lang w:val="es-ES_tradnl"/>
        </w:rPr>
      </w:pPr>
      <w:r w:rsidRPr="000F550F">
        <w:rPr>
          <w:i/>
          <w:iCs/>
          <w:lang w:val="es-ES_tradnl"/>
        </w:rPr>
        <w:t>P</w:t>
      </w:r>
      <w:r w:rsidRPr="000F550F">
        <w:rPr>
          <w:i/>
          <w:iCs/>
          <w:vertAlign w:val="subscript"/>
          <w:lang w:val="es-ES_tradnl"/>
        </w:rPr>
        <w:t>PLT</w:t>
      </w:r>
      <w:r w:rsidRPr="000F550F">
        <w:rPr>
          <w:lang w:val="es-ES_tradnl"/>
        </w:rPr>
        <w:t xml:space="preserve"> (dBm/MHz) = </w:t>
      </w:r>
      <w:r w:rsidRPr="000F550F">
        <w:rPr>
          <w:i/>
          <w:iCs/>
          <w:lang w:val="es-ES_tradnl"/>
        </w:rPr>
        <w:t>P</w:t>
      </w:r>
      <w:r w:rsidRPr="000F550F">
        <w:rPr>
          <w:i/>
          <w:iCs/>
          <w:vertAlign w:val="subscript"/>
          <w:lang w:val="es-ES_tradnl"/>
        </w:rPr>
        <w:t>BS</w:t>
      </w:r>
      <w:r w:rsidRPr="000F550F">
        <w:rPr>
          <w:lang w:val="es-ES_tradnl"/>
        </w:rPr>
        <w:t xml:space="preserve"> (dBm/MHz) + </w:t>
      </w:r>
      <w:r w:rsidRPr="000F550F">
        <w:rPr>
          <w:i/>
          <w:iCs/>
          <w:lang w:val="es-ES_tradnl"/>
        </w:rPr>
        <w:t>L</w:t>
      </w:r>
      <w:r w:rsidRPr="000F550F">
        <w:rPr>
          <w:i/>
          <w:iCs/>
          <w:vertAlign w:val="subscript"/>
          <w:lang w:val="es-ES_tradnl"/>
        </w:rPr>
        <w:t>bf</w:t>
      </w:r>
      <w:r w:rsidR="00E5143A" w:rsidRPr="00E5143A">
        <w:rPr>
          <w:lang w:val="es-ES_tradnl"/>
        </w:rPr>
        <w:t> </w:t>
      </w:r>
      <w:r w:rsidRPr="000F550F">
        <w:rPr>
          <w:i/>
          <w:iCs/>
          <w:vertAlign w:val="subscript"/>
          <w:lang w:val="es-ES_tradnl"/>
        </w:rPr>
        <w:tab/>
      </w:r>
      <w:r w:rsidRPr="000F550F">
        <w:rPr>
          <w:lang w:val="es-ES_tradnl"/>
        </w:rPr>
        <w:t>=</w:t>
      </w:r>
      <w:r w:rsidR="00AA2A0C">
        <w:rPr>
          <w:lang w:val="es-ES_tradnl"/>
        </w:rPr>
        <w:t xml:space="preserve"> </w:t>
      </w:r>
      <w:r w:rsidRPr="000F550F">
        <w:rPr>
          <w:lang w:val="es-ES_tradnl"/>
        </w:rPr>
        <w:t>–141 – 27</w:t>
      </w:r>
      <w:r w:rsidR="00E5143A">
        <w:rPr>
          <w:lang w:val="es-ES_tradnl"/>
        </w:rPr>
        <w:t>,</w:t>
      </w:r>
      <w:r w:rsidRPr="000F550F">
        <w:rPr>
          <w:lang w:val="es-ES_tradnl"/>
        </w:rPr>
        <w:t xml:space="preserve">6 </w:t>
      </w:r>
      <w:r w:rsidRPr="000F550F">
        <w:rPr>
          <w:rFonts w:ascii="Symbol" w:hAnsi="Symbol" w:cs="Symbol"/>
          <w:lang w:val="es-ES_tradnl"/>
        </w:rPr>
        <w:t></w:t>
      </w:r>
      <w:r w:rsidRPr="000F550F">
        <w:rPr>
          <w:lang w:val="es-ES_tradnl"/>
        </w:rPr>
        <w:t xml:space="preserve"> 53</w:t>
      </w:r>
      <w:r w:rsidR="00E5143A">
        <w:rPr>
          <w:lang w:val="es-ES_tradnl"/>
        </w:rPr>
        <w:t>,</w:t>
      </w:r>
      <w:r w:rsidRPr="000F550F">
        <w:rPr>
          <w:lang w:val="es-ES_tradnl"/>
        </w:rPr>
        <w:t xml:space="preserve">3 </w:t>
      </w:r>
      <w:r w:rsidRPr="000F550F">
        <w:rPr>
          <w:rFonts w:ascii="Symbol" w:hAnsi="Symbol" w:cs="Symbol"/>
          <w:lang w:val="es-ES_tradnl"/>
        </w:rPr>
        <w:t></w:t>
      </w:r>
      <w:r w:rsidRPr="000F550F">
        <w:rPr>
          <w:rFonts w:ascii="Symbol" w:hAnsi="Symbol" w:cs="Symbol"/>
          <w:lang w:val="es-ES_tradnl"/>
        </w:rPr>
        <w:t></w:t>
      </w:r>
      <w:r w:rsidRPr="000F550F">
        <w:rPr>
          <w:lang w:val="es-ES_tradnl"/>
        </w:rPr>
        <w:t>20 log10 ≈ –</w:t>
      </w:r>
      <w:r w:rsidR="00E5143A">
        <w:rPr>
          <w:bCs/>
          <w:lang w:val="es-ES_tradnl"/>
        </w:rPr>
        <w:t>95 (dBm/MHz)</w:t>
      </w:r>
      <w:r w:rsidRPr="000F550F">
        <w:rPr>
          <w:b/>
          <w:bCs/>
          <w:lang w:val="es-ES_tradnl"/>
        </w:rPr>
        <w:tab/>
      </w:r>
      <w:r w:rsidRPr="000F550F">
        <w:rPr>
          <w:lang w:val="es-ES_tradnl"/>
        </w:rPr>
        <w:t>(13)</w:t>
      </w:r>
    </w:p>
    <w:p w:rsidR="00E5143A" w:rsidRPr="000F550F" w:rsidRDefault="00E5143A" w:rsidP="00E5143A">
      <w:pPr>
        <w:pStyle w:val="Blanc"/>
        <w:rPr>
          <w:lang w:val="es-ES_tradnl"/>
        </w:rPr>
      </w:pPr>
    </w:p>
    <w:p w:rsidR="00B17B1F" w:rsidRPr="000F550F" w:rsidRDefault="00B17B1F" w:rsidP="00B17B1F">
      <w:pPr>
        <w:rPr>
          <w:lang w:val="es-ES_tradnl"/>
        </w:rPr>
      </w:pPr>
      <w:r w:rsidRPr="000F550F">
        <w:rPr>
          <w:lang w:val="es-ES_tradnl"/>
        </w:rPr>
        <w:t xml:space="preserve">Y la máxima potencia de cresta PLT permitida </w:t>
      </w:r>
      <w:r w:rsidRPr="000F550F">
        <w:rPr>
          <w:i/>
          <w:iCs/>
          <w:lang w:val="es-ES_tradnl"/>
        </w:rPr>
        <w:t>P</w:t>
      </w:r>
      <w:r w:rsidRPr="000F550F">
        <w:rPr>
          <w:i/>
          <w:iCs/>
          <w:vertAlign w:val="subscript"/>
          <w:lang w:val="es-ES_tradnl"/>
        </w:rPr>
        <w:t>PLT</w:t>
      </w:r>
      <w:r w:rsidRPr="000F550F">
        <w:rPr>
          <w:position w:val="-6"/>
          <w:lang w:val="es-ES_tradnl"/>
        </w:rPr>
        <w:t xml:space="preserve"> </w:t>
      </w:r>
      <w:r w:rsidRPr="000F550F">
        <w:rPr>
          <w:lang w:val="es-ES_tradnl"/>
        </w:rPr>
        <w:t xml:space="preserve">a una </w:t>
      </w:r>
      <w:r w:rsidRPr="000F550F">
        <w:rPr>
          <w:i/>
          <w:iCs/>
          <w:lang w:val="es-ES_tradnl"/>
        </w:rPr>
        <w:t xml:space="preserve">f </w:t>
      </w:r>
      <w:r w:rsidRPr="000F550F">
        <w:rPr>
          <w:lang w:val="es-ES_tradnl"/>
        </w:rPr>
        <w:t>= 460 MHz para proteger un receptor de radiolocalización situado a 100 m de una fuente PLT es:</w:t>
      </w:r>
    </w:p>
    <w:p w:rsidR="00B17B1F" w:rsidRPr="000F550F" w:rsidRDefault="00B17B1F" w:rsidP="00B17B1F">
      <w:pPr>
        <w:pStyle w:val="Blanc"/>
        <w:rPr>
          <w:lang w:val="es-ES_tradnl"/>
        </w:rPr>
      </w:pPr>
    </w:p>
    <w:p w:rsidR="00B17B1F" w:rsidRPr="000F550F" w:rsidRDefault="00B17B1F" w:rsidP="00B17B1F">
      <w:pPr>
        <w:pStyle w:val="Equation"/>
        <w:rPr>
          <w:lang w:val="es-ES_tradnl" w:eastAsia="ko-KR"/>
        </w:rPr>
      </w:pPr>
      <w:r w:rsidRPr="000F550F">
        <w:rPr>
          <w:i/>
          <w:iCs/>
          <w:lang w:val="es-ES_tradnl"/>
        </w:rPr>
        <w:t>P</w:t>
      </w:r>
      <w:r w:rsidRPr="000F550F">
        <w:rPr>
          <w:i/>
          <w:iCs/>
          <w:vertAlign w:val="subscript"/>
          <w:lang w:val="es-ES_tradnl"/>
        </w:rPr>
        <w:t>PLT</w:t>
      </w:r>
      <w:r w:rsidRPr="000F550F">
        <w:rPr>
          <w:lang w:val="es-ES_tradnl"/>
        </w:rPr>
        <w:t xml:space="preserve"> (dBm/MHz) = </w:t>
      </w:r>
      <w:r w:rsidRPr="000F550F">
        <w:rPr>
          <w:i/>
          <w:iCs/>
          <w:lang w:val="es-ES_tradnl"/>
        </w:rPr>
        <w:t>P</w:t>
      </w:r>
      <w:r w:rsidRPr="000F550F">
        <w:rPr>
          <w:i/>
          <w:iCs/>
          <w:vertAlign w:val="subscript"/>
          <w:lang w:val="es-ES_tradnl"/>
        </w:rPr>
        <w:t>RL</w:t>
      </w:r>
      <w:r w:rsidRPr="000F550F">
        <w:rPr>
          <w:lang w:val="es-ES_tradnl"/>
        </w:rPr>
        <w:t xml:space="preserve"> (dBm/MHz) + </w:t>
      </w:r>
      <w:r w:rsidRPr="000F550F">
        <w:rPr>
          <w:i/>
          <w:iCs/>
          <w:lang w:val="es-ES_tradnl"/>
        </w:rPr>
        <w:t>L</w:t>
      </w:r>
      <w:r w:rsidRPr="000F550F">
        <w:rPr>
          <w:i/>
          <w:iCs/>
          <w:vertAlign w:val="subscript"/>
          <w:lang w:val="es-ES_tradnl"/>
        </w:rPr>
        <w:t>bf</w:t>
      </w:r>
      <w:r w:rsidR="00E5143A" w:rsidRPr="00E5143A">
        <w:rPr>
          <w:lang w:val="es-ES_tradnl"/>
        </w:rPr>
        <w:t> </w:t>
      </w:r>
      <w:r w:rsidRPr="004C2E19">
        <w:rPr>
          <w:lang w:val="es-ES_tradnl"/>
        </w:rPr>
        <w:t>=</w:t>
      </w:r>
      <w:r w:rsidR="00A70050">
        <w:rPr>
          <w:lang w:val="es-ES_tradnl"/>
        </w:rPr>
        <w:t xml:space="preserve"> </w:t>
      </w:r>
      <w:r w:rsidR="004C2E19">
        <w:rPr>
          <w:lang w:val="es-ES_tradnl"/>
        </w:rPr>
        <w:tab/>
      </w:r>
      <w:r w:rsidRPr="000F550F">
        <w:rPr>
          <w:lang w:val="es-ES_tradnl"/>
        </w:rPr>
        <w:t>–149 – 27</w:t>
      </w:r>
      <w:r w:rsidR="00E5143A">
        <w:rPr>
          <w:lang w:val="es-ES_tradnl"/>
        </w:rPr>
        <w:t>,</w:t>
      </w:r>
      <w:r w:rsidRPr="000F550F">
        <w:rPr>
          <w:lang w:val="es-ES_tradnl"/>
        </w:rPr>
        <w:t xml:space="preserve">6 </w:t>
      </w:r>
      <w:r w:rsidRPr="000F550F">
        <w:rPr>
          <w:rFonts w:ascii="Symbol" w:hAnsi="Symbol" w:cs="Symbol"/>
          <w:lang w:val="es-ES_tradnl"/>
        </w:rPr>
        <w:t></w:t>
      </w:r>
      <w:r w:rsidRPr="000F550F">
        <w:rPr>
          <w:lang w:val="es-ES_tradnl"/>
        </w:rPr>
        <w:t xml:space="preserve"> 53</w:t>
      </w:r>
      <w:r w:rsidR="00E5143A">
        <w:rPr>
          <w:lang w:val="es-ES_tradnl"/>
        </w:rPr>
        <w:t>,</w:t>
      </w:r>
      <w:r w:rsidRPr="000F550F">
        <w:rPr>
          <w:lang w:val="es-ES_tradnl"/>
        </w:rPr>
        <w:t xml:space="preserve">3 </w:t>
      </w:r>
      <w:r w:rsidRPr="000F550F">
        <w:rPr>
          <w:rFonts w:ascii="Symbol" w:hAnsi="Symbol" w:cs="Symbol"/>
          <w:lang w:val="es-ES_tradnl"/>
        </w:rPr>
        <w:t></w:t>
      </w:r>
      <w:r w:rsidRPr="000F550F">
        <w:rPr>
          <w:rFonts w:ascii="Symbol" w:hAnsi="Symbol" w:cs="Symbol"/>
          <w:lang w:val="es-ES_tradnl"/>
        </w:rPr>
        <w:t></w:t>
      </w:r>
      <w:r w:rsidRPr="000F550F">
        <w:rPr>
          <w:lang w:val="es-ES_tradnl"/>
        </w:rPr>
        <w:t>20 log 100 ≈ –</w:t>
      </w:r>
      <w:r w:rsidRPr="000F550F">
        <w:rPr>
          <w:bCs/>
          <w:lang w:val="es-ES_tradnl"/>
        </w:rPr>
        <w:t>83 (dBm/MHz)</w:t>
      </w:r>
      <w:r w:rsidRPr="000F550F">
        <w:rPr>
          <w:b/>
          <w:bCs/>
          <w:lang w:val="es-ES_tradnl"/>
        </w:rPr>
        <w:tab/>
      </w:r>
      <w:r w:rsidRPr="000F550F">
        <w:rPr>
          <w:lang w:val="es-ES_tradnl"/>
        </w:rPr>
        <w:t>(14)</w:t>
      </w:r>
    </w:p>
    <w:p w:rsidR="00B17B1F" w:rsidRPr="000F550F" w:rsidRDefault="00B17B1F" w:rsidP="00B17B1F">
      <w:pPr>
        <w:pStyle w:val="Heading2"/>
        <w:rPr>
          <w:lang w:val="es-ES_tradnl"/>
        </w:rPr>
      </w:pPr>
      <w:r w:rsidRPr="000F550F">
        <w:rPr>
          <w:lang w:val="es-ES_tradnl"/>
        </w:rPr>
        <w:t>3.3</w:t>
      </w:r>
      <w:r w:rsidRPr="000F550F">
        <w:rPr>
          <w:lang w:val="es-ES_tradnl"/>
        </w:rPr>
        <w:tab/>
        <w:t>Método de cálculo para evaluar la emisión radiada combinada procedente de instalaciones PLT</w:t>
      </w:r>
    </w:p>
    <w:p w:rsidR="00072ECF" w:rsidRDefault="00B17B1F" w:rsidP="00D934A2">
      <w:pPr>
        <w:rPr>
          <w:lang w:val="es-ES_tradnl"/>
        </w:rPr>
      </w:pPr>
      <w:r w:rsidRPr="000F550F">
        <w:rPr>
          <w:lang w:val="es-ES_tradnl"/>
        </w:rPr>
        <w:t>Este punto aborda la evaluación relativa a la emisión radiada combinada procedente de instalaciones PLT en una situación en la que se activan simultáneamente múltiples módems PLT. Como las instalaciones PLT constan de un cierto número de módems PLT que emiten individualmente una frecuencia común, la superposición de estas emisiones múltiples puede causar interferencia perjudicial de las instalaciones PLT a los servicios de radiocomunicaciones. A este respecto, las múltiples emisiones radiadas por los módems PLT tienen distintas fases con una variación aleatoria para una distancia de medición específica, respectivamente. Esta característica aleatoria produce el fenómeno de interferencias constructivas y destructivas que aparecen estocásticamente en un receptor víctima.</w:t>
      </w:r>
    </w:p>
    <w:p w:rsidR="00B17B1F" w:rsidRPr="000F550F" w:rsidRDefault="00B17B1F" w:rsidP="00D934A2">
      <w:pPr>
        <w:rPr>
          <w:lang w:val="es-ES_tradnl"/>
        </w:rPr>
      </w:pPr>
      <w:r w:rsidRPr="000F550F">
        <w:rPr>
          <w:lang w:val="es-ES_tradnl"/>
        </w:rPr>
        <w:t>Aunque múltiples módems PLT tiene la misma potencia de transmisión, las emisiones radiadas por estos módems PLT pueden ser distintas a la misma distancia según el entorno de las instalciones PLT. Por consiguiente, al evaluar la influencia de las instalaciones PLT en los servicios de radiocomunicaciones debe considerarse la intensidad de campo. En muchos países, las emisiones radiadas por los sistemas PLT también son admitidas en el dominio de la intensidad de campo eléctrico, como ilu</w:t>
      </w:r>
      <w:r w:rsidR="00E5143A">
        <w:rPr>
          <w:lang w:val="es-ES_tradnl"/>
        </w:rPr>
        <w:t>stra la Recomendación UIT-R SM.</w:t>
      </w:r>
      <w:r w:rsidRPr="000F550F">
        <w:rPr>
          <w:lang w:val="es-ES_tradnl"/>
        </w:rPr>
        <w:t>1879. A fin de evaluar la intensidad de campo eléctrico de la emisión radiada combinada procedente de instalaciones PLT, se aplica el método probabilístico presentado en la Recomendación UIT-T</w:t>
      </w:r>
      <w:r w:rsidR="004C2E19">
        <w:rPr>
          <w:lang w:val="es-ES_tradnl"/>
        </w:rPr>
        <w:t> </w:t>
      </w:r>
      <w:r w:rsidRPr="000F550F">
        <w:rPr>
          <w:lang w:val="es-ES_tradnl"/>
        </w:rPr>
        <w:t>K.62 considerando los cambios en el campo eléctrico causados por las diferencias de fase aleatorias de múltiples señales interferentes en un receptor víctima. Por tanto, este punto presenta un método de cálculo para determinar la emisión radiada combinada procedente de instalaciones PLT desde el punto de vista de un enfoque probabilístico.</w:t>
      </w:r>
    </w:p>
    <w:p w:rsidR="00B17B1F" w:rsidRPr="000F550F" w:rsidRDefault="00B17B1F" w:rsidP="00B17B1F">
      <w:pPr>
        <w:pStyle w:val="Heading3"/>
        <w:rPr>
          <w:lang w:val="es-ES_tradnl"/>
        </w:rPr>
      </w:pPr>
      <w:r w:rsidRPr="000F550F">
        <w:rPr>
          <w:lang w:val="es-ES_tradnl"/>
        </w:rPr>
        <w:t>3.3.1</w:t>
      </w:r>
      <w:r w:rsidRPr="000F550F">
        <w:rPr>
          <w:lang w:val="es-ES_tradnl"/>
        </w:rPr>
        <w:tab/>
        <w:t>Modelo matemático</w:t>
      </w:r>
    </w:p>
    <w:p w:rsidR="00B17B1F" w:rsidRPr="000F550F" w:rsidRDefault="00B17B1F" w:rsidP="00B17B1F">
      <w:pPr>
        <w:keepLines/>
        <w:rPr>
          <w:lang w:val="es-ES_tradnl"/>
        </w:rPr>
      </w:pPr>
      <w:r w:rsidRPr="000F550F">
        <w:rPr>
          <w:lang w:val="es-ES_tradnl"/>
        </w:rPr>
        <w:t xml:space="preserve">Considérese que se producen emisiones radiadas por instalaciones PLT consistentes en múltiples módems PLT que rodean a un receptor afectado (interferido), como muestra la Fig. 9. En esta Fig. 9, </w:t>
      </w:r>
      <w:r w:rsidRPr="000F550F">
        <w:rPr>
          <w:i/>
          <w:iCs/>
          <w:lang w:val="es-ES_tradnl" w:eastAsia="ko-KR"/>
        </w:rPr>
        <w:t>r</w:t>
      </w:r>
      <w:r w:rsidRPr="000F550F">
        <w:rPr>
          <w:i/>
          <w:iCs/>
          <w:vertAlign w:val="subscript"/>
          <w:lang w:val="es-ES_tradnl" w:eastAsia="ko-KR"/>
        </w:rPr>
        <w:t>i</w:t>
      </w:r>
      <w:r w:rsidRPr="000F550F">
        <w:rPr>
          <w:lang w:val="es-ES_tradnl"/>
        </w:rPr>
        <w:t xml:space="preserve"> es la distancia entre la </w:t>
      </w:r>
      <w:r w:rsidRPr="000F550F">
        <w:rPr>
          <w:i/>
          <w:iCs/>
          <w:lang w:val="es-ES_tradnl"/>
        </w:rPr>
        <w:t>i</w:t>
      </w:r>
      <w:r w:rsidRPr="000F550F">
        <w:rPr>
          <w:lang w:val="es-ES_tradnl"/>
        </w:rPr>
        <w:t xml:space="preserve">-ésima fuente PLT y el punto de medición y </w:t>
      </w:r>
      <m:oMath>
        <m:sSub>
          <m:sSubPr>
            <m:ctrlPr>
              <w:rPr>
                <w:rFonts w:ascii="Cambria Math" w:hAnsi="Cambria Math"/>
                <w:lang w:val="es-ES_tradnl" w:eastAsia="ko-KR"/>
              </w:rPr>
            </m:ctrlPr>
          </m:sSubPr>
          <m:e>
            <m:r>
              <w:rPr>
                <w:rFonts w:ascii="Cambria Math" w:hAnsi="Cambria Math"/>
                <w:lang w:val="es-ES_tradnl" w:eastAsia="ko-KR"/>
              </w:rPr>
              <m:t>d</m:t>
            </m:r>
          </m:e>
          <m:sub>
            <m:r>
              <w:rPr>
                <w:rFonts w:ascii="Cambria Math" w:hAnsi="Cambria Math"/>
                <w:lang w:val="es-ES_tradnl" w:eastAsia="ko-KR"/>
              </w:rPr>
              <m:t>i</m:t>
            </m:r>
          </m:sub>
        </m:sSub>
      </m:oMath>
      <w:r w:rsidRPr="000F550F">
        <w:rPr>
          <w:lang w:val="es-ES_tradnl" w:eastAsia="ko-KR"/>
        </w:rPr>
        <w:t xml:space="preserve"> </w:t>
      </w:r>
      <w:r w:rsidRPr="000F550F">
        <w:rPr>
          <w:lang w:val="es-ES_tradnl"/>
        </w:rPr>
        <w:t xml:space="preserve">es la distancia entre la </w:t>
      </w:r>
      <w:r w:rsidRPr="000F550F">
        <w:rPr>
          <w:i/>
          <w:iCs/>
          <w:lang w:val="es-ES_tradnl"/>
        </w:rPr>
        <w:t>i</w:t>
      </w:r>
      <w:r w:rsidRPr="000F550F">
        <w:rPr>
          <w:lang w:val="es-ES_tradnl"/>
        </w:rPr>
        <w:noBreakHyphen/>
        <w:t>ésima fuente PLT y el receptor afectado. La amplitud de la emisión radiada combinada por la instalación PLT en el receptor afectado puede calcularse matemáticamente como sigue:</w:t>
      </w:r>
    </w:p>
    <w:p w:rsidR="00B17B1F" w:rsidRPr="000F550F" w:rsidRDefault="00B17B1F" w:rsidP="00B17B1F">
      <w:pPr>
        <w:pStyle w:val="Equation"/>
        <w:rPr>
          <w:sz w:val="16"/>
          <w:szCs w:val="16"/>
          <w:lang w:val="es-ES_tradnl" w:eastAsia="ko-KR"/>
        </w:rPr>
      </w:pPr>
    </w:p>
    <w:p w:rsidR="00B17B1F" w:rsidRPr="000F550F" w:rsidRDefault="00B17B1F" w:rsidP="00B17B1F">
      <w:pPr>
        <w:pStyle w:val="Equation"/>
        <w:rPr>
          <w:lang w:val="es-ES_tradnl" w:eastAsia="ko-KR"/>
        </w:rPr>
      </w:pPr>
      <w:r w:rsidRPr="000F550F">
        <w:rPr>
          <w:lang w:val="es-ES_tradnl"/>
        </w:rPr>
        <w:tab/>
      </w:r>
      <w:r w:rsidRPr="000F550F">
        <w:rPr>
          <w:lang w:val="es-ES_tradnl"/>
        </w:rPr>
        <w:tab/>
      </w:r>
      <m:oMath>
        <m:sSub>
          <m:sSubPr>
            <m:ctrlPr>
              <w:rPr>
                <w:rFonts w:ascii="Cambria Math" w:hAnsi="Cambria Math"/>
                <w:lang w:val="es-ES_tradnl"/>
              </w:rPr>
            </m:ctrlPr>
          </m:sSubPr>
          <m:e>
            <m:r>
              <w:rPr>
                <w:rFonts w:ascii="Cambria Math" w:hAnsi="Cambria Math"/>
                <w:lang w:val="es-ES_tradnl"/>
              </w:rPr>
              <m:t>E</m:t>
            </m:r>
          </m:e>
          <m:sub>
            <m:r>
              <w:rPr>
                <w:rFonts w:ascii="Cambria Math" w:hAnsi="Cambria Math"/>
                <w:lang w:val="es-ES_tradnl"/>
              </w:rPr>
              <m:t>o</m:t>
            </m:r>
          </m:sub>
        </m:sSub>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N</m:t>
            </m:r>
          </m:sup>
          <m:e>
            <m:sSub>
              <m:sSubPr>
                <m:ctrlPr>
                  <w:rPr>
                    <w:rFonts w:ascii="Cambria Math" w:hAnsi="Cambria Math"/>
                    <w:lang w:val="es-ES_tradnl"/>
                  </w:rPr>
                </m:ctrlPr>
              </m:sSubPr>
              <m:e>
                <m:r>
                  <w:rPr>
                    <w:rFonts w:ascii="Cambria Math" w:hAnsi="Cambria Math"/>
                    <w:lang w:val="es-ES_tradnl"/>
                  </w:rPr>
                  <m:t>E</m:t>
                </m:r>
              </m:e>
              <m:sub>
                <m:r>
                  <w:rPr>
                    <w:rFonts w:ascii="Cambria Math" w:hAnsi="Cambria Math"/>
                    <w:lang w:val="es-ES_tradnl"/>
                  </w:rPr>
                  <m:t>oi</m:t>
                </m:r>
              </m:sub>
            </m:sSub>
          </m:e>
        </m:nary>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c</m:t>
                    </m:r>
                  </m:sub>
                </m:sSub>
                <m:r>
                  <w:rPr>
                    <w:rFonts w:ascii="Cambria Math" w:hAnsi="Cambria Math"/>
                    <w:lang w:val="es-ES_tradnl"/>
                  </w:rPr>
                  <m:t>t</m:t>
                </m:r>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i</m:t>
                    </m:r>
                  </m:sub>
                </m:sSub>
              </m:e>
            </m:d>
          </m:e>
        </m:func>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E</m:t>
            </m:r>
          </m:e>
          <m:sub>
            <m:r>
              <w:rPr>
                <w:rFonts w:ascii="Cambria Math" w:hAnsi="Cambria Math"/>
                <w:lang w:val="es-ES_tradnl"/>
              </w:rPr>
              <m:t>o</m:t>
            </m:r>
          </m:sub>
        </m:sSub>
        <m:r>
          <m:rPr>
            <m:sty m:val="p"/>
          </m:rPr>
          <w:rPr>
            <w:rFonts w:ascii="Cambria Math" w:hAnsi="Cambria Math"/>
            <w:lang w:val="es-ES_tradnl"/>
          </w:rPr>
          <m:t xml:space="preserve"> cos</m:t>
        </m:r>
        <m:d>
          <m:dPr>
            <m:ctrlPr>
              <w:rPr>
                <w:rFonts w:ascii="Cambria Math" w:hAnsi="Cambria Math"/>
                <w:lang w:val="es-ES_tradnl" w:eastAsia="ko-KR"/>
              </w:rPr>
            </m:ctrlPr>
          </m:dPr>
          <m:e>
            <m:sSub>
              <m:sSubPr>
                <m:ctrlPr>
                  <w:rPr>
                    <w:rFonts w:ascii="Cambria Math" w:hAnsi="Cambria Math"/>
                    <w:lang w:val="es-ES_tradnl" w:eastAsia="ko-KR"/>
                  </w:rPr>
                </m:ctrlPr>
              </m:sSubPr>
              <m:e>
                <m:r>
                  <m:rPr>
                    <m:sty m:val="p"/>
                  </m:rPr>
                  <w:rPr>
                    <w:rFonts w:ascii="Cambria Math" w:hAnsi="Cambria Math"/>
                    <w:lang w:val="es-ES_tradnl" w:eastAsia="ko-KR"/>
                  </w:rPr>
                  <m:t>ω</m:t>
                </m:r>
              </m:e>
              <m:sub>
                <m:r>
                  <w:rPr>
                    <w:rFonts w:ascii="Cambria Math" w:hAnsi="Cambria Math"/>
                    <w:lang w:val="es-ES_tradnl" w:eastAsia="ko-KR"/>
                  </w:rPr>
                  <m:t>c</m:t>
                </m:r>
              </m:sub>
            </m:sSub>
            <m:r>
              <w:rPr>
                <w:rFonts w:ascii="Cambria Math" w:hAnsi="Cambria Math"/>
                <w:lang w:val="es-ES_tradnl" w:eastAsia="ko-KR"/>
              </w:rPr>
              <m:t>t</m:t>
            </m:r>
            <m:r>
              <m:rPr>
                <m:sty m:val="p"/>
              </m:rPr>
              <w:rPr>
                <w:rFonts w:ascii="Cambria Math" w:hAnsi="Cambria Math"/>
                <w:lang w:val="es-ES_tradnl" w:eastAsia="ko-KR"/>
              </w:rPr>
              <m:t>+α</m:t>
            </m:r>
          </m:e>
        </m:d>
      </m:oMath>
      <w:r w:rsidRPr="000F550F">
        <w:rPr>
          <w:lang w:val="es-ES_tradnl" w:eastAsia="ko-KR"/>
        </w:rPr>
        <w:tab/>
        <w:t>(15)</w:t>
      </w:r>
    </w:p>
    <w:p w:rsidR="00B17B1F" w:rsidRPr="000F550F" w:rsidRDefault="00B17B1F" w:rsidP="00F043F7">
      <w:pPr>
        <w:pStyle w:val="Equation"/>
        <w:keepNext/>
        <w:keepLines/>
        <w:rPr>
          <w:lang w:val="es-ES_tradnl" w:eastAsia="ko-KR"/>
        </w:rPr>
      </w:pPr>
      <w:r w:rsidRPr="000F550F">
        <w:rPr>
          <w:lang w:val="es-ES_tradnl"/>
        </w:rPr>
        <w:lastRenderedPageBreak/>
        <w:t>siendo:</w:t>
      </w:r>
    </w:p>
    <w:p w:rsidR="00B17B1F" w:rsidRPr="000F550F" w:rsidRDefault="00B17B1F" w:rsidP="00B17B1F">
      <w:pPr>
        <w:pStyle w:val="Equationlegend"/>
        <w:rPr>
          <w:lang w:val="es-ES_tradnl" w:eastAsia="ko-KR"/>
        </w:rPr>
      </w:pPr>
      <w:r w:rsidRPr="000F550F">
        <w:rPr>
          <w:lang w:val="es-ES_tradnl" w:eastAsia="ko-KR"/>
        </w:rPr>
        <w:tab/>
      </w:r>
      <w:r w:rsidRPr="000F550F">
        <w:rPr>
          <w:i/>
          <w:iCs/>
          <w:lang w:val="es-ES_tradnl" w:eastAsia="ko-KR"/>
        </w:rPr>
        <w:t>E</w:t>
      </w:r>
      <w:r w:rsidRPr="000F550F">
        <w:rPr>
          <w:i/>
          <w:iCs/>
          <w:vertAlign w:val="subscript"/>
          <w:lang w:val="es-ES_tradnl" w:eastAsia="ko-KR"/>
        </w:rPr>
        <w:t>o</w:t>
      </w:r>
      <w:r w:rsidRPr="000F550F">
        <w:rPr>
          <w:vertAlign w:val="subscript"/>
          <w:lang w:val="es-ES_tradnl" w:eastAsia="ko-KR"/>
        </w:rPr>
        <w:t xml:space="preserve"> </w:t>
      </w:r>
      <w:r w:rsidRPr="000F550F">
        <w:rPr>
          <w:lang w:val="es-ES_tradnl"/>
        </w:rPr>
        <w:t>:</w:t>
      </w:r>
      <w:r w:rsidRPr="000F550F">
        <w:rPr>
          <w:i/>
          <w:iCs/>
          <w:vertAlign w:val="subscript"/>
          <w:lang w:val="es-ES_tradnl" w:eastAsia="ko-KR"/>
        </w:rPr>
        <w:tab/>
      </w:r>
      <w:r w:rsidRPr="000F550F">
        <w:rPr>
          <w:lang w:val="es-ES_tradnl"/>
        </w:rPr>
        <w:t xml:space="preserve">amplitud de la emisión radiada combinada en el receptor afectado </w:t>
      </w:r>
      <w:r w:rsidRPr="000F550F">
        <w:rPr>
          <w:lang w:val="es-ES_tradnl" w:eastAsia="ko-KR"/>
        </w:rPr>
        <w:t>(</w:t>
      </w:r>
      <w:r w:rsidRPr="000F550F">
        <w:rPr>
          <w:lang w:val="es-ES_tradnl" w:eastAsia="ko-KR"/>
        </w:rPr>
        <w:sym w:font="Symbol" w:char="F06D"/>
      </w:r>
      <w:r w:rsidRPr="000F550F">
        <w:rPr>
          <w:lang w:val="es-ES_tradnl" w:eastAsia="ko-KR"/>
        </w:rPr>
        <w:t>V/m)</w:t>
      </w:r>
    </w:p>
    <w:p w:rsidR="00B17B1F" w:rsidRPr="000F550F" w:rsidRDefault="00B17B1F" w:rsidP="00B17B1F">
      <w:pPr>
        <w:pStyle w:val="Equationlegend"/>
        <w:rPr>
          <w:lang w:val="es-ES_tradnl" w:eastAsia="ko-KR"/>
        </w:rPr>
      </w:pPr>
      <w:r w:rsidRPr="000F550F">
        <w:rPr>
          <w:i/>
          <w:iCs/>
          <w:lang w:val="es-ES_tradnl" w:eastAsia="ko-KR"/>
        </w:rPr>
        <w:tab/>
        <w:t>N</w:t>
      </w:r>
      <w:r w:rsidRPr="000F550F">
        <w:rPr>
          <w:lang w:val="es-ES_tradnl" w:eastAsia="ko-KR"/>
        </w:rPr>
        <w:t xml:space="preserve"> :</w:t>
      </w:r>
      <w:r w:rsidRPr="000F550F">
        <w:rPr>
          <w:lang w:val="es-ES_tradnl" w:eastAsia="ko-KR"/>
        </w:rPr>
        <w:tab/>
      </w:r>
      <w:r w:rsidRPr="000F550F">
        <w:rPr>
          <w:lang w:val="es-ES_tradnl"/>
        </w:rPr>
        <w:t>número de la fuente PLT</w:t>
      </w:r>
    </w:p>
    <w:p w:rsidR="00B17B1F" w:rsidRPr="000F550F" w:rsidRDefault="00B17B1F" w:rsidP="00B17B1F">
      <w:pPr>
        <w:pStyle w:val="Equationlegend"/>
        <w:rPr>
          <w:lang w:val="es-ES_tradnl" w:eastAsia="ko-KR"/>
        </w:rPr>
      </w:pPr>
      <w:r w:rsidRPr="000F550F">
        <w:rPr>
          <w:i/>
          <w:iCs/>
          <w:lang w:val="es-ES_tradnl" w:eastAsia="ko-KR"/>
        </w:rPr>
        <w:tab/>
        <w:t>E</w:t>
      </w:r>
      <w:r w:rsidRPr="000F550F">
        <w:rPr>
          <w:vertAlign w:val="subscript"/>
          <w:lang w:val="es-ES_tradnl" w:eastAsia="ko-KR"/>
        </w:rPr>
        <w:t>o</w:t>
      </w:r>
      <w:r w:rsidRPr="000F550F">
        <w:rPr>
          <w:i/>
          <w:iCs/>
          <w:vertAlign w:val="subscript"/>
          <w:lang w:val="es-ES_tradnl" w:eastAsia="ko-KR"/>
        </w:rPr>
        <w:t xml:space="preserve">i </w:t>
      </w:r>
      <w:r w:rsidRPr="000F550F">
        <w:rPr>
          <w:lang w:val="es-ES_tradnl" w:eastAsia="ko-KR"/>
        </w:rPr>
        <w:t>:</w:t>
      </w:r>
      <w:r w:rsidRPr="000F550F">
        <w:rPr>
          <w:lang w:val="es-ES_tradnl" w:eastAsia="ko-KR"/>
        </w:rPr>
        <w:tab/>
      </w:r>
      <w:r w:rsidRPr="000F550F">
        <w:rPr>
          <w:lang w:val="es-ES_tradnl"/>
        </w:rPr>
        <w:t xml:space="preserve">amplitud de la emisión radiada por la </w:t>
      </w:r>
      <w:r w:rsidRPr="000F550F">
        <w:rPr>
          <w:i/>
          <w:lang w:val="es-ES_tradnl" w:eastAsia="ko-KR"/>
        </w:rPr>
        <w:t>i</w:t>
      </w:r>
      <w:r w:rsidRPr="000F550F">
        <w:rPr>
          <w:lang w:val="es-ES_tradnl"/>
        </w:rPr>
        <w:t xml:space="preserve">-ésima fuente PLT a la distancia de medición </w:t>
      </w:r>
      <w:r w:rsidRPr="000F550F">
        <w:rPr>
          <w:lang w:val="es-ES_tradnl" w:eastAsia="ko-KR"/>
        </w:rPr>
        <w:t>(</w:t>
      </w:r>
      <w:r w:rsidRPr="000F550F">
        <w:rPr>
          <w:lang w:val="es-ES_tradnl" w:eastAsia="ko-KR"/>
        </w:rPr>
        <w:sym w:font="Symbol" w:char="F06D"/>
      </w:r>
      <w:r w:rsidRPr="000F550F">
        <w:rPr>
          <w:lang w:val="es-ES_tradnl" w:eastAsia="ko-KR"/>
        </w:rPr>
        <w:t>V/m)</w:t>
      </w:r>
    </w:p>
    <w:p w:rsidR="00B17B1F" w:rsidRPr="000F550F" w:rsidRDefault="00B17B1F" w:rsidP="00B17B1F">
      <w:pPr>
        <w:pStyle w:val="Equationlegend"/>
        <w:rPr>
          <w:lang w:val="es-ES_tradnl" w:eastAsia="ko-KR"/>
        </w:rPr>
      </w:pPr>
      <w:r w:rsidRPr="000F550F">
        <w:rPr>
          <w:lang w:val="es-ES_tradnl" w:eastAsia="ko-KR"/>
        </w:rPr>
        <w:tab/>
      </w:r>
      <w:r w:rsidRPr="000F550F">
        <w:rPr>
          <w:lang w:val="es-ES_tradnl" w:eastAsia="ko-KR"/>
        </w:rPr>
        <w:sym w:font="Symbol" w:char="F077"/>
      </w:r>
      <w:r w:rsidRPr="000F550F">
        <w:rPr>
          <w:i/>
          <w:iCs/>
          <w:vertAlign w:val="subscript"/>
          <w:lang w:val="es-ES_tradnl" w:eastAsia="ko-KR"/>
        </w:rPr>
        <w:t>c</w:t>
      </w:r>
      <w:r w:rsidRPr="000F550F">
        <w:rPr>
          <w:lang w:val="es-ES_tradnl" w:eastAsia="ko-KR"/>
        </w:rPr>
        <w:t xml:space="preserve"> :</w:t>
      </w:r>
      <w:r w:rsidRPr="000F550F">
        <w:rPr>
          <w:lang w:val="es-ES_tradnl" w:eastAsia="ko-KR"/>
        </w:rPr>
        <w:tab/>
      </w:r>
      <w:r w:rsidRPr="000F550F">
        <w:rPr>
          <w:lang w:val="es-ES_tradnl"/>
        </w:rPr>
        <w:t>frecuencia en radianes (Hz)</w:t>
      </w:r>
    </w:p>
    <w:p w:rsidR="00B17B1F" w:rsidRPr="000F550F" w:rsidRDefault="00B17B1F" w:rsidP="00B17B1F">
      <w:pPr>
        <w:pStyle w:val="Equationlegend"/>
        <w:rPr>
          <w:u w:val="single"/>
          <w:lang w:val="es-ES_tradnl" w:eastAsia="ko-KR"/>
        </w:rPr>
      </w:pPr>
      <w:r w:rsidRPr="000F550F">
        <w:rPr>
          <w:lang w:val="es-ES_tradnl" w:eastAsia="ko-KR"/>
        </w:rPr>
        <w:tab/>
      </w:r>
      <w:r w:rsidRPr="000F550F">
        <w:rPr>
          <w:lang w:val="es-ES_tradnl" w:eastAsia="ko-KR"/>
        </w:rPr>
        <w:sym w:font="Symbol" w:char="F071"/>
      </w:r>
      <w:r w:rsidRPr="000F550F">
        <w:rPr>
          <w:i/>
          <w:iCs/>
          <w:vertAlign w:val="subscript"/>
          <w:lang w:val="es-ES_tradnl" w:eastAsia="ko-KR"/>
        </w:rPr>
        <w:t>i</w:t>
      </w:r>
      <w:r w:rsidRPr="000F550F">
        <w:rPr>
          <w:lang w:val="es-ES_tradnl" w:eastAsia="ko-KR"/>
        </w:rPr>
        <w:t xml:space="preserve"> :</w:t>
      </w:r>
      <w:r w:rsidRPr="000F550F">
        <w:rPr>
          <w:lang w:val="es-ES_tradnl" w:eastAsia="ko-KR"/>
        </w:rPr>
        <w:tab/>
      </w:r>
      <w:r w:rsidRPr="000F550F">
        <w:rPr>
          <w:lang w:val="es-ES_tradnl"/>
        </w:rPr>
        <w:t xml:space="preserve">diferencia de fase entre la emisión radiada por la </w:t>
      </w:r>
      <w:r w:rsidRPr="000F550F">
        <w:rPr>
          <w:i/>
          <w:iCs/>
          <w:lang w:val="es-ES_tradnl"/>
        </w:rPr>
        <w:t>i</w:t>
      </w:r>
      <w:r w:rsidRPr="000F550F">
        <w:rPr>
          <w:lang w:val="es-ES_tradnl"/>
        </w:rPr>
        <w:t>-ésima fuente PLT y alguna referencia acordad en el receptor afectado (radianes)</w:t>
      </w:r>
    </w:p>
    <w:p w:rsidR="00B17B1F" w:rsidRPr="000F550F" w:rsidRDefault="00B17B1F" w:rsidP="00B17B1F">
      <w:pPr>
        <w:pStyle w:val="Equationlegend"/>
        <w:rPr>
          <w:lang w:val="es-ES_tradnl" w:eastAsia="ko-KR"/>
        </w:rPr>
      </w:pPr>
      <w:r w:rsidRPr="000F550F">
        <w:rPr>
          <w:lang w:val="es-ES_tradnl" w:eastAsia="ko-KR"/>
        </w:rPr>
        <w:tab/>
      </w:r>
      <w:r w:rsidRPr="000F550F">
        <w:rPr>
          <w:lang w:val="es-ES_tradnl" w:eastAsia="ko-KR"/>
        </w:rPr>
        <w:sym w:font="Symbol" w:char="F061"/>
      </w:r>
      <w:r w:rsidRPr="000F550F">
        <w:rPr>
          <w:lang w:val="es-ES_tradnl" w:eastAsia="ko-KR"/>
        </w:rPr>
        <w:t xml:space="preserve"> :</w:t>
      </w:r>
      <w:r w:rsidRPr="000F550F">
        <w:rPr>
          <w:lang w:val="es-ES_tradnl" w:eastAsia="ko-KR"/>
        </w:rPr>
        <w:tab/>
      </w:r>
      <w:r w:rsidRPr="000F550F">
        <w:rPr>
          <w:lang w:val="es-ES_tradnl"/>
        </w:rPr>
        <w:t>diferencia de fase entre la emisión radiada combinad y alguna referencia acordada en un receptor aectado (radianes).</w:t>
      </w:r>
    </w:p>
    <w:p w:rsidR="00B17B1F" w:rsidRPr="000F550F" w:rsidRDefault="00B17B1F" w:rsidP="00347F19">
      <w:pPr>
        <w:rPr>
          <w:lang w:val="es-ES_tradnl"/>
        </w:rPr>
      </w:pPr>
      <w:r w:rsidRPr="000F550F">
        <w:rPr>
          <w:lang w:val="es-ES_tradnl"/>
        </w:rPr>
        <w:t xml:space="preserve">El objetivo de este punto es calcular la probabilidad del evento de interferencia </w:t>
      </w:r>
      <w:r w:rsidRPr="000F550F">
        <w:rPr>
          <w:lang w:val="es-ES_tradnl" w:eastAsia="ko-KR"/>
        </w:rPr>
        <w:t>{</w:t>
      </w:r>
      <w:r w:rsidRPr="000F550F">
        <w:rPr>
          <w:i/>
          <w:iCs/>
          <w:lang w:val="es-ES_tradnl" w:eastAsia="ko-KR"/>
        </w:rPr>
        <w:t>E</w:t>
      </w:r>
      <w:r w:rsidRPr="000F550F">
        <w:rPr>
          <w:i/>
          <w:iCs/>
          <w:vertAlign w:val="subscript"/>
          <w:lang w:val="es-ES_tradnl" w:eastAsia="ko-KR"/>
        </w:rPr>
        <w:t>o</w:t>
      </w:r>
      <w:r w:rsidRPr="000F550F">
        <w:rPr>
          <w:lang w:val="es-ES_tradnl" w:eastAsia="ko-KR"/>
        </w:rPr>
        <w:t xml:space="preserve"> &gt; </w:t>
      </w:r>
      <w:r w:rsidRPr="000F550F">
        <w:rPr>
          <w:i/>
          <w:iCs/>
          <w:lang w:val="es-ES_tradnl" w:eastAsia="ko-KR"/>
        </w:rPr>
        <w:t>E</w:t>
      </w:r>
      <w:r w:rsidRPr="000F550F">
        <w:rPr>
          <w:i/>
          <w:iCs/>
          <w:vertAlign w:val="subscript"/>
          <w:lang w:val="es-ES_tradnl" w:eastAsia="ko-KR"/>
        </w:rPr>
        <w:t>PR</w:t>
      </w:r>
      <w:r w:rsidRPr="000F550F">
        <w:rPr>
          <w:lang w:val="es-ES_tradnl"/>
        </w:rPr>
        <w:t xml:space="preserve">} que se produce si la amplitud de la emisión radiada combinada por las instalaciones PLT, </w:t>
      </w:r>
      <w:r w:rsidRPr="000F550F">
        <w:rPr>
          <w:i/>
          <w:iCs/>
          <w:lang w:val="es-ES_tradnl" w:eastAsia="ko-KR"/>
        </w:rPr>
        <w:t>E</w:t>
      </w:r>
      <w:r w:rsidRPr="000F550F">
        <w:rPr>
          <w:i/>
          <w:iCs/>
          <w:vertAlign w:val="subscript"/>
          <w:lang w:val="es-ES_tradnl" w:eastAsia="ko-KR"/>
        </w:rPr>
        <w:t>o</w:t>
      </w:r>
      <w:r w:rsidRPr="000F550F">
        <w:rPr>
          <w:lang w:val="es-ES_tradnl"/>
        </w:rPr>
        <w:t xml:space="preserve">, es mayor que el nivel requerido para proteger el receptor afectado, </w:t>
      </w:r>
      <w:r w:rsidRPr="000F550F">
        <w:rPr>
          <w:i/>
          <w:iCs/>
          <w:lang w:val="es-ES_tradnl" w:eastAsia="ko-KR"/>
        </w:rPr>
        <w:t>E</w:t>
      </w:r>
      <w:r w:rsidRPr="000F550F">
        <w:rPr>
          <w:i/>
          <w:iCs/>
          <w:vertAlign w:val="subscript"/>
          <w:lang w:val="es-ES_tradnl" w:eastAsia="ko-KR"/>
        </w:rPr>
        <w:t>PR</w:t>
      </w:r>
      <w:r w:rsidRPr="000F550F">
        <w:rPr>
          <w:lang w:val="es-ES_tradnl" w:eastAsia="ko-KR"/>
        </w:rPr>
        <w:t>.</w:t>
      </w:r>
    </w:p>
    <w:p w:rsidR="00B17B1F" w:rsidRPr="000F550F" w:rsidRDefault="00B17B1F" w:rsidP="00B17B1F">
      <w:pPr>
        <w:pStyle w:val="FigureNo"/>
        <w:rPr>
          <w:lang w:val="es-ES_tradnl" w:eastAsia="ko-KR"/>
        </w:rPr>
      </w:pPr>
      <w:r w:rsidRPr="000F550F">
        <w:rPr>
          <w:lang w:val="es-ES_tradnl"/>
        </w:rPr>
        <w:t xml:space="preserve">FIGURA </w:t>
      </w:r>
      <w:r w:rsidRPr="000F550F">
        <w:rPr>
          <w:lang w:val="es-ES_tradnl" w:eastAsia="ko-KR"/>
        </w:rPr>
        <w:t>9</w:t>
      </w:r>
    </w:p>
    <w:p w:rsidR="00B17B1F" w:rsidRDefault="00B17B1F" w:rsidP="00B17B1F">
      <w:pPr>
        <w:pStyle w:val="Figuretitle"/>
        <w:rPr>
          <w:lang w:val="es-ES_tradnl" w:eastAsia="ko-KR"/>
        </w:rPr>
      </w:pPr>
      <w:r w:rsidRPr="000F550F">
        <w:rPr>
          <w:lang w:val="es-ES_tradnl" w:eastAsia="ko-KR"/>
        </w:rPr>
        <w:t>Geometría de la emisión radiada por instalación PLT en un receptor afectado</w:t>
      </w:r>
    </w:p>
    <w:p w:rsidR="00DE68C7" w:rsidRPr="00DE68C7" w:rsidRDefault="00F62E99" w:rsidP="00DE68C7">
      <w:pPr>
        <w:pStyle w:val="Figure"/>
        <w:rPr>
          <w:lang w:val="es-ES_tradnl" w:eastAsia="ko-KR"/>
        </w:rPr>
      </w:pPr>
      <w:r>
        <w:rPr>
          <w:noProof/>
          <w:lang w:val="en-US" w:eastAsia="zh-CN"/>
        </w:rPr>
        <w:object w:dxaOrig="3662" w:dyaOrig="3902">
          <v:shape id="_x0000_i1034" type="#_x0000_t75" style="width:312pt;height:332.25pt" o:ole="">
            <v:imagedata r:id="rId32" o:title=""/>
          </v:shape>
          <o:OLEObject Type="Embed" ProgID="CorelDRAW.Graphic.14" ShapeID="_x0000_i1034" DrawAspect="Content" ObjectID="_1469000273" r:id="rId33"/>
        </w:object>
      </w:r>
    </w:p>
    <w:p w:rsidR="00B17B1F" w:rsidRPr="000F550F" w:rsidRDefault="00B17B1F" w:rsidP="00347F19">
      <w:pPr>
        <w:rPr>
          <w:lang w:val="es-ES_tradnl"/>
        </w:rPr>
      </w:pPr>
      <w:r w:rsidRPr="000F550F">
        <w:rPr>
          <w:lang w:val="es-ES_tradnl"/>
        </w:rPr>
        <w:t xml:space="preserve">Con objeto de calcular la probabilidad de un evento de interferencia, </w:t>
      </w:r>
      <w:r w:rsidRPr="000F550F">
        <w:rPr>
          <w:i/>
          <w:iCs/>
          <w:lang w:val="es-ES_tradnl" w:eastAsia="ko-KR"/>
        </w:rPr>
        <w:t>P</w:t>
      </w:r>
      <w:r w:rsidRPr="000F550F">
        <w:rPr>
          <w:i/>
          <w:iCs/>
          <w:vertAlign w:val="subscript"/>
          <w:lang w:val="es-ES_tradnl" w:eastAsia="ko-KR"/>
        </w:rPr>
        <w:t>r</w:t>
      </w:r>
      <w:r w:rsidRPr="000F550F">
        <w:rPr>
          <w:lang w:val="es-ES_tradnl" w:eastAsia="ko-KR"/>
        </w:rPr>
        <w:t>{</w:t>
      </w:r>
      <w:r w:rsidRPr="000F550F">
        <w:rPr>
          <w:i/>
          <w:iCs/>
          <w:lang w:val="es-ES_tradnl" w:eastAsia="ko-KR"/>
        </w:rPr>
        <w:t>E</w:t>
      </w:r>
      <w:r w:rsidRPr="000F550F">
        <w:rPr>
          <w:i/>
          <w:iCs/>
          <w:vertAlign w:val="subscript"/>
          <w:lang w:val="es-ES_tradnl" w:eastAsia="ko-KR"/>
        </w:rPr>
        <w:t>o</w:t>
      </w:r>
      <w:r w:rsidRPr="000F550F">
        <w:rPr>
          <w:lang w:val="es-ES_tradnl" w:eastAsia="ko-KR"/>
        </w:rPr>
        <w:t xml:space="preserve"> &gt; </w:t>
      </w:r>
      <w:r w:rsidRPr="000F550F">
        <w:rPr>
          <w:i/>
          <w:iCs/>
          <w:lang w:val="es-ES_tradnl" w:eastAsia="ko-KR"/>
        </w:rPr>
        <w:t>E</w:t>
      </w:r>
      <w:r w:rsidRPr="000F550F">
        <w:rPr>
          <w:i/>
          <w:iCs/>
          <w:vertAlign w:val="subscript"/>
          <w:lang w:val="es-ES_tradnl" w:eastAsia="ko-KR"/>
        </w:rPr>
        <w:t>PR</w:t>
      </w:r>
      <w:r w:rsidRPr="000F550F">
        <w:rPr>
          <w:lang w:val="es-ES_tradnl"/>
        </w:rPr>
        <w:t>}</w:t>
      </w:r>
      <w:r w:rsidRPr="000F550F">
        <w:rPr>
          <w:lang w:val="es-ES_tradnl" w:eastAsia="ko-KR"/>
        </w:rPr>
        <w:t xml:space="preserve">, </w:t>
      </w:r>
      <w:r w:rsidRPr="000F550F">
        <w:rPr>
          <w:lang w:val="es-ES_tradnl" w:eastAsia="ko-KR"/>
        </w:rPr>
        <w:sym w:font="Symbol" w:char="F071"/>
      </w:r>
      <w:r w:rsidRPr="000F550F">
        <w:rPr>
          <w:i/>
          <w:iCs/>
          <w:vertAlign w:val="subscript"/>
          <w:lang w:val="es-ES_tradnl" w:eastAsia="ko-KR"/>
        </w:rPr>
        <w:t>i</w:t>
      </w:r>
      <w:r w:rsidRPr="000F550F">
        <w:rPr>
          <w:lang w:val="es-ES_tradnl" w:eastAsia="ko-KR"/>
        </w:rPr>
        <w:t xml:space="preserve"> </w:t>
      </w:r>
      <w:r w:rsidRPr="000F550F">
        <w:rPr>
          <w:lang w:val="es-ES_tradnl"/>
        </w:rPr>
        <w:t xml:space="preserve">se crea un modelo estadístico de </w:t>
      </w:r>
      <w:r w:rsidRPr="000F550F">
        <w:rPr>
          <w:lang w:val="es-ES_tradnl" w:eastAsia="ko-KR"/>
        </w:rPr>
        <w:sym w:font="Symbol" w:char="F071"/>
      </w:r>
      <w:r w:rsidRPr="000F550F">
        <w:rPr>
          <w:i/>
          <w:iCs/>
          <w:vertAlign w:val="subscript"/>
          <w:lang w:val="es-ES_tradnl" w:eastAsia="ko-KR"/>
        </w:rPr>
        <w:t>i</w:t>
      </w:r>
      <w:r w:rsidRPr="000F550F">
        <w:rPr>
          <w:lang w:val="es-ES_tradnl"/>
        </w:rPr>
        <w:t xml:space="preserve"> mediante la variable aleatoria uniforme (RV) con la función densidad de probabilidad </w:t>
      </w:r>
      <w:r w:rsidRPr="000F550F">
        <w:rPr>
          <w:lang w:val="es-ES_tradnl" w:eastAsia="ko-KR"/>
        </w:rPr>
        <w:t xml:space="preserve">1/2π en [–π, π] </w:t>
      </w:r>
      <w:r w:rsidRPr="000F550F">
        <w:rPr>
          <w:lang w:val="es-ES_tradnl"/>
        </w:rPr>
        <w:t xml:space="preserve">como indica la Recomendación UIT-T K.62. Utilizando la propagación de campo lejano sencilla, se determina la amplitud de la emisión radiada por la </w:t>
      </w:r>
      <w:r w:rsidRPr="000F550F">
        <w:rPr>
          <w:i/>
          <w:iCs/>
          <w:lang w:val="es-ES_tradnl"/>
        </w:rPr>
        <w:t>i</w:t>
      </w:r>
      <w:r w:rsidRPr="000F550F">
        <w:rPr>
          <w:lang w:val="es-ES_tradnl"/>
        </w:rPr>
        <w:noBreakHyphen/>
        <w:t xml:space="preserve">ésima fuente PLT a la distancia </w:t>
      </w:r>
      <m:oMath>
        <m:sSub>
          <m:sSubPr>
            <m:ctrlPr>
              <w:rPr>
                <w:rFonts w:ascii="Cambria Math" w:hAnsi="Cambria Math"/>
                <w:i/>
                <w:lang w:val="es-ES_tradnl"/>
              </w:rPr>
            </m:ctrlPr>
          </m:sSubPr>
          <m:e>
            <m:r>
              <w:rPr>
                <w:rFonts w:ascii="Cambria Math"/>
                <w:lang w:val="es-ES_tradnl"/>
              </w:rPr>
              <m:t>d</m:t>
            </m:r>
          </m:e>
          <m:sub>
            <m:r>
              <w:rPr>
                <w:rFonts w:ascii="Cambria Math"/>
                <w:lang w:val="es-ES_tradnl"/>
              </w:rPr>
              <m:t>i</m:t>
            </m:r>
          </m:sub>
        </m:sSub>
      </m:oMath>
      <w:r w:rsidRPr="000F550F">
        <w:rPr>
          <w:lang w:val="es-ES_tradnl" w:eastAsia="ko-KR"/>
        </w:rPr>
        <w:t xml:space="preserve">, </w:t>
      </w:r>
      <m:oMath>
        <m:sSubSup>
          <m:sSubSupPr>
            <m:ctrlPr>
              <w:rPr>
                <w:rFonts w:ascii="Cambria Math" w:hAnsi="Cambria Math"/>
                <w:i/>
                <w:lang w:val="es-ES_tradnl"/>
              </w:rPr>
            </m:ctrlPr>
          </m:sSubSupPr>
          <m:e>
            <m:r>
              <w:rPr>
                <w:rFonts w:ascii="Cambria Math"/>
                <w:lang w:val="es-ES_tradnl"/>
              </w:rPr>
              <m:t>E</m:t>
            </m:r>
          </m:e>
          <m:sub>
            <m:r>
              <w:rPr>
                <w:rFonts w:ascii="Cambria Math"/>
                <w:lang w:val="es-ES_tradnl"/>
              </w:rPr>
              <m:t>oi</m:t>
            </m:r>
          </m:sub>
          <m:sup>
            <m:r>
              <w:rPr>
                <w:rFonts w:ascii="Cambria Math"/>
                <w:lang w:val="es-ES_tradnl"/>
              </w:rPr>
              <m:t>dB</m:t>
            </m:r>
          </m:sup>
        </m:sSubSup>
        <m:d>
          <m:dPr>
            <m:ctrlPr>
              <w:rPr>
                <w:rFonts w:ascii="Cambria Math" w:hAnsi="Cambria Math"/>
                <w:i/>
                <w:lang w:val="es-ES_tradnl"/>
              </w:rPr>
            </m:ctrlPr>
          </m:dPr>
          <m:e>
            <m:sSub>
              <m:sSubPr>
                <m:ctrlPr>
                  <w:rPr>
                    <w:rFonts w:ascii="Cambria Math" w:hAnsi="Cambria Math"/>
                    <w:i/>
                    <w:lang w:val="es-ES_tradnl"/>
                  </w:rPr>
                </m:ctrlPr>
              </m:sSubPr>
              <m:e>
                <m:r>
                  <w:rPr>
                    <w:rFonts w:ascii="Cambria Math"/>
                    <w:lang w:val="es-ES_tradnl"/>
                  </w:rPr>
                  <m:t>d</m:t>
                </m:r>
              </m:e>
              <m:sub>
                <m:r>
                  <w:rPr>
                    <w:rFonts w:ascii="Cambria Math"/>
                    <w:lang w:val="es-ES_tradnl"/>
                  </w:rPr>
                  <m:t>i</m:t>
                </m:r>
              </m:sub>
            </m:sSub>
          </m:e>
        </m:d>
      </m:oMath>
      <w:r w:rsidRPr="000F550F">
        <w:rPr>
          <w:lang w:val="es-ES_tradnl"/>
        </w:rPr>
        <w:t xml:space="preserve">, en términos de unidades logarítmicas </w:t>
      </w:r>
      <w:r w:rsidRPr="000F550F">
        <w:rPr>
          <w:lang w:val="es-ES_tradnl" w:eastAsia="ko-KR"/>
        </w:rPr>
        <w:t>(dB</w:t>
      </w:r>
      <w:r w:rsidRPr="000F550F">
        <w:rPr>
          <w:lang w:val="es-ES_tradnl" w:eastAsia="ko-KR"/>
        </w:rPr>
        <w:sym w:font="Symbol" w:char="F06D"/>
      </w:r>
      <w:r w:rsidRPr="000F550F">
        <w:rPr>
          <w:lang w:val="es-ES_tradnl" w:eastAsia="ko-KR"/>
        </w:rPr>
        <w:t xml:space="preserve">V/m) </w:t>
      </w:r>
      <w:r w:rsidRPr="000F550F">
        <w:rPr>
          <w:lang w:val="es-ES_tradnl"/>
        </w:rPr>
        <w:t>como:</w:t>
      </w:r>
    </w:p>
    <w:p w:rsidR="00B17B1F" w:rsidRPr="000F550F" w:rsidRDefault="00B17B1F" w:rsidP="00B17B1F">
      <w:pPr>
        <w:pStyle w:val="Equation"/>
        <w:rPr>
          <w:lang w:val="es-ES_tradnl" w:eastAsia="ko-KR"/>
        </w:rPr>
      </w:pPr>
      <w:r w:rsidRPr="000F550F">
        <w:rPr>
          <w:lang w:val="es-ES_tradnl"/>
        </w:rPr>
        <w:tab/>
      </w:r>
      <w:r w:rsidRPr="000F550F">
        <w:rPr>
          <w:lang w:val="es-ES_tradnl"/>
        </w:rPr>
        <w:tab/>
      </w:r>
      <m:oMath>
        <m:sSubSup>
          <m:sSubSupPr>
            <m:ctrlPr>
              <w:rPr>
                <w:rFonts w:ascii="Cambria Math" w:hAnsi="Cambria Math"/>
                <w:lang w:val="es-ES_tradnl"/>
              </w:rPr>
            </m:ctrlPr>
          </m:sSubSupPr>
          <m:e>
            <m:r>
              <w:rPr>
                <w:rFonts w:ascii="Cambria Math" w:hAnsi="Cambria Math"/>
                <w:lang w:val="es-ES_tradnl"/>
              </w:rPr>
              <m:t>E</m:t>
            </m:r>
          </m:e>
          <m:sub>
            <m:r>
              <w:rPr>
                <w:rFonts w:ascii="Cambria Math" w:hAnsi="Cambria Math"/>
                <w:lang w:val="es-ES_tradnl"/>
              </w:rPr>
              <m:t>oi</m:t>
            </m:r>
          </m:sub>
          <m:sup>
            <m:r>
              <w:rPr>
                <w:rFonts w:ascii="Cambria Math" w:hAnsi="Cambria Math"/>
                <w:lang w:val="es-ES_tradnl"/>
              </w:rPr>
              <m:t>dB</m:t>
            </m:r>
          </m:sup>
        </m:sSubSup>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i</m:t>
                </m:r>
              </m:sub>
            </m:sSub>
          </m:e>
        </m:d>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E</m:t>
            </m:r>
          </m:e>
          <m:sub>
            <m:r>
              <w:rPr>
                <w:rFonts w:ascii="Cambria Math" w:hAnsi="Cambria Math"/>
                <w:lang w:val="es-ES_tradnl"/>
              </w:rPr>
              <m:t>oi</m:t>
            </m:r>
          </m:sub>
          <m:sup>
            <m:r>
              <w:rPr>
                <w:rFonts w:ascii="Cambria Math" w:hAnsi="Cambria Math"/>
                <w:lang w:val="es-ES_tradnl"/>
              </w:rPr>
              <m:t>dB</m:t>
            </m:r>
          </m:sup>
        </m:sSubSup>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i</m:t>
                </m:r>
              </m:sub>
            </m:sSub>
          </m:e>
        </m:d>
        <m:r>
          <m:rPr>
            <m:sty m:val="p"/>
          </m:rPr>
          <w:rPr>
            <w:rFonts w:ascii="Cambria Math" w:hAnsi="Cambria Math"/>
            <w:lang w:val="es-ES_tradnl"/>
          </w:rPr>
          <m:t>-20∙β∙</m:t>
        </m:r>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i</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i</m:t>
            </m:r>
          </m:sub>
        </m:sSub>
        <m:r>
          <m:rPr>
            <m:sty m:val="p"/>
          </m:rPr>
          <w:rPr>
            <w:rFonts w:ascii="Cambria Math" w:hAnsi="Cambria Math"/>
            <w:lang w:val="es-ES_tradnl"/>
          </w:rPr>
          <m:t>)</m:t>
        </m:r>
      </m:oMath>
      <w:r w:rsidRPr="000F550F">
        <w:rPr>
          <w:lang w:val="es-ES_tradnl" w:eastAsia="ko-KR"/>
        </w:rPr>
        <w:tab/>
        <w:t>(16)</w:t>
      </w:r>
    </w:p>
    <w:p w:rsidR="00B17B1F" w:rsidRDefault="00B17B1F" w:rsidP="00B17B1F">
      <w:pPr>
        <w:rPr>
          <w:lang w:val="es-ES_tradnl"/>
        </w:rPr>
      </w:pPr>
      <w:r w:rsidRPr="000F550F">
        <w:rPr>
          <w:lang w:val="es-ES_tradnl"/>
        </w:rPr>
        <w:lastRenderedPageBreak/>
        <w:t xml:space="preserve">Donde </w:t>
      </w:r>
      <m:oMath>
        <m:sSubSup>
          <m:sSubSupPr>
            <m:ctrlPr>
              <w:rPr>
                <w:rFonts w:ascii="Cambria Math" w:hAnsi="Cambria Math"/>
                <w:i/>
                <w:lang w:val="es-ES_tradnl"/>
              </w:rPr>
            </m:ctrlPr>
          </m:sSubSupPr>
          <m:e>
            <m:r>
              <w:rPr>
                <w:rFonts w:ascii="Cambria Math"/>
                <w:lang w:val="es-ES_tradnl"/>
              </w:rPr>
              <m:t>E</m:t>
            </m:r>
          </m:e>
          <m:sub>
            <m:r>
              <w:rPr>
                <w:rFonts w:ascii="Cambria Math"/>
                <w:lang w:val="es-ES_tradnl"/>
              </w:rPr>
              <m:t>oi</m:t>
            </m:r>
          </m:sub>
          <m:sup>
            <m:r>
              <w:rPr>
                <w:rFonts w:ascii="Cambria Math"/>
                <w:lang w:val="es-ES_tradnl"/>
              </w:rPr>
              <m:t>dB</m:t>
            </m:r>
          </m:sup>
        </m:sSubSup>
        <m:d>
          <m:dPr>
            <m:ctrlPr>
              <w:rPr>
                <w:rFonts w:ascii="Cambria Math" w:hAnsi="Cambria Math"/>
                <w:i/>
                <w:lang w:val="es-ES_tradnl"/>
              </w:rPr>
            </m:ctrlPr>
          </m:dPr>
          <m:e>
            <m:sSub>
              <m:sSubPr>
                <m:ctrlPr>
                  <w:rPr>
                    <w:rFonts w:ascii="Cambria Math" w:hAnsi="Cambria Math"/>
                    <w:i/>
                    <w:lang w:val="es-ES_tradnl"/>
                  </w:rPr>
                </m:ctrlPr>
              </m:sSubPr>
              <m:e>
                <m:r>
                  <w:rPr>
                    <w:rFonts w:ascii="Cambria Math"/>
                    <w:lang w:val="es-ES_tradnl"/>
                  </w:rPr>
                  <m:t>r</m:t>
                </m:r>
              </m:e>
              <m:sub>
                <m:r>
                  <w:rPr>
                    <w:rFonts w:ascii="Cambria Math"/>
                    <w:lang w:val="es-ES_tradnl"/>
                  </w:rPr>
                  <m:t>i</m:t>
                </m:r>
              </m:sub>
            </m:sSub>
          </m:e>
        </m:d>
        <m:r>
          <w:rPr>
            <w:rFonts w:ascii="Cambria Math" w:hAnsi="Cambria Math"/>
            <w:lang w:val="es-ES_tradnl"/>
          </w:rPr>
          <m:t xml:space="preserve"> </m:t>
        </m:r>
      </m:oMath>
      <w:r w:rsidRPr="000F550F">
        <w:rPr>
          <w:lang w:val="es-ES_tradnl" w:eastAsia="ko-KR"/>
        </w:rPr>
        <w:t xml:space="preserve"> </w:t>
      </w:r>
      <w:r w:rsidRPr="000F550F">
        <w:rPr>
          <w:lang w:val="es-ES_tradnl"/>
        </w:rPr>
        <w:t>es la amplitud de la emisión radiada</w:t>
      </w:r>
      <w:r w:rsidR="003F317B">
        <w:rPr>
          <w:lang w:val="es-ES_tradnl"/>
        </w:rPr>
        <w:t xml:space="preserve"> </w:t>
      </w:r>
      <w:r w:rsidR="003F317B" w:rsidRPr="003F317B">
        <w:rPr>
          <w:i/>
          <w:lang w:val="es-ES_tradnl"/>
        </w:rPr>
        <w:t>E</w:t>
      </w:r>
      <w:r w:rsidR="003F317B" w:rsidRPr="003F317B">
        <w:rPr>
          <w:i/>
          <w:vertAlign w:val="subscript"/>
          <w:lang w:val="es-ES_tradnl"/>
        </w:rPr>
        <w:t>oi</w:t>
      </w:r>
      <w:r w:rsidR="003F317B">
        <w:rPr>
          <w:lang w:val="es-ES_tradnl"/>
        </w:rPr>
        <w:t>(</w:t>
      </w:r>
      <w:r w:rsidR="003F317B" w:rsidRPr="003F317B">
        <w:rPr>
          <w:i/>
          <w:lang w:val="es-ES_tradnl"/>
        </w:rPr>
        <w:t>r</w:t>
      </w:r>
      <w:r w:rsidR="003F317B" w:rsidRPr="003F317B">
        <w:rPr>
          <w:i/>
          <w:vertAlign w:val="subscript"/>
          <w:lang w:val="es-ES_tradnl"/>
        </w:rPr>
        <w:t>i</w:t>
      </w:r>
      <w:r w:rsidR="003F317B">
        <w:rPr>
          <w:lang w:val="es-ES_tradnl"/>
        </w:rPr>
        <w:t>)</w:t>
      </w:r>
      <w:r w:rsidRPr="004950D8">
        <w:rPr>
          <w:lang w:val="es-ES_tradnl"/>
        </w:rPr>
        <w:t xml:space="preserve"> </w:t>
      </w:r>
      <w:r w:rsidRPr="000F550F">
        <w:rPr>
          <w:lang w:val="es-ES_tradnl"/>
        </w:rPr>
        <w:t xml:space="preserve">a la distancia </w:t>
      </w:r>
      <m:oMath>
        <m:sSub>
          <m:sSubPr>
            <m:ctrlPr>
              <w:rPr>
                <w:rFonts w:ascii="Cambria Math" w:hAnsi="Cambria Math"/>
                <w:i/>
                <w:lang w:val="es-ES_tradnl" w:eastAsia="ko-KR"/>
              </w:rPr>
            </m:ctrlPr>
          </m:sSubPr>
          <m:e>
            <m:r>
              <w:rPr>
                <w:rFonts w:ascii="Cambria Math" w:hAnsi="Cambria Math"/>
                <w:lang w:val="es-ES_tradnl" w:eastAsia="ko-KR"/>
              </w:rPr>
              <m:t>r</m:t>
            </m:r>
          </m:e>
          <m:sub>
            <m:r>
              <w:rPr>
                <w:rFonts w:ascii="Cambria Math" w:hAnsi="Cambria Math"/>
                <w:lang w:val="es-ES_tradnl" w:eastAsia="ko-KR"/>
              </w:rPr>
              <m:t>i</m:t>
            </m:r>
          </m:sub>
        </m:sSub>
      </m:oMath>
      <w:r w:rsidRPr="000F550F">
        <w:rPr>
          <w:lang w:val="es-ES_tradnl"/>
        </w:rPr>
        <w:t xml:space="preserve"> en la unidad logarítmica </w:t>
      </w:r>
      <w:r w:rsidRPr="000F550F">
        <w:rPr>
          <w:lang w:val="es-ES_tradnl" w:eastAsia="ko-KR"/>
        </w:rPr>
        <w:t>(dB</w:t>
      </w:r>
      <w:r w:rsidRPr="000F550F">
        <w:rPr>
          <w:lang w:val="es-ES_tradnl" w:eastAsia="ko-KR"/>
        </w:rPr>
        <w:sym w:font="Symbol" w:char="F06D"/>
      </w:r>
      <w:r w:rsidRPr="000F550F">
        <w:rPr>
          <w:lang w:val="es-ES_tradnl" w:eastAsia="ko-KR"/>
        </w:rPr>
        <w:t xml:space="preserve">V/m) </w:t>
      </w:r>
      <w:r w:rsidRPr="000F550F">
        <w:rPr>
          <w:lang w:val="es-ES_tradnl"/>
        </w:rPr>
        <w:t>y</w:t>
      </w:r>
      <w:r w:rsidRPr="000F550F">
        <w:rPr>
          <w:lang w:val="es-ES_tradnl" w:eastAsia="ko-KR"/>
        </w:rPr>
        <w:t xml:space="preserve"> </w:t>
      </w:r>
      <w:r w:rsidRPr="000F550F">
        <w:rPr>
          <w:lang w:val="es-ES_tradnl" w:eastAsia="ko-KR"/>
        </w:rPr>
        <w:sym w:font="Symbol" w:char="F062"/>
      </w:r>
      <w:r w:rsidRPr="000F550F">
        <w:rPr>
          <w:lang w:val="es-ES_tradnl"/>
        </w:rPr>
        <w:t xml:space="preserve"> es el coeficiente de propagación de ondas. En el caso de propagación en espacio libre,</w:t>
      </w:r>
      <w:r w:rsidRPr="000F550F">
        <w:rPr>
          <w:lang w:val="es-ES_tradnl" w:eastAsia="ko-KR"/>
        </w:rPr>
        <w:t xml:space="preserve"> </w:t>
      </w:r>
      <w:r w:rsidRPr="000F550F">
        <w:rPr>
          <w:lang w:val="es-ES_tradnl" w:eastAsia="ko-KR"/>
        </w:rPr>
        <w:sym w:font="Symbol" w:char="F062"/>
      </w:r>
      <w:r w:rsidRPr="000F550F">
        <w:rPr>
          <w:lang w:val="es-ES_tradnl"/>
        </w:rPr>
        <w:t> </w:t>
      </w:r>
      <w:r w:rsidRPr="000F550F">
        <w:rPr>
          <w:lang w:val="es-ES_tradnl" w:eastAsia="ko-KR"/>
        </w:rPr>
        <w:t>es 1</w:t>
      </w:r>
      <w:r w:rsidRPr="000F550F">
        <w:rPr>
          <w:lang w:val="es-ES_tradnl"/>
        </w:rPr>
        <w:t>. La amplitud de la emisión radiada combinada por las instalaciones PLT en el receptor afectado,</w:t>
      </w:r>
      <w:r w:rsidRPr="000F550F">
        <w:rPr>
          <w:lang w:val="es-ES_tradnl" w:eastAsia="ko-KR"/>
        </w:rPr>
        <w:t xml:space="preserve"> </w:t>
      </w:r>
      <m:oMath>
        <m:sSub>
          <m:sSubPr>
            <m:ctrlPr>
              <w:rPr>
                <w:rFonts w:ascii="Cambria Math" w:hAnsi="Cambria Math"/>
                <w:lang w:val="es-ES_tradnl" w:eastAsia="ko-KR"/>
              </w:rPr>
            </m:ctrlPr>
          </m:sSubPr>
          <m:e>
            <m:r>
              <w:rPr>
                <w:rFonts w:ascii="Cambria Math" w:hAnsi="Cambria Math"/>
                <w:lang w:val="es-ES_tradnl" w:eastAsia="ko-KR"/>
              </w:rPr>
              <m:t>E</m:t>
            </m:r>
          </m:e>
          <m:sub>
            <m:r>
              <w:rPr>
                <w:rFonts w:ascii="Cambria Math" w:hAnsi="Cambria Math"/>
                <w:lang w:val="es-ES_tradnl" w:eastAsia="ko-KR"/>
              </w:rPr>
              <m:t>o</m:t>
            </m:r>
          </m:sub>
        </m:sSub>
      </m:oMath>
      <w:r w:rsidRPr="000F550F">
        <w:rPr>
          <w:lang w:val="es-ES_tradnl" w:eastAsia="ko-KR"/>
        </w:rPr>
        <w:t xml:space="preserve">, </w:t>
      </w:r>
      <w:r w:rsidRPr="000F550F">
        <w:rPr>
          <w:lang w:val="es-ES_tradnl"/>
        </w:rPr>
        <w:t>se obtiene mediante la ecuación (3) de la Recomendación UIT-T K.62 como:</w:t>
      </w:r>
    </w:p>
    <w:p w:rsidR="00AA16D8" w:rsidRPr="000F550F" w:rsidRDefault="00AA16D8" w:rsidP="00AA16D8">
      <w:pPr>
        <w:pStyle w:val="Blanc"/>
        <w:rPr>
          <w:lang w:val="es-ES_tradnl"/>
        </w:rPr>
      </w:pPr>
    </w:p>
    <w:p w:rsidR="00B17B1F" w:rsidRPr="000F550F" w:rsidRDefault="00AA16D8" w:rsidP="00AA16D8">
      <w:pPr>
        <w:pStyle w:val="Equation"/>
        <w:rPr>
          <w:lang w:val="es-ES_tradnl"/>
        </w:rPr>
      </w:pPr>
      <w:r>
        <w:rPr>
          <w:lang w:val="es-ES_tradnl"/>
        </w:rPr>
        <w:tab/>
      </w:r>
      <w:r>
        <w:rPr>
          <w:lang w:val="es-ES_tradnl"/>
        </w:rPr>
        <w:tab/>
      </w:r>
      <m:oMath>
        <m:sSub>
          <m:sSubPr>
            <m:ctrlPr>
              <w:rPr>
                <w:rFonts w:ascii="Cambria Math" w:hAnsi="Cambria Math"/>
                <w:lang w:val="es-ES_tradnl"/>
              </w:rPr>
            </m:ctrlPr>
          </m:sSubPr>
          <m:e>
            <m:r>
              <w:rPr>
                <w:rFonts w:ascii="Cambria Math" w:hAnsi="Cambria Math"/>
                <w:lang w:val="es-ES_tradnl"/>
              </w:rPr>
              <m:t>E</m:t>
            </m:r>
          </m:e>
          <m:sub>
            <m:r>
              <w:rPr>
                <w:rFonts w:ascii="Cambria Math" w:hAnsi="Cambria Math"/>
                <w:lang w:val="es-ES_tradnl"/>
              </w:rPr>
              <m:t>o</m:t>
            </m:r>
          </m:sub>
        </m:sSub>
        <m:r>
          <m:rPr>
            <m:sty m:val="p"/>
          </m:rPr>
          <w:rPr>
            <w:rFonts w:ascii="Cambria Math" w:hAnsi="Cambria Math"/>
            <w:lang w:val="es-ES_tradnl"/>
          </w:rPr>
          <m:t>=</m:t>
        </m:r>
        <m:rad>
          <m:radPr>
            <m:degHide m:val="1"/>
            <m:ctrlPr>
              <w:rPr>
                <w:rFonts w:ascii="Cambria Math" w:hAnsi="Cambria Math"/>
                <w:lang w:val="es-ES_tradnl"/>
              </w:rPr>
            </m:ctrlPr>
          </m:radPr>
          <m:deg/>
          <m:e>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N</m:t>
                </m:r>
              </m:sup>
              <m:e>
                <m:sSubSup>
                  <m:sSubSupPr>
                    <m:ctrlPr>
                      <w:rPr>
                        <w:rFonts w:ascii="Cambria Math" w:hAnsi="Cambria Math"/>
                        <w:lang w:val="es-ES_tradnl"/>
                      </w:rPr>
                    </m:ctrlPr>
                  </m:sSubSupPr>
                  <m:e>
                    <m:r>
                      <w:rPr>
                        <w:rFonts w:ascii="Cambria Math" w:hAnsi="Cambria Math"/>
                        <w:lang w:val="es-ES_tradnl"/>
                      </w:rPr>
                      <m:t>E</m:t>
                    </m:r>
                  </m:e>
                  <m:sub>
                    <m:r>
                      <w:rPr>
                        <w:rFonts w:ascii="Cambria Math" w:hAnsi="Cambria Math"/>
                        <w:lang w:val="es-ES_tradnl"/>
                      </w:rPr>
                      <m:t>oi</m:t>
                    </m:r>
                  </m:sub>
                  <m:sup>
                    <m:r>
                      <m:rPr>
                        <m:sty m:val="p"/>
                      </m:rPr>
                      <w:rPr>
                        <w:rFonts w:ascii="Cambria Math" w:hAnsi="Cambria Math"/>
                        <w:lang w:val="es-ES_tradnl"/>
                      </w:rPr>
                      <m:t>2</m:t>
                    </m:r>
                  </m:sup>
                </m:sSub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i</m:t>
                    </m:r>
                  </m:sub>
                </m:sSub>
                <m:r>
                  <m:rPr>
                    <m:sty m:val="p"/>
                  </m:rPr>
                  <w:rPr>
                    <w:rFonts w:ascii="Cambria Math" w:hAnsi="Cambria Math"/>
                    <w:lang w:val="es-ES_tradnl"/>
                  </w:rPr>
                  <m:t>)+2</m:t>
                </m:r>
                <m:nary>
                  <m:naryPr>
                    <m:chr m:val="∑"/>
                    <m:limLoc m:val="undOvr"/>
                    <m:ctrlPr>
                      <w:rPr>
                        <w:rFonts w:ascii="Cambria Math" w:hAnsi="Cambria Math"/>
                        <w:lang w:val="es-ES_tradnl"/>
                      </w:rPr>
                    </m:ctrlPr>
                  </m:naryPr>
                  <m:sub>
                    <m:r>
                      <w:rPr>
                        <w:rFonts w:ascii="Cambria Math" w:hAnsi="Cambria Math"/>
                        <w:lang w:val="es-ES_tradnl"/>
                      </w:rPr>
                      <m:t>j</m:t>
                    </m:r>
                    <m:r>
                      <m:rPr>
                        <m:sty m:val="p"/>
                      </m:rPr>
                      <w:rPr>
                        <w:rFonts w:ascii="Cambria Math" w:hAnsi="Cambria Math"/>
                        <w:lang w:val="es-ES_tradnl"/>
                      </w:rPr>
                      <m:t>&gt;</m:t>
                    </m:r>
                    <m:r>
                      <w:rPr>
                        <w:rFonts w:ascii="Cambria Math" w:hAnsi="Cambria Math"/>
                        <w:lang w:val="es-ES_tradnl"/>
                      </w:rPr>
                      <m:t>i</m:t>
                    </m:r>
                  </m:sub>
                  <m:sup>
                    <m:r>
                      <w:rPr>
                        <w:rFonts w:ascii="Cambria Math" w:hAnsi="Cambria Math"/>
                        <w:lang w:val="es-ES_tradnl"/>
                      </w:rPr>
                      <m:t>N</m:t>
                    </m:r>
                  </m:sup>
                  <m:e>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N</m:t>
                        </m:r>
                      </m:sup>
                      <m:e>
                        <m:sSub>
                          <m:sSubPr>
                            <m:ctrlPr>
                              <w:rPr>
                                <w:rFonts w:ascii="Cambria Math" w:hAnsi="Cambria Math"/>
                                <w:lang w:val="es-ES_tradnl"/>
                              </w:rPr>
                            </m:ctrlPr>
                          </m:sSubPr>
                          <m:e>
                            <m:r>
                              <w:rPr>
                                <w:rFonts w:ascii="Cambria Math" w:hAnsi="Cambria Math"/>
                                <w:lang w:val="es-ES_tradnl"/>
                              </w:rPr>
                              <m:t>E</m:t>
                            </m:r>
                          </m:e>
                          <m:sub>
                            <m:r>
                              <w:rPr>
                                <w:rFonts w:ascii="Cambria Math" w:hAnsi="Cambria Math"/>
                                <w:lang w:val="es-ES_tradnl"/>
                              </w:rPr>
                              <m:t>oi</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i</m:t>
                                </m:r>
                              </m:sub>
                            </m:sSub>
                          </m:e>
                        </m:d>
                        <m:sSub>
                          <m:sSubPr>
                            <m:ctrlPr>
                              <w:rPr>
                                <w:rFonts w:ascii="Cambria Math" w:hAnsi="Cambria Math"/>
                                <w:lang w:val="es-ES_tradnl"/>
                              </w:rPr>
                            </m:ctrlPr>
                          </m:sSubPr>
                          <m:e>
                            <m:r>
                              <w:rPr>
                                <w:rFonts w:ascii="Cambria Math" w:hAnsi="Cambria Math"/>
                                <w:lang w:val="es-ES_tradnl"/>
                              </w:rPr>
                              <m:t>E</m:t>
                            </m:r>
                          </m:e>
                          <m:sub>
                            <m:r>
                              <w:rPr>
                                <w:rFonts w:ascii="Cambria Math" w:hAnsi="Cambria Math"/>
                                <w:lang w:val="es-ES_tradnl"/>
                              </w:rPr>
                              <m:t>oj</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j</m:t>
                                </m:r>
                              </m:sub>
                            </m:sSub>
                          </m:e>
                        </m:d>
                        <m:r>
                          <m:rPr>
                            <m:sty m:val="p"/>
                          </m:rPr>
                          <w:rPr>
                            <w:rFonts w:ascii="Cambria Math" w:hAnsi="Cambria Math"/>
                            <w:lang w:val="es-ES_tradnl"/>
                          </w:rPr>
                          <m:t xml:space="preserve"> cos ⁡(</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i</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j</m:t>
                            </m:r>
                          </m:sub>
                        </m:sSub>
                        <m:r>
                          <m:rPr>
                            <m:sty m:val="p"/>
                          </m:rPr>
                          <w:rPr>
                            <w:rFonts w:ascii="Cambria Math" w:hAnsi="Cambria Math"/>
                            <w:lang w:val="es-ES_tradnl"/>
                          </w:rPr>
                          <m:t>)</m:t>
                        </m:r>
                      </m:e>
                    </m:nary>
                  </m:e>
                </m:nary>
              </m:e>
            </m:nary>
          </m:e>
        </m:rad>
      </m:oMath>
      <w:r w:rsidR="00B17B1F" w:rsidRPr="000F550F">
        <w:rPr>
          <w:lang w:val="es-ES_tradnl" w:eastAsia="ko-KR"/>
        </w:rPr>
        <w:t>,</w:t>
      </w:r>
      <w:r>
        <w:rPr>
          <w:lang w:val="es-ES_tradnl" w:eastAsia="ko-KR"/>
        </w:rPr>
        <w:t xml:space="preserve">     </w:t>
      </w:r>
      <m:oMath>
        <m:r>
          <m:rPr>
            <m:sty m:val="p"/>
          </m:rPr>
          <w:rPr>
            <w:rFonts w:ascii="Cambria Math" w:hAnsi="Cambria Math"/>
            <w:lang w:val="es-ES_tradnl" w:eastAsia="ko-KR"/>
          </w:rPr>
          <m:t xml:space="preserve"> </m:t>
        </m:r>
        <m:r>
          <w:rPr>
            <w:rFonts w:ascii="Cambria Math" w:hAnsi="Cambria Math"/>
            <w:lang w:val="es-ES_tradnl" w:eastAsia="ko-KR"/>
          </w:rPr>
          <m:t>i</m:t>
        </m:r>
        <m:r>
          <m:rPr>
            <m:sty m:val="p"/>
          </m:rPr>
          <w:rPr>
            <w:rFonts w:ascii="Cambria Math" w:hAnsi="Cambria Math"/>
            <w:lang w:val="es-ES_tradnl" w:eastAsia="ko-KR"/>
          </w:rPr>
          <m:t xml:space="preserve"> </m:t>
        </m:r>
        <m:r>
          <m:rPr>
            <m:sty m:val="p"/>
          </m:rPr>
          <w:rPr>
            <w:rFonts w:ascii="Cambria Math" w:hAnsi="Cambria Math"/>
            <w:iCs/>
            <w:lang w:val="es-ES_tradnl" w:eastAsia="ko-KR"/>
          </w:rPr>
          <w:sym w:font="Symbol" w:char="F03C"/>
        </m:r>
        <m:r>
          <m:rPr>
            <m:sty m:val="p"/>
          </m:rPr>
          <w:rPr>
            <w:rFonts w:ascii="Cambria Math" w:hAnsi="Cambria Math"/>
            <w:lang w:val="es-ES_tradnl" w:eastAsia="ko-KR"/>
          </w:rPr>
          <m:t xml:space="preserve"> </m:t>
        </m:r>
        <m:r>
          <w:rPr>
            <w:rFonts w:ascii="Cambria Math" w:hAnsi="Cambria Math"/>
            <w:lang w:val="es-ES_tradnl" w:eastAsia="ko-KR"/>
          </w:rPr>
          <m:t>j</m:t>
        </m:r>
        <m:r>
          <m:rPr>
            <m:sty m:val="p"/>
          </m:rPr>
          <w:rPr>
            <w:rFonts w:ascii="Cambria Math" w:hAnsi="Cambria Math"/>
            <w:lang w:val="es-ES_tradnl" w:eastAsia="ko-KR"/>
          </w:rPr>
          <m:t xml:space="preserve"> </m:t>
        </m:r>
        <m:r>
          <m:rPr>
            <m:sty m:val="p"/>
          </m:rPr>
          <w:rPr>
            <w:rFonts w:ascii="Cambria Math" w:hAnsi="Cambria Math"/>
            <w:iCs/>
            <w:lang w:val="es-ES_tradnl" w:eastAsia="ko-KR"/>
          </w:rPr>
          <w:sym w:font="Symbol" w:char="F0A3"/>
        </m:r>
        <m:r>
          <m:rPr>
            <m:sty m:val="p"/>
          </m:rPr>
          <w:rPr>
            <w:rFonts w:ascii="Cambria Math" w:hAnsi="Cambria Math"/>
            <w:lang w:val="es-ES_tradnl" w:eastAsia="ko-KR"/>
          </w:rPr>
          <m:t xml:space="preserve"> </m:t>
        </m:r>
        <m:r>
          <w:rPr>
            <w:rFonts w:ascii="Cambria Math" w:hAnsi="Cambria Math"/>
            <w:lang w:val="es-ES_tradnl" w:eastAsia="ko-KR"/>
          </w:rPr>
          <m:t>N</m:t>
        </m:r>
      </m:oMath>
      <w:r>
        <w:rPr>
          <w:lang w:val="es-ES_tradnl" w:eastAsia="ko-KR"/>
        </w:rPr>
        <w:tab/>
      </w:r>
      <w:r w:rsidR="00B17B1F" w:rsidRPr="000F550F">
        <w:rPr>
          <w:lang w:val="es-ES_tradnl" w:eastAsia="ko-KR"/>
        </w:rPr>
        <w:t>(17)</w:t>
      </w:r>
    </w:p>
    <w:p w:rsidR="00B17B1F" w:rsidRPr="000F550F" w:rsidRDefault="00B17B1F" w:rsidP="00B17B1F">
      <w:pPr>
        <w:pStyle w:val="Blanc"/>
        <w:rPr>
          <w:lang w:val="es-ES_tradnl"/>
        </w:rPr>
      </w:pPr>
    </w:p>
    <w:p w:rsidR="00B17B1F" w:rsidRPr="000F550F" w:rsidRDefault="00B17B1F" w:rsidP="00B17B1F">
      <w:pPr>
        <w:rPr>
          <w:lang w:val="es-ES_tradnl"/>
        </w:rPr>
      </w:pPr>
      <w:r w:rsidRPr="000F550F">
        <w:rPr>
          <w:lang w:val="es-ES_tradnl"/>
        </w:rPr>
        <w:t>En consecuencia, la probabilidad del evento de interferencia</w:t>
      </w:r>
      <w:r w:rsidRPr="000F550F">
        <w:rPr>
          <w:lang w:val="es-ES_tradnl" w:eastAsia="ko-KR"/>
        </w:rPr>
        <w:t xml:space="preserve">, </w:t>
      </w:r>
      <m:oMath>
        <m:sSub>
          <m:sSubPr>
            <m:ctrlPr>
              <w:rPr>
                <w:rFonts w:ascii="Cambria Math" w:hAnsi="Cambria Math"/>
                <w:i/>
                <w:lang w:val="es-ES_tradnl" w:eastAsia="ko-KR"/>
              </w:rPr>
            </m:ctrlPr>
          </m:sSubPr>
          <m:e>
            <m:r>
              <w:rPr>
                <w:rFonts w:ascii="Cambria Math" w:hAnsi="Cambria Math"/>
                <w:lang w:val="es-ES_tradnl" w:eastAsia="ko-KR"/>
              </w:rPr>
              <m:t>P</m:t>
            </m:r>
          </m:e>
          <m:sub>
            <m:r>
              <w:rPr>
                <w:rFonts w:ascii="Cambria Math" w:hAnsi="Cambria Math"/>
                <w:lang w:val="es-ES_tradnl" w:eastAsia="ko-KR"/>
              </w:rPr>
              <m:t>r</m:t>
            </m:r>
          </m:sub>
        </m:sSub>
        <m:d>
          <m:dPr>
            <m:begChr m:val="{"/>
            <m:endChr m:val="}"/>
            <m:ctrlPr>
              <w:rPr>
                <w:rFonts w:ascii="Cambria Math" w:hAnsi="Cambria Math"/>
                <w:lang w:val="es-ES_tradnl" w:eastAsia="ko-KR"/>
              </w:rPr>
            </m:ctrlPr>
          </m:dPr>
          <m:e>
            <m:sSub>
              <m:sSubPr>
                <m:ctrlPr>
                  <w:rPr>
                    <w:rFonts w:ascii="Cambria Math" w:hAnsi="Cambria Math"/>
                    <w:i/>
                    <w:lang w:val="es-ES_tradnl" w:eastAsia="ko-KR"/>
                  </w:rPr>
                </m:ctrlPr>
              </m:sSubPr>
              <m:e>
                <m:r>
                  <w:rPr>
                    <w:rFonts w:ascii="Cambria Math" w:hAnsi="Cambria Math"/>
                    <w:lang w:val="es-ES_tradnl" w:eastAsia="ko-KR"/>
                  </w:rPr>
                  <m:t>E</m:t>
                </m:r>
              </m:e>
              <m:sub>
                <m:r>
                  <w:rPr>
                    <w:rFonts w:ascii="Cambria Math" w:hAnsi="Cambria Math"/>
                    <w:lang w:val="es-ES_tradnl" w:eastAsia="ko-KR"/>
                  </w:rPr>
                  <m:t>o</m:t>
                </m:r>
              </m:sub>
            </m:sSub>
            <m:r>
              <w:rPr>
                <w:rFonts w:ascii="Cambria Math" w:hAnsi="Cambria Math"/>
                <w:lang w:val="es-ES_tradnl" w:eastAsia="ko-KR"/>
              </w:rPr>
              <m:t>&gt;</m:t>
            </m:r>
            <m:sSub>
              <m:sSubPr>
                <m:ctrlPr>
                  <w:rPr>
                    <w:rFonts w:ascii="Cambria Math" w:hAnsi="Cambria Math"/>
                    <w:i/>
                    <w:lang w:val="es-ES_tradnl" w:eastAsia="ko-KR"/>
                  </w:rPr>
                </m:ctrlPr>
              </m:sSubPr>
              <m:e>
                <m:r>
                  <w:rPr>
                    <w:rFonts w:ascii="Cambria Math" w:hAnsi="Cambria Math"/>
                    <w:lang w:val="es-ES_tradnl" w:eastAsia="ko-KR"/>
                  </w:rPr>
                  <m:t>E</m:t>
                </m:r>
              </m:e>
              <m:sub>
                <m:r>
                  <w:rPr>
                    <w:rFonts w:ascii="Cambria Math" w:hAnsi="Cambria Math"/>
                    <w:lang w:val="es-ES_tradnl" w:eastAsia="ko-KR"/>
                  </w:rPr>
                  <m:t>PR</m:t>
                </m:r>
              </m:sub>
            </m:sSub>
          </m:e>
        </m:d>
      </m:oMath>
      <w:r w:rsidRPr="000F550F">
        <w:rPr>
          <w:lang w:val="es-ES_tradnl"/>
        </w:rPr>
        <w:t xml:space="preserve"> se calcula utilizando la ecuación</w:t>
      </w:r>
      <w:r w:rsidR="00AA16D8">
        <w:rPr>
          <w:lang w:val="es-ES_tradnl"/>
        </w:rPr>
        <w:t> </w:t>
      </w:r>
      <w:r w:rsidRPr="000F550F">
        <w:rPr>
          <w:lang w:val="es-ES_tradnl"/>
        </w:rPr>
        <w:t xml:space="preserve">(17) y la generación aleatoria de la variable aleatoria uniforme </w:t>
      </w:r>
      <w:r w:rsidRPr="000F550F">
        <w:rPr>
          <w:lang w:val="es-ES_tradnl" w:eastAsia="ko-KR"/>
        </w:rPr>
        <w:t xml:space="preserve">RV </w:t>
      </w:r>
      <w:r w:rsidRPr="000F550F">
        <w:rPr>
          <w:lang w:val="es-ES_tradnl" w:eastAsia="ko-KR"/>
        </w:rPr>
        <w:sym w:font="Symbol" w:char="F071"/>
      </w:r>
      <w:r w:rsidRPr="000F550F">
        <w:rPr>
          <w:i/>
          <w:iCs/>
          <w:vertAlign w:val="subscript"/>
          <w:lang w:val="es-ES_tradnl" w:eastAsia="ko-KR"/>
        </w:rPr>
        <w:t>i</w:t>
      </w:r>
      <w:r w:rsidRPr="000F550F">
        <w:rPr>
          <w:lang w:val="es-ES_tradnl" w:eastAsia="ko-KR"/>
        </w:rPr>
        <w:t>;</w:t>
      </w:r>
      <w:r w:rsidRPr="000F550F">
        <w:rPr>
          <w:i/>
          <w:iCs/>
          <w:lang w:val="es-ES_tradnl" w:eastAsia="ko-KR"/>
        </w:rPr>
        <w:t xml:space="preserve"> i</w:t>
      </w:r>
      <w:r w:rsidRPr="000F550F">
        <w:rPr>
          <w:lang w:val="es-ES_tradnl" w:eastAsia="ko-KR"/>
        </w:rPr>
        <w:t xml:space="preserve"> = 1,</w:t>
      </w:r>
      <w:r w:rsidR="00AA16D8">
        <w:rPr>
          <w:lang w:val="es-ES_tradnl" w:eastAsia="ko-KR"/>
        </w:rPr>
        <w:t xml:space="preserve"> </w:t>
      </w:r>
      <w:r w:rsidRPr="000F550F">
        <w:rPr>
          <w:lang w:val="es-ES_tradnl" w:eastAsia="ko-KR"/>
        </w:rPr>
        <w:sym w:font="Symbol" w:char="F0BC"/>
      </w:r>
      <w:r w:rsidRPr="000F550F">
        <w:rPr>
          <w:lang w:val="es-ES_tradnl" w:eastAsia="ko-KR"/>
        </w:rPr>
        <w:t>,</w:t>
      </w:r>
      <w:r w:rsidRPr="004950D8">
        <w:rPr>
          <w:lang w:val="es-ES_tradnl"/>
        </w:rPr>
        <w:t xml:space="preserve"> </w:t>
      </w:r>
      <w:r w:rsidRPr="000F550F">
        <w:rPr>
          <w:i/>
          <w:iCs/>
          <w:lang w:val="es-ES_tradnl" w:eastAsia="ko-KR"/>
        </w:rPr>
        <w:t>N</w:t>
      </w:r>
      <w:r w:rsidRPr="000F550F">
        <w:rPr>
          <w:lang w:val="es-ES_tradnl" w:eastAsia="ko-KR"/>
        </w:rPr>
        <w:t>.</w:t>
      </w:r>
    </w:p>
    <w:p w:rsidR="00B17B1F" w:rsidRPr="000F550F" w:rsidRDefault="00B17B1F" w:rsidP="00B17B1F">
      <w:pPr>
        <w:pStyle w:val="Heading3"/>
        <w:rPr>
          <w:lang w:val="es-ES_tradnl"/>
        </w:rPr>
      </w:pPr>
      <w:r w:rsidRPr="000F550F">
        <w:rPr>
          <w:lang w:val="es-ES_tradnl"/>
        </w:rPr>
        <w:t>3.3.2</w:t>
      </w:r>
      <w:r w:rsidRPr="000F550F">
        <w:rPr>
          <w:lang w:val="es-ES_tradnl"/>
        </w:rPr>
        <w:tab/>
        <w:t>Ejemplo</w:t>
      </w:r>
    </w:p>
    <w:p w:rsidR="00B17B1F" w:rsidRPr="000F550F" w:rsidRDefault="00B17B1F" w:rsidP="00B17B1F">
      <w:pPr>
        <w:rPr>
          <w:lang w:val="es-ES_tradnl"/>
        </w:rPr>
      </w:pPr>
      <w:r w:rsidRPr="000F550F">
        <w:rPr>
          <w:lang w:val="es-ES_tradnl"/>
        </w:rPr>
        <w:t>Como ejemplo para calcular</w:t>
      </w:r>
      <w:r w:rsidR="00936963">
        <w:rPr>
          <w:lang w:val="es-ES_tradnl"/>
        </w:rPr>
        <w:t xml:space="preserve"> P</w:t>
      </w:r>
      <w:r w:rsidR="00936963" w:rsidRPr="00936963">
        <w:rPr>
          <w:vertAlign w:val="subscript"/>
          <w:lang w:val="es-ES_tradnl"/>
        </w:rPr>
        <w:t>r</w:t>
      </w:r>
      <w:r w:rsidR="00936963">
        <w:rPr>
          <w:lang w:val="es-ES_tradnl"/>
        </w:rPr>
        <w:t>{</w:t>
      </w:r>
      <w:r w:rsidR="00936963">
        <w:rPr>
          <w:i/>
          <w:lang w:val="es-ES_tradnl"/>
        </w:rPr>
        <w:t>E</w:t>
      </w:r>
      <w:r w:rsidR="00936963" w:rsidRPr="00936963">
        <w:rPr>
          <w:i/>
          <w:vertAlign w:val="subscript"/>
          <w:lang w:val="es-ES_tradnl"/>
        </w:rPr>
        <w:t>o</w:t>
      </w:r>
      <w:r w:rsidR="00936963" w:rsidRPr="00936963">
        <w:rPr>
          <w:lang w:val="es-ES_tradnl"/>
        </w:rPr>
        <w:t xml:space="preserve"> &gt; </w:t>
      </w:r>
      <w:r w:rsidR="00936963">
        <w:rPr>
          <w:i/>
          <w:lang w:val="es-ES_tradnl"/>
        </w:rPr>
        <w:t>E</w:t>
      </w:r>
      <w:r w:rsidR="00936963" w:rsidRPr="00936963">
        <w:rPr>
          <w:i/>
          <w:vertAlign w:val="subscript"/>
          <w:lang w:val="es-ES_tradnl"/>
        </w:rPr>
        <w:t>PR</w:t>
      </w:r>
      <w:r w:rsidR="00936963">
        <w:rPr>
          <w:lang w:val="es-ES_tradnl"/>
        </w:rPr>
        <w:t>}</w:t>
      </w:r>
      <w:r w:rsidR="00936963" w:rsidRPr="00936963">
        <w:rPr>
          <w:lang w:val="es-ES_tradnl"/>
        </w:rPr>
        <w:t xml:space="preserve"> </w:t>
      </w:r>
      <w:r w:rsidRPr="000F550F">
        <w:rPr>
          <w:lang w:val="es-ES_tradnl"/>
        </w:rPr>
        <w:t xml:space="preserve">consideramos la estación de base en exteriores como un receptor afectado con el nivel de protección </w:t>
      </w:r>
      <w:r w:rsidR="00936963">
        <w:rPr>
          <w:i/>
          <w:lang w:val="es-ES_tradnl"/>
        </w:rPr>
        <w:t>E</w:t>
      </w:r>
      <w:r w:rsidR="00936963" w:rsidRPr="00936963">
        <w:rPr>
          <w:i/>
          <w:vertAlign w:val="subscript"/>
          <w:lang w:val="es-ES_tradnl"/>
        </w:rPr>
        <w:t>PR</w:t>
      </w:r>
      <w:r w:rsidR="00936963" w:rsidRPr="000F550F">
        <w:rPr>
          <w:bCs/>
          <w:lang w:val="es-ES_tradnl" w:eastAsia="ko-KR"/>
        </w:rPr>
        <w:t xml:space="preserve"> </w:t>
      </w:r>
      <w:r w:rsidR="00936963">
        <w:rPr>
          <w:bCs/>
          <w:lang w:val="es-ES_tradnl" w:eastAsia="ko-KR"/>
        </w:rPr>
        <w:t xml:space="preserve">= </w:t>
      </w:r>
      <w:r w:rsidRPr="000F550F">
        <w:rPr>
          <w:bCs/>
          <w:lang w:val="es-ES_tradnl" w:eastAsia="ko-KR"/>
        </w:rPr>
        <w:t>0</w:t>
      </w:r>
      <w:r w:rsidR="00AA16D8">
        <w:rPr>
          <w:bCs/>
          <w:lang w:val="es-ES_tradnl" w:eastAsia="ko-KR"/>
        </w:rPr>
        <w:t>,</w:t>
      </w:r>
      <w:r w:rsidRPr="000F550F">
        <w:rPr>
          <w:bCs/>
          <w:lang w:val="es-ES_tradnl" w:eastAsia="ko-KR"/>
        </w:rPr>
        <w:t xml:space="preserve">3 </w:t>
      </w:r>
      <w:r w:rsidRPr="000F550F">
        <w:rPr>
          <w:bCs/>
          <w:lang w:val="es-ES_tradnl" w:eastAsia="ko-KR"/>
        </w:rPr>
        <w:sym w:font="Symbol" w:char="F06D"/>
      </w:r>
      <w:r w:rsidRPr="000F550F">
        <w:rPr>
          <w:bCs/>
          <w:lang w:val="es-ES_tradnl" w:eastAsia="ko-KR"/>
        </w:rPr>
        <w:t>V/m (= –10</w:t>
      </w:r>
      <w:r w:rsidR="00AA16D8">
        <w:rPr>
          <w:bCs/>
          <w:lang w:val="es-ES_tradnl" w:eastAsia="ko-KR"/>
        </w:rPr>
        <w:t>,</w:t>
      </w:r>
      <w:r w:rsidRPr="000F550F">
        <w:rPr>
          <w:bCs/>
          <w:lang w:val="es-ES_tradnl" w:eastAsia="ko-KR"/>
        </w:rPr>
        <w:t>5</w:t>
      </w:r>
      <w:r w:rsidR="00AA16D8">
        <w:rPr>
          <w:bCs/>
          <w:lang w:val="es-ES_tradnl" w:eastAsia="ko-KR"/>
        </w:rPr>
        <w:t> </w:t>
      </w:r>
      <w:r w:rsidRPr="000F550F">
        <w:rPr>
          <w:bCs/>
          <w:lang w:val="es-ES_tradnl" w:eastAsia="ko-KR"/>
        </w:rPr>
        <w:t>dB</w:t>
      </w:r>
      <w:r w:rsidRPr="000F550F">
        <w:rPr>
          <w:bCs/>
          <w:lang w:val="es-ES_tradnl" w:eastAsia="ko-KR"/>
        </w:rPr>
        <w:sym w:font="Symbol" w:char="F06D"/>
      </w:r>
      <w:r w:rsidRPr="000F550F">
        <w:rPr>
          <w:bCs/>
          <w:lang w:val="es-ES_tradnl" w:eastAsia="ko-KR"/>
        </w:rPr>
        <w:t xml:space="preserve">V/m) </w:t>
      </w:r>
      <w:r w:rsidRPr="000F550F">
        <w:rPr>
          <w:lang w:val="es-ES_tradnl"/>
        </w:rPr>
        <w:t>en presencia de la instalación PLT. El nivel de protección es igual al valor obtenido en el</w:t>
      </w:r>
      <w:r w:rsidRPr="000F550F">
        <w:rPr>
          <w:lang w:val="es-ES_tradnl" w:eastAsia="ko-KR"/>
        </w:rPr>
        <w:t xml:space="preserve"> § </w:t>
      </w:r>
      <w:r w:rsidRPr="000F550F">
        <w:rPr>
          <w:lang w:val="es-ES_tradnl"/>
        </w:rPr>
        <w:t>3.1.1. En el Cuadro</w:t>
      </w:r>
      <w:r w:rsidR="00AA16D8">
        <w:rPr>
          <w:lang w:val="es-ES_tradnl"/>
        </w:rPr>
        <w:t> </w:t>
      </w:r>
      <w:r w:rsidRPr="000F550F">
        <w:rPr>
          <w:lang w:val="es-ES_tradnl"/>
        </w:rPr>
        <w:t>2 aparecen los parámetros de la instalación PLT.</w:t>
      </w:r>
    </w:p>
    <w:p w:rsidR="00B17B1F" w:rsidRPr="000F550F" w:rsidRDefault="00B17B1F" w:rsidP="00B17B1F">
      <w:pPr>
        <w:pStyle w:val="TableNo"/>
        <w:keepLines/>
        <w:rPr>
          <w:lang w:val="es-ES_tradnl" w:eastAsia="ko-KR"/>
        </w:rPr>
      </w:pPr>
      <w:r w:rsidRPr="000F550F">
        <w:rPr>
          <w:lang w:val="es-ES_tradnl" w:eastAsia="ko-KR"/>
        </w:rPr>
        <w:t>CUADRO 2</w:t>
      </w:r>
    </w:p>
    <w:p w:rsidR="00B17B1F" w:rsidRPr="000F550F" w:rsidRDefault="00B17B1F" w:rsidP="00B17B1F">
      <w:pPr>
        <w:pStyle w:val="Tabletitle"/>
        <w:keepLines/>
        <w:rPr>
          <w:lang w:val="es-ES_tradnl" w:eastAsia="ko-KR"/>
        </w:rPr>
      </w:pPr>
      <w:r w:rsidRPr="000F550F">
        <w:rPr>
          <w:lang w:val="es-ES_tradnl" w:eastAsia="ko-KR"/>
        </w:rPr>
        <w:t>Resumen de los parámetros</w:t>
      </w:r>
    </w:p>
    <w:tbl>
      <w:tblPr>
        <w:tblW w:w="0" w:type="auto"/>
        <w:jc w:val="center"/>
        <w:tblLayout w:type="fixed"/>
        <w:tblLook w:val="0000" w:firstRow="0" w:lastRow="0" w:firstColumn="0" w:lastColumn="0" w:noHBand="0" w:noVBand="0"/>
      </w:tblPr>
      <w:tblGrid>
        <w:gridCol w:w="4253"/>
        <w:gridCol w:w="1701"/>
        <w:gridCol w:w="3687"/>
      </w:tblGrid>
      <w:tr w:rsidR="00B17B1F" w:rsidRPr="000F550F" w:rsidTr="00581442">
        <w:trPr>
          <w:trHeight w:val="75"/>
          <w:jc w:val="center"/>
        </w:trPr>
        <w:tc>
          <w:tcPr>
            <w:tcW w:w="4253" w:type="dxa"/>
            <w:tcBorders>
              <w:top w:val="single" w:sz="2" w:space="0" w:color="000000"/>
              <w:left w:val="single" w:sz="2" w:space="0" w:color="000000"/>
              <w:bottom w:val="single" w:sz="2" w:space="0" w:color="000000"/>
            </w:tcBorders>
            <w:vAlign w:val="center"/>
          </w:tcPr>
          <w:p w:rsidR="00B17B1F" w:rsidRPr="000F550F" w:rsidRDefault="00B17B1F" w:rsidP="00DF0026">
            <w:pPr>
              <w:pStyle w:val="Tablehead"/>
              <w:keepLines/>
              <w:rPr>
                <w:lang w:val="es-ES_tradnl" w:eastAsia="ko-KR"/>
              </w:rPr>
            </w:pPr>
            <w:r w:rsidRPr="000F550F">
              <w:rPr>
                <w:lang w:val="es-ES_tradnl" w:eastAsia="ko-KR"/>
              </w:rPr>
              <w:t>Parámetros</w:t>
            </w:r>
          </w:p>
        </w:tc>
        <w:tc>
          <w:tcPr>
            <w:tcW w:w="1701" w:type="dxa"/>
            <w:tcBorders>
              <w:top w:val="single" w:sz="2" w:space="0" w:color="000000"/>
              <w:left w:val="single" w:sz="2" w:space="0" w:color="000000"/>
              <w:bottom w:val="single" w:sz="2" w:space="0" w:color="000000"/>
              <w:right w:val="single" w:sz="2" w:space="0" w:color="000000"/>
            </w:tcBorders>
            <w:vAlign w:val="center"/>
          </w:tcPr>
          <w:p w:rsidR="00B17B1F" w:rsidRPr="000F550F" w:rsidRDefault="00B17B1F" w:rsidP="00DF0026">
            <w:pPr>
              <w:pStyle w:val="Tablehead"/>
              <w:keepLines/>
              <w:rPr>
                <w:lang w:val="es-ES_tradnl" w:eastAsia="ko-KR"/>
              </w:rPr>
            </w:pPr>
            <w:r w:rsidRPr="000F550F">
              <w:rPr>
                <w:lang w:val="es-ES_tradnl" w:eastAsia="ko-KR"/>
              </w:rPr>
              <w:t>Valor</w:t>
            </w:r>
          </w:p>
        </w:tc>
        <w:tc>
          <w:tcPr>
            <w:tcW w:w="3687" w:type="dxa"/>
            <w:tcBorders>
              <w:top w:val="single" w:sz="2" w:space="0" w:color="000000"/>
              <w:left w:val="single" w:sz="2" w:space="0" w:color="000000"/>
              <w:bottom w:val="single" w:sz="2" w:space="0" w:color="000000"/>
              <w:right w:val="single" w:sz="2" w:space="0" w:color="000000"/>
            </w:tcBorders>
          </w:tcPr>
          <w:p w:rsidR="00B17B1F" w:rsidRPr="000F550F" w:rsidRDefault="00B17B1F" w:rsidP="00DF0026">
            <w:pPr>
              <w:pStyle w:val="Tablehead"/>
              <w:keepLines/>
              <w:rPr>
                <w:lang w:val="es-ES_tradnl" w:eastAsia="ko-KR"/>
              </w:rPr>
            </w:pPr>
            <w:r w:rsidRPr="000F550F">
              <w:rPr>
                <w:lang w:val="es-ES_tradnl" w:eastAsia="ko-KR"/>
              </w:rPr>
              <w:t>Observaciones</w:t>
            </w:r>
          </w:p>
        </w:tc>
      </w:tr>
      <w:tr w:rsidR="00B17B1F" w:rsidRPr="00142C14" w:rsidTr="00DF78FE">
        <w:trPr>
          <w:trHeight w:val="75"/>
          <w:jc w:val="center"/>
        </w:trPr>
        <w:tc>
          <w:tcPr>
            <w:tcW w:w="4253" w:type="dxa"/>
            <w:tcBorders>
              <w:left w:val="single" w:sz="2" w:space="0" w:color="000000"/>
              <w:bottom w:val="single" w:sz="2" w:space="0" w:color="000000"/>
            </w:tcBorders>
            <w:vAlign w:val="center"/>
          </w:tcPr>
          <w:p w:rsidR="00B17B1F" w:rsidRPr="000F550F" w:rsidRDefault="00B17B1F" w:rsidP="00DF0026">
            <w:pPr>
              <w:pStyle w:val="Tabletext"/>
              <w:keepNext/>
              <w:keepLines/>
              <w:jc w:val="left"/>
              <w:rPr>
                <w:lang w:val="es-ES_tradnl"/>
              </w:rPr>
            </w:pPr>
            <w:r w:rsidRPr="000F550F">
              <w:rPr>
                <w:lang w:val="es-ES_tradnl"/>
              </w:rPr>
              <w:t>Numero de fuentes PLT (</w:t>
            </w:r>
            <w:r w:rsidRPr="000F550F">
              <w:rPr>
                <w:i/>
                <w:iCs/>
                <w:lang w:val="es-ES_tradnl"/>
              </w:rPr>
              <w:t>N</w:t>
            </w:r>
            <w:r w:rsidRPr="000F550F">
              <w:rPr>
                <w:lang w:val="es-ES_tradnl"/>
              </w:rPr>
              <w:t>)</w:t>
            </w:r>
          </w:p>
        </w:tc>
        <w:tc>
          <w:tcPr>
            <w:tcW w:w="1701" w:type="dxa"/>
            <w:tcBorders>
              <w:left w:val="single" w:sz="2" w:space="0" w:color="000000"/>
              <w:bottom w:val="single" w:sz="2" w:space="0" w:color="000000"/>
              <w:right w:val="single" w:sz="2" w:space="0" w:color="000000"/>
            </w:tcBorders>
          </w:tcPr>
          <w:p w:rsidR="00B17B1F" w:rsidRPr="000F550F" w:rsidRDefault="00B17B1F" w:rsidP="00DF78FE">
            <w:pPr>
              <w:pStyle w:val="Tabletext"/>
              <w:keepNext/>
              <w:keepLines/>
              <w:jc w:val="center"/>
              <w:rPr>
                <w:lang w:val="es-ES_tradnl"/>
              </w:rPr>
            </w:pPr>
            <w:r w:rsidRPr="000F550F">
              <w:rPr>
                <w:lang w:val="es-ES_tradnl"/>
              </w:rPr>
              <w:t>5</w:t>
            </w:r>
          </w:p>
        </w:tc>
        <w:tc>
          <w:tcPr>
            <w:tcW w:w="3687" w:type="dxa"/>
            <w:tcBorders>
              <w:left w:val="single" w:sz="2" w:space="0" w:color="000000"/>
              <w:bottom w:val="single" w:sz="2" w:space="0" w:color="000000"/>
              <w:right w:val="single" w:sz="2" w:space="0" w:color="000000"/>
            </w:tcBorders>
          </w:tcPr>
          <w:p w:rsidR="00B17B1F" w:rsidRPr="000F550F" w:rsidRDefault="00B17B1F" w:rsidP="00581442">
            <w:pPr>
              <w:pStyle w:val="Tabletext"/>
              <w:keepNext/>
              <w:keepLines/>
              <w:jc w:val="left"/>
              <w:rPr>
                <w:lang w:val="es-ES_tradnl"/>
              </w:rPr>
            </w:pPr>
            <w:r w:rsidRPr="000F550F">
              <w:rPr>
                <w:lang w:val="es-ES_tradnl"/>
              </w:rPr>
              <w:t>Entorno de instalación PLT</w:t>
            </w:r>
            <w:r w:rsidR="00581442">
              <w:rPr>
                <w:lang w:val="es-ES_tradnl"/>
              </w:rPr>
              <w:t xml:space="preserve"> </w:t>
            </w:r>
            <w:r w:rsidRPr="000F550F">
              <w:rPr>
                <w:lang w:val="es-ES_tradnl"/>
              </w:rPr>
              <w:t>supuesto</w:t>
            </w:r>
          </w:p>
        </w:tc>
      </w:tr>
      <w:tr w:rsidR="00B17B1F" w:rsidRPr="00142C14" w:rsidTr="00DF78FE">
        <w:trPr>
          <w:trHeight w:val="75"/>
          <w:jc w:val="center"/>
        </w:trPr>
        <w:tc>
          <w:tcPr>
            <w:tcW w:w="4253" w:type="dxa"/>
            <w:tcBorders>
              <w:left w:val="single" w:sz="2" w:space="0" w:color="000000"/>
              <w:bottom w:val="single" w:sz="2" w:space="0" w:color="000000"/>
            </w:tcBorders>
            <w:vAlign w:val="center"/>
          </w:tcPr>
          <w:p w:rsidR="00B17B1F" w:rsidRPr="000F550F" w:rsidRDefault="00B17B1F" w:rsidP="00581442">
            <w:pPr>
              <w:pStyle w:val="Tabletext"/>
              <w:keepNext/>
              <w:keepLines/>
              <w:jc w:val="left"/>
              <w:rPr>
                <w:lang w:val="es-ES_tradnl"/>
              </w:rPr>
            </w:pPr>
            <w:r w:rsidRPr="000F550F">
              <w:rPr>
                <w:lang w:val="es-ES_tradnl"/>
              </w:rPr>
              <w:t>Intensidad de campo producida por las fuentes PLT a una distancia de medición de</w:t>
            </w:r>
            <w:r w:rsidR="00581442">
              <w:rPr>
                <w:lang w:val="es-ES_tradnl"/>
              </w:rPr>
              <w:t> </w:t>
            </w:r>
            <w:r w:rsidRPr="000F550F">
              <w:rPr>
                <w:lang w:val="es-ES_tradnl"/>
              </w:rPr>
              <w:t>10 m</w:t>
            </w:r>
            <m:oMath>
              <m:r>
                <w:rPr>
                  <w:rFonts w:ascii="Cambria Math" w:hAnsi="Cambria Math"/>
                  <w:lang w:val="es-ES_tradnl"/>
                </w:rPr>
                <m:t xml:space="preserve">  </m:t>
              </m:r>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E</m:t>
                  </m:r>
                </m:e>
                <m:sub>
                  <m:r>
                    <w:rPr>
                      <w:rFonts w:ascii="Cambria Math" w:hAnsi="Cambria Math"/>
                      <w:lang w:val="es-ES_tradnl"/>
                    </w:rPr>
                    <m:t>oi</m:t>
                  </m:r>
                </m:sub>
                <m:sup>
                  <m:r>
                    <w:rPr>
                      <w:rFonts w:ascii="Cambria Math" w:hAnsi="Cambria Math"/>
                      <w:lang w:val="es-ES_tradnl"/>
                    </w:rPr>
                    <m:t>dB</m:t>
                  </m:r>
                </m:sup>
              </m:sSubSup>
              <m:r>
                <m:rPr>
                  <m:sty m:val="p"/>
                </m:rPr>
                <w:rPr>
                  <w:rFonts w:ascii="Cambria Math" w:hAnsi="Cambria Math"/>
                  <w:lang w:val="es-ES_tradnl"/>
                </w:rPr>
                <m:t xml:space="preserve"> </m:t>
              </m:r>
            </m:oMath>
            <w:r w:rsidRPr="000F550F">
              <w:rPr>
                <w:lang w:val="es-ES_tradnl"/>
              </w:rPr>
              <w:t>(</w:t>
            </w:r>
            <w:r w:rsidRPr="000F550F">
              <w:rPr>
                <w:i/>
                <w:iCs/>
                <w:lang w:val="es-ES_tradnl"/>
              </w:rPr>
              <w:t>r</w:t>
            </w:r>
            <w:r w:rsidRPr="000F550F">
              <w:rPr>
                <w:i/>
                <w:iCs/>
                <w:vertAlign w:val="subscript"/>
                <w:lang w:val="es-ES_tradnl"/>
              </w:rPr>
              <w:t>i</w:t>
            </w:r>
            <w:r w:rsidRPr="000F550F">
              <w:rPr>
                <w:lang w:val="es-ES_tradnl"/>
              </w:rPr>
              <w:t>))</w:t>
            </w:r>
          </w:p>
        </w:tc>
        <w:tc>
          <w:tcPr>
            <w:tcW w:w="1701" w:type="dxa"/>
            <w:tcBorders>
              <w:left w:val="single" w:sz="2" w:space="0" w:color="000000"/>
              <w:bottom w:val="single" w:sz="2" w:space="0" w:color="000000"/>
              <w:right w:val="single" w:sz="2" w:space="0" w:color="000000"/>
            </w:tcBorders>
          </w:tcPr>
          <w:p w:rsidR="00B17B1F" w:rsidRPr="000F550F" w:rsidRDefault="00B17B1F" w:rsidP="00DF78FE">
            <w:pPr>
              <w:pStyle w:val="Tabletext"/>
              <w:keepNext/>
              <w:keepLines/>
              <w:jc w:val="center"/>
              <w:rPr>
                <w:lang w:val="es-ES_tradnl"/>
              </w:rPr>
            </w:pPr>
            <w:r w:rsidRPr="000F550F">
              <w:rPr>
                <w:lang w:val="es-ES_tradnl"/>
              </w:rPr>
              <w:t>37 dB</w:t>
            </w:r>
            <w:r w:rsidRPr="000F550F">
              <w:rPr>
                <w:lang w:val="es-ES_tradnl"/>
              </w:rPr>
              <w:sym w:font="Symbol" w:char="F06D"/>
            </w:r>
            <w:r w:rsidRPr="000F550F">
              <w:rPr>
                <w:lang w:val="es-ES_tradnl"/>
              </w:rPr>
              <w:t>V/m*</w:t>
            </w:r>
          </w:p>
        </w:tc>
        <w:tc>
          <w:tcPr>
            <w:tcW w:w="3687" w:type="dxa"/>
            <w:tcBorders>
              <w:left w:val="single" w:sz="2" w:space="0" w:color="000000"/>
              <w:bottom w:val="single" w:sz="2" w:space="0" w:color="000000"/>
              <w:right w:val="single" w:sz="2" w:space="0" w:color="000000"/>
            </w:tcBorders>
          </w:tcPr>
          <w:p w:rsidR="00B17B1F" w:rsidRPr="000F550F" w:rsidRDefault="00B17B1F" w:rsidP="00581442">
            <w:pPr>
              <w:pStyle w:val="Tabletext"/>
              <w:keepNext/>
              <w:keepLines/>
              <w:jc w:val="left"/>
              <w:rPr>
                <w:lang w:val="es-ES_tradnl"/>
              </w:rPr>
            </w:pPr>
            <w:r w:rsidRPr="000F550F">
              <w:rPr>
                <w:lang w:val="es-ES_tradnl"/>
              </w:rPr>
              <w:t>Cinco fuentes PLT con amplitudes de emisión comunes</w:t>
            </w:r>
          </w:p>
        </w:tc>
      </w:tr>
      <w:tr w:rsidR="00B17B1F" w:rsidRPr="000F550F" w:rsidTr="00DF78FE">
        <w:trPr>
          <w:trHeight w:val="75"/>
          <w:jc w:val="center"/>
        </w:trPr>
        <w:tc>
          <w:tcPr>
            <w:tcW w:w="4253" w:type="dxa"/>
            <w:tcBorders>
              <w:left w:val="single" w:sz="2" w:space="0" w:color="000000"/>
              <w:bottom w:val="single" w:sz="2" w:space="0" w:color="000000"/>
            </w:tcBorders>
            <w:vAlign w:val="center"/>
          </w:tcPr>
          <w:p w:rsidR="00B17B1F" w:rsidRPr="000F550F" w:rsidRDefault="00B17B1F" w:rsidP="00DF0026">
            <w:pPr>
              <w:pStyle w:val="Tabletext"/>
              <w:jc w:val="left"/>
              <w:rPr>
                <w:lang w:val="es-ES_tradnl"/>
              </w:rPr>
            </w:pPr>
            <w:r w:rsidRPr="000F550F">
              <w:rPr>
                <w:lang w:val="es-ES_tradnl"/>
              </w:rPr>
              <w:t>Frecuencia común</w:t>
            </w:r>
          </w:p>
        </w:tc>
        <w:tc>
          <w:tcPr>
            <w:tcW w:w="1701" w:type="dxa"/>
            <w:tcBorders>
              <w:left w:val="single" w:sz="2" w:space="0" w:color="000000"/>
              <w:bottom w:val="single" w:sz="2" w:space="0" w:color="000000"/>
              <w:right w:val="single" w:sz="2" w:space="0" w:color="000000"/>
            </w:tcBorders>
          </w:tcPr>
          <w:p w:rsidR="00B17B1F" w:rsidRPr="000F550F" w:rsidRDefault="00B17B1F" w:rsidP="00DF78FE">
            <w:pPr>
              <w:pStyle w:val="Tabletext"/>
              <w:jc w:val="center"/>
              <w:rPr>
                <w:lang w:val="es-ES_tradnl"/>
              </w:rPr>
            </w:pPr>
            <w:r w:rsidRPr="000F550F">
              <w:rPr>
                <w:lang w:val="es-ES_tradnl"/>
              </w:rPr>
              <w:t>460 MHz</w:t>
            </w:r>
          </w:p>
        </w:tc>
        <w:tc>
          <w:tcPr>
            <w:tcW w:w="3687" w:type="dxa"/>
            <w:tcBorders>
              <w:left w:val="single" w:sz="2" w:space="0" w:color="000000"/>
              <w:bottom w:val="single" w:sz="2" w:space="0" w:color="000000"/>
              <w:right w:val="single" w:sz="2" w:space="0" w:color="000000"/>
            </w:tcBorders>
          </w:tcPr>
          <w:p w:rsidR="00B17B1F" w:rsidRPr="000F550F" w:rsidRDefault="00B17B1F" w:rsidP="00581442">
            <w:pPr>
              <w:pStyle w:val="Tabletext"/>
              <w:jc w:val="left"/>
              <w:rPr>
                <w:lang w:val="es-ES_tradnl"/>
              </w:rPr>
            </w:pPr>
            <w:r w:rsidRPr="000F550F">
              <w:rPr>
                <w:lang w:val="es-ES_tradnl"/>
              </w:rPr>
              <w:t>Véase la ecuación (9)</w:t>
            </w:r>
          </w:p>
        </w:tc>
      </w:tr>
      <w:tr w:rsidR="00B17B1F" w:rsidRPr="000F550F" w:rsidTr="00DF78FE">
        <w:trPr>
          <w:trHeight w:val="75"/>
          <w:jc w:val="center"/>
        </w:trPr>
        <w:tc>
          <w:tcPr>
            <w:tcW w:w="4253" w:type="dxa"/>
            <w:tcBorders>
              <w:left w:val="single" w:sz="2" w:space="0" w:color="000000"/>
              <w:bottom w:val="single" w:sz="2" w:space="0" w:color="000000"/>
            </w:tcBorders>
            <w:vAlign w:val="center"/>
          </w:tcPr>
          <w:p w:rsidR="00B17B1F" w:rsidRPr="000F550F" w:rsidRDefault="00B17B1F" w:rsidP="00DF0026">
            <w:pPr>
              <w:pStyle w:val="Tabletext"/>
              <w:jc w:val="left"/>
              <w:rPr>
                <w:lang w:val="es-ES_tradnl"/>
              </w:rPr>
            </w:pPr>
            <w:r w:rsidRPr="000F550F">
              <w:rPr>
                <w:lang w:val="es-ES_tradnl"/>
              </w:rPr>
              <w:t>Coeficiente de propagación de ondas (</w:t>
            </w:r>
            <w:r w:rsidRPr="000F550F">
              <w:rPr>
                <w:lang w:val="es-ES_tradnl"/>
              </w:rPr>
              <w:sym w:font="Symbol" w:char="F062"/>
            </w:r>
            <w:r w:rsidRPr="000F550F">
              <w:rPr>
                <w:lang w:val="es-ES_tradnl"/>
              </w:rPr>
              <w:t>)</w:t>
            </w:r>
          </w:p>
        </w:tc>
        <w:tc>
          <w:tcPr>
            <w:tcW w:w="1701" w:type="dxa"/>
            <w:tcBorders>
              <w:left w:val="single" w:sz="2" w:space="0" w:color="000000"/>
              <w:bottom w:val="single" w:sz="2" w:space="0" w:color="000000"/>
              <w:right w:val="single" w:sz="2" w:space="0" w:color="000000"/>
            </w:tcBorders>
          </w:tcPr>
          <w:p w:rsidR="00B17B1F" w:rsidRPr="000F550F" w:rsidRDefault="00B17B1F" w:rsidP="00DF78FE">
            <w:pPr>
              <w:pStyle w:val="Tabletext"/>
              <w:jc w:val="center"/>
              <w:rPr>
                <w:lang w:val="es-ES_tradnl"/>
              </w:rPr>
            </w:pPr>
            <w:r w:rsidRPr="000F550F">
              <w:rPr>
                <w:lang w:val="es-ES_tradnl"/>
              </w:rPr>
              <w:t>2</w:t>
            </w:r>
          </w:p>
        </w:tc>
        <w:tc>
          <w:tcPr>
            <w:tcW w:w="3687" w:type="dxa"/>
            <w:tcBorders>
              <w:left w:val="single" w:sz="2" w:space="0" w:color="000000"/>
              <w:bottom w:val="single" w:sz="2" w:space="0" w:color="000000"/>
              <w:right w:val="single" w:sz="2" w:space="0" w:color="000000"/>
            </w:tcBorders>
          </w:tcPr>
          <w:p w:rsidR="00B17B1F" w:rsidRPr="000F550F" w:rsidRDefault="00B17B1F" w:rsidP="00581442">
            <w:pPr>
              <w:pStyle w:val="Tabletext"/>
              <w:jc w:val="left"/>
              <w:rPr>
                <w:lang w:val="es-ES_tradnl"/>
              </w:rPr>
            </w:pPr>
            <w:r w:rsidRPr="000F550F">
              <w:rPr>
                <w:lang w:val="es-ES_tradnl"/>
              </w:rPr>
              <w:t>Sin línea de visibilidad</w:t>
            </w:r>
          </w:p>
        </w:tc>
      </w:tr>
      <w:tr w:rsidR="00B17B1F" w:rsidRPr="00142C14" w:rsidTr="00DF78FE">
        <w:trPr>
          <w:trHeight w:val="75"/>
          <w:jc w:val="center"/>
        </w:trPr>
        <w:tc>
          <w:tcPr>
            <w:tcW w:w="4253" w:type="dxa"/>
            <w:tcBorders>
              <w:left w:val="single" w:sz="2" w:space="0" w:color="000000"/>
              <w:bottom w:val="single" w:sz="2" w:space="0" w:color="000000"/>
            </w:tcBorders>
            <w:vAlign w:val="center"/>
          </w:tcPr>
          <w:p w:rsidR="00B17B1F" w:rsidRPr="000F550F" w:rsidRDefault="00B17B1F" w:rsidP="00DF0026">
            <w:pPr>
              <w:pStyle w:val="Tabletext"/>
              <w:jc w:val="left"/>
              <w:rPr>
                <w:lang w:val="es-ES_tradnl"/>
              </w:rPr>
            </w:pPr>
            <w:r w:rsidRPr="000F550F">
              <w:rPr>
                <w:lang w:val="es-ES_tradnl"/>
              </w:rPr>
              <w:t>Distancia entre las fuentes PLT y el receptor afectado (</w:t>
            </w:r>
            <w:r w:rsidRPr="000F550F">
              <w:rPr>
                <w:i/>
                <w:iCs/>
                <w:lang w:val="es-ES_tradnl"/>
              </w:rPr>
              <w:t>d</w:t>
            </w:r>
            <w:r w:rsidRPr="000F550F">
              <w:rPr>
                <w:i/>
                <w:iCs/>
                <w:vertAlign w:val="subscript"/>
                <w:lang w:val="es-ES_tradnl"/>
              </w:rPr>
              <w:t>i</w:t>
            </w:r>
            <w:r w:rsidRPr="000F550F">
              <w:rPr>
                <w:lang w:val="es-ES_tradnl"/>
              </w:rPr>
              <w:t>)</w:t>
            </w:r>
            <m:oMath>
              <m:r>
                <m:rPr>
                  <m:sty m:val="p"/>
                </m:rPr>
                <w:rPr>
                  <w:rFonts w:ascii="Cambria Math" w:hAnsi="Cambria Math"/>
                  <w:lang w:val="es-ES_tradnl"/>
                </w:rPr>
                <m:t xml:space="preserve"> </m:t>
              </m:r>
            </m:oMath>
          </w:p>
        </w:tc>
        <w:tc>
          <w:tcPr>
            <w:tcW w:w="1701" w:type="dxa"/>
            <w:tcBorders>
              <w:left w:val="single" w:sz="2" w:space="0" w:color="000000"/>
              <w:bottom w:val="single" w:sz="2" w:space="0" w:color="000000"/>
              <w:right w:val="single" w:sz="2" w:space="0" w:color="000000"/>
            </w:tcBorders>
          </w:tcPr>
          <w:p w:rsidR="00B17B1F" w:rsidRPr="000F550F" w:rsidRDefault="00B17B1F" w:rsidP="00DF78FE">
            <w:pPr>
              <w:pStyle w:val="Tabletext"/>
              <w:jc w:val="center"/>
              <w:rPr>
                <w:lang w:val="es-ES_tradnl"/>
              </w:rPr>
            </w:pPr>
            <w:r w:rsidRPr="000F550F">
              <w:rPr>
                <w:lang w:val="es-ES_tradnl"/>
              </w:rPr>
              <w:t>100, 150, 200, 250 y 300 m</w:t>
            </w:r>
          </w:p>
        </w:tc>
        <w:tc>
          <w:tcPr>
            <w:tcW w:w="3687" w:type="dxa"/>
            <w:tcBorders>
              <w:left w:val="single" w:sz="2" w:space="0" w:color="000000"/>
              <w:bottom w:val="single" w:sz="2" w:space="0" w:color="000000"/>
              <w:right w:val="single" w:sz="2" w:space="0" w:color="000000"/>
            </w:tcBorders>
          </w:tcPr>
          <w:p w:rsidR="00B17B1F" w:rsidRPr="000F550F" w:rsidRDefault="00B17B1F" w:rsidP="00581442">
            <w:pPr>
              <w:pStyle w:val="Tabletext"/>
              <w:keepNext/>
              <w:keepLines/>
              <w:jc w:val="left"/>
              <w:rPr>
                <w:lang w:val="es-ES_tradnl"/>
              </w:rPr>
            </w:pPr>
            <w:r w:rsidRPr="000F550F">
              <w:rPr>
                <w:lang w:val="es-ES_tradnl"/>
              </w:rPr>
              <w:t>Entorno de instalación PLT</w:t>
            </w:r>
            <w:r w:rsidR="00581442">
              <w:rPr>
                <w:lang w:val="es-ES_tradnl"/>
              </w:rPr>
              <w:t xml:space="preserve"> </w:t>
            </w:r>
            <w:r w:rsidRPr="000F550F">
              <w:rPr>
                <w:lang w:val="es-ES_tradnl"/>
              </w:rPr>
              <w:t>supuesto</w:t>
            </w:r>
          </w:p>
        </w:tc>
      </w:tr>
      <w:tr w:rsidR="00B17B1F" w:rsidRPr="00142C14" w:rsidTr="00581442">
        <w:trPr>
          <w:trHeight w:val="75"/>
          <w:jc w:val="center"/>
        </w:trPr>
        <w:tc>
          <w:tcPr>
            <w:tcW w:w="9641" w:type="dxa"/>
            <w:gridSpan w:val="3"/>
            <w:tcBorders>
              <w:top w:val="single" w:sz="2" w:space="0" w:color="000000"/>
            </w:tcBorders>
            <w:vAlign w:val="center"/>
          </w:tcPr>
          <w:p w:rsidR="00B17B1F" w:rsidRPr="000F550F" w:rsidRDefault="00B17B1F" w:rsidP="00DF0026">
            <w:pPr>
              <w:pStyle w:val="Tablelegend"/>
              <w:rPr>
                <w:lang w:val="es-ES_tradnl"/>
              </w:rPr>
            </w:pPr>
            <w:r w:rsidRPr="000F550F">
              <w:rPr>
                <w:lang w:val="es-ES_tradnl" w:eastAsia="ko-KR"/>
              </w:rPr>
              <w:t>*</w:t>
            </w:r>
            <w:r w:rsidRPr="000F550F">
              <w:rPr>
                <w:lang w:val="es-ES_tradnl" w:eastAsia="ko-KR"/>
              </w:rPr>
              <w:tab/>
            </w:r>
            <w:r w:rsidRPr="000F550F">
              <w:rPr>
                <w:lang w:val="es-ES_tradnl"/>
              </w:rPr>
              <w:t>El valor es el límite de emisión de clase B del equipo de tecnología de la información descrito en la Publicación 22 del Comité Internacional Especial de Perturbaciones Radioeléctricas</w:t>
            </w:r>
            <w:r w:rsidRPr="000F550F">
              <w:rPr>
                <w:lang w:val="es-ES_tradnl" w:eastAsia="ko-KR"/>
              </w:rPr>
              <w:t xml:space="preserve"> (CISPR).</w:t>
            </w:r>
          </w:p>
        </w:tc>
      </w:tr>
    </w:tbl>
    <w:p w:rsidR="00B17B1F" w:rsidRPr="000F550F" w:rsidRDefault="00B17B1F" w:rsidP="00B17B1F">
      <w:pPr>
        <w:spacing w:before="360"/>
        <w:rPr>
          <w:lang w:val="es-ES_tradnl"/>
        </w:rPr>
      </w:pPr>
      <w:r w:rsidRPr="000F550F">
        <w:rPr>
          <w:lang w:val="es-ES_tradnl"/>
        </w:rPr>
        <w:t>Como muestra la Fig. 10, la probabilidad de interferencia de una estación de base en presencia de una instalación PLT</w:t>
      </w:r>
      <w:r w:rsidR="00AA16D8">
        <w:rPr>
          <w:lang w:val="es-ES_tradnl"/>
        </w:rPr>
        <w:t xml:space="preserve">, </w:t>
      </w:r>
      <w:r w:rsidR="00AA16D8" w:rsidRPr="00FC4164">
        <w:rPr>
          <w:i/>
          <w:lang w:val="es-ES_tradnl"/>
        </w:rPr>
        <w:t>P</w:t>
      </w:r>
      <w:r w:rsidR="00AA16D8" w:rsidRPr="00FC4164">
        <w:rPr>
          <w:i/>
          <w:vertAlign w:val="subscript"/>
          <w:lang w:val="es-ES_tradnl"/>
        </w:rPr>
        <w:t>r</w:t>
      </w:r>
      <w:r w:rsidR="00AA16D8">
        <w:rPr>
          <w:lang w:val="es-ES_tradnl"/>
        </w:rPr>
        <w:t>{</w:t>
      </w:r>
      <w:r w:rsidR="00FC4164" w:rsidRPr="00FC4164">
        <w:rPr>
          <w:i/>
          <w:lang w:val="es-ES_tradnl"/>
        </w:rPr>
        <w:t>E</w:t>
      </w:r>
      <w:r w:rsidR="00FC4164" w:rsidRPr="00FC4164">
        <w:rPr>
          <w:i/>
          <w:vertAlign w:val="subscript"/>
          <w:lang w:val="es-ES_tradnl"/>
        </w:rPr>
        <w:t>o</w:t>
      </w:r>
      <w:r w:rsidR="00FC4164">
        <w:rPr>
          <w:lang w:val="es-ES_tradnl"/>
        </w:rPr>
        <w:t xml:space="preserve"> &gt; 0,3 µV/M (= </w:t>
      </w:r>
      <w:r w:rsidR="00FC4164" w:rsidRPr="00FC4164">
        <w:rPr>
          <w:lang w:val="es-ES_tradnl"/>
        </w:rPr>
        <w:t>–</w:t>
      </w:r>
      <w:r w:rsidR="00FC4164">
        <w:rPr>
          <w:lang w:val="es-ES_tradnl"/>
        </w:rPr>
        <w:t>10,5</w:t>
      </w:r>
      <w:r w:rsidR="00EE7196">
        <w:rPr>
          <w:lang w:val="es-ES_tradnl"/>
        </w:rPr>
        <w:t> </w:t>
      </w:r>
      <w:r w:rsidR="00FC4164">
        <w:rPr>
          <w:lang w:val="es-ES_tradnl"/>
        </w:rPr>
        <w:t>dBµV/M)</w:t>
      </w:r>
      <w:r w:rsidR="00AA16D8">
        <w:rPr>
          <w:lang w:val="es-ES_tradnl"/>
        </w:rPr>
        <w:t>}</w:t>
      </w:r>
      <w:r w:rsidRPr="000F550F">
        <w:rPr>
          <w:lang w:val="es-ES_tradnl"/>
        </w:rPr>
        <w:t>, es aproximadamente 0,96. Comparando la probabilidad de interferencia 0,96 en el receptor afectado con un nivel de confianza del 80% del CISP</w:t>
      </w:r>
      <w:r w:rsidR="00FC4164">
        <w:rPr>
          <w:lang w:val="es-ES_tradnl"/>
        </w:rPr>
        <w:t xml:space="preserve">R, </w:t>
      </w:r>
      <w:r w:rsidR="00FC4164" w:rsidRPr="00FC4164">
        <w:rPr>
          <w:i/>
          <w:lang w:val="es-ES_tradnl"/>
        </w:rPr>
        <w:t>P</w:t>
      </w:r>
      <w:r w:rsidR="00FC4164" w:rsidRPr="00FC4164">
        <w:rPr>
          <w:i/>
          <w:vertAlign w:val="subscript"/>
          <w:lang w:val="es-ES_tradnl"/>
        </w:rPr>
        <w:t>r</w:t>
      </w:r>
      <w:r w:rsidR="00FC4164">
        <w:rPr>
          <w:lang w:val="es-ES_tradnl"/>
        </w:rPr>
        <w:t>{</w:t>
      </w:r>
      <w:r w:rsidR="00FC4164" w:rsidRPr="00FC4164">
        <w:rPr>
          <w:i/>
          <w:lang w:val="es-ES_tradnl"/>
        </w:rPr>
        <w:t>E</w:t>
      </w:r>
      <w:r w:rsidR="00FC4164" w:rsidRPr="00FC4164">
        <w:rPr>
          <w:i/>
          <w:vertAlign w:val="subscript"/>
          <w:lang w:val="es-ES_tradnl"/>
        </w:rPr>
        <w:t>o</w:t>
      </w:r>
      <w:r w:rsidR="00FC4164">
        <w:rPr>
          <w:lang w:val="es-ES_tradnl"/>
        </w:rPr>
        <w:t xml:space="preserve"> &gt; </w:t>
      </w:r>
      <w:r w:rsidR="00FC4164" w:rsidRPr="00FC4164">
        <w:rPr>
          <w:i/>
          <w:lang w:val="es-ES_tradnl"/>
        </w:rPr>
        <w:t>EP</w:t>
      </w:r>
      <w:r w:rsidR="00FC4164" w:rsidRPr="00FC4164">
        <w:rPr>
          <w:i/>
          <w:vertAlign w:val="subscript"/>
          <w:lang w:val="es-ES_tradnl"/>
        </w:rPr>
        <w:t>R</w:t>
      </w:r>
      <w:r w:rsidR="00FC4164">
        <w:rPr>
          <w:lang w:val="es-ES_tradnl"/>
        </w:rPr>
        <w:t xml:space="preserve">} = 0,2 </w:t>
      </w:r>
      <w:r w:rsidRPr="000F550F">
        <w:rPr>
          <w:rFonts w:asciiTheme="majorBidi" w:hAnsiTheme="majorBidi" w:cstheme="majorBidi"/>
          <w:lang w:val="es-ES_tradnl" w:eastAsia="ko-KR"/>
        </w:rPr>
        <w:t>o</w:t>
      </w:r>
      <w:r w:rsidR="00FC4164">
        <w:rPr>
          <w:rFonts w:asciiTheme="majorBidi" w:hAnsiTheme="majorBidi" w:cstheme="majorBidi"/>
          <w:lang w:val="es-ES_tradnl" w:eastAsia="ko-KR"/>
        </w:rPr>
        <w:t xml:space="preserve"> </w:t>
      </w:r>
      <w:r w:rsidR="00FC4164" w:rsidRPr="00FC4164">
        <w:rPr>
          <w:i/>
          <w:lang w:val="es-ES_tradnl"/>
        </w:rPr>
        <w:t>P</w:t>
      </w:r>
      <w:r w:rsidR="00FC4164" w:rsidRPr="00FC4164">
        <w:rPr>
          <w:i/>
          <w:vertAlign w:val="subscript"/>
          <w:lang w:val="es-ES_tradnl"/>
        </w:rPr>
        <w:t>r</w:t>
      </w:r>
      <w:r w:rsidR="00FC4164">
        <w:rPr>
          <w:lang w:val="es-ES_tradnl"/>
        </w:rPr>
        <w:t>{</w:t>
      </w:r>
      <w:r w:rsidR="00FC4164" w:rsidRPr="00FC4164">
        <w:rPr>
          <w:i/>
          <w:lang w:val="es-ES_tradnl"/>
        </w:rPr>
        <w:t>E</w:t>
      </w:r>
      <w:r w:rsidR="00FC4164" w:rsidRPr="00FC4164">
        <w:rPr>
          <w:i/>
          <w:vertAlign w:val="subscript"/>
          <w:lang w:val="es-ES_tradnl"/>
        </w:rPr>
        <w:t>o</w:t>
      </w:r>
      <w:r w:rsidR="00FC4164">
        <w:rPr>
          <w:lang w:val="es-ES_tradnl"/>
        </w:rPr>
        <w:t xml:space="preserve"> &gt; </w:t>
      </w:r>
      <w:r w:rsidR="00FC4164" w:rsidRPr="00FC4164">
        <w:rPr>
          <w:i/>
          <w:lang w:val="es-ES_tradnl"/>
        </w:rPr>
        <w:t>EP</w:t>
      </w:r>
      <w:r w:rsidR="00FC4164" w:rsidRPr="00FC4164">
        <w:rPr>
          <w:i/>
          <w:vertAlign w:val="subscript"/>
          <w:lang w:val="es-ES_tradnl"/>
        </w:rPr>
        <w:t>R</w:t>
      </w:r>
      <w:r w:rsidR="00FC4164">
        <w:rPr>
          <w:lang w:val="es-ES_tradnl"/>
        </w:rPr>
        <w:t>} = 0,8</w:t>
      </w:r>
      <w:r w:rsidRPr="000F550F">
        <w:rPr>
          <w:rFonts w:asciiTheme="majorBidi" w:hAnsiTheme="majorBidi" w:cstheme="majorBidi"/>
          <w:lang w:val="es-ES_tradnl" w:eastAsia="ko-KR"/>
        </w:rPr>
        <w:t>.</w:t>
      </w:r>
      <w:r w:rsidRPr="000F550F">
        <w:rPr>
          <w:lang w:val="es-ES_tradnl"/>
        </w:rPr>
        <w:t xml:space="preserve"> Es evidente que la instalación PLT descrita en el</w:t>
      </w:r>
      <w:r w:rsidR="00EE7196">
        <w:rPr>
          <w:lang w:val="es-ES_tradnl"/>
        </w:rPr>
        <w:t xml:space="preserve"> </w:t>
      </w:r>
      <w:r w:rsidRPr="000F550F">
        <w:rPr>
          <w:lang w:val="es-ES_tradnl"/>
        </w:rPr>
        <w:t>Cuadro</w:t>
      </w:r>
      <w:r w:rsidR="009F6F1F">
        <w:rPr>
          <w:lang w:val="es-ES_tradnl"/>
        </w:rPr>
        <w:t> </w:t>
      </w:r>
      <w:r w:rsidRPr="000F550F">
        <w:rPr>
          <w:lang w:val="es-ES_tradnl"/>
        </w:rPr>
        <w:t>2 provoca interferencia a la estación de base en exteriores con el nivel de protección de</w:t>
      </w:r>
      <w:r w:rsidR="00EE7196">
        <w:rPr>
          <w:lang w:val="es-ES_tradnl"/>
        </w:rPr>
        <w:t xml:space="preserve"> </w:t>
      </w:r>
      <w:r w:rsidR="00EE7196">
        <w:rPr>
          <w:lang w:val="es-ES_tradnl"/>
        </w:rPr>
        <w:fldChar w:fldCharType="begin"/>
      </w:r>
      <w:r w:rsidR="00EE7196">
        <w:rPr>
          <w:lang w:val="es-ES_tradnl"/>
        </w:rPr>
        <w:instrText xml:space="preserve"> EQ  </w:instrText>
      </w:r>
      <w:r w:rsidR="00EE7196" w:rsidRPr="000F550F">
        <w:rPr>
          <w:rFonts w:asciiTheme="majorBidi" w:hAnsiTheme="majorBidi" w:cstheme="majorBidi"/>
          <w:lang w:val="es-ES_tradnl" w:eastAsia="ko-KR"/>
        </w:rPr>
        <w:instrText>–10,5</w:instrText>
      </w:r>
      <w:r w:rsidR="00EE7196">
        <w:rPr>
          <w:lang w:val="es-ES_tradnl"/>
        </w:rPr>
        <w:fldChar w:fldCharType="end"/>
      </w:r>
      <w:r w:rsidR="00581442">
        <w:rPr>
          <w:rFonts w:asciiTheme="majorBidi" w:hAnsiTheme="majorBidi" w:cstheme="majorBidi"/>
          <w:lang w:val="es-ES_tradnl" w:eastAsia="ko-KR"/>
        </w:rPr>
        <w:t> </w:t>
      </w:r>
      <w:r w:rsidRPr="000F550F">
        <w:rPr>
          <w:rFonts w:asciiTheme="majorBidi" w:hAnsiTheme="majorBidi" w:cstheme="majorBidi"/>
          <w:lang w:val="es-ES_tradnl" w:eastAsia="ko-KR"/>
        </w:rPr>
        <w:t>dB</w:t>
      </w:r>
      <w:r w:rsidRPr="000F550F">
        <w:rPr>
          <w:rFonts w:asciiTheme="majorBidi" w:hAnsiTheme="majorBidi" w:cstheme="majorBidi"/>
          <w:lang w:val="es-ES_tradnl" w:eastAsia="ko-KR"/>
        </w:rPr>
        <w:sym w:font="Symbol" w:char="F06D"/>
      </w:r>
      <w:r w:rsidRPr="000F550F">
        <w:rPr>
          <w:rFonts w:asciiTheme="majorBidi" w:hAnsiTheme="majorBidi" w:cstheme="majorBidi"/>
          <w:lang w:val="es-ES_tradnl" w:eastAsia="ko-KR"/>
        </w:rPr>
        <w:t>V/m.</w:t>
      </w:r>
    </w:p>
    <w:p w:rsidR="00B17B1F" w:rsidRPr="000F550F" w:rsidRDefault="00B17B1F" w:rsidP="00B17B1F">
      <w:pPr>
        <w:rPr>
          <w:lang w:val="es-ES_tradnl"/>
        </w:rPr>
      </w:pPr>
      <w:r w:rsidRPr="000F550F">
        <w:rPr>
          <w:lang w:val="es-ES_tradnl"/>
        </w:rPr>
        <w:t>El ejemplo demuestra que el método de cálculo presentado puede aplicarse para evaluar la emisión radiada combinada de las instalaciones PLT.</w:t>
      </w:r>
    </w:p>
    <w:p w:rsidR="00B17B1F" w:rsidRPr="000F550F" w:rsidRDefault="00B17B1F" w:rsidP="00B17B1F">
      <w:pPr>
        <w:pStyle w:val="FigureNo"/>
        <w:rPr>
          <w:lang w:val="es-ES_tradnl" w:eastAsia="ko-KR"/>
        </w:rPr>
      </w:pPr>
      <w:r w:rsidRPr="000F550F">
        <w:rPr>
          <w:lang w:val="es-ES_tradnl" w:eastAsia="ko-KR"/>
        </w:rPr>
        <w:lastRenderedPageBreak/>
        <w:t>FIGURA 10</w:t>
      </w:r>
    </w:p>
    <w:p w:rsidR="00B17B1F" w:rsidRDefault="00B17B1F" w:rsidP="00B17B1F">
      <w:pPr>
        <w:pStyle w:val="Figuretitle"/>
        <w:rPr>
          <w:lang w:val="es-ES_tradnl" w:eastAsia="ko-KR"/>
        </w:rPr>
      </w:pPr>
      <w:r w:rsidRPr="000F550F">
        <w:rPr>
          <w:lang w:val="es-ES_tradnl" w:eastAsia="ko-KR"/>
        </w:rPr>
        <w:t>Probabilidad de Interferencia de una estación de base</w:t>
      </w:r>
      <w:r w:rsidR="008779BB">
        <w:rPr>
          <w:lang w:val="es-ES_tradnl" w:eastAsia="ko-KR"/>
        </w:rPr>
        <w:br/>
      </w:r>
      <w:r w:rsidRPr="000F550F">
        <w:rPr>
          <w:lang w:val="es-ES_tradnl" w:eastAsia="ko-KR"/>
        </w:rPr>
        <w:t>en presencia</w:t>
      </w:r>
      <w:r w:rsidR="008779BB">
        <w:rPr>
          <w:lang w:val="es-ES_tradnl" w:eastAsia="ko-KR"/>
        </w:rPr>
        <w:t xml:space="preserve"> </w:t>
      </w:r>
      <w:r w:rsidRPr="000F550F">
        <w:rPr>
          <w:lang w:val="es-ES_tradnl" w:eastAsia="ko-KR"/>
        </w:rPr>
        <w:t>de una instalación PLT</w:t>
      </w:r>
    </w:p>
    <w:p w:rsidR="008779BB" w:rsidRDefault="004950D8" w:rsidP="008779BB">
      <w:pPr>
        <w:pStyle w:val="Figure"/>
        <w:rPr>
          <w:lang w:eastAsia="ko-KR"/>
        </w:rPr>
      </w:pPr>
      <w:r>
        <w:rPr>
          <w:lang w:eastAsia="ko-KR"/>
        </w:rPr>
        <w:object w:dxaOrig="4212" w:dyaOrig="3291">
          <v:shape id="_x0000_i1035" type="#_x0000_t75" style="width:351.75pt;height:275.65pt" o:ole="">
            <v:imagedata r:id="rId34" o:title=""/>
          </v:shape>
          <o:OLEObject Type="Embed" ProgID="CorelDRAW.Graphic.14" ShapeID="_x0000_i1035" DrawAspect="Content" ObjectID="_1469000274" r:id="rId35"/>
        </w:object>
      </w:r>
    </w:p>
    <w:p w:rsidR="008E7F82" w:rsidRPr="000B6DFE" w:rsidRDefault="008E7F82" w:rsidP="008E7F82">
      <w:pPr>
        <w:rPr>
          <w:lang w:val="en-US" w:eastAsia="zh-CN"/>
        </w:rPr>
      </w:pPr>
      <w:bookmarkStart w:id="5" w:name="_Toc391562224"/>
    </w:p>
    <w:p w:rsidR="00B17B1F" w:rsidRDefault="00B17B1F" w:rsidP="00B17B1F">
      <w:pPr>
        <w:pStyle w:val="Heading1"/>
        <w:rPr>
          <w:lang w:val="es-ES_tradnl"/>
        </w:rPr>
      </w:pPr>
      <w:r w:rsidRPr="000F550F">
        <w:rPr>
          <w:lang w:val="es-ES_tradnl"/>
        </w:rPr>
        <w:t>4</w:t>
      </w:r>
      <w:r w:rsidRPr="000F550F">
        <w:rPr>
          <w:lang w:val="es-ES_tradnl"/>
        </w:rPr>
        <w:tab/>
        <w:t>Determinación experimental de las corrientes de RF que circulan en el cableado eléctrico, de la perturbación de RF y de las características de antena equivalentes de una instalación PLT en el hogar</w:t>
      </w:r>
      <w:bookmarkEnd w:id="5"/>
    </w:p>
    <w:p w:rsidR="00B17B1F" w:rsidRPr="000F550F" w:rsidRDefault="00B17B1F" w:rsidP="00B17B1F">
      <w:pPr>
        <w:pStyle w:val="Headingb"/>
        <w:rPr>
          <w:lang w:val="es-ES_tradnl"/>
        </w:rPr>
      </w:pPr>
      <w:r w:rsidRPr="000F550F">
        <w:rPr>
          <w:lang w:val="es-ES_tradnl"/>
        </w:rPr>
        <w:t>Medición de las perturbaciones en RF, corrientes en modo común (CM) y en modo diferencial (DM) causadas por sistemas PLT y características de antena de una red de alimentación eléctrica doméstica</w:t>
      </w:r>
    </w:p>
    <w:p w:rsidR="00B17B1F" w:rsidRPr="000F550F" w:rsidRDefault="00B17B1F" w:rsidP="00B17B1F">
      <w:pPr>
        <w:rPr>
          <w:lang w:val="es-ES_tradnl"/>
        </w:rPr>
      </w:pPr>
      <w:r w:rsidRPr="000F550F">
        <w:rPr>
          <w:lang w:val="es-ES_tradnl"/>
        </w:rPr>
        <w:t>El Capítulo</w:t>
      </w:r>
      <w:r w:rsidR="00840C7B">
        <w:rPr>
          <w:lang w:val="es-ES_tradnl"/>
        </w:rPr>
        <w:t> </w:t>
      </w:r>
      <w:r w:rsidRPr="000F550F">
        <w:rPr>
          <w:lang w:val="es-ES_tradnl"/>
        </w:rPr>
        <w:t>2 del Informe UIT-R SM.</w:t>
      </w:r>
      <w:r w:rsidR="008779BB">
        <w:rPr>
          <w:lang w:val="es-ES_tradnl"/>
        </w:rPr>
        <w:t> </w:t>
      </w:r>
      <w:r w:rsidRPr="000F550F">
        <w:rPr>
          <w:lang w:val="es-ES_tradnl"/>
        </w:rPr>
        <w:t>2158 observa que los efectos similares a una antena del cableado de una línea eléctrica radiante y los efectos de apantallamiento de los edificios son complicados y difieren de una casa a otra y de un país a otro según el tipo de construcciones locales y las prácticas de cableado de las redes eléctricas. Si para controlar la posible interferencia de las instalaciones PLT se desarrollan metodologías de modelos basadas en consideraciones teóricas o estadísticas, la validación de sus predicciones y el alcance deben determinarse mediante experimentos y mediciones en situaciones reales. Este punto presenta los resultados de los experimentos en condiciones reales llevados a cabo en Japón.</w:t>
      </w:r>
    </w:p>
    <w:p w:rsidR="00B17B1F" w:rsidRPr="000F550F" w:rsidRDefault="00B17B1F" w:rsidP="00B17B1F">
      <w:pPr>
        <w:pStyle w:val="Heading2"/>
        <w:rPr>
          <w:lang w:val="es-ES_tradnl"/>
        </w:rPr>
      </w:pPr>
      <w:r w:rsidRPr="000F550F">
        <w:rPr>
          <w:lang w:val="es-ES_tradnl"/>
        </w:rPr>
        <w:lastRenderedPageBreak/>
        <w:t>4.1</w:t>
      </w:r>
      <w:r w:rsidRPr="000F550F">
        <w:rPr>
          <w:lang w:val="es-ES_tradnl"/>
        </w:rPr>
        <w:tab/>
        <w:t>Medición de la perturbación en RF causada por un sistema PLT</w:t>
      </w:r>
      <w:r w:rsidRPr="000F550F">
        <w:rPr>
          <w:rStyle w:val="FootnoteReference"/>
          <w:lang w:val="es-ES_tradnl"/>
        </w:rPr>
        <w:footnoteReference w:id="3"/>
      </w:r>
    </w:p>
    <w:p w:rsidR="00B17B1F" w:rsidRPr="000F550F" w:rsidRDefault="00B17B1F" w:rsidP="000B6DFE">
      <w:pPr>
        <w:keepNext/>
        <w:keepLines/>
        <w:rPr>
          <w:lang w:val="es-ES_tradnl"/>
        </w:rPr>
      </w:pPr>
      <w:r w:rsidRPr="000F550F">
        <w:rPr>
          <w:lang w:val="es-ES_tradnl"/>
        </w:rPr>
        <w:t>Un problema importante de los servicios de radiocomunicaciones es la intensidad de campo de la perturbación relativa al nivel de ruido ambiente, fuera de los edificios donde se han instalado los sistemas PLT. En estos experimentos la intensidad de campo se mide utilizando una antena de bucle pasiva situada a una distancia de 10 m del muro exterior de una casa donde se encuentra instalado un sistema PLT.</w:t>
      </w:r>
    </w:p>
    <w:p w:rsidR="00B17B1F" w:rsidRPr="000F550F" w:rsidRDefault="00B17B1F" w:rsidP="00B17B1F">
      <w:pPr>
        <w:rPr>
          <w:lang w:val="es-ES_tradnl"/>
        </w:rPr>
      </w:pPr>
      <w:r w:rsidRPr="000F550F">
        <w:rPr>
          <w:lang w:val="es-ES_tradnl"/>
        </w:rPr>
        <w:t>La intensidad de campo de la perturbación en RF («Envió») se mide cuando se está utilizando el sistema PLT. La intensidad de campo del ruido ambiente («Ambiente») se mide cuando no se está utilizando el sistema PLT. Los resultados aparecen en la Fig.</w:t>
      </w:r>
      <w:r w:rsidR="00D91464">
        <w:rPr>
          <w:lang w:val="es-ES_tradnl"/>
        </w:rPr>
        <w:t> </w:t>
      </w:r>
      <w:r w:rsidRPr="000F550F">
        <w:rPr>
          <w:lang w:val="es-ES_tradnl"/>
        </w:rPr>
        <w:t>11. La intensidad de campo de la perturbación causada por el sistema PLT es muy superior al nivel del ruido ambiente a lo largo de la mayor parte del espectro de ondas decamétricas y llega hasta 55 dB</w:t>
      </w:r>
      <w:r w:rsidRPr="000F550F">
        <w:rPr>
          <w:rFonts w:ascii="Symbol" w:hAnsi="Symbol"/>
          <w:lang w:val="es-ES_tradnl" w:eastAsia="ja-JP"/>
        </w:rPr>
        <w:t></w:t>
      </w:r>
      <w:r w:rsidRPr="000F550F">
        <w:rPr>
          <w:lang w:val="es-ES_tradnl"/>
        </w:rPr>
        <w:t>V/m (BW = 10 kHz). Este valor es 30</w:t>
      </w:r>
      <w:r w:rsidR="00840C7B">
        <w:rPr>
          <w:lang w:val="es-ES_tradnl"/>
        </w:rPr>
        <w:t> </w:t>
      </w:r>
      <w:r w:rsidRPr="000F550F">
        <w:rPr>
          <w:lang w:val="es-ES_tradnl"/>
        </w:rPr>
        <w:t>dB superior al nivel de ruido ambiente. A título de comparación puede decirse que los límites de intensidad de campo fijados por las regulaciones nacionales aplicables en el emplazamiento de medición son 28 dB</w:t>
      </w:r>
      <w:r w:rsidRPr="000F550F">
        <w:rPr>
          <w:rFonts w:ascii="Symbol" w:hAnsi="Symbol"/>
          <w:lang w:val="es-ES_tradnl" w:eastAsia="ja-JP"/>
        </w:rPr>
        <w:t></w:t>
      </w:r>
      <w:r w:rsidRPr="000F550F">
        <w:rPr>
          <w:lang w:val="es-ES_tradnl"/>
        </w:rPr>
        <w:t xml:space="preserve">V/m </w:t>
      </w:r>
      <w:r w:rsidRPr="000F550F">
        <w:rPr>
          <w:lang w:val="es-ES_tradnl" w:eastAsia="ja-JP"/>
        </w:rPr>
        <w:t>(</w:t>
      </w:r>
      <w:r w:rsidRPr="000F550F">
        <w:rPr>
          <w:lang w:val="es-ES_tradnl"/>
        </w:rPr>
        <w:t>por debajo de 15 MHz</w:t>
      </w:r>
      <w:r w:rsidRPr="000F550F">
        <w:rPr>
          <w:lang w:val="es-ES_tradnl" w:eastAsia="ja-JP"/>
        </w:rPr>
        <w:t>)</w:t>
      </w:r>
      <w:r w:rsidRPr="000F550F">
        <w:rPr>
          <w:lang w:val="es-ES_tradnl"/>
        </w:rPr>
        <w:t xml:space="preserve"> and 18 dB</w:t>
      </w:r>
      <w:r w:rsidRPr="000F550F">
        <w:rPr>
          <w:rFonts w:ascii="Symbol" w:hAnsi="Symbol"/>
          <w:lang w:val="es-ES_tradnl" w:eastAsia="ja-JP"/>
        </w:rPr>
        <w:t></w:t>
      </w:r>
      <w:r w:rsidRPr="000F550F">
        <w:rPr>
          <w:lang w:val="es-ES_tradnl"/>
        </w:rPr>
        <w:t xml:space="preserve">V/m </w:t>
      </w:r>
      <w:r w:rsidRPr="000F550F">
        <w:rPr>
          <w:lang w:val="es-ES_tradnl" w:eastAsia="ja-JP"/>
        </w:rPr>
        <w:t>(</w:t>
      </w:r>
      <w:r w:rsidRPr="000F550F">
        <w:rPr>
          <w:lang w:val="es-ES_tradnl"/>
        </w:rPr>
        <w:t>por encima de</w:t>
      </w:r>
      <w:r w:rsidRPr="000F550F">
        <w:rPr>
          <w:lang w:val="es-ES_tradnl" w:eastAsia="ja-JP"/>
        </w:rPr>
        <w:t xml:space="preserve"> 15</w:t>
      </w:r>
      <w:r w:rsidRPr="000F550F">
        <w:rPr>
          <w:lang w:val="es-ES_tradnl"/>
        </w:rPr>
        <w:t> </w:t>
      </w:r>
      <w:r w:rsidRPr="000F550F">
        <w:rPr>
          <w:lang w:val="es-ES_tradnl" w:eastAsia="ja-JP"/>
        </w:rPr>
        <w:t>MHz)</w:t>
      </w:r>
      <w:r w:rsidRPr="000F550F">
        <w:rPr>
          <w:lang w:val="es-ES_tradnl"/>
        </w:rPr>
        <w:t>. Las intensidades de campo medidas fueron superiores a los límites fijados. Además, por debajo de 15</w:t>
      </w:r>
      <w:r w:rsidR="000E20CA">
        <w:rPr>
          <w:lang w:val="es-ES_tradnl"/>
        </w:rPr>
        <w:t> </w:t>
      </w:r>
      <w:r w:rsidRPr="000F550F">
        <w:rPr>
          <w:lang w:val="es-ES_tradnl"/>
        </w:rPr>
        <w:t>MHz con la instalación PLT funcionando, la intensidad de campo medida es unos</w:t>
      </w:r>
      <w:r w:rsidR="00840C7B">
        <w:rPr>
          <w:lang w:val="es-ES_tradnl"/>
        </w:rPr>
        <w:t xml:space="preserve"> </w:t>
      </w:r>
      <w:r w:rsidRPr="000F550F">
        <w:rPr>
          <w:lang w:val="es-ES_tradnl"/>
        </w:rPr>
        <w:t>10 dB superior al nivel de ruido ambiente real medido.</w:t>
      </w:r>
    </w:p>
    <w:p w:rsidR="00A86F9A" w:rsidRPr="000F550F" w:rsidRDefault="00A86F9A" w:rsidP="00A86F9A">
      <w:pPr>
        <w:pStyle w:val="FigureNo"/>
        <w:rPr>
          <w:lang w:val="es-ES_tradnl" w:eastAsia="ko-KR"/>
        </w:rPr>
      </w:pPr>
      <w:r w:rsidRPr="000F550F">
        <w:rPr>
          <w:lang w:val="es-ES_tradnl" w:eastAsia="ko-KR"/>
        </w:rPr>
        <w:t>FIGURA 1</w:t>
      </w:r>
      <w:r>
        <w:rPr>
          <w:lang w:val="es-ES_tradnl" w:eastAsia="ko-KR"/>
        </w:rPr>
        <w:t>1</w:t>
      </w:r>
    </w:p>
    <w:p w:rsidR="00A86F9A" w:rsidRDefault="00A86F9A" w:rsidP="00A86F9A">
      <w:pPr>
        <w:pStyle w:val="Figuretitle"/>
        <w:rPr>
          <w:lang w:val="es-ES_tradnl" w:eastAsia="ko-KR"/>
        </w:rPr>
      </w:pPr>
      <w:r w:rsidRPr="000F550F">
        <w:rPr>
          <w:lang w:val="es-ES_tradnl" w:eastAsia="ja-JP"/>
        </w:rPr>
        <w:t>Perturbación en RF causada por un sistema PLT</w:t>
      </w:r>
    </w:p>
    <w:p w:rsidR="00784ADE" w:rsidRDefault="00830964" w:rsidP="00784ADE">
      <w:pPr>
        <w:pStyle w:val="Figure"/>
        <w:rPr>
          <w:noProof/>
          <w:lang w:val="en-US" w:eastAsia="zh-CN"/>
        </w:rPr>
      </w:pPr>
      <w:r>
        <w:rPr>
          <w:noProof/>
          <w:lang w:val="en-US" w:eastAsia="zh-CN"/>
        </w:rPr>
        <w:object w:dxaOrig="4051" w:dyaOrig="3543">
          <v:shape id="_x0000_i1036" type="#_x0000_t75" style="width:341.25pt;height:298.9pt" o:ole="">
            <v:imagedata r:id="rId36" o:title=""/>
          </v:shape>
          <o:OLEObject Type="Embed" ProgID="CorelDRAW.Graphic.14" ShapeID="_x0000_i1036" DrawAspect="Content" ObjectID="_1469000275" r:id="rId37"/>
        </w:object>
      </w:r>
    </w:p>
    <w:p w:rsidR="00B17B1F" w:rsidRPr="000F550F" w:rsidRDefault="00B17B1F" w:rsidP="00B17B1F">
      <w:pPr>
        <w:pStyle w:val="Heading2"/>
        <w:rPr>
          <w:lang w:val="es-ES_tradnl"/>
        </w:rPr>
      </w:pPr>
      <w:r w:rsidRPr="000F550F">
        <w:rPr>
          <w:lang w:val="es-ES_tradnl"/>
        </w:rPr>
        <w:lastRenderedPageBreak/>
        <w:t>4.2</w:t>
      </w:r>
      <w:r w:rsidRPr="000F550F">
        <w:rPr>
          <w:lang w:val="es-ES_tradnl"/>
        </w:rPr>
        <w:tab/>
        <w:t>Corrientes de RF medidas en el enchufe de red</w:t>
      </w:r>
      <w:r w:rsidR="000B6DFE" w:rsidRPr="000F550F">
        <w:rPr>
          <w:rFonts w:ascii="Times New Roman Bold" w:eastAsia="MS Mincho" w:hAnsi="Times New Roman Bold" w:cs="Times New Roman Bold"/>
          <w:vertAlign w:val="superscript"/>
          <w:lang w:val="es-ES_tradnl"/>
        </w:rPr>
        <w:t>3</w:t>
      </w:r>
    </w:p>
    <w:p w:rsidR="00B17B1F" w:rsidRPr="000F550F" w:rsidRDefault="00B17B1F" w:rsidP="00B17B1F">
      <w:pPr>
        <w:rPr>
          <w:lang w:val="es-ES_tradnl"/>
        </w:rPr>
      </w:pPr>
      <w:r w:rsidRPr="000F550F">
        <w:rPr>
          <w:lang w:val="es-ES_tradnl"/>
        </w:rPr>
        <w:t>Para localizar el origen de la perturbación de RF en esta instalación PLT, se midieron las corrientes de RF en modo común (CM) y en modo diferencial (DM)</w:t>
      </w:r>
      <w:r w:rsidRPr="000F550F">
        <w:rPr>
          <w:rStyle w:val="FootnoteReference"/>
          <w:lang w:val="es-ES_tradnl"/>
        </w:rPr>
        <w:footnoteReference w:id="4"/>
      </w:r>
      <w:r w:rsidRPr="000F550F">
        <w:rPr>
          <w:lang w:val="es-ES_tradnl"/>
        </w:rPr>
        <w:t xml:space="preserve"> en el enchufe de red al que se aplica la señal PLT. Los resultados se ilustran en la Fig. 12.</w:t>
      </w:r>
    </w:p>
    <w:p w:rsidR="00B17B1F" w:rsidRPr="000F550F" w:rsidRDefault="00B17B1F" w:rsidP="00B17B1F">
      <w:pPr>
        <w:rPr>
          <w:lang w:val="es-ES_tradnl"/>
        </w:rPr>
      </w:pPr>
      <w:r w:rsidRPr="000F550F">
        <w:rPr>
          <w:lang w:val="es-ES_tradnl"/>
        </w:rPr>
        <w:t>En la Fig. 12 la corriente en CM (grafica inferior) satisface los límites de corriente permitidos (20 dB</w:t>
      </w:r>
      <w:r w:rsidRPr="000F550F">
        <w:rPr>
          <w:rFonts w:ascii="Symbol" w:hAnsi="Symbol"/>
          <w:lang w:val="es-ES_tradnl" w:eastAsia="ja-JP"/>
        </w:rPr>
        <w:t></w:t>
      </w:r>
      <w:r w:rsidRPr="000F550F">
        <w:rPr>
          <w:lang w:val="es-ES_tradnl"/>
        </w:rPr>
        <w:t xml:space="preserve">A por debajo de 15 MHz </w:t>
      </w:r>
      <w:r w:rsidRPr="000F550F">
        <w:rPr>
          <w:lang w:val="es-ES_tradnl" w:eastAsia="ja-JP"/>
        </w:rPr>
        <w:t xml:space="preserve">y </w:t>
      </w:r>
      <w:r w:rsidRPr="000F550F">
        <w:rPr>
          <w:lang w:val="es-ES_tradnl"/>
        </w:rPr>
        <w:t>10 dB</w:t>
      </w:r>
      <w:r w:rsidRPr="000F550F">
        <w:rPr>
          <w:rFonts w:ascii="Symbol" w:hAnsi="Symbol"/>
          <w:lang w:val="es-ES_tradnl" w:eastAsia="ja-JP"/>
        </w:rPr>
        <w:t></w:t>
      </w:r>
      <w:r w:rsidRPr="000F550F">
        <w:rPr>
          <w:lang w:val="es-ES_tradnl"/>
        </w:rPr>
        <w:t>A por encima de 15 MHz) a lo largo de la mayor parte del espectro de ondas decamétricas. La corriente en DM es de 60 dB</w:t>
      </w:r>
      <w:r w:rsidRPr="000F550F">
        <w:rPr>
          <w:rFonts w:ascii="Symbol" w:hAnsi="Symbol"/>
          <w:lang w:val="es-ES_tradnl" w:eastAsia="ja-JP"/>
        </w:rPr>
        <w:t></w:t>
      </w:r>
      <w:r w:rsidRPr="000F550F">
        <w:rPr>
          <w:lang w:val="es-ES_tradnl"/>
        </w:rPr>
        <w:t>A por debajo de 15 MHz y de 50 dB</w:t>
      </w:r>
      <w:r w:rsidRPr="000F550F">
        <w:rPr>
          <w:rFonts w:ascii="Symbol" w:hAnsi="Symbol"/>
          <w:lang w:val="es-ES_tradnl" w:eastAsia="ja-JP"/>
        </w:rPr>
        <w:t></w:t>
      </w:r>
      <w:r w:rsidRPr="000F550F">
        <w:rPr>
          <w:lang w:val="es-ES_tradnl"/>
        </w:rPr>
        <w:t>A por encima de 15 MHz. La corriente en DM es 40 dB superior a la corriente en CM, aunque se pretendía que fuese sólo 16 dB mayor que la corriente en CM. Hay una discrepancia de 24 dB entre la corriente en DM medida y la corriente en DM pretendida, lo que puede explicar la diferencia de 27</w:t>
      </w:r>
      <w:r w:rsidR="000B6DFE">
        <w:rPr>
          <w:lang w:val="es-ES_tradnl"/>
        </w:rPr>
        <w:t> </w:t>
      </w:r>
      <w:r w:rsidRPr="000F550F">
        <w:rPr>
          <w:lang w:val="es-ES_tradnl"/>
        </w:rPr>
        <w:t xml:space="preserve">dB entre la intensidad de campo medida </w:t>
      </w:r>
      <w:r w:rsidRPr="000F550F">
        <w:rPr>
          <w:lang w:val="es-ES_tradnl" w:eastAsia="ja-JP"/>
        </w:rPr>
        <w:t>(</w:t>
      </w:r>
      <w:r w:rsidRPr="000F550F">
        <w:rPr>
          <w:lang w:val="es-ES_tradnl"/>
        </w:rPr>
        <w:t>55 dB</w:t>
      </w:r>
      <w:r w:rsidRPr="000F550F">
        <w:rPr>
          <w:rFonts w:ascii="Symbol" w:hAnsi="Symbol"/>
          <w:lang w:val="es-ES_tradnl" w:eastAsia="ja-JP"/>
        </w:rPr>
        <w:t></w:t>
      </w:r>
      <w:r w:rsidRPr="000F550F">
        <w:rPr>
          <w:lang w:val="es-ES_tradnl"/>
        </w:rPr>
        <w:t>V/m</w:t>
      </w:r>
      <w:r w:rsidRPr="000F550F">
        <w:rPr>
          <w:lang w:val="es-ES_tradnl" w:eastAsia="ja-JP"/>
        </w:rPr>
        <w:t>)</w:t>
      </w:r>
      <w:r w:rsidRPr="000F550F">
        <w:rPr>
          <w:lang w:val="es-ES_tradnl"/>
        </w:rPr>
        <w:t xml:space="preserve"> y el nivel deseado </w:t>
      </w:r>
      <w:r w:rsidRPr="000F550F">
        <w:rPr>
          <w:lang w:val="es-ES_tradnl" w:eastAsia="ja-JP"/>
        </w:rPr>
        <w:t>(</w:t>
      </w:r>
      <w:r w:rsidRPr="000F550F">
        <w:rPr>
          <w:lang w:val="es-ES_tradnl"/>
        </w:rPr>
        <w:t>28 dB</w:t>
      </w:r>
      <w:r w:rsidRPr="000F550F">
        <w:rPr>
          <w:rFonts w:ascii="Symbol" w:hAnsi="Symbol"/>
          <w:lang w:val="es-ES_tradnl" w:eastAsia="ja-JP"/>
        </w:rPr>
        <w:t></w:t>
      </w:r>
      <w:r w:rsidRPr="000F550F">
        <w:rPr>
          <w:lang w:val="es-ES_tradnl"/>
        </w:rPr>
        <w:t>V/m</w:t>
      </w:r>
      <w:r w:rsidRPr="000F550F">
        <w:rPr>
          <w:lang w:val="es-ES_tradnl" w:eastAsia="ja-JP"/>
        </w:rPr>
        <w:t>)</w:t>
      </w:r>
      <w:r w:rsidRPr="000F550F">
        <w:rPr>
          <w:lang w:val="es-ES_tradnl"/>
        </w:rPr>
        <w:t>.</w:t>
      </w:r>
    </w:p>
    <w:p w:rsidR="00B17B1F" w:rsidRPr="000F550F" w:rsidRDefault="00B17B1F" w:rsidP="00B17B1F">
      <w:pPr>
        <w:pStyle w:val="FigureNo"/>
        <w:rPr>
          <w:rFonts w:eastAsia="MS Mincho"/>
          <w:lang w:val="es-ES_tradnl" w:eastAsia="ja-JP"/>
        </w:rPr>
      </w:pPr>
      <w:r w:rsidRPr="000F550F">
        <w:rPr>
          <w:lang w:val="es-ES_tradnl"/>
        </w:rPr>
        <w:t>F</w:t>
      </w:r>
      <w:r w:rsidRPr="000F550F">
        <w:rPr>
          <w:lang w:val="es-ES_tradnl" w:eastAsia="ja-JP"/>
        </w:rPr>
        <w:t>IGURA</w:t>
      </w:r>
      <w:r w:rsidRPr="000F550F">
        <w:rPr>
          <w:lang w:val="es-ES_tradnl"/>
        </w:rPr>
        <w:t xml:space="preserve"> 12</w:t>
      </w:r>
    </w:p>
    <w:p w:rsidR="00B17B1F" w:rsidRDefault="00B17B1F" w:rsidP="00B17B1F">
      <w:pPr>
        <w:pStyle w:val="Figuretitle"/>
        <w:rPr>
          <w:lang w:val="es-ES_tradnl" w:eastAsia="ja-JP"/>
        </w:rPr>
      </w:pPr>
      <w:r w:rsidRPr="000F550F">
        <w:rPr>
          <w:lang w:val="es-ES_tradnl" w:eastAsia="ja-JP"/>
        </w:rPr>
        <w:t>Corrientes en modo diferencial y en modo común en el enchufe</w:t>
      </w:r>
      <w:r w:rsidR="00A86F9A">
        <w:rPr>
          <w:lang w:val="es-ES_tradnl" w:eastAsia="ja-JP"/>
        </w:rPr>
        <w:t xml:space="preserve"> </w:t>
      </w:r>
      <w:r w:rsidRPr="000F550F">
        <w:rPr>
          <w:lang w:val="es-ES_tradnl" w:eastAsia="ja-JP"/>
        </w:rPr>
        <w:t>de red</w:t>
      </w:r>
      <w:r w:rsidR="00A86F9A">
        <w:rPr>
          <w:lang w:val="es-ES_tradnl" w:eastAsia="ja-JP"/>
        </w:rPr>
        <w:br/>
      </w:r>
      <w:r w:rsidR="00784ADE">
        <w:rPr>
          <w:lang w:val="es-ES_tradnl" w:eastAsia="ja-JP"/>
        </w:rPr>
        <w:t>al que se conecta el módem PLT</w:t>
      </w:r>
    </w:p>
    <w:p w:rsidR="00784ADE" w:rsidRDefault="00D91464" w:rsidP="00784ADE">
      <w:pPr>
        <w:pStyle w:val="Figure"/>
        <w:rPr>
          <w:noProof/>
          <w:lang w:val="en-US" w:eastAsia="zh-CN"/>
        </w:rPr>
      </w:pPr>
      <w:r>
        <w:rPr>
          <w:noProof/>
          <w:lang w:val="en-US" w:eastAsia="zh-CN"/>
        </w:rPr>
        <w:object w:dxaOrig="4058" w:dyaOrig="3506">
          <v:shape id="_x0000_i1037" type="#_x0000_t75" style="width:342.4pt;height:296.65pt" o:ole="">
            <v:imagedata r:id="rId38" o:title=""/>
          </v:shape>
          <o:OLEObject Type="Embed" ProgID="CorelDRAW.Graphic.14" ShapeID="_x0000_i1037" DrawAspect="Content" ObjectID="_1469000276" r:id="rId39"/>
        </w:object>
      </w:r>
    </w:p>
    <w:p w:rsidR="00B17B1F" w:rsidRPr="000F550F" w:rsidRDefault="00B17B1F" w:rsidP="00B17B1F">
      <w:pPr>
        <w:pStyle w:val="Heading2"/>
        <w:rPr>
          <w:lang w:val="es-ES_tradnl"/>
        </w:rPr>
      </w:pPr>
      <w:r w:rsidRPr="000F550F">
        <w:rPr>
          <w:lang w:val="es-ES_tradnl"/>
        </w:rPr>
        <w:lastRenderedPageBreak/>
        <w:t>4.3</w:t>
      </w:r>
      <w:r w:rsidRPr="000F550F">
        <w:rPr>
          <w:lang w:val="es-ES_tradnl"/>
        </w:rPr>
        <w:tab/>
        <w:t>Corriente en CM medidas a lo largo de los cables eléctricos</w:t>
      </w:r>
      <w:r w:rsidRPr="000F550F">
        <w:rPr>
          <w:rFonts w:ascii="Times New Roman Bold" w:eastAsia="MS Mincho" w:hAnsi="Times New Roman Bold" w:cs="Times New Roman Bold"/>
          <w:vertAlign w:val="superscript"/>
          <w:lang w:val="es-ES_tradnl"/>
        </w:rPr>
        <w:t>3</w:t>
      </w:r>
    </w:p>
    <w:p w:rsidR="00B17B1F" w:rsidRPr="000F550F" w:rsidRDefault="00B17B1F" w:rsidP="000B6DFE">
      <w:pPr>
        <w:keepNext/>
        <w:keepLines/>
        <w:rPr>
          <w:lang w:val="es-ES_tradnl"/>
        </w:rPr>
      </w:pPr>
      <w:r w:rsidRPr="000F550F">
        <w:rPr>
          <w:lang w:val="es-ES_tradnl"/>
        </w:rPr>
        <w:t>Las corrientes en CM a lo largo de la línea eléctrica pueden ser muy distintas de las medidas en el enchufe de corriente al que se conecta la señal PLT. Sin embargo, es difícil medir la corriente en CM a lo largo del cableado eléctrico ya instalado. Conectando un cable de alimentación de corta longitud (3</w:t>
      </w:r>
      <w:r w:rsidR="000B6DFE">
        <w:rPr>
          <w:lang w:val="es-ES_tradnl"/>
        </w:rPr>
        <w:t> </w:t>
      </w:r>
      <w:r w:rsidRPr="000F550F">
        <w:rPr>
          <w:lang w:val="es-ES_tradnl"/>
        </w:rPr>
        <w:t>m) a una toma de red si utilizar, es posible medir la corriente en CM que circula cerca de esta toma sin utilizar. Los resultados de las mediciones de corriente en CM en diversas tomas se muestran en la Fig.</w:t>
      </w:r>
      <w:r w:rsidR="000B6DFE">
        <w:rPr>
          <w:lang w:val="es-ES_tradnl"/>
        </w:rPr>
        <w:t> </w:t>
      </w:r>
      <w:r w:rsidRPr="000F550F">
        <w:rPr>
          <w:lang w:val="es-ES_tradnl"/>
        </w:rPr>
        <w:t>13. La corriente en CM cerca de las tomas sin utilizar puede ser 20</w:t>
      </w:r>
      <w:r w:rsidR="000B6DFE">
        <w:rPr>
          <w:lang w:val="es-ES_tradnl"/>
        </w:rPr>
        <w:t> </w:t>
      </w:r>
      <w:r w:rsidRPr="000F550F">
        <w:rPr>
          <w:lang w:val="es-ES_tradnl"/>
        </w:rPr>
        <w:t>dB superior a la medida en el enchufe de corriente donde se inyecta la señal PLT y se observa que rebasa el límite de corriente en CM en más de 10</w:t>
      </w:r>
      <w:r w:rsidR="000B6DFE">
        <w:rPr>
          <w:lang w:val="es-ES_tradnl"/>
        </w:rPr>
        <w:t> </w:t>
      </w:r>
      <w:r w:rsidRPr="000F550F">
        <w:rPr>
          <w:lang w:val="es-ES_tradnl"/>
        </w:rPr>
        <w:t>dB. Una posible explicación de por qué las corrientes en CM superan el límite establecido es que la corriente en DM es muy superior a la esperada.</w:t>
      </w:r>
    </w:p>
    <w:p w:rsidR="00B17B1F" w:rsidRPr="000F550F" w:rsidRDefault="00B17B1F" w:rsidP="00B17B1F">
      <w:pPr>
        <w:pStyle w:val="FigureNo"/>
        <w:rPr>
          <w:rFonts w:eastAsia="MS Mincho"/>
          <w:lang w:val="es-ES_tradnl" w:eastAsia="ja-JP"/>
        </w:rPr>
      </w:pPr>
      <w:r w:rsidRPr="000F550F">
        <w:rPr>
          <w:lang w:val="es-ES_tradnl"/>
        </w:rPr>
        <w:t>F</w:t>
      </w:r>
      <w:r w:rsidRPr="000F550F">
        <w:rPr>
          <w:lang w:val="es-ES_tradnl" w:eastAsia="ja-JP"/>
        </w:rPr>
        <w:t>IGURA</w:t>
      </w:r>
      <w:r w:rsidRPr="000F550F">
        <w:rPr>
          <w:lang w:val="es-ES_tradnl"/>
        </w:rPr>
        <w:t xml:space="preserve"> 13</w:t>
      </w:r>
    </w:p>
    <w:p w:rsidR="00B17B1F" w:rsidRDefault="00B17B1F" w:rsidP="00B17B1F">
      <w:pPr>
        <w:pStyle w:val="Figuretitle"/>
        <w:rPr>
          <w:lang w:val="es-ES_tradnl" w:eastAsia="ja-JP"/>
        </w:rPr>
      </w:pPr>
      <w:r w:rsidRPr="000F550F">
        <w:rPr>
          <w:lang w:val="es-ES_tradnl" w:eastAsia="ja-JP"/>
        </w:rPr>
        <w:t xml:space="preserve">Corrientes en modo común en el enchufe de red en que </w:t>
      </w:r>
      <w:r w:rsidRPr="000F550F">
        <w:rPr>
          <w:u w:val="single"/>
          <w:lang w:val="es-ES_tradnl" w:eastAsia="ja-JP"/>
        </w:rPr>
        <w:t>NO</w:t>
      </w:r>
      <w:r w:rsidR="00C8591C" w:rsidRPr="00C8591C">
        <w:rPr>
          <w:lang w:val="es-ES_tradnl" w:eastAsia="ja-JP"/>
        </w:rPr>
        <w:t xml:space="preserve"> </w:t>
      </w:r>
      <w:r w:rsidRPr="000F550F">
        <w:rPr>
          <w:lang w:val="es-ES_tradnl" w:eastAsia="ja-JP"/>
        </w:rPr>
        <w:t xml:space="preserve">está conectado el módem PLT </w:t>
      </w:r>
      <w:r w:rsidRPr="000F550F">
        <w:rPr>
          <w:lang w:val="es-ES_tradnl" w:eastAsia="ja-JP"/>
        </w:rPr>
        <w:br/>
        <w:t>(medidas por el método de cable de extensión corto)</w:t>
      </w:r>
    </w:p>
    <w:p w:rsidR="005365F5" w:rsidRDefault="000B6DFE" w:rsidP="005365F5">
      <w:pPr>
        <w:pStyle w:val="Figure"/>
        <w:rPr>
          <w:noProof/>
          <w:lang w:val="en-US" w:eastAsia="zh-CN"/>
        </w:rPr>
      </w:pPr>
      <w:r>
        <w:rPr>
          <w:noProof/>
          <w:lang w:val="en-US" w:eastAsia="zh-CN"/>
        </w:rPr>
        <w:object w:dxaOrig="4055" w:dyaOrig="3272">
          <v:shape id="_x0000_i1038" type="#_x0000_t75" style="width:344.25pt;height:277.5pt" o:ole="">
            <v:imagedata r:id="rId40" o:title=""/>
          </v:shape>
          <o:OLEObject Type="Embed" ProgID="CorelDRAW.Graphic.14" ShapeID="_x0000_i1038" DrawAspect="Content" ObjectID="_1469000277" r:id="rId41"/>
        </w:object>
      </w:r>
    </w:p>
    <w:p w:rsidR="000B6DFE" w:rsidRPr="000B6DFE" w:rsidRDefault="000B6DFE" w:rsidP="000B6DFE">
      <w:pPr>
        <w:rPr>
          <w:lang w:val="en-US" w:eastAsia="zh-CN"/>
        </w:rPr>
      </w:pPr>
    </w:p>
    <w:p w:rsidR="00B17B1F" w:rsidRPr="000F550F" w:rsidRDefault="00B17B1F" w:rsidP="00B17B1F">
      <w:pPr>
        <w:pStyle w:val="Heading2"/>
        <w:rPr>
          <w:lang w:val="es-ES_tradnl"/>
        </w:rPr>
      </w:pPr>
      <w:r w:rsidRPr="000F550F">
        <w:rPr>
          <w:lang w:val="es-ES_tradnl"/>
        </w:rPr>
        <w:t>4.4</w:t>
      </w:r>
      <w:r w:rsidRPr="000F550F">
        <w:rPr>
          <w:lang w:val="es-ES_tradnl"/>
        </w:rPr>
        <w:tab/>
        <w:t>Atenuación de conversión longitudinal medida en un enchufe</w:t>
      </w:r>
    </w:p>
    <w:p w:rsidR="00B17B1F" w:rsidRPr="000F550F" w:rsidRDefault="00B17B1F" w:rsidP="00B17B1F">
      <w:pPr>
        <w:rPr>
          <w:lang w:val="es-ES_tradnl"/>
        </w:rPr>
      </w:pPr>
      <w:r w:rsidRPr="000F550F">
        <w:rPr>
          <w:lang w:val="es-ES_tradnl"/>
        </w:rPr>
        <w:t>E</w:t>
      </w:r>
      <w:r w:rsidR="000E20CA">
        <w:rPr>
          <w:lang w:val="es-ES_tradnl"/>
        </w:rPr>
        <w:t>l</w:t>
      </w:r>
      <w:r w:rsidRPr="000F550F">
        <w:rPr>
          <w:lang w:val="es-ES_tradnl"/>
        </w:rPr>
        <w:t xml:space="preserve"> límite para el nivel de corriente en CM se fijó suponiendo una atenuación de conversión longitudinal (LCL) de 16</w:t>
      </w:r>
      <w:r w:rsidR="000B6DFE">
        <w:rPr>
          <w:lang w:val="es-ES_tradnl"/>
        </w:rPr>
        <w:t> </w:t>
      </w:r>
      <w:r w:rsidRPr="000F550F">
        <w:rPr>
          <w:lang w:val="es-ES_tradnl"/>
        </w:rPr>
        <w:t>dB o superior. Si la LCL de la línea eléctrica de la casa es inferior a 16</w:t>
      </w:r>
      <w:r w:rsidR="000B6DFE">
        <w:rPr>
          <w:lang w:val="es-ES_tradnl"/>
        </w:rPr>
        <w:t> </w:t>
      </w:r>
      <w:r w:rsidRPr="000F550F">
        <w:rPr>
          <w:lang w:val="es-ES_tradnl"/>
        </w:rPr>
        <w:t>dB (es decir, peor comportamiento por una mayor conversión de corriente en DM en corrientes en CM), Por tanto, cabe esperar que la corriente en CM sea superior al límite previsto. Para examinar esta posibilidad se midió la LCL.</w:t>
      </w:r>
    </w:p>
    <w:p w:rsidR="00B17B1F" w:rsidRPr="000F550F" w:rsidRDefault="00B17B1F" w:rsidP="00B17B1F">
      <w:pPr>
        <w:rPr>
          <w:lang w:val="es-ES_tradnl"/>
        </w:rPr>
      </w:pPr>
      <w:r w:rsidRPr="000F550F">
        <w:rPr>
          <w:lang w:val="es-ES_tradnl"/>
        </w:rPr>
        <w:t>Los resultados aparecen en la Fig.</w:t>
      </w:r>
      <w:r w:rsidR="000B6DFE">
        <w:rPr>
          <w:lang w:val="es-ES_tradnl"/>
        </w:rPr>
        <w:t> </w:t>
      </w:r>
      <w:r w:rsidRPr="000F550F">
        <w:rPr>
          <w:lang w:val="es-ES_tradnl"/>
        </w:rPr>
        <w:t>14. La mínima LCL es de 24</w:t>
      </w:r>
      <w:r w:rsidR="000B6DFE">
        <w:rPr>
          <w:lang w:val="es-ES_tradnl"/>
        </w:rPr>
        <w:t> </w:t>
      </w:r>
      <w:r w:rsidRPr="000F550F">
        <w:rPr>
          <w:lang w:val="es-ES_tradnl"/>
        </w:rPr>
        <w:t>dB, valor superior (es decir, mejor comportamiento) a 16</w:t>
      </w:r>
      <w:r w:rsidR="000B6DFE">
        <w:rPr>
          <w:lang w:val="es-ES_tradnl"/>
        </w:rPr>
        <w:t> </w:t>
      </w:r>
      <w:r w:rsidRPr="000F550F">
        <w:rPr>
          <w:lang w:val="es-ES_tradnl"/>
        </w:rPr>
        <w:t>dB. No se encontró correlación negativa entre la LCL medida y la intensidad de campo medida de la perturbación PLT.</w:t>
      </w:r>
    </w:p>
    <w:p w:rsidR="00B17B1F" w:rsidRPr="000F550F" w:rsidRDefault="00B17B1F" w:rsidP="00B17B1F">
      <w:pPr>
        <w:pStyle w:val="FigureNo"/>
        <w:rPr>
          <w:rFonts w:eastAsia="MS Mincho"/>
          <w:lang w:val="es-ES_tradnl" w:eastAsia="ja-JP"/>
        </w:rPr>
      </w:pPr>
      <w:r w:rsidRPr="000F550F">
        <w:rPr>
          <w:lang w:val="es-ES_tradnl"/>
        </w:rPr>
        <w:lastRenderedPageBreak/>
        <w:t>F</w:t>
      </w:r>
      <w:r w:rsidRPr="000F550F">
        <w:rPr>
          <w:lang w:val="es-ES_tradnl" w:eastAsia="ja-JP"/>
        </w:rPr>
        <w:t>IGURA</w:t>
      </w:r>
      <w:r w:rsidRPr="000F550F">
        <w:rPr>
          <w:lang w:val="es-ES_tradnl"/>
        </w:rPr>
        <w:t xml:space="preserve"> 14</w:t>
      </w:r>
    </w:p>
    <w:p w:rsidR="00B17B1F" w:rsidRDefault="00B17B1F" w:rsidP="00B17B1F">
      <w:pPr>
        <w:pStyle w:val="Figuretitle"/>
        <w:rPr>
          <w:lang w:val="es-ES_tradnl" w:eastAsia="ja-JP"/>
        </w:rPr>
      </w:pPr>
      <w:r w:rsidRPr="000F550F">
        <w:rPr>
          <w:lang w:val="es-ES_tradnl" w:eastAsia="ja-JP"/>
        </w:rPr>
        <w:t>Impedancia en modo común medida en</w:t>
      </w:r>
      <w:r w:rsidR="00784ADE">
        <w:rPr>
          <w:lang w:val="es-ES_tradnl" w:eastAsia="ja-JP"/>
        </w:rPr>
        <w:t xml:space="preserve"> un enchufe de la red eléctrica</w:t>
      </w:r>
    </w:p>
    <w:p w:rsidR="00784ADE" w:rsidRDefault="00D91464" w:rsidP="00784ADE">
      <w:pPr>
        <w:pStyle w:val="Figure"/>
      </w:pPr>
      <w:r>
        <w:object w:dxaOrig="4997" w:dyaOrig="2529">
          <v:shape id="_x0000_i1039" type="#_x0000_t75" style="width:413.65pt;height:209.25pt" o:ole="">
            <v:imagedata r:id="rId42" o:title=""/>
          </v:shape>
          <o:OLEObject Type="Embed" ProgID="CorelDRAW.Graphic.14" ShapeID="_x0000_i1039" DrawAspect="Content" ObjectID="_1469000278" r:id="rId43"/>
        </w:object>
      </w:r>
    </w:p>
    <w:p w:rsidR="00F42589" w:rsidRPr="000B6DFE" w:rsidRDefault="00F42589" w:rsidP="00F42589">
      <w:pPr>
        <w:rPr>
          <w:lang w:val="en-US" w:eastAsia="zh-CN"/>
        </w:rPr>
      </w:pPr>
    </w:p>
    <w:p w:rsidR="00B17B1F" w:rsidRPr="000F550F" w:rsidRDefault="00B17B1F" w:rsidP="00B17B1F">
      <w:pPr>
        <w:pStyle w:val="Heading2"/>
        <w:rPr>
          <w:lang w:val="es-ES_tradnl"/>
        </w:rPr>
      </w:pPr>
      <w:r w:rsidRPr="000F550F">
        <w:rPr>
          <w:lang w:val="es-ES_tradnl"/>
        </w:rPr>
        <w:t>4.5</w:t>
      </w:r>
      <w:r w:rsidRPr="000F550F">
        <w:rPr>
          <w:lang w:val="es-ES_tradnl"/>
        </w:rPr>
        <w:tab/>
        <w:t>Ganancia de antena equivalente de una instalación PLT doméstica</w:t>
      </w:r>
      <w:r w:rsidRPr="000F550F">
        <w:rPr>
          <w:rStyle w:val="FootnoteReference"/>
          <w:lang w:val="es-ES_tradnl"/>
        </w:rPr>
        <w:footnoteReference w:id="5"/>
      </w:r>
    </w:p>
    <w:p w:rsidR="00B17B1F" w:rsidRPr="000F550F" w:rsidRDefault="00B17B1F" w:rsidP="00B17B1F">
      <w:pPr>
        <w:rPr>
          <w:lang w:val="es-ES_tradnl"/>
        </w:rPr>
      </w:pPr>
      <w:r w:rsidRPr="000F550F">
        <w:rPr>
          <w:lang w:val="es-ES_tradnl"/>
        </w:rPr>
        <w:t xml:space="preserve">Un efecto de apantallamiento más pequeño de lo esperado podría explicar por qué la perturbación de RF medida es mayor que el límite correspondiente. Además, la perturbación en RF producida por la línea eléctrica también depende de la estructura geométrica del cableado, para un mismo valor de corriente en CM a lo largo de la línea eléctrica. No es probable que esta información pueda extraerse de cantidades tales como la LCL medidas en los enchufes de corriente </w:t>
      </w:r>
    </w:p>
    <w:p w:rsidR="00B17B1F" w:rsidRPr="000F550F" w:rsidRDefault="00B17B1F" w:rsidP="00B17B1F">
      <w:pPr>
        <w:rPr>
          <w:lang w:val="es-ES_tradnl"/>
        </w:rPr>
      </w:pPr>
      <w:r w:rsidRPr="000F550F">
        <w:rPr>
          <w:lang w:val="es-ES_tradnl"/>
        </w:rPr>
        <w:t>La cantidad más directa y fiable que representa el factor de conversión global de la intensidad de señal PLT a la intensidad de campo de la perturbación en RF es la ganancia de antena de toda la instalación PLT, vista desde las corrientes en DM del enchufe donde se aplica la señal PLT en DM a la antena de recepción situada fuera del edificio. Este valor incluye tanto el efecto de antena del cable eléctrico como el efecto de apantallamiento del edificio. El modo diferencial y el modo común en el punto de conexión (enchufe) se excitan de manera selectiva utilizando un circuito de sonda LCL; a continuación con un analizador de red se mide la transmitancia entre el modo seleccionado del enchufe y la antena de referencia (bucle pasivo) a una distancia de 10</w:t>
      </w:r>
      <w:r w:rsidR="00EE7196">
        <w:rPr>
          <w:lang w:val="es-ES_tradnl"/>
        </w:rPr>
        <w:t> </w:t>
      </w:r>
      <w:r w:rsidRPr="000F550F">
        <w:rPr>
          <w:lang w:val="es-ES_tradnl"/>
        </w:rPr>
        <w:t>m desde el muro exterior de la casa.</w:t>
      </w:r>
    </w:p>
    <w:p w:rsidR="00B17B1F" w:rsidRPr="000F550F" w:rsidRDefault="00B17B1F" w:rsidP="00B17B1F">
      <w:pPr>
        <w:rPr>
          <w:lang w:val="es-ES_tradnl"/>
        </w:rPr>
      </w:pPr>
      <w:r w:rsidRPr="000F550F">
        <w:rPr>
          <w:lang w:val="es-ES_tradnl"/>
        </w:rPr>
        <w:t>Los resultados se representan en la Fig. 15. En la mayor parte del espectro de ondas decamétricas, la ganancia de antena del modo diferencial es superior a la del modo común. Además, la ganancia de antena en DM y la intensidad de campo de la perturbación presentan una fuerte correlación positiva. Ello explica las fuertes perturbaciones de RF en torno a 6</w:t>
      </w:r>
      <w:r w:rsidR="00D91464">
        <w:rPr>
          <w:lang w:val="es-ES_tradnl"/>
        </w:rPr>
        <w:t> </w:t>
      </w:r>
      <w:r w:rsidRPr="000F550F">
        <w:rPr>
          <w:lang w:val="es-ES_tradnl"/>
        </w:rPr>
        <w:t>MHz y 9</w:t>
      </w:r>
      <w:r w:rsidR="00D91464">
        <w:rPr>
          <w:lang w:val="es-ES_tradnl"/>
        </w:rPr>
        <w:t> </w:t>
      </w:r>
      <w:r w:rsidRPr="000F550F">
        <w:rPr>
          <w:lang w:val="es-ES_tradnl"/>
        </w:rPr>
        <w:t xml:space="preserve">MHz, donde la ganancia equivalente del cableado doméstico es de </w:t>
      </w:r>
      <w:r w:rsidR="00A60E32" w:rsidRPr="00A60E32">
        <w:rPr>
          <w:lang w:val="es-ES_tradnl"/>
        </w:rPr>
        <w:t>–</w:t>
      </w:r>
      <w:r w:rsidRPr="000F550F">
        <w:rPr>
          <w:lang w:val="es-ES_tradnl"/>
        </w:rPr>
        <w:t>15</w:t>
      </w:r>
      <w:r w:rsidR="00A60E32">
        <w:rPr>
          <w:lang w:val="es-ES_tradnl"/>
        </w:rPr>
        <w:t> </w:t>
      </w:r>
      <w:r w:rsidRPr="000F550F">
        <w:rPr>
          <w:lang w:val="es-ES_tradnl"/>
        </w:rPr>
        <w:t xml:space="preserve">dBi aproximadamente. En la parte superior del espectro de ondas decamétricas, el modo diferencial y el modo común tienen ganancias de antena comparables, con valores de </w:t>
      </w:r>
      <w:r w:rsidR="00D91464" w:rsidRPr="00D91464">
        <w:rPr>
          <w:lang w:val="es-ES_tradnl"/>
        </w:rPr>
        <w:t>–</w:t>
      </w:r>
      <w:r w:rsidRPr="000F550F">
        <w:rPr>
          <w:lang w:val="es-ES_tradnl"/>
        </w:rPr>
        <w:t xml:space="preserve">10 a </w:t>
      </w:r>
      <w:r w:rsidR="00D91464" w:rsidRPr="00D91464">
        <w:rPr>
          <w:lang w:val="es-ES_tradnl"/>
        </w:rPr>
        <w:t>–</w:t>
      </w:r>
      <w:r w:rsidRPr="000F550F">
        <w:rPr>
          <w:lang w:val="es-ES_tradnl"/>
        </w:rPr>
        <w:t>5 dBi.</w:t>
      </w:r>
    </w:p>
    <w:p w:rsidR="00B17B1F" w:rsidRPr="000F550F" w:rsidRDefault="00B17B1F" w:rsidP="00B17B1F">
      <w:pPr>
        <w:pStyle w:val="FigureNo"/>
        <w:rPr>
          <w:rFonts w:eastAsia="MS Mincho"/>
          <w:lang w:val="es-ES_tradnl" w:eastAsia="ja-JP"/>
        </w:rPr>
      </w:pPr>
      <w:r w:rsidRPr="000F550F">
        <w:rPr>
          <w:lang w:val="es-ES_tradnl"/>
        </w:rPr>
        <w:lastRenderedPageBreak/>
        <w:t>F</w:t>
      </w:r>
      <w:r w:rsidRPr="000F550F">
        <w:rPr>
          <w:lang w:val="es-ES_tradnl" w:eastAsia="ja-JP"/>
        </w:rPr>
        <w:t>IGURA</w:t>
      </w:r>
      <w:r w:rsidRPr="000F550F">
        <w:rPr>
          <w:lang w:val="es-ES_tradnl"/>
        </w:rPr>
        <w:t xml:space="preserve"> 15</w:t>
      </w:r>
    </w:p>
    <w:p w:rsidR="00B17B1F" w:rsidRDefault="00B17B1F" w:rsidP="00B17B1F">
      <w:pPr>
        <w:pStyle w:val="Figuretitle"/>
        <w:rPr>
          <w:lang w:val="es-ES_tradnl" w:eastAsia="ja-JP"/>
        </w:rPr>
      </w:pPr>
      <w:r w:rsidRPr="000F550F">
        <w:rPr>
          <w:lang w:val="es-ES_tradnl" w:eastAsia="ja-JP"/>
        </w:rPr>
        <w:t>Ganancia de antena de una instalación de líneas eléctricas domesticas aplicando</w:t>
      </w:r>
      <w:r w:rsidR="00203404">
        <w:rPr>
          <w:lang w:val="es-ES_tradnl" w:eastAsia="ja-JP"/>
        </w:rPr>
        <w:t xml:space="preserve"> </w:t>
      </w:r>
      <w:r w:rsidRPr="000F550F">
        <w:rPr>
          <w:lang w:val="es-ES_tradnl" w:eastAsia="ja-JP"/>
        </w:rPr>
        <w:t>la RF a un enchufe,</w:t>
      </w:r>
      <w:r w:rsidR="00203404">
        <w:rPr>
          <w:lang w:val="es-ES_tradnl" w:eastAsia="ja-JP"/>
        </w:rPr>
        <w:br/>
      </w:r>
      <w:r w:rsidRPr="000F550F">
        <w:rPr>
          <w:lang w:val="es-ES_tradnl" w:eastAsia="ja-JP"/>
        </w:rPr>
        <w:t>en modo diferencial o en modo común</w:t>
      </w:r>
    </w:p>
    <w:p w:rsidR="00784ADE" w:rsidRDefault="00D91464" w:rsidP="00784ADE">
      <w:pPr>
        <w:pStyle w:val="Figure"/>
        <w:rPr>
          <w:rFonts w:eastAsia="MS Mincho"/>
          <w:noProof/>
          <w:lang w:val="en-US" w:eastAsia="zh-CN"/>
        </w:rPr>
      </w:pPr>
      <w:r>
        <w:rPr>
          <w:rFonts w:eastAsia="MS Mincho"/>
          <w:noProof/>
          <w:lang w:val="en-US" w:eastAsia="zh-CN"/>
        </w:rPr>
        <w:object w:dxaOrig="4395" w:dyaOrig="3191">
          <v:shape id="_x0000_i1040" type="#_x0000_t75" style="width:365.65pt;height:265.5pt" o:ole="">
            <v:imagedata r:id="rId44" o:title=""/>
          </v:shape>
          <o:OLEObject Type="Embed" ProgID="CorelDRAW.Graphic.14" ShapeID="_x0000_i1040" DrawAspect="Content" ObjectID="_1469000279" r:id="rId45"/>
        </w:object>
      </w:r>
    </w:p>
    <w:p w:rsidR="00B17B1F" w:rsidRDefault="00B17B1F" w:rsidP="00784ADE">
      <w:pPr>
        <w:rPr>
          <w:lang w:val="es-ES_tradnl"/>
        </w:rPr>
      </w:pPr>
    </w:p>
    <w:p w:rsidR="00A60E32" w:rsidRPr="000F550F" w:rsidRDefault="00A60E32" w:rsidP="00A60E32">
      <w:pPr>
        <w:spacing w:before="0"/>
        <w:rPr>
          <w:lang w:val="es-ES_tradnl"/>
        </w:rPr>
      </w:pPr>
    </w:p>
    <w:p w:rsidR="00B17B1F" w:rsidRPr="000F550F" w:rsidRDefault="00B17B1F" w:rsidP="00B17B1F">
      <w:pPr>
        <w:jc w:val="center"/>
        <w:rPr>
          <w:lang w:val="es-ES_tradnl"/>
        </w:rPr>
      </w:pPr>
      <w:r w:rsidRPr="000F550F">
        <w:rPr>
          <w:lang w:val="es-ES_tradnl"/>
        </w:rPr>
        <w:t>______________</w:t>
      </w:r>
    </w:p>
    <w:p w:rsidR="008A6684" w:rsidRPr="00A6617B" w:rsidRDefault="008A6684" w:rsidP="008A6684"/>
    <w:sectPr w:rsidR="008A6684" w:rsidRPr="00A6617B" w:rsidSect="00B17B1F">
      <w:headerReference w:type="even" r:id="rId46"/>
      <w:headerReference w:type="default" r:id="rId47"/>
      <w:footerReference w:type="even" r:id="rId48"/>
      <w:footerReference w:type="default" r:id="rId49"/>
      <w:headerReference w:type="first" r:id="rId50"/>
      <w:footerReference w:type="first" r:id="rId5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91C" w:rsidRDefault="00C8591C">
      <w:r>
        <w:separator/>
      </w:r>
    </w:p>
  </w:endnote>
  <w:endnote w:type="continuationSeparator" w:id="0">
    <w:p w:rsidR="00C8591C" w:rsidRDefault="00C85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Default="00C859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Default="00C8591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Default="00C859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91C" w:rsidRDefault="00C8591C">
      <w:r>
        <w:separator/>
      </w:r>
    </w:p>
  </w:footnote>
  <w:footnote w:type="continuationSeparator" w:id="0">
    <w:p w:rsidR="00C8591C" w:rsidRDefault="00C8591C">
      <w:r>
        <w:continuationSeparator/>
      </w:r>
    </w:p>
  </w:footnote>
  <w:footnote w:id="1">
    <w:p w:rsidR="00C8591C" w:rsidRPr="00605538" w:rsidRDefault="00C8591C" w:rsidP="00B17B1F">
      <w:pPr>
        <w:pStyle w:val="FootnoteText"/>
        <w:rPr>
          <w:lang w:val="es-ES_tradnl"/>
        </w:rPr>
      </w:pPr>
      <w:r>
        <w:rPr>
          <w:rStyle w:val="FootnoteReference"/>
        </w:rPr>
        <w:footnoteRef/>
      </w:r>
      <w:r w:rsidRPr="00D93DF5">
        <w:rPr>
          <w:lang w:val="es-ES_tradnl"/>
        </w:rPr>
        <w:tab/>
        <w:t xml:space="preserve">El IRT (Instituto für Rundfunktechnik GmbH) es </w:t>
      </w:r>
      <w:r w:rsidR="00C02290">
        <w:rPr>
          <w:lang w:val="es-ES_tradnl"/>
        </w:rPr>
        <w:t xml:space="preserve">el </w:t>
      </w:r>
      <w:r w:rsidRPr="00D93DF5">
        <w:rPr>
          <w:lang w:val="es-ES_tradnl"/>
        </w:rPr>
        <w:t>Instituto de Investigaci</w:t>
      </w:r>
      <w:r>
        <w:rPr>
          <w:lang w:val="es-ES_tradnl"/>
        </w:rPr>
        <w:t xml:space="preserve">ón y Desarrollo de los </w:t>
      </w:r>
      <w:r w:rsidR="00C02290">
        <w:rPr>
          <w:lang w:val="es-ES_tradnl"/>
        </w:rPr>
        <w:t xml:space="preserve">Organismos </w:t>
      </w:r>
      <w:r>
        <w:rPr>
          <w:lang w:val="es-ES_tradnl"/>
        </w:rPr>
        <w:t xml:space="preserve">del </w:t>
      </w:r>
      <w:r w:rsidR="00C02290">
        <w:rPr>
          <w:lang w:val="es-ES_tradnl"/>
        </w:rPr>
        <w:t xml:space="preserve">Servicio Público </w:t>
      </w:r>
      <w:r>
        <w:rPr>
          <w:lang w:val="es-ES_tradnl"/>
        </w:rPr>
        <w:t xml:space="preserve">de </w:t>
      </w:r>
      <w:r w:rsidR="00C02290">
        <w:rPr>
          <w:lang w:val="es-ES_tradnl"/>
        </w:rPr>
        <w:t xml:space="preserve">Radiodifusión </w:t>
      </w:r>
      <w:r>
        <w:rPr>
          <w:lang w:val="es-ES_tradnl"/>
        </w:rPr>
        <w:t xml:space="preserve">en Alemania, Austria y Suiza. </w:t>
      </w:r>
      <w:r w:rsidRPr="00605538">
        <w:rPr>
          <w:lang w:val="es-ES_tradnl"/>
        </w:rPr>
        <w:t>Se encuentra en Munich (Alemania).</w:t>
      </w:r>
    </w:p>
  </w:footnote>
  <w:footnote w:id="2">
    <w:p w:rsidR="00C8591C" w:rsidRPr="00BE3399" w:rsidRDefault="00C8591C" w:rsidP="00B17B1F">
      <w:pPr>
        <w:pStyle w:val="FootnoteText"/>
        <w:rPr>
          <w:lang w:val="es-ES_tradnl"/>
        </w:rPr>
      </w:pPr>
      <w:r>
        <w:rPr>
          <w:rStyle w:val="FootnoteReference"/>
        </w:rPr>
        <w:footnoteRef/>
      </w:r>
      <w:r w:rsidRPr="00BE3399">
        <w:rPr>
          <w:lang w:val="es-ES_tradnl"/>
        </w:rPr>
        <w:tab/>
        <w:t>Para k: constante de Boltzmann</w:t>
      </w:r>
      <w:r>
        <w:rPr>
          <w:lang w:val="es-ES_tradnl"/>
        </w:rPr>
        <w:t xml:space="preserve"> </w:t>
      </w:r>
      <w:r w:rsidRPr="00BE3399">
        <w:rPr>
          <w:lang w:val="es-ES_tradnl"/>
        </w:rPr>
        <w:t>1</w:t>
      </w:r>
      <w:r>
        <w:rPr>
          <w:lang w:val="es-ES_tradnl"/>
        </w:rPr>
        <w:t>,</w:t>
      </w:r>
      <w:r w:rsidRPr="00BE3399">
        <w:rPr>
          <w:lang w:val="es-ES_tradnl"/>
        </w:rPr>
        <w:t>38</w:t>
      </w:r>
      <w:r>
        <w:rPr>
          <w:lang w:val="es-ES_tradnl"/>
        </w:rPr>
        <w:t> </w:t>
      </w:r>
      <w:r>
        <w:rPr>
          <w:lang w:val="en-US"/>
        </w:rPr>
        <w:sym w:font="Symbol" w:char="F0B4"/>
      </w:r>
      <w:r>
        <w:rPr>
          <w:lang w:val="es-ES_tradnl"/>
        </w:rPr>
        <w:t> </w:t>
      </w:r>
      <w:r w:rsidRPr="00BE3399">
        <w:rPr>
          <w:lang w:val="es-ES_tradnl"/>
        </w:rPr>
        <w:t>10–23 J/K, T~300 Kelvin y</w:t>
      </w:r>
      <w:r>
        <w:rPr>
          <w:lang w:val="es-ES_tradnl"/>
        </w:rPr>
        <w:t xml:space="preserve"> </w:t>
      </w:r>
      <w:r w:rsidRPr="00BE3399">
        <w:rPr>
          <w:lang w:val="es-ES_tradnl"/>
        </w:rPr>
        <w:t>B =</w:t>
      </w:r>
      <w:r>
        <w:rPr>
          <w:lang w:val="es-ES_tradnl"/>
        </w:rPr>
        <w:t> </w:t>
      </w:r>
      <w:r w:rsidRPr="00BE3399">
        <w:rPr>
          <w:lang w:val="es-ES_tradnl"/>
        </w:rPr>
        <w:t>1 MHz</w:t>
      </w:r>
      <w:r w:rsidR="006C6C98">
        <w:rPr>
          <w:lang w:val="es-ES_tradnl"/>
        </w:rPr>
        <w:t>,</w:t>
      </w:r>
      <w:r w:rsidRPr="00BE3399">
        <w:rPr>
          <w:lang w:val="es-ES_tradnl"/>
        </w:rPr>
        <w:t xml:space="preserve"> el factor KTB </w:t>
      </w:r>
      <w:r>
        <w:rPr>
          <w:lang w:val="es-ES_tradnl"/>
        </w:rPr>
        <w:t>es d</w:t>
      </w:r>
      <w:r w:rsidRPr="00BE3399">
        <w:rPr>
          <w:lang w:val="es-ES_tradnl"/>
        </w:rPr>
        <w:t>e</w:t>
      </w:r>
      <w:r>
        <w:rPr>
          <w:lang w:val="es-ES_tradnl"/>
        </w:rPr>
        <w:t xml:space="preserve"> </w:t>
      </w:r>
      <w:r>
        <w:rPr>
          <w:lang w:val="en-US"/>
        </w:rPr>
        <w:sym w:font="Symbol" w:char="F02D"/>
      </w:r>
      <w:r>
        <w:rPr>
          <w:lang w:val="es-ES_tradnl"/>
        </w:rPr>
        <w:t>114 </w:t>
      </w:r>
      <w:r w:rsidRPr="00BE3399">
        <w:rPr>
          <w:lang w:val="es-ES_tradnl"/>
        </w:rPr>
        <w:t>dBm.</w:t>
      </w:r>
    </w:p>
  </w:footnote>
  <w:footnote w:id="3">
    <w:p w:rsidR="00C8591C" w:rsidRPr="00B17B1F" w:rsidRDefault="00C8591C" w:rsidP="00B17B1F">
      <w:pPr>
        <w:pStyle w:val="FootnoteText"/>
        <w:rPr>
          <w:lang w:val="es-ES_tradnl"/>
        </w:rPr>
      </w:pPr>
      <w:r>
        <w:rPr>
          <w:rStyle w:val="FootnoteReference"/>
        </w:rPr>
        <w:footnoteRef/>
      </w:r>
      <w:r w:rsidRPr="00296538">
        <w:rPr>
          <w:lang w:val="en-US"/>
        </w:rPr>
        <w:tab/>
      </w:r>
      <w:r>
        <w:rPr>
          <w:szCs w:val="22"/>
          <w:lang w:val="en-US"/>
        </w:rPr>
        <w:t>K</w:t>
      </w:r>
      <w:r>
        <w:rPr>
          <w:szCs w:val="22"/>
          <w:lang w:val="en-US" w:eastAsia="ja-JP"/>
        </w:rPr>
        <w:t>itagawa</w:t>
      </w:r>
      <w:r>
        <w:rPr>
          <w:szCs w:val="22"/>
          <w:lang w:val="en-US"/>
        </w:rPr>
        <w:t xml:space="preserve">, M. y </w:t>
      </w:r>
      <w:r w:rsidRPr="00B17B1F">
        <w:rPr>
          <w:szCs w:val="22"/>
          <w:lang w:val="en-US"/>
        </w:rPr>
        <w:t>O</w:t>
      </w:r>
      <w:r w:rsidRPr="00B17B1F">
        <w:rPr>
          <w:szCs w:val="22"/>
          <w:lang w:val="en-US" w:eastAsia="ja-JP"/>
        </w:rPr>
        <w:t>hishi</w:t>
      </w:r>
      <w:r>
        <w:rPr>
          <w:szCs w:val="22"/>
          <w:lang w:val="en-US"/>
        </w:rPr>
        <w:t>, M. [</w:t>
      </w:r>
      <w:r w:rsidRPr="00B17B1F">
        <w:rPr>
          <w:szCs w:val="22"/>
          <w:lang w:val="en-US"/>
        </w:rPr>
        <w:t>septiembre</w:t>
      </w:r>
      <w:r>
        <w:rPr>
          <w:szCs w:val="22"/>
          <w:lang w:val="en-US"/>
        </w:rPr>
        <w:t xml:space="preserve"> de 2008] – </w:t>
      </w:r>
      <w:r>
        <w:rPr>
          <w:lang w:val="en-US"/>
        </w:rPr>
        <w:t>Measurements of the Radiated Electric Field and the Common Mode Current from the In-house Broadband Power Line Communications in Residential Environment, Proc. 8</w:t>
      </w:r>
      <w:r>
        <w:rPr>
          <w:vertAlign w:val="superscript"/>
          <w:lang w:val="en-US"/>
        </w:rPr>
        <w:t>th</w:t>
      </w:r>
      <w:r>
        <w:rPr>
          <w:lang w:val="en-US"/>
        </w:rPr>
        <w:t xml:space="preserve"> Int. </w:t>
      </w:r>
      <w:r w:rsidRPr="00B17B1F">
        <w:rPr>
          <w:lang w:val="es-ES_tradnl"/>
        </w:rPr>
        <w:t>Symposium on Electromagnetic Compatibility (EMC Europe 2008), pp. 433</w:t>
      </w:r>
      <w:r w:rsidRPr="00B17B1F">
        <w:rPr>
          <w:lang w:val="es-ES_tradnl"/>
        </w:rPr>
        <w:noBreakHyphen/>
        <w:t xml:space="preserve">438, </w:t>
      </w:r>
      <w:r w:rsidRPr="000F550F">
        <w:rPr>
          <w:lang w:val="es-ES_tradnl"/>
        </w:rPr>
        <w:t>Hamburgo</w:t>
      </w:r>
      <w:r w:rsidRPr="00B17B1F">
        <w:rPr>
          <w:lang w:val="es-ES_tradnl"/>
        </w:rPr>
        <w:t xml:space="preserve">, </w:t>
      </w:r>
      <w:r w:rsidRPr="000F550F">
        <w:rPr>
          <w:lang w:val="es-ES_tradnl"/>
        </w:rPr>
        <w:t>Alemania</w:t>
      </w:r>
      <w:r w:rsidRPr="00B17B1F">
        <w:rPr>
          <w:lang w:val="es-ES_tradnl" w:eastAsia="ja-JP"/>
        </w:rPr>
        <w:t>.</w:t>
      </w:r>
    </w:p>
  </w:footnote>
  <w:footnote w:id="4">
    <w:p w:rsidR="00C8591C" w:rsidRPr="00523B57" w:rsidRDefault="00C8591C" w:rsidP="00B17B1F">
      <w:pPr>
        <w:pStyle w:val="FootnoteText"/>
        <w:rPr>
          <w:lang w:val="es-ES_tradnl"/>
        </w:rPr>
      </w:pPr>
      <w:r>
        <w:rPr>
          <w:rStyle w:val="FootnoteReference"/>
        </w:rPr>
        <w:footnoteRef/>
      </w:r>
      <w:r w:rsidRPr="00523B57">
        <w:rPr>
          <w:lang w:val="es-ES_tradnl"/>
        </w:rPr>
        <w:tab/>
        <w:t xml:space="preserve">En el Capítulo 2 del </w:t>
      </w:r>
      <w:r>
        <w:rPr>
          <w:lang w:val="es-ES_tradnl"/>
        </w:rPr>
        <w:t>Informe</w:t>
      </w:r>
      <w:r w:rsidRPr="00523B57">
        <w:rPr>
          <w:lang w:val="es-ES_tradnl"/>
        </w:rPr>
        <w:t xml:space="preserve"> </w:t>
      </w:r>
      <w:r>
        <w:rPr>
          <w:lang w:val="es-ES_tradnl"/>
        </w:rPr>
        <w:t>U</w:t>
      </w:r>
      <w:r w:rsidRPr="00523B57">
        <w:rPr>
          <w:lang w:val="es-ES_tradnl"/>
        </w:rPr>
        <w:t>IT-R SM.2158 se explica el mecanismo</w:t>
      </w:r>
      <w:r>
        <w:rPr>
          <w:lang w:val="es-ES_tradnl"/>
        </w:rPr>
        <w:t xml:space="preserve"> </w:t>
      </w:r>
      <w:r w:rsidRPr="00523B57">
        <w:rPr>
          <w:lang w:val="es-ES_tradnl"/>
        </w:rPr>
        <w:t>de producci</w:t>
      </w:r>
      <w:r>
        <w:rPr>
          <w:lang w:val="es-ES_tradnl"/>
        </w:rPr>
        <w:t>ón</w:t>
      </w:r>
      <w:r w:rsidRPr="00523B57">
        <w:rPr>
          <w:lang w:val="es-ES_tradnl"/>
        </w:rPr>
        <w:t xml:space="preserve"> </w:t>
      </w:r>
      <w:r>
        <w:rPr>
          <w:lang w:val="es-ES_tradnl"/>
        </w:rPr>
        <w:t xml:space="preserve">de las corrientes de </w:t>
      </w:r>
      <w:r w:rsidRPr="00523B57">
        <w:rPr>
          <w:lang w:val="es-ES_tradnl"/>
        </w:rPr>
        <w:t xml:space="preserve">RF </w:t>
      </w:r>
      <w:r>
        <w:rPr>
          <w:lang w:val="es-ES_tradnl"/>
        </w:rPr>
        <w:t>en modo común (</w:t>
      </w:r>
      <w:r w:rsidRPr="00523B57">
        <w:rPr>
          <w:lang w:val="es-ES_tradnl"/>
        </w:rPr>
        <w:t>CM</w:t>
      </w:r>
      <w:r>
        <w:rPr>
          <w:lang w:val="es-ES_tradnl"/>
        </w:rPr>
        <w:t>)</w:t>
      </w:r>
      <w:r w:rsidRPr="00523B57">
        <w:rPr>
          <w:lang w:val="es-ES_tradnl"/>
        </w:rPr>
        <w:t xml:space="preserve"> </w:t>
      </w:r>
      <w:r>
        <w:rPr>
          <w:lang w:val="es-ES_tradnl"/>
        </w:rPr>
        <w:t>y en modo diferencial</w:t>
      </w:r>
      <w:r w:rsidRPr="00523B57">
        <w:rPr>
          <w:lang w:val="es-ES_tradnl"/>
        </w:rPr>
        <w:t xml:space="preserve"> </w:t>
      </w:r>
      <w:r>
        <w:rPr>
          <w:lang w:val="es-ES_tradnl"/>
        </w:rPr>
        <w:t>(</w:t>
      </w:r>
      <w:r w:rsidRPr="00523B57">
        <w:rPr>
          <w:lang w:val="es-ES_tradnl"/>
        </w:rPr>
        <w:t>DM</w:t>
      </w:r>
      <w:r>
        <w:rPr>
          <w:lang w:val="es-ES_tradnl"/>
        </w:rPr>
        <w:t>)</w:t>
      </w:r>
      <w:r w:rsidRPr="00523B57">
        <w:rPr>
          <w:lang w:val="es-ES_tradnl"/>
        </w:rPr>
        <w:t xml:space="preserve"> </w:t>
      </w:r>
      <w:r>
        <w:rPr>
          <w:lang w:val="es-ES_tradnl"/>
        </w:rPr>
        <w:t>por el cableado de red</w:t>
      </w:r>
      <w:r w:rsidRPr="00523B57">
        <w:rPr>
          <w:lang w:val="es-ES_tradnl"/>
        </w:rPr>
        <w:t>.</w:t>
      </w:r>
    </w:p>
  </w:footnote>
  <w:footnote w:id="5">
    <w:p w:rsidR="00C8591C" w:rsidRPr="00E64218" w:rsidRDefault="00C8591C" w:rsidP="00B17B1F">
      <w:pPr>
        <w:pStyle w:val="FootnoteText"/>
        <w:rPr>
          <w:lang w:val="en-US"/>
        </w:rPr>
      </w:pPr>
      <w:r>
        <w:rPr>
          <w:rStyle w:val="FootnoteReference"/>
        </w:rPr>
        <w:footnoteRef/>
      </w:r>
      <w:r w:rsidRPr="00E64218">
        <w:rPr>
          <w:lang w:val="es-ES_tradnl"/>
        </w:rPr>
        <w:tab/>
        <w:t>K</w:t>
      </w:r>
      <w:r w:rsidRPr="00E64218">
        <w:rPr>
          <w:lang w:val="es-ES_tradnl" w:eastAsia="ja-JP"/>
        </w:rPr>
        <w:t>itagawa</w:t>
      </w:r>
      <w:r w:rsidRPr="00E64218">
        <w:rPr>
          <w:lang w:val="es-ES_tradnl"/>
        </w:rPr>
        <w:t>, M. [Octubre de 2007] –Mediciones in situ del factor de antena de l</w:t>
      </w:r>
      <w:r>
        <w:rPr>
          <w:lang w:val="es-ES_tradnl"/>
        </w:rPr>
        <w:t>íneas de energía eléctrica domésticas</w:t>
      </w:r>
      <w:r w:rsidRPr="00E64218">
        <w:rPr>
          <w:lang w:val="es-ES_tradnl"/>
        </w:rPr>
        <w:t xml:space="preserve">, IEICE Tech. </w:t>
      </w:r>
      <w:r w:rsidRPr="00150B76">
        <w:rPr>
          <w:lang w:val="en-US"/>
        </w:rPr>
        <w:t>Rep., Vol. 107, EMCJ2007-54, pp. 7-12</w:t>
      </w:r>
      <w:r w:rsidRPr="00150B76">
        <w:rPr>
          <w:lang w:val="en-US" w:eastAsia="ja-JP"/>
        </w:rPr>
        <w:t xml:space="preserve"> (</w:t>
      </w:r>
      <w:r>
        <w:rPr>
          <w:lang w:val="en-US" w:eastAsia="ja-JP"/>
        </w:rPr>
        <w:t>e</w:t>
      </w:r>
      <w:r w:rsidRPr="00150B76">
        <w:rPr>
          <w:lang w:val="en-US" w:eastAsia="ja-JP"/>
        </w:rPr>
        <w:t xml:space="preserve">n </w:t>
      </w:r>
      <w:r w:rsidRPr="00E64218">
        <w:rPr>
          <w:lang w:val="es-ES_tradnl" w:eastAsia="ja-JP"/>
        </w:rPr>
        <w:t>Japonés</w:t>
      </w:r>
      <w:r w:rsidRPr="00150B76">
        <w:rPr>
          <w:lang w:val="en-US" w:eastAsia="ja-JP"/>
        </w:rPr>
        <w:t>)</w:t>
      </w:r>
      <w:r w:rsidRPr="00150B76">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Default="00C8591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Default="00C8591C" w:rsidP="00DF0026">
    <w:pPr>
      <w:ind w:right="360" w:firstLine="360"/>
    </w:pPr>
    <w:r>
      <w:rPr>
        <w:noProof/>
        <w:lang w:val="es-ES_tradnl" w:eastAsia="es-ES_tradnl"/>
      </w:rPr>
      <w:drawing>
        <wp:anchor distT="0" distB="0" distL="114300" distR="114300" simplePos="0" relativeHeight="251657216" behindDoc="1" locked="0" layoutInCell="1" allowOverlap="1" wp14:anchorId="650062A1" wp14:editId="5AD4A3E9">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Pr="00A56CDD" w:rsidRDefault="00C8591C" w:rsidP="00870F3D">
    <w:pPr>
      <w:pStyle w:val="Header"/>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142C14">
      <w:rPr>
        <w:b/>
        <w:bCs/>
        <w:noProof/>
        <w:lang w:val="en-US"/>
      </w:rPr>
      <w:t>ii</w:t>
    </w:r>
    <w:r w:rsidRPr="00A56CDD">
      <w:fldChar w:fldCharType="end"/>
    </w:r>
    <w:r w:rsidRPr="00A56CDD">
      <w:rPr>
        <w:lang w:val="en-US"/>
      </w:rPr>
      <w:tab/>
    </w:r>
    <w:r>
      <w:fldChar w:fldCharType="begin"/>
    </w:r>
    <w:r w:rsidRPr="00B17B1F">
      <w:rPr>
        <w:lang w:val="en-US"/>
      </w:rPr>
      <w:instrText xml:space="preserve"> DOCPROPERTY "Header 3" \* MERGEFORMAT </w:instrText>
    </w:r>
    <w:r>
      <w:fldChar w:fldCharType="separate"/>
    </w:r>
    <w:r w:rsidR="00142C14" w:rsidRPr="00142C14">
      <w:rPr>
        <w:b/>
        <w:bCs/>
        <w:lang w:val="en-US"/>
      </w:rPr>
      <w:t xml:space="preserve">I. </w:t>
    </w:r>
    <w:r>
      <w:rPr>
        <w:b/>
        <w:bCs/>
        <w:lang w:val="en-US"/>
      </w:rPr>
      <w:fldChar w:fldCharType="end"/>
    </w:r>
    <w:r w:rsidRPr="00B17B1F">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142C14">
      <w:rPr>
        <w:b/>
        <w:bCs/>
        <w:noProof/>
        <w:lang w:val="en-US"/>
      </w:rPr>
      <w:t>UIT-R  SM.2269</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Default="00C8591C">
    <w:r>
      <w:tab/>
    </w:r>
    <w:fldSimple w:instr=" DOCPROPERTY &quot;Header&quot; \* MERGEFORMAT ">
      <w:r w:rsidR="00142C14" w:rsidRPr="00142C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42C14">
      <w:rPr>
        <w:b/>
        <w:bCs/>
        <w:noProof/>
      </w:rPr>
      <w:t>UIT-R  SM.2269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Default="00C8591C" w:rsidP="00870F3D">
    <w:pPr>
      <w:pStyle w:val="Header"/>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42C14">
      <w:rPr>
        <w:rStyle w:val="PageNumber"/>
        <w:b/>
        <w:bCs/>
        <w:noProof/>
        <w:lang w:val="en-US"/>
      </w:rPr>
      <w:t>18</w:t>
    </w:r>
    <w:r>
      <w:rPr>
        <w:rStyle w:val="PageNumber"/>
        <w:b/>
        <w:bCs/>
      </w:rPr>
      <w:fldChar w:fldCharType="end"/>
    </w:r>
    <w:r w:rsidR="00870F3D" w:rsidRPr="00A56CDD">
      <w:tab/>
    </w:r>
    <w:r w:rsidR="00870F3D">
      <w:fldChar w:fldCharType="begin"/>
    </w:r>
    <w:r w:rsidR="00870F3D" w:rsidRPr="00B17B1F">
      <w:rPr>
        <w:lang w:val="en-US"/>
      </w:rPr>
      <w:instrText xml:space="preserve"> DOCPROPERTY "Header 3" \* MERGEFORMAT </w:instrText>
    </w:r>
    <w:r w:rsidR="00870F3D">
      <w:fldChar w:fldCharType="separate"/>
    </w:r>
    <w:r w:rsidR="00142C14" w:rsidRPr="00142C14">
      <w:rPr>
        <w:b/>
        <w:bCs/>
        <w:lang w:val="en-US"/>
      </w:rPr>
      <w:t xml:space="preserve">I. </w:t>
    </w:r>
    <w:r w:rsidR="00870F3D">
      <w:rPr>
        <w:b/>
        <w:bCs/>
        <w:lang w:val="en-US"/>
      </w:rPr>
      <w:fldChar w:fldCharType="end"/>
    </w:r>
    <w:r w:rsidR="00870F3D" w:rsidRPr="00B17B1F">
      <w:rPr>
        <w:b/>
        <w:bCs/>
        <w:lang w:val="en-US"/>
      </w:rPr>
      <w:t xml:space="preserve"> </w:t>
    </w:r>
    <w:r w:rsidR="00870F3D" w:rsidRPr="00A56CDD">
      <w:rPr>
        <w:b/>
        <w:bCs/>
      </w:rPr>
      <w:fldChar w:fldCharType="begin"/>
    </w:r>
    <w:r w:rsidR="00870F3D" w:rsidRPr="00A56CDD">
      <w:rPr>
        <w:b/>
        <w:bCs/>
        <w:lang w:val="en-US"/>
      </w:rPr>
      <w:instrText>styleref href</w:instrText>
    </w:r>
    <w:r w:rsidR="00870F3D" w:rsidRPr="00A56CDD">
      <w:rPr>
        <w:b/>
        <w:bCs/>
      </w:rPr>
      <w:fldChar w:fldCharType="separate"/>
    </w:r>
    <w:r w:rsidR="00142C14">
      <w:rPr>
        <w:b/>
        <w:bCs/>
        <w:noProof/>
        <w:lang w:val="en-US"/>
      </w:rPr>
      <w:t>UIT-R  SM.2269</w:t>
    </w:r>
    <w:r w:rsidR="00870F3D"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Pr="00B17B1F" w:rsidRDefault="00C8591C" w:rsidP="00870F3D">
    <w:pPr>
      <w:pStyle w:val="Header"/>
      <w:rPr>
        <w:lang w:val="en-US"/>
      </w:rPr>
    </w:pPr>
    <w:r w:rsidRPr="00A56CDD">
      <w:tab/>
    </w:r>
    <w:r>
      <w:fldChar w:fldCharType="begin"/>
    </w:r>
    <w:r w:rsidRPr="00B17B1F">
      <w:rPr>
        <w:lang w:val="en-US"/>
      </w:rPr>
      <w:instrText xml:space="preserve"> DOCPROPERTY "Header 3" \* MERGEFORMAT </w:instrText>
    </w:r>
    <w:r>
      <w:fldChar w:fldCharType="separate"/>
    </w:r>
    <w:r w:rsidR="00142C14" w:rsidRPr="00142C14">
      <w:rPr>
        <w:b/>
        <w:bCs/>
        <w:lang w:val="en-US"/>
      </w:rPr>
      <w:t xml:space="preserve">I. </w:t>
    </w:r>
    <w:r>
      <w:rPr>
        <w:b/>
        <w:bCs/>
        <w:lang w:val="en-US"/>
      </w:rPr>
      <w:fldChar w:fldCharType="end"/>
    </w:r>
    <w:r w:rsidRPr="00B17B1F">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142C14">
      <w:rPr>
        <w:b/>
        <w:bCs/>
        <w:noProof/>
        <w:lang w:val="en-US"/>
      </w:rPr>
      <w:t>UIT-R  SM.2269</w:t>
    </w:r>
    <w:r w:rsidRPr="00A56CDD">
      <w:fldChar w:fldCharType="end"/>
    </w:r>
    <w:r w:rsidRPr="00B17B1F">
      <w:rPr>
        <w:lang w:val="en-US"/>
      </w:rPr>
      <w:tab/>
    </w:r>
    <w:r w:rsidRPr="00A56CDD">
      <w:rPr>
        <w:b/>
        <w:bCs/>
      </w:rPr>
      <w:fldChar w:fldCharType="begin"/>
    </w:r>
    <w:r w:rsidRPr="00B17B1F">
      <w:rPr>
        <w:b/>
        <w:bCs/>
        <w:lang w:val="en-US"/>
      </w:rPr>
      <w:instrText xml:space="preserve"> PAGE </w:instrText>
    </w:r>
    <w:r w:rsidRPr="00A56CDD">
      <w:rPr>
        <w:b/>
        <w:bCs/>
      </w:rPr>
      <w:fldChar w:fldCharType="separate"/>
    </w:r>
    <w:r w:rsidR="00142C14">
      <w:rPr>
        <w:b/>
        <w:bCs/>
        <w:noProof/>
        <w:lang w:val="en-US"/>
      </w:rPr>
      <w:t>1</w:t>
    </w:r>
    <w:r w:rsidRPr="00A56CDD">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1C" w:rsidRDefault="00C859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08E8B92"/>
    <w:lvl w:ilvl="0">
      <w:start w:val="1"/>
      <w:numFmt w:val="decimal"/>
      <w:lvlText w:val="%1."/>
      <w:lvlJc w:val="left"/>
      <w:pPr>
        <w:tabs>
          <w:tab w:val="num" w:pos="1492"/>
        </w:tabs>
        <w:ind w:left="1492" w:hanging="360"/>
      </w:pPr>
    </w:lvl>
  </w:abstractNum>
  <w:abstractNum w:abstractNumId="1">
    <w:nsid w:val="FFFFFF7D"/>
    <w:multiLevelType w:val="singleLevel"/>
    <w:tmpl w:val="17C8DC04"/>
    <w:lvl w:ilvl="0">
      <w:start w:val="1"/>
      <w:numFmt w:val="decimal"/>
      <w:lvlText w:val="%1."/>
      <w:lvlJc w:val="left"/>
      <w:pPr>
        <w:tabs>
          <w:tab w:val="num" w:pos="1209"/>
        </w:tabs>
        <w:ind w:left="1209" w:hanging="360"/>
      </w:pPr>
    </w:lvl>
  </w:abstractNum>
  <w:abstractNum w:abstractNumId="2">
    <w:nsid w:val="FFFFFF7E"/>
    <w:multiLevelType w:val="singleLevel"/>
    <w:tmpl w:val="548869D2"/>
    <w:lvl w:ilvl="0">
      <w:start w:val="1"/>
      <w:numFmt w:val="decimal"/>
      <w:lvlText w:val="%1."/>
      <w:lvlJc w:val="left"/>
      <w:pPr>
        <w:tabs>
          <w:tab w:val="num" w:pos="926"/>
        </w:tabs>
        <w:ind w:left="926" w:hanging="360"/>
      </w:pPr>
    </w:lvl>
  </w:abstractNum>
  <w:abstractNum w:abstractNumId="3">
    <w:nsid w:val="FFFFFF7F"/>
    <w:multiLevelType w:val="singleLevel"/>
    <w:tmpl w:val="B1C214C0"/>
    <w:lvl w:ilvl="0">
      <w:start w:val="1"/>
      <w:numFmt w:val="decimal"/>
      <w:lvlText w:val="%1."/>
      <w:lvlJc w:val="left"/>
      <w:pPr>
        <w:tabs>
          <w:tab w:val="num" w:pos="643"/>
        </w:tabs>
        <w:ind w:left="643" w:hanging="360"/>
      </w:pPr>
    </w:lvl>
  </w:abstractNum>
  <w:abstractNum w:abstractNumId="4">
    <w:nsid w:val="FFFFFF80"/>
    <w:multiLevelType w:val="singleLevel"/>
    <w:tmpl w:val="410014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B4B3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FBC23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22CCB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4C4ABE"/>
    <w:lvl w:ilvl="0">
      <w:start w:val="1"/>
      <w:numFmt w:val="decimal"/>
      <w:lvlText w:val="%1."/>
      <w:lvlJc w:val="left"/>
      <w:pPr>
        <w:tabs>
          <w:tab w:val="num" w:pos="360"/>
        </w:tabs>
        <w:ind w:left="360" w:hanging="360"/>
      </w:pPr>
    </w:lvl>
  </w:abstractNum>
  <w:abstractNum w:abstractNumId="9">
    <w:nsid w:val="FFFFFF89"/>
    <w:multiLevelType w:val="singleLevel"/>
    <w:tmpl w:val="698C80A8"/>
    <w:lvl w:ilvl="0">
      <w:start w:val="1"/>
      <w:numFmt w:val="bullet"/>
      <w:lvlText w:val=""/>
      <w:lvlJc w:val="left"/>
      <w:pPr>
        <w:tabs>
          <w:tab w:val="num" w:pos="360"/>
        </w:tabs>
        <w:ind w:left="360" w:hanging="360"/>
      </w:pPr>
      <w:rPr>
        <w:rFonts w:ascii="Symbol" w:hAnsi="Symbol" w:hint="default"/>
      </w:rPr>
    </w:lvl>
  </w:abstractNum>
  <w:abstractNum w:abstractNumId="10">
    <w:nsid w:val="67E16001"/>
    <w:multiLevelType w:val="hybridMultilevel"/>
    <w:tmpl w:val="BC909A6A"/>
    <w:lvl w:ilvl="0" w:tplc="40B4C8A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684"/>
    <w:rsid w:val="00072ECF"/>
    <w:rsid w:val="000862FF"/>
    <w:rsid w:val="00087332"/>
    <w:rsid w:val="000B6DFE"/>
    <w:rsid w:val="000C6DCB"/>
    <w:rsid w:val="000E20CA"/>
    <w:rsid w:val="00142C14"/>
    <w:rsid w:val="00156B27"/>
    <w:rsid w:val="001E4C71"/>
    <w:rsid w:val="00203404"/>
    <w:rsid w:val="00217EBF"/>
    <w:rsid w:val="0022685E"/>
    <w:rsid w:val="00242AEE"/>
    <w:rsid w:val="002D20B4"/>
    <w:rsid w:val="002D76C4"/>
    <w:rsid w:val="00347F19"/>
    <w:rsid w:val="00352D44"/>
    <w:rsid w:val="00377A6C"/>
    <w:rsid w:val="00381EDA"/>
    <w:rsid w:val="003D05C4"/>
    <w:rsid w:val="003E4653"/>
    <w:rsid w:val="003F317B"/>
    <w:rsid w:val="004517B2"/>
    <w:rsid w:val="0049280D"/>
    <w:rsid w:val="004950D8"/>
    <w:rsid w:val="004A6EE2"/>
    <w:rsid w:val="004C2E19"/>
    <w:rsid w:val="0052529D"/>
    <w:rsid w:val="005365F5"/>
    <w:rsid w:val="0057284E"/>
    <w:rsid w:val="00574690"/>
    <w:rsid w:val="00576E76"/>
    <w:rsid w:val="00581442"/>
    <w:rsid w:val="005F4508"/>
    <w:rsid w:val="00607D68"/>
    <w:rsid w:val="0066213B"/>
    <w:rsid w:val="006B63E1"/>
    <w:rsid w:val="006C6C98"/>
    <w:rsid w:val="007468DA"/>
    <w:rsid w:val="0075247D"/>
    <w:rsid w:val="007674C9"/>
    <w:rsid w:val="007779D5"/>
    <w:rsid w:val="00784ADE"/>
    <w:rsid w:val="00793C5A"/>
    <w:rsid w:val="008253F0"/>
    <w:rsid w:val="00830964"/>
    <w:rsid w:val="00840C7B"/>
    <w:rsid w:val="00870F3D"/>
    <w:rsid w:val="008779BB"/>
    <w:rsid w:val="008A6684"/>
    <w:rsid w:val="008C0EBA"/>
    <w:rsid w:val="008E7F82"/>
    <w:rsid w:val="00936963"/>
    <w:rsid w:val="00960AF3"/>
    <w:rsid w:val="009E00A8"/>
    <w:rsid w:val="009F6F1F"/>
    <w:rsid w:val="00A60E32"/>
    <w:rsid w:val="00A6617B"/>
    <w:rsid w:val="00A70050"/>
    <w:rsid w:val="00A86F9A"/>
    <w:rsid w:val="00AA16D8"/>
    <w:rsid w:val="00AA2A0C"/>
    <w:rsid w:val="00AA70BC"/>
    <w:rsid w:val="00AB0DC8"/>
    <w:rsid w:val="00AC6F90"/>
    <w:rsid w:val="00B16FB9"/>
    <w:rsid w:val="00B17B1F"/>
    <w:rsid w:val="00B3383F"/>
    <w:rsid w:val="00B44E24"/>
    <w:rsid w:val="00BA05D8"/>
    <w:rsid w:val="00C02290"/>
    <w:rsid w:val="00C16EF1"/>
    <w:rsid w:val="00C41572"/>
    <w:rsid w:val="00C70A10"/>
    <w:rsid w:val="00C8591C"/>
    <w:rsid w:val="00CC537D"/>
    <w:rsid w:val="00D36928"/>
    <w:rsid w:val="00D91464"/>
    <w:rsid w:val="00D934A2"/>
    <w:rsid w:val="00D96420"/>
    <w:rsid w:val="00DE68C7"/>
    <w:rsid w:val="00DF0026"/>
    <w:rsid w:val="00DF4176"/>
    <w:rsid w:val="00DF7111"/>
    <w:rsid w:val="00DF78FE"/>
    <w:rsid w:val="00E00A5A"/>
    <w:rsid w:val="00E31A34"/>
    <w:rsid w:val="00E5143A"/>
    <w:rsid w:val="00E55E08"/>
    <w:rsid w:val="00ED7D22"/>
    <w:rsid w:val="00EE7196"/>
    <w:rsid w:val="00F043F7"/>
    <w:rsid w:val="00F42589"/>
    <w:rsid w:val="00F62E99"/>
    <w:rsid w:val="00F729ED"/>
    <w:rsid w:val="00FC4164"/>
    <w:rsid w:val="00FE5C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docId w15:val="{38F48F9E-30D8-4556-8196-C4B6CF428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B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70F3D"/>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870F3D"/>
    <w:rPr>
      <w:sz w:val="24"/>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17B1F"/>
    <w:rPr>
      <w:color w:val="0000FF"/>
      <w:u w:val="single"/>
    </w:rPr>
  </w:style>
  <w:style w:type="character" w:customStyle="1" w:styleId="Heading1Char">
    <w:name w:val="Heading 1 Char"/>
    <w:basedOn w:val="DefaultParagraphFont"/>
    <w:link w:val="Heading1"/>
    <w:rsid w:val="00B17B1F"/>
    <w:rPr>
      <w:b/>
      <w:sz w:val="24"/>
      <w:lang w:val="fr-FR" w:eastAsia="en-US"/>
    </w:rPr>
  </w:style>
  <w:style w:type="character" w:customStyle="1" w:styleId="Heading2Char">
    <w:name w:val="Heading 2 Char"/>
    <w:basedOn w:val="DefaultParagraphFont"/>
    <w:link w:val="Heading2"/>
    <w:rsid w:val="00B17B1F"/>
    <w:rPr>
      <w:b/>
      <w:sz w:val="24"/>
      <w:lang w:val="fr-FR" w:eastAsia="en-US"/>
    </w:rPr>
  </w:style>
  <w:style w:type="character" w:customStyle="1" w:styleId="Heading3Char">
    <w:name w:val="Heading 3 Char"/>
    <w:basedOn w:val="DefaultParagraphFont"/>
    <w:link w:val="Heading3"/>
    <w:rsid w:val="00B17B1F"/>
    <w:rPr>
      <w:b/>
      <w:sz w:val="24"/>
      <w:lang w:val="fr-FR" w:eastAsia="en-US"/>
    </w:rPr>
  </w:style>
  <w:style w:type="character" w:customStyle="1" w:styleId="Heading4Char">
    <w:name w:val="Heading 4 Char"/>
    <w:basedOn w:val="DefaultParagraphFont"/>
    <w:link w:val="Heading4"/>
    <w:rsid w:val="00B17B1F"/>
    <w:rPr>
      <w:b/>
      <w:sz w:val="24"/>
      <w:lang w:val="fr-FR" w:eastAsia="en-US"/>
    </w:rPr>
  </w:style>
  <w:style w:type="character" w:customStyle="1" w:styleId="Heading5Char">
    <w:name w:val="Heading 5 Char"/>
    <w:basedOn w:val="DefaultParagraphFont"/>
    <w:link w:val="Heading5"/>
    <w:rsid w:val="00B17B1F"/>
    <w:rPr>
      <w:b/>
      <w:sz w:val="24"/>
      <w:lang w:val="fr-FR" w:eastAsia="en-US"/>
    </w:rPr>
  </w:style>
  <w:style w:type="character" w:customStyle="1" w:styleId="Heading6Char">
    <w:name w:val="Heading 6 Char"/>
    <w:basedOn w:val="DefaultParagraphFont"/>
    <w:link w:val="Heading6"/>
    <w:rsid w:val="00B17B1F"/>
    <w:rPr>
      <w:b/>
      <w:sz w:val="24"/>
      <w:lang w:val="fr-FR" w:eastAsia="en-US"/>
    </w:rPr>
  </w:style>
  <w:style w:type="character" w:customStyle="1" w:styleId="Heading7Char">
    <w:name w:val="Heading 7 Char"/>
    <w:basedOn w:val="DefaultParagraphFont"/>
    <w:link w:val="Heading7"/>
    <w:rsid w:val="00B17B1F"/>
    <w:rPr>
      <w:b/>
      <w:sz w:val="24"/>
      <w:lang w:val="fr-FR" w:eastAsia="en-US"/>
    </w:rPr>
  </w:style>
  <w:style w:type="character" w:customStyle="1" w:styleId="Heading8Char">
    <w:name w:val="Heading 8 Char"/>
    <w:basedOn w:val="DefaultParagraphFont"/>
    <w:link w:val="Heading8"/>
    <w:rsid w:val="00B17B1F"/>
    <w:rPr>
      <w:b/>
      <w:sz w:val="24"/>
      <w:lang w:val="fr-FR" w:eastAsia="en-US"/>
    </w:rPr>
  </w:style>
  <w:style w:type="character" w:customStyle="1" w:styleId="Heading9Char">
    <w:name w:val="Heading 9 Char"/>
    <w:basedOn w:val="DefaultParagraphFont"/>
    <w:link w:val="Heading9"/>
    <w:rsid w:val="00B17B1F"/>
    <w:rPr>
      <w:b/>
      <w:sz w:val="24"/>
      <w:lang w:val="fr-FR" w:eastAsia="en-US"/>
    </w:rPr>
  </w:style>
  <w:style w:type="paragraph" w:styleId="Header">
    <w:name w:val="header"/>
    <w:basedOn w:val="Normal"/>
    <w:link w:val="HeaderChar"/>
    <w:unhideWhenUsed/>
    <w:rsid w:val="00870F3D"/>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870F3D"/>
    <w:rPr>
      <w:sz w:val="24"/>
      <w:lang w:val="fr-FR" w:eastAsia="en-US"/>
    </w:rPr>
  </w:style>
  <w:style w:type="character" w:customStyle="1" w:styleId="HeadingbChar">
    <w:name w:val="Heading_b Char"/>
    <w:basedOn w:val="DefaultParagraphFont"/>
    <w:link w:val="Headingb"/>
    <w:locked/>
    <w:rsid w:val="00B17B1F"/>
    <w:rPr>
      <w:b/>
      <w:sz w:val="24"/>
      <w:lang w:val="fr-FR" w:eastAsia="en-US"/>
    </w:rPr>
  </w:style>
  <w:style w:type="character" w:customStyle="1" w:styleId="enumlev1Char">
    <w:name w:val="enumlev1 Char"/>
    <w:basedOn w:val="DefaultParagraphFont"/>
    <w:link w:val="enumlev1"/>
    <w:locked/>
    <w:rsid w:val="00B17B1F"/>
    <w:rPr>
      <w:sz w:val="24"/>
      <w:lang w:val="fr-FR" w:eastAsia="en-US"/>
    </w:rPr>
  </w:style>
  <w:style w:type="character" w:customStyle="1" w:styleId="TableheadChar">
    <w:name w:val="Table_head Char"/>
    <w:basedOn w:val="DefaultParagraphFont"/>
    <w:link w:val="Tablehead"/>
    <w:locked/>
    <w:rsid w:val="00B17B1F"/>
    <w:rPr>
      <w:b/>
      <w:sz w:val="22"/>
      <w:lang w:val="fr-FR" w:eastAsia="en-US"/>
    </w:rPr>
  </w:style>
  <w:style w:type="character" w:customStyle="1" w:styleId="TablelegendChar">
    <w:name w:val="Table_legend Char"/>
    <w:basedOn w:val="TabletextChar"/>
    <w:link w:val="Tablelegend"/>
    <w:locked/>
    <w:rsid w:val="00B17B1F"/>
    <w:rPr>
      <w:sz w:val="22"/>
      <w:lang w:val="fr-FR" w:eastAsia="en-US"/>
    </w:rPr>
  </w:style>
  <w:style w:type="character" w:customStyle="1" w:styleId="TabletextChar">
    <w:name w:val="Table_text Char"/>
    <w:basedOn w:val="DefaultParagraphFont"/>
    <w:link w:val="Tabletext"/>
    <w:rsid w:val="00B17B1F"/>
    <w:rPr>
      <w:sz w:val="22"/>
      <w:lang w:val="fr-FR" w:eastAsia="en-US"/>
    </w:rPr>
  </w:style>
  <w:style w:type="character" w:customStyle="1" w:styleId="TableNoChar">
    <w:name w:val="Table_No Char"/>
    <w:basedOn w:val="DefaultParagraphFont"/>
    <w:link w:val="TableNo"/>
    <w:rsid w:val="00B17B1F"/>
    <w:rPr>
      <w:sz w:val="24"/>
      <w:lang w:val="fr-FR" w:eastAsia="en-US"/>
    </w:rPr>
  </w:style>
  <w:style w:type="character" w:customStyle="1" w:styleId="EquationChar">
    <w:name w:val="Equation Char"/>
    <w:basedOn w:val="DefaultParagraphFont"/>
    <w:link w:val="Equation"/>
    <w:locked/>
    <w:rsid w:val="00B17B1F"/>
    <w:rPr>
      <w:sz w:val="24"/>
      <w:lang w:val="fr-FR" w:eastAsia="en-US"/>
    </w:rPr>
  </w:style>
  <w:style w:type="character" w:customStyle="1" w:styleId="FiguretitleChar">
    <w:name w:val="Figure_title Char"/>
    <w:basedOn w:val="DefaultParagraphFont"/>
    <w:link w:val="Figuretitle"/>
    <w:locked/>
    <w:rsid w:val="00B17B1F"/>
    <w:rPr>
      <w:rFonts w:ascii="Times New Roman Bold" w:hAnsi="Times New Roman Bold"/>
      <w:b/>
      <w:sz w:val="18"/>
      <w:lang w:val="fr-FR" w:eastAsia="en-US"/>
    </w:rPr>
  </w:style>
  <w:style w:type="character" w:customStyle="1" w:styleId="FigureNoChar">
    <w:name w:val="Figure_No Char"/>
    <w:basedOn w:val="DefaultParagraphFont"/>
    <w:link w:val="FigureNo"/>
    <w:locked/>
    <w:rsid w:val="00B17B1F"/>
    <w:rPr>
      <w:caps/>
      <w:sz w:val="18"/>
      <w:lang w:val="fr-FR" w:eastAsia="en-US"/>
    </w:rPr>
  </w:style>
  <w:style w:type="character" w:customStyle="1" w:styleId="FootnoteTextChar">
    <w:name w:val="Footnote Text Char"/>
    <w:basedOn w:val="DefaultParagraphFont"/>
    <w:link w:val="FootnoteText"/>
    <w:rsid w:val="00B17B1F"/>
    <w:rPr>
      <w:sz w:val="22"/>
      <w:lang w:val="fr-FR" w:eastAsia="en-US"/>
    </w:rPr>
  </w:style>
  <w:style w:type="character" w:customStyle="1" w:styleId="TabletitleChar">
    <w:name w:val="Table_title Char"/>
    <w:basedOn w:val="DefaultParagraphFont"/>
    <w:link w:val="Tabletitle"/>
    <w:rsid w:val="00B17B1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header" Target="header6.xm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footer" Target="footer2.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oter" Target="footer1.xml"/><Relationship Id="rId8" Type="http://schemas.openxmlformats.org/officeDocument/2006/relationships/header" Target="header1.xml"/><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C03A1-F9AB-468F-9420-4384445C0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564</TotalTime>
  <Pages>24</Pages>
  <Words>7714</Words>
  <Characters>39116</Characters>
  <Application>Microsoft Office Word</Application>
  <DocSecurity>0</DocSecurity>
  <Lines>931</Lines>
  <Paragraphs>66</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46764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Oficina de Radiocomunicaciones del UIT (BR)</dc:creator>
  <cp:keywords>,</cp:keywords>
  <dc:description>Martiner, 08.08.2014, ITU51007786</dc:description>
  <cp:lastModifiedBy>Martinez Romera, Angel</cp:lastModifiedBy>
  <cp:revision>73</cp:revision>
  <cp:lastPrinted>2014-08-08T08:45:00Z</cp:lastPrinted>
  <dcterms:created xsi:type="dcterms:W3CDTF">2014-08-06T07:32:00Z</dcterms:created>
  <dcterms:modified xsi:type="dcterms:W3CDTF">2014-08-08T08:47:00Z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vendredi 8 août 2014</vt:lpwstr>
  </property>
</Properties>
</file>