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52AC" w14:textId="77777777" w:rsidR="00FE79FE" w:rsidRPr="00C74816" w:rsidRDefault="00FE79FE">
      <w:pPr>
        <w:rPr>
          <w:lang w:val="ru-RU"/>
        </w:rPr>
      </w:pPr>
    </w:p>
    <w:p w14:paraId="47AD42B0" w14:textId="77777777" w:rsidR="00013002" w:rsidRPr="00C74816" w:rsidRDefault="00013002" w:rsidP="00DE5556">
      <w:pPr>
        <w:tabs>
          <w:tab w:val="clear" w:pos="794"/>
          <w:tab w:val="clear" w:pos="1191"/>
          <w:tab w:val="clear" w:pos="1588"/>
          <w:tab w:val="clear" w:pos="1985"/>
        </w:tabs>
        <w:rPr>
          <w:lang w:val="ru-RU"/>
        </w:rPr>
      </w:pPr>
    </w:p>
    <w:p w14:paraId="5CE4283C" w14:textId="09CDF990" w:rsidR="00D5024B" w:rsidRPr="00C74816" w:rsidRDefault="0036359D" w:rsidP="00D5024B">
      <w:pPr>
        <w:pStyle w:val="CoverNumber"/>
        <w:rPr>
          <w:lang w:val="ru-RU"/>
        </w:rPr>
      </w:pPr>
      <w:r w:rsidRPr="00C74816">
        <w:rPr>
          <w:lang w:val="ru-RU"/>
        </w:rPr>
        <w:t>Отчет</w:t>
      </w:r>
      <w:r w:rsidR="00E97A57" w:rsidRPr="00C74816">
        <w:rPr>
          <w:lang w:val="ru-RU"/>
        </w:rPr>
        <w:t xml:space="preserve"> </w:t>
      </w:r>
      <w:r w:rsidRPr="00C74816">
        <w:rPr>
          <w:lang w:val="ru-RU"/>
        </w:rPr>
        <w:t>МСЭ</w:t>
      </w:r>
      <w:r w:rsidR="00E97A57" w:rsidRPr="00C74816">
        <w:rPr>
          <w:lang w:val="ru-RU"/>
        </w:rPr>
        <w:t xml:space="preserve">-R </w:t>
      </w:r>
      <w:r w:rsidR="00422C27" w:rsidRPr="00C74816">
        <w:rPr>
          <w:lang w:val="ru-RU"/>
        </w:rPr>
        <w:t>S</w:t>
      </w:r>
      <w:r w:rsidR="00E67DC9" w:rsidRPr="00C74816">
        <w:rPr>
          <w:lang w:val="ru-RU"/>
        </w:rPr>
        <w:t>M</w:t>
      </w:r>
      <w:r w:rsidR="00E97A57" w:rsidRPr="00C74816">
        <w:rPr>
          <w:lang w:val="ru-RU"/>
        </w:rPr>
        <w:t>.</w:t>
      </w:r>
      <w:r w:rsidR="006C0064" w:rsidRPr="00C74816">
        <w:rPr>
          <w:lang w:val="ru-RU"/>
        </w:rPr>
        <w:t>2179-2</w:t>
      </w:r>
    </w:p>
    <w:p w14:paraId="37E87EE2" w14:textId="68499A94" w:rsidR="00D5024B" w:rsidRPr="00C74816" w:rsidRDefault="00D5024B" w:rsidP="00D5024B">
      <w:pPr>
        <w:pStyle w:val="CoverDate"/>
        <w:rPr>
          <w:lang w:val="ru-RU"/>
        </w:rPr>
      </w:pPr>
      <w:r w:rsidRPr="00C74816">
        <w:rPr>
          <w:lang w:val="ru-RU"/>
        </w:rPr>
        <w:t>(</w:t>
      </w:r>
      <w:r w:rsidR="00710FE8" w:rsidRPr="00C74816">
        <w:rPr>
          <w:lang w:val="ru-RU"/>
        </w:rPr>
        <w:t>06</w:t>
      </w:r>
      <w:r w:rsidRPr="00C74816">
        <w:rPr>
          <w:lang w:val="ru-RU"/>
        </w:rPr>
        <w:t>/</w:t>
      </w:r>
      <w:r w:rsidR="00710FE8" w:rsidRPr="00C74816">
        <w:rPr>
          <w:lang w:val="ru-RU"/>
        </w:rPr>
        <w:t>2023</w:t>
      </w:r>
      <w:r w:rsidRPr="00C74816">
        <w:rPr>
          <w:lang w:val="ru-RU"/>
        </w:rPr>
        <w:t>)</w:t>
      </w:r>
    </w:p>
    <w:p w14:paraId="6D586BF5" w14:textId="628A0AE0" w:rsidR="00D5024B" w:rsidRPr="00C74816" w:rsidRDefault="0036359D" w:rsidP="00D5024B">
      <w:pPr>
        <w:pStyle w:val="CoverSeries"/>
        <w:rPr>
          <w:sz w:val="36"/>
          <w:szCs w:val="36"/>
          <w:lang w:val="ru-RU"/>
        </w:rPr>
      </w:pPr>
      <w:r w:rsidRPr="00C74816">
        <w:rPr>
          <w:sz w:val="36"/>
          <w:szCs w:val="36"/>
          <w:lang w:val="ru-RU"/>
        </w:rPr>
        <w:t xml:space="preserve">Серия </w:t>
      </w:r>
      <w:r w:rsidR="00422C27" w:rsidRPr="00C74816">
        <w:rPr>
          <w:sz w:val="36"/>
          <w:szCs w:val="36"/>
          <w:lang w:val="ru-RU"/>
        </w:rPr>
        <w:t>S</w:t>
      </w:r>
      <w:r w:rsidR="00E67DC9" w:rsidRPr="00C74816">
        <w:rPr>
          <w:sz w:val="36"/>
          <w:szCs w:val="36"/>
          <w:lang w:val="ru-RU"/>
        </w:rPr>
        <w:t>M</w:t>
      </w:r>
      <w:r w:rsidR="00E97A57" w:rsidRPr="00C74816">
        <w:rPr>
          <w:sz w:val="36"/>
          <w:szCs w:val="36"/>
          <w:lang w:val="ru-RU"/>
        </w:rPr>
        <w:t xml:space="preserve">: </w:t>
      </w:r>
      <w:r w:rsidRPr="00C74816">
        <w:rPr>
          <w:iCs/>
          <w:sz w:val="36"/>
          <w:szCs w:val="36"/>
          <w:lang w:val="ru-RU"/>
        </w:rPr>
        <w:t>Управление использованием спектра</w:t>
      </w:r>
    </w:p>
    <w:p w14:paraId="74327742" w14:textId="6B7F3797" w:rsidR="00D5024B" w:rsidRPr="00C74816" w:rsidRDefault="0036359D" w:rsidP="00E97A57">
      <w:pPr>
        <w:pStyle w:val="CoverTitle"/>
        <w:rPr>
          <w:lang w:val="ru-RU"/>
        </w:rPr>
      </w:pPr>
      <w:r w:rsidRPr="00C74816">
        <w:rPr>
          <w:lang w:val="ru-RU"/>
        </w:rPr>
        <w:t xml:space="preserve">Измерения для устройств радиосвязи </w:t>
      </w:r>
      <w:r w:rsidRPr="00C74816">
        <w:rPr>
          <w:lang w:val="ru-RU"/>
        </w:rPr>
        <w:br/>
        <w:t>малого радиуса действия</w:t>
      </w:r>
    </w:p>
    <w:p w14:paraId="4F16167D" w14:textId="77777777" w:rsidR="00FE79FE" w:rsidRPr="00C74816" w:rsidRDefault="00FE79FE" w:rsidP="005373E0">
      <w:pPr>
        <w:rPr>
          <w:lang w:val="ru-RU"/>
        </w:rPr>
      </w:pPr>
    </w:p>
    <w:p w14:paraId="1D698876" w14:textId="77777777" w:rsidR="00A71FE5" w:rsidRPr="00C74816" w:rsidRDefault="00A71FE5" w:rsidP="005373E0">
      <w:pPr>
        <w:rPr>
          <w:lang w:val="ru-RU"/>
        </w:rPr>
      </w:pPr>
    </w:p>
    <w:p w14:paraId="74A4E28B" w14:textId="77777777" w:rsidR="00EE47C4" w:rsidRPr="00C74816" w:rsidRDefault="00EE47C4" w:rsidP="005373E0">
      <w:pPr>
        <w:rPr>
          <w:lang w:val="ru-RU"/>
        </w:rPr>
        <w:sectPr w:rsidR="00EE47C4" w:rsidRPr="00C7481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B60C300" w14:textId="77777777" w:rsidR="0036359D" w:rsidRPr="00C74816" w:rsidRDefault="0036359D" w:rsidP="0036359D">
      <w:pPr>
        <w:tabs>
          <w:tab w:val="clear" w:pos="794"/>
          <w:tab w:val="clear" w:pos="1191"/>
          <w:tab w:val="clear" w:pos="1588"/>
          <w:tab w:val="clear" w:pos="1985"/>
        </w:tabs>
        <w:overflowPunct/>
        <w:autoSpaceDE/>
        <w:autoSpaceDN/>
        <w:adjustRightInd/>
        <w:spacing w:before="0"/>
        <w:jc w:val="center"/>
        <w:textAlignment w:val="auto"/>
        <w:rPr>
          <w:b/>
          <w:bCs/>
          <w:lang w:val="ru-RU"/>
        </w:rPr>
      </w:pPr>
      <w:bookmarkStart w:id="0" w:name="c2tope"/>
      <w:bookmarkEnd w:id="0"/>
      <w:r w:rsidRPr="00C74816">
        <w:rPr>
          <w:b/>
          <w:bCs/>
          <w:lang w:val="ru-RU"/>
        </w:rPr>
        <w:lastRenderedPageBreak/>
        <w:t>Предисловие</w:t>
      </w:r>
    </w:p>
    <w:p w14:paraId="6A259197" w14:textId="77777777" w:rsidR="0036359D" w:rsidRPr="00C74816" w:rsidRDefault="0036359D" w:rsidP="0036359D">
      <w:pPr>
        <w:tabs>
          <w:tab w:val="clear" w:pos="794"/>
          <w:tab w:val="clear" w:pos="1191"/>
          <w:tab w:val="clear" w:pos="1588"/>
          <w:tab w:val="clear" w:pos="1985"/>
        </w:tabs>
        <w:overflowPunct/>
        <w:autoSpaceDE/>
        <w:autoSpaceDN/>
        <w:adjustRightInd/>
        <w:textAlignment w:val="auto"/>
        <w:rPr>
          <w:sz w:val="20"/>
          <w:lang w:val="ru-RU"/>
        </w:rPr>
      </w:pPr>
      <w:r w:rsidRPr="00C74816">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3E4F4FB5" w14:textId="77777777" w:rsidR="0036359D" w:rsidRPr="00C74816" w:rsidRDefault="0036359D" w:rsidP="0036359D">
      <w:pPr>
        <w:tabs>
          <w:tab w:val="clear" w:pos="794"/>
          <w:tab w:val="clear" w:pos="1191"/>
          <w:tab w:val="clear" w:pos="1588"/>
          <w:tab w:val="clear" w:pos="1985"/>
        </w:tabs>
        <w:overflowPunct/>
        <w:autoSpaceDE/>
        <w:autoSpaceDN/>
        <w:adjustRightInd/>
        <w:textAlignment w:val="auto"/>
        <w:rPr>
          <w:sz w:val="20"/>
          <w:lang w:val="ru-RU"/>
        </w:rPr>
      </w:pPr>
      <w:r w:rsidRPr="00C74816">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03B1A448" w14:textId="77777777" w:rsidR="0036359D" w:rsidRPr="00C74816" w:rsidRDefault="0036359D" w:rsidP="0036359D">
      <w:pPr>
        <w:tabs>
          <w:tab w:val="clear" w:pos="794"/>
          <w:tab w:val="clear" w:pos="1191"/>
          <w:tab w:val="clear" w:pos="1588"/>
          <w:tab w:val="clear" w:pos="1985"/>
        </w:tabs>
        <w:overflowPunct/>
        <w:autoSpaceDE/>
        <w:autoSpaceDN/>
        <w:adjustRightInd/>
        <w:spacing w:before="360"/>
        <w:jc w:val="center"/>
        <w:textAlignment w:val="auto"/>
        <w:rPr>
          <w:b/>
          <w:bCs/>
          <w:lang w:val="ru-RU"/>
        </w:rPr>
      </w:pPr>
      <w:r w:rsidRPr="00C74816">
        <w:rPr>
          <w:b/>
          <w:bCs/>
          <w:lang w:val="ru-RU"/>
        </w:rPr>
        <w:t>Политика в области прав интеллектуальной собственности (ПИС)</w:t>
      </w:r>
    </w:p>
    <w:p w14:paraId="50F8033F" w14:textId="2792EF21" w:rsidR="0036359D" w:rsidRPr="00C74816" w:rsidRDefault="0036359D" w:rsidP="0036359D">
      <w:pPr>
        <w:tabs>
          <w:tab w:val="clear" w:pos="794"/>
          <w:tab w:val="clear" w:pos="1191"/>
          <w:tab w:val="clear" w:pos="1588"/>
          <w:tab w:val="clear" w:pos="1985"/>
        </w:tabs>
        <w:overflowPunct/>
        <w:autoSpaceDE/>
        <w:autoSpaceDN/>
        <w:adjustRightInd/>
        <w:textAlignment w:val="auto"/>
        <w:rPr>
          <w:sz w:val="20"/>
          <w:lang w:val="ru-RU"/>
        </w:rPr>
      </w:pPr>
      <w:r w:rsidRPr="00C74816">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00EE0FE1" w:rsidRPr="00C74816">
          <w:rPr>
            <w:color w:val="0000FF"/>
            <w:sz w:val="20"/>
            <w:u w:val="single"/>
            <w:lang w:val="ru-RU" w:eastAsia="zh-CN"/>
          </w:rPr>
          <w:t>https://www.itu.int/ITU-R/go/patents/en</w:t>
        </w:r>
      </w:hyperlink>
      <w:r w:rsidRPr="00C74816">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55A15E5A" w14:textId="77777777" w:rsidR="0036359D" w:rsidRPr="00C74816" w:rsidRDefault="0036359D" w:rsidP="0036359D">
      <w:pPr>
        <w:tabs>
          <w:tab w:val="clear" w:pos="794"/>
          <w:tab w:val="clear" w:pos="1191"/>
          <w:tab w:val="clear" w:pos="1588"/>
          <w:tab w:val="clear" w:pos="1985"/>
        </w:tabs>
        <w:overflowPunct/>
        <w:autoSpaceDE/>
        <w:autoSpaceDN/>
        <w:adjustRightInd/>
        <w:jc w:val="left"/>
        <w:textAlignment w:val="auto"/>
        <w:rPr>
          <w:sz w:val="20"/>
          <w:lang w:val="ru-RU" w:eastAsia="zh-CN"/>
        </w:rPr>
      </w:pP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88"/>
        <w:gridCol w:w="7668"/>
      </w:tblGrid>
      <w:tr w:rsidR="0036359D" w:rsidRPr="00C74816" w14:paraId="27D8887A" w14:textId="77777777" w:rsidTr="00892A01">
        <w:trPr>
          <w:jc w:val="center"/>
        </w:trPr>
        <w:tc>
          <w:tcPr>
            <w:tcW w:w="8856" w:type="dxa"/>
            <w:gridSpan w:val="2"/>
          </w:tcPr>
          <w:p w14:paraId="4D3046D8" w14:textId="77777777" w:rsidR="0036359D" w:rsidRPr="00C74816" w:rsidRDefault="0036359D" w:rsidP="00892A01">
            <w:pPr>
              <w:spacing w:before="180"/>
              <w:jc w:val="center"/>
              <w:rPr>
                <w:b/>
                <w:bCs/>
                <w:szCs w:val="22"/>
                <w:lang w:val="ru-RU"/>
              </w:rPr>
            </w:pPr>
            <w:r w:rsidRPr="00C74816">
              <w:rPr>
                <w:b/>
                <w:bCs/>
                <w:szCs w:val="22"/>
                <w:lang w:val="ru-RU"/>
              </w:rPr>
              <w:t>Серии Отчетов МСЭ-R</w:t>
            </w:r>
          </w:p>
          <w:p w14:paraId="501A9BD1" w14:textId="04AE3E22" w:rsidR="0036359D" w:rsidRPr="00C74816" w:rsidRDefault="0036359D" w:rsidP="00892A01">
            <w:pPr>
              <w:spacing w:after="240"/>
              <w:jc w:val="center"/>
              <w:rPr>
                <w:sz w:val="18"/>
                <w:szCs w:val="18"/>
                <w:lang w:val="ru-RU"/>
              </w:rPr>
            </w:pPr>
            <w:r w:rsidRPr="00C74816">
              <w:rPr>
                <w:sz w:val="18"/>
                <w:szCs w:val="18"/>
                <w:lang w:val="ru-RU"/>
              </w:rPr>
              <w:t xml:space="preserve">(Представлены также в онлайновой форме по адресу: </w:t>
            </w:r>
            <w:hyperlink r:id="rId12" w:history="1">
              <w:r w:rsidR="00EE0FE1" w:rsidRPr="00C74816">
                <w:rPr>
                  <w:rStyle w:val="Hyperlink"/>
                  <w:bCs/>
                  <w:sz w:val="18"/>
                  <w:szCs w:val="18"/>
                  <w:lang w:val="ru-RU"/>
                </w:rPr>
                <w:t>https://www.itu.int/publ/R-REP/ru</w:t>
              </w:r>
            </w:hyperlink>
            <w:r w:rsidRPr="00C74816">
              <w:rPr>
                <w:sz w:val="18"/>
                <w:szCs w:val="18"/>
                <w:lang w:val="ru-RU"/>
              </w:rPr>
              <w:t>)</w:t>
            </w:r>
          </w:p>
        </w:tc>
      </w:tr>
      <w:tr w:rsidR="0036359D" w:rsidRPr="00C74816" w14:paraId="786A1688" w14:textId="77777777" w:rsidTr="00892A01">
        <w:trPr>
          <w:jc w:val="center"/>
        </w:trPr>
        <w:tc>
          <w:tcPr>
            <w:tcW w:w="1188" w:type="dxa"/>
          </w:tcPr>
          <w:p w14:paraId="38F88B36" w14:textId="77777777" w:rsidR="0036359D" w:rsidRPr="00C74816" w:rsidRDefault="0036359D" w:rsidP="00892A01">
            <w:pPr>
              <w:spacing w:before="40" w:after="40" w:line="220" w:lineRule="exact"/>
              <w:rPr>
                <w:b/>
                <w:bCs/>
                <w:sz w:val="20"/>
                <w:lang w:val="ru-RU"/>
              </w:rPr>
            </w:pPr>
            <w:r w:rsidRPr="00C74816">
              <w:rPr>
                <w:b/>
                <w:bCs/>
                <w:sz w:val="20"/>
                <w:lang w:val="ru-RU"/>
              </w:rPr>
              <w:t>Серия</w:t>
            </w:r>
          </w:p>
        </w:tc>
        <w:tc>
          <w:tcPr>
            <w:tcW w:w="7668" w:type="dxa"/>
          </w:tcPr>
          <w:p w14:paraId="320156C2" w14:textId="77777777" w:rsidR="0036359D" w:rsidRPr="00C74816" w:rsidRDefault="0036359D" w:rsidP="00892A01">
            <w:pPr>
              <w:spacing w:before="40" w:after="40" w:line="220" w:lineRule="exact"/>
              <w:jc w:val="center"/>
              <w:rPr>
                <w:b/>
                <w:bCs/>
                <w:sz w:val="20"/>
                <w:lang w:val="ru-RU"/>
              </w:rPr>
            </w:pPr>
            <w:r w:rsidRPr="00C74816">
              <w:rPr>
                <w:b/>
                <w:bCs/>
                <w:sz w:val="20"/>
                <w:lang w:val="ru-RU"/>
              </w:rPr>
              <w:t>Название</w:t>
            </w:r>
          </w:p>
        </w:tc>
      </w:tr>
      <w:tr w:rsidR="0036359D" w:rsidRPr="00C74816" w14:paraId="67656164" w14:textId="77777777" w:rsidTr="00892A01">
        <w:trPr>
          <w:jc w:val="center"/>
        </w:trPr>
        <w:tc>
          <w:tcPr>
            <w:tcW w:w="1188" w:type="dxa"/>
          </w:tcPr>
          <w:p w14:paraId="18EF593E" w14:textId="77777777" w:rsidR="0036359D" w:rsidRPr="00C74816" w:rsidRDefault="0036359D" w:rsidP="00892A01">
            <w:pPr>
              <w:spacing w:before="40" w:after="40" w:line="220" w:lineRule="exact"/>
              <w:rPr>
                <w:b/>
                <w:bCs/>
                <w:sz w:val="20"/>
                <w:lang w:val="ru-RU"/>
              </w:rPr>
            </w:pPr>
            <w:r w:rsidRPr="00C74816">
              <w:rPr>
                <w:b/>
                <w:bCs/>
                <w:sz w:val="20"/>
                <w:lang w:val="ru-RU"/>
              </w:rPr>
              <w:t>BO</w:t>
            </w:r>
          </w:p>
        </w:tc>
        <w:tc>
          <w:tcPr>
            <w:tcW w:w="7668" w:type="dxa"/>
          </w:tcPr>
          <w:p w14:paraId="313F607D" w14:textId="22F6A0AB" w:rsidR="0036359D" w:rsidRPr="00C74816" w:rsidRDefault="0036359D" w:rsidP="00892A01">
            <w:pPr>
              <w:spacing w:before="40" w:after="40" w:line="220" w:lineRule="exact"/>
              <w:rPr>
                <w:sz w:val="20"/>
                <w:lang w:val="ru-RU"/>
              </w:rPr>
            </w:pPr>
            <w:r w:rsidRPr="00C74816">
              <w:rPr>
                <w:sz w:val="20"/>
                <w:lang w:val="ru-RU"/>
              </w:rPr>
              <w:t>Спутниковое радиовещание</w:t>
            </w:r>
          </w:p>
        </w:tc>
      </w:tr>
      <w:tr w:rsidR="0036359D" w:rsidRPr="00C74816" w14:paraId="5883801E" w14:textId="77777777" w:rsidTr="00892A01">
        <w:trPr>
          <w:jc w:val="center"/>
        </w:trPr>
        <w:tc>
          <w:tcPr>
            <w:tcW w:w="1188" w:type="dxa"/>
            <w:tcBorders>
              <w:bottom w:val="nil"/>
            </w:tcBorders>
          </w:tcPr>
          <w:p w14:paraId="37562C32" w14:textId="77777777" w:rsidR="0036359D" w:rsidRPr="00C74816" w:rsidRDefault="0036359D" w:rsidP="00892A01">
            <w:pPr>
              <w:spacing w:before="40" w:after="40" w:line="220" w:lineRule="exact"/>
              <w:rPr>
                <w:b/>
                <w:bCs/>
                <w:sz w:val="20"/>
                <w:lang w:val="ru-RU"/>
              </w:rPr>
            </w:pPr>
            <w:r w:rsidRPr="00C74816">
              <w:rPr>
                <w:b/>
                <w:bCs/>
                <w:sz w:val="20"/>
                <w:lang w:val="ru-RU"/>
              </w:rPr>
              <w:t>BR</w:t>
            </w:r>
          </w:p>
        </w:tc>
        <w:tc>
          <w:tcPr>
            <w:tcW w:w="7668" w:type="dxa"/>
            <w:tcBorders>
              <w:bottom w:val="nil"/>
            </w:tcBorders>
          </w:tcPr>
          <w:p w14:paraId="7FEA3F18" w14:textId="77777777" w:rsidR="0036359D" w:rsidRPr="00C74816" w:rsidRDefault="0036359D" w:rsidP="00892A01">
            <w:pPr>
              <w:spacing w:before="40" w:after="40" w:line="220" w:lineRule="exact"/>
              <w:rPr>
                <w:sz w:val="20"/>
                <w:lang w:val="ru-RU"/>
              </w:rPr>
            </w:pPr>
            <w:r w:rsidRPr="00C74816">
              <w:rPr>
                <w:sz w:val="20"/>
                <w:lang w:val="ru-RU"/>
              </w:rPr>
              <w:t>Запись для производства, архивирования и воспроизведения; пленки для телевидения</w:t>
            </w:r>
          </w:p>
        </w:tc>
      </w:tr>
      <w:tr w:rsidR="0036359D" w:rsidRPr="00C74816" w14:paraId="240AFC75" w14:textId="77777777" w:rsidTr="00892A01">
        <w:trPr>
          <w:jc w:val="center"/>
        </w:trPr>
        <w:tc>
          <w:tcPr>
            <w:tcW w:w="1188" w:type="dxa"/>
            <w:tcBorders>
              <w:top w:val="nil"/>
              <w:bottom w:val="nil"/>
            </w:tcBorders>
            <w:shd w:val="clear" w:color="auto" w:fill="FFFFFF"/>
          </w:tcPr>
          <w:p w14:paraId="47D6D73D" w14:textId="77777777" w:rsidR="0036359D" w:rsidRPr="00C74816" w:rsidRDefault="0036359D" w:rsidP="00892A01">
            <w:pPr>
              <w:spacing w:before="40" w:after="40" w:line="220" w:lineRule="exact"/>
              <w:rPr>
                <w:b/>
                <w:bCs/>
                <w:sz w:val="20"/>
                <w:lang w:val="ru-RU"/>
              </w:rPr>
            </w:pPr>
            <w:r w:rsidRPr="00C74816">
              <w:rPr>
                <w:b/>
                <w:bCs/>
                <w:sz w:val="20"/>
                <w:lang w:val="ru-RU"/>
              </w:rPr>
              <w:t>BS</w:t>
            </w:r>
          </w:p>
        </w:tc>
        <w:tc>
          <w:tcPr>
            <w:tcW w:w="7668" w:type="dxa"/>
            <w:tcBorders>
              <w:top w:val="nil"/>
              <w:bottom w:val="nil"/>
            </w:tcBorders>
            <w:shd w:val="clear" w:color="auto" w:fill="FFFFFF"/>
          </w:tcPr>
          <w:p w14:paraId="180C1EEC" w14:textId="77777777" w:rsidR="0036359D" w:rsidRPr="00C74816" w:rsidRDefault="0036359D" w:rsidP="00892A01">
            <w:pPr>
              <w:spacing w:before="40" w:after="40" w:line="220" w:lineRule="exact"/>
              <w:rPr>
                <w:sz w:val="20"/>
                <w:lang w:val="ru-RU"/>
              </w:rPr>
            </w:pPr>
            <w:r w:rsidRPr="00C74816">
              <w:rPr>
                <w:sz w:val="20"/>
                <w:lang w:val="ru-RU"/>
              </w:rPr>
              <w:t>Радиовещательная служба (звуковая)</w:t>
            </w:r>
          </w:p>
        </w:tc>
      </w:tr>
      <w:tr w:rsidR="0036359D" w:rsidRPr="00C74816" w14:paraId="4BE62DD9" w14:textId="77777777" w:rsidTr="00892A01">
        <w:trPr>
          <w:jc w:val="center"/>
        </w:trPr>
        <w:tc>
          <w:tcPr>
            <w:tcW w:w="1188" w:type="dxa"/>
            <w:tcBorders>
              <w:top w:val="nil"/>
            </w:tcBorders>
          </w:tcPr>
          <w:p w14:paraId="5483DB3C" w14:textId="77777777" w:rsidR="0036359D" w:rsidRPr="00C74816" w:rsidRDefault="0036359D" w:rsidP="00892A01">
            <w:pPr>
              <w:spacing w:before="40" w:after="40" w:line="220" w:lineRule="exact"/>
              <w:rPr>
                <w:b/>
                <w:bCs/>
                <w:sz w:val="20"/>
                <w:lang w:val="ru-RU"/>
              </w:rPr>
            </w:pPr>
            <w:r w:rsidRPr="00C74816">
              <w:rPr>
                <w:b/>
                <w:bCs/>
                <w:sz w:val="20"/>
                <w:lang w:val="ru-RU"/>
              </w:rPr>
              <w:t>BT</w:t>
            </w:r>
          </w:p>
        </w:tc>
        <w:tc>
          <w:tcPr>
            <w:tcW w:w="7668" w:type="dxa"/>
            <w:tcBorders>
              <w:top w:val="nil"/>
            </w:tcBorders>
          </w:tcPr>
          <w:p w14:paraId="617E789E" w14:textId="77777777" w:rsidR="0036359D" w:rsidRPr="00C74816" w:rsidRDefault="0036359D" w:rsidP="00892A01">
            <w:pPr>
              <w:spacing w:before="40" w:after="40" w:line="220" w:lineRule="exact"/>
              <w:rPr>
                <w:sz w:val="20"/>
                <w:lang w:val="ru-RU"/>
              </w:rPr>
            </w:pPr>
            <w:r w:rsidRPr="00C74816">
              <w:rPr>
                <w:sz w:val="20"/>
                <w:lang w:val="ru-RU"/>
              </w:rPr>
              <w:t>Радиовещательная служба (телевизионная)</w:t>
            </w:r>
          </w:p>
        </w:tc>
      </w:tr>
      <w:tr w:rsidR="0036359D" w:rsidRPr="00C74816" w14:paraId="387B9755" w14:textId="77777777" w:rsidTr="00892A01">
        <w:trPr>
          <w:jc w:val="center"/>
        </w:trPr>
        <w:tc>
          <w:tcPr>
            <w:tcW w:w="1188" w:type="dxa"/>
            <w:tcBorders>
              <w:bottom w:val="nil"/>
            </w:tcBorders>
          </w:tcPr>
          <w:p w14:paraId="5879BF9D" w14:textId="77777777" w:rsidR="0036359D" w:rsidRPr="00C74816" w:rsidRDefault="0036359D" w:rsidP="00892A01">
            <w:pPr>
              <w:spacing w:before="40" w:after="40" w:line="220" w:lineRule="exact"/>
              <w:rPr>
                <w:b/>
                <w:bCs/>
                <w:sz w:val="20"/>
                <w:lang w:val="ru-RU"/>
              </w:rPr>
            </w:pPr>
            <w:r w:rsidRPr="00C74816">
              <w:rPr>
                <w:b/>
                <w:bCs/>
                <w:sz w:val="20"/>
                <w:lang w:val="ru-RU"/>
              </w:rPr>
              <w:t>F</w:t>
            </w:r>
          </w:p>
        </w:tc>
        <w:tc>
          <w:tcPr>
            <w:tcW w:w="7668" w:type="dxa"/>
            <w:tcBorders>
              <w:bottom w:val="nil"/>
            </w:tcBorders>
          </w:tcPr>
          <w:p w14:paraId="51B8C572" w14:textId="77777777" w:rsidR="0036359D" w:rsidRPr="00C74816" w:rsidRDefault="0036359D" w:rsidP="00892A01">
            <w:pPr>
              <w:spacing w:before="40" w:after="40" w:line="220" w:lineRule="exact"/>
              <w:rPr>
                <w:sz w:val="20"/>
                <w:lang w:val="ru-RU"/>
              </w:rPr>
            </w:pPr>
            <w:r w:rsidRPr="00C74816">
              <w:rPr>
                <w:sz w:val="20"/>
                <w:lang w:val="ru-RU"/>
              </w:rPr>
              <w:t>Фиксированная служба</w:t>
            </w:r>
          </w:p>
        </w:tc>
      </w:tr>
      <w:tr w:rsidR="0036359D" w:rsidRPr="00C74816" w14:paraId="262D0366" w14:textId="77777777" w:rsidTr="00892A01">
        <w:trPr>
          <w:jc w:val="center"/>
        </w:trPr>
        <w:tc>
          <w:tcPr>
            <w:tcW w:w="1188" w:type="dxa"/>
            <w:tcBorders>
              <w:top w:val="nil"/>
              <w:bottom w:val="nil"/>
            </w:tcBorders>
            <w:shd w:val="clear" w:color="auto" w:fill="auto"/>
          </w:tcPr>
          <w:p w14:paraId="78696773" w14:textId="77777777" w:rsidR="0036359D" w:rsidRPr="00C74816" w:rsidRDefault="0036359D" w:rsidP="00892A01">
            <w:pPr>
              <w:spacing w:before="40" w:after="40" w:line="220" w:lineRule="exact"/>
              <w:rPr>
                <w:b/>
                <w:bCs/>
                <w:sz w:val="20"/>
                <w:lang w:val="ru-RU"/>
              </w:rPr>
            </w:pPr>
            <w:r w:rsidRPr="00C74816">
              <w:rPr>
                <w:b/>
                <w:bCs/>
                <w:sz w:val="20"/>
                <w:lang w:val="ru-RU"/>
              </w:rPr>
              <w:t>M</w:t>
            </w:r>
          </w:p>
        </w:tc>
        <w:tc>
          <w:tcPr>
            <w:tcW w:w="7668" w:type="dxa"/>
            <w:tcBorders>
              <w:top w:val="nil"/>
              <w:bottom w:val="nil"/>
            </w:tcBorders>
            <w:shd w:val="clear" w:color="auto" w:fill="auto"/>
          </w:tcPr>
          <w:p w14:paraId="7EB2A33B" w14:textId="77777777" w:rsidR="0036359D" w:rsidRPr="00C74816" w:rsidRDefault="0036359D" w:rsidP="00892A01">
            <w:pPr>
              <w:spacing w:before="40" w:after="40" w:line="220" w:lineRule="exact"/>
              <w:rPr>
                <w:sz w:val="20"/>
                <w:lang w:val="ru-RU"/>
              </w:rPr>
            </w:pPr>
            <w:r w:rsidRPr="00C74816">
              <w:rPr>
                <w:sz w:val="20"/>
                <w:lang w:val="ru-RU"/>
              </w:rPr>
              <w:t>Подвижная спутниковая служба, спутниковая служба радиоопределения, любительская спутниковая служба и относящиеся к ним спутниковые службы</w:t>
            </w:r>
          </w:p>
        </w:tc>
      </w:tr>
      <w:tr w:rsidR="0036359D" w:rsidRPr="00C74816" w14:paraId="7C664842" w14:textId="77777777" w:rsidTr="00892A01">
        <w:trPr>
          <w:jc w:val="center"/>
        </w:trPr>
        <w:tc>
          <w:tcPr>
            <w:tcW w:w="1188" w:type="dxa"/>
            <w:tcBorders>
              <w:top w:val="nil"/>
            </w:tcBorders>
          </w:tcPr>
          <w:p w14:paraId="27E8285D" w14:textId="77777777" w:rsidR="0036359D" w:rsidRPr="00C74816" w:rsidRDefault="0036359D" w:rsidP="00892A01">
            <w:pPr>
              <w:spacing w:before="40" w:after="40" w:line="220" w:lineRule="exact"/>
              <w:rPr>
                <w:b/>
                <w:bCs/>
                <w:sz w:val="20"/>
                <w:lang w:val="ru-RU"/>
              </w:rPr>
            </w:pPr>
            <w:r w:rsidRPr="00C74816">
              <w:rPr>
                <w:b/>
                <w:bCs/>
                <w:sz w:val="20"/>
                <w:lang w:val="ru-RU"/>
              </w:rPr>
              <w:t>P</w:t>
            </w:r>
          </w:p>
        </w:tc>
        <w:tc>
          <w:tcPr>
            <w:tcW w:w="7668" w:type="dxa"/>
            <w:tcBorders>
              <w:top w:val="nil"/>
            </w:tcBorders>
          </w:tcPr>
          <w:p w14:paraId="10613621" w14:textId="77777777" w:rsidR="0036359D" w:rsidRPr="00C74816" w:rsidRDefault="0036359D" w:rsidP="00892A01">
            <w:pPr>
              <w:spacing w:before="40" w:after="40" w:line="220" w:lineRule="exact"/>
              <w:rPr>
                <w:sz w:val="20"/>
                <w:lang w:val="ru-RU"/>
              </w:rPr>
            </w:pPr>
            <w:r w:rsidRPr="00C74816">
              <w:rPr>
                <w:sz w:val="20"/>
                <w:lang w:val="ru-RU"/>
              </w:rPr>
              <w:t>Распространение радиоволн</w:t>
            </w:r>
          </w:p>
        </w:tc>
      </w:tr>
      <w:tr w:rsidR="0036359D" w:rsidRPr="00C74816" w14:paraId="2B1051B8" w14:textId="77777777" w:rsidTr="00892A01">
        <w:trPr>
          <w:jc w:val="center"/>
        </w:trPr>
        <w:tc>
          <w:tcPr>
            <w:tcW w:w="1188" w:type="dxa"/>
          </w:tcPr>
          <w:p w14:paraId="7AEEF59F" w14:textId="77777777" w:rsidR="0036359D" w:rsidRPr="00C74816" w:rsidRDefault="0036359D" w:rsidP="00892A01">
            <w:pPr>
              <w:spacing w:before="40" w:after="40" w:line="220" w:lineRule="exact"/>
              <w:rPr>
                <w:b/>
                <w:bCs/>
                <w:sz w:val="20"/>
                <w:lang w:val="ru-RU"/>
              </w:rPr>
            </w:pPr>
            <w:r w:rsidRPr="00C74816">
              <w:rPr>
                <w:b/>
                <w:bCs/>
                <w:sz w:val="20"/>
                <w:lang w:val="ru-RU"/>
              </w:rPr>
              <w:t>RA</w:t>
            </w:r>
          </w:p>
        </w:tc>
        <w:tc>
          <w:tcPr>
            <w:tcW w:w="7668" w:type="dxa"/>
          </w:tcPr>
          <w:p w14:paraId="3C51D976" w14:textId="77777777" w:rsidR="0036359D" w:rsidRPr="00C74816" w:rsidRDefault="0036359D" w:rsidP="00892A01">
            <w:pPr>
              <w:spacing w:before="40" w:after="40" w:line="220" w:lineRule="exact"/>
              <w:rPr>
                <w:sz w:val="20"/>
                <w:lang w:val="ru-RU"/>
              </w:rPr>
            </w:pPr>
            <w:r w:rsidRPr="00C74816">
              <w:rPr>
                <w:sz w:val="20"/>
                <w:lang w:val="ru-RU"/>
              </w:rPr>
              <w:t>Радиоастрономия</w:t>
            </w:r>
          </w:p>
        </w:tc>
      </w:tr>
      <w:tr w:rsidR="0036359D" w:rsidRPr="00C74816" w14:paraId="1F3157B2" w14:textId="77777777" w:rsidTr="00892A01">
        <w:trPr>
          <w:jc w:val="center"/>
        </w:trPr>
        <w:tc>
          <w:tcPr>
            <w:tcW w:w="1188" w:type="dxa"/>
          </w:tcPr>
          <w:p w14:paraId="2C1BCF1F" w14:textId="77777777" w:rsidR="0036359D" w:rsidRPr="00C74816" w:rsidRDefault="0036359D" w:rsidP="00892A01">
            <w:pPr>
              <w:spacing w:before="40" w:after="40" w:line="220" w:lineRule="exact"/>
              <w:rPr>
                <w:b/>
                <w:bCs/>
                <w:sz w:val="20"/>
                <w:lang w:val="ru-RU"/>
              </w:rPr>
            </w:pPr>
            <w:r w:rsidRPr="00C74816">
              <w:rPr>
                <w:b/>
                <w:bCs/>
                <w:sz w:val="20"/>
                <w:lang w:val="ru-RU"/>
              </w:rPr>
              <w:t>RS</w:t>
            </w:r>
          </w:p>
        </w:tc>
        <w:tc>
          <w:tcPr>
            <w:tcW w:w="7668" w:type="dxa"/>
          </w:tcPr>
          <w:p w14:paraId="41E5927B" w14:textId="77777777" w:rsidR="0036359D" w:rsidRPr="00C74816" w:rsidRDefault="0036359D" w:rsidP="00892A01">
            <w:pPr>
              <w:spacing w:before="40" w:after="40" w:line="220" w:lineRule="exact"/>
              <w:rPr>
                <w:sz w:val="20"/>
                <w:lang w:val="ru-RU"/>
              </w:rPr>
            </w:pPr>
            <w:r w:rsidRPr="00C74816">
              <w:rPr>
                <w:sz w:val="20"/>
                <w:lang w:val="ru-RU"/>
              </w:rPr>
              <w:t>Системы дистанционного зондирования</w:t>
            </w:r>
          </w:p>
        </w:tc>
      </w:tr>
      <w:tr w:rsidR="0036359D" w:rsidRPr="00C74816" w14:paraId="2AA02636" w14:textId="77777777" w:rsidTr="00892A01">
        <w:trPr>
          <w:jc w:val="center"/>
        </w:trPr>
        <w:tc>
          <w:tcPr>
            <w:tcW w:w="1188" w:type="dxa"/>
          </w:tcPr>
          <w:p w14:paraId="42FE076E" w14:textId="77777777" w:rsidR="0036359D" w:rsidRPr="00C74816" w:rsidRDefault="0036359D" w:rsidP="00892A01">
            <w:pPr>
              <w:spacing w:before="40" w:after="40" w:line="220" w:lineRule="exact"/>
              <w:rPr>
                <w:b/>
                <w:bCs/>
                <w:sz w:val="20"/>
                <w:lang w:val="ru-RU"/>
              </w:rPr>
            </w:pPr>
            <w:r w:rsidRPr="00C74816">
              <w:rPr>
                <w:b/>
                <w:bCs/>
                <w:sz w:val="20"/>
                <w:lang w:val="ru-RU"/>
              </w:rPr>
              <w:t>S</w:t>
            </w:r>
          </w:p>
        </w:tc>
        <w:tc>
          <w:tcPr>
            <w:tcW w:w="7668" w:type="dxa"/>
          </w:tcPr>
          <w:p w14:paraId="266FD08B" w14:textId="77777777" w:rsidR="0036359D" w:rsidRPr="00C74816" w:rsidRDefault="0036359D" w:rsidP="00892A01">
            <w:pPr>
              <w:spacing w:before="40" w:after="40" w:line="220" w:lineRule="exact"/>
              <w:rPr>
                <w:sz w:val="20"/>
                <w:lang w:val="ru-RU"/>
              </w:rPr>
            </w:pPr>
            <w:r w:rsidRPr="00C74816">
              <w:rPr>
                <w:sz w:val="20"/>
                <w:lang w:val="ru-RU"/>
              </w:rPr>
              <w:t>Фиксированная спутниковая служба</w:t>
            </w:r>
          </w:p>
        </w:tc>
      </w:tr>
      <w:tr w:rsidR="0036359D" w:rsidRPr="00C74816" w14:paraId="1EE6C1FE" w14:textId="77777777" w:rsidTr="00892A01">
        <w:trPr>
          <w:jc w:val="center"/>
        </w:trPr>
        <w:tc>
          <w:tcPr>
            <w:tcW w:w="1188" w:type="dxa"/>
          </w:tcPr>
          <w:p w14:paraId="5CE6A48E" w14:textId="77777777" w:rsidR="0036359D" w:rsidRPr="00C74816" w:rsidRDefault="0036359D" w:rsidP="00892A01">
            <w:pPr>
              <w:spacing w:before="40" w:after="40" w:line="220" w:lineRule="exact"/>
              <w:rPr>
                <w:b/>
                <w:bCs/>
                <w:sz w:val="20"/>
                <w:lang w:val="ru-RU"/>
              </w:rPr>
            </w:pPr>
            <w:r w:rsidRPr="00C74816">
              <w:rPr>
                <w:b/>
                <w:bCs/>
                <w:sz w:val="20"/>
                <w:lang w:val="ru-RU"/>
              </w:rPr>
              <w:t>SA</w:t>
            </w:r>
          </w:p>
        </w:tc>
        <w:tc>
          <w:tcPr>
            <w:tcW w:w="7668" w:type="dxa"/>
          </w:tcPr>
          <w:p w14:paraId="1743CB9B" w14:textId="77777777" w:rsidR="0036359D" w:rsidRPr="00C74816" w:rsidRDefault="0036359D" w:rsidP="00892A01">
            <w:pPr>
              <w:spacing w:before="40" w:after="40" w:line="220" w:lineRule="exact"/>
              <w:rPr>
                <w:sz w:val="20"/>
                <w:lang w:val="ru-RU"/>
              </w:rPr>
            </w:pPr>
            <w:r w:rsidRPr="00C74816">
              <w:rPr>
                <w:sz w:val="20"/>
                <w:lang w:val="ru-RU"/>
              </w:rPr>
              <w:t>Космические применения и метеорология</w:t>
            </w:r>
          </w:p>
        </w:tc>
      </w:tr>
      <w:tr w:rsidR="0036359D" w:rsidRPr="00C74816" w14:paraId="22B34CE9" w14:textId="77777777" w:rsidTr="00892A01">
        <w:trPr>
          <w:jc w:val="center"/>
        </w:trPr>
        <w:tc>
          <w:tcPr>
            <w:tcW w:w="1188" w:type="dxa"/>
            <w:tcBorders>
              <w:bottom w:val="nil"/>
            </w:tcBorders>
          </w:tcPr>
          <w:p w14:paraId="15ACE818" w14:textId="77777777" w:rsidR="0036359D" w:rsidRPr="00C74816" w:rsidRDefault="0036359D" w:rsidP="00892A01">
            <w:pPr>
              <w:spacing w:before="40" w:after="40" w:line="220" w:lineRule="exact"/>
              <w:rPr>
                <w:b/>
                <w:bCs/>
                <w:sz w:val="20"/>
                <w:lang w:val="ru-RU"/>
              </w:rPr>
            </w:pPr>
            <w:r w:rsidRPr="00C74816">
              <w:rPr>
                <w:b/>
                <w:bCs/>
                <w:sz w:val="20"/>
                <w:lang w:val="ru-RU"/>
              </w:rPr>
              <w:t>SF</w:t>
            </w:r>
          </w:p>
        </w:tc>
        <w:tc>
          <w:tcPr>
            <w:tcW w:w="7668" w:type="dxa"/>
            <w:tcBorders>
              <w:bottom w:val="nil"/>
            </w:tcBorders>
          </w:tcPr>
          <w:p w14:paraId="2550AAC0" w14:textId="77777777" w:rsidR="0036359D" w:rsidRPr="00C74816" w:rsidRDefault="0036359D" w:rsidP="00C41DB8">
            <w:pPr>
              <w:spacing w:before="40" w:after="40" w:line="220" w:lineRule="exact"/>
              <w:rPr>
                <w:sz w:val="20"/>
                <w:lang w:val="ru-RU"/>
              </w:rPr>
            </w:pPr>
            <w:r w:rsidRPr="00C74816">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36359D" w:rsidRPr="00C74816" w14:paraId="1D1AA397" w14:textId="77777777" w:rsidTr="0036359D">
        <w:trPr>
          <w:trHeight w:val="247"/>
          <w:jc w:val="center"/>
        </w:trPr>
        <w:tc>
          <w:tcPr>
            <w:tcW w:w="1188" w:type="dxa"/>
            <w:tcBorders>
              <w:top w:val="nil"/>
              <w:bottom w:val="nil"/>
            </w:tcBorders>
            <w:shd w:val="clear" w:color="auto" w:fill="F2F2F2" w:themeFill="background1" w:themeFillShade="F2"/>
          </w:tcPr>
          <w:p w14:paraId="539A5338" w14:textId="77777777" w:rsidR="0036359D" w:rsidRPr="00C74816" w:rsidRDefault="0036359D" w:rsidP="00C41DB8">
            <w:pPr>
              <w:spacing w:before="40" w:after="40" w:line="220" w:lineRule="exact"/>
              <w:rPr>
                <w:b/>
                <w:bCs/>
                <w:color w:val="000080"/>
                <w:sz w:val="20"/>
                <w:lang w:val="ru-RU"/>
              </w:rPr>
            </w:pPr>
            <w:r w:rsidRPr="00C74816">
              <w:rPr>
                <w:b/>
                <w:bCs/>
                <w:color w:val="000080"/>
                <w:sz w:val="20"/>
                <w:lang w:val="ru-RU"/>
              </w:rPr>
              <w:t>SM</w:t>
            </w:r>
          </w:p>
        </w:tc>
        <w:tc>
          <w:tcPr>
            <w:tcW w:w="7668" w:type="dxa"/>
            <w:tcBorders>
              <w:top w:val="nil"/>
              <w:bottom w:val="nil"/>
            </w:tcBorders>
            <w:shd w:val="clear" w:color="auto" w:fill="F2F2F2" w:themeFill="background1" w:themeFillShade="F2"/>
          </w:tcPr>
          <w:p w14:paraId="62777D9C" w14:textId="4F7B335F" w:rsidR="0036359D" w:rsidRPr="00C74816" w:rsidRDefault="0036359D" w:rsidP="00C41DB8">
            <w:pPr>
              <w:spacing w:before="40" w:after="40" w:line="220" w:lineRule="exact"/>
              <w:rPr>
                <w:b/>
                <w:bCs/>
                <w:color w:val="000080"/>
                <w:sz w:val="20"/>
                <w:lang w:val="ru-RU"/>
              </w:rPr>
            </w:pPr>
            <w:r w:rsidRPr="00C74816">
              <w:rPr>
                <w:b/>
                <w:bCs/>
                <w:color w:val="000080"/>
                <w:sz w:val="20"/>
                <w:lang w:val="ru-RU"/>
              </w:rPr>
              <w:t>Управление использованием спектра</w:t>
            </w:r>
          </w:p>
        </w:tc>
      </w:tr>
      <w:tr w:rsidR="0036359D" w:rsidRPr="00C74816" w14:paraId="5C76D89A" w14:textId="77777777" w:rsidTr="0036359D">
        <w:trPr>
          <w:trHeight w:val="247"/>
          <w:jc w:val="center"/>
        </w:trPr>
        <w:tc>
          <w:tcPr>
            <w:tcW w:w="1188" w:type="dxa"/>
            <w:tcBorders>
              <w:top w:val="nil"/>
              <w:bottom w:val="single" w:sz="12" w:space="0" w:color="auto"/>
            </w:tcBorders>
            <w:shd w:val="clear" w:color="auto" w:fill="FFFFFF" w:themeFill="background1"/>
          </w:tcPr>
          <w:p w14:paraId="1E1249DD" w14:textId="03162678" w:rsidR="0036359D" w:rsidRPr="00C74816" w:rsidRDefault="0036359D" w:rsidP="0036359D">
            <w:pPr>
              <w:spacing w:before="40" w:after="40" w:line="220" w:lineRule="exact"/>
              <w:rPr>
                <w:b/>
                <w:bCs/>
                <w:sz w:val="20"/>
                <w:lang w:val="ru-RU"/>
              </w:rPr>
            </w:pPr>
            <w:r w:rsidRPr="00C74816">
              <w:rPr>
                <w:b/>
                <w:bCs/>
                <w:sz w:val="20"/>
                <w:lang w:val="ru-RU"/>
              </w:rPr>
              <w:t>TF</w:t>
            </w:r>
          </w:p>
        </w:tc>
        <w:tc>
          <w:tcPr>
            <w:tcW w:w="7668" w:type="dxa"/>
            <w:tcBorders>
              <w:top w:val="nil"/>
              <w:bottom w:val="single" w:sz="12" w:space="0" w:color="auto"/>
            </w:tcBorders>
            <w:shd w:val="clear" w:color="auto" w:fill="FFFFFF" w:themeFill="background1"/>
          </w:tcPr>
          <w:p w14:paraId="3EA85FFA" w14:textId="2DEEA359" w:rsidR="0036359D" w:rsidRPr="00C74816" w:rsidRDefault="004D349B" w:rsidP="0036359D">
            <w:pPr>
              <w:spacing w:before="40" w:after="180" w:line="220" w:lineRule="exact"/>
              <w:rPr>
                <w:b/>
                <w:bCs/>
                <w:sz w:val="20"/>
                <w:lang w:val="ru-RU"/>
              </w:rPr>
            </w:pPr>
            <w:r w:rsidRPr="00C74816">
              <w:rPr>
                <w:sz w:val="20"/>
                <w:lang w:val="ru-RU"/>
              </w:rPr>
              <w:t>Передача сигналов времени и эталонных частот</w:t>
            </w:r>
          </w:p>
        </w:tc>
      </w:tr>
    </w:tbl>
    <w:p w14:paraId="0537607F" w14:textId="77777777" w:rsidR="0036359D" w:rsidRPr="00C74816" w:rsidRDefault="0036359D" w:rsidP="0036359D">
      <w:pPr>
        <w:tabs>
          <w:tab w:val="clear" w:pos="794"/>
          <w:tab w:val="clear" w:pos="1191"/>
          <w:tab w:val="clear" w:pos="1588"/>
          <w:tab w:val="clear" w:pos="1985"/>
        </w:tabs>
        <w:overflowPunct/>
        <w:autoSpaceDE/>
        <w:autoSpaceDN/>
        <w:adjustRightInd/>
        <w:spacing w:before="0"/>
        <w:jc w:val="left"/>
        <w:textAlignment w:val="auto"/>
        <w:rPr>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36359D" w:rsidRPr="00C74816" w14:paraId="468B1EEA" w14:textId="77777777" w:rsidTr="00892A01">
        <w:trPr>
          <w:jc w:val="center"/>
        </w:trPr>
        <w:tc>
          <w:tcPr>
            <w:tcW w:w="8856" w:type="dxa"/>
          </w:tcPr>
          <w:p w14:paraId="387DA0B5" w14:textId="28766A92" w:rsidR="0036359D" w:rsidRPr="00C74816" w:rsidRDefault="0036359D" w:rsidP="00892A01">
            <w:pPr>
              <w:spacing w:after="120"/>
              <w:jc w:val="left"/>
              <w:rPr>
                <w:i/>
                <w:iCs/>
                <w:sz w:val="20"/>
                <w:lang w:val="ru-RU" w:eastAsia="zh-CN"/>
              </w:rPr>
            </w:pPr>
            <w:r w:rsidRPr="00C74816">
              <w:rPr>
                <w:b/>
                <w:bCs/>
                <w:i/>
                <w:iCs/>
                <w:sz w:val="20"/>
                <w:lang w:val="ru-RU"/>
              </w:rPr>
              <w:t>Примечание</w:t>
            </w:r>
            <w:r w:rsidRPr="00C74816">
              <w:rPr>
                <w:i/>
                <w:iCs/>
                <w:sz w:val="20"/>
                <w:lang w:val="ru-RU"/>
              </w:rPr>
              <w:t>. – Настоящий Отчет МСЭ-R утвержден на английском языке Исследовательской комиссией в соответствии с процедурой, изложенной в Резолюции 1 МСЭ</w:t>
            </w:r>
            <w:r w:rsidRPr="00C74816">
              <w:rPr>
                <w:i/>
                <w:iCs/>
                <w:sz w:val="20"/>
                <w:lang w:val="ru-RU"/>
              </w:rPr>
              <w:noBreakHyphen/>
              <w:t>R.</w:t>
            </w:r>
          </w:p>
        </w:tc>
      </w:tr>
    </w:tbl>
    <w:p w14:paraId="622DC4B5" w14:textId="272C10BE" w:rsidR="0036359D" w:rsidRPr="00C74816" w:rsidRDefault="0036359D" w:rsidP="0036359D">
      <w:pPr>
        <w:spacing w:before="360"/>
        <w:jc w:val="right"/>
        <w:rPr>
          <w:sz w:val="20"/>
          <w:lang w:val="ru-RU"/>
        </w:rPr>
      </w:pPr>
      <w:r w:rsidRPr="00C74816">
        <w:rPr>
          <w:i/>
          <w:iCs/>
          <w:sz w:val="20"/>
          <w:lang w:val="ru-RU"/>
        </w:rPr>
        <w:t>Электронная публикация</w:t>
      </w:r>
      <w:r w:rsidRPr="00C74816">
        <w:rPr>
          <w:i/>
          <w:iCs/>
          <w:sz w:val="20"/>
          <w:lang w:val="ru-RU"/>
        </w:rPr>
        <w:br/>
      </w:r>
      <w:r w:rsidRPr="00C74816">
        <w:rPr>
          <w:sz w:val="20"/>
          <w:lang w:val="ru-RU"/>
        </w:rPr>
        <w:t>Женева, 202</w:t>
      </w:r>
      <w:r w:rsidR="00667C1C" w:rsidRPr="00C74816">
        <w:rPr>
          <w:sz w:val="20"/>
          <w:lang w:val="ru-RU"/>
        </w:rPr>
        <w:t>5</w:t>
      </w:r>
      <w:r w:rsidRPr="00C74816">
        <w:rPr>
          <w:sz w:val="20"/>
          <w:lang w:val="ru-RU"/>
        </w:rPr>
        <w:t xml:space="preserve"> г.</w:t>
      </w:r>
    </w:p>
    <w:p w14:paraId="10E03B75" w14:textId="6A217854" w:rsidR="0036359D" w:rsidRPr="00C74816" w:rsidRDefault="0036359D" w:rsidP="0036359D">
      <w:pPr>
        <w:jc w:val="center"/>
        <w:rPr>
          <w:sz w:val="20"/>
          <w:lang w:val="ru-RU"/>
        </w:rPr>
      </w:pPr>
      <w:r w:rsidRPr="00C74816">
        <w:rPr>
          <w:sz w:val="20"/>
          <w:lang w:val="ru-RU"/>
        </w:rPr>
        <w:sym w:font="Symbol" w:char="F0E3"/>
      </w:r>
      <w:r w:rsidRPr="00C74816">
        <w:rPr>
          <w:sz w:val="20"/>
          <w:lang w:val="ru-RU"/>
        </w:rPr>
        <w:t xml:space="preserve"> ITU </w:t>
      </w:r>
      <w:bookmarkStart w:id="1" w:name="iiannee"/>
      <w:bookmarkEnd w:id="1"/>
      <w:r w:rsidRPr="00C74816">
        <w:rPr>
          <w:sz w:val="20"/>
          <w:lang w:val="ru-RU"/>
        </w:rPr>
        <w:t>202</w:t>
      </w:r>
      <w:r w:rsidR="00667C1C" w:rsidRPr="00C74816">
        <w:rPr>
          <w:sz w:val="20"/>
          <w:lang w:val="ru-RU"/>
        </w:rPr>
        <w:t>5</w:t>
      </w:r>
    </w:p>
    <w:p w14:paraId="0555B9F8" w14:textId="77777777" w:rsidR="0036359D" w:rsidRPr="00C74816" w:rsidRDefault="0036359D" w:rsidP="0036359D">
      <w:pPr>
        <w:rPr>
          <w:sz w:val="24"/>
          <w:szCs w:val="24"/>
          <w:lang w:val="ru-RU"/>
        </w:rPr>
      </w:pPr>
      <w:r w:rsidRPr="00C74816">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10252641" w14:textId="77777777" w:rsidR="007565CC" w:rsidRPr="00C74816" w:rsidRDefault="007565CC" w:rsidP="00A971A1">
      <w:pPr>
        <w:spacing w:before="160"/>
        <w:rPr>
          <w:i/>
          <w:sz w:val="20"/>
          <w:lang w:val="ru-RU"/>
        </w:rPr>
        <w:sectPr w:rsidR="007565CC" w:rsidRPr="00C74816" w:rsidSect="00293246">
          <w:headerReference w:type="even" r:id="rId13"/>
          <w:headerReference w:type="default" r:id="rId14"/>
          <w:pgSz w:w="11907" w:h="16834" w:code="9"/>
          <w:pgMar w:top="1418" w:right="1134" w:bottom="1134" w:left="1134" w:header="720" w:footer="482" w:gutter="0"/>
          <w:paperSrc w:first="15" w:other="15"/>
          <w:pgNumType w:fmt="lowerRoman" w:start="2"/>
          <w:cols w:space="720"/>
          <w:vAlign w:val="both"/>
        </w:sectPr>
      </w:pPr>
    </w:p>
    <w:p w14:paraId="336AC2E6" w14:textId="24E8657F" w:rsidR="00883C59" w:rsidRPr="00C74816" w:rsidRDefault="0036359D" w:rsidP="00A26996">
      <w:pPr>
        <w:pStyle w:val="RepNo"/>
        <w:spacing w:before="0"/>
        <w:rPr>
          <w:lang w:val="ru-RU"/>
        </w:rPr>
      </w:pPr>
      <w:bookmarkStart w:id="2" w:name="irecnoe"/>
      <w:bookmarkEnd w:id="2"/>
      <w:r w:rsidRPr="00C74816">
        <w:rPr>
          <w:lang w:val="ru-RU"/>
        </w:rPr>
        <w:lastRenderedPageBreak/>
        <w:t>ОТЧЕТ</w:t>
      </w:r>
      <w:r w:rsidR="00B874C6" w:rsidRPr="00C74816">
        <w:rPr>
          <w:lang w:val="ru-RU"/>
        </w:rPr>
        <w:t xml:space="preserve">  </w:t>
      </w:r>
      <w:r w:rsidRPr="00C74816">
        <w:rPr>
          <w:lang w:val="ru-RU"/>
        </w:rPr>
        <w:t>МСЭ</w:t>
      </w:r>
      <w:r w:rsidR="00B874C6" w:rsidRPr="00C74816">
        <w:rPr>
          <w:rStyle w:val="href"/>
          <w:lang w:val="ru-RU"/>
        </w:rPr>
        <w:t xml:space="preserve">-R  </w:t>
      </w:r>
      <w:r w:rsidR="00422C27" w:rsidRPr="00C74816">
        <w:rPr>
          <w:rStyle w:val="href"/>
          <w:lang w:val="ru-RU"/>
        </w:rPr>
        <w:t>S</w:t>
      </w:r>
      <w:r w:rsidR="00E67DC9" w:rsidRPr="00C74816">
        <w:rPr>
          <w:rStyle w:val="href"/>
          <w:lang w:val="ru-RU"/>
        </w:rPr>
        <w:t>M</w:t>
      </w:r>
      <w:r w:rsidR="00B874C6" w:rsidRPr="00C74816">
        <w:rPr>
          <w:rStyle w:val="href"/>
          <w:lang w:val="ru-RU"/>
        </w:rPr>
        <w:t>.</w:t>
      </w:r>
      <w:r w:rsidR="00883C59" w:rsidRPr="00C74816">
        <w:rPr>
          <w:rStyle w:val="href"/>
          <w:lang w:val="ru-RU"/>
        </w:rPr>
        <w:t>2179-2</w:t>
      </w:r>
    </w:p>
    <w:p w14:paraId="21C3BDD5" w14:textId="24654614" w:rsidR="00883C59" w:rsidRPr="00A26996" w:rsidRDefault="0036359D" w:rsidP="00A26996">
      <w:pPr>
        <w:pStyle w:val="Reptitle"/>
      </w:pPr>
      <w:r w:rsidRPr="00A26996">
        <w:t>Измерения для устройств радиосвязи малого радиуса действия</w:t>
      </w:r>
    </w:p>
    <w:p w14:paraId="6D566AC5" w14:textId="77777777" w:rsidR="00883C59" w:rsidRPr="00C74816" w:rsidRDefault="00883C59" w:rsidP="00883C59">
      <w:pPr>
        <w:pStyle w:val="Repdate"/>
        <w:rPr>
          <w:lang w:val="ru-RU" w:eastAsia="zh-CN"/>
        </w:rPr>
      </w:pPr>
      <w:r w:rsidRPr="00C74816">
        <w:rPr>
          <w:lang w:val="ru-RU"/>
        </w:rPr>
        <w:t>(2010-2022-2023)</w:t>
      </w:r>
    </w:p>
    <w:p w14:paraId="274AF1F7" w14:textId="1A8FE649" w:rsidR="00883C59" w:rsidRPr="00C74816" w:rsidRDefault="0036359D" w:rsidP="00883C59">
      <w:pPr>
        <w:jc w:val="center"/>
        <w:rPr>
          <w:lang w:val="ru-RU"/>
        </w:rPr>
      </w:pPr>
      <w:bookmarkStart w:id="3" w:name="_Toc107990993"/>
      <w:bookmarkStart w:id="4" w:name="_Toc108775411"/>
      <w:bookmarkStart w:id="5" w:name="_Toc111188955"/>
      <w:r w:rsidRPr="00C74816">
        <w:rPr>
          <w:szCs w:val="22"/>
          <w:lang w:val="ru-RU"/>
        </w:rPr>
        <w:t>СОДЕРЖАНИЕ</w:t>
      </w:r>
    </w:p>
    <w:p w14:paraId="013167E0" w14:textId="21793A3D" w:rsidR="00883C59" w:rsidRPr="00C74816" w:rsidRDefault="00883C59" w:rsidP="00883C59">
      <w:pPr>
        <w:pStyle w:val="toc0"/>
        <w:rPr>
          <w:lang w:val="ru-RU"/>
        </w:rPr>
      </w:pPr>
      <w:r w:rsidRPr="00C74816">
        <w:rPr>
          <w:lang w:val="ru-RU"/>
        </w:rPr>
        <w:tab/>
      </w:r>
      <w:r w:rsidR="0036359D" w:rsidRPr="00C74816">
        <w:rPr>
          <w:lang w:val="ru-RU"/>
        </w:rPr>
        <w:t>Стр.</w:t>
      </w:r>
    </w:p>
    <w:p w14:paraId="75C0DDC4" w14:textId="5F28D8AA" w:rsidR="00313F13" w:rsidRPr="00C74816" w:rsidRDefault="004F7DB2">
      <w:pPr>
        <w:pStyle w:val="TOC1"/>
        <w:rPr>
          <w:rFonts w:asciiTheme="minorHAnsi" w:eastAsiaTheme="minorEastAsia" w:hAnsiTheme="minorHAnsi" w:cstheme="minorBidi"/>
          <w:noProof/>
          <w:kern w:val="2"/>
          <w:sz w:val="24"/>
          <w:szCs w:val="24"/>
          <w:lang w:val="ru-RU" w:eastAsia="en-GB"/>
          <w14:ligatures w14:val="standardContextual"/>
        </w:rPr>
      </w:pPr>
      <w:r w:rsidRPr="00C74816">
        <w:rPr>
          <w:highlight w:val="yellow"/>
          <w:lang w:val="ru-RU"/>
        </w:rPr>
        <w:fldChar w:fldCharType="begin"/>
      </w:r>
      <w:r w:rsidRPr="00C74816">
        <w:rPr>
          <w:highlight w:val="yellow"/>
          <w:lang w:val="ru-RU"/>
        </w:rPr>
        <w:instrText xml:space="preserve"> TOC \h \z \t "Heading 1,1,Heading_i,3,Annex_NoTitle,1,Appendix_NoTitle,1" </w:instrText>
      </w:r>
      <w:r w:rsidRPr="00C74816">
        <w:rPr>
          <w:highlight w:val="yellow"/>
          <w:lang w:val="ru-RU"/>
        </w:rPr>
        <w:fldChar w:fldCharType="separate"/>
      </w:r>
      <w:hyperlink w:anchor="_Toc188609889" w:history="1">
        <w:r w:rsidR="00313F13" w:rsidRPr="00C74816">
          <w:rPr>
            <w:rStyle w:val="Hyperlink"/>
            <w:noProof/>
            <w:lang w:val="ru-RU"/>
          </w:rPr>
          <w:t>1</w:t>
        </w:r>
        <w:r w:rsidR="00313F13" w:rsidRPr="00C74816">
          <w:rPr>
            <w:rFonts w:asciiTheme="minorHAnsi" w:eastAsiaTheme="minorEastAsia" w:hAnsiTheme="minorHAnsi" w:cstheme="minorBidi"/>
            <w:noProof/>
            <w:kern w:val="2"/>
            <w:sz w:val="24"/>
            <w:szCs w:val="24"/>
            <w:lang w:val="ru-RU" w:eastAsia="en-GB"/>
            <w14:ligatures w14:val="standardContextual"/>
          </w:rPr>
          <w:tab/>
        </w:r>
        <w:r w:rsidR="00313F13" w:rsidRPr="00C74816">
          <w:rPr>
            <w:rStyle w:val="Hyperlink"/>
            <w:noProof/>
            <w:lang w:val="ru-RU"/>
          </w:rPr>
          <w:t>Введение</w:t>
        </w:r>
        <w:r w:rsidR="00313F13" w:rsidRPr="00C74816">
          <w:rPr>
            <w:noProof/>
            <w:webHidden/>
            <w:lang w:val="ru-RU"/>
          </w:rPr>
          <w:tab/>
        </w:r>
        <w:r w:rsidR="001F5BC7" w:rsidRPr="00C74816">
          <w:rPr>
            <w:noProof/>
            <w:webHidden/>
            <w:lang w:val="ru-RU"/>
          </w:rPr>
          <w:tab/>
        </w:r>
        <w:r w:rsidR="00313F13" w:rsidRPr="00C74816">
          <w:rPr>
            <w:noProof/>
            <w:webHidden/>
            <w:lang w:val="ru-RU"/>
          </w:rPr>
          <w:fldChar w:fldCharType="begin"/>
        </w:r>
        <w:r w:rsidR="00313F13" w:rsidRPr="00C74816">
          <w:rPr>
            <w:noProof/>
            <w:webHidden/>
            <w:lang w:val="ru-RU"/>
          </w:rPr>
          <w:instrText xml:space="preserve"> PAGEREF _Toc188609889 \h </w:instrText>
        </w:r>
        <w:r w:rsidR="00313F13" w:rsidRPr="00C74816">
          <w:rPr>
            <w:noProof/>
            <w:webHidden/>
            <w:lang w:val="ru-RU"/>
          </w:rPr>
        </w:r>
        <w:r w:rsidR="00313F13" w:rsidRPr="00C74816">
          <w:rPr>
            <w:noProof/>
            <w:webHidden/>
            <w:lang w:val="ru-RU"/>
          </w:rPr>
          <w:fldChar w:fldCharType="separate"/>
        </w:r>
        <w:r w:rsidR="00402805">
          <w:rPr>
            <w:noProof/>
            <w:webHidden/>
            <w:lang w:val="ru-RU"/>
          </w:rPr>
          <w:t>1</w:t>
        </w:r>
        <w:r w:rsidR="00313F13" w:rsidRPr="00C74816">
          <w:rPr>
            <w:noProof/>
            <w:webHidden/>
            <w:lang w:val="ru-RU"/>
          </w:rPr>
          <w:fldChar w:fldCharType="end"/>
        </w:r>
      </w:hyperlink>
    </w:p>
    <w:p w14:paraId="0308A8A2" w14:textId="100CD8CA"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0" w:history="1">
        <w:r w:rsidRPr="00C74816">
          <w:rPr>
            <w:rStyle w:val="Hyperlink"/>
            <w:noProof/>
            <w:lang w:val="ru-RU"/>
          </w:rPr>
          <w:t>2</w:t>
        </w:r>
        <w:r w:rsidRPr="00C74816">
          <w:rPr>
            <w:rFonts w:asciiTheme="minorHAnsi" w:eastAsiaTheme="minorEastAsia" w:hAnsiTheme="minorHAnsi" w:cstheme="minorBidi"/>
            <w:noProof/>
            <w:kern w:val="2"/>
            <w:sz w:val="24"/>
            <w:szCs w:val="24"/>
            <w:lang w:val="ru-RU" w:eastAsia="en-GB"/>
            <w14:ligatures w14:val="standardContextual"/>
          </w:rPr>
          <w:tab/>
        </w:r>
        <w:r w:rsidRPr="00C74816">
          <w:rPr>
            <w:rStyle w:val="Hyperlink"/>
            <w:noProof/>
            <w:lang w:val="ru-RU"/>
          </w:rPr>
          <w:t>Основания измерений для SRD</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_Toc188609890 \h </w:instrText>
        </w:r>
        <w:r w:rsidRPr="00C74816">
          <w:rPr>
            <w:noProof/>
            <w:webHidden/>
            <w:lang w:val="ru-RU"/>
          </w:rPr>
        </w:r>
        <w:r w:rsidRPr="00C74816">
          <w:rPr>
            <w:noProof/>
            <w:webHidden/>
            <w:lang w:val="ru-RU"/>
          </w:rPr>
          <w:fldChar w:fldCharType="separate"/>
        </w:r>
        <w:r w:rsidR="00402805">
          <w:rPr>
            <w:noProof/>
            <w:webHidden/>
            <w:lang w:val="ru-RU"/>
          </w:rPr>
          <w:t>2</w:t>
        </w:r>
        <w:r w:rsidRPr="00C74816">
          <w:rPr>
            <w:noProof/>
            <w:webHidden/>
            <w:lang w:val="ru-RU"/>
          </w:rPr>
          <w:fldChar w:fldCharType="end"/>
        </w:r>
      </w:hyperlink>
    </w:p>
    <w:p w14:paraId="7E3A0F36" w14:textId="17A8FF49"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1" w:history="1">
        <w:r w:rsidRPr="00C74816">
          <w:rPr>
            <w:rStyle w:val="Hyperlink"/>
            <w:noProof/>
            <w:lang w:val="ru-RU"/>
          </w:rPr>
          <w:t>3</w:t>
        </w:r>
        <w:r w:rsidRPr="00C74816">
          <w:rPr>
            <w:rFonts w:asciiTheme="minorHAnsi" w:eastAsiaTheme="minorEastAsia" w:hAnsiTheme="minorHAnsi" w:cstheme="minorBidi"/>
            <w:noProof/>
            <w:kern w:val="2"/>
            <w:sz w:val="24"/>
            <w:szCs w:val="24"/>
            <w:lang w:val="ru-RU" w:eastAsia="en-GB"/>
            <w14:ligatures w14:val="standardContextual"/>
          </w:rPr>
          <w:tab/>
        </w:r>
        <w:r w:rsidRPr="00C74816">
          <w:rPr>
            <w:rStyle w:val="Hyperlink"/>
            <w:noProof/>
            <w:lang w:val="ru-RU"/>
          </w:rPr>
          <w:t>Выбор метода измерения</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_Toc188609891 \h </w:instrText>
        </w:r>
        <w:r w:rsidRPr="00C74816">
          <w:rPr>
            <w:noProof/>
            <w:webHidden/>
            <w:lang w:val="ru-RU"/>
          </w:rPr>
        </w:r>
        <w:r w:rsidRPr="00C74816">
          <w:rPr>
            <w:noProof/>
            <w:webHidden/>
            <w:lang w:val="ru-RU"/>
          </w:rPr>
          <w:fldChar w:fldCharType="separate"/>
        </w:r>
        <w:r w:rsidR="00402805">
          <w:rPr>
            <w:noProof/>
            <w:webHidden/>
            <w:lang w:val="ru-RU"/>
          </w:rPr>
          <w:t>3</w:t>
        </w:r>
        <w:r w:rsidRPr="00C74816">
          <w:rPr>
            <w:noProof/>
            <w:webHidden/>
            <w:lang w:val="ru-RU"/>
          </w:rPr>
          <w:fldChar w:fldCharType="end"/>
        </w:r>
      </w:hyperlink>
    </w:p>
    <w:p w14:paraId="14668BF3" w14:textId="120A86FA"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2" w:history="1">
        <w:r w:rsidRPr="00C74816">
          <w:rPr>
            <w:rStyle w:val="Hyperlink"/>
            <w:noProof/>
            <w:lang w:val="ru-RU"/>
          </w:rPr>
          <w:t>Приложение 1 – Стандарты, содержащие методы измерения, в рамках СЕПТ</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_Toc188609892 \h </w:instrText>
        </w:r>
        <w:r w:rsidRPr="00C74816">
          <w:rPr>
            <w:noProof/>
            <w:webHidden/>
            <w:lang w:val="ru-RU"/>
          </w:rPr>
        </w:r>
        <w:r w:rsidRPr="00C74816">
          <w:rPr>
            <w:noProof/>
            <w:webHidden/>
            <w:lang w:val="ru-RU"/>
          </w:rPr>
          <w:fldChar w:fldCharType="separate"/>
        </w:r>
        <w:r w:rsidR="00402805">
          <w:rPr>
            <w:noProof/>
            <w:webHidden/>
            <w:lang w:val="ru-RU"/>
          </w:rPr>
          <w:t>4</w:t>
        </w:r>
        <w:r w:rsidRPr="00C74816">
          <w:rPr>
            <w:noProof/>
            <w:webHidden/>
            <w:lang w:val="ru-RU"/>
          </w:rPr>
          <w:fldChar w:fldCharType="end"/>
        </w:r>
      </w:hyperlink>
    </w:p>
    <w:p w14:paraId="3D13A119" w14:textId="5B9B80CB"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3" w:history="1">
        <w:r w:rsidRPr="00C74816">
          <w:rPr>
            <w:rStyle w:val="Hyperlink"/>
            <w:noProof/>
            <w:lang w:val="ru-RU"/>
          </w:rPr>
          <w:t>1</w:t>
        </w:r>
        <w:r w:rsidRPr="00C74816">
          <w:rPr>
            <w:rFonts w:asciiTheme="minorHAnsi" w:eastAsiaTheme="minorEastAsia" w:hAnsiTheme="minorHAnsi" w:cstheme="minorBidi"/>
            <w:noProof/>
            <w:kern w:val="2"/>
            <w:sz w:val="24"/>
            <w:szCs w:val="24"/>
            <w:lang w:val="ru-RU" w:eastAsia="en-GB"/>
            <w14:ligatures w14:val="standardContextual"/>
          </w:rPr>
          <w:tab/>
        </w:r>
        <w:r w:rsidRPr="00C74816">
          <w:rPr>
            <w:rStyle w:val="Hyperlink"/>
            <w:noProof/>
            <w:lang w:val="ru-RU"/>
          </w:rPr>
          <w:t>Регулирование устройств малого радиуса действия в странах СЕПТ</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_Toc188609893 \h </w:instrText>
        </w:r>
        <w:r w:rsidRPr="00C74816">
          <w:rPr>
            <w:noProof/>
            <w:webHidden/>
            <w:lang w:val="ru-RU"/>
          </w:rPr>
        </w:r>
        <w:r w:rsidRPr="00C74816">
          <w:rPr>
            <w:noProof/>
            <w:webHidden/>
            <w:lang w:val="ru-RU"/>
          </w:rPr>
          <w:fldChar w:fldCharType="separate"/>
        </w:r>
        <w:r w:rsidR="00402805">
          <w:rPr>
            <w:noProof/>
            <w:webHidden/>
            <w:lang w:val="ru-RU"/>
          </w:rPr>
          <w:t>4</w:t>
        </w:r>
        <w:r w:rsidRPr="00C74816">
          <w:rPr>
            <w:noProof/>
            <w:webHidden/>
            <w:lang w:val="ru-RU"/>
          </w:rPr>
          <w:fldChar w:fldCharType="end"/>
        </w:r>
      </w:hyperlink>
    </w:p>
    <w:p w14:paraId="35182249" w14:textId="20E49AD7"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4" w:history="1">
        <w:r w:rsidRPr="00C74816">
          <w:rPr>
            <w:rStyle w:val="Hyperlink"/>
            <w:noProof/>
            <w:lang w:val="ru-RU"/>
          </w:rPr>
          <w:t>2</w:t>
        </w:r>
        <w:r w:rsidRPr="00C74816">
          <w:rPr>
            <w:rFonts w:asciiTheme="minorHAnsi" w:eastAsiaTheme="minorEastAsia" w:hAnsiTheme="minorHAnsi" w:cstheme="minorBidi"/>
            <w:noProof/>
            <w:kern w:val="2"/>
            <w:sz w:val="24"/>
            <w:szCs w:val="24"/>
            <w:lang w:val="ru-RU" w:eastAsia="en-GB"/>
            <w14:ligatures w14:val="standardContextual"/>
          </w:rPr>
          <w:tab/>
        </w:r>
        <w:r w:rsidRPr="00C74816">
          <w:rPr>
            <w:rStyle w:val="Hyperlink"/>
            <w:noProof/>
            <w:lang w:val="ru-RU"/>
          </w:rPr>
          <w:t>Процедуры измерения для устройств малого радиуса действия в странах СЕПТ</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_Toc188609894 \h </w:instrText>
        </w:r>
        <w:r w:rsidRPr="00C74816">
          <w:rPr>
            <w:noProof/>
            <w:webHidden/>
            <w:lang w:val="ru-RU"/>
          </w:rPr>
        </w:r>
        <w:r w:rsidRPr="00C74816">
          <w:rPr>
            <w:noProof/>
            <w:webHidden/>
            <w:lang w:val="ru-RU"/>
          </w:rPr>
          <w:fldChar w:fldCharType="separate"/>
        </w:r>
        <w:r w:rsidR="00402805">
          <w:rPr>
            <w:noProof/>
            <w:webHidden/>
            <w:lang w:val="ru-RU"/>
          </w:rPr>
          <w:t>4</w:t>
        </w:r>
        <w:r w:rsidRPr="00C74816">
          <w:rPr>
            <w:noProof/>
            <w:webHidden/>
            <w:lang w:val="ru-RU"/>
          </w:rPr>
          <w:fldChar w:fldCharType="end"/>
        </w:r>
      </w:hyperlink>
    </w:p>
    <w:p w14:paraId="79E81B10" w14:textId="24D5EB2E"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5" w:history="1">
        <w:r w:rsidRPr="00C74816">
          <w:rPr>
            <w:rStyle w:val="Hyperlink"/>
            <w:noProof/>
            <w:lang w:val="ru-RU"/>
          </w:rPr>
          <w:t>Приложение 2 – Действующее в США (ФКС) регулирование для SRD,  содержащее принятые методы измерения</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_Toc188609895 \h </w:instrText>
        </w:r>
        <w:r w:rsidRPr="00C74816">
          <w:rPr>
            <w:noProof/>
            <w:webHidden/>
            <w:lang w:val="ru-RU"/>
          </w:rPr>
        </w:r>
        <w:r w:rsidRPr="00C74816">
          <w:rPr>
            <w:noProof/>
            <w:webHidden/>
            <w:lang w:val="ru-RU"/>
          </w:rPr>
          <w:fldChar w:fldCharType="separate"/>
        </w:r>
        <w:r w:rsidR="00402805">
          <w:rPr>
            <w:noProof/>
            <w:webHidden/>
            <w:lang w:val="ru-RU"/>
          </w:rPr>
          <w:t>6</w:t>
        </w:r>
        <w:r w:rsidRPr="00C74816">
          <w:rPr>
            <w:noProof/>
            <w:webHidden/>
            <w:lang w:val="ru-RU"/>
          </w:rPr>
          <w:fldChar w:fldCharType="end"/>
        </w:r>
      </w:hyperlink>
    </w:p>
    <w:p w14:paraId="58633F21" w14:textId="0EDF7CEF"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6" w:history="1">
        <w:r w:rsidRPr="00C74816">
          <w:rPr>
            <w:rStyle w:val="Hyperlink"/>
            <w:noProof/>
            <w:lang w:val="ru-RU"/>
          </w:rPr>
          <w:t>1</w:t>
        </w:r>
        <w:r w:rsidRPr="00C74816">
          <w:rPr>
            <w:rFonts w:asciiTheme="minorHAnsi" w:eastAsiaTheme="minorEastAsia" w:hAnsiTheme="minorHAnsi" w:cstheme="minorBidi"/>
            <w:noProof/>
            <w:kern w:val="2"/>
            <w:sz w:val="24"/>
            <w:szCs w:val="24"/>
            <w:lang w:val="ru-RU" w:eastAsia="en-GB"/>
            <w14:ligatures w14:val="standardContextual"/>
          </w:rPr>
          <w:tab/>
        </w:r>
        <w:r w:rsidRPr="00C74816">
          <w:rPr>
            <w:rStyle w:val="Hyperlink"/>
            <w:noProof/>
            <w:lang w:val="ru-RU"/>
          </w:rPr>
          <w:t>Регулирование для устройств малого радиуса действия в Соединенных Штатах Америки</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_Toc188609896 \h </w:instrText>
        </w:r>
        <w:r w:rsidRPr="00C74816">
          <w:rPr>
            <w:noProof/>
            <w:webHidden/>
            <w:lang w:val="ru-RU"/>
          </w:rPr>
        </w:r>
        <w:r w:rsidRPr="00C74816">
          <w:rPr>
            <w:noProof/>
            <w:webHidden/>
            <w:lang w:val="ru-RU"/>
          </w:rPr>
          <w:fldChar w:fldCharType="separate"/>
        </w:r>
        <w:r w:rsidR="00402805">
          <w:rPr>
            <w:noProof/>
            <w:webHidden/>
            <w:lang w:val="ru-RU"/>
          </w:rPr>
          <w:t>6</w:t>
        </w:r>
        <w:r w:rsidRPr="00C74816">
          <w:rPr>
            <w:noProof/>
            <w:webHidden/>
            <w:lang w:val="ru-RU"/>
          </w:rPr>
          <w:fldChar w:fldCharType="end"/>
        </w:r>
      </w:hyperlink>
    </w:p>
    <w:p w14:paraId="7279BAD0" w14:textId="5E7475BB"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7" w:history="1">
        <w:r w:rsidRPr="00C74816">
          <w:rPr>
            <w:rStyle w:val="Hyperlink"/>
            <w:noProof/>
            <w:lang w:val="ru-RU"/>
          </w:rPr>
          <w:t>2</w:t>
        </w:r>
        <w:r w:rsidRPr="00C74816">
          <w:rPr>
            <w:rFonts w:asciiTheme="minorHAnsi" w:eastAsiaTheme="minorEastAsia" w:hAnsiTheme="minorHAnsi" w:cstheme="minorBidi"/>
            <w:noProof/>
            <w:kern w:val="2"/>
            <w:sz w:val="24"/>
            <w:szCs w:val="24"/>
            <w:lang w:val="ru-RU" w:eastAsia="en-GB"/>
            <w14:ligatures w14:val="standardContextual"/>
          </w:rPr>
          <w:tab/>
        </w:r>
        <w:r w:rsidRPr="00C74816">
          <w:rPr>
            <w:rStyle w:val="Hyperlink"/>
            <w:noProof/>
            <w:lang w:val="ru-RU"/>
          </w:rPr>
          <w:t>Процедуры измерений для SRD в Соединенных Штатах Америки</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_Toc188609897 \h </w:instrText>
        </w:r>
        <w:r w:rsidRPr="00C74816">
          <w:rPr>
            <w:noProof/>
            <w:webHidden/>
            <w:lang w:val="ru-RU"/>
          </w:rPr>
        </w:r>
        <w:r w:rsidRPr="00C74816">
          <w:rPr>
            <w:noProof/>
            <w:webHidden/>
            <w:lang w:val="ru-RU"/>
          </w:rPr>
          <w:fldChar w:fldCharType="separate"/>
        </w:r>
        <w:r w:rsidR="00402805">
          <w:rPr>
            <w:noProof/>
            <w:webHidden/>
            <w:lang w:val="ru-RU"/>
          </w:rPr>
          <w:t>6</w:t>
        </w:r>
        <w:r w:rsidRPr="00C74816">
          <w:rPr>
            <w:noProof/>
            <w:webHidden/>
            <w:lang w:val="ru-RU"/>
          </w:rPr>
          <w:fldChar w:fldCharType="end"/>
        </w:r>
      </w:hyperlink>
    </w:p>
    <w:p w14:paraId="4300B7FF" w14:textId="7B0AC549"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8" w:history="1">
        <w:r w:rsidRPr="00C74816">
          <w:rPr>
            <w:rStyle w:val="Hyperlink"/>
            <w:noProof/>
            <w:lang w:val="ru-RU"/>
          </w:rPr>
          <w:t>Приложение 3 – Канадские стандарты, содержащие методы измерения</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_Toc188609898 \h </w:instrText>
        </w:r>
        <w:r w:rsidRPr="00C74816">
          <w:rPr>
            <w:noProof/>
            <w:webHidden/>
            <w:lang w:val="ru-RU"/>
          </w:rPr>
        </w:r>
        <w:r w:rsidRPr="00C74816">
          <w:rPr>
            <w:noProof/>
            <w:webHidden/>
            <w:lang w:val="ru-RU"/>
          </w:rPr>
          <w:fldChar w:fldCharType="separate"/>
        </w:r>
        <w:r w:rsidR="00402805">
          <w:rPr>
            <w:noProof/>
            <w:webHidden/>
            <w:lang w:val="ru-RU"/>
          </w:rPr>
          <w:t>9</w:t>
        </w:r>
        <w:r w:rsidRPr="00C74816">
          <w:rPr>
            <w:noProof/>
            <w:webHidden/>
            <w:lang w:val="ru-RU"/>
          </w:rPr>
          <w:fldChar w:fldCharType="end"/>
        </w:r>
      </w:hyperlink>
    </w:p>
    <w:p w14:paraId="0D9F83FC" w14:textId="092FB5AA"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899" w:history="1">
        <w:r w:rsidRPr="00C74816">
          <w:rPr>
            <w:rStyle w:val="Hyperlink"/>
            <w:noProof/>
            <w:lang w:val="ru-RU"/>
          </w:rPr>
          <w:t>Приложение 4 – Стандарты, содержащие методы измерения, которые используются в МЭК/ИСО</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_Toc188609899 \h </w:instrText>
        </w:r>
        <w:r w:rsidRPr="00C74816">
          <w:rPr>
            <w:noProof/>
            <w:webHidden/>
            <w:lang w:val="ru-RU"/>
          </w:rPr>
        </w:r>
        <w:r w:rsidRPr="00C74816">
          <w:rPr>
            <w:noProof/>
            <w:webHidden/>
            <w:lang w:val="ru-RU"/>
          </w:rPr>
          <w:fldChar w:fldCharType="separate"/>
        </w:r>
        <w:r w:rsidR="00402805">
          <w:rPr>
            <w:noProof/>
            <w:webHidden/>
            <w:lang w:val="ru-RU"/>
          </w:rPr>
          <w:t>11</w:t>
        </w:r>
        <w:r w:rsidRPr="00C74816">
          <w:rPr>
            <w:noProof/>
            <w:webHidden/>
            <w:lang w:val="ru-RU"/>
          </w:rPr>
          <w:fldChar w:fldCharType="end"/>
        </w:r>
      </w:hyperlink>
    </w:p>
    <w:p w14:paraId="3B9725ED" w14:textId="1FEB809D"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900" w:history="1">
        <w:r w:rsidRPr="00C74816">
          <w:rPr>
            <w:rStyle w:val="Hyperlink"/>
            <w:noProof/>
            <w:lang w:val="ru-RU"/>
          </w:rPr>
          <w:t>Приложение 5 – Регулирование устройств малого радиуса действия в Бразилии</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_Toc188609900 \h </w:instrText>
        </w:r>
        <w:r w:rsidRPr="00C74816">
          <w:rPr>
            <w:noProof/>
            <w:webHidden/>
            <w:lang w:val="ru-RU"/>
          </w:rPr>
        </w:r>
        <w:r w:rsidRPr="00C74816">
          <w:rPr>
            <w:noProof/>
            <w:webHidden/>
            <w:lang w:val="ru-RU"/>
          </w:rPr>
          <w:fldChar w:fldCharType="separate"/>
        </w:r>
        <w:r w:rsidR="00402805">
          <w:rPr>
            <w:noProof/>
            <w:webHidden/>
            <w:lang w:val="ru-RU"/>
          </w:rPr>
          <w:t>12</w:t>
        </w:r>
        <w:r w:rsidRPr="00C74816">
          <w:rPr>
            <w:noProof/>
            <w:webHidden/>
            <w:lang w:val="ru-RU"/>
          </w:rPr>
          <w:fldChar w:fldCharType="end"/>
        </w:r>
      </w:hyperlink>
    </w:p>
    <w:p w14:paraId="3096C499" w14:textId="47720C8F"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901" w:history="1">
        <w:r w:rsidRPr="00C74816">
          <w:rPr>
            <w:rStyle w:val="Hyperlink"/>
            <w:noProof/>
            <w:lang w:val="ru-RU"/>
          </w:rPr>
          <w:t>1</w:t>
        </w:r>
        <w:r w:rsidRPr="00C74816">
          <w:rPr>
            <w:rFonts w:asciiTheme="minorHAnsi" w:eastAsiaTheme="minorEastAsia" w:hAnsiTheme="minorHAnsi" w:cstheme="minorBidi"/>
            <w:noProof/>
            <w:kern w:val="2"/>
            <w:sz w:val="24"/>
            <w:szCs w:val="24"/>
            <w:lang w:val="ru-RU" w:eastAsia="en-GB"/>
            <w14:ligatures w14:val="standardContextual"/>
          </w:rPr>
          <w:tab/>
        </w:r>
        <w:r w:rsidRPr="00C74816">
          <w:rPr>
            <w:rStyle w:val="Hyperlink"/>
            <w:noProof/>
            <w:lang w:val="ru-RU"/>
          </w:rPr>
          <w:t>Регулирование устройств малого радиуса действия в Бразилии</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_Toc188609901 \h </w:instrText>
        </w:r>
        <w:r w:rsidRPr="00C74816">
          <w:rPr>
            <w:noProof/>
            <w:webHidden/>
            <w:lang w:val="ru-RU"/>
          </w:rPr>
        </w:r>
        <w:r w:rsidRPr="00C74816">
          <w:rPr>
            <w:noProof/>
            <w:webHidden/>
            <w:lang w:val="ru-RU"/>
          </w:rPr>
          <w:fldChar w:fldCharType="separate"/>
        </w:r>
        <w:r w:rsidR="00402805">
          <w:rPr>
            <w:noProof/>
            <w:webHidden/>
            <w:lang w:val="ru-RU"/>
          </w:rPr>
          <w:t>12</w:t>
        </w:r>
        <w:r w:rsidRPr="00C74816">
          <w:rPr>
            <w:noProof/>
            <w:webHidden/>
            <w:lang w:val="ru-RU"/>
          </w:rPr>
          <w:fldChar w:fldCharType="end"/>
        </w:r>
      </w:hyperlink>
    </w:p>
    <w:p w14:paraId="2300F0B5" w14:textId="4F450EE3" w:rsidR="00313F13" w:rsidRPr="00C74816" w:rsidRDefault="00313F13">
      <w:pPr>
        <w:pStyle w:val="TOC1"/>
        <w:rPr>
          <w:rFonts w:asciiTheme="minorHAnsi" w:eastAsiaTheme="minorEastAsia" w:hAnsiTheme="minorHAnsi" w:cstheme="minorBidi"/>
          <w:noProof/>
          <w:kern w:val="2"/>
          <w:sz w:val="24"/>
          <w:szCs w:val="24"/>
          <w:lang w:val="ru-RU" w:eastAsia="en-GB"/>
          <w14:ligatures w14:val="standardContextual"/>
        </w:rPr>
      </w:pPr>
      <w:hyperlink w:anchor="_Toc188609902" w:history="1">
        <w:r w:rsidRPr="00C74816">
          <w:rPr>
            <w:rStyle w:val="Hyperlink"/>
            <w:noProof/>
            <w:lang w:val="ru-RU"/>
          </w:rPr>
          <w:t>2</w:t>
        </w:r>
        <w:r w:rsidRPr="00C74816">
          <w:rPr>
            <w:rFonts w:asciiTheme="minorHAnsi" w:eastAsiaTheme="minorEastAsia" w:hAnsiTheme="minorHAnsi" w:cstheme="minorBidi"/>
            <w:noProof/>
            <w:kern w:val="2"/>
            <w:sz w:val="24"/>
            <w:szCs w:val="24"/>
            <w:lang w:val="ru-RU" w:eastAsia="en-GB"/>
            <w14:ligatures w14:val="standardContextual"/>
          </w:rPr>
          <w:tab/>
        </w:r>
        <w:r w:rsidRPr="00C74816">
          <w:rPr>
            <w:rStyle w:val="Hyperlink"/>
            <w:noProof/>
            <w:lang w:val="ru-RU"/>
          </w:rPr>
          <w:t>Бразильские стандарты, содержащие методы измерения</w:t>
        </w:r>
        <w:r w:rsidRPr="00C74816">
          <w:rPr>
            <w:noProof/>
            <w:webHidden/>
            <w:lang w:val="ru-RU"/>
          </w:rPr>
          <w:tab/>
        </w:r>
        <w:r w:rsidR="001F5BC7" w:rsidRPr="00C74816">
          <w:rPr>
            <w:noProof/>
            <w:webHidden/>
            <w:lang w:val="ru-RU"/>
          </w:rPr>
          <w:tab/>
        </w:r>
        <w:r w:rsidRPr="00C74816">
          <w:rPr>
            <w:noProof/>
            <w:webHidden/>
            <w:lang w:val="ru-RU"/>
          </w:rPr>
          <w:fldChar w:fldCharType="begin"/>
        </w:r>
        <w:r w:rsidRPr="00C74816">
          <w:rPr>
            <w:noProof/>
            <w:webHidden/>
            <w:lang w:val="ru-RU"/>
          </w:rPr>
          <w:instrText xml:space="preserve"> PAGEREF _Toc188609902 \h </w:instrText>
        </w:r>
        <w:r w:rsidRPr="00C74816">
          <w:rPr>
            <w:noProof/>
            <w:webHidden/>
            <w:lang w:val="ru-RU"/>
          </w:rPr>
        </w:r>
        <w:r w:rsidRPr="00C74816">
          <w:rPr>
            <w:noProof/>
            <w:webHidden/>
            <w:lang w:val="ru-RU"/>
          </w:rPr>
          <w:fldChar w:fldCharType="separate"/>
        </w:r>
        <w:r w:rsidR="00402805">
          <w:rPr>
            <w:noProof/>
            <w:webHidden/>
            <w:lang w:val="ru-RU"/>
          </w:rPr>
          <w:t>13</w:t>
        </w:r>
        <w:r w:rsidRPr="00C74816">
          <w:rPr>
            <w:noProof/>
            <w:webHidden/>
            <w:lang w:val="ru-RU"/>
          </w:rPr>
          <w:fldChar w:fldCharType="end"/>
        </w:r>
      </w:hyperlink>
    </w:p>
    <w:p w14:paraId="1C561F72" w14:textId="761F2266" w:rsidR="00883C59" w:rsidRDefault="004F7DB2" w:rsidP="003A1E41">
      <w:pPr>
        <w:pStyle w:val="TOC1"/>
      </w:pPr>
      <w:r w:rsidRPr="00C74816">
        <w:rPr>
          <w:highlight w:val="yellow"/>
          <w:lang w:val="ru-RU"/>
        </w:rPr>
        <w:fldChar w:fldCharType="end"/>
      </w:r>
    </w:p>
    <w:p w14:paraId="50687E83" w14:textId="77777777" w:rsidR="00A26996" w:rsidRPr="00A26996" w:rsidRDefault="00A26996" w:rsidP="00A26996"/>
    <w:p w14:paraId="51744CFE" w14:textId="77777777" w:rsidR="0036359D" w:rsidRPr="00C74816" w:rsidRDefault="0036359D" w:rsidP="0036359D">
      <w:pPr>
        <w:pStyle w:val="Heading1"/>
        <w:rPr>
          <w:lang w:val="ru-RU"/>
        </w:rPr>
      </w:pPr>
      <w:bookmarkStart w:id="6" w:name="_Toc276991209"/>
      <w:bookmarkStart w:id="7" w:name="_Toc283731935"/>
      <w:bookmarkStart w:id="8" w:name="_Toc188609889"/>
      <w:bookmarkEnd w:id="3"/>
      <w:bookmarkEnd w:id="4"/>
      <w:bookmarkEnd w:id="5"/>
      <w:r w:rsidRPr="00C74816">
        <w:rPr>
          <w:lang w:val="ru-RU"/>
        </w:rPr>
        <w:t>1</w:t>
      </w:r>
      <w:r w:rsidRPr="00C74816">
        <w:rPr>
          <w:lang w:val="ru-RU"/>
        </w:rPr>
        <w:tab/>
      </w:r>
      <w:bookmarkEnd w:id="6"/>
      <w:r w:rsidRPr="00C74816">
        <w:rPr>
          <w:lang w:val="ru-RU"/>
        </w:rPr>
        <w:t>Введение</w:t>
      </w:r>
      <w:bookmarkEnd w:id="7"/>
      <w:bookmarkEnd w:id="8"/>
    </w:p>
    <w:p w14:paraId="75BA7A92" w14:textId="519081D8" w:rsidR="0036359D" w:rsidRPr="00C74816" w:rsidRDefault="0036359D" w:rsidP="0036359D">
      <w:pPr>
        <w:rPr>
          <w:lang w:val="ru-RU"/>
        </w:rPr>
      </w:pPr>
      <w:r w:rsidRPr="00C74816">
        <w:rPr>
          <w:lang w:val="ru-RU"/>
        </w:rPr>
        <w:t xml:space="preserve">Применения устройств малого радиуса действия (SRD) и относящиеся к ним полосы частот описаны в Отчете </w:t>
      </w:r>
      <w:hyperlink r:id="rId15" w:history="1">
        <w:r w:rsidRPr="00C74816">
          <w:rPr>
            <w:rStyle w:val="Hyperlink"/>
            <w:color w:val="auto"/>
            <w:u w:val="none"/>
            <w:lang w:val="ru-RU"/>
          </w:rPr>
          <w:t>МСЭ-R SM.2153</w:t>
        </w:r>
      </w:hyperlink>
      <w:r w:rsidRPr="00C74816">
        <w:rPr>
          <w:lang w:val="ru-RU"/>
        </w:rPr>
        <w:t xml:space="preserve"> (бывшей Рекомендации МСЭ-R SM.1538).</w:t>
      </w:r>
    </w:p>
    <w:p w14:paraId="0DFD2C20" w14:textId="77777777" w:rsidR="0036359D" w:rsidRPr="00C74816" w:rsidRDefault="0036359D" w:rsidP="0036359D">
      <w:pPr>
        <w:rPr>
          <w:lang w:val="ru-RU"/>
        </w:rPr>
      </w:pPr>
      <w:r w:rsidRPr="00C74816">
        <w:rPr>
          <w:lang w:val="ru-RU"/>
        </w:rPr>
        <w:t xml:space="preserve">Некоторые применения SRD также могут выигрывать от действительно всемирного согласования. </w:t>
      </w:r>
    </w:p>
    <w:p w14:paraId="44928F7B" w14:textId="23C27CEC" w:rsidR="0036359D" w:rsidRPr="00C74816" w:rsidRDefault="0036359D" w:rsidP="0036359D">
      <w:pPr>
        <w:rPr>
          <w:lang w:val="ru-RU"/>
        </w:rPr>
      </w:pPr>
      <w:r w:rsidRPr="00C74816">
        <w:rPr>
          <w:lang w:val="ru-RU"/>
        </w:rPr>
        <w:t xml:space="preserve">Методы контроля для SRD описаны в Отчете </w:t>
      </w:r>
      <w:hyperlink r:id="rId16" w:history="1">
        <w:r w:rsidRPr="00C74816">
          <w:rPr>
            <w:rStyle w:val="Hyperlink"/>
            <w:color w:val="auto"/>
            <w:u w:val="none"/>
            <w:lang w:val="ru-RU"/>
          </w:rPr>
          <w:t>МСЭ-R SM.2154</w:t>
        </w:r>
      </w:hyperlink>
      <w:r w:rsidRPr="00C74816">
        <w:rPr>
          <w:lang w:val="ru-RU"/>
        </w:rPr>
        <w:t>.</w:t>
      </w:r>
    </w:p>
    <w:p w14:paraId="459742F1" w14:textId="77777777" w:rsidR="0036359D" w:rsidRPr="00C74816" w:rsidRDefault="0036359D" w:rsidP="0036359D">
      <w:pPr>
        <w:rPr>
          <w:lang w:val="ru-RU"/>
        </w:rPr>
      </w:pPr>
      <w:r w:rsidRPr="00C74816">
        <w:rPr>
          <w:lang w:val="ru-RU"/>
        </w:rPr>
        <w:t>Настоящий Отчет предназначен для того, чтобы дополнить набор Рекомендаций и Отчетов путем представления в рамках документа методов измерений, имеющихся для SRD.</w:t>
      </w:r>
    </w:p>
    <w:p w14:paraId="0B1E5F57" w14:textId="3B676E52" w:rsidR="005F2D44" w:rsidRPr="00C74816" w:rsidRDefault="00E75959" w:rsidP="0036359D">
      <w:pPr>
        <w:rPr>
          <w:lang w:val="ru-RU"/>
        </w:rPr>
      </w:pPr>
      <w:r w:rsidRPr="00C74816">
        <w:rPr>
          <w:lang w:val="ru-RU"/>
        </w:rPr>
        <w:t>Приложения содержат информацию о национальном опыте и подходах и приводятся исключительно для информации.</w:t>
      </w:r>
    </w:p>
    <w:p w14:paraId="56EFE88C" w14:textId="77777777" w:rsidR="0036359D" w:rsidRPr="00C74816" w:rsidRDefault="0036359D" w:rsidP="0036359D">
      <w:pPr>
        <w:pStyle w:val="Heading1"/>
        <w:rPr>
          <w:lang w:val="ru-RU"/>
        </w:rPr>
      </w:pPr>
      <w:bookmarkStart w:id="9" w:name="_Toc276991210"/>
      <w:bookmarkStart w:id="10" w:name="_Toc283731936"/>
      <w:bookmarkStart w:id="11" w:name="_Toc188609890"/>
      <w:r w:rsidRPr="00C74816">
        <w:rPr>
          <w:lang w:val="ru-RU"/>
        </w:rPr>
        <w:lastRenderedPageBreak/>
        <w:t>2</w:t>
      </w:r>
      <w:r w:rsidRPr="00C74816">
        <w:rPr>
          <w:lang w:val="ru-RU"/>
        </w:rPr>
        <w:tab/>
        <w:t>Основания измерений для SRD</w:t>
      </w:r>
      <w:bookmarkEnd w:id="9"/>
      <w:bookmarkEnd w:id="10"/>
      <w:bookmarkEnd w:id="11"/>
    </w:p>
    <w:p w14:paraId="4CB92A43" w14:textId="77777777" w:rsidR="0036359D" w:rsidRPr="00C74816" w:rsidRDefault="0036359D" w:rsidP="0036359D">
      <w:pPr>
        <w:rPr>
          <w:lang w:val="ru-RU"/>
        </w:rPr>
      </w:pPr>
      <w:r w:rsidRPr="00C74816">
        <w:rPr>
          <w:lang w:val="ru-RU"/>
        </w:rPr>
        <w:t xml:space="preserve">Технические измерения для SRD, проводимые в лабораториях по тестированию, и процедуры выдачи сертификатов одобрения типа, а также дополнительные задачи контроля за использованием спектра могут выполняться по следующим причинам: </w:t>
      </w:r>
    </w:p>
    <w:p w14:paraId="7697194A" w14:textId="77777777" w:rsidR="0036359D" w:rsidRPr="00C74816" w:rsidRDefault="0036359D" w:rsidP="0036359D">
      <w:pPr>
        <w:pStyle w:val="enumlev1"/>
        <w:spacing w:before="200"/>
        <w:rPr>
          <w:lang w:val="ru-RU"/>
        </w:rPr>
      </w:pPr>
      <w:r w:rsidRPr="00C74816">
        <w:rPr>
          <w:lang w:val="ru-RU"/>
        </w:rPr>
        <w:t>–</w:t>
      </w:r>
      <w:r w:rsidRPr="00C74816">
        <w:rPr>
          <w:lang w:val="ru-RU"/>
        </w:rPr>
        <w:tab/>
        <w:t xml:space="preserve">Выдача сертификатов одобрения типа </w:t>
      </w:r>
    </w:p>
    <w:p w14:paraId="1DB21AA1" w14:textId="77777777" w:rsidR="0036359D" w:rsidRPr="00C74816" w:rsidRDefault="0036359D" w:rsidP="0036359D">
      <w:pPr>
        <w:rPr>
          <w:lang w:val="ru-RU"/>
        </w:rPr>
      </w:pPr>
      <w:r w:rsidRPr="00C74816">
        <w:rPr>
          <w:lang w:val="ru-RU"/>
        </w:rPr>
        <w:t xml:space="preserve">Сертификат одобрения типа – это характеристика, которая присваивается продукту в случае соблюдения минимального набора регуляторных, технических требований и/или требований к безопасности. Процесс одобрения осуществляется в отношении конкретного вида товара конкретного производителя с использованием одного или ряда стандартов и/или одной или нескольких нормативно-правовых баз. Как правило, сертификаты одобрения типа выдаются государственными учреждениями, и они во многом утратили свою популярность в связи с проверкой на соответствие техническим стандартам/соблюдение технических стандартов. Как правило, для обозначения того, что продукт одобрен, используется метод маркирования и кодирования, соответствующий тому или иному продукту. </w:t>
      </w:r>
    </w:p>
    <w:p w14:paraId="54B457F2" w14:textId="77777777" w:rsidR="0036359D" w:rsidRPr="00C74816" w:rsidRDefault="0036359D" w:rsidP="0036359D">
      <w:pPr>
        <w:pStyle w:val="enumlev1"/>
        <w:spacing w:before="200"/>
        <w:rPr>
          <w:lang w:val="ru-RU"/>
        </w:rPr>
      </w:pPr>
      <w:r w:rsidRPr="00C74816">
        <w:rPr>
          <w:szCs w:val="24"/>
          <w:lang w:val="ru-RU"/>
        </w:rPr>
        <w:t>–</w:t>
      </w:r>
      <w:r w:rsidRPr="00C74816">
        <w:rPr>
          <w:lang w:val="ru-RU"/>
        </w:rPr>
        <w:tab/>
        <w:t>Проверка на соответствие/соблюдение</w:t>
      </w:r>
    </w:p>
    <w:p w14:paraId="259EC75E" w14:textId="77777777" w:rsidR="0036359D" w:rsidRPr="00C74816" w:rsidRDefault="0036359D" w:rsidP="0036359D">
      <w:pPr>
        <w:rPr>
          <w:lang w:val="ru-RU"/>
        </w:rPr>
      </w:pPr>
      <w:r w:rsidRPr="00C74816">
        <w:rPr>
          <w:lang w:val="ru-RU"/>
        </w:rPr>
        <w:t xml:space="preserve">Проверка на соответствие/соблюдение – это два выражения для обозначения одного и того же процесса, сопоставимого с выдачей сертификатов одобрения типа, но с некоторыми специфическими отличиями. Проверка проводится в отношении технических стандартов, которые могут касаться более одной страны. Проверка в отношении такого стандарта может обеспечивать "одобрение" продукта более чем в одной стране. Проверка на соответствие/соблюдение проводится неоднократно независимыми учреждениями, работающими в режиме, согласованном регуляторными органами и организациями по стандартизации. Такие организации называются уполномоченными органами. Как правило, для удовлетворяющих требованиям продуктов используется характерная метка. </w:t>
      </w:r>
    </w:p>
    <w:p w14:paraId="57531C91" w14:textId="77777777" w:rsidR="0036359D" w:rsidRPr="00C74816" w:rsidRDefault="0036359D" w:rsidP="0036359D">
      <w:pPr>
        <w:pStyle w:val="Note"/>
        <w:rPr>
          <w:lang w:val="ru-RU"/>
        </w:rPr>
      </w:pPr>
      <w:r w:rsidRPr="00C74816">
        <w:rPr>
          <w:lang w:val="ru-RU"/>
        </w:rPr>
        <w:t>ПРИМЕЧАНИЕ 1. – В Европе в соответствии с Директивой по радиооборудованию и терминальному оборудованию радиосвязи</w:t>
      </w:r>
      <w:r w:rsidRPr="00C74816">
        <w:rPr>
          <w:rStyle w:val="longtext"/>
          <w:szCs w:val="22"/>
          <w:shd w:val="clear" w:color="auto" w:fill="FFFFFF"/>
          <w:lang w:val="ru-RU"/>
        </w:rPr>
        <w:t xml:space="preserve"> (R&amp;TTE) не требуется использовать уполномоченный орган для подтверждения того, что требования соблюдаются.</w:t>
      </w:r>
    </w:p>
    <w:p w14:paraId="2A7BC217" w14:textId="77777777" w:rsidR="0036359D" w:rsidRPr="00C74816" w:rsidRDefault="0036359D" w:rsidP="0036359D">
      <w:pPr>
        <w:rPr>
          <w:lang w:val="ru-RU"/>
        </w:rPr>
      </w:pPr>
      <w:r w:rsidRPr="00C74816">
        <w:rPr>
          <w:lang w:val="ru-RU"/>
        </w:rPr>
        <w:t xml:space="preserve">Основная причина таких проверок – вывести продукты на рынок. </w:t>
      </w:r>
    </w:p>
    <w:p w14:paraId="68D1B6E8" w14:textId="77777777" w:rsidR="0036359D" w:rsidRPr="00C74816" w:rsidRDefault="0036359D" w:rsidP="0036359D">
      <w:pPr>
        <w:pStyle w:val="enumlev1"/>
        <w:spacing w:before="200"/>
        <w:rPr>
          <w:lang w:val="ru-RU"/>
        </w:rPr>
      </w:pPr>
      <w:r w:rsidRPr="00C74816">
        <w:rPr>
          <w:szCs w:val="24"/>
          <w:lang w:val="ru-RU"/>
        </w:rPr>
        <w:t>–</w:t>
      </w:r>
      <w:r w:rsidRPr="00C74816">
        <w:rPr>
          <w:lang w:val="ru-RU"/>
        </w:rPr>
        <w:tab/>
        <w:t>Цели обеспечения выполнения требований</w:t>
      </w:r>
    </w:p>
    <w:p w14:paraId="5062D838" w14:textId="77777777" w:rsidR="0036359D" w:rsidRPr="00C74816" w:rsidRDefault="0036359D" w:rsidP="0036359D">
      <w:pPr>
        <w:rPr>
          <w:lang w:val="ru-RU"/>
        </w:rPr>
      </w:pPr>
      <w:r w:rsidRPr="00C74816">
        <w:rPr>
          <w:lang w:val="ru-RU"/>
        </w:rPr>
        <w:t xml:space="preserve">При обеспечении выполнения требований измерения выполняются по другим причинам, не связанным с выпуском продукта на рынок. Важнейшая причина проведения измерений для обеспечения выполнения требований состоит в определении того, что продукт разработан согласно стандартам, действующим для одобрения типа или соответствия/соблюдения требований. Как правило, такие измерения проводятся, когда продукт уже находится на рынке. Стандарт для того или иного конкретного продукта должен гарантировать соответствие нормативным актам в случае соблюдения надлежащих процедур и пределов. В связи с этим вполне логично, что при обеспечении выполнения требований используются такие же методы измерения, как и описанные в стандартах. С другой стороны, функции обеспечения выполнения требований часто обеспечивают взаимодействие между регуляторным органом и организацией по стандартизации, гарантируя соответствие стандартов требованиям регулирования. </w:t>
      </w:r>
    </w:p>
    <w:p w14:paraId="7B0DB26F" w14:textId="77777777" w:rsidR="0036359D" w:rsidRPr="00C74816" w:rsidRDefault="0036359D" w:rsidP="005F2D44">
      <w:pPr>
        <w:rPr>
          <w:lang w:val="ru-RU"/>
        </w:rPr>
      </w:pPr>
      <w:r w:rsidRPr="00C74816">
        <w:rPr>
          <w:lang w:val="ru-RU"/>
        </w:rPr>
        <w:t xml:space="preserve">Еще одна причина обеспечения выполнения требований состоит в том, чтобы проследить происхождение устройства и производителя/поставщика, ответственного за выпуск этого товара на рынок. Как правило, это осуществляется в рамках обычной процедуры проведения измерений для обеспечения выполнения требований и включает проверку маркировки, проставленной на устройстве, а также типичных технических свойств. Эти свойства могут определяться с помощью соответствующих процедур измерения, например поведения устройства при конкретных видах воздействия. Кроме того, о характере устройства может свидетельствовать его поведение в реальных условиях, но это является скорее задачей контроля. </w:t>
      </w:r>
    </w:p>
    <w:p w14:paraId="57834136" w14:textId="77777777" w:rsidR="0036359D" w:rsidRPr="00C74816" w:rsidRDefault="0036359D" w:rsidP="00313F13">
      <w:pPr>
        <w:pStyle w:val="enumlev1"/>
        <w:keepNext/>
        <w:keepLines/>
        <w:spacing w:before="200"/>
        <w:rPr>
          <w:lang w:val="ru-RU"/>
        </w:rPr>
      </w:pPr>
      <w:r w:rsidRPr="00C74816">
        <w:rPr>
          <w:szCs w:val="24"/>
          <w:lang w:val="ru-RU"/>
        </w:rPr>
        <w:lastRenderedPageBreak/>
        <w:t>–</w:t>
      </w:r>
      <w:r w:rsidRPr="00C74816">
        <w:rPr>
          <w:lang w:val="ru-RU"/>
        </w:rPr>
        <w:tab/>
        <w:t>Помощь в выполнении задачи контроля за использованием спектра при измерении занятости спектра</w:t>
      </w:r>
    </w:p>
    <w:p w14:paraId="61699C3E" w14:textId="5EFAA155" w:rsidR="0036359D" w:rsidRPr="00C74816" w:rsidRDefault="0036359D" w:rsidP="005F2D44">
      <w:pPr>
        <w:rPr>
          <w:lang w:val="ru-RU"/>
        </w:rPr>
      </w:pPr>
      <w:r w:rsidRPr="00C74816">
        <w:rPr>
          <w:lang w:val="ru-RU"/>
        </w:rPr>
        <w:t xml:space="preserve">Контроль за использованием спектра устройствами малого радиуса действия в некоторой степени отличается от контроля для других пользователей спектра, поскольку, для того чтобы их малая </w:t>
      </w:r>
      <w:r w:rsidRPr="00C74816">
        <w:rPr>
          <w:spacing w:val="-3"/>
          <w:lang w:val="ru-RU"/>
        </w:rPr>
        <w:t xml:space="preserve">мощность и конкретное </w:t>
      </w:r>
      <w:r w:rsidRPr="00C74816">
        <w:rPr>
          <w:lang w:val="ru-RU"/>
        </w:rPr>
        <w:t>географическое</w:t>
      </w:r>
      <w:r w:rsidRPr="00C74816">
        <w:rPr>
          <w:spacing w:val="-3"/>
          <w:lang w:val="ru-RU"/>
        </w:rPr>
        <w:t xml:space="preserve"> распределение действовали эффективно, необходимо соблюдать</w:t>
      </w:r>
      <w:r w:rsidRPr="00C74816">
        <w:rPr>
          <w:spacing w:val="-2"/>
          <w:lang w:val="ru-RU"/>
        </w:rPr>
        <w:t xml:space="preserve"> некоторые соответствующие руководящие указания, такие как изложенные в Отчете </w:t>
      </w:r>
      <w:hyperlink r:id="rId17" w:history="1">
        <w:r w:rsidRPr="00C74816">
          <w:rPr>
            <w:rStyle w:val="Hyperlink"/>
            <w:color w:val="auto"/>
            <w:spacing w:val="-2"/>
            <w:u w:val="none"/>
            <w:lang w:val="ru-RU"/>
          </w:rPr>
          <w:t>МСЭ-R SM.2154</w:t>
        </w:r>
      </w:hyperlink>
      <w:r w:rsidRPr="00C74816">
        <w:rPr>
          <w:spacing w:val="-2"/>
          <w:lang w:val="ru-RU"/>
        </w:rPr>
        <w:t>.</w:t>
      </w:r>
    </w:p>
    <w:p w14:paraId="2B9BD862" w14:textId="77777777" w:rsidR="0036359D" w:rsidRPr="00C74816" w:rsidRDefault="0036359D" w:rsidP="00B9569A">
      <w:pPr>
        <w:rPr>
          <w:lang w:val="ru-RU"/>
        </w:rPr>
      </w:pPr>
      <w:r w:rsidRPr="00C74816">
        <w:rPr>
          <w:lang w:val="ru-RU"/>
        </w:rPr>
        <w:t xml:space="preserve">Чтобы охарактеризовать занятость спектра в показателях количества устройств и их местоположения в РЧ диапазоне, в котором работают SRD, необходимо преобразовать режим работы устройства в конкретное время в показатели фактической занятости. Например, устройство, посылающее каждую секунду импульс длительностью 1 мс, может считаться активным в течение 100% времени (коэффициент использования), но приводящим к показателю фактической загруженности менее 0,1% (коэффициент заполнения). Проверка соответствующих стандартов и применение описанных методов измерения могут использоваться для получения правильного представления о работе устройства и анализа показателей занятости. При этом не требуется использовать сложные и дорогостоящие измерения временных характеристик в диапазонах SRD. </w:t>
      </w:r>
    </w:p>
    <w:p w14:paraId="14C8E39F" w14:textId="77777777" w:rsidR="0036359D" w:rsidRPr="00C74816" w:rsidRDefault="0036359D" w:rsidP="0036359D">
      <w:pPr>
        <w:pStyle w:val="Heading1"/>
        <w:spacing w:line="220" w:lineRule="exact"/>
        <w:rPr>
          <w:lang w:val="ru-RU"/>
        </w:rPr>
      </w:pPr>
      <w:bookmarkStart w:id="12" w:name="_Toc283731937"/>
      <w:bookmarkStart w:id="13" w:name="_Toc276991211"/>
      <w:bookmarkStart w:id="14" w:name="_Toc188609891"/>
      <w:r w:rsidRPr="00C74816">
        <w:rPr>
          <w:lang w:val="ru-RU"/>
        </w:rPr>
        <w:t>3</w:t>
      </w:r>
      <w:r w:rsidRPr="00C74816">
        <w:rPr>
          <w:lang w:val="ru-RU"/>
        </w:rPr>
        <w:tab/>
        <w:t>Выбор метода измерения</w:t>
      </w:r>
      <w:bookmarkEnd w:id="12"/>
      <w:bookmarkEnd w:id="14"/>
      <w:r w:rsidRPr="00C74816">
        <w:rPr>
          <w:lang w:val="ru-RU"/>
        </w:rPr>
        <w:t xml:space="preserve"> </w:t>
      </w:r>
      <w:bookmarkEnd w:id="13"/>
    </w:p>
    <w:p w14:paraId="79D11131" w14:textId="77777777" w:rsidR="0036359D" w:rsidRPr="00C74816" w:rsidRDefault="0036359D" w:rsidP="00B9569A">
      <w:pPr>
        <w:rPr>
          <w:lang w:val="ru-RU"/>
        </w:rPr>
      </w:pPr>
      <w:r w:rsidRPr="00C74816">
        <w:rPr>
          <w:lang w:val="ru-RU"/>
        </w:rPr>
        <w:t xml:space="preserve">Выбор метода измерения описан с точки зрения регуляторного органа. </w:t>
      </w:r>
    </w:p>
    <w:p w14:paraId="648D7B1C" w14:textId="77777777" w:rsidR="0036359D" w:rsidRPr="00C74816" w:rsidRDefault="0036359D" w:rsidP="00B9569A">
      <w:pPr>
        <w:rPr>
          <w:lang w:val="ru-RU"/>
        </w:rPr>
      </w:pPr>
      <w:r w:rsidRPr="00C74816">
        <w:rPr>
          <w:lang w:val="ru-RU"/>
        </w:rPr>
        <w:t xml:space="preserve">Как правило, для выпуска продуктов на рынок в отрасли используются методы измерения, содержащиеся в технических стандартах. Это означает, что методы проверки иногда подробно описаны с точки зрения как их организации, так и процедур, причиной чего является необходимость правовой базы. Для целей обеспечения выполнения требований нет необходимости в соблюдении в каждом случае этих подробных инструкций по измерениям. Например, измерение э.и.м. может производиться в стандартном месте проверки с использованием стандартного измерительного оборудования, пока значение этого параметра может определяться с такой же или меньшей степенью неопределенности, чем при изложенном в стандарте методе. </w:t>
      </w:r>
    </w:p>
    <w:p w14:paraId="22B8DA2F" w14:textId="77777777" w:rsidR="0036359D" w:rsidRPr="00C74816" w:rsidRDefault="0036359D" w:rsidP="00B9569A">
      <w:pPr>
        <w:rPr>
          <w:lang w:val="ru-RU"/>
        </w:rPr>
      </w:pPr>
      <w:r w:rsidRPr="00C74816">
        <w:rPr>
          <w:lang w:val="ru-RU"/>
        </w:rPr>
        <w:t xml:space="preserve">Проверка часто является продолжительным и дорогостоящим процессом, поэтому многие учреждения по обеспечению выполнения требований используют метод под названием "предварительная проверка на соблюдение требований"; используемые методы в основном являются подобными методами, которые описываются в стандартах, но с большей степенью неопределенности измерений и меньшим временем измерений. Такая предварительная проверка на соблюдение требований используется для того, чтобы выбор устройств был основан на "полной проверке на соблюдение требований" (проверенным более подробно) учреждением по обеспечению выполнения требований или же с применением специализированного испытательного оборудования. Причина такого двухэтапного процесса состоит в обеспечении более рентабельной работы и в повышении вероятности обнаружения не отвечающих требованиям устройств. Предварительная проверка на соблюдение требований также может проводиться на местах без тестовых интервалов, описанных в стандарте. </w:t>
      </w:r>
    </w:p>
    <w:p w14:paraId="2896FDF7" w14:textId="77777777" w:rsidR="0036359D" w:rsidRPr="00C74816" w:rsidRDefault="0036359D" w:rsidP="00B9569A">
      <w:pPr>
        <w:rPr>
          <w:lang w:val="ru-RU"/>
        </w:rPr>
      </w:pPr>
      <w:r w:rsidRPr="00C74816">
        <w:rPr>
          <w:lang w:val="ru-RU"/>
        </w:rPr>
        <w:t xml:space="preserve">Стандарты можно подразделить на относящиеся к конкретным продуктам и не относящиеся к конкретным продуктам. Причина такого разграничения состоит в том, что для выполнения требований регулирования для некоторых продуктов используются альтернативные и иногда сложные методы, которые нельзя сделать обязательными для всех устройств в рамках одного и того же режима регулирования. Общепризнано, что если существует относящийся к конкретному продукту стандарт, то этот конкретный продукт должен соответствовать требованиям, которые содержатся в относящемся к продукту стандарте. </w:t>
      </w:r>
    </w:p>
    <w:p w14:paraId="22C21390" w14:textId="77777777" w:rsidR="00667C1C" w:rsidRPr="00C74816" w:rsidRDefault="0036359D" w:rsidP="00B9569A">
      <w:pPr>
        <w:rPr>
          <w:lang w:val="ru-RU"/>
        </w:rPr>
      </w:pPr>
      <w:r w:rsidRPr="00C74816">
        <w:rPr>
          <w:lang w:val="ru-RU"/>
        </w:rPr>
        <w:t xml:space="preserve">Особым случаем стандартов, не относящихся к конкретным продуктам, являются стандарты, которые используются для проверки на соблюдение требований электромагнитной совместимости (ЭМС) и электромагнитных полей (ЭМП). Эти стандарты не относятся непосредственно к использованию </w:t>
      </w:r>
      <w:r w:rsidRPr="00C74816">
        <w:rPr>
          <w:spacing w:val="-2"/>
          <w:lang w:val="ru-RU"/>
        </w:rPr>
        <w:t xml:space="preserve">спектра, а касаются </w:t>
      </w:r>
      <w:r w:rsidRPr="00C74816">
        <w:rPr>
          <w:lang w:val="ru-RU"/>
        </w:rPr>
        <w:t>пределов</w:t>
      </w:r>
      <w:r w:rsidRPr="00C74816">
        <w:rPr>
          <w:spacing w:val="-2"/>
          <w:lang w:val="ru-RU"/>
        </w:rPr>
        <w:t xml:space="preserve"> безопасности в отношении охраны здоровья и ЭМС. Выбор конкретного</w:t>
      </w:r>
      <w:r w:rsidRPr="00C74816">
        <w:rPr>
          <w:lang w:val="ru-RU"/>
        </w:rPr>
        <w:t xml:space="preserve"> </w:t>
      </w:r>
      <w:r w:rsidRPr="00C74816">
        <w:rPr>
          <w:spacing w:val="-3"/>
          <w:lang w:val="ru-RU"/>
        </w:rPr>
        <w:t>стандарта и метода проверки должен быть основан на виде регулирования, для которого осуществляется</w:t>
      </w:r>
      <w:r w:rsidRPr="00C74816">
        <w:rPr>
          <w:lang w:val="ru-RU"/>
        </w:rPr>
        <w:t xml:space="preserve"> проверка (т. е. регулирование использования спектра, регулирование ЭМС и регулирование ЭМП).</w:t>
      </w:r>
    </w:p>
    <w:p w14:paraId="795E8F02" w14:textId="77777777" w:rsidR="0036359D" w:rsidRPr="00C74816" w:rsidRDefault="0036359D" w:rsidP="0036359D">
      <w:pPr>
        <w:pStyle w:val="AnnexNoTitle"/>
        <w:rPr>
          <w:lang w:val="ru-RU"/>
        </w:rPr>
      </w:pPr>
      <w:bookmarkStart w:id="15" w:name="_Toc276991212"/>
      <w:bookmarkStart w:id="16" w:name="_Toc283731938"/>
      <w:bookmarkStart w:id="17" w:name="_Toc188609892"/>
      <w:r w:rsidRPr="00C74816">
        <w:rPr>
          <w:lang w:val="ru-RU"/>
        </w:rPr>
        <w:lastRenderedPageBreak/>
        <w:t>Приложение 1</w:t>
      </w:r>
      <w:r w:rsidRPr="00C74816">
        <w:rPr>
          <w:lang w:val="ru-RU"/>
        </w:rPr>
        <w:br/>
      </w:r>
      <w:r w:rsidRPr="00C74816">
        <w:rPr>
          <w:lang w:val="ru-RU"/>
        </w:rPr>
        <w:br/>
        <w:t>Стандарты, содержащие методы измерения, в рамках СЕПТ</w:t>
      </w:r>
      <w:bookmarkEnd w:id="15"/>
      <w:bookmarkEnd w:id="16"/>
      <w:bookmarkEnd w:id="17"/>
    </w:p>
    <w:p w14:paraId="3BA12AA6" w14:textId="77777777" w:rsidR="0036359D" w:rsidRPr="00C74816" w:rsidRDefault="0036359D" w:rsidP="0036359D">
      <w:pPr>
        <w:pStyle w:val="Heading1"/>
        <w:rPr>
          <w:lang w:val="ru-RU"/>
        </w:rPr>
      </w:pPr>
      <w:bookmarkStart w:id="18" w:name="_Toc283731939"/>
      <w:bookmarkStart w:id="19" w:name="_Toc276991213"/>
      <w:bookmarkStart w:id="20" w:name="_Toc188609893"/>
      <w:r w:rsidRPr="00C74816">
        <w:rPr>
          <w:lang w:val="ru-RU"/>
        </w:rPr>
        <w:t>1</w:t>
      </w:r>
      <w:r w:rsidRPr="00C74816">
        <w:rPr>
          <w:lang w:val="ru-RU"/>
        </w:rPr>
        <w:tab/>
        <w:t>Регулирование устройств малого радиуса действия в странах СЕПТ</w:t>
      </w:r>
      <w:bookmarkEnd w:id="18"/>
      <w:bookmarkEnd w:id="20"/>
      <w:r w:rsidRPr="00C74816">
        <w:rPr>
          <w:lang w:val="ru-RU"/>
        </w:rPr>
        <w:t xml:space="preserve"> </w:t>
      </w:r>
      <w:bookmarkEnd w:id="19"/>
    </w:p>
    <w:p w14:paraId="30EE03F0" w14:textId="77777777" w:rsidR="0036359D" w:rsidRPr="00C74816" w:rsidRDefault="0036359D" w:rsidP="00B9569A">
      <w:pPr>
        <w:rPr>
          <w:lang w:val="ru-RU"/>
        </w:rPr>
      </w:pPr>
      <w:r w:rsidRPr="00C74816">
        <w:rPr>
          <w:lang w:val="ru-RU"/>
        </w:rPr>
        <w:t xml:space="preserve">В странах </w:t>
      </w:r>
      <w:r w:rsidRPr="00C74816">
        <w:rPr>
          <w:rFonts w:asciiTheme="majorBidi" w:hAnsiTheme="majorBidi" w:cstheme="majorBidi"/>
          <w:lang w:val="ru-RU" w:eastAsia="ru-RU"/>
        </w:rPr>
        <w:t>Европейской конференции администраций почт и электросвязи (СЕПТ)</w:t>
      </w:r>
      <w:r w:rsidRPr="00C74816">
        <w:rPr>
          <w:rFonts w:asciiTheme="majorBidi" w:hAnsiTheme="majorBidi" w:cstheme="majorBidi"/>
          <w:lang w:val="ru-RU"/>
        </w:rPr>
        <w:t xml:space="preserve"> регулирование</w:t>
      </w:r>
      <w:r w:rsidRPr="00C74816">
        <w:rPr>
          <w:lang w:val="ru-RU"/>
        </w:rPr>
        <w:t xml:space="preserve"> устройств малого радиуса действия в документальном виде представлено в Рекомендации 70</w:t>
      </w:r>
      <w:r w:rsidRPr="00C74816">
        <w:rPr>
          <w:lang w:val="ru-RU"/>
        </w:rPr>
        <w:noBreakHyphen/>
        <w:t>03 Европейского комитета по радиосвязи (ERC). В этой рекомендации содержится список полос частот с параметрами регулирования для SRD, а также таблица, в которой указано состояние внедрения этих полос в странах СЕПТ. Если страна внедряет полосу частот, можно предположить, что в этой конкретной стране действует национальное регулирование, соответствующее техническим параметрам, указанным в Рекомендации 70-03 ERC.</w:t>
      </w:r>
    </w:p>
    <w:p w14:paraId="3619DBAA" w14:textId="77777777" w:rsidR="0036359D" w:rsidRPr="00C74816" w:rsidRDefault="0036359D" w:rsidP="00B9569A">
      <w:pPr>
        <w:rPr>
          <w:lang w:val="ru-RU"/>
        </w:rPr>
      </w:pPr>
      <w:r w:rsidRPr="00C74816">
        <w:rPr>
          <w:lang w:val="ru-RU"/>
        </w:rPr>
        <w:t>Для группы стран СЕПТ (государства – члены ЕС/ЕЭЗ</w:t>
      </w:r>
      <w:r w:rsidRPr="00C74816">
        <w:rPr>
          <w:rStyle w:val="FootnoteReference"/>
          <w:sz w:val="16"/>
          <w:szCs w:val="16"/>
          <w:lang w:val="ru-RU"/>
        </w:rPr>
        <w:footnoteReference w:id="1"/>
      </w:r>
      <w:r w:rsidRPr="00C74816">
        <w:rPr>
          <w:lang w:val="ru-RU"/>
        </w:rPr>
        <w:t xml:space="preserve">) является обязательным выполнение решений Европейской комиссии (ЕК), перечисленных в Дополнении 2 к Рекомендации 70-03 </w:t>
      </w:r>
      <w:r w:rsidRPr="00C74816">
        <w:rPr>
          <w:szCs w:val="22"/>
          <w:lang w:val="ru-RU"/>
        </w:rPr>
        <w:t>ERC</w:t>
      </w:r>
      <w:r w:rsidRPr="00C74816">
        <w:rPr>
          <w:lang w:val="ru-RU"/>
        </w:rPr>
        <w:t xml:space="preserve">. В технических приложениях к этим решениям ЕК указаны полосы частот и соответствующие важнейшие регуляторные параметры для SRD. Перечисленные в решениях ЕК параметры для той </w:t>
      </w:r>
      <w:r w:rsidRPr="00C74816">
        <w:rPr>
          <w:spacing w:val="-2"/>
          <w:lang w:val="ru-RU"/>
        </w:rPr>
        <w:t xml:space="preserve">или иной страны ЕС могут снижаться, и они подробно указаны в Дополнении 3 к Рекомендации 70-03 </w:t>
      </w:r>
      <w:r w:rsidRPr="00C74816">
        <w:rPr>
          <w:spacing w:val="-2"/>
          <w:szCs w:val="22"/>
          <w:lang w:val="ru-RU"/>
        </w:rPr>
        <w:t>ERC.</w:t>
      </w:r>
      <w:r w:rsidRPr="00C74816">
        <w:rPr>
          <w:szCs w:val="22"/>
          <w:lang w:val="ru-RU"/>
        </w:rPr>
        <w:t xml:space="preserve"> </w:t>
      </w:r>
    </w:p>
    <w:p w14:paraId="190CDB8E" w14:textId="77777777" w:rsidR="0036359D" w:rsidRPr="00C74816" w:rsidRDefault="0036359D" w:rsidP="0036359D">
      <w:pPr>
        <w:pStyle w:val="Heading1"/>
        <w:rPr>
          <w:lang w:val="ru-RU"/>
        </w:rPr>
      </w:pPr>
      <w:bookmarkStart w:id="21" w:name="_Toc276991214"/>
      <w:bookmarkStart w:id="22" w:name="_Toc283731940"/>
      <w:bookmarkStart w:id="23" w:name="_Toc188609894"/>
      <w:r w:rsidRPr="00C74816">
        <w:rPr>
          <w:lang w:val="ru-RU"/>
        </w:rPr>
        <w:t>2</w:t>
      </w:r>
      <w:r w:rsidRPr="00C74816">
        <w:rPr>
          <w:lang w:val="ru-RU"/>
        </w:rPr>
        <w:tab/>
        <w:t xml:space="preserve">Процедуры измерения для </w:t>
      </w:r>
      <w:bookmarkEnd w:id="21"/>
      <w:r w:rsidRPr="00C74816">
        <w:rPr>
          <w:lang w:val="ru-RU"/>
        </w:rPr>
        <w:t>устройств малого радиуса действия в странах СЕПТ</w:t>
      </w:r>
      <w:bookmarkEnd w:id="22"/>
      <w:bookmarkEnd w:id="23"/>
    </w:p>
    <w:p w14:paraId="1D4FA56A" w14:textId="77777777" w:rsidR="0036359D" w:rsidRPr="00C74816" w:rsidRDefault="0036359D" w:rsidP="0036359D">
      <w:pPr>
        <w:tabs>
          <w:tab w:val="clear" w:pos="794"/>
          <w:tab w:val="clear" w:pos="1191"/>
          <w:tab w:val="clear" w:pos="1588"/>
          <w:tab w:val="clear" w:pos="1985"/>
        </w:tabs>
        <w:overflowPunct/>
        <w:spacing w:after="120"/>
        <w:textAlignment w:val="auto"/>
        <w:rPr>
          <w:szCs w:val="24"/>
          <w:lang w:val="ru-RU" w:eastAsia="nl-NL"/>
        </w:rPr>
      </w:pPr>
      <w:r w:rsidRPr="00C74816">
        <w:rPr>
          <w:lang w:val="ru-RU"/>
        </w:rPr>
        <w:t xml:space="preserve">В настоящем разделе содержатся согласованные стандарты </w:t>
      </w:r>
      <w:r w:rsidRPr="00C74816">
        <w:rPr>
          <w:rFonts w:asciiTheme="majorBidi" w:hAnsiTheme="majorBidi" w:cstheme="majorBidi"/>
          <w:szCs w:val="22"/>
          <w:lang w:val="ru-RU" w:eastAsia="ru-RU"/>
        </w:rPr>
        <w:t xml:space="preserve">Европейского института стандартизации электросвязи (ЕТСИ), которые используются в странах СЕПТ для </w:t>
      </w:r>
      <w:r w:rsidRPr="00C74816">
        <w:rPr>
          <w:lang w:val="ru-RU"/>
        </w:rPr>
        <w:t>SRD. Этот список можно подразделить на стандарты неспецифического использования, которые также называются общими стандартами, и стандарты специфического применения. Стандарты, не относящиеся к конкретному устройству, указаны в столбце примечаний. Документы можно найти и бесплатно загрузить на веб</w:t>
      </w:r>
      <w:r w:rsidRPr="00C74816">
        <w:rPr>
          <w:lang w:val="ru-RU"/>
        </w:rPr>
        <w:noBreakHyphen/>
        <w:t>сайте</w:t>
      </w:r>
      <w:r w:rsidRPr="00C74816">
        <w:rPr>
          <w:color w:val="000000"/>
          <w:lang w:val="ru-RU"/>
        </w:rPr>
        <w:t xml:space="preserve">: </w:t>
      </w:r>
      <w:hyperlink r:id="rId18" w:history="1">
        <w:r w:rsidRPr="00C74816">
          <w:rPr>
            <w:rStyle w:val="Hyperlink"/>
            <w:lang w:val="ru-RU"/>
          </w:rPr>
          <w:t>portal.etsi.org</w:t>
        </w:r>
      </w:hyperlink>
      <w:r w:rsidRPr="00C74816">
        <w:rPr>
          <w:color w:val="000000"/>
          <w:lang w:val="ru-RU"/>
        </w:rPr>
        <w:t xml:space="preserve">, а также определить их местоположение с использованием поисковой машины, представленной на этом веб-сайте.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0"/>
        <w:gridCol w:w="2126"/>
      </w:tblGrid>
      <w:tr w:rsidR="0036359D" w:rsidRPr="00C74816" w14:paraId="4C238771" w14:textId="77777777" w:rsidTr="00C517F2">
        <w:trPr>
          <w:tblHeader/>
          <w:jc w:val="center"/>
        </w:trPr>
        <w:tc>
          <w:tcPr>
            <w:tcW w:w="1843" w:type="dxa"/>
            <w:shd w:val="clear" w:color="auto" w:fill="auto"/>
          </w:tcPr>
          <w:p w14:paraId="13898A49" w14:textId="77777777" w:rsidR="0036359D" w:rsidRPr="00C74816" w:rsidRDefault="0036359D" w:rsidP="00B9569A">
            <w:pPr>
              <w:pStyle w:val="Tablehead"/>
              <w:rPr>
                <w:sz w:val="20"/>
                <w:lang w:val="ru-RU"/>
              </w:rPr>
            </w:pPr>
            <w:r w:rsidRPr="00C74816">
              <w:rPr>
                <w:sz w:val="20"/>
                <w:lang w:val="ru-RU"/>
              </w:rPr>
              <w:t>Стандарт</w:t>
            </w:r>
          </w:p>
        </w:tc>
        <w:tc>
          <w:tcPr>
            <w:tcW w:w="5670" w:type="dxa"/>
            <w:shd w:val="clear" w:color="auto" w:fill="auto"/>
          </w:tcPr>
          <w:p w14:paraId="1E8ABD88" w14:textId="77777777" w:rsidR="0036359D" w:rsidRPr="00C74816" w:rsidRDefault="0036359D" w:rsidP="00B9569A">
            <w:pPr>
              <w:pStyle w:val="Tablehead"/>
              <w:rPr>
                <w:sz w:val="20"/>
                <w:lang w:val="ru-RU"/>
              </w:rPr>
            </w:pPr>
            <w:r w:rsidRPr="00C74816">
              <w:rPr>
                <w:sz w:val="20"/>
                <w:lang w:val="ru-RU"/>
              </w:rPr>
              <w:t>Название</w:t>
            </w:r>
          </w:p>
        </w:tc>
        <w:tc>
          <w:tcPr>
            <w:tcW w:w="2126" w:type="dxa"/>
            <w:shd w:val="clear" w:color="auto" w:fill="auto"/>
          </w:tcPr>
          <w:p w14:paraId="4B95C7EC" w14:textId="77777777" w:rsidR="0036359D" w:rsidRPr="00C74816" w:rsidRDefault="0036359D" w:rsidP="00B9569A">
            <w:pPr>
              <w:pStyle w:val="Tablehead"/>
              <w:rPr>
                <w:sz w:val="20"/>
                <w:lang w:val="ru-RU"/>
              </w:rPr>
            </w:pPr>
            <w:r w:rsidRPr="00C74816">
              <w:rPr>
                <w:sz w:val="20"/>
                <w:lang w:val="ru-RU"/>
              </w:rPr>
              <w:t>Примечания</w:t>
            </w:r>
          </w:p>
        </w:tc>
      </w:tr>
      <w:tr w:rsidR="0036359D" w:rsidRPr="00C74816" w14:paraId="2591BCB2" w14:textId="77777777" w:rsidTr="00892A01">
        <w:trPr>
          <w:jc w:val="center"/>
        </w:trPr>
        <w:tc>
          <w:tcPr>
            <w:tcW w:w="1843" w:type="dxa"/>
          </w:tcPr>
          <w:p w14:paraId="0A0FEAAC" w14:textId="77777777" w:rsidR="0036359D" w:rsidRPr="00C74816" w:rsidRDefault="0036359D" w:rsidP="00B9569A">
            <w:pPr>
              <w:pStyle w:val="Tabletext"/>
              <w:rPr>
                <w:sz w:val="20"/>
                <w:lang w:val="ru-RU"/>
              </w:rPr>
            </w:pPr>
            <w:r w:rsidRPr="00C74816">
              <w:rPr>
                <w:sz w:val="20"/>
                <w:lang w:val="ru-RU"/>
              </w:rPr>
              <w:t>EN 300-220</w:t>
            </w:r>
          </w:p>
        </w:tc>
        <w:tc>
          <w:tcPr>
            <w:tcW w:w="5670" w:type="dxa"/>
          </w:tcPr>
          <w:p w14:paraId="1FAA7C30" w14:textId="77777777" w:rsidR="0036359D" w:rsidRPr="00C74816" w:rsidRDefault="0036359D" w:rsidP="00B9569A">
            <w:pPr>
              <w:pStyle w:val="Tabletext"/>
              <w:rPr>
                <w:sz w:val="20"/>
                <w:lang w:val="ru-RU"/>
              </w:rPr>
            </w:pPr>
            <w:r w:rsidRPr="00C74816">
              <w:rPr>
                <w:sz w:val="20"/>
                <w:lang w:val="ru-RU"/>
              </w:rPr>
              <w:t xml:space="preserve">Технические характеристики и методы проверки для радиооборудования, которое предназначено для использования в диапазоне частот от 25 МГц до 1000 МГц с уровнями мощности до 500 мВт </w:t>
            </w:r>
          </w:p>
        </w:tc>
        <w:tc>
          <w:tcPr>
            <w:tcW w:w="2126" w:type="dxa"/>
          </w:tcPr>
          <w:p w14:paraId="6A6AFDA6" w14:textId="77777777" w:rsidR="0036359D" w:rsidRPr="00C74816" w:rsidRDefault="0036359D" w:rsidP="00B9569A">
            <w:pPr>
              <w:pStyle w:val="Tabletext"/>
              <w:rPr>
                <w:sz w:val="20"/>
                <w:lang w:val="ru-RU"/>
              </w:rPr>
            </w:pPr>
            <w:r w:rsidRPr="00C74816">
              <w:rPr>
                <w:sz w:val="20"/>
                <w:lang w:val="ru-RU"/>
              </w:rPr>
              <w:t xml:space="preserve">Использовать для </w:t>
            </w:r>
            <w:r w:rsidRPr="00C74816">
              <w:rPr>
                <w:spacing w:val="-4"/>
                <w:sz w:val="20"/>
                <w:lang w:val="ru-RU"/>
              </w:rPr>
              <w:t>неспецифических SRD</w:t>
            </w:r>
          </w:p>
        </w:tc>
      </w:tr>
      <w:tr w:rsidR="0036359D" w:rsidRPr="00C74816" w14:paraId="283D43BC" w14:textId="77777777" w:rsidTr="00892A01">
        <w:trPr>
          <w:jc w:val="center"/>
        </w:trPr>
        <w:tc>
          <w:tcPr>
            <w:tcW w:w="1843" w:type="dxa"/>
          </w:tcPr>
          <w:p w14:paraId="6300C803" w14:textId="77777777" w:rsidR="0036359D" w:rsidRPr="00C74816" w:rsidRDefault="0036359D" w:rsidP="00B9569A">
            <w:pPr>
              <w:pStyle w:val="Tabletext"/>
              <w:rPr>
                <w:sz w:val="20"/>
                <w:lang w:val="ru-RU"/>
              </w:rPr>
            </w:pPr>
            <w:r w:rsidRPr="00C74816">
              <w:rPr>
                <w:sz w:val="20"/>
                <w:lang w:val="ru-RU"/>
              </w:rPr>
              <w:t>EN 300-328</w:t>
            </w:r>
          </w:p>
        </w:tc>
        <w:tc>
          <w:tcPr>
            <w:tcW w:w="5670" w:type="dxa"/>
          </w:tcPr>
          <w:p w14:paraId="300602A4" w14:textId="77777777" w:rsidR="0036359D" w:rsidRPr="00C74816" w:rsidRDefault="0036359D" w:rsidP="00B9569A">
            <w:pPr>
              <w:pStyle w:val="Tabletext"/>
              <w:rPr>
                <w:sz w:val="20"/>
                <w:lang w:val="ru-RU"/>
              </w:rPr>
            </w:pPr>
            <w:r w:rsidRPr="00C74816">
              <w:rPr>
                <w:sz w:val="20"/>
                <w:lang w:val="ru-RU"/>
              </w:rPr>
              <w:t xml:space="preserve">Оборудование передачи данных, работающее в диапазоне ПНМ 2,4 ГГц и в котором используются методы широкополосной модуляции </w:t>
            </w:r>
          </w:p>
        </w:tc>
        <w:tc>
          <w:tcPr>
            <w:tcW w:w="2126" w:type="dxa"/>
          </w:tcPr>
          <w:p w14:paraId="71A02877" w14:textId="77777777" w:rsidR="0036359D" w:rsidRPr="00C74816" w:rsidRDefault="0036359D" w:rsidP="00B9569A">
            <w:pPr>
              <w:pStyle w:val="Tabletext"/>
              <w:rPr>
                <w:sz w:val="20"/>
                <w:lang w:val="ru-RU"/>
              </w:rPr>
            </w:pPr>
          </w:p>
        </w:tc>
      </w:tr>
      <w:tr w:rsidR="0036359D" w:rsidRPr="00C74816" w14:paraId="16E4AFC2" w14:textId="77777777" w:rsidTr="00892A01">
        <w:trPr>
          <w:jc w:val="center"/>
        </w:trPr>
        <w:tc>
          <w:tcPr>
            <w:tcW w:w="1843" w:type="dxa"/>
          </w:tcPr>
          <w:p w14:paraId="515C495B" w14:textId="77777777" w:rsidR="0036359D" w:rsidRPr="00C74816" w:rsidRDefault="0036359D" w:rsidP="00B9569A">
            <w:pPr>
              <w:pStyle w:val="Tabletext"/>
              <w:rPr>
                <w:sz w:val="20"/>
                <w:lang w:val="ru-RU"/>
              </w:rPr>
            </w:pPr>
            <w:r w:rsidRPr="00C74816">
              <w:rPr>
                <w:sz w:val="20"/>
                <w:lang w:val="ru-RU"/>
              </w:rPr>
              <w:t>EN 300 330</w:t>
            </w:r>
          </w:p>
        </w:tc>
        <w:tc>
          <w:tcPr>
            <w:tcW w:w="5670" w:type="dxa"/>
          </w:tcPr>
          <w:p w14:paraId="5C76FB87" w14:textId="77777777" w:rsidR="0036359D" w:rsidRPr="00C74816" w:rsidRDefault="0036359D" w:rsidP="00B9569A">
            <w:pPr>
              <w:pStyle w:val="Tabletext"/>
              <w:rPr>
                <w:sz w:val="20"/>
                <w:lang w:val="ru-RU"/>
              </w:rPr>
            </w:pPr>
            <w:r w:rsidRPr="00C74816">
              <w:rPr>
                <w:sz w:val="20"/>
                <w:lang w:val="ru-RU"/>
              </w:rPr>
              <w:t>Технические характеристики и методы проверки для радиооборудования в диапазоне частот от 9 кГц до 25 МГц и системы с индуктивным циклом в диапазоне частот от 9 кГц до 30 МГц</w:t>
            </w:r>
          </w:p>
        </w:tc>
        <w:tc>
          <w:tcPr>
            <w:tcW w:w="2126" w:type="dxa"/>
          </w:tcPr>
          <w:p w14:paraId="5B9C5138" w14:textId="77777777" w:rsidR="0036359D" w:rsidRPr="00C74816" w:rsidRDefault="0036359D" w:rsidP="00B9569A">
            <w:pPr>
              <w:pStyle w:val="Tabletext"/>
              <w:rPr>
                <w:sz w:val="20"/>
                <w:lang w:val="ru-RU"/>
              </w:rPr>
            </w:pPr>
            <w:r w:rsidRPr="00C74816">
              <w:rPr>
                <w:sz w:val="20"/>
                <w:lang w:val="ru-RU"/>
              </w:rPr>
              <w:t xml:space="preserve">Использовать для </w:t>
            </w:r>
            <w:r w:rsidRPr="00C74816">
              <w:rPr>
                <w:spacing w:val="-4"/>
                <w:sz w:val="20"/>
                <w:lang w:val="ru-RU"/>
              </w:rPr>
              <w:t>неспецифических SRD</w:t>
            </w:r>
          </w:p>
        </w:tc>
      </w:tr>
      <w:tr w:rsidR="0036359D" w:rsidRPr="00C74816" w14:paraId="4B974A94" w14:textId="77777777" w:rsidTr="00892A01">
        <w:trPr>
          <w:jc w:val="center"/>
        </w:trPr>
        <w:tc>
          <w:tcPr>
            <w:tcW w:w="1843" w:type="dxa"/>
          </w:tcPr>
          <w:p w14:paraId="5E3753DB" w14:textId="77777777" w:rsidR="0036359D" w:rsidRPr="00C74816" w:rsidRDefault="0036359D" w:rsidP="00B9569A">
            <w:pPr>
              <w:pStyle w:val="Tabletext"/>
              <w:rPr>
                <w:sz w:val="20"/>
                <w:lang w:val="ru-RU"/>
              </w:rPr>
            </w:pPr>
            <w:r w:rsidRPr="00C74816">
              <w:rPr>
                <w:sz w:val="20"/>
                <w:lang w:val="ru-RU"/>
              </w:rPr>
              <w:t>EN 300 422</w:t>
            </w:r>
          </w:p>
        </w:tc>
        <w:tc>
          <w:tcPr>
            <w:tcW w:w="5670" w:type="dxa"/>
          </w:tcPr>
          <w:p w14:paraId="0B98E31C" w14:textId="77777777" w:rsidR="0036359D" w:rsidRPr="00C74816" w:rsidRDefault="0036359D" w:rsidP="00B9569A">
            <w:pPr>
              <w:pStyle w:val="Tabletext"/>
              <w:rPr>
                <w:spacing w:val="-4"/>
                <w:sz w:val="20"/>
                <w:lang w:val="ru-RU"/>
              </w:rPr>
            </w:pPr>
            <w:r w:rsidRPr="00C74816">
              <w:rPr>
                <w:spacing w:val="-4"/>
                <w:sz w:val="20"/>
                <w:lang w:val="ru-RU"/>
              </w:rPr>
              <w:t>Беспроводные микрофоны в диапазоне частот от 25 МГц до 3 ГГц</w:t>
            </w:r>
          </w:p>
        </w:tc>
        <w:tc>
          <w:tcPr>
            <w:tcW w:w="2126" w:type="dxa"/>
          </w:tcPr>
          <w:p w14:paraId="034D67E4" w14:textId="77777777" w:rsidR="0036359D" w:rsidRPr="00C74816" w:rsidRDefault="0036359D" w:rsidP="00B9569A">
            <w:pPr>
              <w:pStyle w:val="Tabletext"/>
              <w:rPr>
                <w:sz w:val="20"/>
                <w:lang w:val="ru-RU"/>
              </w:rPr>
            </w:pPr>
          </w:p>
        </w:tc>
      </w:tr>
      <w:tr w:rsidR="0036359D" w:rsidRPr="00C74816" w14:paraId="0534D317" w14:textId="77777777" w:rsidTr="00892A01">
        <w:trPr>
          <w:jc w:val="center"/>
        </w:trPr>
        <w:tc>
          <w:tcPr>
            <w:tcW w:w="1843" w:type="dxa"/>
          </w:tcPr>
          <w:p w14:paraId="0614E4D1" w14:textId="77777777" w:rsidR="0036359D" w:rsidRPr="00C74816" w:rsidRDefault="0036359D" w:rsidP="00B9569A">
            <w:pPr>
              <w:pStyle w:val="Tabletext"/>
              <w:rPr>
                <w:sz w:val="20"/>
                <w:lang w:val="ru-RU"/>
              </w:rPr>
            </w:pPr>
            <w:r w:rsidRPr="00C74816">
              <w:rPr>
                <w:sz w:val="20"/>
                <w:lang w:val="ru-RU"/>
              </w:rPr>
              <w:t>EN 300 440</w:t>
            </w:r>
          </w:p>
        </w:tc>
        <w:tc>
          <w:tcPr>
            <w:tcW w:w="5670" w:type="dxa"/>
          </w:tcPr>
          <w:p w14:paraId="6A9AD042" w14:textId="77777777" w:rsidR="0036359D" w:rsidRPr="00C74816" w:rsidRDefault="0036359D" w:rsidP="00B9569A">
            <w:pPr>
              <w:pStyle w:val="Tabletext"/>
              <w:rPr>
                <w:sz w:val="20"/>
                <w:lang w:val="ru-RU"/>
              </w:rPr>
            </w:pPr>
            <w:r w:rsidRPr="00C74816">
              <w:rPr>
                <w:sz w:val="20"/>
                <w:lang w:val="ru-RU"/>
              </w:rPr>
              <w:t xml:space="preserve">Радиооборудование, предназначенное для использования в диапазоне частот от 1 ГГц до 40 ГГц </w:t>
            </w:r>
          </w:p>
        </w:tc>
        <w:tc>
          <w:tcPr>
            <w:tcW w:w="2126" w:type="dxa"/>
          </w:tcPr>
          <w:p w14:paraId="503465DE" w14:textId="77777777" w:rsidR="0036359D" w:rsidRPr="00C74816" w:rsidRDefault="0036359D" w:rsidP="00B9569A">
            <w:pPr>
              <w:pStyle w:val="Tabletext"/>
              <w:rPr>
                <w:sz w:val="20"/>
                <w:lang w:val="ru-RU"/>
              </w:rPr>
            </w:pPr>
            <w:r w:rsidRPr="00C74816">
              <w:rPr>
                <w:sz w:val="20"/>
                <w:lang w:val="ru-RU"/>
              </w:rPr>
              <w:t xml:space="preserve">Использовать для </w:t>
            </w:r>
            <w:r w:rsidRPr="00C74816">
              <w:rPr>
                <w:spacing w:val="-4"/>
                <w:sz w:val="20"/>
                <w:lang w:val="ru-RU"/>
              </w:rPr>
              <w:t>неспецифических SRD</w:t>
            </w:r>
          </w:p>
        </w:tc>
      </w:tr>
      <w:tr w:rsidR="0036359D" w:rsidRPr="00C74816" w14:paraId="44356076" w14:textId="77777777" w:rsidTr="00892A01">
        <w:trPr>
          <w:jc w:val="center"/>
        </w:trPr>
        <w:tc>
          <w:tcPr>
            <w:tcW w:w="1843" w:type="dxa"/>
          </w:tcPr>
          <w:p w14:paraId="5692B9E0" w14:textId="77777777" w:rsidR="0036359D" w:rsidRPr="00C74816" w:rsidRDefault="0036359D" w:rsidP="00B9569A">
            <w:pPr>
              <w:pStyle w:val="Tabletext"/>
              <w:rPr>
                <w:sz w:val="20"/>
                <w:lang w:val="ru-RU"/>
              </w:rPr>
            </w:pPr>
            <w:r w:rsidRPr="00C74816">
              <w:rPr>
                <w:sz w:val="20"/>
                <w:lang w:val="ru-RU"/>
              </w:rPr>
              <w:t>EN 300 674</w:t>
            </w:r>
          </w:p>
        </w:tc>
        <w:tc>
          <w:tcPr>
            <w:tcW w:w="5670" w:type="dxa"/>
          </w:tcPr>
          <w:p w14:paraId="55F199C5" w14:textId="77777777" w:rsidR="0036359D" w:rsidRPr="00C74816" w:rsidRDefault="0036359D" w:rsidP="00B9569A">
            <w:pPr>
              <w:pStyle w:val="Tabletext"/>
              <w:rPr>
                <w:sz w:val="20"/>
                <w:lang w:val="ru-RU"/>
              </w:rPr>
            </w:pPr>
            <w:r w:rsidRPr="00C74816">
              <w:rPr>
                <w:rFonts w:asciiTheme="majorBidi" w:hAnsiTheme="majorBidi" w:cstheme="majorBidi"/>
                <w:sz w:val="20"/>
                <w:lang w:val="ru-RU"/>
              </w:rPr>
              <w:t>Телематические службы для дорожного транспорта и движения (RTTT)</w:t>
            </w:r>
            <w:r w:rsidRPr="00C74816">
              <w:rPr>
                <w:sz w:val="20"/>
                <w:lang w:val="ru-RU"/>
              </w:rPr>
              <w:t xml:space="preserve">; технические характеристики и методы </w:t>
            </w:r>
            <w:r w:rsidRPr="00C74816">
              <w:rPr>
                <w:spacing w:val="-2"/>
                <w:sz w:val="20"/>
                <w:lang w:val="ru-RU"/>
              </w:rPr>
              <w:t>проверки для передающего оборудования специализированных</w:t>
            </w:r>
            <w:r w:rsidRPr="00C74816">
              <w:rPr>
                <w:sz w:val="20"/>
                <w:lang w:val="ru-RU"/>
              </w:rPr>
              <w:t xml:space="preserve"> систем связи с малым радиусом действия (DSRC) (500 кбит/с/250 кбит/с), работающего в диапазоне 5,8 ГГц </w:t>
            </w:r>
            <w:r w:rsidRPr="00C74816">
              <w:rPr>
                <w:spacing w:val="-3"/>
                <w:sz w:val="20"/>
                <w:lang w:val="ru-RU"/>
              </w:rPr>
              <w:t>промышленного, научного и медицинского (ПНМ) оборудования</w:t>
            </w:r>
          </w:p>
        </w:tc>
        <w:tc>
          <w:tcPr>
            <w:tcW w:w="2126" w:type="dxa"/>
          </w:tcPr>
          <w:p w14:paraId="30A4FAC7" w14:textId="77777777" w:rsidR="0036359D" w:rsidRPr="00C74816" w:rsidRDefault="0036359D" w:rsidP="00B9569A">
            <w:pPr>
              <w:pStyle w:val="Tabletext"/>
              <w:rPr>
                <w:sz w:val="20"/>
                <w:lang w:val="ru-RU"/>
              </w:rPr>
            </w:pPr>
          </w:p>
        </w:tc>
      </w:tr>
      <w:tr w:rsidR="0036359D" w:rsidRPr="00C74816" w14:paraId="1A32D056" w14:textId="77777777" w:rsidTr="00892A01">
        <w:trPr>
          <w:jc w:val="center"/>
        </w:trPr>
        <w:tc>
          <w:tcPr>
            <w:tcW w:w="1843" w:type="dxa"/>
          </w:tcPr>
          <w:p w14:paraId="4EC2633C" w14:textId="77777777" w:rsidR="0036359D" w:rsidRPr="00C74816" w:rsidRDefault="0036359D" w:rsidP="00B9569A">
            <w:pPr>
              <w:pStyle w:val="Tabletext"/>
              <w:rPr>
                <w:sz w:val="20"/>
                <w:lang w:val="ru-RU"/>
              </w:rPr>
            </w:pPr>
            <w:r w:rsidRPr="00C74816">
              <w:rPr>
                <w:sz w:val="20"/>
                <w:lang w:val="ru-RU"/>
              </w:rPr>
              <w:t>EN 300 718</w:t>
            </w:r>
          </w:p>
        </w:tc>
        <w:tc>
          <w:tcPr>
            <w:tcW w:w="5670" w:type="dxa"/>
          </w:tcPr>
          <w:p w14:paraId="1265E2DF" w14:textId="77777777" w:rsidR="0036359D" w:rsidRPr="00C74816" w:rsidRDefault="0036359D" w:rsidP="00B9569A">
            <w:pPr>
              <w:pStyle w:val="Tabletext"/>
              <w:rPr>
                <w:sz w:val="20"/>
                <w:lang w:val="ru-RU"/>
              </w:rPr>
            </w:pPr>
            <w:r w:rsidRPr="00C74816">
              <w:rPr>
                <w:sz w:val="20"/>
                <w:lang w:val="ru-RU"/>
              </w:rPr>
              <w:t>Лавинные маяки; приемопередающие системы</w:t>
            </w:r>
          </w:p>
        </w:tc>
        <w:tc>
          <w:tcPr>
            <w:tcW w:w="2126" w:type="dxa"/>
          </w:tcPr>
          <w:p w14:paraId="69BD31F7" w14:textId="77777777" w:rsidR="0036359D" w:rsidRPr="00C74816" w:rsidRDefault="0036359D" w:rsidP="00B9569A">
            <w:pPr>
              <w:pStyle w:val="Tabletext"/>
              <w:rPr>
                <w:sz w:val="20"/>
                <w:lang w:val="ru-RU"/>
              </w:rPr>
            </w:pPr>
          </w:p>
        </w:tc>
      </w:tr>
      <w:tr w:rsidR="0036359D" w:rsidRPr="00C74816" w14:paraId="3E3A4FDE" w14:textId="77777777" w:rsidTr="00892A01">
        <w:trPr>
          <w:jc w:val="center"/>
        </w:trPr>
        <w:tc>
          <w:tcPr>
            <w:tcW w:w="1843" w:type="dxa"/>
          </w:tcPr>
          <w:p w14:paraId="2A6F3388" w14:textId="77777777" w:rsidR="0036359D" w:rsidRPr="00C74816" w:rsidRDefault="0036359D" w:rsidP="00B9569A">
            <w:pPr>
              <w:pStyle w:val="Tabletext"/>
              <w:keepNext/>
              <w:keepLines/>
              <w:rPr>
                <w:sz w:val="20"/>
                <w:lang w:val="ru-RU"/>
              </w:rPr>
            </w:pPr>
            <w:r w:rsidRPr="00C74816">
              <w:rPr>
                <w:sz w:val="20"/>
                <w:lang w:val="ru-RU"/>
              </w:rPr>
              <w:lastRenderedPageBreak/>
              <w:t>EN 300 761</w:t>
            </w:r>
          </w:p>
        </w:tc>
        <w:tc>
          <w:tcPr>
            <w:tcW w:w="5670" w:type="dxa"/>
          </w:tcPr>
          <w:p w14:paraId="0718BC68" w14:textId="77777777" w:rsidR="0036359D" w:rsidRPr="00C74816" w:rsidRDefault="0036359D" w:rsidP="00B9569A">
            <w:pPr>
              <w:pStyle w:val="Tabletext"/>
              <w:keepNext/>
              <w:keepLines/>
              <w:rPr>
                <w:sz w:val="20"/>
                <w:lang w:val="ru-RU"/>
              </w:rPr>
            </w:pPr>
            <w:r w:rsidRPr="00C74816">
              <w:rPr>
                <w:rFonts w:asciiTheme="majorBidi" w:hAnsiTheme="majorBidi" w:cstheme="majorBidi"/>
                <w:sz w:val="20"/>
                <w:lang w:val="ru-RU"/>
              </w:rPr>
              <w:t xml:space="preserve">Автоматическая идентификация транспортных средств (AVI) для железных дорог, работающая в диапазоне частот </w:t>
            </w:r>
            <w:r w:rsidRPr="00C74816">
              <w:rPr>
                <w:sz w:val="20"/>
                <w:lang w:val="ru-RU"/>
              </w:rPr>
              <w:t xml:space="preserve">2,45 ГГц </w:t>
            </w:r>
          </w:p>
        </w:tc>
        <w:tc>
          <w:tcPr>
            <w:tcW w:w="2126" w:type="dxa"/>
          </w:tcPr>
          <w:p w14:paraId="5B0086A5" w14:textId="77777777" w:rsidR="0036359D" w:rsidRPr="00C74816" w:rsidRDefault="0036359D" w:rsidP="00B9569A">
            <w:pPr>
              <w:pStyle w:val="Tabletext"/>
              <w:keepNext/>
              <w:keepLines/>
              <w:rPr>
                <w:sz w:val="20"/>
                <w:lang w:val="ru-RU"/>
              </w:rPr>
            </w:pPr>
          </w:p>
        </w:tc>
      </w:tr>
      <w:tr w:rsidR="0036359D" w:rsidRPr="00C74816" w14:paraId="1979A45A" w14:textId="77777777" w:rsidTr="00892A01">
        <w:trPr>
          <w:jc w:val="center"/>
        </w:trPr>
        <w:tc>
          <w:tcPr>
            <w:tcW w:w="1843" w:type="dxa"/>
          </w:tcPr>
          <w:p w14:paraId="5E16CF03" w14:textId="77777777" w:rsidR="0036359D" w:rsidRPr="00C74816" w:rsidRDefault="0036359D" w:rsidP="00B9569A">
            <w:pPr>
              <w:pStyle w:val="Tabletext"/>
              <w:rPr>
                <w:sz w:val="20"/>
                <w:lang w:val="ru-RU"/>
              </w:rPr>
            </w:pPr>
            <w:r w:rsidRPr="00C74816">
              <w:rPr>
                <w:sz w:val="20"/>
                <w:lang w:val="ru-RU"/>
              </w:rPr>
              <w:t>EN 301 091</w:t>
            </w:r>
          </w:p>
        </w:tc>
        <w:tc>
          <w:tcPr>
            <w:tcW w:w="5670" w:type="dxa"/>
          </w:tcPr>
          <w:p w14:paraId="2C109E5A" w14:textId="77777777" w:rsidR="0036359D" w:rsidRPr="00C74816" w:rsidRDefault="0036359D" w:rsidP="00B9569A">
            <w:pPr>
              <w:pStyle w:val="Tabletext"/>
              <w:rPr>
                <w:sz w:val="20"/>
                <w:lang w:val="ru-RU"/>
              </w:rPr>
            </w:pPr>
            <w:r w:rsidRPr="00C74816">
              <w:rPr>
                <w:rFonts w:asciiTheme="majorBidi" w:hAnsiTheme="majorBidi" w:cstheme="majorBidi"/>
                <w:sz w:val="20"/>
                <w:lang w:val="ru-RU"/>
              </w:rPr>
              <w:t>Телематические службы для дорожного транспорта и движения (RTTT)</w:t>
            </w:r>
            <w:r w:rsidRPr="00C74816">
              <w:rPr>
                <w:sz w:val="20"/>
                <w:lang w:val="ru-RU"/>
              </w:rPr>
              <w:t xml:space="preserve"> </w:t>
            </w:r>
          </w:p>
        </w:tc>
        <w:tc>
          <w:tcPr>
            <w:tcW w:w="2126" w:type="dxa"/>
          </w:tcPr>
          <w:p w14:paraId="1497AAA1" w14:textId="77777777" w:rsidR="0036359D" w:rsidRPr="00C74816" w:rsidRDefault="0036359D" w:rsidP="00B9569A">
            <w:pPr>
              <w:pStyle w:val="Tabletext"/>
              <w:rPr>
                <w:sz w:val="20"/>
                <w:lang w:val="ru-RU"/>
              </w:rPr>
            </w:pPr>
          </w:p>
        </w:tc>
      </w:tr>
      <w:tr w:rsidR="0036359D" w:rsidRPr="00C74816" w14:paraId="32EFA533" w14:textId="77777777" w:rsidTr="00892A01">
        <w:trPr>
          <w:jc w:val="center"/>
        </w:trPr>
        <w:tc>
          <w:tcPr>
            <w:tcW w:w="1843" w:type="dxa"/>
          </w:tcPr>
          <w:p w14:paraId="6AA2DD92" w14:textId="77777777" w:rsidR="0036359D" w:rsidRPr="00C74816" w:rsidRDefault="0036359D" w:rsidP="00B9569A">
            <w:pPr>
              <w:pStyle w:val="Tabletext"/>
              <w:rPr>
                <w:sz w:val="20"/>
                <w:lang w:val="ru-RU"/>
              </w:rPr>
            </w:pPr>
            <w:r w:rsidRPr="00C74816">
              <w:rPr>
                <w:sz w:val="20"/>
                <w:lang w:val="ru-RU"/>
              </w:rPr>
              <w:t>EN 301 357</w:t>
            </w:r>
          </w:p>
        </w:tc>
        <w:tc>
          <w:tcPr>
            <w:tcW w:w="5670" w:type="dxa"/>
          </w:tcPr>
          <w:p w14:paraId="051B11D2" w14:textId="77777777" w:rsidR="0036359D" w:rsidRPr="00C74816" w:rsidRDefault="0036359D" w:rsidP="00B9569A">
            <w:pPr>
              <w:pStyle w:val="Tabletext"/>
              <w:rPr>
                <w:sz w:val="20"/>
                <w:lang w:val="ru-RU"/>
              </w:rPr>
            </w:pPr>
            <w:r w:rsidRPr="00C74816">
              <w:rPr>
                <w:sz w:val="20"/>
                <w:lang w:val="ru-RU"/>
              </w:rPr>
              <w:t>Потребительские радиомикрофоны и системы контроля с использованием наушников, работающие в согласованном диапазоне СЕПТ от 863 МГц до 865 МГц</w:t>
            </w:r>
          </w:p>
        </w:tc>
        <w:tc>
          <w:tcPr>
            <w:tcW w:w="2126" w:type="dxa"/>
          </w:tcPr>
          <w:p w14:paraId="7A87485A" w14:textId="77777777" w:rsidR="0036359D" w:rsidRPr="00C74816" w:rsidRDefault="0036359D" w:rsidP="00B9569A">
            <w:pPr>
              <w:pStyle w:val="Tabletext"/>
              <w:rPr>
                <w:sz w:val="20"/>
                <w:lang w:val="ru-RU"/>
              </w:rPr>
            </w:pPr>
          </w:p>
        </w:tc>
      </w:tr>
      <w:tr w:rsidR="0036359D" w:rsidRPr="00C74816" w14:paraId="5EE22639" w14:textId="77777777" w:rsidTr="00892A01">
        <w:trPr>
          <w:jc w:val="center"/>
        </w:trPr>
        <w:tc>
          <w:tcPr>
            <w:tcW w:w="1843" w:type="dxa"/>
          </w:tcPr>
          <w:p w14:paraId="2EA15CC9" w14:textId="77777777" w:rsidR="0036359D" w:rsidRPr="00C74816" w:rsidRDefault="0036359D" w:rsidP="00B9569A">
            <w:pPr>
              <w:pStyle w:val="Tabletext"/>
              <w:rPr>
                <w:sz w:val="20"/>
                <w:lang w:val="ru-RU"/>
              </w:rPr>
            </w:pPr>
            <w:r w:rsidRPr="00C74816">
              <w:rPr>
                <w:sz w:val="20"/>
                <w:lang w:val="ru-RU"/>
              </w:rPr>
              <w:t>EN 301 391</w:t>
            </w:r>
          </w:p>
        </w:tc>
        <w:tc>
          <w:tcPr>
            <w:tcW w:w="5670" w:type="dxa"/>
          </w:tcPr>
          <w:p w14:paraId="7F715AE4" w14:textId="77777777" w:rsidR="0036359D" w:rsidRPr="00C74816" w:rsidRDefault="0036359D" w:rsidP="00B9569A">
            <w:pPr>
              <w:pStyle w:val="Tabletext"/>
              <w:rPr>
                <w:sz w:val="20"/>
                <w:lang w:val="ru-RU"/>
              </w:rPr>
            </w:pPr>
            <w:r w:rsidRPr="00C74816">
              <w:rPr>
                <w:sz w:val="20"/>
                <w:lang w:val="ru-RU"/>
              </w:rPr>
              <w:t xml:space="preserve">Передача данных с использованием устройств малого радиуса действия; Протокол доступа, правила использования каналов и соответствующие технические характеристики для передачи данных </w:t>
            </w:r>
          </w:p>
        </w:tc>
        <w:tc>
          <w:tcPr>
            <w:tcW w:w="2126" w:type="dxa"/>
          </w:tcPr>
          <w:p w14:paraId="3AB8CECB" w14:textId="77777777" w:rsidR="0036359D" w:rsidRPr="00C74816" w:rsidRDefault="0036359D" w:rsidP="00B9569A">
            <w:pPr>
              <w:pStyle w:val="Tabletext"/>
              <w:rPr>
                <w:sz w:val="20"/>
                <w:lang w:val="ru-RU"/>
              </w:rPr>
            </w:pPr>
          </w:p>
        </w:tc>
      </w:tr>
      <w:tr w:rsidR="0036359D" w:rsidRPr="00C74816" w14:paraId="0AFDA4B6" w14:textId="77777777" w:rsidTr="00892A01">
        <w:trPr>
          <w:jc w:val="center"/>
        </w:trPr>
        <w:tc>
          <w:tcPr>
            <w:tcW w:w="1843" w:type="dxa"/>
          </w:tcPr>
          <w:p w14:paraId="24E148CD" w14:textId="77777777" w:rsidR="0036359D" w:rsidRPr="00C74816" w:rsidRDefault="0036359D" w:rsidP="00B9569A">
            <w:pPr>
              <w:pStyle w:val="Tabletext"/>
              <w:rPr>
                <w:sz w:val="20"/>
                <w:lang w:val="ru-RU"/>
              </w:rPr>
            </w:pPr>
            <w:r w:rsidRPr="00C74816">
              <w:rPr>
                <w:sz w:val="20"/>
                <w:lang w:val="ru-RU"/>
              </w:rPr>
              <w:t>EN 301 839</w:t>
            </w:r>
          </w:p>
        </w:tc>
        <w:tc>
          <w:tcPr>
            <w:tcW w:w="5670" w:type="dxa"/>
          </w:tcPr>
          <w:p w14:paraId="71B2B01E" w14:textId="77777777" w:rsidR="0036359D" w:rsidRPr="00C74816" w:rsidRDefault="0036359D" w:rsidP="00B9569A">
            <w:pPr>
              <w:pStyle w:val="Tabletext"/>
              <w:rPr>
                <w:sz w:val="20"/>
                <w:lang w:val="ru-RU"/>
              </w:rPr>
            </w:pPr>
            <w:r w:rsidRPr="00C74816">
              <w:rPr>
                <w:sz w:val="20"/>
                <w:lang w:val="ru-RU"/>
              </w:rPr>
              <w:t xml:space="preserve">Радиооборудование в диапазоне частот от 402 МГц до 405 МГц для сверхмаломощных активных медицинских имплантантов и приспособлений </w:t>
            </w:r>
          </w:p>
        </w:tc>
        <w:tc>
          <w:tcPr>
            <w:tcW w:w="2126" w:type="dxa"/>
          </w:tcPr>
          <w:p w14:paraId="6F1B7252" w14:textId="77777777" w:rsidR="0036359D" w:rsidRPr="00C74816" w:rsidRDefault="0036359D" w:rsidP="00B9569A">
            <w:pPr>
              <w:pStyle w:val="Tabletext"/>
              <w:rPr>
                <w:sz w:val="20"/>
                <w:lang w:val="ru-RU"/>
              </w:rPr>
            </w:pPr>
          </w:p>
        </w:tc>
      </w:tr>
      <w:tr w:rsidR="0036359D" w:rsidRPr="00C74816" w14:paraId="36C023FE" w14:textId="77777777" w:rsidTr="00892A01">
        <w:trPr>
          <w:jc w:val="center"/>
        </w:trPr>
        <w:tc>
          <w:tcPr>
            <w:tcW w:w="1843" w:type="dxa"/>
          </w:tcPr>
          <w:p w14:paraId="3FA48367" w14:textId="77777777" w:rsidR="0036359D" w:rsidRPr="00C74816" w:rsidRDefault="0036359D" w:rsidP="00B9569A">
            <w:pPr>
              <w:pStyle w:val="Tabletext"/>
              <w:rPr>
                <w:sz w:val="20"/>
                <w:lang w:val="ru-RU"/>
              </w:rPr>
            </w:pPr>
            <w:r w:rsidRPr="00C74816">
              <w:rPr>
                <w:sz w:val="20"/>
                <w:lang w:val="ru-RU"/>
              </w:rPr>
              <w:t>EN 301 840</w:t>
            </w:r>
          </w:p>
        </w:tc>
        <w:tc>
          <w:tcPr>
            <w:tcW w:w="5670" w:type="dxa"/>
          </w:tcPr>
          <w:p w14:paraId="2551E37B" w14:textId="77777777" w:rsidR="0036359D" w:rsidRPr="00C74816" w:rsidRDefault="0036359D" w:rsidP="00B9569A">
            <w:pPr>
              <w:pStyle w:val="Tabletext"/>
              <w:rPr>
                <w:sz w:val="20"/>
                <w:lang w:val="ru-RU"/>
              </w:rPr>
            </w:pPr>
            <w:r w:rsidRPr="00C74816">
              <w:rPr>
                <w:sz w:val="20"/>
                <w:lang w:val="ru-RU"/>
              </w:rPr>
              <w:t>Цифровые радиомикрофоны, работающие в согласованном диапазоне СЕПТ от 1785 МГц до 1800 МГц</w:t>
            </w:r>
          </w:p>
        </w:tc>
        <w:tc>
          <w:tcPr>
            <w:tcW w:w="2126" w:type="dxa"/>
          </w:tcPr>
          <w:p w14:paraId="5190B016" w14:textId="77777777" w:rsidR="0036359D" w:rsidRPr="00C74816" w:rsidRDefault="0036359D" w:rsidP="00B9569A">
            <w:pPr>
              <w:pStyle w:val="Tabletext"/>
              <w:rPr>
                <w:sz w:val="20"/>
                <w:lang w:val="ru-RU"/>
              </w:rPr>
            </w:pPr>
          </w:p>
        </w:tc>
      </w:tr>
      <w:tr w:rsidR="0036359D" w:rsidRPr="00C74816" w14:paraId="1DCDD569" w14:textId="77777777" w:rsidTr="00892A01">
        <w:trPr>
          <w:jc w:val="center"/>
        </w:trPr>
        <w:tc>
          <w:tcPr>
            <w:tcW w:w="1843" w:type="dxa"/>
          </w:tcPr>
          <w:p w14:paraId="0431A59D" w14:textId="77777777" w:rsidR="0036359D" w:rsidRPr="00C74816" w:rsidRDefault="0036359D" w:rsidP="00B9569A">
            <w:pPr>
              <w:pStyle w:val="Tabletext"/>
              <w:rPr>
                <w:sz w:val="20"/>
                <w:lang w:val="ru-RU"/>
              </w:rPr>
            </w:pPr>
            <w:r w:rsidRPr="00C74816">
              <w:rPr>
                <w:sz w:val="20"/>
                <w:lang w:val="ru-RU"/>
              </w:rPr>
              <w:t>EN 301 893</w:t>
            </w:r>
          </w:p>
        </w:tc>
        <w:tc>
          <w:tcPr>
            <w:tcW w:w="5670" w:type="dxa"/>
          </w:tcPr>
          <w:p w14:paraId="7FAB1F72" w14:textId="77777777" w:rsidR="0036359D" w:rsidRPr="00C74816" w:rsidRDefault="0036359D" w:rsidP="00B9569A">
            <w:pPr>
              <w:pStyle w:val="Tabletext"/>
              <w:rPr>
                <w:sz w:val="20"/>
                <w:lang w:val="ru-RU"/>
              </w:rPr>
            </w:pPr>
            <w:r w:rsidRPr="00C74816">
              <w:rPr>
                <w:sz w:val="20"/>
                <w:lang w:val="ru-RU"/>
              </w:rPr>
              <w:t>Локальная радиосеть (RLAN) с улучшенными характеристиками в диапазоне 5 ГГц</w:t>
            </w:r>
          </w:p>
        </w:tc>
        <w:tc>
          <w:tcPr>
            <w:tcW w:w="2126" w:type="dxa"/>
          </w:tcPr>
          <w:p w14:paraId="62E24715" w14:textId="77777777" w:rsidR="0036359D" w:rsidRPr="00C74816" w:rsidRDefault="0036359D" w:rsidP="00B9569A">
            <w:pPr>
              <w:pStyle w:val="Tabletext"/>
              <w:rPr>
                <w:sz w:val="20"/>
                <w:lang w:val="ru-RU"/>
              </w:rPr>
            </w:pPr>
          </w:p>
        </w:tc>
      </w:tr>
      <w:tr w:rsidR="0036359D" w:rsidRPr="00C74816" w14:paraId="548A967C" w14:textId="77777777" w:rsidTr="00892A01">
        <w:trPr>
          <w:jc w:val="center"/>
        </w:trPr>
        <w:tc>
          <w:tcPr>
            <w:tcW w:w="1843" w:type="dxa"/>
          </w:tcPr>
          <w:p w14:paraId="7C80DC61" w14:textId="77777777" w:rsidR="0036359D" w:rsidRPr="00C74816" w:rsidRDefault="0036359D" w:rsidP="00B9569A">
            <w:pPr>
              <w:pStyle w:val="Tabletext"/>
              <w:rPr>
                <w:sz w:val="20"/>
                <w:lang w:val="ru-RU"/>
              </w:rPr>
            </w:pPr>
            <w:r w:rsidRPr="00C74816">
              <w:rPr>
                <w:sz w:val="20"/>
                <w:lang w:val="ru-RU"/>
              </w:rPr>
              <w:t>EN 302 195</w:t>
            </w:r>
          </w:p>
        </w:tc>
        <w:tc>
          <w:tcPr>
            <w:tcW w:w="5670" w:type="dxa"/>
          </w:tcPr>
          <w:p w14:paraId="76938120" w14:textId="77777777" w:rsidR="0036359D" w:rsidRPr="00C74816" w:rsidRDefault="0036359D" w:rsidP="00B9569A">
            <w:pPr>
              <w:pStyle w:val="Tabletext"/>
              <w:rPr>
                <w:sz w:val="20"/>
                <w:lang w:val="ru-RU"/>
              </w:rPr>
            </w:pPr>
            <w:r w:rsidRPr="00C74816">
              <w:rPr>
                <w:sz w:val="20"/>
                <w:lang w:val="ru-RU"/>
              </w:rPr>
              <w:t xml:space="preserve">Радиооборудование в диапазоне частот от 9 кГц до 315 кГц для сверхмаломощных активных медицинских имплантантов (ULP-AMI) и приспособлений </w:t>
            </w:r>
          </w:p>
        </w:tc>
        <w:tc>
          <w:tcPr>
            <w:tcW w:w="2126" w:type="dxa"/>
          </w:tcPr>
          <w:p w14:paraId="13CDADA0" w14:textId="77777777" w:rsidR="0036359D" w:rsidRPr="00C74816" w:rsidRDefault="0036359D" w:rsidP="00B9569A">
            <w:pPr>
              <w:pStyle w:val="Tabletext"/>
              <w:rPr>
                <w:sz w:val="20"/>
                <w:lang w:val="ru-RU"/>
              </w:rPr>
            </w:pPr>
          </w:p>
        </w:tc>
      </w:tr>
      <w:tr w:rsidR="0036359D" w:rsidRPr="00C74816" w14:paraId="6F0682A6" w14:textId="77777777" w:rsidTr="00892A01">
        <w:trPr>
          <w:jc w:val="center"/>
        </w:trPr>
        <w:tc>
          <w:tcPr>
            <w:tcW w:w="1843" w:type="dxa"/>
          </w:tcPr>
          <w:p w14:paraId="63BBF833" w14:textId="77777777" w:rsidR="0036359D" w:rsidRPr="00C74816" w:rsidRDefault="0036359D" w:rsidP="00B9569A">
            <w:pPr>
              <w:pStyle w:val="Tabletext"/>
              <w:rPr>
                <w:sz w:val="20"/>
                <w:lang w:val="ru-RU"/>
              </w:rPr>
            </w:pPr>
            <w:r w:rsidRPr="00C74816">
              <w:rPr>
                <w:sz w:val="20"/>
                <w:lang w:val="ru-RU"/>
              </w:rPr>
              <w:t>EN 302 054</w:t>
            </w:r>
          </w:p>
        </w:tc>
        <w:tc>
          <w:tcPr>
            <w:tcW w:w="5670" w:type="dxa"/>
          </w:tcPr>
          <w:p w14:paraId="3D2D9E9C" w14:textId="77777777" w:rsidR="0036359D" w:rsidRPr="00C74816" w:rsidRDefault="0036359D" w:rsidP="00B9569A">
            <w:pPr>
              <w:pStyle w:val="Tabletext"/>
              <w:rPr>
                <w:sz w:val="20"/>
                <w:lang w:val="ru-RU"/>
              </w:rPr>
            </w:pPr>
            <w:r w:rsidRPr="00C74816">
              <w:rPr>
                <w:sz w:val="20"/>
                <w:lang w:val="ru-RU"/>
              </w:rPr>
              <w:t>Радиозонды, предназначенные для использования в диапазоне частот от 400,15 МГц до 406 МГц с уровнями мощности до 200 мВт</w:t>
            </w:r>
          </w:p>
        </w:tc>
        <w:tc>
          <w:tcPr>
            <w:tcW w:w="2126" w:type="dxa"/>
          </w:tcPr>
          <w:p w14:paraId="1A2A9799" w14:textId="77777777" w:rsidR="0036359D" w:rsidRPr="00C74816" w:rsidRDefault="0036359D" w:rsidP="00B9569A">
            <w:pPr>
              <w:pStyle w:val="Tabletext"/>
              <w:rPr>
                <w:sz w:val="20"/>
                <w:lang w:val="ru-RU"/>
              </w:rPr>
            </w:pPr>
          </w:p>
        </w:tc>
      </w:tr>
      <w:tr w:rsidR="0036359D" w:rsidRPr="00C74816" w14:paraId="75C07C32" w14:textId="77777777" w:rsidTr="00892A01">
        <w:trPr>
          <w:jc w:val="center"/>
        </w:trPr>
        <w:tc>
          <w:tcPr>
            <w:tcW w:w="1843" w:type="dxa"/>
          </w:tcPr>
          <w:p w14:paraId="67CF11BD" w14:textId="77777777" w:rsidR="0036359D" w:rsidRPr="00C74816" w:rsidRDefault="0036359D" w:rsidP="00B9569A">
            <w:pPr>
              <w:pStyle w:val="Tabletext"/>
              <w:rPr>
                <w:sz w:val="20"/>
                <w:lang w:val="ru-RU"/>
              </w:rPr>
            </w:pPr>
            <w:r w:rsidRPr="00C74816">
              <w:rPr>
                <w:sz w:val="20"/>
                <w:lang w:val="ru-RU"/>
              </w:rPr>
              <w:t>EN 302 065</w:t>
            </w:r>
          </w:p>
        </w:tc>
        <w:tc>
          <w:tcPr>
            <w:tcW w:w="5670" w:type="dxa"/>
          </w:tcPr>
          <w:p w14:paraId="0DE86E2F" w14:textId="77777777" w:rsidR="0036359D" w:rsidRPr="00C74816" w:rsidRDefault="0036359D" w:rsidP="00B9569A">
            <w:pPr>
              <w:pStyle w:val="Tabletext"/>
              <w:rPr>
                <w:sz w:val="20"/>
                <w:lang w:val="ru-RU"/>
              </w:rPr>
            </w:pPr>
            <w:r w:rsidRPr="00C74816">
              <w:rPr>
                <w:sz w:val="20"/>
                <w:lang w:val="ru-RU"/>
              </w:rPr>
              <w:t>Устройства малого радиуса действия (SRD), в которых для целей связи используются сверхширокополосные (СШП) технологии</w:t>
            </w:r>
          </w:p>
        </w:tc>
        <w:tc>
          <w:tcPr>
            <w:tcW w:w="2126" w:type="dxa"/>
          </w:tcPr>
          <w:p w14:paraId="28D7B17B" w14:textId="77777777" w:rsidR="0036359D" w:rsidRPr="00C74816" w:rsidRDefault="0036359D" w:rsidP="00B9569A">
            <w:pPr>
              <w:pStyle w:val="Tabletext"/>
              <w:rPr>
                <w:sz w:val="20"/>
                <w:lang w:val="ru-RU"/>
              </w:rPr>
            </w:pPr>
          </w:p>
        </w:tc>
      </w:tr>
      <w:tr w:rsidR="0036359D" w:rsidRPr="00C74816" w14:paraId="021DD040" w14:textId="77777777" w:rsidTr="00892A01">
        <w:trPr>
          <w:jc w:val="center"/>
        </w:trPr>
        <w:tc>
          <w:tcPr>
            <w:tcW w:w="1843" w:type="dxa"/>
          </w:tcPr>
          <w:p w14:paraId="74697310" w14:textId="77777777" w:rsidR="0036359D" w:rsidRPr="00C74816" w:rsidRDefault="0036359D" w:rsidP="00B9569A">
            <w:pPr>
              <w:pStyle w:val="Tabletext"/>
              <w:rPr>
                <w:sz w:val="20"/>
                <w:lang w:val="ru-RU"/>
              </w:rPr>
            </w:pPr>
            <w:r w:rsidRPr="00C74816">
              <w:rPr>
                <w:sz w:val="20"/>
                <w:lang w:val="ru-RU"/>
              </w:rPr>
              <w:t>EN 302 066</w:t>
            </w:r>
          </w:p>
        </w:tc>
        <w:tc>
          <w:tcPr>
            <w:tcW w:w="5670" w:type="dxa"/>
          </w:tcPr>
          <w:p w14:paraId="0C70120B" w14:textId="77777777" w:rsidR="0036359D" w:rsidRPr="00C74816" w:rsidRDefault="0036359D" w:rsidP="00B9569A">
            <w:pPr>
              <w:pStyle w:val="Tabletext"/>
              <w:rPr>
                <w:sz w:val="20"/>
                <w:lang w:val="ru-RU"/>
              </w:rPr>
            </w:pPr>
            <w:r w:rsidRPr="00C74816">
              <w:rPr>
                <w:sz w:val="20"/>
                <w:lang w:val="ru-RU"/>
              </w:rPr>
              <w:t xml:space="preserve">Наземные и настенные зондирующие радарные применения </w:t>
            </w:r>
          </w:p>
        </w:tc>
        <w:tc>
          <w:tcPr>
            <w:tcW w:w="2126" w:type="dxa"/>
          </w:tcPr>
          <w:p w14:paraId="4270F2C2" w14:textId="77777777" w:rsidR="0036359D" w:rsidRPr="00C74816" w:rsidRDefault="0036359D" w:rsidP="00B9569A">
            <w:pPr>
              <w:pStyle w:val="Tabletext"/>
              <w:rPr>
                <w:sz w:val="20"/>
                <w:lang w:val="ru-RU"/>
              </w:rPr>
            </w:pPr>
          </w:p>
        </w:tc>
      </w:tr>
      <w:tr w:rsidR="0036359D" w:rsidRPr="00C74816" w14:paraId="5119313C" w14:textId="77777777" w:rsidTr="00892A01">
        <w:trPr>
          <w:jc w:val="center"/>
        </w:trPr>
        <w:tc>
          <w:tcPr>
            <w:tcW w:w="1843" w:type="dxa"/>
          </w:tcPr>
          <w:p w14:paraId="4CCADD93" w14:textId="77777777" w:rsidR="0036359D" w:rsidRPr="00C74816" w:rsidRDefault="0036359D" w:rsidP="00B9569A">
            <w:pPr>
              <w:pStyle w:val="Tabletext"/>
              <w:rPr>
                <w:sz w:val="20"/>
                <w:lang w:val="ru-RU"/>
              </w:rPr>
            </w:pPr>
            <w:r w:rsidRPr="00C74816">
              <w:rPr>
                <w:sz w:val="20"/>
                <w:lang w:val="ru-RU"/>
              </w:rPr>
              <w:t>EN 302 195</w:t>
            </w:r>
          </w:p>
        </w:tc>
        <w:tc>
          <w:tcPr>
            <w:tcW w:w="5670" w:type="dxa"/>
          </w:tcPr>
          <w:p w14:paraId="1DA31E55" w14:textId="77777777" w:rsidR="0036359D" w:rsidRPr="00C74816" w:rsidRDefault="0036359D" w:rsidP="00B9569A">
            <w:pPr>
              <w:pStyle w:val="Tabletext"/>
              <w:rPr>
                <w:sz w:val="20"/>
                <w:lang w:val="ru-RU"/>
              </w:rPr>
            </w:pPr>
            <w:r w:rsidRPr="00C74816">
              <w:rPr>
                <w:sz w:val="20"/>
                <w:lang w:val="ru-RU"/>
              </w:rPr>
              <w:t>Радиооборудование в диапазоне частот от 9 кГц до 315 кГц для сверхмаломощных активных медицинских имплантантов (ULP-AMI) и приспособлений</w:t>
            </w:r>
          </w:p>
        </w:tc>
        <w:tc>
          <w:tcPr>
            <w:tcW w:w="2126" w:type="dxa"/>
          </w:tcPr>
          <w:p w14:paraId="15CF69C4" w14:textId="77777777" w:rsidR="0036359D" w:rsidRPr="00C74816" w:rsidRDefault="0036359D" w:rsidP="00B9569A">
            <w:pPr>
              <w:pStyle w:val="Tabletext"/>
              <w:rPr>
                <w:sz w:val="20"/>
                <w:lang w:val="ru-RU"/>
              </w:rPr>
            </w:pPr>
          </w:p>
        </w:tc>
      </w:tr>
      <w:tr w:rsidR="0036359D" w:rsidRPr="00C74816" w14:paraId="5E096C04" w14:textId="77777777" w:rsidTr="00892A01">
        <w:trPr>
          <w:jc w:val="center"/>
        </w:trPr>
        <w:tc>
          <w:tcPr>
            <w:tcW w:w="1843" w:type="dxa"/>
          </w:tcPr>
          <w:p w14:paraId="4E82AB01" w14:textId="77777777" w:rsidR="0036359D" w:rsidRPr="00C74816" w:rsidRDefault="0036359D" w:rsidP="00B9569A">
            <w:pPr>
              <w:pStyle w:val="Tabletext"/>
              <w:rPr>
                <w:sz w:val="20"/>
                <w:lang w:val="ru-RU"/>
              </w:rPr>
            </w:pPr>
            <w:r w:rsidRPr="00C74816">
              <w:rPr>
                <w:sz w:val="20"/>
                <w:lang w:val="ru-RU"/>
              </w:rPr>
              <w:t>EN 302 208</w:t>
            </w:r>
          </w:p>
        </w:tc>
        <w:tc>
          <w:tcPr>
            <w:tcW w:w="5670" w:type="dxa"/>
          </w:tcPr>
          <w:p w14:paraId="05E727E6" w14:textId="77777777" w:rsidR="0036359D" w:rsidRPr="00C74816" w:rsidRDefault="0036359D" w:rsidP="00B9569A">
            <w:pPr>
              <w:pStyle w:val="Tabletext"/>
              <w:rPr>
                <w:sz w:val="20"/>
                <w:lang w:val="ru-RU"/>
              </w:rPr>
            </w:pPr>
            <w:r w:rsidRPr="00C74816">
              <w:rPr>
                <w:sz w:val="20"/>
                <w:lang w:val="ru-RU"/>
              </w:rPr>
              <w:t>Оборудование радиочастотной идентификации, работающее в диапазоне от 86 до 868 МГц с уровнями мощности до 2 Вт</w:t>
            </w:r>
          </w:p>
        </w:tc>
        <w:tc>
          <w:tcPr>
            <w:tcW w:w="2126" w:type="dxa"/>
          </w:tcPr>
          <w:p w14:paraId="0FF25090" w14:textId="77777777" w:rsidR="0036359D" w:rsidRPr="00C74816" w:rsidRDefault="0036359D" w:rsidP="00B9569A">
            <w:pPr>
              <w:pStyle w:val="Tabletext"/>
              <w:rPr>
                <w:sz w:val="20"/>
                <w:lang w:val="ru-RU"/>
              </w:rPr>
            </w:pPr>
          </w:p>
        </w:tc>
      </w:tr>
      <w:tr w:rsidR="0036359D" w:rsidRPr="00C74816" w14:paraId="742A663D" w14:textId="77777777" w:rsidTr="00892A01">
        <w:trPr>
          <w:jc w:val="center"/>
        </w:trPr>
        <w:tc>
          <w:tcPr>
            <w:tcW w:w="1843" w:type="dxa"/>
          </w:tcPr>
          <w:p w14:paraId="2A81CF23" w14:textId="77777777" w:rsidR="0036359D" w:rsidRPr="00C74816" w:rsidRDefault="0036359D" w:rsidP="00B9569A">
            <w:pPr>
              <w:pStyle w:val="Tabletext"/>
              <w:rPr>
                <w:sz w:val="20"/>
                <w:lang w:val="ru-RU"/>
              </w:rPr>
            </w:pPr>
            <w:r w:rsidRPr="00C74816">
              <w:rPr>
                <w:sz w:val="20"/>
                <w:lang w:val="ru-RU"/>
              </w:rPr>
              <w:t>EN 302 264</w:t>
            </w:r>
          </w:p>
        </w:tc>
        <w:tc>
          <w:tcPr>
            <w:tcW w:w="5670" w:type="dxa"/>
          </w:tcPr>
          <w:p w14:paraId="50F44AF4" w14:textId="77777777" w:rsidR="0036359D" w:rsidRPr="00C74816" w:rsidRDefault="0036359D" w:rsidP="00B9569A">
            <w:pPr>
              <w:pStyle w:val="Tabletext"/>
              <w:rPr>
                <w:sz w:val="20"/>
                <w:lang w:val="ru-RU"/>
              </w:rPr>
            </w:pPr>
            <w:r w:rsidRPr="00C74816">
              <w:rPr>
                <w:rFonts w:asciiTheme="majorBidi" w:hAnsiTheme="majorBidi" w:cstheme="majorBidi"/>
                <w:sz w:val="20"/>
                <w:lang w:val="ru-RU"/>
              </w:rPr>
              <w:t>Телематические службы для дорожного транспорта и движения (RTTT)</w:t>
            </w:r>
          </w:p>
        </w:tc>
        <w:tc>
          <w:tcPr>
            <w:tcW w:w="2126" w:type="dxa"/>
          </w:tcPr>
          <w:p w14:paraId="46EC594B" w14:textId="77777777" w:rsidR="0036359D" w:rsidRPr="00C74816" w:rsidRDefault="0036359D" w:rsidP="00B9569A">
            <w:pPr>
              <w:pStyle w:val="Tabletext"/>
              <w:rPr>
                <w:sz w:val="20"/>
                <w:lang w:val="ru-RU"/>
              </w:rPr>
            </w:pPr>
          </w:p>
        </w:tc>
      </w:tr>
      <w:tr w:rsidR="0036359D" w:rsidRPr="00C74816" w14:paraId="2131C7E1" w14:textId="77777777" w:rsidTr="00892A01">
        <w:trPr>
          <w:jc w:val="center"/>
        </w:trPr>
        <w:tc>
          <w:tcPr>
            <w:tcW w:w="1843" w:type="dxa"/>
          </w:tcPr>
          <w:p w14:paraId="19A123C1" w14:textId="77777777" w:rsidR="0036359D" w:rsidRPr="00C74816" w:rsidRDefault="0036359D" w:rsidP="00B9569A">
            <w:pPr>
              <w:pStyle w:val="Tabletext"/>
              <w:rPr>
                <w:sz w:val="20"/>
                <w:lang w:val="ru-RU"/>
              </w:rPr>
            </w:pPr>
            <w:r w:rsidRPr="00C74816">
              <w:rPr>
                <w:sz w:val="20"/>
                <w:lang w:val="ru-RU"/>
              </w:rPr>
              <w:t>EN 302 291</w:t>
            </w:r>
          </w:p>
        </w:tc>
        <w:tc>
          <w:tcPr>
            <w:tcW w:w="5670" w:type="dxa"/>
          </w:tcPr>
          <w:p w14:paraId="55E564AD" w14:textId="77777777" w:rsidR="0036359D" w:rsidRPr="00C74816" w:rsidRDefault="0036359D" w:rsidP="00B9569A">
            <w:pPr>
              <w:pStyle w:val="Tabletext"/>
              <w:rPr>
                <w:sz w:val="20"/>
                <w:lang w:val="ru-RU"/>
              </w:rPr>
            </w:pPr>
            <w:r w:rsidRPr="00C74816">
              <w:rPr>
                <w:sz w:val="20"/>
                <w:lang w:val="ru-RU"/>
              </w:rPr>
              <w:t>Действующее на малом расстоянии индуктивное оборудование передачи данных, работающее на 13,56 МГц</w:t>
            </w:r>
          </w:p>
        </w:tc>
        <w:tc>
          <w:tcPr>
            <w:tcW w:w="2126" w:type="dxa"/>
          </w:tcPr>
          <w:p w14:paraId="5C541836" w14:textId="77777777" w:rsidR="0036359D" w:rsidRPr="00C74816" w:rsidRDefault="0036359D" w:rsidP="00B9569A">
            <w:pPr>
              <w:pStyle w:val="Tabletext"/>
              <w:rPr>
                <w:sz w:val="20"/>
                <w:lang w:val="ru-RU"/>
              </w:rPr>
            </w:pPr>
          </w:p>
        </w:tc>
      </w:tr>
      <w:tr w:rsidR="0036359D" w:rsidRPr="00C74816" w14:paraId="19434A08" w14:textId="77777777" w:rsidTr="00892A01">
        <w:trPr>
          <w:jc w:val="center"/>
        </w:trPr>
        <w:tc>
          <w:tcPr>
            <w:tcW w:w="1843" w:type="dxa"/>
          </w:tcPr>
          <w:p w14:paraId="0DCDCAAC" w14:textId="77777777" w:rsidR="0036359D" w:rsidRPr="00C74816" w:rsidRDefault="0036359D" w:rsidP="00B9569A">
            <w:pPr>
              <w:pStyle w:val="Tabletext"/>
              <w:rPr>
                <w:sz w:val="20"/>
                <w:lang w:val="ru-RU"/>
              </w:rPr>
            </w:pPr>
            <w:r w:rsidRPr="00C74816">
              <w:rPr>
                <w:sz w:val="20"/>
                <w:lang w:val="ru-RU"/>
              </w:rPr>
              <w:t>EN 302 288</w:t>
            </w:r>
          </w:p>
        </w:tc>
        <w:tc>
          <w:tcPr>
            <w:tcW w:w="5670" w:type="dxa"/>
          </w:tcPr>
          <w:p w14:paraId="2AE4EA59" w14:textId="77777777" w:rsidR="0036359D" w:rsidRPr="00C74816" w:rsidRDefault="0036359D" w:rsidP="00B9569A">
            <w:pPr>
              <w:pStyle w:val="Tabletext"/>
              <w:rPr>
                <w:sz w:val="20"/>
                <w:lang w:val="ru-RU"/>
              </w:rPr>
            </w:pPr>
            <w:r w:rsidRPr="00C74816">
              <w:rPr>
                <w:rFonts w:asciiTheme="majorBidi" w:hAnsiTheme="majorBidi" w:cstheme="majorBidi"/>
                <w:sz w:val="20"/>
                <w:lang w:val="ru-RU"/>
              </w:rPr>
              <w:t>Телематические службы для дорожного транспорта и движения (RTTT)</w:t>
            </w:r>
          </w:p>
        </w:tc>
        <w:tc>
          <w:tcPr>
            <w:tcW w:w="2126" w:type="dxa"/>
          </w:tcPr>
          <w:p w14:paraId="2AFF2536" w14:textId="77777777" w:rsidR="0036359D" w:rsidRPr="00C74816" w:rsidRDefault="0036359D" w:rsidP="00B9569A">
            <w:pPr>
              <w:pStyle w:val="Tabletext"/>
              <w:rPr>
                <w:sz w:val="20"/>
                <w:lang w:val="ru-RU"/>
              </w:rPr>
            </w:pPr>
          </w:p>
        </w:tc>
      </w:tr>
      <w:tr w:rsidR="0036359D" w:rsidRPr="00C74816" w14:paraId="6D4280EC" w14:textId="77777777" w:rsidTr="00892A01">
        <w:trPr>
          <w:jc w:val="center"/>
        </w:trPr>
        <w:tc>
          <w:tcPr>
            <w:tcW w:w="1843" w:type="dxa"/>
          </w:tcPr>
          <w:p w14:paraId="457BDE56" w14:textId="77777777" w:rsidR="0036359D" w:rsidRPr="00C74816" w:rsidRDefault="0036359D" w:rsidP="00B9569A">
            <w:pPr>
              <w:pStyle w:val="Tabletext"/>
              <w:rPr>
                <w:sz w:val="20"/>
                <w:lang w:val="ru-RU"/>
              </w:rPr>
            </w:pPr>
            <w:r w:rsidRPr="00C74816">
              <w:rPr>
                <w:sz w:val="20"/>
                <w:lang w:val="ru-RU"/>
              </w:rPr>
              <w:t>EN 302 372</w:t>
            </w:r>
          </w:p>
        </w:tc>
        <w:tc>
          <w:tcPr>
            <w:tcW w:w="5670" w:type="dxa"/>
          </w:tcPr>
          <w:p w14:paraId="3C0D6362" w14:textId="77777777" w:rsidR="0036359D" w:rsidRPr="00C74816" w:rsidRDefault="0036359D" w:rsidP="00B9569A">
            <w:pPr>
              <w:pStyle w:val="Tabletext"/>
              <w:rPr>
                <w:sz w:val="20"/>
                <w:lang w:val="ru-RU"/>
              </w:rPr>
            </w:pPr>
            <w:r w:rsidRPr="00C74816">
              <w:rPr>
                <w:sz w:val="20"/>
                <w:lang w:val="ru-RU"/>
              </w:rPr>
              <w:t xml:space="preserve">Оборудование для обнаружения движения </w:t>
            </w:r>
          </w:p>
        </w:tc>
        <w:tc>
          <w:tcPr>
            <w:tcW w:w="2126" w:type="dxa"/>
          </w:tcPr>
          <w:p w14:paraId="68AA6DC8" w14:textId="77777777" w:rsidR="0036359D" w:rsidRPr="00C74816" w:rsidRDefault="0036359D" w:rsidP="00B9569A">
            <w:pPr>
              <w:pStyle w:val="Tabletext"/>
              <w:rPr>
                <w:sz w:val="20"/>
                <w:lang w:val="ru-RU"/>
              </w:rPr>
            </w:pPr>
          </w:p>
        </w:tc>
      </w:tr>
      <w:tr w:rsidR="0036359D" w:rsidRPr="00C74816" w14:paraId="0BDEC5EB" w14:textId="77777777" w:rsidTr="00892A01">
        <w:trPr>
          <w:jc w:val="center"/>
        </w:trPr>
        <w:tc>
          <w:tcPr>
            <w:tcW w:w="1843" w:type="dxa"/>
          </w:tcPr>
          <w:p w14:paraId="2B58D3D3" w14:textId="77777777" w:rsidR="0036359D" w:rsidRPr="00C74816" w:rsidRDefault="0036359D" w:rsidP="00B9569A">
            <w:pPr>
              <w:pStyle w:val="Tabletext"/>
              <w:rPr>
                <w:sz w:val="20"/>
                <w:lang w:val="ru-RU"/>
              </w:rPr>
            </w:pPr>
            <w:r w:rsidRPr="00C74816">
              <w:rPr>
                <w:sz w:val="20"/>
                <w:lang w:val="ru-RU"/>
              </w:rPr>
              <w:t>EN 302 435</w:t>
            </w:r>
          </w:p>
        </w:tc>
        <w:tc>
          <w:tcPr>
            <w:tcW w:w="5670" w:type="dxa"/>
          </w:tcPr>
          <w:p w14:paraId="09C30352" w14:textId="77777777" w:rsidR="0036359D" w:rsidRPr="00C74816" w:rsidRDefault="0036359D" w:rsidP="00B9569A">
            <w:pPr>
              <w:pStyle w:val="Tabletext"/>
              <w:rPr>
                <w:sz w:val="20"/>
                <w:lang w:val="ru-RU"/>
              </w:rPr>
            </w:pPr>
            <w:r w:rsidRPr="00C74816">
              <w:rPr>
                <w:sz w:val="20"/>
                <w:lang w:val="ru-RU"/>
              </w:rPr>
              <w:t xml:space="preserve">Технические характеристики оборудования SRD, в котором используются сверхширокополосные (СШП) технологии </w:t>
            </w:r>
          </w:p>
        </w:tc>
        <w:tc>
          <w:tcPr>
            <w:tcW w:w="2126" w:type="dxa"/>
          </w:tcPr>
          <w:p w14:paraId="19632713" w14:textId="77777777" w:rsidR="0036359D" w:rsidRPr="00C74816" w:rsidRDefault="0036359D" w:rsidP="00B9569A">
            <w:pPr>
              <w:pStyle w:val="Tabletext"/>
              <w:rPr>
                <w:sz w:val="20"/>
                <w:lang w:val="ru-RU"/>
              </w:rPr>
            </w:pPr>
          </w:p>
        </w:tc>
      </w:tr>
      <w:tr w:rsidR="0036359D" w:rsidRPr="00C74816" w14:paraId="27762159" w14:textId="77777777" w:rsidTr="00892A01">
        <w:trPr>
          <w:jc w:val="center"/>
        </w:trPr>
        <w:tc>
          <w:tcPr>
            <w:tcW w:w="1843" w:type="dxa"/>
          </w:tcPr>
          <w:p w14:paraId="7C5B7CD1" w14:textId="77777777" w:rsidR="0036359D" w:rsidRPr="00C74816" w:rsidRDefault="0036359D" w:rsidP="00B9569A">
            <w:pPr>
              <w:pStyle w:val="Tabletext"/>
              <w:rPr>
                <w:sz w:val="20"/>
                <w:lang w:val="ru-RU"/>
              </w:rPr>
            </w:pPr>
            <w:r w:rsidRPr="00C74816">
              <w:rPr>
                <w:sz w:val="20"/>
                <w:lang w:val="ru-RU"/>
              </w:rPr>
              <w:t>EN 302 500</w:t>
            </w:r>
          </w:p>
        </w:tc>
        <w:tc>
          <w:tcPr>
            <w:tcW w:w="5670" w:type="dxa"/>
          </w:tcPr>
          <w:p w14:paraId="5CD063D2" w14:textId="77777777" w:rsidR="0036359D" w:rsidRPr="00C74816" w:rsidRDefault="0036359D" w:rsidP="00B9569A">
            <w:pPr>
              <w:pStyle w:val="Tabletext"/>
              <w:rPr>
                <w:sz w:val="20"/>
                <w:lang w:val="ru-RU"/>
              </w:rPr>
            </w:pPr>
            <w:r w:rsidRPr="00C74816">
              <w:rPr>
                <w:sz w:val="20"/>
                <w:lang w:val="ru-RU"/>
              </w:rPr>
              <w:t>Оборудования отслеживания местоположения, работающее в диапазоне частот от 6 ГГц до 8,5 ГГц</w:t>
            </w:r>
          </w:p>
        </w:tc>
        <w:tc>
          <w:tcPr>
            <w:tcW w:w="2126" w:type="dxa"/>
          </w:tcPr>
          <w:p w14:paraId="41925FE8" w14:textId="77777777" w:rsidR="0036359D" w:rsidRPr="00C74816" w:rsidRDefault="0036359D" w:rsidP="00B9569A">
            <w:pPr>
              <w:pStyle w:val="Tabletext"/>
              <w:rPr>
                <w:sz w:val="20"/>
                <w:lang w:val="ru-RU"/>
              </w:rPr>
            </w:pPr>
          </w:p>
        </w:tc>
      </w:tr>
      <w:tr w:rsidR="0036359D" w:rsidRPr="00C74816" w14:paraId="0E5B581E" w14:textId="77777777" w:rsidTr="00892A01">
        <w:trPr>
          <w:jc w:val="center"/>
        </w:trPr>
        <w:tc>
          <w:tcPr>
            <w:tcW w:w="1843" w:type="dxa"/>
          </w:tcPr>
          <w:p w14:paraId="79EA138B" w14:textId="77777777" w:rsidR="0036359D" w:rsidRPr="00C74816" w:rsidRDefault="0036359D" w:rsidP="00B9569A">
            <w:pPr>
              <w:pStyle w:val="Tabletext"/>
              <w:rPr>
                <w:sz w:val="20"/>
                <w:lang w:val="ru-RU"/>
              </w:rPr>
            </w:pPr>
            <w:r w:rsidRPr="00C74816">
              <w:rPr>
                <w:sz w:val="20"/>
                <w:lang w:val="ru-RU"/>
              </w:rPr>
              <w:t>EN 302 510</w:t>
            </w:r>
          </w:p>
        </w:tc>
        <w:tc>
          <w:tcPr>
            <w:tcW w:w="5670" w:type="dxa"/>
          </w:tcPr>
          <w:p w14:paraId="23FCAEE3" w14:textId="77777777" w:rsidR="0036359D" w:rsidRPr="00C74816" w:rsidRDefault="0036359D" w:rsidP="00B9569A">
            <w:pPr>
              <w:pStyle w:val="Tabletext"/>
              <w:rPr>
                <w:sz w:val="20"/>
                <w:lang w:val="ru-RU"/>
              </w:rPr>
            </w:pPr>
            <w:r w:rsidRPr="00C74816">
              <w:rPr>
                <w:sz w:val="20"/>
                <w:lang w:val="ru-RU"/>
              </w:rPr>
              <w:t xml:space="preserve">Радиооборудование в диапазоне частот от 30 МГц до 37,5 МГц для сверхмаломощных активных медицинских мембранных имплантантов и приспособлений </w:t>
            </w:r>
          </w:p>
        </w:tc>
        <w:tc>
          <w:tcPr>
            <w:tcW w:w="2126" w:type="dxa"/>
          </w:tcPr>
          <w:p w14:paraId="2FCE09D1" w14:textId="77777777" w:rsidR="0036359D" w:rsidRPr="00C74816" w:rsidRDefault="0036359D" w:rsidP="00B9569A">
            <w:pPr>
              <w:pStyle w:val="Tabletext"/>
              <w:rPr>
                <w:sz w:val="20"/>
                <w:lang w:val="ru-RU"/>
              </w:rPr>
            </w:pPr>
          </w:p>
        </w:tc>
      </w:tr>
      <w:tr w:rsidR="0036359D" w:rsidRPr="00C74816" w14:paraId="79257250" w14:textId="77777777" w:rsidTr="00892A01">
        <w:trPr>
          <w:jc w:val="center"/>
        </w:trPr>
        <w:tc>
          <w:tcPr>
            <w:tcW w:w="1843" w:type="dxa"/>
          </w:tcPr>
          <w:p w14:paraId="61502B6C" w14:textId="77777777" w:rsidR="0036359D" w:rsidRPr="00C74816" w:rsidRDefault="0036359D" w:rsidP="00B9569A">
            <w:pPr>
              <w:pStyle w:val="Tabletext"/>
              <w:rPr>
                <w:sz w:val="20"/>
                <w:lang w:val="ru-RU"/>
              </w:rPr>
            </w:pPr>
            <w:r w:rsidRPr="00C74816">
              <w:rPr>
                <w:sz w:val="20"/>
                <w:lang w:val="ru-RU"/>
              </w:rPr>
              <w:t>EN 302 536</w:t>
            </w:r>
          </w:p>
        </w:tc>
        <w:tc>
          <w:tcPr>
            <w:tcW w:w="5670" w:type="dxa"/>
          </w:tcPr>
          <w:p w14:paraId="5B9EB4BC" w14:textId="77777777" w:rsidR="0036359D" w:rsidRPr="00C74816" w:rsidRDefault="0036359D" w:rsidP="00B9569A">
            <w:pPr>
              <w:pStyle w:val="Tabletext"/>
              <w:rPr>
                <w:sz w:val="20"/>
                <w:lang w:val="ru-RU"/>
              </w:rPr>
            </w:pPr>
            <w:r w:rsidRPr="00C74816">
              <w:rPr>
                <w:sz w:val="20"/>
                <w:lang w:val="ru-RU"/>
              </w:rPr>
              <w:t>Радиооборудование в диапазоне частот от 315 кГц до 600 кГц</w:t>
            </w:r>
          </w:p>
        </w:tc>
        <w:tc>
          <w:tcPr>
            <w:tcW w:w="2126" w:type="dxa"/>
          </w:tcPr>
          <w:p w14:paraId="72887CB7" w14:textId="77777777" w:rsidR="0036359D" w:rsidRPr="00C74816" w:rsidRDefault="0036359D" w:rsidP="00B9569A">
            <w:pPr>
              <w:pStyle w:val="Tabletext"/>
              <w:rPr>
                <w:sz w:val="20"/>
                <w:lang w:val="ru-RU"/>
              </w:rPr>
            </w:pPr>
          </w:p>
        </w:tc>
      </w:tr>
      <w:tr w:rsidR="0036359D" w:rsidRPr="00C74816" w14:paraId="3251C6A7" w14:textId="77777777" w:rsidTr="00892A01">
        <w:trPr>
          <w:jc w:val="center"/>
        </w:trPr>
        <w:tc>
          <w:tcPr>
            <w:tcW w:w="1843" w:type="dxa"/>
          </w:tcPr>
          <w:p w14:paraId="2C9F4E64" w14:textId="77777777" w:rsidR="0036359D" w:rsidRPr="00C74816" w:rsidRDefault="0036359D" w:rsidP="00B9569A">
            <w:pPr>
              <w:pStyle w:val="Tabletext"/>
              <w:rPr>
                <w:sz w:val="20"/>
                <w:lang w:val="ru-RU"/>
              </w:rPr>
            </w:pPr>
            <w:r w:rsidRPr="00C74816">
              <w:rPr>
                <w:sz w:val="20"/>
                <w:lang w:val="ru-RU"/>
              </w:rPr>
              <w:t>EN 302 537</w:t>
            </w:r>
          </w:p>
        </w:tc>
        <w:tc>
          <w:tcPr>
            <w:tcW w:w="5670" w:type="dxa"/>
          </w:tcPr>
          <w:p w14:paraId="768F1862" w14:textId="77777777" w:rsidR="0036359D" w:rsidRPr="00C74816" w:rsidRDefault="0036359D" w:rsidP="00B9569A">
            <w:pPr>
              <w:pStyle w:val="Tabletext"/>
              <w:rPr>
                <w:sz w:val="20"/>
                <w:lang w:val="ru-RU"/>
              </w:rPr>
            </w:pPr>
            <w:r w:rsidRPr="00C74816">
              <w:rPr>
                <w:sz w:val="20"/>
                <w:lang w:val="ru-RU"/>
              </w:rPr>
              <w:t>Сверхмаломощные системы служб медицинских данных, работающие в диапазонах частот от 401 МГц до 402 МГц и от 405 МГц до 406 МГц</w:t>
            </w:r>
          </w:p>
        </w:tc>
        <w:tc>
          <w:tcPr>
            <w:tcW w:w="2126" w:type="dxa"/>
          </w:tcPr>
          <w:p w14:paraId="6AA7616F" w14:textId="77777777" w:rsidR="0036359D" w:rsidRPr="00C74816" w:rsidRDefault="0036359D" w:rsidP="00B9569A">
            <w:pPr>
              <w:pStyle w:val="Tabletext"/>
              <w:rPr>
                <w:sz w:val="20"/>
                <w:lang w:val="ru-RU"/>
              </w:rPr>
            </w:pPr>
          </w:p>
        </w:tc>
      </w:tr>
      <w:tr w:rsidR="0036359D" w:rsidRPr="00C74816" w14:paraId="69E3CE67" w14:textId="77777777" w:rsidTr="00892A01">
        <w:trPr>
          <w:jc w:val="center"/>
        </w:trPr>
        <w:tc>
          <w:tcPr>
            <w:tcW w:w="1843" w:type="dxa"/>
          </w:tcPr>
          <w:p w14:paraId="063EBAA8" w14:textId="77777777" w:rsidR="0036359D" w:rsidRPr="00C74816" w:rsidRDefault="0036359D" w:rsidP="00B9569A">
            <w:pPr>
              <w:pStyle w:val="Tabletext"/>
              <w:rPr>
                <w:sz w:val="20"/>
                <w:lang w:val="ru-RU"/>
              </w:rPr>
            </w:pPr>
            <w:r w:rsidRPr="00C74816">
              <w:rPr>
                <w:sz w:val="20"/>
                <w:lang w:val="ru-RU"/>
              </w:rPr>
              <w:lastRenderedPageBreak/>
              <w:t>EN 302 567</w:t>
            </w:r>
          </w:p>
        </w:tc>
        <w:tc>
          <w:tcPr>
            <w:tcW w:w="5670" w:type="dxa"/>
          </w:tcPr>
          <w:p w14:paraId="2F8B652C" w14:textId="77777777" w:rsidR="0036359D" w:rsidRPr="00C74816" w:rsidRDefault="0036359D" w:rsidP="00B9569A">
            <w:pPr>
              <w:pStyle w:val="Tabletext"/>
              <w:rPr>
                <w:sz w:val="20"/>
                <w:lang w:val="ru-RU"/>
              </w:rPr>
            </w:pPr>
            <w:r w:rsidRPr="00C74816">
              <w:rPr>
                <w:sz w:val="20"/>
                <w:lang w:val="ru-RU"/>
              </w:rPr>
              <w:t xml:space="preserve">Системы WAS/RLAN в полосе 60 ГГц мощностью в несколько гигабитов </w:t>
            </w:r>
          </w:p>
        </w:tc>
        <w:tc>
          <w:tcPr>
            <w:tcW w:w="2126" w:type="dxa"/>
          </w:tcPr>
          <w:p w14:paraId="11B50DEC" w14:textId="77777777" w:rsidR="0036359D" w:rsidRPr="00C74816" w:rsidRDefault="0036359D" w:rsidP="00B9569A">
            <w:pPr>
              <w:pStyle w:val="Tabletext"/>
              <w:rPr>
                <w:sz w:val="20"/>
                <w:lang w:val="ru-RU"/>
              </w:rPr>
            </w:pPr>
          </w:p>
        </w:tc>
      </w:tr>
      <w:tr w:rsidR="0036359D" w:rsidRPr="00C74816" w14:paraId="1E973B73" w14:textId="77777777" w:rsidTr="00892A01">
        <w:trPr>
          <w:jc w:val="center"/>
        </w:trPr>
        <w:tc>
          <w:tcPr>
            <w:tcW w:w="1843" w:type="dxa"/>
          </w:tcPr>
          <w:p w14:paraId="6372440C" w14:textId="77777777" w:rsidR="0036359D" w:rsidRPr="00C74816" w:rsidRDefault="0036359D" w:rsidP="00B9569A">
            <w:pPr>
              <w:pStyle w:val="Tabletext"/>
              <w:rPr>
                <w:sz w:val="20"/>
                <w:lang w:val="ru-RU"/>
              </w:rPr>
            </w:pPr>
            <w:r w:rsidRPr="00C74816">
              <w:rPr>
                <w:sz w:val="20"/>
                <w:lang w:val="ru-RU"/>
              </w:rPr>
              <w:t>EN 302 608</w:t>
            </w:r>
          </w:p>
        </w:tc>
        <w:tc>
          <w:tcPr>
            <w:tcW w:w="5670" w:type="dxa"/>
          </w:tcPr>
          <w:p w14:paraId="31A95927" w14:textId="77777777" w:rsidR="0036359D" w:rsidRPr="00C74816" w:rsidRDefault="0036359D" w:rsidP="00B9569A">
            <w:pPr>
              <w:pStyle w:val="Tabletext"/>
              <w:rPr>
                <w:sz w:val="20"/>
                <w:lang w:val="ru-RU"/>
              </w:rPr>
            </w:pPr>
            <w:r w:rsidRPr="00C74816">
              <w:rPr>
                <w:sz w:val="20"/>
                <w:lang w:val="ru-RU"/>
              </w:rPr>
              <w:t xml:space="preserve">Радиооборудование для железнодорожных систем Eurobalise </w:t>
            </w:r>
          </w:p>
        </w:tc>
        <w:tc>
          <w:tcPr>
            <w:tcW w:w="2126" w:type="dxa"/>
          </w:tcPr>
          <w:p w14:paraId="48CDEA02" w14:textId="77777777" w:rsidR="0036359D" w:rsidRPr="00C74816" w:rsidRDefault="0036359D" w:rsidP="00B9569A">
            <w:pPr>
              <w:pStyle w:val="Tabletext"/>
              <w:rPr>
                <w:sz w:val="20"/>
                <w:lang w:val="ru-RU"/>
              </w:rPr>
            </w:pPr>
          </w:p>
        </w:tc>
      </w:tr>
      <w:tr w:rsidR="0036359D" w:rsidRPr="00C74816" w14:paraId="6402C510" w14:textId="77777777" w:rsidTr="00892A01">
        <w:trPr>
          <w:jc w:val="center"/>
        </w:trPr>
        <w:tc>
          <w:tcPr>
            <w:tcW w:w="1843" w:type="dxa"/>
          </w:tcPr>
          <w:p w14:paraId="2AD073C2" w14:textId="77777777" w:rsidR="0036359D" w:rsidRPr="00C74816" w:rsidRDefault="0036359D" w:rsidP="00B9569A">
            <w:pPr>
              <w:pStyle w:val="Tabletext"/>
              <w:rPr>
                <w:sz w:val="20"/>
                <w:lang w:val="ru-RU"/>
              </w:rPr>
            </w:pPr>
            <w:r w:rsidRPr="00C74816">
              <w:rPr>
                <w:sz w:val="20"/>
                <w:lang w:val="ru-RU"/>
              </w:rPr>
              <w:t>EN 302 609</w:t>
            </w:r>
          </w:p>
        </w:tc>
        <w:tc>
          <w:tcPr>
            <w:tcW w:w="5670" w:type="dxa"/>
          </w:tcPr>
          <w:p w14:paraId="19F5B02C" w14:textId="77777777" w:rsidR="0036359D" w:rsidRPr="00C74816" w:rsidRDefault="0036359D" w:rsidP="00B9569A">
            <w:pPr>
              <w:pStyle w:val="Tabletext"/>
              <w:rPr>
                <w:sz w:val="20"/>
                <w:lang w:val="ru-RU"/>
              </w:rPr>
            </w:pPr>
            <w:r w:rsidRPr="00C74816">
              <w:rPr>
                <w:sz w:val="20"/>
                <w:lang w:val="ru-RU"/>
              </w:rPr>
              <w:t xml:space="preserve">Радиооборудование для железнодорожных систем Euroloop </w:t>
            </w:r>
          </w:p>
        </w:tc>
        <w:tc>
          <w:tcPr>
            <w:tcW w:w="2126" w:type="dxa"/>
          </w:tcPr>
          <w:p w14:paraId="01744189" w14:textId="77777777" w:rsidR="0036359D" w:rsidRPr="00C74816" w:rsidRDefault="0036359D" w:rsidP="00B9569A">
            <w:pPr>
              <w:pStyle w:val="Tabletext"/>
              <w:rPr>
                <w:sz w:val="20"/>
                <w:lang w:val="ru-RU"/>
              </w:rPr>
            </w:pPr>
          </w:p>
        </w:tc>
      </w:tr>
      <w:tr w:rsidR="0036359D" w:rsidRPr="00C74816" w14:paraId="42461DF1" w14:textId="77777777" w:rsidTr="00892A01">
        <w:trPr>
          <w:jc w:val="center"/>
        </w:trPr>
        <w:tc>
          <w:tcPr>
            <w:tcW w:w="1843" w:type="dxa"/>
          </w:tcPr>
          <w:p w14:paraId="594EDBAA" w14:textId="77777777" w:rsidR="0036359D" w:rsidRPr="00C74816" w:rsidRDefault="0036359D" w:rsidP="00B9569A">
            <w:pPr>
              <w:pStyle w:val="Tabletext"/>
              <w:rPr>
                <w:sz w:val="20"/>
                <w:lang w:val="ru-RU"/>
              </w:rPr>
            </w:pPr>
            <w:r w:rsidRPr="00C74816">
              <w:rPr>
                <w:sz w:val="20"/>
                <w:lang w:val="ru-RU"/>
              </w:rPr>
              <w:t>EN 302 645</w:t>
            </w:r>
          </w:p>
        </w:tc>
        <w:tc>
          <w:tcPr>
            <w:tcW w:w="5670" w:type="dxa"/>
          </w:tcPr>
          <w:p w14:paraId="414E00CB" w14:textId="77777777" w:rsidR="0036359D" w:rsidRPr="00C74816" w:rsidRDefault="0036359D" w:rsidP="00B9569A">
            <w:pPr>
              <w:pStyle w:val="Tabletext"/>
              <w:rPr>
                <w:sz w:val="20"/>
                <w:lang w:val="ru-RU"/>
              </w:rPr>
            </w:pPr>
            <w:r w:rsidRPr="00C74816">
              <w:rPr>
                <w:sz w:val="20"/>
                <w:lang w:val="ru-RU"/>
              </w:rPr>
              <w:t>Ретрансляторы глобальных навигационных спутниковых систем (ГНСС)</w:t>
            </w:r>
          </w:p>
        </w:tc>
        <w:tc>
          <w:tcPr>
            <w:tcW w:w="2126" w:type="dxa"/>
          </w:tcPr>
          <w:p w14:paraId="68814522" w14:textId="77777777" w:rsidR="0036359D" w:rsidRPr="00C74816" w:rsidRDefault="0036359D" w:rsidP="00B9569A">
            <w:pPr>
              <w:pStyle w:val="Tabletext"/>
              <w:rPr>
                <w:sz w:val="20"/>
                <w:lang w:val="ru-RU"/>
              </w:rPr>
            </w:pPr>
          </w:p>
        </w:tc>
      </w:tr>
      <w:tr w:rsidR="0036359D" w:rsidRPr="00C74816" w14:paraId="3BB1F76F" w14:textId="77777777" w:rsidTr="00892A01">
        <w:trPr>
          <w:jc w:val="center"/>
        </w:trPr>
        <w:tc>
          <w:tcPr>
            <w:tcW w:w="1843" w:type="dxa"/>
          </w:tcPr>
          <w:p w14:paraId="16F7724E" w14:textId="77777777" w:rsidR="0036359D" w:rsidRPr="00C74816" w:rsidRDefault="0036359D" w:rsidP="00B9569A">
            <w:pPr>
              <w:pStyle w:val="Tabletext"/>
              <w:rPr>
                <w:sz w:val="20"/>
                <w:lang w:val="ru-RU"/>
              </w:rPr>
            </w:pPr>
            <w:r w:rsidRPr="00C74816">
              <w:rPr>
                <w:sz w:val="20"/>
                <w:lang w:val="ru-RU"/>
              </w:rPr>
              <w:t>EN 301 489</w:t>
            </w:r>
          </w:p>
        </w:tc>
        <w:tc>
          <w:tcPr>
            <w:tcW w:w="5670" w:type="dxa"/>
          </w:tcPr>
          <w:p w14:paraId="2DE8E651" w14:textId="77777777" w:rsidR="0036359D" w:rsidRPr="00C74816" w:rsidRDefault="0036359D" w:rsidP="00B9569A">
            <w:pPr>
              <w:pStyle w:val="Tabletext"/>
              <w:rPr>
                <w:sz w:val="20"/>
                <w:lang w:val="ru-RU"/>
              </w:rPr>
            </w:pPr>
            <w:r w:rsidRPr="00C74816">
              <w:rPr>
                <w:sz w:val="20"/>
                <w:lang w:val="ru-RU"/>
              </w:rPr>
              <w:t>Стандарт электромагнитной совместимости (ЭМС) для радиооборудования и служб радиосвязи; Часть 3: Специфические условия для устройств малого радиуса действия (SRD), работающих на частотах от 9 кГц до 40 ГГц</w:t>
            </w:r>
          </w:p>
        </w:tc>
        <w:tc>
          <w:tcPr>
            <w:tcW w:w="2126" w:type="dxa"/>
          </w:tcPr>
          <w:p w14:paraId="5AD86BF2" w14:textId="77777777" w:rsidR="0036359D" w:rsidRPr="00C74816" w:rsidRDefault="0036359D" w:rsidP="00B9569A">
            <w:pPr>
              <w:pStyle w:val="Tabletext"/>
              <w:rPr>
                <w:sz w:val="20"/>
                <w:lang w:val="ru-RU"/>
              </w:rPr>
            </w:pPr>
          </w:p>
        </w:tc>
      </w:tr>
      <w:tr w:rsidR="0036359D" w:rsidRPr="00C74816" w14:paraId="33599411" w14:textId="77777777" w:rsidTr="00892A01">
        <w:trPr>
          <w:jc w:val="center"/>
        </w:trPr>
        <w:tc>
          <w:tcPr>
            <w:tcW w:w="1843" w:type="dxa"/>
          </w:tcPr>
          <w:p w14:paraId="356E32F8" w14:textId="77777777" w:rsidR="0036359D" w:rsidRPr="00C74816" w:rsidRDefault="0036359D" w:rsidP="00B9569A">
            <w:pPr>
              <w:pStyle w:val="Tabletext"/>
              <w:rPr>
                <w:sz w:val="20"/>
                <w:lang w:val="ru-RU"/>
              </w:rPr>
            </w:pPr>
            <w:r w:rsidRPr="00C74816">
              <w:rPr>
                <w:sz w:val="20"/>
                <w:lang w:val="ru-RU"/>
              </w:rPr>
              <w:t>EN 300 683</w:t>
            </w:r>
          </w:p>
        </w:tc>
        <w:tc>
          <w:tcPr>
            <w:tcW w:w="5670" w:type="dxa"/>
          </w:tcPr>
          <w:p w14:paraId="5FA61F2C" w14:textId="77777777" w:rsidR="0036359D" w:rsidRPr="00C74816" w:rsidRDefault="0036359D" w:rsidP="00B9569A">
            <w:pPr>
              <w:pStyle w:val="Tabletext"/>
              <w:rPr>
                <w:sz w:val="20"/>
                <w:lang w:val="ru-RU"/>
              </w:rPr>
            </w:pPr>
            <w:r w:rsidRPr="00C74816">
              <w:rPr>
                <w:sz w:val="20"/>
                <w:lang w:val="ru-RU"/>
              </w:rPr>
              <w:t>Стандарт ЭМС для устройств малого радиуса действия (SRD), работающих на частотах от 9 кГц до 25 ГГц</w:t>
            </w:r>
          </w:p>
        </w:tc>
        <w:tc>
          <w:tcPr>
            <w:tcW w:w="2126" w:type="dxa"/>
          </w:tcPr>
          <w:p w14:paraId="0306B4FA" w14:textId="77777777" w:rsidR="0036359D" w:rsidRPr="00C74816" w:rsidRDefault="0036359D" w:rsidP="00B9569A">
            <w:pPr>
              <w:pStyle w:val="Tabletext"/>
              <w:rPr>
                <w:sz w:val="20"/>
                <w:lang w:val="ru-RU"/>
              </w:rPr>
            </w:pPr>
          </w:p>
        </w:tc>
      </w:tr>
      <w:tr w:rsidR="0036359D" w:rsidRPr="00C74816" w14:paraId="6103D297" w14:textId="77777777" w:rsidTr="00892A01">
        <w:trPr>
          <w:jc w:val="center"/>
        </w:trPr>
        <w:tc>
          <w:tcPr>
            <w:tcW w:w="1843" w:type="dxa"/>
          </w:tcPr>
          <w:p w14:paraId="0E922154" w14:textId="77777777" w:rsidR="0036359D" w:rsidRPr="00C74816" w:rsidRDefault="0036359D" w:rsidP="00B9569A">
            <w:pPr>
              <w:pStyle w:val="Tabletext"/>
              <w:rPr>
                <w:sz w:val="20"/>
                <w:lang w:val="ru-RU"/>
              </w:rPr>
            </w:pPr>
            <w:r w:rsidRPr="00C74816">
              <w:rPr>
                <w:sz w:val="20"/>
                <w:lang w:val="ru-RU"/>
              </w:rPr>
              <w:t>ETSI TR 101 870</w:t>
            </w:r>
          </w:p>
        </w:tc>
        <w:tc>
          <w:tcPr>
            <w:tcW w:w="5670" w:type="dxa"/>
          </w:tcPr>
          <w:p w14:paraId="17155322" w14:textId="77777777" w:rsidR="0036359D" w:rsidRPr="00C74816" w:rsidRDefault="0036359D" w:rsidP="00B9569A">
            <w:pPr>
              <w:pStyle w:val="Tabletext"/>
              <w:rPr>
                <w:sz w:val="20"/>
                <w:lang w:val="ru-RU"/>
              </w:rPr>
            </w:pPr>
            <w:r w:rsidRPr="00C74816">
              <w:rPr>
                <w:sz w:val="20"/>
                <w:lang w:val="ru-RU"/>
              </w:rPr>
              <w:t xml:space="preserve">Подверженность воздействию неионизирующих электромагнитных полей; Руководящие указания по условиям работы </w:t>
            </w:r>
          </w:p>
        </w:tc>
        <w:tc>
          <w:tcPr>
            <w:tcW w:w="2126" w:type="dxa"/>
          </w:tcPr>
          <w:p w14:paraId="2822FAFF" w14:textId="77777777" w:rsidR="0036359D" w:rsidRPr="00C74816" w:rsidRDefault="0036359D" w:rsidP="00B9569A">
            <w:pPr>
              <w:pStyle w:val="Tabletext"/>
              <w:rPr>
                <w:sz w:val="20"/>
                <w:lang w:val="ru-RU"/>
              </w:rPr>
            </w:pPr>
            <w:r w:rsidRPr="00C74816">
              <w:rPr>
                <w:sz w:val="20"/>
                <w:lang w:val="ru-RU"/>
              </w:rPr>
              <w:t>Применимо, но не предназначено конкретно для SRD</w:t>
            </w:r>
          </w:p>
        </w:tc>
      </w:tr>
    </w:tbl>
    <w:p w14:paraId="1682415F" w14:textId="77777777" w:rsidR="00F37385" w:rsidRPr="00C74816" w:rsidRDefault="00F37385" w:rsidP="00204662">
      <w:pPr>
        <w:pStyle w:val="Tablefin"/>
        <w:rPr>
          <w:lang w:val="ru-RU"/>
        </w:rPr>
      </w:pPr>
      <w:bookmarkStart w:id="24" w:name="_Toc283731941"/>
      <w:bookmarkStart w:id="25" w:name="_Toc276991215"/>
    </w:p>
    <w:p w14:paraId="46179DF9" w14:textId="77777777" w:rsidR="00204662" w:rsidRPr="00C74816" w:rsidRDefault="00204662" w:rsidP="00204662">
      <w:pPr>
        <w:rPr>
          <w:lang w:val="ru-RU"/>
        </w:rPr>
      </w:pPr>
      <w:bookmarkStart w:id="26" w:name="_Toc188609895"/>
    </w:p>
    <w:p w14:paraId="7DF95939" w14:textId="77777777" w:rsidR="00204662" w:rsidRPr="00C74816" w:rsidRDefault="00204662" w:rsidP="00204662">
      <w:pPr>
        <w:rPr>
          <w:lang w:val="ru-RU"/>
        </w:rPr>
      </w:pPr>
    </w:p>
    <w:p w14:paraId="68CBBFD7" w14:textId="6AEC1548" w:rsidR="0036359D" w:rsidRPr="00C74816" w:rsidRDefault="0036359D" w:rsidP="00F37385">
      <w:pPr>
        <w:pStyle w:val="AnnexNoTitle"/>
        <w:rPr>
          <w:lang w:val="ru-RU"/>
        </w:rPr>
      </w:pPr>
      <w:r w:rsidRPr="00C74816">
        <w:rPr>
          <w:lang w:val="ru-RU"/>
        </w:rPr>
        <w:t>Приложение 2</w:t>
      </w:r>
      <w:r w:rsidRPr="00C74816">
        <w:rPr>
          <w:lang w:val="ru-RU"/>
        </w:rPr>
        <w:br/>
      </w:r>
      <w:r w:rsidRPr="00C74816">
        <w:rPr>
          <w:lang w:val="ru-RU"/>
        </w:rPr>
        <w:br/>
        <w:t xml:space="preserve">Действующее в США (ФКС) регулирование для SRD, </w:t>
      </w:r>
      <w:r w:rsidRPr="00C74816">
        <w:rPr>
          <w:lang w:val="ru-RU"/>
        </w:rPr>
        <w:br/>
        <w:t>содержащее принятые методы измерения</w:t>
      </w:r>
      <w:bookmarkEnd w:id="24"/>
      <w:bookmarkEnd w:id="26"/>
      <w:r w:rsidRPr="00C74816">
        <w:rPr>
          <w:lang w:val="ru-RU"/>
        </w:rPr>
        <w:t xml:space="preserve"> </w:t>
      </w:r>
      <w:bookmarkEnd w:id="25"/>
    </w:p>
    <w:p w14:paraId="6B8B8CFE" w14:textId="77777777" w:rsidR="0036359D" w:rsidRPr="00C74816" w:rsidRDefault="0036359D" w:rsidP="00B9569A">
      <w:pPr>
        <w:pStyle w:val="Heading1"/>
        <w:rPr>
          <w:lang w:val="ru-RU"/>
        </w:rPr>
      </w:pPr>
      <w:bookmarkStart w:id="27" w:name="_Toc504713253"/>
      <w:bookmarkStart w:id="28" w:name="_Toc508788934"/>
      <w:bookmarkStart w:id="29" w:name="_Toc532712994"/>
      <w:bookmarkStart w:id="30" w:name="_Toc70070"/>
      <w:bookmarkStart w:id="31" w:name="_Toc70164"/>
      <w:bookmarkStart w:id="32" w:name="_Toc3022038"/>
      <w:bookmarkStart w:id="33" w:name="_Toc12684535"/>
      <w:bookmarkStart w:id="34" w:name="_Toc12869931"/>
      <w:bookmarkStart w:id="35" w:name="_Toc283731942"/>
      <w:bookmarkStart w:id="36" w:name="_Toc276991216"/>
      <w:bookmarkStart w:id="37" w:name="_Toc188609896"/>
      <w:r w:rsidRPr="00C74816">
        <w:rPr>
          <w:lang w:val="ru-RU"/>
        </w:rPr>
        <w:t>1</w:t>
      </w:r>
      <w:r w:rsidRPr="00C74816">
        <w:rPr>
          <w:lang w:val="ru-RU"/>
        </w:rPr>
        <w:tab/>
      </w:r>
      <w:bookmarkEnd w:id="27"/>
      <w:bookmarkEnd w:id="28"/>
      <w:bookmarkEnd w:id="29"/>
      <w:bookmarkEnd w:id="30"/>
      <w:bookmarkEnd w:id="31"/>
      <w:bookmarkEnd w:id="32"/>
      <w:bookmarkEnd w:id="33"/>
      <w:bookmarkEnd w:id="34"/>
      <w:r w:rsidRPr="00C74816">
        <w:rPr>
          <w:lang w:val="ru-RU"/>
        </w:rPr>
        <w:t>Регулирование для устройств малого радиуса действия в Соединенных Штатах Америки</w:t>
      </w:r>
      <w:bookmarkEnd w:id="35"/>
      <w:bookmarkEnd w:id="37"/>
      <w:r w:rsidRPr="00C74816">
        <w:rPr>
          <w:lang w:val="ru-RU"/>
        </w:rPr>
        <w:t xml:space="preserve"> </w:t>
      </w:r>
      <w:bookmarkEnd w:id="36"/>
    </w:p>
    <w:p w14:paraId="63ACF012" w14:textId="072F351B" w:rsidR="0036359D" w:rsidRPr="00C74816" w:rsidRDefault="0036359D" w:rsidP="00B9569A">
      <w:pPr>
        <w:rPr>
          <w:lang w:val="ru-RU"/>
        </w:rPr>
      </w:pPr>
      <w:r w:rsidRPr="00C74816">
        <w:rPr>
          <w:lang w:val="ru-RU"/>
        </w:rPr>
        <w:t xml:space="preserve">В Соединенных Штатах Америки регулирование для устройств малого радиуса действия (SRD) основано на внедрении базовых технических стандартов для этих устройств, которые способствуют совместному использованию спектра устройствами, не подлежащими лицензированию, включая устройства малого радиуса действия, использующие указанные диапазоны. Технические требования, введенные для этих устройств, обеспечивают надлежащую защиту служб радиосвязи, работающих в тех же или соседних полосах частот. В связи с характером таких устройств регулирование для SRD является в основном национальным вопросом и не требует внесения каких-либо изменений в Регламент радиосвязи или международного регулирования. В Соединенных Штатах Америки нормативные требования содержатся в Части 15 Правил и постановлений Федеральной комиссии по связи (ФКС) (Том 47 Свода федеральных постановлений, Часть 15), которая охватывает широкий круг устройств с преднамеренным, непреднамеренным и побочным излучением, включая SRD. В Отчете </w:t>
      </w:r>
      <w:hyperlink r:id="rId19" w:history="1">
        <w:r w:rsidRPr="00C74816">
          <w:rPr>
            <w:rStyle w:val="Hyperlink"/>
            <w:color w:val="auto"/>
            <w:u w:val="none"/>
            <w:lang w:val="ru-RU"/>
          </w:rPr>
          <w:t>МСЭ-R SM.2153</w:t>
        </w:r>
      </w:hyperlink>
      <w:r w:rsidRPr="00C74816">
        <w:rPr>
          <w:lang w:val="ru-RU"/>
        </w:rPr>
        <w:t xml:space="preserve"> "</w:t>
      </w:r>
      <w:r w:rsidRPr="00C74816">
        <w:rPr>
          <w:szCs w:val="22"/>
          <w:lang w:val="ru-RU"/>
        </w:rPr>
        <w:t>Технические и эксплуатационные параметры и использование спектра для устройств радиосвязи малого радиуса действия" (</w:t>
      </w:r>
      <w:r w:rsidR="00406917" w:rsidRPr="00C74816">
        <w:rPr>
          <w:szCs w:val="22"/>
          <w:lang w:val="ru-RU"/>
        </w:rPr>
        <w:t>Прилагаемый документ</w:t>
      </w:r>
      <w:r w:rsidRPr="00C74816">
        <w:rPr>
          <w:szCs w:val="22"/>
          <w:lang w:val="ru-RU"/>
        </w:rPr>
        <w:t xml:space="preserve"> 2 к Приложению 2) более подробно описывается регулирование для </w:t>
      </w:r>
      <w:r w:rsidRPr="00C74816">
        <w:rPr>
          <w:lang w:val="ru-RU"/>
        </w:rPr>
        <w:t xml:space="preserve">SRD и других устройств согласно Части 15 Правил ФКС. </w:t>
      </w:r>
    </w:p>
    <w:p w14:paraId="7C82CFDB" w14:textId="77777777" w:rsidR="0036359D" w:rsidRPr="00C74816" w:rsidRDefault="0036359D" w:rsidP="0036359D">
      <w:pPr>
        <w:pStyle w:val="Heading1"/>
        <w:rPr>
          <w:lang w:val="ru-RU"/>
        </w:rPr>
      </w:pPr>
      <w:bookmarkStart w:id="38" w:name="_Toc283731943"/>
      <w:bookmarkStart w:id="39" w:name="_Toc276991217"/>
      <w:bookmarkStart w:id="40" w:name="_Toc188609897"/>
      <w:r w:rsidRPr="00C74816">
        <w:rPr>
          <w:lang w:val="ru-RU"/>
        </w:rPr>
        <w:t>2</w:t>
      </w:r>
      <w:r w:rsidRPr="00C74816">
        <w:rPr>
          <w:lang w:val="ru-RU"/>
        </w:rPr>
        <w:tab/>
        <w:t>Процедуры измерений для SRD в Соединенных Штатах Америки</w:t>
      </w:r>
      <w:bookmarkEnd w:id="38"/>
      <w:bookmarkEnd w:id="40"/>
      <w:r w:rsidRPr="00C74816">
        <w:rPr>
          <w:lang w:val="ru-RU"/>
        </w:rPr>
        <w:t xml:space="preserve"> </w:t>
      </w:r>
      <w:bookmarkEnd w:id="39"/>
    </w:p>
    <w:p w14:paraId="416D0549" w14:textId="77777777" w:rsidR="0036359D" w:rsidRPr="00C74816" w:rsidRDefault="0036359D" w:rsidP="00B9569A">
      <w:pPr>
        <w:rPr>
          <w:lang w:val="ru-RU"/>
        </w:rPr>
      </w:pPr>
      <w:r w:rsidRPr="00C74816">
        <w:rPr>
          <w:lang w:val="ru-RU"/>
        </w:rPr>
        <w:t>Общие процедуры измерений, применяемые для устройств малого радиуса действия, описаны в разделе 15.31 "Стандарты измерений" в Части 15 Правил ФКС. Эти процедуры были доработаны и расширены, поскольку такие устройства стали более сложными и популярными. В ходе работы, проведенной недавно в Соединенных Штатах Америки Аккредитованным комитетом по стандартам в области электромагнитной совместимости – Комитетом C63</w:t>
      </w:r>
      <w:r w:rsidRPr="00C74816">
        <w:rPr>
          <w:vertAlign w:val="superscript"/>
          <w:lang w:val="ru-RU"/>
        </w:rPr>
        <w:t>®</w:t>
      </w:r>
      <w:r w:rsidRPr="00C74816">
        <w:rPr>
          <w:lang w:val="ru-RU"/>
        </w:rPr>
        <w:t xml:space="preserve">, в рамках нового сводного документа ANSI C63.10-2009, который посвящен обычным беспроводным устройствам, была собрана информация, обновлены и обобщены ряд процедур измерения, содержащихся в правилах и </w:t>
      </w:r>
      <w:r w:rsidRPr="00C74816">
        <w:rPr>
          <w:lang w:val="ru-RU"/>
        </w:rPr>
        <w:lastRenderedPageBreak/>
        <w:t xml:space="preserve">предписаниях ФКС и в некоторых технических примечаниях к веб-сайту "Базы знаний" ФКС (KDB). Тем не менее есть ряд дополнительных справочных документов, которые необходимы для прояснения, а также специальные процедуры измерения для некоторых категорий оборудования. </w:t>
      </w:r>
    </w:p>
    <w:p w14:paraId="0E709DC2" w14:textId="77777777" w:rsidR="0036359D" w:rsidRPr="00C74816" w:rsidRDefault="0036359D" w:rsidP="0036359D">
      <w:pPr>
        <w:spacing w:before="0"/>
        <w:rPr>
          <w:lang w:val="ru-RU"/>
        </w:rPr>
      </w:pPr>
      <w:r w:rsidRPr="00C74816">
        <w:rPr>
          <w:lang w:val="ru-RU"/>
        </w:rPr>
        <w:t xml:space="preserve">Процедуры измерения, которые описаны и/или приняты ФКС для SRD, включают следующее: </w:t>
      </w:r>
    </w:p>
    <w:p w14:paraId="1160E5F5" w14:textId="77777777" w:rsidR="0036359D" w:rsidRPr="00C74816" w:rsidRDefault="0036359D" w:rsidP="0036359D">
      <w:pPr>
        <w:pStyle w:val="Headingb"/>
        <w:spacing w:after="120"/>
        <w:rPr>
          <w:lang w:val="ru-RU"/>
        </w:rPr>
      </w:pPr>
      <w:r w:rsidRPr="00C74816">
        <w:rPr>
          <w:lang w:val="ru-RU"/>
        </w:rPr>
        <w:t>Радиочастотные устройства/радиопередатчики – Часть 15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36359D" w:rsidRPr="00C74816" w14:paraId="6F03B62E" w14:textId="77777777" w:rsidTr="00892A01">
        <w:trPr>
          <w:jc w:val="center"/>
        </w:trPr>
        <w:tc>
          <w:tcPr>
            <w:tcW w:w="1701" w:type="dxa"/>
          </w:tcPr>
          <w:p w14:paraId="4D62B09C" w14:textId="77777777" w:rsidR="0036359D" w:rsidRPr="00C74816" w:rsidRDefault="0036359D" w:rsidP="00B9569A">
            <w:pPr>
              <w:pStyle w:val="Tablehead"/>
              <w:rPr>
                <w:sz w:val="20"/>
                <w:lang w:val="ru-RU"/>
              </w:rPr>
            </w:pPr>
            <w:r w:rsidRPr="00C74816">
              <w:rPr>
                <w:sz w:val="20"/>
                <w:lang w:val="ru-RU"/>
              </w:rPr>
              <w:t>Стандарт</w:t>
            </w:r>
          </w:p>
        </w:tc>
        <w:tc>
          <w:tcPr>
            <w:tcW w:w="3969" w:type="dxa"/>
          </w:tcPr>
          <w:p w14:paraId="5E1E2AE2" w14:textId="77777777" w:rsidR="0036359D" w:rsidRPr="00C74816" w:rsidRDefault="0036359D" w:rsidP="00B9569A">
            <w:pPr>
              <w:pStyle w:val="Tablehead"/>
              <w:rPr>
                <w:sz w:val="20"/>
                <w:lang w:val="ru-RU"/>
              </w:rPr>
            </w:pPr>
            <w:r w:rsidRPr="00C74816">
              <w:rPr>
                <w:sz w:val="20"/>
                <w:lang w:val="ru-RU"/>
              </w:rPr>
              <w:t>Название</w:t>
            </w:r>
          </w:p>
        </w:tc>
        <w:tc>
          <w:tcPr>
            <w:tcW w:w="3969" w:type="dxa"/>
          </w:tcPr>
          <w:p w14:paraId="4660149D" w14:textId="77777777" w:rsidR="0036359D" w:rsidRPr="00C74816" w:rsidRDefault="0036359D" w:rsidP="00B9569A">
            <w:pPr>
              <w:pStyle w:val="Tablehead"/>
              <w:rPr>
                <w:sz w:val="20"/>
                <w:lang w:val="ru-RU"/>
              </w:rPr>
            </w:pPr>
            <w:r w:rsidRPr="00C74816">
              <w:rPr>
                <w:sz w:val="20"/>
                <w:lang w:val="ru-RU"/>
              </w:rPr>
              <w:t>Примечания</w:t>
            </w:r>
          </w:p>
        </w:tc>
      </w:tr>
      <w:tr w:rsidR="0036359D" w:rsidRPr="00C74816" w14:paraId="2F0FA993" w14:textId="77777777" w:rsidTr="00892A01">
        <w:trPr>
          <w:jc w:val="center"/>
        </w:trPr>
        <w:tc>
          <w:tcPr>
            <w:tcW w:w="1701" w:type="dxa"/>
          </w:tcPr>
          <w:p w14:paraId="7C70F92B" w14:textId="77777777" w:rsidR="0036359D" w:rsidRPr="00C74816" w:rsidRDefault="0036359D" w:rsidP="00B9569A">
            <w:pPr>
              <w:pStyle w:val="Tabletext"/>
              <w:rPr>
                <w:sz w:val="20"/>
                <w:lang w:val="ru-RU"/>
              </w:rPr>
            </w:pPr>
            <w:r w:rsidRPr="00C74816">
              <w:rPr>
                <w:sz w:val="20"/>
                <w:lang w:val="ru-RU"/>
              </w:rPr>
              <w:t>Том 47 CFR</w:t>
            </w:r>
            <w:r w:rsidRPr="00C74816">
              <w:rPr>
                <w:sz w:val="20"/>
                <w:lang w:val="ru-RU"/>
              </w:rPr>
              <w:br/>
              <w:t>15.31</w:t>
            </w:r>
          </w:p>
        </w:tc>
        <w:tc>
          <w:tcPr>
            <w:tcW w:w="3969" w:type="dxa"/>
          </w:tcPr>
          <w:p w14:paraId="1513ED92" w14:textId="77777777" w:rsidR="0036359D" w:rsidRPr="00C74816" w:rsidRDefault="0036359D" w:rsidP="00B9569A">
            <w:pPr>
              <w:pStyle w:val="Tabletext"/>
              <w:rPr>
                <w:sz w:val="20"/>
                <w:lang w:val="ru-RU"/>
              </w:rPr>
            </w:pPr>
            <w:r w:rsidRPr="00C74816">
              <w:rPr>
                <w:sz w:val="20"/>
                <w:lang w:val="ru-RU"/>
              </w:rPr>
              <w:t>Подраздел А Правил ФКС – Общий раздел 15.31 – Стандарты измерения</w:t>
            </w:r>
            <w:r w:rsidRPr="00C74816">
              <w:rPr>
                <w:sz w:val="20"/>
                <w:lang w:val="ru-RU"/>
              </w:rPr>
              <w:br/>
              <w:t>(Общие руководящие указания)</w:t>
            </w:r>
          </w:p>
        </w:tc>
        <w:tc>
          <w:tcPr>
            <w:tcW w:w="3969" w:type="dxa"/>
          </w:tcPr>
          <w:p w14:paraId="388DB2C3" w14:textId="76F575F0" w:rsidR="0036359D" w:rsidRPr="00C74816" w:rsidRDefault="00B9569A" w:rsidP="00B9569A">
            <w:pPr>
              <w:pStyle w:val="Tabletext"/>
              <w:rPr>
                <w:sz w:val="20"/>
                <w:lang w:val="ru-RU"/>
              </w:rPr>
            </w:pPr>
            <w:hyperlink r:id="rId20" w:history="1">
              <w:r w:rsidRPr="00C74816">
                <w:rPr>
                  <w:rStyle w:val="Hyperlink"/>
                  <w:sz w:val="20"/>
                  <w:lang w:val="ru-RU"/>
                </w:rPr>
                <w:t>https://www.ecfr.gov/current/title-47/chapter-I/subchapter-A/part-15/subpart-A/section-15.31</w:t>
              </w:r>
            </w:hyperlink>
          </w:p>
        </w:tc>
      </w:tr>
      <w:tr w:rsidR="0036359D" w:rsidRPr="00C74816" w14:paraId="03A0D3AA" w14:textId="77777777" w:rsidTr="00892A01">
        <w:trPr>
          <w:jc w:val="center"/>
        </w:trPr>
        <w:tc>
          <w:tcPr>
            <w:tcW w:w="1701" w:type="dxa"/>
          </w:tcPr>
          <w:p w14:paraId="06E931DD" w14:textId="77777777" w:rsidR="0036359D" w:rsidRPr="00C74816" w:rsidRDefault="0036359D" w:rsidP="00B9569A">
            <w:pPr>
              <w:pStyle w:val="Tabletext"/>
              <w:rPr>
                <w:sz w:val="20"/>
                <w:lang w:val="ru-RU"/>
              </w:rPr>
            </w:pPr>
            <w:r w:rsidRPr="00C74816">
              <w:rPr>
                <w:sz w:val="20"/>
                <w:lang w:val="ru-RU"/>
              </w:rPr>
              <w:t xml:space="preserve">ANSI C63.4-2003 или </w:t>
            </w:r>
            <w:r w:rsidRPr="00C74816">
              <w:rPr>
                <w:sz w:val="20"/>
                <w:lang w:val="ru-RU"/>
              </w:rPr>
              <w:br/>
              <w:t>ANSI C63.4</w:t>
            </w:r>
            <w:r w:rsidRPr="00C74816">
              <w:rPr>
                <w:sz w:val="20"/>
                <w:lang w:val="ru-RU"/>
              </w:rPr>
              <w:noBreakHyphen/>
              <w:t>2009</w:t>
            </w:r>
          </w:p>
        </w:tc>
        <w:tc>
          <w:tcPr>
            <w:tcW w:w="3969" w:type="dxa"/>
          </w:tcPr>
          <w:p w14:paraId="3B2AAD5F" w14:textId="77777777" w:rsidR="0036359D" w:rsidRPr="00C74816" w:rsidRDefault="0036359D" w:rsidP="00B9569A">
            <w:pPr>
              <w:pStyle w:val="Tabletext"/>
              <w:rPr>
                <w:sz w:val="20"/>
                <w:lang w:val="ru-RU"/>
              </w:rPr>
            </w:pPr>
            <w:r w:rsidRPr="00C74816">
              <w:rPr>
                <w:sz w:val="20"/>
                <w:lang w:val="ru-RU"/>
              </w:rPr>
              <w:t xml:space="preserve">Американский национальный стандарт для методов измерения излучений радиошума от электрического и электронного оборудования низкого напряжения в диапазоне от 9 кГц до 40 ГГц </w:t>
            </w:r>
          </w:p>
        </w:tc>
        <w:tc>
          <w:tcPr>
            <w:tcW w:w="3969" w:type="dxa"/>
          </w:tcPr>
          <w:p w14:paraId="6F49F74A" w14:textId="77777777" w:rsidR="0036359D" w:rsidRPr="00C74816" w:rsidRDefault="0036359D" w:rsidP="00B9569A">
            <w:pPr>
              <w:pStyle w:val="Tabletext"/>
              <w:rPr>
                <w:sz w:val="20"/>
                <w:lang w:val="ru-RU"/>
              </w:rPr>
            </w:pPr>
            <w:r w:rsidRPr="00C74816">
              <w:rPr>
                <w:sz w:val="20"/>
                <w:lang w:val="ru-RU"/>
              </w:rPr>
              <w:t>Доступен на веб-сайте IEEE по адресу:</w:t>
            </w:r>
            <w:r w:rsidRPr="00C74816">
              <w:rPr>
                <w:sz w:val="20"/>
                <w:lang w:val="ru-RU"/>
              </w:rPr>
              <w:br/>
            </w:r>
            <w:hyperlink r:id="rId21" w:history="1">
              <w:r w:rsidRPr="00C74816">
                <w:rPr>
                  <w:rStyle w:val="Hyperlink"/>
                  <w:sz w:val="20"/>
                  <w:lang w:val="ru-RU"/>
                </w:rPr>
                <w:t>http://standards.ieee.org/prod-serv/index.html</w:t>
              </w:r>
            </w:hyperlink>
            <w:r w:rsidRPr="00C74816">
              <w:rPr>
                <w:sz w:val="20"/>
                <w:lang w:val="ru-RU"/>
              </w:rPr>
              <w:t xml:space="preserve"> </w:t>
            </w:r>
            <w:r w:rsidRPr="00C74816">
              <w:rPr>
                <w:sz w:val="20"/>
                <w:lang w:val="ru-RU"/>
              </w:rPr>
              <w:br/>
              <w:t xml:space="preserve">или </w:t>
            </w:r>
            <w:hyperlink r:id="rId22" w:history="1">
              <w:r w:rsidRPr="00C74816">
                <w:rPr>
                  <w:rStyle w:val="Hyperlink"/>
                  <w:sz w:val="20"/>
                  <w:lang w:val="ru-RU"/>
                </w:rPr>
                <w:t>http://webstore.ansi.org/</w:t>
              </w:r>
            </w:hyperlink>
            <w:r w:rsidRPr="00C74816">
              <w:rPr>
                <w:sz w:val="20"/>
                <w:lang w:val="ru-RU"/>
              </w:rPr>
              <w:t xml:space="preserve"> </w:t>
            </w:r>
          </w:p>
        </w:tc>
      </w:tr>
      <w:tr w:rsidR="0036359D" w:rsidRPr="00C74816" w14:paraId="34185769" w14:textId="77777777" w:rsidTr="00892A01">
        <w:trPr>
          <w:jc w:val="center"/>
        </w:trPr>
        <w:tc>
          <w:tcPr>
            <w:tcW w:w="1701" w:type="dxa"/>
          </w:tcPr>
          <w:p w14:paraId="4BE4C4F3" w14:textId="77777777" w:rsidR="0036359D" w:rsidRPr="00C74816" w:rsidRDefault="0036359D" w:rsidP="00B9569A">
            <w:pPr>
              <w:pStyle w:val="Tabletext"/>
              <w:rPr>
                <w:sz w:val="20"/>
                <w:lang w:val="ru-RU"/>
              </w:rPr>
            </w:pPr>
            <w:r w:rsidRPr="00C74816">
              <w:rPr>
                <w:sz w:val="20"/>
                <w:lang w:val="ru-RU"/>
              </w:rPr>
              <w:t>ANSI</w:t>
            </w:r>
            <w:r w:rsidRPr="00C74816">
              <w:rPr>
                <w:sz w:val="20"/>
                <w:lang w:val="ru-RU"/>
              </w:rPr>
              <w:br/>
              <w:t>C63.10-2009</w:t>
            </w:r>
          </w:p>
        </w:tc>
        <w:tc>
          <w:tcPr>
            <w:tcW w:w="3969" w:type="dxa"/>
          </w:tcPr>
          <w:p w14:paraId="22646DDA" w14:textId="77777777" w:rsidR="0036359D" w:rsidRPr="00C74816" w:rsidRDefault="0036359D" w:rsidP="00B9569A">
            <w:pPr>
              <w:pStyle w:val="Tabletext"/>
              <w:rPr>
                <w:sz w:val="20"/>
                <w:lang w:val="ru-RU"/>
              </w:rPr>
            </w:pPr>
            <w:r w:rsidRPr="00C74816">
              <w:rPr>
                <w:sz w:val="20"/>
                <w:lang w:val="ru-RU"/>
              </w:rPr>
              <w:t xml:space="preserve">Американский национальный стандарт для проверки нелицензируемых беспроводных устройств </w:t>
            </w:r>
          </w:p>
        </w:tc>
        <w:tc>
          <w:tcPr>
            <w:tcW w:w="3969" w:type="dxa"/>
          </w:tcPr>
          <w:p w14:paraId="01D71A4B" w14:textId="77777777" w:rsidR="0036359D" w:rsidRPr="00C74816" w:rsidRDefault="0036359D" w:rsidP="00B9569A">
            <w:pPr>
              <w:pStyle w:val="Tabletext"/>
              <w:rPr>
                <w:sz w:val="20"/>
                <w:lang w:val="ru-RU"/>
              </w:rPr>
            </w:pPr>
            <w:r w:rsidRPr="00C74816">
              <w:rPr>
                <w:sz w:val="20"/>
                <w:lang w:val="ru-RU"/>
              </w:rPr>
              <w:t>Доступен на веб-сайте IEEE по адресу:</w:t>
            </w:r>
            <w:r w:rsidRPr="00C74816">
              <w:rPr>
                <w:sz w:val="20"/>
                <w:lang w:val="ru-RU"/>
              </w:rPr>
              <w:br/>
            </w:r>
            <w:hyperlink r:id="rId23" w:history="1">
              <w:r w:rsidRPr="00C74816">
                <w:rPr>
                  <w:rStyle w:val="Hyperlink"/>
                  <w:sz w:val="20"/>
                  <w:lang w:val="ru-RU"/>
                </w:rPr>
                <w:t>http://standards.ieee.org/prod-serv/index.html</w:t>
              </w:r>
            </w:hyperlink>
            <w:r w:rsidRPr="00C74816">
              <w:rPr>
                <w:sz w:val="20"/>
                <w:lang w:val="ru-RU"/>
              </w:rPr>
              <w:t xml:space="preserve"> </w:t>
            </w:r>
            <w:r w:rsidRPr="00C74816">
              <w:rPr>
                <w:sz w:val="20"/>
                <w:lang w:val="ru-RU"/>
              </w:rPr>
              <w:br/>
              <w:t xml:space="preserve">или </w:t>
            </w:r>
            <w:hyperlink r:id="rId24" w:history="1">
              <w:r w:rsidRPr="00C74816">
                <w:rPr>
                  <w:rStyle w:val="Hyperlink"/>
                  <w:sz w:val="20"/>
                  <w:lang w:val="ru-RU"/>
                </w:rPr>
                <w:t>http://webstore.ansi.org/</w:t>
              </w:r>
            </w:hyperlink>
            <w:r w:rsidRPr="00C74816">
              <w:rPr>
                <w:sz w:val="20"/>
                <w:lang w:val="ru-RU"/>
              </w:rPr>
              <w:t xml:space="preserve"> </w:t>
            </w:r>
          </w:p>
        </w:tc>
      </w:tr>
      <w:tr w:rsidR="0036359D" w:rsidRPr="00C74816" w14:paraId="59274A72" w14:textId="77777777" w:rsidTr="00892A01">
        <w:trPr>
          <w:jc w:val="center"/>
        </w:trPr>
        <w:tc>
          <w:tcPr>
            <w:tcW w:w="1701" w:type="dxa"/>
          </w:tcPr>
          <w:p w14:paraId="24DE1869" w14:textId="77777777" w:rsidR="0036359D" w:rsidRPr="00C74816" w:rsidRDefault="0036359D" w:rsidP="00B9569A">
            <w:pPr>
              <w:pStyle w:val="Tabletext"/>
              <w:rPr>
                <w:sz w:val="20"/>
                <w:lang w:val="ru-RU"/>
              </w:rPr>
            </w:pPr>
            <w:r w:rsidRPr="00C74816">
              <w:rPr>
                <w:sz w:val="20"/>
                <w:lang w:val="ru-RU"/>
              </w:rPr>
              <w:t>ANSI</w:t>
            </w:r>
            <w:r w:rsidRPr="00C74816">
              <w:rPr>
                <w:sz w:val="20"/>
                <w:lang w:val="ru-RU"/>
              </w:rPr>
              <w:br/>
              <w:t>C63.17-2006</w:t>
            </w:r>
          </w:p>
        </w:tc>
        <w:tc>
          <w:tcPr>
            <w:tcW w:w="3969" w:type="dxa"/>
          </w:tcPr>
          <w:p w14:paraId="775B46A3" w14:textId="77777777" w:rsidR="0036359D" w:rsidRPr="00C74816" w:rsidRDefault="0036359D" w:rsidP="00B9569A">
            <w:pPr>
              <w:pStyle w:val="Tabletext"/>
              <w:rPr>
                <w:sz w:val="20"/>
                <w:lang w:val="ru-RU"/>
              </w:rPr>
            </w:pPr>
            <w:r w:rsidRPr="00C74816">
              <w:rPr>
                <w:sz w:val="20"/>
                <w:lang w:val="ru-RU"/>
              </w:rPr>
              <w:t xml:space="preserve">Методы измерения электромагнитной и эксплуатационной совместимости устройств нелицензируемых услуг персональной связи (UPCS) </w:t>
            </w:r>
          </w:p>
        </w:tc>
        <w:tc>
          <w:tcPr>
            <w:tcW w:w="3969" w:type="dxa"/>
          </w:tcPr>
          <w:p w14:paraId="03B1DAE6" w14:textId="77777777" w:rsidR="0036359D" w:rsidRPr="00C74816" w:rsidRDefault="0036359D" w:rsidP="00B9569A">
            <w:pPr>
              <w:pStyle w:val="Tabletext"/>
              <w:rPr>
                <w:sz w:val="20"/>
                <w:lang w:val="ru-RU"/>
              </w:rPr>
            </w:pPr>
            <w:r w:rsidRPr="00C74816">
              <w:rPr>
                <w:sz w:val="20"/>
                <w:lang w:val="ru-RU"/>
              </w:rPr>
              <w:t>Доступны на веб-сайте IEEE по адресу:</w:t>
            </w:r>
            <w:r w:rsidRPr="00C74816">
              <w:rPr>
                <w:sz w:val="20"/>
                <w:lang w:val="ru-RU"/>
              </w:rPr>
              <w:br/>
            </w:r>
            <w:hyperlink r:id="rId25" w:history="1">
              <w:r w:rsidRPr="00C74816">
                <w:rPr>
                  <w:rStyle w:val="Hyperlink"/>
                  <w:sz w:val="20"/>
                  <w:lang w:val="ru-RU"/>
                </w:rPr>
                <w:t>http://standards.ieee.org/prod-serv/index.html</w:t>
              </w:r>
            </w:hyperlink>
            <w:r w:rsidRPr="00C74816">
              <w:rPr>
                <w:sz w:val="20"/>
                <w:lang w:val="ru-RU"/>
              </w:rPr>
              <w:t xml:space="preserve"> или </w:t>
            </w:r>
            <w:hyperlink r:id="rId26" w:history="1">
              <w:r w:rsidRPr="00C74816">
                <w:rPr>
                  <w:rStyle w:val="Hyperlink"/>
                  <w:sz w:val="20"/>
                  <w:lang w:val="ru-RU"/>
                </w:rPr>
                <w:t>http://webstore.ansi.org/</w:t>
              </w:r>
            </w:hyperlink>
            <w:r w:rsidRPr="00C74816">
              <w:rPr>
                <w:sz w:val="20"/>
                <w:lang w:val="ru-RU"/>
              </w:rPr>
              <w:t xml:space="preserve"> </w:t>
            </w:r>
          </w:p>
        </w:tc>
      </w:tr>
      <w:tr w:rsidR="0036359D" w:rsidRPr="00C74816" w14:paraId="3914D6B8" w14:textId="77777777" w:rsidTr="00892A01">
        <w:trPr>
          <w:jc w:val="center"/>
        </w:trPr>
        <w:tc>
          <w:tcPr>
            <w:tcW w:w="1701" w:type="dxa"/>
          </w:tcPr>
          <w:p w14:paraId="535FEDA6" w14:textId="77777777" w:rsidR="0036359D" w:rsidRPr="00C74816" w:rsidRDefault="0036359D" w:rsidP="00B9569A">
            <w:pPr>
              <w:pStyle w:val="Tabletext"/>
              <w:rPr>
                <w:sz w:val="20"/>
                <w:lang w:val="ru-RU"/>
              </w:rPr>
            </w:pPr>
            <w:r w:rsidRPr="00C74816">
              <w:rPr>
                <w:sz w:val="20"/>
                <w:lang w:val="ru-RU"/>
              </w:rPr>
              <w:t>Официальное извещение ФКС</w:t>
            </w:r>
            <w:r w:rsidRPr="00C74816">
              <w:rPr>
                <w:sz w:val="20"/>
                <w:lang w:val="ru-RU"/>
              </w:rPr>
              <w:br/>
              <w:t>DA 02-2850</w:t>
            </w:r>
          </w:p>
        </w:tc>
        <w:tc>
          <w:tcPr>
            <w:tcW w:w="3969" w:type="dxa"/>
          </w:tcPr>
          <w:p w14:paraId="222CEB46" w14:textId="77777777" w:rsidR="0036359D" w:rsidRPr="00C74816" w:rsidRDefault="0036359D" w:rsidP="00B9569A">
            <w:pPr>
              <w:pStyle w:val="Tabletext"/>
              <w:rPr>
                <w:sz w:val="20"/>
                <w:lang w:val="ru-RU"/>
              </w:rPr>
            </w:pPr>
            <w:r w:rsidRPr="00C74816">
              <w:rPr>
                <w:sz w:val="20"/>
                <w:lang w:val="ru-RU"/>
              </w:rPr>
              <w:t xml:space="preserve">Пояснения ФКС по поводу процедур сертификации оборудования для передатчиков с "режимом обучения" или "обучаемых" передатчиков </w:t>
            </w:r>
          </w:p>
        </w:tc>
        <w:tc>
          <w:tcPr>
            <w:tcW w:w="3969" w:type="dxa"/>
          </w:tcPr>
          <w:p w14:paraId="304A9A79" w14:textId="11E54CE5" w:rsidR="0036359D" w:rsidRPr="00C74816" w:rsidRDefault="00B9569A" w:rsidP="00B9569A">
            <w:pPr>
              <w:pStyle w:val="Tabletext"/>
              <w:rPr>
                <w:sz w:val="20"/>
                <w:lang w:val="ru-RU"/>
              </w:rPr>
            </w:pPr>
            <w:hyperlink r:id="rId27" w:history="1">
              <w:r w:rsidRPr="00C74816">
                <w:rPr>
                  <w:rStyle w:val="Hyperlink"/>
                  <w:sz w:val="20"/>
                  <w:lang w:val="ru-RU"/>
                </w:rPr>
                <w:t>https://docs.fcc.gov/public/attachments/DA-02-2850A1.pdf</w:t>
              </w:r>
            </w:hyperlink>
          </w:p>
        </w:tc>
      </w:tr>
      <w:tr w:rsidR="0036359D" w:rsidRPr="00C74816" w14:paraId="6C174876" w14:textId="77777777" w:rsidTr="00892A01">
        <w:trPr>
          <w:jc w:val="center"/>
        </w:trPr>
        <w:tc>
          <w:tcPr>
            <w:tcW w:w="1701" w:type="dxa"/>
          </w:tcPr>
          <w:p w14:paraId="6F7E249C" w14:textId="77777777" w:rsidR="0036359D" w:rsidRPr="00C74816" w:rsidRDefault="0036359D" w:rsidP="00B9569A">
            <w:pPr>
              <w:pStyle w:val="Tabletext"/>
              <w:rPr>
                <w:sz w:val="20"/>
                <w:lang w:val="ru-RU"/>
              </w:rPr>
            </w:pPr>
            <w:r w:rsidRPr="00C74816">
              <w:rPr>
                <w:sz w:val="20"/>
                <w:lang w:val="ru-RU"/>
              </w:rPr>
              <w:t>Официальное извещение ФКС</w:t>
            </w:r>
            <w:r w:rsidRPr="00C74816">
              <w:rPr>
                <w:sz w:val="20"/>
                <w:lang w:val="ru-RU"/>
              </w:rPr>
              <w:br/>
              <w:t>DA 04-3946</w:t>
            </w:r>
          </w:p>
        </w:tc>
        <w:tc>
          <w:tcPr>
            <w:tcW w:w="3969" w:type="dxa"/>
          </w:tcPr>
          <w:p w14:paraId="554F77B8" w14:textId="77777777" w:rsidR="0036359D" w:rsidRPr="00C74816" w:rsidRDefault="0036359D" w:rsidP="00B9569A">
            <w:pPr>
              <w:pStyle w:val="Tabletext"/>
              <w:rPr>
                <w:sz w:val="20"/>
                <w:lang w:val="ru-RU"/>
              </w:rPr>
            </w:pPr>
            <w:r w:rsidRPr="00C74816">
              <w:rPr>
                <w:sz w:val="20"/>
                <w:lang w:val="ru-RU"/>
              </w:rPr>
              <w:t>Пояснения OET по поводу политики авторизации оборудования для измерения широкополосных излучений. Использование "поправочного коэффициента уменьшения импульсной чувствительности" (PDCF)</w:t>
            </w:r>
          </w:p>
        </w:tc>
        <w:tc>
          <w:tcPr>
            <w:tcW w:w="3969" w:type="dxa"/>
          </w:tcPr>
          <w:p w14:paraId="64B0C235" w14:textId="0D48C40F" w:rsidR="0036359D" w:rsidRPr="00C74816" w:rsidRDefault="00B9569A" w:rsidP="00B9569A">
            <w:pPr>
              <w:pStyle w:val="Tabletext"/>
              <w:rPr>
                <w:sz w:val="20"/>
                <w:lang w:val="ru-RU"/>
              </w:rPr>
            </w:pPr>
            <w:hyperlink r:id="rId28" w:history="1">
              <w:r w:rsidRPr="00C74816">
                <w:rPr>
                  <w:rStyle w:val="Hyperlink"/>
                  <w:sz w:val="20"/>
                  <w:lang w:val="ru-RU"/>
                </w:rPr>
                <w:t>https://docs.fcc.gov/public/attachments/DA-04-3946A1.pdf</w:t>
              </w:r>
            </w:hyperlink>
          </w:p>
        </w:tc>
      </w:tr>
    </w:tbl>
    <w:p w14:paraId="149B1E0D" w14:textId="77777777" w:rsidR="001F5BC7" w:rsidRPr="00C74816" w:rsidRDefault="001F5BC7" w:rsidP="001F5BC7">
      <w:pPr>
        <w:pStyle w:val="Tablefin"/>
        <w:rPr>
          <w:lang w:val="ru-RU"/>
        </w:rPr>
      </w:pPr>
    </w:p>
    <w:p w14:paraId="513A9F37" w14:textId="77777777" w:rsidR="0036359D" w:rsidRPr="00C74816" w:rsidRDefault="0036359D" w:rsidP="00B9569A">
      <w:pPr>
        <w:pStyle w:val="Headingb"/>
        <w:spacing w:after="120"/>
        <w:rPr>
          <w:bCs/>
          <w:lang w:val="ru-RU"/>
        </w:rPr>
      </w:pPr>
      <w:r w:rsidRPr="00C74816">
        <w:rPr>
          <w:bCs/>
          <w:lang w:val="ru-RU"/>
        </w:rPr>
        <w:t>Скачкообразная перестройка и частотно-модулированные устройства в соответствии с Частью 15.247 ФКС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36359D" w:rsidRPr="00C74816" w14:paraId="013BEFB7" w14:textId="77777777" w:rsidTr="00892A01">
        <w:trPr>
          <w:jc w:val="center"/>
        </w:trPr>
        <w:tc>
          <w:tcPr>
            <w:tcW w:w="1701" w:type="dxa"/>
          </w:tcPr>
          <w:p w14:paraId="50FAE5E8" w14:textId="77777777" w:rsidR="0036359D" w:rsidRPr="00C74816" w:rsidRDefault="0036359D" w:rsidP="00B9569A">
            <w:pPr>
              <w:pStyle w:val="Tablehead"/>
              <w:rPr>
                <w:sz w:val="20"/>
                <w:lang w:val="ru-RU"/>
              </w:rPr>
            </w:pPr>
            <w:r w:rsidRPr="00C74816">
              <w:rPr>
                <w:sz w:val="20"/>
                <w:lang w:val="ru-RU"/>
              </w:rPr>
              <w:t>Стандарт</w:t>
            </w:r>
          </w:p>
        </w:tc>
        <w:tc>
          <w:tcPr>
            <w:tcW w:w="3969" w:type="dxa"/>
          </w:tcPr>
          <w:p w14:paraId="4452E8D2" w14:textId="77777777" w:rsidR="0036359D" w:rsidRPr="00C74816" w:rsidRDefault="0036359D" w:rsidP="00B9569A">
            <w:pPr>
              <w:pStyle w:val="Tablehead"/>
              <w:rPr>
                <w:sz w:val="20"/>
                <w:lang w:val="ru-RU"/>
              </w:rPr>
            </w:pPr>
            <w:r w:rsidRPr="00C74816">
              <w:rPr>
                <w:sz w:val="20"/>
                <w:lang w:val="ru-RU"/>
              </w:rPr>
              <w:t>Название</w:t>
            </w:r>
          </w:p>
        </w:tc>
        <w:tc>
          <w:tcPr>
            <w:tcW w:w="3969" w:type="dxa"/>
          </w:tcPr>
          <w:p w14:paraId="3BBA9D93" w14:textId="77777777" w:rsidR="0036359D" w:rsidRPr="00C74816" w:rsidRDefault="0036359D" w:rsidP="00B9569A">
            <w:pPr>
              <w:pStyle w:val="Tablehead"/>
              <w:rPr>
                <w:sz w:val="20"/>
                <w:lang w:val="ru-RU"/>
              </w:rPr>
            </w:pPr>
            <w:r w:rsidRPr="00C74816">
              <w:rPr>
                <w:sz w:val="20"/>
                <w:lang w:val="ru-RU"/>
              </w:rPr>
              <w:t>Примечания</w:t>
            </w:r>
          </w:p>
        </w:tc>
      </w:tr>
      <w:tr w:rsidR="0036359D" w:rsidRPr="00C74816" w14:paraId="59D59369" w14:textId="77777777" w:rsidTr="00892A01">
        <w:trPr>
          <w:jc w:val="center"/>
        </w:trPr>
        <w:tc>
          <w:tcPr>
            <w:tcW w:w="1701" w:type="dxa"/>
          </w:tcPr>
          <w:p w14:paraId="7367F4C0" w14:textId="77777777" w:rsidR="0036359D" w:rsidRPr="00C74816" w:rsidRDefault="0036359D" w:rsidP="00B9569A">
            <w:pPr>
              <w:pStyle w:val="Tabletext"/>
              <w:rPr>
                <w:sz w:val="20"/>
                <w:lang w:val="ru-RU"/>
              </w:rPr>
            </w:pPr>
            <w:r w:rsidRPr="00C74816">
              <w:rPr>
                <w:sz w:val="20"/>
                <w:lang w:val="ru-RU"/>
              </w:rPr>
              <w:t>Официальное извещение ФКС</w:t>
            </w:r>
            <w:r w:rsidRPr="00C74816">
              <w:rPr>
                <w:sz w:val="20"/>
                <w:lang w:val="ru-RU"/>
              </w:rPr>
              <w:br/>
              <w:t>DA 00-705</w:t>
            </w:r>
          </w:p>
        </w:tc>
        <w:tc>
          <w:tcPr>
            <w:tcW w:w="3969" w:type="dxa"/>
          </w:tcPr>
          <w:p w14:paraId="76256F92" w14:textId="77777777" w:rsidR="0036359D" w:rsidRPr="00C74816" w:rsidRDefault="0036359D" w:rsidP="00B9569A">
            <w:pPr>
              <w:pStyle w:val="Tabletext"/>
              <w:rPr>
                <w:sz w:val="20"/>
                <w:lang w:val="ru-RU"/>
              </w:rPr>
            </w:pPr>
            <w:r w:rsidRPr="00C74816">
              <w:rPr>
                <w:sz w:val="20"/>
                <w:lang w:val="ru-RU"/>
              </w:rPr>
              <w:t xml:space="preserve">Руководящие указания по регистрации и измерению для систем расширения спектра со скачкообразной перестройкой </w:t>
            </w:r>
          </w:p>
        </w:tc>
        <w:tc>
          <w:tcPr>
            <w:tcW w:w="3969" w:type="dxa"/>
          </w:tcPr>
          <w:p w14:paraId="15362928" w14:textId="757FAD33" w:rsidR="0036359D" w:rsidRPr="00C74816" w:rsidRDefault="00B9569A" w:rsidP="00B9569A">
            <w:pPr>
              <w:pStyle w:val="Tabletext"/>
              <w:rPr>
                <w:sz w:val="20"/>
                <w:lang w:val="ru-RU"/>
              </w:rPr>
            </w:pPr>
            <w:hyperlink r:id="rId29" w:history="1">
              <w:r w:rsidRPr="00C74816">
                <w:rPr>
                  <w:rStyle w:val="Hyperlink"/>
                  <w:spacing w:val="-2"/>
                  <w:sz w:val="20"/>
                  <w:lang w:val="ru-RU"/>
                </w:rPr>
                <w:t>https://docs.fcc.gov/public/attachments/DA-00-705A1.pdf</w:t>
              </w:r>
            </w:hyperlink>
          </w:p>
        </w:tc>
      </w:tr>
      <w:tr w:rsidR="0036359D" w:rsidRPr="00C74816" w14:paraId="3A90E37D" w14:textId="77777777" w:rsidTr="00892A01">
        <w:trPr>
          <w:jc w:val="center"/>
        </w:trPr>
        <w:tc>
          <w:tcPr>
            <w:tcW w:w="1701" w:type="dxa"/>
          </w:tcPr>
          <w:p w14:paraId="7184FF9A" w14:textId="77777777" w:rsidR="0036359D" w:rsidRPr="00C74816" w:rsidRDefault="0036359D" w:rsidP="00B9569A">
            <w:pPr>
              <w:pStyle w:val="Tabletext"/>
              <w:rPr>
                <w:sz w:val="20"/>
                <w:lang w:val="ru-RU"/>
              </w:rPr>
            </w:pPr>
            <w:r w:rsidRPr="00C74816">
              <w:rPr>
                <w:sz w:val="20"/>
                <w:lang w:val="ru-RU"/>
              </w:rPr>
              <w:t>Публикация KDB № 558074</w:t>
            </w:r>
          </w:p>
        </w:tc>
        <w:tc>
          <w:tcPr>
            <w:tcW w:w="3969" w:type="dxa"/>
          </w:tcPr>
          <w:p w14:paraId="164EBCB2" w14:textId="2C62BE8E" w:rsidR="0036359D" w:rsidRPr="00C74816" w:rsidRDefault="0036359D" w:rsidP="00B9569A">
            <w:pPr>
              <w:pStyle w:val="Tabletext"/>
              <w:rPr>
                <w:sz w:val="20"/>
                <w:lang w:val="ru-RU"/>
              </w:rPr>
            </w:pPr>
            <w:r w:rsidRPr="00C74816">
              <w:rPr>
                <w:sz w:val="20"/>
                <w:lang w:val="ru-RU"/>
              </w:rPr>
              <w:t>Руководство по</w:t>
            </w:r>
            <w:r w:rsidR="004D349B" w:rsidRPr="00C74816">
              <w:rPr>
                <w:sz w:val="20"/>
                <w:lang w:val="ru-RU"/>
              </w:rPr>
              <w:t xml:space="preserve"> </w:t>
            </w:r>
            <w:r w:rsidR="00223896" w:rsidRPr="00C74816">
              <w:rPr>
                <w:sz w:val="20"/>
                <w:lang w:val="ru-RU"/>
              </w:rPr>
              <w:t xml:space="preserve">измерениям с целью </w:t>
            </w:r>
            <w:r w:rsidR="004D349B" w:rsidRPr="00C74816">
              <w:rPr>
                <w:sz w:val="20"/>
                <w:lang w:val="ru-RU"/>
              </w:rPr>
              <w:t>проверк</w:t>
            </w:r>
            <w:r w:rsidR="00223896" w:rsidRPr="00C74816">
              <w:rPr>
                <w:sz w:val="20"/>
                <w:lang w:val="ru-RU"/>
              </w:rPr>
              <w:t>и</w:t>
            </w:r>
            <w:r w:rsidR="004D349B" w:rsidRPr="00C74816">
              <w:rPr>
                <w:sz w:val="20"/>
                <w:lang w:val="ru-RU"/>
              </w:rPr>
              <w:t xml:space="preserve"> на соответствие</w:t>
            </w:r>
            <w:r w:rsidRPr="00C74816">
              <w:rPr>
                <w:sz w:val="20"/>
                <w:lang w:val="ru-RU"/>
              </w:rPr>
              <w:t xml:space="preserve"> для цифровых систем передачи</w:t>
            </w:r>
            <w:r w:rsidR="00251785" w:rsidRPr="00C74816">
              <w:rPr>
                <w:sz w:val="20"/>
                <w:lang w:val="ru-RU"/>
              </w:rPr>
              <w:t>, систем спектра со скачкообразной перестройкой частоты, а также устройств с гибридными системами, работающих в соответствии с</w:t>
            </w:r>
            <w:r w:rsidRPr="00C74816">
              <w:rPr>
                <w:sz w:val="20"/>
                <w:lang w:val="ru-RU"/>
              </w:rPr>
              <w:t xml:space="preserve"> </w:t>
            </w:r>
            <w:r w:rsidR="00223896" w:rsidRPr="00C74816">
              <w:rPr>
                <w:sz w:val="20"/>
                <w:lang w:val="ru-RU"/>
              </w:rPr>
              <w:t xml:space="preserve">разделом </w:t>
            </w:r>
            <w:r w:rsidRPr="00C74816">
              <w:rPr>
                <w:sz w:val="20"/>
                <w:lang w:val="ru-RU"/>
              </w:rPr>
              <w:t>15.247</w:t>
            </w:r>
            <w:r w:rsidR="00223896" w:rsidRPr="00C74816">
              <w:rPr>
                <w:sz w:val="20"/>
                <w:lang w:val="ru-RU"/>
              </w:rPr>
              <w:t xml:space="preserve"> Правил ФКС</w:t>
            </w:r>
          </w:p>
        </w:tc>
        <w:tc>
          <w:tcPr>
            <w:tcW w:w="3969" w:type="dxa"/>
          </w:tcPr>
          <w:p w14:paraId="65A9B4FB" w14:textId="5BD64DD3" w:rsidR="0036359D" w:rsidRPr="00C74816" w:rsidRDefault="00B9569A" w:rsidP="00B9569A">
            <w:pPr>
              <w:pStyle w:val="Tabletext"/>
              <w:rPr>
                <w:sz w:val="20"/>
                <w:lang w:val="ru-RU"/>
              </w:rPr>
            </w:pPr>
            <w:hyperlink r:id="rId30" w:history="1">
              <w:r w:rsidRPr="00C74816">
                <w:rPr>
                  <w:rStyle w:val="Hyperlink"/>
                  <w:sz w:val="20"/>
                  <w:lang w:val="ru-RU"/>
                </w:rPr>
                <w:t>https://apps.fcc.gov/oetcf/kdb/forms/FTSSearchResultPage.cfm?switch=P&amp;id=21124</w:t>
              </w:r>
            </w:hyperlink>
          </w:p>
        </w:tc>
      </w:tr>
    </w:tbl>
    <w:p w14:paraId="65A064A1" w14:textId="77777777" w:rsidR="009C7F82" w:rsidRPr="00C74816" w:rsidRDefault="009C7F82" w:rsidP="009C7F82">
      <w:pPr>
        <w:pStyle w:val="Tablefin"/>
        <w:rPr>
          <w:lang w:val="ru-RU"/>
        </w:rPr>
      </w:pPr>
    </w:p>
    <w:p w14:paraId="6374183C" w14:textId="77777777" w:rsidR="0036359D" w:rsidRPr="00C74816" w:rsidRDefault="0036359D" w:rsidP="00944DA0">
      <w:pPr>
        <w:pStyle w:val="Headingb"/>
        <w:spacing w:after="120"/>
        <w:rPr>
          <w:lang w:val="ru-RU"/>
        </w:rPr>
      </w:pPr>
      <w:r w:rsidRPr="00C74816">
        <w:rPr>
          <w:lang w:val="ru-RU"/>
        </w:rPr>
        <w:lastRenderedPageBreak/>
        <w:t>Дополнительное руководство по модульным передатчикам в соответствии с Частью 15.212 ФКС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3962"/>
        <w:gridCol w:w="3969"/>
      </w:tblGrid>
      <w:tr w:rsidR="0036359D" w:rsidRPr="00C74816" w14:paraId="4F8989DB" w14:textId="77777777" w:rsidTr="00892A01">
        <w:trPr>
          <w:jc w:val="center"/>
        </w:trPr>
        <w:tc>
          <w:tcPr>
            <w:tcW w:w="1708" w:type="dxa"/>
          </w:tcPr>
          <w:p w14:paraId="77D2B03A" w14:textId="77777777" w:rsidR="0036359D" w:rsidRPr="00C74816" w:rsidRDefault="0036359D" w:rsidP="009C7F82">
            <w:pPr>
              <w:pStyle w:val="Tablehead"/>
              <w:keepLines/>
              <w:rPr>
                <w:sz w:val="20"/>
                <w:lang w:val="ru-RU"/>
              </w:rPr>
            </w:pPr>
            <w:r w:rsidRPr="00C74816">
              <w:rPr>
                <w:sz w:val="20"/>
                <w:lang w:val="ru-RU"/>
              </w:rPr>
              <w:t>Стандарт</w:t>
            </w:r>
          </w:p>
        </w:tc>
        <w:tc>
          <w:tcPr>
            <w:tcW w:w="3962" w:type="dxa"/>
          </w:tcPr>
          <w:p w14:paraId="68BF99A1" w14:textId="77777777" w:rsidR="0036359D" w:rsidRPr="00C74816" w:rsidRDefault="0036359D" w:rsidP="009C7F82">
            <w:pPr>
              <w:pStyle w:val="Tablehead"/>
              <w:keepLines/>
              <w:rPr>
                <w:sz w:val="20"/>
                <w:lang w:val="ru-RU"/>
              </w:rPr>
            </w:pPr>
            <w:r w:rsidRPr="00C74816">
              <w:rPr>
                <w:sz w:val="20"/>
                <w:lang w:val="ru-RU"/>
              </w:rPr>
              <w:t>Название</w:t>
            </w:r>
          </w:p>
        </w:tc>
        <w:tc>
          <w:tcPr>
            <w:tcW w:w="3969" w:type="dxa"/>
          </w:tcPr>
          <w:p w14:paraId="1975995F" w14:textId="77777777" w:rsidR="0036359D" w:rsidRPr="00C74816" w:rsidRDefault="0036359D" w:rsidP="009C7F82">
            <w:pPr>
              <w:pStyle w:val="Tablehead"/>
              <w:keepLines/>
              <w:rPr>
                <w:sz w:val="20"/>
                <w:lang w:val="ru-RU"/>
              </w:rPr>
            </w:pPr>
            <w:r w:rsidRPr="00C74816">
              <w:rPr>
                <w:sz w:val="20"/>
                <w:lang w:val="ru-RU"/>
              </w:rPr>
              <w:t>Примечания</w:t>
            </w:r>
          </w:p>
        </w:tc>
      </w:tr>
      <w:tr w:rsidR="0036359D" w:rsidRPr="00C74816" w14:paraId="69125B4E" w14:textId="77777777" w:rsidTr="00892A01">
        <w:trPr>
          <w:jc w:val="center"/>
        </w:trPr>
        <w:tc>
          <w:tcPr>
            <w:tcW w:w="1708" w:type="dxa"/>
          </w:tcPr>
          <w:p w14:paraId="6A7A872C" w14:textId="77777777" w:rsidR="0036359D" w:rsidRPr="00C74816" w:rsidRDefault="0036359D" w:rsidP="009C7F82">
            <w:pPr>
              <w:pStyle w:val="Tabletext"/>
              <w:keepNext/>
              <w:keepLines/>
              <w:rPr>
                <w:sz w:val="20"/>
                <w:lang w:val="ru-RU"/>
              </w:rPr>
            </w:pPr>
            <w:r w:rsidRPr="00C74816">
              <w:rPr>
                <w:sz w:val="20"/>
                <w:lang w:val="ru-RU"/>
              </w:rPr>
              <w:t>Том 47 CFR</w:t>
            </w:r>
            <w:r w:rsidRPr="00C74816">
              <w:rPr>
                <w:sz w:val="20"/>
                <w:lang w:val="ru-RU"/>
              </w:rPr>
              <w:br/>
              <w:t>15.212</w:t>
            </w:r>
          </w:p>
        </w:tc>
        <w:tc>
          <w:tcPr>
            <w:tcW w:w="3962" w:type="dxa"/>
          </w:tcPr>
          <w:p w14:paraId="79A0A369" w14:textId="77777777" w:rsidR="0036359D" w:rsidRPr="00C74816" w:rsidRDefault="0036359D" w:rsidP="009C7F82">
            <w:pPr>
              <w:pStyle w:val="Tabletext"/>
              <w:keepNext/>
              <w:keepLines/>
              <w:rPr>
                <w:sz w:val="20"/>
                <w:lang w:val="ru-RU"/>
              </w:rPr>
            </w:pPr>
            <w:r w:rsidRPr="00C74816">
              <w:rPr>
                <w:sz w:val="20"/>
                <w:lang w:val="ru-RU"/>
              </w:rPr>
              <w:t xml:space="preserve">Правила Подраздела С ФКС – Радиопередатчики </w:t>
            </w:r>
            <w:r w:rsidRPr="00C74816">
              <w:rPr>
                <w:sz w:val="20"/>
                <w:lang w:val="ru-RU"/>
              </w:rPr>
              <w:br/>
              <w:t>Раздел 15.212 – Модульные передатчики</w:t>
            </w:r>
          </w:p>
        </w:tc>
        <w:tc>
          <w:tcPr>
            <w:tcW w:w="3969" w:type="dxa"/>
          </w:tcPr>
          <w:p w14:paraId="22A9D9B9" w14:textId="540C62EF" w:rsidR="0036359D" w:rsidRPr="00C74816" w:rsidRDefault="00B9569A" w:rsidP="009C7F82">
            <w:pPr>
              <w:pStyle w:val="Tabletext"/>
              <w:keepNext/>
              <w:keepLines/>
              <w:rPr>
                <w:sz w:val="20"/>
                <w:lang w:val="ru-RU"/>
              </w:rPr>
            </w:pPr>
            <w:hyperlink r:id="rId31" w:history="1">
              <w:r w:rsidRPr="00C74816">
                <w:rPr>
                  <w:rStyle w:val="Hyperlink"/>
                  <w:sz w:val="20"/>
                  <w:lang w:val="ru-RU"/>
                </w:rPr>
                <w:t>https://www.ecfr.gov/current/title-47/chapter-I/subchapter-A/part-15/subpart-C/section-15.212</w:t>
              </w:r>
            </w:hyperlink>
          </w:p>
        </w:tc>
      </w:tr>
      <w:tr w:rsidR="0036359D" w:rsidRPr="00C74816" w14:paraId="10E91E23" w14:textId="77777777" w:rsidTr="00892A01">
        <w:trPr>
          <w:jc w:val="center"/>
        </w:trPr>
        <w:tc>
          <w:tcPr>
            <w:tcW w:w="1708" w:type="dxa"/>
          </w:tcPr>
          <w:p w14:paraId="0045BC05" w14:textId="77777777" w:rsidR="0036359D" w:rsidRPr="00C74816" w:rsidRDefault="0036359D" w:rsidP="00B9569A">
            <w:pPr>
              <w:pStyle w:val="Tabletext"/>
              <w:rPr>
                <w:sz w:val="20"/>
                <w:lang w:val="ru-RU"/>
              </w:rPr>
            </w:pPr>
            <w:r w:rsidRPr="00C74816">
              <w:rPr>
                <w:sz w:val="20"/>
                <w:lang w:val="ru-RU"/>
              </w:rPr>
              <w:t>Публикация KDB № 996369</w:t>
            </w:r>
          </w:p>
        </w:tc>
        <w:tc>
          <w:tcPr>
            <w:tcW w:w="3962" w:type="dxa"/>
          </w:tcPr>
          <w:p w14:paraId="0E4AC8E3" w14:textId="278A325F" w:rsidR="0036359D" w:rsidRPr="00C74816" w:rsidRDefault="0036359D" w:rsidP="00B9569A">
            <w:pPr>
              <w:pStyle w:val="Tabletext"/>
              <w:rPr>
                <w:sz w:val="20"/>
                <w:lang w:val="ru-RU"/>
              </w:rPr>
            </w:pPr>
            <w:r w:rsidRPr="00C74816">
              <w:rPr>
                <w:sz w:val="20"/>
                <w:lang w:val="ru-RU"/>
              </w:rPr>
              <w:t xml:space="preserve">Руководство по авторизации оборудования модульных передатчиков </w:t>
            </w:r>
          </w:p>
        </w:tc>
        <w:tc>
          <w:tcPr>
            <w:tcW w:w="3969" w:type="dxa"/>
          </w:tcPr>
          <w:p w14:paraId="6609615D" w14:textId="7C479F28" w:rsidR="0036359D" w:rsidRPr="00C74816" w:rsidRDefault="00B9569A" w:rsidP="00B9569A">
            <w:pPr>
              <w:pStyle w:val="Tabletext"/>
              <w:rPr>
                <w:sz w:val="20"/>
                <w:lang w:val="ru-RU"/>
              </w:rPr>
            </w:pPr>
            <w:hyperlink r:id="rId32" w:history="1">
              <w:r w:rsidRPr="00C74816">
                <w:rPr>
                  <w:rStyle w:val="Hyperlink"/>
                  <w:sz w:val="20"/>
                  <w:lang w:val="ru-RU"/>
                </w:rPr>
                <w:t>https://apps.fcc.gov/oetcf/kdb/forms/FTSSearchResultPage.cfm?switch=P&amp;id=44637</w:t>
              </w:r>
            </w:hyperlink>
          </w:p>
        </w:tc>
      </w:tr>
    </w:tbl>
    <w:p w14:paraId="2F7D3596" w14:textId="77777777" w:rsidR="009C7F82" w:rsidRPr="00C74816" w:rsidRDefault="009C7F82" w:rsidP="009C7F82">
      <w:pPr>
        <w:pStyle w:val="Tablefin"/>
        <w:rPr>
          <w:lang w:val="ru-RU"/>
        </w:rPr>
      </w:pPr>
    </w:p>
    <w:p w14:paraId="5EDBDFA9" w14:textId="77777777" w:rsidR="0036359D" w:rsidRPr="00C74816" w:rsidRDefault="0036359D" w:rsidP="0036359D">
      <w:pPr>
        <w:pStyle w:val="Headingb"/>
        <w:spacing w:after="120"/>
        <w:rPr>
          <w:lang w:val="ru-RU"/>
        </w:rPr>
      </w:pPr>
      <w:r w:rsidRPr="00C74816">
        <w:rPr>
          <w:lang w:val="ru-RU"/>
        </w:rPr>
        <w:t>Нелицензируемая национальная информационная инфраструктура (UNII) – Часть 15 Подраздела 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36359D" w:rsidRPr="00C74816" w14:paraId="43DEBF0F" w14:textId="77777777" w:rsidTr="00B9569A">
        <w:trPr>
          <w:tblHeader/>
          <w:jc w:val="center"/>
        </w:trPr>
        <w:tc>
          <w:tcPr>
            <w:tcW w:w="1701" w:type="dxa"/>
          </w:tcPr>
          <w:p w14:paraId="342042D1" w14:textId="77777777" w:rsidR="0036359D" w:rsidRPr="00C74816" w:rsidRDefault="0036359D" w:rsidP="00B9569A">
            <w:pPr>
              <w:pStyle w:val="Tablehead"/>
              <w:rPr>
                <w:sz w:val="20"/>
                <w:lang w:val="ru-RU"/>
              </w:rPr>
            </w:pPr>
            <w:r w:rsidRPr="00C74816">
              <w:rPr>
                <w:sz w:val="20"/>
                <w:lang w:val="ru-RU"/>
              </w:rPr>
              <w:t>Стандарт</w:t>
            </w:r>
          </w:p>
        </w:tc>
        <w:tc>
          <w:tcPr>
            <w:tcW w:w="3969" w:type="dxa"/>
          </w:tcPr>
          <w:p w14:paraId="54B01F65" w14:textId="77777777" w:rsidR="0036359D" w:rsidRPr="00C74816" w:rsidRDefault="0036359D" w:rsidP="00B9569A">
            <w:pPr>
              <w:pStyle w:val="Tablehead"/>
              <w:rPr>
                <w:sz w:val="20"/>
                <w:lang w:val="ru-RU"/>
              </w:rPr>
            </w:pPr>
            <w:r w:rsidRPr="00C74816">
              <w:rPr>
                <w:sz w:val="20"/>
                <w:lang w:val="ru-RU"/>
              </w:rPr>
              <w:t>Название</w:t>
            </w:r>
          </w:p>
        </w:tc>
        <w:tc>
          <w:tcPr>
            <w:tcW w:w="3969" w:type="dxa"/>
          </w:tcPr>
          <w:p w14:paraId="03B14CDF" w14:textId="77777777" w:rsidR="0036359D" w:rsidRPr="00C74816" w:rsidRDefault="0036359D" w:rsidP="00B9569A">
            <w:pPr>
              <w:pStyle w:val="Tablehead"/>
              <w:rPr>
                <w:sz w:val="20"/>
                <w:lang w:val="ru-RU"/>
              </w:rPr>
            </w:pPr>
            <w:r w:rsidRPr="00C74816">
              <w:rPr>
                <w:sz w:val="20"/>
                <w:lang w:val="ru-RU"/>
              </w:rPr>
              <w:t>Примечания</w:t>
            </w:r>
          </w:p>
        </w:tc>
      </w:tr>
      <w:tr w:rsidR="0036359D" w:rsidRPr="00C74816" w14:paraId="00A62B43" w14:textId="77777777" w:rsidTr="00892A01">
        <w:trPr>
          <w:jc w:val="center"/>
        </w:trPr>
        <w:tc>
          <w:tcPr>
            <w:tcW w:w="1701" w:type="dxa"/>
          </w:tcPr>
          <w:p w14:paraId="53547731" w14:textId="77777777" w:rsidR="0036359D" w:rsidRPr="00C74816" w:rsidRDefault="0036359D" w:rsidP="00B9569A">
            <w:pPr>
              <w:pStyle w:val="Tabletext"/>
              <w:spacing w:before="30" w:after="30"/>
              <w:rPr>
                <w:sz w:val="20"/>
                <w:lang w:val="ru-RU"/>
              </w:rPr>
            </w:pPr>
            <w:r w:rsidRPr="00C74816">
              <w:rPr>
                <w:sz w:val="20"/>
                <w:lang w:val="ru-RU"/>
              </w:rPr>
              <w:t>Распоряжение ФКС</w:t>
            </w:r>
            <w:r w:rsidRPr="00C74816">
              <w:rPr>
                <w:sz w:val="20"/>
                <w:lang w:val="ru-RU"/>
              </w:rPr>
              <w:br/>
              <w:t xml:space="preserve">реестр ET </w:t>
            </w:r>
            <w:r w:rsidRPr="00C74816">
              <w:rPr>
                <w:sz w:val="20"/>
                <w:lang w:val="ru-RU"/>
              </w:rPr>
              <w:br/>
              <w:t>№ 03-122</w:t>
            </w:r>
            <w:r w:rsidRPr="00C74816">
              <w:rPr>
                <w:sz w:val="20"/>
                <w:lang w:val="ru-RU"/>
              </w:rPr>
              <w:br/>
              <w:t>(FCC 06-96)</w:t>
            </w:r>
          </w:p>
        </w:tc>
        <w:tc>
          <w:tcPr>
            <w:tcW w:w="3969" w:type="dxa"/>
          </w:tcPr>
          <w:p w14:paraId="6A6D7D59" w14:textId="77777777" w:rsidR="0036359D" w:rsidRPr="00C74816" w:rsidRDefault="0036359D" w:rsidP="00B9569A">
            <w:pPr>
              <w:pStyle w:val="Tabletext"/>
              <w:spacing w:before="30" w:after="30"/>
              <w:rPr>
                <w:sz w:val="20"/>
                <w:lang w:val="ru-RU"/>
              </w:rPr>
            </w:pPr>
            <w:r w:rsidRPr="00C74816">
              <w:rPr>
                <w:sz w:val="20"/>
                <w:lang w:val="ru-RU"/>
              </w:rPr>
              <w:t xml:space="preserve">Процедуры измерения на предмет соблюдения требований для устройств нелицензируемой национальной информационной инфраструктуры, работающих в диапазонах 5,25–5,35 ГГц и 5,47–5,725 ГГц </w:t>
            </w:r>
          </w:p>
        </w:tc>
        <w:tc>
          <w:tcPr>
            <w:tcW w:w="3969" w:type="dxa"/>
          </w:tcPr>
          <w:p w14:paraId="056EA46A" w14:textId="3DA0B47D" w:rsidR="0036359D" w:rsidRPr="00C74816" w:rsidRDefault="00B9569A" w:rsidP="00B9569A">
            <w:pPr>
              <w:pStyle w:val="Tabletext"/>
              <w:spacing w:before="30" w:after="30"/>
              <w:rPr>
                <w:sz w:val="20"/>
                <w:lang w:val="ru-RU"/>
              </w:rPr>
            </w:pPr>
            <w:hyperlink r:id="rId33" w:history="1">
              <w:r w:rsidRPr="00C74816">
                <w:rPr>
                  <w:rStyle w:val="Hyperlink"/>
                  <w:sz w:val="20"/>
                  <w:lang w:val="ru-RU"/>
                </w:rPr>
                <w:t>https://docs.fcc.gov/public/attachments/FCC-06-96A1.pdf</w:t>
              </w:r>
            </w:hyperlink>
          </w:p>
        </w:tc>
      </w:tr>
      <w:tr w:rsidR="0036359D" w:rsidRPr="00C74816" w14:paraId="52C86BDA" w14:textId="77777777" w:rsidTr="00892A01">
        <w:trPr>
          <w:jc w:val="center"/>
        </w:trPr>
        <w:tc>
          <w:tcPr>
            <w:tcW w:w="1701" w:type="dxa"/>
          </w:tcPr>
          <w:p w14:paraId="01D65806" w14:textId="77777777" w:rsidR="0036359D" w:rsidRPr="00C74816" w:rsidRDefault="0036359D" w:rsidP="00B9569A">
            <w:pPr>
              <w:pStyle w:val="Tabletext"/>
              <w:spacing w:before="30" w:after="30"/>
              <w:rPr>
                <w:sz w:val="20"/>
                <w:lang w:val="ru-RU"/>
              </w:rPr>
            </w:pPr>
            <w:r w:rsidRPr="00C74816">
              <w:rPr>
                <w:sz w:val="20"/>
                <w:lang w:val="ru-RU"/>
              </w:rPr>
              <w:t>Официальное извещение ФКС</w:t>
            </w:r>
            <w:r w:rsidRPr="00C74816">
              <w:rPr>
                <w:sz w:val="20"/>
                <w:lang w:val="ru-RU"/>
              </w:rPr>
              <w:br/>
              <w:t>DA 02-2138</w:t>
            </w:r>
          </w:p>
        </w:tc>
        <w:tc>
          <w:tcPr>
            <w:tcW w:w="3969" w:type="dxa"/>
          </w:tcPr>
          <w:p w14:paraId="16FB97E1" w14:textId="77777777" w:rsidR="0036359D" w:rsidRPr="00C74816" w:rsidRDefault="0036359D" w:rsidP="00B9569A">
            <w:pPr>
              <w:pStyle w:val="Tabletext"/>
              <w:spacing w:before="30" w:after="30"/>
              <w:rPr>
                <w:sz w:val="20"/>
                <w:lang w:val="ru-RU"/>
              </w:rPr>
            </w:pPr>
            <w:r w:rsidRPr="00C74816">
              <w:rPr>
                <w:sz w:val="20"/>
                <w:lang w:val="ru-RU"/>
              </w:rPr>
              <w:t xml:space="preserve">Обновленная процедура измерения для пиковой передаваемой мощности в диапазонах нелицензируемой национальной информационной инфраструктуры (U-NII) </w:t>
            </w:r>
          </w:p>
        </w:tc>
        <w:tc>
          <w:tcPr>
            <w:tcW w:w="3969" w:type="dxa"/>
          </w:tcPr>
          <w:p w14:paraId="4CFE4C78" w14:textId="7C0944A6" w:rsidR="0036359D" w:rsidRPr="00C74816" w:rsidRDefault="00B9569A" w:rsidP="00B9569A">
            <w:pPr>
              <w:pStyle w:val="Tabletext"/>
              <w:spacing w:before="30" w:after="30"/>
              <w:rPr>
                <w:sz w:val="20"/>
                <w:lang w:val="ru-RU"/>
              </w:rPr>
            </w:pPr>
            <w:hyperlink r:id="rId34" w:history="1">
              <w:r w:rsidRPr="00C74816">
                <w:rPr>
                  <w:rStyle w:val="Hyperlink"/>
                  <w:sz w:val="20"/>
                  <w:lang w:val="ru-RU"/>
                </w:rPr>
                <w:t>https://apps.fcc.gov/oetcf/kdb/forms/FTSSearchResultPage.cfm?switch=P&amp;id=20253</w:t>
              </w:r>
            </w:hyperlink>
          </w:p>
        </w:tc>
      </w:tr>
    </w:tbl>
    <w:p w14:paraId="33D5DD1D" w14:textId="77777777" w:rsidR="009C7F82" w:rsidRPr="00C74816" w:rsidRDefault="009C7F82" w:rsidP="009C7F82">
      <w:pPr>
        <w:pStyle w:val="Tablefin"/>
        <w:rPr>
          <w:lang w:val="ru-RU"/>
        </w:rPr>
      </w:pPr>
    </w:p>
    <w:p w14:paraId="6DDE5AAA" w14:textId="77777777" w:rsidR="0036359D" w:rsidRPr="00C74816" w:rsidRDefault="0036359D" w:rsidP="00944DA0">
      <w:pPr>
        <w:pStyle w:val="Headingb"/>
        <w:spacing w:after="120"/>
        <w:rPr>
          <w:lang w:val="ru-RU"/>
        </w:rPr>
      </w:pPr>
      <w:r w:rsidRPr="00C74816">
        <w:rPr>
          <w:lang w:val="ru-RU"/>
        </w:rPr>
        <w:t>Сверхширокополосная (СШП) передача – Часть 15 Подраздела F</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36359D" w:rsidRPr="00C74816" w14:paraId="5C80D9CF" w14:textId="77777777" w:rsidTr="00892A01">
        <w:trPr>
          <w:jc w:val="center"/>
        </w:trPr>
        <w:tc>
          <w:tcPr>
            <w:tcW w:w="1701" w:type="dxa"/>
          </w:tcPr>
          <w:p w14:paraId="06492F1C" w14:textId="77777777" w:rsidR="0036359D" w:rsidRPr="00C74816" w:rsidRDefault="0036359D" w:rsidP="00B9569A">
            <w:pPr>
              <w:pStyle w:val="Tablehead"/>
              <w:rPr>
                <w:sz w:val="20"/>
                <w:lang w:val="ru-RU"/>
              </w:rPr>
            </w:pPr>
            <w:r w:rsidRPr="00C74816">
              <w:rPr>
                <w:sz w:val="20"/>
                <w:lang w:val="ru-RU"/>
              </w:rPr>
              <w:t>Стандарт</w:t>
            </w:r>
          </w:p>
        </w:tc>
        <w:tc>
          <w:tcPr>
            <w:tcW w:w="3969" w:type="dxa"/>
          </w:tcPr>
          <w:p w14:paraId="40A108AF" w14:textId="77777777" w:rsidR="0036359D" w:rsidRPr="00C74816" w:rsidRDefault="0036359D" w:rsidP="00B9569A">
            <w:pPr>
              <w:pStyle w:val="Tablehead"/>
              <w:rPr>
                <w:sz w:val="20"/>
                <w:lang w:val="ru-RU"/>
              </w:rPr>
            </w:pPr>
            <w:r w:rsidRPr="00C74816">
              <w:rPr>
                <w:sz w:val="20"/>
                <w:lang w:val="ru-RU"/>
              </w:rPr>
              <w:t>Название</w:t>
            </w:r>
          </w:p>
        </w:tc>
        <w:tc>
          <w:tcPr>
            <w:tcW w:w="3969" w:type="dxa"/>
          </w:tcPr>
          <w:p w14:paraId="7CD6EE4C" w14:textId="77777777" w:rsidR="0036359D" w:rsidRPr="00C74816" w:rsidRDefault="0036359D" w:rsidP="00B9569A">
            <w:pPr>
              <w:pStyle w:val="Tablehead"/>
              <w:rPr>
                <w:sz w:val="20"/>
                <w:lang w:val="ru-RU"/>
              </w:rPr>
            </w:pPr>
            <w:r w:rsidRPr="00C74816">
              <w:rPr>
                <w:sz w:val="20"/>
                <w:lang w:val="ru-RU"/>
              </w:rPr>
              <w:t>Примечания</w:t>
            </w:r>
          </w:p>
        </w:tc>
      </w:tr>
      <w:tr w:rsidR="00B9569A" w:rsidRPr="00C74816" w14:paraId="227521B7" w14:textId="77777777" w:rsidTr="00892A01">
        <w:trPr>
          <w:jc w:val="center"/>
        </w:trPr>
        <w:tc>
          <w:tcPr>
            <w:tcW w:w="1701" w:type="dxa"/>
          </w:tcPr>
          <w:p w14:paraId="5630D24F" w14:textId="77777777" w:rsidR="00B9569A" w:rsidRPr="00C74816" w:rsidRDefault="00B9569A" w:rsidP="00B9569A">
            <w:pPr>
              <w:pStyle w:val="Tabletext"/>
              <w:spacing w:before="30" w:after="30"/>
              <w:rPr>
                <w:sz w:val="20"/>
                <w:lang w:val="ru-RU"/>
              </w:rPr>
            </w:pPr>
            <w:r w:rsidRPr="00C74816">
              <w:rPr>
                <w:sz w:val="20"/>
                <w:lang w:val="ru-RU"/>
              </w:rPr>
              <w:t>Распоряжение ФКС</w:t>
            </w:r>
            <w:r w:rsidRPr="00C74816">
              <w:rPr>
                <w:sz w:val="20"/>
                <w:lang w:val="ru-RU"/>
              </w:rPr>
              <w:br/>
              <w:t xml:space="preserve">реестр ET </w:t>
            </w:r>
            <w:r w:rsidRPr="00C74816">
              <w:rPr>
                <w:sz w:val="20"/>
                <w:lang w:val="ru-RU"/>
              </w:rPr>
              <w:br/>
              <w:t>№ 98-153</w:t>
            </w:r>
            <w:r w:rsidRPr="00C74816">
              <w:rPr>
                <w:sz w:val="20"/>
                <w:lang w:val="ru-RU"/>
              </w:rPr>
              <w:br/>
              <w:t>(FCC 02-48)</w:t>
            </w:r>
          </w:p>
        </w:tc>
        <w:tc>
          <w:tcPr>
            <w:tcW w:w="3969" w:type="dxa"/>
          </w:tcPr>
          <w:p w14:paraId="2A01010F" w14:textId="77777777" w:rsidR="00B9569A" w:rsidRPr="00C74816" w:rsidRDefault="00B9569A" w:rsidP="00B9569A">
            <w:pPr>
              <w:pStyle w:val="Tabletext"/>
              <w:spacing w:before="30" w:after="30"/>
              <w:rPr>
                <w:sz w:val="20"/>
                <w:lang w:val="ru-RU"/>
              </w:rPr>
            </w:pPr>
            <w:r w:rsidRPr="00C74816">
              <w:rPr>
                <w:sz w:val="20"/>
                <w:lang w:val="ru-RU"/>
              </w:rPr>
              <w:t xml:space="preserve">Системы сверхширокополосной передачи (СШП) </w:t>
            </w:r>
          </w:p>
        </w:tc>
        <w:tc>
          <w:tcPr>
            <w:tcW w:w="3969" w:type="dxa"/>
          </w:tcPr>
          <w:p w14:paraId="0392668F" w14:textId="75C19C96" w:rsidR="00B9569A" w:rsidRPr="00C74816" w:rsidRDefault="00B9569A" w:rsidP="00B9569A">
            <w:pPr>
              <w:pStyle w:val="Tabletext"/>
              <w:spacing w:before="30" w:after="30"/>
              <w:rPr>
                <w:sz w:val="20"/>
                <w:lang w:val="ru-RU"/>
              </w:rPr>
            </w:pPr>
            <w:hyperlink r:id="rId35" w:history="1">
              <w:r w:rsidRPr="00C74816">
                <w:rPr>
                  <w:rStyle w:val="Hyperlink"/>
                  <w:sz w:val="20"/>
                  <w:lang w:val="ru-RU"/>
                </w:rPr>
                <w:t>https://docs.fcc.gov/public/attachments/FCC-02-48A1.pdf</w:t>
              </w:r>
            </w:hyperlink>
            <w:r w:rsidRPr="00C74816">
              <w:rPr>
                <w:sz w:val="20"/>
                <w:lang w:val="ru-RU"/>
              </w:rPr>
              <w:t xml:space="preserve"> </w:t>
            </w:r>
          </w:p>
        </w:tc>
      </w:tr>
      <w:tr w:rsidR="00B9569A" w:rsidRPr="00C74816" w14:paraId="073B042B" w14:textId="77777777" w:rsidTr="00892A01">
        <w:trPr>
          <w:jc w:val="center"/>
        </w:trPr>
        <w:tc>
          <w:tcPr>
            <w:tcW w:w="1701" w:type="dxa"/>
          </w:tcPr>
          <w:p w14:paraId="029B31F1" w14:textId="77777777" w:rsidR="00B9569A" w:rsidRPr="00C74816" w:rsidRDefault="00B9569A" w:rsidP="00B9569A">
            <w:pPr>
              <w:pStyle w:val="Tabletext"/>
              <w:spacing w:before="30" w:after="30"/>
              <w:rPr>
                <w:sz w:val="20"/>
                <w:lang w:val="ru-RU"/>
              </w:rPr>
            </w:pPr>
            <w:r w:rsidRPr="00C74816">
              <w:rPr>
                <w:sz w:val="20"/>
                <w:lang w:val="ru-RU"/>
              </w:rPr>
              <w:t>Публикация KDB № 393764</w:t>
            </w:r>
          </w:p>
        </w:tc>
        <w:tc>
          <w:tcPr>
            <w:tcW w:w="3969" w:type="dxa"/>
          </w:tcPr>
          <w:p w14:paraId="16D79078" w14:textId="71D4B510" w:rsidR="00B9569A" w:rsidRPr="00C74816" w:rsidRDefault="00251785" w:rsidP="00B9569A">
            <w:pPr>
              <w:pStyle w:val="Tabletext"/>
              <w:spacing w:before="30" w:after="30"/>
              <w:rPr>
                <w:sz w:val="20"/>
                <w:lang w:val="ru-RU"/>
              </w:rPr>
            </w:pPr>
            <w:r w:rsidRPr="00C74816">
              <w:rPr>
                <w:sz w:val="20"/>
                <w:lang w:val="ru-RU"/>
              </w:rPr>
              <w:t>В</w:t>
            </w:r>
            <w:r w:rsidR="00B9569A" w:rsidRPr="00C74816">
              <w:rPr>
                <w:sz w:val="20"/>
                <w:lang w:val="ru-RU"/>
              </w:rPr>
              <w:t>опросы</w:t>
            </w:r>
            <w:r w:rsidRPr="00C74816">
              <w:rPr>
                <w:sz w:val="20"/>
                <w:lang w:val="ru-RU"/>
              </w:rPr>
              <w:t xml:space="preserve"> и ответы по</w:t>
            </w:r>
            <w:r w:rsidR="00B9569A" w:rsidRPr="00C74816">
              <w:rPr>
                <w:sz w:val="20"/>
                <w:lang w:val="ru-RU"/>
              </w:rPr>
              <w:t xml:space="preserve"> </w:t>
            </w:r>
            <w:r w:rsidRPr="00C74816">
              <w:rPr>
                <w:sz w:val="20"/>
                <w:lang w:val="ru-RU"/>
              </w:rPr>
              <w:t xml:space="preserve">устройствам </w:t>
            </w:r>
            <w:r w:rsidR="00B9569A" w:rsidRPr="00C74816">
              <w:rPr>
                <w:sz w:val="20"/>
                <w:lang w:val="ru-RU"/>
              </w:rPr>
              <w:t xml:space="preserve">сверхширокополосной передачи </w:t>
            </w:r>
          </w:p>
        </w:tc>
        <w:tc>
          <w:tcPr>
            <w:tcW w:w="3969" w:type="dxa"/>
          </w:tcPr>
          <w:p w14:paraId="66CDFBA0" w14:textId="07F4C864" w:rsidR="00B9569A" w:rsidRPr="00C74816" w:rsidRDefault="00B9569A" w:rsidP="00B9569A">
            <w:pPr>
              <w:pStyle w:val="Tabletext"/>
              <w:spacing w:before="30" w:after="30"/>
              <w:rPr>
                <w:sz w:val="20"/>
                <w:lang w:val="ru-RU"/>
              </w:rPr>
            </w:pPr>
            <w:hyperlink r:id="rId36" w:history="1">
              <w:r w:rsidRPr="00C74816">
                <w:rPr>
                  <w:rStyle w:val="Hyperlink"/>
                  <w:sz w:val="20"/>
                  <w:lang w:val="ru-RU"/>
                </w:rPr>
                <w:t>https://apps.fcc.gov/oetcf/kdb/forms/FTSSearchResultPage.cfm?switch=P&amp;id=20253</w:t>
              </w:r>
            </w:hyperlink>
          </w:p>
        </w:tc>
      </w:tr>
    </w:tbl>
    <w:p w14:paraId="1CFFE27F" w14:textId="77777777" w:rsidR="009C7F82" w:rsidRPr="00C74816" w:rsidRDefault="009C7F82" w:rsidP="009C7F82">
      <w:pPr>
        <w:pStyle w:val="Tablefin"/>
        <w:rPr>
          <w:lang w:val="ru-RU"/>
        </w:rPr>
      </w:pPr>
    </w:p>
    <w:p w14:paraId="7E1B8D54" w14:textId="77777777" w:rsidR="0036359D" w:rsidRPr="00C74816" w:rsidRDefault="0036359D" w:rsidP="00944DA0">
      <w:pPr>
        <w:pStyle w:val="Headingb"/>
        <w:spacing w:after="120"/>
        <w:rPr>
          <w:lang w:val="ru-RU"/>
        </w:rPr>
      </w:pPr>
      <w:r w:rsidRPr="00C74816">
        <w:rPr>
          <w:lang w:val="ru-RU"/>
        </w:rPr>
        <w:t xml:space="preserve">Оценка измерения удельного коэффициента поглощения (SAR) для одобрения устройств малого радиуса действия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969"/>
      </w:tblGrid>
      <w:tr w:rsidR="0036359D" w:rsidRPr="00C74816" w14:paraId="14B7C713" w14:textId="77777777" w:rsidTr="00892A01">
        <w:trPr>
          <w:jc w:val="center"/>
        </w:trPr>
        <w:tc>
          <w:tcPr>
            <w:tcW w:w="1701" w:type="dxa"/>
          </w:tcPr>
          <w:p w14:paraId="0209DA10" w14:textId="77777777" w:rsidR="0036359D" w:rsidRPr="00C74816" w:rsidRDefault="0036359D" w:rsidP="00B9569A">
            <w:pPr>
              <w:pStyle w:val="Tablehead"/>
              <w:rPr>
                <w:sz w:val="20"/>
                <w:lang w:val="ru-RU"/>
              </w:rPr>
            </w:pPr>
            <w:r w:rsidRPr="00C74816">
              <w:rPr>
                <w:sz w:val="20"/>
                <w:lang w:val="ru-RU"/>
              </w:rPr>
              <w:t>Стандарт</w:t>
            </w:r>
          </w:p>
        </w:tc>
        <w:tc>
          <w:tcPr>
            <w:tcW w:w="3969" w:type="dxa"/>
          </w:tcPr>
          <w:p w14:paraId="4EFF45BE" w14:textId="77777777" w:rsidR="0036359D" w:rsidRPr="00C74816" w:rsidRDefault="0036359D" w:rsidP="00B9569A">
            <w:pPr>
              <w:pStyle w:val="Tablehead"/>
              <w:rPr>
                <w:sz w:val="20"/>
                <w:lang w:val="ru-RU"/>
              </w:rPr>
            </w:pPr>
            <w:r w:rsidRPr="00C74816">
              <w:rPr>
                <w:sz w:val="20"/>
                <w:lang w:val="ru-RU"/>
              </w:rPr>
              <w:t>Название</w:t>
            </w:r>
          </w:p>
        </w:tc>
        <w:tc>
          <w:tcPr>
            <w:tcW w:w="3969" w:type="dxa"/>
          </w:tcPr>
          <w:p w14:paraId="32237121" w14:textId="77777777" w:rsidR="0036359D" w:rsidRPr="00C74816" w:rsidRDefault="0036359D" w:rsidP="00B9569A">
            <w:pPr>
              <w:pStyle w:val="Tablehead"/>
              <w:rPr>
                <w:sz w:val="20"/>
                <w:lang w:val="ru-RU"/>
              </w:rPr>
            </w:pPr>
            <w:r w:rsidRPr="00C74816">
              <w:rPr>
                <w:sz w:val="20"/>
                <w:lang w:val="ru-RU"/>
              </w:rPr>
              <w:t>Примечания</w:t>
            </w:r>
          </w:p>
        </w:tc>
      </w:tr>
      <w:tr w:rsidR="00B9569A" w:rsidRPr="00C74816" w14:paraId="44423D53" w14:textId="77777777" w:rsidTr="00892A01">
        <w:trPr>
          <w:jc w:val="center"/>
        </w:trPr>
        <w:tc>
          <w:tcPr>
            <w:tcW w:w="1701" w:type="dxa"/>
          </w:tcPr>
          <w:p w14:paraId="695CCD56" w14:textId="77777777" w:rsidR="00B9569A" w:rsidRPr="00C74816" w:rsidRDefault="00B9569A" w:rsidP="00B9569A">
            <w:pPr>
              <w:pStyle w:val="Tabletext"/>
              <w:spacing w:before="30" w:after="30"/>
              <w:rPr>
                <w:sz w:val="20"/>
                <w:lang w:val="ru-RU"/>
              </w:rPr>
            </w:pPr>
            <w:r w:rsidRPr="00C74816">
              <w:rPr>
                <w:sz w:val="20"/>
                <w:lang w:val="ru-RU"/>
              </w:rPr>
              <w:t xml:space="preserve">Публикация KDB № 447498 </w:t>
            </w:r>
          </w:p>
        </w:tc>
        <w:tc>
          <w:tcPr>
            <w:tcW w:w="3969" w:type="dxa"/>
          </w:tcPr>
          <w:p w14:paraId="283E473E" w14:textId="65761D6A" w:rsidR="00B9569A" w:rsidRPr="00C74816" w:rsidRDefault="00251785" w:rsidP="00B9569A">
            <w:pPr>
              <w:pStyle w:val="Tabletext"/>
              <w:spacing w:before="30" w:after="30"/>
              <w:rPr>
                <w:sz w:val="20"/>
                <w:lang w:val="ru-RU"/>
              </w:rPr>
            </w:pPr>
            <w:r w:rsidRPr="00C74816">
              <w:rPr>
                <w:sz w:val="20"/>
                <w:lang w:val="ru-RU"/>
              </w:rPr>
              <w:t>Процедуры, касающиеся воздействия радиочастотного излучения и политики авторизации оборудования для мобильных и портативных устройств</w:t>
            </w:r>
          </w:p>
        </w:tc>
        <w:tc>
          <w:tcPr>
            <w:tcW w:w="3969" w:type="dxa"/>
          </w:tcPr>
          <w:p w14:paraId="783FD7AF" w14:textId="06653322" w:rsidR="00B9569A" w:rsidRPr="00C74816" w:rsidRDefault="00B9569A" w:rsidP="00B9569A">
            <w:pPr>
              <w:pStyle w:val="Tabletext"/>
              <w:spacing w:before="30" w:after="30"/>
              <w:rPr>
                <w:sz w:val="20"/>
                <w:lang w:val="ru-RU"/>
              </w:rPr>
            </w:pPr>
            <w:hyperlink r:id="rId37" w:history="1">
              <w:r w:rsidRPr="00C74816">
                <w:rPr>
                  <w:rStyle w:val="Hyperlink"/>
                  <w:sz w:val="20"/>
                  <w:lang w:val="ru-RU"/>
                </w:rPr>
                <w:t>https://apps.fcc.gov/oetcf/kdb/forms/FTSSearchResultPage.cfm?switch=P&amp;id=20676</w:t>
              </w:r>
            </w:hyperlink>
            <w:r w:rsidRPr="00C74816">
              <w:rPr>
                <w:sz w:val="20"/>
                <w:lang w:val="ru-RU"/>
              </w:rPr>
              <w:t xml:space="preserve"> </w:t>
            </w:r>
          </w:p>
        </w:tc>
      </w:tr>
      <w:tr w:rsidR="00B9569A" w:rsidRPr="00C74816" w14:paraId="1AE8E413" w14:textId="77777777" w:rsidTr="00892A01">
        <w:trPr>
          <w:jc w:val="center"/>
        </w:trPr>
        <w:tc>
          <w:tcPr>
            <w:tcW w:w="1701" w:type="dxa"/>
          </w:tcPr>
          <w:p w14:paraId="3C377098" w14:textId="77777777" w:rsidR="00B9569A" w:rsidRPr="00C74816" w:rsidRDefault="00B9569A" w:rsidP="00B9569A">
            <w:pPr>
              <w:pStyle w:val="Tabletext"/>
              <w:spacing w:before="30" w:after="30"/>
              <w:rPr>
                <w:sz w:val="20"/>
                <w:lang w:val="ru-RU"/>
              </w:rPr>
            </w:pPr>
            <w:r w:rsidRPr="00C74816">
              <w:rPr>
                <w:sz w:val="20"/>
                <w:lang w:val="ru-RU"/>
              </w:rPr>
              <w:t>Публикация KDB № 616217</w:t>
            </w:r>
          </w:p>
        </w:tc>
        <w:tc>
          <w:tcPr>
            <w:tcW w:w="3969" w:type="dxa"/>
          </w:tcPr>
          <w:p w14:paraId="35E75016" w14:textId="7FED7D24" w:rsidR="00B9569A" w:rsidRPr="00C74816" w:rsidRDefault="00B9569A" w:rsidP="00B9569A">
            <w:pPr>
              <w:pStyle w:val="Tabletext"/>
              <w:spacing w:before="30" w:after="30"/>
              <w:rPr>
                <w:sz w:val="20"/>
                <w:lang w:val="ru-RU"/>
              </w:rPr>
            </w:pPr>
            <w:r w:rsidRPr="00C74816">
              <w:rPr>
                <w:sz w:val="20"/>
                <w:lang w:val="ru-RU"/>
              </w:rPr>
              <w:t>Соображения, связанные с оценкой SAR для портативных компьютеров</w:t>
            </w:r>
            <w:r w:rsidR="00223896" w:rsidRPr="00C74816">
              <w:rPr>
                <w:sz w:val="20"/>
                <w:lang w:val="ru-RU"/>
              </w:rPr>
              <w:t>, ноутбуков, нетбуков</w:t>
            </w:r>
            <w:r w:rsidRPr="00C74816">
              <w:rPr>
                <w:sz w:val="20"/>
                <w:lang w:val="ru-RU"/>
              </w:rPr>
              <w:t xml:space="preserve"> </w:t>
            </w:r>
            <w:r w:rsidR="00251785" w:rsidRPr="00C74816">
              <w:rPr>
                <w:sz w:val="20"/>
                <w:lang w:val="ru-RU"/>
              </w:rPr>
              <w:t>и планшетов</w:t>
            </w:r>
            <w:r w:rsidRPr="00C74816">
              <w:rPr>
                <w:sz w:val="20"/>
                <w:lang w:val="ru-RU"/>
              </w:rPr>
              <w:t xml:space="preserve"> </w:t>
            </w:r>
          </w:p>
        </w:tc>
        <w:tc>
          <w:tcPr>
            <w:tcW w:w="3969" w:type="dxa"/>
          </w:tcPr>
          <w:p w14:paraId="05F81FCE" w14:textId="5D2968F6" w:rsidR="00B9569A" w:rsidRPr="00C74816" w:rsidRDefault="00B9569A" w:rsidP="00B9569A">
            <w:pPr>
              <w:pStyle w:val="Tabletext"/>
              <w:spacing w:before="30" w:after="30"/>
              <w:rPr>
                <w:sz w:val="20"/>
                <w:lang w:val="ru-RU"/>
              </w:rPr>
            </w:pPr>
            <w:hyperlink r:id="rId38" w:history="1">
              <w:r w:rsidRPr="00C74816">
                <w:rPr>
                  <w:rStyle w:val="Hyperlink"/>
                  <w:sz w:val="20"/>
                  <w:lang w:val="ru-RU"/>
                </w:rPr>
                <w:t>https://apps.fcc.gov/oetcf/kdb/forms/FTSSearchResultPage.cfm?switch=P&amp;id=33240</w:t>
              </w:r>
            </w:hyperlink>
            <w:r w:rsidRPr="00C74816">
              <w:rPr>
                <w:sz w:val="20"/>
                <w:lang w:val="ru-RU"/>
              </w:rPr>
              <w:t xml:space="preserve"> </w:t>
            </w:r>
          </w:p>
        </w:tc>
      </w:tr>
      <w:tr w:rsidR="00B9569A" w:rsidRPr="00C74816" w14:paraId="32092085" w14:textId="77777777" w:rsidTr="00892A01">
        <w:trPr>
          <w:jc w:val="center"/>
        </w:trPr>
        <w:tc>
          <w:tcPr>
            <w:tcW w:w="1701" w:type="dxa"/>
          </w:tcPr>
          <w:p w14:paraId="73827641" w14:textId="77777777" w:rsidR="00B9569A" w:rsidRPr="00C74816" w:rsidRDefault="00B9569A" w:rsidP="00B9569A">
            <w:pPr>
              <w:pStyle w:val="Tabletext"/>
              <w:spacing w:before="30" w:after="30"/>
              <w:rPr>
                <w:sz w:val="20"/>
                <w:lang w:val="ru-RU"/>
              </w:rPr>
            </w:pPr>
            <w:r w:rsidRPr="00C74816">
              <w:rPr>
                <w:sz w:val="20"/>
                <w:lang w:val="ru-RU"/>
              </w:rPr>
              <w:t>Публикация KDB № 248227</w:t>
            </w:r>
          </w:p>
        </w:tc>
        <w:tc>
          <w:tcPr>
            <w:tcW w:w="3969" w:type="dxa"/>
          </w:tcPr>
          <w:p w14:paraId="6EFF9525" w14:textId="1134F128" w:rsidR="00B9569A" w:rsidRPr="00C74816" w:rsidRDefault="00251785" w:rsidP="00B9569A">
            <w:pPr>
              <w:pStyle w:val="Tabletext"/>
              <w:spacing w:before="30" w:after="30"/>
              <w:rPr>
                <w:sz w:val="20"/>
                <w:lang w:val="ru-RU"/>
              </w:rPr>
            </w:pPr>
            <w:r w:rsidRPr="00C74816">
              <w:rPr>
                <w:sz w:val="20"/>
                <w:lang w:val="ru-RU"/>
              </w:rPr>
              <w:t xml:space="preserve">Руководство по </w:t>
            </w:r>
            <w:r w:rsidR="00B9569A" w:rsidRPr="00C74816">
              <w:rPr>
                <w:sz w:val="20"/>
                <w:lang w:val="ru-RU"/>
              </w:rPr>
              <w:t xml:space="preserve">SAR для передатчиков </w:t>
            </w:r>
            <w:r w:rsidRPr="00C74816">
              <w:rPr>
                <w:sz w:val="20"/>
                <w:lang w:val="ru-RU"/>
              </w:rPr>
              <w:t xml:space="preserve">IEEE </w:t>
            </w:r>
            <w:r w:rsidR="00B9569A" w:rsidRPr="00C74816">
              <w:rPr>
                <w:sz w:val="20"/>
                <w:lang w:val="ru-RU"/>
              </w:rPr>
              <w:t xml:space="preserve">802.11 a/b/g </w:t>
            </w:r>
            <w:r w:rsidRPr="00C74816">
              <w:rPr>
                <w:sz w:val="20"/>
                <w:lang w:val="ru-RU"/>
              </w:rPr>
              <w:t>(Wi-Fi)</w:t>
            </w:r>
          </w:p>
        </w:tc>
        <w:tc>
          <w:tcPr>
            <w:tcW w:w="3969" w:type="dxa"/>
          </w:tcPr>
          <w:p w14:paraId="5E099E42" w14:textId="31952C82" w:rsidR="00B9569A" w:rsidRPr="00C74816" w:rsidRDefault="00B9569A" w:rsidP="00B9569A">
            <w:pPr>
              <w:pStyle w:val="Tabletext"/>
              <w:spacing w:before="30" w:after="30"/>
              <w:rPr>
                <w:sz w:val="20"/>
                <w:lang w:val="ru-RU"/>
              </w:rPr>
            </w:pPr>
            <w:hyperlink r:id="rId39" w:history="1">
              <w:r w:rsidRPr="00C74816">
                <w:rPr>
                  <w:rStyle w:val="Hyperlink"/>
                  <w:sz w:val="20"/>
                  <w:lang w:val="ru-RU"/>
                </w:rPr>
                <w:t>https://apps.fcc.gov/oetcf/kdb/forms/FTSSearchResultPage.cfm?switch=P&amp;id=28238</w:t>
              </w:r>
            </w:hyperlink>
            <w:r w:rsidRPr="00C74816">
              <w:rPr>
                <w:sz w:val="20"/>
                <w:lang w:val="ru-RU"/>
              </w:rPr>
              <w:t xml:space="preserve"> </w:t>
            </w:r>
          </w:p>
        </w:tc>
      </w:tr>
      <w:tr w:rsidR="00B9569A" w:rsidRPr="00C74816" w14:paraId="7E2E9F16" w14:textId="77777777" w:rsidTr="00892A01">
        <w:trPr>
          <w:jc w:val="center"/>
        </w:trPr>
        <w:tc>
          <w:tcPr>
            <w:tcW w:w="1701" w:type="dxa"/>
          </w:tcPr>
          <w:p w14:paraId="2331604A" w14:textId="77777777" w:rsidR="00B9569A" w:rsidRPr="00C74816" w:rsidRDefault="00B9569A" w:rsidP="00B9569A">
            <w:pPr>
              <w:pStyle w:val="Tabletext"/>
              <w:spacing w:before="30" w:after="30"/>
              <w:rPr>
                <w:sz w:val="20"/>
                <w:lang w:val="ru-RU"/>
              </w:rPr>
            </w:pPr>
            <w:r w:rsidRPr="00C74816">
              <w:rPr>
                <w:sz w:val="20"/>
                <w:lang w:val="ru-RU"/>
              </w:rPr>
              <w:t>Публикация KDB № 615223</w:t>
            </w:r>
          </w:p>
        </w:tc>
        <w:tc>
          <w:tcPr>
            <w:tcW w:w="3969" w:type="dxa"/>
          </w:tcPr>
          <w:p w14:paraId="3847C5C8" w14:textId="77777777" w:rsidR="00B9569A" w:rsidRPr="00C74816" w:rsidRDefault="00B9569A" w:rsidP="00B9569A">
            <w:pPr>
              <w:pStyle w:val="Tabletext"/>
              <w:spacing w:before="30" w:after="30"/>
              <w:rPr>
                <w:sz w:val="20"/>
                <w:lang w:val="ru-RU"/>
              </w:rPr>
            </w:pPr>
            <w:r w:rsidRPr="00C74816">
              <w:rPr>
                <w:sz w:val="20"/>
                <w:lang w:val="ru-RU"/>
              </w:rPr>
              <w:t xml:space="preserve">Руководство по измерению удельного коэффициента поглощения (SAR) для 802.16e/WiMax </w:t>
            </w:r>
          </w:p>
        </w:tc>
        <w:tc>
          <w:tcPr>
            <w:tcW w:w="3969" w:type="dxa"/>
          </w:tcPr>
          <w:p w14:paraId="347B6DC3" w14:textId="21F739AA" w:rsidR="00B9569A" w:rsidRPr="00C74816" w:rsidRDefault="00B9569A" w:rsidP="00B9569A">
            <w:pPr>
              <w:pStyle w:val="Tabletext"/>
              <w:spacing w:before="30" w:after="30"/>
              <w:rPr>
                <w:sz w:val="20"/>
                <w:lang w:val="ru-RU"/>
              </w:rPr>
            </w:pPr>
            <w:hyperlink r:id="rId40" w:history="1">
              <w:r w:rsidRPr="00C74816">
                <w:rPr>
                  <w:rStyle w:val="Hyperlink"/>
                  <w:sz w:val="20"/>
                  <w:lang w:val="ru-RU"/>
                </w:rPr>
                <w:t>https://apps.fcc.gov/oetcf/kdb/forms/FTSSearchResultPage.cfm?switch=P&amp;id=41734</w:t>
              </w:r>
            </w:hyperlink>
            <w:r w:rsidRPr="00C74816">
              <w:rPr>
                <w:sz w:val="20"/>
                <w:lang w:val="ru-RU"/>
              </w:rPr>
              <w:t xml:space="preserve"> </w:t>
            </w:r>
          </w:p>
        </w:tc>
      </w:tr>
    </w:tbl>
    <w:p w14:paraId="5D9A199C" w14:textId="77777777" w:rsidR="0036359D" w:rsidRPr="00C74816" w:rsidRDefault="0036359D" w:rsidP="0036359D">
      <w:pPr>
        <w:pStyle w:val="Tablefin"/>
        <w:rPr>
          <w:lang w:val="ru-RU"/>
        </w:rPr>
      </w:pPr>
    </w:p>
    <w:p w14:paraId="7BD55102" w14:textId="77777777" w:rsidR="0036359D" w:rsidRPr="00C74816" w:rsidRDefault="0036359D" w:rsidP="0036359D">
      <w:pPr>
        <w:pStyle w:val="Reftitle"/>
        <w:spacing w:before="360"/>
        <w:rPr>
          <w:sz w:val="26"/>
          <w:szCs w:val="26"/>
          <w:lang w:val="ru-RU"/>
        </w:rPr>
      </w:pPr>
      <w:r w:rsidRPr="00C74816">
        <w:rPr>
          <w:sz w:val="26"/>
          <w:szCs w:val="26"/>
          <w:lang w:val="ru-RU"/>
        </w:rPr>
        <w:lastRenderedPageBreak/>
        <w:t>Справочные документы</w:t>
      </w:r>
    </w:p>
    <w:p w14:paraId="4191A3AD" w14:textId="6EA9F973" w:rsidR="0036359D" w:rsidRPr="00C74816" w:rsidRDefault="0036359D" w:rsidP="0036359D">
      <w:pPr>
        <w:pStyle w:val="Reftext"/>
        <w:spacing w:before="160"/>
        <w:rPr>
          <w:lang w:val="ru-RU"/>
        </w:rPr>
      </w:pPr>
      <w:r w:rsidRPr="00C74816">
        <w:rPr>
          <w:lang w:val="ru-RU"/>
        </w:rPr>
        <w:t>Часть 15 ФКС –</w:t>
      </w:r>
      <w:r w:rsidR="00B9569A" w:rsidRPr="00C74816">
        <w:rPr>
          <w:lang w:val="ru-RU"/>
        </w:rPr>
        <w:t xml:space="preserve"> </w:t>
      </w:r>
      <w:hyperlink r:id="rId41" w:history="1">
        <w:r w:rsidR="00B9569A" w:rsidRPr="00C74816">
          <w:rPr>
            <w:rStyle w:val="Hyperlink"/>
            <w:lang w:val="ru-RU"/>
          </w:rPr>
          <w:t>https://www.ecfr.gov/current/title-47/chapter-I/subchapter-A/part-15?toc=1</w:t>
        </w:r>
      </w:hyperlink>
      <w:r w:rsidRPr="00C74816">
        <w:rPr>
          <w:lang w:val="ru-RU"/>
        </w:rPr>
        <w:t>.</w:t>
      </w:r>
    </w:p>
    <w:p w14:paraId="0B40F7B2" w14:textId="77777777" w:rsidR="0036359D" w:rsidRPr="00C74816" w:rsidRDefault="0036359D" w:rsidP="0036359D">
      <w:pPr>
        <w:pStyle w:val="Reftext"/>
        <w:spacing w:before="80"/>
        <w:rPr>
          <w:lang w:val="ru-RU"/>
        </w:rPr>
      </w:pPr>
      <w:r w:rsidRPr="00C74816">
        <w:rPr>
          <w:lang w:val="ru-RU"/>
        </w:rPr>
        <w:t>Документы ANSI – </w:t>
      </w:r>
      <w:hyperlink r:id="rId42" w:history="1">
        <w:r w:rsidRPr="00C74816">
          <w:rPr>
            <w:rStyle w:val="Hyperlink"/>
            <w:lang w:val="ru-RU"/>
          </w:rPr>
          <w:t>http://shop.ieee.org/ieeestore/</w:t>
        </w:r>
      </w:hyperlink>
      <w:r w:rsidRPr="00C74816">
        <w:rPr>
          <w:lang w:val="ru-RU"/>
        </w:rPr>
        <w:t xml:space="preserve"> или </w:t>
      </w:r>
      <w:hyperlink r:id="rId43" w:history="1">
        <w:r w:rsidRPr="00C74816">
          <w:rPr>
            <w:rStyle w:val="Hyperlink"/>
            <w:lang w:val="ru-RU"/>
          </w:rPr>
          <w:t>http://www.ansi.org/</w:t>
        </w:r>
      </w:hyperlink>
      <w:r w:rsidRPr="00C74816">
        <w:rPr>
          <w:lang w:val="ru-RU"/>
        </w:rPr>
        <w:t>.</w:t>
      </w:r>
    </w:p>
    <w:p w14:paraId="566B24F4" w14:textId="7624EE8D" w:rsidR="0036359D" w:rsidRPr="0041045D" w:rsidRDefault="0036359D" w:rsidP="0036359D">
      <w:pPr>
        <w:pStyle w:val="Note"/>
        <w:rPr>
          <w:lang w:val="en-US"/>
        </w:rPr>
      </w:pPr>
      <w:r w:rsidRPr="00C74816">
        <w:rPr>
          <w:lang w:val="ru-RU"/>
        </w:rPr>
        <w:t>(ПРИМЕЧАНИЕ 1. – Документы ANSI можно приобрести по указанным выше ссылкам</w:t>
      </w:r>
      <w:r w:rsidR="0041045D">
        <w:rPr>
          <w:lang w:val="en-US"/>
        </w:rPr>
        <w:t>.</w:t>
      </w:r>
      <w:r w:rsidRPr="00C74816">
        <w:rPr>
          <w:lang w:val="ru-RU"/>
        </w:rPr>
        <w:t>)</w:t>
      </w:r>
    </w:p>
    <w:p w14:paraId="677594CE" w14:textId="77777777" w:rsidR="0036359D" w:rsidRPr="00C74816" w:rsidRDefault="0036359D" w:rsidP="0036359D">
      <w:pPr>
        <w:pStyle w:val="Reftext"/>
        <w:spacing w:before="80"/>
        <w:rPr>
          <w:lang w:val="ru-RU"/>
        </w:rPr>
      </w:pPr>
      <w:r w:rsidRPr="00C74816">
        <w:rPr>
          <w:lang w:val="ru-RU"/>
        </w:rPr>
        <w:t>Управление инженерного обеспечения и технологии ФКС.</w:t>
      </w:r>
    </w:p>
    <w:p w14:paraId="24DA9FD1" w14:textId="77777777" w:rsidR="0036359D" w:rsidRPr="00C74816" w:rsidRDefault="0036359D" w:rsidP="0036359D">
      <w:pPr>
        <w:pStyle w:val="Reftext"/>
        <w:spacing w:before="80"/>
        <w:rPr>
          <w:lang w:val="ru-RU"/>
        </w:rPr>
      </w:pPr>
      <w:r w:rsidRPr="00C74816">
        <w:rPr>
          <w:lang w:val="ru-RU"/>
        </w:rPr>
        <w:t xml:space="preserve">Лабораторная база знаний (KDB) – </w:t>
      </w:r>
      <w:hyperlink r:id="rId44" w:history="1">
        <w:r w:rsidRPr="00C74816">
          <w:rPr>
            <w:rStyle w:val="Hyperlink"/>
            <w:lang w:val="ru-RU"/>
          </w:rPr>
          <w:t>http://www.fcc.gov/labhelp</w:t>
        </w:r>
      </w:hyperlink>
      <w:r w:rsidRPr="00C74816">
        <w:rPr>
          <w:lang w:val="ru-RU"/>
        </w:rPr>
        <w:t>.</w:t>
      </w:r>
    </w:p>
    <w:p w14:paraId="7231EDDD" w14:textId="45FF6972" w:rsidR="0036359D" w:rsidRPr="00C74816" w:rsidRDefault="0036359D" w:rsidP="0036359D">
      <w:pPr>
        <w:pStyle w:val="Reftext"/>
        <w:spacing w:before="80"/>
        <w:ind w:right="-142"/>
        <w:jc w:val="left"/>
        <w:rPr>
          <w:lang w:val="ru-RU"/>
        </w:rPr>
      </w:pPr>
      <w:r w:rsidRPr="00C74816">
        <w:rPr>
          <w:lang w:val="ru-RU"/>
        </w:rPr>
        <w:t xml:space="preserve">Распоряжения и реестры ФКС – </w:t>
      </w:r>
      <w:hyperlink r:id="rId45" w:history="1">
        <w:r w:rsidR="00B9569A" w:rsidRPr="00C74816">
          <w:rPr>
            <w:rStyle w:val="Hyperlink"/>
            <w:spacing w:val="-2"/>
            <w:lang w:val="ru-RU"/>
          </w:rPr>
          <w:t>https://www.fcc.gov/edocs</w:t>
        </w:r>
      </w:hyperlink>
      <w:r w:rsidRPr="00C74816">
        <w:rPr>
          <w:lang w:val="ru-RU"/>
        </w:rPr>
        <w:t>.</w:t>
      </w:r>
    </w:p>
    <w:p w14:paraId="1D3A76D2" w14:textId="77777777" w:rsidR="00944DA0" w:rsidRDefault="00944DA0" w:rsidP="00944DA0">
      <w:pPr>
        <w:rPr>
          <w:lang w:val="en-US"/>
        </w:rPr>
      </w:pPr>
      <w:bookmarkStart w:id="41" w:name="_Toc283731944"/>
      <w:bookmarkStart w:id="42" w:name="_Toc276991218"/>
      <w:bookmarkStart w:id="43" w:name="_Toc188609898"/>
    </w:p>
    <w:p w14:paraId="79524C71" w14:textId="77777777" w:rsidR="00944DA0" w:rsidRDefault="00944DA0" w:rsidP="00944DA0">
      <w:pPr>
        <w:rPr>
          <w:lang w:val="en-US"/>
        </w:rPr>
      </w:pPr>
    </w:p>
    <w:p w14:paraId="007F286E" w14:textId="7094035F" w:rsidR="0036359D" w:rsidRPr="00C74816" w:rsidRDefault="0036359D" w:rsidP="0036359D">
      <w:pPr>
        <w:pStyle w:val="AnnexNoTitle"/>
        <w:rPr>
          <w:lang w:val="ru-RU"/>
        </w:rPr>
      </w:pPr>
      <w:r w:rsidRPr="00C74816">
        <w:rPr>
          <w:lang w:val="ru-RU"/>
        </w:rPr>
        <w:t>Приложение 3</w:t>
      </w:r>
      <w:r w:rsidRPr="00C74816">
        <w:rPr>
          <w:lang w:val="ru-RU"/>
        </w:rPr>
        <w:br/>
      </w:r>
      <w:r w:rsidRPr="00C74816">
        <w:rPr>
          <w:lang w:val="ru-RU"/>
        </w:rPr>
        <w:br/>
        <w:t>Канадские стандарты, содержащие методы измерения</w:t>
      </w:r>
      <w:bookmarkEnd w:id="41"/>
      <w:bookmarkEnd w:id="42"/>
      <w:bookmarkEnd w:id="43"/>
    </w:p>
    <w:p w14:paraId="293EC23A" w14:textId="77777777" w:rsidR="0036359D" w:rsidRPr="00C74816" w:rsidRDefault="0036359D" w:rsidP="0036359D">
      <w:pPr>
        <w:pStyle w:val="Normalaftertitle"/>
        <w:spacing w:after="120"/>
        <w:rPr>
          <w:lang w:val="ru-RU"/>
        </w:rPr>
      </w:pPr>
      <w:r w:rsidRPr="00C74816">
        <w:rPr>
          <w:lang w:val="ru-RU"/>
        </w:rPr>
        <w:t>Настоящее Приложение включает стандарты, используемые в Канаде для SRD.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4493"/>
        <w:gridCol w:w="3774"/>
      </w:tblGrid>
      <w:tr w:rsidR="0036359D" w:rsidRPr="00C74816" w14:paraId="0809346D" w14:textId="77777777" w:rsidTr="00F56656">
        <w:trPr>
          <w:tblHeader/>
          <w:jc w:val="center"/>
        </w:trPr>
        <w:tc>
          <w:tcPr>
            <w:tcW w:w="1372" w:type="dxa"/>
            <w:shd w:val="clear" w:color="auto" w:fill="auto"/>
          </w:tcPr>
          <w:p w14:paraId="67AE02BC" w14:textId="77777777" w:rsidR="0036359D" w:rsidRPr="00C74816" w:rsidRDefault="0036359D" w:rsidP="00B9569A">
            <w:pPr>
              <w:pStyle w:val="Tablehead"/>
              <w:rPr>
                <w:sz w:val="20"/>
                <w:lang w:val="ru-RU"/>
              </w:rPr>
            </w:pPr>
            <w:r w:rsidRPr="00C74816">
              <w:rPr>
                <w:sz w:val="20"/>
                <w:lang w:val="ru-RU"/>
              </w:rPr>
              <w:t>Стандарт</w:t>
            </w:r>
          </w:p>
        </w:tc>
        <w:tc>
          <w:tcPr>
            <w:tcW w:w="4493" w:type="dxa"/>
            <w:shd w:val="clear" w:color="auto" w:fill="auto"/>
          </w:tcPr>
          <w:p w14:paraId="19ABDF92" w14:textId="77777777" w:rsidR="0036359D" w:rsidRPr="00C74816" w:rsidRDefault="0036359D" w:rsidP="00B9569A">
            <w:pPr>
              <w:pStyle w:val="Tablehead"/>
              <w:rPr>
                <w:sz w:val="20"/>
                <w:lang w:val="ru-RU"/>
              </w:rPr>
            </w:pPr>
            <w:r w:rsidRPr="00C74816">
              <w:rPr>
                <w:sz w:val="20"/>
                <w:lang w:val="ru-RU"/>
              </w:rPr>
              <w:t>Название</w:t>
            </w:r>
          </w:p>
        </w:tc>
        <w:tc>
          <w:tcPr>
            <w:tcW w:w="3774" w:type="dxa"/>
            <w:shd w:val="clear" w:color="auto" w:fill="auto"/>
          </w:tcPr>
          <w:p w14:paraId="71ACAA2B" w14:textId="77777777" w:rsidR="0036359D" w:rsidRPr="00C74816" w:rsidRDefault="0036359D" w:rsidP="00B9569A">
            <w:pPr>
              <w:pStyle w:val="Tablehead"/>
              <w:rPr>
                <w:sz w:val="20"/>
                <w:lang w:val="ru-RU"/>
              </w:rPr>
            </w:pPr>
            <w:r w:rsidRPr="00C74816">
              <w:rPr>
                <w:sz w:val="20"/>
                <w:lang w:val="ru-RU"/>
              </w:rPr>
              <w:t>Примечания</w:t>
            </w:r>
          </w:p>
        </w:tc>
      </w:tr>
      <w:tr w:rsidR="0036359D" w:rsidRPr="00C74816" w14:paraId="47E48E1D" w14:textId="77777777" w:rsidTr="00892A01">
        <w:trPr>
          <w:jc w:val="center"/>
        </w:trPr>
        <w:tc>
          <w:tcPr>
            <w:tcW w:w="1372" w:type="dxa"/>
          </w:tcPr>
          <w:p w14:paraId="642CF65D" w14:textId="77777777" w:rsidR="0036359D" w:rsidRPr="00C74816" w:rsidRDefault="0036359D" w:rsidP="00B9569A">
            <w:pPr>
              <w:pStyle w:val="Tabletext"/>
              <w:rPr>
                <w:sz w:val="20"/>
                <w:lang w:val="ru-RU"/>
              </w:rPr>
            </w:pPr>
            <w:r w:rsidRPr="00C74816">
              <w:rPr>
                <w:sz w:val="20"/>
                <w:lang w:val="ru-RU"/>
              </w:rPr>
              <w:t>RSS-Gen</w:t>
            </w:r>
          </w:p>
        </w:tc>
        <w:tc>
          <w:tcPr>
            <w:tcW w:w="4493" w:type="dxa"/>
          </w:tcPr>
          <w:p w14:paraId="2BF4338A" w14:textId="77777777" w:rsidR="0036359D" w:rsidRPr="00C74816" w:rsidRDefault="0036359D" w:rsidP="00B9569A">
            <w:pPr>
              <w:pStyle w:val="Tabletext"/>
              <w:rPr>
                <w:sz w:val="20"/>
                <w:lang w:val="ru-RU"/>
              </w:rPr>
            </w:pPr>
            <w:r w:rsidRPr="00C74816">
              <w:rPr>
                <w:sz w:val="20"/>
                <w:lang w:val="ru-RU"/>
              </w:rPr>
              <w:t xml:space="preserve">Общие требования и информация для сертификации оборудования радиосвязи </w:t>
            </w:r>
          </w:p>
        </w:tc>
        <w:tc>
          <w:tcPr>
            <w:tcW w:w="3774" w:type="dxa"/>
          </w:tcPr>
          <w:p w14:paraId="526A023C" w14:textId="77777777" w:rsidR="0036359D" w:rsidRPr="00C74816" w:rsidRDefault="0036359D" w:rsidP="00B9569A">
            <w:pPr>
              <w:pStyle w:val="Tabletext"/>
              <w:rPr>
                <w:sz w:val="20"/>
                <w:lang w:val="ru-RU"/>
              </w:rPr>
            </w:pPr>
            <w:r w:rsidRPr="00C74816">
              <w:rPr>
                <w:sz w:val="20"/>
                <w:lang w:val="ru-RU"/>
              </w:rPr>
              <w:t>ANSI C63.4-2009</w:t>
            </w:r>
            <w:r w:rsidRPr="00C74816">
              <w:rPr>
                <w:sz w:val="20"/>
                <w:lang w:val="ru-RU"/>
              </w:rPr>
              <w:br/>
              <w:t>IEEE C63.4-2009</w:t>
            </w:r>
            <w:r w:rsidRPr="00C74816">
              <w:rPr>
                <w:sz w:val="20"/>
                <w:lang w:val="ru-RU"/>
              </w:rPr>
              <w:br/>
              <w:t>IEEE C63.10-2009</w:t>
            </w:r>
          </w:p>
        </w:tc>
      </w:tr>
      <w:tr w:rsidR="0036359D" w:rsidRPr="00C74816" w14:paraId="5EE03F6D" w14:textId="77777777" w:rsidTr="00892A01">
        <w:trPr>
          <w:jc w:val="center"/>
        </w:trPr>
        <w:tc>
          <w:tcPr>
            <w:tcW w:w="1372" w:type="dxa"/>
          </w:tcPr>
          <w:p w14:paraId="262CD1F8" w14:textId="77777777" w:rsidR="0036359D" w:rsidRPr="00C74816" w:rsidRDefault="0036359D" w:rsidP="00B9569A">
            <w:pPr>
              <w:pStyle w:val="Tabletext"/>
              <w:rPr>
                <w:sz w:val="20"/>
                <w:lang w:val="ru-RU"/>
              </w:rPr>
            </w:pPr>
            <w:r w:rsidRPr="00C74816">
              <w:rPr>
                <w:sz w:val="20"/>
                <w:lang w:val="ru-RU"/>
              </w:rPr>
              <w:t>RSS-102</w:t>
            </w:r>
          </w:p>
        </w:tc>
        <w:tc>
          <w:tcPr>
            <w:tcW w:w="4493" w:type="dxa"/>
          </w:tcPr>
          <w:p w14:paraId="207FCBFF" w14:textId="77777777" w:rsidR="0036359D" w:rsidRPr="00C74816" w:rsidRDefault="0036359D" w:rsidP="00B9569A">
            <w:pPr>
              <w:pStyle w:val="Tabletext"/>
              <w:rPr>
                <w:sz w:val="20"/>
                <w:lang w:val="ru-RU"/>
              </w:rPr>
            </w:pPr>
            <w:r w:rsidRPr="00C74816">
              <w:rPr>
                <w:sz w:val="20"/>
                <w:lang w:val="ru-RU"/>
              </w:rPr>
              <w:t>Соблюдение требований в отношении радиочастотного (РЧ) облучения от аппаратуры радиосвязи (во всех диапазонах частот) (Выпуск 4, март 2010 г.)</w:t>
            </w:r>
          </w:p>
        </w:tc>
        <w:tc>
          <w:tcPr>
            <w:tcW w:w="3774" w:type="dxa"/>
          </w:tcPr>
          <w:p w14:paraId="61C1B241" w14:textId="77777777" w:rsidR="0036359D" w:rsidRPr="00C74816" w:rsidRDefault="0036359D" w:rsidP="00B9569A">
            <w:pPr>
              <w:pStyle w:val="Tabletext"/>
              <w:rPr>
                <w:sz w:val="20"/>
                <w:lang w:val="ru-RU"/>
              </w:rPr>
            </w:pPr>
            <w:r w:rsidRPr="00C74816">
              <w:rPr>
                <w:sz w:val="20"/>
                <w:lang w:val="ru-RU"/>
              </w:rPr>
              <w:t xml:space="preserve">Министерство промышленности Канады приняло процедуры KDB (ФКС) для измерений SAR </w:t>
            </w:r>
            <w:r w:rsidRPr="00C74816">
              <w:rPr>
                <w:sz w:val="20"/>
                <w:lang w:val="ru-RU"/>
              </w:rPr>
              <w:br/>
              <w:t xml:space="preserve">Правило безопасности 6 Министерства здравоохранения Канады </w:t>
            </w:r>
            <w:r w:rsidRPr="00C74816">
              <w:rPr>
                <w:sz w:val="20"/>
                <w:lang w:val="ru-RU"/>
              </w:rPr>
              <w:br/>
              <w:t>Бюллетень ФКС OET 65, Дополнение C</w:t>
            </w:r>
            <w:r w:rsidRPr="00C74816">
              <w:rPr>
                <w:sz w:val="20"/>
                <w:lang w:val="ru-RU"/>
              </w:rPr>
              <w:br/>
              <w:t>IEEE Стандарт 1528a-2005</w:t>
            </w:r>
            <w:r w:rsidRPr="00C74816">
              <w:rPr>
                <w:sz w:val="20"/>
                <w:lang w:val="ru-RU"/>
              </w:rPr>
              <w:br/>
              <w:t>МЭК 62209-1:2005</w:t>
            </w:r>
            <w:r w:rsidRPr="00C74816">
              <w:rPr>
                <w:sz w:val="20"/>
                <w:lang w:val="ru-RU"/>
              </w:rPr>
              <w:br/>
              <w:t>МЭК 62209-2:2010</w:t>
            </w:r>
            <w:r w:rsidRPr="00C74816">
              <w:rPr>
                <w:sz w:val="20"/>
                <w:lang w:val="ru-RU"/>
              </w:rPr>
              <w:br/>
              <w:t>IEEE Стандарт C95.3-2002</w:t>
            </w:r>
          </w:p>
        </w:tc>
      </w:tr>
      <w:tr w:rsidR="0036359D" w:rsidRPr="00C74816" w14:paraId="6548B370" w14:textId="77777777" w:rsidTr="00892A01">
        <w:trPr>
          <w:jc w:val="center"/>
        </w:trPr>
        <w:tc>
          <w:tcPr>
            <w:tcW w:w="1372" w:type="dxa"/>
          </w:tcPr>
          <w:p w14:paraId="5BEE344E" w14:textId="77777777" w:rsidR="0036359D" w:rsidRPr="00C74816" w:rsidRDefault="0036359D" w:rsidP="00B9569A">
            <w:pPr>
              <w:pStyle w:val="Tabletext"/>
              <w:rPr>
                <w:sz w:val="20"/>
                <w:lang w:val="ru-RU"/>
              </w:rPr>
            </w:pPr>
            <w:r w:rsidRPr="00C74816">
              <w:rPr>
                <w:sz w:val="20"/>
                <w:lang w:val="ru-RU"/>
              </w:rPr>
              <w:t>RSS-125</w:t>
            </w:r>
          </w:p>
        </w:tc>
        <w:tc>
          <w:tcPr>
            <w:tcW w:w="4493" w:type="dxa"/>
          </w:tcPr>
          <w:p w14:paraId="5C5969E7" w14:textId="77777777" w:rsidR="0036359D" w:rsidRPr="00C74816" w:rsidRDefault="0036359D" w:rsidP="00B9569A">
            <w:pPr>
              <w:pStyle w:val="Tabletext"/>
              <w:rPr>
                <w:sz w:val="20"/>
                <w:lang w:val="ru-RU"/>
              </w:rPr>
            </w:pPr>
            <w:r w:rsidRPr="00C74816">
              <w:rPr>
                <w:sz w:val="20"/>
                <w:lang w:val="ru-RU"/>
              </w:rPr>
              <w:t xml:space="preserve">Сухопутные подвижные и фиксированные радиопередатчики и радиоприемники, </w:t>
            </w:r>
            <w:r w:rsidRPr="00C74816">
              <w:rPr>
                <w:sz w:val="20"/>
                <w:lang w:val="ru-RU"/>
              </w:rPr>
              <w:br/>
              <w:t xml:space="preserve">1,705–50 МГц, с первичной амплитудной модуляцией (Выпуск 2, Пересмотр 1, </w:t>
            </w:r>
            <w:r w:rsidRPr="00C74816">
              <w:rPr>
                <w:sz w:val="20"/>
                <w:lang w:val="ru-RU"/>
              </w:rPr>
              <w:br/>
              <w:t>25 марта 2000 г.)</w:t>
            </w:r>
          </w:p>
        </w:tc>
        <w:tc>
          <w:tcPr>
            <w:tcW w:w="3774" w:type="dxa"/>
          </w:tcPr>
          <w:p w14:paraId="6D40AD63" w14:textId="77777777" w:rsidR="0036359D" w:rsidRPr="00C74816" w:rsidRDefault="0036359D" w:rsidP="00B9569A">
            <w:pPr>
              <w:pStyle w:val="Tabletext"/>
              <w:rPr>
                <w:sz w:val="20"/>
                <w:lang w:val="ru-RU"/>
              </w:rPr>
            </w:pPr>
            <w:r w:rsidRPr="00C74816">
              <w:rPr>
                <w:sz w:val="20"/>
                <w:lang w:val="ru-RU"/>
              </w:rPr>
              <w:t>RSP-100</w:t>
            </w:r>
            <w:r w:rsidRPr="00C74816">
              <w:rPr>
                <w:sz w:val="20"/>
                <w:lang w:val="ru-RU"/>
              </w:rPr>
              <w:br/>
              <w:t>TRC-49</w:t>
            </w:r>
            <w:r w:rsidRPr="00C74816">
              <w:rPr>
                <w:sz w:val="20"/>
                <w:lang w:val="ru-RU"/>
              </w:rPr>
              <w:br/>
              <w:t>CP-01</w:t>
            </w:r>
            <w:r w:rsidRPr="00C74816">
              <w:rPr>
                <w:sz w:val="20"/>
                <w:lang w:val="ru-RU"/>
              </w:rPr>
              <w:br/>
              <w:t>CS-03</w:t>
            </w:r>
            <w:r w:rsidRPr="00C74816">
              <w:rPr>
                <w:sz w:val="20"/>
                <w:lang w:val="ru-RU"/>
              </w:rPr>
              <w:br/>
              <w:t>RSS-102</w:t>
            </w:r>
          </w:p>
        </w:tc>
      </w:tr>
      <w:tr w:rsidR="0036359D" w:rsidRPr="00C74816" w14:paraId="0BD591D7" w14:textId="77777777" w:rsidTr="00892A01">
        <w:trPr>
          <w:jc w:val="center"/>
        </w:trPr>
        <w:tc>
          <w:tcPr>
            <w:tcW w:w="1372" w:type="dxa"/>
          </w:tcPr>
          <w:p w14:paraId="3118AEEC" w14:textId="77777777" w:rsidR="0036359D" w:rsidRPr="00C74816" w:rsidRDefault="0036359D" w:rsidP="00B9569A">
            <w:pPr>
              <w:pStyle w:val="Tabletext"/>
              <w:rPr>
                <w:sz w:val="20"/>
                <w:lang w:val="ru-RU"/>
              </w:rPr>
            </w:pPr>
            <w:r w:rsidRPr="00C74816">
              <w:rPr>
                <w:sz w:val="20"/>
                <w:lang w:val="ru-RU"/>
              </w:rPr>
              <w:t>RSS-136</w:t>
            </w:r>
          </w:p>
        </w:tc>
        <w:tc>
          <w:tcPr>
            <w:tcW w:w="4493" w:type="dxa"/>
          </w:tcPr>
          <w:p w14:paraId="1AFB6868" w14:textId="77777777" w:rsidR="0036359D" w:rsidRPr="00C74816" w:rsidRDefault="0036359D" w:rsidP="00B9569A">
            <w:pPr>
              <w:pStyle w:val="Tabletext"/>
              <w:rPr>
                <w:sz w:val="20"/>
                <w:lang w:val="ru-RU"/>
              </w:rPr>
            </w:pPr>
            <w:r w:rsidRPr="00C74816">
              <w:rPr>
                <w:sz w:val="20"/>
                <w:lang w:val="ru-RU"/>
              </w:rPr>
              <w:t>Радиотелефонные передатчики и приемники сухопутных и подвижных станций, работающие в диапазоне 26,960–27,410 МГц общей службы радиосвязи (Выпуск 5, октябрь 2002 г.)</w:t>
            </w:r>
          </w:p>
        </w:tc>
        <w:tc>
          <w:tcPr>
            <w:tcW w:w="3774" w:type="dxa"/>
          </w:tcPr>
          <w:p w14:paraId="39E11B00" w14:textId="77777777" w:rsidR="0036359D" w:rsidRPr="00C74816" w:rsidRDefault="0036359D" w:rsidP="00B9569A">
            <w:pPr>
              <w:pStyle w:val="Tabletext"/>
              <w:rPr>
                <w:sz w:val="20"/>
                <w:lang w:val="ru-RU"/>
              </w:rPr>
            </w:pPr>
            <w:r w:rsidRPr="00C74816">
              <w:rPr>
                <w:sz w:val="20"/>
                <w:lang w:val="ru-RU"/>
              </w:rPr>
              <w:t xml:space="preserve">Процедура 100 стандартов радиосвязи </w:t>
            </w:r>
          </w:p>
        </w:tc>
      </w:tr>
      <w:tr w:rsidR="0036359D" w:rsidRPr="00C74816" w14:paraId="7C2F60F1" w14:textId="77777777" w:rsidTr="00892A01">
        <w:trPr>
          <w:jc w:val="center"/>
        </w:trPr>
        <w:tc>
          <w:tcPr>
            <w:tcW w:w="1372" w:type="dxa"/>
          </w:tcPr>
          <w:p w14:paraId="1B48997C" w14:textId="77777777" w:rsidR="0036359D" w:rsidRPr="00C74816" w:rsidRDefault="0036359D" w:rsidP="00B9569A">
            <w:pPr>
              <w:pStyle w:val="Tabletext"/>
              <w:rPr>
                <w:sz w:val="20"/>
                <w:lang w:val="ru-RU"/>
              </w:rPr>
            </w:pPr>
            <w:r w:rsidRPr="00C74816">
              <w:rPr>
                <w:sz w:val="20"/>
                <w:lang w:val="ru-RU"/>
              </w:rPr>
              <w:t>RSS-137</w:t>
            </w:r>
          </w:p>
        </w:tc>
        <w:tc>
          <w:tcPr>
            <w:tcW w:w="4493" w:type="dxa"/>
          </w:tcPr>
          <w:p w14:paraId="4B34DC40" w14:textId="77777777" w:rsidR="0036359D" w:rsidRPr="00C74816" w:rsidRDefault="0036359D" w:rsidP="00B9569A">
            <w:pPr>
              <w:pStyle w:val="Tabletext"/>
              <w:rPr>
                <w:sz w:val="20"/>
                <w:lang w:val="ru-RU"/>
              </w:rPr>
            </w:pPr>
            <w:r w:rsidRPr="00C74816">
              <w:rPr>
                <w:sz w:val="20"/>
                <w:lang w:val="ru-RU"/>
              </w:rPr>
              <w:t>Служба определения местоположения и контроля в диапазоне 902–928 МГц</w:t>
            </w:r>
          </w:p>
        </w:tc>
        <w:tc>
          <w:tcPr>
            <w:tcW w:w="3774" w:type="dxa"/>
          </w:tcPr>
          <w:p w14:paraId="45F2518D" w14:textId="77777777" w:rsidR="0036359D" w:rsidRPr="00C74816" w:rsidRDefault="0036359D" w:rsidP="00B9569A">
            <w:pPr>
              <w:pStyle w:val="Tabletext"/>
              <w:rPr>
                <w:sz w:val="20"/>
                <w:lang w:val="ru-RU"/>
              </w:rPr>
            </w:pPr>
            <w:r w:rsidRPr="00C74816">
              <w:rPr>
                <w:sz w:val="20"/>
                <w:lang w:val="ru-RU"/>
              </w:rPr>
              <w:t>RSS-Gen</w:t>
            </w:r>
            <w:r w:rsidRPr="00C74816">
              <w:rPr>
                <w:sz w:val="20"/>
                <w:lang w:val="ru-RU"/>
              </w:rPr>
              <w:br/>
              <w:t>RSS-210, Приложения 7 и 8</w:t>
            </w:r>
          </w:p>
        </w:tc>
      </w:tr>
      <w:tr w:rsidR="0036359D" w:rsidRPr="00C74816" w14:paraId="187D3199" w14:textId="77777777" w:rsidTr="00892A01">
        <w:trPr>
          <w:jc w:val="center"/>
        </w:trPr>
        <w:tc>
          <w:tcPr>
            <w:tcW w:w="1372" w:type="dxa"/>
          </w:tcPr>
          <w:p w14:paraId="40A6EBC5" w14:textId="77777777" w:rsidR="0036359D" w:rsidRPr="00C74816" w:rsidRDefault="0036359D" w:rsidP="00B9569A">
            <w:pPr>
              <w:pStyle w:val="Tabletext"/>
              <w:rPr>
                <w:sz w:val="20"/>
                <w:lang w:val="ru-RU"/>
              </w:rPr>
            </w:pPr>
            <w:r w:rsidRPr="00C74816">
              <w:rPr>
                <w:sz w:val="20"/>
                <w:lang w:val="ru-RU"/>
              </w:rPr>
              <w:t>RSS-181</w:t>
            </w:r>
          </w:p>
        </w:tc>
        <w:tc>
          <w:tcPr>
            <w:tcW w:w="4493" w:type="dxa"/>
          </w:tcPr>
          <w:p w14:paraId="5EAFC5E6" w14:textId="77777777" w:rsidR="0036359D" w:rsidRPr="00C74816" w:rsidRDefault="0036359D" w:rsidP="00B9569A">
            <w:pPr>
              <w:pStyle w:val="Tabletext"/>
              <w:rPr>
                <w:sz w:val="20"/>
                <w:lang w:val="ru-RU"/>
              </w:rPr>
            </w:pPr>
            <w:r w:rsidRPr="00C74816">
              <w:rPr>
                <w:sz w:val="20"/>
                <w:lang w:val="ru-RU"/>
              </w:rPr>
              <w:t>Однополосные радиотелефонные передатчики и приемники береговых и судовых станций, работающие в диапазоне 1,605–28,000 кГц (Выпуск 1, 1 апреля 1971 г.)</w:t>
            </w:r>
          </w:p>
        </w:tc>
        <w:tc>
          <w:tcPr>
            <w:tcW w:w="3774" w:type="dxa"/>
          </w:tcPr>
          <w:p w14:paraId="1847E086" w14:textId="77777777" w:rsidR="0036359D" w:rsidRPr="00C74816" w:rsidRDefault="0036359D" w:rsidP="00B9569A">
            <w:pPr>
              <w:pStyle w:val="Tabletext"/>
              <w:rPr>
                <w:sz w:val="20"/>
                <w:lang w:val="ru-RU"/>
              </w:rPr>
            </w:pPr>
            <w:r w:rsidRPr="00C74816">
              <w:rPr>
                <w:sz w:val="20"/>
                <w:lang w:val="ru-RU"/>
              </w:rPr>
              <w:t>Процедура 100 стандартов радиосвязи</w:t>
            </w:r>
            <w:r w:rsidRPr="00C74816">
              <w:rPr>
                <w:sz w:val="20"/>
                <w:lang w:val="ru-RU"/>
              </w:rPr>
              <w:br/>
              <w:t>Спецификация 111 стандартов радиосвязи</w:t>
            </w:r>
          </w:p>
        </w:tc>
      </w:tr>
      <w:tr w:rsidR="0036359D" w:rsidRPr="00C74816" w14:paraId="15D43000" w14:textId="77777777" w:rsidTr="00892A01">
        <w:trPr>
          <w:jc w:val="center"/>
        </w:trPr>
        <w:tc>
          <w:tcPr>
            <w:tcW w:w="1372" w:type="dxa"/>
          </w:tcPr>
          <w:p w14:paraId="15E487E9" w14:textId="77777777" w:rsidR="0036359D" w:rsidRPr="00C74816" w:rsidRDefault="0036359D" w:rsidP="00B9569A">
            <w:pPr>
              <w:pStyle w:val="Tabletext"/>
              <w:rPr>
                <w:sz w:val="20"/>
                <w:lang w:val="ru-RU"/>
              </w:rPr>
            </w:pPr>
            <w:r w:rsidRPr="00C74816">
              <w:rPr>
                <w:sz w:val="20"/>
                <w:lang w:val="ru-RU"/>
              </w:rPr>
              <w:t>RSS-210</w:t>
            </w:r>
          </w:p>
        </w:tc>
        <w:tc>
          <w:tcPr>
            <w:tcW w:w="4493" w:type="dxa"/>
          </w:tcPr>
          <w:p w14:paraId="7B3EBA80" w14:textId="77777777" w:rsidR="0036359D" w:rsidRPr="00C74816" w:rsidRDefault="0036359D" w:rsidP="00B9569A">
            <w:pPr>
              <w:pStyle w:val="Tabletext"/>
              <w:rPr>
                <w:sz w:val="20"/>
                <w:lang w:val="ru-RU"/>
              </w:rPr>
            </w:pPr>
            <w:r w:rsidRPr="00C74816">
              <w:rPr>
                <w:sz w:val="20"/>
                <w:lang w:val="ru-RU"/>
              </w:rPr>
              <w:t>Оборудование категории I маломощных нелицензируемых устройств радиосвязи (во всех полосах частот) (Выпуск 7, июнь 2007 г.)</w:t>
            </w:r>
          </w:p>
        </w:tc>
        <w:tc>
          <w:tcPr>
            <w:tcW w:w="3774" w:type="dxa"/>
          </w:tcPr>
          <w:p w14:paraId="3085BDEE" w14:textId="77777777" w:rsidR="0036359D" w:rsidRPr="00C74816" w:rsidRDefault="0036359D" w:rsidP="00B9569A">
            <w:pPr>
              <w:pStyle w:val="Tabletext"/>
              <w:rPr>
                <w:sz w:val="20"/>
                <w:lang w:val="ru-RU"/>
              </w:rPr>
            </w:pPr>
          </w:p>
        </w:tc>
      </w:tr>
      <w:tr w:rsidR="0036359D" w:rsidRPr="00C74816" w14:paraId="47858ED8" w14:textId="77777777" w:rsidTr="00892A01">
        <w:trPr>
          <w:jc w:val="center"/>
        </w:trPr>
        <w:tc>
          <w:tcPr>
            <w:tcW w:w="1372" w:type="dxa"/>
          </w:tcPr>
          <w:p w14:paraId="08422FFE" w14:textId="77777777" w:rsidR="0036359D" w:rsidRPr="00C74816" w:rsidRDefault="0036359D" w:rsidP="00B9569A">
            <w:pPr>
              <w:pStyle w:val="Tabletext"/>
              <w:rPr>
                <w:sz w:val="20"/>
                <w:lang w:val="ru-RU"/>
              </w:rPr>
            </w:pPr>
            <w:r w:rsidRPr="00C74816">
              <w:rPr>
                <w:sz w:val="20"/>
                <w:lang w:val="ru-RU"/>
              </w:rPr>
              <w:t>RSS-220</w:t>
            </w:r>
          </w:p>
        </w:tc>
        <w:tc>
          <w:tcPr>
            <w:tcW w:w="4493" w:type="dxa"/>
          </w:tcPr>
          <w:p w14:paraId="6E37DB64" w14:textId="77777777" w:rsidR="0036359D" w:rsidRPr="00C74816" w:rsidRDefault="0036359D" w:rsidP="00B9569A">
            <w:pPr>
              <w:pStyle w:val="Tabletext"/>
              <w:rPr>
                <w:sz w:val="20"/>
                <w:lang w:val="ru-RU"/>
              </w:rPr>
            </w:pPr>
            <w:r w:rsidRPr="00C74816">
              <w:rPr>
                <w:sz w:val="20"/>
                <w:lang w:val="ru-RU"/>
              </w:rPr>
              <w:t>Устройства с использованием сверхширокополосной (СШП) технологии (Выпуск 1, март 2009 г.)</w:t>
            </w:r>
          </w:p>
        </w:tc>
        <w:tc>
          <w:tcPr>
            <w:tcW w:w="3774" w:type="dxa"/>
          </w:tcPr>
          <w:p w14:paraId="6FE88D67" w14:textId="77777777" w:rsidR="0036359D" w:rsidRPr="00C74816" w:rsidRDefault="0036359D" w:rsidP="00B9569A">
            <w:pPr>
              <w:pStyle w:val="Tabletext"/>
              <w:rPr>
                <w:sz w:val="20"/>
                <w:lang w:val="ru-RU"/>
              </w:rPr>
            </w:pPr>
            <w:r w:rsidRPr="00C74816">
              <w:rPr>
                <w:sz w:val="20"/>
                <w:lang w:val="ru-RU"/>
              </w:rPr>
              <w:t>RSS-Gen</w:t>
            </w:r>
          </w:p>
        </w:tc>
      </w:tr>
      <w:tr w:rsidR="0036359D" w:rsidRPr="00C74816" w14:paraId="31D5DAC7" w14:textId="77777777" w:rsidTr="00892A01">
        <w:trPr>
          <w:jc w:val="center"/>
        </w:trPr>
        <w:tc>
          <w:tcPr>
            <w:tcW w:w="1372" w:type="dxa"/>
          </w:tcPr>
          <w:p w14:paraId="69C5D9FF" w14:textId="77777777" w:rsidR="0036359D" w:rsidRPr="00C74816" w:rsidRDefault="0036359D" w:rsidP="00B9569A">
            <w:pPr>
              <w:pStyle w:val="Tabletext"/>
              <w:rPr>
                <w:sz w:val="20"/>
                <w:lang w:val="ru-RU"/>
              </w:rPr>
            </w:pPr>
            <w:r w:rsidRPr="00C74816">
              <w:rPr>
                <w:sz w:val="20"/>
                <w:lang w:val="ru-RU"/>
              </w:rPr>
              <w:lastRenderedPageBreak/>
              <w:t>RSS-243</w:t>
            </w:r>
          </w:p>
        </w:tc>
        <w:tc>
          <w:tcPr>
            <w:tcW w:w="4493" w:type="dxa"/>
          </w:tcPr>
          <w:p w14:paraId="6648EA32" w14:textId="77777777" w:rsidR="0036359D" w:rsidRPr="00C74816" w:rsidRDefault="0036359D" w:rsidP="00B9569A">
            <w:pPr>
              <w:pStyle w:val="Tabletext"/>
              <w:rPr>
                <w:sz w:val="20"/>
                <w:lang w:val="ru-RU"/>
              </w:rPr>
            </w:pPr>
            <w:r w:rsidRPr="00C74816">
              <w:rPr>
                <w:sz w:val="20"/>
                <w:lang w:val="ru-RU"/>
              </w:rPr>
              <w:t>Медицинские устройства, работающие в полосе частот 401–406 МГц (Выпуск 3, февраль 2010 г.)</w:t>
            </w:r>
          </w:p>
        </w:tc>
        <w:tc>
          <w:tcPr>
            <w:tcW w:w="3774" w:type="dxa"/>
          </w:tcPr>
          <w:p w14:paraId="164D62D9" w14:textId="77777777" w:rsidR="0036359D" w:rsidRPr="00C74816" w:rsidRDefault="0036359D" w:rsidP="00B9569A">
            <w:pPr>
              <w:pStyle w:val="Tabletext"/>
              <w:rPr>
                <w:sz w:val="20"/>
                <w:lang w:val="ru-RU"/>
              </w:rPr>
            </w:pPr>
            <w:r w:rsidRPr="00C74816">
              <w:rPr>
                <w:sz w:val="20"/>
                <w:lang w:val="ru-RU"/>
              </w:rPr>
              <w:t>ETSI EN 301 839-1</w:t>
            </w:r>
            <w:r w:rsidRPr="00C74816">
              <w:rPr>
                <w:sz w:val="20"/>
                <w:lang w:val="ru-RU"/>
              </w:rPr>
              <w:br/>
              <w:t>ETSI EN 302 537-1</w:t>
            </w:r>
            <w:r w:rsidRPr="00C74816">
              <w:rPr>
                <w:sz w:val="20"/>
                <w:lang w:val="ru-RU"/>
              </w:rPr>
              <w:br/>
              <w:t>МСЭ-R RS.1346</w:t>
            </w:r>
          </w:p>
        </w:tc>
      </w:tr>
      <w:tr w:rsidR="0036359D" w:rsidRPr="00C74816" w14:paraId="1DE79AB6" w14:textId="77777777" w:rsidTr="00892A01">
        <w:trPr>
          <w:jc w:val="center"/>
        </w:trPr>
        <w:tc>
          <w:tcPr>
            <w:tcW w:w="1372" w:type="dxa"/>
          </w:tcPr>
          <w:p w14:paraId="7436C3C1" w14:textId="77777777" w:rsidR="0036359D" w:rsidRPr="00C74816" w:rsidRDefault="0036359D" w:rsidP="00B9569A">
            <w:pPr>
              <w:pStyle w:val="Tabletext"/>
              <w:rPr>
                <w:sz w:val="20"/>
                <w:lang w:val="ru-RU"/>
              </w:rPr>
            </w:pPr>
            <w:r w:rsidRPr="00C74816">
              <w:rPr>
                <w:sz w:val="20"/>
                <w:lang w:val="ru-RU"/>
              </w:rPr>
              <w:t>RSS-310</w:t>
            </w:r>
          </w:p>
        </w:tc>
        <w:tc>
          <w:tcPr>
            <w:tcW w:w="4493" w:type="dxa"/>
          </w:tcPr>
          <w:p w14:paraId="7400BD8B" w14:textId="77777777" w:rsidR="0036359D" w:rsidRPr="00C74816" w:rsidRDefault="0036359D" w:rsidP="00B9569A">
            <w:pPr>
              <w:pStyle w:val="Tabletext"/>
              <w:rPr>
                <w:sz w:val="20"/>
                <w:lang w:val="ru-RU"/>
              </w:rPr>
            </w:pPr>
            <w:r w:rsidRPr="00C74816">
              <w:rPr>
                <w:sz w:val="20"/>
                <w:lang w:val="ru-RU"/>
              </w:rPr>
              <w:t>Оборудование категории II маломощных нелицензируемых устройств радиосвязи (во всех полосах частот) (Выпуск 2, июнь 2007 г.)</w:t>
            </w:r>
          </w:p>
        </w:tc>
        <w:tc>
          <w:tcPr>
            <w:tcW w:w="3774" w:type="dxa"/>
          </w:tcPr>
          <w:p w14:paraId="5B747634" w14:textId="77777777" w:rsidR="0036359D" w:rsidRPr="00C74816" w:rsidRDefault="0036359D" w:rsidP="00B9569A">
            <w:pPr>
              <w:pStyle w:val="Tabletext"/>
              <w:rPr>
                <w:sz w:val="20"/>
                <w:lang w:val="ru-RU"/>
              </w:rPr>
            </w:pPr>
          </w:p>
        </w:tc>
      </w:tr>
      <w:tr w:rsidR="0036359D" w:rsidRPr="00C74816" w14:paraId="35DC7C72" w14:textId="77777777" w:rsidTr="00892A01">
        <w:trPr>
          <w:jc w:val="center"/>
        </w:trPr>
        <w:tc>
          <w:tcPr>
            <w:tcW w:w="1372" w:type="dxa"/>
          </w:tcPr>
          <w:p w14:paraId="5926E838" w14:textId="77777777" w:rsidR="0036359D" w:rsidRPr="00C74816" w:rsidRDefault="0036359D" w:rsidP="00B9569A">
            <w:pPr>
              <w:pStyle w:val="Tabletext"/>
              <w:rPr>
                <w:sz w:val="20"/>
                <w:lang w:val="ru-RU"/>
              </w:rPr>
            </w:pPr>
            <w:r w:rsidRPr="00C74816">
              <w:rPr>
                <w:sz w:val="20"/>
                <w:lang w:val="ru-RU"/>
              </w:rPr>
              <w:t>ICES-001</w:t>
            </w:r>
          </w:p>
        </w:tc>
        <w:tc>
          <w:tcPr>
            <w:tcW w:w="4493" w:type="dxa"/>
          </w:tcPr>
          <w:p w14:paraId="44A79DB6" w14:textId="77777777" w:rsidR="0036359D" w:rsidRPr="00C74816" w:rsidRDefault="0036359D" w:rsidP="00B9569A">
            <w:pPr>
              <w:pStyle w:val="Tabletext"/>
              <w:rPr>
                <w:sz w:val="20"/>
                <w:lang w:val="ru-RU"/>
              </w:rPr>
            </w:pPr>
            <w:r w:rsidRPr="00C74816">
              <w:rPr>
                <w:sz w:val="20"/>
                <w:lang w:val="ru-RU"/>
              </w:rPr>
              <w:t>Промышленные, научные и медицинские (ПНМ) генераторы высокой частоты (Выпуск 4, июнь 2006 г.)</w:t>
            </w:r>
          </w:p>
        </w:tc>
        <w:tc>
          <w:tcPr>
            <w:tcW w:w="3774" w:type="dxa"/>
          </w:tcPr>
          <w:p w14:paraId="6D5A2223" w14:textId="77777777" w:rsidR="0036359D" w:rsidRPr="00C74816" w:rsidRDefault="0036359D" w:rsidP="00B9569A">
            <w:pPr>
              <w:pStyle w:val="Tabletext"/>
              <w:rPr>
                <w:sz w:val="20"/>
                <w:lang w:val="ru-RU"/>
              </w:rPr>
            </w:pPr>
            <w:r w:rsidRPr="00C74816">
              <w:rPr>
                <w:sz w:val="20"/>
                <w:lang w:val="ru-RU"/>
              </w:rPr>
              <w:t>CAN/CSA-CEI /IEC CISPR 11-04</w:t>
            </w:r>
            <w:r w:rsidRPr="00C74816">
              <w:rPr>
                <w:sz w:val="20"/>
                <w:lang w:val="ru-RU"/>
              </w:rPr>
              <w:br/>
              <w:t>Публикация МЭК № 50(161) (1990)</w:t>
            </w:r>
          </w:p>
        </w:tc>
      </w:tr>
      <w:tr w:rsidR="0036359D" w:rsidRPr="00C74816" w14:paraId="2260539D" w14:textId="77777777" w:rsidTr="00892A01">
        <w:trPr>
          <w:jc w:val="center"/>
        </w:trPr>
        <w:tc>
          <w:tcPr>
            <w:tcW w:w="1372" w:type="dxa"/>
          </w:tcPr>
          <w:p w14:paraId="669EF242" w14:textId="77777777" w:rsidR="0036359D" w:rsidRPr="00C74816" w:rsidRDefault="0036359D" w:rsidP="00B9569A">
            <w:pPr>
              <w:pStyle w:val="Tabletext"/>
              <w:rPr>
                <w:sz w:val="20"/>
                <w:lang w:val="ru-RU"/>
              </w:rPr>
            </w:pPr>
            <w:r w:rsidRPr="00C74816">
              <w:rPr>
                <w:sz w:val="20"/>
                <w:lang w:val="ru-RU"/>
              </w:rPr>
              <w:t>ICES-002</w:t>
            </w:r>
          </w:p>
        </w:tc>
        <w:tc>
          <w:tcPr>
            <w:tcW w:w="4493" w:type="dxa"/>
          </w:tcPr>
          <w:p w14:paraId="7AC0CDCD" w14:textId="77777777" w:rsidR="0036359D" w:rsidRPr="00C74816" w:rsidRDefault="0036359D" w:rsidP="00B9569A">
            <w:pPr>
              <w:pStyle w:val="Tabletext"/>
              <w:rPr>
                <w:sz w:val="20"/>
                <w:lang w:val="ru-RU"/>
              </w:rPr>
            </w:pPr>
            <w:r w:rsidRPr="00C74816">
              <w:rPr>
                <w:sz w:val="20"/>
                <w:lang w:val="ru-RU"/>
              </w:rPr>
              <w:t>Системы электрозажигания в автомобилях и других устройствах, оборудованных двигателями внутреннего сгорания (Выпуск 5, август 2009 г.)</w:t>
            </w:r>
          </w:p>
        </w:tc>
        <w:tc>
          <w:tcPr>
            <w:tcW w:w="3774" w:type="dxa"/>
          </w:tcPr>
          <w:p w14:paraId="51A42D07" w14:textId="77777777" w:rsidR="0036359D" w:rsidRPr="00C74816" w:rsidRDefault="0036359D" w:rsidP="00B9569A">
            <w:pPr>
              <w:pStyle w:val="Tabletext"/>
              <w:rPr>
                <w:sz w:val="20"/>
                <w:lang w:val="ru-RU"/>
              </w:rPr>
            </w:pPr>
            <w:r w:rsidRPr="00C74816">
              <w:rPr>
                <w:sz w:val="20"/>
                <w:lang w:val="ru-RU"/>
              </w:rPr>
              <w:t xml:space="preserve">Стандарт Канадской ассоциации по стандартам CAN/CSA-C108.4-06, </w:t>
            </w:r>
            <w:r w:rsidRPr="00C74816">
              <w:rPr>
                <w:i/>
                <w:iCs/>
                <w:sz w:val="20"/>
                <w:lang w:val="ru-RU"/>
              </w:rPr>
              <w:t>Пределы и методы измерения</w:t>
            </w:r>
            <w:r w:rsidRPr="00C74816">
              <w:rPr>
                <w:sz w:val="20"/>
                <w:lang w:val="ru-RU"/>
              </w:rPr>
              <w:t xml:space="preserve"> </w:t>
            </w:r>
          </w:p>
        </w:tc>
      </w:tr>
      <w:tr w:rsidR="0036359D" w:rsidRPr="00C74816" w14:paraId="354BA156" w14:textId="77777777" w:rsidTr="00892A01">
        <w:trPr>
          <w:jc w:val="center"/>
        </w:trPr>
        <w:tc>
          <w:tcPr>
            <w:tcW w:w="1372" w:type="dxa"/>
          </w:tcPr>
          <w:p w14:paraId="6474815B" w14:textId="77777777" w:rsidR="0036359D" w:rsidRPr="00C74816" w:rsidRDefault="0036359D" w:rsidP="00B9569A">
            <w:pPr>
              <w:pStyle w:val="Tabletext"/>
              <w:keepNext/>
              <w:keepLines/>
              <w:rPr>
                <w:sz w:val="20"/>
                <w:lang w:val="ru-RU"/>
              </w:rPr>
            </w:pPr>
            <w:r w:rsidRPr="00C74816">
              <w:rPr>
                <w:sz w:val="20"/>
                <w:lang w:val="ru-RU"/>
              </w:rPr>
              <w:t>ICES-003</w:t>
            </w:r>
          </w:p>
        </w:tc>
        <w:tc>
          <w:tcPr>
            <w:tcW w:w="4493" w:type="dxa"/>
          </w:tcPr>
          <w:p w14:paraId="6493594C" w14:textId="77777777" w:rsidR="0036359D" w:rsidRPr="00C74816" w:rsidRDefault="0036359D" w:rsidP="00B9569A">
            <w:pPr>
              <w:pStyle w:val="Tabletext"/>
              <w:keepNext/>
              <w:keepLines/>
              <w:rPr>
                <w:sz w:val="20"/>
                <w:lang w:val="ru-RU"/>
              </w:rPr>
            </w:pPr>
            <w:r w:rsidRPr="00C74816">
              <w:rPr>
                <w:sz w:val="20"/>
                <w:lang w:val="ru-RU"/>
              </w:rPr>
              <w:t xml:space="preserve">Цифровая аппаратура </w:t>
            </w:r>
            <w:r w:rsidRPr="00C74816">
              <w:rPr>
                <w:sz w:val="20"/>
                <w:lang w:val="ru-RU"/>
              </w:rPr>
              <w:br/>
              <w:t>(Выпуск 4, февраль 2004 г.)</w:t>
            </w:r>
          </w:p>
        </w:tc>
        <w:tc>
          <w:tcPr>
            <w:tcW w:w="3774" w:type="dxa"/>
          </w:tcPr>
          <w:p w14:paraId="03D59F44" w14:textId="77777777" w:rsidR="0036359D" w:rsidRPr="00C74816" w:rsidRDefault="0036359D" w:rsidP="00B9569A">
            <w:pPr>
              <w:pStyle w:val="Tabletext"/>
              <w:keepNext/>
              <w:keepLines/>
              <w:rPr>
                <w:sz w:val="20"/>
                <w:lang w:val="ru-RU"/>
              </w:rPr>
            </w:pPr>
            <w:r w:rsidRPr="00C74816">
              <w:rPr>
                <w:sz w:val="20"/>
                <w:lang w:val="ru-RU"/>
              </w:rPr>
              <w:t>Стандарт Канадской ассоциации по стандартам CAN/CSA-CEI/IEC CISPR 22:02, "Пределы и методы измерения характеристик радиопомех оборудования информационных технологий"</w:t>
            </w:r>
          </w:p>
        </w:tc>
      </w:tr>
      <w:tr w:rsidR="0036359D" w:rsidRPr="00C74816" w14:paraId="5B19AE78" w14:textId="77777777" w:rsidTr="00892A01">
        <w:trPr>
          <w:jc w:val="center"/>
        </w:trPr>
        <w:tc>
          <w:tcPr>
            <w:tcW w:w="1372" w:type="dxa"/>
          </w:tcPr>
          <w:p w14:paraId="31792B79" w14:textId="77777777" w:rsidR="0036359D" w:rsidRPr="00C74816" w:rsidRDefault="0036359D" w:rsidP="00B9569A">
            <w:pPr>
              <w:pStyle w:val="Tabletext"/>
              <w:rPr>
                <w:sz w:val="20"/>
                <w:lang w:val="ru-RU"/>
              </w:rPr>
            </w:pPr>
            <w:r w:rsidRPr="00C74816">
              <w:rPr>
                <w:sz w:val="20"/>
                <w:lang w:val="ru-RU"/>
              </w:rPr>
              <w:t>ICES-004</w:t>
            </w:r>
          </w:p>
        </w:tc>
        <w:tc>
          <w:tcPr>
            <w:tcW w:w="4493" w:type="dxa"/>
          </w:tcPr>
          <w:p w14:paraId="10858286" w14:textId="77777777" w:rsidR="0036359D" w:rsidRPr="00C74816" w:rsidRDefault="0036359D" w:rsidP="00B9569A">
            <w:pPr>
              <w:pStyle w:val="Tabletext"/>
              <w:rPr>
                <w:sz w:val="20"/>
                <w:lang w:val="ru-RU"/>
              </w:rPr>
            </w:pPr>
            <w:r w:rsidRPr="00C74816">
              <w:rPr>
                <w:sz w:val="20"/>
                <w:lang w:val="ru-RU"/>
              </w:rPr>
              <w:t>Системы электропитания переменного тока высокого напряжения (Выпуск 3, декабрь 2001 г.)</w:t>
            </w:r>
          </w:p>
        </w:tc>
        <w:tc>
          <w:tcPr>
            <w:tcW w:w="3774" w:type="dxa"/>
          </w:tcPr>
          <w:p w14:paraId="6CECFFAE" w14:textId="77777777" w:rsidR="0036359D" w:rsidRPr="00C74816" w:rsidRDefault="0036359D" w:rsidP="00B9569A">
            <w:pPr>
              <w:pStyle w:val="Tabletext"/>
              <w:rPr>
                <w:sz w:val="20"/>
                <w:lang w:val="ru-RU"/>
              </w:rPr>
            </w:pPr>
            <w:r w:rsidRPr="00C74816">
              <w:rPr>
                <w:sz w:val="20"/>
                <w:lang w:val="ru-RU"/>
              </w:rPr>
              <w:t xml:space="preserve">Стандарт CSA C108.1.1-1977, </w:t>
            </w:r>
            <w:r w:rsidRPr="00C74816">
              <w:rPr>
                <w:i/>
                <w:iCs/>
                <w:sz w:val="20"/>
                <w:lang w:val="ru-RU"/>
              </w:rPr>
              <w:t>Прибор по измерению электромагнитных помех</w:t>
            </w:r>
            <w:r w:rsidRPr="00C74816">
              <w:rPr>
                <w:sz w:val="20"/>
                <w:lang w:val="ru-RU"/>
              </w:rPr>
              <w:t xml:space="preserve"> – </w:t>
            </w:r>
            <w:r w:rsidRPr="00C74816">
              <w:rPr>
                <w:i/>
                <w:iCs/>
                <w:sz w:val="20"/>
                <w:lang w:val="ru-RU"/>
              </w:rPr>
              <w:t>Тип СИСПР</w:t>
            </w:r>
            <w:r w:rsidRPr="00C74816">
              <w:rPr>
                <w:sz w:val="20"/>
                <w:lang w:val="ru-RU"/>
              </w:rPr>
              <w:t xml:space="preserve">, опубликован в феврале 1977 г. на английском языке </w:t>
            </w:r>
          </w:p>
        </w:tc>
      </w:tr>
      <w:tr w:rsidR="0036359D" w:rsidRPr="00C74816" w14:paraId="0FAA1B55" w14:textId="77777777" w:rsidTr="00892A01">
        <w:trPr>
          <w:jc w:val="center"/>
        </w:trPr>
        <w:tc>
          <w:tcPr>
            <w:tcW w:w="1372" w:type="dxa"/>
          </w:tcPr>
          <w:p w14:paraId="03471FF8" w14:textId="77777777" w:rsidR="0036359D" w:rsidRPr="00C74816" w:rsidRDefault="0036359D" w:rsidP="00B9569A">
            <w:pPr>
              <w:pStyle w:val="Tabletext"/>
              <w:rPr>
                <w:sz w:val="20"/>
                <w:lang w:val="ru-RU"/>
              </w:rPr>
            </w:pPr>
            <w:r w:rsidRPr="00C74816">
              <w:rPr>
                <w:sz w:val="20"/>
                <w:lang w:val="ru-RU"/>
              </w:rPr>
              <w:t>ICES-005</w:t>
            </w:r>
          </w:p>
        </w:tc>
        <w:tc>
          <w:tcPr>
            <w:tcW w:w="4493" w:type="dxa"/>
          </w:tcPr>
          <w:p w14:paraId="5AA20F8F" w14:textId="77777777" w:rsidR="0036359D" w:rsidRPr="00C74816" w:rsidRDefault="0036359D" w:rsidP="00B9569A">
            <w:pPr>
              <w:pStyle w:val="Tabletext"/>
              <w:rPr>
                <w:sz w:val="20"/>
                <w:lang w:val="ru-RU"/>
              </w:rPr>
            </w:pPr>
            <w:r w:rsidRPr="00C74816">
              <w:rPr>
                <w:sz w:val="20"/>
                <w:lang w:val="ru-RU"/>
              </w:rPr>
              <w:t>Радиочастотные осветительные устройства (RFLD) (Выпуск 3, май 2009 г.)</w:t>
            </w:r>
          </w:p>
        </w:tc>
        <w:tc>
          <w:tcPr>
            <w:tcW w:w="3774" w:type="dxa"/>
          </w:tcPr>
          <w:p w14:paraId="163BD013" w14:textId="77777777" w:rsidR="0036359D" w:rsidRPr="00C74816" w:rsidRDefault="0036359D" w:rsidP="00B9569A">
            <w:pPr>
              <w:pStyle w:val="Tabletext"/>
              <w:rPr>
                <w:sz w:val="20"/>
                <w:lang w:val="ru-RU"/>
              </w:rPr>
            </w:pPr>
            <w:r w:rsidRPr="00C74816">
              <w:rPr>
                <w:sz w:val="20"/>
                <w:lang w:val="ru-RU"/>
              </w:rPr>
              <w:t xml:space="preserve">Стандарт Канадской ассоциации по стандартам C108.1.1-1977, </w:t>
            </w:r>
            <w:r w:rsidRPr="00C74816">
              <w:rPr>
                <w:i/>
                <w:iCs/>
                <w:sz w:val="20"/>
                <w:lang w:val="ru-RU"/>
              </w:rPr>
              <w:t>Прибор по измерению электромагнитных помех</w:t>
            </w:r>
            <w:r w:rsidRPr="00C74816">
              <w:rPr>
                <w:sz w:val="20"/>
                <w:lang w:val="ru-RU"/>
              </w:rPr>
              <w:t xml:space="preserve"> – </w:t>
            </w:r>
            <w:r w:rsidRPr="00C74816">
              <w:rPr>
                <w:i/>
                <w:iCs/>
                <w:sz w:val="20"/>
                <w:lang w:val="ru-RU"/>
              </w:rPr>
              <w:t>Тип СИСПР</w:t>
            </w:r>
            <w:r w:rsidRPr="00C74816">
              <w:rPr>
                <w:sz w:val="20"/>
                <w:lang w:val="ru-RU"/>
              </w:rPr>
              <w:br/>
              <w:t xml:space="preserve">Стандарт Канадской ассоциации по стандартам C108.1.5-M85-CAN3, </w:t>
            </w:r>
            <w:r w:rsidRPr="00C74816">
              <w:rPr>
                <w:i/>
                <w:iCs/>
                <w:sz w:val="20"/>
                <w:lang w:val="ru-RU"/>
              </w:rPr>
              <w:t>Сеть со стабилизацией сопротивления линии</w:t>
            </w:r>
            <w:r w:rsidRPr="00C74816">
              <w:rPr>
                <w:sz w:val="20"/>
                <w:lang w:val="ru-RU"/>
              </w:rPr>
              <w:t xml:space="preserve"> </w:t>
            </w:r>
            <w:r w:rsidRPr="00C74816">
              <w:rPr>
                <w:i/>
                <w:iCs/>
                <w:sz w:val="20"/>
                <w:lang w:val="ru-RU"/>
              </w:rPr>
              <w:t>(LISN)</w:t>
            </w:r>
          </w:p>
        </w:tc>
      </w:tr>
      <w:tr w:rsidR="0036359D" w:rsidRPr="00C74816" w14:paraId="5374B9B9" w14:textId="77777777" w:rsidTr="00892A01">
        <w:trPr>
          <w:jc w:val="center"/>
        </w:trPr>
        <w:tc>
          <w:tcPr>
            <w:tcW w:w="1372" w:type="dxa"/>
          </w:tcPr>
          <w:p w14:paraId="0BE748B9" w14:textId="77777777" w:rsidR="0036359D" w:rsidRPr="00C74816" w:rsidRDefault="0036359D" w:rsidP="00B9569A">
            <w:pPr>
              <w:pStyle w:val="Tabletext"/>
              <w:rPr>
                <w:sz w:val="20"/>
                <w:lang w:val="ru-RU"/>
              </w:rPr>
            </w:pPr>
            <w:r w:rsidRPr="00C74816">
              <w:rPr>
                <w:sz w:val="20"/>
                <w:lang w:val="ru-RU"/>
              </w:rPr>
              <w:t>ICES-006</w:t>
            </w:r>
          </w:p>
        </w:tc>
        <w:tc>
          <w:tcPr>
            <w:tcW w:w="4493" w:type="dxa"/>
          </w:tcPr>
          <w:p w14:paraId="42DDA791" w14:textId="77777777" w:rsidR="0036359D" w:rsidRPr="00C74816" w:rsidRDefault="0036359D" w:rsidP="00B9569A">
            <w:pPr>
              <w:pStyle w:val="Tabletext"/>
              <w:rPr>
                <w:sz w:val="20"/>
                <w:lang w:val="ru-RU"/>
              </w:rPr>
            </w:pPr>
            <w:r w:rsidRPr="00C74816">
              <w:rPr>
                <w:sz w:val="20"/>
                <w:lang w:val="ru-RU"/>
              </w:rPr>
              <w:t xml:space="preserve">Проводные устройства переменного тока для передачи ВЧ-сигналов </w:t>
            </w:r>
            <w:r w:rsidRPr="00C74816">
              <w:rPr>
                <w:sz w:val="20"/>
                <w:lang w:val="ru-RU"/>
              </w:rPr>
              <w:br/>
              <w:t>(источники непреднамеренных излучений) (Выпуск 2, июнь 2009)</w:t>
            </w:r>
          </w:p>
        </w:tc>
        <w:tc>
          <w:tcPr>
            <w:tcW w:w="3774" w:type="dxa"/>
          </w:tcPr>
          <w:p w14:paraId="4C722EA8" w14:textId="77777777" w:rsidR="0036359D" w:rsidRPr="00C74816" w:rsidRDefault="0036359D" w:rsidP="00B9569A">
            <w:pPr>
              <w:pStyle w:val="Tabletext"/>
              <w:rPr>
                <w:sz w:val="20"/>
                <w:lang w:val="ru-RU"/>
              </w:rPr>
            </w:pPr>
            <w:r w:rsidRPr="00C74816">
              <w:rPr>
                <w:sz w:val="20"/>
                <w:lang w:val="ru-RU"/>
              </w:rPr>
              <w:t xml:space="preserve">Стандарт CSA C108.1.5 M-85, </w:t>
            </w:r>
            <w:r w:rsidRPr="00C74816">
              <w:rPr>
                <w:i/>
                <w:iCs/>
                <w:sz w:val="20"/>
                <w:lang w:val="ru-RU"/>
              </w:rPr>
              <w:t>Сеть со стабилизацией сопротивления линии</w:t>
            </w:r>
            <w:r w:rsidRPr="00C74816">
              <w:rPr>
                <w:sz w:val="20"/>
                <w:lang w:val="ru-RU"/>
              </w:rPr>
              <w:t xml:space="preserve"> </w:t>
            </w:r>
            <w:r w:rsidRPr="00C74816">
              <w:rPr>
                <w:i/>
                <w:iCs/>
                <w:sz w:val="20"/>
                <w:lang w:val="ru-RU"/>
              </w:rPr>
              <w:t>(LISN)</w:t>
            </w:r>
            <w:r w:rsidRPr="00C74816">
              <w:rPr>
                <w:sz w:val="20"/>
                <w:lang w:val="ru-RU"/>
              </w:rPr>
              <w:br/>
              <w:t xml:space="preserve">Стандарт CSA C108.1.1-1977, </w:t>
            </w:r>
            <w:r w:rsidRPr="00C74816">
              <w:rPr>
                <w:i/>
                <w:iCs/>
                <w:sz w:val="20"/>
                <w:lang w:val="ru-RU"/>
              </w:rPr>
              <w:t>Прибор по измерению электромагнитных помех</w:t>
            </w:r>
            <w:r w:rsidRPr="00C74816">
              <w:rPr>
                <w:sz w:val="20"/>
                <w:lang w:val="ru-RU"/>
              </w:rPr>
              <w:t xml:space="preserve"> – </w:t>
            </w:r>
            <w:r w:rsidRPr="00C74816">
              <w:rPr>
                <w:i/>
                <w:iCs/>
                <w:sz w:val="20"/>
                <w:lang w:val="ru-RU"/>
              </w:rPr>
              <w:t>Тип СИСПР</w:t>
            </w:r>
            <w:r w:rsidRPr="00C74816">
              <w:rPr>
                <w:sz w:val="20"/>
                <w:lang w:val="ru-RU"/>
              </w:rPr>
              <w:br/>
              <w:t xml:space="preserve">Стандарты радиосвязи Министерства промышленности Канады, спецификация 210 (RSS-210), </w:t>
            </w:r>
            <w:r w:rsidRPr="00C74816">
              <w:rPr>
                <w:i/>
                <w:iCs/>
                <w:sz w:val="20"/>
                <w:lang w:val="ru-RU"/>
              </w:rPr>
              <w:t>Маломощные нелицензируемые устройства радиосвязи (во всех полосах частот)</w:t>
            </w:r>
            <w:r w:rsidRPr="00C74816">
              <w:rPr>
                <w:sz w:val="20"/>
                <w:lang w:val="ru-RU"/>
              </w:rPr>
              <w:br/>
              <w:t xml:space="preserve">Стандарты радиосвязи Министерства промышленности Канады, спецификация Gen (RSS-Gen), </w:t>
            </w:r>
            <w:r w:rsidRPr="00C74816">
              <w:rPr>
                <w:i/>
                <w:iCs/>
                <w:sz w:val="20"/>
                <w:lang w:val="ru-RU"/>
              </w:rPr>
              <w:t>Общие требования и информация для сертификации оборудования радиосвязи</w:t>
            </w:r>
            <w:r w:rsidRPr="00C74816">
              <w:rPr>
                <w:sz w:val="20"/>
                <w:lang w:val="ru-RU"/>
              </w:rPr>
              <w:t xml:space="preserve"> </w:t>
            </w:r>
            <w:r w:rsidRPr="00C74816">
              <w:rPr>
                <w:sz w:val="20"/>
                <w:lang w:val="ru-RU"/>
              </w:rPr>
              <w:br/>
              <w:t xml:space="preserve">ANSI C63.4.-2003, </w:t>
            </w:r>
            <w:r w:rsidRPr="00C74816">
              <w:rPr>
                <w:i/>
                <w:iCs/>
                <w:sz w:val="20"/>
                <w:lang w:val="ru-RU"/>
              </w:rPr>
              <w:t>Американский национальный стандарт для методов измерения излучений радиошума от электрического и электронного оборудования низкого напряжения в диапазоне от 9 кГц до 40 ГГц</w:t>
            </w:r>
            <w:r w:rsidRPr="00C74816">
              <w:rPr>
                <w:sz w:val="20"/>
                <w:lang w:val="ru-RU"/>
              </w:rPr>
              <w:t xml:space="preserve"> </w:t>
            </w:r>
          </w:p>
        </w:tc>
      </w:tr>
    </w:tbl>
    <w:p w14:paraId="7A9BE50D" w14:textId="77777777" w:rsidR="00F56656" w:rsidRPr="00C74816" w:rsidRDefault="00F56656" w:rsidP="00F56656">
      <w:pPr>
        <w:pStyle w:val="Tablefin"/>
        <w:rPr>
          <w:lang w:val="ru-RU"/>
        </w:rPr>
      </w:pPr>
      <w:bookmarkStart w:id="44" w:name="_Toc283731945"/>
      <w:bookmarkStart w:id="45" w:name="_Toc276991219"/>
    </w:p>
    <w:p w14:paraId="3096FBDE" w14:textId="77777777" w:rsidR="00F37385" w:rsidRPr="00C74816" w:rsidRDefault="00F37385" w:rsidP="00F56656">
      <w:pPr>
        <w:rPr>
          <w:lang w:val="ru-RU"/>
        </w:rPr>
      </w:pPr>
    </w:p>
    <w:p w14:paraId="4005CE1E" w14:textId="7BCE3367" w:rsidR="0036359D" w:rsidRPr="00C74816" w:rsidRDefault="0036359D" w:rsidP="00667C1C">
      <w:pPr>
        <w:pStyle w:val="AnnexNoTitle"/>
        <w:rPr>
          <w:lang w:val="ru-RU"/>
        </w:rPr>
      </w:pPr>
      <w:bookmarkStart w:id="46" w:name="_Toc188609899"/>
      <w:r w:rsidRPr="00C74816">
        <w:rPr>
          <w:lang w:val="ru-RU"/>
        </w:rPr>
        <w:lastRenderedPageBreak/>
        <w:t>Приложение 4</w:t>
      </w:r>
      <w:r w:rsidRPr="00C74816">
        <w:rPr>
          <w:lang w:val="ru-RU"/>
        </w:rPr>
        <w:br/>
      </w:r>
      <w:r w:rsidRPr="00C74816">
        <w:rPr>
          <w:lang w:val="ru-RU"/>
        </w:rPr>
        <w:br/>
        <w:t>Стандарты, содержащие методы измерения, которые используются в МЭК/ИСО</w:t>
      </w:r>
      <w:bookmarkEnd w:id="44"/>
      <w:bookmarkEnd w:id="46"/>
      <w:r w:rsidRPr="00C74816">
        <w:rPr>
          <w:lang w:val="ru-RU"/>
        </w:rPr>
        <w:t xml:space="preserve"> </w:t>
      </w:r>
      <w:bookmarkEnd w:id="45"/>
    </w:p>
    <w:p w14:paraId="39C11B8E" w14:textId="77777777" w:rsidR="0036359D" w:rsidRPr="00C74816" w:rsidRDefault="0036359D" w:rsidP="0036359D">
      <w:pPr>
        <w:pStyle w:val="Normalaftertitle"/>
        <w:spacing w:after="120"/>
        <w:rPr>
          <w:lang w:val="ru-RU"/>
        </w:rPr>
      </w:pPr>
      <w:r w:rsidRPr="00C74816">
        <w:rPr>
          <w:lang w:val="ru-RU"/>
        </w:rPr>
        <w:t>В настоящем Приложении содержатся стандарты МЭК/ИСО для SRD.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1"/>
        <w:gridCol w:w="1842"/>
      </w:tblGrid>
      <w:tr w:rsidR="0036359D" w:rsidRPr="00C74816" w14:paraId="4E222389" w14:textId="77777777" w:rsidTr="00F56656">
        <w:trPr>
          <w:tblHeader/>
          <w:jc w:val="center"/>
        </w:trPr>
        <w:tc>
          <w:tcPr>
            <w:tcW w:w="2126" w:type="dxa"/>
            <w:shd w:val="clear" w:color="auto" w:fill="auto"/>
          </w:tcPr>
          <w:p w14:paraId="404AFB71" w14:textId="77777777" w:rsidR="0036359D" w:rsidRPr="00C74816" w:rsidRDefault="0036359D" w:rsidP="00B9569A">
            <w:pPr>
              <w:pStyle w:val="Tablehead"/>
              <w:rPr>
                <w:sz w:val="20"/>
                <w:lang w:val="ru-RU"/>
              </w:rPr>
            </w:pPr>
            <w:r w:rsidRPr="00C74816">
              <w:rPr>
                <w:sz w:val="20"/>
                <w:lang w:val="ru-RU"/>
              </w:rPr>
              <w:t>Стандарт</w:t>
            </w:r>
          </w:p>
        </w:tc>
        <w:tc>
          <w:tcPr>
            <w:tcW w:w="5671" w:type="dxa"/>
            <w:shd w:val="clear" w:color="auto" w:fill="auto"/>
          </w:tcPr>
          <w:p w14:paraId="179CE443" w14:textId="77777777" w:rsidR="0036359D" w:rsidRPr="00C74816" w:rsidRDefault="0036359D" w:rsidP="00B9569A">
            <w:pPr>
              <w:pStyle w:val="Tablehead"/>
              <w:rPr>
                <w:sz w:val="20"/>
                <w:lang w:val="ru-RU"/>
              </w:rPr>
            </w:pPr>
            <w:r w:rsidRPr="00C74816">
              <w:rPr>
                <w:sz w:val="20"/>
                <w:lang w:val="ru-RU"/>
              </w:rPr>
              <w:t>Название</w:t>
            </w:r>
          </w:p>
        </w:tc>
        <w:tc>
          <w:tcPr>
            <w:tcW w:w="1842" w:type="dxa"/>
            <w:shd w:val="clear" w:color="auto" w:fill="auto"/>
          </w:tcPr>
          <w:p w14:paraId="78ED9961" w14:textId="77777777" w:rsidR="0036359D" w:rsidRPr="00C74816" w:rsidRDefault="0036359D" w:rsidP="00B9569A">
            <w:pPr>
              <w:pStyle w:val="Tablehead"/>
              <w:rPr>
                <w:sz w:val="20"/>
                <w:lang w:val="ru-RU"/>
              </w:rPr>
            </w:pPr>
            <w:r w:rsidRPr="00C74816">
              <w:rPr>
                <w:sz w:val="20"/>
                <w:lang w:val="ru-RU"/>
              </w:rPr>
              <w:t>Примечания</w:t>
            </w:r>
          </w:p>
        </w:tc>
      </w:tr>
      <w:tr w:rsidR="0036359D" w:rsidRPr="00C74816" w14:paraId="09142540" w14:textId="77777777" w:rsidTr="00892A01">
        <w:trPr>
          <w:jc w:val="center"/>
        </w:trPr>
        <w:tc>
          <w:tcPr>
            <w:tcW w:w="2126" w:type="dxa"/>
          </w:tcPr>
          <w:p w14:paraId="0EBA1E02" w14:textId="77777777" w:rsidR="0036359D" w:rsidRPr="00C74816" w:rsidRDefault="0036359D" w:rsidP="00B9569A">
            <w:pPr>
              <w:pStyle w:val="Tabletext"/>
              <w:rPr>
                <w:sz w:val="20"/>
                <w:lang w:val="ru-RU"/>
              </w:rPr>
            </w:pPr>
            <w:r w:rsidRPr="00C74816">
              <w:rPr>
                <w:sz w:val="20"/>
                <w:lang w:val="ru-RU"/>
              </w:rPr>
              <w:t>ИСО/МЭК 18046-1</w:t>
            </w:r>
          </w:p>
        </w:tc>
        <w:tc>
          <w:tcPr>
            <w:tcW w:w="5671" w:type="dxa"/>
          </w:tcPr>
          <w:p w14:paraId="151DE109" w14:textId="77777777" w:rsidR="0036359D" w:rsidRPr="00C74816" w:rsidRDefault="0036359D" w:rsidP="00B9569A">
            <w:pPr>
              <w:pStyle w:val="Tabletext"/>
              <w:rPr>
                <w:sz w:val="20"/>
                <w:lang w:val="ru-RU"/>
              </w:rPr>
            </w:pPr>
            <w:r w:rsidRPr="00C74816">
              <w:rPr>
                <w:sz w:val="20"/>
                <w:lang w:val="ru-RU"/>
              </w:rPr>
              <w:t xml:space="preserve">Информационные технологии – Методы проверки рабочих характеристик устройств радиочастотной идентификации – Часть 1: Методы проверки рабочих характеристик систем </w:t>
            </w:r>
          </w:p>
        </w:tc>
        <w:tc>
          <w:tcPr>
            <w:tcW w:w="1842" w:type="dxa"/>
          </w:tcPr>
          <w:p w14:paraId="364ED37D" w14:textId="77777777" w:rsidR="0036359D" w:rsidRPr="00C74816" w:rsidRDefault="0036359D" w:rsidP="00B9569A">
            <w:pPr>
              <w:pStyle w:val="Tabletext"/>
              <w:rPr>
                <w:sz w:val="20"/>
                <w:lang w:val="ru-RU"/>
              </w:rPr>
            </w:pPr>
            <w:r w:rsidRPr="00C74816">
              <w:rPr>
                <w:sz w:val="20"/>
                <w:lang w:val="ru-RU"/>
              </w:rPr>
              <w:t> </w:t>
            </w:r>
          </w:p>
        </w:tc>
      </w:tr>
      <w:tr w:rsidR="0036359D" w:rsidRPr="00C74816" w14:paraId="6334F8AA" w14:textId="77777777" w:rsidTr="00892A01">
        <w:trPr>
          <w:jc w:val="center"/>
        </w:trPr>
        <w:tc>
          <w:tcPr>
            <w:tcW w:w="2126" w:type="dxa"/>
          </w:tcPr>
          <w:p w14:paraId="64E5BC9F" w14:textId="77777777" w:rsidR="0036359D" w:rsidRPr="00C74816" w:rsidRDefault="0036359D" w:rsidP="00B9569A">
            <w:pPr>
              <w:pStyle w:val="Tabletext"/>
              <w:rPr>
                <w:sz w:val="20"/>
                <w:lang w:val="ru-RU"/>
              </w:rPr>
            </w:pPr>
            <w:r w:rsidRPr="00C74816">
              <w:rPr>
                <w:sz w:val="20"/>
                <w:lang w:val="ru-RU"/>
              </w:rPr>
              <w:t>ИСО/МЭК 18046-2</w:t>
            </w:r>
          </w:p>
        </w:tc>
        <w:tc>
          <w:tcPr>
            <w:tcW w:w="5671" w:type="dxa"/>
          </w:tcPr>
          <w:p w14:paraId="5C821EB0" w14:textId="77777777" w:rsidR="0036359D" w:rsidRPr="00C74816" w:rsidRDefault="0036359D" w:rsidP="00B9569A">
            <w:pPr>
              <w:pStyle w:val="Tabletext"/>
              <w:rPr>
                <w:sz w:val="20"/>
                <w:lang w:val="ru-RU"/>
              </w:rPr>
            </w:pPr>
            <w:r w:rsidRPr="00C74816">
              <w:rPr>
                <w:sz w:val="20"/>
                <w:lang w:val="ru-RU"/>
              </w:rPr>
              <w:t xml:space="preserve">Информационные технологии – Методы проверки рабочих характеристик устройств радиочастотной идентификации – Часть 2: Методы проверки рабочих характеристик устройства опрашивания </w:t>
            </w:r>
          </w:p>
        </w:tc>
        <w:tc>
          <w:tcPr>
            <w:tcW w:w="1842" w:type="dxa"/>
          </w:tcPr>
          <w:p w14:paraId="06E03A9B" w14:textId="77777777" w:rsidR="0036359D" w:rsidRPr="00C74816" w:rsidRDefault="0036359D" w:rsidP="00B9569A">
            <w:pPr>
              <w:pStyle w:val="Tabletext"/>
              <w:rPr>
                <w:sz w:val="20"/>
                <w:lang w:val="ru-RU"/>
              </w:rPr>
            </w:pPr>
            <w:r w:rsidRPr="00C74816">
              <w:rPr>
                <w:sz w:val="20"/>
                <w:lang w:val="ru-RU"/>
              </w:rPr>
              <w:t> </w:t>
            </w:r>
          </w:p>
        </w:tc>
      </w:tr>
      <w:tr w:rsidR="0036359D" w:rsidRPr="00C74816" w14:paraId="31732BBF" w14:textId="77777777" w:rsidTr="00892A01">
        <w:trPr>
          <w:jc w:val="center"/>
        </w:trPr>
        <w:tc>
          <w:tcPr>
            <w:tcW w:w="2126" w:type="dxa"/>
          </w:tcPr>
          <w:p w14:paraId="02347FFB" w14:textId="77777777" w:rsidR="0036359D" w:rsidRPr="00C74816" w:rsidRDefault="0036359D" w:rsidP="00B9569A">
            <w:pPr>
              <w:pStyle w:val="Tabletext"/>
              <w:rPr>
                <w:sz w:val="20"/>
                <w:lang w:val="ru-RU"/>
              </w:rPr>
            </w:pPr>
            <w:r w:rsidRPr="00C74816">
              <w:rPr>
                <w:sz w:val="20"/>
                <w:lang w:val="ru-RU"/>
              </w:rPr>
              <w:t>ИСО/МЭК 18046-3</w:t>
            </w:r>
          </w:p>
        </w:tc>
        <w:tc>
          <w:tcPr>
            <w:tcW w:w="5671" w:type="dxa"/>
          </w:tcPr>
          <w:p w14:paraId="331E7B14" w14:textId="77777777" w:rsidR="0036359D" w:rsidRPr="00C74816" w:rsidRDefault="0036359D" w:rsidP="00B9569A">
            <w:pPr>
              <w:pStyle w:val="Tabletext"/>
              <w:rPr>
                <w:sz w:val="20"/>
                <w:lang w:val="ru-RU"/>
              </w:rPr>
            </w:pPr>
            <w:r w:rsidRPr="00C74816">
              <w:rPr>
                <w:sz w:val="20"/>
                <w:lang w:val="ru-RU"/>
              </w:rPr>
              <w:t xml:space="preserve">Информационные технологии – Методы проверки рабочих характеристик устройств радиочастотной идентификации – Часть 3: Методы проверки рабочих характеристик дескриптора </w:t>
            </w:r>
          </w:p>
        </w:tc>
        <w:tc>
          <w:tcPr>
            <w:tcW w:w="1842" w:type="dxa"/>
          </w:tcPr>
          <w:p w14:paraId="33647F44" w14:textId="77777777" w:rsidR="0036359D" w:rsidRPr="00C74816" w:rsidRDefault="0036359D" w:rsidP="00B9569A">
            <w:pPr>
              <w:pStyle w:val="Tabletext"/>
              <w:rPr>
                <w:sz w:val="20"/>
                <w:lang w:val="ru-RU"/>
              </w:rPr>
            </w:pPr>
            <w:r w:rsidRPr="00C74816">
              <w:rPr>
                <w:sz w:val="20"/>
                <w:lang w:val="ru-RU"/>
              </w:rPr>
              <w:t> </w:t>
            </w:r>
          </w:p>
        </w:tc>
      </w:tr>
      <w:tr w:rsidR="0036359D" w:rsidRPr="00C74816" w14:paraId="367B3953" w14:textId="77777777" w:rsidTr="00892A01">
        <w:trPr>
          <w:jc w:val="center"/>
        </w:trPr>
        <w:tc>
          <w:tcPr>
            <w:tcW w:w="2126" w:type="dxa"/>
          </w:tcPr>
          <w:p w14:paraId="2A620246" w14:textId="77777777" w:rsidR="0036359D" w:rsidRPr="00C74816" w:rsidRDefault="0036359D" w:rsidP="00B9569A">
            <w:pPr>
              <w:pStyle w:val="Tabletext"/>
              <w:keepNext/>
              <w:rPr>
                <w:spacing w:val="-2"/>
                <w:sz w:val="20"/>
                <w:lang w:val="ru-RU"/>
              </w:rPr>
            </w:pPr>
            <w:r w:rsidRPr="00C74816">
              <w:rPr>
                <w:spacing w:val="-2"/>
                <w:sz w:val="20"/>
                <w:lang w:val="ru-RU"/>
              </w:rPr>
              <w:t>ИСО/МЭК TR 18047-2</w:t>
            </w:r>
          </w:p>
        </w:tc>
        <w:tc>
          <w:tcPr>
            <w:tcW w:w="5671" w:type="dxa"/>
          </w:tcPr>
          <w:p w14:paraId="0CFE00A3" w14:textId="77777777" w:rsidR="0036359D" w:rsidRPr="00C74816" w:rsidRDefault="0036359D" w:rsidP="00B9569A">
            <w:pPr>
              <w:pStyle w:val="Tabletext"/>
              <w:rPr>
                <w:sz w:val="20"/>
                <w:lang w:val="ru-RU"/>
              </w:rPr>
            </w:pPr>
            <w:r w:rsidRPr="00C74816">
              <w:rPr>
                <w:sz w:val="20"/>
                <w:lang w:val="ru-RU"/>
              </w:rPr>
              <w:t>Информационные технологии – Методы проверки на соответствие устройств радиочастотной идентификации – Часть 2: Методы проверки связи с использованием радиоинтерфейса на частотах ниже 135 кГц</w:t>
            </w:r>
          </w:p>
        </w:tc>
        <w:tc>
          <w:tcPr>
            <w:tcW w:w="1842" w:type="dxa"/>
          </w:tcPr>
          <w:p w14:paraId="076B3274" w14:textId="77777777" w:rsidR="0036359D" w:rsidRPr="00C74816" w:rsidRDefault="0036359D" w:rsidP="00B9569A">
            <w:pPr>
              <w:pStyle w:val="Tabletext"/>
              <w:rPr>
                <w:sz w:val="20"/>
                <w:lang w:val="ru-RU"/>
              </w:rPr>
            </w:pPr>
            <w:r w:rsidRPr="00C74816">
              <w:rPr>
                <w:sz w:val="20"/>
                <w:lang w:val="ru-RU"/>
              </w:rPr>
              <w:t> </w:t>
            </w:r>
          </w:p>
        </w:tc>
      </w:tr>
      <w:tr w:rsidR="0036359D" w:rsidRPr="00C74816" w14:paraId="178525B2" w14:textId="77777777" w:rsidTr="00892A01">
        <w:trPr>
          <w:jc w:val="center"/>
        </w:trPr>
        <w:tc>
          <w:tcPr>
            <w:tcW w:w="2126" w:type="dxa"/>
          </w:tcPr>
          <w:p w14:paraId="3052ECEF" w14:textId="77777777" w:rsidR="0036359D" w:rsidRPr="00C74816" w:rsidRDefault="0036359D" w:rsidP="00B9569A">
            <w:pPr>
              <w:pStyle w:val="Tabletext"/>
              <w:rPr>
                <w:spacing w:val="-2"/>
                <w:sz w:val="20"/>
                <w:lang w:val="ru-RU"/>
              </w:rPr>
            </w:pPr>
            <w:r w:rsidRPr="00C74816">
              <w:rPr>
                <w:spacing w:val="-2"/>
                <w:sz w:val="20"/>
                <w:lang w:val="ru-RU"/>
              </w:rPr>
              <w:t>ИСО/МЭК TR 18047-3</w:t>
            </w:r>
          </w:p>
        </w:tc>
        <w:tc>
          <w:tcPr>
            <w:tcW w:w="5671" w:type="dxa"/>
          </w:tcPr>
          <w:p w14:paraId="7858671C" w14:textId="77777777" w:rsidR="0036359D" w:rsidRPr="00C74816" w:rsidRDefault="0036359D" w:rsidP="00B9569A">
            <w:pPr>
              <w:pStyle w:val="Tabletext"/>
              <w:rPr>
                <w:sz w:val="20"/>
                <w:lang w:val="ru-RU"/>
              </w:rPr>
            </w:pPr>
            <w:r w:rsidRPr="00C74816">
              <w:rPr>
                <w:sz w:val="20"/>
                <w:lang w:val="ru-RU"/>
              </w:rPr>
              <w:t>Информационные технологии – Методы проверки на соответствие устройств радиочастотной идентификации – Часть 3: Методы проверки связи с использованием радиоинтерфейса на частоте 13,56 МГц</w:t>
            </w:r>
          </w:p>
        </w:tc>
        <w:tc>
          <w:tcPr>
            <w:tcW w:w="1842" w:type="dxa"/>
          </w:tcPr>
          <w:p w14:paraId="727898A7" w14:textId="77777777" w:rsidR="0036359D" w:rsidRPr="00C74816" w:rsidRDefault="0036359D" w:rsidP="00B9569A">
            <w:pPr>
              <w:pStyle w:val="Tabletext"/>
              <w:rPr>
                <w:sz w:val="20"/>
                <w:lang w:val="ru-RU"/>
              </w:rPr>
            </w:pPr>
            <w:r w:rsidRPr="00C74816">
              <w:rPr>
                <w:sz w:val="20"/>
                <w:lang w:val="ru-RU"/>
              </w:rPr>
              <w:t> </w:t>
            </w:r>
          </w:p>
        </w:tc>
      </w:tr>
      <w:tr w:rsidR="0036359D" w:rsidRPr="00C74816" w14:paraId="73F9FFF9" w14:textId="77777777" w:rsidTr="00892A01">
        <w:trPr>
          <w:jc w:val="center"/>
        </w:trPr>
        <w:tc>
          <w:tcPr>
            <w:tcW w:w="2126" w:type="dxa"/>
          </w:tcPr>
          <w:p w14:paraId="6A03EE36" w14:textId="77777777" w:rsidR="0036359D" w:rsidRPr="00C74816" w:rsidRDefault="0036359D" w:rsidP="00B9569A">
            <w:pPr>
              <w:pStyle w:val="Tabletext"/>
              <w:rPr>
                <w:spacing w:val="-2"/>
                <w:sz w:val="20"/>
                <w:lang w:val="ru-RU"/>
              </w:rPr>
            </w:pPr>
            <w:r w:rsidRPr="00C74816">
              <w:rPr>
                <w:spacing w:val="-2"/>
                <w:sz w:val="20"/>
                <w:lang w:val="ru-RU"/>
              </w:rPr>
              <w:t>ИСО/МЭК TR 18047-4</w:t>
            </w:r>
          </w:p>
        </w:tc>
        <w:tc>
          <w:tcPr>
            <w:tcW w:w="5671" w:type="dxa"/>
          </w:tcPr>
          <w:p w14:paraId="33D67193" w14:textId="77777777" w:rsidR="0036359D" w:rsidRPr="00C74816" w:rsidRDefault="0036359D" w:rsidP="00B9569A">
            <w:pPr>
              <w:pStyle w:val="Tabletext"/>
              <w:rPr>
                <w:sz w:val="20"/>
                <w:lang w:val="ru-RU"/>
              </w:rPr>
            </w:pPr>
            <w:r w:rsidRPr="00C74816">
              <w:rPr>
                <w:sz w:val="20"/>
                <w:lang w:val="ru-RU"/>
              </w:rPr>
              <w:t>Информационные технологии – Методы проверки на соответствие устройств радиочастотной идентификации – Часть 4: Методы проверки связи с использованием радиоинтерфейса на частоте 2,45 ГГц</w:t>
            </w:r>
          </w:p>
        </w:tc>
        <w:tc>
          <w:tcPr>
            <w:tcW w:w="1842" w:type="dxa"/>
          </w:tcPr>
          <w:p w14:paraId="44CFD3B7" w14:textId="77777777" w:rsidR="0036359D" w:rsidRPr="00C74816" w:rsidRDefault="0036359D" w:rsidP="00B9569A">
            <w:pPr>
              <w:pStyle w:val="Tabletext"/>
              <w:rPr>
                <w:sz w:val="20"/>
                <w:lang w:val="ru-RU"/>
              </w:rPr>
            </w:pPr>
            <w:r w:rsidRPr="00C74816">
              <w:rPr>
                <w:sz w:val="20"/>
                <w:lang w:val="ru-RU"/>
              </w:rPr>
              <w:t> </w:t>
            </w:r>
          </w:p>
        </w:tc>
      </w:tr>
      <w:tr w:rsidR="0036359D" w:rsidRPr="00C74816" w14:paraId="41D2F16A" w14:textId="77777777" w:rsidTr="00892A01">
        <w:trPr>
          <w:jc w:val="center"/>
        </w:trPr>
        <w:tc>
          <w:tcPr>
            <w:tcW w:w="2126" w:type="dxa"/>
          </w:tcPr>
          <w:p w14:paraId="58DDF442" w14:textId="77777777" w:rsidR="0036359D" w:rsidRPr="00C74816" w:rsidRDefault="0036359D" w:rsidP="00B9569A">
            <w:pPr>
              <w:pStyle w:val="Tabletext"/>
              <w:rPr>
                <w:spacing w:val="-2"/>
                <w:sz w:val="20"/>
                <w:lang w:val="ru-RU"/>
              </w:rPr>
            </w:pPr>
            <w:r w:rsidRPr="00C74816">
              <w:rPr>
                <w:spacing w:val="-2"/>
                <w:sz w:val="20"/>
                <w:lang w:val="ru-RU"/>
              </w:rPr>
              <w:t>ИСО/МЭК TR 18047-6</w:t>
            </w:r>
          </w:p>
        </w:tc>
        <w:tc>
          <w:tcPr>
            <w:tcW w:w="5671" w:type="dxa"/>
          </w:tcPr>
          <w:p w14:paraId="55F06B1B" w14:textId="77777777" w:rsidR="0036359D" w:rsidRPr="00C74816" w:rsidRDefault="0036359D" w:rsidP="00B9569A">
            <w:pPr>
              <w:pStyle w:val="Tabletext"/>
              <w:rPr>
                <w:sz w:val="20"/>
                <w:lang w:val="ru-RU"/>
              </w:rPr>
            </w:pPr>
            <w:r w:rsidRPr="00C74816">
              <w:rPr>
                <w:sz w:val="20"/>
                <w:lang w:val="ru-RU"/>
              </w:rPr>
              <w:t>Информационные технологии – Методы проверки на соответствие устройств радиочастотной идентификации – Часть 6: Методы проверки связи с использованием радиоинтерфейса на частотах от 860 МГц до 960 МГц</w:t>
            </w:r>
          </w:p>
        </w:tc>
        <w:tc>
          <w:tcPr>
            <w:tcW w:w="1842" w:type="dxa"/>
          </w:tcPr>
          <w:p w14:paraId="0349D091" w14:textId="77777777" w:rsidR="0036359D" w:rsidRPr="00C74816" w:rsidRDefault="0036359D" w:rsidP="00B9569A">
            <w:pPr>
              <w:pStyle w:val="Tabletext"/>
              <w:rPr>
                <w:sz w:val="20"/>
                <w:lang w:val="ru-RU"/>
              </w:rPr>
            </w:pPr>
            <w:r w:rsidRPr="00C74816">
              <w:rPr>
                <w:sz w:val="20"/>
                <w:lang w:val="ru-RU"/>
              </w:rPr>
              <w:t> </w:t>
            </w:r>
          </w:p>
        </w:tc>
      </w:tr>
      <w:tr w:rsidR="0036359D" w:rsidRPr="00C74816" w14:paraId="19D97552" w14:textId="77777777" w:rsidTr="00892A01">
        <w:trPr>
          <w:jc w:val="center"/>
        </w:trPr>
        <w:tc>
          <w:tcPr>
            <w:tcW w:w="2126" w:type="dxa"/>
          </w:tcPr>
          <w:p w14:paraId="548445D4" w14:textId="77777777" w:rsidR="0036359D" w:rsidRPr="00C74816" w:rsidRDefault="0036359D" w:rsidP="00B9569A">
            <w:pPr>
              <w:pStyle w:val="Tabletext"/>
              <w:rPr>
                <w:spacing w:val="-2"/>
                <w:sz w:val="20"/>
                <w:lang w:val="ru-RU"/>
              </w:rPr>
            </w:pPr>
            <w:r w:rsidRPr="00C74816">
              <w:rPr>
                <w:spacing w:val="-2"/>
                <w:sz w:val="20"/>
                <w:lang w:val="ru-RU"/>
              </w:rPr>
              <w:t>ИСО/МЭК TR 18047-7</w:t>
            </w:r>
          </w:p>
        </w:tc>
        <w:tc>
          <w:tcPr>
            <w:tcW w:w="5671" w:type="dxa"/>
          </w:tcPr>
          <w:p w14:paraId="7177AA15" w14:textId="77777777" w:rsidR="0036359D" w:rsidRPr="00C74816" w:rsidRDefault="0036359D" w:rsidP="00B9569A">
            <w:pPr>
              <w:pStyle w:val="Tabletext"/>
              <w:rPr>
                <w:sz w:val="20"/>
                <w:lang w:val="ru-RU"/>
              </w:rPr>
            </w:pPr>
            <w:r w:rsidRPr="00C74816">
              <w:rPr>
                <w:sz w:val="20"/>
                <w:lang w:val="ru-RU"/>
              </w:rPr>
              <w:t>Информационные технологии – Методы проверки на соответствие устройств радиочастотной идентификации – Часть 7: Методы проверки связи с использованием активного радиоинтерфейса на частоте 433 МГц</w:t>
            </w:r>
          </w:p>
        </w:tc>
        <w:tc>
          <w:tcPr>
            <w:tcW w:w="1842" w:type="dxa"/>
            <w:vAlign w:val="center"/>
          </w:tcPr>
          <w:p w14:paraId="16C4E031" w14:textId="77777777" w:rsidR="0036359D" w:rsidRPr="00C74816" w:rsidRDefault="0036359D" w:rsidP="00B9569A">
            <w:pPr>
              <w:pStyle w:val="Tabletext"/>
              <w:rPr>
                <w:sz w:val="20"/>
                <w:lang w:val="ru-RU"/>
              </w:rPr>
            </w:pPr>
          </w:p>
        </w:tc>
      </w:tr>
      <w:tr w:rsidR="0036359D" w:rsidRPr="00C74816" w14:paraId="618F301B" w14:textId="77777777" w:rsidTr="00892A01">
        <w:trPr>
          <w:jc w:val="center"/>
        </w:trPr>
        <w:tc>
          <w:tcPr>
            <w:tcW w:w="2126" w:type="dxa"/>
          </w:tcPr>
          <w:p w14:paraId="46768323" w14:textId="77777777" w:rsidR="0036359D" w:rsidRPr="00C74816" w:rsidRDefault="0036359D" w:rsidP="00B9569A">
            <w:pPr>
              <w:pStyle w:val="Tabletext"/>
              <w:rPr>
                <w:sz w:val="20"/>
                <w:lang w:val="ru-RU"/>
              </w:rPr>
            </w:pPr>
            <w:r w:rsidRPr="00C74816">
              <w:rPr>
                <w:sz w:val="20"/>
                <w:lang w:val="ru-RU"/>
              </w:rPr>
              <w:t xml:space="preserve">ИСО 18000-2 </w:t>
            </w:r>
          </w:p>
        </w:tc>
        <w:tc>
          <w:tcPr>
            <w:tcW w:w="5671" w:type="dxa"/>
          </w:tcPr>
          <w:p w14:paraId="4B919FF8" w14:textId="77777777" w:rsidR="0036359D" w:rsidRPr="00C74816" w:rsidRDefault="0036359D" w:rsidP="00B9569A">
            <w:pPr>
              <w:pStyle w:val="Tabletext"/>
              <w:rPr>
                <w:sz w:val="20"/>
                <w:lang w:val="ru-RU"/>
              </w:rPr>
            </w:pPr>
            <w:r w:rsidRPr="00C74816">
              <w:rPr>
                <w:sz w:val="20"/>
                <w:lang w:val="ru-RU"/>
              </w:rPr>
              <w:t>Радиоинтерфейс для &lt; 135 кГц – Тип A (FDX), Тип B (HDX) –Возможность избегать столкновений, дескрипторы и системы, обеспечивающие функциональную совместимость</w:t>
            </w:r>
          </w:p>
        </w:tc>
        <w:tc>
          <w:tcPr>
            <w:tcW w:w="1842" w:type="dxa"/>
          </w:tcPr>
          <w:p w14:paraId="2CB2C729"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479A6CFC" w14:textId="77777777" w:rsidTr="00892A01">
        <w:trPr>
          <w:jc w:val="center"/>
        </w:trPr>
        <w:tc>
          <w:tcPr>
            <w:tcW w:w="2126" w:type="dxa"/>
          </w:tcPr>
          <w:p w14:paraId="4D356F33" w14:textId="77777777" w:rsidR="0036359D" w:rsidRPr="00C74816" w:rsidRDefault="0036359D" w:rsidP="00B9569A">
            <w:pPr>
              <w:pStyle w:val="Tabletext"/>
              <w:rPr>
                <w:sz w:val="20"/>
                <w:lang w:val="ru-RU"/>
              </w:rPr>
            </w:pPr>
            <w:r w:rsidRPr="00C74816">
              <w:rPr>
                <w:sz w:val="20"/>
                <w:lang w:val="ru-RU"/>
              </w:rPr>
              <w:t xml:space="preserve">ИСО 18000-3 </w:t>
            </w:r>
          </w:p>
        </w:tc>
        <w:tc>
          <w:tcPr>
            <w:tcW w:w="5671" w:type="dxa"/>
          </w:tcPr>
          <w:p w14:paraId="15F7C6E1" w14:textId="77777777" w:rsidR="0036359D" w:rsidRPr="00C74816" w:rsidRDefault="0036359D" w:rsidP="00B9569A">
            <w:pPr>
              <w:pStyle w:val="Tabletext"/>
              <w:rPr>
                <w:sz w:val="20"/>
                <w:lang w:val="ru-RU"/>
              </w:rPr>
            </w:pPr>
            <w:r w:rsidRPr="00C74816">
              <w:rPr>
                <w:sz w:val="20"/>
                <w:lang w:val="ru-RU"/>
              </w:rPr>
              <w:t xml:space="preserve">Радиоинтерфейс на частоте 13,56 МГц – Вид 1 на основе ИСО 15693, 2 скорости 26 и 52 килобайтов – Вид 2 с высокоскоростным интерфейсом, 424 килобайта, 8 обратных каналов </w:t>
            </w:r>
          </w:p>
        </w:tc>
        <w:tc>
          <w:tcPr>
            <w:tcW w:w="1842" w:type="dxa"/>
          </w:tcPr>
          <w:p w14:paraId="5D9566ED"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099FC4CE" w14:textId="77777777" w:rsidTr="00892A01">
        <w:trPr>
          <w:jc w:val="center"/>
        </w:trPr>
        <w:tc>
          <w:tcPr>
            <w:tcW w:w="2126" w:type="dxa"/>
          </w:tcPr>
          <w:p w14:paraId="0A53E60D" w14:textId="77777777" w:rsidR="0036359D" w:rsidRPr="00C74816" w:rsidRDefault="0036359D" w:rsidP="00B9569A">
            <w:pPr>
              <w:pStyle w:val="Tabletext"/>
              <w:rPr>
                <w:sz w:val="20"/>
                <w:lang w:val="ru-RU"/>
              </w:rPr>
            </w:pPr>
            <w:r w:rsidRPr="00C74816">
              <w:rPr>
                <w:sz w:val="20"/>
                <w:lang w:val="ru-RU"/>
              </w:rPr>
              <w:t xml:space="preserve">ИСО 18000-4 </w:t>
            </w:r>
          </w:p>
        </w:tc>
        <w:tc>
          <w:tcPr>
            <w:tcW w:w="5671" w:type="dxa"/>
          </w:tcPr>
          <w:p w14:paraId="4FAD46C8" w14:textId="77777777" w:rsidR="0036359D" w:rsidRPr="00C74816" w:rsidRDefault="0036359D" w:rsidP="00B9569A">
            <w:pPr>
              <w:pStyle w:val="Tabletext"/>
              <w:rPr>
                <w:sz w:val="20"/>
                <w:lang w:val="ru-RU"/>
              </w:rPr>
            </w:pPr>
            <w:r w:rsidRPr="00C74816">
              <w:rPr>
                <w:sz w:val="20"/>
                <w:lang w:val="ru-RU"/>
              </w:rPr>
              <w:t>Радиоинтерфейс на частоте 2,45 ГГц – Вид 1 с пассивным дескриптором – Вид 2 со вспомогательным аккумулятором и дальнего действия, высокая скорость в 384 килобайта или R/O при 76 килобайтах </w:t>
            </w:r>
          </w:p>
        </w:tc>
        <w:tc>
          <w:tcPr>
            <w:tcW w:w="1842" w:type="dxa"/>
          </w:tcPr>
          <w:p w14:paraId="45813A20"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2CBFB788" w14:textId="77777777" w:rsidTr="00892A01">
        <w:trPr>
          <w:jc w:val="center"/>
        </w:trPr>
        <w:tc>
          <w:tcPr>
            <w:tcW w:w="2126" w:type="dxa"/>
          </w:tcPr>
          <w:p w14:paraId="514DCAE2" w14:textId="77777777" w:rsidR="0036359D" w:rsidRPr="00C74816" w:rsidRDefault="0036359D" w:rsidP="00B9569A">
            <w:pPr>
              <w:pStyle w:val="Tabletext"/>
              <w:rPr>
                <w:sz w:val="20"/>
                <w:lang w:val="ru-RU"/>
              </w:rPr>
            </w:pPr>
            <w:r w:rsidRPr="00C74816">
              <w:rPr>
                <w:sz w:val="20"/>
                <w:lang w:val="ru-RU"/>
              </w:rPr>
              <w:t xml:space="preserve">ИСО 18000-6 </w:t>
            </w:r>
          </w:p>
        </w:tc>
        <w:tc>
          <w:tcPr>
            <w:tcW w:w="5671" w:type="dxa"/>
          </w:tcPr>
          <w:p w14:paraId="306D14D9" w14:textId="77777777" w:rsidR="0036359D" w:rsidRPr="00C74816" w:rsidRDefault="0036359D" w:rsidP="00B9569A">
            <w:pPr>
              <w:pStyle w:val="Tabletext"/>
              <w:rPr>
                <w:sz w:val="20"/>
                <w:lang w:val="ru-RU"/>
              </w:rPr>
            </w:pPr>
            <w:r w:rsidRPr="00C74816">
              <w:rPr>
                <w:sz w:val="20"/>
                <w:lang w:val="ru-RU"/>
              </w:rPr>
              <w:t>Радиоинтерфейс на частотах 860–960 МГц – Тип A, Кодирование интервала между импульсами и адаптивный алгоритм Aloha для избегания столкновений – Тип B, Кодирование Manchester и адаптивный алгоритм двоичного дерева для избегания столкновений – Тип C, Кодирование интервала между импульсами, EPC Global Gen2</w:t>
            </w:r>
          </w:p>
        </w:tc>
        <w:tc>
          <w:tcPr>
            <w:tcW w:w="1842" w:type="dxa"/>
          </w:tcPr>
          <w:p w14:paraId="63C58D04"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60405647" w14:textId="77777777" w:rsidTr="00892A01">
        <w:trPr>
          <w:jc w:val="center"/>
        </w:trPr>
        <w:tc>
          <w:tcPr>
            <w:tcW w:w="2126" w:type="dxa"/>
          </w:tcPr>
          <w:p w14:paraId="51F0B785" w14:textId="77777777" w:rsidR="0036359D" w:rsidRPr="00C74816" w:rsidRDefault="0036359D" w:rsidP="00B9569A">
            <w:pPr>
              <w:pStyle w:val="Tabletext"/>
              <w:rPr>
                <w:sz w:val="20"/>
                <w:lang w:val="ru-RU"/>
              </w:rPr>
            </w:pPr>
            <w:r w:rsidRPr="00C74816">
              <w:rPr>
                <w:sz w:val="20"/>
                <w:lang w:val="ru-RU"/>
              </w:rPr>
              <w:lastRenderedPageBreak/>
              <w:t xml:space="preserve">ИСО 18000-6 A1 </w:t>
            </w:r>
          </w:p>
        </w:tc>
        <w:tc>
          <w:tcPr>
            <w:tcW w:w="5671" w:type="dxa"/>
          </w:tcPr>
          <w:p w14:paraId="1ABD3E5D" w14:textId="77777777" w:rsidR="0036359D" w:rsidRPr="00C74816" w:rsidRDefault="0036359D" w:rsidP="00B9569A">
            <w:pPr>
              <w:pStyle w:val="Tabletext"/>
              <w:rPr>
                <w:sz w:val="20"/>
                <w:lang w:val="ru-RU"/>
              </w:rPr>
            </w:pPr>
            <w:r w:rsidRPr="00C74816">
              <w:rPr>
                <w:sz w:val="20"/>
                <w:lang w:val="ru-RU"/>
              </w:rPr>
              <w:t xml:space="preserve">Поправка 1 – Вид C </w:t>
            </w:r>
          </w:p>
        </w:tc>
        <w:tc>
          <w:tcPr>
            <w:tcW w:w="1842" w:type="dxa"/>
          </w:tcPr>
          <w:p w14:paraId="690E2F7A" w14:textId="77777777" w:rsidR="0036359D" w:rsidRPr="00C74816" w:rsidRDefault="0036359D" w:rsidP="00B9569A">
            <w:pPr>
              <w:pStyle w:val="Tabletext"/>
              <w:rPr>
                <w:sz w:val="20"/>
                <w:lang w:val="ru-RU"/>
              </w:rPr>
            </w:pPr>
            <w:r w:rsidRPr="00C74816">
              <w:rPr>
                <w:sz w:val="20"/>
                <w:lang w:val="ru-RU"/>
              </w:rPr>
              <w:t>Опубликован как</w:t>
            </w:r>
            <w:r w:rsidRPr="00C74816">
              <w:rPr>
                <w:sz w:val="20"/>
                <w:lang w:val="ru-RU"/>
              </w:rPr>
              <w:br/>
              <w:t>AMD1 2006</w:t>
            </w:r>
          </w:p>
        </w:tc>
      </w:tr>
      <w:tr w:rsidR="0036359D" w:rsidRPr="00C74816" w14:paraId="0D770D45" w14:textId="77777777" w:rsidTr="00892A01">
        <w:trPr>
          <w:jc w:val="center"/>
        </w:trPr>
        <w:tc>
          <w:tcPr>
            <w:tcW w:w="2126" w:type="dxa"/>
          </w:tcPr>
          <w:p w14:paraId="1F3ABE68" w14:textId="77777777" w:rsidR="0036359D" w:rsidRPr="00C74816" w:rsidRDefault="0036359D" w:rsidP="00B9569A">
            <w:pPr>
              <w:pStyle w:val="Tabletext"/>
              <w:rPr>
                <w:sz w:val="20"/>
                <w:lang w:val="ru-RU"/>
              </w:rPr>
            </w:pPr>
            <w:r w:rsidRPr="00C74816">
              <w:rPr>
                <w:sz w:val="20"/>
                <w:lang w:val="ru-RU"/>
              </w:rPr>
              <w:t xml:space="preserve">ИСО 18000-7 </w:t>
            </w:r>
          </w:p>
        </w:tc>
        <w:tc>
          <w:tcPr>
            <w:tcW w:w="5671" w:type="dxa"/>
          </w:tcPr>
          <w:p w14:paraId="2BA762BD" w14:textId="77777777" w:rsidR="0036359D" w:rsidRPr="00C74816" w:rsidRDefault="0036359D" w:rsidP="00B9569A">
            <w:pPr>
              <w:pStyle w:val="Tabletext"/>
              <w:rPr>
                <w:sz w:val="20"/>
                <w:lang w:val="ru-RU"/>
              </w:rPr>
            </w:pPr>
            <w:r w:rsidRPr="00C74816">
              <w:rPr>
                <w:sz w:val="20"/>
                <w:lang w:val="ru-RU"/>
              </w:rPr>
              <w:t>Радиоинтерфейс на частоте 433 МГц – применим только для активных дескрипторов в связи с максимальным уровнем излучения 10 мВт</w:t>
            </w:r>
          </w:p>
        </w:tc>
        <w:tc>
          <w:tcPr>
            <w:tcW w:w="1842" w:type="dxa"/>
          </w:tcPr>
          <w:p w14:paraId="4F83C706"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25EC8DDA" w14:textId="77777777" w:rsidTr="00892A01">
        <w:trPr>
          <w:jc w:val="center"/>
        </w:trPr>
        <w:tc>
          <w:tcPr>
            <w:tcW w:w="2126" w:type="dxa"/>
          </w:tcPr>
          <w:p w14:paraId="2B44CC9C" w14:textId="77777777" w:rsidR="0036359D" w:rsidRPr="00C74816" w:rsidRDefault="0036359D" w:rsidP="00B9569A">
            <w:pPr>
              <w:pStyle w:val="Tabletext"/>
              <w:rPr>
                <w:sz w:val="20"/>
                <w:lang w:val="ru-RU"/>
              </w:rPr>
            </w:pPr>
            <w:r w:rsidRPr="00C74816">
              <w:rPr>
                <w:sz w:val="20"/>
                <w:lang w:val="ru-RU"/>
              </w:rPr>
              <w:t xml:space="preserve">ИСО 18000-7 R1 </w:t>
            </w:r>
          </w:p>
        </w:tc>
        <w:tc>
          <w:tcPr>
            <w:tcW w:w="5671" w:type="dxa"/>
          </w:tcPr>
          <w:p w14:paraId="096A4D86" w14:textId="77777777" w:rsidR="0036359D" w:rsidRPr="00C74816" w:rsidRDefault="0036359D" w:rsidP="00B9569A">
            <w:pPr>
              <w:pStyle w:val="Tabletext"/>
              <w:rPr>
                <w:sz w:val="20"/>
                <w:lang w:val="ru-RU"/>
              </w:rPr>
            </w:pPr>
            <w:r w:rsidRPr="00C74816">
              <w:rPr>
                <w:sz w:val="20"/>
                <w:lang w:val="ru-RU"/>
              </w:rPr>
              <w:t>Пересмотр 1</w:t>
            </w:r>
          </w:p>
        </w:tc>
        <w:tc>
          <w:tcPr>
            <w:tcW w:w="1842" w:type="dxa"/>
          </w:tcPr>
          <w:p w14:paraId="4E2CC0C8"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21D7B860" w14:textId="77777777" w:rsidTr="00892A01">
        <w:trPr>
          <w:jc w:val="center"/>
        </w:trPr>
        <w:tc>
          <w:tcPr>
            <w:tcW w:w="2126" w:type="dxa"/>
          </w:tcPr>
          <w:p w14:paraId="7F0AABD3" w14:textId="77777777" w:rsidR="0036359D" w:rsidRPr="00C74816" w:rsidRDefault="0036359D" w:rsidP="00B9569A">
            <w:pPr>
              <w:pStyle w:val="Tabletext"/>
              <w:rPr>
                <w:sz w:val="20"/>
                <w:lang w:val="ru-RU"/>
              </w:rPr>
            </w:pPr>
            <w:r w:rsidRPr="00C74816">
              <w:rPr>
                <w:sz w:val="20"/>
                <w:lang w:val="ru-RU"/>
              </w:rPr>
              <w:t>ИСО 24730-1</w:t>
            </w:r>
          </w:p>
        </w:tc>
        <w:tc>
          <w:tcPr>
            <w:tcW w:w="5671" w:type="dxa"/>
          </w:tcPr>
          <w:p w14:paraId="576EB05E" w14:textId="77777777" w:rsidR="0036359D" w:rsidRPr="00C74816" w:rsidRDefault="0036359D" w:rsidP="00B9569A">
            <w:pPr>
              <w:pStyle w:val="Tabletext"/>
              <w:rPr>
                <w:sz w:val="20"/>
                <w:lang w:val="ru-RU"/>
              </w:rPr>
            </w:pPr>
            <w:r w:rsidRPr="00C74816">
              <w:rPr>
                <w:sz w:val="20"/>
                <w:lang w:val="ru-RU"/>
              </w:rPr>
              <w:t xml:space="preserve">Системы определения местоположения в реальном времени (RTLS) – Часть 1: Интерфейс прикладных программ (API) </w:t>
            </w:r>
          </w:p>
        </w:tc>
        <w:tc>
          <w:tcPr>
            <w:tcW w:w="1842" w:type="dxa"/>
          </w:tcPr>
          <w:p w14:paraId="4C70E395"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147BA9BD" w14:textId="77777777" w:rsidTr="00892A01">
        <w:trPr>
          <w:jc w:val="center"/>
        </w:trPr>
        <w:tc>
          <w:tcPr>
            <w:tcW w:w="2126" w:type="dxa"/>
          </w:tcPr>
          <w:p w14:paraId="6BC90E45" w14:textId="77777777" w:rsidR="0036359D" w:rsidRPr="00C74816" w:rsidRDefault="0036359D" w:rsidP="00B9569A">
            <w:pPr>
              <w:pStyle w:val="Tabletext"/>
              <w:rPr>
                <w:sz w:val="20"/>
                <w:lang w:val="ru-RU"/>
              </w:rPr>
            </w:pPr>
            <w:r w:rsidRPr="00C74816">
              <w:rPr>
                <w:sz w:val="20"/>
                <w:lang w:val="ru-RU"/>
              </w:rPr>
              <w:t>ИСО 24730-2</w:t>
            </w:r>
          </w:p>
        </w:tc>
        <w:tc>
          <w:tcPr>
            <w:tcW w:w="5671" w:type="dxa"/>
          </w:tcPr>
          <w:p w14:paraId="1B354D47" w14:textId="77777777" w:rsidR="0036359D" w:rsidRPr="00C74816" w:rsidRDefault="0036359D" w:rsidP="00B9569A">
            <w:pPr>
              <w:pStyle w:val="Tabletext"/>
              <w:rPr>
                <w:sz w:val="20"/>
                <w:lang w:val="ru-RU"/>
              </w:rPr>
            </w:pPr>
            <w:r w:rsidRPr="00C74816">
              <w:rPr>
                <w:sz w:val="20"/>
                <w:lang w:val="ru-RU"/>
              </w:rPr>
              <w:t>Системы определения местоположения в реальном времени (RTLS) – Часть 2: 2,4 ГГц – Расширение спектра по методу прямой последовательности (DSSS)</w:t>
            </w:r>
          </w:p>
        </w:tc>
        <w:tc>
          <w:tcPr>
            <w:tcW w:w="1842" w:type="dxa"/>
          </w:tcPr>
          <w:p w14:paraId="66E258F5"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320F4208" w14:textId="77777777" w:rsidTr="00892A01">
        <w:trPr>
          <w:jc w:val="center"/>
        </w:trPr>
        <w:tc>
          <w:tcPr>
            <w:tcW w:w="2126" w:type="dxa"/>
          </w:tcPr>
          <w:p w14:paraId="672B7F5D" w14:textId="77777777" w:rsidR="0036359D" w:rsidRPr="00C74816" w:rsidRDefault="0036359D" w:rsidP="00B9569A">
            <w:pPr>
              <w:pStyle w:val="Tabletext"/>
              <w:rPr>
                <w:sz w:val="20"/>
                <w:lang w:val="ru-RU"/>
              </w:rPr>
            </w:pPr>
            <w:r w:rsidRPr="00C74816">
              <w:rPr>
                <w:sz w:val="20"/>
                <w:lang w:val="ru-RU"/>
              </w:rPr>
              <w:t xml:space="preserve">ИСО 11785 </w:t>
            </w:r>
          </w:p>
        </w:tc>
        <w:tc>
          <w:tcPr>
            <w:tcW w:w="5671" w:type="dxa"/>
          </w:tcPr>
          <w:p w14:paraId="0AC20C79" w14:textId="77777777" w:rsidR="0036359D" w:rsidRPr="00C74816" w:rsidRDefault="0036359D" w:rsidP="00B9569A">
            <w:pPr>
              <w:pStyle w:val="Tabletext"/>
              <w:rPr>
                <w:sz w:val="20"/>
                <w:lang w:val="ru-RU"/>
              </w:rPr>
            </w:pPr>
            <w:r w:rsidRPr="00C74816">
              <w:rPr>
                <w:sz w:val="20"/>
                <w:lang w:val="ru-RU"/>
              </w:rPr>
              <w:t>Радиочастотная идентификация животных</w:t>
            </w:r>
            <w:r w:rsidRPr="00C74816">
              <w:rPr>
                <w:sz w:val="20"/>
                <w:lang w:val="ru-RU"/>
              </w:rPr>
              <w:br/>
              <w:t>Основа технической концепции</w:t>
            </w:r>
          </w:p>
        </w:tc>
        <w:tc>
          <w:tcPr>
            <w:tcW w:w="1842" w:type="dxa"/>
          </w:tcPr>
          <w:p w14:paraId="516530D5" w14:textId="77777777" w:rsidR="0036359D" w:rsidRPr="00C74816" w:rsidRDefault="0036359D" w:rsidP="00B9569A">
            <w:pPr>
              <w:pStyle w:val="Tabletext"/>
              <w:rPr>
                <w:sz w:val="20"/>
                <w:lang w:val="ru-RU"/>
              </w:rPr>
            </w:pPr>
          </w:p>
        </w:tc>
      </w:tr>
      <w:tr w:rsidR="0036359D" w:rsidRPr="00C74816" w14:paraId="0D982585" w14:textId="77777777" w:rsidTr="00892A01">
        <w:trPr>
          <w:jc w:val="center"/>
        </w:trPr>
        <w:tc>
          <w:tcPr>
            <w:tcW w:w="2126" w:type="dxa"/>
          </w:tcPr>
          <w:p w14:paraId="0E6500E7" w14:textId="77777777" w:rsidR="0036359D" w:rsidRPr="00C74816" w:rsidRDefault="0036359D" w:rsidP="00B9569A">
            <w:pPr>
              <w:pStyle w:val="Tabletext"/>
              <w:rPr>
                <w:sz w:val="20"/>
                <w:lang w:val="ru-RU"/>
              </w:rPr>
            </w:pPr>
            <w:r w:rsidRPr="00C74816">
              <w:rPr>
                <w:sz w:val="20"/>
                <w:lang w:val="ru-RU"/>
              </w:rPr>
              <w:t xml:space="preserve">ИСО 14223 </w:t>
            </w:r>
          </w:p>
        </w:tc>
        <w:tc>
          <w:tcPr>
            <w:tcW w:w="5671" w:type="dxa"/>
          </w:tcPr>
          <w:p w14:paraId="53E06925" w14:textId="77777777" w:rsidR="0036359D" w:rsidRPr="00C74816" w:rsidRDefault="0036359D" w:rsidP="00B9569A">
            <w:pPr>
              <w:pStyle w:val="Tabletext"/>
              <w:rPr>
                <w:sz w:val="20"/>
                <w:lang w:val="ru-RU"/>
              </w:rPr>
            </w:pPr>
            <w:r w:rsidRPr="00C74816">
              <w:rPr>
                <w:sz w:val="20"/>
                <w:lang w:val="ru-RU"/>
              </w:rPr>
              <w:t>Радиочастотная идентификация животных</w:t>
            </w:r>
            <w:r w:rsidRPr="00C74816">
              <w:rPr>
                <w:sz w:val="20"/>
                <w:lang w:val="ru-RU"/>
              </w:rPr>
              <w:br/>
              <w:t xml:space="preserve">Усовершенствованные ретрансляторы </w:t>
            </w:r>
            <w:r w:rsidRPr="00C74816">
              <w:rPr>
                <w:sz w:val="20"/>
                <w:lang w:val="ru-RU"/>
              </w:rPr>
              <w:br/>
              <w:t xml:space="preserve">Часть 1: Радиоинтерфейс </w:t>
            </w:r>
          </w:p>
        </w:tc>
        <w:tc>
          <w:tcPr>
            <w:tcW w:w="1842" w:type="dxa"/>
          </w:tcPr>
          <w:p w14:paraId="632E985D"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4D07FC12" w14:textId="77777777" w:rsidTr="00892A01">
        <w:trPr>
          <w:jc w:val="center"/>
        </w:trPr>
        <w:tc>
          <w:tcPr>
            <w:tcW w:w="2126" w:type="dxa"/>
          </w:tcPr>
          <w:p w14:paraId="20E40ADA" w14:textId="77777777" w:rsidR="0036359D" w:rsidRPr="00C74816" w:rsidRDefault="0036359D" w:rsidP="00B9569A">
            <w:pPr>
              <w:pStyle w:val="Tabletext"/>
              <w:rPr>
                <w:sz w:val="20"/>
                <w:lang w:val="ru-RU"/>
              </w:rPr>
            </w:pPr>
            <w:r w:rsidRPr="00C74816">
              <w:rPr>
                <w:sz w:val="20"/>
                <w:lang w:val="ru-RU"/>
              </w:rPr>
              <w:t xml:space="preserve">ИСО 15693 </w:t>
            </w:r>
          </w:p>
        </w:tc>
        <w:tc>
          <w:tcPr>
            <w:tcW w:w="5671" w:type="dxa"/>
          </w:tcPr>
          <w:p w14:paraId="67811520" w14:textId="77777777" w:rsidR="0036359D" w:rsidRPr="00C74816" w:rsidRDefault="0036359D" w:rsidP="00B9569A">
            <w:pPr>
              <w:pStyle w:val="Tabletext"/>
              <w:rPr>
                <w:sz w:val="20"/>
                <w:lang w:val="ru-RU"/>
              </w:rPr>
            </w:pPr>
            <w:r w:rsidRPr="00C74816">
              <w:rPr>
                <w:sz w:val="20"/>
                <w:lang w:val="ru-RU"/>
              </w:rPr>
              <w:t xml:space="preserve">Идентификационные карты – Бесконтактные карты с интегральной(ыми) схемой(ами); Карта с интегральной(ыми) схемой(ами) средней дальности действия (vicinity card); Часть 2: Мощность ВЧ-сигнала и интерфейс сигнала </w:t>
            </w:r>
          </w:p>
        </w:tc>
        <w:tc>
          <w:tcPr>
            <w:tcW w:w="1842" w:type="dxa"/>
          </w:tcPr>
          <w:p w14:paraId="5E1454D9" w14:textId="77777777" w:rsidR="0036359D" w:rsidRPr="00C74816" w:rsidRDefault="0036359D" w:rsidP="00B9569A">
            <w:pPr>
              <w:pStyle w:val="Tabletext"/>
              <w:rPr>
                <w:sz w:val="20"/>
                <w:lang w:val="ru-RU"/>
              </w:rPr>
            </w:pPr>
            <w:r w:rsidRPr="00C74816">
              <w:rPr>
                <w:sz w:val="20"/>
                <w:lang w:val="ru-RU"/>
              </w:rPr>
              <w:t>Опубликован</w:t>
            </w:r>
          </w:p>
        </w:tc>
      </w:tr>
      <w:tr w:rsidR="0036359D" w:rsidRPr="00C74816" w14:paraId="4274C336" w14:textId="77777777" w:rsidTr="00892A01">
        <w:trPr>
          <w:jc w:val="center"/>
        </w:trPr>
        <w:tc>
          <w:tcPr>
            <w:tcW w:w="2126" w:type="dxa"/>
          </w:tcPr>
          <w:p w14:paraId="465E2651" w14:textId="77777777" w:rsidR="0036359D" w:rsidRPr="00C74816" w:rsidRDefault="0036359D" w:rsidP="00B9569A">
            <w:pPr>
              <w:pStyle w:val="Tabletext"/>
              <w:rPr>
                <w:sz w:val="20"/>
                <w:lang w:val="ru-RU"/>
              </w:rPr>
            </w:pPr>
            <w:r w:rsidRPr="00C74816">
              <w:rPr>
                <w:sz w:val="20"/>
                <w:lang w:val="ru-RU"/>
              </w:rPr>
              <w:t>ИСО 14443</w:t>
            </w:r>
          </w:p>
        </w:tc>
        <w:tc>
          <w:tcPr>
            <w:tcW w:w="5671" w:type="dxa"/>
          </w:tcPr>
          <w:p w14:paraId="24F0BADC" w14:textId="77777777" w:rsidR="0036359D" w:rsidRPr="00C74816" w:rsidRDefault="0036359D" w:rsidP="00B9569A">
            <w:pPr>
              <w:pStyle w:val="Tabletext"/>
              <w:rPr>
                <w:sz w:val="20"/>
                <w:lang w:val="ru-RU"/>
              </w:rPr>
            </w:pPr>
            <w:r w:rsidRPr="00C74816">
              <w:rPr>
                <w:sz w:val="20"/>
                <w:lang w:val="ru-RU"/>
              </w:rPr>
              <w:t>Идентификационные карты </w:t>
            </w:r>
            <w:r w:rsidRPr="00C74816">
              <w:rPr>
                <w:sz w:val="20"/>
                <w:lang w:val="ru-RU"/>
              </w:rPr>
              <w:br/>
              <w:t>Бесконтактные карты с интегральной схемой</w:t>
            </w:r>
            <w:r w:rsidRPr="00C74816">
              <w:rPr>
                <w:sz w:val="20"/>
                <w:lang w:val="ru-RU"/>
              </w:rPr>
              <w:br/>
              <w:t>Карты малой дальности действия (proximity card)</w:t>
            </w:r>
            <w:r w:rsidRPr="00C74816">
              <w:rPr>
                <w:sz w:val="20"/>
                <w:lang w:val="ru-RU"/>
              </w:rPr>
              <w:br/>
              <w:t xml:space="preserve">Часть 1: Физические характеристики </w:t>
            </w:r>
          </w:p>
        </w:tc>
        <w:tc>
          <w:tcPr>
            <w:tcW w:w="1842" w:type="dxa"/>
          </w:tcPr>
          <w:p w14:paraId="423D3DB3" w14:textId="77777777" w:rsidR="0036359D" w:rsidRPr="00C74816" w:rsidRDefault="0036359D" w:rsidP="00B9569A">
            <w:pPr>
              <w:pStyle w:val="Tabletext"/>
              <w:rPr>
                <w:sz w:val="20"/>
                <w:lang w:val="ru-RU"/>
              </w:rPr>
            </w:pPr>
            <w:r w:rsidRPr="00C74816">
              <w:rPr>
                <w:sz w:val="20"/>
                <w:lang w:val="ru-RU"/>
              </w:rPr>
              <w:t>Опубликован</w:t>
            </w:r>
          </w:p>
        </w:tc>
      </w:tr>
    </w:tbl>
    <w:p w14:paraId="3C03F977" w14:textId="77777777" w:rsidR="00F56656" w:rsidRPr="00C74816" w:rsidRDefault="00F56656" w:rsidP="00F56656">
      <w:pPr>
        <w:pStyle w:val="Tablefin"/>
        <w:rPr>
          <w:lang w:val="ru-RU"/>
        </w:rPr>
      </w:pPr>
    </w:p>
    <w:p w14:paraId="79F1392F" w14:textId="77777777" w:rsidR="00F37385" w:rsidRDefault="00F37385" w:rsidP="00F37385">
      <w:pPr>
        <w:rPr>
          <w:lang w:val="en-US"/>
        </w:rPr>
      </w:pPr>
    </w:p>
    <w:p w14:paraId="7108FB7C" w14:textId="77777777" w:rsidR="00F56656" w:rsidRPr="00F56656" w:rsidRDefault="00F56656" w:rsidP="00F37385">
      <w:pPr>
        <w:rPr>
          <w:lang w:val="en-US"/>
        </w:rPr>
      </w:pPr>
    </w:p>
    <w:p w14:paraId="2B1BDDDA" w14:textId="546D2354" w:rsidR="00B9569A" w:rsidRPr="00C74816" w:rsidRDefault="004F7DB2" w:rsidP="00F37385">
      <w:pPr>
        <w:pStyle w:val="AnnexNoTitle"/>
        <w:rPr>
          <w:lang w:val="ru-RU"/>
        </w:rPr>
      </w:pPr>
      <w:bookmarkStart w:id="47" w:name="_Toc188609900"/>
      <w:r w:rsidRPr="00C74816">
        <w:rPr>
          <w:lang w:val="ru-RU"/>
        </w:rPr>
        <w:t>Приложение</w:t>
      </w:r>
      <w:r w:rsidR="00B9569A" w:rsidRPr="00C74816">
        <w:rPr>
          <w:lang w:val="ru-RU"/>
        </w:rPr>
        <w:t xml:space="preserve"> 5</w:t>
      </w:r>
      <w:r w:rsidR="00B9569A" w:rsidRPr="00C74816">
        <w:rPr>
          <w:lang w:val="ru-RU"/>
        </w:rPr>
        <w:br/>
      </w:r>
      <w:r w:rsidR="00B9569A" w:rsidRPr="00C74816">
        <w:rPr>
          <w:lang w:val="ru-RU"/>
        </w:rPr>
        <w:br/>
      </w:r>
      <w:r w:rsidR="00466CAC" w:rsidRPr="00C74816">
        <w:rPr>
          <w:lang w:val="ru-RU"/>
        </w:rPr>
        <w:t>Регулирование устройств малого радиуса действия в Бразилии</w:t>
      </w:r>
      <w:bookmarkEnd w:id="47"/>
    </w:p>
    <w:p w14:paraId="671AB7C8" w14:textId="0B59AB3E" w:rsidR="00B9569A" w:rsidRPr="00C74816" w:rsidRDefault="00B9569A" w:rsidP="00B9569A">
      <w:pPr>
        <w:pStyle w:val="Heading1"/>
        <w:rPr>
          <w:lang w:val="ru-RU"/>
        </w:rPr>
      </w:pPr>
      <w:bookmarkStart w:id="48" w:name="_Toc111188967"/>
      <w:bookmarkStart w:id="49" w:name="_Toc139967871"/>
      <w:bookmarkStart w:id="50" w:name="_Toc188609901"/>
      <w:r w:rsidRPr="00C74816">
        <w:rPr>
          <w:lang w:val="ru-RU"/>
        </w:rPr>
        <w:t>1</w:t>
      </w:r>
      <w:r w:rsidRPr="00C74816">
        <w:rPr>
          <w:lang w:val="ru-RU"/>
        </w:rPr>
        <w:tab/>
      </w:r>
      <w:bookmarkEnd w:id="48"/>
      <w:bookmarkEnd w:id="49"/>
      <w:r w:rsidR="00466CAC" w:rsidRPr="00C74816">
        <w:rPr>
          <w:lang w:val="ru-RU"/>
        </w:rPr>
        <w:t>Регулирование устройств малого радиуса действия в Бразилии</w:t>
      </w:r>
      <w:bookmarkEnd w:id="50"/>
    </w:p>
    <w:p w14:paraId="1051A81F" w14:textId="66C8BAED" w:rsidR="00466CAC" w:rsidRPr="00C74816" w:rsidRDefault="00466CAC" w:rsidP="00466CAC">
      <w:pPr>
        <w:rPr>
          <w:lang w:val="ru-RU"/>
        </w:rPr>
      </w:pPr>
      <w:r w:rsidRPr="00C74816">
        <w:rPr>
          <w:lang w:val="ru-RU"/>
        </w:rPr>
        <w:t xml:space="preserve">В Бразилии положения об устройствах малого радиуса действия зафиксированы в </w:t>
      </w:r>
      <w:r w:rsidR="00E75959" w:rsidRPr="00C74816">
        <w:rPr>
          <w:lang w:val="ru-RU"/>
        </w:rPr>
        <w:t>Регламенте</w:t>
      </w:r>
      <w:r w:rsidRPr="00C74816">
        <w:rPr>
          <w:lang w:val="ru-RU"/>
        </w:rPr>
        <w:t xml:space="preserve"> об оборудовании радиосвязи с ограниченным излучением, </w:t>
      </w:r>
      <w:r w:rsidR="00E75959" w:rsidRPr="00C74816">
        <w:rPr>
          <w:lang w:val="ru-RU"/>
        </w:rPr>
        <w:t>к которому относится</w:t>
      </w:r>
      <w:r w:rsidRPr="00C74816">
        <w:rPr>
          <w:lang w:val="ru-RU"/>
        </w:rPr>
        <w:t xml:space="preserve"> любое </w:t>
      </w:r>
      <w:r w:rsidR="00E75959" w:rsidRPr="00C74816">
        <w:rPr>
          <w:lang w:val="ru-RU"/>
        </w:rPr>
        <w:t xml:space="preserve">определенное Anatel </w:t>
      </w:r>
      <w:r w:rsidRPr="00C74816">
        <w:rPr>
          <w:lang w:val="ru-RU"/>
        </w:rPr>
        <w:t>устройство радиосвязи</w:t>
      </w:r>
      <w:r w:rsidR="00E75959" w:rsidRPr="00C74816">
        <w:rPr>
          <w:lang w:val="ru-RU"/>
        </w:rPr>
        <w:t>,</w:t>
      </w:r>
      <w:r w:rsidRPr="00C74816">
        <w:rPr>
          <w:lang w:val="ru-RU"/>
        </w:rPr>
        <w:t xml:space="preserve"> использу</w:t>
      </w:r>
      <w:r w:rsidR="00223896" w:rsidRPr="00C74816">
        <w:rPr>
          <w:lang w:val="ru-RU"/>
        </w:rPr>
        <w:t xml:space="preserve">ющее </w:t>
      </w:r>
      <w:r w:rsidRPr="00C74816">
        <w:rPr>
          <w:lang w:val="ru-RU"/>
        </w:rPr>
        <w:t xml:space="preserve">нелицензируемые радиочастоты или </w:t>
      </w:r>
      <w:r w:rsidR="00223896" w:rsidRPr="00C74816">
        <w:rPr>
          <w:lang w:val="ru-RU"/>
        </w:rPr>
        <w:t xml:space="preserve">способное </w:t>
      </w:r>
      <w:r w:rsidRPr="00C74816">
        <w:rPr>
          <w:lang w:val="ru-RU"/>
        </w:rPr>
        <w:t>предоставлять услуги</w:t>
      </w:r>
      <w:r w:rsidR="00E75959" w:rsidRPr="00C74816">
        <w:rPr>
          <w:lang w:val="ru-RU"/>
        </w:rPr>
        <w:t xml:space="preserve"> радиосвязи</w:t>
      </w:r>
      <w:r w:rsidRPr="00C74816">
        <w:rPr>
          <w:lang w:val="ru-RU"/>
        </w:rPr>
        <w:t xml:space="preserve"> на нелицензируемой основе. </w:t>
      </w:r>
      <w:r w:rsidR="00E75959" w:rsidRPr="00C74816">
        <w:rPr>
          <w:lang w:val="ru-RU"/>
        </w:rPr>
        <w:t xml:space="preserve">Все </w:t>
      </w:r>
      <w:r w:rsidRPr="00C74816">
        <w:rPr>
          <w:lang w:val="ru-RU"/>
        </w:rPr>
        <w:t>устройства</w:t>
      </w:r>
      <w:r w:rsidR="00E75959" w:rsidRPr="00C74816">
        <w:rPr>
          <w:lang w:val="ru-RU"/>
        </w:rPr>
        <w:t xml:space="preserve"> радиосвязи</w:t>
      </w:r>
      <w:r w:rsidRPr="00C74816">
        <w:rPr>
          <w:lang w:val="ru-RU"/>
        </w:rPr>
        <w:t xml:space="preserve">, которые будут продаваться или постоянно использоваться в Бразилии, </w:t>
      </w:r>
      <w:r w:rsidR="00E75959" w:rsidRPr="00C74816">
        <w:rPr>
          <w:lang w:val="ru-RU"/>
        </w:rPr>
        <w:t xml:space="preserve">включая устройства малого радиуса действия, </w:t>
      </w:r>
      <w:r w:rsidRPr="00C74816">
        <w:rPr>
          <w:lang w:val="ru-RU"/>
        </w:rPr>
        <w:t>должны быть сертифицированы в соответствии с Общим законом о</w:t>
      </w:r>
      <w:r w:rsidR="00E75959" w:rsidRPr="00C74816">
        <w:rPr>
          <w:lang w:val="ru-RU"/>
        </w:rPr>
        <w:t>б электросвязи</w:t>
      </w:r>
      <w:r w:rsidRPr="00C74816">
        <w:rPr>
          <w:lang w:val="ru-RU"/>
        </w:rPr>
        <w:t xml:space="preserve"> </w:t>
      </w:r>
      <w:r w:rsidR="00E75959" w:rsidRPr="00C74816">
        <w:rPr>
          <w:lang w:val="ru-RU"/>
        </w:rPr>
        <w:t xml:space="preserve">№ </w:t>
      </w:r>
      <w:r w:rsidRPr="00C74816">
        <w:rPr>
          <w:lang w:val="ru-RU"/>
        </w:rPr>
        <w:t xml:space="preserve">9742. </w:t>
      </w:r>
    </w:p>
    <w:p w14:paraId="0D7595B7" w14:textId="23BDC751" w:rsidR="00B9569A" w:rsidRPr="00C74816" w:rsidRDefault="00466CAC" w:rsidP="00B9569A">
      <w:pPr>
        <w:rPr>
          <w:lang w:val="ru-RU"/>
        </w:rPr>
      </w:pPr>
      <w:r w:rsidRPr="00C74816">
        <w:rPr>
          <w:lang w:val="ru-RU"/>
        </w:rPr>
        <w:t>В Резолюци</w:t>
      </w:r>
      <w:r w:rsidR="00E75959" w:rsidRPr="00C74816">
        <w:rPr>
          <w:lang w:val="ru-RU"/>
        </w:rPr>
        <w:t>и</w:t>
      </w:r>
      <w:r w:rsidRPr="00C74816">
        <w:rPr>
          <w:lang w:val="ru-RU"/>
        </w:rPr>
        <w:t xml:space="preserve"> </w:t>
      </w:r>
      <w:r w:rsidR="00223896" w:rsidRPr="00C74816">
        <w:rPr>
          <w:lang w:val="ru-RU"/>
        </w:rPr>
        <w:t xml:space="preserve">№ </w:t>
      </w:r>
      <w:r w:rsidRPr="00C74816">
        <w:rPr>
          <w:lang w:val="ru-RU"/>
        </w:rPr>
        <w:t>680 устан</w:t>
      </w:r>
      <w:r w:rsidR="00E75959" w:rsidRPr="00C74816">
        <w:rPr>
          <w:lang w:val="ru-RU"/>
        </w:rPr>
        <w:t>о</w:t>
      </w:r>
      <w:r w:rsidRPr="00C74816">
        <w:rPr>
          <w:lang w:val="ru-RU"/>
        </w:rPr>
        <w:t>вл</w:t>
      </w:r>
      <w:r w:rsidR="00E75959" w:rsidRPr="00C74816">
        <w:rPr>
          <w:lang w:val="ru-RU"/>
        </w:rPr>
        <w:t>ены</w:t>
      </w:r>
      <w:r w:rsidRPr="00C74816">
        <w:rPr>
          <w:lang w:val="ru-RU"/>
        </w:rPr>
        <w:t xml:space="preserve"> правила работы на уровне управления </w:t>
      </w:r>
      <w:r w:rsidR="00E75959" w:rsidRPr="00C74816">
        <w:rPr>
          <w:lang w:val="ru-RU"/>
        </w:rPr>
        <w:t xml:space="preserve">использованием </w:t>
      </w:r>
      <w:r w:rsidRPr="00C74816">
        <w:rPr>
          <w:lang w:val="ru-RU"/>
        </w:rPr>
        <w:t>спектр</w:t>
      </w:r>
      <w:r w:rsidR="00E75959" w:rsidRPr="00C74816">
        <w:rPr>
          <w:lang w:val="ru-RU"/>
        </w:rPr>
        <w:t>а</w:t>
      </w:r>
      <w:r w:rsidRPr="00C74816">
        <w:rPr>
          <w:lang w:val="ru-RU"/>
        </w:rPr>
        <w:t>,</w:t>
      </w:r>
      <w:r w:rsidR="00E75959" w:rsidRPr="00C74816">
        <w:rPr>
          <w:lang w:val="ru-RU"/>
        </w:rPr>
        <w:t xml:space="preserve"> а в</w:t>
      </w:r>
      <w:r w:rsidRPr="00C74816">
        <w:rPr>
          <w:lang w:val="ru-RU"/>
        </w:rPr>
        <w:t xml:space="preserve"> </w:t>
      </w:r>
      <w:r w:rsidR="00E75959" w:rsidRPr="00C74816">
        <w:rPr>
          <w:lang w:val="ru-RU"/>
        </w:rPr>
        <w:t>Регламенте</w:t>
      </w:r>
      <w:r w:rsidRPr="00C74816">
        <w:rPr>
          <w:lang w:val="ru-RU"/>
        </w:rPr>
        <w:t xml:space="preserve"> об оценке соответствия и утверждении </w:t>
      </w:r>
      <w:r w:rsidR="00E75959" w:rsidRPr="00C74816">
        <w:rPr>
          <w:lang w:val="ru-RU"/>
        </w:rPr>
        <w:t>продуктов электросвязи</w:t>
      </w:r>
      <w:r w:rsidRPr="00C74816">
        <w:rPr>
          <w:lang w:val="ru-RU"/>
        </w:rPr>
        <w:t>, утвержденно</w:t>
      </w:r>
      <w:r w:rsidR="00E75959" w:rsidRPr="00C74816">
        <w:rPr>
          <w:lang w:val="ru-RU"/>
        </w:rPr>
        <w:t>м</w:t>
      </w:r>
      <w:r w:rsidRPr="00C74816">
        <w:rPr>
          <w:lang w:val="ru-RU"/>
        </w:rPr>
        <w:t xml:space="preserve"> Резолюцией </w:t>
      </w:r>
      <w:r w:rsidR="00223896" w:rsidRPr="00C74816">
        <w:rPr>
          <w:lang w:val="ru-RU"/>
        </w:rPr>
        <w:t xml:space="preserve">№ </w:t>
      </w:r>
      <w:r w:rsidRPr="00C74816">
        <w:rPr>
          <w:lang w:val="ru-RU"/>
        </w:rPr>
        <w:t xml:space="preserve">715, </w:t>
      </w:r>
      <w:r w:rsidR="00E75959" w:rsidRPr="00C74816">
        <w:rPr>
          <w:lang w:val="ru-RU"/>
        </w:rPr>
        <w:t>закреплены</w:t>
      </w:r>
      <w:r w:rsidRPr="00C74816">
        <w:rPr>
          <w:lang w:val="ru-RU"/>
        </w:rPr>
        <w:t xml:space="preserve"> общие принципы, правила и процедуры, связанные с оценкой соответствия и утверждением продуктов</w:t>
      </w:r>
      <w:r w:rsidR="00E75959" w:rsidRPr="00C74816">
        <w:rPr>
          <w:lang w:val="ru-RU"/>
        </w:rPr>
        <w:t xml:space="preserve"> электросвязи</w:t>
      </w:r>
      <w:r w:rsidRPr="00C74816">
        <w:rPr>
          <w:lang w:val="ru-RU"/>
        </w:rPr>
        <w:t>.</w:t>
      </w:r>
    </w:p>
    <w:p w14:paraId="72FD39FC" w14:textId="042077A7" w:rsidR="00B9569A" w:rsidRPr="00C74816" w:rsidRDefault="00B9569A" w:rsidP="00F56656">
      <w:pPr>
        <w:pStyle w:val="Heading1"/>
        <w:rPr>
          <w:lang w:val="ru-RU"/>
        </w:rPr>
      </w:pPr>
      <w:bookmarkStart w:id="51" w:name="_Toc111188968"/>
      <w:bookmarkStart w:id="52" w:name="_Toc139967872"/>
      <w:bookmarkStart w:id="53" w:name="_Toc188609902"/>
      <w:r w:rsidRPr="00C74816">
        <w:rPr>
          <w:lang w:val="ru-RU"/>
        </w:rPr>
        <w:lastRenderedPageBreak/>
        <w:t>2</w:t>
      </w:r>
      <w:r w:rsidRPr="00C74816">
        <w:rPr>
          <w:lang w:val="ru-RU"/>
        </w:rPr>
        <w:tab/>
      </w:r>
      <w:bookmarkEnd w:id="51"/>
      <w:bookmarkEnd w:id="52"/>
      <w:r w:rsidR="00466CAC" w:rsidRPr="00C74816">
        <w:rPr>
          <w:lang w:val="ru-RU"/>
        </w:rPr>
        <w:t>Бразильские стандарты, содержащие методы измерения</w:t>
      </w:r>
      <w:bookmarkEnd w:id="53"/>
    </w:p>
    <w:p w14:paraId="77A674B3" w14:textId="2CCC54ED" w:rsidR="00B9569A" w:rsidRPr="00C74816" w:rsidRDefault="00466CAC" w:rsidP="00F56656">
      <w:pPr>
        <w:keepNext/>
        <w:keepLines/>
        <w:spacing w:after="120"/>
        <w:rPr>
          <w:lang w:val="ru-RU"/>
        </w:rPr>
      </w:pPr>
      <w:r w:rsidRPr="00C74816">
        <w:rPr>
          <w:lang w:val="ru-RU"/>
        </w:rPr>
        <w:t>Для упрощения процедур и обновления нормативной базы Anatel объединил</w:t>
      </w:r>
      <w:r w:rsidR="00E75959" w:rsidRPr="00C74816">
        <w:rPr>
          <w:lang w:val="ru-RU"/>
        </w:rPr>
        <w:t>о</w:t>
      </w:r>
      <w:r w:rsidRPr="00C74816">
        <w:rPr>
          <w:lang w:val="ru-RU"/>
        </w:rPr>
        <w:t xml:space="preserve"> все технические требования, </w:t>
      </w:r>
      <w:r w:rsidR="00E75959" w:rsidRPr="00C74816">
        <w:rPr>
          <w:lang w:val="ru-RU"/>
        </w:rPr>
        <w:t>касающиеся</w:t>
      </w:r>
      <w:r w:rsidRPr="00C74816">
        <w:rPr>
          <w:lang w:val="ru-RU"/>
        </w:rPr>
        <w:t xml:space="preserve"> </w:t>
      </w:r>
      <w:r w:rsidR="00E75959" w:rsidRPr="00C74816">
        <w:rPr>
          <w:lang w:val="ru-RU"/>
        </w:rPr>
        <w:t>Регламента</w:t>
      </w:r>
      <w:r w:rsidRPr="00C74816">
        <w:rPr>
          <w:lang w:val="ru-RU"/>
        </w:rPr>
        <w:t xml:space="preserve"> об </w:t>
      </w:r>
      <w:r w:rsidR="00E75959" w:rsidRPr="00C74816">
        <w:rPr>
          <w:lang w:val="ru-RU"/>
        </w:rPr>
        <w:t>оборудовании радиосвязи с ограниченным излучением</w:t>
      </w:r>
      <w:r w:rsidRPr="00C74816">
        <w:rPr>
          <w:lang w:val="ru-RU"/>
        </w:rPr>
        <w:t>, включая устройства малого радиуса действия, в акты, представленные в таблице</w:t>
      </w:r>
      <w:r w:rsidR="00DC3646" w:rsidRPr="00C74816">
        <w:rPr>
          <w:lang w:val="ru-RU"/>
        </w:rPr>
        <w:t>,</w:t>
      </w:r>
      <w:r w:rsidRPr="00C74816">
        <w:rPr>
          <w:lang w:val="ru-RU"/>
        </w:rPr>
        <w:t xml:space="preserve"> ниже.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85"/>
        <w:gridCol w:w="4228"/>
      </w:tblGrid>
      <w:tr w:rsidR="0071159A" w:rsidRPr="00C74816" w14:paraId="7A01C973" w14:textId="77777777" w:rsidTr="00892A01">
        <w:trPr>
          <w:tblHeader/>
          <w:jc w:val="center"/>
        </w:trPr>
        <w:tc>
          <w:tcPr>
            <w:tcW w:w="2126" w:type="dxa"/>
            <w:shd w:val="clear" w:color="auto" w:fill="auto"/>
          </w:tcPr>
          <w:p w14:paraId="4317A579" w14:textId="50824260" w:rsidR="0071159A" w:rsidRPr="00C74816" w:rsidRDefault="0071159A" w:rsidP="0071159A">
            <w:pPr>
              <w:pStyle w:val="Tablehead"/>
              <w:rPr>
                <w:sz w:val="20"/>
                <w:lang w:val="ru-RU"/>
              </w:rPr>
            </w:pPr>
            <w:r w:rsidRPr="00C74816">
              <w:rPr>
                <w:sz w:val="20"/>
                <w:lang w:val="ru-RU"/>
              </w:rPr>
              <w:t>Стандарт</w:t>
            </w:r>
          </w:p>
        </w:tc>
        <w:tc>
          <w:tcPr>
            <w:tcW w:w="3285" w:type="dxa"/>
            <w:shd w:val="clear" w:color="auto" w:fill="auto"/>
          </w:tcPr>
          <w:p w14:paraId="7D33F629" w14:textId="1E92F50B" w:rsidR="0071159A" w:rsidRPr="00C74816" w:rsidRDefault="0071159A" w:rsidP="0071159A">
            <w:pPr>
              <w:pStyle w:val="Tablehead"/>
              <w:rPr>
                <w:sz w:val="20"/>
                <w:lang w:val="ru-RU"/>
              </w:rPr>
            </w:pPr>
            <w:r w:rsidRPr="00C74816">
              <w:rPr>
                <w:sz w:val="20"/>
                <w:lang w:val="ru-RU"/>
              </w:rPr>
              <w:t>Название</w:t>
            </w:r>
          </w:p>
        </w:tc>
        <w:tc>
          <w:tcPr>
            <w:tcW w:w="4228" w:type="dxa"/>
            <w:shd w:val="clear" w:color="auto" w:fill="auto"/>
          </w:tcPr>
          <w:p w14:paraId="4D776F9D" w14:textId="5C448053" w:rsidR="0071159A" w:rsidRPr="00C74816" w:rsidRDefault="0071159A" w:rsidP="0071159A">
            <w:pPr>
              <w:pStyle w:val="Tablehead"/>
              <w:rPr>
                <w:sz w:val="20"/>
                <w:lang w:val="ru-RU"/>
              </w:rPr>
            </w:pPr>
            <w:r w:rsidRPr="00C74816">
              <w:rPr>
                <w:sz w:val="20"/>
                <w:lang w:val="ru-RU"/>
              </w:rPr>
              <w:t>Примечания</w:t>
            </w:r>
          </w:p>
        </w:tc>
      </w:tr>
      <w:tr w:rsidR="00B9569A" w:rsidRPr="00C74816" w14:paraId="1E6900D9" w14:textId="77777777" w:rsidTr="00892A01">
        <w:trPr>
          <w:jc w:val="center"/>
        </w:trPr>
        <w:tc>
          <w:tcPr>
            <w:tcW w:w="2126" w:type="dxa"/>
          </w:tcPr>
          <w:p w14:paraId="319A44CD" w14:textId="787A91AA" w:rsidR="00B9569A" w:rsidRPr="00C74816" w:rsidRDefault="00466CAC" w:rsidP="00892A01">
            <w:pPr>
              <w:pStyle w:val="Tabletext"/>
              <w:rPr>
                <w:sz w:val="20"/>
                <w:lang w:val="ru-RU"/>
              </w:rPr>
            </w:pPr>
            <w:r w:rsidRPr="00C74816">
              <w:rPr>
                <w:sz w:val="20"/>
                <w:lang w:val="ru-RU"/>
              </w:rPr>
              <w:t>Акт</w:t>
            </w:r>
            <w:r w:rsidR="00B9569A" w:rsidRPr="00C74816">
              <w:rPr>
                <w:sz w:val="20"/>
                <w:lang w:val="ru-RU"/>
              </w:rPr>
              <w:t xml:space="preserve"> </w:t>
            </w:r>
            <w:r w:rsidR="00D058B9" w:rsidRPr="00C74816">
              <w:rPr>
                <w:sz w:val="20"/>
                <w:lang w:val="ru-RU"/>
              </w:rPr>
              <w:t xml:space="preserve">№ </w:t>
            </w:r>
            <w:r w:rsidR="00B9569A" w:rsidRPr="00C74816">
              <w:rPr>
                <w:sz w:val="20"/>
                <w:lang w:val="ru-RU"/>
              </w:rPr>
              <w:t>14 448/2017</w:t>
            </w:r>
          </w:p>
        </w:tc>
        <w:tc>
          <w:tcPr>
            <w:tcW w:w="3285" w:type="dxa"/>
          </w:tcPr>
          <w:p w14:paraId="064E486A" w14:textId="5D0E8D75" w:rsidR="00B9569A" w:rsidRPr="00C74816" w:rsidRDefault="00466CAC" w:rsidP="00892A01">
            <w:pPr>
              <w:pStyle w:val="Tabletext"/>
              <w:rPr>
                <w:sz w:val="20"/>
                <w:lang w:val="ru-RU"/>
              </w:rPr>
            </w:pPr>
            <w:r w:rsidRPr="00C74816">
              <w:rPr>
                <w:sz w:val="20"/>
                <w:lang w:val="ru-RU"/>
              </w:rPr>
              <w:t>Технические требования к оценке соответствия оборудования радиосвязи с ограниченным излучением</w:t>
            </w:r>
          </w:p>
        </w:tc>
        <w:tc>
          <w:tcPr>
            <w:tcW w:w="4228" w:type="dxa"/>
          </w:tcPr>
          <w:p w14:paraId="043CB91E" w14:textId="76369603" w:rsidR="00B9569A" w:rsidRPr="00C74816" w:rsidRDefault="00466CAC" w:rsidP="00892A01">
            <w:pPr>
              <w:pStyle w:val="Tabletext"/>
              <w:rPr>
                <w:sz w:val="20"/>
                <w:lang w:val="ru-RU"/>
              </w:rPr>
            </w:pPr>
            <w:r w:rsidRPr="00C74816">
              <w:rPr>
                <w:sz w:val="20"/>
                <w:lang w:val="ru-RU"/>
              </w:rPr>
              <w:t>Ссылки на международные документы:</w:t>
            </w:r>
          </w:p>
          <w:p w14:paraId="289666A0" w14:textId="77777777" w:rsidR="00B9569A" w:rsidRPr="00C74816" w:rsidRDefault="00B9569A" w:rsidP="00892A01">
            <w:pPr>
              <w:pStyle w:val="Tabletext"/>
              <w:rPr>
                <w:sz w:val="20"/>
                <w:lang w:val="ru-RU"/>
              </w:rPr>
            </w:pPr>
            <w:r w:rsidRPr="00C74816">
              <w:rPr>
                <w:sz w:val="20"/>
                <w:lang w:val="ru-RU"/>
              </w:rPr>
              <w:t>3GPP TR 36.785 V14.0.0 (2016-10)</w:t>
            </w:r>
          </w:p>
          <w:p w14:paraId="2CEBE0D7" w14:textId="77777777" w:rsidR="00B9569A" w:rsidRPr="00C74816" w:rsidRDefault="00B9569A" w:rsidP="00892A01">
            <w:pPr>
              <w:pStyle w:val="Tabletext"/>
              <w:rPr>
                <w:sz w:val="20"/>
                <w:lang w:val="ru-RU"/>
              </w:rPr>
            </w:pPr>
            <w:r w:rsidRPr="00C74816">
              <w:rPr>
                <w:sz w:val="20"/>
                <w:lang w:val="ru-RU"/>
              </w:rPr>
              <w:t>3GPP TR 36.889 V1.0.1 (2015-06)</w:t>
            </w:r>
          </w:p>
          <w:p w14:paraId="701D7457" w14:textId="16BB0A79" w:rsidR="00B9569A" w:rsidRPr="00C74816" w:rsidRDefault="00466CAC" w:rsidP="00892A01">
            <w:pPr>
              <w:pStyle w:val="Tabletext"/>
              <w:rPr>
                <w:sz w:val="20"/>
                <w:lang w:val="ru-RU"/>
              </w:rPr>
            </w:pPr>
            <w:r w:rsidRPr="00C74816">
              <w:rPr>
                <w:sz w:val="20"/>
                <w:lang w:val="ru-RU"/>
              </w:rPr>
              <w:t xml:space="preserve">Рекомендация </w:t>
            </w:r>
            <w:r w:rsidR="00B9569A" w:rsidRPr="00C74816">
              <w:rPr>
                <w:sz w:val="20"/>
                <w:lang w:val="ru-RU"/>
              </w:rPr>
              <w:t>CEPT ERC 70-03 (2020</w:t>
            </w:r>
            <w:r w:rsidR="00B9569A" w:rsidRPr="00C74816">
              <w:rPr>
                <w:sz w:val="20"/>
                <w:lang w:val="ru-RU"/>
              </w:rPr>
              <w:noBreakHyphen/>
              <w:t>06)</w:t>
            </w:r>
          </w:p>
          <w:p w14:paraId="35051E73" w14:textId="4ADB9CEA" w:rsidR="00B9569A" w:rsidRPr="00C74816" w:rsidRDefault="00466CAC" w:rsidP="00892A01">
            <w:pPr>
              <w:pStyle w:val="Tabletext"/>
              <w:rPr>
                <w:sz w:val="20"/>
                <w:lang w:val="ru-RU"/>
              </w:rPr>
            </w:pPr>
            <w:r w:rsidRPr="00C74816">
              <w:rPr>
                <w:sz w:val="20"/>
                <w:lang w:val="ru-RU"/>
              </w:rPr>
              <w:t xml:space="preserve">СИСПР </w:t>
            </w:r>
            <w:r w:rsidR="00B9569A" w:rsidRPr="00C74816">
              <w:rPr>
                <w:sz w:val="20"/>
                <w:lang w:val="ru-RU"/>
              </w:rPr>
              <w:t>16-1-1:2019 (2019-05)</w:t>
            </w:r>
          </w:p>
          <w:p w14:paraId="206DEA89" w14:textId="77777777" w:rsidR="00B9569A" w:rsidRPr="00C74816" w:rsidRDefault="00B9569A" w:rsidP="00892A01">
            <w:pPr>
              <w:pStyle w:val="Tabletext"/>
              <w:rPr>
                <w:sz w:val="20"/>
                <w:lang w:val="ru-RU"/>
              </w:rPr>
            </w:pPr>
            <w:r w:rsidRPr="00C74816">
              <w:rPr>
                <w:sz w:val="20"/>
                <w:lang w:val="ru-RU"/>
              </w:rPr>
              <w:t>ETSI EN 301 893 V2.1.1 (2017-05)</w:t>
            </w:r>
          </w:p>
          <w:p w14:paraId="33CB4B8F" w14:textId="77777777" w:rsidR="00B9569A" w:rsidRPr="00C74816" w:rsidRDefault="00B9569A" w:rsidP="00892A01">
            <w:pPr>
              <w:pStyle w:val="Tabletext"/>
              <w:rPr>
                <w:sz w:val="20"/>
                <w:lang w:val="ru-RU"/>
              </w:rPr>
            </w:pPr>
            <w:r w:rsidRPr="00C74816">
              <w:rPr>
                <w:sz w:val="20"/>
                <w:lang w:val="ru-RU"/>
              </w:rPr>
              <w:t>ETSI EN 302 372 V2.1.1 (2016-12)</w:t>
            </w:r>
          </w:p>
          <w:p w14:paraId="191E72DC" w14:textId="77777777" w:rsidR="00B9569A" w:rsidRPr="00C74816" w:rsidRDefault="00B9569A" w:rsidP="00892A01">
            <w:pPr>
              <w:pStyle w:val="Tabletext"/>
              <w:rPr>
                <w:sz w:val="20"/>
                <w:lang w:val="ru-RU"/>
              </w:rPr>
            </w:pPr>
            <w:r w:rsidRPr="00C74816">
              <w:rPr>
                <w:sz w:val="20"/>
                <w:lang w:val="ru-RU"/>
              </w:rPr>
              <w:t>ETSI EN 302 567 V2.1.1 (2017-07)</w:t>
            </w:r>
          </w:p>
          <w:p w14:paraId="40292775" w14:textId="77777777" w:rsidR="00B9569A" w:rsidRPr="00C74816" w:rsidRDefault="00B9569A" w:rsidP="00892A01">
            <w:pPr>
              <w:pStyle w:val="Tabletext"/>
              <w:rPr>
                <w:sz w:val="20"/>
                <w:lang w:val="ru-RU"/>
              </w:rPr>
            </w:pPr>
            <w:r w:rsidRPr="00C74816">
              <w:rPr>
                <w:sz w:val="20"/>
                <w:lang w:val="ru-RU"/>
              </w:rPr>
              <w:t>ETSI EN 302 571 V2.1.1 (2017-02)</w:t>
            </w:r>
          </w:p>
          <w:p w14:paraId="05DB7C90" w14:textId="77777777" w:rsidR="00B9569A" w:rsidRPr="00C74816" w:rsidRDefault="00B9569A" w:rsidP="00892A01">
            <w:pPr>
              <w:pStyle w:val="Tabletext"/>
              <w:rPr>
                <w:sz w:val="20"/>
                <w:lang w:val="ru-RU"/>
              </w:rPr>
            </w:pPr>
            <w:r w:rsidRPr="00C74816">
              <w:rPr>
                <w:sz w:val="20"/>
                <w:lang w:val="ru-RU"/>
              </w:rPr>
              <w:t>ETSI EN 302 729-1 V1.1.2 (2011-03)</w:t>
            </w:r>
          </w:p>
          <w:p w14:paraId="5046579C" w14:textId="77777777" w:rsidR="00B9569A" w:rsidRPr="00C74816" w:rsidRDefault="00B9569A" w:rsidP="00892A01">
            <w:pPr>
              <w:pStyle w:val="Tabletext"/>
              <w:rPr>
                <w:sz w:val="20"/>
                <w:lang w:val="ru-RU"/>
              </w:rPr>
            </w:pPr>
            <w:r w:rsidRPr="00C74816">
              <w:rPr>
                <w:sz w:val="20"/>
                <w:lang w:val="ru-RU"/>
              </w:rPr>
              <w:t>ETSI TR 103 103 V1.1.1 (2012-09)</w:t>
            </w:r>
          </w:p>
          <w:p w14:paraId="359BD776" w14:textId="77777777" w:rsidR="00B9569A" w:rsidRPr="00C74816" w:rsidRDefault="00B9569A" w:rsidP="00892A01">
            <w:pPr>
              <w:pStyle w:val="Tabletext"/>
              <w:rPr>
                <w:sz w:val="20"/>
                <w:lang w:val="ru-RU"/>
              </w:rPr>
            </w:pPr>
            <w:r w:rsidRPr="00C74816">
              <w:rPr>
                <w:sz w:val="20"/>
                <w:lang w:val="ru-RU"/>
              </w:rPr>
              <w:t>ETSI TS 125 141 V12.6.0 (2015-01)</w:t>
            </w:r>
          </w:p>
          <w:p w14:paraId="36A590E6" w14:textId="77777777" w:rsidR="00B9569A" w:rsidRPr="00C74816" w:rsidRDefault="00B9569A" w:rsidP="00892A01">
            <w:pPr>
              <w:pStyle w:val="Tabletext"/>
              <w:rPr>
                <w:sz w:val="20"/>
                <w:lang w:val="ru-RU"/>
              </w:rPr>
            </w:pPr>
            <w:r w:rsidRPr="00C74816">
              <w:rPr>
                <w:sz w:val="20"/>
                <w:lang w:val="ru-RU"/>
              </w:rPr>
              <w:t>ETSI TS 136 141 V15.4.0 (2018-10)</w:t>
            </w:r>
          </w:p>
          <w:p w14:paraId="08B4A8E4" w14:textId="27E17B03" w:rsidR="00B9569A" w:rsidRPr="00C74816" w:rsidRDefault="00466CAC" w:rsidP="00892A01">
            <w:pPr>
              <w:pStyle w:val="Tabletext"/>
              <w:rPr>
                <w:sz w:val="20"/>
                <w:lang w:val="ru-RU"/>
              </w:rPr>
            </w:pPr>
            <w:r w:rsidRPr="00C74816">
              <w:rPr>
                <w:sz w:val="20"/>
                <w:lang w:val="ru-RU"/>
              </w:rPr>
              <w:t xml:space="preserve">ФКС </w:t>
            </w:r>
            <w:r w:rsidR="00B9569A" w:rsidRPr="00C74816">
              <w:rPr>
                <w:sz w:val="20"/>
                <w:lang w:val="ru-RU"/>
              </w:rPr>
              <w:t>13-112 (2013-08)</w:t>
            </w:r>
          </w:p>
          <w:p w14:paraId="15BFE46F" w14:textId="562FCD27" w:rsidR="00B9569A" w:rsidRPr="00C74816" w:rsidRDefault="00466CAC" w:rsidP="00892A01">
            <w:pPr>
              <w:pStyle w:val="Tabletext"/>
              <w:rPr>
                <w:sz w:val="20"/>
                <w:lang w:val="ru-RU"/>
              </w:rPr>
            </w:pPr>
            <w:r w:rsidRPr="00C74816">
              <w:rPr>
                <w:sz w:val="20"/>
                <w:lang w:val="ru-RU"/>
              </w:rPr>
              <w:t xml:space="preserve">ФКС </w:t>
            </w:r>
            <w:r w:rsidR="00B9569A" w:rsidRPr="00C74816">
              <w:rPr>
                <w:sz w:val="20"/>
                <w:lang w:val="ru-RU"/>
              </w:rPr>
              <w:t>14-2 (2014-01)</w:t>
            </w:r>
          </w:p>
          <w:p w14:paraId="7DAB333D" w14:textId="41F446DD" w:rsidR="00B9569A" w:rsidRPr="00C74816" w:rsidRDefault="00466CAC" w:rsidP="00892A01">
            <w:pPr>
              <w:pStyle w:val="Tabletext"/>
              <w:rPr>
                <w:sz w:val="20"/>
                <w:lang w:val="ru-RU"/>
              </w:rPr>
            </w:pPr>
            <w:r w:rsidRPr="00C74816">
              <w:rPr>
                <w:sz w:val="20"/>
                <w:lang w:val="ru-RU"/>
              </w:rPr>
              <w:t xml:space="preserve">ФКС </w:t>
            </w:r>
            <w:r w:rsidR="00B9569A" w:rsidRPr="00C74816">
              <w:rPr>
                <w:sz w:val="20"/>
                <w:lang w:val="ru-RU"/>
              </w:rPr>
              <w:t>17-94 (2017-06)</w:t>
            </w:r>
          </w:p>
          <w:p w14:paraId="2BD99EDA" w14:textId="072FFE9A" w:rsidR="00B9569A" w:rsidRPr="00C74816" w:rsidRDefault="00466CAC" w:rsidP="00892A01">
            <w:pPr>
              <w:pStyle w:val="Tabletext"/>
              <w:rPr>
                <w:sz w:val="20"/>
                <w:lang w:val="ru-RU"/>
              </w:rPr>
            </w:pPr>
            <w:r w:rsidRPr="00C74816">
              <w:rPr>
                <w:sz w:val="20"/>
                <w:lang w:val="ru-RU"/>
              </w:rPr>
              <w:t>Реестр ФКС</w:t>
            </w:r>
            <w:r w:rsidR="00B9569A" w:rsidRPr="00C74816">
              <w:rPr>
                <w:sz w:val="20"/>
                <w:lang w:val="ru-RU"/>
              </w:rPr>
              <w:t xml:space="preserve"> ET 17-183 (2020-04)</w:t>
            </w:r>
          </w:p>
          <w:p w14:paraId="56AFD60E" w14:textId="77777777" w:rsidR="00B9569A" w:rsidRPr="00C74816" w:rsidRDefault="00B9569A" w:rsidP="00892A01">
            <w:pPr>
              <w:pStyle w:val="Tabletext"/>
              <w:rPr>
                <w:sz w:val="20"/>
                <w:lang w:val="ru-RU"/>
              </w:rPr>
            </w:pPr>
            <w:r w:rsidRPr="00C74816">
              <w:rPr>
                <w:sz w:val="20"/>
                <w:lang w:val="ru-RU"/>
              </w:rPr>
              <w:t>FCC-CIRC1711-02 (2017-10)</w:t>
            </w:r>
          </w:p>
          <w:p w14:paraId="32B3AE27" w14:textId="65113FE7" w:rsidR="00B9569A" w:rsidRPr="00C74816" w:rsidRDefault="00C67E45" w:rsidP="00892A01">
            <w:pPr>
              <w:pStyle w:val="Tabletext"/>
              <w:rPr>
                <w:sz w:val="20"/>
                <w:lang w:val="ru-RU"/>
              </w:rPr>
            </w:pPr>
            <w:r w:rsidRPr="00C74816">
              <w:rPr>
                <w:sz w:val="20"/>
                <w:lang w:val="ru-RU"/>
              </w:rPr>
              <w:t xml:space="preserve">Стандарт </w:t>
            </w:r>
            <w:r w:rsidR="00B9569A" w:rsidRPr="00C74816">
              <w:rPr>
                <w:sz w:val="20"/>
                <w:lang w:val="ru-RU"/>
              </w:rPr>
              <w:t>IEEE 802.11-2020</w:t>
            </w:r>
          </w:p>
          <w:p w14:paraId="322CEA8E" w14:textId="21E0733D" w:rsidR="00B9569A" w:rsidRPr="00C74816" w:rsidRDefault="00B9569A" w:rsidP="00892A01">
            <w:pPr>
              <w:pStyle w:val="Tabletext"/>
              <w:rPr>
                <w:sz w:val="20"/>
                <w:lang w:val="ru-RU"/>
              </w:rPr>
            </w:pPr>
            <w:r w:rsidRPr="00C74816">
              <w:rPr>
                <w:sz w:val="20"/>
                <w:lang w:val="ru-RU"/>
              </w:rPr>
              <w:t xml:space="preserve">ISED – </w:t>
            </w:r>
            <w:r w:rsidR="00223896" w:rsidRPr="00C74816">
              <w:rPr>
                <w:sz w:val="20"/>
                <w:lang w:val="ru-RU"/>
              </w:rPr>
              <w:t xml:space="preserve">Стандарты радиосвязи, спецификация </w:t>
            </w:r>
            <w:r w:rsidRPr="00C74816">
              <w:rPr>
                <w:sz w:val="20"/>
                <w:lang w:val="ru-RU"/>
              </w:rPr>
              <w:t>RSS</w:t>
            </w:r>
            <w:r w:rsidRPr="00C74816">
              <w:rPr>
                <w:sz w:val="20"/>
                <w:lang w:val="ru-RU"/>
              </w:rPr>
              <w:noBreakHyphen/>
              <w:t xml:space="preserve">247 (2017-05), </w:t>
            </w:r>
            <w:r w:rsidR="00223896" w:rsidRPr="00C74816">
              <w:rPr>
                <w:sz w:val="20"/>
                <w:lang w:val="ru-RU"/>
              </w:rPr>
              <w:t>выпуск </w:t>
            </w:r>
            <w:r w:rsidRPr="00C74816">
              <w:rPr>
                <w:sz w:val="20"/>
                <w:lang w:val="ru-RU"/>
              </w:rPr>
              <w:t>2</w:t>
            </w:r>
          </w:p>
          <w:p w14:paraId="002F2201" w14:textId="62A8614B" w:rsidR="00B9569A" w:rsidRPr="00C74816" w:rsidRDefault="00466CAC" w:rsidP="00892A01">
            <w:pPr>
              <w:pStyle w:val="Tabletext"/>
              <w:rPr>
                <w:sz w:val="20"/>
                <w:lang w:val="ru-RU"/>
              </w:rPr>
            </w:pPr>
            <w:r w:rsidRPr="00C74816">
              <w:rPr>
                <w:sz w:val="20"/>
                <w:lang w:val="ru-RU"/>
              </w:rPr>
              <w:t>Рекомендация МСЭ</w:t>
            </w:r>
            <w:r w:rsidR="00B9569A" w:rsidRPr="00C74816">
              <w:rPr>
                <w:sz w:val="20"/>
                <w:lang w:val="ru-RU"/>
              </w:rPr>
              <w:t xml:space="preserve">-R </w:t>
            </w:r>
            <w:hyperlink r:id="rId46" w:history="1">
              <w:r w:rsidR="00B9569A" w:rsidRPr="00C74816">
                <w:rPr>
                  <w:rStyle w:val="Hyperlink"/>
                  <w:color w:val="auto"/>
                  <w:sz w:val="20"/>
                  <w:u w:val="none"/>
                  <w:lang w:val="ru-RU"/>
                </w:rPr>
                <w:t>M.1652-1</w:t>
              </w:r>
            </w:hyperlink>
            <w:r w:rsidR="00B9569A" w:rsidRPr="00C74816">
              <w:rPr>
                <w:sz w:val="20"/>
                <w:lang w:val="ru-RU"/>
              </w:rPr>
              <w:t xml:space="preserve"> (2011</w:t>
            </w:r>
            <w:r w:rsidR="00B9569A" w:rsidRPr="00C74816">
              <w:rPr>
                <w:sz w:val="20"/>
                <w:lang w:val="ru-RU"/>
              </w:rPr>
              <w:noBreakHyphen/>
              <w:t>05)</w:t>
            </w:r>
          </w:p>
          <w:p w14:paraId="2B3840BA" w14:textId="3F5067FD" w:rsidR="00B9569A" w:rsidRPr="00C74816" w:rsidRDefault="00466CAC" w:rsidP="00892A01">
            <w:pPr>
              <w:pStyle w:val="Tabletext"/>
              <w:rPr>
                <w:sz w:val="20"/>
                <w:lang w:val="ru-RU"/>
              </w:rPr>
            </w:pPr>
            <w:r w:rsidRPr="00C74816">
              <w:rPr>
                <w:sz w:val="20"/>
                <w:lang w:val="ru-RU"/>
              </w:rPr>
              <w:t>Рекомендация МСЭ</w:t>
            </w:r>
            <w:r w:rsidR="00B9569A" w:rsidRPr="00C74816">
              <w:rPr>
                <w:sz w:val="20"/>
                <w:lang w:val="ru-RU"/>
              </w:rPr>
              <w:t xml:space="preserve">-R </w:t>
            </w:r>
            <w:hyperlink r:id="rId47" w:history="1">
              <w:r w:rsidR="00B9569A" w:rsidRPr="00C74816">
                <w:rPr>
                  <w:rStyle w:val="Hyperlink"/>
                  <w:color w:val="auto"/>
                  <w:sz w:val="20"/>
                  <w:u w:val="none"/>
                  <w:lang w:val="ru-RU"/>
                </w:rPr>
                <w:t>M.2003-2</w:t>
              </w:r>
            </w:hyperlink>
            <w:r w:rsidR="00B9569A" w:rsidRPr="00C74816">
              <w:rPr>
                <w:sz w:val="20"/>
                <w:lang w:val="ru-RU"/>
              </w:rPr>
              <w:t xml:space="preserve"> (2018</w:t>
            </w:r>
            <w:r w:rsidR="00B9569A" w:rsidRPr="00C74816">
              <w:rPr>
                <w:sz w:val="20"/>
                <w:lang w:val="ru-RU"/>
              </w:rPr>
              <w:noBreakHyphen/>
              <w:t>01)</w:t>
            </w:r>
          </w:p>
          <w:p w14:paraId="2817FA89" w14:textId="2804BE72" w:rsidR="00B9569A" w:rsidRPr="00C74816" w:rsidRDefault="00466CAC" w:rsidP="00892A01">
            <w:pPr>
              <w:pStyle w:val="Tabletext"/>
              <w:rPr>
                <w:b/>
                <w:bCs/>
                <w:sz w:val="20"/>
                <w:lang w:val="ru-RU"/>
              </w:rPr>
            </w:pPr>
            <w:r w:rsidRPr="00C74816">
              <w:rPr>
                <w:sz w:val="20"/>
                <w:lang w:val="ru-RU"/>
              </w:rPr>
              <w:t xml:space="preserve">Резолюция МСЭ </w:t>
            </w:r>
            <w:r w:rsidR="00B9569A" w:rsidRPr="00C74816">
              <w:rPr>
                <w:b/>
                <w:bCs/>
                <w:sz w:val="20"/>
                <w:lang w:val="ru-RU"/>
              </w:rPr>
              <w:t>229 (</w:t>
            </w:r>
            <w:r w:rsidRPr="00C74816">
              <w:rPr>
                <w:b/>
                <w:bCs/>
                <w:sz w:val="20"/>
                <w:lang w:val="ru-RU"/>
              </w:rPr>
              <w:t>Пересм</w:t>
            </w:r>
            <w:r w:rsidR="00B9569A" w:rsidRPr="00C74816">
              <w:rPr>
                <w:b/>
                <w:bCs/>
                <w:sz w:val="20"/>
                <w:lang w:val="ru-RU"/>
              </w:rPr>
              <w:t>.</w:t>
            </w:r>
            <w:r w:rsidR="00F37385" w:rsidRPr="00C74816">
              <w:rPr>
                <w:b/>
                <w:bCs/>
                <w:sz w:val="20"/>
                <w:lang w:val="ru-RU"/>
              </w:rPr>
              <w:t xml:space="preserve"> </w:t>
            </w:r>
            <w:r w:rsidRPr="00C74816">
              <w:rPr>
                <w:b/>
                <w:bCs/>
                <w:sz w:val="20"/>
                <w:lang w:val="ru-RU"/>
              </w:rPr>
              <w:t>ВКР</w:t>
            </w:r>
            <w:r w:rsidR="00B9569A" w:rsidRPr="00C74816">
              <w:rPr>
                <w:b/>
                <w:bCs/>
                <w:sz w:val="20"/>
                <w:lang w:val="ru-RU"/>
              </w:rPr>
              <w:t>-19)</w:t>
            </w:r>
          </w:p>
          <w:p w14:paraId="3AF32F43" w14:textId="77777777" w:rsidR="00B9569A" w:rsidRPr="00C74816" w:rsidRDefault="00B9569A" w:rsidP="00892A01">
            <w:pPr>
              <w:pStyle w:val="Tabletext"/>
              <w:rPr>
                <w:sz w:val="20"/>
                <w:lang w:val="ru-RU"/>
              </w:rPr>
            </w:pPr>
            <w:hyperlink r:id="rId48" w:history="1">
              <w:r w:rsidRPr="00C74816">
                <w:rPr>
                  <w:rStyle w:val="Hyperlink"/>
                  <w:sz w:val="20"/>
                  <w:lang w:val="ru-RU"/>
                </w:rPr>
                <w:t>https://informacoes.anatel.gov.br/legislacao/atos-de-certificacao-de-produtos/2017/1139-ato-14448</w:t>
              </w:r>
            </w:hyperlink>
            <w:r w:rsidRPr="00C74816">
              <w:rPr>
                <w:sz w:val="20"/>
                <w:lang w:val="ru-RU"/>
              </w:rPr>
              <w:t xml:space="preserve"> </w:t>
            </w:r>
          </w:p>
        </w:tc>
      </w:tr>
      <w:tr w:rsidR="00B9569A" w:rsidRPr="00C74816" w14:paraId="14E3774E" w14:textId="77777777" w:rsidTr="00892A01">
        <w:trPr>
          <w:jc w:val="center"/>
        </w:trPr>
        <w:tc>
          <w:tcPr>
            <w:tcW w:w="2126" w:type="dxa"/>
          </w:tcPr>
          <w:p w14:paraId="3D5240B3" w14:textId="0FEF7DD0" w:rsidR="00B9569A" w:rsidRPr="00C74816" w:rsidRDefault="00466CAC" w:rsidP="00892A01">
            <w:pPr>
              <w:pStyle w:val="Tabletext"/>
              <w:rPr>
                <w:sz w:val="20"/>
                <w:lang w:val="ru-RU"/>
              </w:rPr>
            </w:pPr>
            <w:r w:rsidRPr="00C74816">
              <w:rPr>
                <w:sz w:val="20"/>
                <w:lang w:val="ru-RU"/>
              </w:rPr>
              <w:t>Акт</w:t>
            </w:r>
            <w:r w:rsidR="00B9569A" w:rsidRPr="00C74816">
              <w:rPr>
                <w:sz w:val="20"/>
                <w:lang w:val="ru-RU"/>
              </w:rPr>
              <w:t xml:space="preserve"> </w:t>
            </w:r>
            <w:r w:rsidR="00D058B9" w:rsidRPr="00C74816">
              <w:rPr>
                <w:sz w:val="20"/>
                <w:lang w:val="ru-RU"/>
              </w:rPr>
              <w:t xml:space="preserve">№ </w:t>
            </w:r>
            <w:r w:rsidR="00B9569A" w:rsidRPr="00C74816">
              <w:rPr>
                <w:sz w:val="20"/>
                <w:lang w:val="ru-RU"/>
              </w:rPr>
              <w:t>3153/2020</w:t>
            </w:r>
          </w:p>
        </w:tc>
        <w:tc>
          <w:tcPr>
            <w:tcW w:w="3285" w:type="dxa"/>
          </w:tcPr>
          <w:p w14:paraId="1788F1E4" w14:textId="4B1B7BBD" w:rsidR="00B9569A" w:rsidRPr="00C74816" w:rsidRDefault="00466CAC" w:rsidP="00892A01">
            <w:pPr>
              <w:pStyle w:val="Tabletext"/>
              <w:rPr>
                <w:sz w:val="20"/>
                <w:lang w:val="ru-RU"/>
              </w:rPr>
            </w:pPr>
            <w:r w:rsidRPr="00C74816">
              <w:rPr>
                <w:sz w:val="20"/>
                <w:lang w:val="ru-RU"/>
              </w:rPr>
              <w:t>Технические требования к оценке соответствия приемопередатчика для базовой радиостанции</w:t>
            </w:r>
          </w:p>
        </w:tc>
        <w:tc>
          <w:tcPr>
            <w:tcW w:w="4228" w:type="dxa"/>
          </w:tcPr>
          <w:p w14:paraId="7BB469A7" w14:textId="4C460E80" w:rsidR="00B9569A" w:rsidRPr="00C74816" w:rsidRDefault="00466CAC" w:rsidP="00892A01">
            <w:pPr>
              <w:pStyle w:val="Tabletext"/>
              <w:rPr>
                <w:sz w:val="20"/>
                <w:lang w:val="ru-RU"/>
              </w:rPr>
            </w:pPr>
            <w:r w:rsidRPr="00C74816">
              <w:rPr>
                <w:sz w:val="20"/>
                <w:lang w:val="ru-RU"/>
              </w:rPr>
              <w:t>Ссылки на международные документы</w:t>
            </w:r>
            <w:r w:rsidR="00B9569A" w:rsidRPr="00C74816">
              <w:rPr>
                <w:sz w:val="20"/>
                <w:lang w:val="ru-RU"/>
              </w:rPr>
              <w:t>:</w:t>
            </w:r>
          </w:p>
          <w:p w14:paraId="534623DA" w14:textId="77777777" w:rsidR="00B9569A" w:rsidRPr="00C74816" w:rsidRDefault="00B9569A" w:rsidP="00892A01">
            <w:pPr>
              <w:pStyle w:val="Tabletext"/>
              <w:rPr>
                <w:sz w:val="20"/>
                <w:lang w:val="ru-RU"/>
              </w:rPr>
            </w:pPr>
            <w:r w:rsidRPr="00C74816">
              <w:rPr>
                <w:sz w:val="20"/>
                <w:lang w:val="ru-RU"/>
              </w:rPr>
              <w:t>ETSI EN 301 502 V9.2.1 (2010-10)</w:t>
            </w:r>
          </w:p>
          <w:p w14:paraId="44DA4985" w14:textId="77777777" w:rsidR="00B9569A" w:rsidRPr="00C74816" w:rsidRDefault="00B9569A" w:rsidP="00892A01">
            <w:pPr>
              <w:pStyle w:val="Tabletext"/>
              <w:rPr>
                <w:sz w:val="20"/>
                <w:lang w:val="ru-RU"/>
              </w:rPr>
            </w:pPr>
            <w:r w:rsidRPr="00C74816">
              <w:rPr>
                <w:sz w:val="20"/>
                <w:lang w:val="ru-RU"/>
              </w:rPr>
              <w:t>ETSI TS 136 141 V15.3.0 (2018-07)</w:t>
            </w:r>
          </w:p>
          <w:p w14:paraId="05435FAB" w14:textId="77777777" w:rsidR="00B9569A" w:rsidRPr="00C74816" w:rsidRDefault="00B9569A" w:rsidP="00892A01">
            <w:pPr>
              <w:pStyle w:val="Tabletext"/>
              <w:rPr>
                <w:sz w:val="20"/>
                <w:lang w:val="ru-RU"/>
              </w:rPr>
            </w:pPr>
            <w:r w:rsidRPr="00C74816">
              <w:rPr>
                <w:sz w:val="20"/>
                <w:lang w:val="ru-RU"/>
              </w:rPr>
              <w:t>ETSI TS 137 141 V16.8.0 (2021-01)</w:t>
            </w:r>
          </w:p>
          <w:p w14:paraId="04B9C943" w14:textId="77777777" w:rsidR="00B9569A" w:rsidRPr="00C74816" w:rsidRDefault="00B9569A" w:rsidP="00892A01">
            <w:pPr>
              <w:pStyle w:val="Tabletext"/>
              <w:rPr>
                <w:sz w:val="20"/>
                <w:lang w:val="ru-RU"/>
              </w:rPr>
            </w:pPr>
            <w:r w:rsidRPr="00C74816">
              <w:rPr>
                <w:sz w:val="20"/>
                <w:lang w:val="ru-RU"/>
              </w:rPr>
              <w:t>ETSI TS 137 145-1 V15.2.0 (2019-04)</w:t>
            </w:r>
          </w:p>
          <w:p w14:paraId="666AD446" w14:textId="77777777" w:rsidR="00B9569A" w:rsidRPr="00C74816" w:rsidRDefault="00B9569A" w:rsidP="00892A01">
            <w:pPr>
              <w:pStyle w:val="Tabletext"/>
              <w:rPr>
                <w:sz w:val="20"/>
                <w:lang w:val="ru-RU"/>
              </w:rPr>
            </w:pPr>
            <w:r w:rsidRPr="00C74816">
              <w:rPr>
                <w:sz w:val="20"/>
                <w:lang w:val="ru-RU"/>
              </w:rPr>
              <w:t>ETSI TS 137 145-2 V15.2.0 (2019-04)</w:t>
            </w:r>
          </w:p>
          <w:p w14:paraId="2B5E5F77" w14:textId="77777777" w:rsidR="00B9569A" w:rsidRPr="00C74816" w:rsidRDefault="00B9569A" w:rsidP="00892A01">
            <w:pPr>
              <w:pStyle w:val="Tabletext"/>
              <w:rPr>
                <w:sz w:val="20"/>
                <w:lang w:val="ru-RU"/>
              </w:rPr>
            </w:pPr>
            <w:r w:rsidRPr="00C74816">
              <w:rPr>
                <w:sz w:val="20"/>
                <w:lang w:val="ru-RU"/>
              </w:rPr>
              <w:t>ETSI TS 138 141-1 V16.6.0 (2021-01)</w:t>
            </w:r>
          </w:p>
          <w:p w14:paraId="5E81307F" w14:textId="77777777" w:rsidR="00B9569A" w:rsidRPr="00C74816" w:rsidRDefault="00B9569A" w:rsidP="00892A01">
            <w:pPr>
              <w:pStyle w:val="Tabletext"/>
              <w:rPr>
                <w:sz w:val="20"/>
                <w:lang w:val="ru-RU"/>
              </w:rPr>
            </w:pPr>
            <w:r w:rsidRPr="00C74816">
              <w:rPr>
                <w:sz w:val="20"/>
                <w:lang w:val="ru-RU"/>
              </w:rPr>
              <w:t>ETSI TS 138 141-2 V16.6.0 (2021-01)</w:t>
            </w:r>
          </w:p>
          <w:p w14:paraId="1D2E50EE" w14:textId="77777777" w:rsidR="00B9569A" w:rsidRPr="00C74816" w:rsidRDefault="00B9569A" w:rsidP="00892A01">
            <w:pPr>
              <w:pStyle w:val="Tabletext"/>
              <w:rPr>
                <w:sz w:val="20"/>
                <w:lang w:val="ru-RU"/>
              </w:rPr>
            </w:pPr>
            <w:hyperlink r:id="rId49" w:history="1">
              <w:r w:rsidRPr="00C74816">
                <w:rPr>
                  <w:rStyle w:val="Hyperlink"/>
                  <w:sz w:val="20"/>
                  <w:lang w:val="ru-RU"/>
                </w:rPr>
                <w:t>https://informacoes.anatel.gov.br/legislacao/atos-de-certificacao-de-produtos/2020/1431-ato-3153</w:t>
              </w:r>
            </w:hyperlink>
          </w:p>
        </w:tc>
      </w:tr>
      <w:tr w:rsidR="00B9569A" w:rsidRPr="00C74816" w14:paraId="18F96B37" w14:textId="77777777" w:rsidTr="00892A01">
        <w:trPr>
          <w:jc w:val="center"/>
        </w:trPr>
        <w:tc>
          <w:tcPr>
            <w:tcW w:w="2126" w:type="dxa"/>
          </w:tcPr>
          <w:p w14:paraId="7564B1B1" w14:textId="4FE69316" w:rsidR="00B9569A" w:rsidRPr="00C74816" w:rsidRDefault="00466CAC" w:rsidP="00F56656">
            <w:pPr>
              <w:pStyle w:val="Tabletext"/>
              <w:keepNext/>
              <w:keepLines/>
              <w:rPr>
                <w:sz w:val="20"/>
                <w:lang w:val="ru-RU"/>
              </w:rPr>
            </w:pPr>
            <w:r w:rsidRPr="00C74816">
              <w:rPr>
                <w:sz w:val="20"/>
                <w:lang w:val="ru-RU"/>
              </w:rPr>
              <w:lastRenderedPageBreak/>
              <w:t>Акт</w:t>
            </w:r>
            <w:r w:rsidR="00B9569A" w:rsidRPr="00C74816">
              <w:rPr>
                <w:sz w:val="20"/>
                <w:lang w:val="ru-RU"/>
              </w:rPr>
              <w:t xml:space="preserve"> </w:t>
            </w:r>
            <w:r w:rsidR="00D058B9" w:rsidRPr="00C74816">
              <w:rPr>
                <w:sz w:val="20"/>
                <w:lang w:val="ru-RU"/>
              </w:rPr>
              <w:t xml:space="preserve">№ </w:t>
            </w:r>
            <w:r w:rsidR="00B9569A" w:rsidRPr="00C74816">
              <w:rPr>
                <w:sz w:val="20"/>
                <w:lang w:val="ru-RU"/>
              </w:rPr>
              <w:t>237/2022</w:t>
            </w:r>
          </w:p>
        </w:tc>
        <w:tc>
          <w:tcPr>
            <w:tcW w:w="3285" w:type="dxa"/>
          </w:tcPr>
          <w:p w14:paraId="3301C2A5" w14:textId="4453771A" w:rsidR="00B9569A" w:rsidRPr="00C74816" w:rsidRDefault="00466CAC" w:rsidP="00F56656">
            <w:pPr>
              <w:pStyle w:val="Tabletext"/>
              <w:keepNext/>
              <w:keepLines/>
              <w:rPr>
                <w:sz w:val="20"/>
                <w:lang w:val="ru-RU"/>
              </w:rPr>
            </w:pPr>
            <w:r w:rsidRPr="00C74816">
              <w:rPr>
                <w:sz w:val="20"/>
                <w:lang w:val="ru-RU"/>
              </w:rPr>
              <w:t>Процедуры испытаний для оценки соответствия оборудования радиосвязи с ограниченным излучением</w:t>
            </w:r>
          </w:p>
        </w:tc>
        <w:tc>
          <w:tcPr>
            <w:tcW w:w="4228" w:type="dxa"/>
          </w:tcPr>
          <w:p w14:paraId="65950AC8" w14:textId="42619078" w:rsidR="00B9569A" w:rsidRPr="00C74816" w:rsidRDefault="00466CAC" w:rsidP="00F56656">
            <w:pPr>
              <w:pStyle w:val="Tabletext"/>
              <w:keepNext/>
              <w:keepLines/>
              <w:rPr>
                <w:sz w:val="20"/>
                <w:lang w:val="ru-RU"/>
              </w:rPr>
            </w:pPr>
            <w:r w:rsidRPr="00C74816">
              <w:rPr>
                <w:sz w:val="20"/>
                <w:lang w:val="ru-RU"/>
              </w:rPr>
              <w:t>Ссылки на международные документы</w:t>
            </w:r>
            <w:r w:rsidR="00B9569A" w:rsidRPr="00C74816">
              <w:rPr>
                <w:sz w:val="20"/>
                <w:lang w:val="ru-RU"/>
              </w:rPr>
              <w:t>:</w:t>
            </w:r>
          </w:p>
          <w:p w14:paraId="21CB8881" w14:textId="77777777" w:rsidR="00B9569A" w:rsidRPr="00C74816" w:rsidRDefault="00B9569A" w:rsidP="00F56656">
            <w:pPr>
              <w:pStyle w:val="Tabletext"/>
              <w:keepNext/>
              <w:keepLines/>
              <w:rPr>
                <w:sz w:val="20"/>
                <w:lang w:val="ru-RU"/>
              </w:rPr>
            </w:pPr>
            <w:r w:rsidRPr="00C74816">
              <w:rPr>
                <w:sz w:val="20"/>
                <w:lang w:val="ru-RU"/>
              </w:rPr>
              <w:t>ANSI C63.10: 2013</w:t>
            </w:r>
          </w:p>
          <w:p w14:paraId="18407B48" w14:textId="77777777" w:rsidR="00B9569A" w:rsidRPr="00C74816" w:rsidRDefault="00B9569A" w:rsidP="00F56656">
            <w:pPr>
              <w:pStyle w:val="Tabletext"/>
              <w:keepNext/>
              <w:keepLines/>
              <w:rPr>
                <w:sz w:val="20"/>
                <w:lang w:val="ru-RU"/>
              </w:rPr>
            </w:pPr>
            <w:r w:rsidRPr="00C74816">
              <w:rPr>
                <w:sz w:val="20"/>
                <w:lang w:val="ru-RU"/>
              </w:rPr>
              <w:t>ANSI C63.17: 2006</w:t>
            </w:r>
          </w:p>
          <w:p w14:paraId="7CC63864" w14:textId="77777777" w:rsidR="00B9569A" w:rsidRPr="00C74816" w:rsidRDefault="00B9569A" w:rsidP="00F56656">
            <w:pPr>
              <w:pStyle w:val="Tabletext"/>
              <w:keepNext/>
              <w:keepLines/>
              <w:rPr>
                <w:sz w:val="20"/>
                <w:lang w:val="ru-RU"/>
              </w:rPr>
            </w:pPr>
            <w:r w:rsidRPr="00C74816">
              <w:rPr>
                <w:sz w:val="20"/>
                <w:lang w:val="ru-RU"/>
              </w:rPr>
              <w:t>ANSI C63.2: 1996</w:t>
            </w:r>
          </w:p>
          <w:p w14:paraId="5B6E6038" w14:textId="77777777" w:rsidR="00B9569A" w:rsidRPr="00C74816" w:rsidRDefault="00B9569A" w:rsidP="00F56656">
            <w:pPr>
              <w:pStyle w:val="Tabletext"/>
              <w:keepNext/>
              <w:keepLines/>
              <w:rPr>
                <w:sz w:val="20"/>
                <w:lang w:val="ru-RU"/>
              </w:rPr>
            </w:pPr>
            <w:r w:rsidRPr="00C74816">
              <w:rPr>
                <w:sz w:val="20"/>
                <w:lang w:val="ru-RU"/>
              </w:rPr>
              <w:t>ANSI C63.4: 2003</w:t>
            </w:r>
          </w:p>
          <w:p w14:paraId="346E22FB" w14:textId="1BD7233A" w:rsidR="00B9569A" w:rsidRPr="00C74816" w:rsidRDefault="00466CAC" w:rsidP="00F56656">
            <w:pPr>
              <w:pStyle w:val="Tabletext"/>
              <w:keepNext/>
              <w:keepLines/>
              <w:rPr>
                <w:sz w:val="20"/>
                <w:lang w:val="ru-RU"/>
              </w:rPr>
            </w:pPr>
            <w:r w:rsidRPr="00C74816">
              <w:rPr>
                <w:sz w:val="20"/>
                <w:lang w:val="ru-RU"/>
              </w:rPr>
              <w:t xml:space="preserve">СИСПР </w:t>
            </w:r>
            <w:r w:rsidR="00B9569A" w:rsidRPr="00C74816">
              <w:rPr>
                <w:sz w:val="20"/>
                <w:lang w:val="ru-RU"/>
              </w:rPr>
              <w:t>16-1-1</w:t>
            </w:r>
          </w:p>
          <w:p w14:paraId="0040BA79" w14:textId="77777777" w:rsidR="00B9569A" w:rsidRPr="00C74816" w:rsidRDefault="00B9569A" w:rsidP="00F56656">
            <w:pPr>
              <w:pStyle w:val="Tabletext"/>
              <w:keepNext/>
              <w:keepLines/>
              <w:rPr>
                <w:sz w:val="20"/>
                <w:lang w:val="ru-RU"/>
              </w:rPr>
            </w:pPr>
            <w:r w:rsidRPr="00C74816">
              <w:rPr>
                <w:sz w:val="20"/>
                <w:lang w:val="ru-RU"/>
              </w:rPr>
              <w:t>ETSI EN 301 893 V2.1.1 (2017-05)</w:t>
            </w:r>
          </w:p>
          <w:p w14:paraId="4E3E6BC7" w14:textId="77777777" w:rsidR="00B9569A" w:rsidRPr="00C74816" w:rsidRDefault="00B9569A" w:rsidP="00F56656">
            <w:pPr>
              <w:pStyle w:val="Tabletext"/>
              <w:keepNext/>
              <w:keepLines/>
              <w:rPr>
                <w:sz w:val="20"/>
                <w:lang w:val="ru-RU"/>
              </w:rPr>
            </w:pPr>
            <w:r w:rsidRPr="00C74816">
              <w:rPr>
                <w:sz w:val="20"/>
                <w:lang w:val="ru-RU"/>
              </w:rPr>
              <w:t>ETSI EN 302 372 V2.1.1 (2016-12)</w:t>
            </w:r>
          </w:p>
          <w:p w14:paraId="4BB9977F" w14:textId="77777777" w:rsidR="00B9569A" w:rsidRPr="00C74816" w:rsidRDefault="00B9569A" w:rsidP="00F56656">
            <w:pPr>
              <w:pStyle w:val="Tabletext"/>
              <w:keepNext/>
              <w:keepLines/>
              <w:rPr>
                <w:sz w:val="20"/>
                <w:lang w:val="ru-RU"/>
              </w:rPr>
            </w:pPr>
            <w:r w:rsidRPr="00C74816">
              <w:rPr>
                <w:sz w:val="20"/>
                <w:lang w:val="ru-RU"/>
              </w:rPr>
              <w:t>ETSI EN 302 567 V2.1.1 (2017-07)</w:t>
            </w:r>
          </w:p>
          <w:p w14:paraId="29F5C213" w14:textId="77777777" w:rsidR="00B9569A" w:rsidRPr="00C74816" w:rsidRDefault="00B9569A" w:rsidP="00F56656">
            <w:pPr>
              <w:pStyle w:val="Tabletext"/>
              <w:keepNext/>
              <w:keepLines/>
              <w:rPr>
                <w:sz w:val="20"/>
                <w:lang w:val="ru-RU"/>
              </w:rPr>
            </w:pPr>
            <w:r w:rsidRPr="00C74816">
              <w:rPr>
                <w:sz w:val="20"/>
                <w:lang w:val="ru-RU"/>
              </w:rPr>
              <w:t>ETSI EN 302 571 V2.1.1 (2017-02)</w:t>
            </w:r>
          </w:p>
          <w:p w14:paraId="54230BB2" w14:textId="77777777" w:rsidR="00B9569A" w:rsidRPr="00C74816" w:rsidRDefault="00B9569A" w:rsidP="00F56656">
            <w:pPr>
              <w:pStyle w:val="Tabletext"/>
              <w:keepNext/>
              <w:keepLines/>
              <w:rPr>
                <w:sz w:val="20"/>
                <w:lang w:val="ru-RU"/>
              </w:rPr>
            </w:pPr>
            <w:r w:rsidRPr="00C74816">
              <w:rPr>
                <w:sz w:val="20"/>
                <w:lang w:val="ru-RU"/>
              </w:rPr>
              <w:t>ETSI EN 302 729 V2.1.1 (2016-12)</w:t>
            </w:r>
          </w:p>
          <w:p w14:paraId="5F849FBA" w14:textId="18035BC4" w:rsidR="00B9569A" w:rsidRPr="00C74816" w:rsidRDefault="00B9569A" w:rsidP="00F56656">
            <w:pPr>
              <w:pStyle w:val="Tabletext"/>
              <w:keepNext/>
              <w:keepLines/>
              <w:rPr>
                <w:sz w:val="20"/>
                <w:lang w:val="ru-RU"/>
              </w:rPr>
            </w:pPr>
            <w:r w:rsidRPr="00C74816">
              <w:rPr>
                <w:sz w:val="20"/>
                <w:lang w:val="ru-RU"/>
              </w:rPr>
              <w:t>KDB</w:t>
            </w:r>
            <w:r w:rsidR="00466CAC" w:rsidRPr="00C74816">
              <w:rPr>
                <w:sz w:val="20"/>
                <w:lang w:val="ru-RU"/>
              </w:rPr>
              <w:t xml:space="preserve"> ФКС</w:t>
            </w:r>
            <w:r w:rsidRPr="00C74816">
              <w:rPr>
                <w:sz w:val="20"/>
                <w:lang w:val="ru-RU"/>
              </w:rPr>
              <w:t xml:space="preserve"> 412172 D01</w:t>
            </w:r>
          </w:p>
          <w:p w14:paraId="7DF08A45" w14:textId="1AC6FDA1" w:rsidR="00B9569A" w:rsidRPr="00C74816" w:rsidRDefault="00B9569A" w:rsidP="00F56656">
            <w:pPr>
              <w:pStyle w:val="Tabletext"/>
              <w:keepNext/>
              <w:keepLines/>
              <w:rPr>
                <w:sz w:val="20"/>
                <w:lang w:val="ru-RU"/>
              </w:rPr>
            </w:pPr>
            <w:r w:rsidRPr="00C74816">
              <w:rPr>
                <w:sz w:val="20"/>
                <w:lang w:val="ru-RU"/>
              </w:rPr>
              <w:t>KDB</w:t>
            </w:r>
            <w:r w:rsidR="00466CAC" w:rsidRPr="00C74816">
              <w:rPr>
                <w:sz w:val="20"/>
                <w:lang w:val="ru-RU"/>
              </w:rPr>
              <w:t xml:space="preserve"> ФКС</w:t>
            </w:r>
            <w:r w:rsidRPr="00C74816">
              <w:rPr>
                <w:sz w:val="20"/>
                <w:lang w:val="ru-RU"/>
              </w:rPr>
              <w:t xml:space="preserve"> 558074 D01 15.247</w:t>
            </w:r>
          </w:p>
          <w:p w14:paraId="0FF561E5" w14:textId="4CD2C1C1" w:rsidR="00B9569A" w:rsidRPr="00C74816" w:rsidRDefault="00B9569A" w:rsidP="00F56656">
            <w:pPr>
              <w:pStyle w:val="Tabletext"/>
              <w:keepNext/>
              <w:keepLines/>
              <w:rPr>
                <w:sz w:val="20"/>
                <w:lang w:val="ru-RU"/>
              </w:rPr>
            </w:pPr>
            <w:r w:rsidRPr="00C74816">
              <w:rPr>
                <w:sz w:val="20"/>
                <w:lang w:val="ru-RU"/>
              </w:rPr>
              <w:t>KDB</w:t>
            </w:r>
            <w:r w:rsidR="00466CAC" w:rsidRPr="00C74816">
              <w:rPr>
                <w:sz w:val="20"/>
                <w:lang w:val="ru-RU"/>
              </w:rPr>
              <w:t xml:space="preserve"> ФКС</w:t>
            </w:r>
            <w:r w:rsidRPr="00C74816">
              <w:rPr>
                <w:sz w:val="20"/>
                <w:lang w:val="ru-RU"/>
              </w:rPr>
              <w:t xml:space="preserve"> 644545 D01</w:t>
            </w:r>
          </w:p>
          <w:p w14:paraId="53B94629" w14:textId="6B24DA64" w:rsidR="00B9569A" w:rsidRPr="00C74816" w:rsidRDefault="00B9569A" w:rsidP="00F56656">
            <w:pPr>
              <w:pStyle w:val="Tabletext"/>
              <w:keepNext/>
              <w:keepLines/>
              <w:rPr>
                <w:sz w:val="20"/>
                <w:lang w:val="ru-RU"/>
              </w:rPr>
            </w:pPr>
            <w:r w:rsidRPr="00C74816">
              <w:rPr>
                <w:sz w:val="20"/>
                <w:lang w:val="ru-RU"/>
              </w:rPr>
              <w:t>KDB</w:t>
            </w:r>
            <w:r w:rsidR="00466CAC" w:rsidRPr="00C74816">
              <w:rPr>
                <w:sz w:val="20"/>
                <w:lang w:val="ru-RU"/>
              </w:rPr>
              <w:t xml:space="preserve"> ФКС</w:t>
            </w:r>
            <w:r w:rsidRPr="00C74816">
              <w:rPr>
                <w:sz w:val="20"/>
                <w:lang w:val="ru-RU"/>
              </w:rPr>
              <w:t xml:space="preserve"> 662911 D01</w:t>
            </w:r>
          </w:p>
          <w:p w14:paraId="05C5870A" w14:textId="6312B27B" w:rsidR="00B9569A" w:rsidRPr="00C74816" w:rsidRDefault="00B9569A" w:rsidP="00F56656">
            <w:pPr>
              <w:pStyle w:val="Tabletext"/>
              <w:keepNext/>
              <w:keepLines/>
              <w:rPr>
                <w:sz w:val="20"/>
                <w:lang w:val="ru-RU"/>
              </w:rPr>
            </w:pPr>
            <w:r w:rsidRPr="00C74816">
              <w:rPr>
                <w:sz w:val="20"/>
                <w:lang w:val="ru-RU"/>
              </w:rPr>
              <w:t>KDB</w:t>
            </w:r>
            <w:r w:rsidR="00466CAC" w:rsidRPr="00C74816">
              <w:rPr>
                <w:sz w:val="20"/>
                <w:lang w:val="ru-RU"/>
              </w:rPr>
              <w:t xml:space="preserve"> ФКС</w:t>
            </w:r>
            <w:r w:rsidRPr="00C74816">
              <w:rPr>
                <w:sz w:val="20"/>
                <w:lang w:val="ru-RU"/>
              </w:rPr>
              <w:t xml:space="preserve"> 789033 D02</w:t>
            </w:r>
          </w:p>
          <w:p w14:paraId="05DA2C94" w14:textId="11F75D84" w:rsidR="00B9569A" w:rsidRPr="00C74816" w:rsidRDefault="00B9569A" w:rsidP="00F56656">
            <w:pPr>
              <w:pStyle w:val="Tabletext"/>
              <w:keepNext/>
              <w:keepLines/>
              <w:rPr>
                <w:sz w:val="20"/>
                <w:lang w:val="ru-RU"/>
              </w:rPr>
            </w:pPr>
            <w:r w:rsidRPr="00C74816">
              <w:rPr>
                <w:sz w:val="20"/>
                <w:lang w:val="ru-RU"/>
              </w:rPr>
              <w:t>KDB</w:t>
            </w:r>
            <w:r w:rsidR="00466CAC" w:rsidRPr="00C74816">
              <w:rPr>
                <w:sz w:val="20"/>
                <w:lang w:val="ru-RU"/>
              </w:rPr>
              <w:t xml:space="preserve"> ФКС</w:t>
            </w:r>
            <w:r w:rsidRPr="00C74816">
              <w:rPr>
                <w:sz w:val="20"/>
                <w:lang w:val="ru-RU"/>
              </w:rPr>
              <w:t xml:space="preserve"> 987594 D02</w:t>
            </w:r>
          </w:p>
          <w:p w14:paraId="1DECE81C" w14:textId="4988789F" w:rsidR="00B9569A" w:rsidRPr="00C74816" w:rsidRDefault="00B9569A" w:rsidP="00F56656">
            <w:pPr>
              <w:pStyle w:val="Tabletext"/>
              <w:keepNext/>
              <w:keepLines/>
              <w:rPr>
                <w:sz w:val="20"/>
                <w:lang w:val="ru-RU"/>
              </w:rPr>
            </w:pPr>
            <w:r w:rsidRPr="00C74816">
              <w:rPr>
                <w:sz w:val="20"/>
                <w:lang w:val="ru-RU"/>
              </w:rPr>
              <w:t xml:space="preserve">ISED </w:t>
            </w:r>
            <w:r w:rsidR="00C67E45" w:rsidRPr="00C74816">
              <w:rPr>
                <w:sz w:val="20"/>
                <w:lang w:val="ru-RU"/>
              </w:rPr>
              <w:t>− Стандарты радиосвязи, спецификация</w:t>
            </w:r>
            <w:r w:rsidR="00466CAC" w:rsidRPr="00C74816">
              <w:rPr>
                <w:sz w:val="20"/>
                <w:lang w:val="ru-RU"/>
              </w:rPr>
              <w:t xml:space="preserve"> </w:t>
            </w:r>
            <w:r w:rsidRPr="00C74816">
              <w:rPr>
                <w:sz w:val="20"/>
                <w:lang w:val="ru-RU"/>
              </w:rPr>
              <w:t>RSS</w:t>
            </w:r>
            <w:r w:rsidRPr="00C74816">
              <w:rPr>
                <w:sz w:val="20"/>
                <w:lang w:val="ru-RU"/>
              </w:rPr>
              <w:noBreakHyphen/>
              <w:t>Gen (2014-11)</w:t>
            </w:r>
          </w:p>
          <w:p w14:paraId="24913272" w14:textId="2B6F3583" w:rsidR="00B9569A" w:rsidRPr="00C74816" w:rsidRDefault="00466CAC" w:rsidP="00F56656">
            <w:pPr>
              <w:pStyle w:val="Tabletext"/>
              <w:keepNext/>
              <w:keepLines/>
              <w:rPr>
                <w:sz w:val="20"/>
                <w:lang w:val="ru-RU"/>
              </w:rPr>
            </w:pPr>
            <w:r w:rsidRPr="00C74816">
              <w:rPr>
                <w:sz w:val="20"/>
                <w:lang w:val="ru-RU"/>
              </w:rPr>
              <w:t>Рекомендация МСЭ</w:t>
            </w:r>
            <w:r w:rsidR="00B9569A" w:rsidRPr="00C74816">
              <w:rPr>
                <w:sz w:val="20"/>
                <w:lang w:val="ru-RU"/>
              </w:rPr>
              <w:t>-R SM.329-11</w:t>
            </w:r>
          </w:p>
          <w:p w14:paraId="714902B2" w14:textId="77777777" w:rsidR="00B9569A" w:rsidRPr="00C74816" w:rsidRDefault="00B9569A" w:rsidP="00F56656">
            <w:pPr>
              <w:pStyle w:val="Tabletext"/>
              <w:keepNext/>
              <w:keepLines/>
              <w:rPr>
                <w:sz w:val="20"/>
                <w:lang w:val="ru-RU"/>
              </w:rPr>
            </w:pPr>
            <w:hyperlink r:id="rId50" w:history="1">
              <w:r w:rsidRPr="00C74816">
                <w:rPr>
                  <w:rStyle w:val="Hyperlink"/>
                  <w:sz w:val="20"/>
                  <w:lang w:val="ru-RU"/>
                </w:rPr>
                <w:t>https://informacoes.anatel.gov.br/legislacao/atos-de-certificacao-de-produtos/2022/1629-ato-237</w:t>
              </w:r>
            </w:hyperlink>
          </w:p>
        </w:tc>
      </w:tr>
    </w:tbl>
    <w:p w14:paraId="507A1860" w14:textId="332F013A" w:rsidR="009B7E97" w:rsidRPr="00C74816" w:rsidRDefault="0036359D" w:rsidP="00B9569A">
      <w:pPr>
        <w:spacing w:before="720"/>
        <w:jc w:val="center"/>
        <w:rPr>
          <w:lang w:val="ru-RU"/>
        </w:rPr>
      </w:pPr>
      <w:r w:rsidRPr="00C74816">
        <w:rPr>
          <w:lang w:val="ru-RU"/>
        </w:rPr>
        <w:t>______________</w:t>
      </w:r>
    </w:p>
    <w:sectPr w:rsidR="009B7E97" w:rsidRPr="00C74816" w:rsidSect="007565CC">
      <w:footerReference w:type="default" r:id="rId51"/>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D8A4B" w14:textId="77777777" w:rsidR="00921F36" w:rsidRDefault="00921F36">
      <w:r>
        <w:separator/>
      </w:r>
    </w:p>
  </w:endnote>
  <w:endnote w:type="continuationSeparator" w:id="0">
    <w:p w14:paraId="4D4A0030" w14:textId="77777777" w:rsidR="00921F36" w:rsidRDefault="0092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EA55" w14:textId="77777777" w:rsidR="00301DB3" w:rsidRDefault="00301DB3">
    <w:pPr>
      <w:pStyle w:val="Footer"/>
    </w:pPr>
    <w:r>
      <w:drawing>
        <wp:anchor distT="0" distB="0" distL="0" distR="0" simplePos="0" relativeHeight="251656192" behindDoc="0" locked="0" layoutInCell="1" allowOverlap="1" wp14:anchorId="21237A1D" wp14:editId="69107D67">
          <wp:simplePos x="0" y="0"/>
          <wp:positionH relativeFrom="page">
            <wp:posOffset>6346209</wp:posOffset>
          </wp:positionH>
          <wp:positionV relativeFrom="page">
            <wp:posOffset>9501505</wp:posOffset>
          </wp:positionV>
          <wp:extent cx="738000" cy="813600"/>
          <wp:effectExtent l="0" t="0" r="0" b="0"/>
          <wp:wrapNone/>
          <wp:docPr id="701614952"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E4B1"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EB1D" w14:textId="77777777" w:rsidR="00921F36" w:rsidRDefault="00921F36">
      <w:r>
        <w:separator/>
      </w:r>
    </w:p>
  </w:footnote>
  <w:footnote w:type="continuationSeparator" w:id="0">
    <w:p w14:paraId="17508F97" w14:textId="77777777" w:rsidR="00921F36" w:rsidRDefault="00921F36">
      <w:r>
        <w:continuationSeparator/>
      </w:r>
    </w:p>
  </w:footnote>
  <w:footnote w:id="1">
    <w:p w14:paraId="699A5F67" w14:textId="77777777" w:rsidR="0036359D" w:rsidRPr="00153F66" w:rsidRDefault="0036359D" w:rsidP="0036359D">
      <w:pPr>
        <w:pStyle w:val="FootnoteText"/>
        <w:spacing w:before="60"/>
        <w:ind w:left="284" w:hanging="284"/>
        <w:rPr>
          <w:lang w:val="ru-RU"/>
        </w:rPr>
      </w:pPr>
      <w:r w:rsidRPr="00F37385">
        <w:rPr>
          <w:rStyle w:val="FootnoteReference"/>
          <w:sz w:val="16"/>
          <w:szCs w:val="16"/>
        </w:rPr>
        <w:footnoteRef/>
      </w:r>
      <w:r w:rsidRPr="00F37385">
        <w:rPr>
          <w:lang w:val="ru-RU"/>
        </w:rPr>
        <w:tab/>
        <w:t>ЕС:</w:t>
      </w:r>
      <w:r w:rsidRPr="00F37385">
        <w:t>  </w:t>
      </w:r>
      <w:r w:rsidRPr="00F37385">
        <w:rPr>
          <w:lang w:val="ru-RU"/>
        </w:rPr>
        <w:t>Европейский союз; ЕЭЗ: Европейская экономическая зона.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1C1C"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642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gridCol w:w="5936"/>
    </w:tblGrid>
    <w:tr w:rsidR="0036359D" w:rsidRPr="00A239D1" w14:paraId="3CA2F7CA" w14:textId="77777777" w:rsidTr="00D85EC2">
      <w:tc>
        <w:tcPr>
          <w:tcW w:w="4554" w:type="dxa"/>
          <w:vAlign w:val="center"/>
        </w:tcPr>
        <w:p w14:paraId="4E47E96F" w14:textId="71BF89EC" w:rsidR="0036359D" w:rsidRPr="005B0371" w:rsidRDefault="0036359D" w:rsidP="0036359D">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r w:rsidR="00667C1C" w:rsidRPr="00F10051">
            <w:rPr>
              <w:rFonts w:ascii="Arial" w:hAnsi="Arial"/>
              <w:b/>
              <w:color w:val="009CD6"/>
              <w:spacing w:val="-4"/>
              <w:sz w:val="32"/>
              <w:szCs w:val="32"/>
              <w:lang w:val="ru-RU"/>
            </w:rPr>
            <w:t>ITU</w:t>
          </w:r>
          <w:r w:rsidR="00667C1C" w:rsidRPr="00F10051">
            <w:rPr>
              <w:rFonts w:ascii="Arial" w:hAnsi="Arial"/>
              <w:b/>
              <w:color w:val="292829"/>
              <w:spacing w:val="-4"/>
              <w:sz w:val="32"/>
              <w:szCs w:val="32"/>
              <w:lang w:val="ru-RU"/>
            </w:rPr>
            <w:t>Публикации</w:t>
          </w:r>
        </w:p>
      </w:tc>
      <w:tc>
        <w:tcPr>
          <w:tcW w:w="5936" w:type="dxa"/>
          <w:vAlign w:val="center"/>
        </w:tcPr>
        <w:p w14:paraId="7C0FB28E" w14:textId="07212733" w:rsidR="0036359D" w:rsidRPr="0036359D" w:rsidRDefault="0036359D" w:rsidP="0036359D">
          <w:pPr>
            <w:pStyle w:val="Header"/>
            <w:jc w:val="right"/>
            <w:rPr>
              <w:rFonts w:asciiTheme="minorBidi" w:hAnsiTheme="minorBidi"/>
              <w:b/>
              <w:spacing w:val="4"/>
            </w:rPr>
          </w:pPr>
          <w:r w:rsidRPr="0036359D">
            <w:rPr>
              <w:rFonts w:ascii="Arial" w:hAnsi="Arial"/>
              <w:b/>
              <w:spacing w:val="4"/>
              <w:lang w:val="ru-RU"/>
            </w:rPr>
            <w:t>Международный союз электросвязи</w:t>
          </w:r>
        </w:p>
      </w:tc>
      <w:tc>
        <w:tcPr>
          <w:tcW w:w="5936" w:type="dxa"/>
          <w:vAlign w:val="center"/>
        </w:tcPr>
        <w:p w14:paraId="37D334F2" w14:textId="51105EBF" w:rsidR="0036359D" w:rsidRPr="00260B24" w:rsidRDefault="0036359D" w:rsidP="0036359D">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36359D" w:rsidRPr="00A239D1" w14:paraId="26286167" w14:textId="77777777" w:rsidTr="00D85EC2">
      <w:tc>
        <w:tcPr>
          <w:tcW w:w="4554" w:type="dxa"/>
          <w:vAlign w:val="center"/>
        </w:tcPr>
        <w:p w14:paraId="5308CBFC" w14:textId="77777777" w:rsidR="0036359D" w:rsidRPr="00260B24" w:rsidRDefault="0036359D" w:rsidP="0036359D">
          <w:pPr>
            <w:pStyle w:val="Header"/>
            <w:jc w:val="left"/>
            <w:rPr>
              <w:rFonts w:asciiTheme="minorBidi" w:hAnsiTheme="minorBidi"/>
              <w:spacing w:val="4"/>
              <w:sz w:val="21"/>
              <w:szCs w:val="21"/>
            </w:rPr>
          </w:pPr>
        </w:p>
      </w:tc>
      <w:tc>
        <w:tcPr>
          <w:tcW w:w="5936" w:type="dxa"/>
          <w:vAlign w:val="center"/>
        </w:tcPr>
        <w:p w14:paraId="57E31B34" w14:textId="1DE99357" w:rsidR="0036359D" w:rsidRPr="0036359D" w:rsidRDefault="0036359D" w:rsidP="0036359D">
          <w:pPr>
            <w:pStyle w:val="Header"/>
            <w:jc w:val="right"/>
            <w:rPr>
              <w:rFonts w:asciiTheme="minorBidi" w:hAnsiTheme="minorBidi"/>
              <w:spacing w:val="4"/>
            </w:rPr>
          </w:pPr>
          <w:r w:rsidRPr="0036359D">
            <w:rPr>
              <w:rFonts w:ascii="Arial" w:hAnsi="Arial"/>
              <w:spacing w:val="4"/>
              <w:lang w:val="ru-RU"/>
            </w:rPr>
            <w:t>Сектор радиосвязи</w:t>
          </w:r>
        </w:p>
      </w:tc>
      <w:tc>
        <w:tcPr>
          <w:tcW w:w="5936" w:type="dxa"/>
          <w:vAlign w:val="center"/>
        </w:tcPr>
        <w:p w14:paraId="138666F4" w14:textId="0141E461" w:rsidR="0036359D" w:rsidRPr="00260B24" w:rsidRDefault="0036359D" w:rsidP="0036359D">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762D802F" w14:textId="608E07D2" w:rsidR="00EE47C4" w:rsidRDefault="00A507D4" w:rsidP="004A6FEB">
    <w:pPr>
      <w:pStyle w:val="Header"/>
    </w:pPr>
    <w:r>
      <w:rPr>
        <w:rFonts w:ascii="Arial" w:hAnsi="Arial" w:cs="Arial"/>
        <w:noProof/>
      </w:rPr>
      <mc:AlternateContent>
        <mc:Choice Requires="wps">
          <w:drawing>
            <wp:anchor distT="0" distB="0" distL="114300" distR="114300" simplePos="0" relativeHeight="251658240" behindDoc="0" locked="0" layoutInCell="1" allowOverlap="1" wp14:anchorId="1ED071E1" wp14:editId="0A1C2BF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8196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A9B8E20"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650A077" wp14:editId="1E28DFEE">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7B3F2"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DCF6" w14:textId="650324B0"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CA00B1" w:rsidRPr="0036359D">
      <w:rPr>
        <w:b/>
        <w:bCs/>
        <w:lang w:val="ru-RU"/>
      </w:rPr>
      <w:t>Отчет</w:t>
    </w:r>
    <w:r w:rsidR="00CA00B1">
      <w:rPr>
        <w:lang w:val="ru-RU"/>
      </w:rPr>
      <w:t xml:space="preserve">  </w:t>
    </w:r>
    <w:r w:rsidR="00CA00B1" w:rsidRPr="0036359D">
      <w:rPr>
        <w:b/>
        <w:bCs/>
        <w:lang w:val="ru-RU"/>
      </w:rPr>
      <w:t>МСЭ</w:t>
    </w:r>
    <w:r w:rsidR="00CA00B1">
      <w:rPr>
        <w:b/>
        <w:bCs/>
      </w:rPr>
      <w:fldChar w:fldCharType="begin"/>
    </w:r>
    <w:r w:rsidR="00CA00B1">
      <w:rPr>
        <w:b/>
        <w:bCs/>
      </w:rPr>
      <w:instrText>styleref href</w:instrText>
    </w:r>
    <w:r w:rsidR="00CA00B1">
      <w:rPr>
        <w:b/>
        <w:bCs/>
      </w:rPr>
      <w:fldChar w:fldCharType="separate"/>
    </w:r>
    <w:r w:rsidR="00F0593B">
      <w:rPr>
        <w:b/>
        <w:bCs/>
        <w:noProof/>
      </w:rPr>
      <w:t>-R  SM.2179-2</w:t>
    </w:r>
    <w:r w:rsidR="00CA00B1">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84D9" w14:textId="0A17AFF9" w:rsidR="001B164E" w:rsidRDefault="001B164E">
    <w:pPr>
      <w:pStyle w:val="Header"/>
    </w:pPr>
    <w:r>
      <w:tab/>
    </w:r>
    <w:r w:rsidR="0036359D" w:rsidRPr="0036359D">
      <w:rPr>
        <w:b/>
        <w:bCs/>
        <w:lang w:val="ru-RU"/>
      </w:rPr>
      <w:t>Отчет</w:t>
    </w:r>
    <w:r w:rsidR="0036359D">
      <w:rPr>
        <w:lang w:val="ru-RU"/>
      </w:rPr>
      <w:t xml:space="preserve">  </w:t>
    </w:r>
    <w:r w:rsidR="0036359D" w:rsidRPr="0036359D">
      <w:rPr>
        <w:b/>
        <w:bCs/>
        <w:lang w:val="ru-RU"/>
      </w:rPr>
      <w:t>МСЭ</w:t>
    </w:r>
    <w:r w:rsidR="006C37D5">
      <w:rPr>
        <w:b/>
        <w:bCs/>
      </w:rPr>
      <w:fldChar w:fldCharType="begin"/>
    </w:r>
    <w:r>
      <w:rPr>
        <w:b/>
        <w:bCs/>
      </w:rPr>
      <w:instrText>styleref href</w:instrText>
    </w:r>
    <w:r w:rsidR="006C37D5">
      <w:rPr>
        <w:b/>
        <w:bCs/>
      </w:rPr>
      <w:fldChar w:fldCharType="separate"/>
    </w:r>
    <w:r w:rsidR="00F0593B">
      <w:rPr>
        <w:b/>
        <w:bCs/>
        <w:noProof/>
      </w:rPr>
      <w:t>-R  SM.2179-2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4AA3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B2B1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2626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CAE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AEA2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629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3A7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E4E5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4A81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8222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54729"/>
    <w:multiLevelType w:val="hybridMultilevel"/>
    <w:tmpl w:val="456E1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2B41AA"/>
    <w:multiLevelType w:val="hybridMultilevel"/>
    <w:tmpl w:val="D1AA159A"/>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
      <w:lvlJc w:val="left"/>
      <w:pPr>
        <w:tabs>
          <w:tab w:val="num" w:pos="1560"/>
        </w:tabs>
        <w:ind w:left="1560" w:hanging="360"/>
      </w:pPr>
      <w:rPr>
        <w:rFonts w:ascii="Wingdings" w:hAnsi="Wingdings"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0B5D15A7"/>
    <w:multiLevelType w:val="hybridMultilevel"/>
    <w:tmpl w:val="654436A8"/>
    <w:lvl w:ilvl="0" w:tplc="FFFFFFFF">
      <w:start w:val="5"/>
      <w:numFmt w:val="bullet"/>
      <w:lvlText w:val="–"/>
      <w:lvlJc w:val="left"/>
      <w:pPr>
        <w:tabs>
          <w:tab w:val="num" w:pos="1152"/>
        </w:tabs>
        <w:ind w:left="1152" w:hanging="792"/>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32598"/>
    <w:multiLevelType w:val="hybridMultilevel"/>
    <w:tmpl w:val="BE3C75EC"/>
    <w:lvl w:ilvl="0" w:tplc="04090001">
      <w:start w:val="1"/>
      <w:numFmt w:val="decimal"/>
      <w:lvlText w:val="%1)"/>
      <w:lvlJc w:val="left"/>
      <w:pPr>
        <w:tabs>
          <w:tab w:val="num" w:pos="1800"/>
        </w:tabs>
        <w:ind w:left="1800" w:hanging="360"/>
      </w:pPr>
    </w:lvl>
    <w:lvl w:ilvl="1" w:tplc="0409000B"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5" w15:restartNumberingAfterBreak="0">
    <w:nsid w:val="11D126E9"/>
    <w:multiLevelType w:val="hybridMultilevel"/>
    <w:tmpl w:val="7E68C658"/>
    <w:lvl w:ilvl="0" w:tplc="08090001">
      <w:start w:val="1"/>
      <w:numFmt w:val="lowerLetter"/>
      <w:lvlText w:val="%1)"/>
      <w:lvlJc w:val="left"/>
      <w:pPr>
        <w:tabs>
          <w:tab w:val="num" w:pos="1789"/>
        </w:tabs>
        <w:ind w:left="1789" w:hanging="360"/>
      </w:pPr>
      <w:rPr>
        <w:rFonts w:hint="default"/>
      </w:rPr>
    </w:lvl>
    <w:lvl w:ilvl="1" w:tplc="08090003" w:tentative="1">
      <w:start w:val="1"/>
      <w:numFmt w:val="lowerLetter"/>
      <w:lvlText w:val="%2."/>
      <w:lvlJc w:val="left"/>
      <w:pPr>
        <w:tabs>
          <w:tab w:val="num" w:pos="2509"/>
        </w:tabs>
        <w:ind w:left="2509" w:hanging="360"/>
      </w:pPr>
    </w:lvl>
    <w:lvl w:ilvl="2" w:tplc="08090005" w:tentative="1">
      <w:start w:val="1"/>
      <w:numFmt w:val="lowerRoman"/>
      <w:lvlText w:val="%3."/>
      <w:lvlJc w:val="right"/>
      <w:pPr>
        <w:tabs>
          <w:tab w:val="num" w:pos="3229"/>
        </w:tabs>
        <w:ind w:left="3229" w:hanging="180"/>
      </w:pPr>
    </w:lvl>
    <w:lvl w:ilvl="3" w:tplc="08090001" w:tentative="1">
      <w:start w:val="1"/>
      <w:numFmt w:val="decimal"/>
      <w:lvlText w:val="%4."/>
      <w:lvlJc w:val="left"/>
      <w:pPr>
        <w:tabs>
          <w:tab w:val="num" w:pos="3949"/>
        </w:tabs>
        <w:ind w:left="3949" w:hanging="360"/>
      </w:pPr>
    </w:lvl>
    <w:lvl w:ilvl="4" w:tplc="08090003" w:tentative="1">
      <w:start w:val="1"/>
      <w:numFmt w:val="lowerLetter"/>
      <w:lvlText w:val="%5."/>
      <w:lvlJc w:val="left"/>
      <w:pPr>
        <w:tabs>
          <w:tab w:val="num" w:pos="4669"/>
        </w:tabs>
        <w:ind w:left="4669" w:hanging="360"/>
      </w:pPr>
    </w:lvl>
    <w:lvl w:ilvl="5" w:tplc="08090005" w:tentative="1">
      <w:start w:val="1"/>
      <w:numFmt w:val="lowerRoman"/>
      <w:lvlText w:val="%6."/>
      <w:lvlJc w:val="right"/>
      <w:pPr>
        <w:tabs>
          <w:tab w:val="num" w:pos="5389"/>
        </w:tabs>
        <w:ind w:left="5389" w:hanging="180"/>
      </w:pPr>
    </w:lvl>
    <w:lvl w:ilvl="6" w:tplc="08090001" w:tentative="1">
      <w:start w:val="1"/>
      <w:numFmt w:val="decimal"/>
      <w:lvlText w:val="%7."/>
      <w:lvlJc w:val="left"/>
      <w:pPr>
        <w:tabs>
          <w:tab w:val="num" w:pos="6109"/>
        </w:tabs>
        <w:ind w:left="6109" w:hanging="360"/>
      </w:pPr>
    </w:lvl>
    <w:lvl w:ilvl="7" w:tplc="08090003" w:tentative="1">
      <w:start w:val="1"/>
      <w:numFmt w:val="lowerLetter"/>
      <w:lvlText w:val="%8."/>
      <w:lvlJc w:val="left"/>
      <w:pPr>
        <w:tabs>
          <w:tab w:val="num" w:pos="6829"/>
        </w:tabs>
        <w:ind w:left="6829" w:hanging="360"/>
      </w:pPr>
    </w:lvl>
    <w:lvl w:ilvl="8" w:tplc="08090005" w:tentative="1">
      <w:start w:val="1"/>
      <w:numFmt w:val="lowerRoman"/>
      <w:lvlText w:val="%9."/>
      <w:lvlJc w:val="right"/>
      <w:pPr>
        <w:tabs>
          <w:tab w:val="num" w:pos="7549"/>
        </w:tabs>
        <w:ind w:left="7549" w:hanging="180"/>
      </w:pPr>
    </w:lvl>
  </w:abstractNum>
  <w:abstractNum w:abstractNumId="16" w15:restartNumberingAfterBreak="0">
    <w:nsid w:val="12BA1092"/>
    <w:multiLevelType w:val="hybridMultilevel"/>
    <w:tmpl w:val="F228914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7315F0F"/>
    <w:multiLevelType w:val="hybridMultilevel"/>
    <w:tmpl w:val="3A88D844"/>
    <w:lvl w:ilvl="0" w:tplc="3AF41B7A">
      <w:start w:val="1"/>
      <w:numFmt w:val="lowerLetter"/>
      <w:lvlText w:val="%1)"/>
      <w:lvlJc w:val="left"/>
      <w:pPr>
        <w:tabs>
          <w:tab w:val="num" w:pos="360"/>
        </w:tabs>
        <w:ind w:left="360" w:hanging="360"/>
      </w:pPr>
      <w:rPr>
        <w:rFonts w:hint="default"/>
      </w:rPr>
    </w:lvl>
    <w:lvl w:ilvl="1" w:tplc="04160019" w:tentative="1">
      <w:start w:val="1"/>
      <w:numFmt w:val="bullet"/>
      <w:lvlText w:val="o"/>
      <w:lvlJc w:val="left"/>
      <w:pPr>
        <w:tabs>
          <w:tab w:val="num" w:pos="1080"/>
        </w:tabs>
        <w:ind w:left="1080" w:hanging="360"/>
      </w:pPr>
      <w:rPr>
        <w:rFonts w:ascii="Courier New" w:hAnsi="Courier New" w:cs="Courier New" w:hint="default"/>
      </w:rPr>
    </w:lvl>
    <w:lvl w:ilvl="2" w:tplc="0416001B" w:tentative="1">
      <w:start w:val="1"/>
      <w:numFmt w:val="bullet"/>
      <w:lvlText w:val=""/>
      <w:lvlJc w:val="left"/>
      <w:pPr>
        <w:tabs>
          <w:tab w:val="num" w:pos="1800"/>
        </w:tabs>
        <w:ind w:left="1800" w:hanging="360"/>
      </w:pPr>
      <w:rPr>
        <w:rFonts w:ascii="Wingdings" w:hAnsi="Wingdings" w:hint="default"/>
      </w:rPr>
    </w:lvl>
    <w:lvl w:ilvl="3" w:tplc="0416000F" w:tentative="1">
      <w:start w:val="1"/>
      <w:numFmt w:val="bullet"/>
      <w:lvlText w:val=""/>
      <w:lvlJc w:val="left"/>
      <w:pPr>
        <w:tabs>
          <w:tab w:val="num" w:pos="2520"/>
        </w:tabs>
        <w:ind w:left="2520" w:hanging="360"/>
      </w:pPr>
      <w:rPr>
        <w:rFonts w:ascii="Symbol" w:hAnsi="Symbol" w:hint="default"/>
      </w:rPr>
    </w:lvl>
    <w:lvl w:ilvl="4" w:tplc="04160019" w:tentative="1">
      <w:start w:val="1"/>
      <w:numFmt w:val="bullet"/>
      <w:lvlText w:val="o"/>
      <w:lvlJc w:val="left"/>
      <w:pPr>
        <w:tabs>
          <w:tab w:val="num" w:pos="3240"/>
        </w:tabs>
        <w:ind w:left="3240" w:hanging="360"/>
      </w:pPr>
      <w:rPr>
        <w:rFonts w:ascii="Courier New" w:hAnsi="Courier New" w:cs="Courier New" w:hint="default"/>
      </w:rPr>
    </w:lvl>
    <w:lvl w:ilvl="5" w:tplc="0416001B" w:tentative="1">
      <w:start w:val="1"/>
      <w:numFmt w:val="bullet"/>
      <w:lvlText w:val=""/>
      <w:lvlJc w:val="left"/>
      <w:pPr>
        <w:tabs>
          <w:tab w:val="num" w:pos="3960"/>
        </w:tabs>
        <w:ind w:left="3960" w:hanging="360"/>
      </w:pPr>
      <w:rPr>
        <w:rFonts w:ascii="Wingdings" w:hAnsi="Wingdings" w:hint="default"/>
      </w:rPr>
    </w:lvl>
    <w:lvl w:ilvl="6" w:tplc="0416000F" w:tentative="1">
      <w:start w:val="1"/>
      <w:numFmt w:val="bullet"/>
      <w:lvlText w:val=""/>
      <w:lvlJc w:val="left"/>
      <w:pPr>
        <w:tabs>
          <w:tab w:val="num" w:pos="4680"/>
        </w:tabs>
        <w:ind w:left="4680" w:hanging="360"/>
      </w:pPr>
      <w:rPr>
        <w:rFonts w:ascii="Symbol" w:hAnsi="Symbol" w:hint="default"/>
      </w:rPr>
    </w:lvl>
    <w:lvl w:ilvl="7" w:tplc="04160019" w:tentative="1">
      <w:start w:val="1"/>
      <w:numFmt w:val="bullet"/>
      <w:lvlText w:val="o"/>
      <w:lvlJc w:val="left"/>
      <w:pPr>
        <w:tabs>
          <w:tab w:val="num" w:pos="5400"/>
        </w:tabs>
        <w:ind w:left="5400" w:hanging="360"/>
      </w:pPr>
      <w:rPr>
        <w:rFonts w:ascii="Courier New" w:hAnsi="Courier New" w:cs="Courier New" w:hint="default"/>
      </w:rPr>
    </w:lvl>
    <w:lvl w:ilvl="8" w:tplc="0416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B9B491F"/>
    <w:multiLevelType w:val="hybridMultilevel"/>
    <w:tmpl w:val="35DC9DF4"/>
    <w:lvl w:ilvl="0" w:tplc="2E4201C4">
      <w:numFmt w:val="bullet"/>
      <w:lvlText w:val="-"/>
      <w:lvlJc w:val="left"/>
      <w:pPr>
        <w:ind w:left="1155" w:hanging="795"/>
      </w:pPr>
      <w:rPr>
        <w:rFonts w:ascii="Times New Roman" w:eastAsia="SimSu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1E4447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6419D9"/>
    <w:multiLevelType w:val="hybridMultilevel"/>
    <w:tmpl w:val="789EAE1E"/>
    <w:lvl w:ilvl="0" w:tplc="04100017">
      <w:start w:val="3"/>
      <w:numFmt w:val="upperRoman"/>
      <w:lvlText w:val="%1."/>
      <w:lvlJc w:val="left"/>
      <w:pPr>
        <w:tabs>
          <w:tab w:val="num" w:pos="1429"/>
        </w:tabs>
        <w:ind w:left="1429" w:hanging="720"/>
      </w:pPr>
      <w:rPr>
        <w:rFonts w:hint="default"/>
      </w:rPr>
    </w:lvl>
    <w:lvl w:ilvl="1" w:tplc="04100003" w:tentative="1">
      <w:start w:val="1"/>
      <w:numFmt w:val="lowerLetter"/>
      <w:lvlText w:val="%2."/>
      <w:lvlJc w:val="left"/>
      <w:pPr>
        <w:tabs>
          <w:tab w:val="num" w:pos="1789"/>
        </w:tabs>
        <w:ind w:left="1789" w:hanging="360"/>
      </w:pPr>
    </w:lvl>
    <w:lvl w:ilvl="2" w:tplc="04100005" w:tentative="1">
      <w:start w:val="1"/>
      <w:numFmt w:val="lowerRoman"/>
      <w:lvlText w:val="%3."/>
      <w:lvlJc w:val="right"/>
      <w:pPr>
        <w:tabs>
          <w:tab w:val="num" w:pos="2509"/>
        </w:tabs>
        <w:ind w:left="2509" w:hanging="180"/>
      </w:pPr>
    </w:lvl>
    <w:lvl w:ilvl="3" w:tplc="04100001" w:tentative="1">
      <w:start w:val="1"/>
      <w:numFmt w:val="decimal"/>
      <w:lvlText w:val="%4."/>
      <w:lvlJc w:val="left"/>
      <w:pPr>
        <w:tabs>
          <w:tab w:val="num" w:pos="3229"/>
        </w:tabs>
        <w:ind w:left="3229" w:hanging="360"/>
      </w:pPr>
    </w:lvl>
    <w:lvl w:ilvl="4" w:tplc="04100003" w:tentative="1">
      <w:start w:val="1"/>
      <w:numFmt w:val="lowerLetter"/>
      <w:lvlText w:val="%5."/>
      <w:lvlJc w:val="left"/>
      <w:pPr>
        <w:tabs>
          <w:tab w:val="num" w:pos="3949"/>
        </w:tabs>
        <w:ind w:left="3949" w:hanging="360"/>
      </w:pPr>
    </w:lvl>
    <w:lvl w:ilvl="5" w:tplc="04100005" w:tentative="1">
      <w:start w:val="1"/>
      <w:numFmt w:val="lowerRoman"/>
      <w:lvlText w:val="%6."/>
      <w:lvlJc w:val="right"/>
      <w:pPr>
        <w:tabs>
          <w:tab w:val="num" w:pos="4669"/>
        </w:tabs>
        <w:ind w:left="4669" w:hanging="180"/>
      </w:pPr>
    </w:lvl>
    <w:lvl w:ilvl="6" w:tplc="04100001" w:tentative="1">
      <w:start w:val="1"/>
      <w:numFmt w:val="decimal"/>
      <w:lvlText w:val="%7."/>
      <w:lvlJc w:val="left"/>
      <w:pPr>
        <w:tabs>
          <w:tab w:val="num" w:pos="5389"/>
        </w:tabs>
        <w:ind w:left="5389" w:hanging="360"/>
      </w:pPr>
    </w:lvl>
    <w:lvl w:ilvl="7" w:tplc="04100003" w:tentative="1">
      <w:start w:val="1"/>
      <w:numFmt w:val="lowerLetter"/>
      <w:lvlText w:val="%8."/>
      <w:lvlJc w:val="left"/>
      <w:pPr>
        <w:tabs>
          <w:tab w:val="num" w:pos="6109"/>
        </w:tabs>
        <w:ind w:left="6109" w:hanging="360"/>
      </w:pPr>
    </w:lvl>
    <w:lvl w:ilvl="8" w:tplc="04100005" w:tentative="1">
      <w:start w:val="1"/>
      <w:numFmt w:val="lowerRoman"/>
      <w:lvlText w:val="%9."/>
      <w:lvlJc w:val="right"/>
      <w:pPr>
        <w:tabs>
          <w:tab w:val="num" w:pos="6829"/>
        </w:tabs>
        <w:ind w:left="6829" w:hanging="180"/>
      </w:pPr>
    </w:lvl>
  </w:abstractNum>
  <w:abstractNum w:abstractNumId="22" w15:restartNumberingAfterBreak="0">
    <w:nsid w:val="32970C8B"/>
    <w:multiLevelType w:val="hybridMultilevel"/>
    <w:tmpl w:val="EAAECADE"/>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4264CF6"/>
    <w:multiLevelType w:val="hybridMultilevel"/>
    <w:tmpl w:val="5D807664"/>
    <w:lvl w:ilvl="0" w:tplc="5964DA9C">
      <w:start w:val="3"/>
      <w:numFmt w:val="bullet"/>
      <w:lvlText w:val=""/>
      <w:lvlJc w:val="left"/>
      <w:pPr>
        <w:tabs>
          <w:tab w:val="num" w:pos="720"/>
        </w:tabs>
        <w:ind w:left="720" w:hanging="360"/>
      </w:pPr>
      <w:rPr>
        <w:rFonts w:ascii="Wingdings" w:eastAsia="Times New Roman" w:hAnsi="Wingdings" w:cs="Arial" w:hint="default"/>
      </w:rPr>
    </w:lvl>
    <w:lvl w:ilvl="1" w:tplc="08090003">
      <w:start w:val="5"/>
      <w:numFmt w:val="bullet"/>
      <w:lvlText w:val=""/>
      <w:lvlJc w:val="left"/>
      <w:pPr>
        <w:tabs>
          <w:tab w:val="num" w:pos="1440"/>
        </w:tabs>
        <w:ind w:left="1440" w:hanging="360"/>
      </w:pPr>
      <w:rPr>
        <w:rFonts w:ascii="Symbol" w:eastAsia="Times New Roman"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16BCB"/>
    <w:multiLevelType w:val="hybridMultilevel"/>
    <w:tmpl w:val="5770FBC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7"/>
      <w:numFmt w:val="bullet"/>
      <w:lvlText w:val="-"/>
      <w:lvlJc w:val="left"/>
      <w:pPr>
        <w:tabs>
          <w:tab w:val="num" w:pos="1440"/>
        </w:tabs>
        <w:ind w:left="1363" w:hanging="283"/>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37EAE"/>
    <w:multiLevelType w:val="hybridMultilevel"/>
    <w:tmpl w:val="7D163894"/>
    <w:lvl w:ilvl="0" w:tplc="61C42540">
      <w:numFmt w:val="bullet"/>
      <w:lvlText w:val="-"/>
      <w:lvlJc w:val="left"/>
      <w:pPr>
        <w:tabs>
          <w:tab w:val="num" w:pos="360"/>
        </w:tabs>
        <w:ind w:left="360" w:hanging="360"/>
      </w:pPr>
      <w:rPr>
        <w:rFonts w:ascii="Times New Roman" w:eastAsia="Times New Roman" w:hAnsi="Times New Roman" w:cs="Times New Roman"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3B4696"/>
    <w:multiLevelType w:val="hybridMultilevel"/>
    <w:tmpl w:val="60307384"/>
    <w:lvl w:ilvl="0" w:tplc="91F875EC">
      <w:start w:val="7"/>
      <w:numFmt w:val="bullet"/>
      <w:lvlText w:val="-"/>
      <w:lvlJc w:val="left"/>
      <w:pPr>
        <w:tabs>
          <w:tab w:val="num" w:pos="360"/>
        </w:tabs>
        <w:ind w:left="283" w:hanging="283"/>
      </w:pPr>
      <w:rPr>
        <w:rFonts w:ascii="Times New Roman" w:hAnsi="Times New Roman" w:cs="Times New Roman" w:hint="default"/>
      </w:rPr>
    </w:lvl>
    <w:lvl w:ilvl="1" w:tplc="04160003" w:tentative="1">
      <w:start w:val="1"/>
      <w:numFmt w:val="bullet"/>
      <w:lvlText w:val="o"/>
      <w:lvlJc w:val="left"/>
      <w:pPr>
        <w:tabs>
          <w:tab w:val="num" w:pos="1383"/>
        </w:tabs>
        <w:ind w:left="1383" w:hanging="360"/>
      </w:pPr>
      <w:rPr>
        <w:rFonts w:ascii="Courier New" w:hAnsi="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6A1077D"/>
    <w:multiLevelType w:val="multilevel"/>
    <w:tmpl w:val="D0CE24DE"/>
    <w:lvl w:ilvl="0">
      <w:start w:val="2"/>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4134268"/>
    <w:multiLevelType w:val="hybridMultilevel"/>
    <w:tmpl w:val="EAAECADE"/>
    <w:lvl w:ilvl="0" w:tplc="91F875EC">
      <w:start w:val="7"/>
      <w:numFmt w:val="bullet"/>
      <w:lvlText w:val="-"/>
      <w:lvlJc w:val="left"/>
      <w:pPr>
        <w:tabs>
          <w:tab w:val="num" w:pos="1068"/>
        </w:tabs>
        <w:ind w:left="1068" w:hanging="360"/>
      </w:pPr>
      <w:rPr>
        <w:rFonts w:ascii="Times New Roman" w:eastAsia="Times New Roman" w:hAnsi="Times New Roman" w:cs="Times New Roman" w:hint="default"/>
      </w:rPr>
    </w:lvl>
    <w:lvl w:ilvl="1" w:tplc="46A80C28">
      <w:start w:val="1"/>
      <w:numFmt w:val="bullet"/>
      <w:lvlText w:val=""/>
      <w:lvlJc w:val="left"/>
      <w:pPr>
        <w:tabs>
          <w:tab w:val="num" w:pos="1788"/>
        </w:tabs>
        <w:ind w:left="1788"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491433E"/>
    <w:multiLevelType w:val="hybridMultilevel"/>
    <w:tmpl w:val="F4ECC9F2"/>
    <w:lvl w:ilvl="0" w:tplc="7826D916">
      <w:start w:val="2"/>
      <w:numFmt w:val="bullet"/>
      <w:lvlText w:val="–"/>
      <w:lvlJc w:val="left"/>
      <w:pPr>
        <w:tabs>
          <w:tab w:val="num" w:pos="1155"/>
        </w:tabs>
        <w:ind w:left="1155" w:hanging="79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7C34A1"/>
    <w:multiLevelType w:val="hybridMultilevel"/>
    <w:tmpl w:val="9678FD8C"/>
    <w:lvl w:ilvl="0" w:tplc="46A80C28">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677851"/>
    <w:multiLevelType w:val="hybridMultilevel"/>
    <w:tmpl w:val="FACC2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720601"/>
    <w:multiLevelType w:val="hybridMultilevel"/>
    <w:tmpl w:val="927E9A00"/>
    <w:lvl w:ilvl="0" w:tplc="91F875EC">
      <w:start w:val="1"/>
      <w:numFmt w:val="bullet"/>
      <w:lvlText w:val=""/>
      <w:lvlJc w:val="left"/>
      <w:pPr>
        <w:tabs>
          <w:tab w:val="num" w:pos="720"/>
        </w:tabs>
        <w:ind w:left="720" w:hanging="360"/>
      </w:pPr>
      <w:rPr>
        <w:rFonts w:ascii="Symbol" w:hAnsi="Symbol" w:hint="default"/>
      </w:rPr>
    </w:lvl>
    <w:lvl w:ilvl="1" w:tplc="04160005"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AF1274"/>
    <w:multiLevelType w:val="multilevel"/>
    <w:tmpl w:val="28247BE2"/>
    <w:lvl w:ilvl="0">
      <w:start w:val="1"/>
      <w:numFmt w:val="decimal"/>
      <w:lvlText w:val="%1"/>
      <w:lvlJc w:val="left"/>
      <w:pPr>
        <w:tabs>
          <w:tab w:val="num" w:pos="1560"/>
        </w:tabs>
        <w:ind w:left="1560" w:hanging="1560"/>
      </w:pPr>
      <w:rPr>
        <w:rFonts w:hint="default"/>
        <w:b/>
      </w:rPr>
    </w:lvl>
    <w:lvl w:ilvl="1">
      <w:start w:val="3"/>
      <w:numFmt w:val="decimal"/>
      <w:lvlText w:val="%1.%2"/>
      <w:lvlJc w:val="left"/>
      <w:pPr>
        <w:tabs>
          <w:tab w:val="num" w:pos="1560"/>
        </w:tabs>
        <w:ind w:left="1560" w:hanging="1560"/>
      </w:pPr>
      <w:rPr>
        <w:rFonts w:hint="default"/>
        <w:b/>
      </w:rPr>
    </w:lvl>
    <w:lvl w:ilvl="2">
      <w:start w:val="2"/>
      <w:numFmt w:val="decimal"/>
      <w:lvlText w:val="%1.%2.%3"/>
      <w:lvlJc w:val="left"/>
      <w:pPr>
        <w:tabs>
          <w:tab w:val="num" w:pos="1560"/>
        </w:tabs>
        <w:ind w:left="1560" w:hanging="1560"/>
      </w:pPr>
      <w:rPr>
        <w:rFonts w:hint="default"/>
        <w:b/>
      </w:rPr>
    </w:lvl>
    <w:lvl w:ilvl="3">
      <w:start w:val="3"/>
      <w:numFmt w:val="decimal"/>
      <w:lvlText w:val="%1.%2.%3.%4"/>
      <w:lvlJc w:val="left"/>
      <w:pPr>
        <w:tabs>
          <w:tab w:val="num" w:pos="1560"/>
        </w:tabs>
        <w:ind w:left="1560" w:hanging="1560"/>
      </w:pPr>
      <w:rPr>
        <w:rFonts w:hint="default"/>
        <w:b/>
      </w:rPr>
    </w:lvl>
    <w:lvl w:ilvl="4">
      <w:start w:val="1"/>
      <w:numFmt w:val="decimal"/>
      <w:lvlText w:val="%1.%2.%3.%4.%5"/>
      <w:lvlJc w:val="left"/>
      <w:pPr>
        <w:tabs>
          <w:tab w:val="num" w:pos="1560"/>
        </w:tabs>
        <w:ind w:left="1560" w:hanging="1560"/>
      </w:pPr>
      <w:rPr>
        <w:rFonts w:hint="default"/>
        <w:b/>
      </w:rPr>
    </w:lvl>
    <w:lvl w:ilvl="5">
      <w:start w:val="1"/>
      <w:numFmt w:val="decimal"/>
      <w:lvlText w:val="%1.%2.%3.%4.%5.%6"/>
      <w:lvlJc w:val="left"/>
      <w:pPr>
        <w:tabs>
          <w:tab w:val="num" w:pos="1560"/>
        </w:tabs>
        <w:ind w:left="1560" w:hanging="1560"/>
      </w:pPr>
      <w:rPr>
        <w:rFonts w:hint="default"/>
        <w:b/>
      </w:rPr>
    </w:lvl>
    <w:lvl w:ilvl="6">
      <w:start w:val="1"/>
      <w:numFmt w:val="decimal"/>
      <w:lvlText w:val="%1.%2.%3.%4.%5.%6.%7"/>
      <w:lvlJc w:val="left"/>
      <w:pPr>
        <w:tabs>
          <w:tab w:val="num" w:pos="1560"/>
        </w:tabs>
        <w:ind w:left="1560" w:hanging="1560"/>
      </w:pPr>
      <w:rPr>
        <w:rFonts w:hint="default"/>
        <w:b/>
      </w:rPr>
    </w:lvl>
    <w:lvl w:ilvl="7">
      <w:start w:val="1"/>
      <w:numFmt w:val="decimal"/>
      <w:lvlText w:val="%1.%2.%3.%4.%5.%6.%7.%8"/>
      <w:lvlJc w:val="left"/>
      <w:pPr>
        <w:tabs>
          <w:tab w:val="num" w:pos="1560"/>
        </w:tabs>
        <w:ind w:left="1560" w:hanging="156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16A26DF"/>
    <w:multiLevelType w:val="hybridMultilevel"/>
    <w:tmpl w:val="DD468694"/>
    <w:lvl w:ilvl="0" w:tplc="0413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500EA"/>
    <w:multiLevelType w:val="hybridMultilevel"/>
    <w:tmpl w:val="9CA60A3A"/>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4042A"/>
    <w:multiLevelType w:val="hybridMultilevel"/>
    <w:tmpl w:val="09161266"/>
    <w:lvl w:ilvl="0" w:tplc="0410000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2D23CD"/>
    <w:multiLevelType w:val="multilevel"/>
    <w:tmpl w:val="3B06A21E"/>
    <w:lvl w:ilvl="0">
      <w:start w:val="2"/>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8A367A"/>
    <w:multiLevelType w:val="hybridMultilevel"/>
    <w:tmpl w:val="2B501DA6"/>
    <w:lvl w:ilvl="0" w:tplc="04100005">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696B14"/>
    <w:multiLevelType w:val="hybridMultilevel"/>
    <w:tmpl w:val="333CEE00"/>
    <w:lvl w:ilvl="0" w:tplc="91F875EC">
      <w:start w:val="1"/>
      <w:numFmt w:val="lowerLetter"/>
      <w:lvlText w:val="%1)"/>
      <w:lvlJc w:val="left"/>
      <w:pPr>
        <w:tabs>
          <w:tab w:val="num" w:pos="1137"/>
        </w:tabs>
        <w:ind w:left="1137" w:hanging="570"/>
      </w:pPr>
      <w:rPr>
        <w:rFonts w:hint="default"/>
      </w:rPr>
    </w:lvl>
    <w:lvl w:ilvl="1" w:tplc="04160003">
      <w:start w:val="1"/>
      <w:numFmt w:val="bullet"/>
      <w:lvlText w:val=""/>
      <w:lvlJc w:val="left"/>
      <w:pPr>
        <w:tabs>
          <w:tab w:val="num" w:pos="1647"/>
        </w:tabs>
        <w:ind w:left="1647" w:hanging="360"/>
      </w:pPr>
      <w:rPr>
        <w:rFonts w:ascii="Symbol" w:hAnsi="Symbol" w:hint="default"/>
      </w:rPr>
    </w:lvl>
    <w:lvl w:ilvl="2" w:tplc="04160005" w:tentative="1">
      <w:start w:val="1"/>
      <w:numFmt w:val="lowerRoman"/>
      <w:lvlText w:val="%3."/>
      <w:lvlJc w:val="right"/>
      <w:pPr>
        <w:tabs>
          <w:tab w:val="num" w:pos="2367"/>
        </w:tabs>
        <w:ind w:left="2367" w:hanging="180"/>
      </w:pPr>
    </w:lvl>
    <w:lvl w:ilvl="3" w:tplc="04160001" w:tentative="1">
      <w:start w:val="1"/>
      <w:numFmt w:val="decimal"/>
      <w:lvlText w:val="%4."/>
      <w:lvlJc w:val="left"/>
      <w:pPr>
        <w:tabs>
          <w:tab w:val="num" w:pos="3087"/>
        </w:tabs>
        <w:ind w:left="3087" w:hanging="360"/>
      </w:pPr>
    </w:lvl>
    <w:lvl w:ilvl="4" w:tplc="04160003" w:tentative="1">
      <w:start w:val="1"/>
      <w:numFmt w:val="lowerLetter"/>
      <w:lvlText w:val="%5."/>
      <w:lvlJc w:val="left"/>
      <w:pPr>
        <w:tabs>
          <w:tab w:val="num" w:pos="3807"/>
        </w:tabs>
        <w:ind w:left="3807" w:hanging="360"/>
      </w:pPr>
    </w:lvl>
    <w:lvl w:ilvl="5" w:tplc="04160005" w:tentative="1">
      <w:start w:val="1"/>
      <w:numFmt w:val="lowerRoman"/>
      <w:lvlText w:val="%6."/>
      <w:lvlJc w:val="right"/>
      <w:pPr>
        <w:tabs>
          <w:tab w:val="num" w:pos="4527"/>
        </w:tabs>
        <w:ind w:left="4527" w:hanging="180"/>
      </w:pPr>
    </w:lvl>
    <w:lvl w:ilvl="6" w:tplc="04160001" w:tentative="1">
      <w:start w:val="1"/>
      <w:numFmt w:val="decimal"/>
      <w:lvlText w:val="%7."/>
      <w:lvlJc w:val="left"/>
      <w:pPr>
        <w:tabs>
          <w:tab w:val="num" w:pos="5247"/>
        </w:tabs>
        <w:ind w:left="5247" w:hanging="360"/>
      </w:pPr>
    </w:lvl>
    <w:lvl w:ilvl="7" w:tplc="04160003" w:tentative="1">
      <w:start w:val="1"/>
      <w:numFmt w:val="lowerLetter"/>
      <w:lvlText w:val="%8."/>
      <w:lvlJc w:val="left"/>
      <w:pPr>
        <w:tabs>
          <w:tab w:val="num" w:pos="5967"/>
        </w:tabs>
        <w:ind w:left="5967" w:hanging="360"/>
      </w:pPr>
    </w:lvl>
    <w:lvl w:ilvl="8" w:tplc="04160005" w:tentative="1">
      <w:start w:val="1"/>
      <w:numFmt w:val="lowerRoman"/>
      <w:lvlText w:val="%9."/>
      <w:lvlJc w:val="right"/>
      <w:pPr>
        <w:tabs>
          <w:tab w:val="num" w:pos="6687"/>
        </w:tabs>
        <w:ind w:left="6687" w:hanging="180"/>
      </w:pPr>
    </w:lvl>
  </w:abstractNum>
  <w:abstractNum w:abstractNumId="40" w15:restartNumberingAfterBreak="0">
    <w:nsid w:val="647C40C5"/>
    <w:multiLevelType w:val="hybridMultilevel"/>
    <w:tmpl w:val="00CA7D5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110E10"/>
    <w:multiLevelType w:val="hybridMultilevel"/>
    <w:tmpl w:val="8ACA097A"/>
    <w:lvl w:ilvl="0" w:tplc="FFFFFFFF">
      <w:start w:val="1"/>
      <w:numFmt w:val="decimal"/>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2" w15:restartNumberingAfterBreak="0">
    <w:nsid w:val="6B183CEE"/>
    <w:multiLevelType w:val="hybridMultilevel"/>
    <w:tmpl w:val="6CE2792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6B695D45"/>
    <w:multiLevelType w:val="hybridMultilevel"/>
    <w:tmpl w:val="31E8FEBE"/>
    <w:lvl w:ilvl="0" w:tplc="8B2A5D2A">
      <w:start w:val="3"/>
      <w:numFmt w:val="lowerLetter"/>
      <w:lvlText w:val="%1)"/>
      <w:lvlJc w:val="left"/>
      <w:pPr>
        <w:tabs>
          <w:tab w:val="num" w:pos="795"/>
        </w:tabs>
        <w:ind w:left="795" w:hanging="795"/>
      </w:pPr>
      <w:rPr>
        <w:rFonts w:hint="default"/>
        <w:i w:val="0"/>
        <w:iCs w:val="0"/>
      </w:rPr>
    </w:lvl>
    <w:lvl w:ilvl="1" w:tplc="04100003" w:tentative="1">
      <w:start w:val="1"/>
      <w:numFmt w:val="lowerLetter"/>
      <w:lvlText w:val="%2."/>
      <w:lvlJc w:val="left"/>
      <w:pPr>
        <w:tabs>
          <w:tab w:val="num" w:pos="1080"/>
        </w:tabs>
        <w:ind w:left="1080" w:hanging="360"/>
      </w:pPr>
    </w:lvl>
    <w:lvl w:ilvl="2" w:tplc="04100005" w:tentative="1">
      <w:start w:val="1"/>
      <w:numFmt w:val="lowerRoman"/>
      <w:lvlText w:val="%3."/>
      <w:lvlJc w:val="right"/>
      <w:pPr>
        <w:tabs>
          <w:tab w:val="num" w:pos="1800"/>
        </w:tabs>
        <w:ind w:left="1800" w:hanging="180"/>
      </w:pPr>
    </w:lvl>
    <w:lvl w:ilvl="3" w:tplc="04100001" w:tentative="1">
      <w:start w:val="1"/>
      <w:numFmt w:val="decimal"/>
      <w:lvlText w:val="%4."/>
      <w:lvlJc w:val="left"/>
      <w:pPr>
        <w:tabs>
          <w:tab w:val="num" w:pos="2520"/>
        </w:tabs>
        <w:ind w:left="2520" w:hanging="360"/>
      </w:pPr>
    </w:lvl>
    <w:lvl w:ilvl="4" w:tplc="04100003" w:tentative="1">
      <w:start w:val="1"/>
      <w:numFmt w:val="lowerLetter"/>
      <w:lvlText w:val="%5."/>
      <w:lvlJc w:val="left"/>
      <w:pPr>
        <w:tabs>
          <w:tab w:val="num" w:pos="3240"/>
        </w:tabs>
        <w:ind w:left="3240" w:hanging="360"/>
      </w:pPr>
    </w:lvl>
    <w:lvl w:ilvl="5" w:tplc="04100005" w:tentative="1">
      <w:start w:val="1"/>
      <w:numFmt w:val="lowerRoman"/>
      <w:lvlText w:val="%6."/>
      <w:lvlJc w:val="right"/>
      <w:pPr>
        <w:tabs>
          <w:tab w:val="num" w:pos="3960"/>
        </w:tabs>
        <w:ind w:left="3960" w:hanging="180"/>
      </w:pPr>
    </w:lvl>
    <w:lvl w:ilvl="6" w:tplc="04100001" w:tentative="1">
      <w:start w:val="1"/>
      <w:numFmt w:val="decimal"/>
      <w:lvlText w:val="%7."/>
      <w:lvlJc w:val="left"/>
      <w:pPr>
        <w:tabs>
          <w:tab w:val="num" w:pos="4680"/>
        </w:tabs>
        <w:ind w:left="4680" w:hanging="360"/>
      </w:pPr>
    </w:lvl>
    <w:lvl w:ilvl="7" w:tplc="04100003" w:tentative="1">
      <w:start w:val="1"/>
      <w:numFmt w:val="lowerLetter"/>
      <w:lvlText w:val="%8."/>
      <w:lvlJc w:val="left"/>
      <w:pPr>
        <w:tabs>
          <w:tab w:val="num" w:pos="5400"/>
        </w:tabs>
        <w:ind w:left="5400" w:hanging="360"/>
      </w:pPr>
    </w:lvl>
    <w:lvl w:ilvl="8" w:tplc="04100005" w:tentative="1">
      <w:start w:val="1"/>
      <w:numFmt w:val="lowerRoman"/>
      <w:lvlText w:val="%9."/>
      <w:lvlJc w:val="right"/>
      <w:pPr>
        <w:tabs>
          <w:tab w:val="num" w:pos="6120"/>
        </w:tabs>
        <w:ind w:left="6120" w:hanging="180"/>
      </w:pPr>
    </w:lvl>
  </w:abstractNum>
  <w:abstractNum w:abstractNumId="44" w15:restartNumberingAfterBreak="0">
    <w:nsid w:val="6BA72920"/>
    <w:multiLevelType w:val="multilevel"/>
    <w:tmpl w:val="D42C2296"/>
    <w:lvl w:ilvl="0">
      <w:start w:val="3"/>
      <w:numFmt w:val="decimal"/>
      <w:lvlText w:val="%1"/>
      <w:lvlJc w:val="left"/>
      <w:pPr>
        <w:tabs>
          <w:tab w:val="num" w:pos="720"/>
        </w:tabs>
        <w:ind w:left="720" w:hanging="720"/>
      </w:pPr>
      <w:rPr>
        <w:rFonts w:ascii="Times New Roman" w:eastAsia="Batang" w:hAnsi="Times New Roman" w:hint="default"/>
        <w:color w:val="0000FF"/>
        <w:u w:val="single"/>
      </w:rPr>
    </w:lvl>
    <w:lvl w:ilvl="1">
      <w:start w:val="2"/>
      <w:numFmt w:val="decimal"/>
      <w:lvlText w:val="%1.%2"/>
      <w:lvlJc w:val="left"/>
      <w:pPr>
        <w:tabs>
          <w:tab w:val="num" w:pos="720"/>
        </w:tabs>
        <w:ind w:left="720" w:hanging="720"/>
      </w:pPr>
      <w:rPr>
        <w:rFonts w:ascii="Times New Roman" w:eastAsia="Batang" w:hAnsi="Times New Roman" w:hint="default"/>
        <w:color w:val="0000FF"/>
        <w:u w:val="single"/>
      </w:rPr>
    </w:lvl>
    <w:lvl w:ilvl="2">
      <w:start w:val="1"/>
      <w:numFmt w:val="decimal"/>
      <w:lvlText w:val="%1.%2.%3"/>
      <w:lvlJc w:val="left"/>
      <w:pPr>
        <w:tabs>
          <w:tab w:val="num" w:pos="720"/>
        </w:tabs>
        <w:ind w:left="720" w:hanging="720"/>
      </w:pPr>
      <w:rPr>
        <w:rFonts w:ascii="Times New Roman" w:eastAsia="Batang" w:hAnsi="Times New Roman" w:hint="default"/>
        <w:color w:val="0000FF"/>
        <w:u w:val="single"/>
      </w:rPr>
    </w:lvl>
    <w:lvl w:ilvl="3">
      <w:start w:val="1"/>
      <w:numFmt w:val="decimal"/>
      <w:lvlText w:val="%1.%2.%3.%4"/>
      <w:lvlJc w:val="left"/>
      <w:pPr>
        <w:tabs>
          <w:tab w:val="num" w:pos="720"/>
        </w:tabs>
        <w:ind w:left="720" w:hanging="720"/>
      </w:pPr>
      <w:rPr>
        <w:rFonts w:ascii="Times New Roman" w:eastAsia="Batang" w:hAnsi="Times New Roman" w:hint="default"/>
        <w:color w:val="0000FF"/>
        <w:u w:val="single"/>
      </w:rPr>
    </w:lvl>
    <w:lvl w:ilvl="4">
      <w:start w:val="1"/>
      <w:numFmt w:val="decimal"/>
      <w:lvlText w:val="%1.%2.%3.%4.%5"/>
      <w:lvlJc w:val="left"/>
      <w:pPr>
        <w:tabs>
          <w:tab w:val="num" w:pos="1080"/>
        </w:tabs>
        <w:ind w:left="1080" w:hanging="1080"/>
      </w:pPr>
      <w:rPr>
        <w:rFonts w:ascii="Times New Roman" w:eastAsia="Batang" w:hAnsi="Times New Roman" w:hint="default"/>
        <w:color w:val="0000FF"/>
        <w:u w:val="single"/>
      </w:rPr>
    </w:lvl>
    <w:lvl w:ilvl="5">
      <w:start w:val="1"/>
      <w:numFmt w:val="decimal"/>
      <w:lvlText w:val="%1.%2.%3.%4.%5.%6"/>
      <w:lvlJc w:val="left"/>
      <w:pPr>
        <w:tabs>
          <w:tab w:val="num" w:pos="1080"/>
        </w:tabs>
        <w:ind w:left="1080" w:hanging="1080"/>
      </w:pPr>
      <w:rPr>
        <w:rFonts w:ascii="Times New Roman" w:eastAsia="Batang" w:hAnsi="Times New Roman" w:hint="default"/>
        <w:color w:val="0000FF"/>
        <w:u w:val="single"/>
      </w:rPr>
    </w:lvl>
    <w:lvl w:ilvl="6">
      <w:start w:val="1"/>
      <w:numFmt w:val="decimal"/>
      <w:lvlText w:val="%1.%2.%3.%4.%5.%6.%7"/>
      <w:lvlJc w:val="left"/>
      <w:pPr>
        <w:tabs>
          <w:tab w:val="num" w:pos="1440"/>
        </w:tabs>
        <w:ind w:left="1440" w:hanging="1440"/>
      </w:pPr>
      <w:rPr>
        <w:rFonts w:ascii="Times New Roman" w:eastAsia="Batang" w:hAnsi="Times New Roman" w:hint="default"/>
        <w:color w:val="0000FF"/>
        <w:u w:val="single"/>
      </w:rPr>
    </w:lvl>
    <w:lvl w:ilvl="7">
      <w:start w:val="1"/>
      <w:numFmt w:val="decimal"/>
      <w:lvlText w:val="%1.%2.%3.%4.%5.%6.%7.%8"/>
      <w:lvlJc w:val="left"/>
      <w:pPr>
        <w:tabs>
          <w:tab w:val="num" w:pos="1440"/>
        </w:tabs>
        <w:ind w:left="1440" w:hanging="1440"/>
      </w:pPr>
      <w:rPr>
        <w:rFonts w:ascii="Times New Roman" w:eastAsia="Batang" w:hAnsi="Times New Roman" w:hint="default"/>
        <w:color w:val="0000FF"/>
        <w:u w:val="single"/>
      </w:rPr>
    </w:lvl>
    <w:lvl w:ilvl="8">
      <w:start w:val="1"/>
      <w:numFmt w:val="decimal"/>
      <w:lvlText w:val="%1.%2.%3.%4.%5.%6.%7.%8.%9"/>
      <w:lvlJc w:val="left"/>
      <w:pPr>
        <w:tabs>
          <w:tab w:val="num" w:pos="1440"/>
        </w:tabs>
        <w:ind w:left="1440" w:hanging="1440"/>
      </w:pPr>
      <w:rPr>
        <w:rFonts w:ascii="Times New Roman" w:eastAsia="Batang" w:hAnsi="Times New Roman" w:hint="default"/>
        <w:color w:val="0000FF"/>
        <w:u w:val="single"/>
      </w:rPr>
    </w:lvl>
  </w:abstractNum>
  <w:abstractNum w:abstractNumId="45" w15:restartNumberingAfterBreak="0">
    <w:nsid w:val="6E9062C0"/>
    <w:multiLevelType w:val="hybridMultilevel"/>
    <w:tmpl w:val="73504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836BF6"/>
    <w:multiLevelType w:val="hybridMultilevel"/>
    <w:tmpl w:val="1FF2FE1A"/>
    <w:lvl w:ilvl="0" w:tplc="872055B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cs="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cs="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9404CB"/>
    <w:multiLevelType w:val="hybridMultilevel"/>
    <w:tmpl w:val="340C0F68"/>
    <w:lvl w:ilvl="0" w:tplc="7826D916">
      <w:start w:val="1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E172DB"/>
    <w:multiLevelType w:val="hybridMultilevel"/>
    <w:tmpl w:val="01489FB2"/>
    <w:lvl w:ilvl="0" w:tplc="248EC6E2">
      <w:start w:val="1"/>
      <w:numFmt w:val="bullet"/>
      <w:lvlText w:val=""/>
      <w:lvlJc w:val="left"/>
      <w:pPr>
        <w:tabs>
          <w:tab w:val="num" w:pos="360"/>
        </w:tabs>
        <w:ind w:left="360" w:hanging="360"/>
      </w:pPr>
      <w:rPr>
        <w:rFonts w:ascii="Symbol" w:hAnsi="Symbol" w:hint="default"/>
      </w:rPr>
    </w:lvl>
    <w:lvl w:ilvl="1" w:tplc="04090017" w:tentative="1">
      <w:start w:val="1"/>
      <w:numFmt w:val="bullet"/>
      <w:lvlText w:val="o"/>
      <w:lvlJc w:val="left"/>
      <w:pPr>
        <w:tabs>
          <w:tab w:val="num" w:pos="1080"/>
        </w:tabs>
        <w:ind w:left="1080" w:hanging="360"/>
      </w:pPr>
      <w:rPr>
        <w:rFonts w:ascii="Courier New" w:hAnsi="Courier New" w:cs="Courier New" w:hint="default"/>
      </w:rPr>
    </w:lvl>
    <w:lvl w:ilvl="2" w:tplc="04090011"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7" w:tentative="1">
      <w:start w:val="1"/>
      <w:numFmt w:val="bullet"/>
      <w:lvlText w:val="o"/>
      <w:lvlJc w:val="left"/>
      <w:pPr>
        <w:tabs>
          <w:tab w:val="num" w:pos="3240"/>
        </w:tabs>
        <w:ind w:left="3240" w:hanging="360"/>
      </w:pPr>
      <w:rPr>
        <w:rFonts w:ascii="Courier New" w:hAnsi="Courier New" w:cs="Courier New" w:hint="default"/>
      </w:rPr>
    </w:lvl>
    <w:lvl w:ilvl="5" w:tplc="04090011"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7" w:tentative="1">
      <w:start w:val="1"/>
      <w:numFmt w:val="bullet"/>
      <w:lvlText w:val="o"/>
      <w:lvlJc w:val="left"/>
      <w:pPr>
        <w:tabs>
          <w:tab w:val="num" w:pos="5400"/>
        </w:tabs>
        <w:ind w:left="5400" w:hanging="360"/>
      </w:pPr>
      <w:rPr>
        <w:rFonts w:ascii="Courier New" w:hAnsi="Courier New" w:cs="Courier New" w:hint="default"/>
      </w:rPr>
    </w:lvl>
    <w:lvl w:ilvl="8" w:tplc="04090011"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7"/>
  </w:num>
  <w:num w:numId="2" w16cid:durableId="918446935">
    <w:abstractNumId w:val="8"/>
  </w:num>
  <w:num w:numId="3" w16cid:durableId="918371050">
    <w:abstractNumId w:val="3"/>
  </w:num>
  <w:num w:numId="4" w16cid:durableId="1389693946">
    <w:abstractNumId w:val="2"/>
  </w:num>
  <w:num w:numId="5" w16cid:durableId="913054942">
    <w:abstractNumId w:val="1"/>
  </w:num>
  <w:num w:numId="6" w16cid:durableId="174997329">
    <w:abstractNumId w:val="0"/>
  </w:num>
  <w:num w:numId="7" w16cid:durableId="1246188794">
    <w:abstractNumId w:val="5"/>
  </w:num>
  <w:num w:numId="8" w16cid:durableId="1463234970">
    <w:abstractNumId w:val="4"/>
  </w:num>
  <w:num w:numId="9" w16cid:durableId="1780710578">
    <w:abstractNumId w:val="7"/>
  </w:num>
  <w:num w:numId="10" w16cid:durableId="428624804">
    <w:abstractNumId w:val="6"/>
  </w:num>
  <w:num w:numId="11" w16cid:durableId="1457717249">
    <w:abstractNumId w:val="9"/>
  </w:num>
  <w:num w:numId="12" w16cid:durableId="1117214539">
    <w:abstractNumId w:val="34"/>
  </w:num>
  <w:num w:numId="13" w16cid:durableId="1532915558">
    <w:abstractNumId w:val="13"/>
  </w:num>
  <w:num w:numId="14" w16cid:durableId="1644890135">
    <w:abstractNumId w:val="23"/>
  </w:num>
  <w:num w:numId="15" w16cid:durableId="66725048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0315217">
    <w:abstractNumId w:val="36"/>
  </w:num>
  <w:num w:numId="17" w16cid:durableId="1407804880">
    <w:abstractNumId w:val="29"/>
  </w:num>
  <w:num w:numId="18" w16cid:durableId="2005039016">
    <w:abstractNumId w:val="43"/>
  </w:num>
  <w:num w:numId="19" w16cid:durableId="526874577">
    <w:abstractNumId w:val="18"/>
  </w:num>
  <w:num w:numId="20" w16cid:durableId="26493623">
    <w:abstractNumId w:val="45"/>
  </w:num>
  <w:num w:numId="21" w16cid:durableId="468060384">
    <w:abstractNumId w:val="32"/>
  </w:num>
  <w:num w:numId="22" w16cid:durableId="879897493">
    <w:abstractNumId w:val="31"/>
  </w:num>
  <w:num w:numId="23" w16cid:durableId="1835686941">
    <w:abstractNumId w:val="46"/>
  </w:num>
  <w:num w:numId="24" w16cid:durableId="2046371767">
    <w:abstractNumId w:val="48"/>
  </w:num>
  <w:num w:numId="25" w16cid:durableId="1242527702">
    <w:abstractNumId w:val="16"/>
  </w:num>
  <w:num w:numId="26" w16cid:durableId="1951157002">
    <w:abstractNumId w:val="38"/>
  </w:num>
  <w:num w:numId="27" w16cid:durableId="436290689">
    <w:abstractNumId w:val="14"/>
  </w:num>
  <w:num w:numId="28" w16cid:durableId="515653536">
    <w:abstractNumId w:val="10"/>
    <w:lvlOverride w:ilvl="0">
      <w:lvl w:ilvl="0">
        <w:numFmt w:val="bullet"/>
        <w:lvlText w:val="-"/>
        <w:legacy w:legacy="1" w:legacySpace="0" w:legacyIndent="0"/>
        <w:lvlJc w:val="left"/>
        <w:rPr>
          <w:rFonts w:ascii="Arial" w:hAnsi="Arial" w:hint="default"/>
          <w:sz w:val="18"/>
        </w:rPr>
      </w:lvl>
    </w:lvlOverride>
  </w:num>
  <w:num w:numId="29" w16cid:durableId="1530484894">
    <w:abstractNumId w:val="39"/>
  </w:num>
  <w:num w:numId="30" w16cid:durableId="1680541577">
    <w:abstractNumId w:val="20"/>
  </w:num>
  <w:num w:numId="31" w16cid:durableId="253828054">
    <w:abstractNumId w:val="30"/>
  </w:num>
  <w:num w:numId="32" w16cid:durableId="1383796089">
    <w:abstractNumId w:val="41"/>
  </w:num>
  <w:num w:numId="33" w16cid:durableId="770202715">
    <w:abstractNumId w:val="19"/>
  </w:num>
  <w:num w:numId="34" w16cid:durableId="1204051129">
    <w:abstractNumId w:val="11"/>
  </w:num>
  <w:num w:numId="35" w16cid:durableId="670721666">
    <w:abstractNumId w:val="27"/>
  </w:num>
  <w:num w:numId="36" w16cid:durableId="1862469511">
    <w:abstractNumId w:val="37"/>
  </w:num>
  <w:num w:numId="37" w16cid:durableId="341326443">
    <w:abstractNumId w:val="33"/>
  </w:num>
  <w:num w:numId="38" w16cid:durableId="551502847">
    <w:abstractNumId w:val="22"/>
  </w:num>
  <w:num w:numId="39" w16cid:durableId="109146818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700613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355552">
    <w:abstractNumId w:val="28"/>
  </w:num>
  <w:num w:numId="42" w16cid:durableId="1667318590">
    <w:abstractNumId w:val="21"/>
  </w:num>
  <w:num w:numId="43" w16cid:durableId="7543214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86537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6848297">
    <w:abstractNumId w:val="12"/>
  </w:num>
  <w:num w:numId="46" w16cid:durableId="344669113">
    <w:abstractNumId w:val="47"/>
  </w:num>
  <w:num w:numId="47" w16cid:durableId="953024871">
    <w:abstractNumId w:val="25"/>
  </w:num>
  <w:num w:numId="48" w16cid:durableId="851534599">
    <w:abstractNumId w:val="42"/>
  </w:num>
  <w:num w:numId="49" w16cid:durableId="164666256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6"/>
    <w:rsid w:val="00013002"/>
    <w:rsid w:val="00026DA7"/>
    <w:rsid w:val="0003616D"/>
    <w:rsid w:val="00036EE3"/>
    <w:rsid w:val="00041A1B"/>
    <w:rsid w:val="00064516"/>
    <w:rsid w:val="00072484"/>
    <w:rsid w:val="00095530"/>
    <w:rsid w:val="00096612"/>
    <w:rsid w:val="000A6914"/>
    <w:rsid w:val="000B1B2B"/>
    <w:rsid w:val="000B6F94"/>
    <w:rsid w:val="000B7683"/>
    <w:rsid w:val="000C0798"/>
    <w:rsid w:val="000C6DD2"/>
    <w:rsid w:val="000D0677"/>
    <w:rsid w:val="000E0548"/>
    <w:rsid w:val="000E6A6E"/>
    <w:rsid w:val="00102934"/>
    <w:rsid w:val="00120BFF"/>
    <w:rsid w:val="00147110"/>
    <w:rsid w:val="001511A6"/>
    <w:rsid w:val="00171C4D"/>
    <w:rsid w:val="0017562F"/>
    <w:rsid w:val="0019307B"/>
    <w:rsid w:val="0019747A"/>
    <w:rsid w:val="001A71D9"/>
    <w:rsid w:val="001B0927"/>
    <w:rsid w:val="001B164E"/>
    <w:rsid w:val="001B7886"/>
    <w:rsid w:val="001F38BB"/>
    <w:rsid w:val="001F5BC7"/>
    <w:rsid w:val="00202833"/>
    <w:rsid w:val="00204662"/>
    <w:rsid w:val="002058CE"/>
    <w:rsid w:val="002165F1"/>
    <w:rsid w:val="00223896"/>
    <w:rsid w:val="00233211"/>
    <w:rsid w:val="00251785"/>
    <w:rsid w:val="00257D40"/>
    <w:rsid w:val="00260B24"/>
    <w:rsid w:val="0027411A"/>
    <w:rsid w:val="00276D21"/>
    <w:rsid w:val="0028544E"/>
    <w:rsid w:val="00293246"/>
    <w:rsid w:val="00296D7F"/>
    <w:rsid w:val="002A5D45"/>
    <w:rsid w:val="002B1FB3"/>
    <w:rsid w:val="002B3CF6"/>
    <w:rsid w:val="002B3E59"/>
    <w:rsid w:val="002C768A"/>
    <w:rsid w:val="002D0BD7"/>
    <w:rsid w:val="002D76C4"/>
    <w:rsid w:val="002F5199"/>
    <w:rsid w:val="00301DB3"/>
    <w:rsid w:val="00305119"/>
    <w:rsid w:val="00313F13"/>
    <w:rsid w:val="003157F1"/>
    <w:rsid w:val="00350925"/>
    <w:rsid w:val="00356B5D"/>
    <w:rsid w:val="00357707"/>
    <w:rsid w:val="0036359D"/>
    <w:rsid w:val="0036627C"/>
    <w:rsid w:val="00367E71"/>
    <w:rsid w:val="003A1E41"/>
    <w:rsid w:val="003E5516"/>
    <w:rsid w:val="003F4B75"/>
    <w:rsid w:val="00401347"/>
    <w:rsid w:val="00402805"/>
    <w:rsid w:val="00406917"/>
    <w:rsid w:val="0041045D"/>
    <w:rsid w:val="00420DFD"/>
    <w:rsid w:val="00422C27"/>
    <w:rsid w:val="00425BC7"/>
    <w:rsid w:val="00437A76"/>
    <w:rsid w:val="004604B2"/>
    <w:rsid w:val="00466CAC"/>
    <w:rsid w:val="00470E28"/>
    <w:rsid w:val="0047379B"/>
    <w:rsid w:val="00474009"/>
    <w:rsid w:val="004842E2"/>
    <w:rsid w:val="00486EB3"/>
    <w:rsid w:val="004934C5"/>
    <w:rsid w:val="004941AC"/>
    <w:rsid w:val="004A6FEB"/>
    <w:rsid w:val="004D349B"/>
    <w:rsid w:val="004E0A87"/>
    <w:rsid w:val="004E61FF"/>
    <w:rsid w:val="004F7DB2"/>
    <w:rsid w:val="00506B70"/>
    <w:rsid w:val="005373E0"/>
    <w:rsid w:val="00556548"/>
    <w:rsid w:val="00571B1C"/>
    <w:rsid w:val="00573D90"/>
    <w:rsid w:val="00576D47"/>
    <w:rsid w:val="00586EF8"/>
    <w:rsid w:val="005A519D"/>
    <w:rsid w:val="005B0371"/>
    <w:rsid w:val="005B45D4"/>
    <w:rsid w:val="005B49AB"/>
    <w:rsid w:val="005B50E7"/>
    <w:rsid w:val="005C4BAB"/>
    <w:rsid w:val="005D6300"/>
    <w:rsid w:val="005E12A5"/>
    <w:rsid w:val="005E69F0"/>
    <w:rsid w:val="005E7B4F"/>
    <w:rsid w:val="005F003B"/>
    <w:rsid w:val="005F2D44"/>
    <w:rsid w:val="00601882"/>
    <w:rsid w:val="00607D68"/>
    <w:rsid w:val="00613212"/>
    <w:rsid w:val="006149B1"/>
    <w:rsid w:val="00616EA2"/>
    <w:rsid w:val="00625683"/>
    <w:rsid w:val="00640332"/>
    <w:rsid w:val="00643502"/>
    <w:rsid w:val="00667C1C"/>
    <w:rsid w:val="006736DB"/>
    <w:rsid w:val="00680D2B"/>
    <w:rsid w:val="00681B32"/>
    <w:rsid w:val="00684602"/>
    <w:rsid w:val="00697887"/>
    <w:rsid w:val="006B1D2B"/>
    <w:rsid w:val="006B56A3"/>
    <w:rsid w:val="006C0064"/>
    <w:rsid w:val="006C37D5"/>
    <w:rsid w:val="006C5C63"/>
    <w:rsid w:val="006D453A"/>
    <w:rsid w:val="006E1131"/>
    <w:rsid w:val="006E1BE4"/>
    <w:rsid w:val="006E2037"/>
    <w:rsid w:val="006E6199"/>
    <w:rsid w:val="006F003F"/>
    <w:rsid w:val="00703C98"/>
    <w:rsid w:val="00710FE8"/>
    <w:rsid w:val="0071159A"/>
    <w:rsid w:val="00712870"/>
    <w:rsid w:val="00712B1A"/>
    <w:rsid w:val="00714AC0"/>
    <w:rsid w:val="0074147D"/>
    <w:rsid w:val="00743D85"/>
    <w:rsid w:val="0074489E"/>
    <w:rsid w:val="00744F8B"/>
    <w:rsid w:val="00753CF4"/>
    <w:rsid w:val="007565CC"/>
    <w:rsid w:val="00763B9A"/>
    <w:rsid w:val="007A6A56"/>
    <w:rsid w:val="007A6AA8"/>
    <w:rsid w:val="007B1357"/>
    <w:rsid w:val="007B3343"/>
    <w:rsid w:val="007C2464"/>
    <w:rsid w:val="007D4689"/>
    <w:rsid w:val="007F6ECC"/>
    <w:rsid w:val="008310C9"/>
    <w:rsid w:val="008335F0"/>
    <w:rsid w:val="00834306"/>
    <w:rsid w:val="00853CC5"/>
    <w:rsid w:val="00861621"/>
    <w:rsid w:val="0087621D"/>
    <w:rsid w:val="00877E6E"/>
    <w:rsid w:val="00883C59"/>
    <w:rsid w:val="00885E98"/>
    <w:rsid w:val="00892092"/>
    <w:rsid w:val="008B083A"/>
    <w:rsid w:val="008B32FE"/>
    <w:rsid w:val="008B4804"/>
    <w:rsid w:val="008C7848"/>
    <w:rsid w:val="008E357B"/>
    <w:rsid w:val="008F355C"/>
    <w:rsid w:val="00906589"/>
    <w:rsid w:val="00906AD6"/>
    <w:rsid w:val="00917AF2"/>
    <w:rsid w:val="00921F36"/>
    <w:rsid w:val="0092418A"/>
    <w:rsid w:val="00934ED7"/>
    <w:rsid w:val="00940D16"/>
    <w:rsid w:val="009422D2"/>
    <w:rsid w:val="00944DA0"/>
    <w:rsid w:val="009543C3"/>
    <w:rsid w:val="00966E1B"/>
    <w:rsid w:val="00972F51"/>
    <w:rsid w:val="00984A02"/>
    <w:rsid w:val="00985B68"/>
    <w:rsid w:val="009947C0"/>
    <w:rsid w:val="009A4039"/>
    <w:rsid w:val="009A41F9"/>
    <w:rsid w:val="009B7E97"/>
    <w:rsid w:val="009C7F82"/>
    <w:rsid w:val="009D1630"/>
    <w:rsid w:val="009D6FB5"/>
    <w:rsid w:val="009E206B"/>
    <w:rsid w:val="009F2D2C"/>
    <w:rsid w:val="009F5580"/>
    <w:rsid w:val="00A012B1"/>
    <w:rsid w:val="00A03C0E"/>
    <w:rsid w:val="00A239D1"/>
    <w:rsid w:val="00A26996"/>
    <w:rsid w:val="00A314E2"/>
    <w:rsid w:val="00A31928"/>
    <w:rsid w:val="00A35B27"/>
    <w:rsid w:val="00A507D4"/>
    <w:rsid w:val="00A52C65"/>
    <w:rsid w:val="00A62A14"/>
    <w:rsid w:val="00A6617B"/>
    <w:rsid w:val="00A71FE5"/>
    <w:rsid w:val="00A7534B"/>
    <w:rsid w:val="00A76007"/>
    <w:rsid w:val="00A86DD2"/>
    <w:rsid w:val="00A936CB"/>
    <w:rsid w:val="00A971A1"/>
    <w:rsid w:val="00AA3AD8"/>
    <w:rsid w:val="00AB0DC8"/>
    <w:rsid w:val="00AB405C"/>
    <w:rsid w:val="00AC015D"/>
    <w:rsid w:val="00AE09E7"/>
    <w:rsid w:val="00AE698D"/>
    <w:rsid w:val="00AF0286"/>
    <w:rsid w:val="00AF5326"/>
    <w:rsid w:val="00B019A2"/>
    <w:rsid w:val="00B0286E"/>
    <w:rsid w:val="00B033C8"/>
    <w:rsid w:val="00B33425"/>
    <w:rsid w:val="00B42334"/>
    <w:rsid w:val="00B44E24"/>
    <w:rsid w:val="00B54ECC"/>
    <w:rsid w:val="00B60AC0"/>
    <w:rsid w:val="00B714F3"/>
    <w:rsid w:val="00B75A52"/>
    <w:rsid w:val="00B874C6"/>
    <w:rsid w:val="00B87B6B"/>
    <w:rsid w:val="00B9107D"/>
    <w:rsid w:val="00B9169E"/>
    <w:rsid w:val="00B9569A"/>
    <w:rsid w:val="00B975C4"/>
    <w:rsid w:val="00BC5D77"/>
    <w:rsid w:val="00BD2085"/>
    <w:rsid w:val="00BD3887"/>
    <w:rsid w:val="00BD4283"/>
    <w:rsid w:val="00BD5887"/>
    <w:rsid w:val="00BF487A"/>
    <w:rsid w:val="00BF5544"/>
    <w:rsid w:val="00C0325B"/>
    <w:rsid w:val="00C12995"/>
    <w:rsid w:val="00C13D65"/>
    <w:rsid w:val="00C15F3E"/>
    <w:rsid w:val="00C23823"/>
    <w:rsid w:val="00C41DB8"/>
    <w:rsid w:val="00C46BD9"/>
    <w:rsid w:val="00C517F2"/>
    <w:rsid w:val="00C55258"/>
    <w:rsid w:val="00C67E45"/>
    <w:rsid w:val="00C73560"/>
    <w:rsid w:val="00C74816"/>
    <w:rsid w:val="00C84DB7"/>
    <w:rsid w:val="00C87A35"/>
    <w:rsid w:val="00C90881"/>
    <w:rsid w:val="00CA00B1"/>
    <w:rsid w:val="00CB0F14"/>
    <w:rsid w:val="00CC5F9D"/>
    <w:rsid w:val="00CC657D"/>
    <w:rsid w:val="00CD511D"/>
    <w:rsid w:val="00CD659B"/>
    <w:rsid w:val="00CE0A43"/>
    <w:rsid w:val="00D00118"/>
    <w:rsid w:val="00D01BA5"/>
    <w:rsid w:val="00D058B9"/>
    <w:rsid w:val="00D16749"/>
    <w:rsid w:val="00D34CD2"/>
    <w:rsid w:val="00D44199"/>
    <w:rsid w:val="00D5024B"/>
    <w:rsid w:val="00D606E1"/>
    <w:rsid w:val="00D61962"/>
    <w:rsid w:val="00D72623"/>
    <w:rsid w:val="00D83556"/>
    <w:rsid w:val="00D8466D"/>
    <w:rsid w:val="00DC3646"/>
    <w:rsid w:val="00DC72BF"/>
    <w:rsid w:val="00DE5556"/>
    <w:rsid w:val="00DF4176"/>
    <w:rsid w:val="00E0095C"/>
    <w:rsid w:val="00E075CC"/>
    <w:rsid w:val="00E17240"/>
    <w:rsid w:val="00E67DC9"/>
    <w:rsid w:val="00E74595"/>
    <w:rsid w:val="00E75959"/>
    <w:rsid w:val="00E77485"/>
    <w:rsid w:val="00E8283A"/>
    <w:rsid w:val="00E833A4"/>
    <w:rsid w:val="00E84C05"/>
    <w:rsid w:val="00E97A57"/>
    <w:rsid w:val="00EB0084"/>
    <w:rsid w:val="00EB1CB6"/>
    <w:rsid w:val="00EB7C57"/>
    <w:rsid w:val="00ED2695"/>
    <w:rsid w:val="00EE04BA"/>
    <w:rsid w:val="00EE0FE1"/>
    <w:rsid w:val="00EE47C4"/>
    <w:rsid w:val="00EF2D52"/>
    <w:rsid w:val="00F0593B"/>
    <w:rsid w:val="00F06F93"/>
    <w:rsid w:val="00F273DC"/>
    <w:rsid w:val="00F30C9B"/>
    <w:rsid w:val="00F354B1"/>
    <w:rsid w:val="00F354D7"/>
    <w:rsid w:val="00F37385"/>
    <w:rsid w:val="00F56656"/>
    <w:rsid w:val="00F6343F"/>
    <w:rsid w:val="00F65208"/>
    <w:rsid w:val="00F72776"/>
    <w:rsid w:val="00F92A40"/>
    <w:rsid w:val="00F933EC"/>
    <w:rsid w:val="00F936F0"/>
    <w:rsid w:val="00F93944"/>
    <w:rsid w:val="00FA3A6A"/>
    <w:rsid w:val="00FB0E4E"/>
    <w:rsid w:val="00FC68F0"/>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1992E46B"/>
  <w15:docId w15:val="{E5D274B7-0659-47C8-A0D7-F4A5F2B8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59D"/>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en-GB" w:eastAsia="en-US"/>
    </w:rPr>
  </w:style>
  <w:style w:type="paragraph" w:styleId="Heading1">
    <w:name w:val="heading 1"/>
    <w:basedOn w:val="Normal"/>
    <w:next w:val="Normal"/>
    <w:qFormat/>
    <w:rsid w:val="0036359D"/>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uiPriority w:val="99"/>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Heading1"/>
    <w:next w:val="Normalaftertitle"/>
    <w:link w:val="AnnexNoTitleChar1"/>
    <w:rsid w:val="0071159A"/>
    <w:pPr>
      <w:spacing w:after="80"/>
      <w:ind w:left="0" w:firstLine="0"/>
      <w:jc w:val="center"/>
    </w:pPr>
    <w:rPr>
      <w:rFonts w:ascii="Times New Roman Bold" w:hAnsi="Times New Roman Bold"/>
      <w:bCs/>
      <w:sz w:val="26"/>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uiPriority w:val="99"/>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qFormat/>
    <w:rsid w:val="00BD5887"/>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rPr>
  </w:style>
  <w:style w:type="paragraph" w:customStyle="1" w:styleId="Tablehead">
    <w:name w:val="Table_head"/>
    <w:basedOn w:val="Normal"/>
    <w:next w:val="Normal"/>
    <w:link w:val="TableheadChar"/>
    <w:uiPriority w:val="99"/>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uiPriority w:val="99"/>
    <w:qFormat/>
    <w:rsid w:val="00C13D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ECC Footnote number,Appel note de bas de p,Footnote Reference/,Footnote symbol,Style 12,(NECG) Footnote Reference,Style 124,Appel note de bas de p + 11 pt,Italic,Appel note de bas de p1,Appel note de bas de p2,Appel note de bas de p3"/>
    <w:basedOn w:val="DefaultParagraphFont"/>
    <w:uiPriority w:val="99"/>
    <w:qFormat/>
    <w:rsid w:val="00A93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A936CB"/>
    <w:pPr>
      <w:keepLines/>
      <w:tabs>
        <w:tab w:val="left" w:pos="255"/>
      </w:tabs>
      <w:ind w:left="255" w:hanging="255"/>
    </w:p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uiPriority w:val="99"/>
    <w:rsid w:val="00A936CB"/>
    <w:pPr>
      <w:ind w:left="794" w:hanging="794"/>
    </w:p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link w:val="RepNoChar"/>
    <w:rsid w:val="00A936CB"/>
  </w:style>
  <w:style w:type="paragraph" w:customStyle="1" w:styleId="Reptitle">
    <w:name w:val="Rep_title"/>
    <w:basedOn w:val="Rectitle"/>
    <w:next w:val="Repref"/>
    <w:rsid w:val="0036359D"/>
    <w:rPr>
      <w:sz w:val="26"/>
    </w:rPr>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6359D"/>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uiPriority w:val="99"/>
    <w:rsid w:val="0036359D"/>
    <w:rPr>
      <w:color w:val="0000FF"/>
      <w:sz w:val="22"/>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Reasons">
    <w:name w:val="Reasons"/>
    <w:basedOn w:val="Normal"/>
    <w:qFormat/>
    <w:rsid w:val="00883C59"/>
    <w:pPr>
      <w:tabs>
        <w:tab w:val="clear" w:pos="794"/>
        <w:tab w:val="clear" w:pos="1191"/>
        <w:tab w:val="left" w:pos="1134"/>
      </w:tabs>
      <w:jc w:val="left"/>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883C59"/>
    <w:rPr>
      <w:sz w:val="22"/>
      <w:lang w:val="en-GB" w:eastAsia="en-US"/>
    </w:rPr>
  </w:style>
  <w:style w:type="character" w:customStyle="1" w:styleId="NoteChar">
    <w:name w:val="Note Char"/>
    <w:link w:val="Note"/>
    <w:qFormat/>
    <w:locked/>
    <w:rsid w:val="00BD5887"/>
    <w:rPr>
      <w:lang w:val="en-GB" w:eastAsia="en-US"/>
    </w:rPr>
  </w:style>
  <w:style w:type="character" w:customStyle="1" w:styleId="RepNoChar">
    <w:name w:val="Rep_No Char"/>
    <w:link w:val="RepNo"/>
    <w:locked/>
    <w:rsid w:val="00883C59"/>
    <w:rPr>
      <w:sz w:val="28"/>
      <w:lang w:val="en-GB" w:eastAsia="en-US"/>
    </w:rPr>
  </w:style>
  <w:style w:type="character" w:customStyle="1" w:styleId="TabletextChar">
    <w:name w:val="Table_text Char"/>
    <w:basedOn w:val="DefaultParagraphFont"/>
    <w:link w:val="Tabletext"/>
    <w:uiPriority w:val="99"/>
    <w:qFormat/>
    <w:locked/>
    <w:rsid w:val="00C13D65"/>
    <w:rPr>
      <w:sz w:val="22"/>
      <w:lang w:val="en-GB" w:eastAsia="en-US"/>
    </w:rPr>
  </w:style>
  <w:style w:type="character" w:customStyle="1" w:styleId="TableheadChar">
    <w:name w:val="Table_head Char"/>
    <w:basedOn w:val="DefaultParagraphFont"/>
    <w:link w:val="Tablehead"/>
    <w:uiPriority w:val="99"/>
    <w:rsid w:val="00883C59"/>
    <w:rPr>
      <w:b/>
      <w:sz w:val="22"/>
      <w:lang w:val="en-GB" w:eastAsia="en-US"/>
    </w:rPr>
  </w:style>
  <w:style w:type="character" w:customStyle="1" w:styleId="HeadingbChar">
    <w:name w:val="Heading_b Char"/>
    <w:basedOn w:val="DefaultParagraphFont"/>
    <w:link w:val="Headingb"/>
    <w:uiPriority w:val="99"/>
    <w:qFormat/>
    <w:locked/>
    <w:rsid w:val="00883C59"/>
    <w:rPr>
      <w:b/>
      <w:sz w:val="24"/>
      <w:lang w:val="en-GB" w:eastAsia="en-US"/>
    </w:rPr>
  </w:style>
  <w:style w:type="character" w:customStyle="1" w:styleId="AnnexNoTitleChar1">
    <w:name w:val="Annex_NoTitle Char1"/>
    <w:link w:val="AnnexNoTitle"/>
    <w:locked/>
    <w:rsid w:val="0071159A"/>
    <w:rPr>
      <w:rFonts w:ascii="Times New Roman Bold" w:hAnsi="Times New Roman Bold"/>
      <w:b/>
      <w:bCs/>
      <w:sz w:val="26"/>
      <w:lang w:val="en-GB" w:eastAsia="en-US"/>
    </w:rPr>
  </w:style>
  <w:style w:type="character" w:customStyle="1" w:styleId="enumlev1Char">
    <w:name w:val="enumlev1 Char"/>
    <w:basedOn w:val="DefaultParagraphFont"/>
    <w:link w:val="enumlev1"/>
    <w:uiPriority w:val="99"/>
    <w:qFormat/>
    <w:rsid w:val="00883C59"/>
    <w:rPr>
      <w:sz w:val="24"/>
      <w:lang w:val="en-GB" w:eastAsia="en-US"/>
    </w:rPr>
  </w:style>
  <w:style w:type="character" w:customStyle="1" w:styleId="NormalaftertitleChar">
    <w:name w:val="Normal_after_title Char"/>
    <w:link w:val="Normalaftertitle"/>
    <w:locked/>
    <w:rsid w:val="00883C59"/>
    <w:rPr>
      <w:sz w:val="24"/>
      <w:lang w:val="en-GB" w:eastAsia="en-US"/>
    </w:rPr>
  </w:style>
  <w:style w:type="character" w:styleId="CommentReference">
    <w:name w:val="annotation reference"/>
    <w:basedOn w:val="DefaultParagraphFont"/>
    <w:semiHidden/>
    <w:unhideWhenUsed/>
    <w:rsid w:val="00D44199"/>
    <w:rPr>
      <w:sz w:val="16"/>
      <w:szCs w:val="16"/>
    </w:rPr>
  </w:style>
  <w:style w:type="paragraph" w:styleId="CommentText">
    <w:name w:val="annotation text"/>
    <w:basedOn w:val="Normal"/>
    <w:link w:val="CommentTextChar"/>
    <w:semiHidden/>
    <w:unhideWhenUsed/>
    <w:rsid w:val="00D44199"/>
    <w:rPr>
      <w:sz w:val="20"/>
    </w:rPr>
  </w:style>
  <w:style w:type="character" w:customStyle="1" w:styleId="CommentTextChar">
    <w:name w:val="Comment Text Char"/>
    <w:basedOn w:val="DefaultParagraphFont"/>
    <w:link w:val="CommentText"/>
    <w:semiHidden/>
    <w:rsid w:val="00D44199"/>
    <w:rPr>
      <w:lang w:val="en-GB" w:eastAsia="en-US"/>
    </w:rPr>
  </w:style>
  <w:style w:type="paragraph" w:styleId="CommentSubject">
    <w:name w:val="annotation subject"/>
    <w:basedOn w:val="CommentText"/>
    <w:next w:val="CommentText"/>
    <w:link w:val="CommentSubjectChar"/>
    <w:semiHidden/>
    <w:unhideWhenUsed/>
    <w:rsid w:val="00D44199"/>
    <w:rPr>
      <w:b/>
      <w:bCs/>
    </w:rPr>
  </w:style>
  <w:style w:type="character" w:customStyle="1" w:styleId="CommentSubjectChar">
    <w:name w:val="Comment Subject Char"/>
    <w:basedOn w:val="CommentTextChar"/>
    <w:link w:val="CommentSubject"/>
    <w:semiHidden/>
    <w:rsid w:val="00D44199"/>
    <w:rPr>
      <w:b/>
      <w:bCs/>
      <w:lang w:val="en-GB" w:eastAsia="en-US"/>
    </w:rPr>
  </w:style>
  <w:style w:type="paragraph" w:styleId="Revision">
    <w:name w:val="Revision"/>
    <w:hidden/>
    <w:uiPriority w:val="99"/>
    <w:semiHidden/>
    <w:rsid w:val="00D44199"/>
    <w:rPr>
      <w:sz w:val="24"/>
      <w:lang w:val="en-GB" w:eastAsia="en-US"/>
    </w:rPr>
  </w:style>
  <w:style w:type="paragraph" w:customStyle="1" w:styleId="StyleRepNoBefore0pt">
    <w:name w:val="Style Rep_No + Before:  0 pt"/>
    <w:basedOn w:val="RepNo"/>
    <w:rsid w:val="0036359D"/>
    <w:pPr>
      <w:spacing w:before="0"/>
    </w:pPr>
    <w:rPr>
      <w:sz w:val="26"/>
    </w:rPr>
  </w:style>
  <w:style w:type="character" w:customStyle="1" w:styleId="BalloonTextChar">
    <w:name w:val="Balloon Text Char"/>
    <w:basedOn w:val="DefaultParagraphFont"/>
    <w:link w:val="BalloonText"/>
    <w:semiHidden/>
    <w:rsid w:val="0036359D"/>
    <w:rPr>
      <w:rFonts w:ascii="Tahoma" w:eastAsia="MS Mincho" w:hAnsi="Tahoma" w:cs="Tahoma"/>
      <w:sz w:val="16"/>
      <w:szCs w:val="16"/>
      <w:lang w:val="en-GB" w:eastAsia="en-US"/>
    </w:rPr>
  </w:style>
  <w:style w:type="paragraph" w:styleId="BalloonText">
    <w:name w:val="Balloon Text"/>
    <w:basedOn w:val="Normal"/>
    <w:link w:val="BalloonTextChar"/>
    <w:semiHidden/>
    <w:rsid w:val="0036359D"/>
    <w:rPr>
      <w:rFonts w:ascii="Tahoma" w:eastAsia="MS Mincho" w:hAnsi="Tahoma" w:cs="Tahoma"/>
      <w:sz w:val="16"/>
      <w:szCs w:val="16"/>
    </w:rPr>
  </w:style>
  <w:style w:type="character" w:customStyle="1" w:styleId="BalloonTextChar1">
    <w:name w:val="Balloon Text Char1"/>
    <w:basedOn w:val="DefaultParagraphFont"/>
    <w:semiHidden/>
    <w:rsid w:val="0036359D"/>
    <w:rPr>
      <w:rFonts w:ascii="Segoe UI" w:hAnsi="Segoe UI" w:cs="Segoe UI"/>
      <w:sz w:val="18"/>
      <w:szCs w:val="18"/>
      <w:lang w:val="en-GB" w:eastAsia="en-US"/>
    </w:rPr>
  </w:style>
  <w:style w:type="paragraph" w:customStyle="1" w:styleId="a">
    <w:name w:val="Стиль"/>
    <w:basedOn w:val="Normal"/>
    <w:rsid w:val="0036359D"/>
    <w:pPr>
      <w:spacing w:before="0"/>
    </w:pPr>
    <w:rPr>
      <w:sz w:val="18"/>
      <w:lang w:val="ru-RU"/>
    </w:rPr>
  </w:style>
  <w:style w:type="character" w:styleId="FollowedHyperlink">
    <w:name w:val="FollowedHyperlink"/>
    <w:basedOn w:val="DefaultParagraphFont"/>
    <w:rsid w:val="0036359D"/>
    <w:rPr>
      <w:color w:val="800080" w:themeColor="followedHyperlink"/>
      <w:u w:val="single"/>
    </w:rPr>
  </w:style>
  <w:style w:type="paragraph" w:styleId="Title">
    <w:name w:val="Title"/>
    <w:basedOn w:val="Normal"/>
    <w:next w:val="Normal"/>
    <w:link w:val="TitleChar"/>
    <w:qFormat/>
    <w:rsid w:val="0036359D"/>
    <w:pPr>
      <w:spacing w:before="0" w:after="300"/>
      <w:contextualSpacing/>
    </w:pPr>
    <w:rPr>
      <w:rFonts w:eastAsiaTheme="majorEastAsia" w:cstheme="majorBidi"/>
      <w:spacing w:val="5"/>
      <w:kern w:val="28"/>
      <w:sz w:val="26"/>
      <w:szCs w:val="52"/>
      <w:lang w:val="fr-FR"/>
    </w:rPr>
  </w:style>
  <w:style w:type="character" w:customStyle="1" w:styleId="TitleChar">
    <w:name w:val="Title Char"/>
    <w:basedOn w:val="DefaultParagraphFont"/>
    <w:link w:val="Title"/>
    <w:rsid w:val="0036359D"/>
    <w:rPr>
      <w:rFonts w:eastAsiaTheme="majorEastAsia" w:cstheme="majorBidi"/>
      <w:spacing w:val="5"/>
      <w:kern w:val="28"/>
      <w:sz w:val="26"/>
      <w:szCs w:val="52"/>
      <w:lang w:val="fr-FR" w:eastAsia="en-US"/>
    </w:rPr>
  </w:style>
  <w:style w:type="character" w:customStyle="1" w:styleId="longtext">
    <w:name w:val="long_text"/>
    <w:basedOn w:val="DefaultParagraphFont"/>
    <w:uiPriority w:val="99"/>
    <w:rsid w:val="0036359D"/>
  </w:style>
  <w:style w:type="table" w:customStyle="1" w:styleId="TableGrid1">
    <w:name w:val="Table Grid1"/>
    <w:basedOn w:val="TableNormal"/>
    <w:next w:val="TableGrid"/>
    <w:uiPriority w:val="39"/>
    <w:rsid w:val="00667C1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NATALIA\NATALIA\BR\REC\portal.etsi.org" TargetMode="External"/><Relationship Id="rId26" Type="http://schemas.openxmlformats.org/officeDocument/2006/relationships/hyperlink" Target="http://webstore.ansi.org/" TargetMode="External"/><Relationship Id="rId39" Type="http://schemas.openxmlformats.org/officeDocument/2006/relationships/hyperlink" Target="https://apps.fcc.gov/oetcf/kdb/forms/FTSSearchResultPage.cfm?switch=P&amp;id=28238" TargetMode="External"/><Relationship Id="rId21" Type="http://schemas.openxmlformats.org/officeDocument/2006/relationships/hyperlink" Target="http://standards.ieee.org/prod-serv/index.html" TargetMode="External"/><Relationship Id="rId34" Type="http://schemas.openxmlformats.org/officeDocument/2006/relationships/hyperlink" Target="https://apps.fcc.gov/oetcf/kdb/forms/FTSSearchResultPage.cfm?switch=P&amp;id=20253" TargetMode="External"/><Relationship Id="rId42" Type="http://schemas.openxmlformats.org/officeDocument/2006/relationships/hyperlink" Target="http://shop.ieee.org/ieeestore/" TargetMode="External"/><Relationship Id="rId47" Type="http://schemas.openxmlformats.org/officeDocument/2006/relationships/hyperlink" Target="https://www.itu.int/rec/R-REC-M.2003-2-201801-I/en" TargetMode="External"/><Relationship Id="rId50" Type="http://schemas.openxmlformats.org/officeDocument/2006/relationships/hyperlink" Target="https://informacoes.anatel.gov.br/legislacao/atos-de-certificacao-de-produtos/2022/1629-ato-2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R-REP-SM.2154" TargetMode="External"/><Relationship Id="rId29" Type="http://schemas.openxmlformats.org/officeDocument/2006/relationships/hyperlink" Target="https://docs.fcc.gov/public/attachments/DA-00-705A1.pdf" TargetMode="External"/><Relationship Id="rId11" Type="http://schemas.openxmlformats.org/officeDocument/2006/relationships/hyperlink" Target="https://www.itu.int/ITU-R/go/patents/en" TargetMode="External"/><Relationship Id="rId24" Type="http://schemas.openxmlformats.org/officeDocument/2006/relationships/hyperlink" Target="http://webstore.ansi.org/" TargetMode="External"/><Relationship Id="rId32" Type="http://schemas.openxmlformats.org/officeDocument/2006/relationships/hyperlink" Target="https://apps.fcc.gov/oetcf/kdb/forms/FTSSearchResultPage.cfm?switch=P&amp;id=44637" TargetMode="External"/><Relationship Id="rId37" Type="http://schemas.openxmlformats.org/officeDocument/2006/relationships/hyperlink" Target="https://apps.fcc.gov/oetcf/kdb/forms/FTSSearchResultPage.cfm?switch=P&amp;id=20676" TargetMode="External"/><Relationship Id="rId40" Type="http://schemas.openxmlformats.org/officeDocument/2006/relationships/hyperlink" Target="https://apps.fcc.gov/oetcf/kdb/forms/FTSSearchResultPage.cfm?switch=P&amp;id=41734" TargetMode="External"/><Relationship Id="rId45" Type="http://schemas.openxmlformats.org/officeDocument/2006/relationships/hyperlink" Target="https://www.fcc.gov/edoc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itu.int/pub/R-REP-SM.2153" TargetMode="External"/><Relationship Id="rId31" Type="http://schemas.openxmlformats.org/officeDocument/2006/relationships/hyperlink" Target="https://www.ecfr.gov/current/title-47/chapter-I/subchapter-A/part-15/subpart-C/section-15.212" TargetMode="External"/><Relationship Id="rId44" Type="http://schemas.openxmlformats.org/officeDocument/2006/relationships/hyperlink" Target="http://www.fcc.gov/labhel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ebstore.ansi.org/" TargetMode="External"/><Relationship Id="rId27" Type="http://schemas.openxmlformats.org/officeDocument/2006/relationships/hyperlink" Target="https://docs.fcc.gov/public/attachments/DA-02-2850A1.pdf" TargetMode="External"/><Relationship Id="rId30" Type="http://schemas.openxmlformats.org/officeDocument/2006/relationships/hyperlink" Target="https://apps.fcc.gov/oetcf/kdb/forms/FTSSearchResultPage.cfm?switch=P&amp;id=21124" TargetMode="External"/><Relationship Id="rId35" Type="http://schemas.openxmlformats.org/officeDocument/2006/relationships/hyperlink" Target="https://docs.fcc.gov/public/attachments/FCC-02-48A1.pdf" TargetMode="External"/><Relationship Id="rId43" Type="http://schemas.openxmlformats.org/officeDocument/2006/relationships/hyperlink" Target="http://www.ansi.org/" TargetMode="External"/><Relationship Id="rId48" Type="http://schemas.openxmlformats.org/officeDocument/2006/relationships/hyperlink" Target="https://informacoes.anatel.gov.br/legislacao/atos-de-certificacao-de-produtos/2017/1139-ato-14448" TargetMode="External"/><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publ/R-REP/ru" TargetMode="External"/><Relationship Id="rId17" Type="http://schemas.openxmlformats.org/officeDocument/2006/relationships/hyperlink" Target="https://www.itu.int/pub/R-REP-SM.2154" TargetMode="External"/><Relationship Id="rId25" Type="http://schemas.openxmlformats.org/officeDocument/2006/relationships/hyperlink" Target="http://standards.ieee.org/prod-serv/index.html" TargetMode="External"/><Relationship Id="rId33" Type="http://schemas.openxmlformats.org/officeDocument/2006/relationships/hyperlink" Target="https://docs.fcc.gov/public/attachments/FCC-06-96A1.pdf" TargetMode="External"/><Relationship Id="rId38" Type="http://schemas.openxmlformats.org/officeDocument/2006/relationships/hyperlink" Target="https://apps.fcc.gov/oetcf/kdb/forms/FTSSearchResultPage.cfm?switch=P&amp;id=33240" TargetMode="External"/><Relationship Id="rId46" Type="http://schemas.openxmlformats.org/officeDocument/2006/relationships/hyperlink" Target="https://www.itu.int/rec/R-REC-M.1652-1-201105-I/en" TargetMode="External"/><Relationship Id="rId20" Type="http://schemas.openxmlformats.org/officeDocument/2006/relationships/hyperlink" Target="https://www.ecfr.gov/current/title-47/chapter-I/subchapter-A/part-15/subpart-A/section-15.31" TargetMode="External"/><Relationship Id="rId41" Type="http://schemas.openxmlformats.org/officeDocument/2006/relationships/hyperlink" Target="https://www.ecfr.gov/current/title-47/chapter-I/subchapter-A/part-15?toc=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R-REP-SM.2153" TargetMode="External"/><Relationship Id="rId23" Type="http://schemas.openxmlformats.org/officeDocument/2006/relationships/hyperlink" Target="http://standards.ieee.org/prod-serv/index.html" TargetMode="External"/><Relationship Id="rId28" Type="http://schemas.openxmlformats.org/officeDocument/2006/relationships/hyperlink" Target="https://docs.fcc.gov/public/attachments/DA-04-3946A1.pdf" TargetMode="External"/><Relationship Id="rId36" Type="http://schemas.openxmlformats.org/officeDocument/2006/relationships/hyperlink" Target="https://apps.fcc.gov/oetcf/kdb/forms/FTSSearchResultPage.cfm?switch=P&amp;id=20253" TargetMode="External"/><Relationship Id="rId49" Type="http://schemas.openxmlformats.org/officeDocument/2006/relationships/hyperlink" Target="https://informacoes.anatel.gov.br/legislacao/atos-de-certificacao-de-produtos/2020/1431-ato-31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9BFF-013A-42E6-A20F-15E8A7E6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113</TotalTime>
  <Pages>16</Pages>
  <Words>4503</Words>
  <Characters>36618</Characters>
  <Application>Microsoft Office Word</Application>
  <DocSecurity>0</DocSecurity>
  <Lines>1109</Lines>
  <Paragraphs>555</Paragraphs>
  <ScaleCrop>false</ScaleCrop>
  <HeadingPairs>
    <vt:vector size="2" baseType="variant">
      <vt:variant>
        <vt:lpstr>Title</vt:lpstr>
      </vt:variant>
      <vt:variant>
        <vt:i4>1</vt:i4>
      </vt:variant>
    </vt:vector>
  </HeadingPairs>
  <TitlesOfParts>
    <vt:vector size="1" baseType="lpstr">
      <vt:lpstr>Отчет МСЭ-R SM.2179-2 (06/2023) Измерения для устройств радиосвязи малого радиуса действия</vt:lpstr>
    </vt:vector>
  </TitlesOfParts>
  <Manager/>
  <Company>ITU</Company>
  <LinksUpToDate>false</LinksUpToDate>
  <CharactersWithSpaces>40566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МСЭ-R SM.2179-2 (06/2023) Измерения для устройств радиосвязи малого радиуса действия</dc:title>
  <dc:subject/>
  <dc:creator>ITU Radiocommunication Bureau (BR)</dc:creator>
  <cp:keywords>,</cp:keywords>
  <dc:description>Berdyeva, 24/01/2025, ITU51017645</dc:description>
  <cp:lastModifiedBy>Berdyeva, Elena</cp:lastModifiedBy>
  <cp:revision>27</cp:revision>
  <cp:lastPrinted>2025-01-24T10:57:00Z</cp:lastPrinted>
  <dcterms:created xsi:type="dcterms:W3CDTF">2025-01-23T15:07:00Z</dcterms:created>
  <dcterms:modified xsi:type="dcterms:W3CDTF">2025-01-24T11:08:00Z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Yammouni</vt:lpwstr>
  </property>
  <property fmtid="{D5CDD505-2E9C-101B-9397-08002B2CF9AE}" pid="11" name="Date completed">
    <vt:lpwstr>13 July 2023</vt:lpwstr>
  </property>
</Properties>
</file>