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A77" w:rsidRDefault="00101A77" w:rsidP="00101A77"/>
    <w:p w:rsidR="00152B0F" w:rsidRDefault="00152B0F" w:rsidP="00101A77"/>
    <w:p w:rsidR="00101A77" w:rsidRDefault="00101A77" w:rsidP="00101A77"/>
    <w:p w:rsidR="00101A77" w:rsidRDefault="00101A77" w:rsidP="00101A77"/>
    <w:p w:rsidR="00101A77" w:rsidRDefault="00101A77" w:rsidP="00101A77"/>
    <w:p w:rsidR="00101A77" w:rsidRDefault="00101A77" w:rsidP="00101A77"/>
    <w:p w:rsidR="00101A77" w:rsidRDefault="00101A77" w:rsidP="00101A77"/>
    <w:p w:rsidR="00101A77" w:rsidRDefault="00101A77" w:rsidP="00101A77"/>
    <w:p w:rsidR="00101A77" w:rsidRDefault="00101A77" w:rsidP="00101A77"/>
    <w:p w:rsidR="00101A77" w:rsidRDefault="00101A77" w:rsidP="00101A77"/>
    <w:p w:rsidR="00101A77" w:rsidRDefault="00101A77" w:rsidP="00101A77"/>
    <w:tbl>
      <w:tblPr>
        <w:tblW w:w="10089" w:type="dxa"/>
        <w:tblLook w:val="01E0"/>
      </w:tblPr>
      <w:tblGrid>
        <w:gridCol w:w="10089"/>
      </w:tblGrid>
      <w:tr w:rsidR="00101A77" w:rsidRPr="00041F2F" w:rsidTr="00152B0F">
        <w:tc>
          <w:tcPr>
            <w:tcW w:w="10089" w:type="dxa"/>
          </w:tcPr>
          <w:p w:rsidR="00101A77" w:rsidRPr="00CA109F" w:rsidRDefault="00101A77" w:rsidP="00152B0F">
            <w:pPr>
              <w:spacing w:before="380" w:line="280" w:lineRule="exact"/>
              <w:jc w:val="right"/>
              <w:rPr>
                <w:rFonts w:ascii="Tahoma" w:hAnsi="Tahoma" w:cs="Tahoma"/>
                <w:b/>
                <w:bCs/>
                <w:iCs/>
                <w:color w:val="509141"/>
                <w:sz w:val="32"/>
                <w:szCs w:val="32"/>
                <w:lang w:val="en-US"/>
              </w:rPr>
            </w:pPr>
          </w:p>
          <w:p w:rsidR="00101A77" w:rsidRPr="00041F2F" w:rsidRDefault="007A4E57" w:rsidP="00904E0A">
            <w:pPr>
              <w:spacing w:before="380" w:line="280" w:lineRule="exact"/>
              <w:jc w:val="right"/>
              <w:rPr>
                <w:rFonts w:ascii="Tahoma" w:hAnsi="Tahoma" w:cs="Tahoma"/>
                <w:b/>
                <w:bCs/>
                <w:iCs/>
                <w:color w:val="509141"/>
                <w:sz w:val="36"/>
                <w:szCs w:val="36"/>
                <w:lang w:val="fr-CH"/>
              </w:rPr>
            </w:pPr>
            <w:r>
              <w:rPr>
                <w:rFonts w:ascii="Tahoma" w:hAnsi="Tahoma" w:cs="Tahoma"/>
                <w:b/>
                <w:bCs/>
                <w:iCs/>
                <w:color w:val="509141"/>
                <w:sz w:val="36"/>
                <w:szCs w:val="36"/>
                <w:lang w:val="fr-CH"/>
              </w:rPr>
              <w:t>Informe  U</w:t>
            </w:r>
            <w:r w:rsidR="00101A77" w:rsidRPr="00041F2F">
              <w:rPr>
                <w:rFonts w:ascii="Tahoma" w:hAnsi="Tahoma" w:cs="Tahoma"/>
                <w:b/>
                <w:bCs/>
                <w:iCs/>
                <w:color w:val="509141"/>
                <w:sz w:val="36"/>
                <w:szCs w:val="36"/>
                <w:lang w:val="fr-CH"/>
              </w:rPr>
              <w:t>IT-R  SM.</w:t>
            </w:r>
            <w:r w:rsidR="00904E0A">
              <w:rPr>
                <w:rFonts w:ascii="Tahoma" w:hAnsi="Tahoma" w:cs="Tahoma"/>
                <w:b/>
                <w:bCs/>
                <w:iCs/>
                <w:color w:val="509141"/>
                <w:sz w:val="36"/>
                <w:szCs w:val="36"/>
                <w:lang w:val="fr-CH"/>
              </w:rPr>
              <w:t>2154</w:t>
            </w:r>
            <w:r w:rsidR="00101A77" w:rsidRPr="00041F2F">
              <w:rPr>
                <w:rFonts w:ascii="Tahoma" w:hAnsi="Tahoma" w:cs="Tahoma"/>
                <w:b/>
                <w:bCs/>
                <w:iCs/>
                <w:color w:val="509141"/>
                <w:sz w:val="36"/>
                <w:szCs w:val="36"/>
                <w:lang w:val="fr-CH"/>
              </w:rPr>
              <w:t xml:space="preserve">  </w:t>
            </w:r>
          </w:p>
          <w:p w:rsidR="00101A77" w:rsidRDefault="00101A77" w:rsidP="00101A77">
            <w:pPr>
              <w:spacing w:before="80" w:line="280" w:lineRule="exact"/>
              <w:jc w:val="right"/>
              <w:rPr>
                <w:rFonts w:ascii="Tahoma" w:hAnsi="Tahoma" w:cs="Tahoma"/>
                <w:b/>
                <w:bCs/>
                <w:iCs/>
                <w:color w:val="509141"/>
                <w:szCs w:val="24"/>
                <w:lang w:val="fr-CH"/>
              </w:rPr>
            </w:pPr>
            <w:r w:rsidRPr="00041F2F">
              <w:rPr>
                <w:rFonts w:ascii="Tahoma" w:hAnsi="Tahoma" w:cs="Tahoma"/>
                <w:b/>
                <w:bCs/>
                <w:iCs/>
                <w:color w:val="509141"/>
                <w:szCs w:val="24"/>
                <w:lang w:val="fr-CH"/>
              </w:rPr>
              <w:t>(</w:t>
            </w:r>
            <w:r>
              <w:rPr>
                <w:rFonts w:ascii="Tahoma" w:hAnsi="Tahoma" w:cs="Tahoma"/>
                <w:b/>
                <w:bCs/>
                <w:iCs/>
                <w:color w:val="509141"/>
                <w:szCs w:val="24"/>
                <w:lang w:val="fr-CH"/>
              </w:rPr>
              <w:t>09</w:t>
            </w:r>
            <w:r w:rsidRPr="00041F2F">
              <w:rPr>
                <w:rFonts w:ascii="Tahoma" w:hAnsi="Tahoma" w:cs="Tahoma"/>
                <w:b/>
                <w:bCs/>
                <w:iCs/>
                <w:color w:val="509141"/>
                <w:szCs w:val="24"/>
                <w:lang w:val="fr-CH"/>
              </w:rPr>
              <w:t>/200</w:t>
            </w:r>
            <w:r>
              <w:rPr>
                <w:rFonts w:ascii="Tahoma" w:hAnsi="Tahoma" w:cs="Tahoma"/>
                <w:b/>
                <w:bCs/>
                <w:iCs/>
                <w:color w:val="509141"/>
                <w:szCs w:val="24"/>
                <w:lang w:val="fr-CH"/>
              </w:rPr>
              <w:t>9</w:t>
            </w:r>
            <w:r w:rsidRPr="00041F2F">
              <w:rPr>
                <w:rFonts w:ascii="Tahoma" w:hAnsi="Tahoma" w:cs="Tahoma"/>
                <w:b/>
                <w:bCs/>
                <w:iCs/>
                <w:color w:val="509141"/>
                <w:szCs w:val="24"/>
                <w:lang w:val="fr-CH"/>
              </w:rPr>
              <w:t>)</w:t>
            </w:r>
          </w:p>
          <w:p w:rsidR="00152B0F" w:rsidRPr="00041F2F" w:rsidRDefault="00152B0F" w:rsidP="00101A77">
            <w:pPr>
              <w:spacing w:before="80" w:line="280" w:lineRule="exact"/>
              <w:jc w:val="right"/>
              <w:rPr>
                <w:rFonts w:ascii="Tahoma" w:hAnsi="Tahoma" w:cs="Tahoma"/>
                <w:b/>
                <w:bCs/>
                <w:iCs/>
                <w:color w:val="509141"/>
                <w:szCs w:val="24"/>
                <w:lang w:val="fr-CH"/>
              </w:rPr>
            </w:pPr>
          </w:p>
        </w:tc>
      </w:tr>
      <w:tr w:rsidR="00101A77" w:rsidRPr="008637EF" w:rsidTr="00152B0F">
        <w:tc>
          <w:tcPr>
            <w:tcW w:w="10089" w:type="dxa"/>
          </w:tcPr>
          <w:p w:rsidR="00101A77" w:rsidRPr="007A4E57" w:rsidRDefault="00101A77" w:rsidP="00152B0F">
            <w:pPr>
              <w:spacing w:before="80" w:line="500" w:lineRule="exact"/>
              <w:jc w:val="right"/>
              <w:rPr>
                <w:rFonts w:ascii="Tahoma" w:hAnsi="Tahoma" w:cs="Tahoma"/>
                <w:b/>
                <w:bCs/>
                <w:iCs/>
                <w:color w:val="509141"/>
                <w:sz w:val="44"/>
                <w:szCs w:val="44"/>
                <w:lang w:val="es-ES_tradnl"/>
              </w:rPr>
            </w:pPr>
          </w:p>
          <w:p w:rsidR="00101A77" w:rsidRPr="00CA109F" w:rsidRDefault="00101A77" w:rsidP="00101A77">
            <w:pPr>
              <w:spacing w:before="80" w:line="500" w:lineRule="exact"/>
              <w:jc w:val="right"/>
              <w:rPr>
                <w:rFonts w:ascii="Tahoma" w:hAnsi="Tahoma" w:cs="Tahoma"/>
                <w:b/>
                <w:bCs/>
                <w:iCs/>
                <w:color w:val="509141"/>
                <w:sz w:val="44"/>
                <w:szCs w:val="44"/>
                <w:lang w:val="es-ES_tradnl"/>
              </w:rPr>
            </w:pPr>
            <w:r w:rsidRPr="00CA109F">
              <w:rPr>
                <w:rFonts w:ascii="Tahoma" w:hAnsi="Tahoma" w:cs="Tahoma"/>
                <w:b/>
                <w:bCs/>
                <w:iCs/>
                <w:color w:val="509141"/>
                <w:sz w:val="44"/>
                <w:szCs w:val="44"/>
                <w:lang w:val="es-ES_tradnl"/>
              </w:rPr>
              <w:t>T</w:t>
            </w:r>
            <w:r>
              <w:rPr>
                <w:rFonts w:ascii="Tahoma" w:hAnsi="Tahoma" w:cs="Tahoma"/>
                <w:b/>
                <w:bCs/>
                <w:iCs/>
                <w:color w:val="509141"/>
                <w:sz w:val="44"/>
                <w:szCs w:val="44"/>
                <w:lang w:val="es-ES_tradnl"/>
              </w:rPr>
              <w:t>écnicas de medición de ocupación del espectro por dispositivos de radiocomunicaciones de corto alcance</w:t>
            </w:r>
          </w:p>
        </w:tc>
      </w:tr>
      <w:tr w:rsidR="00101A77" w:rsidRPr="008637EF" w:rsidTr="00152B0F">
        <w:tc>
          <w:tcPr>
            <w:tcW w:w="10089" w:type="dxa"/>
          </w:tcPr>
          <w:p w:rsidR="00101A77" w:rsidRPr="00CA109F" w:rsidRDefault="00101A77" w:rsidP="00152B0F">
            <w:pPr>
              <w:spacing w:before="80" w:line="280" w:lineRule="exact"/>
              <w:ind w:right="640"/>
              <w:rPr>
                <w:rFonts w:ascii="Tahoma" w:hAnsi="Tahoma" w:cs="Tahoma"/>
                <w:b/>
                <w:bCs/>
                <w:iCs/>
                <w:color w:val="243285"/>
                <w:sz w:val="32"/>
                <w:szCs w:val="32"/>
                <w:lang w:val="es-ES_tradnl"/>
              </w:rPr>
            </w:pPr>
          </w:p>
          <w:p w:rsidR="00101A77" w:rsidRPr="00CA109F" w:rsidRDefault="00101A77" w:rsidP="00152B0F">
            <w:pPr>
              <w:spacing w:before="80" w:line="280" w:lineRule="exact"/>
              <w:ind w:right="640"/>
              <w:rPr>
                <w:rFonts w:ascii="Tahoma" w:hAnsi="Tahoma" w:cs="Tahoma"/>
                <w:b/>
                <w:bCs/>
                <w:iCs/>
                <w:color w:val="243285"/>
                <w:sz w:val="32"/>
                <w:szCs w:val="32"/>
                <w:lang w:val="es-ES_tradnl"/>
              </w:rPr>
            </w:pPr>
          </w:p>
          <w:p w:rsidR="00101A77" w:rsidRPr="00CA109F" w:rsidRDefault="00101A77" w:rsidP="00152B0F">
            <w:pPr>
              <w:spacing w:before="80" w:line="280" w:lineRule="exact"/>
              <w:ind w:right="640"/>
              <w:rPr>
                <w:rFonts w:ascii="Tahoma" w:hAnsi="Tahoma" w:cs="Tahoma"/>
                <w:b/>
                <w:bCs/>
                <w:iCs/>
                <w:color w:val="243285"/>
                <w:sz w:val="32"/>
                <w:szCs w:val="32"/>
                <w:lang w:val="es-ES_tradnl"/>
              </w:rPr>
            </w:pPr>
          </w:p>
          <w:p w:rsidR="00101A77" w:rsidRPr="00CA109F" w:rsidRDefault="00101A77" w:rsidP="00152B0F">
            <w:pPr>
              <w:spacing w:before="80" w:after="180" w:line="360" w:lineRule="exact"/>
              <w:jc w:val="right"/>
              <w:rPr>
                <w:rFonts w:ascii="Tahoma" w:hAnsi="Tahoma" w:cs="Tahoma"/>
                <w:b/>
                <w:bCs/>
                <w:iCs/>
                <w:color w:val="243285"/>
                <w:sz w:val="36"/>
                <w:szCs w:val="36"/>
                <w:lang w:val="es-ES_tradnl"/>
              </w:rPr>
            </w:pPr>
          </w:p>
          <w:p w:rsidR="00101A77" w:rsidRPr="00CA109F" w:rsidRDefault="00101A77" w:rsidP="00152B0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Serie SM</w:t>
            </w:r>
          </w:p>
          <w:p w:rsidR="00101A77" w:rsidRPr="00CA109F" w:rsidRDefault="00101A77" w:rsidP="00152B0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101A77" w:rsidRPr="00AF1597" w:rsidRDefault="00101A77" w:rsidP="00101A77">
      <w:pPr>
        <w:spacing w:before="80"/>
        <w:rPr>
          <w:i/>
          <w:sz w:val="22"/>
          <w:lang w:val="es-ES_tradnl"/>
        </w:rPr>
      </w:pPr>
    </w:p>
    <w:p w:rsidR="00101A77" w:rsidRPr="00AF1597" w:rsidRDefault="00101A77" w:rsidP="00101A77">
      <w:pPr>
        <w:spacing w:before="80"/>
        <w:rPr>
          <w:i/>
          <w:sz w:val="22"/>
          <w:lang w:val="es-ES_tradnl"/>
        </w:rPr>
      </w:pPr>
    </w:p>
    <w:p w:rsidR="00101A77" w:rsidRPr="00AF1597" w:rsidRDefault="00101A77" w:rsidP="00101A77">
      <w:pPr>
        <w:spacing w:before="80"/>
        <w:rPr>
          <w:i/>
          <w:sz w:val="22"/>
          <w:lang w:val="es-ES_tradnl"/>
        </w:rPr>
      </w:pPr>
    </w:p>
    <w:p w:rsidR="00101A77" w:rsidRPr="00AF1597" w:rsidRDefault="00101A77" w:rsidP="00101A77">
      <w:pPr>
        <w:spacing w:before="80"/>
        <w:rPr>
          <w:i/>
          <w:sz w:val="22"/>
          <w:lang w:val="es-ES_tradnl"/>
        </w:rPr>
      </w:pPr>
    </w:p>
    <w:p w:rsidR="00101A77" w:rsidRPr="00AF1597" w:rsidRDefault="00101A77" w:rsidP="00101A77">
      <w:pPr>
        <w:spacing w:before="80"/>
        <w:rPr>
          <w:i/>
          <w:sz w:val="22"/>
          <w:lang w:val="es-ES_tradnl"/>
        </w:rPr>
      </w:pPr>
    </w:p>
    <w:p w:rsidR="00101A77" w:rsidRPr="00AF1597" w:rsidRDefault="00101A77" w:rsidP="00101A77">
      <w:pPr>
        <w:spacing w:before="80"/>
        <w:rPr>
          <w:i/>
          <w:sz w:val="22"/>
          <w:lang w:val="es-ES_tradnl"/>
        </w:rPr>
      </w:pPr>
    </w:p>
    <w:p w:rsidR="00101A77" w:rsidRPr="00AF1597" w:rsidRDefault="00101A77" w:rsidP="00101A77">
      <w:pPr>
        <w:pStyle w:val="Equation"/>
        <w:tabs>
          <w:tab w:val="clear" w:pos="4820"/>
          <w:tab w:val="clear" w:pos="9639"/>
          <w:tab w:val="left" w:pos="1191"/>
          <w:tab w:val="left" w:pos="1588"/>
          <w:tab w:val="left" w:pos="1985"/>
        </w:tabs>
        <w:rPr>
          <w:rFonts w:ascii="Palatino Linotype" w:hAnsi="Palatino Linotype"/>
          <w:lang w:val="es-ES_tradnl"/>
        </w:rPr>
        <w:sectPr w:rsidR="00101A77" w:rsidRPr="00AF1597">
          <w:headerReference w:type="even" r:id="rId7"/>
          <w:headerReference w:type="default" r:id="rId8"/>
          <w:pgSz w:w="11907" w:h="16840" w:code="9"/>
          <w:pgMar w:top="1089" w:right="1089" w:bottom="284" w:left="1089" w:header="567" w:footer="284" w:gutter="0"/>
          <w:pgNumType w:start="1"/>
          <w:cols w:space="720"/>
        </w:sectPr>
      </w:pPr>
    </w:p>
    <w:p w:rsidR="00101A77" w:rsidRPr="006C718C" w:rsidRDefault="00101A77" w:rsidP="00101A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101A77" w:rsidRPr="006C718C" w:rsidRDefault="00101A77" w:rsidP="00101A7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01A77" w:rsidRDefault="00101A77" w:rsidP="00101A7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01A77" w:rsidRDefault="00101A77" w:rsidP="00101A77">
      <w:pPr>
        <w:spacing w:before="0"/>
        <w:rPr>
          <w:sz w:val="20"/>
          <w:lang w:val="es-ES_tradnl"/>
        </w:rPr>
      </w:pPr>
    </w:p>
    <w:p w:rsidR="00101A77" w:rsidRPr="006C718C" w:rsidRDefault="00101A77" w:rsidP="00101A77">
      <w:pPr>
        <w:spacing w:before="0"/>
        <w:rPr>
          <w:sz w:val="20"/>
          <w:lang w:val="es-ES_tradnl"/>
        </w:rPr>
      </w:pPr>
    </w:p>
    <w:p w:rsidR="00101A77" w:rsidRPr="00021E8A" w:rsidRDefault="00101A77" w:rsidP="00101A77">
      <w:pPr>
        <w:pStyle w:val="Heading1"/>
        <w:spacing w:before="340"/>
        <w:jc w:val="center"/>
        <w:rPr>
          <w:szCs w:val="24"/>
          <w:lang w:val="es-ES_tradnl"/>
        </w:rPr>
      </w:pPr>
      <w:bookmarkStart w:id="1" w:name="_Toc260403242"/>
      <w:r w:rsidRPr="007C36CA">
        <w:rPr>
          <w:lang w:val="es-ES_tradnl"/>
        </w:rPr>
        <w:t>Política sobre Derechos de Propiedad Intelectual</w:t>
      </w:r>
      <w:r w:rsidRPr="00021E8A">
        <w:rPr>
          <w:szCs w:val="24"/>
          <w:lang w:val="es-ES_tradnl"/>
        </w:rPr>
        <w:t xml:space="preserve"> (IPR)</w:t>
      </w:r>
      <w:bookmarkEnd w:id="1"/>
    </w:p>
    <w:p w:rsidR="00101A77" w:rsidRPr="00021E8A" w:rsidRDefault="00101A77" w:rsidP="00101A7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01A77" w:rsidRDefault="00101A77" w:rsidP="00101A77">
      <w:pPr>
        <w:spacing w:before="0"/>
        <w:jc w:val="center"/>
        <w:rPr>
          <w:sz w:val="22"/>
          <w:lang w:val="es-ES_tradnl"/>
        </w:rPr>
      </w:pPr>
    </w:p>
    <w:p w:rsidR="00101A77" w:rsidRPr="007C36CA" w:rsidRDefault="00101A77" w:rsidP="00101A77">
      <w:pPr>
        <w:spacing w:before="0"/>
        <w:jc w:val="center"/>
        <w:rPr>
          <w:sz w:val="22"/>
          <w:lang w:val="es-ES_tradnl"/>
        </w:rPr>
      </w:pPr>
    </w:p>
    <w:p w:rsidR="00101A77" w:rsidRPr="007C36CA" w:rsidRDefault="00101A77" w:rsidP="00101A7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01A77" w:rsidRPr="008637EF" w:rsidTr="00152B0F">
        <w:tc>
          <w:tcPr>
            <w:tcW w:w="9360" w:type="dxa"/>
            <w:gridSpan w:val="2"/>
          </w:tcPr>
          <w:p w:rsidR="00101A77" w:rsidRPr="00021E8A" w:rsidRDefault="00101A77" w:rsidP="00152B0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101A77" w:rsidRPr="00763D08" w:rsidRDefault="00101A77" w:rsidP="00152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101A77" w:rsidRPr="00036EE3" w:rsidTr="00152B0F">
        <w:tc>
          <w:tcPr>
            <w:tcW w:w="1140" w:type="dxa"/>
            <w:tcBorders>
              <w:bottom w:val="nil"/>
            </w:tcBorders>
          </w:tcPr>
          <w:p w:rsidR="00101A77" w:rsidRPr="00036EE3" w:rsidRDefault="00101A77" w:rsidP="00152B0F">
            <w:pPr>
              <w:spacing w:before="180" w:after="100"/>
              <w:ind w:left="57"/>
              <w:rPr>
                <w:b/>
                <w:bCs/>
                <w:sz w:val="20"/>
                <w:lang w:val="en-US"/>
              </w:rPr>
            </w:pPr>
            <w:r w:rsidRPr="00036EE3">
              <w:rPr>
                <w:b/>
                <w:bCs/>
                <w:sz w:val="20"/>
                <w:lang w:val="en-US"/>
              </w:rPr>
              <w:t>Series</w:t>
            </w:r>
          </w:p>
        </w:tc>
        <w:tc>
          <w:tcPr>
            <w:tcW w:w="8220" w:type="dxa"/>
            <w:tcBorders>
              <w:bottom w:val="nil"/>
            </w:tcBorders>
          </w:tcPr>
          <w:p w:rsidR="00101A77" w:rsidRPr="00036EE3" w:rsidRDefault="00101A77" w:rsidP="00152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01A77" w:rsidRPr="00EC62B0" w:rsidTr="00152B0F">
        <w:tc>
          <w:tcPr>
            <w:tcW w:w="1140" w:type="dxa"/>
            <w:tcBorders>
              <w:top w:val="nil"/>
              <w:bottom w:val="nil"/>
            </w:tcBorders>
            <w:shd w:val="clear" w:color="auto" w:fill="auto"/>
          </w:tcPr>
          <w:p w:rsidR="00101A77" w:rsidRPr="00EC62B0" w:rsidRDefault="00101A77" w:rsidP="00152B0F">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101A77" w:rsidRPr="00EC62B0" w:rsidRDefault="00101A77" w:rsidP="00152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101A77" w:rsidRPr="008637EF" w:rsidTr="00152B0F">
        <w:tc>
          <w:tcPr>
            <w:tcW w:w="1140" w:type="dxa"/>
            <w:tcBorders>
              <w:top w:val="nil"/>
              <w:bottom w:val="nil"/>
            </w:tcBorders>
            <w:shd w:val="clear" w:color="auto" w:fill="auto"/>
          </w:tcPr>
          <w:p w:rsidR="00101A77" w:rsidRPr="00F12544" w:rsidRDefault="00101A77" w:rsidP="00152B0F">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101A77" w:rsidRPr="00F12544" w:rsidRDefault="00101A77" w:rsidP="00152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101A77" w:rsidRPr="00B11D5D" w:rsidTr="00152B0F">
        <w:tc>
          <w:tcPr>
            <w:tcW w:w="1140" w:type="dxa"/>
            <w:tcBorders>
              <w:top w:val="nil"/>
              <w:bottom w:val="nil"/>
            </w:tcBorders>
            <w:shd w:val="clear" w:color="auto" w:fill="auto"/>
          </w:tcPr>
          <w:p w:rsidR="00101A77" w:rsidRPr="00B11D5D" w:rsidRDefault="00101A77" w:rsidP="00152B0F">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101A77" w:rsidRPr="00B11D5D" w:rsidRDefault="00101A77" w:rsidP="00152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101A77" w:rsidRPr="00D73486" w:rsidTr="00152B0F">
        <w:tc>
          <w:tcPr>
            <w:tcW w:w="1140" w:type="dxa"/>
            <w:tcBorders>
              <w:top w:val="nil"/>
              <w:bottom w:val="nil"/>
            </w:tcBorders>
            <w:shd w:val="clear" w:color="auto" w:fill="auto"/>
          </w:tcPr>
          <w:p w:rsidR="00101A77" w:rsidRPr="00D73486" w:rsidRDefault="00101A77" w:rsidP="00152B0F">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101A77" w:rsidRPr="00D73486" w:rsidRDefault="00101A77" w:rsidP="00152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101A77" w:rsidRPr="0064346B" w:rsidTr="00152B0F">
        <w:tc>
          <w:tcPr>
            <w:tcW w:w="1140" w:type="dxa"/>
            <w:tcBorders>
              <w:top w:val="nil"/>
              <w:bottom w:val="nil"/>
            </w:tcBorders>
            <w:shd w:val="clear" w:color="auto" w:fill="auto"/>
          </w:tcPr>
          <w:p w:rsidR="00101A77" w:rsidRPr="0064346B" w:rsidRDefault="00101A77" w:rsidP="00152B0F">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101A77" w:rsidRPr="0064346B" w:rsidRDefault="00101A77" w:rsidP="00152B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101A77" w:rsidRPr="008637EF" w:rsidTr="00152B0F">
        <w:tc>
          <w:tcPr>
            <w:tcW w:w="1140" w:type="dxa"/>
            <w:tcBorders>
              <w:top w:val="nil"/>
              <w:bottom w:val="nil"/>
            </w:tcBorders>
            <w:shd w:val="clear" w:color="auto" w:fill="auto"/>
          </w:tcPr>
          <w:p w:rsidR="00101A77" w:rsidRPr="00297C87" w:rsidRDefault="00101A77" w:rsidP="00152B0F">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101A77" w:rsidRPr="00297C87" w:rsidRDefault="00101A77" w:rsidP="00152B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101A77" w:rsidRPr="008637EF" w:rsidTr="00152B0F">
        <w:tc>
          <w:tcPr>
            <w:tcW w:w="1140" w:type="dxa"/>
            <w:tcBorders>
              <w:top w:val="nil"/>
              <w:bottom w:val="nil"/>
            </w:tcBorders>
            <w:shd w:val="clear" w:color="auto" w:fill="auto"/>
          </w:tcPr>
          <w:p w:rsidR="00101A77" w:rsidRPr="00F84F54" w:rsidRDefault="00101A77" w:rsidP="00152B0F">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101A77" w:rsidRPr="00F84F54" w:rsidRDefault="00101A77" w:rsidP="00152B0F">
            <w:pPr>
              <w:spacing w:before="30" w:after="30"/>
              <w:jc w:val="left"/>
              <w:rPr>
                <w:sz w:val="20"/>
                <w:lang w:val="es-ES_tradnl"/>
              </w:rPr>
            </w:pPr>
            <w:r w:rsidRPr="00F84F54">
              <w:rPr>
                <w:sz w:val="20"/>
                <w:lang w:val="es-ES_tradnl"/>
              </w:rPr>
              <w:t>Propagación de las ondas radioeléctricas</w:t>
            </w:r>
          </w:p>
        </w:tc>
      </w:tr>
      <w:tr w:rsidR="00101A77" w:rsidRPr="00A10F3A" w:rsidTr="00152B0F">
        <w:tc>
          <w:tcPr>
            <w:tcW w:w="1140" w:type="dxa"/>
            <w:tcBorders>
              <w:top w:val="nil"/>
              <w:bottom w:val="nil"/>
            </w:tcBorders>
            <w:shd w:val="clear" w:color="auto" w:fill="auto"/>
          </w:tcPr>
          <w:p w:rsidR="00101A77" w:rsidRPr="00A10F3A" w:rsidRDefault="00101A77" w:rsidP="00152B0F">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101A77" w:rsidRPr="00A10F3A" w:rsidRDefault="00101A77" w:rsidP="00152B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101A77" w:rsidRPr="008637EF" w:rsidTr="00152B0F">
        <w:tc>
          <w:tcPr>
            <w:tcW w:w="1140" w:type="dxa"/>
            <w:tcBorders>
              <w:top w:val="nil"/>
              <w:bottom w:val="nil"/>
            </w:tcBorders>
            <w:shd w:val="clear" w:color="auto" w:fill="auto"/>
          </w:tcPr>
          <w:p w:rsidR="00101A77" w:rsidRPr="007C5CE9" w:rsidRDefault="00101A77" w:rsidP="00152B0F">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101A77" w:rsidRPr="007C5CE9" w:rsidRDefault="00101A77" w:rsidP="00152B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101A77" w:rsidRPr="00AC1323" w:rsidTr="00152B0F">
        <w:tc>
          <w:tcPr>
            <w:tcW w:w="1140" w:type="dxa"/>
            <w:tcBorders>
              <w:top w:val="nil"/>
              <w:bottom w:val="nil"/>
            </w:tcBorders>
            <w:shd w:val="clear" w:color="auto" w:fill="auto"/>
          </w:tcPr>
          <w:p w:rsidR="00101A77" w:rsidRPr="00AC1323" w:rsidRDefault="00101A77" w:rsidP="00152B0F">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101A77" w:rsidRPr="00AC1323" w:rsidRDefault="00101A77" w:rsidP="00152B0F">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101A77" w:rsidRPr="00BA28E1" w:rsidTr="00152B0F">
        <w:tc>
          <w:tcPr>
            <w:tcW w:w="1140" w:type="dxa"/>
            <w:tcBorders>
              <w:top w:val="nil"/>
              <w:bottom w:val="nil"/>
            </w:tcBorders>
            <w:shd w:val="clear" w:color="auto" w:fill="auto"/>
          </w:tcPr>
          <w:p w:rsidR="00101A77" w:rsidRPr="00BA28E1" w:rsidRDefault="00101A77" w:rsidP="00152B0F">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101A77" w:rsidRPr="00BA28E1" w:rsidRDefault="00101A77" w:rsidP="00152B0F">
            <w:pPr>
              <w:spacing w:before="30" w:after="30"/>
              <w:jc w:val="left"/>
              <w:rPr>
                <w:sz w:val="20"/>
                <w:lang w:val="en-US"/>
              </w:rPr>
            </w:pPr>
            <w:r w:rsidRPr="00BA28E1">
              <w:rPr>
                <w:sz w:val="20"/>
              </w:rPr>
              <w:t>Aplicaciones espaciales y meteorología</w:t>
            </w:r>
          </w:p>
        </w:tc>
      </w:tr>
      <w:tr w:rsidR="00101A77" w:rsidRPr="008637EF" w:rsidTr="00152B0F">
        <w:tc>
          <w:tcPr>
            <w:tcW w:w="1140" w:type="dxa"/>
            <w:tcBorders>
              <w:top w:val="nil"/>
              <w:bottom w:val="nil"/>
            </w:tcBorders>
            <w:shd w:val="clear" w:color="auto" w:fill="auto"/>
          </w:tcPr>
          <w:p w:rsidR="00101A77" w:rsidRPr="003A6B2B" w:rsidRDefault="00101A77" w:rsidP="00152B0F">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101A77" w:rsidRPr="003A6B2B" w:rsidRDefault="00101A77" w:rsidP="00152B0F">
            <w:pPr>
              <w:spacing w:before="30" w:after="30"/>
              <w:jc w:val="left"/>
              <w:rPr>
                <w:sz w:val="20"/>
                <w:lang w:val="es-ES_tradnl"/>
              </w:rPr>
            </w:pPr>
            <w:r w:rsidRPr="003A6B2B">
              <w:rPr>
                <w:sz w:val="20"/>
                <w:lang w:val="es-ES_tradnl"/>
              </w:rPr>
              <w:t>Compartición de frecuencias y coordinación entre los sistemas del servicio fijo por satélite</w:t>
            </w:r>
            <w:r w:rsidRPr="003A6B2B">
              <w:rPr>
                <w:sz w:val="20"/>
                <w:lang w:val="es-ES_tradnl"/>
              </w:rPr>
              <w:br/>
              <w:t>y del servicio fijo</w:t>
            </w:r>
          </w:p>
        </w:tc>
      </w:tr>
      <w:tr w:rsidR="00101A77" w:rsidRPr="003A6B2B" w:rsidTr="00152B0F">
        <w:tc>
          <w:tcPr>
            <w:tcW w:w="1140" w:type="dxa"/>
            <w:tcBorders>
              <w:top w:val="nil"/>
              <w:bottom w:val="nil"/>
            </w:tcBorders>
            <w:shd w:val="clear" w:color="auto" w:fill="F3F3F3"/>
          </w:tcPr>
          <w:p w:rsidR="00101A77" w:rsidRPr="003A6B2B" w:rsidRDefault="00101A77" w:rsidP="00152B0F">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101A77" w:rsidRPr="003A6B2B" w:rsidRDefault="00101A77" w:rsidP="00152B0F">
            <w:pPr>
              <w:spacing w:before="30"/>
              <w:jc w:val="left"/>
              <w:rPr>
                <w:b/>
                <w:bCs/>
                <w:color w:val="000080"/>
                <w:sz w:val="20"/>
                <w:lang w:val="en-US"/>
              </w:rPr>
            </w:pPr>
            <w:r w:rsidRPr="003A6B2B">
              <w:rPr>
                <w:b/>
                <w:bCs/>
                <w:color w:val="000080"/>
                <w:sz w:val="20"/>
              </w:rPr>
              <w:t>Gestión del espectro</w:t>
            </w:r>
          </w:p>
        </w:tc>
      </w:tr>
      <w:tr w:rsidR="00101A77" w:rsidRPr="00036EE3" w:rsidTr="00152B0F">
        <w:tc>
          <w:tcPr>
            <w:tcW w:w="1140" w:type="dxa"/>
            <w:tcBorders>
              <w:top w:val="nil"/>
            </w:tcBorders>
            <w:shd w:val="clear" w:color="auto" w:fill="auto"/>
          </w:tcPr>
          <w:p w:rsidR="00101A77" w:rsidRPr="0041026E" w:rsidRDefault="00101A77" w:rsidP="00152B0F">
            <w:pPr>
              <w:spacing w:before="0" w:after="30"/>
              <w:ind w:left="57"/>
              <w:jc w:val="left"/>
              <w:rPr>
                <w:b/>
                <w:bCs/>
                <w:color w:val="000080"/>
                <w:sz w:val="20"/>
                <w:lang w:val="en-US"/>
              </w:rPr>
            </w:pPr>
          </w:p>
        </w:tc>
        <w:tc>
          <w:tcPr>
            <w:tcW w:w="8220" w:type="dxa"/>
            <w:tcBorders>
              <w:top w:val="nil"/>
            </w:tcBorders>
            <w:shd w:val="clear" w:color="auto" w:fill="auto"/>
          </w:tcPr>
          <w:p w:rsidR="00101A77" w:rsidRPr="0041026E" w:rsidRDefault="00101A77" w:rsidP="00152B0F">
            <w:pPr>
              <w:spacing w:before="0"/>
              <w:jc w:val="left"/>
              <w:rPr>
                <w:b/>
                <w:bCs/>
                <w:color w:val="000080"/>
                <w:sz w:val="20"/>
              </w:rPr>
            </w:pPr>
          </w:p>
        </w:tc>
      </w:tr>
    </w:tbl>
    <w:p w:rsidR="00101A77" w:rsidRPr="00036EE3" w:rsidRDefault="00101A77" w:rsidP="00101A77">
      <w:pPr>
        <w:spacing w:before="0" w:after="140"/>
        <w:jc w:val="center"/>
        <w:rPr>
          <w:sz w:val="20"/>
          <w:lang w:val="en-US"/>
        </w:rPr>
      </w:pPr>
    </w:p>
    <w:tbl>
      <w:tblPr>
        <w:tblpPr w:leftFromText="180" w:rightFromText="180" w:vertAnchor="text" w:tblpX="-5771" w:tblpY="-4031"/>
        <w:tblW w:w="0" w:type="auto"/>
        <w:tblLook w:val="0000"/>
      </w:tblPr>
      <w:tblGrid>
        <w:gridCol w:w="720"/>
      </w:tblGrid>
      <w:tr w:rsidR="00101A77" w:rsidTr="00152B0F">
        <w:tc>
          <w:tcPr>
            <w:tcW w:w="720" w:type="dxa"/>
          </w:tcPr>
          <w:p w:rsidR="00101A77" w:rsidRDefault="00101A77" w:rsidP="00152B0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01A77" w:rsidRPr="008637EF" w:rsidTr="00152B0F">
        <w:tc>
          <w:tcPr>
            <w:tcW w:w="9360" w:type="dxa"/>
          </w:tcPr>
          <w:p w:rsidR="00101A77" w:rsidRPr="00CA109F" w:rsidRDefault="00101A77" w:rsidP="004D1149">
            <w:pPr>
              <w:spacing w:before="92" w:after="92"/>
              <w:ind w:left="252"/>
              <w:jc w:val="left"/>
              <w:rPr>
                <w:i/>
                <w:iCs/>
                <w:sz w:val="20"/>
                <w:lang w:val="es-ES_tradnl"/>
              </w:rPr>
            </w:pPr>
            <w:r w:rsidRPr="00CA109F">
              <w:rPr>
                <w:b/>
                <w:bCs/>
                <w:i/>
                <w:iCs/>
                <w:sz w:val="20"/>
                <w:lang w:val="es-ES_tradnl"/>
              </w:rPr>
              <w:t xml:space="preserve"> Nota</w:t>
            </w:r>
            <w:r w:rsidRPr="00CA109F">
              <w:rPr>
                <w:i/>
                <w:iCs/>
                <w:sz w:val="20"/>
                <w:lang w:val="es-ES_tradnl"/>
              </w:rPr>
              <w:t>: Este Informe UIT-R fue aprobado en inglés por la Comisión de Estudio conforme al procedimiento detallado en la Resolución UIT-R 1.</w:t>
            </w:r>
          </w:p>
        </w:tc>
      </w:tr>
    </w:tbl>
    <w:p w:rsidR="00101A77" w:rsidRPr="00763D08" w:rsidRDefault="00101A77" w:rsidP="00101A77">
      <w:pPr>
        <w:spacing w:before="0"/>
        <w:jc w:val="center"/>
        <w:rPr>
          <w:sz w:val="22"/>
          <w:lang w:val="es-ES_tradnl"/>
        </w:rPr>
      </w:pPr>
    </w:p>
    <w:p w:rsidR="00101A77" w:rsidRPr="00763D08" w:rsidRDefault="00101A77" w:rsidP="00101A77">
      <w:pPr>
        <w:spacing w:before="60"/>
        <w:jc w:val="right"/>
        <w:rPr>
          <w:i/>
          <w:iCs/>
          <w:sz w:val="20"/>
          <w:lang w:val="es-ES_tradnl"/>
        </w:rPr>
      </w:pPr>
      <w:r w:rsidRPr="00763D08">
        <w:rPr>
          <w:i/>
          <w:iCs/>
          <w:sz w:val="20"/>
          <w:lang w:val="es-ES_tradnl"/>
        </w:rPr>
        <w:t>Publicación electrónica</w:t>
      </w:r>
    </w:p>
    <w:p w:rsidR="00101A77" w:rsidRPr="00763D08" w:rsidRDefault="00101A77" w:rsidP="00101A77">
      <w:pPr>
        <w:spacing w:before="0" w:after="40"/>
        <w:jc w:val="right"/>
        <w:rPr>
          <w:sz w:val="20"/>
          <w:lang w:val="es-ES_tradnl"/>
        </w:rPr>
      </w:pPr>
      <w:r w:rsidRPr="00763D08">
        <w:rPr>
          <w:sz w:val="20"/>
          <w:lang w:val="es-ES_tradnl"/>
        </w:rPr>
        <w:t>Ginebra, 20</w:t>
      </w:r>
      <w:r>
        <w:rPr>
          <w:sz w:val="20"/>
          <w:lang w:val="es-ES_tradnl"/>
        </w:rPr>
        <w:t>10</w:t>
      </w:r>
    </w:p>
    <w:p w:rsidR="00101A77" w:rsidRPr="00763D08" w:rsidRDefault="00101A77" w:rsidP="00101A77">
      <w:pPr>
        <w:spacing w:before="0"/>
        <w:jc w:val="center"/>
        <w:rPr>
          <w:sz w:val="22"/>
          <w:lang w:val="es-ES_tradnl"/>
        </w:rPr>
      </w:pPr>
    </w:p>
    <w:p w:rsidR="00101A77" w:rsidRPr="00763D08" w:rsidRDefault="00101A77" w:rsidP="00101A77">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10</w:t>
      </w:r>
    </w:p>
    <w:p w:rsidR="00101A77" w:rsidRPr="006C718C" w:rsidRDefault="00101A77" w:rsidP="00101A7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01A77" w:rsidRPr="006C718C" w:rsidRDefault="00101A77" w:rsidP="00101A77">
      <w:pPr>
        <w:spacing w:before="160"/>
        <w:rPr>
          <w:i/>
          <w:sz w:val="20"/>
          <w:highlight w:val="yellow"/>
          <w:lang w:val="es-ES_tradnl"/>
        </w:rPr>
        <w:sectPr w:rsidR="00101A77" w:rsidRPr="006C718C" w:rsidSect="00152B0F">
          <w:headerReference w:type="even" r:id="rId11"/>
          <w:headerReference w:type="default" r:id="rId12"/>
          <w:pgSz w:w="11907" w:h="16834" w:code="9"/>
          <w:pgMar w:top="1418" w:right="1134" w:bottom="1134" w:left="1134" w:header="720" w:footer="482" w:gutter="0"/>
          <w:pgNumType w:fmt="lowerRoman" w:start="2"/>
          <w:cols w:space="720"/>
        </w:sectPr>
      </w:pPr>
    </w:p>
    <w:p w:rsidR="00101A77" w:rsidRPr="00C542A1" w:rsidRDefault="00101A77" w:rsidP="00B76864">
      <w:pPr>
        <w:pStyle w:val="RepNo"/>
        <w:spacing w:before="0"/>
        <w:rPr>
          <w:lang w:val="es-ES_tradnl"/>
        </w:rPr>
      </w:pPr>
      <w:r w:rsidRPr="00C542A1">
        <w:rPr>
          <w:lang w:val="es-ES_tradnl"/>
        </w:rPr>
        <w:lastRenderedPageBreak/>
        <w:t xml:space="preserve">INFORME  </w:t>
      </w:r>
      <w:r w:rsidRPr="00C542A1">
        <w:rPr>
          <w:rStyle w:val="href"/>
          <w:lang w:val="es-ES_tradnl"/>
        </w:rPr>
        <w:t>UIT-R  SM.2154</w:t>
      </w:r>
    </w:p>
    <w:p w:rsidR="00101A77" w:rsidRPr="00101A77" w:rsidRDefault="00101A77" w:rsidP="00101A77">
      <w:pPr>
        <w:pStyle w:val="Reptitle"/>
        <w:rPr>
          <w:lang w:val="es-ES_tradnl"/>
        </w:rPr>
      </w:pPr>
      <w:r w:rsidRPr="00101A77">
        <w:rPr>
          <w:lang w:val="es-ES_tradnl"/>
        </w:rPr>
        <w:t>Técnicas de medición de ocupación del espectro por dispositivos</w:t>
      </w:r>
      <w:r>
        <w:rPr>
          <w:lang w:val="es-ES_tradnl"/>
        </w:rPr>
        <w:br/>
      </w:r>
      <w:r w:rsidRPr="00101A77">
        <w:rPr>
          <w:lang w:val="es-ES_tradnl"/>
        </w:rPr>
        <w:t>de radiocomunicaciones de corto alcance</w:t>
      </w:r>
    </w:p>
    <w:p w:rsidR="00101A77" w:rsidRPr="00101A77" w:rsidRDefault="00101A77" w:rsidP="00101A77">
      <w:pPr>
        <w:pStyle w:val="Repref"/>
        <w:rPr>
          <w:lang w:val="es-ES_tradnl"/>
        </w:rPr>
      </w:pPr>
    </w:p>
    <w:p w:rsidR="00101A77" w:rsidRDefault="00101A77" w:rsidP="00101A77">
      <w:pPr>
        <w:pStyle w:val="Repdate"/>
        <w:rPr>
          <w:lang w:val="es-ES_tradnl"/>
        </w:rPr>
      </w:pPr>
      <w:r>
        <w:rPr>
          <w:lang w:val="es-ES_tradnl"/>
        </w:rPr>
        <w:t>(2009)</w:t>
      </w:r>
    </w:p>
    <w:p w:rsidR="00101A77" w:rsidRPr="00101A77" w:rsidRDefault="00101A77" w:rsidP="00101A77">
      <w:pPr>
        <w:pStyle w:val="Normalaftertitle"/>
        <w:jc w:val="center"/>
        <w:rPr>
          <w:lang w:val="es-ES_tradnl"/>
        </w:rPr>
      </w:pPr>
      <w:r w:rsidRPr="00101A77">
        <w:rPr>
          <w:lang w:val="es-ES_tradnl"/>
        </w:rPr>
        <w:t>ÍNDICE</w:t>
      </w:r>
    </w:p>
    <w:p w:rsidR="007A431B" w:rsidRPr="007A431B" w:rsidRDefault="007A431B" w:rsidP="007A431B">
      <w:pPr>
        <w:pStyle w:val="toc0"/>
        <w:ind w:right="992"/>
        <w:rPr>
          <w:noProof/>
          <w:lang w:val="es-ES_tradnl"/>
        </w:rPr>
      </w:pPr>
      <w:r>
        <w:rPr>
          <w:lang w:val="es-ES_tradnl"/>
        </w:rPr>
        <w:tab/>
        <w:t>Página</w:t>
      </w:r>
    </w:p>
    <w:p w:rsidR="007A431B" w:rsidRPr="007A431B" w:rsidRDefault="007A431B" w:rsidP="007A431B">
      <w:pPr>
        <w:pStyle w:val="TOC1"/>
        <w:ind w:right="992"/>
        <w:rPr>
          <w:rFonts w:asciiTheme="minorHAnsi" w:eastAsiaTheme="minorEastAsia" w:hAnsiTheme="minorHAnsi" w:cstheme="minorBidi"/>
          <w:noProof/>
          <w:sz w:val="22"/>
          <w:szCs w:val="22"/>
          <w:lang w:val="es-ES_tradnl" w:eastAsia="zh-CN"/>
        </w:rPr>
      </w:pPr>
      <w:r w:rsidRPr="00931892">
        <w:rPr>
          <w:noProof/>
          <w:lang w:val="es-ES_tradnl"/>
        </w:rPr>
        <w:t>1</w:t>
      </w:r>
      <w:r w:rsidRPr="007A431B">
        <w:rPr>
          <w:rFonts w:asciiTheme="minorHAnsi" w:eastAsiaTheme="minorEastAsia" w:hAnsiTheme="minorHAnsi" w:cstheme="minorBidi"/>
          <w:noProof/>
          <w:sz w:val="22"/>
          <w:szCs w:val="22"/>
          <w:lang w:val="es-ES_tradnl" w:eastAsia="zh-CN"/>
        </w:rPr>
        <w:tab/>
      </w:r>
      <w:r w:rsidRPr="007A431B">
        <w:rPr>
          <w:noProof/>
          <w:lang w:val="es-ES_tradnl"/>
        </w:rPr>
        <w:t>Introducción</w:t>
      </w:r>
      <w:r>
        <w:rPr>
          <w:noProof/>
          <w:lang w:val="es-ES_tradnl"/>
        </w:rPr>
        <w:tab/>
      </w:r>
      <w:r>
        <w:rPr>
          <w:noProof/>
          <w:lang w:val="es-ES_tradnl"/>
        </w:rPr>
        <w:tab/>
      </w:r>
      <w:r w:rsidRPr="007A431B">
        <w:rPr>
          <w:noProof/>
          <w:lang w:val="es-ES_tradnl"/>
        </w:rPr>
        <w:t>2</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1.1</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Motivos de la comprobación técnica de los </w:t>
      </w:r>
      <w:r w:rsidRPr="007A431B">
        <w:rPr>
          <w:noProof/>
          <w:lang w:val="es-ES_tradnl"/>
        </w:rPr>
        <w:t>SRD</w:t>
      </w:r>
      <w:r>
        <w:rPr>
          <w:noProof/>
          <w:lang w:val="es-ES_tradnl"/>
        </w:rPr>
        <w:tab/>
      </w:r>
      <w:r>
        <w:rPr>
          <w:noProof/>
          <w:lang w:val="es-ES_tradnl"/>
        </w:rPr>
        <w:tab/>
      </w:r>
      <w:r w:rsidRPr="007A431B">
        <w:rPr>
          <w:noProof/>
          <w:lang w:val="es-ES_tradnl"/>
        </w:rPr>
        <w:t>2</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1.2</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Diferencias entre la comprobación técnica de los SRD y la comprobación técnica </w:t>
      </w:r>
      <w:r w:rsidRPr="007A431B">
        <w:rPr>
          <w:noProof/>
          <w:lang w:val="es-ES_tradnl"/>
        </w:rPr>
        <w:t>normal</w:t>
      </w:r>
      <w:r>
        <w:rPr>
          <w:noProof/>
          <w:lang w:val="es-ES_tradnl"/>
        </w:rPr>
        <w:tab/>
      </w:r>
      <w:r>
        <w:rPr>
          <w:noProof/>
          <w:lang w:val="es-ES_tradnl"/>
        </w:rPr>
        <w:tab/>
      </w:r>
      <w:r w:rsidRPr="007A431B">
        <w:rPr>
          <w:noProof/>
          <w:lang w:val="es-ES_tradnl"/>
        </w:rPr>
        <w:t>2</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1.3</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Relación entre la comprobación técnica de los SRD y otras operaciones de comprobación </w:t>
      </w:r>
      <w:r w:rsidRPr="007A431B">
        <w:rPr>
          <w:noProof/>
          <w:lang w:val="es-ES_tradnl"/>
        </w:rPr>
        <w:t>técnica</w:t>
      </w:r>
      <w:r>
        <w:rPr>
          <w:noProof/>
          <w:lang w:val="es-ES_tradnl"/>
        </w:rPr>
        <w:tab/>
      </w:r>
      <w:r>
        <w:rPr>
          <w:noProof/>
          <w:lang w:val="es-ES_tradnl"/>
        </w:rPr>
        <w:tab/>
      </w:r>
      <w:r w:rsidRPr="007A431B">
        <w:rPr>
          <w:noProof/>
          <w:lang w:val="es-ES_tradnl"/>
        </w:rPr>
        <w:t>2</w:t>
      </w:r>
    </w:p>
    <w:p w:rsidR="007A431B" w:rsidRPr="007A431B" w:rsidRDefault="007A431B" w:rsidP="007A431B">
      <w:pPr>
        <w:pStyle w:val="TOC1"/>
        <w:ind w:right="992"/>
        <w:rPr>
          <w:rFonts w:asciiTheme="minorHAnsi" w:eastAsiaTheme="minorEastAsia" w:hAnsiTheme="minorHAnsi" w:cstheme="minorBidi"/>
          <w:noProof/>
          <w:sz w:val="22"/>
          <w:szCs w:val="22"/>
          <w:lang w:val="es-ES_tradnl" w:eastAsia="zh-CN"/>
        </w:rPr>
      </w:pPr>
      <w:r w:rsidRPr="00931892">
        <w:rPr>
          <w:noProof/>
          <w:lang w:val="es-ES_tradnl"/>
        </w:rPr>
        <w:t>2</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Descripción técnica de los temas principales que deben considerarse al realizar la comprobación técnica de los </w:t>
      </w:r>
      <w:r w:rsidRPr="007A431B">
        <w:rPr>
          <w:noProof/>
          <w:lang w:val="es-ES_tradnl"/>
        </w:rPr>
        <w:t>SRD</w:t>
      </w:r>
      <w:r>
        <w:rPr>
          <w:noProof/>
          <w:lang w:val="es-ES_tradnl"/>
        </w:rPr>
        <w:tab/>
      </w:r>
      <w:r>
        <w:rPr>
          <w:noProof/>
          <w:lang w:val="es-ES_tradnl"/>
        </w:rPr>
        <w:tab/>
      </w:r>
      <w:r w:rsidRPr="007A431B">
        <w:rPr>
          <w:noProof/>
          <w:lang w:val="es-ES_tradnl"/>
        </w:rPr>
        <w:t>3</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2.1</w:t>
      </w:r>
      <w:r w:rsidRPr="007A431B">
        <w:rPr>
          <w:rFonts w:asciiTheme="minorHAnsi" w:eastAsiaTheme="minorEastAsia" w:hAnsiTheme="minorHAnsi" w:cstheme="minorBidi"/>
          <w:noProof/>
          <w:sz w:val="22"/>
          <w:szCs w:val="22"/>
          <w:lang w:val="es-ES_tradnl" w:eastAsia="zh-CN"/>
        </w:rPr>
        <w:tab/>
      </w:r>
      <w:r w:rsidRPr="007A431B">
        <w:rPr>
          <w:noProof/>
          <w:lang w:val="es-ES_tradnl"/>
        </w:rPr>
        <w:t>Emplazamientos</w:t>
      </w:r>
      <w:r>
        <w:rPr>
          <w:noProof/>
          <w:lang w:val="es-ES_tradnl"/>
        </w:rPr>
        <w:tab/>
      </w:r>
      <w:r>
        <w:rPr>
          <w:noProof/>
          <w:lang w:val="es-ES_tradnl"/>
        </w:rPr>
        <w:tab/>
      </w:r>
      <w:r w:rsidRPr="007A431B">
        <w:rPr>
          <w:noProof/>
          <w:lang w:val="es-ES_tradnl"/>
        </w:rPr>
        <w:t>4</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2.2</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Periodo de comprobación técnica y elección del </w:t>
      </w:r>
      <w:r w:rsidRPr="007A431B">
        <w:rPr>
          <w:noProof/>
          <w:lang w:val="es-ES_tradnl"/>
        </w:rPr>
        <w:t>emplazamiento</w:t>
      </w:r>
      <w:r>
        <w:rPr>
          <w:noProof/>
          <w:lang w:val="es-ES_tradnl"/>
        </w:rPr>
        <w:tab/>
      </w:r>
      <w:r>
        <w:rPr>
          <w:noProof/>
          <w:lang w:val="es-ES_tradnl"/>
        </w:rPr>
        <w:tab/>
      </w:r>
      <w:r w:rsidRPr="007A431B">
        <w:rPr>
          <w:noProof/>
          <w:lang w:val="es-ES_tradnl"/>
        </w:rPr>
        <w:t>4</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2.3</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Velocidad de exploración y sensibilidad del </w:t>
      </w:r>
      <w:r w:rsidRPr="007A431B">
        <w:rPr>
          <w:noProof/>
          <w:lang w:val="es-ES_tradnl"/>
        </w:rPr>
        <w:t>montaje</w:t>
      </w:r>
      <w:r>
        <w:rPr>
          <w:noProof/>
          <w:lang w:val="es-ES_tradnl"/>
        </w:rPr>
        <w:tab/>
      </w:r>
      <w:r>
        <w:rPr>
          <w:noProof/>
          <w:lang w:val="es-ES_tradnl"/>
        </w:rPr>
        <w:tab/>
      </w:r>
      <w:r w:rsidRPr="007A431B">
        <w:rPr>
          <w:noProof/>
          <w:lang w:val="es-ES_tradnl"/>
        </w:rPr>
        <w:t>5</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2.7</w:t>
      </w:r>
      <w:r w:rsidRPr="007A431B">
        <w:rPr>
          <w:rFonts w:asciiTheme="minorHAnsi" w:eastAsiaTheme="minorEastAsia" w:hAnsiTheme="minorHAnsi" w:cstheme="minorBidi"/>
          <w:noProof/>
          <w:sz w:val="22"/>
          <w:szCs w:val="22"/>
          <w:lang w:val="es-ES_tradnl" w:eastAsia="zh-CN"/>
        </w:rPr>
        <w:tab/>
      </w:r>
      <w:r w:rsidRPr="007A431B">
        <w:rPr>
          <w:noProof/>
          <w:lang w:val="es-ES_tradnl"/>
        </w:rPr>
        <w:t>Antena</w:t>
      </w:r>
      <w:r>
        <w:rPr>
          <w:noProof/>
          <w:lang w:val="es-ES_tradnl"/>
        </w:rPr>
        <w:tab/>
      </w:r>
      <w:r>
        <w:rPr>
          <w:noProof/>
          <w:lang w:val="es-ES_tradnl"/>
        </w:rPr>
        <w:tab/>
      </w:r>
      <w:r w:rsidRPr="007A431B">
        <w:rPr>
          <w:noProof/>
          <w:lang w:val="es-ES_tradnl"/>
        </w:rPr>
        <w:t>11</w:t>
      </w:r>
    </w:p>
    <w:p w:rsidR="007A431B" w:rsidRPr="007A431B" w:rsidRDefault="007A431B" w:rsidP="007A431B">
      <w:pPr>
        <w:pStyle w:val="TOC2"/>
        <w:ind w:right="992"/>
        <w:rPr>
          <w:rFonts w:asciiTheme="minorHAnsi" w:eastAsiaTheme="minorEastAsia" w:hAnsiTheme="minorHAnsi" w:cstheme="minorBidi"/>
          <w:noProof/>
          <w:sz w:val="22"/>
          <w:szCs w:val="22"/>
          <w:lang w:val="es-ES_tradnl" w:eastAsia="zh-CN"/>
        </w:rPr>
      </w:pPr>
      <w:r w:rsidRPr="00931892">
        <w:rPr>
          <w:noProof/>
          <w:lang w:val="es-ES_tradnl"/>
        </w:rPr>
        <w:t>2.8</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Calidad del sistema de </w:t>
      </w:r>
      <w:r w:rsidRPr="007A431B">
        <w:rPr>
          <w:noProof/>
          <w:lang w:val="es-ES_tradnl"/>
        </w:rPr>
        <w:t>recepción</w:t>
      </w:r>
      <w:r>
        <w:rPr>
          <w:noProof/>
          <w:lang w:val="es-ES_tradnl"/>
        </w:rPr>
        <w:tab/>
      </w:r>
      <w:r>
        <w:rPr>
          <w:noProof/>
          <w:lang w:val="es-ES_tradnl"/>
        </w:rPr>
        <w:tab/>
      </w:r>
      <w:r w:rsidRPr="007A431B">
        <w:rPr>
          <w:noProof/>
          <w:lang w:val="es-ES_tradnl"/>
        </w:rPr>
        <w:t>11</w:t>
      </w:r>
    </w:p>
    <w:p w:rsidR="007A431B" w:rsidRPr="007A431B" w:rsidRDefault="007A431B" w:rsidP="007A431B">
      <w:pPr>
        <w:pStyle w:val="TOC1"/>
        <w:ind w:right="992"/>
        <w:rPr>
          <w:rFonts w:asciiTheme="minorHAnsi" w:eastAsiaTheme="minorEastAsia" w:hAnsiTheme="minorHAnsi" w:cstheme="minorBidi"/>
          <w:noProof/>
          <w:sz w:val="22"/>
          <w:szCs w:val="22"/>
          <w:lang w:val="es-ES_tradnl" w:eastAsia="zh-CN"/>
        </w:rPr>
      </w:pPr>
      <w:r w:rsidRPr="00931892">
        <w:rPr>
          <w:noProof/>
          <w:lang w:val="es-ES_tradnl"/>
        </w:rPr>
        <w:t>3</w:t>
      </w:r>
      <w:r w:rsidRPr="007A431B">
        <w:rPr>
          <w:rFonts w:asciiTheme="minorHAnsi" w:eastAsiaTheme="minorEastAsia" w:hAnsiTheme="minorHAnsi" w:cstheme="minorBidi"/>
          <w:noProof/>
          <w:sz w:val="22"/>
          <w:szCs w:val="22"/>
          <w:lang w:val="es-ES_tradnl" w:eastAsia="zh-CN"/>
        </w:rPr>
        <w:tab/>
      </w:r>
      <w:r w:rsidRPr="00931892">
        <w:rPr>
          <w:noProof/>
          <w:lang w:val="es-ES_tradnl"/>
        </w:rPr>
        <w:t xml:space="preserve">Análisis y presentación de </w:t>
      </w:r>
      <w:r w:rsidRPr="007A431B">
        <w:rPr>
          <w:noProof/>
          <w:lang w:val="es-ES_tradnl"/>
        </w:rPr>
        <w:t>datos</w:t>
      </w:r>
      <w:r>
        <w:rPr>
          <w:noProof/>
          <w:lang w:val="es-ES_tradnl"/>
        </w:rPr>
        <w:tab/>
      </w:r>
      <w:r>
        <w:rPr>
          <w:noProof/>
          <w:lang w:val="es-ES_tradnl"/>
        </w:rPr>
        <w:tab/>
      </w:r>
      <w:r w:rsidRPr="007A431B">
        <w:rPr>
          <w:noProof/>
          <w:lang w:val="es-ES_tradnl"/>
        </w:rPr>
        <w:t>11</w:t>
      </w:r>
    </w:p>
    <w:p w:rsidR="00101A77" w:rsidRPr="00101A77" w:rsidRDefault="00101A77" w:rsidP="00101A77">
      <w:pPr>
        <w:rPr>
          <w:lang w:val="es-ES_tradnl"/>
        </w:rPr>
      </w:pPr>
    </w:p>
    <w:p w:rsidR="00101A77" w:rsidRPr="00101A77" w:rsidRDefault="00101A77" w:rsidP="00D3647E">
      <w:pPr>
        <w:pStyle w:val="Heading1"/>
        <w:rPr>
          <w:lang w:val="es-ES_tradnl"/>
        </w:rPr>
      </w:pPr>
      <w:r w:rsidRPr="00101A77">
        <w:rPr>
          <w:lang w:val="es-ES_tradnl"/>
        </w:rPr>
        <w:br w:type="page"/>
      </w:r>
      <w:bookmarkStart w:id="2" w:name="_Toc242157267"/>
      <w:bookmarkStart w:id="3" w:name="_Toc250970847"/>
      <w:bookmarkStart w:id="4" w:name="_Toc250981203"/>
      <w:bookmarkStart w:id="5" w:name="_Toc260403243"/>
      <w:r w:rsidRPr="00101A77">
        <w:rPr>
          <w:lang w:val="es-ES_tradnl"/>
        </w:rPr>
        <w:lastRenderedPageBreak/>
        <w:t>1</w:t>
      </w:r>
      <w:r w:rsidRPr="00101A77">
        <w:rPr>
          <w:lang w:val="es-ES_tradnl"/>
        </w:rPr>
        <w:tab/>
        <w:t>Introduc</w:t>
      </w:r>
      <w:bookmarkEnd w:id="2"/>
      <w:bookmarkEnd w:id="3"/>
      <w:bookmarkEnd w:id="4"/>
      <w:r w:rsidRPr="00101A77">
        <w:rPr>
          <w:lang w:val="es-ES_tradnl"/>
        </w:rPr>
        <w:t>ción</w:t>
      </w:r>
      <w:bookmarkEnd w:id="5"/>
    </w:p>
    <w:p w:rsidR="00101A77" w:rsidRPr="00101A77" w:rsidRDefault="00101A77" w:rsidP="00043025">
      <w:pPr>
        <w:rPr>
          <w:lang w:val="es-ES_tradnl"/>
        </w:rPr>
      </w:pPr>
      <w:r w:rsidRPr="00101A77">
        <w:rPr>
          <w:lang w:val="es-ES_tradnl"/>
        </w:rPr>
        <w:t xml:space="preserve">La industria solicita más espacio de frecuencias exento de licencias bajo el argumento de que las bandas de frecuencias disponibles no son suficientes y a veces están incluso congestionadas. Sólo puede obtenerse una opinión equilibrada desde el punto de vista de </w:t>
      </w:r>
      <w:r w:rsidR="00B844C2">
        <w:rPr>
          <w:lang w:val="es-ES_tradnl"/>
        </w:rPr>
        <w:t xml:space="preserve">la </w:t>
      </w:r>
      <w:r w:rsidRPr="00101A77">
        <w:rPr>
          <w:lang w:val="es-ES_tradnl"/>
        </w:rPr>
        <w:t xml:space="preserve">gestión de frecuencias </w:t>
      </w:r>
      <w:r w:rsidR="00B844C2">
        <w:rPr>
          <w:lang w:val="es-ES_tradnl"/>
        </w:rPr>
        <w:t>cua</w:t>
      </w:r>
      <w:r w:rsidRPr="00101A77">
        <w:rPr>
          <w:lang w:val="es-ES_tradnl"/>
        </w:rPr>
        <w:t>ndo esta petición se basa en información objetiva, incluida la información relativa a la comprobación técnica del espectro. Además, muchas bandas para aplicaciones</w:t>
      </w:r>
      <w:r w:rsidR="00B844C2">
        <w:rPr>
          <w:lang w:val="es-ES_tradnl"/>
        </w:rPr>
        <w:t xml:space="preserve"> distintas a las </w:t>
      </w:r>
      <w:r w:rsidR="00B844C2" w:rsidRPr="00B844C2">
        <w:rPr>
          <w:lang w:val="es-ES_tradnl"/>
        </w:rPr>
        <w:t>industriales, científicas y médicas</w:t>
      </w:r>
      <w:r w:rsidR="00B844C2" w:rsidRPr="00101A77">
        <w:rPr>
          <w:lang w:val="es-ES_tradnl"/>
        </w:rPr>
        <w:t xml:space="preserve"> </w:t>
      </w:r>
      <w:r w:rsidR="00B844C2">
        <w:rPr>
          <w:lang w:val="es-ES_tradnl"/>
        </w:rPr>
        <w:t>(ICM)</w:t>
      </w:r>
      <w:r w:rsidRPr="00101A77">
        <w:rPr>
          <w:lang w:val="es-ES_tradnl"/>
        </w:rPr>
        <w:t xml:space="preserve"> utilizadas por diferentes servicios están actualmente ocupadas por dispositivos de radiocomunicaciones de corto alcance (</w:t>
      </w:r>
      <w:r w:rsidRPr="00101A77">
        <w:rPr>
          <w:i/>
          <w:iCs/>
          <w:lang w:val="es-ES_tradnl"/>
        </w:rPr>
        <w:t>short-range radiocommunication devices</w:t>
      </w:r>
      <w:r w:rsidRPr="00101A77">
        <w:rPr>
          <w:lang w:val="es-ES_tradnl"/>
        </w:rPr>
        <w:t>, SRD) que comparten estas frecuencias con la condici</w:t>
      </w:r>
      <w:r w:rsidR="00B844C2">
        <w:rPr>
          <w:lang w:val="es-ES_tradnl"/>
        </w:rPr>
        <w:t xml:space="preserve">ón de no causar interferencia </w:t>
      </w:r>
      <w:r w:rsidRPr="00101A77">
        <w:rPr>
          <w:lang w:val="es-ES_tradnl"/>
        </w:rPr>
        <w:t>n</w:t>
      </w:r>
      <w:r w:rsidR="00B844C2">
        <w:rPr>
          <w:lang w:val="es-ES_tradnl"/>
        </w:rPr>
        <w:t>i reclamar</w:t>
      </w:r>
      <w:r w:rsidRPr="00101A77">
        <w:rPr>
          <w:lang w:val="es-ES_tradnl"/>
        </w:rPr>
        <w:t xml:space="preserve"> protección. Este Informe no describe las mediciones de la banda ultra amplia (UWB) </w:t>
      </w:r>
      <w:r w:rsidR="00B844C2">
        <w:rPr>
          <w:lang w:val="es-ES_tradnl"/>
        </w:rPr>
        <w:t xml:space="preserve">o </w:t>
      </w:r>
      <w:r w:rsidRPr="00101A77">
        <w:rPr>
          <w:lang w:val="es-ES_tradnl"/>
        </w:rPr>
        <w:t>relativas a la</w:t>
      </w:r>
      <w:r w:rsidR="00043025">
        <w:rPr>
          <w:lang w:val="es-ES_tradnl"/>
        </w:rPr>
        <w:t> </w:t>
      </w:r>
      <w:r w:rsidRPr="00101A77">
        <w:rPr>
          <w:lang w:val="es-ES_tradnl"/>
        </w:rPr>
        <w:t>UWB.</w:t>
      </w:r>
    </w:p>
    <w:p w:rsidR="00101A77" w:rsidRPr="00101A77" w:rsidRDefault="00101A77" w:rsidP="00101A77">
      <w:pPr>
        <w:rPr>
          <w:lang w:val="es-ES_tradnl"/>
        </w:rPr>
      </w:pPr>
      <w:r w:rsidRPr="00101A77">
        <w:rPr>
          <w:lang w:val="es-ES_tradnl"/>
        </w:rPr>
        <w:t xml:space="preserve">Los valores típicos que aparecen en el Informe se basan en el ejemplo de una campaña de comprobación técnica </w:t>
      </w:r>
      <w:r w:rsidR="00B844C2">
        <w:rPr>
          <w:lang w:val="es-ES_tradnl"/>
        </w:rPr>
        <w:t xml:space="preserve">llevada a cabo </w:t>
      </w:r>
      <w:r w:rsidRPr="00101A77">
        <w:rPr>
          <w:lang w:val="es-ES_tradnl"/>
        </w:rPr>
        <w:t>en la banda 863</w:t>
      </w:r>
      <w:r w:rsidRPr="00101A77">
        <w:rPr>
          <w:lang w:val="es-ES_tradnl"/>
        </w:rPr>
        <w:noBreakHyphen/>
        <w:t>870 MHz. Para otras bandas de frecuencias y SRD en esas bandas, puede que sean más adecuados otros valores sin necesidad de cambiar la metodología de medición básica.</w:t>
      </w:r>
    </w:p>
    <w:p w:rsidR="00101A77" w:rsidRPr="00101A77" w:rsidRDefault="00101A77" w:rsidP="00101A77">
      <w:pPr>
        <w:pStyle w:val="Heading2"/>
        <w:rPr>
          <w:lang w:val="es-ES_tradnl"/>
        </w:rPr>
      </w:pPr>
      <w:bookmarkStart w:id="6" w:name="_Toc260403244"/>
      <w:r w:rsidRPr="00101A77">
        <w:rPr>
          <w:lang w:val="es-ES_tradnl"/>
        </w:rPr>
        <w:t>1.1</w:t>
      </w:r>
      <w:r w:rsidRPr="00101A77">
        <w:rPr>
          <w:lang w:val="es-ES_tradnl"/>
        </w:rPr>
        <w:tab/>
        <w:t>Motivos de la comprobación técnica de los SRD</w:t>
      </w:r>
      <w:bookmarkEnd w:id="6"/>
    </w:p>
    <w:p w:rsidR="00101A77" w:rsidRPr="00101A77" w:rsidRDefault="00101A77" w:rsidP="00B844C2">
      <w:pPr>
        <w:rPr>
          <w:lang w:val="es-ES_tradnl"/>
        </w:rPr>
      </w:pPr>
      <w:r w:rsidRPr="00101A77">
        <w:rPr>
          <w:lang w:val="es-ES_tradnl"/>
        </w:rPr>
        <w:t xml:space="preserve">Como los SRD están invadiendo un mercado que no limita la utilización a un solo país la UIT necesita considerar el desarrollo o adaptación de los métodos de comprobación técnica de los SRD. Como ejemplos pueden citarse las LAN inalámbricas a bordo de aeronaves, los SRD para supervisar las condiciones técnicas de partes de los </w:t>
      </w:r>
      <w:r w:rsidR="00B844C2">
        <w:rPr>
          <w:lang w:val="es-ES_tradnl"/>
        </w:rPr>
        <w:t>aviones</w:t>
      </w:r>
      <w:r w:rsidRPr="00101A77">
        <w:rPr>
          <w:lang w:val="es-ES_tradnl"/>
        </w:rPr>
        <w:t xml:space="preserve">, los teléfonos celulares con SRD integrados tales como lectores inductivos y microtransmisores de FM y los implantes médicos que requieren un espacio de frecuencias para los SRD </w:t>
      </w:r>
      <w:r w:rsidR="00B844C2" w:rsidRPr="00101A77">
        <w:rPr>
          <w:lang w:val="es-ES_tradnl"/>
        </w:rPr>
        <w:t xml:space="preserve">armonizado </w:t>
      </w:r>
      <w:r w:rsidR="00B844C2">
        <w:rPr>
          <w:lang w:val="es-ES_tradnl"/>
        </w:rPr>
        <w:t xml:space="preserve">a escala </w:t>
      </w:r>
      <w:r w:rsidRPr="00101A77">
        <w:rPr>
          <w:lang w:val="es-ES_tradnl"/>
        </w:rPr>
        <w:t>mundial.</w:t>
      </w:r>
    </w:p>
    <w:p w:rsidR="00101A77" w:rsidRPr="00101A77" w:rsidRDefault="00101A77" w:rsidP="00101A77">
      <w:pPr>
        <w:pStyle w:val="Heading2"/>
        <w:rPr>
          <w:lang w:val="es-ES_tradnl"/>
        </w:rPr>
      </w:pPr>
      <w:bookmarkStart w:id="7" w:name="_Toc260403245"/>
      <w:r w:rsidRPr="00101A77">
        <w:rPr>
          <w:lang w:val="es-ES_tradnl"/>
        </w:rPr>
        <w:t>1.2</w:t>
      </w:r>
      <w:r w:rsidRPr="00101A77">
        <w:rPr>
          <w:lang w:val="es-ES_tradnl"/>
        </w:rPr>
        <w:tab/>
        <w:t>Diferencias entre la comprobación técnica de los SRD y la comprobación técnica normal</w:t>
      </w:r>
      <w:bookmarkEnd w:id="7"/>
    </w:p>
    <w:p w:rsidR="00101A77" w:rsidRPr="00101A77" w:rsidRDefault="00101A77" w:rsidP="00D02177">
      <w:pPr>
        <w:rPr>
          <w:lang w:val="es-ES_tradnl"/>
        </w:rPr>
      </w:pPr>
      <w:r w:rsidRPr="00101A77">
        <w:rPr>
          <w:lang w:val="es-ES_tradnl"/>
        </w:rPr>
        <w:t xml:space="preserve">La comprobación técnica de los SRD presenta </w:t>
      </w:r>
      <w:r w:rsidR="00B844C2">
        <w:rPr>
          <w:lang w:val="es-ES_tradnl"/>
        </w:rPr>
        <w:t>algu</w:t>
      </w:r>
      <w:r w:rsidRPr="00101A77">
        <w:rPr>
          <w:lang w:val="es-ES_tradnl"/>
        </w:rPr>
        <w:t xml:space="preserve">nas diferencias con </w:t>
      </w:r>
      <w:r w:rsidR="00B844C2">
        <w:rPr>
          <w:lang w:val="es-ES_tradnl"/>
        </w:rPr>
        <w:t>relación</w:t>
      </w:r>
      <w:r w:rsidRPr="00101A77">
        <w:rPr>
          <w:lang w:val="es-ES_tradnl"/>
        </w:rPr>
        <w:t xml:space="preserve"> a la comprobación técnica del espectro convencional. No sólo reviste interés la ocupación sino que también es necesario </w:t>
      </w:r>
      <w:r w:rsidR="00B844C2">
        <w:rPr>
          <w:lang w:val="es-ES_tradnl"/>
        </w:rPr>
        <w:t>estudiar</w:t>
      </w:r>
      <w:r w:rsidRPr="00101A77">
        <w:rPr>
          <w:lang w:val="es-ES_tradnl"/>
        </w:rPr>
        <w:t xml:space="preserve"> la eficacia de los protocolos de cortesía. Esto último es algo que se obtiene procesando los datos de comprobación técnica. </w:t>
      </w:r>
      <w:r w:rsidR="00B844C2">
        <w:rPr>
          <w:lang w:val="es-ES_tradnl"/>
        </w:rPr>
        <w:t>L</w:t>
      </w:r>
      <w:r w:rsidRPr="00101A77">
        <w:rPr>
          <w:lang w:val="es-ES_tradnl"/>
        </w:rPr>
        <w:t>a mayoría de l</w:t>
      </w:r>
      <w:r w:rsidR="00B844C2">
        <w:rPr>
          <w:lang w:val="es-ES_tradnl"/>
        </w:rPr>
        <w:t>a</w:t>
      </w:r>
      <w:r w:rsidRPr="00101A77">
        <w:rPr>
          <w:lang w:val="es-ES_tradnl"/>
        </w:rPr>
        <w:t xml:space="preserve">s </w:t>
      </w:r>
      <w:r w:rsidR="00B844C2">
        <w:rPr>
          <w:lang w:val="es-ES_tradnl"/>
        </w:rPr>
        <w:t>veces</w:t>
      </w:r>
      <w:r w:rsidRPr="00101A77">
        <w:rPr>
          <w:lang w:val="es-ES_tradnl"/>
        </w:rPr>
        <w:t xml:space="preserve"> sólo se requiere información sobre la ocupación ya que la normalización se ocupa de la implementación adecuada de los protocolos de cortesía. </w:t>
      </w:r>
      <w:r w:rsidR="00B844C2">
        <w:rPr>
          <w:lang w:val="es-ES_tradnl"/>
        </w:rPr>
        <w:t>Por lo tanto,</w:t>
      </w:r>
      <w:r w:rsidRPr="00101A77">
        <w:rPr>
          <w:lang w:val="es-ES_tradnl"/>
        </w:rPr>
        <w:t xml:space="preserve"> en </w:t>
      </w:r>
      <w:r w:rsidR="00D02177">
        <w:rPr>
          <w:lang w:val="es-ES_tradnl"/>
        </w:rPr>
        <w:t>muchos</w:t>
      </w:r>
      <w:r w:rsidRPr="00101A77">
        <w:rPr>
          <w:lang w:val="es-ES_tradnl"/>
        </w:rPr>
        <w:t xml:space="preserve"> casos es suficiente realizar las pruebas </w:t>
      </w:r>
      <w:r w:rsidR="00D02177">
        <w:rPr>
          <w:lang w:val="es-ES_tradnl"/>
        </w:rPr>
        <w:t>de conformidad con</w:t>
      </w:r>
      <w:r w:rsidRPr="00101A77">
        <w:rPr>
          <w:lang w:val="es-ES_tradnl"/>
        </w:rPr>
        <w:t xml:space="preserve"> una norma.</w:t>
      </w:r>
    </w:p>
    <w:p w:rsidR="00101A77" w:rsidRPr="00101A77" w:rsidRDefault="00101A77" w:rsidP="00101A77">
      <w:pPr>
        <w:pStyle w:val="Heading2"/>
        <w:rPr>
          <w:lang w:val="es-ES_tradnl"/>
        </w:rPr>
      </w:pPr>
      <w:bookmarkStart w:id="8" w:name="_Toc260403246"/>
      <w:r w:rsidRPr="00101A77">
        <w:rPr>
          <w:lang w:val="es-ES_tradnl"/>
        </w:rPr>
        <w:t>1.3</w:t>
      </w:r>
      <w:r w:rsidRPr="00101A77">
        <w:rPr>
          <w:lang w:val="es-ES_tradnl"/>
        </w:rPr>
        <w:tab/>
        <w:t>Relación entre la comprobación técnica de los SRD y otras operaciones de comprobación técnica</w:t>
      </w:r>
      <w:bookmarkEnd w:id="8"/>
    </w:p>
    <w:p w:rsidR="00101A77" w:rsidRPr="00101A77" w:rsidRDefault="00101A77" w:rsidP="00B76864">
      <w:pPr>
        <w:rPr>
          <w:lang w:val="es-ES_tradnl"/>
        </w:rPr>
      </w:pPr>
      <w:r w:rsidRPr="00101A77">
        <w:rPr>
          <w:lang w:val="es-ES_tradnl"/>
        </w:rPr>
        <w:t>La organizaciones de comprobación técnica pueden llevar a cabo</w:t>
      </w:r>
      <w:r w:rsidR="00247569">
        <w:rPr>
          <w:lang w:val="es-ES_tradnl"/>
        </w:rPr>
        <w:t xml:space="preserve"> la comprobación </w:t>
      </w:r>
      <w:r w:rsidRPr="00101A77">
        <w:rPr>
          <w:lang w:val="es-ES_tradnl"/>
        </w:rPr>
        <w:t xml:space="preserve">técnica del ruido, </w:t>
      </w:r>
      <w:r w:rsidR="00247569">
        <w:rPr>
          <w:lang w:val="es-ES_tradnl"/>
        </w:rPr>
        <w:t xml:space="preserve">la </w:t>
      </w:r>
      <w:r w:rsidRPr="00101A77">
        <w:rPr>
          <w:lang w:val="es-ES_tradnl"/>
        </w:rPr>
        <w:t xml:space="preserve">comprobación técnica de los SRD y </w:t>
      </w:r>
      <w:r w:rsidR="00247569">
        <w:rPr>
          <w:lang w:val="es-ES_tradnl"/>
        </w:rPr>
        <w:t xml:space="preserve">la </w:t>
      </w:r>
      <w:r w:rsidRPr="00101A77">
        <w:rPr>
          <w:lang w:val="es-ES_tradnl"/>
        </w:rPr>
        <w:t>comprobación técnica tradicional. Todos estos métodos tienen sus características específicas pero</w:t>
      </w:r>
      <w:r w:rsidR="00B76864">
        <w:rPr>
          <w:lang w:val="es-ES_tradnl"/>
        </w:rPr>
        <w:t>,</w:t>
      </w:r>
      <w:r w:rsidRPr="00101A77">
        <w:rPr>
          <w:lang w:val="es-ES_tradnl"/>
        </w:rPr>
        <w:t xml:space="preserve"> especial</w:t>
      </w:r>
      <w:r w:rsidR="00B76864">
        <w:rPr>
          <w:lang w:val="es-ES_tradnl"/>
        </w:rPr>
        <w:t>mente</w:t>
      </w:r>
      <w:r w:rsidRPr="00101A77">
        <w:rPr>
          <w:lang w:val="es-ES_tradnl"/>
        </w:rPr>
        <w:t xml:space="preserve"> en el caso de la comprobación técnica de los SRD</w:t>
      </w:r>
      <w:r w:rsidR="00B76864">
        <w:rPr>
          <w:lang w:val="es-ES_tradnl"/>
        </w:rPr>
        <w:t>,</w:t>
      </w:r>
      <w:r w:rsidRPr="00101A77">
        <w:rPr>
          <w:lang w:val="es-ES_tradnl"/>
        </w:rPr>
        <w:t xml:space="preserve"> </w:t>
      </w:r>
      <w:r w:rsidR="00B76864">
        <w:rPr>
          <w:lang w:val="es-ES_tradnl"/>
        </w:rPr>
        <w:t xml:space="preserve">están </w:t>
      </w:r>
      <w:r w:rsidRPr="00101A77">
        <w:rPr>
          <w:lang w:val="es-ES_tradnl"/>
        </w:rPr>
        <w:t>estrechamente relacionada</w:t>
      </w:r>
      <w:r w:rsidR="00B76864">
        <w:rPr>
          <w:lang w:val="es-ES_tradnl"/>
        </w:rPr>
        <w:t>s</w:t>
      </w:r>
      <w:r w:rsidRPr="00101A77">
        <w:rPr>
          <w:lang w:val="es-ES_tradnl"/>
        </w:rPr>
        <w:t>.</w:t>
      </w:r>
    </w:p>
    <w:p w:rsidR="00101A77" w:rsidRPr="00101A77" w:rsidRDefault="00101A77" w:rsidP="00101A77">
      <w:pPr>
        <w:rPr>
          <w:sz w:val="16"/>
          <w:szCs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701"/>
        <w:gridCol w:w="3118"/>
        <w:gridCol w:w="2608"/>
        <w:gridCol w:w="2268"/>
      </w:tblGrid>
      <w:tr w:rsidR="00101A77" w:rsidRPr="00B76864" w:rsidTr="00EA10CB">
        <w:trPr>
          <w:tblHeader/>
          <w:jc w:val="center"/>
        </w:trPr>
        <w:tc>
          <w:tcPr>
            <w:tcW w:w="1701" w:type="dxa"/>
            <w:shd w:val="clear" w:color="auto" w:fill="auto"/>
            <w:vAlign w:val="center"/>
          </w:tcPr>
          <w:p w:rsidR="00101A77" w:rsidRPr="00B76864" w:rsidRDefault="00101A77" w:rsidP="00CF47CA">
            <w:pPr>
              <w:pStyle w:val="Tablehead"/>
            </w:pPr>
            <w:r w:rsidRPr="00B76864">
              <w:lastRenderedPageBreak/>
              <w:t>Tarea de comprobación técnica</w:t>
            </w:r>
          </w:p>
        </w:tc>
        <w:tc>
          <w:tcPr>
            <w:tcW w:w="3118" w:type="dxa"/>
            <w:shd w:val="clear" w:color="auto" w:fill="auto"/>
            <w:vAlign w:val="center"/>
          </w:tcPr>
          <w:p w:rsidR="00101A77" w:rsidRPr="00B76864" w:rsidRDefault="00101A77" w:rsidP="00CF47CA">
            <w:pPr>
              <w:pStyle w:val="Tablehead"/>
            </w:pPr>
            <w:r w:rsidRPr="00B76864">
              <w:t>Resultados esperados</w:t>
            </w:r>
          </w:p>
        </w:tc>
        <w:tc>
          <w:tcPr>
            <w:tcW w:w="2608" w:type="dxa"/>
            <w:shd w:val="clear" w:color="auto" w:fill="auto"/>
            <w:vAlign w:val="center"/>
          </w:tcPr>
          <w:p w:rsidR="00101A77" w:rsidRPr="00B76864" w:rsidRDefault="00101A77" w:rsidP="00CF47CA">
            <w:pPr>
              <w:pStyle w:val="Tablehead"/>
            </w:pPr>
            <w:r w:rsidRPr="00B76864">
              <w:t>Geografía</w:t>
            </w:r>
          </w:p>
        </w:tc>
        <w:tc>
          <w:tcPr>
            <w:tcW w:w="2268" w:type="dxa"/>
            <w:shd w:val="clear" w:color="auto" w:fill="auto"/>
            <w:vAlign w:val="center"/>
          </w:tcPr>
          <w:p w:rsidR="00101A77" w:rsidRPr="00B76864" w:rsidRDefault="00101A77" w:rsidP="00CF47CA">
            <w:pPr>
              <w:pStyle w:val="Tablehead"/>
            </w:pPr>
            <w:r w:rsidRPr="00B76864">
              <w:t>Método</w:t>
            </w:r>
          </w:p>
        </w:tc>
      </w:tr>
      <w:tr w:rsidR="00101A77" w:rsidRPr="008637EF" w:rsidTr="00EA10CB">
        <w:trPr>
          <w:jc w:val="center"/>
        </w:trPr>
        <w:tc>
          <w:tcPr>
            <w:tcW w:w="1701" w:type="dxa"/>
          </w:tcPr>
          <w:p w:rsidR="00101A77" w:rsidRPr="00B76864" w:rsidRDefault="00101A77" w:rsidP="00CF47CA">
            <w:pPr>
              <w:pStyle w:val="Tabletext"/>
              <w:keepNext/>
              <w:keepLines/>
              <w:jc w:val="left"/>
            </w:pPr>
            <w:r w:rsidRPr="00B76864">
              <w:t>Ruido &lt;30 MHz</w:t>
            </w:r>
          </w:p>
        </w:tc>
        <w:tc>
          <w:tcPr>
            <w:tcW w:w="3118" w:type="dxa"/>
          </w:tcPr>
          <w:p w:rsidR="00101A77" w:rsidRPr="00B76864" w:rsidRDefault="00101A77" w:rsidP="008343AF">
            <w:pPr>
              <w:pStyle w:val="Tabletext"/>
              <w:keepNext/>
              <w:keepLines/>
              <w:jc w:val="left"/>
              <w:rPr>
                <w:lang w:val="es-ES_tradnl"/>
              </w:rPr>
            </w:pPr>
            <w:r w:rsidRPr="00B76864">
              <w:rPr>
                <w:lang w:val="es-ES_tradnl"/>
              </w:rPr>
              <w:t xml:space="preserve">Efectos de ruido </w:t>
            </w:r>
            <w:r w:rsidR="00B76864" w:rsidRPr="00B76864">
              <w:rPr>
                <w:lang w:val="es-ES_tradnl"/>
              </w:rPr>
              <w:t>de</w:t>
            </w:r>
            <w:r w:rsidRPr="00B76864">
              <w:rPr>
                <w:lang w:val="es-ES_tradnl"/>
              </w:rPr>
              <w:t xml:space="preserve"> los PLT, </w:t>
            </w:r>
            <w:r w:rsidR="008343AF">
              <w:rPr>
                <w:lang w:val="es-ES_tradnl"/>
              </w:rPr>
              <w:t xml:space="preserve">compatibilidad electromagnética y </w:t>
            </w:r>
            <w:r w:rsidR="00CC4FBB">
              <w:rPr>
                <w:lang w:val="es-ES_tradnl"/>
              </w:rPr>
              <w:t>aplicaciones</w:t>
            </w:r>
            <w:r w:rsidR="00CC4FBB" w:rsidRPr="00B76864">
              <w:rPr>
                <w:lang w:val="es-ES_tradnl"/>
              </w:rPr>
              <w:t xml:space="preserve"> </w:t>
            </w:r>
            <w:r w:rsidRPr="00B76864">
              <w:rPr>
                <w:lang w:val="es-ES_tradnl"/>
              </w:rPr>
              <w:t>SRD inductivas</w:t>
            </w:r>
          </w:p>
        </w:tc>
        <w:tc>
          <w:tcPr>
            <w:tcW w:w="2608" w:type="dxa"/>
          </w:tcPr>
          <w:p w:rsidR="00101A77" w:rsidRPr="008343AF" w:rsidRDefault="00101A77" w:rsidP="00CF47CA">
            <w:pPr>
              <w:pStyle w:val="Tabletext"/>
              <w:keepNext/>
              <w:keepLines/>
              <w:jc w:val="left"/>
              <w:rPr>
                <w:lang w:val="es-ES_tradnl"/>
              </w:rPr>
            </w:pPr>
            <w:r w:rsidRPr="008343AF">
              <w:rPr>
                <w:lang w:val="es-ES_tradnl"/>
              </w:rPr>
              <w:t>Local en un número escaso de emplaza</w:t>
            </w:r>
            <w:r w:rsidR="008343AF">
              <w:rPr>
                <w:lang w:val="es-ES_tradnl"/>
              </w:rPr>
              <w:t>mientos</w:t>
            </w:r>
            <w:r w:rsidRPr="008343AF">
              <w:rPr>
                <w:lang w:val="es-ES_tradnl"/>
              </w:rPr>
              <w:t xml:space="preserve"> específicos</w:t>
            </w:r>
          </w:p>
          <w:p w:rsidR="00101A77" w:rsidRPr="008343AF" w:rsidRDefault="00101A77" w:rsidP="00EA10CB">
            <w:pPr>
              <w:pStyle w:val="Tabletext"/>
              <w:keepNext/>
              <w:keepLines/>
              <w:jc w:val="left"/>
              <w:rPr>
                <w:lang w:val="es-ES_tradnl"/>
              </w:rPr>
            </w:pPr>
            <w:r w:rsidRPr="008343AF">
              <w:rPr>
                <w:lang w:val="es-ES_tradnl"/>
              </w:rPr>
              <w:t>Mundial en un emplaza</w:t>
            </w:r>
            <w:r w:rsidR="00EA10CB">
              <w:rPr>
                <w:lang w:val="es-ES_tradnl"/>
              </w:rPr>
              <w:softHyphen/>
            </w:r>
            <w:r w:rsidRPr="008343AF">
              <w:rPr>
                <w:lang w:val="es-ES_tradnl"/>
              </w:rPr>
              <w:t>miento de recepción silencioso para</w:t>
            </w:r>
            <w:r w:rsidR="00EA10CB">
              <w:rPr>
                <w:lang w:val="es-ES_tradnl"/>
              </w:rPr>
              <w:t> </w:t>
            </w:r>
            <w:r w:rsidRPr="008343AF">
              <w:rPr>
                <w:lang w:val="es-ES_tradnl"/>
              </w:rPr>
              <w:t>evaluar los</w:t>
            </w:r>
            <w:r w:rsidR="00EA10CB">
              <w:rPr>
                <w:lang w:val="es-ES_tradnl"/>
              </w:rPr>
              <w:t> </w:t>
            </w:r>
            <w:r w:rsidRPr="008343AF">
              <w:rPr>
                <w:lang w:val="es-ES_tradnl"/>
              </w:rPr>
              <w:t>efectos acumulativos recibidos a causa de la propagación ionosférica</w:t>
            </w:r>
          </w:p>
        </w:tc>
        <w:tc>
          <w:tcPr>
            <w:tcW w:w="2268" w:type="dxa"/>
          </w:tcPr>
          <w:p w:rsidR="00101A77" w:rsidRPr="00B76864" w:rsidRDefault="00101A77" w:rsidP="00CF47CA">
            <w:pPr>
              <w:pStyle w:val="Tabletext"/>
              <w:keepNext/>
              <w:keepLines/>
              <w:jc w:val="left"/>
              <w:rPr>
                <w:lang w:val="es-ES_tradnl"/>
              </w:rPr>
            </w:pPr>
            <w:r w:rsidRPr="00B76864">
              <w:rPr>
                <w:lang w:val="es-ES_tradnl"/>
              </w:rPr>
              <w:t>De acuerdo con la Recomendación UIT</w:t>
            </w:r>
            <w:r w:rsidRPr="00B76864">
              <w:rPr>
                <w:lang w:val="es-ES_tradnl"/>
              </w:rPr>
              <w:noBreakHyphen/>
              <w:t>R</w:t>
            </w:r>
            <w:r w:rsidR="00B76864" w:rsidRPr="00B76864">
              <w:rPr>
                <w:lang w:val="es-ES_tradnl"/>
              </w:rPr>
              <w:t> </w:t>
            </w:r>
            <w:r w:rsidRPr="00B76864">
              <w:rPr>
                <w:lang w:val="es-ES_tradnl"/>
              </w:rPr>
              <w:t>SM.1753</w:t>
            </w:r>
          </w:p>
          <w:p w:rsidR="00101A77" w:rsidRPr="00C542A1" w:rsidRDefault="00101A77" w:rsidP="00CF47CA">
            <w:pPr>
              <w:pStyle w:val="Tabletext"/>
              <w:keepNext/>
              <w:keepLines/>
              <w:jc w:val="left"/>
              <w:rPr>
                <w:lang w:val="es-ES_tradnl"/>
              </w:rPr>
            </w:pPr>
            <w:r w:rsidRPr="00C542A1">
              <w:rPr>
                <w:lang w:val="es-ES_tradnl"/>
              </w:rPr>
              <w:t>Tras efectuar la correlación entre los emplazamientos locales y mundiales</w:t>
            </w:r>
          </w:p>
        </w:tc>
      </w:tr>
      <w:tr w:rsidR="00101A77" w:rsidRPr="008637EF" w:rsidTr="00EA10CB">
        <w:trPr>
          <w:jc w:val="center"/>
        </w:trPr>
        <w:tc>
          <w:tcPr>
            <w:tcW w:w="1701" w:type="dxa"/>
          </w:tcPr>
          <w:p w:rsidR="00101A77" w:rsidRPr="00B76864" w:rsidRDefault="00101A77" w:rsidP="00B76864">
            <w:pPr>
              <w:pStyle w:val="Tabletext"/>
              <w:jc w:val="left"/>
            </w:pPr>
            <w:r w:rsidRPr="00B76864">
              <w:t>Ruido &gt;30 MHz</w:t>
            </w:r>
          </w:p>
        </w:tc>
        <w:tc>
          <w:tcPr>
            <w:tcW w:w="3118" w:type="dxa"/>
          </w:tcPr>
          <w:p w:rsidR="00101A77" w:rsidRPr="00EA10CB" w:rsidRDefault="00101A77" w:rsidP="00EA10CB">
            <w:pPr>
              <w:pStyle w:val="Tabletext"/>
              <w:jc w:val="left"/>
              <w:rPr>
                <w:lang w:val="es-ES_tradnl"/>
              </w:rPr>
            </w:pPr>
            <w:r w:rsidRPr="00EA10CB">
              <w:rPr>
                <w:lang w:val="es-ES_tradnl"/>
              </w:rPr>
              <w:t>Efectos del ruido de la UWB, emisiones SRD acumulativas, radiación no esencial de aplicaciones SRD y distintas a</w:t>
            </w:r>
            <w:r w:rsidR="00EA10CB" w:rsidRPr="00EA10CB">
              <w:rPr>
                <w:lang w:val="es-ES_tradnl"/>
              </w:rPr>
              <w:t> </w:t>
            </w:r>
            <w:r w:rsidRPr="00EA10CB">
              <w:rPr>
                <w:lang w:val="es-ES_tradnl"/>
              </w:rPr>
              <w:t>SRD (servicios)</w:t>
            </w:r>
          </w:p>
        </w:tc>
        <w:tc>
          <w:tcPr>
            <w:tcW w:w="2608" w:type="dxa"/>
          </w:tcPr>
          <w:p w:rsidR="00101A77" w:rsidRPr="00C542A1" w:rsidRDefault="00101A77" w:rsidP="00B76864">
            <w:pPr>
              <w:pStyle w:val="Tabletext"/>
              <w:jc w:val="left"/>
              <w:rPr>
                <w:lang w:val="es-ES_tradnl"/>
              </w:rPr>
            </w:pPr>
            <w:r w:rsidRPr="00C542A1">
              <w:rPr>
                <w:lang w:val="es-ES_tradnl"/>
              </w:rPr>
              <w:t>Local en un gran número de distintos tipos de emplazamientos</w:t>
            </w:r>
          </w:p>
        </w:tc>
        <w:tc>
          <w:tcPr>
            <w:tcW w:w="2268" w:type="dxa"/>
          </w:tcPr>
          <w:p w:rsidR="00101A77" w:rsidRPr="00B76864" w:rsidRDefault="00101A77" w:rsidP="00B76864">
            <w:pPr>
              <w:pStyle w:val="Tabletext"/>
              <w:jc w:val="left"/>
              <w:rPr>
                <w:lang w:val="es-ES_tradnl"/>
              </w:rPr>
            </w:pPr>
            <w:r w:rsidRPr="00B76864">
              <w:rPr>
                <w:lang w:val="es-ES_tradnl"/>
              </w:rPr>
              <w:t>De acuerdo con la Recomendación UIT</w:t>
            </w:r>
            <w:r w:rsidRPr="00B76864">
              <w:rPr>
                <w:lang w:val="es-ES_tradnl"/>
              </w:rPr>
              <w:noBreakHyphen/>
              <w:t>R</w:t>
            </w:r>
            <w:r w:rsidR="00B76864" w:rsidRPr="00B76864">
              <w:rPr>
                <w:lang w:val="es-ES_tradnl"/>
              </w:rPr>
              <w:t> </w:t>
            </w:r>
            <w:r w:rsidRPr="00B76864">
              <w:rPr>
                <w:lang w:val="es-ES_tradnl"/>
              </w:rPr>
              <w:t>SM.1753</w:t>
            </w:r>
          </w:p>
        </w:tc>
      </w:tr>
      <w:tr w:rsidR="00101A77" w:rsidRPr="008637EF" w:rsidTr="00EA10CB">
        <w:trPr>
          <w:jc w:val="center"/>
        </w:trPr>
        <w:tc>
          <w:tcPr>
            <w:tcW w:w="1701" w:type="dxa"/>
          </w:tcPr>
          <w:p w:rsidR="00101A77" w:rsidRPr="00B76864" w:rsidRDefault="00101A77" w:rsidP="00B76864">
            <w:pPr>
              <w:pStyle w:val="Tabletext"/>
              <w:jc w:val="left"/>
              <w:rPr>
                <w:lang w:val="es-ES_tradnl"/>
              </w:rPr>
            </w:pPr>
            <w:r w:rsidRPr="00B76864">
              <w:rPr>
                <w:lang w:val="es-ES_tradnl"/>
              </w:rPr>
              <w:t>Comprobación técnica de l</w:t>
            </w:r>
            <w:r w:rsidR="00B76864" w:rsidRPr="00B76864">
              <w:rPr>
                <w:lang w:val="es-ES_tradnl"/>
              </w:rPr>
              <w:t>o</w:t>
            </w:r>
            <w:r w:rsidRPr="00B76864">
              <w:rPr>
                <w:lang w:val="es-ES_tradnl"/>
              </w:rPr>
              <w:t>s SRD</w:t>
            </w:r>
          </w:p>
        </w:tc>
        <w:tc>
          <w:tcPr>
            <w:tcW w:w="3118" w:type="dxa"/>
          </w:tcPr>
          <w:p w:rsidR="00101A77" w:rsidRPr="00C542A1" w:rsidRDefault="00101A77" w:rsidP="00B76864">
            <w:pPr>
              <w:pStyle w:val="Tabletext"/>
              <w:jc w:val="left"/>
              <w:rPr>
                <w:lang w:val="es-ES_tradnl"/>
              </w:rPr>
            </w:pPr>
            <w:r w:rsidRPr="00C542A1">
              <w:rPr>
                <w:lang w:val="es-ES_tradnl"/>
              </w:rPr>
              <w:t>Ocupación de las bandas SRD atribuidas/compartidas</w:t>
            </w:r>
          </w:p>
        </w:tc>
        <w:tc>
          <w:tcPr>
            <w:tcW w:w="2608" w:type="dxa"/>
          </w:tcPr>
          <w:p w:rsidR="00101A77" w:rsidRPr="00B76864" w:rsidRDefault="00101A77" w:rsidP="00B76864">
            <w:pPr>
              <w:pStyle w:val="Tabletext"/>
              <w:jc w:val="left"/>
              <w:rPr>
                <w:lang w:val="es-ES_tradnl"/>
              </w:rPr>
            </w:pPr>
            <w:r w:rsidRPr="00B76864">
              <w:rPr>
                <w:lang w:val="es-ES_tradnl"/>
              </w:rPr>
              <w:t xml:space="preserve">Local en un gran número de distintos tipos de </w:t>
            </w:r>
            <w:r w:rsidR="00EA10CB">
              <w:rPr>
                <w:lang w:val="es-ES_tradnl"/>
              </w:rPr>
              <w:t>puntos</w:t>
            </w:r>
            <w:r w:rsidR="00B76864" w:rsidRPr="00B76864">
              <w:rPr>
                <w:lang w:val="es-ES_tradnl"/>
              </w:rPr>
              <w:t xml:space="preserve"> de máxima concentraci</w:t>
            </w:r>
            <w:r w:rsidR="00B76864">
              <w:rPr>
                <w:lang w:val="es-ES_tradnl"/>
              </w:rPr>
              <w:t>ón «</w:t>
            </w:r>
            <w:r w:rsidR="00B76864" w:rsidRPr="00B76864">
              <w:rPr>
                <w:lang w:val="es-ES_tradnl"/>
              </w:rPr>
              <w:t>hotspots</w:t>
            </w:r>
            <w:r w:rsidR="00B76864">
              <w:rPr>
                <w:lang w:val="es-ES_tradnl"/>
              </w:rPr>
              <w:t>»</w:t>
            </w:r>
            <w:r w:rsidRPr="00B76864">
              <w:rPr>
                <w:lang w:val="es-ES_tradnl"/>
              </w:rPr>
              <w:t>. Para cada banda de frecuenc</w:t>
            </w:r>
            <w:r w:rsidR="00EA10CB">
              <w:rPr>
                <w:lang w:val="es-ES_tradnl"/>
              </w:rPr>
              <w:t>ia</w:t>
            </w:r>
            <w:r w:rsidRPr="00B76864">
              <w:rPr>
                <w:lang w:val="es-ES_tradnl"/>
              </w:rPr>
              <w:t xml:space="preserve"> específica múltiples puntos de medición en cada </w:t>
            </w:r>
            <w:r w:rsidR="00B76864">
              <w:rPr>
                <w:lang w:val="es-ES_tradnl"/>
              </w:rPr>
              <w:t>«</w:t>
            </w:r>
            <w:r w:rsidR="00B76864" w:rsidRPr="00B76864">
              <w:rPr>
                <w:lang w:val="es-ES_tradnl"/>
              </w:rPr>
              <w:t>hotspots</w:t>
            </w:r>
            <w:r w:rsidR="00B76864">
              <w:rPr>
                <w:lang w:val="es-ES_tradnl"/>
              </w:rPr>
              <w:t>»</w:t>
            </w:r>
          </w:p>
        </w:tc>
        <w:tc>
          <w:tcPr>
            <w:tcW w:w="2268" w:type="dxa"/>
          </w:tcPr>
          <w:p w:rsidR="00101A77" w:rsidRPr="00C542A1" w:rsidRDefault="00101A77" w:rsidP="00B76864">
            <w:pPr>
              <w:pStyle w:val="Tabletext"/>
              <w:jc w:val="left"/>
              <w:rPr>
                <w:lang w:val="es-ES_tradnl"/>
              </w:rPr>
            </w:pPr>
            <w:r w:rsidRPr="00C542A1">
              <w:rPr>
                <w:lang w:val="es-ES_tradnl"/>
              </w:rPr>
              <w:t>De acuerdo con las directrices establecidas en este Informe</w:t>
            </w:r>
          </w:p>
        </w:tc>
      </w:tr>
      <w:tr w:rsidR="00101A77" w:rsidRPr="008637EF" w:rsidTr="00EA10CB">
        <w:trPr>
          <w:jc w:val="center"/>
        </w:trPr>
        <w:tc>
          <w:tcPr>
            <w:tcW w:w="1701" w:type="dxa"/>
          </w:tcPr>
          <w:p w:rsidR="00101A77" w:rsidRPr="00B76864" w:rsidRDefault="00101A77" w:rsidP="00B76864">
            <w:pPr>
              <w:pStyle w:val="Tabletext"/>
              <w:jc w:val="left"/>
            </w:pPr>
            <w:r w:rsidRPr="00B76864">
              <w:t>Comprobación técnica tradicional</w:t>
            </w:r>
          </w:p>
        </w:tc>
        <w:tc>
          <w:tcPr>
            <w:tcW w:w="3118" w:type="dxa"/>
          </w:tcPr>
          <w:p w:rsidR="00101A77" w:rsidRPr="00B76864" w:rsidRDefault="00101A77" w:rsidP="00B76864">
            <w:pPr>
              <w:pStyle w:val="Tabletext"/>
              <w:jc w:val="left"/>
              <w:rPr>
                <w:lang w:val="es-ES_tradnl"/>
              </w:rPr>
            </w:pPr>
            <w:r w:rsidRPr="00B76864">
              <w:rPr>
                <w:lang w:val="es-ES_tradnl"/>
              </w:rPr>
              <w:t>Ocupación/cobertura de frecuencias y bandas de frecuencias atribuidas a los servicios.</w:t>
            </w:r>
          </w:p>
          <w:p w:rsidR="00101A77" w:rsidRPr="00B76864" w:rsidRDefault="00101A77" w:rsidP="00CF47CA">
            <w:pPr>
              <w:pStyle w:val="Tabletext"/>
              <w:jc w:val="left"/>
              <w:rPr>
                <w:lang w:val="es-ES_tradnl"/>
              </w:rPr>
            </w:pPr>
            <w:r w:rsidRPr="00B76864">
              <w:rPr>
                <w:lang w:val="es-ES_tradnl"/>
              </w:rPr>
              <w:t>Efectos no esenciales y otros efectos no deseados y propiedades técnicas de los distintos sistemas/transmisores.</w:t>
            </w:r>
          </w:p>
          <w:p w:rsidR="00101A77" w:rsidRPr="00C542A1" w:rsidRDefault="00101A77" w:rsidP="00B76864">
            <w:pPr>
              <w:pStyle w:val="Tabletext"/>
              <w:jc w:val="left"/>
              <w:rPr>
                <w:lang w:val="es-ES_tradnl"/>
              </w:rPr>
            </w:pPr>
            <w:r w:rsidRPr="00C542A1">
              <w:rPr>
                <w:lang w:val="es-ES_tradnl"/>
              </w:rPr>
              <w:t>También adecuado para los sistemas SRD relativamente estacionarios tales como los interrogadores RFID</w:t>
            </w:r>
          </w:p>
        </w:tc>
        <w:tc>
          <w:tcPr>
            <w:tcW w:w="2608" w:type="dxa"/>
          </w:tcPr>
          <w:p w:rsidR="00101A77" w:rsidRPr="00B76864" w:rsidRDefault="00101A77" w:rsidP="00B76864">
            <w:pPr>
              <w:pStyle w:val="Tabletext"/>
              <w:jc w:val="left"/>
            </w:pPr>
            <w:r w:rsidRPr="00B76864">
              <w:t>Fija</w:t>
            </w:r>
          </w:p>
          <w:p w:rsidR="00101A77" w:rsidRPr="00B76864" w:rsidRDefault="00101A77" w:rsidP="00B76864">
            <w:pPr>
              <w:pStyle w:val="Tabletext"/>
              <w:jc w:val="left"/>
            </w:pPr>
            <w:r w:rsidRPr="00B76864">
              <w:t>Móvil</w:t>
            </w:r>
          </w:p>
          <w:p w:rsidR="00101A77" w:rsidRPr="00B76864" w:rsidRDefault="00101A77" w:rsidP="00B76864">
            <w:pPr>
              <w:pStyle w:val="Tabletext"/>
              <w:jc w:val="left"/>
            </w:pPr>
            <w:r w:rsidRPr="00B76864">
              <w:t>En ruta</w:t>
            </w:r>
          </w:p>
        </w:tc>
        <w:tc>
          <w:tcPr>
            <w:tcW w:w="2268" w:type="dxa"/>
          </w:tcPr>
          <w:p w:rsidR="00101A77" w:rsidRPr="00B76864" w:rsidRDefault="00101A77" w:rsidP="00B76864">
            <w:pPr>
              <w:pStyle w:val="Tabletext"/>
              <w:jc w:val="left"/>
              <w:rPr>
                <w:lang w:val="es-ES_tradnl"/>
              </w:rPr>
            </w:pPr>
            <w:r w:rsidRPr="00B76864">
              <w:rPr>
                <w:lang w:val="es-ES_tradnl"/>
              </w:rPr>
              <w:t>Comprobación técnica/</w:t>
            </w:r>
            <w:r w:rsidRPr="00B76864">
              <w:rPr>
                <w:lang w:val="es-ES_tradnl"/>
              </w:rPr>
              <w:br/>
              <w:t>mediciones fijas (a</w:t>
            </w:r>
            <w:r w:rsidR="00B76864" w:rsidRPr="00B76864">
              <w:rPr>
                <w:lang w:val="es-ES_tradnl"/>
              </w:rPr>
              <w:t> </w:t>
            </w:r>
            <w:r w:rsidRPr="00B76864">
              <w:rPr>
                <w:lang w:val="es-ES_tradnl"/>
              </w:rPr>
              <w:t>distancia)</w:t>
            </w:r>
          </w:p>
          <w:p w:rsidR="00101A77" w:rsidRPr="00C542A1" w:rsidRDefault="00101A77" w:rsidP="00B76864">
            <w:pPr>
              <w:pStyle w:val="Tabletext"/>
              <w:jc w:val="left"/>
              <w:rPr>
                <w:lang w:val="es-ES_tradnl"/>
              </w:rPr>
            </w:pPr>
            <w:r w:rsidRPr="00C542A1">
              <w:rPr>
                <w:lang w:val="es-ES_tradnl"/>
              </w:rPr>
              <w:t>Comprobación técnica/</w:t>
            </w:r>
            <w:r w:rsidRPr="00C542A1">
              <w:rPr>
                <w:lang w:val="es-ES_tradnl"/>
              </w:rPr>
              <w:br/>
              <w:t>mediciones móviles</w:t>
            </w:r>
          </w:p>
          <w:p w:rsidR="00101A77" w:rsidRPr="00C542A1" w:rsidRDefault="00101A77" w:rsidP="00B76864">
            <w:pPr>
              <w:pStyle w:val="Tabletext"/>
              <w:rPr>
                <w:lang w:val="es-ES_tradnl"/>
              </w:rPr>
            </w:pPr>
            <w:r w:rsidRPr="00C542A1">
              <w:rPr>
                <w:lang w:val="es-ES_tradnl"/>
              </w:rPr>
              <w:t>Análisis de la señal</w:t>
            </w:r>
          </w:p>
          <w:p w:rsidR="00101A77" w:rsidRPr="00C542A1" w:rsidRDefault="00101A77" w:rsidP="00B76864">
            <w:pPr>
              <w:pStyle w:val="Tabletext"/>
              <w:jc w:val="left"/>
              <w:rPr>
                <w:lang w:val="es-ES_tradnl"/>
              </w:rPr>
            </w:pPr>
            <w:r w:rsidRPr="00C542A1">
              <w:rPr>
                <w:lang w:val="es-ES_tradnl"/>
              </w:rPr>
              <w:t>Comprobación técnica/</w:t>
            </w:r>
            <w:r w:rsidRPr="00C542A1">
              <w:rPr>
                <w:lang w:val="es-ES_tradnl"/>
              </w:rPr>
              <w:br/>
              <w:t>mediciones en ruta</w:t>
            </w:r>
          </w:p>
        </w:tc>
      </w:tr>
    </w:tbl>
    <w:p w:rsidR="00EA10CB" w:rsidRPr="00C542A1" w:rsidRDefault="00EA10CB" w:rsidP="00EA10CB">
      <w:pPr>
        <w:pStyle w:val="Tablefin"/>
        <w:rPr>
          <w:lang w:val="es-ES_tradnl"/>
        </w:rPr>
      </w:pPr>
    </w:p>
    <w:p w:rsidR="00101A77" w:rsidRPr="00101A77" w:rsidRDefault="00101A77" w:rsidP="003C13ED">
      <w:pPr>
        <w:pStyle w:val="Heading1"/>
        <w:rPr>
          <w:lang w:val="es-ES_tradnl"/>
        </w:rPr>
      </w:pPr>
      <w:bookmarkStart w:id="9" w:name="_Toc260403247"/>
      <w:r w:rsidRPr="00101A77">
        <w:rPr>
          <w:lang w:val="es-ES_tradnl"/>
        </w:rPr>
        <w:t>2</w:t>
      </w:r>
      <w:r w:rsidRPr="00101A77">
        <w:rPr>
          <w:lang w:val="es-ES_tradnl"/>
        </w:rPr>
        <w:tab/>
        <w:t xml:space="preserve">Descripción técnica de los </w:t>
      </w:r>
      <w:r w:rsidR="007D1227">
        <w:rPr>
          <w:lang w:val="es-ES_tradnl"/>
        </w:rPr>
        <w:t>temas</w:t>
      </w:r>
      <w:r w:rsidRPr="00101A77">
        <w:rPr>
          <w:lang w:val="es-ES_tradnl"/>
        </w:rPr>
        <w:t xml:space="preserve"> principales que deben considerarse al </w:t>
      </w:r>
      <w:r w:rsidR="003C13ED">
        <w:rPr>
          <w:lang w:val="es-ES_tradnl"/>
        </w:rPr>
        <w:t>re</w:t>
      </w:r>
      <w:r w:rsidRPr="00101A77">
        <w:rPr>
          <w:lang w:val="es-ES_tradnl"/>
        </w:rPr>
        <w:t>alizar la comprobación técnica de los SRD</w:t>
      </w:r>
      <w:bookmarkEnd w:id="9"/>
    </w:p>
    <w:p w:rsidR="00101A77" w:rsidRPr="00101A77" w:rsidRDefault="00101A77" w:rsidP="003C13ED">
      <w:pPr>
        <w:rPr>
          <w:lang w:val="es-ES_tradnl"/>
        </w:rPr>
      </w:pPr>
      <w:r w:rsidRPr="00101A77">
        <w:rPr>
          <w:lang w:val="es-ES_tradnl"/>
        </w:rPr>
        <w:t xml:space="preserve">Los SRD en la mayoría de los casos, pero no siempre, son transmisores de baja potencia para utilización en interiores con un ciclo de trabajo reducido y una baja por probabilidad de intercepción con los montajes de comprobación técnica habituales. </w:t>
      </w:r>
      <w:r w:rsidR="003C13ED" w:rsidRPr="00101A77">
        <w:rPr>
          <w:lang w:val="es-ES_tradnl"/>
        </w:rPr>
        <w:t xml:space="preserve">Basándose </w:t>
      </w:r>
      <w:r w:rsidRPr="00101A77">
        <w:rPr>
          <w:lang w:val="es-ES_tradnl"/>
        </w:rPr>
        <w:t xml:space="preserve">en experiencias </w:t>
      </w:r>
      <w:r w:rsidR="003C13ED">
        <w:rPr>
          <w:lang w:val="es-ES_tradnl"/>
        </w:rPr>
        <w:t xml:space="preserve">se </w:t>
      </w:r>
      <w:r w:rsidRPr="00101A77">
        <w:rPr>
          <w:lang w:val="es-ES_tradnl"/>
        </w:rPr>
        <w:t>sugiere</w:t>
      </w:r>
      <w:r w:rsidR="003C13ED">
        <w:rPr>
          <w:lang w:val="es-ES_tradnl"/>
        </w:rPr>
        <w:t>,</w:t>
      </w:r>
      <w:r w:rsidRPr="00101A77">
        <w:rPr>
          <w:lang w:val="es-ES_tradnl"/>
        </w:rPr>
        <w:t xml:space="preserve"> por tanto</w:t>
      </w:r>
      <w:r w:rsidR="003C13ED">
        <w:rPr>
          <w:lang w:val="es-ES_tradnl"/>
        </w:rPr>
        <w:t>,</w:t>
      </w:r>
      <w:r w:rsidRPr="00101A77">
        <w:rPr>
          <w:lang w:val="es-ES_tradnl"/>
        </w:rPr>
        <w:t xml:space="preserve"> no utilizar estaciones de comprobación técnica </w:t>
      </w:r>
      <w:r w:rsidR="003C13ED" w:rsidRPr="00101A77">
        <w:rPr>
          <w:lang w:val="es-ES_tradnl"/>
        </w:rPr>
        <w:t xml:space="preserve">fijas </w:t>
      </w:r>
      <w:r w:rsidRPr="00101A77">
        <w:rPr>
          <w:lang w:val="es-ES_tradnl"/>
        </w:rPr>
        <w:t xml:space="preserve">controladas o remotas ya que casi siempre están demasiado lejos de los llamados puntos de máxima concentración </w:t>
      </w:r>
      <w:r w:rsidR="000A40F1">
        <w:rPr>
          <w:lang w:val="es-ES_tradnl"/>
        </w:rPr>
        <w:t>(</w:t>
      </w:r>
      <w:r w:rsidR="003C13ED">
        <w:rPr>
          <w:lang w:val="es-ES_tradnl"/>
        </w:rPr>
        <w:t>«</w:t>
      </w:r>
      <w:r w:rsidR="003C13ED" w:rsidRPr="00B76864">
        <w:rPr>
          <w:lang w:val="es-ES_tradnl"/>
        </w:rPr>
        <w:t>hotspots</w:t>
      </w:r>
      <w:r w:rsidR="003C13ED">
        <w:rPr>
          <w:lang w:val="es-ES_tradnl"/>
        </w:rPr>
        <w:t>»</w:t>
      </w:r>
      <w:r w:rsidR="000A40F1">
        <w:rPr>
          <w:lang w:val="es-ES_tradnl"/>
        </w:rPr>
        <w:t xml:space="preserve">) </w:t>
      </w:r>
      <w:r w:rsidRPr="00101A77">
        <w:rPr>
          <w:lang w:val="es-ES_tradnl"/>
        </w:rPr>
        <w:t>de los SRD. Se recomienda utilizar un montaje móvil o semimóvil en los emplazamientos donde sea más probable la intercepción de estos dispositivos. Las definiciones comunes de emplazamientos y sus descripciones tales como rurales, semirurales, industriales, etc., no son adecuadas en este caso.</w:t>
      </w:r>
    </w:p>
    <w:p w:rsidR="00101A77" w:rsidRPr="00101A77" w:rsidRDefault="00101A77" w:rsidP="00D3647E">
      <w:pPr>
        <w:pStyle w:val="Heading2"/>
        <w:rPr>
          <w:lang w:val="es-ES_tradnl"/>
        </w:rPr>
      </w:pPr>
      <w:bookmarkStart w:id="10" w:name="_Toc260403248"/>
      <w:r w:rsidRPr="00101A77">
        <w:rPr>
          <w:lang w:val="es-ES_tradnl"/>
        </w:rPr>
        <w:lastRenderedPageBreak/>
        <w:t>2.1</w:t>
      </w:r>
      <w:r w:rsidRPr="00101A77">
        <w:rPr>
          <w:lang w:val="es-ES_tradnl"/>
        </w:rPr>
        <w:tab/>
        <w:t>Emplazamientos</w:t>
      </w:r>
      <w:bookmarkEnd w:id="10"/>
    </w:p>
    <w:p w:rsidR="00101A77" w:rsidRPr="002931E4" w:rsidRDefault="003C13ED" w:rsidP="0097212E">
      <w:r>
        <w:rPr>
          <w:lang w:val="es-ES_tradnl"/>
        </w:rPr>
        <w:t>Los emplazamientos p</w:t>
      </w:r>
      <w:r w:rsidR="0097212E">
        <w:rPr>
          <w:lang w:val="es-ES_tradnl"/>
        </w:rPr>
        <w:t>o</w:t>
      </w:r>
      <w:r w:rsidR="00101A77" w:rsidRPr="00101A77">
        <w:rPr>
          <w:lang w:val="es-ES_tradnl"/>
        </w:rPr>
        <w:t>d</w:t>
      </w:r>
      <w:r>
        <w:rPr>
          <w:lang w:val="es-ES_tradnl"/>
        </w:rPr>
        <w:t>rían</w:t>
      </w:r>
      <w:r w:rsidR="00101A77" w:rsidRPr="00101A77">
        <w:rPr>
          <w:lang w:val="es-ES_tradnl"/>
        </w:rPr>
        <w:t xml:space="preserve"> </w:t>
      </w:r>
      <w:r>
        <w:rPr>
          <w:lang w:val="es-ES_tradnl"/>
        </w:rPr>
        <w:t>seleccionarse basándose</w:t>
      </w:r>
      <w:r w:rsidR="00101A77" w:rsidRPr="00101A77">
        <w:rPr>
          <w:lang w:val="es-ES_tradnl"/>
        </w:rPr>
        <w:t xml:space="preserve"> en </w:t>
      </w:r>
      <w:r w:rsidR="00D83ABD">
        <w:rPr>
          <w:lang w:val="es-ES_tradnl"/>
        </w:rPr>
        <w:t xml:space="preserve">los </w:t>
      </w:r>
      <w:r w:rsidR="00101A77" w:rsidRPr="00101A77">
        <w:rPr>
          <w:lang w:val="es-ES_tradnl"/>
        </w:rPr>
        <w:t xml:space="preserve">dispositivos esperados en las bandas de frecuencias utilizadas en los planes de frecuencias aplicables. La siguiente lista es un ejemplo y no pretende ser exhaustiva. </w:t>
      </w:r>
      <w:r w:rsidR="00101A77" w:rsidRPr="002931E4">
        <w:t>Será necesario modificarla dependiendo de la situación nacional.</w:t>
      </w:r>
    </w:p>
    <w:p w:rsidR="00101A77" w:rsidRPr="002931E4" w:rsidRDefault="00101A77" w:rsidP="00101A77"/>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5"/>
        <w:gridCol w:w="6803"/>
      </w:tblGrid>
      <w:tr w:rsidR="00101A77" w:rsidRPr="008637EF" w:rsidTr="000A40F1">
        <w:trPr>
          <w:trHeight w:val="124"/>
          <w:jc w:val="center"/>
        </w:trPr>
        <w:tc>
          <w:tcPr>
            <w:tcW w:w="2665" w:type="dxa"/>
            <w:shd w:val="clear" w:color="auto" w:fill="auto"/>
            <w:vAlign w:val="center"/>
          </w:tcPr>
          <w:p w:rsidR="00101A77" w:rsidRPr="002931E4" w:rsidRDefault="00101A77" w:rsidP="00EA10CB">
            <w:pPr>
              <w:pStyle w:val="Tablehead"/>
            </w:pPr>
            <w:r w:rsidRPr="002931E4">
              <w:t>Tipo</w:t>
            </w:r>
          </w:p>
        </w:tc>
        <w:tc>
          <w:tcPr>
            <w:tcW w:w="6803" w:type="dxa"/>
            <w:shd w:val="clear" w:color="auto" w:fill="auto"/>
          </w:tcPr>
          <w:p w:rsidR="00101A77" w:rsidRPr="00101A77" w:rsidRDefault="00101A77" w:rsidP="00B260CF">
            <w:pPr>
              <w:pStyle w:val="Tablehead"/>
              <w:rPr>
                <w:lang w:val="es-ES_tradnl"/>
              </w:rPr>
            </w:pPr>
            <w:r w:rsidRPr="00101A77">
              <w:rPr>
                <w:lang w:val="es-ES_tradnl"/>
              </w:rPr>
              <w:t xml:space="preserve">Emplazamiento del punto de máxima concentración </w:t>
            </w:r>
            <w:r w:rsidR="000A40F1">
              <w:rPr>
                <w:lang w:val="es-ES_tradnl"/>
              </w:rPr>
              <w:t>(«</w:t>
            </w:r>
            <w:r w:rsidR="000A40F1" w:rsidRPr="00B76864">
              <w:rPr>
                <w:lang w:val="es-ES_tradnl"/>
              </w:rPr>
              <w:t>hotspots</w:t>
            </w:r>
            <w:r w:rsidR="000A40F1">
              <w:rPr>
                <w:lang w:val="es-ES_tradnl"/>
              </w:rPr>
              <w:t>»)</w:t>
            </w:r>
            <w:r w:rsidRPr="00101A77">
              <w:rPr>
                <w:lang w:val="es-ES_tradnl"/>
              </w:rPr>
              <w:br/>
              <w:t>o zona caliente del SRD</w:t>
            </w:r>
          </w:p>
        </w:tc>
      </w:tr>
      <w:tr w:rsidR="00101A77" w:rsidRPr="008637EF" w:rsidTr="000A40F1">
        <w:trPr>
          <w:jc w:val="center"/>
        </w:trPr>
        <w:tc>
          <w:tcPr>
            <w:tcW w:w="2665" w:type="dxa"/>
          </w:tcPr>
          <w:p w:rsidR="00101A77" w:rsidRPr="002931E4" w:rsidRDefault="00101A77" w:rsidP="00EA10CB">
            <w:pPr>
              <w:pStyle w:val="Tabletext"/>
              <w:jc w:val="left"/>
            </w:pPr>
            <w:r w:rsidRPr="002931E4">
              <w:t>RFID</w:t>
            </w:r>
          </w:p>
        </w:tc>
        <w:tc>
          <w:tcPr>
            <w:tcW w:w="6803" w:type="dxa"/>
          </w:tcPr>
          <w:p w:rsidR="00101A77" w:rsidRPr="00101A77" w:rsidRDefault="00101A77" w:rsidP="00EA10CB">
            <w:pPr>
              <w:pStyle w:val="Tabletext"/>
              <w:jc w:val="left"/>
              <w:rPr>
                <w:lang w:val="es-ES_tradnl"/>
              </w:rPr>
            </w:pPr>
            <w:r w:rsidRPr="00101A77">
              <w:rPr>
                <w:lang w:val="es-ES_tradnl"/>
              </w:rPr>
              <w:t>Centros de distribución, centros comerciales, aeropuertos</w:t>
            </w:r>
          </w:p>
        </w:tc>
      </w:tr>
      <w:tr w:rsidR="00101A77" w:rsidRPr="002931E4" w:rsidTr="000A40F1">
        <w:trPr>
          <w:jc w:val="center"/>
        </w:trPr>
        <w:tc>
          <w:tcPr>
            <w:tcW w:w="2665" w:type="dxa"/>
          </w:tcPr>
          <w:p w:rsidR="00101A77" w:rsidRPr="002931E4" w:rsidRDefault="00101A77" w:rsidP="00EA10CB">
            <w:pPr>
              <w:pStyle w:val="Tabletext"/>
              <w:jc w:val="left"/>
            </w:pPr>
            <w:r w:rsidRPr="002931E4">
              <w:t>Alarmas sociales</w:t>
            </w:r>
          </w:p>
        </w:tc>
        <w:tc>
          <w:tcPr>
            <w:tcW w:w="6803" w:type="dxa"/>
          </w:tcPr>
          <w:p w:rsidR="00101A77" w:rsidRPr="002931E4" w:rsidRDefault="00101A77" w:rsidP="000A40F1">
            <w:pPr>
              <w:pStyle w:val="Tabletext"/>
              <w:jc w:val="left"/>
              <w:rPr>
                <w:lang w:val="en-US"/>
              </w:rPr>
            </w:pPr>
            <w:r w:rsidRPr="002931E4">
              <w:rPr>
                <w:lang w:val="en-US"/>
              </w:rPr>
              <w:t xml:space="preserve">Hospitales, </w:t>
            </w:r>
            <w:r w:rsidR="000A40F1">
              <w:rPr>
                <w:lang w:val="en-US"/>
              </w:rPr>
              <w:t>residencias</w:t>
            </w:r>
            <w:r w:rsidRPr="002931E4">
              <w:rPr>
                <w:lang w:val="en-US"/>
              </w:rPr>
              <w:t xml:space="preserve"> para ancianos</w:t>
            </w:r>
          </w:p>
        </w:tc>
      </w:tr>
      <w:tr w:rsidR="00101A77" w:rsidRPr="002931E4" w:rsidTr="000A40F1">
        <w:trPr>
          <w:jc w:val="center"/>
        </w:trPr>
        <w:tc>
          <w:tcPr>
            <w:tcW w:w="2665" w:type="dxa"/>
          </w:tcPr>
          <w:p w:rsidR="00101A77" w:rsidRPr="002931E4" w:rsidRDefault="00101A77" w:rsidP="00EA10CB">
            <w:pPr>
              <w:pStyle w:val="Tabletext"/>
              <w:jc w:val="left"/>
            </w:pPr>
            <w:r w:rsidRPr="002931E4">
              <w:t>Alarmas</w:t>
            </w:r>
          </w:p>
        </w:tc>
        <w:tc>
          <w:tcPr>
            <w:tcW w:w="6803" w:type="dxa"/>
          </w:tcPr>
          <w:p w:rsidR="00101A77" w:rsidRPr="002931E4" w:rsidRDefault="00101A77" w:rsidP="00EA10CB">
            <w:pPr>
              <w:pStyle w:val="Tabletext"/>
              <w:jc w:val="left"/>
            </w:pPr>
            <w:r w:rsidRPr="002931E4">
              <w:t>Zonas industriales con oficinas</w:t>
            </w:r>
          </w:p>
        </w:tc>
      </w:tr>
      <w:tr w:rsidR="00101A77" w:rsidRPr="008637EF" w:rsidTr="000A40F1">
        <w:trPr>
          <w:jc w:val="center"/>
        </w:trPr>
        <w:tc>
          <w:tcPr>
            <w:tcW w:w="2665" w:type="dxa"/>
          </w:tcPr>
          <w:p w:rsidR="00101A77" w:rsidRPr="002931E4" w:rsidRDefault="00101A77" w:rsidP="00EA10CB">
            <w:pPr>
              <w:pStyle w:val="Tabletext"/>
              <w:jc w:val="left"/>
            </w:pPr>
            <w:r w:rsidRPr="002931E4">
              <w:t>Medición y comprobación técnica</w:t>
            </w:r>
          </w:p>
        </w:tc>
        <w:tc>
          <w:tcPr>
            <w:tcW w:w="6803" w:type="dxa"/>
          </w:tcPr>
          <w:p w:rsidR="00101A77" w:rsidRPr="00101A77" w:rsidRDefault="00101A77" w:rsidP="00EA10CB">
            <w:pPr>
              <w:pStyle w:val="Tabletext"/>
              <w:jc w:val="left"/>
              <w:rPr>
                <w:lang w:val="es-ES_tradnl"/>
              </w:rPr>
            </w:pPr>
            <w:r w:rsidRPr="00101A77">
              <w:rPr>
                <w:lang w:val="es-ES_tradnl"/>
              </w:rPr>
              <w:t>(</w:t>
            </w:r>
            <w:r w:rsidR="00BA066F">
              <w:rPr>
                <w:lang w:val="es-ES_tradnl"/>
              </w:rPr>
              <w:t>Por ejemplo, luces de semáforos y</w:t>
            </w:r>
            <w:r w:rsidRPr="00101A77">
              <w:rPr>
                <w:lang w:val="es-ES_tradnl"/>
              </w:rPr>
              <w:t xml:space="preserve"> plazas de aparcamiento controladas a distancia) en centros urbanos</w:t>
            </w:r>
          </w:p>
        </w:tc>
      </w:tr>
      <w:tr w:rsidR="00101A77" w:rsidRPr="002931E4" w:rsidTr="000A40F1">
        <w:trPr>
          <w:jc w:val="center"/>
        </w:trPr>
        <w:tc>
          <w:tcPr>
            <w:tcW w:w="2665" w:type="dxa"/>
          </w:tcPr>
          <w:p w:rsidR="00101A77" w:rsidRPr="002931E4" w:rsidRDefault="00101A77" w:rsidP="00EA10CB">
            <w:pPr>
              <w:pStyle w:val="Tabletext"/>
              <w:jc w:val="left"/>
            </w:pPr>
            <w:r w:rsidRPr="002931E4">
              <w:t>SRD no específicos</w:t>
            </w:r>
          </w:p>
        </w:tc>
        <w:tc>
          <w:tcPr>
            <w:tcW w:w="6803" w:type="dxa"/>
          </w:tcPr>
          <w:p w:rsidR="00101A77" w:rsidRPr="002931E4" w:rsidRDefault="00101A77" w:rsidP="00EA10CB">
            <w:pPr>
              <w:pStyle w:val="Tabletext"/>
              <w:jc w:val="left"/>
            </w:pPr>
            <w:r w:rsidRPr="002931E4">
              <w:t>Zonas densamente pobladas</w:t>
            </w:r>
          </w:p>
        </w:tc>
      </w:tr>
      <w:tr w:rsidR="00101A77" w:rsidRPr="002931E4" w:rsidTr="000A40F1">
        <w:trPr>
          <w:jc w:val="center"/>
        </w:trPr>
        <w:tc>
          <w:tcPr>
            <w:tcW w:w="2665" w:type="dxa"/>
          </w:tcPr>
          <w:p w:rsidR="00101A77" w:rsidRPr="002931E4" w:rsidRDefault="00101A77" w:rsidP="00EA10CB">
            <w:pPr>
              <w:pStyle w:val="Tabletext"/>
              <w:jc w:val="left"/>
            </w:pPr>
            <w:r w:rsidRPr="002931E4">
              <w:t>Radiomicrófonos</w:t>
            </w:r>
          </w:p>
        </w:tc>
        <w:tc>
          <w:tcPr>
            <w:tcW w:w="6803" w:type="dxa"/>
          </w:tcPr>
          <w:p w:rsidR="00101A77" w:rsidRPr="002931E4" w:rsidRDefault="00101A77" w:rsidP="000A40F1">
            <w:pPr>
              <w:pStyle w:val="Tabletext"/>
              <w:jc w:val="left"/>
            </w:pPr>
            <w:r w:rsidRPr="002931E4">
              <w:t>Teatros, estadios de f</w:t>
            </w:r>
            <w:r w:rsidR="000A40F1">
              <w:t>útbol</w:t>
            </w:r>
          </w:p>
        </w:tc>
      </w:tr>
      <w:tr w:rsidR="00101A77" w:rsidRPr="002931E4" w:rsidTr="000A40F1">
        <w:trPr>
          <w:jc w:val="center"/>
        </w:trPr>
        <w:tc>
          <w:tcPr>
            <w:tcW w:w="2665" w:type="dxa"/>
          </w:tcPr>
          <w:p w:rsidR="00101A77" w:rsidRPr="002931E4" w:rsidRDefault="00101A77" w:rsidP="00EA10CB">
            <w:pPr>
              <w:pStyle w:val="Tabletext"/>
              <w:jc w:val="left"/>
            </w:pPr>
            <w:r w:rsidRPr="002931E4">
              <w:t>Audio inalámbrico</w:t>
            </w:r>
          </w:p>
        </w:tc>
        <w:tc>
          <w:tcPr>
            <w:tcW w:w="6803" w:type="dxa"/>
          </w:tcPr>
          <w:p w:rsidR="00101A77" w:rsidRPr="002931E4" w:rsidRDefault="00101A77" w:rsidP="00EA10CB">
            <w:pPr>
              <w:pStyle w:val="Tabletext"/>
              <w:jc w:val="left"/>
            </w:pPr>
            <w:r w:rsidRPr="002931E4">
              <w:t>Zonas densamente pobladas</w:t>
            </w:r>
          </w:p>
        </w:tc>
      </w:tr>
      <w:tr w:rsidR="00101A77" w:rsidRPr="008637EF" w:rsidTr="000A40F1">
        <w:trPr>
          <w:jc w:val="center"/>
        </w:trPr>
        <w:tc>
          <w:tcPr>
            <w:tcW w:w="2665" w:type="dxa"/>
          </w:tcPr>
          <w:p w:rsidR="00101A77" w:rsidRPr="002931E4" w:rsidRDefault="00101A77" w:rsidP="00EA10CB">
            <w:pPr>
              <w:pStyle w:val="Tabletext"/>
              <w:jc w:val="left"/>
            </w:pPr>
            <w:r w:rsidRPr="002931E4">
              <w:t>Implantes médicos</w:t>
            </w:r>
          </w:p>
        </w:tc>
        <w:tc>
          <w:tcPr>
            <w:tcW w:w="6803" w:type="dxa"/>
          </w:tcPr>
          <w:p w:rsidR="00101A77" w:rsidRPr="00101A77" w:rsidRDefault="00101A77" w:rsidP="00EA10CB">
            <w:pPr>
              <w:pStyle w:val="Tabletext"/>
              <w:jc w:val="left"/>
              <w:rPr>
                <w:lang w:val="es-ES_tradnl"/>
              </w:rPr>
            </w:pPr>
            <w:r w:rsidRPr="00101A77">
              <w:rPr>
                <w:lang w:val="es-ES_tradnl"/>
              </w:rPr>
              <w:t>En cualquier lugar pero principalmente en hospitales y centros sanitarios</w:t>
            </w:r>
          </w:p>
        </w:tc>
      </w:tr>
    </w:tbl>
    <w:p w:rsidR="00101A77" w:rsidRPr="008637EF" w:rsidRDefault="00101A77" w:rsidP="007A431B">
      <w:pPr>
        <w:pStyle w:val="Tablefin"/>
        <w:rPr>
          <w:lang w:val="es-ES_tradnl"/>
        </w:rPr>
      </w:pPr>
    </w:p>
    <w:p w:rsidR="007A431B" w:rsidRPr="008637EF" w:rsidRDefault="007A431B" w:rsidP="007A431B">
      <w:pPr>
        <w:spacing w:before="0"/>
        <w:rPr>
          <w:lang w:val="es-ES_tradnl"/>
        </w:rPr>
      </w:pPr>
    </w:p>
    <w:p w:rsidR="00101A77" w:rsidRPr="00101A77" w:rsidRDefault="00101A77" w:rsidP="000A40F1">
      <w:pPr>
        <w:rPr>
          <w:lang w:val="es-ES_tradnl"/>
        </w:rPr>
      </w:pPr>
      <w:r w:rsidRPr="00101A77">
        <w:rPr>
          <w:lang w:val="es-ES_tradnl"/>
        </w:rPr>
        <w:t xml:space="preserve">Los dispositivos de identificación por radiofrecuencia (RFID en las bandas de ondas decimétricas se utilizan como ejemplo para las siguientes consideraciones. Sin embargo, </w:t>
      </w:r>
      <w:r w:rsidR="000A40F1">
        <w:rPr>
          <w:lang w:val="es-ES_tradnl"/>
        </w:rPr>
        <w:t>dichas consideraciones</w:t>
      </w:r>
      <w:r w:rsidRPr="00101A77">
        <w:rPr>
          <w:lang w:val="es-ES_tradnl"/>
        </w:rPr>
        <w:t xml:space="preserve"> puede</w:t>
      </w:r>
      <w:r w:rsidR="000A40F1">
        <w:rPr>
          <w:lang w:val="es-ES_tradnl"/>
        </w:rPr>
        <w:t>n</w:t>
      </w:r>
      <w:r w:rsidRPr="00101A77">
        <w:rPr>
          <w:lang w:val="es-ES_tradnl"/>
        </w:rPr>
        <w:t xml:space="preserve"> extenderse a la comprobación técnica de otros SRD.</w:t>
      </w:r>
    </w:p>
    <w:p w:rsidR="00101A77" w:rsidRPr="00101A77" w:rsidRDefault="00101A77" w:rsidP="00D3647E">
      <w:pPr>
        <w:pStyle w:val="Heading2"/>
        <w:rPr>
          <w:lang w:val="es-ES_tradnl"/>
        </w:rPr>
      </w:pPr>
      <w:bookmarkStart w:id="11" w:name="_Toc260403249"/>
      <w:r w:rsidRPr="00101A77">
        <w:rPr>
          <w:lang w:val="es-ES_tradnl"/>
        </w:rPr>
        <w:t>2.2</w:t>
      </w:r>
      <w:r w:rsidRPr="00101A77">
        <w:rPr>
          <w:lang w:val="es-ES_tradnl"/>
        </w:rPr>
        <w:tab/>
        <w:t>Periodo de comprobación técnica y elección del emplazamiento</w:t>
      </w:r>
      <w:bookmarkEnd w:id="11"/>
    </w:p>
    <w:p w:rsidR="00101A77" w:rsidRPr="00101A77" w:rsidRDefault="00101A77" w:rsidP="0012657B">
      <w:pPr>
        <w:rPr>
          <w:lang w:val="es-ES_tradnl"/>
        </w:rPr>
      </w:pPr>
      <w:r w:rsidRPr="00101A77">
        <w:rPr>
          <w:lang w:val="es-ES_tradnl"/>
        </w:rPr>
        <w:t>Una campaña de comprobación técnica debe incluir periodos de tiempo basados en la utilización de frecuencias esperada</w:t>
      </w:r>
      <w:r w:rsidR="000A40F1">
        <w:rPr>
          <w:lang w:val="es-ES_tradnl"/>
        </w:rPr>
        <w:t>;</w:t>
      </w:r>
      <w:r w:rsidRPr="00101A77">
        <w:rPr>
          <w:lang w:val="es-ES_tradnl"/>
        </w:rPr>
        <w:t xml:space="preserve"> por ejemplo</w:t>
      </w:r>
      <w:r w:rsidR="000A40F1">
        <w:rPr>
          <w:lang w:val="es-ES_tradnl"/>
        </w:rPr>
        <w:t>,</w:t>
      </w:r>
      <w:r w:rsidRPr="00101A77">
        <w:rPr>
          <w:lang w:val="es-ES_tradnl"/>
        </w:rPr>
        <w:t xml:space="preserve"> un periodo de 24 horas en un día laborable y un periodo de</w:t>
      </w:r>
      <w:r w:rsidR="000A40F1">
        <w:rPr>
          <w:lang w:val="es-ES_tradnl"/>
        </w:rPr>
        <w:t xml:space="preserve"> </w:t>
      </w:r>
      <w:r w:rsidRPr="00101A77">
        <w:rPr>
          <w:lang w:val="es-ES_tradnl"/>
        </w:rPr>
        <w:t>24 horas en un día de fin de semana para los RFID. Los resultados de la comprobación técnica pueden variar dentro de la zona de los emplazamientos</w:t>
      </w:r>
      <w:r w:rsidR="000A40F1">
        <w:rPr>
          <w:lang w:val="es-ES_tradnl"/>
        </w:rPr>
        <w:t xml:space="preserve">, por </w:t>
      </w:r>
      <w:r w:rsidRPr="00101A77">
        <w:rPr>
          <w:lang w:val="es-ES_tradnl"/>
        </w:rPr>
        <w:t xml:space="preserve"> consiguiente </w:t>
      </w:r>
      <w:r w:rsidR="000A40F1">
        <w:rPr>
          <w:lang w:val="es-ES_tradnl"/>
        </w:rPr>
        <w:t>par</w:t>
      </w:r>
      <w:r w:rsidRPr="00101A77">
        <w:rPr>
          <w:lang w:val="es-ES_tradnl"/>
        </w:rPr>
        <w:t>a obtener resultados fiables es necesario desplazar el montaje de medición cada hora u otro periodo de tiempo. Por ejemplo, en un aeropuerto la mayoría de</w:t>
      </w:r>
      <w:r w:rsidR="000A40F1">
        <w:rPr>
          <w:lang w:val="es-ES_tradnl"/>
        </w:rPr>
        <w:t xml:space="preserve"> </w:t>
      </w:r>
      <w:r w:rsidRPr="00101A77">
        <w:rPr>
          <w:lang w:val="es-ES_tradnl"/>
        </w:rPr>
        <w:t>l</w:t>
      </w:r>
      <w:r w:rsidR="000A40F1">
        <w:rPr>
          <w:lang w:val="es-ES_tradnl"/>
        </w:rPr>
        <w:t>a</w:t>
      </w:r>
      <w:r w:rsidRPr="00101A77">
        <w:rPr>
          <w:lang w:val="es-ES_tradnl"/>
        </w:rPr>
        <w:t xml:space="preserve"> </w:t>
      </w:r>
      <w:r w:rsidR="000A40F1">
        <w:rPr>
          <w:lang w:val="es-ES_tradnl"/>
        </w:rPr>
        <w:t>gestión</w:t>
      </w:r>
      <w:r w:rsidRPr="00101A77">
        <w:rPr>
          <w:lang w:val="es-ES_tradnl"/>
        </w:rPr>
        <w:t xml:space="preserve"> de los equipajes se hace </w:t>
      </w:r>
      <w:r w:rsidR="000A40F1">
        <w:rPr>
          <w:lang w:val="es-ES_tradnl"/>
        </w:rPr>
        <w:t>en espacios subterráneos</w:t>
      </w:r>
      <w:r w:rsidRPr="00101A77">
        <w:rPr>
          <w:lang w:val="es-ES_tradnl"/>
        </w:rPr>
        <w:t xml:space="preserve"> por lo que la</w:t>
      </w:r>
      <w:r w:rsidR="000A40F1">
        <w:rPr>
          <w:lang w:val="es-ES_tradnl"/>
        </w:rPr>
        <w:t>s</w:t>
      </w:r>
      <w:r w:rsidRPr="00101A77">
        <w:rPr>
          <w:lang w:val="es-ES_tradnl"/>
        </w:rPr>
        <w:t xml:space="preserve"> medici</w:t>
      </w:r>
      <w:r w:rsidR="000A40F1">
        <w:rPr>
          <w:lang w:val="es-ES_tradnl"/>
        </w:rPr>
        <w:t>ones realizadas</w:t>
      </w:r>
      <w:r w:rsidRPr="00101A77">
        <w:rPr>
          <w:lang w:val="es-ES_tradnl"/>
        </w:rPr>
        <w:t xml:space="preserve"> en l</w:t>
      </w:r>
      <w:r w:rsidR="000A40F1">
        <w:rPr>
          <w:lang w:val="es-ES_tradnl"/>
        </w:rPr>
        <w:t>a</w:t>
      </w:r>
      <w:r w:rsidRPr="00101A77">
        <w:rPr>
          <w:lang w:val="es-ES_tradnl"/>
        </w:rPr>
        <w:t xml:space="preserve"> terminal </w:t>
      </w:r>
      <w:r w:rsidR="000A40F1">
        <w:rPr>
          <w:lang w:val="es-ES_tradnl"/>
        </w:rPr>
        <w:t>arrojan</w:t>
      </w:r>
      <w:r w:rsidRPr="00101A77">
        <w:rPr>
          <w:lang w:val="es-ES_tradnl"/>
        </w:rPr>
        <w:t xml:space="preserve"> resultados distintos </w:t>
      </w:r>
      <w:r w:rsidR="000A40F1">
        <w:rPr>
          <w:lang w:val="es-ES_tradnl"/>
        </w:rPr>
        <w:t>a las efectuadas en los</w:t>
      </w:r>
      <w:r w:rsidRPr="00101A77">
        <w:rPr>
          <w:lang w:val="es-ES_tradnl"/>
        </w:rPr>
        <w:t xml:space="preserve"> sótano</w:t>
      </w:r>
      <w:r w:rsidR="000A40F1">
        <w:rPr>
          <w:lang w:val="es-ES_tradnl"/>
        </w:rPr>
        <w:t>s</w:t>
      </w:r>
      <w:r w:rsidRPr="00101A77">
        <w:rPr>
          <w:lang w:val="es-ES_tradnl"/>
        </w:rPr>
        <w:t>. Unos pocos emplazamientos distintos en el centro de una ciudad pueden producir resultados diferentes debido al apantallamiento causado por los edificios</w:t>
      </w:r>
      <w:r w:rsidR="000A40F1">
        <w:rPr>
          <w:lang w:val="es-ES_tradnl"/>
        </w:rPr>
        <w:t>, razón por la cual</w:t>
      </w:r>
      <w:r w:rsidRPr="00101A77">
        <w:rPr>
          <w:lang w:val="es-ES_tradnl"/>
        </w:rPr>
        <w:t xml:space="preserve"> es conveniente desplazar periódicamente el montaje de medición. Los resultados de una zona de emplazamientos típica deben combinarse. </w:t>
      </w:r>
      <w:r w:rsidR="000A40F1" w:rsidRPr="00101A77">
        <w:rPr>
          <w:lang w:val="es-ES_tradnl"/>
        </w:rPr>
        <w:t>Si se lleva a cabo una campaña de comprobación técnica coordinada</w:t>
      </w:r>
      <w:r w:rsidR="0012657B">
        <w:rPr>
          <w:lang w:val="es-ES_tradnl"/>
        </w:rPr>
        <w:t xml:space="preserve">, </w:t>
      </w:r>
      <w:r w:rsidR="0012657B" w:rsidRPr="00101A77">
        <w:rPr>
          <w:lang w:val="es-ES_tradnl"/>
        </w:rPr>
        <w:t>no es necesaria</w:t>
      </w:r>
      <w:r w:rsidR="000A40F1" w:rsidRPr="00101A77">
        <w:rPr>
          <w:lang w:val="es-ES_tradnl"/>
        </w:rPr>
        <w:t xml:space="preserve"> la </w:t>
      </w:r>
      <w:r w:rsidRPr="00101A77">
        <w:rPr>
          <w:lang w:val="es-ES_tradnl"/>
        </w:rPr>
        <w:t xml:space="preserve">sincronización de los periodos de comprobación técnica mutuos entre administraciones ya que no hay una sincronización programada o cotidiana entre la utilización en distintas naciones. Durante el desarrollo de los métodos y directrices puede ser conveniente armonizar alguna terminología. Cabe señalar que estos términos definidos sólo se refieren a la comprobación técnica de los SRD y son válidos </w:t>
      </w:r>
      <w:r w:rsidR="000A40F1">
        <w:rPr>
          <w:lang w:val="es-ES_tradnl"/>
        </w:rPr>
        <w:t xml:space="preserve">únicamente </w:t>
      </w:r>
      <w:r w:rsidRPr="00101A77">
        <w:rPr>
          <w:lang w:val="es-ES_tradnl"/>
        </w:rPr>
        <w:t>para este Informe. Los emplazamientos con actividad son denominados</w:t>
      </w:r>
      <w:r w:rsidR="000A40F1">
        <w:rPr>
          <w:lang w:val="es-ES_tradnl"/>
        </w:rPr>
        <w:t>,</w:t>
      </w:r>
      <w:r w:rsidRPr="00101A77">
        <w:rPr>
          <w:lang w:val="es-ES_tradnl"/>
        </w:rPr>
        <w:t xml:space="preserve"> por ejemplo</w:t>
      </w:r>
      <w:r w:rsidR="000A40F1">
        <w:rPr>
          <w:lang w:val="es-ES_tradnl"/>
        </w:rPr>
        <w:t>,</w:t>
      </w:r>
      <w:r w:rsidRPr="00101A77">
        <w:rPr>
          <w:lang w:val="es-ES_tradnl"/>
        </w:rPr>
        <w:t xml:space="preserve"> puntos de máxima concentración </w:t>
      </w:r>
      <w:r w:rsidR="000A40F1" w:rsidRPr="000A40F1">
        <w:rPr>
          <w:lang w:val="es-ES_tradnl"/>
        </w:rPr>
        <w:t>(«hotspots»)</w:t>
      </w:r>
      <w:r w:rsidR="000A40F1">
        <w:rPr>
          <w:lang w:val="es-ES_tradnl"/>
        </w:rPr>
        <w:t xml:space="preserve"> </w:t>
      </w:r>
      <w:r w:rsidRPr="00101A77">
        <w:rPr>
          <w:lang w:val="es-ES_tradnl"/>
        </w:rPr>
        <w:t>y zonas calientes y no deben confundirse con los puntos de Wi-Fi.</w:t>
      </w:r>
    </w:p>
    <w:p w:rsidR="00101A77" w:rsidRPr="00101A77" w:rsidRDefault="00101A77" w:rsidP="0012657B">
      <w:pPr>
        <w:rPr>
          <w:lang w:val="es-ES_tradnl"/>
        </w:rPr>
      </w:pPr>
      <w:r w:rsidRPr="00101A77">
        <w:rPr>
          <w:i/>
          <w:iCs/>
          <w:lang w:val="es-ES_tradnl"/>
        </w:rPr>
        <w:t>Zona caliente</w:t>
      </w:r>
      <w:r w:rsidRPr="00101A77">
        <w:rPr>
          <w:lang w:val="es-ES_tradnl"/>
        </w:rPr>
        <w:t xml:space="preserve">: </w:t>
      </w:r>
      <w:r w:rsidR="0012657B" w:rsidRPr="00101A77">
        <w:rPr>
          <w:lang w:val="es-ES_tradnl"/>
        </w:rPr>
        <w:t xml:space="preserve">Zona amplia </w:t>
      </w:r>
      <w:r w:rsidRPr="00101A77">
        <w:rPr>
          <w:lang w:val="es-ES_tradnl"/>
        </w:rPr>
        <w:t>con actividad distribuida</w:t>
      </w:r>
      <w:r w:rsidR="0012657B">
        <w:rPr>
          <w:lang w:val="es-ES_tradnl"/>
        </w:rPr>
        <w:t>,</w:t>
      </w:r>
      <w:r w:rsidRPr="00101A77">
        <w:rPr>
          <w:lang w:val="es-ES_tradnl"/>
        </w:rPr>
        <w:t xml:space="preserve"> como </w:t>
      </w:r>
      <w:r w:rsidR="0012657B">
        <w:rPr>
          <w:lang w:val="es-ES_tradnl"/>
        </w:rPr>
        <w:t xml:space="preserve">por ejemplo </w:t>
      </w:r>
      <w:r w:rsidRPr="00101A77">
        <w:rPr>
          <w:lang w:val="es-ES_tradnl"/>
        </w:rPr>
        <w:t>un aparcamiento</w:t>
      </w:r>
      <w:r w:rsidR="0012657B">
        <w:rPr>
          <w:lang w:val="es-ES_tradnl"/>
        </w:rPr>
        <w:t xml:space="preserve"> para automóviles</w:t>
      </w:r>
      <w:r w:rsidRPr="00101A77">
        <w:rPr>
          <w:lang w:val="es-ES_tradnl"/>
        </w:rPr>
        <w:t>.</w:t>
      </w:r>
    </w:p>
    <w:p w:rsidR="00101A77" w:rsidRPr="00101A77" w:rsidRDefault="00101A77" w:rsidP="0012657B">
      <w:pPr>
        <w:rPr>
          <w:lang w:val="es-ES_tradnl"/>
        </w:rPr>
      </w:pPr>
      <w:r w:rsidRPr="00101A77">
        <w:rPr>
          <w:i/>
          <w:iCs/>
          <w:lang w:val="es-ES_tradnl"/>
        </w:rPr>
        <w:t>Punto de máxima concentración</w:t>
      </w:r>
      <w:r w:rsidR="0012657B">
        <w:rPr>
          <w:lang w:val="es-ES_tradnl"/>
        </w:rPr>
        <w:t xml:space="preserve"> «</w:t>
      </w:r>
      <w:r w:rsidR="0012657B" w:rsidRPr="00B76864">
        <w:rPr>
          <w:lang w:val="es-ES_tradnl"/>
        </w:rPr>
        <w:t>hotspots</w:t>
      </w:r>
      <w:r w:rsidR="0012657B">
        <w:rPr>
          <w:lang w:val="es-ES_tradnl"/>
        </w:rPr>
        <w:t>»</w:t>
      </w:r>
      <w:r w:rsidRPr="00101A77">
        <w:rPr>
          <w:lang w:val="es-ES_tradnl"/>
        </w:rPr>
        <w:t xml:space="preserve">: </w:t>
      </w:r>
      <w:r w:rsidR="0012657B" w:rsidRPr="00101A77">
        <w:rPr>
          <w:lang w:val="es-ES_tradnl"/>
        </w:rPr>
        <w:t xml:space="preserve">Zona </w:t>
      </w:r>
      <w:r w:rsidRPr="00101A77">
        <w:rPr>
          <w:lang w:val="es-ES_tradnl"/>
        </w:rPr>
        <w:t>confinada con actividad. Un punto de máxima concentración puede estar situado dentro de una zona caliente.</w:t>
      </w:r>
    </w:p>
    <w:p w:rsidR="00101A77" w:rsidRPr="00101A77" w:rsidRDefault="00101A77" w:rsidP="00101A77">
      <w:pPr>
        <w:rPr>
          <w:lang w:val="es-ES_tradnl"/>
        </w:rPr>
      </w:pPr>
      <w:r w:rsidRPr="00101A77">
        <w:rPr>
          <w:i/>
          <w:iCs/>
          <w:lang w:val="es-ES_tradnl"/>
        </w:rPr>
        <w:lastRenderedPageBreak/>
        <w:t>Emplazamiento de comprobación técnica</w:t>
      </w:r>
      <w:r w:rsidRPr="00101A77">
        <w:rPr>
          <w:lang w:val="es-ES_tradnl"/>
        </w:rPr>
        <w:t>: Emplazamiento con uno o más puntos de máxima concentración y/o zonas calientes.</w:t>
      </w:r>
    </w:p>
    <w:p w:rsidR="00101A77" w:rsidRPr="00101A77" w:rsidRDefault="0012657B" w:rsidP="0012657B">
      <w:pPr>
        <w:rPr>
          <w:lang w:val="es-ES_tradnl"/>
        </w:rPr>
      </w:pPr>
      <w:r>
        <w:rPr>
          <w:i/>
          <w:iCs/>
          <w:lang w:val="es-ES_tradnl"/>
        </w:rPr>
        <w:t>Posición</w:t>
      </w:r>
      <w:r w:rsidRPr="00101A77">
        <w:rPr>
          <w:i/>
          <w:iCs/>
          <w:lang w:val="es-ES_tradnl"/>
        </w:rPr>
        <w:t xml:space="preserve"> </w:t>
      </w:r>
      <w:r w:rsidR="00101A77" w:rsidRPr="00101A77">
        <w:rPr>
          <w:i/>
          <w:iCs/>
          <w:lang w:val="es-ES_tradnl"/>
        </w:rPr>
        <w:t>de comprobación técnica</w:t>
      </w:r>
      <w:r w:rsidR="00101A77" w:rsidRPr="00101A77">
        <w:rPr>
          <w:lang w:val="es-ES_tradnl"/>
        </w:rPr>
        <w:t xml:space="preserve">: Posición dentro de una zona caliente </w:t>
      </w:r>
      <w:r>
        <w:rPr>
          <w:lang w:val="es-ES_tradnl"/>
        </w:rPr>
        <w:t>o de</w:t>
      </w:r>
      <w:r w:rsidR="00101A77" w:rsidRPr="00101A77">
        <w:rPr>
          <w:lang w:val="es-ES_tradnl"/>
        </w:rPr>
        <w:t xml:space="preserve"> </w:t>
      </w:r>
      <w:r>
        <w:rPr>
          <w:lang w:val="es-ES_tradnl"/>
        </w:rPr>
        <w:t xml:space="preserve">un </w:t>
      </w:r>
      <w:r w:rsidR="00101A77" w:rsidRPr="00101A77">
        <w:rPr>
          <w:lang w:val="es-ES_tradnl"/>
        </w:rPr>
        <w:t>punto de máxima concentración a partir de</w:t>
      </w:r>
      <w:r>
        <w:rPr>
          <w:lang w:val="es-ES_tradnl"/>
        </w:rPr>
        <w:t xml:space="preserve"> </w:t>
      </w:r>
      <w:r w:rsidR="00101A77" w:rsidRPr="00101A77">
        <w:rPr>
          <w:lang w:val="es-ES_tradnl"/>
        </w:rPr>
        <w:t>l</w:t>
      </w:r>
      <w:r>
        <w:rPr>
          <w:lang w:val="es-ES_tradnl"/>
        </w:rPr>
        <w:t>a</w:t>
      </w:r>
      <w:r w:rsidR="00101A77" w:rsidRPr="00101A77">
        <w:rPr>
          <w:lang w:val="es-ES_tradnl"/>
        </w:rPr>
        <w:t xml:space="preserve"> cual los resultados se combinarán </w:t>
      </w:r>
      <w:r>
        <w:rPr>
          <w:lang w:val="es-ES_tradnl"/>
        </w:rPr>
        <w:t>para obtener</w:t>
      </w:r>
      <w:r w:rsidR="00101A77" w:rsidRPr="00101A77">
        <w:rPr>
          <w:lang w:val="es-ES_tradnl"/>
        </w:rPr>
        <w:t xml:space="preserve"> un resultado </w:t>
      </w:r>
      <w:r>
        <w:rPr>
          <w:lang w:val="es-ES_tradnl"/>
        </w:rPr>
        <w:t xml:space="preserve">único </w:t>
      </w:r>
      <w:r w:rsidR="00101A77" w:rsidRPr="00101A77">
        <w:rPr>
          <w:lang w:val="es-ES_tradnl"/>
        </w:rPr>
        <w:t xml:space="preserve">de </w:t>
      </w:r>
      <w:r>
        <w:rPr>
          <w:lang w:val="es-ES_tradnl"/>
        </w:rPr>
        <w:t xml:space="preserve">la </w:t>
      </w:r>
      <w:r w:rsidR="00101A77" w:rsidRPr="00101A77">
        <w:rPr>
          <w:lang w:val="es-ES_tradnl"/>
        </w:rPr>
        <w:t>medición.</w:t>
      </w:r>
    </w:p>
    <w:p w:rsidR="00101A77" w:rsidRDefault="00101A77" w:rsidP="00101A77">
      <w:pPr>
        <w:rPr>
          <w:lang w:val="es-ES_tradnl"/>
        </w:rPr>
      </w:pPr>
      <w:r w:rsidRPr="00101A77">
        <w:rPr>
          <w:i/>
          <w:iCs/>
          <w:lang w:val="es-ES_tradnl"/>
        </w:rPr>
        <w:t>Zona de cobertura</w:t>
      </w:r>
      <w:r w:rsidRPr="00101A77">
        <w:rPr>
          <w:lang w:val="es-ES_tradnl"/>
        </w:rPr>
        <w:t>: Zona alrededor de una posición de comprobación técnica desde donde se reciben las señales.</w:t>
      </w:r>
    </w:p>
    <w:p w:rsidR="00101A77" w:rsidRPr="007A4E57" w:rsidRDefault="00101A77" w:rsidP="000A40F1">
      <w:pPr>
        <w:pStyle w:val="FigureNo"/>
        <w:rPr>
          <w:lang w:val="es-ES_tradnl"/>
        </w:rPr>
      </w:pPr>
      <w:r w:rsidRPr="007A4E57">
        <w:rPr>
          <w:lang w:val="es-ES_tradnl"/>
        </w:rPr>
        <w:t>FigurA 1</w:t>
      </w:r>
    </w:p>
    <w:p w:rsidR="000A40F1" w:rsidRDefault="000A40F1" w:rsidP="000A40F1">
      <w:pPr>
        <w:pStyle w:val="Figuretitle"/>
        <w:rPr>
          <w:b w:val="0"/>
          <w:lang w:val="es-ES_tradnl"/>
        </w:rPr>
      </w:pPr>
      <w:r w:rsidRPr="007A4E57">
        <w:rPr>
          <w:b w:val="0"/>
          <w:lang w:val="es-ES_tradnl"/>
        </w:rPr>
        <w:t>Definiciones</w:t>
      </w:r>
    </w:p>
    <w:p w:rsidR="00842E9C" w:rsidRPr="00842E9C" w:rsidRDefault="00842E9C" w:rsidP="00842E9C">
      <w:pPr>
        <w:pStyle w:val="Figure"/>
        <w:rPr>
          <w:lang w:val="es-ES_tradnl"/>
        </w:rPr>
      </w:pPr>
      <w:r w:rsidRPr="007C4292">
        <w:rPr>
          <w:lang w:val="es-ES_tradnl"/>
        </w:rPr>
        <w:object w:dxaOrig="8719" w:dyaOrig="6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4pt;height:317.25pt" o:ole="">
            <v:imagedata r:id="rId13" o:title=""/>
          </v:shape>
          <o:OLEObject Type="Embed" ProgID="CorelDRAW.Graphic.14" ShapeID="_x0000_i1025" DrawAspect="Content" ObjectID="_1334147109" r:id="rId14"/>
        </w:object>
      </w:r>
    </w:p>
    <w:p w:rsidR="006B2558" w:rsidRDefault="006B2558" w:rsidP="006B2558">
      <w:pPr>
        <w:rPr>
          <w:lang w:val="es-ES_tradnl"/>
        </w:rPr>
      </w:pPr>
      <w:bookmarkStart w:id="12" w:name="_Toc260403250"/>
    </w:p>
    <w:p w:rsidR="00101A77" w:rsidRPr="00101A77" w:rsidRDefault="00101A77" w:rsidP="00D3647E">
      <w:pPr>
        <w:pStyle w:val="Heading2"/>
        <w:rPr>
          <w:lang w:val="es-ES_tradnl"/>
        </w:rPr>
      </w:pPr>
      <w:r w:rsidRPr="00101A77">
        <w:rPr>
          <w:lang w:val="es-ES_tradnl"/>
        </w:rPr>
        <w:t>2.3</w:t>
      </w:r>
      <w:r w:rsidRPr="00101A77">
        <w:rPr>
          <w:lang w:val="es-ES_tradnl"/>
        </w:rPr>
        <w:tab/>
        <w:t>Velocidad de exploración y sensibilidad del montaje</w:t>
      </w:r>
      <w:bookmarkEnd w:id="12"/>
    </w:p>
    <w:p w:rsidR="00101A77" w:rsidRPr="00101A77" w:rsidRDefault="00101A77" w:rsidP="0089236E">
      <w:pPr>
        <w:rPr>
          <w:lang w:val="es-ES_tradnl"/>
        </w:rPr>
      </w:pPr>
      <w:r w:rsidRPr="00101A77">
        <w:rPr>
          <w:lang w:val="es-ES_tradnl"/>
        </w:rPr>
        <w:t>Los SRD pueden tener un bajo ciclo de trabajo, 10% o inferior es bastante común</w:t>
      </w:r>
      <w:r w:rsidR="0089236E">
        <w:rPr>
          <w:lang w:val="es-ES_tradnl"/>
        </w:rPr>
        <w:t>,</w:t>
      </w:r>
      <w:r w:rsidRPr="00101A77">
        <w:rPr>
          <w:lang w:val="es-ES_tradnl"/>
        </w:rPr>
        <w:t xml:space="preserve"> y una p</w:t>
      </w:r>
      <w:r w:rsidR="0089236E">
        <w:rPr>
          <w:lang w:val="es-ES_tradnl"/>
        </w:rPr>
        <w:t xml:space="preserve">.i.r.e típica comprendida </w:t>
      </w:r>
      <w:r w:rsidRPr="00101A77">
        <w:rPr>
          <w:lang w:val="es-ES_tradnl"/>
        </w:rPr>
        <w:t>entre</w:t>
      </w:r>
      <w:r w:rsidR="00E90890">
        <w:rPr>
          <w:lang w:val="es-ES_tradnl"/>
        </w:rPr>
        <w:t xml:space="preserve"> </w:t>
      </w:r>
      <w:r w:rsidRPr="00101A77">
        <w:rPr>
          <w:lang w:val="es-ES_tradnl"/>
        </w:rPr>
        <w:t xml:space="preserve">25µW y 100 mW. Normalmente </w:t>
      </w:r>
      <w:r w:rsidR="0089236E">
        <w:rPr>
          <w:lang w:val="es-ES_tradnl"/>
        </w:rPr>
        <w:t>estos dispositivos se utilizan</w:t>
      </w:r>
      <w:r w:rsidRPr="00101A77">
        <w:rPr>
          <w:lang w:val="es-ES_tradnl"/>
        </w:rPr>
        <w:t xml:space="preserve"> en zonas con apantallamientos causados por los edificios. Es conveniente </w:t>
      </w:r>
      <w:r w:rsidR="0089236E">
        <w:rPr>
          <w:lang w:val="es-ES_tradnl"/>
        </w:rPr>
        <w:t>emple</w:t>
      </w:r>
      <w:r w:rsidRPr="00101A77">
        <w:rPr>
          <w:lang w:val="es-ES_tradnl"/>
        </w:rPr>
        <w:t>ar la anchura de banda de observación más estrecha disponible en un receptor de comprobación técnica para superar al menos la limitaci</w:t>
      </w:r>
      <w:r w:rsidR="0089236E">
        <w:rPr>
          <w:lang w:val="es-ES_tradnl"/>
        </w:rPr>
        <w:t>ó</w:t>
      </w:r>
      <w:r w:rsidRPr="00101A77">
        <w:rPr>
          <w:lang w:val="es-ES_tradnl"/>
        </w:rPr>
        <w:t xml:space="preserve">n </w:t>
      </w:r>
      <w:r w:rsidR="0089236E">
        <w:rPr>
          <w:lang w:val="es-ES_tradnl"/>
        </w:rPr>
        <w:t>que supone</w:t>
      </w:r>
      <w:r w:rsidRPr="00101A77">
        <w:rPr>
          <w:lang w:val="es-ES_tradnl"/>
        </w:rPr>
        <w:t xml:space="preserve"> la baja densidad espectral de potencia de p.i.r.e. que produce un SRD. Sin embargo, estas anchuras de banda de observación estrechas </w:t>
      </w:r>
      <w:r w:rsidR="0089236E">
        <w:rPr>
          <w:lang w:val="es-ES_tradnl"/>
        </w:rPr>
        <w:t xml:space="preserve">aunque </w:t>
      </w:r>
      <w:r w:rsidRPr="00101A77">
        <w:rPr>
          <w:lang w:val="es-ES_tradnl"/>
        </w:rPr>
        <w:t>proporcionan una mejor sensibilidad del receptor</w:t>
      </w:r>
      <w:r w:rsidR="0089236E">
        <w:rPr>
          <w:lang w:val="es-ES_tradnl"/>
        </w:rPr>
        <w:t>,</w:t>
      </w:r>
      <w:r w:rsidRPr="00101A77">
        <w:rPr>
          <w:lang w:val="es-ES_tradnl"/>
        </w:rPr>
        <w:t xml:space="preserve"> limitan la velocidad de registro del mismo. Los SDR se utilizan dentro de edificios con apantallamientos de hasta 20</w:t>
      </w:r>
      <w:r w:rsidRPr="00101A77">
        <w:rPr>
          <w:lang w:val="es-ES_tradnl"/>
        </w:rPr>
        <w:noBreakHyphen/>
        <w:t xml:space="preserve">30 dB de manera que la zona cubierta y la probabilidad de intercepción </w:t>
      </w:r>
      <w:r w:rsidR="0089236E">
        <w:rPr>
          <w:lang w:val="es-ES_tradnl"/>
        </w:rPr>
        <w:t>son</w:t>
      </w:r>
      <w:r w:rsidRPr="00101A77">
        <w:rPr>
          <w:lang w:val="es-ES_tradnl"/>
        </w:rPr>
        <w:t xml:space="preserve"> inherentemente baja</w:t>
      </w:r>
      <w:r w:rsidR="0089236E">
        <w:rPr>
          <w:lang w:val="es-ES_tradnl"/>
        </w:rPr>
        <w:t>s</w:t>
      </w:r>
      <w:r w:rsidRPr="00101A77">
        <w:rPr>
          <w:lang w:val="es-ES_tradnl"/>
        </w:rPr>
        <w:t>.</w:t>
      </w:r>
    </w:p>
    <w:p w:rsidR="00101A77" w:rsidRPr="00101A77" w:rsidRDefault="00101A77" w:rsidP="006B2558">
      <w:pPr>
        <w:keepNext/>
        <w:keepLines/>
        <w:rPr>
          <w:lang w:val="es-ES_tradnl"/>
        </w:rPr>
      </w:pPr>
      <w:r w:rsidRPr="00101A77">
        <w:rPr>
          <w:lang w:val="es-ES_tradnl"/>
        </w:rPr>
        <w:lastRenderedPageBreak/>
        <w:t>En consecuencia</w:t>
      </w:r>
      <w:r w:rsidR="0089236E">
        <w:rPr>
          <w:lang w:val="es-ES_tradnl"/>
        </w:rPr>
        <w:t>,</w:t>
      </w:r>
      <w:r w:rsidRPr="00101A77">
        <w:rPr>
          <w:lang w:val="es-ES_tradnl"/>
        </w:rPr>
        <w:t xml:space="preserve"> es necesario lograr un equilibrio adecuado entre la sensibilidad y la velocidad de exploración. Se recomienda </w:t>
      </w:r>
      <w:r w:rsidR="0089236E">
        <w:rPr>
          <w:lang w:val="es-ES_tradnl"/>
        </w:rPr>
        <w:t>ha</w:t>
      </w:r>
      <w:r w:rsidRPr="00101A77">
        <w:rPr>
          <w:lang w:val="es-ES_tradnl"/>
        </w:rPr>
        <w:t>cer un montaje de prueba comparable al de un sistema de medición del ruido radioeléctrico en términos de velocidad y sensibilidad. La calibración del montaje puede realizarse utilizando un transmisor de prueba que simule los niveles de potencia y los ciclos de trabajo. El sistema de medición de</w:t>
      </w:r>
      <w:r w:rsidR="0089236E">
        <w:rPr>
          <w:lang w:val="es-ES_tradnl"/>
        </w:rPr>
        <w:t>l</w:t>
      </w:r>
      <w:r w:rsidRPr="00101A77">
        <w:rPr>
          <w:lang w:val="es-ES_tradnl"/>
        </w:rPr>
        <w:t xml:space="preserve"> SRD con una zona de cobertura limitada debe desplazarse a diferentes emplazamientos</w:t>
      </w:r>
      <w:r w:rsidR="0089236E">
        <w:rPr>
          <w:lang w:val="es-ES_tradnl"/>
        </w:rPr>
        <w:t xml:space="preserve"> para obtener una visión de toda</w:t>
      </w:r>
      <w:r w:rsidRPr="00101A77">
        <w:rPr>
          <w:lang w:val="es-ES_tradnl"/>
        </w:rPr>
        <w:t xml:space="preserve"> </w:t>
      </w:r>
      <w:r w:rsidR="0089236E">
        <w:rPr>
          <w:lang w:val="es-ES_tradnl"/>
        </w:rPr>
        <w:t xml:space="preserve">la </w:t>
      </w:r>
      <w:r w:rsidR="0089236E" w:rsidRPr="00101A77">
        <w:rPr>
          <w:lang w:val="es-ES_tradnl"/>
        </w:rPr>
        <w:t xml:space="preserve">zona </w:t>
      </w:r>
      <w:r w:rsidRPr="00101A77">
        <w:rPr>
          <w:lang w:val="es-ES_tradnl"/>
        </w:rPr>
        <w:t>de interés. Puede</w:t>
      </w:r>
      <w:r w:rsidR="00D3647E">
        <w:rPr>
          <w:lang w:val="es-ES_tradnl"/>
        </w:rPr>
        <w:t> </w:t>
      </w:r>
      <w:r w:rsidRPr="00101A77">
        <w:rPr>
          <w:lang w:val="es-ES_tradnl"/>
        </w:rPr>
        <w:t>calcularse la zona de cobertura del montaje</w:t>
      </w:r>
      <w:r w:rsidR="0089236E">
        <w:rPr>
          <w:lang w:val="es-ES_tradnl"/>
        </w:rPr>
        <w:t>,</w:t>
      </w:r>
      <w:r w:rsidRPr="00101A77">
        <w:rPr>
          <w:lang w:val="es-ES_tradnl"/>
        </w:rPr>
        <w:t xml:space="preserve"> y a su vez</w:t>
      </w:r>
      <w:r w:rsidR="0089236E">
        <w:rPr>
          <w:lang w:val="es-ES_tradnl"/>
        </w:rPr>
        <w:t>,</w:t>
      </w:r>
      <w:r w:rsidRPr="00101A77">
        <w:rPr>
          <w:lang w:val="es-ES_tradnl"/>
        </w:rPr>
        <w:t xml:space="preserve"> esta información puede utilizarse para determinar el número de emplazamientos a los que debe desplazarse dicho montaje.</w:t>
      </w:r>
    </w:p>
    <w:p w:rsidR="00101A77" w:rsidRPr="00101A77" w:rsidRDefault="00101A77" w:rsidP="0089236E">
      <w:pPr>
        <w:rPr>
          <w:lang w:val="es-ES_tradnl"/>
        </w:rPr>
      </w:pPr>
      <w:r w:rsidRPr="00101A77">
        <w:rPr>
          <w:lang w:val="es-ES_tradnl"/>
        </w:rPr>
        <w:t>Es necesario advertir que no puede obtenerse una cifra de ocupación representativa sin incluir la atenuación de los alrededores en el cálculo de la ocupación final. Para los SRD de baja potencia tales como las etiquetas RFID</w:t>
      </w:r>
      <w:r w:rsidR="0089236E">
        <w:rPr>
          <w:lang w:val="es-ES_tradnl"/>
        </w:rPr>
        <w:t>,</w:t>
      </w:r>
      <w:r w:rsidRPr="00101A77">
        <w:rPr>
          <w:lang w:val="es-ES_tradnl"/>
        </w:rPr>
        <w:t xml:space="preserve"> puede utilizarse un</w:t>
      </w:r>
      <w:r w:rsidR="0089236E">
        <w:rPr>
          <w:lang w:val="es-ES_tradnl"/>
        </w:rPr>
        <w:t>a</w:t>
      </w:r>
      <w:r w:rsidRPr="00101A77">
        <w:rPr>
          <w:lang w:val="es-ES_tradnl"/>
        </w:rPr>
        <w:t xml:space="preserve"> carr</w:t>
      </w:r>
      <w:r w:rsidR="0089236E">
        <w:rPr>
          <w:lang w:val="es-ES_tradnl"/>
        </w:rPr>
        <w:t>etilla</w:t>
      </w:r>
      <w:r w:rsidRPr="00101A77">
        <w:rPr>
          <w:lang w:val="es-ES_tradnl"/>
        </w:rPr>
        <w:t xml:space="preserve"> </w:t>
      </w:r>
      <w:r w:rsidR="0089236E">
        <w:rPr>
          <w:lang w:val="es-ES_tradnl"/>
        </w:rPr>
        <w:t>que se desplazaría</w:t>
      </w:r>
      <w:r w:rsidRPr="00101A77">
        <w:rPr>
          <w:lang w:val="es-ES_tradnl"/>
        </w:rPr>
        <w:t xml:space="preserve"> a lo largo del emplazamiento.</w:t>
      </w:r>
    </w:p>
    <w:p w:rsidR="00101A77" w:rsidRPr="00101A77" w:rsidRDefault="00101A77" w:rsidP="0089236E">
      <w:pPr>
        <w:rPr>
          <w:b/>
          <w:lang w:val="es-ES_tradnl"/>
        </w:rPr>
      </w:pPr>
      <w:r w:rsidRPr="00101A77">
        <w:rPr>
          <w:b/>
          <w:lang w:val="es-ES_tradnl"/>
        </w:rPr>
        <w:t>2.4</w:t>
      </w:r>
      <w:r w:rsidRPr="00101A77">
        <w:rPr>
          <w:b/>
          <w:lang w:val="es-ES_tradnl"/>
        </w:rPr>
        <w:tab/>
      </w:r>
      <w:r w:rsidR="0089236E">
        <w:rPr>
          <w:b/>
          <w:lang w:val="es-ES_tradnl"/>
        </w:rPr>
        <w:t>Not</w:t>
      </w:r>
      <w:r w:rsidRPr="00101A77">
        <w:rPr>
          <w:b/>
          <w:lang w:val="es-ES_tradnl"/>
        </w:rPr>
        <w:t>as sobre las mediciones realizadas en tiempo real</w:t>
      </w:r>
    </w:p>
    <w:p w:rsidR="00101A77" w:rsidRDefault="00101A77" w:rsidP="00A311AF">
      <w:pPr>
        <w:rPr>
          <w:lang w:val="es-ES_tradnl"/>
        </w:rPr>
      </w:pPr>
      <w:r w:rsidRPr="00101A77">
        <w:rPr>
          <w:lang w:val="es-ES_tradnl"/>
        </w:rPr>
        <w:t xml:space="preserve">En una medición en tiempo real la señal temporal en una cierta anchura de banda se muestrea sin pérdida de ninguna muestra. La cuestión es </w:t>
      </w:r>
      <w:r w:rsidR="00AA598D">
        <w:rPr>
          <w:lang w:val="es-ES_tradnl"/>
        </w:rPr>
        <w:t xml:space="preserve">saber </w:t>
      </w:r>
      <w:r w:rsidRPr="00101A77">
        <w:rPr>
          <w:lang w:val="es-ES_tradnl"/>
        </w:rPr>
        <w:t xml:space="preserve">si esto es necesario para realizar la comprobación técnica de los SRD. </w:t>
      </w:r>
      <w:r w:rsidR="00AA598D">
        <w:rPr>
          <w:lang w:val="es-ES_tradnl"/>
        </w:rPr>
        <w:t>En caso de que se pretenda</w:t>
      </w:r>
      <w:r w:rsidRPr="00101A77">
        <w:rPr>
          <w:lang w:val="es-ES_tradnl"/>
        </w:rPr>
        <w:t xml:space="preserve"> determinar el comportamiento de dispositivos individuales o si se desconocen las características de transmisión la respuesta es afirmativa</w:t>
      </w:r>
      <w:r w:rsidR="00AA598D">
        <w:rPr>
          <w:lang w:val="es-ES_tradnl"/>
        </w:rPr>
        <w:t>,</w:t>
      </w:r>
      <w:r w:rsidRPr="00101A77">
        <w:rPr>
          <w:lang w:val="es-ES_tradnl"/>
        </w:rPr>
        <w:t xml:space="preserve"> pero </w:t>
      </w:r>
      <w:r w:rsidR="00AA598D">
        <w:rPr>
          <w:lang w:val="es-ES_tradnl"/>
        </w:rPr>
        <w:t>hay que</w:t>
      </w:r>
      <w:r w:rsidRPr="00101A77">
        <w:rPr>
          <w:lang w:val="es-ES_tradnl"/>
        </w:rPr>
        <w:t xml:space="preserve"> ser </w:t>
      </w:r>
      <w:r w:rsidR="00AA598D">
        <w:rPr>
          <w:lang w:val="es-ES_tradnl"/>
        </w:rPr>
        <w:t>prudentes</w:t>
      </w:r>
      <w:r w:rsidRPr="00101A77">
        <w:rPr>
          <w:lang w:val="es-ES_tradnl"/>
        </w:rPr>
        <w:t xml:space="preserve">. Para cifras de ocupación de dispositivos con </w:t>
      </w:r>
      <w:r w:rsidR="00AA598D">
        <w:rPr>
          <w:lang w:val="es-ES_tradnl"/>
        </w:rPr>
        <w:t xml:space="preserve">unas </w:t>
      </w:r>
      <w:r w:rsidRPr="00101A77">
        <w:rPr>
          <w:lang w:val="es-ES_tradnl"/>
        </w:rPr>
        <w:t xml:space="preserve">características de transmisión </w:t>
      </w:r>
      <w:r w:rsidR="00AA598D" w:rsidRPr="00101A77">
        <w:rPr>
          <w:lang w:val="es-ES_tradnl"/>
        </w:rPr>
        <w:t>razonable</w:t>
      </w:r>
      <w:r w:rsidR="00AA598D">
        <w:rPr>
          <w:lang w:val="es-ES_tradnl"/>
        </w:rPr>
        <w:t>s</w:t>
      </w:r>
      <w:r w:rsidR="00AA598D" w:rsidRPr="00101A77">
        <w:rPr>
          <w:lang w:val="es-ES_tradnl"/>
        </w:rPr>
        <w:t xml:space="preserve"> constante</w:t>
      </w:r>
      <w:r w:rsidR="00AA598D">
        <w:rPr>
          <w:lang w:val="es-ES_tradnl"/>
        </w:rPr>
        <w:t>s</w:t>
      </w:r>
      <w:r w:rsidR="00AA598D" w:rsidRPr="00101A77">
        <w:rPr>
          <w:lang w:val="es-ES_tradnl"/>
        </w:rPr>
        <w:t xml:space="preserve"> </w:t>
      </w:r>
      <w:r w:rsidR="00AA598D">
        <w:rPr>
          <w:lang w:val="es-ES_tradnl"/>
        </w:rPr>
        <w:t xml:space="preserve">y </w:t>
      </w:r>
      <w:r w:rsidRPr="00101A77">
        <w:rPr>
          <w:lang w:val="es-ES_tradnl"/>
        </w:rPr>
        <w:t>conocidas la respuesta es negativa. Los dispositivos transmitirán a intervalos regulares y</w:t>
      </w:r>
      <w:r w:rsidR="00AA598D">
        <w:rPr>
          <w:lang w:val="es-ES_tradnl"/>
        </w:rPr>
        <w:t>,</w:t>
      </w:r>
      <w:r w:rsidRPr="00101A77">
        <w:rPr>
          <w:lang w:val="es-ES_tradnl"/>
        </w:rPr>
        <w:t xml:space="preserve"> por consiguiente</w:t>
      </w:r>
      <w:r w:rsidR="00AA598D">
        <w:rPr>
          <w:lang w:val="es-ES_tradnl"/>
        </w:rPr>
        <w:t>,</w:t>
      </w:r>
      <w:r w:rsidRPr="00101A77">
        <w:rPr>
          <w:lang w:val="es-ES_tradnl"/>
        </w:rPr>
        <w:t xml:space="preserve"> hay una elevada probabilidad de detección. Este principio de muestreo repetitivo funciona adecuadamente pero para convertir los resultados a una cifra de ocupación precisa razonable </w:t>
      </w:r>
      <w:r w:rsidR="00A311AF">
        <w:rPr>
          <w:lang w:val="es-ES_tradnl"/>
        </w:rPr>
        <w:t>es preciso</w:t>
      </w:r>
      <w:r w:rsidRPr="00101A77">
        <w:rPr>
          <w:lang w:val="es-ES_tradnl"/>
        </w:rPr>
        <w:t xml:space="preserve"> elegir </w:t>
      </w:r>
      <w:r w:rsidR="00A311AF">
        <w:rPr>
          <w:lang w:val="es-ES_tradnl"/>
        </w:rPr>
        <w:t xml:space="preserve">cuidadosamente </w:t>
      </w:r>
      <w:r w:rsidRPr="00101A77">
        <w:rPr>
          <w:lang w:val="es-ES_tradnl"/>
        </w:rPr>
        <w:t xml:space="preserve">la velocidad de medición </w:t>
      </w:r>
      <w:r w:rsidR="00A311AF">
        <w:rPr>
          <w:lang w:val="es-ES_tradnl"/>
        </w:rPr>
        <w:t>y el</w:t>
      </w:r>
      <w:r w:rsidRPr="00101A77">
        <w:rPr>
          <w:lang w:val="es-ES_tradnl"/>
        </w:rPr>
        <w:t xml:space="preserve"> tiempo de re</w:t>
      </w:r>
      <w:r w:rsidR="00A311AF">
        <w:rPr>
          <w:lang w:val="es-ES_tradnl"/>
        </w:rPr>
        <w:t>visitado</w:t>
      </w:r>
      <w:r w:rsidRPr="00101A77">
        <w:rPr>
          <w:lang w:val="es-ES_tradnl"/>
        </w:rPr>
        <w:t xml:space="preserve">. El cociente (periodo de medición)/(tiempo de </w:t>
      </w:r>
      <w:r w:rsidR="00A311AF" w:rsidRPr="00101A77">
        <w:rPr>
          <w:lang w:val="es-ES_tradnl"/>
        </w:rPr>
        <w:t>re</w:t>
      </w:r>
      <w:r w:rsidR="00A311AF">
        <w:rPr>
          <w:lang w:val="es-ES_tradnl"/>
        </w:rPr>
        <w:t>visitado</w:t>
      </w:r>
      <w:r w:rsidRPr="00101A77">
        <w:rPr>
          <w:lang w:val="es-ES_tradnl"/>
        </w:rPr>
        <w:t>) debe ajustarse al periodo de transmisión de los dispositivos esperados.</w:t>
      </w:r>
    </w:p>
    <w:p w:rsidR="00101A77" w:rsidRPr="00101A77" w:rsidRDefault="00101A77" w:rsidP="00CF6E84">
      <w:pPr>
        <w:rPr>
          <w:lang w:val="es-ES_tradnl"/>
        </w:rPr>
      </w:pPr>
      <w:r w:rsidRPr="00101A77">
        <w:rPr>
          <w:lang w:val="es-ES_tradnl"/>
        </w:rPr>
        <w:t xml:space="preserve">Si se utiliza un analizador (digital) en tiempo real es necesario tomar las debidas precauciones a causa del siguiente fenómeno. Para convertir los datos de tiempo en datos del espectro </w:t>
      </w:r>
      <w:r w:rsidR="00A311AF">
        <w:rPr>
          <w:lang w:val="es-ES_tradnl"/>
        </w:rPr>
        <w:t>se necesita</w:t>
      </w:r>
      <w:r w:rsidRPr="00101A77">
        <w:rPr>
          <w:lang w:val="es-ES_tradnl"/>
        </w:rPr>
        <w:t xml:space="preserve"> tomar un bloque de muestras en un cierto intervalo de tiempo. Dentro de este bloque de muestras pueden producirse cambios que no </w:t>
      </w:r>
      <w:r w:rsidR="00A311AF">
        <w:rPr>
          <w:lang w:val="es-ES_tradnl"/>
        </w:rPr>
        <w:t>aparecen</w:t>
      </w:r>
      <w:r w:rsidRPr="00101A77">
        <w:rPr>
          <w:lang w:val="es-ES_tradnl"/>
        </w:rPr>
        <w:t xml:space="preserve"> en el monitor espectral. Debido a los breves periodos de transmisión de los SRD la ocupación puede sobrestimarse si </w:t>
      </w:r>
      <w:r w:rsidR="00A311AF">
        <w:rPr>
          <w:lang w:val="es-ES_tradnl"/>
        </w:rPr>
        <w:t xml:space="preserve">elige un intervalo de </w:t>
      </w:r>
      <w:r w:rsidRPr="00101A77">
        <w:rPr>
          <w:lang w:val="es-ES_tradnl"/>
        </w:rPr>
        <w:t xml:space="preserve">tiempo demasiado elevado para el bloque de muestras. </w:t>
      </w:r>
      <w:r w:rsidR="00A311AF">
        <w:rPr>
          <w:lang w:val="es-ES_tradnl"/>
        </w:rPr>
        <w:t>En</w:t>
      </w:r>
      <w:r w:rsidRPr="00101A77">
        <w:rPr>
          <w:lang w:val="es-ES_tradnl"/>
        </w:rPr>
        <w:t xml:space="preserve"> este tipo de analizador </w:t>
      </w:r>
      <w:r w:rsidR="00CF6E84">
        <w:rPr>
          <w:lang w:val="es-ES_tradnl"/>
        </w:rPr>
        <w:t xml:space="preserve">se </w:t>
      </w:r>
      <w:r w:rsidRPr="00101A77">
        <w:rPr>
          <w:lang w:val="es-ES_tradnl"/>
        </w:rPr>
        <w:t xml:space="preserve">aplican las mismas «reglas» </w:t>
      </w:r>
      <w:r w:rsidR="00CF6E84">
        <w:rPr>
          <w:lang w:val="es-ES_tradnl"/>
        </w:rPr>
        <w:t>que en los</w:t>
      </w:r>
      <w:r w:rsidRPr="00101A77">
        <w:rPr>
          <w:lang w:val="es-ES_tradnl"/>
        </w:rPr>
        <w:t xml:space="preserve"> analizador</w:t>
      </w:r>
      <w:r w:rsidR="00CF6E84">
        <w:rPr>
          <w:lang w:val="es-ES_tradnl"/>
        </w:rPr>
        <w:t xml:space="preserve"> es</w:t>
      </w:r>
      <w:r w:rsidRPr="00101A77">
        <w:rPr>
          <w:lang w:val="es-ES_tradnl"/>
        </w:rPr>
        <w:t xml:space="preserve"> de barrido o exploración. En este caso es necesario realizar una adaptación similar que para el analizador de barrido pero la fórmula empleada cambia</w:t>
      </w:r>
      <w:r w:rsidR="00CF6E84">
        <w:rPr>
          <w:lang w:val="es-ES_tradnl"/>
        </w:rPr>
        <w:t xml:space="preserve">, pasando a ser </w:t>
      </w:r>
      <w:r w:rsidRPr="00101A77">
        <w:rPr>
          <w:lang w:val="es-ES_tradnl"/>
        </w:rPr>
        <w:t>(periodo de medición)/(tiempo de muestreo* tamaño de ventana) que</w:t>
      </w:r>
      <w:r w:rsidR="00CF6E84">
        <w:rPr>
          <w:lang w:val="es-ES_tradnl"/>
        </w:rPr>
        <w:t>,</w:t>
      </w:r>
      <w:r w:rsidRPr="00101A77">
        <w:rPr>
          <w:lang w:val="es-ES_tradnl"/>
        </w:rPr>
        <w:t xml:space="preserve"> de nuevo</w:t>
      </w:r>
      <w:r w:rsidR="00CF6E84">
        <w:rPr>
          <w:lang w:val="es-ES_tradnl"/>
        </w:rPr>
        <w:t>,</w:t>
      </w:r>
      <w:r w:rsidRPr="00101A77">
        <w:rPr>
          <w:lang w:val="es-ES_tradnl"/>
        </w:rPr>
        <w:t xml:space="preserve"> debe basarse en el periodo de transmisión de los dispositivos esperados.</w:t>
      </w:r>
    </w:p>
    <w:p w:rsidR="00101A77" w:rsidRPr="00101A77" w:rsidRDefault="00101A77" w:rsidP="00101A77">
      <w:pPr>
        <w:rPr>
          <w:b/>
          <w:lang w:val="es-ES_tradnl"/>
        </w:rPr>
      </w:pPr>
      <w:r w:rsidRPr="00101A77">
        <w:rPr>
          <w:b/>
          <w:lang w:val="es-ES_tradnl"/>
        </w:rPr>
        <w:t>2.5</w:t>
      </w:r>
      <w:r w:rsidRPr="00101A77">
        <w:rPr>
          <w:b/>
          <w:lang w:val="es-ES_tradnl"/>
        </w:rPr>
        <w:tab/>
        <w:t>¿Son necesarias las mediciones móviles?</w:t>
      </w:r>
    </w:p>
    <w:p w:rsidR="00101A77" w:rsidRPr="00101A77" w:rsidRDefault="00101A77" w:rsidP="00CF6E84">
      <w:pPr>
        <w:rPr>
          <w:lang w:val="es-ES_tradnl"/>
        </w:rPr>
      </w:pPr>
      <w:r w:rsidRPr="00101A77">
        <w:rPr>
          <w:lang w:val="es-ES_tradnl"/>
        </w:rPr>
        <w:t xml:space="preserve">En el § 2.2 se ha </w:t>
      </w:r>
      <w:r w:rsidR="00CF6E84">
        <w:rPr>
          <w:lang w:val="es-ES_tradnl"/>
        </w:rPr>
        <w:t xml:space="preserve">llegado a la </w:t>
      </w:r>
      <w:r w:rsidRPr="00101A77">
        <w:rPr>
          <w:lang w:val="es-ES_tradnl"/>
        </w:rPr>
        <w:t>conclu</w:t>
      </w:r>
      <w:r w:rsidR="00CF6E84">
        <w:rPr>
          <w:lang w:val="es-ES_tradnl"/>
        </w:rPr>
        <w:t xml:space="preserve">sión de </w:t>
      </w:r>
      <w:r w:rsidRPr="00101A77">
        <w:rPr>
          <w:lang w:val="es-ES_tradnl"/>
        </w:rPr>
        <w:t xml:space="preserve">que un montaje fijo no ofrece resultados representativos pero la realización de mediciones completamente móviles </w:t>
      </w:r>
      <w:r w:rsidR="00CF6E84">
        <w:rPr>
          <w:lang w:val="es-ES_tradnl"/>
        </w:rPr>
        <w:t xml:space="preserve">no </w:t>
      </w:r>
      <w:r w:rsidRPr="00101A77">
        <w:rPr>
          <w:lang w:val="es-ES_tradnl"/>
        </w:rPr>
        <w:t xml:space="preserve">proporcionan la ocupación real </w:t>
      </w:r>
      <w:r w:rsidR="00CF6E84">
        <w:rPr>
          <w:lang w:val="es-ES_tradnl"/>
        </w:rPr>
        <w:t>con</w:t>
      </w:r>
      <w:r w:rsidRPr="00101A77">
        <w:rPr>
          <w:lang w:val="es-ES_tradnl"/>
        </w:rPr>
        <w:t xml:space="preserve"> una baja probabilidad de intercepción.</w:t>
      </w:r>
    </w:p>
    <w:p w:rsidR="00101A77" w:rsidRPr="00101A77" w:rsidRDefault="00101A77" w:rsidP="00CF6E84">
      <w:pPr>
        <w:rPr>
          <w:lang w:val="es-ES_tradnl"/>
        </w:rPr>
      </w:pPr>
      <w:r w:rsidRPr="00101A77">
        <w:rPr>
          <w:lang w:val="es-ES_tradnl"/>
        </w:rPr>
        <w:t xml:space="preserve">Sin embargo, puede utilizarse un montaje móvil para determinar la presencia de SRD </w:t>
      </w:r>
      <w:r w:rsidR="00CF6E84">
        <w:rPr>
          <w:lang w:val="es-ES_tradnl"/>
        </w:rPr>
        <w:t>d</w:t>
      </w:r>
      <w:r w:rsidRPr="00101A77">
        <w:rPr>
          <w:lang w:val="es-ES_tradnl"/>
        </w:rPr>
        <w:t>e potencia relativamente elevada</w:t>
      </w:r>
      <w:r w:rsidR="00CF6E84">
        <w:rPr>
          <w:lang w:val="es-ES_tradnl"/>
        </w:rPr>
        <w:t>,</w:t>
      </w:r>
      <w:r w:rsidRPr="00101A77">
        <w:rPr>
          <w:lang w:val="es-ES_tradnl"/>
        </w:rPr>
        <w:t xml:space="preserve"> pero también para encontrar puntos de máxima concentración </w:t>
      </w:r>
      <w:r w:rsidR="00CF6E84" w:rsidRPr="00CF6E84">
        <w:rPr>
          <w:lang w:val="es-ES_tradnl"/>
        </w:rPr>
        <w:t>(«hotspots»)</w:t>
      </w:r>
      <w:r w:rsidR="00CF6E84">
        <w:rPr>
          <w:lang w:val="es-ES_tradnl"/>
        </w:rPr>
        <w:t xml:space="preserve"> </w:t>
      </w:r>
      <w:r w:rsidRPr="00101A77">
        <w:rPr>
          <w:lang w:val="es-ES_tradnl"/>
        </w:rPr>
        <w:t>y zonas calientes. Se recomienda realizar una investigación plenamente móvil además de la medición estática en el punto de máxima concentración o zona caliente</w:t>
      </w:r>
      <w:r w:rsidR="00CF6E84">
        <w:rPr>
          <w:lang w:val="es-ES_tradnl"/>
        </w:rPr>
        <w:t>, pero</w:t>
      </w:r>
      <w:r w:rsidRPr="00101A77">
        <w:rPr>
          <w:lang w:val="es-ES_tradnl"/>
        </w:rPr>
        <w:t xml:space="preserve"> puede realizarse con una probabilidad de intercepción menor que las mediciones fijas. La Fig</w:t>
      </w:r>
      <w:r w:rsidR="00CF6E84">
        <w:rPr>
          <w:lang w:val="es-ES_tradnl"/>
        </w:rPr>
        <w:t>.</w:t>
      </w:r>
      <w:r w:rsidRPr="00101A77">
        <w:rPr>
          <w:lang w:val="es-ES_tradnl"/>
        </w:rPr>
        <w:t> 2 es la representación del resultado de una medición real llevada a cabo en una zona de aparcamiento en el Reino Unido.</w:t>
      </w:r>
    </w:p>
    <w:p w:rsidR="00101A77" w:rsidRDefault="00101A77" w:rsidP="00CF6E84">
      <w:pPr>
        <w:pStyle w:val="FigureNo"/>
        <w:rPr>
          <w:lang w:val="es-ES_tradnl"/>
        </w:rPr>
      </w:pPr>
      <w:r w:rsidRPr="00101A77">
        <w:rPr>
          <w:lang w:val="es-ES_tradnl"/>
        </w:rPr>
        <w:lastRenderedPageBreak/>
        <w:t>FigurA 2</w:t>
      </w:r>
    </w:p>
    <w:p w:rsidR="00CF6E84" w:rsidRDefault="00CF6E84" w:rsidP="00CF6E84">
      <w:pPr>
        <w:pStyle w:val="Figuretitle"/>
        <w:rPr>
          <w:b w:val="0"/>
          <w:lang w:val="es-ES_tradnl"/>
        </w:rPr>
      </w:pPr>
      <w:r w:rsidRPr="00101A77">
        <w:rPr>
          <w:b w:val="0"/>
          <w:lang w:val="es-ES_tradnl"/>
        </w:rPr>
        <w:t>Ejemplo de medición móvil</w:t>
      </w:r>
    </w:p>
    <w:p w:rsidR="00BE42DD" w:rsidRDefault="00BE42DD" w:rsidP="006B2558">
      <w:pPr>
        <w:pStyle w:val="Figure"/>
        <w:rPr>
          <w:lang w:val="es-ES_tradnl"/>
        </w:rPr>
      </w:pPr>
      <w:r w:rsidRPr="007C4292">
        <w:rPr>
          <w:lang w:val="es-ES_tradnl"/>
        </w:rPr>
        <w:object w:dxaOrig="10190" w:dyaOrig="6029">
          <v:shape id="_x0000_i1026" type="#_x0000_t75" style="width:509.5pt;height:301.15pt" o:ole="">
            <v:imagedata r:id="rId15" o:title=""/>
          </v:shape>
          <o:OLEObject Type="Embed" ProgID="CorelDRAW.Graphic.14" ShapeID="_x0000_i1026" DrawAspect="Content" ObjectID="_1334147110" r:id="rId16"/>
        </w:object>
      </w:r>
    </w:p>
    <w:p w:rsidR="006B2558" w:rsidRPr="006B2558" w:rsidRDefault="006B2558" w:rsidP="006B2558">
      <w:pPr>
        <w:spacing w:before="0"/>
        <w:rPr>
          <w:lang w:val="es-ES_tradnl"/>
        </w:rPr>
      </w:pPr>
    </w:p>
    <w:p w:rsidR="00101A77" w:rsidRPr="00101A77" w:rsidRDefault="00101A77" w:rsidP="00101A77">
      <w:pPr>
        <w:rPr>
          <w:b/>
          <w:lang w:val="es-ES_tradnl"/>
        </w:rPr>
      </w:pPr>
      <w:bookmarkStart w:id="13" w:name="_Toc242157277"/>
      <w:bookmarkStart w:id="14" w:name="_Toc250970857"/>
      <w:bookmarkStart w:id="15" w:name="_Toc250981213"/>
      <w:r w:rsidRPr="00101A77">
        <w:rPr>
          <w:b/>
          <w:lang w:val="es-ES_tradnl"/>
        </w:rPr>
        <w:t>2.6</w:t>
      </w:r>
      <w:r w:rsidRPr="00101A77">
        <w:rPr>
          <w:b/>
          <w:lang w:val="es-ES_tradnl"/>
        </w:rPr>
        <w:tab/>
      </w:r>
      <w:bookmarkEnd w:id="13"/>
      <w:bookmarkEnd w:id="14"/>
      <w:bookmarkEnd w:id="15"/>
      <w:r w:rsidRPr="00101A77">
        <w:rPr>
          <w:b/>
          <w:lang w:val="es-ES_tradnl"/>
        </w:rPr>
        <w:t>Umbral de detección (forma de programar el analizador de espectro o el receptor)</w:t>
      </w:r>
    </w:p>
    <w:p w:rsidR="00101A77" w:rsidRPr="00101A77" w:rsidRDefault="00101A77" w:rsidP="009420CF">
      <w:pPr>
        <w:rPr>
          <w:lang w:val="es-ES_tradnl"/>
        </w:rPr>
      </w:pPr>
      <w:r w:rsidRPr="00101A77">
        <w:rPr>
          <w:lang w:val="es-ES_tradnl"/>
        </w:rPr>
        <w:t xml:space="preserve">En el </w:t>
      </w:r>
      <w:r w:rsidR="00173476" w:rsidRPr="00101A77">
        <w:rPr>
          <w:lang w:val="es-ES_tradnl"/>
        </w:rPr>
        <w:t xml:space="preserve">Cuadro </w:t>
      </w:r>
      <w:r w:rsidRPr="00101A77">
        <w:rPr>
          <w:lang w:val="es-ES_tradnl"/>
        </w:rPr>
        <w:t xml:space="preserve">siguiente aparecen algunos valores típicos del umbral de detección </w:t>
      </w:r>
      <w:r w:rsidR="009420CF">
        <w:rPr>
          <w:lang w:val="es-ES_tradnl"/>
        </w:rPr>
        <w:t>obtenidos con</w:t>
      </w:r>
      <w:r w:rsidRPr="00101A77">
        <w:rPr>
          <w:lang w:val="es-ES_tradnl"/>
        </w:rPr>
        <w:t xml:space="preserve"> un analizador de espectro </w:t>
      </w:r>
      <w:r w:rsidR="009420CF">
        <w:rPr>
          <w:lang w:val="es-ES_tradnl"/>
        </w:rPr>
        <w:t>de calidad</w:t>
      </w:r>
      <w:r w:rsidRPr="00101A77">
        <w:rPr>
          <w:lang w:val="es-ES_tradnl"/>
        </w:rPr>
        <w:t xml:space="preserve"> medi</w:t>
      </w:r>
      <w:r w:rsidR="009420CF">
        <w:rPr>
          <w:lang w:val="es-ES_tradnl"/>
        </w:rPr>
        <w:t>a</w:t>
      </w:r>
      <w:r w:rsidRPr="00101A77">
        <w:rPr>
          <w:lang w:val="es-ES_tradnl"/>
        </w:rPr>
        <w:t>. El criterio para la detección es el de que una señal se encuentre al menos 3 dB por encima del ruido de fondo de los receptores.</w:t>
      </w:r>
    </w:p>
    <w:p w:rsidR="00101A77" w:rsidRPr="00101A77" w:rsidRDefault="00101A77" w:rsidP="00101A77">
      <w:pPr>
        <w:rPr>
          <w:lang w:val="es-ES_tradnl"/>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2835"/>
        <w:gridCol w:w="2268"/>
      </w:tblGrid>
      <w:tr w:rsidR="00101A77" w:rsidRPr="002931E4" w:rsidTr="00173476">
        <w:trPr>
          <w:trHeight w:val="100"/>
          <w:jc w:val="center"/>
        </w:trPr>
        <w:tc>
          <w:tcPr>
            <w:tcW w:w="2268" w:type="dxa"/>
            <w:tcBorders>
              <w:bottom w:val="single" w:sz="4" w:space="0" w:color="auto"/>
            </w:tcBorders>
            <w:shd w:val="clear" w:color="auto" w:fill="auto"/>
            <w:vAlign w:val="center"/>
          </w:tcPr>
          <w:p w:rsidR="00101A77" w:rsidRPr="00101A77" w:rsidRDefault="00101A77" w:rsidP="00173476">
            <w:pPr>
              <w:pStyle w:val="Tablehead"/>
              <w:rPr>
                <w:lang w:val="es-ES_tradnl"/>
              </w:rPr>
            </w:pPr>
            <w:r w:rsidRPr="00101A77">
              <w:rPr>
                <w:lang w:val="es-ES_tradnl"/>
              </w:rPr>
              <w:t>Anchura de banda</w:t>
            </w:r>
            <w:r w:rsidR="00173476">
              <w:rPr>
                <w:lang w:val="es-ES_tradnl"/>
              </w:rPr>
              <w:br/>
            </w:r>
            <w:r w:rsidRPr="00101A77">
              <w:rPr>
                <w:lang w:val="es-ES_tradnl"/>
              </w:rPr>
              <w:t xml:space="preserve">de filtro </w:t>
            </w:r>
            <w:r w:rsidRPr="00101A77">
              <w:rPr>
                <w:lang w:val="es-ES_tradnl"/>
              </w:rPr>
              <w:br/>
              <w:t>(kHz)</w:t>
            </w:r>
          </w:p>
        </w:tc>
        <w:tc>
          <w:tcPr>
            <w:tcW w:w="2835" w:type="dxa"/>
            <w:tcBorders>
              <w:bottom w:val="single" w:sz="4" w:space="0" w:color="auto"/>
            </w:tcBorders>
            <w:shd w:val="clear" w:color="auto" w:fill="auto"/>
            <w:vAlign w:val="center"/>
          </w:tcPr>
          <w:p w:rsidR="00101A77" w:rsidRPr="00101A77" w:rsidRDefault="00101A77" w:rsidP="00173476">
            <w:pPr>
              <w:pStyle w:val="Tablehead"/>
              <w:rPr>
                <w:lang w:val="es-ES_tradnl"/>
              </w:rPr>
            </w:pPr>
            <w:r w:rsidRPr="00101A77">
              <w:rPr>
                <w:lang w:val="es-ES_tradnl"/>
              </w:rPr>
              <w:t>Umbral de detección para</w:t>
            </w:r>
            <w:r w:rsidR="00173476">
              <w:rPr>
                <w:lang w:val="es-ES_tradnl"/>
              </w:rPr>
              <w:br/>
            </w:r>
            <w:r w:rsidRPr="00101A77">
              <w:rPr>
                <w:lang w:val="es-ES_tradnl"/>
              </w:rPr>
              <w:t xml:space="preserve">la tensión de entrada </w:t>
            </w:r>
            <w:r w:rsidRPr="00101A77">
              <w:rPr>
                <w:lang w:val="es-ES_tradnl"/>
              </w:rPr>
              <w:br/>
              <w:t>(dB(µV))</w:t>
            </w:r>
          </w:p>
        </w:tc>
        <w:tc>
          <w:tcPr>
            <w:tcW w:w="2268" w:type="dxa"/>
            <w:tcBorders>
              <w:bottom w:val="single" w:sz="4" w:space="0" w:color="auto"/>
            </w:tcBorders>
            <w:shd w:val="clear" w:color="auto" w:fill="auto"/>
            <w:vAlign w:val="center"/>
          </w:tcPr>
          <w:p w:rsidR="00101A77" w:rsidRPr="002931E4" w:rsidRDefault="00101A77" w:rsidP="00173476">
            <w:pPr>
              <w:pStyle w:val="Tablehead"/>
              <w:rPr>
                <w:lang w:val="en-US"/>
              </w:rPr>
            </w:pPr>
            <w:r w:rsidRPr="002931E4">
              <w:rPr>
                <w:lang w:val="en-US"/>
              </w:rPr>
              <w:t>Tiempo de</w:t>
            </w:r>
            <w:r w:rsidR="00173476">
              <w:rPr>
                <w:lang w:val="en-US"/>
              </w:rPr>
              <w:t xml:space="preserve"> revisitado</w:t>
            </w:r>
            <w:r w:rsidRPr="002931E4">
              <w:rPr>
                <w:lang w:val="en-US"/>
              </w:rPr>
              <w:br/>
              <w:t>(ms)</w:t>
            </w:r>
          </w:p>
        </w:tc>
      </w:tr>
      <w:tr w:rsidR="00101A77" w:rsidRPr="002931E4" w:rsidTr="00173476">
        <w:trPr>
          <w:trHeight w:val="70"/>
          <w:jc w:val="center"/>
        </w:trPr>
        <w:tc>
          <w:tcPr>
            <w:tcW w:w="2268" w:type="dxa"/>
            <w:tcBorders>
              <w:bottom w:val="single" w:sz="4" w:space="0" w:color="auto"/>
            </w:tcBorders>
            <w:shd w:val="clear" w:color="auto" w:fill="auto"/>
          </w:tcPr>
          <w:p w:rsidR="00101A77" w:rsidRPr="002931E4" w:rsidRDefault="00173476" w:rsidP="001734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9"/>
              </w:tabs>
              <w:jc w:val="left"/>
              <w:rPr>
                <w:lang w:val="en-US"/>
              </w:rPr>
            </w:pPr>
            <w:r>
              <w:rPr>
                <w:lang w:val="en-US"/>
              </w:rPr>
              <w:tab/>
            </w:r>
            <w:r w:rsidR="00101A77" w:rsidRPr="002931E4">
              <w:rPr>
                <w:lang w:val="en-US"/>
              </w:rPr>
              <w:t>1</w:t>
            </w:r>
          </w:p>
        </w:tc>
        <w:tc>
          <w:tcPr>
            <w:tcW w:w="2835"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46"/>
              </w:tabs>
              <w:jc w:val="left"/>
              <w:rPr>
                <w:lang w:val="en-US"/>
              </w:rPr>
            </w:pPr>
            <w:r>
              <w:rPr>
                <w:lang w:val="en-US"/>
              </w:rPr>
              <w:tab/>
            </w:r>
            <w:r w:rsidR="00101A77" w:rsidRPr="002931E4">
              <w:rPr>
                <w:lang w:val="en-US"/>
              </w:rPr>
              <w:t>0</w:t>
            </w:r>
          </w:p>
        </w:tc>
        <w:tc>
          <w:tcPr>
            <w:tcW w:w="2268"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32"/>
              </w:tabs>
              <w:jc w:val="left"/>
              <w:rPr>
                <w:lang w:val="en-US"/>
              </w:rPr>
            </w:pPr>
            <w:r>
              <w:rPr>
                <w:lang w:val="en-US"/>
              </w:rPr>
              <w:tab/>
            </w:r>
            <w:r w:rsidR="00101A77" w:rsidRPr="002931E4">
              <w:rPr>
                <w:lang w:val="en-US"/>
              </w:rPr>
              <w:t>7 000</w:t>
            </w:r>
          </w:p>
        </w:tc>
      </w:tr>
      <w:tr w:rsidR="00101A77" w:rsidRPr="002931E4" w:rsidTr="00173476">
        <w:trPr>
          <w:trHeight w:val="120"/>
          <w:jc w:val="center"/>
        </w:trPr>
        <w:tc>
          <w:tcPr>
            <w:tcW w:w="2268" w:type="dxa"/>
            <w:shd w:val="clear" w:color="auto" w:fill="auto"/>
          </w:tcPr>
          <w:p w:rsidR="00101A77" w:rsidRPr="002931E4" w:rsidRDefault="00173476" w:rsidP="001734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9"/>
              </w:tabs>
              <w:jc w:val="left"/>
              <w:rPr>
                <w:lang w:val="en-US"/>
              </w:rPr>
            </w:pPr>
            <w:r>
              <w:rPr>
                <w:lang w:val="en-US"/>
              </w:rPr>
              <w:tab/>
            </w:r>
            <w:r w:rsidR="00101A77" w:rsidRPr="002931E4">
              <w:rPr>
                <w:lang w:val="en-US"/>
              </w:rPr>
              <w:t>3</w:t>
            </w:r>
          </w:p>
        </w:tc>
        <w:tc>
          <w:tcPr>
            <w:tcW w:w="2835" w:type="dxa"/>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46"/>
              </w:tabs>
              <w:jc w:val="left"/>
              <w:rPr>
                <w:lang w:val="en-US"/>
              </w:rPr>
            </w:pPr>
            <w:r>
              <w:rPr>
                <w:lang w:val="en-US"/>
              </w:rPr>
              <w:tab/>
            </w:r>
            <w:r w:rsidR="00101A77" w:rsidRPr="002931E4">
              <w:rPr>
                <w:lang w:val="en-US"/>
              </w:rPr>
              <w:t>5</w:t>
            </w:r>
          </w:p>
        </w:tc>
        <w:tc>
          <w:tcPr>
            <w:tcW w:w="2268" w:type="dxa"/>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32"/>
              </w:tabs>
              <w:jc w:val="left"/>
              <w:rPr>
                <w:lang w:val="en-US"/>
              </w:rPr>
            </w:pPr>
            <w:r>
              <w:rPr>
                <w:lang w:val="en-US"/>
              </w:rPr>
              <w:tab/>
            </w:r>
            <w:r w:rsidR="00101A77" w:rsidRPr="002931E4">
              <w:rPr>
                <w:lang w:val="en-US"/>
              </w:rPr>
              <w:t>780</w:t>
            </w:r>
          </w:p>
        </w:tc>
      </w:tr>
      <w:tr w:rsidR="00101A77" w:rsidRPr="002931E4" w:rsidTr="00173476">
        <w:trPr>
          <w:trHeight w:val="139"/>
          <w:jc w:val="center"/>
        </w:trPr>
        <w:tc>
          <w:tcPr>
            <w:tcW w:w="2268" w:type="dxa"/>
            <w:tcBorders>
              <w:bottom w:val="single" w:sz="4" w:space="0" w:color="auto"/>
            </w:tcBorders>
            <w:shd w:val="clear" w:color="auto" w:fill="auto"/>
          </w:tcPr>
          <w:p w:rsidR="00101A77" w:rsidRPr="002931E4" w:rsidRDefault="00173476" w:rsidP="001734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9"/>
              </w:tabs>
              <w:jc w:val="left"/>
              <w:rPr>
                <w:lang w:val="en-US"/>
              </w:rPr>
            </w:pPr>
            <w:r>
              <w:rPr>
                <w:lang w:val="en-US"/>
              </w:rPr>
              <w:tab/>
            </w:r>
            <w:r w:rsidR="00101A77" w:rsidRPr="002931E4">
              <w:rPr>
                <w:lang w:val="en-US"/>
              </w:rPr>
              <w:t>10</w:t>
            </w:r>
          </w:p>
        </w:tc>
        <w:tc>
          <w:tcPr>
            <w:tcW w:w="2835"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46"/>
              </w:tabs>
              <w:jc w:val="left"/>
              <w:rPr>
                <w:lang w:val="en-US"/>
              </w:rPr>
            </w:pPr>
            <w:r>
              <w:rPr>
                <w:lang w:val="en-US"/>
              </w:rPr>
              <w:tab/>
            </w:r>
            <w:r w:rsidR="00101A77" w:rsidRPr="002931E4">
              <w:rPr>
                <w:lang w:val="en-US"/>
              </w:rPr>
              <w:t>7</w:t>
            </w:r>
          </w:p>
        </w:tc>
        <w:tc>
          <w:tcPr>
            <w:tcW w:w="2268"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32"/>
              </w:tabs>
              <w:jc w:val="left"/>
              <w:rPr>
                <w:lang w:val="en-US"/>
              </w:rPr>
            </w:pPr>
            <w:r>
              <w:rPr>
                <w:lang w:val="en-US"/>
              </w:rPr>
              <w:tab/>
            </w:r>
            <w:r w:rsidR="00101A77" w:rsidRPr="002931E4">
              <w:rPr>
                <w:lang w:val="en-US"/>
              </w:rPr>
              <w:t>70</w:t>
            </w:r>
          </w:p>
        </w:tc>
      </w:tr>
      <w:tr w:rsidR="00101A77" w:rsidRPr="002931E4" w:rsidTr="00173476">
        <w:trPr>
          <w:trHeight w:val="70"/>
          <w:jc w:val="center"/>
        </w:trPr>
        <w:tc>
          <w:tcPr>
            <w:tcW w:w="2268" w:type="dxa"/>
            <w:shd w:val="clear" w:color="auto" w:fill="auto"/>
          </w:tcPr>
          <w:p w:rsidR="00101A77" w:rsidRPr="002931E4" w:rsidRDefault="00173476" w:rsidP="001734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9"/>
              </w:tabs>
              <w:jc w:val="left"/>
              <w:rPr>
                <w:lang w:val="en-US"/>
              </w:rPr>
            </w:pPr>
            <w:r>
              <w:rPr>
                <w:lang w:val="en-US"/>
              </w:rPr>
              <w:tab/>
            </w:r>
            <w:r w:rsidR="00101A77" w:rsidRPr="002931E4">
              <w:rPr>
                <w:lang w:val="en-US"/>
              </w:rPr>
              <w:t>30</w:t>
            </w:r>
          </w:p>
        </w:tc>
        <w:tc>
          <w:tcPr>
            <w:tcW w:w="2835" w:type="dxa"/>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46"/>
              </w:tabs>
              <w:jc w:val="left"/>
              <w:rPr>
                <w:lang w:val="en-US"/>
              </w:rPr>
            </w:pPr>
            <w:r>
              <w:rPr>
                <w:lang w:val="en-US"/>
              </w:rPr>
              <w:tab/>
            </w:r>
            <w:r w:rsidR="00101A77" w:rsidRPr="002931E4">
              <w:rPr>
                <w:lang w:val="en-US"/>
              </w:rPr>
              <w:t>10</w:t>
            </w:r>
          </w:p>
        </w:tc>
        <w:tc>
          <w:tcPr>
            <w:tcW w:w="2268" w:type="dxa"/>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332"/>
              </w:tabs>
              <w:jc w:val="left"/>
              <w:rPr>
                <w:lang w:val="en-US"/>
              </w:rPr>
            </w:pPr>
            <w:r>
              <w:rPr>
                <w:lang w:val="en-US"/>
              </w:rPr>
              <w:tab/>
            </w:r>
            <w:r w:rsidR="00101A77" w:rsidRPr="002931E4">
              <w:rPr>
                <w:lang w:val="en-US"/>
              </w:rPr>
              <w:t>10</w:t>
            </w:r>
          </w:p>
        </w:tc>
      </w:tr>
      <w:tr w:rsidR="00101A77" w:rsidRPr="002931E4" w:rsidTr="00173476">
        <w:trPr>
          <w:trHeight w:val="147"/>
          <w:jc w:val="center"/>
        </w:trPr>
        <w:tc>
          <w:tcPr>
            <w:tcW w:w="2268" w:type="dxa"/>
            <w:tcBorders>
              <w:bottom w:val="single" w:sz="4" w:space="0" w:color="auto"/>
            </w:tcBorders>
            <w:shd w:val="clear" w:color="auto" w:fill="auto"/>
          </w:tcPr>
          <w:p w:rsidR="00101A77" w:rsidRPr="002931E4" w:rsidRDefault="00173476" w:rsidP="001734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9"/>
              </w:tabs>
              <w:jc w:val="left"/>
              <w:rPr>
                <w:lang w:val="en-US"/>
              </w:rPr>
            </w:pPr>
            <w:r>
              <w:rPr>
                <w:lang w:val="en-US"/>
              </w:rPr>
              <w:tab/>
            </w:r>
            <w:r w:rsidR="00101A77" w:rsidRPr="002931E4">
              <w:rPr>
                <w:lang w:val="en-US"/>
              </w:rPr>
              <w:t>100</w:t>
            </w:r>
          </w:p>
        </w:tc>
        <w:tc>
          <w:tcPr>
            <w:tcW w:w="2835"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46"/>
              </w:tabs>
              <w:jc w:val="left"/>
              <w:rPr>
                <w:lang w:val="en-US"/>
              </w:rPr>
            </w:pPr>
            <w:r>
              <w:rPr>
                <w:lang w:val="en-US"/>
              </w:rPr>
              <w:tab/>
            </w:r>
            <w:r w:rsidR="00101A77" w:rsidRPr="002931E4">
              <w:rPr>
                <w:lang w:val="en-US"/>
              </w:rPr>
              <w:t>13</w:t>
            </w:r>
          </w:p>
        </w:tc>
        <w:tc>
          <w:tcPr>
            <w:tcW w:w="2268"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74"/>
              </w:tabs>
              <w:jc w:val="left"/>
              <w:rPr>
                <w:lang w:val="en-US"/>
              </w:rPr>
            </w:pPr>
            <w:r>
              <w:rPr>
                <w:lang w:val="en-US"/>
              </w:rPr>
              <w:tab/>
            </w:r>
            <w:r w:rsidR="00101A77" w:rsidRPr="002931E4">
              <w:rPr>
                <w:lang w:val="en-US"/>
              </w:rPr>
              <w:t>2,5</w:t>
            </w:r>
          </w:p>
        </w:tc>
      </w:tr>
      <w:tr w:rsidR="00101A77" w:rsidRPr="002931E4" w:rsidTr="00173476">
        <w:trPr>
          <w:trHeight w:val="70"/>
          <w:jc w:val="center"/>
        </w:trPr>
        <w:tc>
          <w:tcPr>
            <w:tcW w:w="2268" w:type="dxa"/>
            <w:tcBorders>
              <w:bottom w:val="single" w:sz="4" w:space="0" w:color="auto"/>
            </w:tcBorders>
            <w:shd w:val="clear" w:color="auto" w:fill="auto"/>
          </w:tcPr>
          <w:p w:rsidR="00101A77" w:rsidRPr="002931E4" w:rsidRDefault="00173476" w:rsidP="0017347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9"/>
              </w:tabs>
              <w:jc w:val="left"/>
              <w:rPr>
                <w:lang w:val="en-US"/>
              </w:rPr>
            </w:pPr>
            <w:r>
              <w:rPr>
                <w:lang w:val="en-US"/>
              </w:rPr>
              <w:tab/>
            </w:r>
            <w:r w:rsidR="00101A77" w:rsidRPr="002931E4">
              <w:rPr>
                <w:lang w:val="en-US"/>
              </w:rPr>
              <w:t>300</w:t>
            </w:r>
          </w:p>
        </w:tc>
        <w:tc>
          <w:tcPr>
            <w:tcW w:w="2835"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46"/>
              </w:tabs>
              <w:jc w:val="left"/>
              <w:rPr>
                <w:lang w:val="en-US"/>
              </w:rPr>
            </w:pPr>
            <w:r>
              <w:rPr>
                <w:lang w:val="en-US"/>
              </w:rPr>
              <w:tab/>
            </w:r>
            <w:r w:rsidR="00101A77" w:rsidRPr="002931E4">
              <w:rPr>
                <w:lang w:val="en-US"/>
              </w:rPr>
              <w:t>14</w:t>
            </w:r>
          </w:p>
        </w:tc>
        <w:tc>
          <w:tcPr>
            <w:tcW w:w="2268" w:type="dxa"/>
            <w:tcBorders>
              <w:bottom w:val="single" w:sz="4" w:space="0" w:color="auto"/>
            </w:tcBorders>
            <w:shd w:val="clear" w:color="auto" w:fill="auto"/>
          </w:tcPr>
          <w:p w:rsidR="00101A77" w:rsidRPr="002931E4" w:rsidRDefault="008C6363" w:rsidP="008C63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74"/>
              </w:tabs>
              <w:jc w:val="left"/>
              <w:rPr>
                <w:lang w:val="en-US"/>
              </w:rPr>
            </w:pPr>
            <w:r>
              <w:rPr>
                <w:lang w:val="en-US"/>
              </w:rPr>
              <w:tab/>
            </w:r>
            <w:r w:rsidR="00101A77" w:rsidRPr="002931E4">
              <w:rPr>
                <w:lang w:val="en-US"/>
              </w:rPr>
              <w:t>2,5</w:t>
            </w:r>
          </w:p>
        </w:tc>
      </w:tr>
    </w:tbl>
    <w:p w:rsidR="00101A77" w:rsidRDefault="00101A77" w:rsidP="00173476">
      <w:pPr>
        <w:pStyle w:val="Tablefin"/>
      </w:pPr>
    </w:p>
    <w:p w:rsidR="006B2558" w:rsidRPr="006B2558" w:rsidRDefault="006B2558" w:rsidP="006B2558">
      <w:pPr>
        <w:spacing w:before="0"/>
        <w:rPr>
          <w:lang w:val="en-GB"/>
        </w:rPr>
      </w:pPr>
    </w:p>
    <w:p w:rsidR="00101A77" w:rsidRPr="00101A77" w:rsidRDefault="00101A77" w:rsidP="009420CF">
      <w:pPr>
        <w:pStyle w:val="enumlev1"/>
        <w:rPr>
          <w:lang w:val="es-ES_tradnl"/>
        </w:rPr>
      </w:pPr>
      <w:r w:rsidRPr="00101A77">
        <w:rPr>
          <w:lang w:val="es-ES_tradnl"/>
        </w:rPr>
        <w:t>–</w:t>
      </w:r>
      <w:r w:rsidRPr="00101A77">
        <w:rPr>
          <w:lang w:val="es-ES_tradnl"/>
        </w:rPr>
        <w:tab/>
        <w:t xml:space="preserve">En primer lugar </w:t>
      </w:r>
      <w:r w:rsidR="009420CF">
        <w:rPr>
          <w:lang w:val="es-ES_tradnl"/>
        </w:rPr>
        <w:t>e</w:t>
      </w:r>
      <w:r w:rsidRPr="00101A77">
        <w:rPr>
          <w:lang w:val="es-ES_tradnl"/>
        </w:rPr>
        <w:t xml:space="preserve">s </w:t>
      </w:r>
      <w:r w:rsidR="009420CF">
        <w:rPr>
          <w:lang w:val="es-ES_tradnl"/>
        </w:rPr>
        <w:t>preciso</w:t>
      </w:r>
      <w:r w:rsidRPr="00101A77">
        <w:rPr>
          <w:lang w:val="es-ES_tradnl"/>
        </w:rPr>
        <w:t xml:space="preserve"> calcular el factor de antena para la antena de comprobación técnica que va a utilizarse y a partir de esta información se determina el umbral de detección para la intensidad de campo. Esta intensidad de campo se basa en la hipótesis de que una señal está adaptada </w:t>
      </w:r>
      <w:r w:rsidR="009420CF">
        <w:rPr>
          <w:lang w:val="es-ES_tradnl"/>
        </w:rPr>
        <w:t>a</w:t>
      </w:r>
      <w:r w:rsidRPr="00101A77">
        <w:rPr>
          <w:lang w:val="es-ES_tradnl"/>
        </w:rPr>
        <w:t xml:space="preserve"> la anchura del </w:t>
      </w:r>
      <w:r w:rsidR="009420CF">
        <w:rPr>
          <w:lang w:val="es-ES_tradnl"/>
        </w:rPr>
        <w:t>filtro</w:t>
      </w:r>
      <w:r w:rsidRPr="00101A77">
        <w:rPr>
          <w:lang w:val="es-ES_tradnl"/>
        </w:rPr>
        <w:t xml:space="preserve"> elegido</w:t>
      </w:r>
      <w:r w:rsidR="009420CF">
        <w:rPr>
          <w:lang w:val="es-ES_tradnl"/>
        </w:rPr>
        <w:t xml:space="preserve"> </w:t>
      </w:r>
      <w:r w:rsidR="009420CF" w:rsidRPr="00101A77">
        <w:rPr>
          <w:lang w:val="es-ES_tradnl"/>
        </w:rPr>
        <w:t>o es más estrecha</w:t>
      </w:r>
      <w:r w:rsidR="009420CF">
        <w:rPr>
          <w:lang w:val="es-ES_tradnl"/>
        </w:rPr>
        <w:t xml:space="preserve"> que dicha anchura de banda</w:t>
      </w:r>
      <w:r w:rsidRPr="00101A77">
        <w:rPr>
          <w:lang w:val="es-ES_tradnl"/>
        </w:rPr>
        <w:t>.</w:t>
      </w:r>
    </w:p>
    <w:p w:rsidR="00101A77" w:rsidRPr="00101A77" w:rsidRDefault="00101A77" w:rsidP="009420CF">
      <w:pPr>
        <w:pStyle w:val="enumlev1"/>
        <w:rPr>
          <w:lang w:val="es-ES_tradnl"/>
        </w:rPr>
      </w:pPr>
      <w:r w:rsidRPr="00101A77">
        <w:rPr>
          <w:lang w:val="es-ES_tradnl"/>
        </w:rPr>
        <w:lastRenderedPageBreak/>
        <w:t>–</w:t>
      </w:r>
      <w:r w:rsidRPr="00101A77">
        <w:rPr>
          <w:lang w:val="es-ES_tradnl"/>
        </w:rPr>
        <w:tab/>
        <w:t>El siguiente paso consiste en estima</w:t>
      </w:r>
      <w:r w:rsidR="009420CF">
        <w:rPr>
          <w:lang w:val="es-ES_tradnl"/>
        </w:rPr>
        <w:t>r atenuación de la</w:t>
      </w:r>
      <w:r w:rsidRPr="00101A77">
        <w:rPr>
          <w:lang w:val="es-ES_tradnl"/>
        </w:rPr>
        <w:t xml:space="preserve">s </w:t>
      </w:r>
      <w:r w:rsidR="009420CF">
        <w:rPr>
          <w:lang w:val="es-ES_tradnl"/>
        </w:rPr>
        <w:t>parede</w:t>
      </w:r>
      <w:r w:rsidRPr="00101A77">
        <w:rPr>
          <w:lang w:val="es-ES_tradnl"/>
        </w:rPr>
        <w:t xml:space="preserve">s en </w:t>
      </w:r>
      <w:r w:rsidR="009420CF">
        <w:rPr>
          <w:lang w:val="es-ES_tradnl"/>
        </w:rPr>
        <w:t>los</w:t>
      </w:r>
      <w:r w:rsidRPr="00101A77">
        <w:rPr>
          <w:lang w:val="es-ES_tradnl"/>
        </w:rPr>
        <w:t xml:space="preserve"> caso</w:t>
      </w:r>
      <w:r w:rsidR="009420CF">
        <w:rPr>
          <w:lang w:val="es-ES_tradnl"/>
        </w:rPr>
        <w:t>s</w:t>
      </w:r>
      <w:r w:rsidRPr="00101A77">
        <w:rPr>
          <w:lang w:val="es-ES_tradnl"/>
        </w:rPr>
        <w:t xml:space="preserve"> de un</w:t>
      </w:r>
      <w:r w:rsidR="009420CF">
        <w:rPr>
          <w:lang w:val="es-ES_tradnl"/>
        </w:rPr>
        <w:t>a</w:t>
      </w:r>
      <w:r w:rsidRPr="00101A77">
        <w:rPr>
          <w:lang w:val="es-ES_tradnl"/>
        </w:rPr>
        <w:t xml:space="preserve"> o vari</w:t>
      </w:r>
      <w:r w:rsidR="009420CF">
        <w:rPr>
          <w:lang w:val="es-ES_tradnl"/>
        </w:rPr>
        <w:t>a</w:t>
      </w:r>
      <w:r w:rsidRPr="00101A77">
        <w:rPr>
          <w:lang w:val="es-ES_tradnl"/>
        </w:rPr>
        <w:t xml:space="preserve">s </w:t>
      </w:r>
      <w:r w:rsidR="009420CF">
        <w:rPr>
          <w:lang w:val="es-ES_tradnl"/>
        </w:rPr>
        <w:t>parede</w:t>
      </w:r>
      <w:r w:rsidRPr="00101A77">
        <w:rPr>
          <w:lang w:val="es-ES_tradnl"/>
        </w:rPr>
        <w:t>s y añadir este valor al umbral de detección para la intensidad de campo.</w:t>
      </w:r>
    </w:p>
    <w:p w:rsidR="00101A77" w:rsidRPr="00101A77" w:rsidRDefault="00101A77" w:rsidP="009420CF">
      <w:pPr>
        <w:pStyle w:val="enumlev1"/>
        <w:rPr>
          <w:lang w:val="es-ES_tradnl"/>
        </w:rPr>
      </w:pPr>
      <w:r w:rsidRPr="00101A77">
        <w:rPr>
          <w:lang w:val="es-ES_tradnl"/>
        </w:rPr>
        <w:t>–</w:t>
      </w:r>
      <w:r w:rsidRPr="00101A77">
        <w:rPr>
          <w:lang w:val="es-ES_tradnl"/>
        </w:rPr>
        <w:tab/>
        <w:t>Con este umbral de detección modificado y conociendo la poten</w:t>
      </w:r>
      <w:r w:rsidR="009420CF">
        <w:rPr>
          <w:lang w:val="es-ES_tradnl"/>
        </w:rPr>
        <w:t>cia radiada de los SRD (p.r.a. ó</w:t>
      </w:r>
      <w:r w:rsidRPr="00101A77">
        <w:rPr>
          <w:lang w:val="es-ES_tradnl"/>
        </w:rPr>
        <w:t xml:space="preserve"> p.i.r.e.) puede calcularse la distancia a la que aún se puede detectar el SRD.</w:t>
      </w:r>
    </w:p>
    <w:p w:rsidR="00101A77" w:rsidRPr="00101A77" w:rsidRDefault="00101A77" w:rsidP="00C542A1">
      <w:pPr>
        <w:rPr>
          <w:lang w:val="es-ES_tradnl"/>
        </w:rPr>
      </w:pPr>
      <w:r w:rsidRPr="00101A77">
        <w:rPr>
          <w:lang w:val="es-ES_tradnl"/>
        </w:rPr>
        <w:t xml:space="preserve">La </w:t>
      </w:r>
      <w:r w:rsidRPr="00101A77">
        <w:rPr>
          <w:rFonts w:cs="Arial"/>
          <w:lang w:val="es-ES_tradnl"/>
        </w:rPr>
        <w:t>Fig</w:t>
      </w:r>
      <w:r w:rsidR="009420CF">
        <w:rPr>
          <w:rFonts w:cs="Arial"/>
          <w:lang w:val="es-ES_tradnl"/>
        </w:rPr>
        <w:t>.</w:t>
      </w:r>
      <w:r w:rsidRPr="00101A77">
        <w:rPr>
          <w:rFonts w:cs="Arial"/>
          <w:lang w:val="es-ES_tradnl"/>
        </w:rPr>
        <w:t xml:space="preserve"> 3 representa las intensidades de campo para los SRD con distint</w:t>
      </w:r>
      <w:r w:rsidR="00C542A1">
        <w:rPr>
          <w:rFonts w:cs="Arial"/>
          <w:lang w:val="es-ES_tradnl"/>
        </w:rPr>
        <w:t>o</w:t>
      </w:r>
      <w:r w:rsidRPr="00101A77">
        <w:rPr>
          <w:rFonts w:cs="Arial"/>
          <w:lang w:val="es-ES_tradnl"/>
        </w:rPr>
        <w:t xml:space="preserve">s </w:t>
      </w:r>
      <w:r w:rsidR="00C542A1">
        <w:rPr>
          <w:rFonts w:cs="Arial"/>
          <w:lang w:val="es-ES_tradnl"/>
        </w:rPr>
        <w:t xml:space="preserve">valores de </w:t>
      </w:r>
      <w:r w:rsidRPr="00101A77">
        <w:rPr>
          <w:rFonts w:cs="Arial"/>
          <w:lang w:val="es-ES_tradnl"/>
        </w:rPr>
        <w:t>p</w:t>
      </w:r>
      <w:r w:rsidR="00C542A1">
        <w:rPr>
          <w:rFonts w:cs="Arial"/>
          <w:lang w:val="es-ES_tradnl"/>
        </w:rPr>
        <w:t>.r.a. típicos tomado</w:t>
      </w:r>
      <w:r w:rsidRPr="00101A77">
        <w:rPr>
          <w:rFonts w:cs="Arial"/>
          <w:lang w:val="es-ES_tradnl"/>
        </w:rPr>
        <w:t>s de aplicaciones SRD habituales. Se ha tomado como parámetro el umbral de detección para los diferentes ajustes del analizador de manera que puede estimarse la cobertura del montaje de medición.</w:t>
      </w:r>
    </w:p>
    <w:p w:rsidR="00101A77" w:rsidRPr="00101A77" w:rsidRDefault="00101A77" w:rsidP="003E47B7">
      <w:pPr>
        <w:pStyle w:val="FigureNo"/>
        <w:spacing w:before="400"/>
        <w:rPr>
          <w:lang w:val="es-ES_tradnl"/>
        </w:rPr>
      </w:pPr>
      <w:r w:rsidRPr="00101A77">
        <w:rPr>
          <w:lang w:val="es-ES_tradnl"/>
        </w:rPr>
        <w:t>Figura 3</w:t>
      </w:r>
    </w:p>
    <w:p w:rsidR="00101A77" w:rsidRDefault="00101A77" w:rsidP="00101A77">
      <w:pPr>
        <w:pStyle w:val="Figuretitle"/>
        <w:rPr>
          <w:lang w:val="es-ES_tradnl"/>
        </w:rPr>
      </w:pPr>
      <w:r w:rsidRPr="00101A77">
        <w:rPr>
          <w:lang w:val="es-ES_tradnl"/>
        </w:rPr>
        <w:t>Intensidad de campo en función de la distancia en espacio libre</w:t>
      </w:r>
    </w:p>
    <w:p w:rsidR="00066B86" w:rsidRPr="007A431B" w:rsidRDefault="00066B86" w:rsidP="00066B86">
      <w:pPr>
        <w:pStyle w:val="Blanc"/>
        <w:rPr>
          <w:lang w:val="es-ES_tradnl"/>
        </w:rPr>
      </w:pPr>
    </w:p>
    <w:p w:rsidR="00192C89" w:rsidRPr="00192C89" w:rsidRDefault="00066B86" w:rsidP="00192C89">
      <w:pPr>
        <w:pStyle w:val="Figure"/>
        <w:rPr>
          <w:lang w:val="es-ES_tradnl"/>
        </w:rPr>
      </w:pPr>
      <w:r w:rsidRPr="003046D6">
        <w:rPr>
          <w:lang w:val="es-ES_tradnl"/>
        </w:rPr>
        <w:object w:dxaOrig="7160" w:dyaOrig="5555">
          <v:shape id="_x0000_i1027" type="#_x0000_t75" style="width:358.15pt;height:277.75pt" o:ole="">
            <v:imagedata r:id="rId17" o:title=""/>
          </v:shape>
          <o:OLEObject Type="Embed" ProgID="CorelDRAW.Graphic.14" ShapeID="_x0000_i1027" DrawAspect="Content" ObjectID="_1334147111" r:id="rId18"/>
        </w:object>
      </w:r>
    </w:p>
    <w:p w:rsidR="00101A77" w:rsidRPr="00101A77" w:rsidRDefault="00101A77" w:rsidP="00653B3C">
      <w:pPr>
        <w:rPr>
          <w:lang w:val="es-ES_tradnl"/>
        </w:rPr>
      </w:pPr>
      <w:r w:rsidRPr="00101A77">
        <w:rPr>
          <w:lang w:val="es-ES_tradnl"/>
        </w:rPr>
        <w:t xml:space="preserve">La Figura 4 </w:t>
      </w:r>
      <w:r w:rsidR="00CB1FF7">
        <w:rPr>
          <w:lang w:val="es-ES_tradnl"/>
        </w:rPr>
        <w:t>muestra</w:t>
      </w:r>
      <w:r w:rsidRPr="00101A77">
        <w:rPr>
          <w:lang w:val="es-ES_tradnl"/>
        </w:rPr>
        <w:t xml:space="preserve"> los mismos resultados con una atenuación adicional de 20 dB (debid</w:t>
      </w:r>
      <w:r w:rsidR="00CB1FF7">
        <w:rPr>
          <w:lang w:val="es-ES_tradnl"/>
        </w:rPr>
        <w:t>a</w:t>
      </w:r>
      <w:r w:rsidRPr="00101A77">
        <w:rPr>
          <w:lang w:val="es-ES_tradnl"/>
        </w:rPr>
        <w:t xml:space="preserve"> a l</w:t>
      </w:r>
      <w:r w:rsidR="00CB1FF7">
        <w:rPr>
          <w:lang w:val="es-ES_tradnl"/>
        </w:rPr>
        <w:t>a</w:t>
      </w:r>
      <w:r w:rsidRPr="00101A77">
        <w:rPr>
          <w:lang w:val="es-ES_tradnl"/>
        </w:rPr>
        <w:t xml:space="preserve">s </w:t>
      </w:r>
      <w:r w:rsidR="00CB1FF7">
        <w:rPr>
          <w:lang w:val="es-ES_tradnl"/>
        </w:rPr>
        <w:t>paredes</w:t>
      </w:r>
      <w:r w:rsidRPr="00101A77">
        <w:rPr>
          <w:lang w:val="es-ES_tradnl"/>
        </w:rPr>
        <w:t xml:space="preserve">), la escala </w:t>
      </w:r>
      <w:r w:rsidRPr="00101A77">
        <w:rPr>
          <w:i/>
          <w:iCs/>
          <w:lang w:val="es-ES_tradnl"/>
        </w:rPr>
        <w:t>x</w:t>
      </w:r>
      <w:r w:rsidRPr="00101A77">
        <w:rPr>
          <w:lang w:val="es-ES_tradnl"/>
        </w:rPr>
        <w:t xml:space="preserve"> se limita a los primeros 500 m de la Fig. 2.</w:t>
      </w:r>
    </w:p>
    <w:p w:rsidR="00101A77" w:rsidRPr="00101A77" w:rsidRDefault="00101A77" w:rsidP="003E47B7">
      <w:pPr>
        <w:pStyle w:val="FigureNo"/>
        <w:spacing w:before="400"/>
        <w:rPr>
          <w:lang w:val="es-ES_tradnl"/>
        </w:rPr>
      </w:pPr>
      <w:r w:rsidRPr="00101A77">
        <w:rPr>
          <w:lang w:val="es-ES_tradnl"/>
        </w:rPr>
        <w:lastRenderedPageBreak/>
        <w:t>Figura 4</w:t>
      </w:r>
    </w:p>
    <w:p w:rsidR="00101A77" w:rsidRDefault="00101A77" w:rsidP="00101A77">
      <w:pPr>
        <w:pStyle w:val="Figuretitle"/>
        <w:rPr>
          <w:lang w:val="es-ES_tradnl"/>
        </w:rPr>
      </w:pPr>
      <w:r w:rsidRPr="00101A77">
        <w:rPr>
          <w:lang w:val="es-ES_tradnl"/>
        </w:rPr>
        <w:t>Intensidad de campo en función de la distancia en espacio libre con 20 dB de atenuación</w:t>
      </w:r>
    </w:p>
    <w:p w:rsidR="00066B86" w:rsidRPr="007A431B" w:rsidRDefault="00066B86" w:rsidP="00066B86">
      <w:pPr>
        <w:pStyle w:val="Blanc"/>
        <w:rPr>
          <w:lang w:val="es-ES_tradnl"/>
        </w:rPr>
      </w:pPr>
    </w:p>
    <w:p w:rsidR="00101A77" w:rsidRDefault="00066B86" w:rsidP="003E47B7">
      <w:pPr>
        <w:pStyle w:val="Figure"/>
      </w:pPr>
      <w:r>
        <w:object w:dxaOrig="7170" w:dyaOrig="5573">
          <v:shape id="_x0000_i1028" type="#_x0000_t75" style="width:358.55pt;height:278.5pt" o:ole="">
            <v:imagedata r:id="rId19" o:title=""/>
          </v:shape>
          <o:OLEObject Type="Embed" ProgID="CorelDRAW.Graphic.14" ShapeID="_x0000_i1028" DrawAspect="Content" ObjectID="_1334147112" r:id="rId20"/>
        </w:object>
      </w:r>
    </w:p>
    <w:p w:rsidR="00066B86" w:rsidRPr="00066B86" w:rsidRDefault="00066B86" w:rsidP="00066B86"/>
    <w:p w:rsidR="00101A77" w:rsidRPr="00101A77" w:rsidRDefault="00101A77" w:rsidP="00D77B7F">
      <w:pPr>
        <w:rPr>
          <w:lang w:val="es-ES_tradnl"/>
        </w:rPr>
      </w:pPr>
      <w:r w:rsidRPr="00101A77">
        <w:rPr>
          <w:lang w:val="es-ES_tradnl"/>
        </w:rPr>
        <w:t xml:space="preserve">Puede concluirse que se obtiene suficiente cobertura incluso utilizando un filtro de 3 kHz y </w:t>
      </w:r>
      <w:r w:rsidR="00CB1FF7">
        <w:rPr>
          <w:lang w:val="es-ES_tradnl"/>
        </w:rPr>
        <w:t>con el</w:t>
      </w:r>
      <w:r w:rsidRPr="00101A77">
        <w:rPr>
          <w:lang w:val="es-ES_tradnl"/>
        </w:rPr>
        <w:t xml:space="preserve"> atenuador interno del analizador fijado a 10 dB. Por consiguiente no hay ningún problema en utilizar un receptor con un comportamiento inferior al analizador mencionado siempre que se desactive el atenuador. Esto no </w:t>
      </w:r>
      <w:r w:rsidR="00CB1FF7">
        <w:rPr>
          <w:lang w:val="es-ES_tradnl"/>
        </w:rPr>
        <w:t>constituye</w:t>
      </w:r>
      <w:r w:rsidRPr="00101A77">
        <w:rPr>
          <w:lang w:val="es-ES_tradnl"/>
        </w:rPr>
        <w:t xml:space="preserve"> un problema para realizar una medición de la ocupación (las mediciones del nivel absoluto no son posibles debido a la incertidumbre de desadaptación). Una atenuación </w:t>
      </w:r>
      <w:r w:rsidR="00CB1FF7">
        <w:rPr>
          <w:lang w:val="es-ES_tradnl"/>
        </w:rPr>
        <w:t>producida por las paredes</w:t>
      </w:r>
      <w:r w:rsidRPr="00101A77">
        <w:rPr>
          <w:lang w:val="es-ES_tradnl"/>
        </w:rPr>
        <w:t xml:space="preserve"> de incluso 20</w:t>
      </w:r>
      <w:r w:rsidR="00CB1FF7">
        <w:rPr>
          <w:lang w:val="es-ES_tradnl"/>
        </w:rPr>
        <w:t> </w:t>
      </w:r>
      <w:r w:rsidRPr="00101A77">
        <w:rPr>
          <w:lang w:val="es-ES_tradnl"/>
        </w:rPr>
        <w:t>dB garantiza una cobertura teórica de al menos</w:t>
      </w:r>
      <w:r w:rsidR="00CB1FF7">
        <w:rPr>
          <w:lang w:val="es-ES_tradnl"/>
        </w:rPr>
        <w:t xml:space="preserve"> </w:t>
      </w:r>
      <w:r w:rsidRPr="00101A77">
        <w:rPr>
          <w:lang w:val="es-ES_tradnl"/>
        </w:rPr>
        <w:t xml:space="preserve">350 m utilizando el </w:t>
      </w:r>
      <w:r w:rsidR="00D77B7F">
        <w:rPr>
          <w:lang w:val="es-ES_tradnl"/>
        </w:rPr>
        <w:t xml:space="preserve">ajuste más amplio del </w:t>
      </w:r>
      <w:r w:rsidRPr="00101A77">
        <w:rPr>
          <w:lang w:val="es-ES_tradnl"/>
        </w:rPr>
        <w:t>filtro de FI más amplio y una p.i.r.e. del SRD de</w:t>
      </w:r>
      <w:r w:rsidR="00D77B7F">
        <w:rPr>
          <w:lang w:val="es-ES_tradnl"/>
        </w:rPr>
        <w:t xml:space="preserve"> </w:t>
      </w:r>
      <w:r w:rsidRPr="00101A77">
        <w:rPr>
          <w:lang w:val="es-ES_tradnl"/>
        </w:rPr>
        <w:t>5</w:t>
      </w:r>
      <w:r w:rsidR="00D77B7F">
        <w:rPr>
          <w:lang w:val="es-ES_tradnl"/>
        </w:rPr>
        <w:t> </w:t>
      </w:r>
      <w:r w:rsidRPr="00101A77">
        <w:rPr>
          <w:lang w:val="es-ES_tradnl"/>
        </w:rPr>
        <w:t xml:space="preserve">mW. Las pruebas han demostrado que para </w:t>
      </w:r>
      <w:r w:rsidR="00D77B7F">
        <w:rPr>
          <w:lang w:val="es-ES_tradnl"/>
        </w:rPr>
        <w:t xml:space="preserve">los </w:t>
      </w:r>
      <w:r w:rsidRPr="00101A77">
        <w:rPr>
          <w:lang w:val="es-ES_tradnl"/>
        </w:rPr>
        <w:t xml:space="preserve">SRD de potencias </w:t>
      </w:r>
      <w:r w:rsidR="00D77B7F">
        <w:rPr>
          <w:lang w:val="es-ES_tradnl"/>
        </w:rPr>
        <w:t xml:space="preserve">más bajas, la </w:t>
      </w:r>
      <w:r w:rsidRPr="00101A77">
        <w:rPr>
          <w:lang w:val="es-ES_tradnl"/>
        </w:rPr>
        <w:t>utiliza</w:t>
      </w:r>
      <w:r w:rsidR="00D77B7F">
        <w:rPr>
          <w:lang w:val="es-ES_tradnl"/>
        </w:rPr>
        <w:t>ción de</w:t>
      </w:r>
      <w:r w:rsidRPr="00101A77">
        <w:rPr>
          <w:lang w:val="es-ES_tradnl"/>
        </w:rPr>
        <w:t xml:space="preserve"> un preamplificador con filtro de preselección puede resultar ventajoso en zonas con múltiples atenuaciones debidas a las paredes.</w:t>
      </w:r>
    </w:p>
    <w:p w:rsidR="00101A77" w:rsidRPr="00101A77" w:rsidRDefault="00101A77" w:rsidP="00D77B7F">
      <w:pPr>
        <w:rPr>
          <w:lang w:val="es-ES_tradnl"/>
        </w:rPr>
      </w:pPr>
      <w:r w:rsidRPr="00101A77">
        <w:rPr>
          <w:lang w:val="es-ES_tradnl"/>
        </w:rPr>
        <w:t xml:space="preserve">Sin embargo, aparecen problemas al medir dispositivos de muy baja potencia y dispositivos de banda ancha de baja potencia tales como </w:t>
      </w:r>
      <w:r w:rsidR="00D77B7F">
        <w:rPr>
          <w:lang w:val="es-ES_tradnl"/>
        </w:rPr>
        <w:t xml:space="preserve">las </w:t>
      </w:r>
      <w:r w:rsidRPr="00101A77">
        <w:rPr>
          <w:lang w:val="es-ES_tradnl"/>
        </w:rPr>
        <w:t>etiquetas RFID. Estas etiquetas deben detectarse con un filtro de FI de</w:t>
      </w:r>
      <w:r w:rsidR="00D77B7F">
        <w:rPr>
          <w:lang w:val="es-ES_tradnl"/>
        </w:rPr>
        <w:t xml:space="preserve"> </w:t>
      </w:r>
      <w:r w:rsidRPr="00101A77">
        <w:rPr>
          <w:rFonts w:cs="Arial"/>
          <w:lang w:val="es-ES_tradnl"/>
        </w:rPr>
        <w:t>200</w:t>
      </w:r>
      <w:r w:rsidR="00D77B7F">
        <w:rPr>
          <w:rFonts w:cs="Arial"/>
          <w:lang w:val="es-ES_tradnl"/>
        </w:rPr>
        <w:t> </w:t>
      </w:r>
      <w:r w:rsidRPr="00101A77">
        <w:rPr>
          <w:rFonts w:cs="Arial"/>
          <w:lang w:val="es-ES_tradnl"/>
        </w:rPr>
        <w:t>kHz o 300 kHz debido a su anchu</w:t>
      </w:r>
      <w:r w:rsidR="00D77B7F">
        <w:rPr>
          <w:rFonts w:cs="Arial"/>
          <w:lang w:val="es-ES_tradnl"/>
        </w:rPr>
        <w:t>ra de banda. La atenuación de la</w:t>
      </w:r>
      <w:r w:rsidRPr="00101A77">
        <w:rPr>
          <w:rFonts w:cs="Arial"/>
          <w:lang w:val="es-ES_tradnl"/>
        </w:rPr>
        <w:t xml:space="preserve">s </w:t>
      </w:r>
      <w:r w:rsidR="00D77B7F">
        <w:rPr>
          <w:rFonts w:cs="Arial"/>
          <w:lang w:val="es-ES_tradnl"/>
        </w:rPr>
        <w:t>paredes</w:t>
      </w:r>
      <w:r w:rsidRPr="00101A77">
        <w:rPr>
          <w:rFonts w:cs="Arial"/>
          <w:lang w:val="es-ES_tradnl"/>
        </w:rPr>
        <w:t xml:space="preserve"> limita el alcance de detección a menos de</w:t>
      </w:r>
      <w:r w:rsidR="00D77B7F">
        <w:rPr>
          <w:rFonts w:cs="Arial"/>
          <w:lang w:val="es-ES_tradnl"/>
        </w:rPr>
        <w:t xml:space="preserve"> </w:t>
      </w:r>
      <w:r w:rsidRPr="00101A77">
        <w:rPr>
          <w:rFonts w:cs="Arial"/>
          <w:lang w:val="es-ES_tradnl"/>
        </w:rPr>
        <w:t>10 m para tener una probabilidad razonable de intercepción pues estos dispositivos necesitan utilizar un analizador sensible de alta calidad con el atenuador desconectado. Debe evitars</w:t>
      </w:r>
      <w:r w:rsidR="00D77B7F">
        <w:rPr>
          <w:rFonts w:cs="Arial"/>
          <w:lang w:val="es-ES_tradnl"/>
        </w:rPr>
        <w:t>e la atenuación producida por la</w:t>
      </w:r>
      <w:r w:rsidRPr="00101A77">
        <w:rPr>
          <w:rFonts w:cs="Arial"/>
          <w:lang w:val="es-ES_tradnl"/>
        </w:rPr>
        <w:t xml:space="preserve">s </w:t>
      </w:r>
      <w:r w:rsidR="00D77B7F">
        <w:rPr>
          <w:rFonts w:cs="Arial"/>
          <w:lang w:val="es-ES_tradnl"/>
        </w:rPr>
        <w:t>paredes</w:t>
      </w:r>
      <w:r w:rsidRPr="00101A77">
        <w:rPr>
          <w:rFonts w:cs="Arial"/>
          <w:lang w:val="es-ES_tradnl"/>
        </w:rPr>
        <w:t xml:space="preserve">. Ello significa realizar </w:t>
      </w:r>
      <w:r w:rsidR="00D77B7F">
        <w:rPr>
          <w:rFonts w:cs="Arial"/>
          <w:lang w:val="es-ES_tradnl"/>
        </w:rPr>
        <w:t xml:space="preserve">las </w:t>
      </w:r>
      <w:r w:rsidRPr="00101A77">
        <w:rPr>
          <w:rFonts w:cs="Arial"/>
          <w:lang w:val="es-ES_tradnl"/>
        </w:rPr>
        <w:t xml:space="preserve">mediciones en interiores explorando la zona con </w:t>
      </w:r>
      <w:r w:rsidR="00D77B7F">
        <w:rPr>
          <w:rFonts w:cs="Arial"/>
          <w:lang w:val="es-ES_tradnl"/>
        </w:rPr>
        <w:t>los</w:t>
      </w:r>
      <w:r w:rsidRPr="00101A77">
        <w:rPr>
          <w:rFonts w:cs="Arial"/>
          <w:lang w:val="es-ES_tradnl"/>
        </w:rPr>
        <w:t xml:space="preserve"> </w:t>
      </w:r>
      <w:r w:rsidR="00D77B7F">
        <w:rPr>
          <w:rFonts w:cs="Arial"/>
          <w:lang w:val="es-ES_tradnl"/>
        </w:rPr>
        <w:t>equipos montados</w:t>
      </w:r>
      <w:r w:rsidRPr="00101A77">
        <w:rPr>
          <w:rFonts w:cs="Arial"/>
          <w:lang w:val="es-ES_tradnl"/>
        </w:rPr>
        <w:t xml:space="preserve"> sobre un</w:t>
      </w:r>
      <w:r w:rsidR="00D77B7F">
        <w:rPr>
          <w:rFonts w:cs="Arial"/>
          <w:lang w:val="es-ES_tradnl"/>
        </w:rPr>
        <w:t>a</w:t>
      </w:r>
      <w:r w:rsidRPr="00101A77">
        <w:rPr>
          <w:rFonts w:cs="Arial"/>
          <w:lang w:val="es-ES_tradnl"/>
        </w:rPr>
        <w:t xml:space="preserve"> </w:t>
      </w:r>
      <w:r w:rsidR="00D77B7F">
        <w:rPr>
          <w:rFonts w:cs="Arial"/>
          <w:lang w:val="es-ES_tradnl"/>
        </w:rPr>
        <w:t>carretilla</w:t>
      </w:r>
      <w:r w:rsidRPr="00101A77">
        <w:rPr>
          <w:rFonts w:cs="Arial"/>
          <w:lang w:val="es-ES_tradnl"/>
        </w:rPr>
        <w:t xml:space="preserve">. Si se supone una atenuación debida a las paredes de10 dB, ningún atenuador conectado y </w:t>
      </w:r>
      <w:r w:rsidR="00D77B7F">
        <w:rPr>
          <w:rFonts w:cs="Arial"/>
          <w:lang w:val="es-ES_tradnl"/>
        </w:rPr>
        <w:t xml:space="preserve">se utiliza </w:t>
      </w:r>
      <w:r w:rsidRPr="00101A77">
        <w:rPr>
          <w:rFonts w:cs="Arial"/>
          <w:lang w:val="es-ES_tradnl"/>
        </w:rPr>
        <w:t>un filtro de</w:t>
      </w:r>
      <w:r w:rsidR="00D77B7F">
        <w:rPr>
          <w:rFonts w:cs="Arial"/>
          <w:lang w:val="es-ES_tradnl"/>
        </w:rPr>
        <w:t xml:space="preserve"> </w:t>
      </w:r>
      <w:r w:rsidRPr="00101A77">
        <w:rPr>
          <w:rFonts w:cs="Arial"/>
          <w:lang w:val="es-ES_tradnl"/>
        </w:rPr>
        <w:t>300</w:t>
      </w:r>
      <w:r w:rsidR="00D77B7F">
        <w:rPr>
          <w:rFonts w:cs="Arial"/>
          <w:lang w:val="es-ES_tradnl"/>
        </w:rPr>
        <w:t> </w:t>
      </w:r>
      <w:r w:rsidRPr="00101A77">
        <w:rPr>
          <w:rFonts w:cs="Arial"/>
          <w:lang w:val="es-ES_tradnl"/>
        </w:rPr>
        <w:t>kHz</w:t>
      </w:r>
      <w:r w:rsidR="00D77B7F">
        <w:rPr>
          <w:rFonts w:cs="Arial"/>
          <w:lang w:val="es-ES_tradnl"/>
        </w:rPr>
        <w:t>,</w:t>
      </w:r>
      <w:r w:rsidRPr="00101A77">
        <w:rPr>
          <w:rFonts w:cs="Arial"/>
          <w:lang w:val="es-ES_tradnl"/>
        </w:rPr>
        <w:t xml:space="preserve"> la cobertura es la representada en la Fig. 5.</w:t>
      </w:r>
    </w:p>
    <w:p w:rsidR="00101A77" w:rsidRPr="00101A77" w:rsidRDefault="00101A77" w:rsidP="00101A77">
      <w:pPr>
        <w:pStyle w:val="FigureNo"/>
        <w:rPr>
          <w:lang w:val="es-ES_tradnl"/>
        </w:rPr>
      </w:pPr>
      <w:r w:rsidRPr="00101A77">
        <w:rPr>
          <w:lang w:val="es-ES_tradnl"/>
        </w:rPr>
        <w:lastRenderedPageBreak/>
        <w:t>Figura 5</w:t>
      </w:r>
    </w:p>
    <w:p w:rsidR="00101A77" w:rsidRPr="00101A77" w:rsidRDefault="00101A77" w:rsidP="00101A77">
      <w:pPr>
        <w:pStyle w:val="Figuretitle"/>
        <w:rPr>
          <w:rFonts w:cs="Arial"/>
          <w:lang w:val="es-ES_tradnl"/>
        </w:rPr>
      </w:pPr>
      <w:r w:rsidRPr="00101A77">
        <w:rPr>
          <w:lang w:val="es-ES_tradnl"/>
        </w:rPr>
        <w:t>Intensidad de campo en función de la distancia para etiquetas RFID</w:t>
      </w:r>
    </w:p>
    <w:p w:rsidR="00101A77" w:rsidRDefault="00066B86" w:rsidP="00D77B7F">
      <w:pPr>
        <w:pStyle w:val="Figure"/>
      </w:pPr>
      <w:r>
        <w:object w:dxaOrig="7179" w:dyaOrig="5684">
          <v:shape id="_x0000_i1029" type="#_x0000_t75" style="width:358.9pt;height:284.35pt" o:ole="">
            <v:imagedata r:id="rId21" o:title=""/>
          </v:shape>
          <o:OLEObject Type="Embed" ProgID="CorelDRAW.Graphic.14" ShapeID="_x0000_i1029" DrawAspect="Content" ObjectID="_1334147113" r:id="rId22"/>
        </w:object>
      </w:r>
    </w:p>
    <w:p w:rsidR="00101A77" w:rsidRDefault="00101A77" w:rsidP="00AC5669">
      <w:pPr>
        <w:rPr>
          <w:lang w:val="es-ES_tradnl"/>
        </w:rPr>
      </w:pPr>
      <w:r w:rsidRPr="00101A77">
        <w:rPr>
          <w:lang w:val="es-ES_tradnl"/>
        </w:rPr>
        <w:t xml:space="preserve">No tiene sentido realizar estimaciones de coberturas a más de 500 m para mediciones </w:t>
      </w:r>
      <w:r w:rsidR="00AC5669">
        <w:rPr>
          <w:lang w:val="es-ES_tradnl"/>
        </w:rPr>
        <w:t>efectuadas desde</w:t>
      </w:r>
      <w:r w:rsidRPr="00101A77">
        <w:rPr>
          <w:lang w:val="es-ES_tradnl"/>
        </w:rPr>
        <w:t xml:space="preserve"> </w:t>
      </w:r>
      <w:r w:rsidR="00AC5669">
        <w:rPr>
          <w:lang w:val="es-ES_tradnl"/>
        </w:rPr>
        <w:t>el suelo</w:t>
      </w:r>
      <w:r w:rsidRPr="00101A77">
        <w:rPr>
          <w:lang w:val="es-ES_tradnl"/>
        </w:rPr>
        <w:t xml:space="preserve"> </w:t>
      </w:r>
      <w:r w:rsidR="00AC5669">
        <w:rPr>
          <w:lang w:val="es-ES_tradnl"/>
        </w:rPr>
        <w:t>ya</w:t>
      </w:r>
      <w:r w:rsidRPr="00101A77">
        <w:rPr>
          <w:lang w:val="es-ES_tradnl"/>
        </w:rPr>
        <w:t xml:space="preserve"> que </w:t>
      </w:r>
      <w:r w:rsidR="00AC5669">
        <w:rPr>
          <w:lang w:val="es-ES_tradnl"/>
        </w:rPr>
        <w:t>en ese caso estarán</w:t>
      </w:r>
      <w:r w:rsidRPr="00101A77">
        <w:rPr>
          <w:lang w:val="es-ES_tradnl"/>
        </w:rPr>
        <w:t xml:space="preserve"> presentes múltiples factores de atenuación. Las mediciones prácticas demuestran que la cobertura es incluso inferior en la mayoría de los casos.</w:t>
      </w:r>
    </w:p>
    <w:p w:rsidR="006F36B2" w:rsidRDefault="006F36B2" w:rsidP="006B2558">
      <w:pPr>
        <w:spacing w:before="0"/>
        <w:rPr>
          <w:lang w:val="es-ES_tradnl"/>
        </w:rPr>
      </w:pPr>
    </w:p>
    <w:tbl>
      <w:tblPr>
        <w:tblStyle w:val="TableGrid"/>
        <w:tblW w:w="0" w:type="auto"/>
        <w:jc w:val="center"/>
        <w:tblLook w:val="04A0"/>
      </w:tblPr>
      <w:tblGrid>
        <w:gridCol w:w="2268"/>
        <w:gridCol w:w="1984"/>
        <w:gridCol w:w="2551"/>
        <w:gridCol w:w="2551"/>
      </w:tblGrid>
      <w:tr w:rsidR="006F36B2" w:rsidRPr="008637EF" w:rsidTr="00014140">
        <w:trPr>
          <w:jc w:val="center"/>
        </w:trPr>
        <w:tc>
          <w:tcPr>
            <w:tcW w:w="2268" w:type="dxa"/>
            <w:vAlign w:val="center"/>
          </w:tcPr>
          <w:p w:rsidR="006F36B2" w:rsidRDefault="006F36B2" w:rsidP="00014140">
            <w:pPr>
              <w:pStyle w:val="Tablehead"/>
              <w:keepLines/>
              <w:rPr>
                <w:lang w:val="es-ES_tradnl"/>
              </w:rPr>
            </w:pPr>
            <w:r w:rsidRPr="004D405C">
              <w:t>Po</w:t>
            </w:r>
            <w:r>
              <w:t>tencia</w:t>
            </w:r>
          </w:p>
        </w:tc>
        <w:tc>
          <w:tcPr>
            <w:tcW w:w="1984" w:type="dxa"/>
            <w:vAlign w:val="center"/>
          </w:tcPr>
          <w:p w:rsidR="006F36B2" w:rsidRDefault="006F36B2" w:rsidP="00014140">
            <w:pPr>
              <w:pStyle w:val="Tablehead"/>
              <w:keepLines/>
              <w:rPr>
                <w:lang w:val="es-ES_tradnl"/>
              </w:rPr>
            </w:pPr>
            <w:r>
              <w:rPr>
                <w:lang w:val="en-US"/>
              </w:rPr>
              <w:t>Ciclo de trabajo</w:t>
            </w:r>
            <w:r w:rsidRPr="00204A09">
              <w:rPr>
                <w:lang w:val="en-US"/>
              </w:rPr>
              <w:t xml:space="preserve"> </w:t>
            </w:r>
            <w:r w:rsidRPr="00204A09">
              <w:rPr>
                <w:lang w:val="en-US"/>
              </w:rPr>
              <w:br/>
              <w:t>(%)</w:t>
            </w:r>
          </w:p>
        </w:tc>
        <w:tc>
          <w:tcPr>
            <w:tcW w:w="2551" w:type="dxa"/>
            <w:vAlign w:val="center"/>
          </w:tcPr>
          <w:p w:rsidR="006F36B2" w:rsidRDefault="006F36B2" w:rsidP="00014140">
            <w:pPr>
              <w:pStyle w:val="Tablehead"/>
              <w:keepLines/>
              <w:rPr>
                <w:lang w:val="es-ES_tradnl"/>
              </w:rPr>
            </w:pPr>
            <w:r w:rsidRPr="00101A77">
              <w:rPr>
                <w:lang w:val="es-ES_tradnl"/>
              </w:rPr>
              <w:t>Alcance de detección, atenuación de 20 dB,</w:t>
            </w:r>
            <w:r>
              <w:rPr>
                <w:lang w:val="es-ES_tradnl"/>
              </w:rPr>
              <w:br/>
            </w:r>
            <w:r w:rsidRPr="00101A77">
              <w:rPr>
                <w:lang w:val="es-ES_tradnl"/>
              </w:rPr>
              <w:t xml:space="preserve">FI de 30 kHz </w:t>
            </w:r>
            <w:r w:rsidRPr="00101A77">
              <w:rPr>
                <w:lang w:val="es-ES_tradnl"/>
              </w:rPr>
              <w:br/>
              <w:t>(m)</w:t>
            </w:r>
          </w:p>
        </w:tc>
        <w:tc>
          <w:tcPr>
            <w:tcW w:w="2551" w:type="dxa"/>
            <w:vAlign w:val="center"/>
          </w:tcPr>
          <w:p w:rsidR="006F36B2" w:rsidRDefault="006F36B2" w:rsidP="00014140">
            <w:pPr>
              <w:pStyle w:val="Tablehead"/>
              <w:keepLines/>
              <w:rPr>
                <w:lang w:val="es-ES_tradnl"/>
              </w:rPr>
            </w:pPr>
            <w:r w:rsidRPr="00101A77">
              <w:rPr>
                <w:lang w:val="es-ES_tradnl"/>
              </w:rPr>
              <w:t>Alcance de detección, atenuación de 10 dB, FI</w:t>
            </w:r>
            <w:r w:rsidR="00014140">
              <w:rPr>
                <w:lang w:val="es-ES_tradnl"/>
              </w:rPr>
              <w:t> </w:t>
            </w:r>
            <w:r w:rsidRPr="00101A77">
              <w:rPr>
                <w:lang w:val="es-ES_tradnl"/>
              </w:rPr>
              <w:t>de</w:t>
            </w:r>
            <w:r w:rsidR="00014140">
              <w:rPr>
                <w:lang w:val="es-ES_tradnl"/>
              </w:rPr>
              <w:t> </w:t>
            </w:r>
            <w:r w:rsidRPr="00101A77">
              <w:rPr>
                <w:lang w:val="es-ES_tradnl"/>
              </w:rPr>
              <w:t>300 kHz, sin</w:t>
            </w:r>
            <w:r w:rsidR="00014140">
              <w:rPr>
                <w:lang w:val="es-ES_tradnl"/>
              </w:rPr>
              <w:t> </w:t>
            </w:r>
            <w:r w:rsidRPr="00101A77">
              <w:rPr>
                <w:lang w:val="es-ES_tradnl"/>
              </w:rPr>
              <w:t xml:space="preserve">atenuador </w:t>
            </w:r>
            <w:r w:rsidRPr="00101A77">
              <w:rPr>
                <w:lang w:val="es-ES_tradnl"/>
              </w:rPr>
              <w:br/>
              <w:t>(m)</w:t>
            </w:r>
          </w:p>
        </w:tc>
      </w:tr>
      <w:tr w:rsidR="006F36B2" w:rsidTr="00014140">
        <w:trPr>
          <w:jc w:val="center"/>
        </w:trPr>
        <w:tc>
          <w:tcPr>
            <w:tcW w:w="2268" w:type="dxa"/>
          </w:tcPr>
          <w:p w:rsidR="006F36B2" w:rsidRPr="00204A09" w:rsidRDefault="006F36B2" w:rsidP="006F36B2">
            <w:pPr>
              <w:pStyle w:val="Tabletext"/>
              <w:keepNext/>
              <w:keepLines/>
              <w:jc w:val="center"/>
              <w:rPr>
                <w:lang w:val="en-US"/>
              </w:rPr>
            </w:pPr>
            <w:r w:rsidRPr="00204A09">
              <w:rPr>
                <w:lang w:val="en-US"/>
              </w:rPr>
              <w:t>10 µW (–20 dBm)</w:t>
            </w:r>
          </w:p>
        </w:tc>
        <w:tc>
          <w:tcPr>
            <w:tcW w:w="1984" w:type="dxa"/>
          </w:tcPr>
          <w:p w:rsidR="006F36B2" w:rsidRPr="00204A09" w:rsidRDefault="006F36B2" w:rsidP="006F36B2">
            <w:pPr>
              <w:pStyle w:val="Tabletext"/>
              <w:keepNext/>
              <w:keepLines/>
              <w:jc w:val="center"/>
              <w:rPr>
                <w:lang w:val="en-US"/>
              </w:rPr>
            </w:pPr>
            <w:r w:rsidRPr="00204A09">
              <w:rPr>
                <w:lang w:val="en-US"/>
              </w:rPr>
              <w:t>100</w:t>
            </w:r>
          </w:p>
        </w:tc>
        <w:tc>
          <w:tcPr>
            <w:tcW w:w="2551" w:type="dxa"/>
          </w:tcPr>
          <w:p w:rsidR="006F36B2" w:rsidRPr="00204A09" w:rsidRDefault="006F36B2" w:rsidP="006F36B2">
            <w:pPr>
              <w:pStyle w:val="Tabletext"/>
              <w:keepNext/>
              <w:keepLines/>
              <w:jc w:val="center"/>
              <w:rPr>
                <w:lang w:val="en-US"/>
              </w:rPr>
            </w:pPr>
            <w:r w:rsidRPr="00204A09">
              <w:rPr>
                <w:lang w:val="en-US"/>
              </w:rPr>
              <w:t>55</w:t>
            </w:r>
          </w:p>
        </w:tc>
        <w:tc>
          <w:tcPr>
            <w:tcW w:w="2551" w:type="dxa"/>
          </w:tcPr>
          <w:p w:rsidR="006F36B2" w:rsidRPr="00204A09" w:rsidRDefault="006F36B2" w:rsidP="006F36B2">
            <w:pPr>
              <w:pStyle w:val="Tabletext"/>
              <w:keepNext/>
              <w:keepLines/>
              <w:jc w:val="center"/>
              <w:rPr>
                <w:lang w:val="en-US"/>
              </w:rPr>
            </w:pPr>
            <w:r w:rsidRPr="00204A09">
              <w:rPr>
                <w:lang w:val="en-US"/>
              </w:rPr>
              <w:t>150</w:t>
            </w:r>
          </w:p>
        </w:tc>
      </w:tr>
      <w:tr w:rsidR="006F36B2" w:rsidTr="00014140">
        <w:trPr>
          <w:jc w:val="center"/>
        </w:trPr>
        <w:tc>
          <w:tcPr>
            <w:tcW w:w="2268" w:type="dxa"/>
          </w:tcPr>
          <w:p w:rsidR="006F36B2" w:rsidRPr="004D405C" w:rsidRDefault="006F36B2" w:rsidP="006F36B2">
            <w:pPr>
              <w:pStyle w:val="Tabletext"/>
              <w:keepNext/>
              <w:keepLines/>
              <w:jc w:val="center"/>
            </w:pPr>
            <w:r w:rsidRPr="004D405C">
              <w:t>5 mW</w:t>
            </w:r>
          </w:p>
        </w:tc>
        <w:tc>
          <w:tcPr>
            <w:tcW w:w="1984" w:type="dxa"/>
          </w:tcPr>
          <w:p w:rsidR="006F36B2" w:rsidRPr="004D405C" w:rsidRDefault="006F36B2" w:rsidP="006F36B2">
            <w:pPr>
              <w:pStyle w:val="Tabletext"/>
              <w:keepNext/>
              <w:keepLines/>
              <w:jc w:val="center"/>
            </w:pPr>
            <w:r w:rsidRPr="004D405C">
              <w:t>10-100</w:t>
            </w:r>
          </w:p>
        </w:tc>
        <w:tc>
          <w:tcPr>
            <w:tcW w:w="2551" w:type="dxa"/>
          </w:tcPr>
          <w:p w:rsidR="006F36B2" w:rsidRPr="004D405C" w:rsidRDefault="006F36B2" w:rsidP="006F36B2">
            <w:pPr>
              <w:pStyle w:val="Tabletext"/>
              <w:keepNext/>
              <w:keepLines/>
              <w:jc w:val="center"/>
            </w:pPr>
            <w:r w:rsidRPr="004D405C">
              <w:t>&gt;500</w:t>
            </w:r>
          </w:p>
        </w:tc>
        <w:tc>
          <w:tcPr>
            <w:tcW w:w="2551" w:type="dxa"/>
          </w:tcPr>
          <w:p w:rsidR="006F36B2" w:rsidRPr="00204A09" w:rsidRDefault="006F36B2" w:rsidP="006F36B2">
            <w:pPr>
              <w:pStyle w:val="Tabletext"/>
              <w:keepNext/>
              <w:keepLines/>
              <w:jc w:val="center"/>
              <w:rPr>
                <w:lang w:val="en-US"/>
              </w:rPr>
            </w:pPr>
            <w:r w:rsidRPr="006F36B2">
              <w:rPr>
                <w:lang w:val="en-US"/>
              </w:rPr>
              <w:t>–</w:t>
            </w:r>
          </w:p>
        </w:tc>
      </w:tr>
      <w:tr w:rsidR="006F36B2" w:rsidTr="00014140">
        <w:trPr>
          <w:jc w:val="center"/>
        </w:trPr>
        <w:tc>
          <w:tcPr>
            <w:tcW w:w="2268" w:type="dxa"/>
          </w:tcPr>
          <w:p w:rsidR="006F36B2" w:rsidRPr="004D405C" w:rsidRDefault="006F36B2" w:rsidP="006F36B2">
            <w:pPr>
              <w:pStyle w:val="Tabletext"/>
              <w:keepNext/>
              <w:keepLines/>
              <w:jc w:val="center"/>
            </w:pPr>
            <w:r w:rsidRPr="004D405C">
              <w:t>10 mW</w:t>
            </w:r>
          </w:p>
        </w:tc>
        <w:tc>
          <w:tcPr>
            <w:tcW w:w="1984" w:type="dxa"/>
          </w:tcPr>
          <w:p w:rsidR="006F36B2" w:rsidRPr="004D405C" w:rsidRDefault="006F36B2" w:rsidP="006F36B2">
            <w:pPr>
              <w:pStyle w:val="Tabletext"/>
              <w:keepNext/>
              <w:keepLines/>
              <w:jc w:val="center"/>
            </w:pPr>
            <w:r w:rsidRPr="004D405C">
              <w:t>0</w:t>
            </w:r>
            <w:r>
              <w:t>,</w:t>
            </w:r>
            <w:r w:rsidRPr="004D405C">
              <w:t>1-1</w:t>
            </w:r>
          </w:p>
        </w:tc>
        <w:tc>
          <w:tcPr>
            <w:tcW w:w="2551" w:type="dxa"/>
          </w:tcPr>
          <w:p w:rsidR="006F36B2" w:rsidRPr="004D405C" w:rsidRDefault="006F36B2" w:rsidP="006F36B2">
            <w:pPr>
              <w:pStyle w:val="Tabletext"/>
              <w:keepNext/>
              <w:keepLines/>
              <w:jc w:val="center"/>
            </w:pPr>
            <w:r w:rsidRPr="004D405C">
              <w:t>&gt;500</w:t>
            </w:r>
          </w:p>
        </w:tc>
        <w:tc>
          <w:tcPr>
            <w:tcW w:w="2551" w:type="dxa"/>
          </w:tcPr>
          <w:p w:rsidR="006F36B2" w:rsidRPr="00204A09" w:rsidRDefault="006F36B2" w:rsidP="006F36B2">
            <w:pPr>
              <w:pStyle w:val="Tabletext"/>
              <w:keepNext/>
              <w:keepLines/>
              <w:jc w:val="center"/>
              <w:rPr>
                <w:lang w:val="en-US"/>
              </w:rPr>
            </w:pPr>
            <w:r w:rsidRPr="006F36B2">
              <w:rPr>
                <w:lang w:val="en-US"/>
              </w:rPr>
              <w:t>–</w:t>
            </w:r>
          </w:p>
        </w:tc>
      </w:tr>
      <w:tr w:rsidR="006F36B2" w:rsidTr="00014140">
        <w:trPr>
          <w:jc w:val="center"/>
        </w:trPr>
        <w:tc>
          <w:tcPr>
            <w:tcW w:w="2268" w:type="dxa"/>
          </w:tcPr>
          <w:p w:rsidR="006F36B2" w:rsidRPr="004D405C" w:rsidRDefault="006F36B2" w:rsidP="006F36B2">
            <w:pPr>
              <w:pStyle w:val="Tabletext"/>
              <w:keepNext/>
              <w:keepLines/>
              <w:jc w:val="center"/>
            </w:pPr>
            <w:r w:rsidRPr="004D405C">
              <w:t>25 mW</w:t>
            </w:r>
          </w:p>
        </w:tc>
        <w:tc>
          <w:tcPr>
            <w:tcW w:w="1984" w:type="dxa"/>
          </w:tcPr>
          <w:p w:rsidR="006F36B2" w:rsidRPr="004D405C" w:rsidRDefault="006F36B2" w:rsidP="006F36B2">
            <w:pPr>
              <w:pStyle w:val="Tabletext"/>
              <w:keepNext/>
              <w:keepLines/>
              <w:jc w:val="center"/>
            </w:pPr>
            <w:r w:rsidRPr="004D405C">
              <w:t>0</w:t>
            </w:r>
            <w:r>
              <w:t>,</w:t>
            </w:r>
            <w:r w:rsidRPr="004D405C">
              <w:t>1-10</w:t>
            </w:r>
          </w:p>
        </w:tc>
        <w:tc>
          <w:tcPr>
            <w:tcW w:w="2551" w:type="dxa"/>
          </w:tcPr>
          <w:p w:rsidR="006F36B2" w:rsidRPr="004D405C" w:rsidRDefault="006F36B2" w:rsidP="006F36B2">
            <w:pPr>
              <w:pStyle w:val="Tabletext"/>
              <w:keepNext/>
              <w:keepLines/>
              <w:jc w:val="center"/>
            </w:pPr>
            <w:r w:rsidRPr="004D405C">
              <w:t>&gt;500</w:t>
            </w:r>
          </w:p>
        </w:tc>
        <w:tc>
          <w:tcPr>
            <w:tcW w:w="2551" w:type="dxa"/>
          </w:tcPr>
          <w:p w:rsidR="006F36B2" w:rsidRPr="00204A09" w:rsidRDefault="006F36B2" w:rsidP="006F36B2">
            <w:pPr>
              <w:pStyle w:val="Tabletext"/>
              <w:keepNext/>
              <w:keepLines/>
              <w:jc w:val="center"/>
              <w:rPr>
                <w:lang w:val="en-US"/>
              </w:rPr>
            </w:pPr>
            <w:r w:rsidRPr="006F36B2">
              <w:rPr>
                <w:lang w:val="en-US"/>
              </w:rPr>
              <w:t>–</w:t>
            </w:r>
          </w:p>
        </w:tc>
      </w:tr>
      <w:tr w:rsidR="006F36B2" w:rsidTr="00014140">
        <w:trPr>
          <w:jc w:val="center"/>
        </w:trPr>
        <w:tc>
          <w:tcPr>
            <w:tcW w:w="2268" w:type="dxa"/>
          </w:tcPr>
          <w:p w:rsidR="006F36B2" w:rsidRPr="004D405C" w:rsidRDefault="006F36B2" w:rsidP="006F36B2">
            <w:pPr>
              <w:pStyle w:val="Tabletext"/>
              <w:jc w:val="center"/>
            </w:pPr>
            <w:r w:rsidRPr="004D405C">
              <w:t>100 mW</w:t>
            </w:r>
          </w:p>
        </w:tc>
        <w:tc>
          <w:tcPr>
            <w:tcW w:w="1984" w:type="dxa"/>
          </w:tcPr>
          <w:p w:rsidR="006F36B2" w:rsidRPr="004D405C" w:rsidRDefault="006F36B2" w:rsidP="006F36B2">
            <w:pPr>
              <w:pStyle w:val="Tabletext"/>
              <w:jc w:val="center"/>
            </w:pPr>
            <w:r w:rsidRPr="004D405C">
              <w:t>&lt;10%</w:t>
            </w:r>
          </w:p>
        </w:tc>
        <w:tc>
          <w:tcPr>
            <w:tcW w:w="2551" w:type="dxa"/>
          </w:tcPr>
          <w:p w:rsidR="006F36B2" w:rsidRPr="004D405C" w:rsidRDefault="006F36B2" w:rsidP="006F36B2">
            <w:pPr>
              <w:pStyle w:val="Tabletext"/>
              <w:jc w:val="center"/>
            </w:pPr>
            <w:r w:rsidRPr="004D405C">
              <w:t>&gt;500</w:t>
            </w:r>
          </w:p>
        </w:tc>
        <w:tc>
          <w:tcPr>
            <w:tcW w:w="2551" w:type="dxa"/>
          </w:tcPr>
          <w:p w:rsidR="006F36B2" w:rsidRPr="00204A09" w:rsidRDefault="006F36B2" w:rsidP="006F36B2">
            <w:pPr>
              <w:pStyle w:val="Tabletext"/>
              <w:jc w:val="center"/>
              <w:rPr>
                <w:lang w:val="en-US"/>
              </w:rPr>
            </w:pPr>
            <w:r w:rsidRPr="006F36B2">
              <w:rPr>
                <w:lang w:val="en-US"/>
              </w:rPr>
              <w:t>–</w:t>
            </w:r>
          </w:p>
        </w:tc>
      </w:tr>
      <w:tr w:rsidR="006F36B2" w:rsidTr="00014140">
        <w:trPr>
          <w:jc w:val="center"/>
        </w:trPr>
        <w:tc>
          <w:tcPr>
            <w:tcW w:w="2268" w:type="dxa"/>
          </w:tcPr>
          <w:p w:rsidR="006F36B2" w:rsidRPr="004D405C" w:rsidRDefault="006F36B2" w:rsidP="006F36B2">
            <w:pPr>
              <w:pStyle w:val="Tabletext"/>
              <w:jc w:val="center"/>
            </w:pPr>
            <w:r w:rsidRPr="004D405C">
              <w:t>500 mW</w:t>
            </w:r>
          </w:p>
        </w:tc>
        <w:tc>
          <w:tcPr>
            <w:tcW w:w="1984" w:type="dxa"/>
          </w:tcPr>
          <w:p w:rsidR="006F36B2" w:rsidRPr="004D405C" w:rsidRDefault="006F36B2" w:rsidP="006F36B2">
            <w:pPr>
              <w:pStyle w:val="Tabletext"/>
              <w:jc w:val="center"/>
            </w:pPr>
            <w:r w:rsidRPr="004D405C">
              <w:t>&lt;10%</w:t>
            </w:r>
          </w:p>
        </w:tc>
        <w:tc>
          <w:tcPr>
            <w:tcW w:w="2551" w:type="dxa"/>
          </w:tcPr>
          <w:p w:rsidR="006F36B2" w:rsidRPr="004D405C" w:rsidRDefault="006F36B2" w:rsidP="006F36B2">
            <w:pPr>
              <w:pStyle w:val="Tabletext"/>
              <w:jc w:val="center"/>
            </w:pPr>
            <w:r w:rsidRPr="004D405C">
              <w:t>&gt;500</w:t>
            </w:r>
          </w:p>
        </w:tc>
        <w:tc>
          <w:tcPr>
            <w:tcW w:w="2551" w:type="dxa"/>
          </w:tcPr>
          <w:p w:rsidR="006F36B2" w:rsidRPr="00204A09" w:rsidRDefault="006F36B2" w:rsidP="006F36B2">
            <w:pPr>
              <w:pStyle w:val="Tabletext"/>
              <w:jc w:val="center"/>
              <w:rPr>
                <w:lang w:val="en-US"/>
              </w:rPr>
            </w:pPr>
            <w:r w:rsidRPr="006F36B2">
              <w:rPr>
                <w:lang w:val="en-US"/>
              </w:rPr>
              <w:t>–</w:t>
            </w:r>
          </w:p>
        </w:tc>
      </w:tr>
      <w:tr w:rsidR="006F36B2" w:rsidTr="00014140">
        <w:trPr>
          <w:jc w:val="center"/>
        </w:trPr>
        <w:tc>
          <w:tcPr>
            <w:tcW w:w="2268" w:type="dxa"/>
          </w:tcPr>
          <w:p w:rsidR="006F36B2" w:rsidRPr="004D405C" w:rsidRDefault="006F36B2" w:rsidP="006F36B2">
            <w:pPr>
              <w:pStyle w:val="Tabletext"/>
              <w:jc w:val="center"/>
            </w:pPr>
            <w:r w:rsidRPr="004D405C">
              <w:t>1W</w:t>
            </w:r>
          </w:p>
        </w:tc>
        <w:tc>
          <w:tcPr>
            <w:tcW w:w="1984" w:type="dxa"/>
          </w:tcPr>
          <w:p w:rsidR="006F36B2" w:rsidRPr="004D405C" w:rsidRDefault="006F36B2" w:rsidP="006F36B2">
            <w:pPr>
              <w:pStyle w:val="Tabletext"/>
              <w:jc w:val="center"/>
            </w:pPr>
            <w:r w:rsidRPr="004D405C">
              <w:t>&lt;10%</w:t>
            </w:r>
          </w:p>
        </w:tc>
        <w:tc>
          <w:tcPr>
            <w:tcW w:w="2551" w:type="dxa"/>
          </w:tcPr>
          <w:p w:rsidR="006F36B2" w:rsidRPr="004D405C" w:rsidRDefault="006F36B2" w:rsidP="006F36B2">
            <w:pPr>
              <w:pStyle w:val="Tabletext"/>
              <w:jc w:val="center"/>
            </w:pPr>
            <w:r w:rsidRPr="004D405C">
              <w:t>&gt;500</w:t>
            </w:r>
          </w:p>
        </w:tc>
        <w:tc>
          <w:tcPr>
            <w:tcW w:w="2551" w:type="dxa"/>
          </w:tcPr>
          <w:p w:rsidR="006F36B2" w:rsidRPr="00204A09" w:rsidRDefault="006F36B2" w:rsidP="006F36B2">
            <w:pPr>
              <w:pStyle w:val="Tabletext"/>
              <w:jc w:val="center"/>
              <w:rPr>
                <w:lang w:val="en-US"/>
              </w:rPr>
            </w:pPr>
            <w:r w:rsidRPr="006F36B2">
              <w:rPr>
                <w:lang w:val="en-US"/>
              </w:rPr>
              <w:t>–</w:t>
            </w:r>
          </w:p>
        </w:tc>
      </w:tr>
    </w:tbl>
    <w:p w:rsidR="00101A77" w:rsidRDefault="00101A77" w:rsidP="006B2558">
      <w:pPr>
        <w:pStyle w:val="Tablefin"/>
      </w:pPr>
    </w:p>
    <w:p w:rsidR="00101A77" w:rsidRPr="00101A77" w:rsidRDefault="00101A77" w:rsidP="00101A77">
      <w:pPr>
        <w:rPr>
          <w:lang w:val="es-ES_tradnl"/>
        </w:rPr>
      </w:pPr>
      <w:r w:rsidRPr="00101A77">
        <w:rPr>
          <w:lang w:val="es-ES_tradnl"/>
        </w:rPr>
        <w:t>Se llega a la conclusión de que:</w:t>
      </w:r>
    </w:p>
    <w:p w:rsidR="00101A77" w:rsidRPr="00101A77" w:rsidRDefault="00101A77" w:rsidP="00583187">
      <w:pPr>
        <w:pStyle w:val="enumlev1"/>
        <w:rPr>
          <w:lang w:val="es-ES_tradnl"/>
        </w:rPr>
      </w:pPr>
      <w:r w:rsidRPr="00101A77">
        <w:rPr>
          <w:lang w:val="es-ES_tradnl"/>
        </w:rPr>
        <w:t>–</w:t>
      </w:r>
      <w:r w:rsidRPr="00101A77">
        <w:rPr>
          <w:lang w:val="es-ES_tradnl"/>
        </w:rPr>
        <w:tab/>
        <w:t xml:space="preserve">Un </w:t>
      </w:r>
      <w:r w:rsidR="00583187">
        <w:rPr>
          <w:lang w:val="es-ES_tradnl"/>
        </w:rPr>
        <w:t xml:space="preserve">ajuste del </w:t>
      </w:r>
      <w:r w:rsidRPr="00101A77">
        <w:rPr>
          <w:lang w:val="es-ES_tradnl"/>
        </w:rPr>
        <w:t xml:space="preserve">filtro de FI </w:t>
      </w:r>
      <w:r w:rsidR="00583187">
        <w:rPr>
          <w:lang w:val="es-ES_tradnl"/>
        </w:rPr>
        <w:t xml:space="preserve">a </w:t>
      </w:r>
      <w:r w:rsidRPr="00101A77">
        <w:rPr>
          <w:lang w:val="es-ES_tradnl"/>
        </w:rPr>
        <w:t>30 ó 25</w:t>
      </w:r>
      <w:r w:rsidR="00583187">
        <w:rPr>
          <w:lang w:val="es-ES_tradnl"/>
        </w:rPr>
        <w:t> </w:t>
      </w:r>
      <w:r w:rsidRPr="00101A77">
        <w:rPr>
          <w:lang w:val="es-ES_tradnl"/>
        </w:rPr>
        <w:t>kHz es adecuado para todas las mediciones salvo etiquetas RFID, y el correspondiente tiempo de revisitado es de 10ms. El radio de cobertura será como máximo de unos 500</w:t>
      </w:r>
      <w:r w:rsidR="00583187">
        <w:rPr>
          <w:lang w:val="es-ES_tradnl"/>
        </w:rPr>
        <w:t> </w:t>
      </w:r>
      <w:r w:rsidRPr="00101A77">
        <w:rPr>
          <w:lang w:val="es-ES_tradnl"/>
        </w:rPr>
        <w:t>m.</w:t>
      </w:r>
    </w:p>
    <w:p w:rsidR="00101A77" w:rsidRPr="00101A77" w:rsidRDefault="00101A77" w:rsidP="00583187">
      <w:pPr>
        <w:pStyle w:val="enumlev1"/>
        <w:rPr>
          <w:lang w:val="es-ES_tradnl"/>
        </w:rPr>
      </w:pPr>
      <w:r w:rsidRPr="00101A77">
        <w:rPr>
          <w:lang w:val="es-ES_tradnl"/>
        </w:rPr>
        <w:t>–</w:t>
      </w:r>
      <w:r w:rsidRPr="00101A77">
        <w:rPr>
          <w:lang w:val="es-ES_tradnl"/>
        </w:rPr>
        <w:tab/>
      </w:r>
      <w:r w:rsidR="00583187" w:rsidRPr="00101A77">
        <w:rPr>
          <w:lang w:val="es-ES_tradnl"/>
        </w:rPr>
        <w:t xml:space="preserve">Un </w:t>
      </w:r>
      <w:r w:rsidR="00583187">
        <w:rPr>
          <w:lang w:val="es-ES_tradnl"/>
        </w:rPr>
        <w:t xml:space="preserve">ajuste del </w:t>
      </w:r>
      <w:r w:rsidR="00583187" w:rsidRPr="00101A77">
        <w:rPr>
          <w:lang w:val="es-ES_tradnl"/>
        </w:rPr>
        <w:t>filtro</w:t>
      </w:r>
      <w:r w:rsidRPr="00101A77">
        <w:rPr>
          <w:lang w:val="es-ES_tradnl"/>
        </w:rPr>
        <w:t xml:space="preserve"> de FI a 300 kHz es adecuado para mediciones de RFID suponiendo que se desconecta el atenuador del analizador y la atenuación global producida por </w:t>
      </w:r>
      <w:r w:rsidR="00583187">
        <w:rPr>
          <w:lang w:val="es-ES_tradnl"/>
        </w:rPr>
        <w:t xml:space="preserve">las </w:t>
      </w:r>
      <w:r w:rsidRPr="00101A77">
        <w:rPr>
          <w:lang w:val="es-ES_tradnl"/>
        </w:rPr>
        <w:t>paredes y el medio ambiente no es superior a 10 dB. El radio de cobertura será entonces de unos 150</w:t>
      </w:r>
      <w:r w:rsidR="00583187">
        <w:rPr>
          <w:lang w:val="es-ES_tradnl"/>
        </w:rPr>
        <w:t> </w:t>
      </w:r>
      <w:r w:rsidRPr="00101A77">
        <w:rPr>
          <w:lang w:val="es-ES_tradnl"/>
        </w:rPr>
        <w:t>m.</w:t>
      </w:r>
    </w:p>
    <w:p w:rsidR="00101A77" w:rsidRPr="00101A77" w:rsidRDefault="00101A77" w:rsidP="00583187">
      <w:pPr>
        <w:pStyle w:val="enumlev1"/>
        <w:rPr>
          <w:lang w:val="es-ES_tradnl"/>
        </w:rPr>
      </w:pPr>
      <w:r w:rsidRPr="00101A77">
        <w:rPr>
          <w:lang w:val="es-ES_tradnl"/>
        </w:rPr>
        <w:lastRenderedPageBreak/>
        <w:t>–</w:t>
      </w:r>
      <w:r w:rsidRPr="00101A77">
        <w:rPr>
          <w:lang w:val="es-ES_tradnl"/>
        </w:rPr>
        <w:tab/>
        <w:t>No tiene sentido realizar estimaciones de cobertura de más de 500</w:t>
      </w:r>
      <w:r w:rsidR="00583187">
        <w:rPr>
          <w:lang w:val="es-ES_tradnl"/>
        </w:rPr>
        <w:t> </w:t>
      </w:r>
      <w:r w:rsidRPr="00101A77">
        <w:rPr>
          <w:lang w:val="es-ES_tradnl"/>
        </w:rPr>
        <w:t xml:space="preserve">m de radio porque </w:t>
      </w:r>
      <w:r w:rsidR="00583187">
        <w:rPr>
          <w:lang w:val="es-ES_tradnl"/>
        </w:rPr>
        <w:t>aparecen</w:t>
      </w:r>
      <w:r w:rsidRPr="00101A77">
        <w:rPr>
          <w:lang w:val="es-ES_tradnl"/>
        </w:rPr>
        <w:t xml:space="preserve"> presentes múltiples factores de atenuación.</w:t>
      </w:r>
    </w:p>
    <w:p w:rsidR="00101A77" w:rsidRPr="00B94492" w:rsidRDefault="00101A77" w:rsidP="00583187">
      <w:pPr>
        <w:pStyle w:val="enumlev1"/>
        <w:rPr>
          <w:b/>
          <w:lang w:val="nl-NL"/>
        </w:rPr>
      </w:pPr>
      <w:r w:rsidRPr="00101A77">
        <w:rPr>
          <w:lang w:val="es-ES_tradnl"/>
        </w:rPr>
        <w:t>–</w:t>
      </w:r>
      <w:r w:rsidRPr="00101A77">
        <w:rPr>
          <w:lang w:val="es-ES_tradnl"/>
        </w:rPr>
        <w:tab/>
        <w:t xml:space="preserve">Puede ser conveniente utilizar un preamplificador con preselector cuando se emplea un analizador o </w:t>
      </w:r>
      <w:r w:rsidR="00583187">
        <w:rPr>
          <w:lang w:val="es-ES_tradnl"/>
        </w:rPr>
        <w:t xml:space="preserve">un </w:t>
      </w:r>
      <w:r w:rsidRPr="00101A77">
        <w:rPr>
          <w:lang w:val="es-ES_tradnl"/>
        </w:rPr>
        <w:t xml:space="preserve">receptor </w:t>
      </w:r>
      <w:r w:rsidR="00583187">
        <w:rPr>
          <w:lang w:val="es-ES_tradnl"/>
        </w:rPr>
        <w:t xml:space="preserve">de calidad media </w:t>
      </w:r>
      <w:r w:rsidRPr="00101A77">
        <w:rPr>
          <w:lang w:val="es-ES_tradnl"/>
        </w:rPr>
        <w:t>en situaciones con fuerte atenuación debida a las paredes.</w:t>
      </w:r>
    </w:p>
    <w:p w:rsidR="00101A77" w:rsidRPr="00101A77" w:rsidRDefault="00101A77" w:rsidP="00101A77">
      <w:pPr>
        <w:pStyle w:val="Heading2"/>
        <w:rPr>
          <w:lang w:val="es-ES_tradnl"/>
        </w:rPr>
      </w:pPr>
      <w:bookmarkStart w:id="16" w:name="_Toc242157278"/>
      <w:bookmarkStart w:id="17" w:name="_Toc250970858"/>
      <w:bookmarkStart w:id="18" w:name="_Toc250981214"/>
      <w:bookmarkStart w:id="19" w:name="_Toc260403251"/>
      <w:r w:rsidRPr="00101A77">
        <w:rPr>
          <w:lang w:val="es-ES_tradnl"/>
        </w:rPr>
        <w:t>2.7</w:t>
      </w:r>
      <w:r w:rsidRPr="00101A77">
        <w:rPr>
          <w:lang w:val="es-ES_tradnl"/>
        </w:rPr>
        <w:tab/>
        <w:t>Antena</w:t>
      </w:r>
      <w:bookmarkEnd w:id="16"/>
      <w:bookmarkEnd w:id="17"/>
      <w:bookmarkEnd w:id="18"/>
      <w:bookmarkEnd w:id="19"/>
    </w:p>
    <w:p w:rsidR="00101A77" w:rsidRPr="00101A77" w:rsidRDefault="00101A77" w:rsidP="00583187">
      <w:pPr>
        <w:rPr>
          <w:rFonts w:cs="Arial"/>
          <w:lang w:val="es-ES_tradnl"/>
        </w:rPr>
      </w:pPr>
      <w:r w:rsidRPr="00101A77">
        <w:rPr>
          <w:rFonts w:cs="Arial"/>
          <w:lang w:val="es-ES_tradnl"/>
        </w:rPr>
        <w:t>La medición de un punto de máxima concentración</w:t>
      </w:r>
      <w:r w:rsidR="00583187">
        <w:rPr>
          <w:rFonts w:cs="Arial"/>
          <w:lang w:val="es-ES_tradnl"/>
        </w:rPr>
        <w:t xml:space="preserve"> de</w:t>
      </w:r>
      <w:r w:rsidRPr="00101A77">
        <w:rPr>
          <w:rFonts w:cs="Arial"/>
          <w:lang w:val="es-ES_tradnl"/>
        </w:rPr>
        <w:t xml:space="preserve"> SRD es comparable a la medición del ruido radioeléctrico</w:t>
      </w:r>
      <w:r w:rsidR="00583187">
        <w:rPr>
          <w:rFonts w:cs="Arial"/>
          <w:lang w:val="es-ES_tradnl"/>
        </w:rPr>
        <w:t>;</w:t>
      </w:r>
      <w:r w:rsidRPr="00101A77">
        <w:rPr>
          <w:rFonts w:cs="Arial"/>
          <w:lang w:val="es-ES_tradnl"/>
        </w:rPr>
        <w:t xml:space="preserve"> </w:t>
      </w:r>
      <w:r w:rsidR="00583187">
        <w:rPr>
          <w:rFonts w:cs="Arial"/>
          <w:lang w:val="es-ES_tradnl"/>
        </w:rPr>
        <w:t xml:space="preserve">no </w:t>
      </w:r>
      <w:r w:rsidRPr="00101A77">
        <w:rPr>
          <w:rFonts w:cs="Arial"/>
          <w:lang w:val="es-ES_tradnl"/>
        </w:rPr>
        <w:t xml:space="preserve">puede determinarse en la mayoría de los casos en dirección fija desde la que llegan la mayoría de las radiaciones. Una excepción lo constituyen los interrogadores RFID de potencia relativamente elevada. La utilización de una antena vertical con ganancia vertical, </w:t>
      </w:r>
      <w:r w:rsidR="00583187">
        <w:rPr>
          <w:rFonts w:cs="Arial"/>
          <w:lang w:val="es-ES_tradnl"/>
        </w:rPr>
        <w:t>tal</w:t>
      </w:r>
      <w:r w:rsidRPr="00101A77">
        <w:rPr>
          <w:rFonts w:cs="Arial"/>
          <w:lang w:val="es-ES_tradnl"/>
        </w:rPr>
        <w:t xml:space="preserve"> como una antena colineal</w:t>
      </w:r>
      <w:r w:rsidR="00583187">
        <w:rPr>
          <w:rFonts w:cs="Arial"/>
          <w:lang w:val="es-ES_tradnl"/>
        </w:rPr>
        <w:t>,</w:t>
      </w:r>
      <w:r w:rsidRPr="00101A77">
        <w:rPr>
          <w:rFonts w:cs="Arial"/>
          <w:lang w:val="es-ES_tradnl"/>
        </w:rPr>
        <w:t xml:space="preserve"> presenta ventajas sobre las antenas verticales </w:t>
      </w:r>
      <w:r w:rsidR="00583187">
        <w:rPr>
          <w:rFonts w:cs="Arial"/>
          <w:lang w:val="es-ES_tradnl"/>
        </w:rPr>
        <w:t>sobre el</w:t>
      </w:r>
      <w:r w:rsidRPr="00101A77">
        <w:rPr>
          <w:rFonts w:cs="Arial"/>
          <w:lang w:val="es-ES_tradnl"/>
        </w:rPr>
        <w:t xml:space="preserve"> plano de</w:t>
      </w:r>
      <w:r w:rsidR="00583187">
        <w:rPr>
          <w:rFonts w:cs="Arial"/>
          <w:lang w:val="es-ES_tradnl"/>
        </w:rPr>
        <w:t>l</w:t>
      </w:r>
      <w:r w:rsidRPr="00101A77">
        <w:rPr>
          <w:rFonts w:cs="Arial"/>
          <w:lang w:val="es-ES_tradnl"/>
        </w:rPr>
        <w:t xml:space="preserve"> suelo o </w:t>
      </w:r>
      <w:r w:rsidR="00583187">
        <w:rPr>
          <w:rFonts w:cs="Arial"/>
          <w:lang w:val="es-ES_tradnl"/>
        </w:rPr>
        <w:t xml:space="preserve">las </w:t>
      </w:r>
      <w:r w:rsidRPr="00101A77">
        <w:rPr>
          <w:rFonts w:cs="Arial"/>
          <w:lang w:val="es-ES_tradnl"/>
        </w:rPr>
        <w:t xml:space="preserve">antenas </w:t>
      </w:r>
      <w:r w:rsidR="00583187">
        <w:rPr>
          <w:rFonts w:cs="Arial"/>
          <w:lang w:val="es-ES_tradnl"/>
        </w:rPr>
        <w:t>log</w:t>
      </w:r>
      <w:r w:rsidR="00583187">
        <w:rPr>
          <w:rFonts w:cs="Arial"/>
          <w:lang w:val="es-ES_tradnl"/>
        </w:rPr>
        <w:noBreakHyphen/>
      </w:r>
      <w:r w:rsidRPr="00101A77">
        <w:rPr>
          <w:rFonts w:cs="Arial"/>
          <w:lang w:val="es-ES_tradnl"/>
        </w:rPr>
        <w:t>periódicas</w:t>
      </w:r>
      <w:r w:rsidR="00583187">
        <w:rPr>
          <w:rFonts w:cs="Arial"/>
          <w:lang w:val="es-ES_tradnl"/>
        </w:rPr>
        <w:t>,</w:t>
      </w:r>
      <w:r w:rsidRPr="00101A77">
        <w:rPr>
          <w:rFonts w:cs="Arial"/>
          <w:lang w:val="es-ES_tradnl"/>
        </w:rPr>
        <w:t xml:space="preserve"> a menos de que haya una clara indicación de que los SRD están transmitiendo con ángulos elevados. En ese caso pueden realizarse mediciones con antenas directivas o antenas con una ganancia vertical baja. Es preferible utilizar una antena pasiva seguida de un filtro de banda y un preamplificador o una antena activa de banda estrecha en vez de una antena activa de banda ancha porque incluso los productos de intermodulación extremadamente bajos pueden perturbar los resultados de la medición.</w:t>
      </w:r>
    </w:p>
    <w:p w:rsidR="00101A77" w:rsidRPr="00101A77" w:rsidRDefault="00101A77" w:rsidP="00101A77">
      <w:pPr>
        <w:pStyle w:val="Heading2"/>
        <w:rPr>
          <w:lang w:val="es-ES_tradnl"/>
        </w:rPr>
      </w:pPr>
      <w:bookmarkStart w:id="20" w:name="_Toc242157279"/>
      <w:bookmarkStart w:id="21" w:name="_Toc250970859"/>
      <w:bookmarkStart w:id="22" w:name="_Toc250981215"/>
      <w:bookmarkStart w:id="23" w:name="_Toc260403252"/>
      <w:r w:rsidRPr="00101A77">
        <w:rPr>
          <w:lang w:val="es-ES_tradnl"/>
        </w:rPr>
        <w:t>2.8</w:t>
      </w:r>
      <w:r w:rsidRPr="00101A77">
        <w:rPr>
          <w:lang w:val="es-ES_tradnl"/>
        </w:rPr>
        <w:tab/>
      </w:r>
      <w:bookmarkEnd w:id="20"/>
      <w:bookmarkEnd w:id="21"/>
      <w:bookmarkEnd w:id="22"/>
      <w:r w:rsidRPr="00101A77">
        <w:rPr>
          <w:lang w:val="es-ES_tradnl"/>
        </w:rPr>
        <w:t>Calidad del sistema de recepción</w:t>
      </w:r>
      <w:bookmarkEnd w:id="23"/>
    </w:p>
    <w:p w:rsidR="00101A77" w:rsidRPr="00101A77" w:rsidRDefault="00101A77" w:rsidP="0032487B">
      <w:pPr>
        <w:rPr>
          <w:rFonts w:cs="Arial"/>
          <w:lang w:val="es-ES_tradnl"/>
        </w:rPr>
      </w:pPr>
      <w:r w:rsidRPr="00101A77">
        <w:rPr>
          <w:rFonts w:cs="Arial"/>
          <w:lang w:val="es-ES_tradnl"/>
        </w:rPr>
        <w:t xml:space="preserve">Para la comprobación técnica de los SRD, puede utilizarse un sistema receptor de comprobación técnica normal. Sin embargo, la calidad de los datos de comprobación técnica se basa únicamente en la calidad del receptor </w:t>
      </w:r>
      <w:r w:rsidR="00245C75">
        <w:rPr>
          <w:rFonts w:cs="Arial"/>
          <w:lang w:val="es-ES_tradnl"/>
        </w:rPr>
        <w:t>ya que la</w:t>
      </w:r>
      <w:r w:rsidRPr="00101A77">
        <w:rPr>
          <w:rFonts w:cs="Arial"/>
          <w:lang w:val="es-ES_tradnl"/>
        </w:rPr>
        <w:t xml:space="preserve"> comprobación técnica por auriculares no es posible. Los productos de intermodulación son difíciles de separar </w:t>
      </w:r>
      <w:r w:rsidR="00245C75">
        <w:rPr>
          <w:rFonts w:cs="Arial"/>
          <w:lang w:val="es-ES_tradnl"/>
        </w:rPr>
        <w:t xml:space="preserve">de </w:t>
      </w:r>
      <w:r w:rsidRPr="00101A77">
        <w:rPr>
          <w:rFonts w:cs="Arial"/>
          <w:lang w:val="es-ES_tradnl"/>
        </w:rPr>
        <w:t>las transmisiones verdaderas del SRD</w:t>
      </w:r>
      <w:r w:rsidR="00245C75">
        <w:rPr>
          <w:rFonts w:cs="Arial"/>
          <w:lang w:val="es-ES_tradnl"/>
        </w:rPr>
        <w:t>,</w:t>
      </w:r>
      <w:r w:rsidRPr="00101A77">
        <w:rPr>
          <w:rFonts w:cs="Arial"/>
          <w:lang w:val="es-ES_tradnl"/>
        </w:rPr>
        <w:t xml:space="preserve"> de manera que </w:t>
      </w:r>
      <w:r w:rsidR="0032487B">
        <w:rPr>
          <w:rFonts w:cs="Arial"/>
          <w:lang w:val="es-ES_tradnl"/>
        </w:rPr>
        <w:t>esto</w:t>
      </w:r>
      <w:r w:rsidRPr="00101A77">
        <w:rPr>
          <w:rFonts w:cs="Arial"/>
          <w:lang w:val="es-ES_tradnl"/>
        </w:rPr>
        <w:t>s productos deben ser excluidos técnicamente</w:t>
      </w:r>
      <w:r w:rsidR="0032487B">
        <w:rPr>
          <w:rFonts w:cs="Arial"/>
          <w:lang w:val="es-ES_tradnl"/>
        </w:rPr>
        <w:t>, en la medida de lo posible</w:t>
      </w:r>
      <w:r w:rsidRPr="00101A77">
        <w:rPr>
          <w:rFonts w:cs="Arial"/>
          <w:lang w:val="es-ES_tradnl"/>
        </w:rPr>
        <w:t>. El sistema necesita un equilibrio definido entre la sensibilidad y la linealidad. Si el re</w:t>
      </w:r>
      <w:r w:rsidR="0032487B">
        <w:rPr>
          <w:rFonts w:cs="Arial"/>
          <w:lang w:val="es-ES_tradnl"/>
        </w:rPr>
        <w:t>cept</w:t>
      </w:r>
      <w:r w:rsidRPr="00101A77">
        <w:rPr>
          <w:rFonts w:cs="Arial"/>
          <w:lang w:val="es-ES_tradnl"/>
        </w:rPr>
        <w:t xml:space="preserve">or necesita un preamplificador es posible que también sea </w:t>
      </w:r>
      <w:r w:rsidR="0032487B">
        <w:rPr>
          <w:rFonts w:cs="Arial"/>
          <w:lang w:val="es-ES_tradnl"/>
        </w:rPr>
        <w:t>preciso utilizar</w:t>
      </w:r>
      <w:r w:rsidRPr="00101A77">
        <w:rPr>
          <w:rFonts w:cs="Arial"/>
          <w:lang w:val="es-ES_tradnl"/>
        </w:rPr>
        <w:t xml:space="preserve"> un filtro de preselección.</w:t>
      </w:r>
    </w:p>
    <w:p w:rsidR="00101A77" w:rsidRPr="00101A77" w:rsidRDefault="00245C75" w:rsidP="00245C75">
      <w:pPr>
        <w:rPr>
          <w:lang w:val="es-ES_tradnl"/>
        </w:rPr>
      </w:pPr>
      <w:r>
        <w:rPr>
          <w:rFonts w:cs="Arial"/>
          <w:lang w:val="es-ES_tradnl"/>
        </w:rPr>
        <w:t>En</w:t>
      </w:r>
      <w:r w:rsidR="00101A77" w:rsidRPr="00101A77">
        <w:rPr>
          <w:rFonts w:cs="Arial"/>
          <w:lang w:val="es-ES_tradnl"/>
        </w:rPr>
        <w:t xml:space="preserve"> un montaje típico, un analizador con un factor de ruido de</w:t>
      </w:r>
      <w:r>
        <w:rPr>
          <w:rFonts w:cs="Arial"/>
          <w:lang w:val="es-ES_tradnl"/>
        </w:rPr>
        <w:t xml:space="preserve"> </w:t>
      </w:r>
      <w:r w:rsidR="00101A77" w:rsidRPr="00101A77">
        <w:rPr>
          <w:lang w:val="es-ES_tradnl"/>
        </w:rPr>
        <w:t xml:space="preserve">8 dB y un </w:t>
      </w:r>
      <w:r>
        <w:rPr>
          <w:lang w:val="es-ES_tradnl"/>
        </w:rPr>
        <w:t>producto de intermodulación</w:t>
      </w:r>
      <w:r w:rsidR="00101A77" w:rsidRPr="00101A77">
        <w:rPr>
          <w:lang w:val="es-ES_tradnl"/>
        </w:rPr>
        <w:t xml:space="preserve"> de tercer orden de</w:t>
      </w:r>
      <w:r>
        <w:rPr>
          <w:lang w:val="es-ES_tradnl"/>
        </w:rPr>
        <w:t xml:space="preserve"> </w:t>
      </w:r>
      <w:r w:rsidR="00101A77" w:rsidRPr="00101A77">
        <w:rPr>
          <w:lang w:val="es-ES_tradnl"/>
        </w:rPr>
        <w:t>25 dBm necesita un preamplificador de</w:t>
      </w:r>
      <w:r>
        <w:rPr>
          <w:lang w:val="es-ES_tradnl"/>
        </w:rPr>
        <w:t xml:space="preserve"> </w:t>
      </w:r>
      <w:r w:rsidR="00101A77" w:rsidRPr="00101A77">
        <w:rPr>
          <w:lang w:val="es-ES_tradnl"/>
        </w:rPr>
        <w:t>10</w:t>
      </w:r>
      <w:r w:rsidR="00101A77" w:rsidRPr="00101A77">
        <w:rPr>
          <w:lang w:val="es-ES_tradnl"/>
        </w:rPr>
        <w:noBreakHyphen/>
        <w:t>15 dB y un filtro de preselección.</w:t>
      </w:r>
    </w:p>
    <w:p w:rsidR="00101A77" w:rsidRPr="00101A77" w:rsidRDefault="00101A77" w:rsidP="00101A77">
      <w:pPr>
        <w:pStyle w:val="Heading1"/>
        <w:rPr>
          <w:lang w:val="es-ES_tradnl"/>
        </w:rPr>
      </w:pPr>
      <w:bookmarkStart w:id="24" w:name="_Toc260403253"/>
      <w:r w:rsidRPr="00101A77">
        <w:rPr>
          <w:lang w:val="es-ES_tradnl"/>
        </w:rPr>
        <w:t>3</w:t>
      </w:r>
      <w:r w:rsidRPr="00101A77">
        <w:rPr>
          <w:lang w:val="es-ES_tradnl"/>
        </w:rPr>
        <w:tab/>
        <w:t>Análisis y presentación de datos</w:t>
      </w:r>
      <w:bookmarkEnd w:id="24"/>
    </w:p>
    <w:p w:rsidR="00101A77" w:rsidRPr="00101A77" w:rsidRDefault="00101A77" w:rsidP="00101A77">
      <w:pPr>
        <w:rPr>
          <w:lang w:val="es-ES_tradnl"/>
        </w:rPr>
      </w:pPr>
      <w:r w:rsidRPr="00101A77">
        <w:rPr>
          <w:lang w:val="es-ES_tradnl"/>
        </w:rPr>
        <w:t>Un espectrograma proporciona una visión de la dinámica de las bandas de frecuencias y es útil como fuente de información adicional. Un gráfico de la ocupación revela detalles de la ocupación en cada emplazamiento</w:t>
      </w:r>
      <w:r w:rsidR="0032487B">
        <w:rPr>
          <w:lang w:val="es-ES_tradnl"/>
        </w:rPr>
        <w:t>, que</w:t>
      </w:r>
      <w:r w:rsidRPr="00101A77">
        <w:rPr>
          <w:lang w:val="es-ES_tradnl"/>
        </w:rPr>
        <w:t xml:space="preserve"> no </w:t>
      </w:r>
      <w:r w:rsidR="0032487B">
        <w:rPr>
          <w:lang w:val="es-ES_tradnl"/>
        </w:rPr>
        <w:t xml:space="preserve">son </w:t>
      </w:r>
      <w:r w:rsidRPr="00101A77">
        <w:rPr>
          <w:lang w:val="es-ES_tradnl"/>
        </w:rPr>
        <w:t>visibles en el formato tabular</w:t>
      </w:r>
      <w:r w:rsidR="0032487B">
        <w:rPr>
          <w:lang w:val="es-ES_tradnl"/>
        </w:rPr>
        <w:t>,</w:t>
      </w:r>
      <w:r w:rsidRPr="00101A77">
        <w:rPr>
          <w:lang w:val="es-ES_tradnl"/>
        </w:rPr>
        <w:t xml:space="preserve"> por consiguiente debe añadirse esta información. Para estos gráficos debe elegirse una resolución inferior a la anchura de banda más alta para bandas de frecuencias con anchuras de banda del transmisor combinadas.</w:t>
      </w:r>
    </w:p>
    <w:p w:rsidR="00101A77" w:rsidRPr="00101A77" w:rsidRDefault="00101A77" w:rsidP="0032487B">
      <w:pPr>
        <w:rPr>
          <w:lang w:val="es-ES_tradnl"/>
        </w:rPr>
      </w:pPr>
      <w:r w:rsidRPr="00101A77">
        <w:rPr>
          <w:lang w:val="es-ES_tradnl"/>
        </w:rPr>
        <w:t xml:space="preserve">Puede suponerse que las cifras sobre ocupación del espectro dependen en gran medida del país </w:t>
      </w:r>
      <w:r w:rsidR="0032487B">
        <w:rPr>
          <w:lang w:val="es-ES_tradnl"/>
        </w:rPr>
        <w:t xml:space="preserve">de </w:t>
      </w:r>
      <w:r w:rsidRPr="00101A77">
        <w:rPr>
          <w:lang w:val="es-ES_tradnl"/>
        </w:rPr>
        <w:t>que se trate. Por consiguiente</w:t>
      </w:r>
      <w:r w:rsidR="0032487B">
        <w:rPr>
          <w:lang w:val="es-ES_tradnl"/>
        </w:rPr>
        <w:t>,</w:t>
      </w:r>
      <w:r w:rsidRPr="00101A77">
        <w:rPr>
          <w:lang w:val="es-ES_tradnl"/>
        </w:rPr>
        <w:t xml:space="preserve"> </w:t>
      </w:r>
      <w:r w:rsidR="0032487B">
        <w:rPr>
          <w:lang w:val="es-ES_tradnl"/>
        </w:rPr>
        <w:t>cuando se</w:t>
      </w:r>
      <w:r w:rsidRPr="00101A77">
        <w:rPr>
          <w:lang w:val="es-ES_tradnl"/>
        </w:rPr>
        <w:t xml:space="preserve"> lleva a cabo una campaña internacional de comprobación técnica</w:t>
      </w:r>
      <w:r w:rsidR="0032487B">
        <w:rPr>
          <w:lang w:val="es-ES_tradnl"/>
        </w:rPr>
        <w:t xml:space="preserve"> </w:t>
      </w:r>
      <w:r w:rsidR="0032487B" w:rsidRPr="00101A77">
        <w:rPr>
          <w:lang w:val="es-ES_tradnl"/>
        </w:rPr>
        <w:t>es conveniente realizar un análisis basado en las observaciones dentro de un país</w:t>
      </w:r>
      <w:r w:rsidRPr="00101A77">
        <w:rPr>
          <w:lang w:val="es-ES_tradnl"/>
        </w:rPr>
        <w:t>. Las cifras de ocupación deben presentar valores de 10 dB por encima del valor eficaz del umbral de ruido del receptor. Junto con los gráficos de ocupación debe presentarse un análisis e interpretación manuales de las cifras. Para indicar la posibilidad de compartición puede utilizarse un porcentaje de uso sobre segmentos de frecuencia específicos, por ejemplo únicamente la sección RFID.</w:t>
      </w:r>
    </w:p>
    <w:p w:rsidR="00101A77" w:rsidRPr="00101A77" w:rsidRDefault="0032487B" w:rsidP="006B2558">
      <w:pPr>
        <w:keepNext/>
        <w:keepLines/>
        <w:rPr>
          <w:lang w:val="es-ES_tradnl"/>
        </w:rPr>
      </w:pPr>
      <w:r>
        <w:rPr>
          <w:lang w:val="es-ES_tradnl"/>
        </w:rPr>
        <w:lastRenderedPageBreak/>
        <w:t xml:space="preserve">Puede </w:t>
      </w:r>
      <w:r w:rsidRPr="00101A77">
        <w:rPr>
          <w:lang w:val="es-ES_tradnl"/>
        </w:rPr>
        <w:t>empl</w:t>
      </w:r>
      <w:r>
        <w:rPr>
          <w:lang w:val="es-ES_tradnl"/>
        </w:rPr>
        <w:t>earse</w:t>
      </w:r>
      <w:r w:rsidRPr="00101A77">
        <w:rPr>
          <w:lang w:val="es-ES_tradnl"/>
        </w:rPr>
        <w:t xml:space="preserve"> </w:t>
      </w:r>
      <w:r w:rsidR="00101A77" w:rsidRPr="00101A77">
        <w:rPr>
          <w:lang w:val="es-ES_tradnl"/>
        </w:rPr>
        <w:t xml:space="preserve">una forma tabular como la indicada a continuación. Los valores </w:t>
      </w:r>
      <w:r>
        <w:rPr>
          <w:lang w:val="es-ES_tradnl"/>
        </w:rPr>
        <w:t xml:space="preserve">no </w:t>
      </w:r>
      <w:r w:rsidR="00101A77" w:rsidRPr="00101A77">
        <w:rPr>
          <w:lang w:val="es-ES_tradnl"/>
        </w:rPr>
        <w:t>han sido realmente medidos y se trata simplemente de ejemplos. El cuadro debe</w:t>
      </w:r>
      <w:r>
        <w:rPr>
          <w:lang w:val="es-ES_tradnl"/>
        </w:rPr>
        <w:t>rá</w:t>
      </w:r>
      <w:r w:rsidR="00101A77" w:rsidRPr="00101A77">
        <w:rPr>
          <w:lang w:val="es-ES_tradnl"/>
        </w:rPr>
        <w:t xml:space="preserve"> modificarse/detallarse de </w:t>
      </w:r>
      <w:r>
        <w:rPr>
          <w:lang w:val="es-ES_tradnl"/>
        </w:rPr>
        <w:t>conformidad con el</w:t>
      </w:r>
      <w:r w:rsidR="00101A77" w:rsidRPr="00101A77">
        <w:rPr>
          <w:lang w:val="es-ES_tradnl"/>
        </w:rPr>
        <w:t xml:space="preserve"> tráfico contenido en la banda. Se dan unos pocos ejemplos y pueden utilizarse las cifras de ocupación por aplicación para indicar las posibilidades de compartición dependien</w:t>
      </w:r>
      <w:r>
        <w:rPr>
          <w:lang w:val="es-ES_tradnl"/>
        </w:rPr>
        <w:t>do</w:t>
      </w:r>
      <w:r w:rsidR="00101A77" w:rsidRPr="00101A77">
        <w:rPr>
          <w:lang w:val="es-ES_tradnl"/>
        </w:rPr>
        <w:t xml:space="preserve"> del emplazamiento.</w:t>
      </w:r>
    </w:p>
    <w:p w:rsidR="00101A77" w:rsidRPr="00101A77" w:rsidRDefault="00101A77" w:rsidP="00D07C36">
      <w:pPr>
        <w:rPr>
          <w:lang w:val="es-ES_tradnl"/>
        </w:rPr>
      </w:pPr>
      <w:r w:rsidRPr="00101A77">
        <w:rPr>
          <w:lang w:val="es-ES_tradnl"/>
        </w:rPr>
        <w:t xml:space="preserve">Las cifras de ocupación se calculan utilizando una matriz de tiempo y frecuencia en la cual puede considerarse ocupado cada valor </w:t>
      </w:r>
      <w:r w:rsidR="0032487B">
        <w:rPr>
          <w:lang w:val="es-ES_tradnl"/>
        </w:rPr>
        <w:t xml:space="preserve">de </w:t>
      </w:r>
      <w:r w:rsidRPr="00101A77">
        <w:rPr>
          <w:lang w:val="es-ES_tradnl"/>
        </w:rPr>
        <w:t xml:space="preserve">10 dB por encima del valor eficaz </w:t>
      </w:r>
      <w:r w:rsidR="0032487B">
        <w:rPr>
          <w:lang w:val="es-ES_tradnl"/>
        </w:rPr>
        <w:t xml:space="preserve">del </w:t>
      </w:r>
      <w:r w:rsidRPr="00101A77">
        <w:rPr>
          <w:lang w:val="es-ES_tradnl"/>
        </w:rPr>
        <w:t xml:space="preserve">umbral de ruido del receptor mencionado. Debido a las propiedades de ruido de las transmisiones de los SRD no debe utilizarse un umbral o silenciador dinámico convencional </w:t>
      </w:r>
      <w:r w:rsidR="00D07C36">
        <w:rPr>
          <w:lang w:val="es-ES_tradnl"/>
        </w:rPr>
        <w:t>aj</w:t>
      </w:r>
      <w:r w:rsidRPr="00101A77">
        <w:rPr>
          <w:lang w:val="es-ES_tradnl"/>
        </w:rPr>
        <w:t xml:space="preserve">ustado a intervalos relativamente largos. Debe </w:t>
      </w:r>
      <w:r w:rsidR="00D07C36">
        <w:rPr>
          <w:lang w:val="es-ES_tradnl"/>
        </w:rPr>
        <w:t>emple</w:t>
      </w:r>
      <w:r w:rsidRPr="00101A77">
        <w:rPr>
          <w:lang w:val="es-ES_tradnl"/>
        </w:rPr>
        <w:t xml:space="preserve">arse </w:t>
      </w:r>
      <w:r w:rsidR="00D07C36">
        <w:rPr>
          <w:lang w:val="es-ES_tradnl"/>
        </w:rPr>
        <w:t xml:space="preserve">en su lugar </w:t>
      </w:r>
      <w:r w:rsidRPr="00101A77">
        <w:rPr>
          <w:lang w:val="es-ES_tradnl"/>
        </w:rPr>
        <w:t>un umbral fijo basado en el receptor real y en la medición del ruido de fondo ambiental. Otra posibilidad es determinar el ruido de fondo exploración por exploración y ajustar el umbral de acuerdo con este valor.</w:t>
      </w:r>
    </w:p>
    <w:p w:rsidR="00101A77" w:rsidRPr="00101A77" w:rsidRDefault="00101A77" w:rsidP="00D07C36">
      <w:pPr>
        <w:rPr>
          <w:lang w:val="es-ES_tradnl"/>
        </w:rPr>
      </w:pPr>
      <w:r w:rsidRPr="00101A77">
        <w:rPr>
          <w:lang w:val="es-ES_tradnl"/>
        </w:rPr>
        <w:t>Debido a la anchura de banda de resolución y a la anchura de banda de los dispositivos de transmisión algunos valores estarán correlados dependiendo de la banda comprobada</w:t>
      </w:r>
      <w:r w:rsidR="00D07C36">
        <w:rPr>
          <w:lang w:val="es-ES_tradnl"/>
        </w:rPr>
        <w:t>, lo cual no supone</w:t>
      </w:r>
      <w:r w:rsidRPr="00101A77">
        <w:rPr>
          <w:lang w:val="es-ES_tradnl"/>
        </w:rPr>
        <w:t xml:space="preserve"> un problema ya que no se lleva a cabo un análisis del número de dispositivos en una banda particular.</w:t>
      </w:r>
    </w:p>
    <w:p w:rsidR="00101A77" w:rsidRPr="00101A77" w:rsidRDefault="00101A77" w:rsidP="00101A77">
      <w:pPr>
        <w:rPr>
          <w:rFonts w:cs="Arial"/>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4"/>
        <w:gridCol w:w="1531"/>
        <w:gridCol w:w="1134"/>
        <w:gridCol w:w="1587"/>
        <w:gridCol w:w="2041"/>
        <w:gridCol w:w="1474"/>
      </w:tblGrid>
      <w:tr w:rsidR="003E43AE" w:rsidRPr="00AA67B7" w:rsidTr="003E43AE">
        <w:trPr>
          <w:jc w:val="center"/>
        </w:trPr>
        <w:tc>
          <w:tcPr>
            <w:tcW w:w="1814" w:type="dxa"/>
            <w:vMerge w:val="restart"/>
            <w:shd w:val="clear" w:color="auto" w:fill="auto"/>
            <w:vAlign w:val="center"/>
          </w:tcPr>
          <w:p w:rsidR="003E43AE" w:rsidRPr="00B15650" w:rsidRDefault="003E43AE" w:rsidP="00152B0F">
            <w:pPr>
              <w:pStyle w:val="Tablehead"/>
            </w:pPr>
            <w:r>
              <w:t>Emplazamiento</w:t>
            </w:r>
          </w:p>
        </w:tc>
        <w:tc>
          <w:tcPr>
            <w:tcW w:w="1531" w:type="dxa"/>
            <w:vMerge w:val="restart"/>
            <w:shd w:val="clear" w:color="auto" w:fill="auto"/>
            <w:vAlign w:val="center"/>
          </w:tcPr>
          <w:p w:rsidR="003E43AE" w:rsidRPr="00B15650" w:rsidRDefault="003E43AE" w:rsidP="00152B0F">
            <w:pPr>
              <w:pStyle w:val="Tablehead"/>
            </w:pPr>
            <w:r>
              <w:t>Tipo</w:t>
            </w:r>
          </w:p>
        </w:tc>
        <w:tc>
          <w:tcPr>
            <w:tcW w:w="6236" w:type="dxa"/>
            <w:gridSpan w:val="4"/>
            <w:shd w:val="clear" w:color="auto" w:fill="auto"/>
          </w:tcPr>
          <w:p w:rsidR="003E43AE" w:rsidRPr="00AA67B7" w:rsidRDefault="003E43AE" w:rsidP="00152B0F">
            <w:pPr>
              <w:pStyle w:val="Tablehead"/>
              <w:rPr>
                <w:lang w:val="en-US"/>
              </w:rPr>
            </w:pPr>
            <w:r w:rsidRPr="00AA67B7">
              <w:rPr>
                <w:lang w:val="en-US"/>
              </w:rPr>
              <w:t>Oc</w:t>
            </w:r>
            <w:r>
              <w:rPr>
                <w:lang w:val="en-US"/>
              </w:rPr>
              <w:t>upación</w:t>
            </w:r>
            <w:r w:rsidRPr="00AA67B7">
              <w:rPr>
                <w:lang w:val="en-US"/>
              </w:rPr>
              <w:br/>
              <w:t>(%)</w:t>
            </w:r>
          </w:p>
        </w:tc>
      </w:tr>
      <w:tr w:rsidR="003E43AE" w:rsidRPr="00AA67B7" w:rsidTr="003E43AE">
        <w:trPr>
          <w:jc w:val="center"/>
        </w:trPr>
        <w:tc>
          <w:tcPr>
            <w:tcW w:w="1814" w:type="dxa"/>
            <w:vMerge/>
            <w:shd w:val="clear" w:color="auto" w:fill="auto"/>
          </w:tcPr>
          <w:p w:rsidR="003E43AE" w:rsidRPr="00AA67B7" w:rsidRDefault="003E43AE" w:rsidP="00152B0F">
            <w:pPr>
              <w:pStyle w:val="Tablehead"/>
              <w:rPr>
                <w:lang w:val="en-US"/>
              </w:rPr>
            </w:pPr>
          </w:p>
        </w:tc>
        <w:tc>
          <w:tcPr>
            <w:tcW w:w="1531" w:type="dxa"/>
            <w:vMerge/>
            <w:shd w:val="clear" w:color="auto" w:fill="auto"/>
          </w:tcPr>
          <w:p w:rsidR="003E43AE" w:rsidRPr="00AA67B7" w:rsidRDefault="003E43AE" w:rsidP="00152B0F">
            <w:pPr>
              <w:pStyle w:val="Tablehead"/>
              <w:rPr>
                <w:lang w:val="en-US"/>
              </w:rPr>
            </w:pPr>
          </w:p>
        </w:tc>
        <w:tc>
          <w:tcPr>
            <w:tcW w:w="1134" w:type="dxa"/>
            <w:shd w:val="clear" w:color="auto" w:fill="auto"/>
          </w:tcPr>
          <w:p w:rsidR="003E43AE" w:rsidRPr="00AA67B7" w:rsidRDefault="003E43AE" w:rsidP="00152B0F">
            <w:pPr>
              <w:pStyle w:val="Tablehead"/>
              <w:rPr>
                <w:lang w:val="en-US"/>
              </w:rPr>
            </w:pPr>
            <w:r w:rsidRPr="00AA67B7">
              <w:rPr>
                <w:lang w:val="en-US"/>
              </w:rPr>
              <w:t>Total</w:t>
            </w:r>
          </w:p>
        </w:tc>
        <w:tc>
          <w:tcPr>
            <w:tcW w:w="1587" w:type="dxa"/>
            <w:shd w:val="clear" w:color="auto" w:fill="auto"/>
          </w:tcPr>
          <w:p w:rsidR="003E43AE" w:rsidRPr="00AA67B7" w:rsidRDefault="003E43AE" w:rsidP="00152B0F">
            <w:pPr>
              <w:pStyle w:val="Tablehead"/>
              <w:rPr>
                <w:lang w:val="en-US"/>
              </w:rPr>
            </w:pPr>
            <w:r>
              <w:rPr>
                <w:lang w:val="en-US"/>
              </w:rPr>
              <w:t>No específica</w:t>
            </w:r>
          </w:p>
        </w:tc>
        <w:tc>
          <w:tcPr>
            <w:tcW w:w="2041" w:type="dxa"/>
            <w:shd w:val="clear" w:color="auto" w:fill="auto"/>
          </w:tcPr>
          <w:p w:rsidR="003E43AE" w:rsidRPr="00AA67B7" w:rsidRDefault="003E43AE" w:rsidP="00152B0F">
            <w:pPr>
              <w:pStyle w:val="Tablehead"/>
              <w:rPr>
                <w:lang w:val="en-US"/>
              </w:rPr>
            </w:pPr>
            <w:r w:rsidRPr="00AA67B7">
              <w:rPr>
                <w:lang w:val="en-US"/>
              </w:rPr>
              <w:t>Alarm</w:t>
            </w:r>
            <w:r>
              <w:rPr>
                <w:lang w:val="en-US"/>
              </w:rPr>
              <w:t>a</w:t>
            </w:r>
            <w:r w:rsidRPr="00AA67B7">
              <w:rPr>
                <w:lang w:val="en-US"/>
              </w:rPr>
              <w:t>s</w:t>
            </w:r>
          </w:p>
        </w:tc>
        <w:tc>
          <w:tcPr>
            <w:tcW w:w="1474" w:type="dxa"/>
            <w:shd w:val="clear" w:color="auto" w:fill="auto"/>
          </w:tcPr>
          <w:p w:rsidR="003E43AE" w:rsidRPr="00AA67B7" w:rsidRDefault="003E43AE" w:rsidP="00152B0F">
            <w:pPr>
              <w:pStyle w:val="Tablehead"/>
              <w:rPr>
                <w:lang w:val="en-US"/>
              </w:rPr>
            </w:pPr>
            <w:r w:rsidRPr="00AA67B7">
              <w:rPr>
                <w:lang w:val="en-US"/>
              </w:rPr>
              <w:t>Audio</w:t>
            </w:r>
          </w:p>
        </w:tc>
      </w:tr>
      <w:tr w:rsidR="003E43AE" w:rsidRPr="00D107CE" w:rsidTr="003E43AE">
        <w:trPr>
          <w:jc w:val="center"/>
        </w:trPr>
        <w:tc>
          <w:tcPr>
            <w:tcW w:w="1814" w:type="dxa"/>
            <w:vMerge/>
            <w:shd w:val="clear" w:color="auto" w:fill="auto"/>
          </w:tcPr>
          <w:p w:rsidR="003E43AE" w:rsidRPr="00AA67B7" w:rsidRDefault="003E43AE" w:rsidP="00152B0F">
            <w:pPr>
              <w:pStyle w:val="Tablehead"/>
              <w:rPr>
                <w:lang w:val="en-US"/>
              </w:rPr>
            </w:pPr>
          </w:p>
        </w:tc>
        <w:tc>
          <w:tcPr>
            <w:tcW w:w="1531" w:type="dxa"/>
            <w:vMerge/>
            <w:shd w:val="clear" w:color="auto" w:fill="auto"/>
          </w:tcPr>
          <w:p w:rsidR="003E43AE" w:rsidRPr="00AA67B7" w:rsidRDefault="003E43AE" w:rsidP="00152B0F">
            <w:pPr>
              <w:pStyle w:val="Tablehead"/>
              <w:rPr>
                <w:lang w:val="en-US"/>
              </w:rPr>
            </w:pPr>
          </w:p>
        </w:tc>
        <w:tc>
          <w:tcPr>
            <w:tcW w:w="1134" w:type="dxa"/>
            <w:shd w:val="clear" w:color="auto" w:fill="auto"/>
            <w:vAlign w:val="center"/>
          </w:tcPr>
          <w:p w:rsidR="003E43AE" w:rsidRPr="00AA67B7" w:rsidRDefault="003E43AE" w:rsidP="00152B0F">
            <w:pPr>
              <w:pStyle w:val="Tablehead"/>
              <w:rPr>
                <w:lang w:val="en-US"/>
              </w:rPr>
            </w:pPr>
            <w:r w:rsidRPr="00AA67B7">
              <w:rPr>
                <w:lang w:val="en-US"/>
              </w:rPr>
              <w:t>863-870</w:t>
            </w:r>
          </w:p>
        </w:tc>
        <w:tc>
          <w:tcPr>
            <w:tcW w:w="1587" w:type="dxa"/>
            <w:shd w:val="clear" w:color="auto" w:fill="auto"/>
          </w:tcPr>
          <w:p w:rsidR="003E43AE" w:rsidRPr="00AA67B7" w:rsidRDefault="003E43AE" w:rsidP="00152B0F">
            <w:pPr>
              <w:pStyle w:val="Tablehead"/>
              <w:rPr>
                <w:lang w:val="en-US"/>
              </w:rPr>
            </w:pPr>
            <w:r w:rsidRPr="00AA67B7">
              <w:rPr>
                <w:lang w:val="en-US"/>
              </w:rPr>
              <w:t>868</w:t>
            </w:r>
            <w:r>
              <w:rPr>
                <w:lang w:val="en-US"/>
              </w:rPr>
              <w:t>,</w:t>
            </w:r>
            <w:r w:rsidRPr="00AA67B7">
              <w:rPr>
                <w:lang w:val="en-US"/>
              </w:rPr>
              <w:t>0-868</w:t>
            </w:r>
            <w:r>
              <w:rPr>
                <w:lang w:val="en-US"/>
              </w:rPr>
              <w:t>,</w:t>
            </w:r>
            <w:r w:rsidRPr="00AA67B7">
              <w:rPr>
                <w:lang w:val="en-US"/>
              </w:rPr>
              <w:t>6</w:t>
            </w:r>
            <w:r>
              <w:rPr>
                <w:lang w:val="en-US"/>
              </w:rPr>
              <w:br/>
            </w:r>
            <w:r w:rsidRPr="00AA67B7">
              <w:rPr>
                <w:lang w:val="en-US"/>
              </w:rPr>
              <w:t>868</w:t>
            </w:r>
            <w:r>
              <w:rPr>
                <w:lang w:val="en-US"/>
              </w:rPr>
              <w:t>,</w:t>
            </w:r>
            <w:r w:rsidRPr="00AA67B7">
              <w:rPr>
                <w:lang w:val="en-US"/>
              </w:rPr>
              <w:t>7-868</w:t>
            </w:r>
            <w:r>
              <w:rPr>
                <w:lang w:val="en-US"/>
              </w:rPr>
              <w:t>,</w:t>
            </w:r>
            <w:r w:rsidRPr="00AA67B7">
              <w:rPr>
                <w:lang w:val="en-US"/>
              </w:rPr>
              <w:t>2</w:t>
            </w:r>
            <w:r>
              <w:rPr>
                <w:lang w:val="en-US"/>
              </w:rPr>
              <w:br/>
            </w:r>
            <w:r w:rsidRPr="00AA67B7">
              <w:rPr>
                <w:lang w:val="en-US"/>
              </w:rPr>
              <w:t>869</w:t>
            </w:r>
            <w:r>
              <w:rPr>
                <w:lang w:val="en-US"/>
              </w:rPr>
              <w:t>,</w:t>
            </w:r>
            <w:r w:rsidRPr="00AA67B7">
              <w:rPr>
                <w:lang w:val="en-US"/>
              </w:rPr>
              <w:t>4-869</w:t>
            </w:r>
            <w:r>
              <w:rPr>
                <w:lang w:val="en-US"/>
              </w:rPr>
              <w:t>,</w:t>
            </w:r>
            <w:r w:rsidRPr="00AA67B7">
              <w:rPr>
                <w:lang w:val="en-US"/>
              </w:rPr>
              <w:t>5</w:t>
            </w:r>
            <w:r>
              <w:rPr>
                <w:lang w:val="en-US"/>
              </w:rPr>
              <w:br/>
            </w:r>
            <w:r w:rsidRPr="00AA67B7">
              <w:rPr>
                <w:lang w:val="en-US"/>
              </w:rPr>
              <w:t>869</w:t>
            </w:r>
            <w:r>
              <w:rPr>
                <w:lang w:val="en-US"/>
              </w:rPr>
              <w:t>,</w:t>
            </w:r>
            <w:r w:rsidRPr="00AA67B7">
              <w:rPr>
                <w:lang w:val="en-US"/>
              </w:rPr>
              <w:t>7-870</w:t>
            </w:r>
            <w:r>
              <w:rPr>
                <w:lang w:val="en-US"/>
              </w:rPr>
              <w:t>,</w:t>
            </w:r>
            <w:r w:rsidRPr="00AA67B7">
              <w:rPr>
                <w:lang w:val="en-US"/>
              </w:rPr>
              <w:t>0</w:t>
            </w:r>
          </w:p>
        </w:tc>
        <w:tc>
          <w:tcPr>
            <w:tcW w:w="2041" w:type="dxa"/>
            <w:shd w:val="clear" w:color="auto" w:fill="auto"/>
          </w:tcPr>
          <w:p w:rsidR="003E43AE" w:rsidRPr="00D107CE" w:rsidRDefault="003E43AE" w:rsidP="00152B0F">
            <w:pPr>
              <w:pStyle w:val="Tablehead"/>
              <w:rPr>
                <w:lang w:val="en-US"/>
              </w:rPr>
            </w:pPr>
            <w:r w:rsidRPr="00AA67B7">
              <w:rPr>
                <w:lang w:val="en-US"/>
              </w:rPr>
              <w:t>869</w:t>
            </w:r>
            <w:r>
              <w:rPr>
                <w:lang w:val="en-US"/>
              </w:rPr>
              <w:t>,</w:t>
            </w:r>
            <w:r w:rsidRPr="00AA67B7">
              <w:rPr>
                <w:lang w:val="en-US"/>
              </w:rPr>
              <w:t>250-869</w:t>
            </w:r>
            <w:r>
              <w:rPr>
                <w:lang w:val="en-US"/>
              </w:rPr>
              <w:t>,</w:t>
            </w:r>
            <w:r w:rsidRPr="00AA67B7">
              <w:rPr>
                <w:lang w:val="en-US"/>
              </w:rPr>
              <w:t>300</w:t>
            </w:r>
            <w:r>
              <w:rPr>
                <w:lang w:val="en-US"/>
              </w:rPr>
              <w:br/>
            </w:r>
            <w:r w:rsidRPr="00AA67B7">
              <w:rPr>
                <w:lang w:val="en-US"/>
              </w:rPr>
              <w:t>869</w:t>
            </w:r>
            <w:r>
              <w:rPr>
                <w:lang w:val="en-US"/>
              </w:rPr>
              <w:t>,</w:t>
            </w:r>
            <w:r w:rsidRPr="00AA67B7">
              <w:rPr>
                <w:lang w:val="en-US"/>
              </w:rPr>
              <w:t>650-869</w:t>
            </w:r>
            <w:r>
              <w:rPr>
                <w:lang w:val="en-US"/>
              </w:rPr>
              <w:t>,</w:t>
            </w:r>
            <w:r w:rsidRPr="00AA67B7">
              <w:rPr>
                <w:lang w:val="en-US"/>
              </w:rPr>
              <w:t>700</w:t>
            </w:r>
            <w:r>
              <w:rPr>
                <w:lang w:val="en-US"/>
              </w:rPr>
              <w:br/>
            </w:r>
            <w:r w:rsidRPr="00AA67B7">
              <w:rPr>
                <w:lang w:val="en-US"/>
              </w:rPr>
              <w:t>8</w:t>
            </w:r>
            <w:r w:rsidRPr="00D107CE">
              <w:rPr>
                <w:lang w:val="en-US"/>
              </w:rPr>
              <w:t>69</w:t>
            </w:r>
            <w:r>
              <w:rPr>
                <w:lang w:val="en-US"/>
              </w:rPr>
              <w:t>,</w:t>
            </w:r>
            <w:r w:rsidRPr="00D107CE">
              <w:rPr>
                <w:lang w:val="en-US"/>
              </w:rPr>
              <w:t>200-869</w:t>
            </w:r>
            <w:r>
              <w:rPr>
                <w:lang w:val="en-US"/>
              </w:rPr>
              <w:t>,</w:t>
            </w:r>
            <w:r w:rsidRPr="00D107CE">
              <w:rPr>
                <w:lang w:val="en-US"/>
              </w:rPr>
              <w:t>250</w:t>
            </w:r>
            <w:r>
              <w:rPr>
                <w:lang w:val="en-US"/>
              </w:rPr>
              <w:br/>
            </w:r>
            <w:r w:rsidRPr="00D107CE">
              <w:rPr>
                <w:lang w:val="en-US"/>
              </w:rPr>
              <w:t>869</w:t>
            </w:r>
            <w:r>
              <w:rPr>
                <w:lang w:val="en-US"/>
              </w:rPr>
              <w:t>,</w:t>
            </w:r>
            <w:r w:rsidRPr="00D107CE">
              <w:rPr>
                <w:lang w:val="en-US"/>
              </w:rPr>
              <w:t>300-869</w:t>
            </w:r>
            <w:r>
              <w:rPr>
                <w:lang w:val="en-US"/>
              </w:rPr>
              <w:t>,</w:t>
            </w:r>
            <w:r w:rsidRPr="00D107CE">
              <w:rPr>
                <w:lang w:val="en-US"/>
              </w:rPr>
              <w:t>400</w:t>
            </w:r>
          </w:p>
        </w:tc>
        <w:tc>
          <w:tcPr>
            <w:tcW w:w="1474" w:type="dxa"/>
            <w:shd w:val="clear" w:color="auto" w:fill="auto"/>
            <w:vAlign w:val="center"/>
          </w:tcPr>
          <w:p w:rsidR="003E43AE" w:rsidRPr="00D107CE" w:rsidRDefault="003E43AE" w:rsidP="00152B0F">
            <w:pPr>
              <w:pStyle w:val="Tablehead"/>
              <w:rPr>
                <w:lang w:val="en-US"/>
              </w:rPr>
            </w:pPr>
            <w:r w:rsidRPr="00D107CE">
              <w:rPr>
                <w:lang w:val="en-US"/>
              </w:rPr>
              <w:t>863</w:t>
            </w:r>
            <w:r>
              <w:rPr>
                <w:lang w:val="en-US"/>
              </w:rPr>
              <w:t>,</w:t>
            </w:r>
            <w:r w:rsidRPr="00D107CE">
              <w:rPr>
                <w:lang w:val="en-US"/>
              </w:rPr>
              <w:t>0-865</w:t>
            </w:r>
            <w:r>
              <w:rPr>
                <w:lang w:val="en-US"/>
              </w:rPr>
              <w:t>,</w:t>
            </w:r>
            <w:r w:rsidRPr="00D107CE">
              <w:rPr>
                <w:lang w:val="en-US"/>
              </w:rPr>
              <w:t>0</w:t>
            </w:r>
            <w:r>
              <w:rPr>
                <w:lang w:val="en-US"/>
              </w:rPr>
              <w:br/>
            </w:r>
            <w:r w:rsidRPr="00D107CE">
              <w:rPr>
                <w:lang w:val="en-US"/>
              </w:rPr>
              <w:t>864</w:t>
            </w:r>
            <w:r>
              <w:rPr>
                <w:lang w:val="en-US"/>
              </w:rPr>
              <w:t>,</w:t>
            </w:r>
            <w:r w:rsidRPr="00D107CE">
              <w:rPr>
                <w:lang w:val="en-US"/>
              </w:rPr>
              <w:t>8-865</w:t>
            </w:r>
            <w:r>
              <w:rPr>
                <w:lang w:val="en-US"/>
              </w:rPr>
              <w:t>,</w:t>
            </w:r>
            <w:r w:rsidRPr="00D107CE">
              <w:rPr>
                <w:lang w:val="en-US"/>
              </w:rPr>
              <w:t>0</w:t>
            </w:r>
          </w:p>
        </w:tc>
      </w:tr>
      <w:tr w:rsidR="00101A77" w:rsidRPr="00D107CE" w:rsidTr="003E43AE">
        <w:trPr>
          <w:jc w:val="center"/>
        </w:trPr>
        <w:tc>
          <w:tcPr>
            <w:tcW w:w="1814" w:type="dxa"/>
          </w:tcPr>
          <w:p w:rsidR="00101A77" w:rsidRPr="00D107CE" w:rsidRDefault="00101A77" w:rsidP="00152B0F">
            <w:pPr>
              <w:pStyle w:val="Tabletext"/>
              <w:rPr>
                <w:lang w:val="en-US"/>
              </w:rPr>
            </w:pPr>
            <w:r w:rsidRPr="00D107CE">
              <w:rPr>
                <w:lang w:val="en-US"/>
              </w:rPr>
              <w:t>Amsterdam WTC</w:t>
            </w:r>
          </w:p>
        </w:tc>
        <w:tc>
          <w:tcPr>
            <w:tcW w:w="1531" w:type="dxa"/>
          </w:tcPr>
          <w:p w:rsidR="00101A77" w:rsidRPr="00D107CE" w:rsidRDefault="00101A77" w:rsidP="00152B0F">
            <w:pPr>
              <w:pStyle w:val="Tabletext"/>
              <w:rPr>
                <w:lang w:val="en-US"/>
              </w:rPr>
            </w:pPr>
            <w:r>
              <w:rPr>
                <w:lang w:val="en-US"/>
              </w:rPr>
              <w:t>Oficina</w:t>
            </w:r>
          </w:p>
        </w:tc>
        <w:tc>
          <w:tcPr>
            <w:tcW w:w="1134" w:type="dxa"/>
          </w:tcPr>
          <w:p w:rsidR="00101A77" w:rsidRPr="00D107CE" w:rsidRDefault="00101A77" w:rsidP="000904D2">
            <w:pPr>
              <w:pStyle w:val="Tabletext"/>
              <w:jc w:val="center"/>
              <w:rPr>
                <w:lang w:val="en-US"/>
              </w:rPr>
            </w:pPr>
            <w:r w:rsidRPr="00D107CE">
              <w:rPr>
                <w:lang w:val="en-US"/>
              </w:rPr>
              <w:t>20</w:t>
            </w:r>
          </w:p>
        </w:tc>
        <w:tc>
          <w:tcPr>
            <w:tcW w:w="1587" w:type="dxa"/>
          </w:tcPr>
          <w:p w:rsidR="00101A77" w:rsidRPr="00D107CE" w:rsidRDefault="00101A77" w:rsidP="000904D2">
            <w:pPr>
              <w:pStyle w:val="Tabletext"/>
              <w:jc w:val="center"/>
              <w:rPr>
                <w:lang w:val="en-US"/>
              </w:rPr>
            </w:pPr>
            <w:r w:rsidRPr="00D107CE">
              <w:rPr>
                <w:lang w:val="en-US"/>
              </w:rPr>
              <w:t>0</w:t>
            </w:r>
          </w:p>
        </w:tc>
        <w:tc>
          <w:tcPr>
            <w:tcW w:w="2041" w:type="dxa"/>
          </w:tcPr>
          <w:p w:rsidR="00101A77" w:rsidRPr="00D107CE" w:rsidRDefault="00101A77" w:rsidP="000904D2">
            <w:pPr>
              <w:pStyle w:val="Tabletext"/>
              <w:jc w:val="center"/>
              <w:rPr>
                <w:lang w:val="en-US"/>
              </w:rPr>
            </w:pPr>
            <w:r w:rsidRPr="00D107CE">
              <w:rPr>
                <w:lang w:val="en-US"/>
              </w:rPr>
              <w:t>2</w:t>
            </w:r>
          </w:p>
        </w:tc>
        <w:tc>
          <w:tcPr>
            <w:tcW w:w="1474" w:type="dxa"/>
          </w:tcPr>
          <w:p w:rsidR="00101A77" w:rsidRPr="00D107CE" w:rsidRDefault="00101A77" w:rsidP="000904D2">
            <w:pPr>
              <w:pStyle w:val="Tabletext"/>
              <w:jc w:val="center"/>
              <w:rPr>
                <w:lang w:val="en-US"/>
              </w:rPr>
            </w:pPr>
            <w:r w:rsidRPr="00D107CE">
              <w:rPr>
                <w:lang w:val="en-US"/>
              </w:rPr>
              <w:t>0</w:t>
            </w:r>
          </w:p>
        </w:tc>
      </w:tr>
      <w:tr w:rsidR="00101A77" w:rsidRPr="00D107CE" w:rsidTr="003E43AE">
        <w:trPr>
          <w:jc w:val="center"/>
        </w:trPr>
        <w:tc>
          <w:tcPr>
            <w:tcW w:w="1814" w:type="dxa"/>
          </w:tcPr>
          <w:p w:rsidR="00101A77" w:rsidRPr="00D107CE" w:rsidRDefault="00101A77" w:rsidP="00152B0F">
            <w:pPr>
              <w:pStyle w:val="Tabletext"/>
              <w:rPr>
                <w:lang w:val="en-US"/>
              </w:rPr>
            </w:pPr>
            <w:smartTag w:uri="urn:schemas-microsoft-com:office:smarttags" w:element="City">
              <w:smartTag w:uri="urn:schemas-microsoft-com:office:smarttags" w:element="place">
                <w:r w:rsidRPr="00D107CE">
                  <w:rPr>
                    <w:lang w:val="en-US"/>
                  </w:rPr>
                  <w:t>Amsterdam</w:t>
                </w:r>
              </w:smartTag>
            </w:smartTag>
            <w:r w:rsidRPr="00D107CE">
              <w:rPr>
                <w:lang w:val="en-US"/>
              </w:rPr>
              <w:t xml:space="preserve"> WTC</w:t>
            </w:r>
          </w:p>
        </w:tc>
        <w:tc>
          <w:tcPr>
            <w:tcW w:w="1531" w:type="dxa"/>
          </w:tcPr>
          <w:p w:rsidR="00101A77" w:rsidRPr="00D107CE" w:rsidRDefault="00101A77" w:rsidP="00152B0F">
            <w:pPr>
              <w:pStyle w:val="Tabletext"/>
              <w:rPr>
                <w:lang w:val="en-US"/>
              </w:rPr>
            </w:pPr>
            <w:r>
              <w:rPr>
                <w:lang w:val="en-US"/>
              </w:rPr>
              <w:t>Aparcamiento</w:t>
            </w:r>
          </w:p>
        </w:tc>
        <w:tc>
          <w:tcPr>
            <w:tcW w:w="1134" w:type="dxa"/>
          </w:tcPr>
          <w:p w:rsidR="00101A77" w:rsidRPr="00D107CE" w:rsidRDefault="00101A77" w:rsidP="000904D2">
            <w:pPr>
              <w:pStyle w:val="Tabletext"/>
              <w:jc w:val="center"/>
              <w:rPr>
                <w:lang w:val="en-US"/>
              </w:rPr>
            </w:pPr>
            <w:r w:rsidRPr="00D107CE">
              <w:rPr>
                <w:lang w:val="en-US"/>
              </w:rPr>
              <w:t>3</w:t>
            </w:r>
          </w:p>
        </w:tc>
        <w:tc>
          <w:tcPr>
            <w:tcW w:w="1587" w:type="dxa"/>
          </w:tcPr>
          <w:p w:rsidR="00101A77" w:rsidRPr="00D107CE" w:rsidRDefault="00101A77" w:rsidP="000904D2">
            <w:pPr>
              <w:pStyle w:val="Tabletext"/>
              <w:jc w:val="center"/>
              <w:rPr>
                <w:lang w:val="en-US"/>
              </w:rPr>
            </w:pPr>
            <w:r w:rsidRPr="00D107CE">
              <w:rPr>
                <w:lang w:val="en-US"/>
              </w:rPr>
              <w:t>2</w:t>
            </w:r>
          </w:p>
        </w:tc>
        <w:tc>
          <w:tcPr>
            <w:tcW w:w="2041" w:type="dxa"/>
          </w:tcPr>
          <w:p w:rsidR="00101A77" w:rsidRPr="00D107CE" w:rsidRDefault="00101A77" w:rsidP="000904D2">
            <w:pPr>
              <w:pStyle w:val="Tabletext"/>
              <w:jc w:val="center"/>
              <w:rPr>
                <w:lang w:val="en-US"/>
              </w:rPr>
            </w:pPr>
            <w:r w:rsidRPr="00D107CE">
              <w:rPr>
                <w:lang w:val="en-US"/>
              </w:rPr>
              <w:t>0</w:t>
            </w:r>
          </w:p>
        </w:tc>
        <w:tc>
          <w:tcPr>
            <w:tcW w:w="1474" w:type="dxa"/>
          </w:tcPr>
          <w:p w:rsidR="00101A77" w:rsidRPr="00D107CE" w:rsidRDefault="00101A77" w:rsidP="000904D2">
            <w:pPr>
              <w:pStyle w:val="Tabletext"/>
              <w:jc w:val="center"/>
              <w:rPr>
                <w:lang w:val="en-US"/>
              </w:rPr>
            </w:pPr>
            <w:r w:rsidRPr="00D107CE">
              <w:rPr>
                <w:lang w:val="en-US"/>
              </w:rPr>
              <w:t>0</w:t>
            </w:r>
          </w:p>
        </w:tc>
      </w:tr>
    </w:tbl>
    <w:p w:rsidR="00101A77" w:rsidRPr="00D107CE" w:rsidRDefault="00101A77" w:rsidP="006B2558">
      <w:pPr>
        <w:spacing w:before="0"/>
        <w:rPr>
          <w:rFonts w:cs="Arial"/>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1"/>
        <w:gridCol w:w="3118"/>
        <w:gridCol w:w="1247"/>
        <w:gridCol w:w="1701"/>
        <w:gridCol w:w="1701"/>
      </w:tblGrid>
      <w:tr w:rsidR="000904D2" w:rsidRPr="00AA67B7" w:rsidTr="000904D2">
        <w:trPr>
          <w:jc w:val="center"/>
        </w:trPr>
        <w:tc>
          <w:tcPr>
            <w:tcW w:w="1871" w:type="dxa"/>
            <w:vMerge w:val="restart"/>
            <w:shd w:val="clear" w:color="auto" w:fill="auto"/>
            <w:vAlign w:val="center"/>
          </w:tcPr>
          <w:p w:rsidR="000904D2" w:rsidRPr="00D107CE" w:rsidRDefault="000904D2" w:rsidP="00152B0F">
            <w:pPr>
              <w:pStyle w:val="Tablehead"/>
              <w:rPr>
                <w:lang w:val="en-US"/>
              </w:rPr>
            </w:pPr>
            <w:r>
              <w:t>Emplazamiento</w:t>
            </w:r>
          </w:p>
        </w:tc>
        <w:tc>
          <w:tcPr>
            <w:tcW w:w="3118" w:type="dxa"/>
            <w:vMerge w:val="restart"/>
            <w:shd w:val="clear" w:color="auto" w:fill="auto"/>
            <w:vAlign w:val="center"/>
          </w:tcPr>
          <w:p w:rsidR="000904D2" w:rsidRPr="00D107CE" w:rsidRDefault="000904D2" w:rsidP="00152B0F">
            <w:pPr>
              <w:pStyle w:val="Tablehead"/>
              <w:rPr>
                <w:lang w:val="en-US"/>
              </w:rPr>
            </w:pPr>
            <w:r w:rsidRPr="00D107CE">
              <w:rPr>
                <w:lang w:val="en-US"/>
              </w:rPr>
              <w:t>T</w:t>
            </w:r>
            <w:r>
              <w:rPr>
                <w:lang w:val="en-US"/>
              </w:rPr>
              <w:t>ipo</w:t>
            </w:r>
          </w:p>
        </w:tc>
        <w:tc>
          <w:tcPr>
            <w:tcW w:w="4649" w:type="dxa"/>
            <w:gridSpan w:val="3"/>
            <w:tcBorders>
              <w:right w:val="single" w:sz="4" w:space="0" w:color="auto"/>
            </w:tcBorders>
            <w:shd w:val="clear" w:color="auto" w:fill="auto"/>
            <w:vAlign w:val="center"/>
          </w:tcPr>
          <w:p w:rsidR="000904D2" w:rsidRPr="00AA67B7" w:rsidRDefault="000904D2" w:rsidP="00152B0F">
            <w:pPr>
              <w:pStyle w:val="Tablehead"/>
              <w:rPr>
                <w:lang w:val="en-US"/>
              </w:rPr>
            </w:pPr>
            <w:r w:rsidRPr="00AA67B7">
              <w:rPr>
                <w:lang w:val="en-US"/>
              </w:rPr>
              <w:t>Oc</w:t>
            </w:r>
            <w:r>
              <w:rPr>
                <w:lang w:val="en-US"/>
              </w:rPr>
              <w:t>upación</w:t>
            </w:r>
            <w:r w:rsidRPr="00AA67B7">
              <w:rPr>
                <w:lang w:val="en-US"/>
              </w:rPr>
              <w:t xml:space="preserve"> </w:t>
            </w:r>
            <w:r w:rsidRPr="00AA67B7">
              <w:rPr>
                <w:lang w:val="en-US"/>
              </w:rPr>
              <w:br/>
              <w:t>(%)</w:t>
            </w:r>
          </w:p>
        </w:tc>
      </w:tr>
      <w:tr w:rsidR="000904D2" w:rsidRPr="00AA67B7" w:rsidTr="000904D2">
        <w:trPr>
          <w:jc w:val="center"/>
        </w:trPr>
        <w:tc>
          <w:tcPr>
            <w:tcW w:w="1871" w:type="dxa"/>
            <w:vMerge/>
            <w:shd w:val="clear" w:color="auto" w:fill="auto"/>
            <w:vAlign w:val="center"/>
          </w:tcPr>
          <w:p w:rsidR="000904D2" w:rsidRPr="00AA67B7" w:rsidRDefault="000904D2" w:rsidP="00152B0F">
            <w:pPr>
              <w:pStyle w:val="Tablehead"/>
              <w:rPr>
                <w:lang w:val="en-US"/>
              </w:rPr>
            </w:pPr>
          </w:p>
        </w:tc>
        <w:tc>
          <w:tcPr>
            <w:tcW w:w="3118" w:type="dxa"/>
            <w:vMerge/>
            <w:shd w:val="clear" w:color="auto" w:fill="auto"/>
            <w:vAlign w:val="center"/>
          </w:tcPr>
          <w:p w:rsidR="000904D2" w:rsidRPr="00AA67B7" w:rsidRDefault="000904D2" w:rsidP="00152B0F">
            <w:pPr>
              <w:pStyle w:val="Tablehead"/>
              <w:rPr>
                <w:lang w:val="en-US"/>
              </w:rPr>
            </w:pPr>
          </w:p>
        </w:tc>
        <w:tc>
          <w:tcPr>
            <w:tcW w:w="1247" w:type="dxa"/>
            <w:shd w:val="clear" w:color="auto" w:fill="auto"/>
            <w:vAlign w:val="center"/>
          </w:tcPr>
          <w:p w:rsidR="000904D2" w:rsidRPr="00AA67B7" w:rsidRDefault="000904D2" w:rsidP="000904D2">
            <w:pPr>
              <w:pStyle w:val="Tablehead"/>
              <w:rPr>
                <w:lang w:val="en-US"/>
              </w:rPr>
            </w:pPr>
            <w:r w:rsidRPr="00AA67B7">
              <w:rPr>
                <w:lang w:val="en-US"/>
              </w:rPr>
              <w:t>Total</w:t>
            </w:r>
          </w:p>
        </w:tc>
        <w:tc>
          <w:tcPr>
            <w:tcW w:w="1701" w:type="dxa"/>
            <w:shd w:val="clear" w:color="auto" w:fill="auto"/>
            <w:vAlign w:val="center"/>
          </w:tcPr>
          <w:p w:rsidR="000904D2" w:rsidRPr="00AA67B7" w:rsidRDefault="000904D2" w:rsidP="00152B0F">
            <w:pPr>
              <w:pStyle w:val="Tablehead"/>
              <w:rPr>
                <w:lang w:val="en-US"/>
              </w:rPr>
            </w:pPr>
            <w:r w:rsidRPr="00AA67B7">
              <w:rPr>
                <w:lang w:val="en-US"/>
              </w:rPr>
              <w:t xml:space="preserve">No </w:t>
            </w:r>
            <w:r>
              <w:rPr>
                <w:lang w:val="en-US"/>
              </w:rPr>
              <w:t>e</w:t>
            </w:r>
            <w:r w:rsidRPr="00AA67B7">
              <w:rPr>
                <w:lang w:val="en-US"/>
              </w:rPr>
              <w:t>spec</w:t>
            </w:r>
            <w:r>
              <w:rPr>
                <w:lang w:val="en-US"/>
              </w:rPr>
              <w:t>ífica</w:t>
            </w:r>
          </w:p>
        </w:tc>
        <w:tc>
          <w:tcPr>
            <w:tcW w:w="1701" w:type="dxa"/>
            <w:tcBorders>
              <w:right w:val="single" w:sz="4" w:space="0" w:color="auto"/>
            </w:tcBorders>
            <w:shd w:val="clear" w:color="auto" w:fill="auto"/>
            <w:vAlign w:val="center"/>
          </w:tcPr>
          <w:p w:rsidR="000904D2" w:rsidRPr="00AA67B7" w:rsidRDefault="000904D2" w:rsidP="00152B0F">
            <w:pPr>
              <w:pStyle w:val="Tablehead"/>
              <w:rPr>
                <w:lang w:val="en-US"/>
              </w:rPr>
            </w:pPr>
            <w:r w:rsidRPr="00AA67B7">
              <w:rPr>
                <w:lang w:val="en-US"/>
              </w:rPr>
              <w:t>RFID</w:t>
            </w:r>
          </w:p>
        </w:tc>
      </w:tr>
      <w:tr w:rsidR="000904D2" w:rsidRPr="00AA67B7" w:rsidTr="000904D2">
        <w:trPr>
          <w:jc w:val="center"/>
        </w:trPr>
        <w:tc>
          <w:tcPr>
            <w:tcW w:w="1871" w:type="dxa"/>
            <w:vMerge/>
            <w:shd w:val="clear" w:color="auto" w:fill="auto"/>
            <w:vAlign w:val="center"/>
          </w:tcPr>
          <w:p w:rsidR="000904D2" w:rsidRPr="00AA67B7" w:rsidRDefault="000904D2" w:rsidP="00152B0F">
            <w:pPr>
              <w:pStyle w:val="Tablehead"/>
              <w:rPr>
                <w:lang w:val="en-US"/>
              </w:rPr>
            </w:pPr>
          </w:p>
        </w:tc>
        <w:tc>
          <w:tcPr>
            <w:tcW w:w="3118" w:type="dxa"/>
            <w:vMerge/>
            <w:shd w:val="clear" w:color="auto" w:fill="auto"/>
            <w:vAlign w:val="center"/>
          </w:tcPr>
          <w:p w:rsidR="000904D2" w:rsidRPr="00AA67B7" w:rsidRDefault="000904D2" w:rsidP="00152B0F">
            <w:pPr>
              <w:pStyle w:val="Tablehead"/>
              <w:rPr>
                <w:lang w:val="en-US"/>
              </w:rPr>
            </w:pPr>
          </w:p>
        </w:tc>
        <w:tc>
          <w:tcPr>
            <w:tcW w:w="1247" w:type="dxa"/>
            <w:shd w:val="clear" w:color="auto" w:fill="auto"/>
            <w:vAlign w:val="center"/>
          </w:tcPr>
          <w:p w:rsidR="000904D2" w:rsidRPr="00AA67B7" w:rsidRDefault="000904D2" w:rsidP="00152B0F">
            <w:pPr>
              <w:pStyle w:val="Tablehead"/>
              <w:rPr>
                <w:lang w:val="en-US"/>
              </w:rPr>
            </w:pPr>
            <w:r w:rsidRPr="00AA67B7">
              <w:rPr>
                <w:lang w:val="en-US"/>
              </w:rPr>
              <w:t>863-870</w:t>
            </w:r>
          </w:p>
        </w:tc>
        <w:tc>
          <w:tcPr>
            <w:tcW w:w="1701" w:type="dxa"/>
            <w:shd w:val="clear" w:color="auto" w:fill="auto"/>
            <w:vAlign w:val="center"/>
          </w:tcPr>
          <w:p w:rsidR="000904D2" w:rsidRPr="00AA67B7" w:rsidRDefault="000904D2" w:rsidP="00152B0F">
            <w:pPr>
              <w:pStyle w:val="Tablehead"/>
              <w:rPr>
                <w:lang w:val="en-US"/>
              </w:rPr>
            </w:pPr>
            <w:r w:rsidRPr="00AA67B7">
              <w:rPr>
                <w:lang w:val="en-US"/>
              </w:rPr>
              <w:t>868</w:t>
            </w:r>
            <w:r>
              <w:rPr>
                <w:lang w:val="en-US"/>
              </w:rPr>
              <w:t>,</w:t>
            </w:r>
            <w:r w:rsidRPr="00AA67B7">
              <w:rPr>
                <w:lang w:val="en-US"/>
              </w:rPr>
              <w:t>0-868</w:t>
            </w:r>
            <w:r>
              <w:rPr>
                <w:lang w:val="en-US"/>
              </w:rPr>
              <w:t>,</w:t>
            </w:r>
            <w:r w:rsidRPr="00AA67B7">
              <w:rPr>
                <w:lang w:val="en-US"/>
              </w:rPr>
              <w:t>6</w:t>
            </w:r>
            <w:r>
              <w:rPr>
                <w:lang w:val="en-US"/>
              </w:rPr>
              <w:br/>
            </w:r>
            <w:r w:rsidRPr="00AA67B7">
              <w:rPr>
                <w:lang w:val="en-US"/>
              </w:rPr>
              <w:t>868</w:t>
            </w:r>
            <w:r>
              <w:rPr>
                <w:lang w:val="en-US"/>
              </w:rPr>
              <w:t>,</w:t>
            </w:r>
            <w:r w:rsidRPr="00AA67B7">
              <w:rPr>
                <w:lang w:val="en-US"/>
              </w:rPr>
              <w:t>7-868</w:t>
            </w:r>
            <w:r>
              <w:rPr>
                <w:lang w:val="en-US"/>
              </w:rPr>
              <w:t>,</w:t>
            </w:r>
            <w:r w:rsidRPr="00AA67B7">
              <w:rPr>
                <w:lang w:val="en-US"/>
              </w:rPr>
              <w:t>2</w:t>
            </w:r>
            <w:r>
              <w:rPr>
                <w:lang w:val="en-US"/>
              </w:rPr>
              <w:br/>
            </w:r>
            <w:r w:rsidRPr="00AA67B7">
              <w:rPr>
                <w:lang w:val="en-US"/>
              </w:rPr>
              <w:t>869</w:t>
            </w:r>
            <w:r>
              <w:rPr>
                <w:lang w:val="en-US"/>
              </w:rPr>
              <w:t>,</w:t>
            </w:r>
            <w:r w:rsidRPr="00AA67B7">
              <w:rPr>
                <w:lang w:val="en-US"/>
              </w:rPr>
              <w:t>4-869</w:t>
            </w:r>
            <w:r>
              <w:rPr>
                <w:lang w:val="en-US"/>
              </w:rPr>
              <w:t>,</w:t>
            </w:r>
            <w:r w:rsidRPr="00AA67B7">
              <w:rPr>
                <w:lang w:val="en-US"/>
              </w:rPr>
              <w:t>5</w:t>
            </w:r>
            <w:r>
              <w:rPr>
                <w:lang w:val="en-US"/>
              </w:rPr>
              <w:br/>
            </w:r>
            <w:r w:rsidRPr="00AA67B7">
              <w:rPr>
                <w:lang w:val="en-US"/>
              </w:rPr>
              <w:t>869</w:t>
            </w:r>
            <w:r>
              <w:rPr>
                <w:lang w:val="en-US"/>
              </w:rPr>
              <w:t>,</w:t>
            </w:r>
            <w:r w:rsidRPr="00AA67B7">
              <w:rPr>
                <w:lang w:val="en-US"/>
              </w:rPr>
              <w:t>7-870</w:t>
            </w:r>
            <w:r>
              <w:rPr>
                <w:lang w:val="en-US"/>
              </w:rPr>
              <w:t>,</w:t>
            </w:r>
            <w:r w:rsidRPr="00AA67B7">
              <w:rPr>
                <w:lang w:val="en-US"/>
              </w:rPr>
              <w:t>0</w:t>
            </w:r>
          </w:p>
        </w:tc>
        <w:tc>
          <w:tcPr>
            <w:tcW w:w="1701" w:type="dxa"/>
            <w:shd w:val="clear" w:color="auto" w:fill="auto"/>
            <w:vAlign w:val="center"/>
          </w:tcPr>
          <w:p w:rsidR="000904D2" w:rsidRPr="00AA67B7" w:rsidRDefault="000904D2" w:rsidP="00152B0F">
            <w:pPr>
              <w:pStyle w:val="Tablehead"/>
              <w:rPr>
                <w:lang w:val="en-US"/>
              </w:rPr>
            </w:pPr>
            <w:r w:rsidRPr="00AA67B7">
              <w:rPr>
                <w:lang w:val="en-US"/>
              </w:rPr>
              <w:t>865</w:t>
            </w:r>
            <w:r>
              <w:rPr>
                <w:lang w:val="en-US"/>
              </w:rPr>
              <w:t>,</w:t>
            </w:r>
            <w:r w:rsidRPr="00AA67B7">
              <w:rPr>
                <w:lang w:val="en-US"/>
              </w:rPr>
              <w:t>0-865</w:t>
            </w:r>
            <w:r>
              <w:rPr>
                <w:lang w:val="en-US"/>
              </w:rPr>
              <w:t>,</w:t>
            </w:r>
            <w:r w:rsidRPr="00AA67B7">
              <w:rPr>
                <w:lang w:val="en-US"/>
              </w:rPr>
              <w:t>6</w:t>
            </w:r>
          </w:p>
          <w:p w:rsidR="000904D2" w:rsidRPr="00AA67B7" w:rsidRDefault="000904D2" w:rsidP="00152B0F">
            <w:pPr>
              <w:pStyle w:val="Tablehead"/>
              <w:rPr>
                <w:lang w:val="en-US"/>
              </w:rPr>
            </w:pPr>
            <w:r w:rsidRPr="00AA67B7">
              <w:rPr>
                <w:lang w:val="en-US"/>
              </w:rPr>
              <w:t>865</w:t>
            </w:r>
            <w:r>
              <w:rPr>
                <w:lang w:val="en-US"/>
              </w:rPr>
              <w:t>,</w:t>
            </w:r>
            <w:r w:rsidRPr="00AA67B7">
              <w:rPr>
                <w:lang w:val="en-US"/>
              </w:rPr>
              <w:t>6-867</w:t>
            </w:r>
            <w:r>
              <w:rPr>
                <w:lang w:val="en-US"/>
              </w:rPr>
              <w:t>,</w:t>
            </w:r>
            <w:r w:rsidRPr="00AA67B7">
              <w:rPr>
                <w:lang w:val="en-US"/>
              </w:rPr>
              <w:t>6</w:t>
            </w:r>
          </w:p>
          <w:p w:rsidR="000904D2" w:rsidRPr="00AA67B7" w:rsidRDefault="000904D2" w:rsidP="00152B0F">
            <w:pPr>
              <w:pStyle w:val="Tablehead"/>
              <w:rPr>
                <w:lang w:val="en-US"/>
              </w:rPr>
            </w:pPr>
            <w:r w:rsidRPr="00AA67B7">
              <w:rPr>
                <w:lang w:val="en-US"/>
              </w:rPr>
              <w:t>867</w:t>
            </w:r>
            <w:r>
              <w:rPr>
                <w:lang w:val="en-US"/>
              </w:rPr>
              <w:t>,</w:t>
            </w:r>
            <w:r w:rsidRPr="00AA67B7">
              <w:rPr>
                <w:lang w:val="en-US"/>
              </w:rPr>
              <w:t>6-868</w:t>
            </w:r>
            <w:r>
              <w:rPr>
                <w:lang w:val="en-US"/>
              </w:rPr>
              <w:t>,</w:t>
            </w:r>
            <w:r w:rsidRPr="00AA67B7">
              <w:rPr>
                <w:lang w:val="en-US"/>
              </w:rPr>
              <w:t>0</w:t>
            </w:r>
          </w:p>
        </w:tc>
      </w:tr>
      <w:tr w:rsidR="00101A77" w:rsidRPr="00C109F4" w:rsidTr="000904D2">
        <w:trPr>
          <w:jc w:val="center"/>
        </w:trPr>
        <w:tc>
          <w:tcPr>
            <w:tcW w:w="1871" w:type="dxa"/>
          </w:tcPr>
          <w:p w:rsidR="00101A77" w:rsidRPr="00B15650" w:rsidRDefault="00101A77" w:rsidP="00152B0F">
            <w:pPr>
              <w:pStyle w:val="Tabletext"/>
            </w:pPr>
            <w:r w:rsidRPr="00AA67B7">
              <w:rPr>
                <w:lang w:val="en-US"/>
              </w:rPr>
              <w:t>Schi</w:t>
            </w:r>
            <w:r w:rsidRPr="00B15650">
              <w:t>phol</w:t>
            </w:r>
          </w:p>
        </w:tc>
        <w:tc>
          <w:tcPr>
            <w:tcW w:w="3118" w:type="dxa"/>
          </w:tcPr>
          <w:p w:rsidR="00101A77" w:rsidRPr="00101A77" w:rsidRDefault="00BE72F3" w:rsidP="00BE72F3">
            <w:pPr>
              <w:pStyle w:val="Tabletext"/>
              <w:jc w:val="left"/>
              <w:rPr>
                <w:lang w:val="es-ES_tradnl"/>
              </w:rPr>
            </w:pPr>
            <w:r>
              <w:rPr>
                <w:lang w:val="es-ES_tradnl"/>
              </w:rPr>
              <w:t>Área</w:t>
            </w:r>
            <w:r w:rsidR="00101A77" w:rsidRPr="00101A77">
              <w:rPr>
                <w:lang w:val="es-ES_tradnl"/>
              </w:rPr>
              <w:t xml:space="preserve"> de </w:t>
            </w:r>
            <w:r>
              <w:rPr>
                <w:lang w:val="es-ES_tradnl"/>
              </w:rPr>
              <w:t>gestión</w:t>
            </w:r>
            <w:r w:rsidR="00101A77" w:rsidRPr="00101A77">
              <w:rPr>
                <w:lang w:val="es-ES_tradnl"/>
              </w:rPr>
              <w:t xml:space="preserve"> de equipajes</w:t>
            </w:r>
          </w:p>
        </w:tc>
        <w:tc>
          <w:tcPr>
            <w:tcW w:w="1247" w:type="dxa"/>
          </w:tcPr>
          <w:p w:rsidR="00101A77" w:rsidRPr="00B15650" w:rsidRDefault="00101A77" w:rsidP="008637EF">
            <w:pPr>
              <w:pStyle w:val="Tabletext"/>
              <w:jc w:val="center"/>
            </w:pPr>
            <w:r w:rsidRPr="00B15650">
              <w:t>20</w:t>
            </w:r>
          </w:p>
        </w:tc>
        <w:tc>
          <w:tcPr>
            <w:tcW w:w="1701" w:type="dxa"/>
          </w:tcPr>
          <w:p w:rsidR="00101A77" w:rsidRPr="00B15650" w:rsidRDefault="00101A77" w:rsidP="008637EF">
            <w:pPr>
              <w:pStyle w:val="Tabletext"/>
              <w:jc w:val="center"/>
            </w:pPr>
            <w:r w:rsidRPr="00B15650">
              <w:t>0</w:t>
            </w:r>
          </w:p>
        </w:tc>
        <w:tc>
          <w:tcPr>
            <w:tcW w:w="1701" w:type="dxa"/>
          </w:tcPr>
          <w:p w:rsidR="00101A77" w:rsidRPr="00B15650" w:rsidRDefault="00101A77" w:rsidP="008637EF">
            <w:pPr>
              <w:pStyle w:val="Tabletext"/>
              <w:jc w:val="center"/>
            </w:pPr>
            <w:r w:rsidRPr="00B15650">
              <w:t>20</w:t>
            </w:r>
          </w:p>
        </w:tc>
      </w:tr>
      <w:tr w:rsidR="00101A77" w:rsidRPr="00C109F4" w:rsidTr="000904D2">
        <w:trPr>
          <w:jc w:val="center"/>
        </w:trPr>
        <w:tc>
          <w:tcPr>
            <w:tcW w:w="1871" w:type="dxa"/>
          </w:tcPr>
          <w:p w:rsidR="00101A77" w:rsidRPr="00B15650" w:rsidRDefault="00101A77" w:rsidP="00152B0F">
            <w:pPr>
              <w:pStyle w:val="Tabletext"/>
            </w:pPr>
            <w:r w:rsidRPr="00B15650">
              <w:t>Schiphol</w:t>
            </w:r>
          </w:p>
        </w:tc>
        <w:tc>
          <w:tcPr>
            <w:tcW w:w="3118" w:type="dxa"/>
          </w:tcPr>
          <w:p w:rsidR="00101A77" w:rsidRPr="00B15650" w:rsidRDefault="00101A77" w:rsidP="00152B0F">
            <w:pPr>
              <w:pStyle w:val="Tabletext"/>
            </w:pPr>
            <w:r>
              <w:t>Zona comercial</w:t>
            </w:r>
          </w:p>
        </w:tc>
        <w:tc>
          <w:tcPr>
            <w:tcW w:w="1247" w:type="dxa"/>
          </w:tcPr>
          <w:p w:rsidR="00101A77" w:rsidRPr="00B15650" w:rsidRDefault="00101A77" w:rsidP="008637EF">
            <w:pPr>
              <w:pStyle w:val="Tabletext"/>
              <w:jc w:val="center"/>
            </w:pPr>
            <w:r w:rsidRPr="00B15650">
              <w:t>5</w:t>
            </w:r>
          </w:p>
        </w:tc>
        <w:tc>
          <w:tcPr>
            <w:tcW w:w="1701" w:type="dxa"/>
          </w:tcPr>
          <w:p w:rsidR="00101A77" w:rsidRPr="00B15650" w:rsidRDefault="00101A77" w:rsidP="008637EF">
            <w:pPr>
              <w:pStyle w:val="Tabletext"/>
              <w:jc w:val="center"/>
            </w:pPr>
            <w:r w:rsidRPr="00B15650">
              <w:t>0</w:t>
            </w:r>
          </w:p>
        </w:tc>
        <w:tc>
          <w:tcPr>
            <w:tcW w:w="1701" w:type="dxa"/>
          </w:tcPr>
          <w:p w:rsidR="00101A77" w:rsidRPr="00B15650" w:rsidRDefault="00101A77" w:rsidP="008637EF">
            <w:pPr>
              <w:pStyle w:val="Tabletext"/>
              <w:jc w:val="center"/>
            </w:pPr>
            <w:r w:rsidRPr="00B15650">
              <w:t>5</w:t>
            </w:r>
          </w:p>
        </w:tc>
      </w:tr>
      <w:tr w:rsidR="00101A77" w:rsidRPr="00C109F4" w:rsidTr="000904D2">
        <w:trPr>
          <w:jc w:val="center"/>
        </w:trPr>
        <w:tc>
          <w:tcPr>
            <w:tcW w:w="1871" w:type="dxa"/>
          </w:tcPr>
          <w:p w:rsidR="00101A77" w:rsidRPr="00B15650" w:rsidRDefault="00101A77" w:rsidP="00152B0F">
            <w:pPr>
              <w:pStyle w:val="Tabletext"/>
            </w:pPr>
            <w:r w:rsidRPr="00B15650">
              <w:t>Schiphol</w:t>
            </w:r>
          </w:p>
        </w:tc>
        <w:tc>
          <w:tcPr>
            <w:tcW w:w="3118" w:type="dxa"/>
          </w:tcPr>
          <w:p w:rsidR="00101A77" w:rsidRPr="00B15650" w:rsidRDefault="00101A77" w:rsidP="00BE72F3">
            <w:pPr>
              <w:pStyle w:val="Tabletext"/>
              <w:jc w:val="left"/>
            </w:pPr>
            <w:r>
              <w:t>Aparcamiento de larga duración</w:t>
            </w:r>
          </w:p>
        </w:tc>
        <w:tc>
          <w:tcPr>
            <w:tcW w:w="1247" w:type="dxa"/>
          </w:tcPr>
          <w:p w:rsidR="00101A77" w:rsidRPr="00B15650" w:rsidRDefault="00101A77" w:rsidP="008637EF">
            <w:pPr>
              <w:pStyle w:val="Tabletext"/>
              <w:jc w:val="center"/>
            </w:pPr>
            <w:r w:rsidRPr="00B15650">
              <w:t>1</w:t>
            </w:r>
          </w:p>
        </w:tc>
        <w:tc>
          <w:tcPr>
            <w:tcW w:w="1701" w:type="dxa"/>
          </w:tcPr>
          <w:p w:rsidR="00101A77" w:rsidRPr="00B15650" w:rsidRDefault="00101A77" w:rsidP="008637EF">
            <w:pPr>
              <w:pStyle w:val="Tabletext"/>
              <w:jc w:val="center"/>
            </w:pPr>
            <w:r w:rsidRPr="00B15650">
              <w:t>1</w:t>
            </w:r>
          </w:p>
        </w:tc>
        <w:tc>
          <w:tcPr>
            <w:tcW w:w="1701" w:type="dxa"/>
          </w:tcPr>
          <w:p w:rsidR="00101A77" w:rsidRPr="00B15650" w:rsidRDefault="00101A77" w:rsidP="008637EF">
            <w:pPr>
              <w:pStyle w:val="Tabletext"/>
              <w:jc w:val="center"/>
            </w:pPr>
            <w:r w:rsidRPr="00B15650">
              <w:t>0</w:t>
            </w:r>
          </w:p>
        </w:tc>
      </w:tr>
      <w:tr w:rsidR="00101A77" w:rsidRPr="00C109F4" w:rsidTr="000904D2">
        <w:trPr>
          <w:jc w:val="center"/>
        </w:trPr>
        <w:tc>
          <w:tcPr>
            <w:tcW w:w="1871" w:type="dxa"/>
          </w:tcPr>
          <w:p w:rsidR="00101A77" w:rsidRPr="00B15650" w:rsidRDefault="00101A77" w:rsidP="00152B0F">
            <w:pPr>
              <w:pStyle w:val="Tabletext"/>
            </w:pPr>
            <w:r w:rsidRPr="00B15650">
              <w:t>Schiphol</w:t>
            </w:r>
          </w:p>
        </w:tc>
        <w:tc>
          <w:tcPr>
            <w:tcW w:w="3118" w:type="dxa"/>
          </w:tcPr>
          <w:p w:rsidR="00101A77" w:rsidRPr="00B15650" w:rsidRDefault="00101A77" w:rsidP="00BE72F3">
            <w:pPr>
              <w:pStyle w:val="Tabletext"/>
              <w:jc w:val="left"/>
            </w:pPr>
            <w:r>
              <w:t>Aparcamiento de corta duración</w:t>
            </w:r>
          </w:p>
        </w:tc>
        <w:tc>
          <w:tcPr>
            <w:tcW w:w="1247" w:type="dxa"/>
          </w:tcPr>
          <w:p w:rsidR="00101A77" w:rsidRPr="00B15650" w:rsidRDefault="00101A77" w:rsidP="008637EF">
            <w:pPr>
              <w:pStyle w:val="Tabletext"/>
              <w:jc w:val="center"/>
            </w:pPr>
            <w:r w:rsidRPr="00B15650">
              <w:t>2</w:t>
            </w:r>
          </w:p>
        </w:tc>
        <w:tc>
          <w:tcPr>
            <w:tcW w:w="1701" w:type="dxa"/>
          </w:tcPr>
          <w:p w:rsidR="00101A77" w:rsidRPr="00B15650" w:rsidRDefault="00101A77" w:rsidP="008637EF">
            <w:pPr>
              <w:pStyle w:val="Tabletext"/>
              <w:jc w:val="center"/>
            </w:pPr>
            <w:r w:rsidRPr="00B15650">
              <w:t>2</w:t>
            </w:r>
          </w:p>
        </w:tc>
        <w:tc>
          <w:tcPr>
            <w:tcW w:w="1701" w:type="dxa"/>
          </w:tcPr>
          <w:p w:rsidR="00101A77" w:rsidRPr="00B15650" w:rsidRDefault="00101A77" w:rsidP="008637EF">
            <w:pPr>
              <w:pStyle w:val="Tabletext"/>
              <w:jc w:val="center"/>
            </w:pPr>
            <w:r w:rsidRPr="00B15650">
              <w:t>0</w:t>
            </w:r>
          </w:p>
        </w:tc>
      </w:tr>
    </w:tbl>
    <w:p w:rsidR="00101A77" w:rsidRDefault="00101A77" w:rsidP="006B2558">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1"/>
        <w:gridCol w:w="1361"/>
        <w:gridCol w:w="1134"/>
        <w:gridCol w:w="5272"/>
      </w:tblGrid>
      <w:tr w:rsidR="000904D2" w:rsidRPr="00AA67B7" w:rsidTr="000904D2">
        <w:trPr>
          <w:jc w:val="center"/>
        </w:trPr>
        <w:tc>
          <w:tcPr>
            <w:tcW w:w="1871" w:type="dxa"/>
            <w:vMerge w:val="restart"/>
            <w:shd w:val="clear" w:color="auto" w:fill="auto"/>
            <w:vAlign w:val="center"/>
          </w:tcPr>
          <w:p w:rsidR="000904D2" w:rsidRPr="00D107CE" w:rsidRDefault="000904D2" w:rsidP="000904D2">
            <w:pPr>
              <w:pStyle w:val="Tablehead"/>
              <w:rPr>
                <w:lang w:val="en-US"/>
              </w:rPr>
            </w:pPr>
            <w:r>
              <w:t>Emplazamiento</w:t>
            </w:r>
          </w:p>
        </w:tc>
        <w:tc>
          <w:tcPr>
            <w:tcW w:w="1361" w:type="dxa"/>
            <w:vMerge w:val="restart"/>
            <w:shd w:val="clear" w:color="auto" w:fill="auto"/>
            <w:vAlign w:val="center"/>
          </w:tcPr>
          <w:p w:rsidR="000904D2" w:rsidRPr="00C109F4" w:rsidRDefault="000904D2" w:rsidP="000904D2">
            <w:pPr>
              <w:pStyle w:val="Tablehead"/>
              <w:rPr>
                <w:rFonts w:cs="Arial"/>
                <w:szCs w:val="22"/>
              </w:rPr>
            </w:pPr>
            <w:r w:rsidRPr="00C109F4">
              <w:rPr>
                <w:rFonts w:cs="Arial"/>
                <w:szCs w:val="22"/>
              </w:rPr>
              <w:t>T</w:t>
            </w:r>
            <w:r>
              <w:rPr>
                <w:rFonts w:cs="Arial"/>
                <w:szCs w:val="22"/>
              </w:rPr>
              <w:t>ipo</w:t>
            </w:r>
          </w:p>
        </w:tc>
        <w:tc>
          <w:tcPr>
            <w:tcW w:w="6406" w:type="dxa"/>
            <w:gridSpan w:val="2"/>
            <w:shd w:val="clear" w:color="auto" w:fill="auto"/>
            <w:vAlign w:val="center"/>
          </w:tcPr>
          <w:p w:rsidR="000904D2" w:rsidRPr="00AA67B7" w:rsidRDefault="000904D2" w:rsidP="000904D2">
            <w:pPr>
              <w:pStyle w:val="Tablehead"/>
              <w:rPr>
                <w:rFonts w:cs="Arial"/>
                <w:szCs w:val="22"/>
                <w:lang w:val="en-US"/>
              </w:rPr>
            </w:pPr>
            <w:r w:rsidRPr="00AA67B7">
              <w:rPr>
                <w:rFonts w:cs="Arial"/>
                <w:szCs w:val="22"/>
                <w:lang w:val="en-US"/>
              </w:rPr>
              <w:t>O</w:t>
            </w:r>
            <w:r>
              <w:rPr>
                <w:rFonts w:cs="Arial"/>
                <w:szCs w:val="22"/>
                <w:lang w:val="en-US"/>
              </w:rPr>
              <w:t>cupación</w:t>
            </w:r>
            <w:r w:rsidRPr="00AA67B7">
              <w:rPr>
                <w:rFonts w:cs="Arial"/>
                <w:szCs w:val="22"/>
                <w:lang w:val="en-US"/>
              </w:rPr>
              <w:t xml:space="preserve"> </w:t>
            </w:r>
            <w:r w:rsidRPr="00AA67B7">
              <w:rPr>
                <w:rFonts w:cs="Arial"/>
                <w:szCs w:val="22"/>
                <w:lang w:val="en-US"/>
              </w:rPr>
              <w:br/>
              <w:t>(%)</w:t>
            </w:r>
          </w:p>
        </w:tc>
      </w:tr>
      <w:tr w:rsidR="000904D2" w:rsidRPr="008637EF" w:rsidTr="000904D2">
        <w:trPr>
          <w:jc w:val="center"/>
        </w:trPr>
        <w:tc>
          <w:tcPr>
            <w:tcW w:w="1871" w:type="dxa"/>
            <w:vMerge/>
            <w:shd w:val="clear" w:color="auto" w:fill="auto"/>
            <w:vAlign w:val="center"/>
          </w:tcPr>
          <w:p w:rsidR="000904D2" w:rsidRPr="00AA67B7" w:rsidRDefault="000904D2" w:rsidP="000904D2">
            <w:pPr>
              <w:pStyle w:val="Tablehead"/>
              <w:rPr>
                <w:rFonts w:cs="Arial"/>
                <w:szCs w:val="22"/>
                <w:lang w:val="en-US"/>
              </w:rPr>
            </w:pPr>
          </w:p>
        </w:tc>
        <w:tc>
          <w:tcPr>
            <w:tcW w:w="1361" w:type="dxa"/>
            <w:vMerge/>
            <w:shd w:val="clear" w:color="auto" w:fill="auto"/>
            <w:vAlign w:val="center"/>
          </w:tcPr>
          <w:p w:rsidR="000904D2" w:rsidRPr="00AA67B7" w:rsidRDefault="000904D2" w:rsidP="000904D2">
            <w:pPr>
              <w:pStyle w:val="Tablehead"/>
              <w:rPr>
                <w:rFonts w:cs="Arial"/>
                <w:szCs w:val="22"/>
                <w:lang w:val="en-US"/>
              </w:rPr>
            </w:pPr>
          </w:p>
        </w:tc>
        <w:tc>
          <w:tcPr>
            <w:tcW w:w="1134" w:type="dxa"/>
            <w:shd w:val="clear" w:color="auto" w:fill="auto"/>
            <w:vAlign w:val="center"/>
          </w:tcPr>
          <w:p w:rsidR="000904D2" w:rsidRPr="00AA67B7" w:rsidRDefault="000904D2" w:rsidP="000904D2">
            <w:pPr>
              <w:pStyle w:val="Tablehead"/>
              <w:rPr>
                <w:rFonts w:cs="Arial"/>
                <w:szCs w:val="22"/>
                <w:lang w:val="en-US"/>
              </w:rPr>
            </w:pPr>
            <w:r w:rsidRPr="00AA67B7">
              <w:rPr>
                <w:rFonts w:cs="Arial"/>
                <w:szCs w:val="22"/>
                <w:lang w:val="en-US"/>
              </w:rPr>
              <w:t>Total</w:t>
            </w:r>
          </w:p>
        </w:tc>
        <w:tc>
          <w:tcPr>
            <w:tcW w:w="5272" w:type="dxa"/>
            <w:shd w:val="clear" w:color="auto" w:fill="auto"/>
            <w:vAlign w:val="center"/>
          </w:tcPr>
          <w:p w:rsidR="000904D2" w:rsidRPr="00101A77" w:rsidRDefault="000904D2" w:rsidP="000904D2">
            <w:pPr>
              <w:pStyle w:val="Tablehead"/>
              <w:rPr>
                <w:rFonts w:cs="Arial"/>
                <w:szCs w:val="22"/>
                <w:lang w:val="es-ES_tradnl"/>
              </w:rPr>
            </w:pPr>
            <w:r w:rsidRPr="00101A77">
              <w:rPr>
                <w:rFonts w:cs="Arial"/>
                <w:szCs w:val="22"/>
                <w:lang w:val="es-ES_tradnl"/>
              </w:rPr>
              <w:t>Dispositivos específic</w:t>
            </w:r>
            <w:r>
              <w:rPr>
                <w:rFonts w:cs="Arial"/>
                <w:szCs w:val="22"/>
                <w:lang w:val="es-ES_tradnl"/>
              </w:rPr>
              <w:t>o</w:t>
            </w:r>
            <w:r w:rsidRPr="00101A77">
              <w:rPr>
                <w:rFonts w:cs="Arial"/>
                <w:szCs w:val="22"/>
                <w:lang w:val="es-ES_tradnl"/>
              </w:rPr>
              <w:t>s de alta potencia con licencia</w:t>
            </w:r>
          </w:p>
        </w:tc>
      </w:tr>
      <w:tr w:rsidR="000904D2" w:rsidRPr="00AA67B7" w:rsidTr="000904D2">
        <w:trPr>
          <w:trHeight w:val="136"/>
          <w:jc w:val="center"/>
        </w:trPr>
        <w:tc>
          <w:tcPr>
            <w:tcW w:w="1871" w:type="dxa"/>
            <w:vMerge/>
            <w:shd w:val="clear" w:color="auto" w:fill="auto"/>
            <w:vAlign w:val="center"/>
          </w:tcPr>
          <w:p w:rsidR="000904D2" w:rsidRPr="00101A77" w:rsidRDefault="000904D2" w:rsidP="000904D2">
            <w:pPr>
              <w:pStyle w:val="Tablehead"/>
              <w:rPr>
                <w:rFonts w:cs="Arial"/>
                <w:szCs w:val="22"/>
                <w:lang w:val="es-ES_tradnl"/>
              </w:rPr>
            </w:pPr>
          </w:p>
        </w:tc>
        <w:tc>
          <w:tcPr>
            <w:tcW w:w="1361" w:type="dxa"/>
            <w:vMerge/>
            <w:shd w:val="clear" w:color="auto" w:fill="auto"/>
            <w:vAlign w:val="center"/>
          </w:tcPr>
          <w:p w:rsidR="000904D2" w:rsidRPr="00101A77" w:rsidRDefault="000904D2" w:rsidP="000904D2">
            <w:pPr>
              <w:pStyle w:val="Tablehead"/>
              <w:rPr>
                <w:rFonts w:cs="Arial"/>
                <w:szCs w:val="22"/>
                <w:lang w:val="es-ES_tradnl"/>
              </w:rPr>
            </w:pPr>
          </w:p>
        </w:tc>
        <w:tc>
          <w:tcPr>
            <w:tcW w:w="1134" w:type="dxa"/>
            <w:shd w:val="clear" w:color="auto" w:fill="auto"/>
            <w:vAlign w:val="center"/>
          </w:tcPr>
          <w:p w:rsidR="000904D2" w:rsidRPr="00AA67B7" w:rsidRDefault="000904D2" w:rsidP="000904D2">
            <w:pPr>
              <w:pStyle w:val="Tablehead"/>
              <w:rPr>
                <w:rFonts w:cs="Arial"/>
                <w:szCs w:val="22"/>
                <w:lang w:val="en-US"/>
              </w:rPr>
            </w:pPr>
            <w:r w:rsidRPr="00AA67B7">
              <w:rPr>
                <w:rFonts w:cs="Arial"/>
                <w:szCs w:val="22"/>
                <w:lang w:val="en-US"/>
              </w:rPr>
              <w:t>863-870</w:t>
            </w:r>
          </w:p>
        </w:tc>
        <w:tc>
          <w:tcPr>
            <w:tcW w:w="5272" w:type="dxa"/>
            <w:shd w:val="clear" w:color="auto" w:fill="auto"/>
            <w:vAlign w:val="center"/>
          </w:tcPr>
          <w:p w:rsidR="000904D2" w:rsidRPr="00AA67B7" w:rsidRDefault="000904D2" w:rsidP="000904D2">
            <w:pPr>
              <w:pStyle w:val="Tablehead"/>
              <w:rPr>
                <w:rFonts w:cs="Arial"/>
                <w:szCs w:val="22"/>
                <w:lang w:val="en-US"/>
              </w:rPr>
            </w:pPr>
            <w:r w:rsidRPr="00AA67B7">
              <w:rPr>
                <w:rFonts w:cs="Arial"/>
                <w:szCs w:val="22"/>
                <w:lang w:val="en-US"/>
              </w:rPr>
              <w:t>865</w:t>
            </w:r>
            <w:r>
              <w:rPr>
                <w:rFonts w:cs="Arial"/>
                <w:szCs w:val="22"/>
                <w:lang w:val="en-US"/>
              </w:rPr>
              <w:t>,</w:t>
            </w:r>
            <w:r w:rsidRPr="00AA67B7">
              <w:rPr>
                <w:rFonts w:cs="Arial"/>
                <w:szCs w:val="22"/>
                <w:lang w:val="en-US"/>
              </w:rPr>
              <w:t>4-867</w:t>
            </w:r>
            <w:r>
              <w:rPr>
                <w:rFonts w:cs="Arial"/>
                <w:szCs w:val="22"/>
                <w:lang w:val="en-US"/>
              </w:rPr>
              <w:t>,</w:t>
            </w:r>
            <w:r w:rsidRPr="00AA67B7">
              <w:rPr>
                <w:rFonts w:cs="Arial"/>
                <w:szCs w:val="22"/>
                <w:lang w:val="en-US"/>
              </w:rPr>
              <w:t>6</w:t>
            </w:r>
          </w:p>
        </w:tc>
      </w:tr>
      <w:tr w:rsidR="00101A77" w:rsidRPr="00AA67B7" w:rsidTr="000904D2">
        <w:trPr>
          <w:jc w:val="center"/>
        </w:trPr>
        <w:tc>
          <w:tcPr>
            <w:tcW w:w="1871" w:type="dxa"/>
          </w:tcPr>
          <w:p w:rsidR="00101A77" w:rsidRPr="00AA67B7" w:rsidRDefault="00101A77" w:rsidP="00152B0F">
            <w:pPr>
              <w:pStyle w:val="Tabletext"/>
              <w:rPr>
                <w:lang w:val="en-US"/>
              </w:rPr>
            </w:pPr>
            <w:r>
              <w:rPr>
                <w:lang w:val="en-US"/>
              </w:rPr>
              <w:t>Específico</w:t>
            </w:r>
          </w:p>
        </w:tc>
        <w:tc>
          <w:tcPr>
            <w:tcW w:w="1361" w:type="dxa"/>
          </w:tcPr>
          <w:p w:rsidR="00101A77" w:rsidRPr="00AA67B7" w:rsidRDefault="00101A77" w:rsidP="00152B0F">
            <w:pPr>
              <w:pStyle w:val="Tabletext"/>
              <w:rPr>
                <w:lang w:val="en-US"/>
              </w:rPr>
            </w:pPr>
            <w:r>
              <w:rPr>
                <w:lang w:val="en-US"/>
              </w:rPr>
              <w:t>Específico</w:t>
            </w:r>
          </w:p>
        </w:tc>
        <w:tc>
          <w:tcPr>
            <w:tcW w:w="1134" w:type="dxa"/>
          </w:tcPr>
          <w:p w:rsidR="00101A77" w:rsidRPr="00AA67B7" w:rsidRDefault="00101A77" w:rsidP="008637EF">
            <w:pPr>
              <w:pStyle w:val="Tabletext"/>
              <w:jc w:val="center"/>
              <w:rPr>
                <w:lang w:val="en-US"/>
              </w:rPr>
            </w:pPr>
            <w:r w:rsidRPr="00AA67B7">
              <w:rPr>
                <w:lang w:val="en-US"/>
              </w:rPr>
              <w:t>30</w:t>
            </w:r>
          </w:p>
        </w:tc>
        <w:tc>
          <w:tcPr>
            <w:tcW w:w="5272" w:type="dxa"/>
          </w:tcPr>
          <w:p w:rsidR="00101A77" w:rsidRPr="00AA67B7" w:rsidRDefault="00101A77" w:rsidP="008637EF">
            <w:pPr>
              <w:pStyle w:val="Tabletext"/>
              <w:jc w:val="center"/>
              <w:rPr>
                <w:lang w:val="en-US"/>
              </w:rPr>
            </w:pPr>
            <w:r w:rsidRPr="00AA67B7">
              <w:rPr>
                <w:lang w:val="en-US"/>
              </w:rPr>
              <w:t>80</w:t>
            </w:r>
          </w:p>
        </w:tc>
      </w:tr>
    </w:tbl>
    <w:p w:rsidR="00101A77" w:rsidRDefault="00101A77" w:rsidP="00101A77">
      <w:pPr>
        <w:pStyle w:val="Tablefin"/>
      </w:pPr>
    </w:p>
    <w:p w:rsidR="00101A77" w:rsidRPr="00101A77" w:rsidRDefault="00101A77" w:rsidP="003E43AE">
      <w:pPr>
        <w:rPr>
          <w:rFonts w:cs="Arial"/>
          <w:szCs w:val="24"/>
          <w:lang w:val="es-ES_tradnl"/>
        </w:rPr>
      </w:pPr>
      <w:r w:rsidRPr="00101A77">
        <w:rPr>
          <w:rFonts w:cs="Arial"/>
          <w:szCs w:val="24"/>
          <w:lang w:val="es-ES_tradnl"/>
        </w:rPr>
        <w:lastRenderedPageBreak/>
        <w:t>Las Figs. 6 y 7 muestran dos casos típicos en la banda 863</w:t>
      </w:r>
      <w:r w:rsidRPr="00101A77">
        <w:rPr>
          <w:rFonts w:cs="Arial"/>
          <w:szCs w:val="24"/>
          <w:lang w:val="es-ES_tradnl"/>
        </w:rPr>
        <w:noBreakHyphen/>
        <w:t xml:space="preserve">870 MHz, un estudio se ha llevado a cabo en el centro de la ciudad y otro en la zona de </w:t>
      </w:r>
      <w:r w:rsidR="003E43AE">
        <w:rPr>
          <w:rFonts w:cs="Arial"/>
          <w:szCs w:val="24"/>
          <w:lang w:val="es-ES_tradnl"/>
        </w:rPr>
        <w:t>gestión</w:t>
      </w:r>
      <w:r w:rsidRPr="00101A77">
        <w:rPr>
          <w:rFonts w:cs="Arial"/>
          <w:szCs w:val="24"/>
          <w:lang w:val="es-ES_tradnl"/>
        </w:rPr>
        <w:t xml:space="preserve"> de equipajes de un aeropuerto. Los ajustes del analizador y la configuración de las antenas son los mismos en ambas situaciones. Aunque </w:t>
      </w:r>
      <w:r w:rsidR="003E43AE">
        <w:rPr>
          <w:rFonts w:cs="Arial"/>
          <w:szCs w:val="24"/>
          <w:lang w:val="es-ES_tradnl"/>
        </w:rPr>
        <w:t xml:space="preserve">se trata </w:t>
      </w:r>
      <w:r w:rsidRPr="00101A77">
        <w:rPr>
          <w:rFonts w:cs="Arial"/>
          <w:szCs w:val="24"/>
          <w:lang w:val="es-ES_tradnl"/>
        </w:rPr>
        <w:t>s</w:t>
      </w:r>
      <w:r w:rsidR="003E43AE">
        <w:rPr>
          <w:rFonts w:cs="Arial"/>
          <w:szCs w:val="24"/>
          <w:lang w:val="es-ES_tradnl"/>
        </w:rPr>
        <w:t>ó</w:t>
      </w:r>
      <w:r w:rsidRPr="00101A77">
        <w:rPr>
          <w:rFonts w:cs="Arial"/>
          <w:szCs w:val="24"/>
          <w:lang w:val="es-ES_tradnl"/>
        </w:rPr>
        <w:t>lo</w:t>
      </w:r>
      <w:r w:rsidR="003E43AE">
        <w:rPr>
          <w:rFonts w:cs="Arial"/>
          <w:szCs w:val="24"/>
          <w:lang w:val="es-ES_tradnl"/>
        </w:rPr>
        <w:t xml:space="preserve"> de un</w:t>
      </w:r>
      <w:r w:rsidRPr="00101A77">
        <w:rPr>
          <w:rFonts w:cs="Arial"/>
          <w:szCs w:val="24"/>
          <w:lang w:val="es-ES_tradnl"/>
        </w:rPr>
        <w:t xml:space="preserve"> estudio momentáneo en dos puntos de máxima concentración</w:t>
      </w:r>
      <w:r w:rsidR="003E43AE">
        <w:rPr>
          <w:rFonts w:cs="Arial"/>
          <w:szCs w:val="24"/>
          <w:lang w:val="es-ES_tradnl"/>
        </w:rPr>
        <w:t>,</w:t>
      </w:r>
      <w:r w:rsidRPr="00101A77">
        <w:rPr>
          <w:rFonts w:cs="Arial"/>
          <w:szCs w:val="24"/>
          <w:lang w:val="es-ES_tradnl"/>
        </w:rPr>
        <w:t xml:space="preserve"> pueden </w:t>
      </w:r>
      <w:r w:rsidR="003E43AE">
        <w:rPr>
          <w:rFonts w:cs="Arial"/>
          <w:szCs w:val="24"/>
          <w:lang w:val="es-ES_tradnl"/>
        </w:rPr>
        <w:t>extrae</w:t>
      </w:r>
      <w:r w:rsidRPr="00101A77">
        <w:rPr>
          <w:rFonts w:cs="Arial"/>
          <w:szCs w:val="24"/>
          <w:lang w:val="es-ES_tradnl"/>
        </w:rPr>
        <w:t>rse a algunas conclusiones sobre las posibilidades de compartición.</w:t>
      </w:r>
    </w:p>
    <w:p w:rsidR="00101A77" w:rsidRPr="00101A77" w:rsidRDefault="00101A77" w:rsidP="00855BC4">
      <w:pPr>
        <w:rPr>
          <w:rFonts w:cs="Arial"/>
          <w:szCs w:val="24"/>
          <w:lang w:val="es-ES_tradnl"/>
        </w:rPr>
      </w:pPr>
      <w:r w:rsidRPr="00101A77">
        <w:rPr>
          <w:rFonts w:cs="Arial"/>
          <w:szCs w:val="24"/>
          <w:lang w:val="es-ES_tradnl"/>
        </w:rPr>
        <w:t>Como la comprobación técnica de</w:t>
      </w:r>
      <w:r w:rsidR="003E43AE">
        <w:rPr>
          <w:rFonts w:cs="Arial"/>
          <w:szCs w:val="24"/>
          <w:lang w:val="es-ES_tradnl"/>
        </w:rPr>
        <w:t xml:space="preserve"> </w:t>
      </w:r>
      <w:r w:rsidRPr="00101A77">
        <w:rPr>
          <w:rFonts w:cs="Arial"/>
          <w:szCs w:val="24"/>
          <w:lang w:val="es-ES_tradnl"/>
        </w:rPr>
        <w:t>l</w:t>
      </w:r>
      <w:r w:rsidR="003E43AE">
        <w:rPr>
          <w:rFonts w:cs="Arial"/>
          <w:szCs w:val="24"/>
          <w:lang w:val="es-ES_tradnl"/>
        </w:rPr>
        <w:t>os</w:t>
      </w:r>
      <w:r w:rsidRPr="00101A77">
        <w:rPr>
          <w:rFonts w:cs="Arial"/>
          <w:szCs w:val="24"/>
          <w:lang w:val="es-ES_tradnl"/>
        </w:rPr>
        <w:t xml:space="preserve"> SRD no se limita a bandas exclusivamente utilizadas por </w:t>
      </w:r>
      <w:r w:rsidR="003E43AE">
        <w:rPr>
          <w:rFonts w:cs="Arial"/>
          <w:szCs w:val="24"/>
          <w:lang w:val="es-ES_tradnl"/>
        </w:rPr>
        <w:t xml:space="preserve">propios </w:t>
      </w:r>
      <w:r w:rsidRPr="00101A77">
        <w:rPr>
          <w:rFonts w:cs="Arial"/>
          <w:szCs w:val="24"/>
          <w:lang w:val="es-ES_tradnl"/>
        </w:rPr>
        <w:t xml:space="preserve">SRD también puede ser necesario distinguir entre </w:t>
      </w:r>
      <w:r w:rsidR="003E43AE">
        <w:rPr>
          <w:rFonts w:cs="Arial"/>
          <w:szCs w:val="24"/>
          <w:lang w:val="es-ES_tradnl"/>
        </w:rPr>
        <w:t>es</w:t>
      </w:r>
      <w:r w:rsidRPr="00101A77">
        <w:rPr>
          <w:rFonts w:cs="Arial"/>
          <w:szCs w:val="24"/>
          <w:lang w:val="es-ES_tradnl"/>
        </w:rPr>
        <w:t xml:space="preserve">os SRD y las transmisiones ICM o transmisiones de servicios. En algunos casos no es posible eliminar estas transmisiones ICM y otras transmisiones distintas </w:t>
      </w:r>
      <w:r w:rsidR="003E43AE">
        <w:rPr>
          <w:rFonts w:cs="Arial"/>
          <w:szCs w:val="24"/>
          <w:lang w:val="es-ES_tradnl"/>
        </w:rPr>
        <w:t xml:space="preserve">a las </w:t>
      </w:r>
      <w:r w:rsidRPr="00101A77">
        <w:rPr>
          <w:rFonts w:cs="Arial"/>
          <w:szCs w:val="24"/>
          <w:lang w:val="es-ES_tradnl"/>
        </w:rPr>
        <w:t xml:space="preserve">de los SRD del conjunto de datos pero pueden utilizarse métodos estadísticos avanzados para </w:t>
      </w:r>
      <w:r w:rsidR="003E43AE">
        <w:rPr>
          <w:rFonts w:cs="Arial"/>
          <w:szCs w:val="24"/>
          <w:lang w:val="es-ES_tradnl"/>
        </w:rPr>
        <w:t>sumprimir</w:t>
      </w:r>
      <w:r w:rsidRPr="00101A77">
        <w:rPr>
          <w:rFonts w:cs="Arial"/>
          <w:szCs w:val="24"/>
          <w:lang w:val="es-ES_tradnl"/>
        </w:rPr>
        <w:t xml:space="preserve">las. En las </w:t>
      </w:r>
      <w:r w:rsidR="003E43AE" w:rsidRPr="00101A77">
        <w:rPr>
          <w:rFonts w:cs="Arial"/>
          <w:szCs w:val="24"/>
          <w:lang w:val="es-ES_tradnl"/>
        </w:rPr>
        <w:t xml:space="preserve">Recomendaciones </w:t>
      </w:r>
      <w:r w:rsidRPr="00101A77">
        <w:rPr>
          <w:rFonts w:cs="Arial"/>
          <w:szCs w:val="24"/>
          <w:lang w:val="es-ES_tradnl"/>
        </w:rPr>
        <w:t xml:space="preserve">e </w:t>
      </w:r>
      <w:r w:rsidR="003E43AE" w:rsidRPr="00101A77">
        <w:rPr>
          <w:rFonts w:cs="Arial"/>
          <w:szCs w:val="24"/>
          <w:lang w:val="es-ES_tradnl"/>
        </w:rPr>
        <w:t xml:space="preserve">Informes </w:t>
      </w:r>
      <w:r w:rsidRPr="00101A77">
        <w:rPr>
          <w:rFonts w:cs="Arial"/>
          <w:szCs w:val="24"/>
          <w:lang w:val="es-ES_tradnl"/>
        </w:rPr>
        <w:t>disponibles sobre mediciones de</w:t>
      </w:r>
      <w:r w:rsidR="003E43AE">
        <w:rPr>
          <w:rFonts w:cs="Arial"/>
          <w:szCs w:val="24"/>
          <w:lang w:val="es-ES_tradnl"/>
        </w:rPr>
        <w:t>l</w:t>
      </w:r>
      <w:r w:rsidRPr="00101A77">
        <w:rPr>
          <w:rFonts w:cs="Arial"/>
          <w:szCs w:val="24"/>
          <w:lang w:val="es-ES_tradnl"/>
        </w:rPr>
        <w:t xml:space="preserve"> ruido radioeléctrico se describen algunos de estos métodos. Cuando no es posible la eliminación, el enfoque de comprobación técnica convencional consistirá en aceptar estas transmisiones pero considerar el efecto sobre la ocupación real como un factor que disminuye la precisión absoluta de la medición. Para determinar </w:t>
      </w:r>
      <w:r w:rsidR="00855BC4">
        <w:rPr>
          <w:rFonts w:cs="Arial"/>
          <w:szCs w:val="24"/>
          <w:lang w:val="es-ES_tradnl"/>
        </w:rPr>
        <w:t>la necesidad de</w:t>
      </w:r>
      <w:r w:rsidRPr="00101A77">
        <w:rPr>
          <w:rFonts w:cs="Arial"/>
          <w:szCs w:val="24"/>
          <w:lang w:val="es-ES_tradnl"/>
        </w:rPr>
        <w:t xml:space="preserve"> aplicar este enfoque es preciso evaluar detenidamente la posible ocupación de la banda de frecuencias que va a medirse.</w:t>
      </w:r>
    </w:p>
    <w:p w:rsidR="00101A77" w:rsidRPr="00A044E4" w:rsidRDefault="00101A77" w:rsidP="00101A77">
      <w:pPr>
        <w:pStyle w:val="FigureNoBR"/>
        <w:rPr>
          <w:lang w:val="es-ES_tradnl"/>
        </w:rPr>
      </w:pPr>
      <w:r w:rsidRPr="00A044E4">
        <w:rPr>
          <w:lang w:val="es-ES_tradnl"/>
        </w:rPr>
        <w:lastRenderedPageBreak/>
        <w:t>FigurA 6</w:t>
      </w:r>
    </w:p>
    <w:p w:rsidR="00101A77" w:rsidRDefault="00101A77" w:rsidP="00101A77">
      <w:pPr>
        <w:pStyle w:val="Figuretitle"/>
        <w:rPr>
          <w:lang w:val="es-ES_tradnl"/>
        </w:rPr>
      </w:pPr>
      <w:r w:rsidRPr="00101A77">
        <w:rPr>
          <w:lang w:val="es-ES_tradnl"/>
        </w:rPr>
        <w:t>Registro del espectro 863-870 MHz en zona poblada de RFID típica</w:t>
      </w:r>
    </w:p>
    <w:p w:rsidR="00E600FD" w:rsidRPr="008637EF" w:rsidRDefault="00E600FD" w:rsidP="00E600FD">
      <w:pPr>
        <w:pStyle w:val="Blanc"/>
        <w:rPr>
          <w:lang w:val="es-ES_tradnl"/>
        </w:rPr>
      </w:pPr>
    </w:p>
    <w:p w:rsidR="00E9506A" w:rsidRPr="00E9506A" w:rsidRDefault="001B38B7" w:rsidP="00E9506A">
      <w:pPr>
        <w:pStyle w:val="Figure"/>
        <w:rPr>
          <w:lang w:val="es-ES_tradnl"/>
        </w:rPr>
      </w:pPr>
      <w:r w:rsidRPr="001B38B7">
        <w:rPr>
          <w:noProof/>
          <w:lang w:val="en-US" w:eastAsia="zh-CN"/>
        </w:rPr>
        <w:drawing>
          <wp:inline distT="0" distB="0" distL="0" distR="0">
            <wp:extent cx="5768340" cy="7764780"/>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5768340" cy="7764780"/>
                    </a:xfrm>
                    <a:prstGeom prst="rect">
                      <a:avLst/>
                    </a:prstGeom>
                    <a:noFill/>
                    <a:ln w="9525">
                      <a:noFill/>
                      <a:miter lim="800000"/>
                      <a:headEnd/>
                      <a:tailEnd/>
                    </a:ln>
                  </pic:spPr>
                </pic:pic>
              </a:graphicData>
            </a:graphic>
          </wp:inline>
        </w:drawing>
      </w:r>
    </w:p>
    <w:p w:rsidR="00101A77" w:rsidRDefault="000C502C" w:rsidP="00E9506A">
      <w:r w:rsidRPr="000C502C">
        <w:rPr>
          <w:lang w:val="nl-NL"/>
        </w:rPr>
        <w:pict>
          <v:shapetype id="_x0000_t202" coordsize="21600,21600" o:spt="202" path="m,l,21600r21600,l21600,xe">
            <v:stroke joinstyle="miter"/>
            <v:path gradientshapeok="t" o:connecttype="rect"/>
          </v:shapetype>
          <v:shape id="_x0000_s1353" type="#_x0000_t202" style="position:absolute;left:0;text-align:left;margin-left:187.35pt;margin-top:117.1pt;width:108pt;height:22.7pt;z-index:251662336" filled="f" strokecolor="white" strokeweight="1.5pt">
            <v:textbox style="mso-next-textbox:#_x0000_s1353">
              <w:txbxContent>
                <w:p w:rsidR="007A431B" w:rsidRPr="008B5F38" w:rsidRDefault="007A431B" w:rsidP="00101A77">
                  <w:pPr>
                    <w:spacing w:before="0" w:line="240" w:lineRule="exact"/>
                    <w:jc w:val="center"/>
                    <w:rPr>
                      <w:rFonts w:ascii="Arial" w:hAnsi="Arial" w:cs="Arial"/>
                      <w:b/>
                      <w:color w:val="FFFFFF"/>
                      <w:sz w:val="16"/>
                      <w:szCs w:val="16"/>
                      <w:lang w:val="nl-NL"/>
                    </w:rPr>
                  </w:pPr>
                  <w:r w:rsidRPr="008B5F38">
                    <w:rPr>
                      <w:rFonts w:ascii="Arial" w:hAnsi="Arial" w:cs="Arial"/>
                      <w:b/>
                      <w:color w:val="FFFFFF"/>
                      <w:sz w:val="16"/>
                      <w:szCs w:val="16"/>
                      <w:lang w:val="nl-NL"/>
                    </w:rPr>
                    <w:t>RFID iterrogators</w:t>
                  </w:r>
                </w:p>
              </w:txbxContent>
            </v:textbox>
          </v:shape>
        </w:pict>
      </w:r>
    </w:p>
    <w:p w:rsidR="00101A77" w:rsidRDefault="00101A77" w:rsidP="001C21C9">
      <w:pPr>
        <w:pStyle w:val="FigureNo"/>
        <w:rPr>
          <w:lang w:val="es-ES_tradnl"/>
        </w:rPr>
      </w:pPr>
      <w:r>
        <w:rPr>
          <w:lang w:val="es-ES_tradnl"/>
        </w:rPr>
        <w:lastRenderedPageBreak/>
        <w:t>Figura 7</w:t>
      </w:r>
    </w:p>
    <w:p w:rsidR="001C21C9" w:rsidRDefault="001C21C9" w:rsidP="001C21C9">
      <w:pPr>
        <w:pStyle w:val="Figuretitle"/>
        <w:rPr>
          <w:lang w:val="es-ES_tradnl"/>
        </w:rPr>
      </w:pPr>
      <w:r>
        <w:rPr>
          <w:lang w:val="es-ES_tradnl"/>
        </w:rPr>
        <w:t>Registro del espectro 863</w:t>
      </w:r>
      <w:r>
        <w:rPr>
          <w:lang w:val="es-ES_tradnl"/>
        </w:rPr>
        <w:noBreakHyphen/>
        <w:t>870 MHz en zona urbana poblada típica</w:t>
      </w:r>
    </w:p>
    <w:p w:rsidR="00E600FD" w:rsidRPr="008637EF" w:rsidRDefault="00E600FD" w:rsidP="00E600FD">
      <w:pPr>
        <w:pStyle w:val="Blanc"/>
        <w:rPr>
          <w:lang w:val="es-ES_tradnl"/>
        </w:rPr>
      </w:pPr>
    </w:p>
    <w:p w:rsidR="001C21C9" w:rsidRPr="001C21C9" w:rsidRDefault="001B38B7" w:rsidP="001C21C9">
      <w:pPr>
        <w:pStyle w:val="Figure"/>
        <w:rPr>
          <w:lang w:val="es-ES_tradnl"/>
        </w:rPr>
      </w:pPr>
      <w:r w:rsidRPr="001B38B7">
        <w:rPr>
          <w:noProof/>
          <w:lang w:val="en-US" w:eastAsia="zh-CN"/>
        </w:rPr>
        <w:drawing>
          <wp:inline distT="0" distB="0" distL="0" distR="0">
            <wp:extent cx="5768340" cy="7749540"/>
            <wp:effectExtent l="1905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768340" cy="7749540"/>
                    </a:xfrm>
                    <a:prstGeom prst="rect">
                      <a:avLst/>
                    </a:prstGeom>
                    <a:noFill/>
                    <a:ln w="9525">
                      <a:noFill/>
                      <a:miter lim="800000"/>
                      <a:headEnd/>
                      <a:tailEnd/>
                    </a:ln>
                  </pic:spPr>
                </pic:pic>
              </a:graphicData>
            </a:graphic>
          </wp:inline>
        </w:drawing>
      </w:r>
    </w:p>
    <w:p w:rsidR="00A6617B" w:rsidRPr="00142B7B" w:rsidRDefault="00A6617B" w:rsidP="00B761DE">
      <w:pPr>
        <w:rPr>
          <w:lang w:val="es-ES_tradnl"/>
        </w:rPr>
      </w:pPr>
    </w:p>
    <w:p w:rsidR="00101A77" w:rsidRPr="00101A77" w:rsidRDefault="00101A77" w:rsidP="00B761DE">
      <w:pPr>
        <w:pStyle w:val="Line"/>
      </w:pPr>
    </w:p>
    <w:sectPr w:rsidR="00101A77" w:rsidRPr="00101A77" w:rsidSect="005F72B8">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31B" w:rsidRDefault="007A431B">
      <w:r>
        <w:separator/>
      </w:r>
    </w:p>
  </w:endnote>
  <w:endnote w:type="continuationSeparator" w:id="0">
    <w:p w:rsidR="007A431B" w:rsidRDefault="007A4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31B" w:rsidRDefault="007A431B">
      <w:r>
        <w:separator/>
      </w:r>
    </w:p>
  </w:footnote>
  <w:footnote w:type="continuationSeparator" w:id="0">
    <w:p w:rsidR="007A431B" w:rsidRDefault="007A43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Default="007A431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Default="000C502C" w:rsidP="00152B0F">
    <w:pPr>
      <w:pStyle w:val="Header"/>
      <w:ind w:right="360" w:firstLine="360"/>
    </w:pPr>
    <w:r w:rsidRPr="000C50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6.75pt;z-index:-251658752;mso-position-horizontal-relative:page;mso-position-vertical-relative:page">
          <v:imagedata r:id="rId1" o:title="report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Pr="00A56CDD" w:rsidRDefault="000C502C" w:rsidP="00152B0F">
    <w:pPr>
      <w:pStyle w:val="Header"/>
      <w:jc w:val="both"/>
      <w:rPr>
        <w:lang w:val="en-US"/>
      </w:rPr>
    </w:pPr>
    <w:r w:rsidRPr="000C502C">
      <w:rPr>
        <w:b/>
        <w:bCs/>
      </w:rPr>
      <w:fldChar w:fldCharType="begin"/>
    </w:r>
    <w:r w:rsidR="007A431B" w:rsidRPr="00A56CDD">
      <w:rPr>
        <w:b/>
        <w:bCs/>
        <w:lang w:val="en-US"/>
      </w:rPr>
      <w:instrText xml:space="preserve"> PAGE </w:instrText>
    </w:r>
    <w:r w:rsidRPr="000C502C">
      <w:rPr>
        <w:b/>
        <w:bCs/>
      </w:rPr>
      <w:fldChar w:fldCharType="separate"/>
    </w:r>
    <w:r w:rsidR="008637EF">
      <w:rPr>
        <w:b/>
        <w:bCs/>
        <w:noProof/>
        <w:lang w:val="en-US"/>
      </w:rPr>
      <w:t>ii</w:t>
    </w:r>
    <w:r w:rsidRPr="00A56CDD">
      <w:fldChar w:fldCharType="end"/>
    </w:r>
    <w:r w:rsidR="007A431B" w:rsidRPr="00A56CDD">
      <w:rPr>
        <w:lang w:val="en-US"/>
      </w:rPr>
      <w:tab/>
    </w:r>
    <w:fldSimple w:instr=" DOCPROPERTY &quot;Header 3&quot; \* MERGEFORMAT ">
      <w:r w:rsidR="001248EF" w:rsidRPr="001248EF">
        <w:rPr>
          <w:b/>
          <w:bCs/>
          <w:lang w:val="en-US"/>
        </w:rPr>
        <w:t xml:space="preserve">I. </w:t>
      </w:r>
    </w:fldSimple>
    <w:r w:rsidR="007A431B" w:rsidRPr="00041F2F">
      <w:rPr>
        <w:b/>
        <w:bCs/>
        <w:lang w:val="en-US"/>
      </w:rPr>
      <w:t xml:space="preserve"> </w:t>
    </w:r>
    <w:r w:rsidRPr="000C502C">
      <w:rPr>
        <w:b/>
        <w:bCs/>
      </w:rPr>
      <w:fldChar w:fldCharType="begin"/>
    </w:r>
    <w:r w:rsidR="007A431B" w:rsidRPr="00A56CDD">
      <w:rPr>
        <w:b/>
        <w:bCs/>
        <w:lang w:val="en-US"/>
      </w:rPr>
      <w:instrText>styleref href</w:instrText>
    </w:r>
    <w:r w:rsidRPr="000C502C">
      <w:rPr>
        <w:b/>
        <w:bCs/>
      </w:rPr>
      <w:fldChar w:fldCharType="separate"/>
    </w:r>
    <w:r w:rsidR="008637EF">
      <w:rPr>
        <w:b/>
        <w:bCs/>
        <w:noProof/>
      </w:rPr>
      <w:t>UIT-R  SM.2154</w:t>
    </w:r>
    <w:r w:rsidRPr="00A56CDD">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Default="007A431B">
    <w:pPr>
      <w:pStyle w:val="Header"/>
    </w:pPr>
    <w:r>
      <w:tab/>
    </w:r>
    <w:fldSimple w:instr=" DOCPROPERTY &quot;Header&quot; \* MERGEFORMAT ">
      <w:r w:rsidR="001248EF" w:rsidRPr="001248EF">
        <w:rPr>
          <w:b/>
          <w:bCs/>
        </w:rPr>
        <w:t xml:space="preserve">Rec. </w:t>
      </w:r>
    </w:fldSimple>
    <w:r>
      <w:rPr>
        <w:b/>
        <w:bCs/>
      </w:rPr>
      <w:t xml:space="preserve"> </w:t>
    </w:r>
    <w:r w:rsidR="000C502C">
      <w:rPr>
        <w:b/>
        <w:bCs/>
      </w:rPr>
      <w:fldChar w:fldCharType="begin"/>
    </w:r>
    <w:r>
      <w:rPr>
        <w:b/>
        <w:bCs/>
      </w:rPr>
      <w:instrText>styleref href</w:instrText>
    </w:r>
    <w:r w:rsidR="000C502C">
      <w:rPr>
        <w:b/>
        <w:bCs/>
      </w:rPr>
      <w:fldChar w:fldCharType="separate"/>
    </w:r>
    <w:r w:rsidR="001248EF">
      <w:rPr>
        <w:b/>
        <w:bCs/>
        <w:noProof/>
      </w:rPr>
      <w:t>UIT-R  SM.2154</w:t>
    </w:r>
    <w:r w:rsidR="000C502C">
      <w:rPr>
        <w:b/>
        <w:bCs/>
      </w:rPr>
      <w:fldChar w:fldCharType="end"/>
    </w:r>
    <w:r>
      <w:tab/>
    </w:r>
    <w:r w:rsidR="000C502C">
      <w:rPr>
        <w:rStyle w:val="PageNumber"/>
        <w:b/>
        <w:bCs/>
      </w:rPr>
      <w:fldChar w:fldCharType="begin"/>
    </w:r>
    <w:r>
      <w:rPr>
        <w:rStyle w:val="PageNumber"/>
        <w:b/>
        <w:bCs/>
      </w:rPr>
      <w:instrText xml:space="preserve"> PAGE </w:instrText>
    </w:r>
    <w:r w:rsidR="000C502C">
      <w:rPr>
        <w:rStyle w:val="PageNumber"/>
        <w:b/>
        <w:bCs/>
      </w:rPr>
      <w:fldChar w:fldCharType="separate"/>
    </w:r>
    <w:r>
      <w:rPr>
        <w:rStyle w:val="PageNumber"/>
        <w:b/>
        <w:bCs/>
        <w:noProof/>
      </w:rPr>
      <w:t>xvi</w:t>
    </w:r>
    <w:r w:rsidR="000C502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Default="000C502C">
    <w:pPr>
      <w:pStyle w:val="Header"/>
      <w:jc w:val="left"/>
      <w:rPr>
        <w:lang w:val="en-US"/>
      </w:rPr>
    </w:pPr>
    <w:r>
      <w:rPr>
        <w:rStyle w:val="PageNumber"/>
        <w:b/>
        <w:bCs/>
      </w:rPr>
      <w:fldChar w:fldCharType="begin"/>
    </w:r>
    <w:r w:rsidR="007A431B">
      <w:rPr>
        <w:rStyle w:val="PageNumber"/>
        <w:b/>
        <w:bCs/>
        <w:lang w:val="en-US"/>
      </w:rPr>
      <w:instrText xml:space="preserve"> PAGE </w:instrText>
    </w:r>
    <w:r>
      <w:rPr>
        <w:rStyle w:val="PageNumber"/>
        <w:b/>
        <w:bCs/>
      </w:rPr>
      <w:fldChar w:fldCharType="separate"/>
    </w:r>
    <w:r w:rsidR="008637EF">
      <w:rPr>
        <w:rStyle w:val="PageNumber"/>
        <w:b/>
        <w:bCs/>
        <w:noProof/>
        <w:lang w:val="en-US"/>
      </w:rPr>
      <w:t>12</w:t>
    </w:r>
    <w:r>
      <w:rPr>
        <w:rStyle w:val="PageNumber"/>
        <w:b/>
        <w:bCs/>
      </w:rPr>
      <w:fldChar w:fldCharType="end"/>
    </w:r>
    <w:r w:rsidR="007A431B">
      <w:rPr>
        <w:lang w:val="en-US"/>
      </w:rPr>
      <w:tab/>
    </w:r>
    <w:fldSimple w:instr=" DOCPROPERTY &quot;Header&quot; \* MERGEFORMAT ">
      <w:r w:rsidR="001248EF" w:rsidRPr="001248EF">
        <w:rPr>
          <w:b/>
          <w:bCs/>
          <w:lang w:val="en-US"/>
        </w:rPr>
        <w:t xml:space="preserve">Rec. </w:t>
      </w:r>
    </w:fldSimple>
    <w:r w:rsidR="007A431B">
      <w:rPr>
        <w:b/>
        <w:bCs/>
      </w:rPr>
      <w:t xml:space="preserve"> </w:t>
    </w:r>
    <w:r>
      <w:rPr>
        <w:b/>
        <w:bCs/>
      </w:rPr>
      <w:fldChar w:fldCharType="begin"/>
    </w:r>
    <w:r w:rsidR="007A431B">
      <w:rPr>
        <w:b/>
        <w:bCs/>
        <w:lang w:val="en-US"/>
      </w:rPr>
      <w:instrText>styleref href</w:instrText>
    </w:r>
    <w:r>
      <w:rPr>
        <w:b/>
        <w:bCs/>
      </w:rPr>
      <w:fldChar w:fldCharType="separate"/>
    </w:r>
    <w:r w:rsidR="008637EF">
      <w:rPr>
        <w:b/>
        <w:bCs/>
        <w:noProof/>
      </w:rPr>
      <w:t>UIT-R  SM.2154</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31B" w:rsidRDefault="007A431B">
    <w:pPr>
      <w:pStyle w:val="Header"/>
    </w:pPr>
    <w:r>
      <w:tab/>
    </w:r>
    <w:fldSimple w:instr=" DOCPROPERTY &quot;Header&quot; \* MERGEFORMAT ">
      <w:r w:rsidR="001248EF" w:rsidRPr="001248EF">
        <w:rPr>
          <w:b/>
          <w:bCs/>
        </w:rPr>
        <w:t xml:space="preserve">Rec. </w:t>
      </w:r>
    </w:fldSimple>
    <w:r>
      <w:rPr>
        <w:b/>
        <w:bCs/>
      </w:rPr>
      <w:t xml:space="preserve"> </w:t>
    </w:r>
    <w:r w:rsidR="000C502C">
      <w:rPr>
        <w:b/>
        <w:bCs/>
      </w:rPr>
      <w:fldChar w:fldCharType="begin"/>
    </w:r>
    <w:r>
      <w:rPr>
        <w:b/>
        <w:bCs/>
      </w:rPr>
      <w:instrText>styleref href</w:instrText>
    </w:r>
    <w:r w:rsidR="000C502C">
      <w:rPr>
        <w:b/>
        <w:bCs/>
      </w:rPr>
      <w:fldChar w:fldCharType="separate"/>
    </w:r>
    <w:r w:rsidR="008637EF">
      <w:rPr>
        <w:b/>
        <w:bCs/>
        <w:noProof/>
      </w:rPr>
      <w:t>UIT-R  SM.2154</w:t>
    </w:r>
    <w:r w:rsidR="000C502C">
      <w:rPr>
        <w:b/>
        <w:bCs/>
      </w:rPr>
      <w:fldChar w:fldCharType="end"/>
    </w:r>
    <w:r>
      <w:tab/>
    </w:r>
    <w:r w:rsidR="000C502C">
      <w:rPr>
        <w:rStyle w:val="PageNumber"/>
        <w:b/>
        <w:bCs/>
      </w:rPr>
      <w:fldChar w:fldCharType="begin"/>
    </w:r>
    <w:r>
      <w:rPr>
        <w:rStyle w:val="PageNumber"/>
        <w:b/>
        <w:bCs/>
      </w:rPr>
      <w:instrText xml:space="preserve"> PAGE </w:instrText>
    </w:r>
    <w:r w:rsidR="000C502C">
      <w:rPr>
        <w:rStyle w:val="PageNumber"/>
        <w:b/>
        <w:bCs/>
      </w:rPr>
      <w:fldChar w:fldCharType="separate"/>
    </w:r>
    <w:r w:rsidR="008637EF">
      <w:rPr>
        <w:rStyle w:val="PageNumber"/>
        <w:b/>
        <w:bCs/>
        <w:noProof/>
      </w:rPr>
      <w:t>15</w:t>
    </w:r>
    <w:r w:rsidR="000C502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6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152B0F"/>
    <w:rsid w:val="00014140"/>
    <w:rsid w:val="00043025"/>
    <w:rsid w:val="00066B86"/>
    <w:rsid w:val="0007229A"/>
    <w:rsid w:val="000904D2"/>
    <w:rsid w:val="000A40F1"/>
    <w:rsid w:val="000C502C"/>
    <w:rsid w:val="00101A77"/>
    <w:rsid w:val="001248EF"/>
    <w:rsid w:val="0012657B"/>
    <w:rsid w:val="00142B7B"/>
    <w:rsid w:val="00152B0F"/>
    <w:rsid w:val="00173476"/>
    <w:rsid w:val="00174EE4"/>
    <w:rsid w:val="00192C89"/>
    <w:rsid w:val="001B38B7"/>
    <w:rsid w:val="001C21C9"/>
    <w:rsid w:val="00217EBF"/>
    <w:rsid w:val="00245C75"/>
    <w:rsid w:val="00247569"/>
    <w:rsid w:val="00276EA8"/>
    <w:rsid w:val="002D76C4"/>
    <w:rsid w:val="003046D6"/>
    <w:rsid w:val="0032487B"/>
    <w:rsid w:val="00355C7B"/>
    <w:rsid w:val="00395E8E"/>
    <w:rsid w:val="003A3F3F"/>
    <w:rsid w:val="003C13ED"/>
    <w:rsid w:val="003E43AE"/>
    <w:rsid w:val="003E47B7"/>
    <w:rsid w:val="00485DA4"/>
    <w:rsid w:val="004D1149"/>
    <w:rsid w:val="005709BC"/>
    <w:rsid w:val="00583187"/>
    <w:rsid w:val="00591ADF"/>
    <w:rsid w:val="005A4734"/>
    <w:rsid w:val="005F72B8"/>
    <w:rsid w:val="00607D68"/>
    <w:rsid w:val="00653B3C"/>
    <w:rsid w:val="006952BB"/>
    <w:rsid w:val="006B2558"/>
    <w:rsid w:val="006F36B2"/>
    <w:rsid w:val="006F57C4"/>
    <w:rsid w:val="0070498A"/>
    <w:rsid w:val="00717E53"/>
    <w:rsid w:val="007468DA"/>
    <w:rsid w:val="007A431B"/>
    <w:rsid w:val="007A4E57"/>
    <w:rsid w:val="007C4292"/>
    <w:rsid w:val="007D1227"/>
    <w:rsid w:val="00807005"/>
    <w:rsid w:val="00827AD9"/>
    <w:rsid w:val="008343AF"/>
    <w:rsid w:val="00842E9C"/>
    <w:rsid w:val="0084434D"/>
    <w:rsid w:val="00855BC4"/>
    <w:rsid w:val="008637EF"/>
    <w:rsid w:val="0089236E"/>
    <w:rsid w:val="008C6363"/>
    <w:rsid w:val="008F445F"/>
    <w:rsid w:val="00904E0A"/>
    <w:rsid w:val="009420CF"/>
    <w:rsid w:val="0097212E"/>
    <w:rsid w:val="00990A54"/>
    <w:rsid w:val="009D33D2"/>
    <w:rsid w:val="00A311AF"/>
    <w:rsid w:val="00A421AC"/>
    <w:rsid w:val="00A6617B"/>
    <w:rsid w:val="00A77B01"/>
    <w:rsid w:val="00AA0657"/>
    <w:rsid w:val="00AA598D"/>
    <w:rsid w:val="00AB0DC8"/>
    <w:rsid w:val="00AC5669"/>
    <w:rsid w:val="00B260CF"/>
    <w:rsid w:val="00B44E24"/>
    <w:rsid w:val="00B55456"/>
    <w:rsid w:val="00B761DE"/>
    <w:rsid w:val="00B76864"/>
    <w:rsid w:val="00B844C2"/>
    <w:rsid w:val="00BA066F"/>
    <w:rsid w:val="00BC4E85"/>
    <w:rsid w:val="00BE42DD"/>
    <w:rsid w:val="00BE72F3"/>
    <w:rsid w:val="00C23EC7"/>
    <w:rsid w:val="00C3203D"/>
    <w:rsid w:val="00C34D60"/>
    <w:rsid w:val="00C37149"/>
    <w:rsid w:val="00C524A4"/>
    <w:rsid w:val="00C542A1"/>
    <w:rsid w:val="00CB1FF7"/>
    <w:rsid w:val="00CC4FBB"/>
    <w:rsid w:val="00CF47CA"/>
    <w:rsid w:val="00CF6E84"/>
    <w:rsid w:val="00D02177"/>
    <w:rsid w:val="00D07C36"/>
    <w:rsid w:val="00D3647E"/>
    <w:rsid w:val="00D55E9A"/>
    <w:rsid w:val="00D77B7F"/>
    <w:rsid w:val="00D83ABD"/>
    <w:rsid w:val="00DB587F"/>
    <w:rsid w:val="00DF4176"/>
    <w:rsid w:val="00E43263"/>
    <w:rsid w:val="00E600FD"/>
    <w:rsid w:val="00E602AD"/>
    <w:rsid w:val="00E90890"/>
    <w:rsid w:val="00E9506A"/>
    <w:rsid w:val="00EA10CB"/>
    <w:rsid w:val="00EB761E"/>
    <w:rsid w:val="00ED1F10"/>
    <w:rsid w:val="00F355AB"/>
    <w:rsid w:val="00F42A95"/>
    <w:rsid w:val="00FB13EB"/>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A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421AC"/>
    <w:pPr>
      <w:keepNext/>
      <w:keepLines/>
      <w:spacing w:before="480"/>
      <w:ind w:left="794" w:hanging="794"/>
      <w:outlineLvl w:val="0"/>
    </w:pPr>
    <w:rPr>
      <w:b/>
    </w:rPr>
  </w:style>
  <w:style w:type="paragraph" w:styleId="Heading2">
    <w:name w:val="heading 2"/>
    <w:basedOn w:val="Heading1"/>
    <w:next w:val="Normal"/>
    <w:qFormat/>
    <w:rsid w:val="00A421AC"/>
    <w:pPr>
      <w:spacing w:before="320"/>
      <w:outlineLvl w:val="1"/>
    </w:pPr>
  </w:style>
  <w:style w:type="paragraph" w:styleId="Heading3">
    <w:name w:val="heading 3"/>
    <w:basedOn w:val="Heading1"/>
    <w:next w:val="Normal"/>
    <w:qFormat/>
    <w:rsid w:val="00A421AC"/>
    <w:pPr>
      <w:spacing w:before="200"/>
      <w:outlineLvl w:val="2"/>
    </w:pPr>
  </w:style>
  <w:style w:type="paragraph" w:styleId="Heading4">
    <w:name w:val="heading 4"/>
    <w:basedOn w:val="Heading3"/>
    <w:next w:val="Normal"/>
    <w:qFormat/>
    <w:rsid w:val="00A421AC"/>
    <w:pPr>
      <w:tabs>
        <w:tab w:val="clear" w:pos="794"/>
        <w:tab w:val="left" w:pos="992"/>
      </w:tabs>
      <w:ind w:left="992" w:hanging="992"/>
      <w:outlineLvl w:val="3"/>
    </w:pPr>
  </w:style>
  <w:style w:type="paragraph" w:styleId="Heading5">
    <w:name w:val="heading 5"/>
    <w:basedOn w:val="Heading4"/>
    <w:next w:val="Normal"/>
    <w:qFormat/>
    <w:rsid w:val="00A421AC"/>
    <w:pPr>
      <w:outlineLvl w:val="4"/>
    </w:pPr>
  </w:style>
  <w:style w:type="paragraph" w:styleId="Heading6">
    <w:name w:val="heading 6"/>
    <w:basedOn w:val="Heading4"/>
    <w:next w:val="Normal"/>
    <w:qFormat/>
    <w:rsid w:val="00A421AC"/>
    <w:pPr>
      <w:tabs>
        <w:tab w:val="clear" w:pos="992"/>
        <w:tab w:val="clear" w:pos="1191"/>
      </w:tabs>
      <w:ind w:left="1588" w:hanging="1588"/>
      <w:outlineLvl w:val="5"/>
    </w:pPr>
  </w:style>
  <w:style w:type="paragraph" w:styleId="Heading7">
    <w:name w:val="heading 7"/>
    <w:basedOn w:val="Heading6"/>
    <w:next w:val="Normal"/>
    <w:qFormat/>
    <w:rsid w:val="00A421AC"/>
    <w:pPr>
      <w:outlineLvl w:val="6"/>
    </w:pPr>
  </w:style>
  <w:style w:type="paragraph" w:styleId="Heading8">
    <w:name w:val="heading 8"/>
    <w:basedOn w:val="Heading6"/>
    <w:next w:val="Normal"/>
    <w:qFormat/>
    <w:rsid w:val="00A421AC"/>
    <w:pPr>
      <w:outlineLvl w:val="7"/>
    </w:pPr>
  </w:style>
  <w:style w:type="paragraph" w:styleId="Heading9">
    <w:name w:val="heading 9"/>
    <w:basedOn w:val="Heading6"/>
    <w:next w:val="Normal"/>
    <w:qFormat/>
    <w:rsid w:val="00A421A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21A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421A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21AC"/>
  </w:style>
  <w:style w:type="paragraph" w:customStyle="1" w:styleId="Headingb">
    <w:name w:val="Heading_b"/>
    <w:basedOn w:val="Heading3"/>
    <w:next w:val="Normal"/>
    <w:rsid w:val="00A421AC"/>
    <w:pPr>
      <w:spacing w:before="160"/>
      <w:ind w:left="0" w:firstLine="0"/>
      <w:outlineLvl w:val="9"/>
    </w:pPr>
  </w:style>
  <w:style w:type="paragraph" w:customStyle="1" w:styleId="Headingi">
    <w:name w:val="Heading_i"/>
    <w:basedOn w:val="Heading3"/>
    <w:next w:val="Normal"/>
    <w:rsid w:val="00A421AC"/>
    <w:pPr>
      <w:spacing w:before="160"/>
      <w:ind w:left="0" w:firstLine="0"/>
    </w:pPr>
    <w:rPr>
      <w:b w:val="0"/>
      <w:i/>
    </w:rPr>
  </w:style>
  <w:style w:type="character" w:customStyle="1" w:styleId="href">
    <w:name w:val="href"/>
    <w:basedOn w:val="DefaultParagraphFont"/>
    <w:rsid w:val="00A421AC"/>
  </w:style>
  <w:style w:type="paragraph" w:customStyle="1" w:styleId="enumlev1">
    <w:name w:val="enumlev1"/>
    <w:basedOn w:val="Normal"/>
    <w:rsid w:val="00A421AC"/>
    <w:pPr>
      <w:spacing w:before="80"/>
      <w:ind w:left="794" w:hanging="794"/>
    </w:pPr>
  </w:style>
  <w:style w:type="paragraph" w:customStyle="1" w:styleId="enumlev2">
    <w:name w:val="enumlev2"/>
    <w:basedOn w:val="enumlev1"/>
    <w:rsid w:val="00A421AC"/>
    <w:pPr>
      <w:ind w:left="1191" w:hanging="397"/>
    </w:pPr>
  </w:style>
  <w:style w:type="paragraph" w:customStyle="1" w:styleId="enumlev3">
    <w:name w:val="enumlev3"/>
    <w:basedOn w:val="enumlev2"/>
    <w:rsid w:val="00A421AC"/>
    <w:pPr>
      <w:ind w:left="1588"/>
    </w:pPr>
  </w:style>
  <w:style w:type="paragraph" w:customStyle="1" w:styleId="Normalaftertitle">
    <w:name w:val="Normal_after_title"/>
    <w:basedOn w:val="Normal"/>
    <w:next w:val="Normal"/>
    <w:rsid w:val="00A421AC"/>
    <w:pPr>
      <w:spacing w:before="320"/>
    </w:pPr>
  </w:style>
  <w:style w:type="paragraph" w:customStyle="1" w:styleId="Note">
    <w:name w:val="Note"/>
    <w:basedOn w:val="Normal"/>
    <w:rsid w:val="00A421A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21A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421AC"/>
    <w:pPr>
      <w:spacing w:before="240"/>
    </w:pPr>
    <w:rPr>
      <w:sz w:val="22"/>
      <w:lang w:val="es-ES_tradnl"/>
    </w:rPr>
  </w:style>
  <w:style w:type="paragraph" w:customStyle="1" w:styleId="Recref">
    <w:name w:val="Rec_ref"/>
    <w:basedOn w:val="Normal"/>
    <w:next w:val="Recdate"/>
    <w:rsid w:val="00A421AC"/>
    <w:pPr>
      <w:jc w:val="center"/>
    </w:pPr>
  </w:style>
  <w:style w:type="paragraph" w:customStyle="1" w:styleId="Recdate">
    <w:name w:val="Rec_date"/>
    <w:basedOn w:val="Recref"/>
    <w:next w:val="Normalaftertitle"/>
    <w:rsid w:val="00A421AC"/>
    <w:pPr>
      <w:jc w:val="right"/>
    </w:pPr>
  </w:style>
  <w:style w:type="paragraph" w:customStyle="1" w:styleId="AnnexNoTitle">
    <w:name w:val="Annex_NoTitle"/>
    <w:basedOn w:val="Normal"/>
    <w:next w:val="Normalaftertitle"/>
    <w:rsid w:val="00A421AC"/>
    <w:pPr>
      <w:keepNext/>
      <w:keepLines/>
      <w:spacing w:before="480" w:after="80"/>
      <w:jc w:val="center"/>
    </w:pPr>
    <w:rPr>
      <w:b/>
      <w:sz w:val="28"/>
    </w:rPr>
  </w:style>
  <w:style w:type="paragraph" w:customStyle="1" w:styleId="AppendixNoTitle">
    <w:name w:val="Appendix_NoTitle"/>
    <w:basedOn w:val="AnnexNoTitle"/>
    <w:next w:val="Normal"/>
    <w:rsid w:val="00A421AC"/>
  </w:style>
  <w:style w:type="paragraph" w:customStyle="1" w:styleId="Tablefin">
    <w:name w:val="Table_fin"/>
    <w:basedOn w:val="Normal"/>
    <w:next w:val="Normal"/>
    <w:rsid w:val="00A421AC"/>
    <w:pPr>
      <w:spacing w:before="0"/>
    </w:pPr>
    <w:rPr>
      <w:sz w:val="20"/>
      <w:lang w:val="en-GB"/>
    </w:rPr>
  </w:style>
  <w:style w:type="paragraph" w:customStyle="1" w:styleId="Tablehead">
    <w:name w:val="Table_head"/>
    <w:basedOn w:val="Normal"/>
    <w:next w:val="Normal"/>
    <w:rsid w:val="00A421A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21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421AC"/>
    <w:pPr>
      <w:keepNext/>
      <w:spacing w:before="360" w:after="120"/>
      <w:jc w:val="center"/>
    </w:pPr>
  </w:style>
  <w:style w:type="paragraph" w:customStyle="1" w:styleId="Tabletext">
    <w:name w:val="Table_text"/>
    <w:basedOn w:val="Normal"/>
    <w:rsid w:val="00A421A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21AC"/>
    <w:pPr>
      <w:tabs>
        <w:tab w:val="clear" w:pos="1191"/>
        <w:tab w:val="clear" w:pos="1588"/>
        <w:tab w:val="clear" w:pos="1985"/>
        <w:tab w:val="center" w:pos="4820"/>
        <w:tab w:val="right" w:pos="9639"/>
      </w:tabs>
    </w:pPr>
  </w:style>
  <w:style w:type="paragraph" w:customStyle="1" w:styleId="Equationlegend">
    <w:name w:val="Equation_legend"/>
    <w:basedOn w:val="NormalIndent"/>
    <w:rsid w:val="00A421A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21AC"/>
    <w:pPr>
      <w:ind w:left="794"/>
    </w:pPr>
  </w:style>
  <w:style w:type="paragraph" w:customStyle="1" w:styleId="Figurelegend">
    <w:name w:val="Figure_legend"/>
    <w:basedOn w:val="Normal"/>
    <w:rsid w:val="00A421A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A421A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21AC"/>
    <w:pPr>
      <w:keepNext/>
      <w:keepLines/>
      <w:spacing w:before="480"/>
      <w:jc w:val="center"/>
    </w:pPr>
    <w:rPr>
      <w:sz w:val="28"/>
    </w:rPr>
  </w:style>
  <w:style w:type="paragraph" w:customStyle="1" w:styleId="Arttitle">
    <w:name w:val="Art_title"/>
    <w:basedOn w:val="Normal"/>
    <w:next w:val="Normalaftertitle"/>
    <w:rsid w:val="00A421AC"/>
    <w:pPr>
      <w:keepNext/>
      <w:keepLines/>
      <w:spacing w:before="240"/>
      <w:jc w:val="center"/>
    </w:pPr>
    <w:rPr>
      <w:b/>
      <w:sz w:val="28"/>
    </w:rPr>
  </w:style>
  <w:style w:type="paragraph" w:customStyle="1" w:styleId="Blanc">
    <w:name w:val="Blanc"/>
    <w:basedOn w:val="Normal"/>
    <w:next w:val="Tabletext"/>
    <w:rsid w:val="00A421A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21A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421AC"/>
    <w:pPr>
      <w:keepNext/>
      <w:keepLines/>
      <w:spacing w:before="160"/>
      <w:ind w:left="794"/>
    </w:pPr>
    <w:rPr>
      <w:i/>
    </w:rPr>
  </w:style>
  <w:style w:type="paragraph" w:customStyle="1" w:styleId="ChapNo">
    <w:name w:val="Chap_No"/>
    <w:basedOn w:val="ArtNo"/>
    <w:next w:val="Chaptitle"/>
    <w:rsid w:val="00A421AC"/>
    <w:rPr>
      <w:b/>
    </w:rPr>
  </w:style>
  <w:style w:type="paragraph" w:customStyle="1" w:styleId="Chaptitle">
    <w:name w:val="Chap_title"/>
    <w:basedOn w:val="Arttitle"/>
    <w:next w:val="Normalaftertitle"/>
    <w:rsid w:val="00A421AC"/>
  </w:style>
  <w:style w:type="character" w:styleId="FootnoteReference">
    <w:name w:val="footnote reference"/>
    <w:basedOn w:val="DefaultParagraphFont"/>
    <w:semiHidden/>
    <w:rsid w:val="00A421AC"/>
    <w:rPr>
      <w:position w:val="6"/>
      <w:sz w:val="18"/>
    </w:rPr>
  </w:style>
  <w:style w:type="paragraph" w:styleId="FootnoteText">
    <w:name w:val="footnote text"/>
    <w:basedOn w:val="Normal"/>
    <w:semiHidden/>
    <w:rsid w:val="00A421AC"/>
    <w:pPr>
      <w:keepLines/>
      <w:tabs>
        <w:tab w:val="left" w:pos="255"/>
      </w:tabs>
      <w:ind w:left="255" w:hanging="255"/>
    </w:pPr>
    <w:rPr>
      <w:sz w:val="22"/>
    </w:rPr>
  </w:style>
  <w:style w:type="paragraph" w:styleId="Index1">
    <w:name w:val="index 1"/>
    <w:basedOn w:val="Normal"/>
    <w:next w:val="Normal"/>
    <w:semiHidden/>
    <w:rsid w:val="00A421AC"/>
  </w:style>
  <w:style w:type="paragraph" w:styleId="Index2">
    <w:name w:val="index 2"/>
    <w:basedOn w:val="Normal"/>
    <w:next w:val="Normal"/>
    <w:semiHidden/>
    <w:rsid w:val="00A421AC"/>
    <w:pPr>
      <w:ind w:left="283"/>
    </w:pPr>
  </w:style>
  <w:style w:type="paragraph" w:styleId="Index3">
    <w:name w:val="index 3"/>
    <w:basedOn w:val="Normal"/>
    <w:next w:val="Normal"/>
    <w:semiHidden/>
    <w:rsid w:val="00A421AC"/>
    <w:pPr>
      <w:ind w:left="566"/>
    </w:pPr>
  </w:style>
  <w:style w:type="paragraph" w:styleId="IndexHeading">
    <w:name w:val="index heading"/>
    <w:basedOn w:val="Normal"/>
    <w:next w:val="Index1"/>
    <w:semiHidden/>
    <w:rsid w:val="00A421AC"/>
  </w:style>
  <w:style w:type="paragraph" w:customStyle="1" w:styleId="Line">
    <w:name w:val="Line"/>
    <w:basedOn w:val="Normal"/>
    <w:next w:val="Normal"/>
    <w:rsid w:val="00A421A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21A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21AC"/>
  </w:style>
  <w:style w:type="paragraph" w:customStyle="1" w:styleId="Partref">
    <w:name w:val="Part_ref"/>
    <w:basedOn w:val="Normal"/>
    <w:next w:val="Normal"/>
    <w:rsid w:val="00A421AC"/>
    <w:pPr>
      <w:keepNext/>
      <w:keepLines/>
      <w:spacing w:after="280"/>
      <w:jc w:val="center"/>
    </w:pPr>
  </w:style>
  <w:style w:type="paragraph" w:customStyle="1" w:styleId="Parttitle">
    <w:name w:val="Part_title"/>
    <w:basedOn w:val="Normal"/>
    <w:next w:val="Normalaftertitle"/>
    <w:rsid w:val="00A421A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21AC"/>
  </w:style>
  <w:style w:type="paragraph" w:customStyle="1" w:styleId="QuestionNo">
    <w:name w:val="Question_No"/>
    <w:basedOn w:val="RecNo"/>
    <w:next w:val="Normal"/>
    <w:rsid w:val="00A421AC"/>
  </w:style>
  <w:style w:type="paragraph" w:customStyle="1" w:styleId="Questionref">
    <w:name w:val="Question_ref"/>
    <w:basedOn w:val="Recref"/>
    <w:next w:val="Questiondate"/>
    <w:rsid w:val="00A421AC"/>
  </w:style>
  <w:style w:type="paragraph" w:customStyle="1" w:styleId="Questiontitle">
    <w:name w:val="Question_title"/>
    <w:basedOn w:val="Normal"/>
    <w:next w:val="Questionref"/>
    <w:rsid w:val="00A421AC"/>
  </w:style>
  <w:style w:type="paragraph" w:customStyle="1" w:styleId="Reftext">
    <w:name w:val="Ref_text"/>
    <w:basedOn w:val="Normal"/>
    <w:rsid w:val="00A421AC"/>
    <w:pPr>
      <w:ind w:left="794" w:hanging="794"/>
    </w:pPr>
    <w:rPr>
      <w:sz w:val="22"/>
    </w:rPr>
  </w:style>
  <w:style w:type="paragraph" w:customStyle="1" w:styleId="Reftitle">
    <w:name w:val="Ref_title"/>
    <w:basedOn w:val="Normal"/>
    <w:next w:val="Reftext"/>
    <w:rsid w:val="00A421A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21AC"/>
  </w:style>
  <w:style w:type="paragraph" w:customStyle="1" w:styleId="RepNo">
    <w:name w:val="Rep_No"/>
    <w:basedOn w:val="RecNo"/>
    <w:next w:val="Reptitle"/>
    <w:rsid w:val="00A421AC"/>
  </w:style>
  <w:style w:type="paragraph" w:customStyle="1" w:styleId="Repref">
    <w:name w:val="Rep_ref"/>
    <w:basedOn w:val="Recref"/>
    <w:next w:val="Repdate"/>
    <w:rsid w:val="00A421AC"/>
  </w:style>
  <w:style w:type="paragraph" w:customStyle="1" w:styleId="Reptitle">
    <w:name w:val="Rep_title"/>
    <w:basedOn w:val="Rectitle"/>
    <w:next w:val="Repref"/>
    <w:rsid w:val="00A421AC"/>
  </w:style>
  <w:style w:type="paragraph" w:customStyle="1" w:styleId="Resdate">
    <w:name w:val="Res_date"/>
    <w:basedOn w:val="Recdate"/>
    <w:next w:val="Normalaftertitle"/>
    <w:rsid w:val="00A421AC"/>
  </w:style>
  <w:style w:type="paragraph" w:customStyle="1" w:styleId="ResNo">
    <w:name w:val="Res_No"/>
    <w:basedOn w:val="RecNo"/>
    <w:next w:val="Restitle"/>
    <w:rsid w:val="00A421AC"/>
  </w:style>
  <w:style w:type="paragraph" w:customStyle="1" w:styleId="Resref">
    <w:name w:val="Res_ref"/>
    <w:basedOn w:val="Recref"/>
    <w:next w:val="Resdate"/>
    <w:rsid w:val="00A421A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A421AC"/>
  </w:style>
  <w:style w:type="paragraph" w:customStyle="1" w:styleId="Sectiontitle">
    <w:name w:val="Section_title"/>
    <w:basedOn w:val="Normal"/>
    <w:next w:val="Normalaftertitle"/>
    <w:rsid w:val="00A421A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21AC"/>
    <w:pPr>
      <w:tabs>
        <w:tab w:val="clear" w:pos="794"/>
        <w:tab w:val="clear" w:pos="1191"/>
        <w:tab w:val="clear" w:pos="1588"/>
        <w:tab w:val="clear" w:pos="1985"/>
        <w:tab w:val="right" w:pos="9611"/>
      </w:tabs>
    </w:pPr>
    <w:rPr>
      <w:i/>
    </w:rPr>
  </w:style>
  <w:style w:type="paragraph" w:styleId="TOC1">
    <w:name w:val="toc 1"/>
    <w:basedOn w:val="Normal"/>
    <w:uiPriority w:val="39"/>
    <w:rsid w:val="00A421A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421AC"/>
    <w:pPr>
      <w:tabs>
        <w:tab w:val="clear" w:pos="567"/>
        <w:tab w:val="left" w:pos="1276"/>
      </w:tabs>
      <w:spacing w:before="160"/>
      <w:ind w:left="1276" w:hanging="709"/>
    </w:pPr>
  </w:style>
  <w:style w:type="paragraph" w:styleId="TOC3">
    <w:name w:val="toc 3"/>
    <w:basedOn w:val="TOC2"/>
    <w:semiHidden/>
    <w:rsid w:val="00A421AC"/>
    <w:pPr>
      <w:tabs>
        <w:tab w:val="clear" w:pos="1276"/>
        <w:tab w:val="left" w:pos="2155"/>
      </w:tabs>
      <w:ind w:left="2155" w:hanging="879"/>
    </w:pPr>
  </w:style>
  <w:style w:type="paragraph" w:styleId="TOC4">
    <w:name w:val="toc 4"/>
    <w:basedOn w:val="TOC3"/>
    <w:semiHidden/>
    <w:rsid w:val="00A421AC"/>
    <w:pPr>
      <w:tabs>
        <w:tab w:val="left" w:pos="3261"/>
      </w:tabs>
      <w:spacing w:before="80"/>
      <w:ind w:left="3261" w:hanging="993"/>
    </w:pPr>
  </w:style>
  <w:style w:type="paragraph" w:styleId="TOC5">
    <w:name w:val="toc 5"/>
    <w:basedOn w:val="TOC4"/>
    <w:semiHidden/>
    <w:rsid w:val="00A421AC"/>
  </w:style>
  <w:style w:type="paragraph" w:styleId="TOC6">
    <w:name w:val="toc 6"/>
    <w:basedOn w:val="TOC4"/>
    <w:semiHidden/>
    <w:rsid w:val="00A421AC"/>
  </w:style>
  <w:style w:type="paragraph" w:styleId="TOC7">
    <w:name w:val="toc 7"/>
    <w:basedOn w:val="TOC4"/>
    <w:semiHidden/>
    <w:rsid w:val="00A421AC"/>
  </w:style>
  <w:style w:type="paragraph" w:styleId="TOC8">
    <w:name w:val="toc 8"/>
    <w:basedOn w:val="TOC4"/>
    <w:semiHidden/>
    <w:rsid w:val="00A421AC"/>
  </w:style>
  <w:style w:type="paragraph" w:customStyle="1" w:styleId="Rectitle">
    <w:name w:val="Rec_title"/>
    <w:basedOn w:val="Normal"/>
    <w:next w:val="Recref"/>
    <w:rsid w:val="00A421AC"/>
    <w:pPr>
      <w:keepNext/>
      <w:keepLines/>
      <w:spacing w:before="240"/>
      <w:jc w:val="center"/>
    </w:pPr>
    <w:rPr>
      <w:b/>
      <w:sz w:val="28"/>
    </w:rPr>
  </w:style>
  <w:style w:type="paragraph" w:customStyle="1" w:styleId="Annexref">
    <w:name w:val="Annex_ref"/>
    <w:basedOn w:val="Normal"/>
    <w:next w:val="Normalaftertitle"/>
    <w:rsid w:val="00A421AC"/>
    <w:pPr>
      <w:keepNext/>
      <w:keepLines/>
      <w:spacing w:after="280"/>
      <w:jc w:val="center"/>
    </w:pPr>
  </w:style>
  <w:style w:type="paragraph" w:customStyle="1" w:styleId="Appendixref">
    <w:name w:val="Appendix_ref"/>
    <w:basedOn w:val="Annexref"/>
    <w:next w:val="Normalaftertitle"/>
    <w:rsid w:val="00A421AC"/>
  </w:style>
  <w:style w:type="paragraph" w:customStyle="1" w:styleId="Figuretitle">
    <w:name w:val="Figure_title"/>
    <w:basedOn w:val="Normal"/>
    <w:next w:val="Figure"/>
    <w:rsid w:val="00A421A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421AC"/>
    <w:pPr>
      <w:keepNext/>
      <w:spacing w:before="0" w:after="120"/>
      <w:jc w:val="center"/>
    </w:pPr>
    <w:rPr>
      <w:b/>
    </w:rPr>
  </w:style>
  <w:style w:type="paragraph" w:customStyle="1" w:styleId="Summary">
    <w:name w:val="Summary"/>
    <w:basedOn w:val="Normal"/>
    <w:next w:val="Normalaftertitle"/>
    <w:rsid w:val="00A421A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01A77"/>
    <w:rPr>
      <w:color w:val="0000FF"/>
      <w:u w:val="single"/>
    </w:rPr>
  </w:style>
  <w:style w:type="paragraph" w:customStyle="1" w:styleId="FiguretitleBR">
    <w:name w:val="Figure_title_BR"/>
    <w:basedOn w:val="Normal"/>
    <w:next w:val="Normal"/>
    <w:rsid w:val="00101A77"/>
    <w:pPr>
      <w:keepLines/>
      <w:spacing w:before="0" w:after="480"/>
      <w:jc w:val="center"/>
    </w:pPr>
    <w:rPr>
      <w:b/>
    </w:rPr>
  </w:style>
  <w:style w:type="paragraph" w:customStyle="1" w:styleId="FigureNoBR">
    <w:name w:val="Figure_No_BR"/>
    <w:basedOn w:val="Normal"/>
    <w:next w:val="FiguretitleBR"/>
    <w:rsid w:val="00101A77"/>
    <w:pPr>
      <w:keepNext/>
      <w:keepLines/>
      <w:spacing w:before="480" w:after="120"/>
      <w:jc w:val="center"/>
    </w:pPr>
    <w:rPr>
      <w:caps/>
    </w:rPr>
  </w:style>
  <w:style w:type="character" w:styleId="Emphasis">
    <w:name w:val="Emphasis"/>
    <w:basedOn w:val="DefaultParagraphFont"/>
    <w:uiPriority w:val="20"/>
    <w:qFormat/>
    <w:rsid w:val="00B76864"/>
    <w:rPr>
      <w:b/>
      <w:bCs/>
      <w:i w:val="0"/>
      <w:iCs w:val="0"/>
    </w:rPr>
  </w:style>
  <w:style w:type="table" w:styleId="TableGrid">
    <w:name w:val="Table Grid"/>
    <w:basedOn w:val="TableNormal"/>
    <w:rsid w:val="006F36B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w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itu.int/publ/R-REP/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7F2AA-FAA0-4304-B7FC-575C7C214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758</TotalTime>
  <Pages>17</Pages>
  <Words>4480</Words>
  <Characters>24841</Characters>
  <Application>Microsoft Office Word</Application>
  <DocSecurity>0</DocSecurity>
  <Lines>776</Lines>
  <Paragraphs>105</Paragraphs>
  <ScaleCrop>false</ScaleCrop>
  <HeadingPairs>
    <vt:vector size="2" baseType="variant">
      <vt:variant>
        <vt:lpstr>Title</vt:lpstr>
      </vt:variant>
      <vt:variant>
        <vt:i4>1</vt:i4>
      </vt:variant>
    </vt:vector>
  </HeadingPairs>
  <TitlesOfParts>
    <vt:vector size="1" baseType="lpstr">
      <vt:lpstr>Informe  UIT-R  SM.2154 – </vt:lpstr>
    </vt:vector>
  </TitlesOfParts>
  <Manager/>
  <Company>ITU</Company>
  <LinksUpToDate>false</LinksUpToDate>
  <CharactersWithSpaces>29216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SM.2154 – Técnicas de medición de ocupación del espectro por dispositivos...</dc:title>
  <dc:subject/>
  <dc:creator>martiner</dc:creator>
  <cp:keywords/>
  <dc:description/>
  <cp:lastModifiedBy>martiner</cp:lastModifiedBy>
  <cp:revision>66</cp:revision>
  <cp:lastPrinted>2010-04-30T11:54:00Z</cp:lastPrinted>
  <dcterms:created xsi:type="dcterms:W3CDTF">2010-03-18T08:21:00Z</dcterms:created>
  <dcterms:modified xsi:type="dcterms:W3CDTF">2010-04-30T13:36:00Z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