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BE1" w:rsidRDefault="00452BE1" w:rsidP="008964B0"/>
    <w:p w:rsidR="00452BE1" w:rsidRDefault="00452BE1" w:rsidP="008964B0"/>
    <w:p w:rsidR="00452BE1" w:rsidRDefault="00452BE1" w:rsidP="008964B0"/>
    <w:p w:rsidR="00452BE1" w:rsidRDefault="00452BE1" w:rsidP="008964B0"/>
    <w:p w:rsidR="00452BE1" w:rsidRDefault="00452BE1" w:rsidP="008964B0"/>
    <w:p w:rsidR="00452BE1" w:rsidRDefault="00452BE1" w:rsidP="008964B0"/>
    <w:p w:rsidR="00452BE1" w:rsidRDefault="00452BE1" w:rsidP="008964B0"/>
    <w:p w:rsidR="00452BE1" w:rsidRDefault="00452BE1" w:rsidP="008964B0"/>
    <w:p w:rsidR="00452BE1" w:rsidRDefault="00452BE1" w:rsidP="008964B0"/>
    <w:p w:rsidR="00452BE1" w:rsidRDefault="00452BE1" w:rsidP="008964B0"/>
    <w:p w:rsidR="00452BE1" w:rsidRDefault="00452BE1" w:rsidP="008964B0"/>
    <w:p w:rsidR="00452BE1" w:rsidRDefault="00452BE1" w:rsidP="008964B0"/>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452BE1" w:rsidTr="005960A9">
        <w:tc>
          <w:tcPr>
            <w:tcW w:w="10089" w:type="dxa"/>
          </w:tcPr>
          <w:p w:rsidR="00452BE1" w:rsidRPr="00504A2E" w:rsidRDefault="00452BE1" w:rsidP="005960A9">
            <w:pPr>
              <w:spacing w:before="380" w:line="280" w:lineRule="exact"/>
              <w:jc w:val="right"/>
              <w:rPr>
                <w:rFonts w:ascii="Tahoma" w:hAnsi="Tahoma" w:cs="Tahoma"/>
                <w:b/>
                <w:bCs/>
                <w:iCs/>
                <w:color w:val="509141"/>
                <w:sz w:val="32"/>
                <w:szCs w:val="32"/>
                <w:lang w:val="en-US"/>
              </w:rPr>
            </w:pPr>
            <w:r w:rsidRPr="00504A2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1pt;height:16.85pt" o:ole="">
                  <v:imagedata r:id="rId6" o:title=""/>
                </v:shape>
                <o:OLEObject Type="Embed" ProgID="Equation.3" ShapeID="_x0000_i1033" DrawAspect="Content" ObjectID="_1344948677" r:id="rId7"/>
              </w:object>
            </w:r>
          </w:p>
          <w:p w:rsidR="00452BE1" w:rsidRPr="00504A2E" w:rsidRDefault="00452BE1" w:rsidP="003821FF">
            <w:pPr>
              <w:spacing w:before="380" w:line="280" w:lineRule="exact"/>
              <w:jc w:val="right"/>
              <w:rPr>
                <w:rFonts w:ascii="Tahoma" w:hAnsi="Tahoma" w:cs="Tahoma"/>
                <w:b/>
                <w:bCs/>
                <w:iCs/>
                <w:color w:val="509141"/>
                <w:sz w:val="36"/>
                <w:szCs w:val="36"/>
                <w:lang w:val="en-US"/>
              </w:rPr>
            </w:pPr>
            <w:r w:rsidRPr="00504A2E">
              <w:rPr>
                <w:rFonts w:ascii="Tahoma" w:hAnsi="Tahoma" w:cs="Tahoma"/>
                <w:b/>
                <w:bCs/>
                <w:iCs/>
                <w:color w:val="509141"/>
                <w:sz w:val="36"/>
                <w:szCs w:val="36"/>
                <w:lang w:val="en-US"/>
              </w:rPr>
              <w:t xml:space="preserve">Rapport  UIT-R  </w:t>
            </w:r>
            <w:r w:rsidR="003821FF">
              <w:rPr>
                <w:rFonts w:ascii="Tahoma" w:hAnsi="Tahoma" w:cs="Tahoma"/>
                <w:b/>
                <w:bCs/>
                <w:iCs/>
                <w:color w:val="509141"/>
                <w:sz w:val="36"/>
                <w:szCs w:val="36"/>
                <w:lang w:val="en-US"/>
              </w:rPr>
              <w:t>S</w:t>
            </w:r>
            <w:r w:rsidRPr="00504A2E">
              <w:rPr>
                <w:rFonts w:ascii="Tahoma" w:hAnsi="Tahoma" w:cs="Tahoma"/>
                <w:b/>
                <w:bCs/>
                <w:iCs/>
                <w:color w:val="509141"/>
                <w:sz w:val="36"/>
                <w:szCs w:val="36"/>
                <w:lang w:val="en-US"/>
              </w:rPr>
              <w:t>M.2</w:t>
            </w:r>
            <w:r w:rsidR="003821FF">
              <w:rPr>
                <w:rFonts w:ascii="Tahoma" w:hAnsi="Tahoma" w:cs="Tahoma"/>
                <w:b/>
                <w:bCs/>
                <w:iCs/>
                <w:color w:val="509141"/>
                <w:sz w:val="36"/>
                <w:szCs w:val="36"/>
                <w:lang w:val="en-US"/>
              </w:rPr>
              <w:t>154</w:t>
            </w:r>
          </w:p>
          <w:p w:rsidR="00452BE1" w:rsidRPr="00504A2E" w:rsidRDefault="00452BE1" w:rsidP="003821FF">
            <w:pPr>
              <w:spacing w:before="80" w:line="280" w:lineRule="exact"/>
              <w:jc w:val="right"/>
              <w:rPr>
                <w:rFonts w:ascii="Tahoma" w:hAnsi="Tahoma" w:cs="Tahoma"/>
                <w:b/>
                <w:bCs/>
                <w:iCs/>
                <w:color w:val="509141"/>
                <w:szCs w:val="24"/>
                <w:lang w:val="en-US"/>
              </w:rPr>
            </w:pPr>
            <w:r w:rsidRPr="00504A2E">
              <w:rPr>
                <w:rFonts w:ascii="Tahoma" w:hAnsi="Tahoma" w:cs="Tahoma"/>
                <w:b/>
                <w:bCs/>
                <w:iCs/>
                <w:color w:val="509141"/>
                <w:szCs w:val="24"/>
                <w:lang w:val="en-US"/>
              </w:rPr>
              <w:t>(</w:t>
            </w:r>
            <w:r w:rsidR="003821FF">
              <w:rPr>
                <w:rFonts w:ascii="Tahoma" w:hAnsi="Tahoma" w:cs="Tahoma"/>
                <w:b/>
                <w:bCs/>
                <w:iCs/>
                <w:color w:val="509141"/>
                <w:szCs w:val="24"/>
                <w:lang w:val="en-US"/>
              </w:rPr>
              <w:t>09</w:t>
            </w:r>
            <w:r w:rsidRPr="00504A2E">
              <w:rPr>
                <w:rFonts w:ascii="Tahoma" w:hAnsi="Tahoma" w:cs="Tahoma"/>
                <w:b/>
                <w:bCs/>
                <w:iCs/>
                <w:color w:val="509141"/>
                <w:szCs w:val="24"/>
                <w:lang w:val="en-US"/>
              </w:rPr>
              <w:t>/200</w:t>
            </w:r>
            <w:r w:rsidR="003821FF">
              <w:rPr>
                <w:rFonts w:ascii="Tahoma" w:hAnsi="Tahoma" w:cs="Tahoma"/>
                <w:b/>
                <w:bCs/>
                <w:iCs/>
                <w:color w:val="509141"/>
                <w:szCs w:val="24"/>
                <w:lang w:val="en-US"/>
              </w:rPr>
              <w:t>9</w:t>
            </w:r>
            <w:r w:rsidRPr="00504A2E">
              <w:rPr>
                <w:rFonts w:ascii="Tahoma" w:hAnsi="Tahoma" w:cs="Tahoma"/>
                <w:b/>
                <w:bCs/>
                <w:iCs/>
                <w:color w:val="509141"/>
                <w:szCs w:val="24"/>
                <w:lang w:val="en-US"/>
              </w:rPr>
              <w:t>)</w:t>
            </w:r>
          </w:p>
        </w:tc>
      </w:tr>
      <w:tr w:rsidR="00452BE1" w:rsidRPr="000C7512" w:rsidTr="005960A9">
        <w:tc>
          <w:tcPr>
            <w:tcW w:w="10089" w:type="dxa"/>
          </w:tcPr>
          <w:p w:rsidR="00452BE1" w:rsidRPr="000C7512" w:rsidRDefault="00452BE1" w:rsidP="005960A9">
            <w:pPr>
              <w:spacing w:before="80" w:line="500" w:lineRule="exact"/>
              <w:jc w:val="right"/>
              <w:rPr>
                <w:rFonts w:ascii="Tahoma" w:hAnsi="Tahoma" w:cs="Tahoma"/>
                <w:b/>
                <w:bCs/>
                <w:iCs/>
                <w:color w:val="509141"/>
                <w:sz w:val="44"/>
                <w:szCs w:val="44"/>
              </w:rPr>
            </w:pPr>
          </w:p>
          <w:p w:rsidR="00452BE1" w:rsidRPr="000C7512" w:rsidRDefault="003821FF" w:rsidP="005960A9">
            <w:pPr>
              <w:spacing w:before="80" w:line="500" w:lineRule="exact"/>
              <w:jc w:val="right"/>
              <w:rPr>
                <w:rFonts w:ascii="Tahoma" w:hAnsi="Tahoma" w:cs="Tahoma"/>
                <w:b/>
                <w:bCs/>
                <w:iCs/>
                <w:color w:val="509141"/>
                <w:sz w:val="44"/>
                <w:szCs w:val="44"/>
              </w:rPr>
            </w:pPr>
            <w:r>
              <w:rPr>
                <w:rFonts w:ascii="Tahoma" w:hAnsi="Tahoma" w:cs="Tahoma"/>
                <w:b/>
                <w:bCs/>
                <w:iCs/>
                <w:color w:val="509141"/>
                <w:sz w:val="44"/>
                <w:szCs w:val="44"/>
              </w:rPr>
              <w:t>Techniques de mesure de l'occupation du spectre par des dispositifs de radiocommunication à courte portée</w:t>
            </w:r>
          </w:p>
        </w:tc>
      </w:tr>
      <w:tr w:rsidR="00452BE1" w:rsidRPr="000C7512" w:rsidTr="005960A9">
        <w:tc>
          <w:tcPr>
            <w:tcW w:w="10089" w:type="dxa"/>
          </w:tcPr>
          <w:p w:rsidR="00452BE1" w:rsidRPr="000C7512" w:rsidRDefault="00452BE1" w:rsidP="005960A9">
            <w:pPr>
              <w:spacing w:before="80" w:line="280" w:lineRule="exact"/>
              <w:ind w:right="640"/>
              <w:rPr>
                <w:rFonts w:ascii="Tahoma" w:hAnsi="Tahoma" w:cs="Tahoma"/>
                <w:b/>
                <w:bCs/>
                <w:iCs/>
                <w:color w:val="243285"/>
                <w:sz w:val="32"/>
                <w:szCs w:val="32"/>
              </w:rPr>
            </w:pPr>
          </w:p>
          <w:p w:rsidR="00452BE1" w:rsidRPr="000C7512" w:rsidRDefault="00452BE1" w:rsidP="005960A9">
            <w:pPr>
              <w:spacing w:before="80" w:line="280" w:lineRule="exact"/>
              <w:ind w:right="640"/>
              <w:rPr>
                <w:rFonts w:ascii="Tahoma" w:hAnsi="Tahoma" w:cs="Tahoma"/>
                <w:b/>
                <w:bCs/>
                <w:iCs/>
                <w:color w:val="243285"/>
                <w:sz w:val="32"/>
                <w:szCs w:val="32"/>
              </w:rPr>
            </w:pPr>
          </w:p>
          <w:p w:rsidR="00452BE1" w:rsidRPr="000C7512" w:rsidRDefault="00452BE1" w:rsidP="005960A9">
            <w:pPr>
              <w:spacing w:before="80" w:line="280" w:lineRule="exact"/>
              <w:ind w:right="640"/>
              <w:rPr>
                <w:rFonts w:ascii="Tahoma" w:hAnsi="Tahoma" w:cs="Tahoma"/>
                <w:b/>
                <w:bCs/>
                <w:iCs/>
                <w:color w:val="243285"/>
                <w:sz w:val="32"/>
                <w:szCs w:val="32"/>
              </w:rPr>
            </w:pPr>
          </w:p>
          <w:p w:rsidR="00452BE1" w:rsidRPr="000C7512" w:rsidRDefault="00452BE1" w:rsidP="005960A9">
            <w:pPr>
              <w:spacing w:before="80" w:after="180" w:line="360" w:lineRule="exact"/>
              <w:jc w:val="right"/>
              <w:rPr>
                <w:rFonts w:ascii="Tahoma" w:hAnsi="Tahoma" w:cs="Tahoma"/>
                <w:b/>
                <w:bCs/>
                <w:iCs/>
                <w:color w:val="243285"/>
                <w:sz w:val="36"/>
                <w:szCs w:val="36"/>
              </w:rPr>
            </w:pPr>
          </w:p>
          <w:p w:rsidR="00452BE1" w:rsidRPr="000C7512" w:rsidRDefault="00452BE1" w:rsidP="005960A9">
            <w:pPr>
              <w:spacing w:before="80" w:after="180" w:line="360" w:lineRule="exact"/>
              <w:jc w:val="right"/>
              <w:rPr>
                <w:rFonts w:ascii="Tahoma" w:hAnsi="Tahoma" w:cs="Tahoma"/>
                <w:b/>
                <w:bCs/>
                <w:iCs/>
                <w:color w:val="509141"/>
                <w:sz w:val="36"/>
                <w:szCs w:val="36"/>
              </w:rPr>
            </w:pPr>
            <w:r w:rsidRPr="000C7512">
              <w:rPr>
                <w:rFonts w:ascii="Tahoma" w:hAnsi="Tahoma" w:cs="Tahoma"/>
                <w:b/>
                <w:bCs/>
                <w:iCs/>
                <w:color w:val="509141"/>
                <w:sz w:val="36"/>
                <w:szCs w:val="36"/>
              </w:rPr>
              <w:t xml:space="preserve">Série </w:t>
            </w:r>
            <w:r w:rsidR="003821FF">
              <w:rPr>
                <w:rFonts w:ascii="Tahoma" w:hAnsi="Tahoma" w:cs="Tahoma"/>
                <w:b/>
                <w:bCs/>
                <w:iCs/>
                <w:color w:val="509141"/>
                <w:sz w:val="36"/>
                <w:szCs w:val="36"/>
              </w:rPr>
              <w:t>S</w:t>
            </w:r>
            <w:r w:rsidRPr="000C7512">
              <w:rPr>
                <w:rFonts w:ascii="Tahoma" w:hAnsi="Tahoma" w:cs="Tahoma"/>
                <w:b/>
                <w:bCs/>
                <w:iCs/>
                <w:color w:val="509141"/>
                <w:sz w:val="36"/>
                <w:szCs w:val="36"/>
              </w:rPr>
              <w:t>M</w:t>
            </w:r>
          </w:p>
          <w:p w:rsidR="00452BE1" w:rsidRPr="000C7512" w:rsidRDefault="003821FF" w:rsidP="005960A9">
            <w:pPr>
              <w:spacing w:before="80" w:line="420" w:lineRule="exact"/>
              <w:jc w:val="right"/>
              <w:rPr>
                <w:rFonts w:ascii="Tahoma" w:hAnsi="Tahoma" w:cs="Tahoma"/>
                <w:b/>
                <w:bCs/>
                <w:iCs/>
                <w:color w:val="509141"/>
                <w:sz w:val="36"/>
                <w:szCs w:val="36"/>
              </w:rPr>
            </w:pPr>
            <w:r>
              <w:rPr>
                <w:rFonts w:ascii="Tahoma" w:hAnsi="Tahoma" w:cs="Tahoma"/>
                <w:b/>
                <w:bCs/>
                <w:iCs/>
                <w:color w:val="509141"/>
                <w:sz w:val="36"/>
                <w:szCs w:val="36"/>
              </w:rPr>
              <w:t>Gestion du spectre</w:t>
            </w:r>
          </w:p>
          <w:p w:rsidR="00452BE1" w:rsidRPr="000C7512" w:rsidRDefault="00452BE1" w:rsidP="005960A9">
            <w:pPr>
              <w:spacing w:before="80" w:line="420" w:lineRule="exact"/>
              <w:jc w:val="right"/>
              <w:rPr>
                <w:rFonts w:ascii="Tahoma" w:hAnsi="Tahoma" w:cs="Tahoma"/>
                <w:b/>
                <w:bCs/>
                <w:iCs/>
                <w:color w:val="509141"/>
                <w:sz w:val="36"/>
                <w:szCs w:val="36"/>
              </w:rPr>
            </w:pPr>
          </w:p>
          <w:p w:rsidR="00452BE1" w:rsidRPr="000C7512" w:rsidRDefault="00452BE1" w:rsidP="005960A9">
            <w:pPr>
              <w:spacing w:before="80" w:line="360" w:lineRule="exact"/>
              <w:jc w:val="right"/>
              <w:rPr>
                <w:rFonts w:ascii="Tahoma" w:hAnsi="Tahoma" w:cs="Tahoma"/>
                <w:b/>
                <w:bCs/>
                <w:iCs/>
                <w:color w:val="509141"/>
                <w:sz w:val="32"/>
                <w:szCs w:val="32"/>
              </w:rPr>
            </w:pPr>
          </w:p>
        </w:tc>
      </w:tr>
    </w:tbl>
    <w:p w:rsidR="00452BE1" w:rsidRPr="000C7512" w:rsidRDefault="00452BE1" w:rsidP="008964B0">
      <w:pPr>
        <w:spacing w:before="80"/>
        <w:rPr>
          <w:i/>
          <w:sz w:val="22"/>
        </w:rPr>
      </w:pPr>
    </w:p>
    <w:p w:rsidR="00452BE1" w:rsidRPr="000C7512" w:rsidRDefault="00452BE1" w:rsidP="008964B0">
      <w:pPr>
        <w:spacing w:before="80"/>
        <w:rPr>
          <w:i/>
          <w:sz w:val="22"/>
        </w:rPr>
      </w:pPr>
    </w:p>
    <w:p w:rsidR="00452BE1" w:rsidRPr="000C7512" w:rsidRDefault="00452BE1" w:rsidP="008964B0">
      <w:pPr>
        <w:spacing w:before="80"/>
        <w:rPr>
          <w:i/>
          <w:sz w:val="22"/>
        </w:rPr>
      </w:pPr>
    </w:p>
    <w:p w:rsidR="00452BE1" w:rsidRPr="000C7512" w:rsidRDefault="00452BE1" w:rsidP="008964B0">
      <w:pPr>
        <w:spacing w:before="80"/>
        <w:rPr>
          <w:i/>
          <w:sz w:val="22"/>
        </w:rPr>
      </w:pPr>
    </w:p>
    <w:p w:rsidR="00452BE1" w:rsidRPr="000C7512" w:rsidRDefault="00452BE1" w:rsidP="008964B0">
      <w:pPr>
        <w:spacing w:before="80"/>
        <w:rPr>
          <w:i/>
          <w:sz w:val="22"/>
        </w:rPr>
      </w:pPr>
    </w:p>
    <w:p w:rsidR="00452BE1" w:rsidRPr="000C7512" w:rsidRDefault="00452BE1" w:rsidP="008964B0">
      <w:pPr>
        <w:spacing w:before="80"/>
        <w:rPr>
          <w:i/>
          <w:sz w:val="22"/>
        </w:rPr>
      </w:pPr>
    </w:p>
    <w:p w:rsidR="00452BE1" w:rsidRPr="000C7512" w:rsidRDefault="00452BE1" w:rsidP="008964B0">
      <w:pPr>
        <w:pStyle w:val="Equation"/>
        <w:tabs>
          <w:tab w:val="clear" w:pos="4820"/>
          <w:tab w:val="clear" w:pos="9639"/>
          <w:tab w:val="left" w:pos="1191"/>
          <w:tab w:val="left" w:pos="1588"/>
          <w:tab w:val="left" w:pos="1985"/>
        </w:tabs>
        <w:rPr>
          <w:rFonts w:ascii="Palatino Linotype" w:hAnsi="Palatino Linotype"/>
        </w:rPr>
        <w:sectPr w:rsidR="00452BE1" w:rsidRPr="000C7512" w:rsidSect="00BD08CA">
          <w:headerReference w:type="even" r:id="rId8"/>
          <w:headerReference w:type="default" r:id="rId9"/>
          <w:headerReference w:type="first" r:id="rId10"/>
          <w:pgSz w:w="11907" w:h="16834" w:code="9"/>
          <w:pgMar w:top="1418" w:right="1134" w:bottom="1134" w:left="1134" w:header="720" w:footer="482" w:gutter="0"/>
          <w:paperSrc w:first="15" w:other="15"/>
          <w:cols w:space="720"/>
        </w:sectPr>
      </w:pPr>
    </w:p>
    <w:p w:rsidR="007D77F0" w:rsidRPr="00F54FBD" w:rsidRDefault="007D77F0" w:rsidP="007C72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7D77F0" w:rsidRPr="00F54FBD" w:rsidRDefault="007D77F0" w:rsidP="007C725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D77F0" w:rsidRDefault="007D77F0" w:rsidP="007C725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D77F0" w:rsidRDefault="007D77F0" w:rsidP="007C725C">
      <w:pPr>
        <w:spacing w:before="0"/>
        <w:rPr>
          <w:sz w:val="20"/>
        </w:rPr>
      </w:pPr>
    </w:p>
    <w:p w:rsidR="007D77F0" w:rsidRPr="00F54FBD" w:rsidRDefault="007D77F0" w:rsidP="007C725C">
      <w:pPr>
        <w:spacing w:before="0"/>
        <w:rPr>
          <w:sz w:val="20"/>
        </w:rPr>
      </w:pPr>
    </w:p>
    <w:p w:rsidR="007D77F0" w:rsidRPr="00E44CBB" w:rsidRDefault="007D77F0" w:rsidP="007C725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D77F0" w:rsidRPr="00E44CBB" w:rsidRDefault="007D77F0" w:rsidP="007C725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D77F0" w:rsidRPr="007D77F0" w:rsidRDefault="007D77F0" w:rsidP="007C725C">
      <w:pPr>
        <w:spacing w:before="0"/>
        <w:jc w:val="center"/>
        <w:rPr>
          <w:sz w:val="22"/>
          <w:lang w:val="fr-CH"/>
        </w:rPr>
      </w:pPr>
    </w:p>
    <w:p w:rsidR="007D77F0" w:rsidRPr="007D77F0" w:rsidRDefault="007D77F0" w:rsidP="007C725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D77F0" w:rsidRPr="009454F8" w:rsidTr="007C725C">
        <w:tc>
          <w:tcPr>
            <w:tcW w:w="9360" w:type="dxa"/>
            <w:gridSpan w:val="2"/>
          </w:tcPr>
          <w:p w:rsidR="007D77F0" w:rsidRPr="009454F8" w:rsidRDefault="007D77F0" w:rsidP="007C725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rsidR="007D77F0" w:rsidRPr="009454F8" w:rsidRDefault="007D77F0" w:rsidP="007C72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sidRPr="008B224F">
                <w:rPr>
                  <w:rStyle w:val="Hyperlink"/>
                  <w:b w:val="0"/>
                  <w:sz w:val="18"/>
                  <w:szCs w:val="18"/>
                </w:rPr>
                <w:t>http://www.itu.int/publ/R-REP/fr</w:t>
              </w:r>
            </w:hyperlink>
            <w:r w:rsidRPr="00BC0651">
              <w:rPr>
                <w:b w:val="0"/>
                <w:bCs/>
                <w:sz w:val="18"/>
                <w:szCs w:val="18"/>
              </w:rPr>
              <w:t>)</w:t>
            </w:r>
          </w:p>
        </w:tc>
      </w:tr>
      <w:tr w:rsidR="007D77F0" w:rsidRPr="00036EE3" w:rsidTr="007C725C">
        <w:tc>
          <w:tcPr>
            <w:tcW w:w="1140" w:type="dxa"/>
            <w:tcBorders>
              <w:bottom w:val="nil"/>
            </w:tcBorders>
          </w:tcPr>
          <w:p w:rsidR="007D77F0" w:rsidRPr="00614CC6" w:rsidRDefault="007D77F0" w:rsidP="007C725C">
            <w:pPr>
              <w:spacing w:before="90" w:after="100"/>
              <w:ind w:left="57"/>
              <w:rPr>
                <w:b/>
                <w:bCs/>
                <w:sz w:val="20"/>
                <w:lang w:val="en-US"/>
              </w:rPr>
            </w:pPr>
            <w:r w:rsidRPr="00614CC6">
              <w:rPr>
                <w:b/>
                <w:bCs/>
                <w:sz w:val="20"/>
                <w:lang w:val="en-US"/>
              </w:rPr>
              <w:t>Séries</w:t>
            </w:r>
          </w:p>
        </w:tc>
        <w:tc>
          <w:tcPr>
            <w:tcW w:w="8220" w:type="dxa"/>
            <w:tcBorders>
              <w:bottom w:val="nil"/>
            </w:tcBorders>
          </w:tcPr>
          <w:p w:rsidR="007D77F0" w:rsidRPr="00614CC6" w:rsidRDefault="007D77F0" w:rsidP="007C72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D77F0" w:rsidRPr="00322748" w:rsidTr="007C725C">
        <w:tc>
          <w:tcPr>
            <w:tcW w:w="1140" w:type="dxa"/>
            <w:tcBorders>
              <w:top w:val="nil"/>
              <w:bottom w:val="nil"/>
            </w:tcBorders>
            <w:shd w:val="clear" w:color="auto" w:fill="auto"/>
          </w:tcPr>
          <w:p w:rsidR="007D77F0" w:rsidRPr="00322748" w:rsidRDefault="007D77F0" w:rsidP="007C725C">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rsidR="007D77F0" w:rsidRPr="00322748" w:rsidRDefault="007D77F0" w:rsidP="007C72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7D77F0" w:rsidRPr="00BC69EE" w:rsidTr="007C725C">
        <w:tc>
          <w:tcPr>
            <w:tcW w:w="1140" w:type="dxa"/>
            <w:tcBorders>
              <w:top w:val="nil"/>
              <w:bottom w:val="nil"/>
            </w:tcBorders>
            <w:shd w:val="clear" w:color="auto" w:fill="auto"/>
          </w:tcPr>
          <w:p w:rsidR="007D77F0" w:rsidRPr="00BC69EE" w:rsidRDefault="007D77F0" w:rsidP="007C725C">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rsidR="007D77F0" w:rsidRPr="00BC69EE" w:rsidRDefault="007D77F0" w:rsidP="007C72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7D77F0" w:rsidRPr="00233361" w:rsidTr="007C725C">
        <w:tc>
          <w:tcPr>
            <w:tcW w:w="1140" w:type="dxa"/>
            <w:tcBorders>
              <w:top w:val="nil"/>
              <w:bottom w:val="nil"/>
            </w:tcBorders>
            <w:shd w:val="clear" w:color="auto" w:fill="auto"/>
          </w:tcPr>
          <w:p w:rsidR="007D77F0" w:rsidRPr="00233361" w:rsidRDefault="007D77F0" w:rsidP="007C725C">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rsidR="007D77F0" w:rsidRPr="00233361" w:rsidRDefault="007D77F0" w:rsidP="007C72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7D77F0" w:rsidRPr="00704932" w:rsidTr="007C725C">
        <w:tc>
          <w:tcPr>
            <w:tcW w:w="1140" w:type="dxa"/>
            <w:tcBorders>
              <w:top w:val="nil"/>
              <w:bottom w:val="nil"/>
            </w:tcBorders>
            <w:shd w:val="clear" w:color="auto" w:fill="auto"/>
          </w:tcPr>
          <w:p w:rsidR="007D77F0" w:rsidRPr="00704932" w:rsidRDefault="007D77F0" w:rsidP="007C725C">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rsidR="007D77F0" w:rsidRPr="00704932" w:rsidRDefault="007D77F0" w:rsidP="007C72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7D77F0" w:rsidRPr="009230C7" w:rsidTr="007C725C">
        <w:tc>
          <w:tcPr>
            <w:tcW w:w="1140" w:type="dxa"/>
            <w:tcBorders>
              <w:top w:val="nil"/>
              <w:bottom w:val="nil"/>
            </w:tcBorders>
            <w:shd w:val="clear" w:color="auto" w:fill="auto"/>
          </w:tcPr>
          <w:p w:rsidR="007D77F0" w:rsidRPr="009230C7" w:rsidRDefault="007D77F0" w:rsidP="007C725C">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rsidR="007D77F0" w:rsidRPr="009230C7" w:rsidRDefault="007D77F0" w:rsidP="007C725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7D77F0" w:rsidRPr="001D3951" w:rsidTr="007C725C">
        <w:tc>
          <w:tcPr>
            <w:tcW w:w="1140" w:type="dxa"/>
            <w:tcBorders>
              <w:top w:val="nil"/>
              <w:bottom w:val="nil"/>
            </w:tcBorders>
            <w:shd w:val="clear" w:color="auto" w:fill="auto"/>
          </w:tcPr>
          <w:p w:rsidR="007D77F0" w:rsidRPr="001D3951" w:rsidRDefault="007D77F0" w:rsidP="007C725C">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rsidR="007D77F0" w:rsidRPr="001D3951" w:rsidRDefault="007D77F0" w:rsidP="007C72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7D77F0" w:rsidRPr="00250106" w:rsidTr="007C725C">
        <w:tc>
          <w:tcPr>
            <w:tcW w:w="1140" w:type="dxa"/>
            <w:tcBorders>
              <w:top w:val="nil"/>
              <w:bottom w:val="nil"/>
            </w:tcBorders>
            <w:shd w:val="clear" w:color="auto" w:fill="auto"/>
          </w:tcPr>
          <w:p w:rsidR="007D77F0" w:rsidRPr="00250106" w:rsidRDefault="007D77F0" w:rsidP="007C725C">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rsidR="007D77F0" w:rsidRPr="00250106" w:rsidRDefault="007D77F0" w:rsidP="007C725C">
            <w:pPr>
              <w:spacing w:before="30" w:after="30"/>
              <w:jc w:val="left"/>
              <w:rPr>
                <w:sz w:val="20"/>
                <w:lang w:val="fr-CH"/>
              </w:rPr>
            </w:pPr>
            <w:r w:rsidRPr="00250106">
              <w:rPr>
                <w:sz w:val="20"/>
              </w:rPr>
              <w:t>Propagation des ondes radioélectriques</w:t>
            </w:r>
          </w:p>
        </w:tc>
      </w:tr>
      <w:tr w:rsidR="007D77F0" w:rsidRPr="00BE66B1" w:rsidTr="007C725C">
        <w:tc>
          <w:tcPr>
            <w:tcW w:w="1140" w:type="dxa"/>
            <w:tcBorders>
              <w:top w:val="nil"/>
              <w:bottom w:val="nil"/>
            </w:tcBorders>
            <w:shd w:val="clear" w:color="auto" w:fill="auto"/>
          </w:tcPr>
          <w:p w:rsidR="007D77F0" w:rsidRPr="00BE66B1" w:rsidRDefault="007D77F0" w:rsidP="007C725C">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rsidR="007D77F0" w:rsidRPr="00BE66B1" w:rsidRDefault="007D77F0" w:rsidP="007C725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7D77F0" w:rsidRPr="00B03866" w:rsidTr="007C725C">
        <w:tc>
          <w:tcPr>
            <w:tcW w:w="1140" w:type="dxa"/>
            <w:tcBorders>
              <w:top w:val="nil"/>
              <w:bottom w:val="nil"/>
            </w:tcBorders>
            <w:shd w:val="clear" w:color="auto" w:fill="auto"/>
          </w:tcPr>
          <w:p w:rsidR="007D77F0" w:rsidRPr="00B03866" w:rsidRDefault="007D77F0" w:rsidP="007C725C">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rsidR="007D77F0" w:rsidRPr="00B03866" w:rsidRDefault="007D77F0" w:rsidP="007C725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7D77F0" w:rsidRPr="004A523E" w:rsidTr="007C725C">
        <w:tc>
          <w:tcPr>
            <w:tcW w:w="1140" w:type="dxa"/>
            <w:tcBorders>
              <w:top w:val="nil"/>
              <w:bottom w:val="nil"/>
            </w:tcBorders>
            <w:shd w:val="clear" w:color="auto" w:fill="auto"/>
          </w:tcPr>
          <w:p w:rsidR="007D77F0" w:rsidRPr="004A523E" w:rsidRDefault="007D77F0" w:rsidP="007C725C">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rsidR="007D77F0" w:rsidRPr="004A523E" w:rsidRDefault="007D77F0" w:rsidP="007C725C">
            <w:pPr>
              <w:spacing w:before="30" w:after="30"/>
              <w:jc w:val="left"/>
              <w:rPr>
                <w:sz w:val="20"/>
              </w:rPr>
            </w:pPr>
            <w:r w:rsidRPr="004A523E">
              <w:rPr>
                <w:sz w:val="20"/>
              </w:rPr>
              <w:t>Service</w:t>
            </w:r>
            <w:r>
              <w:rPr>
                <w:sz w:val="20"/>
              </w:rPr>
              <w:t xml:space="preserve"> fixe</w:t>
            </w:r>
            <w:r w:rsidRPr="004A523E">
              <w:rPr>
                <w:sz w:val="20"/>
              </w:rPr>
              <w:t xml:space="preserve"> par satellite</w:t>
            </w:r>
          </w:p>
        </w:tc>
      </w:tr>
      <w:tr w:rsidR="007D77F0" w:rsidRPr="0071504A" w:rsidTr="007C725C">
        <w:tc>
          <w:tcPr>
            <w:tcW w:w="1140" w:type="dxa"/>
            <w:tcBorders>
              <w:top w:val="nil"/>
              <w:bottom w:val="nil"/>
            </w:tcBorders>
            <w:shd w:val="clear" w:color="auto" w:fill="auto"/>
          </w:tcPr>
          <w:p w:rsidR="007D77F0" w:rsidRPr="0071504A" w:rsidRDefault="007D77F0" w:rsidP="007C725C">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rsidR="007D77F0" w:rsidRPr="0071504A" w:rsidRDefault="007D77F0" w:rsidP="007C725C">
            <w:pPr>
              <w:spacing w:before="30" w:after="30"/>
              <w:jc w:val="left"/>
              <w:rPr>
                <w:sz w:val="20"/>
                <w:lang w:val="en-US"/>
              </w:rPr>
            </w:pPr>
            <w:r w:rsidRPr="0071504A">
              <w:rPr>
                <w:sz w:val="20"/>
              </w:rPr>
              <w:t>Applications spatiales et météorologie</w:t>
            </w:r>
          </w:p>
        </w:tc>
      </w:tr>
      <w:tr w:rsidR="007D77F0" w:rsidRPr="0071504A" w:rsidTr="007C725C">
        <w:tc>
          <w:tcPr>
            <w:tcW w:w="1140" w:type="dxa"/>
            <w:tcBorders>
              <w:top w:val="nil"/>
              <w:bottom w:val="nil"/>
            </w:tcBorders>
            <w:shd w:val="clear" w:color="auto" w:fill="auto"/>
          </w:tcPr>
          <w:p w:rsidR="007D77F0" w:rsidRPr="005E2B1B" w:rsidRDefault="007D77F0" w:rsidP="007C725C">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rsidR="007D77F0" w:rsidRPr="005E2B1B" w:rsidRDefault="007D77F0" w:rsidP="007C725C">
            <w:pPr>
              <w:spacing w:before="30" w:after="30"/>
              <w:jc w:val="left"/>
              <w:rPr>
                <w:sz w:val="20"/>
              </w:rPr>
            </w:pPr>
            <w:r w:rsidRPr="005E2B1B">
              <w:rPr>
                <w:sz w:val="20"/>
              </w:rPr>
              <w:t>Partage des fréquences et coordination entre les systèmes du service fixe par satellite et du service fixe</w:t>
            </w:r>
          </w:p>
        </w:tc>
      </w:tr>
      <w:tr w:rsidR="007D77F0" w:rsidRPr="005E2B1B" w:rsidTr="007C725C">
        <w:tc>
          <w:tcPr>
            <w:tcW w:w="1140" w:type="dxa"/>
            <w:tcBorders>
              <w:top w:val="nil"/>
              <w:bottom w:val="nil"/>
            </w:tcBorders>
            <w:shd w:val="clear" w:color="auto" w:fill="F3F3F3"/>
          </w:tcPr>
          <w:p w:rsidR="007D77F0" w:rsidRPr="005E2B1B" w:rsidRDefault="007D77F0" w:rsidP="007C725C">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rsidR="007D77F0" w:rsidRPr="005E2B1B" w:rsidRDefault="007D77F0" w:rsidP="007C725C">
            <w:pPr>
              <w:spacing w:before="30" w:after="30"/>
              <w:jc w:val="left"/>
              <w:rPr>
                <w:b/>
                <w:bCs/>
                <w:color w:val="000080"/>
                <w:sz w:val="20"/>
                <w:lang w:val="en-US"/>
              </w:rPr>
            </w:pPr>
            <w:r w:rsidRPr="005E2B1B">
              <w:rPr>
                <w:b/>
                <w:bCs/>
                <w:color w:val="000080"/>
                <w:sz w:val="20"/>
              </w:rPr>
              <w:t>Gestion du spectre</w:t>
            </w:r>
          </w:p>
        </w:tc>
      </w:tr>
      <w:tr w:rsidR="007D77F0" w:rsidRPr="00EB0625" w:rsidTr="007C725C">
        <w:tc>
          <w:tcPr>
            <w:tcW w:w="1140" w:type="dxa"/>
            <w:tcBorders>
              <w:top w:val="nil"/>
              <w:bottom w:val="single" w:sz="12" w:space="0" w:color="000080"/>
            </w:tcBorders>
            <w:shd w:val="clear" w:color="auto" w:fill="auto"/>
          </w:tcPr>
          <w:p w:rsidR="007D77F0" w:rsidRPr="00EB0625" w:rsidRDefault="007D77F0" w:rsidP="007C725C">
            <w:pPr>
              <w:spacing w:before="30" w:after="30"/>
              <w:ind w:left="57"/>
              <w:jc w:val="left"/>
              <w:rPr>
                <w:b/>
                <w:bCs/>
                <w:sz w:val="20"/>
                <w:lang w:val="en-US"/>
              </w:rPr>
            </w:pPr>
          </w:p>
        </w:tc>
        <w:tc>
          <w:tcPr>
            <w:tcW w:w="8220" w:type="dxa"/>
            <w:tcBorders>
              <w:top w:val="nil"/>
              <w:bottom w:val="single" w:sz="12" w:space="0" w:color="000080"/>
            </w:tcBorders>
            <w:shd w:val="clear" w:color="auto" w:fill="auto"/>
          </w:tcPr>
          <w:p w:rsidR="007D77F0" w:rsidRPr="00EB0625" w:rsidRDefault="007D77F0" w:rsidP="007C725C">
            <w:pPr>
              <w:spacing w:before="30" w:after="30"/>
              <w:jc w:val="left"/>
              <w:rPr>
                <w:b/>
                <w:bCs/>
                <w:sz w:val="20"/>
              </w:rPr>
            </w:pPr>
          </w:p>
        </w:tc>
      </w:tr>
    </w:tbl>
    <w:p w:rsidR="007D77F0" w:rsidRPr="00036EE3" w:rsidRDefault="007D77F0" w:rsidP="007C725C">
      <w:pPr>
        <w:spacing w:before="0"/>
        <w:jc w:val="center"/>
        <w:rPr>
          <w:sz w:val="20"/>
          <w:lang w:val="en-US"/>
        </w:rPr>
      </w:pPr>
    </w:p>
    <w:p w:rsidR="007D77F0" w:rsidRPr="00036EE3" w:rsidRDefault="007D77F0" w:rsidP="007C725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D77F0" w:rsidRPr="004D0B82" w:rsidTr="007C725C">
        <w:tc>
          <w:tcPr>
            <w:tcW w:w="9360" w:type="dxa"/>
          </w:tcPr>
          <w:p w:rsidR="007D77F0" w:rsidRPr="004D0B82" w:rsidRDefault="007D77F0" w:rsidP="007C725C">
            <w:pPr>
              <w:spacing w:before="80" w:after="80"/>
              <w:ind w:left="252" w:right="72"/>
              <w:jc w:val="left"/>
              <w:rPr>
                <w:i/>
                <w:iCs/>
                <w:sz w:val="20"/>
              </w:rPr>
            </w:pPr>
            <w:r w:rsidRPr="004D0B82">
              <w:rPr>
                <w:b/>
                <w:bCs/>
                <w:i/>
                <w:iCs/>
                <w:sz w:val="20"/>
              </w:rPr>
              <w:t>Note</w:t>
            </w:r>
            <w:r w:rsidRPr="004D0B82">
              <w:rPr>
                <w:i/>
                <w:iCs/>
                <w:sz w:val="20"/>
              </w:rPr>
              <w:t xml:space="preserve">: Ce Rapport UIT-R a été approuvé en anglais par la Commission d’études aux termes de la procédure détaillée dans la Résolution UIT-R 1. </w:t>
            </w:r>
          </w:p>
        </w:tc>
      </w:tr>
    </w:tbl>
    <w:p w:rsidR="007D77F0" w:rsidRPr="00756B4D" w:rsidRDefault="007D77F0" w:rsidP="007C725C">
      <w:pPr>
        <w:spacing w:before="0"/>
        <w:jc w:val="center"/>
        <w:rPr>
          <w:sz w:val="22"/>
        </w:rPr>
      </w:pPr>
    </w:p>
    <w:p w:rsidR="007D77F0" w:rsidRPr="00614CC6" w:rsidRDefault="007D77F0" w:rsidP="007C725C">
      <w:pPr>
        <w:spacing w:before="100"/>
        <w:jc w:val="right"/>
        <w:rPr>
          <w:i/>
          <w:iCs/>
          <w:sz w:val="20"/>
        </w:rPr>
      </w:pPr>
      <w:r w:rsidRPr="00614CC6">
        <w:rPr>
          <w:i/>
          <w:iCs/>
          <w:sz w:val="20"/>
        </w:rPr>
        <w:t>Publication électronique</w:t>
      </w:r>
    </w:p>
    <w:p w:rsidR="007D77F0" w:rsidRPr="00614CC6" w:rsidRDefault="007D77F0" w:rsidP="007C725C">
      <w:pPr>
        <w:spacing w:before="0"/>
        <w:jc w:val="right"/>
        <w:rPr>
          <w:sz w:val="20"/>
        </w:rPr>
      </w:pPr>
      <w:r w:rsidRPr="00614CC6">
        <w:rPr>
          <w:sz w:val="20"/>
        </w:rPr>
        <w:t>Genève, 20</w:t>
      </w:r>
      <w:r>
        <w:rPr>
          <w:sz w:val="20"/>
        </w:rPr>
        <w:t>10</w:t>
      </w:r>
    </w:p>
    <w:p w:rsidR="007D77F0" w:rsidRPr="00614CC6" w:rsidRDefault="007D77F0" w:rsidP="007C725C">
      <w:pPr>
        <w:spacing w:before="200"/>
        <w:jc w:val="center"/>
        <w:rPr>
          <w:sz w:val="20"/>
        </w:rPr>
      </w:pPr>
      <w:r w:rsidRPr="00470E28">
        <w:rPr>
          <w:sz w:val="20"/>
          <w:lang w:val="en-US"/>
        </w:rPr>
        <w:sym w:font="Symbol" w:char="F0E3"/>
      </w:r>
      <w:r w:rsidRPr="00614CC6">
        <w:rPr>
          <w:sz w:val="20"/>
        </w:rPr>
        <w:t xml:space="preserve"> UIT 20</w:t>
      </w:r>
      <w:r>
        <w:rPr>
          <w:sz w:val="20"/>
        </w:rPr>
        <w:t>10</w:t>
      </w:r>
    </w:p>
    <w:p w:rsidR="007D77F0" w:rsidRPr="007D77F0" w:rsidRDefault="007D77F0" w:rsidP="007C725C">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D77F0" w:rsidRPr="007D77F0" w:rsidRDefault="007D77F0" w:rsidP="007C725C">
      <w:pPr>
        <w:spacing w:before="160"/>
        <w:rPr>
          <w:i/>
          <w:sz w:val="20"/>
          <w:highlight w:val="yellow"/>
          <w:lang w:val="fr-CH"/>
        </w:rPr>
        <w:sectPr w:rsidR="007D77F0" w:rsidRPr="007D77F0" w:rsidSect="007C725C">
          <w:headerReference w:type="even" r:id="rId13"/>
          <w:headerReference w:type="default" r:id="rId14"/>
          <w:pgSz w:w="11907" w:h="16834" w:code="9"/>
          <w:pgMar w:top="1418" w:right="1134" w:bottom="1134" w:left="1134" w:header="720" w:footer="482" w:gutter="0"/>
          <w:pgNumType w:fmt="lowerRoman" w:start="2"/>
          <w:cols w:space="720"/>
        </w:sectPr>
      </w:pPr>
    </w:p>
    <w:p w:rsidR="007D77F0" w:rsidRPr="007D77F0" w:rsidRDefault="007D77F0" w:rsidP="007D77F0">
      <w:pPr>
        <w:pStyle w:val="RepNo"/>
        <w:spacing w:before="0"/>
        <w:rPr>
          <w:lang w:val="fr-CH"/>
        </w:rPr>
      </w:pPr>
      <w:r w:rsidRPr="007D77F0">
        <w:rPr>
          <w:lang w:val="fr-CH"/>
        </w:rPr>
        <w:lastRenderedPageBreak/>
        <w:t xml:space="preserve">RAPPORT  </w:t>
      </w:r>
      <w:r w:rsidRPr="007D77F0">
        <w:rPr>
          <w:rStyle w:val="href"/>
          <w:lang w:val="fr-CH"/>
        </w:rPr>
        <w:t>UIT-R  SM.</w:t>
      </w:r>
      <w:r>
        <w:rPr>
          <w:rStyle w:val="href"/>
          <w:lang w:val="fr-CH"/>
        </w:rPr>
        <w:t>2154</w:t>
      </w:r>
    </w:p>
    <w:p w:rsidR="007B26FF" w:rsidRDefault="007B26FF" w:rsidP="007C725C">
      <w:pPr>
        <w:pStyle w:val="Reptitle"/>
      </w:pPr>
      <w:r w:rsidRPr="007B74AE">
        <w:t xml:space="preserve">Techniques </w:t>
      </w:r>
      <w:r>
        <w:t>de mesure de l'occupation du sp</w:t>
      </w:r>
      <w:r w:rsidRPr="007B74AE">
        <w:t xml:space="preserve">ectre par des dispositifs </w:t>
      </w:r>
      <w:r w:rsidRPr="007B74AE">
        <w:br/>
        <w:t>de radiocommunication à courte portée</w:t>
      </w:r>
    </w:p>
    <w:p w:rsidR="007D77F0" w:rsidRPr="007D77F0" w:rsidRDefault="007D77F0" w:rsidP="007D77F0">
      <w:pPr>
        <w:pStyle w:val="Repref"/>
      </w:pPr>
    </w:p>
    <w:p w:rsidR="007B26FF" w:rsidRDefault="007B26FF" w:rsidP="007C725C">
      <w:pPr>
        <w:pStyle w:val="Repdate"/>
      </w:pPr>
      <w:r w:rsidRPr="007B74AE">
        <w:t>(2009)</w:t>
      </w:r>
    </w:p>
    <w:p w:rsidR="007B26FF" w:rsidRPr="009C2399" w:rsidRDefault="007B26FF" w:rsidP="007C725C">
      <w:pPr>
        <w:pStyle w:val="Title1"/>
      </w:pPr>
      <w:r>
        <w:t>TABLE DES MATIÈRES</w:t>
      </w:r>
    </w:p>
    <w:p w:rsidR="007B26FF" w:rsidRDefault="007B26FF" w:rsidP="007C725C">
      <w:pPr>
        <w:pStyle w:val="toc0"/>
      </w:pPr>
      <w:r>
        <w:tab/>
        <w:t>Page</w:t>
      </w:r>
    </w:p>
    <w:p w:rsidR="007B26FF" w:rsidRPr="007D77F0" w:rsidRDefault="007B26FF" w:rsidP="007C725C">
      <w:pPr>
        <w:pStyle w:val="TOC1"/>
        <w:rPr>
          <w:rFonts w:asciiTheme="minorHAnsi" w:eastAsiaTheme="minorEastAsia" w:hAnsiTheme="minorHAnsi" w:cstheme="minorBidi"/>
          <w:noProof/>
          <w:sz w:val="22"/>
          <w:szCs w:val="22"/>
          <w:lang w:val="fr-CH" w:eastAsia="zh-CN"/>
        </w:rPr>
      </w:pPr>
      <w:r w:rsidRPr="007D77F0">
        <w:rPr>
          <w:noProof/>
          <w:lang w:val="fr-CH"/>
        </w:rPr>
        <w:t>1</w:t>
      </w:r>
      <w:r w:rsidRPr="007D77F0">
        <w:rPr>
          <w:rFonts w:asciiTheme="minorHAnsi" w:eastAsiaTheme="minorEastAsia" w:hAnsiTheme="minorHAnsi" w:cstheme="minorBidi"/>
          <w:noProof/>
          <w:sz w:val="22"/>
          <w:szCs w:val="22"/>
          <w:lang w:val="fr-CH" w:eastAsia="zh-CN"/>
        </w:rPr>
        <w:tab/>
      </w:r>
      <w:r w:rsidRPr="007D77F0">
        <w:rPr>
          <w:noProof/>
          <w:lang w:val="fr-CH"/>
        </w:rPr>
        <w:t>Introduction</w:t>
      </w:r>
      <w:r w:rsidRPr="007D77F0">
        <w:rPr>
          <w:noProof/>
          <w:webHidden/>
          <w:lang w:val="fr-CH"/>
        </w:rPr>
        <w:tab/>
      </w:r>
      <w:r w:rsidRPr="007D77F0">
        <w:rPr>
          <w:noProof/>
          <w:webHidden/>
          <w:lang w:val="fr-CH"/>
        </w:rPr>
        <w:tab/>
        <w:t>2</w:t>
      </w:r>
    </w:p>
    <w:p w:rsidR="007B26FF" w:rsidRPr="007D77F0" w:rsidRDefault="007B26FF">
      <w:pPr>
        <w:pStyle w:val="TOC2"/>
        <w:rPr>
          <w:rFonts w:asciiTheme="minorHAnsi" w:eastAsiaTheme="minorEastAsia" w:hAnsiTheme="minorHAnsi" w:cstheme="minorBidi"/>
          <w:noProof/>
          <w:sz w:val="22"/>
          <w:szCs w:val="22"/>
          <w:lang w:val="fr-CH" w:eastAsia="zh-CN"/>
        </w:rPr>
      </w:pPr>
      <w:r w:rsidRPr="007D77F0">
        <w:rPr>
          <w:noProof/>
          <w:lang w:val="fr-CH"/>
        </w:rPr>
        <w:t>1.1</w:t>
      </w:r>
      <w:r w:rsidRPr="007D77F0">
        <w:rPr>
          <w:rFonts w:asciiTheme="minorHAnsi" w:eastAsiaTheme="minorEastAsia" w:hAnsiTheme="minorHAnsi" w:cstheme="minorBidi"/>
          <w:noProof/>
          <w:sz w:val="22"/>
          <w:szCs w:val="22"/>
          <w:lang w:val="fr-CH" w:eastAsia="zh-CN"/>
        </w:rPr>
        <w:tab/>
      </w:r>
      <w:r w:rsidRPr="007D77F0">
        <w:rPr>
          <w:noProof/>
          <w:lang w:val="fr-CH"/>
        </w:rPr>
        <w:t>Pourquoi contrôler les SRD?</w:t>
      </w:r>
      <w:r w:rsidRPr="007D77F0">
        <w:rPr>
          <w:noProof/>
          <w:webHidden/>
          <w:lang w:val="fr-CH"/>
        </w:rPr>
        <w:tab/>
      </w:r>
      <w:r w:rsidRPr="007D77F0">
        <w:rPr>
          <w:noProof/>
          <w:webHidden/>
          <w:lang w:val="fr-CH"/>
        </w:rPr>
        <w:tab/>
        <w:t>2</w:t>
      </w:r>
    </w:p>
    <w:p w:rsidR="007B26FF" w:rsidRPr="007D77F0" w:rsidRDefault="007B26FF">
      <w:pPr>
        <w:pStyle w:val="TOC2"/>
        <w:rPr>
          <w:rFonts w:asciiTheme="minorHAnsi" w:eastAsiaTheme="minorEastAsia" w:hAnsiTheme="minorHAnsi" w:cstheme="minorBidi"/>
          <w:noProof/>
          <w:sz w:val="22"/>
          <w:szCs w:val="22"/>
          <w:lang w:val="fr-CH" w:eastAsia="zh-CN"/>
        </w:rPr>
      </w:pPr>
      <w:r w:rsidRPr="007D77F0">
        <w:rPr>
          <w:noProof/>
          <w:lang w:val="fr-CH"/>
        </w:rPr>
        <w:t>1.2</w:t>
      </w:r>
      <w:r w:rsidRPr="007D77F0">
        <w:rPr>
          <w:rFonts w:asciiTheme="minorHAnsi" w:eastAsiaTheme="minorEastAsia" w:hAnsiTheme="minorHAnsi" w:cstheme="minorBidi"/>
          <w:noProof/>
          <w:sz w:val="22"/>
          <w:szCs w:val="22"/>
          <w:lang w:val="fr-CH" w:eastAsia="zh-CN"/>
        </w:rPr>
        <w:tab/>
      </w:r>
      <w:r w:rsidRPr="007D77F0">
        <w:rPr>
          <w:noProof/>
          <w:lang w:val="fr-CH"/>
        </w:rPr>
        <w:t>En quoi le contrôle des SRD diffère-t-il d'un contrôle normal?</w:t>
      </w:r>
      <w:r w:rsidRPr="007D77F0">
        <w:rPr>
          <w:noProof/>
          <w:webHidden/>
          <w:lang w:val="fr-CH"/>
        </w:rPr>
        <w:tab/>
      </w:r>
      <w:r w:rsidRPr="007D77F0">
        <w:rPr>
          <w:noProof/>
          <w:webHidden/>
          <w:lang w:val="fr-CH"/>
        </w:rPr>
        <w:tab/>
        <w:t>2</w:t>
      </w:r>
    </w:p>
    <w:p w:rsidR="007B26FF" w:rsidRPr="007D77F0" w:rsidRDefault="007B26FF">
      <w:pPr>
        <w:pStyle w:val="TOC2"/>
        <w:rPr>
          <w:rFonts w:asciiTheme="minorHAnsi" w:eastAsiaTheme="minorEastAsia" w:hAnsiTheme="minorHAnsi" w:cstheme="minorBidi"/>
          <w:noProof/>
          <w:sz w:val="22"/>
          <w:szCs w:val="22"/>
          <w:lang w:val="fr-CH" w:eastAsia="zh-CN"/>
        </w:rPr>
      </w:pPr>
      <w:r w:rsidRPr="007D77F0">
        <w:rPr>
          <w:noProof/>
          <w:lang w:val="fr-CH"/>
        </w:rPr>
        <w:t>1.3</w:t>
      </w:r>
      <w:r w:rsidRPr="007D77F0">
        <w:rPr>
          <w:rFonts w:asciiTheme="minorHAnsi" w:eastAsiaTheme="minorEastAsia" w:hAnsiTheme="minorHAnsi" w:cstheme="minorBidi"/>
          <w:noProof/>
          <w:sz w:val="22"/>
          <w:szCs w:val="22"/>
          <w:lang w:val="fr-CH" w:eastAsia="zh-CN"/>
        </w:rPr>
        <w:tab/>
      </w:r>
      <w:r w:rsidRPr="007D77F0">
        <w:rPr>
          <w:noProof/>
          <w:lang w:val="fr-CH"/>
        </w:rPr>
        <w:t>Relations entre le contrôle SRD et d'autres opérations de contrôle</w:t>
      </w:r>
      <w:r w:rsidRPr="007D77F0">
        <w:rPr>
          <w:noProof/>
          <w:webHidden/>
          <w:lang w:val="fr-CH"/>
        </w:rPr>
        <w:tab/>
      </w:r>
      <w:r w:rsidRPr="007D77F0">
        <w:rPr>
          <w:noProof/>
          <w:webHidden/>
          <w:lang w:val="fr-CH"/>
        </w:rPr>
        <w:tab/>
        <w:t>2</w:t>
      </w:r>
    </w:p>
    <w:p w:rsidR="007B26FF" w:rsidRPr="007D77F0" w:rsidRDefault="007B26FF" w:rsidP="007D77F0">
      <w:pPr>
        <w:pStyle w:val="TOC1"/>
        <w:rPr>
          <w:rFonts w:asciiTheme="minorHAnsi" w:eastAsiaTheme="minorEastAsia" w:hAnsiTheme="minorHAnsi" w:cstheme="minorBidi"/>
          <w:noProof/>
          <w:sz w:val="22"/>
          <w:szCs w:val="22"/>
          <w:lang w:val="fr-CH" w:eastAsia="zh-CN"/>
        </w:rPr>
      </w:pPr>
      <w:r w:rsidRPr="007D77F0">
        <w:rPr>
          <w:noProof/>
          <w:lang w:val="fr-CH"/>
        </w:rPr>
        <w:t>2</w:t>
      </w:r>
      <w:r w:rsidRPr="007D77F0">
        <w:rPr>
          <w:rFonts w:asciiTheme="minorHAnsi" w:eastAsiaTheme="minorEastAsia" w:hAnsiTheme="minorHAnsi" w:cstheme="minorBidi"/>
          <w:noProof/>
          <w:sz w:val="22"/>
          <w:szCs w:val="22"/>
          <w:lang w:val="fr-CH" w:eastAsia="zh-CN"/>
        </w:rPr>
        <w:tab/>
      </w:r>
      <w:r w:rsidRPr="007D77F0">
        <w:rPr>
          <w:noProof/>
          <w:lang w:val="fr-CH"/>
        </w:rPr>
        <w:t>Description technique des principaux points à prendre en considération lors du contrôle de dispositifs SRD</w:t>
      </w:r>
      <w:r w:rsidRPr="007D77F0">
        <w:rPr>
          <w:noProof/>
          <w:webHidden/>
          <w:lang w:val="fr-CH"/>
        </w:rPr>
        <w:tab/>
      </w:r>
      <w:r w:rsidR="007D77F0">
        <w:rPr>
          <w:noProof/>
          <w:webHidden/>
          <w:lang w:val="fr-CH"/>
        </w:rPr>
        <w:tab/>
      </w:r>
      <w:r w:rsidRPr="007D77F0">
        <w:rPr>
          <w:noProof/>
          <w:webHidden/>
          <w:lang w:val="fr-CH"/>
        </w:rPr>
        <w:t>3</w:t>
      </w:r>
    </w:p>
    <w:p w:rsidR="007B26FF" w:rsidRPr="007D77F0" w:rsidRDefault="007B26FF">
      <w:pPr>
        <w:pStyle w:val="TOC2"/>
        <w:rPr>
          <w:rFonts w:asciiTheme="minorHAnsi" w:eastAsiaTheme="minorEastAsia" w:hAnsiTheme="minorHAnsi" w:cstheme="minorBidi"/>
          <w:noProof/>
          <w:sz w:val="22"/>
          <w:szCs w:val="22"/>
          <w:lang w:val="fr-CH" w:eastAsia="zh-CN"/>
        </w:rPr>
      </w:pPr>
      <w:r w:rsidRPr="007D77F0">
        <w:rPr>
          <w:noProof/>
          <w:lang w:val="fr-CH"/>
        </w:rPr>
        <w:t>2.1</w:t>
      </w:r>
      <w:r w:rsidRPr="007D77F0">
        <w:rPr>
          <w:rFonts w:asciiTheme="minorHAnsi" w:eastAsiaTheme="minorEastAsia" w:hAnsiTheme="minorHAnsi" w:cstheme="minorBidi"/>
          <w:noProof/>
          <w:sz w:val="22"/>
          <w:szCs w:val="22"/>
          <w:lang w:val="fr-CH" w:eastAsia="zh-CN"/>
        </w:rPr>
        <w:tab/>
      </w:r>
      <w:r w:rsidRPr="007D77F0">
        <w:rPr>
          <w:noProof/>
          <w:lang w:val="fr-CH"/>
        </w:rPr>
        <w:t>Emplacements</w:t>
      </w:r>
      <w:r w:rsidRPr="007D77F0">
        <w:rPr>
          <w:noProof/>
          <w:webHidden/>
          <w:lang w:val="fr-CH"/>
        </w:rPr>
        <w:tab/>
      </w:r>
      <w:r w:rsidRPr="007D77F0">
        <w:rPr>
          <w:noProof/>
          <w:webHidden/>
          <w:lang w:val="fr-CH"/>
        </w:rPr>
        <w:tab/>
        <w:t>3</w:t>
      </w:r>
    </w:p>
    <w:p w:rsidR="007B26FF" w:rsidRPr="007D77F0" w:rsidRDefault="007B26FF">
      <w:pPr>
        <w:pStyle w:val="TOC2"/>
        <w:rPr>
          <w:rFonts w:asciiTheme="minorHAnsi" w:eastAsiaTheme="minorEastAsia" w:hAnsiTheme="minorHAnsi" w:cstheme="minorBidi"/>
          <w:noProof/>
          <w:sz w:val="22"/>
          <w:szCs w:val="22"/>
          <w:lang w:val="fr-CH" w:eastAsia="zh-CN"/>
        </w:rPr>
      </w:pPr>
      <w:r w:rsidRPr="007D77F0">
        <w:rPr>
          <w:noProof/>
          <w:lang w:val="fr-CH"/>
        </w:rPr>
        <w:t>2.2</w:t>
      </w:r>
      <w:r w:rsidRPr="007D77F0">
        <w:rPr>
          <w:rFonts w:asciiTheme="minorHAnsi" w:eastAsiaTheme="minorEastAsia" w:hAnsiTheme="minorHAnsi" w:cstheme="minorBidi"/>
          <w:noProof/>
          <w:sz w:val="22"/>
          <w:szCs w:val="22"/>
          <w:lang w:val="fr-CH" w:eastAsia="zh-CN"/>
        </w:rPr>
        <w:tab/>
      </w:r>
      <w:r w:rsidRPr="007D77F0">
        <w:rPr>
          <w:noProof/>
          <w:lang w:val="fr-CH"/>
        </w:rPr>
        <w:t>Période de contrôle et choix de l'emplacement</w:t>
      </w:r>
      <w:r w:rsidRPr="007D77F0">
        <w:rPr>
          <w:noProof/>
          <w:webHidden/>
          <w:lang w:val="fr-CH"/>
        </w:rPr>
        <w:tab/>
      </w:r>
      <w:r w:rsidRPr="007D77F0">
        <w:rPr>
          <w:noProof/>
          <w:webHidden/>
          <w:lang w:val="fr-CH"/>
        </w:rPr>
        <w:tab/>
        <w:t>4</w:t>
      </w:r>
    </w:p>
    <w:p w:rsidR="007B26FF" w:rsidRPr="007D77F0" w:rsidRDefault="007B26FF">
      <w:pPr>
        <w:pStyle w:val="TOC2"/>
        <w:rPr>
          <w:rFonts w:asciiTheme="minorHAnsi" w:eastAsiaTheme="minorEastAsia" w:hAnsiTheme="minorHAnsi" w:cstheme="minorBidi"/>
          <w:noProof/>
          <w:sz w:val="22"/>
          <w:szCs w:val="22"/>
          <w:lang w:val="fr-CH" w:eastAsia="zh-CN"/>
        </w:rPr>
      </w:pPr>
      <w:r w:rsidRPr="007D77F0">
        <w:rPr>
          <w:noProof/>
          <w:lang w:val="fr-CH"/>
        </w:rPr>
        <w:t>2.3</w:t>
      </w:r>
      <w:r w:rsidRPr="007D77F0">
        <w:rPr>
          <w:rFonts w:asciiTheme="minorHAnsi" w:eastAsiaTheme="minorEastAsia" w:hAnsiTheme="minorHAnsi" w:cstheme="minorBidi"/>
          <w:noProof/>
          <w:sz w:val="22"/>
          <w:szCs w:val="22"/>
          <w:lang w:val="fr-CH" w:eastAsia="zh-CN"/>
        </w:rPr>
        <w:tab/>
      </w:r>
      <w:r w:rsidRPr="007D77F0">
        <w:rPr>
          <w:noProof/>
          <w:lang w:val="fr-CH"/>
        </w:rPr>
        <w:t>Vitesse de balayage et sensibilité de l'appareillage</w:t>
      </w:r>
      <w:r w:rsidRPr="007D77F0">
        <w:rPr>
          <w:noProof/>
          <w:webHidden/>
          <w:lang w:val="fr-CH"/>
        </w:rPr>
        <w:tab/>
      </w:r>
      <w:r w:rsidRPr="007D77F0">
        <w:rPr>
          <w:noProof/>
          <w:webHidden/>
          <w:lang w:val="fr-CH"/>
        </w:rPr>
        <w:tab/>
        <w:t>5</w:t>
      </w:r>
    </w:p>
    <w:p w:rsidR="007B26FF" w:rsidRPr="007D77F0" w:rsidRDefault="007B26FF">
      <w:pPr>
        <w:pStyle w:val="TOC2"/>
        <w:rPr>
          <w:rFonts w:asciiTheme="minorHAnsi" w:eastAsiaTheme="minorEastAsia" w:hAnsiTheme="minorHAnsi" w:cstheme="minorBidi"/>
          <w:noProof/>
          <w:sz w:val="22"/>
          <w:szCs w:val="22"/>
          <w:lang w:val="fr-CH" w:eastAsia="zh-CN"/>
        </w:rPr>
      </w:pPr>
      <w:r w:rsidRPr="007D77F0">
        <w:rPr>
          <w:noProof/>
          <w:lang w:val="fr-CH"/>
        </w:rPr>
        <w:t>2.4</w:t>
      </w:r>
      <w:r w:rsidRPr="007D77F0">
        <w:rPr>
          <w:rFonts w:asciiTheme="minorHAnsi" w:eastAsiaTheme="minorEastAsia" w:hAnsiTheme="minorHAnsi" w:cstheme="minorBidi"/>
          <w:noProof/>
          <w:sz w:val="22"/>
          <w:szCs w:val="22"/>
          <w:lang w:val="fr-CH" w:eastAsia="zh-CN"/>
        </w:rPr>
        <w:tab/>
      </w:r>
      <w:r w:rsidRPr="007D77F0">
        <w:rPr>
          <w:noProof/>
          <w:lang w:val="fr-CH"/>
        </w:rPr>
        <w:t>Notes concernant des mesures en temps réel</w:t>
      </w:r>
      <w:r w:rsidRPr="007D77F0">
        <w:rPr>
          <w:noProof/>
          <w:webHidden/>
          <w:lang w:val="fr-CH"/>
        </w:rPr>
        <w:tab/>
      </w:r>
      <w:r w:rsidRPr="007D77F0">
        <w:rPr>
          <w:noProof/>
          <w:webHidden/>
          <w:lang w:val="fr-CH"/>
        </w:rPr>
        <w:tab/>
        <w:t>6</w:t>
      </w:r>
    </w:p>
    <w:p w:rsidR="007B26FF" w:rsidRPr="007D77F0" w:rsidRDefault="007B26FF">
      <w:pPr>
        <w:pStyle w:val="TOC2"/>
        <w:rPr>
          <w:rFonts w:asciiTheme="minorHAnsi" w:eastAsiaTheme="minorEastAsia" w:hAnsiTheme="minorHAnsi" w:cstheme="minorBidi"/>
          <w:noProof/>
          <w:sz w:val="22"/>
          <w:szCs w:val="22"/>
          <w:lang w:val="fr-CH" w:eastAsia="zh-CN"/>
        </w:rPr>
      </w:pPr>
      <w:r w:rsidRPr="007D77F0">
        <w:rPr>
          <w:noProof/>
          <w:lang w:val="fr-CH"/>
        </w:rPr>
        <w:t>2.5</w:t>
      </w:r>
      <w:r w:rsidRPr="007D77F0">
        <w:rPr>
          <w:rFonts w:asciiTheme="minorHAnsi" w:eastAsiaTheme="minorEastAsia" w:hAnsiTheme="minorHAnsi" w:cstheme="minorBidi"/>
          <w:noProof/>
          <w:sz w:val="22"/>
          <w:szCs w:val="22"/>
          <w:lang w:val="fr-CH" w:eastAsia="zh-CN"/>
        </w:rPr>
        <w:tab/>
      </w:r>
      <w:r w:rsidRPr="007D77F0">
        <w:rPr>
          <w:noProof/>
          <w:lang w:val="fr-CH"/>
        </w:rPr>
        <w:t>A-t-on besoin de mesures mobiles?</w:t>
      </w:r>
      <w:r w:rsidRPr="007D77F0">
        <w:rPr>
          <w:noProof/>
          <w:webHidden/>
          <w:lang w:val="fr-CH"/>
        </w:rPr>
        <w:tab/>
      </w:r>
      <w:r w:rsidRPr="007D77F0">
        <w:rPr>
          <w:noProof/>
          <w:webHidden/>
          <w:lang w:val="fr-CH"/>
        </w:rPr>
        <w:tab/>
        <w:t>6</w:t>
      </w:r>
    </w:p>
    <w:p w:rsidR="007B26FF" w:rsidRPr="007D77F0" w:rsidRDefault="007B26FF">
      <w:pPr>
        <w:pStyle w:val="TOC2"/>
        <w:rPr>
          <w:rFonts w:asciiTheme="minorHAnsi" w:eastAsiaTheme="minorEastAsia" w:hAnsiTheme="minorHAnsi" w:cstheme="minorBidi"/>
          <w:noProof/>
          <w:sz w:val="22"/>
          <w:szCs w:val="22"/>
          <w:lang w:val="fr-CH" w:eastAsia="zh-CN"/>
        </w:rPr>
      </w:pPr>
      <w:r w:rsidRPr="007D77F0">
        <w:rPr>
          <w:noProof/>
          <w:lang w:val="fr-CH"/>
        </w:rPr>
        <w:t>2.6</w:t>
      </w:r>
      <w:r w:rsidRPr="007D77F0">
        <w:rPr>
          <w:rFonts w:asciiTheme="minorHAnsi" w:eastAsiaTheme="minorEastAsia" w:hAnsiTheme="minorHAnsi" w:cstheme="minorBidi"/>
          <w:noProof/>
          <w:sz w:val="22"/>
          <w:szCs w:val="22"/>
          <w:lang w:val="fr-CH" w:eastAsia="zh-CN"/>
        </w:rPr>
        <w:tab/>
      </w:r>
      <w:r w:rsidRPr="007D77F0">
        <w:rPr>
          <w:noProof/>
          <w:lang w:val="fr-CH"/>
        </w:rPr>
        <w:t>Seuil de détection (comment programmer son analyseur de spectre ou son récepteur?)</w:t>
      </w:r>
      <w:r w:rsidRPr="007D77F0">
        <w:rPr>
          <w:noProof/>
          <w:webHidden/>
          <w:lang w:val="fr-CH"/>
        </w:rPr>
        <w:tab/>
      </w:r>
      <w:r w:rsidRPr="007D77F0">
        <w:rPr>
          <w:noProof/>
          <w:webHidden/>
          <w:lang w:val="fr-CH"/>
        </w:rPr>
        <w:tab/>
        <w:t>7</w:t>
      </w:r>
    </w:p>
    <w:p w:rsidR="007B26FF" w:rsidRPr="007D77F0" w:rsidRDefault="007B26FF">
      <w:pPr>
        <w:pStyle w:val="TOC2"/>
        <w:rPr>
          <w:rFonts w:asciiTheme="minorHAnsi" w:eastAsiaTheme="minorEastAsia" w:hAnsiTheme="minorHAnsi" w:cstheme="minorBidi"/>
          <w:noProof/>
          <w:sz w:val="22"/>
          <w:szCs w:val="22"/>
          <w:lang w:val="fr-CH" w:eastAsia="zh-CN"/>
        </w:rPr>
      </w:pPr>
      <w:r w:rsidRPr="007D77F0">
        <w:rPr>
          <w:noProof/>
          <w:lang w:val="fr-CH"/>
        </w:rPr>
        <w:t>2.7</w:t>
      </w:r>
      <w:r w:rsidRPr="007D77F0">
        <w:rPr>
          <w:rFonts w:asciiTheme="minorHAnsi" w:eastAsiaTheme="minorEastAsia" w:hAnsiTheme="minorHAnsi" w:cstheme="minorBidi"/>
          <w:noProof/>
          <w:sz w:val="22"/>
          <w:szCs w:val="22"/>
          <w:lang w:val="fr-CH" w:eastAsia="zh-CN"/>
        </w:rPr>
        <w:tab/>
      </w:r>
      <w:r w:rsidRPr="007D77F0">
        <w:rPr>
          <w:noProof/>
          <w:lang w:val="fr-CH"/>
        </w:rPr>
        <w:t>Antenne</w:t>
      </w:r>
      <w:r w:rsidRPr="007D77F0">
        <w:rPr>
          <w:noProof/>
          <w:webHidden/>
          <w:lang w:val="fr-CH"/>
        </w:rPr>
        <w:tab/>
      </w:r>
      <w:r w:rsidRPr="007D77F0">
        <w:rPr>
          <w:noProof/>
          <w:webHidden/>
          <w:lang w:val="fr-CH"/>
        </w:rPr>
        <w:tab/>
        <w:t>11</w:t>
      </w:r>
    </w:p>
    <w:p w:rsidR="007B26FF" w:rsidRPr="007D77F0" w:rsidRDefault="007B26FF">
      <w:pPr>
        <w:pStyle w:val="TOC2"/>
        <w:rPr>
          <w:rFonts w:asciiTheme="minorHAnsi" w:eastAsiaTheme="minorEastAsia" w:hAnsiTheme="minorHAnsi" w:cstheme="minorBidi"/>
          <w:noProof/>
          <w:sz w:val="22"/>
          <w:szCs w:val="22"/>
          <w:lang w:val="fr-CH" w:eastAsia="zh-CN"/>
        </w:rPr>
      </w:pPr>
      <w:r w:rsidRPr="007D77F0">
        <w:rPr>
          <w:noProof/>
          <w:lang w:val="fr-CH"/>
        </w:rPr>
        <w:t>2.8</w:t>
      </w:r>
      <w:r w:rsidRPr="007D77F0">
        <w:rPr>
          <w:rFonts w:asciiTheme="minorHAnsi" w:eastAsiaTheme="minorEastAsia" w:hAnsiTheme="minorHAnsi" w:cstheme="minorBidi"/>
          <w:noProof/>
          <w:sz w:val="22"/>
          <w:szCs w:val="22"/>
          <w:lang w:val="fr-CH" w:eastAsia="zh-CN"/>
        </w:rPr>
        <w:tab/>
      </w:r>
      <w:r w:rsidRPr="007D77F0">
        <w:rPr>
          <w:noProof/>
          <w:lang w:val="fr-CH"/>
        </w:rPr>
        <w:t>Qualité du système de réception</w:t>
      </w:r>
      <w:r w:rsidRPr="007D77F0">
        <w:rPr>
          <w:noProof/>
          <w:webHidden/>
          <w:lang w:val="fr-CH"/>
        </w:rPr>
        <w:tab/>
      </w:r>
      <w:r w:rsidRPr="007D77F0">
        <w:rPr>
          <w:noProof/>
          <w:webHidden/>
          <w:lang w:val="fr-CH"/>
        </w:rPr>
        <w:tab/>
        <w:t>11</w:t>
      </w:r>
    </w:p>
    <w:p w:rsidR="007B26FF" w:rsidRPr="007D77F0" w:rsidRDefault="007B26FF">
      <w:pPr>
        <w:pStyle w:val="TOC1"/>
        <w:rPr>
          <w:rFonts w:asciiTheme="minorHAnsi" w:eastAsiaTheme="minorEastAsia" w:hAnsiTheme="minorHAnsi" w:cstheme="minorBidi"/>
          <w:noProof/>
          <w:sz w:val="22"/>
          <w:szCs w:val="22"/>
          <w:lang w:val="fr-CH" w:eastAsia="zh-CN"/>
        </w:rPr>
      </w:pPr>
      <w:r w:rsidRPr="007D77F0">
        <w:rPr>
          <w:noProof/>
          <w:lang w:val="fr-CH"/>
        </w:rPr>
        <w:t>3</w:t>
      </w:r>
      <w:r w:rsidRPr="007D77F0">
        <w:rPr>
          <w:rFonts w:asciiTheme="minorHAnsi" w:eastAsiaTheme="minorEastAsia" w:hAnsiTheme="minorHAnsi" w:cstheme="minorBidi"/>
          <w:noProof/>
          <w:sz w:val="22"/>
          <w:szCs w:val="22"/>
          <w:lang w:val="fr-CH" w:eastAsia="zh-CN"/>
        </w:rPr>
        <w:tab/>
      </w:r>
      <w:r w:rsidRPr="007D77F0">
        <w:rPr>
          <w:noProof/>
          <w:lang w:val="fr-CH"/>
        </w:rPr>
        <w:t>Analyse et présentation des données</w:t>
      </w:r>
      <w:r w:rsidRPr="007D77F0">
        <w:rPr>
          <w:noProof/>
          <w:webHidden/>
          <w:lang w:val="fr-CH"/>
        </w:rPr>
        <w:tab/>
      </w:r>
      <w:r w:rsidRPr="007D77F0">
        <w:rPr>
          <w:noProof/>
          <w:webHidden/>
          <w:lang w:val="fr-CH"/>
        </w:rPr>
        <w:tab/>
        <w:t>11</w:t>
      </w:r>
    </w:p>
    <w:p w:rsidR="007B26FF" w:rsidRPr="007D77F0" w:rsidRDefault="007B26FF" w:rsidP="007C725C">
      <w:pPr>
        <w:pStyle w:val="TOC1"/>
        <w:rPr>
          <w:lang w:val="fr-CH"/>
        </w:rPr>
      </w:pPr>
    </w:p>
    <w:p w:rsidR="007B26FF" w:rsidRDefault="007B26FF">
      <w:pPr>
        <w:tabs>
          <w:tab w:val="clear" w:pos="794"/>
          <w:tab w:val="clear" w:pos="1191"/>
          <w:tab w:val="clear" w:pos="1588"/>
          <w:tab w:val="clear" w:pos="1985"/>
        </w:tabs>
        <w:overflowPunct/>
        <w:autoSpaceDE/>
        <w:autoSpaceDN/>
        <w:adjustRightInd/>
        <w:spacing w:before="0"/>
        <w:textAlignment w:val="auto"/>
      </w:pPr>
      <w:r>
        <w:br w:type="page"/>
      </w:r>
    </w:p>
    <w:p w:rsidR="007B26FF" w:rsidRPr="007B74AE" w:rsidRDefault="007B26FF" w:rsidP="007C725C">
      <w:pPr>
        <w:pStyle w:val="Heading1"/>
      </w:pPr>
      <w:bookmarkStart w:id="1" w:name="_Toc268523667"/>
      <w:r w:rsidRPr="007B74AE">
        <w:lastRenderedPageBreak/>
        <w:t>1</w:t>
      </w:r>
      <w:r w:rsidRPr="007B74AE">
        <w:tab/>
        <w:t>Introduction</w:t>
      </w:r>
      <w:bookmarkEnd w:id="1"/>
    </w:p>
    <w:p w:rsidR="007B26FF" w:rsidRPr="007B74AE" w:rsidRDefault="007B26FF" w:rsidP="007C725C">
      <w:r w:rsidRPr="007B74AE">
        <w:t>L'industrie demande plus de spectre non soumis à licence au motif que les bandes de fréquences disponibles ne sont pas suffisantes et qu'elles sont même parfois saturées. On ne peut se faire une opinion impartiale du point de vue de la gestion des fréquences qu'en se fondant sur des informations objectives, notamment des informations relatives au contrôle du spectre; par ailleurs, de nombreuses bandes non ISM utilisées par différents services sont aujourd'hui occupées par des dispositifs de radiocommunication à courte portée (SRD) partageant ces fréquences sur une base "aucun brouillage, aucune protection". Le présent Rapport ne traite pas des mesures dans les bandes ultralarges (UWB) ou liées à l'ultralarge.</w:t>
      </w:r>
    </w:p>
    <w:p w:rsidR="007B26FF" w:rsidRPr="007B74AE" w:rsidRDefault="007B26FF" w:rsidP="007C725C">
      <w:r w:rsidRPr="007B74AE">
        <w:t xml:space="preserve">Les valeurs types données dans le présent Rapport sont fondées sur l'exemple d'une campagne de contrôle dans la bande 863-870 MHz. Pour d'autres bandes de fréquences et pour les dispositifs SRD qui y sont exploités, d'autres valeurs peuvent être plus appropriées sans changer de méthodologie de mesure de base. </w:t>
      </w:r>
    </w:p>
    <w:p w:rsidR="007B26FF" w:rsidRPr="007B74AE" w:rsidRDefault="007B26FF" w:rsidP="007C725C">
      <w:pPr>
        <w:pStyle w:val="Heading2"/>
      </w:pPr>
      <w:bookmarkStart w:id="2" w:name="_Toc268523668"/>
      <w:r w:rsidRPr="007B74AE">
        <w:t>1.1</w:t>
      </w:r>
      <w:r w:rsidRPr="007B74AE">
        <w:tab/>
        <w:t>Pourquoi contrôler les SRD?</w:t>
      </w:r>
      <w:bookmarkEnd w:id="2"/>
    </w:p>
    <w:p w:rsidR="007B26FF" w:rsidRPr="007B74AE" w:rsidRDefault="007B26FF" w:rsidP="007C725C">
      <w:r w:rsidRPr="007B74AE">
        <w:t>Comme les dispositifs SRD s'implantent sur un marché qui n'en limite pas l'utilisation à un seul pays, l'UIT doit de son côté envisager d'élaborer des méthodes de contrôle des SRD, ou d'adapter celles qui existeraient. Quelques exemples: les réseaux LAN à bord des avions, les dispositifs SRD utilisés pour contrôler l'état de certaines pièces d'aéronefs, les téléphones cellulaires pourvus de dispositifs SRD intégrés (lecteurs inductifs et microémetteurs FM) et autres implants médicaux exigeant des fréquences attribuées aux SRD qui soient harmonisées à l'échelle planétaire.</w:t>
      </w:r>
    </w:p>
    <w:p w:rsidR="007B26FF" w:rsidRPr="007B74AE" w:rsidRDefault="007B26FF" w:rsidP="007C725C">
      <w:pPr>
        <w:pStyle w:val="Heading2"/>
      </w:pPr>
      <w:bookmarkStart w:id="3" w:name="_Toc268523669"/>
      <w:r w:rsidRPr="007B74AE">
        <w:t>1.2</w:t>
      </w:r>
      <w:r w:rsidRPr="007B74AE">
        <w:tab/>
        <w:t>En quoi le contrôle des SRD diffère-t-il d'un contrôle normal?</w:t>
      </w:r>
      <w:bookmarkEnd w:id="3"/>
    </w:p>
    <w:p w:rsidR="007B26FF" w:rsidRPr="007B74AE" w:rsidRDefault="007B26FF" w:rsidP="007C725C">
      <w:r w:rsidRPr="007B74AE">
        <w:t xml:space="preserve">Le contrôle des dispositifs SRD présente quelques différences par rapport à un contrôle classique du spectre. Non seulement il est intéressant de déterminer l'occupation, mais encore il faut examiner l'efficacité des protocoles de politesse, ce qui se fait en procédant au traitement des données de contrôle; dans la plupart des cas, on a uniquement besoin des informations d'occupation, étant donné que la normalisation règle le problème de la bonne mise en œuvre des protocoles de politesse. C'est dire que dans de nombreux cas il suffit donc de procéder à des tests par rapport à une norme. </w:t>
      </w:r>
    </w:p>
    <w:p w:rsidR="007B26FF" w:rsidRPr="007B74AE" w:rsidRDefault="007B26FF" w:rsidP="007C725C">
      <w:pPr>
        <w:pStyle w:val="Heading2"/>
      </w:pPr>
      <w:bookmarkStart w:id="4" w:name="_Toc268523670"/>
      <w:r w:rsidRPr="007B74AE">
        <w:t>1.3</w:t>
      </w:r>
      <w:r w:rsidRPr="007B74AE">
        <w:tab/>
        <w:t>Relations entre le contrôle SRD et d'autres opérations de contrôle</w:t>
      </w:r>
      <w:bookmarkEnd w:id="4"/>
      <w:r w:rsidRPr="007B74AE">
        <w:t xml:space="preserve"> </w:t>
      </w:r>
    </w:p>
    <w:p w:rsidR="007B26FF" w:rsidRDefault="007B26FF" w:rsidP="008B6E04">
      <w:r w:rsidRPr="007B74AE">
        <w:t>Les organismes de contrôle peuvent procéder au contrôle du bruit, au contrôle de dispositifs SRD et à un contrôle traditionnel. Toutes ces méthodes ont des caractéristiques spécifiques, mais sont étroitement liées en particulier dans le cas du contrôle des SRD.</w:t>
      </w:r>
    </w:p>
    <w:p w:rsidR="008B6E04" w:rsidRDefault="008B6E04">
      <w:pPr>
        <w:tabs>
          <w:tab w:val="clear" w:pos="794"/>
          <w:tab w:val="clear" w:pos="1191"/>
          <w:tab w:val="clear" w:pos="1588"/>
          <w:tab w:val="clear" w:pos="1985"/>
        </w:tabs>
        <w:overflowPunct/>
        <w:autoSpaceDE/>
        <w:autoSpaceDN/>
        <w:adjustRightInd/>
        <w:spacing w:before="0"/>
        <w:jc w:val="left"/>
        <w:textAlignment w:val="auto"/>
      </w:pPr>
      <w:r>
        <w:br w:type="page"/>
      </w:r>
    </w:p>
    <w:p w:rsidR="007C725C" w:rsidRPr="007B74AE" w:rsidRDefault="007C725C" w:rsidP="008B6E04"/>
    <w:tbl>
      <w:tblPr>
        <w:tblStyle w:val="TableGrid"/>
        <w:tblW w:w="9639" w:type="dxa"/>
        <w:jc w:val="center"/>
        <w:tblLook w:val="04A0"/>
      </w:tblPr>
      <w:tblGrid>
        <w:gridCol w:w="1900"/>
        <w:gridCol w:w="2370"/>
        <w:gridCol w:w="2044"/>
        <w:gridCol w:w="3325"/>
      </w:tblGrid>
      <w:tr w:rsidR="007B26FF" w:rsidRPr="007B74AE" w:rsidTr="007C725C">
        <w:trPr>
          <w:tblHeader/>
          <w:jc w:val="center"/>
        </w:trPr>
        <w:tc>
          <w:tcPr>
            <w:tcW w:w="1900" w:type="dxa"/>
          </w:tcPr>
          <w:p w:rsidR="007B26FF" w:rsidRPr="008B6E04" w:rsidRDefault="007B26FF" w:rsidP="008B6E04">
            <w:pPr>
              <w:pStyle w:val="Tablehead"/>
              <w:rPr>
                <w:rFonts w:asciiTheme="majorBidi" w:hAnsiTheme="majorBidi" w:cstheme="majorBidi"/>
                <w:sz w:val="20"/>
              </w:rPr>
            </w:pPr>
            <w:r w:rsidRPr="008B6E04">
              <w:rPr>
                <w:rFonts w:asciiTheme="majorBidi" w:hAnsiTheme="majorBidi" w:cstheme="majorBidi"/>
                <w:sz w:val="20"/>
              </w:rPr>
              <w:t xml:space="preserve">Type de contrôle </w:t>
            </w:r>
          </w:p>
        </w:tc>
        <w:tc>
          <w:tcPr>
            <w:tcW w:w="2370" w:type="dxa"/>
          </w:tcPr>
          <w:p w:rsidR="007B26FF" w:rsidRPr="008B6E04" w:rsidRDefault="007B26FF" w:rsidP="008B6E04">
            <w:pPr>
              <w:pStyle w:val="Tablehead"/>
              <w:rPr>
                <w:rFonts w:asciiTheme="majorBidi" w:hAnsiTheme="majorBidi" w:cstheme="majorBidi"/>
                <w:sz w:val="20"/>
              </w:rPr>
            </w:pPr>
            <w:r w:rsidRPr="008B6E04">
              <w:rPr>
                <w:rFonts w:asciiTheme="majorBidi" w:hAnsiTheme="majorBidi" w:cstheme="majorBidi"/>
                <w:sz w:val="20"/>
              </w:rPr>
              <w:t xml:space="preserve">Résultats escomptés </w:t>
            </w:r>
          </w:p>
        </w:tc>
        <w:tc>
          <w:tcPr>
            <w:tcW w:w="2044" w:type="dxa"/>
          </w:tcPr>
          <w:p w:rsidR="007B26FF" w:rsidRPr="008B6E04" w:rsidRDefault="007B26FF" w:rsidP="008B6E04">
            <w:pPr>
              <w:pStyle w:val="Tablehead"/>
              <w:rPr>
                <w:rFonts w:asciiTheme="majorBidi" w:hAnsiTheme="majorBidi" w:cstheme="majorBidi"/>
                <w:sz w:val="20"/>
              </w:rPr>
            </w:pPr>
            <w:r w:rsidRPr="008B6E04">
              <w:rPr>
                <w:rFonts w:asciiTheme="majorBidi" w:hAnsiTheme="majorBidi" w:cstheme="majorBidi"/>
                <w:sz w:val="20"/>
              </w:rPr>
              <w:t>Configuration</w:t>
            </w:r>
          </w:p>
        </w:tc>
        <w:tc>
          <w:tcPr>
            <w:tcW w:w="3325" w:type="dxa"/>
          </w:tcPr>
          <w:p w:rsidR="007B26FF" w:rsidRPr="008B6E04" w:rsidRDefault="007B26FF" w:rsidP="008B6E04">
            <w:pPr>
              <w:pStyle w:val="Tablehead"/>
              <w:rPr>
                <w:rFonts w:asciiTheme="majorBidi" w:hAnsiTheme="majorBidi" w:cstheme="majorBidi"/>
                <w:sz w:val="20"/>
              </w:rPr>
            </w:pPr>
            <w:r w:rsidRPr="008B6E04">
              <w:rPr>
                <w:rFonts w:asciiTheme="majorBidi" w:hAnsiTheme="majorBidi" w:cstheme="majorBidi"/>
                <w:sz w:val="20"/>
              </w:rPr>
              <w:t>Méthode</w:t>
            </w:r>
          </w:p>
        </w:tc>
      </w:tr>
      <w:tr w:rsidR="007B26FF" w:rsidRPr="007B74AE" w:rsidTr="007C725C">
        <w:trPr>
          <w:jc w:val="center"/>
        </w:trPr>
        <w:tc>
          <w:tcPr>
            <w:tcW w:w="1900" w:type="dxa"/>
          </w:tcPr>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Bruit &lt;30 MHz</w:t>
            </w:r>
          </w:p>
        </w:tc>
        <w:tc>
          <w:tcPr>
            <w:tcW w:w="2370" w:type="dxa"/>
          </w:tcPr>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Effets de bruit PLT, EMC et applications SRD inductives</w:t>
            </w:r>
          </w:p>
        </w:tc>
        <w:tc>
          <w:tcPr>
            <w:tcW w:w="2044" w:type="dxa"/>
          </w:tcPr>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Locale, sur quelques sites spécifiques</w:t>
            </w:r>
            <w:r w:rsidR="008B6E04">
              <w:rPr>
                <w:rFonts w:asciiTheme="majorBidi" w:hAnsiTheme="majorBidi" w:cstheme="majorBidi"/>
                <w:sz w:val="20"/>
              </w:rPr>
              <w:t>.</w:t>
            </w:r>
          </w:p>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Mondiale, sur un site de réception tranquille pour évaluer les effets cumulatifs reçus par propagation ionosphérique</w:t>
            </w:r>
          </w:p>
        </w:tc>
        <w:tc>
          <w:tcPr>
            <w:tcW w:w="3325" w:type="dxa"/>
          </w:tcPr>
          <w:p w:rsidR="007B26FF" w:rsidRPr="008B6E04" w:rsidRDefault="007C725C" w:rsidP="008B6E04">
            <w:pPr>
              <w:pStyle w:val="Tabletext"/>
              <w:jc w:val="left"/>
              <w:rPr>
                <w:rFonts w:asciiTheme="majorBidi" w:hAnsiTheme="majorBidi" w:cstheme="majorBidi"/>
                <w:sz w:val="20"/>
              </w:rPr>
            </w:pPr>
            <w:r w:rsidRPr="008B6E04">
              <w:rPr>
                <w:rFonts w:asciiTheme="majorBidi" w:hAnsiTheme="majorBidi" w:cstheme="majorBidi"/>
                <w:sz w:val="20"/>
              </w:rPr>
              <w:t xml:space="preserve">Selon la Recommandation </w:t>
            </w:r>
            <w:r w:rsidR="007B26FF" w:rsidRPr="008B6E04">
              <w:rPr>
                <w:rFonts w:asciiTheme="majorBidi" w:hAnsiTheme="majorBidi" w:cstheme="majorBidi"/>
                <w:sz w:val="20"/>
              </w:rPr>
              <w:t>UIT</w:t>
            </w:r>
            <w:r w:rsidR="007B26FF" w:rsidRPr="008B6E04">
              <w:rPr>
                <w:rFonts w:asciiTheme="majorBidi" w:hAnsiTheme="majorBidi" w:cstheme="majorBidi"/>
                <w:sz w:val="20"/>
              </w:rPr>
              <w:noBreakHyphen/>
              <w:t>R SM.1753</w:t>
            </w:r>
            <w:r w:rsidR="008B6E04">
              <w:rPr>
                <w:rFonts w:asciiTheme="majorBidi" w:hAnsiTheme="majorBidi" w:cstheme="majorBidi"/>
                <w:sz w:val="20"/>
              </w:rPr>
              <w:t>.</w:t>
            </w:r>
          </w:p>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Après quoi corrélation entre les sites locaux et le site mondial</w:t>
            </w:r>
          </w:p>
        </w:tc>
      </w:tr>
      <w:tr w:rsidR="007B26FF" w:rsidRPr="007B74AE" w:rsidTr="007C725C">
        <w:trPr>
          <w:jc w:val="center"/>
        </w:trPr>
        <w:tc>
          <w:tcPr>
            <w:tcW w:w="1900" w:type="dxa"/>
          </w:tcPr>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Bruit &gt;30 MHz</w:t>
            </w:r>
          </w:p>
        </w:tc>
        <w:tc>
          <w:tcPr>
            <w:tcW w:w="2370" w:type="dxa"/>
          </w:tcPr>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Effets de bruit UWB, émissions SRD cumulées, rayonnement non essentiel des applications (services) SRD et non SRD</w:t>
            </w:r>
          </w:p>
        </w:tc>
        <w:tc>
          <w:tcPr>
            <w:tcW w:w="2044" w:type="dxa"/>
          </w:tcPr>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Locale, sur un grand nombre de types de sites différents</w:t>
            </w:r>
          </w:p>
        </w:tc>
        <w:tc>
          <w:tcPr>
            <w:tcW w:w="3325" w:type="dxa"/>
          </w:tcPr>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Suivant la Recommandation</w:t>
            </w:r>
            <w:r w:rsidR="008B6E04">
              <w:rPr>
                <w:rFonts w:asciiTheme="majorBidi" w:hAnsiTheme="majorBidi" w:cstheme="majorBidi"/>
                <w:sz w:val="20"/>
              </w:rPr>
              <w:t xml:space="preserve"> </w:t>
            </w:r>
            <w:r w:rsidRPr="008B6E04">
              <w:rPr>
                <w:rFonts w:asciiTheme="majorBidi" w:hAnsiTheme="majorBidi" w:cstheme="majorBidi"/>
                <w:sz w:val="20"/>
              </w:rPr>
              <w:t>UIT</w:t>
            </w:r>
            <w:r w:rsidRPr="008B6E04">
              <w:rPr>
                <w:rFonts w:asciiTheme="majorBidi" w:hAnsiTheme="majorBidi" w:cstheme="majorBidi"/>
                <w:sz w:val="20"/>
              </w:rPr>
              <w:noBreakHyphen/>
              <w:t>R</w:t>
            </w:r>
            <w:r w:rsidR="008B6E04">
              <w:rPr>
                <w:rFonts w:asciiTheme="majorBidi" w:hAnsiTheme="majorBidi" w:cstheme="majorBidi"/>
                <w:sz w:val="20"/>
              </w:rPr>
              <w:t> </w:t>
            </w:r>
            <w:r w:rsidRPr="008B6E04">
              <w:rPr>
                <w:rFonts w:asciiTheme="majorBidi" w:hAnsiTheme="majorBidi" w:cstheme="majorBidi"/>
                <w:sz w:val="20"/>
              </w:rPr>
              <w:t>SM.1753</w:t>
            </w:r>
          </w:p>
        </w:tc>
      </w:tr>
      <w:tr w:rsidR="007B26FF" w:rsidRPr="007B74AE" w:rsidTr="007C725C">
        <w:trPr>
          <w:jc w:val="center"/>
        </w:trPr>
        <w:tc>
          <w:tcPr>
            <w:tcW w:w="1900" w:type="dxa"/>
          </w:tcPr>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Contrôle SRD</w:t>
            </w:r>
          </w:p>
        </w:tc>
        <w:tc>
          <w:tcPr>
            <w:tcW w:w="2370" w:type="dxa"/>
          </w:tcPr>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Occupation des bandes SRD allouées/partagées</w:t>
            </w:r>
          </w:p>
        </w:tc>
        <w:tc>
          <w:tcPr>
            <w:tcW w:w="2044" w:type="dxa"/>
          </w:tcPr>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Locale, dans un grand nombre de types de zones névralgiques (hotspots) différentes. Pour chaque bande de fréquences spécifique, plusieurs points de mesures pour chaque zone névralgique</w:t>
            </w:r>
          </w:p>
        </w:tc>
        <w:tc>
          <w:tcPr>
            <w:tcW w:w="3325" w:type="dxa"/>
          </w:tcPr>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Suivant les lignes directrices du présent Rapport</w:t>
            </w:r>
          </w:p>
        </w:tc>
      </w:tr>
      <w:tr w:rsidR="007B26FF" w:rsidRPr="007B74AE" w:rsidTr="007C725C">
        <w:trPr>
          <w:jc w:val="center"/>
        </w:trPr>
        <w:tc>
          <w:tcPr>
            <w:tcW w:w="1900" w:type="dxa"/>
          </w:tcPr>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Contrôle traditionnel</w:t>
            </w:r>
          </w:p>
        </w:tc>
        <w:tc>
          <w:tcPr>
            <w:tcW w:w="2370" w:type="dxa"/>
          </w:tcPr>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Occupation/couverture des fréquences et des bandes de fréquences allouées aux services</w:t>
            </w:r>
            <w:r w:rsidR="008B6E04">
              <w:rPr>
                <w:rFonts w:asciiTheme="majorBidi" w:hAnsiTheme="majorBidi" w:cstheme="majorBidi"/>
                <w:sz w:val="20"/>
              </w:rPr>
              <w:t>.</w:t>
            </w:r>
          </w:p>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Effets non essentiels et autres effets non désirés et propriétés techniques des différents systèmes/émetteurs</w:t>
            </w:r>
            <w:r w:rsidR="008B6E04">
              <w:rPr>
                <w:rFonts w:asciiTheme="majorBidi" w:hAnsiTheme="majorBidi" w:cstheme="majorBidi"/>
                <w:sz w:val="20"/>
              </w:rPr>
              <w:t>.</w:t>
            </w:r>
          </w:p>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Egalement adapté pour des systèmes SRD relativement stationnaires tels que lecteurs RFID</w:t>
            </w:r>
          </w:p>
        </w:tc>
        <w:tc>
          <w:tcPr>
            <w:tcW w:w="2044" w:type="dxa"/>
          </w:tcPr>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Fixe</w:t>
            </w:r>
          </w:p>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Mobile</w:t>
            </w:r>
          </w:p>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En déplacement</w:t>
            </w:r>
          </w:p>
        </w:tc>
        <w:tc>
          <w:tcPr>
            <w:tcW w:w="3325" w:type="dxa"/>
          </w:tcPr>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 xml:space="preserve">Contrôles/mesures fixes (à distance) </w:t>
            </w:r>
          </w:p>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Contrôles/mesures mobiles</w:t>
            </w:r>
          </w:p>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 xml:space="preserve">Analyse du signal </w:t>
            </w:r>
          </w:p>
          <w:p w:rsidR="007B26FF" w:rsidRPr="008B6E04" w:rsidRDefault="007B26FF" w:rsidP="008B6E04">
            <w:pPr>
              <w:pStyle w:val="Tabletext"/>
              <w:jc w:val="left"/>
              <w:rPr>
                <w:rFonts w:asciiTheme="majorBidi" w:hAnsiTheme="majorBidi" w:cstheme="majorBidi"/>
                <w:sz w:val="20"/>
              </w:rPr>
            </w:pPr>
            <w:r w:rsidRPr="008B6E04">
              <w:rPr>
                <w:rFonts w:asciiTheme="majorBidi" w:hAnsiTheme="majorBidi" w:cstheme="majorBidi"/>
                <w:sz w:val="20"/>
              </w:rPr>
              <w:t>Contrôles/mesures en déplacement</w:t>
            </w:r>
          </w:p>
        </w:tc>
      </w:tr>
    </w:tbl>
    <w:p w:rsidR="008B6E04" w:rsidRPr="008B6E04" w:rsidRDefault="008B6E04" w:rsidP="008B6E04">
      <w:pPr>
        <w:pStyle w:val="Blanc"/>
        <w:rPr>
          <w:lang w:val="fr-CH"/>
        </w:rPr>
      </w:pPr>
      <w:bookmarkStart w:id="5" w:name="_Toc268523671"/>
    </w:p>
    <w:p w:rsidR="007B26FF" w:rsidRPr="007B74AE" w:rsidRDefault="007B26FF" w:rsidP="008B6E04">
      <w:pPr>
        <w:pStyle w:val="Heading1"/>
      </w:pPr>
      <w:r w:rsidRPr="007B74AE">
        <w:t>2</w:t>
      </w:r>
      <w:r w:rsidRPr="007B74AE">
        <w:tab/>
        <w:t>Description technique des principaux points à prendre en considération lors du contrôle de dispositifs SRD</w:t>
      </w:r>
      <w:bookmarkEnd w:id="5"/>
    </w:p>
    <w:p w:rsidR="007B26FF" w:rsidRPr="007B74AE" w:rsidRDefault="007B26FF" w:rsidP="008B6E04">
      <w:r w:rsidRPr="007B74AE">
        <w:t>Les dispositifs SRD sont dans la pluplart des cas, mais pas toujours, des émetteurs de faible puissance destinés à un usage en intérieur, caractérisés par un coefficient d'utilisation faible et une faible probabilité d'interception avec des appareils de contrôle communs. Compte tenu de l'expérience, il est en conséquence préconisé de ne pas utiliser de stations de contrôle fixes, ou fixes pilotées à distance, étant donné qu'elles sont presque toujours trop loin de ce qu'on appelle les "zones névralgiques" des SRD. Il est recommandé d'utiliser un appareillage mobile ou semi mobile aux endroits où l'interception de ces dispositifs est la plus vraisemblable. Les définitions communes des emplacements et leur description en termes d'emplacement rural, semi</w:t>
      </w:r>
      <w:r w:rsidRPr="007B74AE">
        <w:noBreakHyphen/>
        <w:t xml:space="preserve">rural ou industriel ne conviennent pas dans le cas à l'examen. </w:t>
      </w:r>
    </w:p>
    <w:p w:rsidR="007B26FF" w:rsidRPr="007B74AE" w:rsidRDefault="007B26FF" w:rsidP="007C725C">
      <w:pPr>
        <w:pStyle w:val="Heading2"/>
      </w:pPr>
      <w:bookmarkStart w:id="6" w:name="_Toc268523672"/>
      <w:r w:rsidRPr="007B74AE">
        <w:lastRenderedPageBreak/>
        <w:t>2.1</w:t>
      </w:r>
      <w:r w:rsidRPr="007B74AE">
        <w:tab/>
        <w:t>Emplacements</w:t>
      </w:r>
      <w:bookmarkEnd w:id="6"/>
    </w:p>
    <w:p w:rsidR="007B26FF" w:rsidRDefault="007B26FF" w:rsidP="008B6E04">
      <w:r w:rsidRPr="007B74AE">
        <w:t>Les emplacements pourraient être fonction des dispositifs qu'il est prévu de trouver dans les bandes de fréquence</w:t>
      </w:r>
      <w:r>
        <w:t>s</w:t>
      </w:r>
      <w:r w:rsidRPr="007B74AE">
        <w:t xml:space="preserve"> suivant les plans de fréquence applicables. La liste ci-après est un exemple et n'est donc pas exhaustive; elle devra être modifiée en fonction de la situation de chaque pays. </w:t>
      </w:r>
    </w:p>
    <w:p w:rsidR="008B6E04" w:rsidRPr="007B74AE" w:rsidRDefault="008B6E04" w:rsidP="008B6E04"/>
    <w:tbl>
      <w:tblPr>
        <w:tblStyle w:val="TableGrid"/>
        <w:tblW w:w="9498" w:type="dxa"/>
        <w:jc w:val="center"/>
        <w:tblLook w:val="04A0"/>
      </w:tblPr>
      <w:tblGrid>
        <w:gridCol w:w="2482"/>
        <w:gridCol w:w="7016"/>
      </w:tblGrid>
      <w:tr w:rsidR="007B26FF" w:rsidRPr="007B74AE" w:rsidTr="008B6E04">
        <w:trPr>
          <w:trHeight w:val="124"/>
          <w:jc w:val="center"/>
        </w:trPr>
        <w:tc>
          <w:tcPr>
            <w:tcW w:w="2482" w:type="dxa"/>
          </w:tcPr>
          <w:p w:rsidR="007B26FF" w:rsidRPr="007B74AE" w:rsidRDefault="007B26FF" w:rsidP="007C725C">
            <w:pPr>
              <w:pStyle w:val="Tablehead"/>
            </w:pPr>
            <w:r w:rsidRPr="007B74AE">
              <w:t>Type</w:t>
            </w:r>
          </w:p>
        </w:tc>
        <w:tc>
          <w:tcPr>
            <w:tcW w:w="7016" w:type="dxa"/>
          </w:tcPr>
          <w:p w:rsidR="007B26FF" w:rsidRPr="007B74AE" w:rsidRDefault="007B26FF" w:rsidP="007C725C">
            <w:pPr>
              <w:pStyle w:val="Tablehead"/>
            </w:pPr>
            <w:r w:rsidRPr="007B74AE">
              <w:t>Zone névralgique SRD ou emplacment le plus probable</w:t>
            </w:r>
          </w:p>
        </w:tc>
      </w:tr>
      <w:tr w:rsidR="007B26FF" w:rsidRPr="007B74AE" w:rsidTr="008B6E04">
        <w:trPr>
          <w:jc w:val="center"/>
        </w:trPr>
        <w:tc>
          <w:tcPr>
            <w:tcW w:w="2482" w:type="dxa"/>
          </w:tcPr>
          <w:p w:rsidR="007B26FF" w:rsidRPr="007B74AE" w:rsidRDefault="007B26FF" w:rsidP="007C725C">
            <w:pPr>
              <w:pStyle w:val="Tabletext"/>
            </w:pPr>
            <w:r w:rsidRPr="007B74AE">
              <w:t xml:space="preserve">RFID </w:t>
            </w:r>
          </w:p>
        </w:tc>
        <w:tc>
          <w:tcPr>
            <w:tcW w:w="7016" w:type="dxa"/>
          </w:tcPr>
          <w:p w:rsidR="007B26FF" w:rsidRPr="007B74AE" w:rsidRDefault="007B26FF" w:rsidP="007C725C">
            <w:pPr>
              <w:pStyle w:val="Tabletext"/>
            </w:pPr>
            <w:r w:rsidRPr="007B74AE">
              <w:t>Centres de distribution, centres commerciaux, aéroports</w:t>
            </w:r>
          </w:p>
        </w:tc>
      </w:tr>
      <w:tr w:rsidR="007B26FF" w:rsidRPr="007B74AE" w:rsidTr="008B6E04">
        <w:trPr>
          <w:jc w:val="center"/>
        </w:trPr>
        <w:tc>
          <w:tcPr>
            <w:tcW w:w="2482" w:type="dxa"/>
          </w:tcPr>
          <w:p w:rsidR="007B26FF" w:rsidRPr="007B74AE" w:rsidRDefault="007B26FF" w:rsidP="007C725C">
            <w:pPr>
              <w:pStyle w:val="Tabletext"/>
            </w:pPr>
            <w:r w:rsidRPr="007B74AE">
              <w:t xml:space="preserve">Alarmes sociales </w:t>
            </w:r>
          </w:p>
        </w:tc>
        <w:tc>
          <w:tcPr>
            <w:tcW w:w="7016" w:type="dxa"/>
          </w:tcPr>
          <w:p w:rsidR="007B26FF" w:rsidRPr="007B74AE" w:rsidRDefault="007B26FF" w:rsidP="007C725C">
            <w:pPr>
              <w:pStyle w:val="Tabletext"/>
            </w:pPr>
            <w:r w:rsidRPr="007B74AE">
              <w:t>Hôpitaux, résidences pour personnes âgées</w:t>
            </w:r>
          </w:p>
        </w:tc>
      </w:tr>
      <w:tr w:rsidR="007B26FF" w:rsidRPr="007B74AE" w:rsidTr="008B6E04">
        <w:trPr>
          <w:jc w:val="center"/>
        </w:trPr>
        <w:tc>
          <w:tcPr>
            <w:tcW w:w="2482" w:type="dxa"/>
          </w:tcPr>
          <w:p w:rsidR="007B26FF" w:rsidRPr="007B74AE" w:rsidRDefault="007B26FF" w:rsidP="007C725C">
            <w:pPr>
              <w:pStyle w:val="Tabletext"/>
            </w:pPr>
            <w:r w:rsidRPr="007B74AE">
              <w:t xml:space="preserve">Alarmes </w:t>
            </w:r>
          </w:p>
        </w:tc>
        <w:tc>
          <w:tcPr>
            <w:tcW w:w="7016" w:type="dxa"/>
          </w:tcPr>
          <w:p w:rsidR="007B26FF" w:rsidRPr="007B74AE" w:rsidRDefault="007B26FF" w:rsidP="007C725C">
            <w:pPr>
              <w:pStyle w:val="Tabletext"/>
            </w:pPr>
            <w:r w:rsidRPr="007B74AE">
              <w:t>Zones industrielles avec bureaux</w:t>
            </w:r>
          </w:p>
        </w:tc>
      </w:tr>
      <w:tr w:rsidR="007B26FF" w:rsidRPr="007B74AE" w:rsidTr="008B6E04">
        <w:trPr>
          <w:jc w:val="center"/>
        </w:trPr>
        <w:tc>
          <w:tcPr>
            <w:tcW w:w="2482" w:type="dxa"/>
          </w:tcPr>
          <w:p w:rsidR="007B26FF" w:rsidRPr="007B74AE" w:rsidRDefault="007B26FF" w:rsidP="007C725C">
            <w:pPr>
              <w:pStyle w:val="Tabletext"/>
            </w:pPr>
            <w:r w:rsidRPr="007B74AE">
              <w:t>Mesurage &amp; contrôle</w:t>
            </w:r>
          </w:p>
        </w:tc>
        <w:tc>
          <w:tcPr>
            <w:tcW w:w="7016" w:type="dxa"/>
          </w:tcPr>
          <w:p w:rsidR="007B26FF" w:rsidRPr="007B74AE" w:rsidRDefault="007B26FF" w:rsidP="007C725C">
            <w:pPr>
              <w:pStyle w:val="Tabletext"/>
            </w:pPr>
            <w:r w:rsidRPr="007B74AE">
              <w:t>(par exemple feux tricolores pilotés à distance et parkings) en centres villes</w:t>
            </w:r>
          </w:p>
        </w:tc>
      </w:tr>
      <w:tr w:rsidR="007B26FF" w:rsidRPr="007B74AE" w:rsidTr="008B6E04">
        <w:trPr>
          <w:jc w:val="center"/>
        </w:trPr>
        <w:tc>
          <w:tcPr>
            <w:tcW w:w="2482" w:type="dxa"/>
          </w:tcPr>
          <w:p w:rsidR="007B26FF" w:rsidRPr="007B74AE" w:rsidRDefault="007B26FF" w:rsidP="007C725C">
            <w:pPr>
              <w:pStyle w:val="Tabletext"/>
            </w:pPr>
            <w:r w:rsidRPr="007B74AE">
              <w:t xml:space="preserve">SRD non spécifiques </w:t>
            </w:r>
          </w:p>
        </w:tc>
        <w:tc>
          <w:tcPr>
            <w:tcW w:w="7016" w:type="dxa"/>
          </w:tcPr>
          <w:p w:rsidR="007B26FF" w:rsidRPr="007B74AE" w:rsidRDefault="007B26FF" w:rsidP="007C725C">
            <w:pPr>
              <w:pStyle w:val="Tabletext"/>
            </w:pPr>
            <w:r w:rsidRPr="007B74AE">
              <w:t>Zones à forte population</w:t>
            </w:r>
          </w:p>
        </w:tc>
      </w:tr>
      <w:tr w:rsidR="007B26FF" w:rsidRPr="007B74AE" w:rsidTr="008B6E04">
        <w:trPr>
          <w:jc w:val="center"/>
        </w:trPr>
        <w:tc>
          <w:tcPr>
            <w:tcW w:w="2482" w:type="dxa"/>
          </w:tcPr>
          <w:p w:rsidR="007B26FF" w:rsidRPr="007B74AE" w:rsidRDefault="007B26FF" w:rsidP="007C725C">
            <w:pPr>
              <w:pStyle w:val="Tabletext"/>
            </w:pPr>
            <w:r w:rsidRPr="007B74AE">
              <w:t>Microphones sans fil</w:t>
            </w:r>
          </w:p>
        </w:tc>
        <w:tc>
          <w:tcPr>
            <w:tcW w:w="7016" w:type="dxa"/>
          </w:tcPr>
          <w:p w:rsidR="007B26FF" w:rsidRPr="007B74AE" w:rsidRDefault="007B26FF" w:rsidP="007C725C">
            <w:pPr>
              <w:pStyle w:val="Tabletext"/>
            </w:pPr>
            <w:r w:rsidRPr="007B74AE">
              <w:t xml:space="preserve">Théâtres, stades de football </w:t>
            </w:r>
          </w:p>
        </w:tc>
      </w:tr>
      <w:tr w:rsidR="007B26FF" w:rsidRPr="007B74AE" w:rsidTr="008B6E04">
        <w:trPr>
          <w:jc w:val="center"/>
        </w:trPr>
        <w:tc>
          <w:tcPr>
            <w:tcW w:w="2482" w:type="dxa"/>
          </w:tcPr>
          <w:p w:rsidR="007B26FF" w:rsidRPr="007B74AE" w:rsidRDefault="007B26FF" w:rsidP="007C725C">
            <w:pPr>
              <w:pStyle w:val="Tabletext"/>
            </w:pPr>
            <w:r w:rsidRPr="007B74AE">
              <w:t>Appareils audio sans fil</w:t>
            </w:r>
          </w:p>
        </w:tc>
        <w:tc>
          <w:tcPr>
            <w:tcW w:w="7016" w:type="dxa"/>
          </w:tcPr>
          <w:p w:rsidR="007B26FF" w:rsidRPr="007B74AE" w:rsidRDefault="007B26FF" w:rsidP="007C725C">
            <w:pPr>
              <w:pStyle w:val="Tabletext"/>
            </w:pPr>
            <w:r w:rsidRPr="007B74AE">
              <w:t xml:space="preserve">Zones à forte population </w:t>
            </w:r>
          </w:p>
        </w:tc>
      </w:tr>
      <w:tr w:rsidR="007B26FF" w:rsidRPr="007B74AE" w:rsidTr="008B6E04">
        <w:trPr>
          <w:jc w:val="center"/>
        </w:trPr>
        <w:tc>
          <w:tcPr>
            <w:tcW w:w="2482" w:type="dxa"/>
          </w:tcPr>
          <w:p w:rsidR="007B26FF" w:rsidRPr="007B74AE" w:rsidRDefault="007B26FF" w:rsidP="007C725C">
            <w:pPr>
              <w:pStyle w:val="Tabletext"/>
            </w:pPr>
            <w:r w:rsidRPr="007B74AE">
              <w:t>Implants médicaux</w:t>
            </w:r>
          </w:p>
        </w:tc>
        <w:tc>
          <w:tcPr>
            <w:tcW w:w="7016" w:type="dxa"/>
          </w:tcPr>
          <w:p w:rsidR="007B26FF" w:rsidRPr="007B74AE" w:rsidRDefault="007B26FF" w:rsidP="007C725C">
            <w:pPr>
              <w:pStyle w:val="Tabletext"/>
            </w:pPr>
            <w:r w:rsidRPr="007B74AE">
              <w:t>N'importe où mais principalement dans des hôpitaux ou centres médicaux</w:t>
            </w:r>
          </w:p>
        </w:tc>
      </w:tr>
    </w:tbl>
    <w:p w:rsidR="004A6105" w:rsidRPr="008B6E04" w:rsidRDefault="004A6105" w:rsidP="004A6105">
      <w:pPr>
        <w:pStyle w:val="Blanc"/>
        <w:rPr>
          <w:lang w:val="fr-CH"/>
        </w:rPr>
      </w:pPr>
    </w:p>
    <w:p w:rsidR="007B26FF" w:rsidRPr="007B74AE" w:rsidRDefault="007B26FF" w:rsidP="007C725C">
      <w:r w:rsidRPr="007B74AE">
        <w:t>Dans la suite du présent Rapport on utilisera des RFID à ondes décimétriques (UHF) comme exemple, mais les considérations pourront être étendues au contrôle d'autres SRD.</w:t>
      </w:r>
    </w:p>
    <w:p w:rsidR="007B26FF" w:rsidRPr="007B74AE" w:rsidRDefault="007B26FF" w:rsidP="007C725C">
      <w:pPr>
        <w:pStyle w:val="Heading2"/>
      </w:pPr>
      <w:bookmarkStart w:id="7" w:name="_Toc268523673"/>
      <w:r w:rsidRPr="007B74AE">
        <w:t>2.2</w:t>
      </w:r>
      <w:r w:rsidRPr="007B74AE">
        <w:tab/>
        <w:t>Période de contrôle et choix de l'emplacement</w:t>
      </w:r>
      <w:bookmarkEnd w:id="7"/>
    </w:p>
    <w:p w:rsidR="007B26FF" w:rsidRPr="007B74AE" w:rsidRDefault="007B26FF" w:rsidP="007C725C">
      <w:r w:rsidRPr="007B74AE">
        <w:t>Une campagne de contrôle devrait comporter des périodes de temps basées sur l'utilisation des fréquences es</w:t>
      </w:r>
      <w:r>
        <w:t>c</w:t>
      </w:r>
      <w:r w:rsidRPr="007B74AE">
        <w:t>omptées, par exemple une période de 24 heures un jour ouvré et une période de 24 heures un jour du week-end pour des RFID. Les résultats des opérations de contrôle pouvant varier à l'intérieur d'une zone d'emplacements, il est nécessaire de déplacer l'appareillage chaque heure ou d</w:t>
      </w:r>
      <w:r>
        <w:t>'</w:t>
      </w:r>
      <w:r w:rsidRPr="007B74AE">
        <w:t>observer une autre période de temps pour obtenir des résultats fiables. Par exemple dans un aéroport, la plus grande partie des opération</w:t>
      </w:r>
      <w:r>
        <w:t>s de manut</w:t>
      </w:r>
      <w:r w:rsidRPr="007B74AE">
        <w:t>ention des bagages se faisant en sous-sol, les opérations de mesure au terminal donneront des résultats différents de ceux obtenus dans la zone de tri enterrée; à des emplacements différents dans un centre-ville pourraient également correspondre des résultats différents à cause de bâtiments qui font écran, de sorte qu'il ne serait pas inutile de déplacer l'appareillage à intervalles réguliers. Il faudrait par ailleurs combiner les résultats d'une zone d'emplacement type. Par contre il n'est pas nécessaire de synchroniser les périodes de contrôle respectives d'administrations différentes si elles s'inscrivent dans le cadre d'une campagne de contrôle coordonnée étant donné l'absence de calendrier ou de synchronisation au jour le jour entre l'utilisation dans les différents pays. Pendant l'élaboration des méthodes et des lignes directrices, il a semblé utile d'harmoniser certains termes. On notera que les termes ainsi définis ne se rapportent qu'au contrôle de dispositifs SRD et ne s'appliquent qu'au présent Rapport. Les emplacements où existe une activité sont par exemple appelés hot spots ou "zones névralgiques</w:t>
      </w:r>
      <w:r>
        <w:t>", le </w:t>
      </w:r>
      <w:r w:rsidRPr="007B74AE">
        <w:t xml:space="preserve">terme anglais ne devant pas être confondu avec un hot spot en WIFI, c'est-à-dire alors un point d'accès. </w:t>
      </w:r>
    </w:p>
    <w:p w:rsidR="007B26FF" w:rsidRPr="007B74AE" w:rsidRDefault="007B26FF" w:rsidP="007C725C">
      <w:r w:rsidRPr="007B74AE">
        <w:rPr>
          <w:i/>
          <w:iCs/>
        </w:rPr>
        <w:t>Zone d'activité</w:t>
      </w:r>
      <w:r w:rsidRPr="007B74AE">
        <w:t xml:space="preserve"> (</w:t>
      </w:r>
      <w:r w:rsidRPr="00EC1E7A">
        <w:rPr>
          <w:i/>
          <w:iCs/>
        </w:rPr>
        <w:t>warm area</w:t>
      </w:r>
      <w:r w:rsidRPr="007B74AE">
        <w:t>): grande zone dont l'activité est répartie, par exemple un parking.</w:t>
      </w:r>
    </w:p>
    <w:p w:rsidR="007B26FF" w:rsidRPr="007B74AE" w:rsidRDefault="007B26FF" w:rsidP="007C725C">
      <w:r w:rsidRPr="007B74AE">
        <w:rPr>
          <w:i/>
          <w:iCs/>
        </w:rPr>
        <w:t>Zone névralgique</w:t>
      </w:r>
      <w:r w:rsidRPr="007B74AE">
        <w:t xml:space="preserve"> (</w:t>
      </w:r>
      <w:r w:rsidRPr="00EC1E7A">
        <w:rPr>
          <w:i/>
          <w:iCs/>
        </w:rPr>
        <w:t>hotspot</w:t>
      </w:r>
      <w:r w:rsidRPr="007B74AE">
        <w:t>): zone d'activité confinée; peut se situer à l'intérieur d'une zone d'activité.</w:t>
      </w:r>
    </w:p>
    <w:p w:rsidR="007B26FF" w:rsidRPr="007B74AE" w:rsidRDefault="007B26FF" w:rsidP="007C725C">
      <w:r w:rsidRPr="007B74AE">
        <w:rPr>
          <w:i/>
          <w:iCs/>
        </w:rPr>
        <w:t>Emplacement de contrôle</w:t>
      </w:r>
      <w:r w:rsidRPr="007B74AE">
        <w:t xml:space="preserve"> (</w:t>
      </w:r>
      <w:r w:rsidRPr="00EC1E7A">
        <w:rPr>
          <w:i/>
          <w:iCs/>
        </w:rPr>
        <w:t>monitoring location</w:t>
      </w:r>
      <w:r w:rsidRPr="007B74AE">
        <w:t>): emplacement comptant une ou plusieurs zones névralgiques et/ou zones d'activité.</w:t>
      </w:r>
    </w:p>
    <w:p w:rsidR="007B26FF" w:rsidRPr="007B74AE" w:rsidRDefault="007B26FF" w:rsidP="007C725C">
      <w:r w:rsidRPr="007B74AE">
        <w:rPr>
          <w:i/>
          <w:iCs/>
        </w:rPr>
        <w:t xml:space="preserve">Position de contrôle </w:t>
      </w:r>
      <w:r w:rsidRPr="007B74AE">
        <w:t>(</w:t>
      </w:r>
      <w:r w:rsidRPr="00EC1E7A">
        <w:rPr>
          <w:i/>
          <w:iCs/>
        </w:rPr>
        <w:t>monitoring position</w:t>
      </w:r>
      <w:r w:rsidRPr="007B74AE">
        <w:t>): position à l'intérieur d'une zone d'activité ou d'une zone névralgique à partir de laquelle les résultats seront combinés en un seul résultat de mesure.</w:t>
      </w:r>
    </w:p>
    <w:p w:rsidR="007B26FF" w:rsidRPr="007B74AE" w:rsidRDefault="007B26FF" w:rsidP="007C725C">
      <w:r w:rsidRPr="007B74AE">
        <w:rPr>
          <w:i/>
          <w:iCs/>
        </w:rPr>
        <w:lastRenderedPageBreak/>
        <w:t xml:space="preserve">Zone de couverture </w:t>
      </w:r>
      <w:r w:rsidRPr="007B74AE">
        <w:t>(</w:t>
      </w:r>
      <w:r w:rsidRPr="00EC1E7A">
        <w:rPr>
          <w:i/>
          <w:iCs/>
        </w:rPr>
        <w:t>coverage area</w:t>
      </w:r>
      <w:r w:rsidRPr="007B74AE">
        <w:t>): zone autour d'une position de contrôle d'où sont reçus les signaux.</w:t>
      </w:r>
    </w:p>
    <w:p w:rsidR="007B26FF" w:rsidRPr="007B74AE" w:rsidRDefault="007B26FF" w:rsidP="007C725C">
      <w:pPr>
        <w:pStyle w:val="FigureNo"/>
      </w:pPr>
      <w:r w:rsidRPr="007B74AE">
        <w:t>Figure 1</w:t>
      </w:r>
    </w:p>
    <w:p w:rsidR="007B26FF" w:rsidRDefault="007B26FF" w:rsidP="007C725C">
      <w:pPr>
        <w:pStyle w:val="Figuretitle"/>
      </w:pPr>
      <w:r>
        <w:t>Dé</w:t>
      </w:r>
      <w:r w:rsidRPr="007B74AE">
        <w:t>finitions</w:t>
      </w:r>
    </w:p>
    <w:p w:rsidR="007B26FF" w:rsidRPr="006D591C" w:rsidRDefault="007B26FF" w:rsidP="007C725C">
      <w:pPr>
        <w:pStyle w:val="Figure"/>
      </w:pPr>
      <w:r>
        <w:object w:dxaOrig="8238" w:dyaOrig="6029">
          <v:shape id="_x0000_i1026" type="#_x0000_t75" style="width:412.4pt;height:300.75pt" o:ole="" o:allowoverlap="f">
            <v:imagedata r:id="rId15" o:title=""/>
          </v:shape>
          <o:OLEObject Type="Embed" ProgID="CorelDRAW.Graphic.14" ShapeID="_x0000_i1026" DrawAspect="Content" ObjectID="_1344948678" r:id="rId16"/>
        </w:object>
      </w:r>
    </w:p>
    <w:p w:rsidR="00EC1E7A" w:rsidRDefault="00EC1E7A" w:rsidP="00EC1E7A">
      <w:pPr>
        <w:pStyle w:val="Blanc"/>
      </w:pPr>
      <w:bookmarkStart w:id="8" w:name="_Toc268523674"/>
    </w:p>
    <w:p w:rsidR="007B26FF" w:rsidRPr="007B74AE" w:rsidRDefault="007B26FF" w:rsidP="007C725C">
      <w:pPr>
        <w:pStyle w:val="Heading2"/>
      </w:pPr>
      <w:r w:rsidRPr="007B74AE">
        <w:t>2.3</w:t>
      </w:r>
      <w:r w:rsidRPr="007B74AE">
        <w:tab/>
        <w:t>Vitesse de balayage et sensibilité de l'appareillage</w:t>
      </w:r>
      <w:bookmarkEnd w:id="8"/>
      <w:r w:rsidRPr="007B74AE">
        <w:t xml:space="preserve"> </w:t>
      </w:r>
    </w:p>
    <w:p w:rsidR="007B26FF" w:rsidRPr="007B74AE" w:rsidRDefault="007B26FF" w:rsidP="007C725C">
      <w:r w:rsidRPr="007B74AE">
        <w:t xml:space="preserve">Les dispositifs SRD peuvent avoir un coefficient d'utilisation faible, souvent égal ou inférieur à 10%, </w:t>
      </w:r>
      <w:r>
        <w:t>et une puissance comprise entre </w:t>
      </w:r>
      <w:r w:rsidRPr="007B74AE">
        <w:t>25μW et 100mW, valeur de p.i.r.e. type. Ils sont aussi utilisés la plupart du temps dans des zones construites où les bâtiments produisent des phénomènes d'écran. Il est donc tentant d'utiliser la plus étroite largeur de bande d'observation disponible dans un récepteur de contrôle pour s'affranchir au moins des limites de la faible densité de puissance spectrale p.i.r.e. que produisent les SRD. Des largeurs de bande d'observation étroites permettent certes une meilleure sensibilité du récepteur, mais en limitent d'un autre côté la vitesse d'enregistrement. Comme les dispositifs SRD sont souvent utilisés à l'intérieur de bâtiments dont l'effet</w:t>
      </w:r>
      <w:r>
        <w:t xml:space="preserve"> d'écran se monte jusqu'à 20-30 </w:t>
      </w:r>
      <w:r w:rsidRPr="007B74AE">
        <w:t xml:space="preserve">dB, la zone couverte et la probabilité d'interception sont faibles par nature. </w:t>
      </w:r>
    </w:p>
    <w:p w:rsidR="007B26FF" w:rsidRPr="007B74AE" w:rsidRDefault="007B26FF" w:rsidP="007C725C">
      <w:r w:rsidRPr="007B74AE">
        <w:t>Il conviendrait en conséquence de chercher à trouver un bon équilibre entre la sensibilité et la vitesse de balayage, et il est recommandé d'utiliser un appareillage qui soit comparable à un système de mesure du bruit radioélectrique. L'étalonnage de l'appareillage peut être fait en utilisant un émetteur test reproduisant les niveaux de puissance et les coefficients d'utilisation de ce système. Un système de mesure de dispositifs SRD doté d'une zone de couverture limitée doit être déplacé en plusieurs points pour obtenir une vue de toute la zone intéressante. On peut calculer la zone de couverture de notre appareillage et utiliser le résultat pour déterminer le nombre de ces points.</w:t>
      </w:r>
    </w:p>
    <w:p w:rsidR="007B26FF" w:rsidRPr="007B74AE" w:rsidRDefault="007B26FF" w:rsidP="007C725C">
      <w:r w:rsidRPr="007B74AE">
        <w:lastRenderedPageBreak/>
        <w:t xml:space="preserve">A noter qu'il n'est pas possible d'obtenir une valeur d'occupation représentative si on ne tient pas compte dans le calcul de l'occupation finale de l'affaiblissement environnant. Pour des dispositifs SRD à faible puissance, tels que des étiquettes RFID, on peut utiliser un chariot ou un panier sur roulettes et déplacer l'appareillage dans la zone. </w:t>
      </w:r>
    </w:p>
    <w:p w:rsidR="007B26FF" w:rsidRPr="007B74AE" w:rsidRDefault="007B26FF" w:rsidP="007C725C">
      <w:pPr>
        <w:pStyle w:val="Heading2"/>
      </w:pPr>
      <w:bookmarkStart w:id="9" w:name="_Toc268523675"/>
      <w:r w:rsidRPr="007B74AE">
        <w:t>2.4</w:t>
      </w:r>
      <w:r w:rsidRPr="007B74AE">
        <w:tab/>
        <w:t>Notes concernant des mesures en temps réel</w:t>
      </w:r>
      <w:bookmarkEnd w:id="9"/>
    </w:p>
    <w:p w:rsidR="007B26FF" w:rsidRPr="007B74AE" w:rsidRDefault="007B26FF" w:rsidP="007C725C">
      <w:r w:rsidRPr="007B74AE">
        <w:t xml:space="preserve">Une mesure en temps réel est une mesure où le signal temporel dans une certaine largeur de bande est échantillonné, sans perte d'un quelconque échantillon. La question est de savoir s'il faut disposer de ce type de mesure pour un contrôle de dispositifs SRD. Si on veut déterminer le comportement des différents dispositifs, ou si on n'en connaît pas les caractéristiques d'émission, la réponse est oui, mais il faut être prudent. Par contre, la réponse est non dans le cas de valeurs d'occupation de dispositifs dotés de caractéristiques d'émission constantes et raisonnables. Les dispositifs émettant en effet à intervalles réguliers, la probabilité de détection est forte. Ce principe d'échantillonnage répétitif fonctionne bien, mais pour convertir le résultat en un taux d'occupation raisonnablement précis, on doit choisir avec soin la vitesse de mesure et le délai de réobservation. Le quotient (période de mesure)/(délai de réobservation) doit être adapté à la période d'émission des dispositifs prévus. </w:t>
      </w:r>
    </w:p>
    <w:p w:rsidR="007B26FF" w:rsidRPr="007B74AE" w:rsidRDefault="007B26FF" w:rsidP="007C725C">
      <w:r>
        <w:t>Si on utilise un analys</w:t>
      </w:r>
      <w:r w:rsidRPr="007B74AE">
        <w:t>eur (numérique) en temps réel, on doit être prudent, comme il a déjà été dit, à cause du phénomène suivant: pour convertir des données temporelles en données spectrales, il faut prendre un bloc d'échantillons sur une certaine durée, or dans ce bloc il peut se produire des changements qui ne sont pas présentés dans l'affichage spectral; compte tenu de la brièveté des temps d'émission des dispositifs SRD, on peut surestimer l'occupation si on choisit pour le bloc d'échantillons une durée importante. Pour ce type d'analyseur, on appliquera les mêmes "règles" que pour un analyseur par balayage. On doit ensuite procéder à une adaptation comme pour un analyseur par balayage, mais la formule à utiliser change et devient alors (période de mesure)/(fréquence d'échantillonnage*taille de la fenêtre); là encore elle doit se fonder sur la période d'émission des dispositifs prévus.</w:t>
      </w:r>
    </w:p>
    <w:p w:rsidR="007B26FF" w:rsidRPr="007B74AE" w:rsidRDefault="007B26FF" w:rsidP="007C725C">
      <w:pPr>
        <w:pStyle w:val="Heading2"/>
      </w:pPr>
      <w:bookmarkStart w:id="10" w:name="_Toc268523676"/>
      <w:r w:rsidRPr="007B74AE">
        <w:t>2.5</w:t>
      </w:r>
      <w:r w:rsidRPr="007B74AE">
        <w:tab/>
        <w:t>A-t-on besoin de mesures mobiles?</w:t>
      </w:r>
      <w:bookmarkEnd w:id="10"/>
    </w:p>
    <w:p w:rsidR="007B26FF" w:rsidRDefault="007B26FF" w:rsidP="007C725C">
      <w:r w:rsidRPr="007B74AE">
        <w:t xml:space="preserve">On a vu au § 2.2 qu'un appareillage fixe ne donne pas des résultats représentatifs, mais des mesures entièrement mobiles ne donnent pas le taux d'occupation actuelle, à cause d'une faible probabilité d'interception. </w:t>
      </w:r>
    </w:p>
    <w:p w:rsidR="007B26FF" w:rsidRPr="007B74AE" w:rsidRDefault="007B26FF" w:rsidP="007C725C">
      <w:r w:rsidRPr="007B74AE">
        <w:t xml:space="preserve">On peut toutefois utiliser un appareillage mobile pour étudier la présence d'un dispositif SRD à puissance relativement élevée, mais également pour déterminer les zones névralgiques et les zones d'activité. Outre des mesures statiques dans ces deux zones, il est recommandé de procéder à une étude tout mobile, qui peut se faire toutefois avec une probabilité d'interception moindre </w:t>
      </w:r>
      <w:r>
        <w:t xml:space="preserve">que pour les mesures fixes. La </w:t>
      </w:r>
      <w:r w:rsidR="00625604">
        <w:t>Fig.</w:t>
      </w:r>
      <w:r>
        <w:t> </w:t>
      </w:r>
      <w:r w:rsidRPr="007B74AE">
        <w:t>2 illustre le résultat d'une mesure réalisée sur un parking au Royaume</w:t>
      </w:r>
      <w:r w:rsidRPr="007B74AE">
        <w:noBreakHyphen/>
        <w:t xml:space="preserve">Uni. </w:t>
      </w:r>
    </w:p>
    <w:p w:rsidR="007B26FF" w:rsidRPr="007B74AE" w:rsidRDefault="007B26FF" w:rsidP="007C725C">
      <w:pPr>
        <w:pStyle w:val="FigureNo"/>
      </w:pPr>
      <w:r w:rsidRPr="007B74AE">
        <w:lastRenderedPageBreak/>
        <w:t>Figure 2</w:t>
      </w:r>
    </w:p>
    <w:p w:rsidR="007B26FF" w:rsidRPr="007B74AE" w:rsidRDefault="007B26FF" w:rsidP="007C725C">
      <w:pPr>
        <w:pStyle w:val="Figuretitle"/>
      </w:pPr>
      <w:r w:rsidRPr="007B74AE">
        <w:t>Exemple de mesure mobile</w:t>
      </w:r>
    </w:p>
    <w:bookmarkStart w:id="11" w:name="_Toc242157277"/>
    <w:bookmarkStart w:id="12" w:name="_Toc250970857"/>
    <w:bookmarkStart w:id="13" w:name="_Toc250981213"/>
    <w:p w:rsidR="007B26FF" w:rsidRDefault="007B26FF" w:rsidP="007C725C">
      <w:pPr>
        <w:pStyle w:val="Figure"/>
      </w:pPr>
      <w:r>
        <w:object w:dxaOrig="9628" w:dyaOrig="5696">
          <v:shape id="_x0000_i1027" type="#_x0000_t75" style="width:481.2pt;height:284.35pt" o:ole="" o:allowoverlap="f">
            <v:imagedata r:id="rId17" o:title=""/>
          </v:shape>
          <o:OLEObject Type="Embed" ProgID="CorelDRAW.Graphic.14" ShapeID="_x0000_i1027" DrawAspect="Content" ObjectID="_1344948679" r:id="rId18"/>
        </w:object>
      </w:r>
    </w:p>
    <w:p w:rsidR="00EC1E7A" w:rsidRDefault="00EC1E7A" w:rsidP="00EC1E7A">
      <w:pPr>
        <w:pStyle w:val="Blanc"/>
      </w:pPr>
      <w:bookmarkStart w:id="14" w:name="_Toc268523677"/>
    </w:p>
    <w:p w:rsidR="007B26FF" w:rsidRPr="007B74AE" w:rsidRDefault="007B26FF" w:rsidP="007C725C">
      <w:pPr>
        <w:pStyle w:val="Heading2"/>
      </w:pPr>
      <w:r w:rsidRPr="007B74AE">
        <w:t>2.6</w:t>
      </w:r>
      <w:r w:rsidRPr="007B74AE">
        <w:tab/>
        <w:t>Seuil de détection (comment programmer son analyseur de spectre ou son récepteur</w:t>
      </w:r>
      <w:r>
        <w:t>?</w:t>
      </w:r>
      <w:r w:rsidRPr="007B74AE">
        <w:t>)</w:t>
      </w:r>
      <w:bookmarkEnd w:id="11"/>
      <w:bookmarkEnd w:id="12"/>
      <w:bookmarkEnd w:id="13"/>
      <w:bookmarkEnd w:id="14"/>
    </w:p>
    <w:p w:rsidR="007B26FF" w:rsidRDefault="007B26FF" w:rsidP="008B6E04">
      <w:pPr>
        <w:rPr>
          <w:rFonts w:cs="Arial"/>
        </w:rPr>
      </w:pPr>
      <w:r w:rsidRPr="007B74AE">
        <w:rPr>
          <w:rFonts w:cs="Arial"/>
        </w:rPr>
        <w:t xml:space="preserve">On trouvera dans le tableau ci-dessous certaines valeurs type pour le seuil de détection obtenues avec un analyseur de spectre moyen de gamme. Le critère retenu pour la détection est qu'un signal est au moins de 3 dB au-dessus de la valeur plancher du bruit des récepteurs. </w:t>
      </w:r>
    </w:p>
    <w:p w:rsidR="00EC1E7A" w:rsidRPr="004A6105" w:rsidRDefault="00EC1E7A" w:rsidP="00EC1E7A">
      <w:pPr>
        <w:pStyle w:val="Blanc"/>
        <w:rPr>
          <w:lang w:val="fr-CH"/>
        </w:rPr>
      </w:pP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40"/>
        <w:gridCol w:w="4456"/>
        <w:gridCol w:w="2152"/>
      </w:tblGrid>
      <w:tr w:rsidR="007B26FF" w:rsidRPr="007B74AE" w:rsidTr="007C725C">
        <w:trPr>
          <w:trHeight w:val="100"/>
          <w:jc w:val="center"/>
        </w:trPr>
        <w:tc>
          <w:tcPr>
            <w:tcW w:w="2340" w:type="dxa"/>
            <w:tcBorders>
              <w:bottom w:val="single" w:sz="4" w:space="0" w:color="auto"/>
            </w:tcBorders>
            <w:shd w:val="clear" w:color="auto" w:fill="auto"/>
          </w:tcPr>
          <w:p w:rsidR="007B26FF" w:rsidRPr="007B74AE" w:rsidRDefault="007B26FF" w:rsidP="007C725C">
            <w:pPr>
              <w:pStyle w:val="Tablehead"/>
            </w:pPr>
            <w:r w:rsidRPr="007B74AE">
              <w:t>Largeur de bande</w:t>
            </w:r>
            <w:r w:rsidRPr="007B74AE">
              <w:br/>
              <w:t>du filtre</w:t>
            </w:r>
            <w:r w:rsidRPr="007B74AE">
              <w:br/>
              <w:t>(kHz)</w:t>
            </w:r>
          </w:p>
        </w:tc>
        <w:tc>
          <w:tcPr>
            <w:tcW w:w="4456" w:type="dxa"/>
            <w:tcBorders>
              <w:bottom w:val="single" w:sz="4" w:space="0" w:color="auto"/>
            </w:tcBorders>
            <w:shd w:val="clear" w:color="auto" w:fill="auto"/>
          </w:tcPr>
          <w:p w:rsidR="007B26FF" w:rsidRPr="007B74AE" w:rsidRDefault="007B26FF" w:rsidP="007C725C">
            <w:pPr>
              <w:pStyle w:val="Tablehead"/>
            </w:pPr>
            <w:r w:rsidRPr="007B74AE">
              <w:t xml:space="preserve">Seuil de détection pour tension d'alimentation </w:t>
            </w:r>
            <w:r w:rsidRPr="007B74AE">
              <w:br/>
              <w:t>(dB(µV))</w:t>
            </w:r>
          </w:p>
        </w:tc>
        <w:tc>
          <w:tcPr>
            <w:tcW w:w="2152" w:type="dxa"/>
            <w:tcBorders>
              <w:bottom w:val="single" w:sz="4" w:space="0" w:color="auto"/>
            </w:tcBorders>
            <w:shd w:val="clear" w:color="auto" w:fill="auto"/>
          </w:tcPr>
          <w:p w:rsidR="007B26FF" w:rsidRPr="007B74AE" w:rsidRDefault="007B26FF" w:rsidP="008B6E04">
            <w:pPr>
              <w:pStyle w:val="Tablehead"/>
            </w:pPr>
            <w:r w:rsidRPr="007B74AE">
              <w:t>Délai de réobservation</w:t>
            </w:r>
            <w:r w:rsidRPr="007B74AE">
              <w:br/>
              <w:t>(ms)</w:t>
            </w:r>
          </w:p>
        </w:tc>
      </w:tr>
      <w:tr w:rsidR="007B26FF" w:rsidRPr="007B74AE" w:rsidTr="007C725C">
        <w:trPr>
          <w:trHeight w:val="70"/>
          <w:jc w:val="center"/>
        </w:trPr>
        <w:tc>
          <w:tcPr>
            <w:tcW w:w="2340" w:type="dxa"/>
            <w:tcBorders>
              <w:bottom w:val="single" w:sz="4" w:space="0" w:color="auto"/>
            </w:tcBorders>
            <w:shd w:val="clear" w:color="auto" w:fill="auto"/>
          </w:tcPr>
          <w:p w:rsidR="007B26FF" w:rsidRPr="007B74AE" w:rsidRDefault="007B26FF" w:rsidP="00C45CF0">
            <w:pPr>
              <w:jc w:val="center"/>
              <w:rPr>
                <w:szCs w:val="24"/>
              </w:rPr>
            </w:pPr>
            <w:r w:rsidRPr="007B74AE">
              <w:rPr>
                <w:szCs w:val="24"/>
              </w:rPr>
              <w:t>1</w:t>
            </w:r>
          </w:p>
        </w:tc>
        <w:tc>
          <w:tcPr>
            <w:tcW w:w="4456" w:type="dxa"/>
            <w:tcBorders>
              <w:bottom w:val="single" w:sz="4" w:space="0" w:color="auto"/>
            </w:tcBorders>
            <w:shd w:val="clear" w:color="auto" w:fill="auto"/>
          </w:tcPr>
          <w:p w:rsidR="007B26FF" w:rsidRPr="007B74AE" w:rsidRDefault="007B26FF" w:rsidP="00C45CF0">
            <w:pPr>
              <w:jc w:val="center"/>
              <w:rPr>
                <w:szCs w:val="24"/>
              </w:rPr>
            </w:pPr>
            <w:r w:rsidRPr="007B74AE">
              <w:rPr>
                <w:szCs w:val="24"/>
              </w:rPr>
              <w:t>0</w:t>
            </w:r>
          </w:p>
        </w:tc>
        <w:tc>
          <w:tcPr>
            <w:tcW w:w="2152" w:type="dxa"/>
            <w:tcBorders>
              <w:bottom w:val="single" w:sz="4" w:space="0" w:color="auto"/>
            </w:tcBorders>
            <w:shd w:val="clear" w:color="auto" w:fill="auto"/>
          </w:tcPr>
          <w:p w:rsidR="007B26FF" w:rsidRPr="007B74AE" w:rsidRDefault="007B26FF" w:rsidP="00C45CF0">
            <w:pPr>
              <w:jc w:val="center"/>
              <w:rPr>
                <w:szCs w:val="24"/>
              </w:rPr>
            </w:pPr>
            <w:r w:rsidRPr="007B74AE">
              <w:rPr>
                <w:szCs w:val="24"/>
              </w:rPr>
              <w:t>7 000</w:t>
            </w:r>
          </w:p>
        </w:tc>
      </w:tr>
      <w:tr w:rsidR="007B26FF" w:rsidRPr="007B74AE" w:rsidTr="007C725C">
        <w:trPr>
          <w:trHeight w:val="120"/>
          <w:jc w:val="center"/>
        </w:trPr>
        <w:tc>
          <w:tcPr>
            <w:tcW w:w="2340" w:type="dxa"/>
            <w:shd w:val="clear" w:color="auto" w:fill="auto"/>
          </w:tcPr>
          <w:p w:rsidR="007B26FF" w:rsidRPr="007B74AE" w:rsidRDefault="007B26FF" w:rsidP="00C45CF0">
            <w:pPr>
              <w:jc w:val="center"/>
              <w:rPr>
                <w:szCs w:val="24"/>
              </w:rPr>
            </w:pPr>
            <w:r w:rsidRPr="007B74AE">
              <w:rPr>
                <w:szCs w:val="24"/>
              </w:rPr>
              <w:t>3</w:t>
            </w:r>
          </w:p>
        </w:tc>
        <w:tc>
          <w:tcPr>
            <w:tcW w:w="4456" w:type="dxa"/>
            <w:shd w:val="clear" w:color="auto" w:fill="auto"/>
          </w:tcPr>
          <w:p w:rsidR="007B26FF" w:rsidRPr="007B74AE" w:rsidRDefault="007B26FF" w:rsidP="00C45CF0">
            <w:pPr>
              <w:jc w:val="center"/>
              <w:rPr>
                <w:szCs w:val="24"/>
              </w:rPr>
            </w:pPr>
            <w:r w:rsidRPr="007B74AE">
              <w:rPr>
                <w:szCs w:val="24"/>
              </w:rPr>
              <w:t>5</w:t>
            </w:r>
          </w:p>
        </w:tc>
        <w:tc>
          <w:tcPr>
            <w:tcW w:w="2152" w:type="dxa"/>
            <w:shd w:val="clear" w:color="auto" w:fill="auto"/>
          </w:tcPr>
          <w:p w:rsidR="007B26FF" w:rsidRPr="007B74AE" w:rsidRDefault="007B26FF" w:rsidP="00C45CF0">
            <w:pPr>
              <w:jc w:val="center"/>
              <w:rPr>
                <w:szCs w:val="24"/>
              </w:rPr>
            </w:pPr>
            <w:r w:rsidRPr="007B74AE">
              <w:rPr>
                <w:szCs w:val="24"/>
              </w:rPr>
              <w:t>780</w:t>
            </w:r>
          </w:p>
        </w:tc>
      </w:tr>
      <w:tr w:rsidR="007B26FF" w:rsidRPr="007B74AE" w:rsidTr="007C725C">
        <w:trPr>
          <w:trHeight w:val="139"/>
          <w:jc w:val="center"/>
        </w:trPr>
        <w:tc>
          <w:tcPr>
            <w:tcW w:w="2340" w:type="dxa"/>
            <w:tcBorders>
              <w:bottom w:val="single" w:sz="4" w:space="0" w:color="auto"/>
            </w:tcBorders>
            <w:shd w:val="clear" w:color="auto" w:fill="auto"/>
          </w:tcPr>
          <w:p w:rsidR="007B26FF" w:rsidRPr="007B74AE" w:rsidRDefault="007B26FF" w:rsidP="00C45CF0">
            <w:pPr>
              <w:jc w:val="center"/>
              <w:rPr>
                <w:szCs w:val="24"/>
              </w:rPr>
            </w:pPr>
            <w:r w:rsidRPr="007B74AE">
              <w:rPr>
                <w:szCs w:val="24"/>
              </w:rPr>
              <w:t>10</w:t>
            </w:r>
          </w:p>
        </w:tc>
        <w:tc>
          <w:tcPr>
            <w:tcW w:w="4456" w:type="dxa"/>
            <w:tcBorders>
              <w:bottom w:val="single" w:sz="4" w:space="0" w:color="auto"/>
            </w:tcBorders>
            <w:shd w:val="clear" w:color="auto" w:fill="auto"/>
          </w:tcPr>
          <w:p w:rsidR="007B26FF" w:rsidRPr="007B74AE" w:rsidRDefault="007B26FF" w:rsidP="00C45CF0">
            <w:pPr>
              <w:jc w:val="center"/>
              <w:rPr>
                <w:szCs w:val="24"/>
              </w:rPr>
            </w:pPr>
            <w:r w:rsidRPr="007B74AE">
              <w:rPr>
                <w:szCs w:val="24"/>
              </w:rPr>
              <w:t>7</w:t>
            </w:r>
          </w:p>
        </w:tc>
        <w:tc>
          <w:tcPr>
            <w:tcW w:w="2152" w:type="dxa"/>
            <w:tcBorders>
              <w:bottom w:val="single" w:sz="4" w:space="0" w:color="auto"/>
            </w:tcBorders>
            <w:shd w:val="clear" w:color="auto" w:fill="auto"/>
          </w:tcPr>
          <w:p w:rsidR="007B26FF" w:rsidRPr="007B74AE" w:rsidRDefault="007B26FF" w:rsidP="00C45CF0">
            <w:pPr>
              <w:jc w:val="center"/>
              <w:rPr>
                <w:szCs w:val="24"/>
              </w:rPr>
            </w:pPr>
            <w:r w:rsidRPr="007B74AE">
              <w:rPr>
                <w:szCs w:val="24"/>
              </w:rPr>
              <w:t>70</w:t>
            </w:r>
          </w:p>
        </w:tc>
      </w:tr>
      <w:tr w:rsidR="007B26FF" w:rsidRPr="007B74AE" w:rsidTr="007C725C">
        <w:trPr>
          <w:trHeight w:val="70"/>
          <w:jc w:val="center"/>
        </w:trPr>
        <w:tc>
          <w:tcPr>
            <w:tcW w:w="2340" w:type="dxa"/>
            <w:shd w:val="clear" w:color="auto" w:fill="auto"/>
          </w:tcPr>
          <w:p w:rsidR="007B26FF" w:rsidRPr="007B74AE" w:rsidRDefault="007B26FF" w:rsidP="00C45CF0">
            <w:pPr>
              <w:jc w:val="center"/>
              <w:rPr>
                <w:szCs w:val="24"/>
              </w:rPr>
            </w:pPr>
            <w:r w:rsidRPr="007B74AE">
              <w:rPr>
                <w:szCs w:val="24"/>
              </w:rPr>
              <w:t>30</w:t>
            </w:r>
          </w:p>
        </w:tc>
        <w:tc>
          <w:tcPr>
            <w:tcW w:w="4456" w:type="dxa"/>
            <w:shd w:val="clear" w:color="auto" w:fill="auto"/>
          </w:tcPr>
          <w:p w:rsidR="007B26FF" w:rsidRPr="007B74AE" w:rsidRDefault="007B26FF" w:rsidP="00C45CF0">
            <w:pPr>
              <w:jc w:val="center"/>
              <w:rPr>
                <w:szCs w:val="24"/>
              </w:rPr>
            </w:pPr>
            <w:r w:rsidRPr="007B74AE">
              <w:rPr>
                <w:szCs w:val="24"/>
              </w:rPr>
              <w:t>10</w:t>
            </w:r>
          </w:p>
        </w:tc>
        <w:tc>
          <w:tcPr>
            <w:tcW w:w="2152" w:type="dxa"/>
            <w:shd w:val="clear" w:color="auto" w:fill="auto"/>
          </w:tcPr>
          <w:p w:rsidR="007B26FF" w:rsidRPr="007B74AE" w:rsidRDefault="007B26FF" w:rsidP="00C45CF0">
            <w:pPr>
              <w:jc w:val="center"/>
              <w:rPr>
                <w:szCs w:val="24"/>
              </w:rPr>
            </w:pPr>
            <w:r w:rsidRPr="007B74AE">
              <w:rPr>
                <w:szCs w:val="24"/>
              </w:rPr>
              <w:t>10</w:t>
            </w:r>
          </w:p>
        </w:tc>
      </w:tr>
      <w:tr w:rsidR="007B26FF" w:rsidRPr="007B74AE" w:rsidTr="007C725C">
        <w:trPr>
          <w:trHeight w:val="147"/>
          <w:jc w:val="center"/>
        </w:trPr>
        <w:tc>
          <w:tcPr>
            <w:tcW w:w="2340" w:type="dxa"/>
            <w:tcBorders>
              <w:bottom w:val="single" w:sz="4" w:space="0" w:color="auto"/>
            </w:tcBorders>
            <w:shd w:val="clear" w:color="auto" w:fill="auto"/>
          </w:tcPr>
          <w:p w:rsidR="007B26FF" w:rsidRPr="007B74AE" w:rsidRDefault="007B26FF" w:rsidP="00C45CF0">
            <w:pPr>
              <w:jc w:val="center"/>
              <w:rPr>
                <w:szCs w:val="24"/>
              </w:rPr>
            </w:pPr>
            <w:r w:rsidRPr="007B74AE">
              <w:rPr>
                <w:szCs w:val="24"/>
              </w:rPr>
              <w:t>100</w:t>
            </w:r>
          </w:p>
        </w:tc>
        <w:tc>
          <w:tcPr>
            <w:tcW w:w="4456" w:type="dxa"/>
            <w:tcBorders>
              <w:bottom w:val="single" w:sz="4" w:space="0" w:color="auto"/>
            </w:tcBorders>
            <w:shd w:val="clear" w:color="auto" w:fill="auto"/>
          </w:tcPr>
          <w:p w:rsidR="007B26FF" w:rsidRPr="007B74AE" w:rsidRDefault="007B26FF" w:rsidP="00C45CF0">
            <w:pPr>
              <w:jc w:val="center"/>
              <w:rPr>
                <w:szCs w:val="24"/>
              </w:rPr>
            </w:pPr>
            <w:r w:rsidRPr="007B74AE">
              <w:rPr>
                <w:szCs w:val="24"/>
              </w:rPr>
              <w:t>13</w:t>
            </w:r>
          </w:p>
        </w:tc>
        <w:tc>
          <w:tcPr>
            <w:tcW w:w="2152" w:type="dxa"/>
            <w:tcBorders>
              <w:bottom w:val="single" w:sz="4" w:space="0" w:color="auto"/>
            </w:tcBorders>
            <w:shd w:val="clear" w:color="auto" w:fill="auto"/>
          </w:tcPr>
          <w:p w:rsidR="007B26FF" w:rsidRPr="007B74AE" w:rsidRDefault="007B26FF" w:rsidP="00C45CF0">
            <w:pPr>
              <w:jc w:val="center"/>
              <w:rPr>
                <w:szCs w:val="24"/>
              </w:rPr>
            </w:pPr>
            <w:r w:rsidRPr="007B74AE">
              <w:rPr>
                <w:szCs w:val="24"/>
              </w:rPr>
              <w:t>2,5</w:t>
            </w:r>
          </w:p>
        </w:tc>
      </w:tr>
      <w:tr w:rsidR="007B26FF" w:rsidRPr="007B74AE" w:rsidTr="007C725C">
        <w:trPr>
          <w:trHeight w:val="70"/>
          <w:jc w:val="center"/>
        </w:trPr>
        <w:tc>
          <w:tcPr>
            <w:tcW w:w="2340" w:type="dxa"/>
            <w:tcBorders>
              <w:bottom w:val="single" w:sz="4" w:space="0" w:color="auto"/>
            </w:tcBorders>
            <w:shd w:val="clear" w:color="auto" w:fill="auto"/>
          </w:tcPr>
          <w:p w:rsidR="007B26FF" w:rsidRPr="007B74AE" w:rsidRDefault="007B26FF" w:rsidP="00C45CF0">
            <w:pPr>
              <w:jc w:val="center"/>
              <w:rPr>
                <w:szCs w:val="24"/>
              </w:rPr>
            </w:pPr>
            <w:r w:rsidRPr="007B74AE">
              <w:rPr>
                <w:szCs w:val="24"/>
              </w:rPr>
              <w:t>300</w:t>
            </w:r>
          </w:p>
        </w:tc>
        <w:tc>
          <w:tcPr>
            <w:tcW w:w="4456" w:type="dxa"/>
            <w:tcBorders>
              <w:bottom w:val="single" w:sz="4" w:space="0" w:color="auto"/>
            </w:tcBorders>
            <w:shd w:val="clear" w:color="auto" w:fill="auto"/>
          </w:tcPr>
          <w:p w:rsidR="007B26FF" w:rsidRPr="007B74AE" w:rsidRDefault="007B26FF" w:rsidP="00C45CF0">
            <w:pPr>
              <w:jc w:val="center"/>
              <w:rPr>
                <w:szCs w:val="24"/>
              </w:rPr>
            </w:pPr>
            <w:r w:rsidRPr="007B74AE">
              <w:rPr>
                <w:szCs w:val="24"/>
              </w:rPr>
              <w:t>14</w:t>
            </w:r>
          </w:p>
        </w:tc>
        <w:tc>
          <w:tcPr>
            <w:tcW w:w="2152" w:type="dxa"/>
            <w:tcBorders>
              <w:bottom w:val="single" w:sz="4" w:space="0" w:color="auto"/>
            </w:tcBorders>
            <w:shd w:val="clear" w:color="auto" w:fill="auto"/>
          </w:tcPr>
          <w:p w:rsidR="007B26FF" w:rsidRPr="007B74AE" w:rsidRDefault="007B26FF" w:rsidP="00C45CF0">
            <w:pPr>
              <w:jc w:val="center"/>
              <w:rPr>
                <w:szCs w:val="24"/>
              </w:rPr>
            </w:pPr>
            <w:r w:rsidRPr="007B74AE">
              <w:rPr>
                <w:szCs w:val="24"/>
              </w:rPr>
              <w:t>2,5</w:t>
            </w:r>
          </w:p>
        </w:tc>
      </w:tr>
    </w:tbl>
    <w:p w:rsidR="00EC1E7A" w:rsidRDefault="00EC1E7A" w:rsidP="00EC1E7A">
      <w:pPr>
        <w:pStyle w:val="Blanc"/>
      </w:pPr>
    </w:p>
    <w:p w:rsidR="007B26FF" w:rsidRPr="007B74AE" w:rsidRDefault="007B26FF" w:rsidP="008B6E04">
      <w:pPr>
        <w:pStyle w:val="enumlev1"/>
      </w:pPr>
      <w:r w:rsidRPr="007B74AE">
        <w:t>–</w:t>
      </w:r>
      <w:r w:rsidRPr="007B74AE">
        <w:tab/>
        <w:t xml:space="preserve">Il faut d'abord calculer le facteur de l'antenne de contrôle qu'il est prévu d'utiliser, et ensuite au moyen du résultat obtenu calculer le seuil de détection correspondant à l'intensité de champ, où l'hypothèse est que le signal correspond à la largeur de bande du filtre choisi, ou est plus étroit. </w:t>
      </w:r>
    </w:p>
    <w:p w:rsidR="007B26FF" w:rsidRPr="007B74AE" w:rsidRDefault="007B26FF" w:rsidP="007C725C">
      <w:pPr>
        <w:pStyle w:val="enumlev1"/>
      </w:pPr>
      <w:r w:rsidRPr="007B74AE">
        <w:t>–</w:t>
      </w:r>
      <w:r w:rsidRPr="007B74AE">
        <w:tab/>
        <w:t xml:space="preserve">Il faut ensuite estimer l'affaiblissement correspondant à la présence d'un seul mur, puis de plusieurs murs, et additionner le résultat au seuil de détection correspondant à l'intensité de champ. </w:t>
      </w:r>
    </w:p>
    <w:p w:rsidR="007B26FF" w:rsidRDefault="007B26FF" w:rsidP="007C725C">
      <w:pPr>
        <w:pStyle w:val="enumlev1"/>
      </w:pPr>
      <w:r w:rsidRPr="007B74AE">
        <w:lastRenderedPageBreak/>
        <w:t>–</w:t>
      </w:r>
      <w:r w:rsidRPr="007B74AE">
        <w:tab/>
        <w:t>Une fois obtenu ce seuil de détection modifié, et connaissant la puissance rayonnée des dispositifs RSD (p.a.r. ou p.i.r.e.), on peut calculer la distance à laquelle les dispositifs SRD peuvent encore être détectés.</w:t>
      </w:r>
    </w:p>
    <w:p w:rsidR="007B26FF" w:rsidRDefault="007B26FF" w:rsidP="008B6E04">
      <w:pPr>
        <w:rPr>
          <w:rFonts w:cs="Arial"/>
        </w:rPr>
      </w:pPr>
      <w:r w:rsidRPr="007B74AE">
        <w:rPr>
          <w:rFonts w:cs="Arial"/>
        </w:rPr>
        <w:t xml:space="preserve">La </w:t>
      </w:r>
      <w:r w:rsidR="00625604">
        <w:rPr>
          <w:rFonts w:cs="Arial"/>
        </w:rPr>
        <w:t>Fig.</w:t>
      </w:r>
      <w:r w:rsidRPr="007B74AE">
        <w:rPr>
          <w:rFonts w:cs="Arial"/>
        </w:rPr>
        <w:t xml:space="preserve"> 3 illustre les intensités de champ pour des dispositifs SRD dotés de p.a.r. type différente suivant les applications SRD types. Le seuil de détection correspondant aux différents réglages de l'analyseur est représenté pour qu'il soit </w:t>
      </w:r>
      <w:r>
        <w:rPr>
          <w:rFonts w:cs="Arial"/>
        </w:rPr>
        <w:t xml:space="preserve">possible d'estimer </w:t>
      </w:r>
      <w:r w:rsidRPr="007B74AE">
        <w:rPr>
          <w:rFonts w:cs="Arial"/>
        </w:rPr>
        <w:t>la couverture de l'appareillage de mesure.</w:t>
      </w:r>
    </w:p>
    <w:p w:rsidR="007B26FF" w:rsidRPr="007B74AE" w:rsidRDefault="00C45CF0" w:rsidP="00EC1E7A">
      <w:pPr>
        <w:pStyle w:val="FigureNo"/>
      </w:pPr>
      <w:r>
        <w:object w:dxaOrig="5964" w:dyaOrig="5323">
          <v:shape id="_x0000_i1028" type="#_x0000_t75" style="width:298.05pt;height:266.6pt" o:ole="">
            <v:imagedata r:id="rId19" o:title=""/>
          </v:shape>
          <o:OLEObject Type="Embed" ProgID="CorelDRAW.Graphic.14" ShapeID="_x0000_i1028" DrawAspect="Content" ObjectID="_1344948680" r:id="rId20"/>
        </w:object>
      </w:r>
    </w:p>
    <w:p w:rsidR="007B26FF" w:rsidRDefault="007B26FF" w:rsidP="008B6E04"/>
    <w:p w:rsidR="007B26FF" w:rsidRPr="007B74AE" w:rsidRDefault="007B26FF" w:rsidP="008B6E04">
      <w:pPr>
        <w:pStyle w:val="Normalaftertitle"/>
      </w:pPr>
      <w:r>
        <w:t xml:space="preserve">La </w:t>
      </w:r>
      <w:r w:rsidR="00625604">
        <w:t>Fig.</w:t>
      </w:r>
      <w:r>
        <w:t> </w:t>
      </w:r>
      <w:r w:rsidRPr="007B74AE">
        <w:t>4 montre le même résultat avec un affaiblissement additionnel de 20 dB (mur), la coordonnée </w:t>
      </w:r>
      <w:r w:rsidRPr="007B74AE">
        <w:rPr>
          <w:i/>
          <w:iCs/>
        </w:rPr>
        <w:t>x</w:t>
      </w:r>
      <w:r>
        <w:t xml:space="preserve"> étant limitée aux 500 </w:t>
      </w:r>
      <w:r w:rsidRPr="007B74AE">
        <w:t>premiers</w:t>
      </w:r>
      <w:r>
        <w:t xml:space="preserve"> mètres de la </w:t>
      </w:r>
      <w:r w:rsidR="00625604">
        <w:t>Fig.</w:t>
      </w:r>
      <w:r>
        <w:t> </w:t>
      </w:r>
      <w:r w:rsidRPr="007B74AE">
        <w:t>2.</w:t>
      </w:r>
    </w:p>
    <w:p w:rsidR="007B26FF" w:rsidRPr="007B74AE" w:rsidRDefault="007B26FF" w:rsidP="007C725C">
      <w:pPr>
        <w:pStyle w:val="FigureNo"/>
      </w:pPr>
      <w:r w:rsidRPr="007B74AE">
        <w:lastRenderedPageBreak/>
        <w:t>Figure 4</w:t>
      </w:r>
    </w:p>
    <w:p w:rsidR="007B26FF" w:rsidRPr="007B74AE" w:rsidRDefault="007B26FF" w:rsidP="007C725C">
      <w:pPr>
        <w:pStyle w:val="Figuretitle"/>
      </w:pPr>
      <w:r w:rsidRPr="007B74AE">
        <w:t xml:space="preserve">Intensité de champ/distance en espace libre avec affaiblissement de 20 dB </w:t>
      </w:r>
    </w:p>
    <w:p w:rsidR="007B26FF" w:rsidRPr="007B74AE" w:rsidRDefault="00027DC7" w:rsidP="007C725C">
      <w:pPr>
        <w:pStyle w:val="Figure"/>
      </w:pPr>
      <w:r>
        <w:object w:dxaOrig="6180" w:dyaOrig="4874">
          <v:shape id="_x0000_i1029" type="#_x0000_t75" style="width:309.4pt;height:243.8pt" o:ole="">
            <v:imagedata r:id="rId21" o:title=""/>
          </v:shape>
          <o:OLEObject Type="Embed" ProgID="CorelDRAW.Graphic.14" ShapeID="_x0000_i1029" DrawAspect="Content" ObjectID="_1344948681" r:id="rId22"/>
        </w:object>
      </w:r>
    </w:p>
    <w:p w:rsidR="00EC1E7A" w:rsidRDefault="00EC1E7A" w:rsidP="00EC1E7A">
      <w:pPr>
        <w:pStyle w:val="Blanc"/>
      </w:pPr>
    </w:p>
    <w:p w:rsidR="007B26FF" w:rsidRPr="007B74AE" w:rsidRDefault="007B26FF" w:rsidP="007C725C">
      <w:r w:rsidRPr="007B74AE">
        <w:t xml:space="preserve">On peut en conclure qu'on obtient une couverture suffisante même au moyen d'un filtre à 3 kHz et avec un affaiblissement interne de l'analyseur fixé à 10 dB. On peut donc utiliser sans problème un récepteur d'un niveau de performance inférieur à celui de l'analyseur mentionné, à condition que l'affaiblisseur soit éteint, ce qui n'est pas un problème pour une mesure du taux d'occupation (des mesures d'un niveau absolu ne sont pas possibles étant donné l'incertitude de discordance). Un affaiblissement dû à la présence de murs de même 20 dB garantit une couverture théorique d'au moins </w:t>
      </w:r>
      <w:smartTag w:uri="urn:schemas-microsoft-com:office:smarttags" w:element="metricconverter">
        <w:smartTagPr>
          <w:attr w:name="ProductID" w:val="350ﾠm"/>
        </w:smartTagPr>
        <w:r w:rsidRPr="007B74AE">
          <w:t>350 mètres avec la configuration à filtre FI</w:t>
        </w:r>
      </w:smartTag>
      <w:r w:rsidRPr="007B74AE">
        <w:t xml:space="preserve"> le plus large et un</w:t>
      </w:r>
      <w:r>
        <w:t>e p.i.r.e. du dispositif SRD de </w:t>
      </w:r>
      <w:r w:rsidRPr="007B74AE">
        <w:t xml:space="preserve">5 mW. Des essais ont montré que pour des dispositifs SRD à faible puissance, l'utilisation d'un préamplificateur avec un filtre de présélection peut être un avantage dans des zones caractérisées par des affaiblissements dus à de multiples murs. </w:t>
      </w:r>
    </w:p>
    <w:p w:rsidR="007B26FF" w:rsidRPr="007B74AE" w:rsidRDefault="007B26FF" w:rsidP="007C725C">
      <w:pPr>
        <w:rPr>
          <w:rFonts w:cs="Arial"/>
        </w:rPr>
      </w:pPr>
      <w:r w:rsidRPr="007B74AE">
        <w:rPr>
          <w:rFonts w:cs="Arial"/>
        </w:rPr>
        <w:t>Toutefois, le problème se pose lorsqu'il s'agit de mesurer des dispositifs de très faible puissance et des dispositifs large bande de faible puissance, comme des étiquettes RFID, lesquelles doivent être détectées au moyen d'un filtre FI</w:t>
      </w:r>
      <w:r>
        <w:rPr>
          <w:rFonts w:cs="Arial"/>
        </w:rPr>
        <w:t xml:space="preserve"> de 200 </w:t>
      </w:r>
      <w:r w:rsidRPr="007B74AE">
        <w:rPr>
          <w:rFonts w:cs="Arial"/>
        </w:rPr>
        <w:t>ou 300 kHz étant donné leur largeur de bande. L'affaiblissement dû à la présence de murs limite la distance de détection à moins de 10 m; pour avoir une probabilité d'interception raisonnable, il faut alors utiliser un analyseur sensible de haute qualité dont l'affaiblisseur sera éteint. Il faut éviter l'affaiblissement dû à la présence de murs</w:t>
      </w:r>
      <w:r>
        <w:rPr>
          <w:rFonts w:cs="Arial"/>
        </w:rPr>
        <w:t>, c'est</w:t>
      </w:r>
      <w:r>
        <w:rPr>
          <w:rFonts w:cs="Arial"/>
        </w:rPr>
        <w:noBreakHyphen/>
        <w:t>à</w:t>
      </w:r>
      <w:r>
        <w:rPr>
          <w:rFonts w:cs="Arial"/>
        </w:rPr>
        <w:noBreakHyphen/>
      </w:r>
      <w:r w:rsidRPr="007B74AE">
        <w:rPr>
          <w:rFonts w:cs="Arial"/>
        </w:rPr>
        <w:t xml:space="preserve">dire que la mesure se fera en balayant l'intérieur de la zone avec un dispositif monté sur un chariot ou un panier sur roulettes. Dans la configuration d'un affaiblissement </w:t>
      </w:r>
      <w:r>
        <w:rPr>
          <w:rFonts w:cs="Arial"/>
        </w:rPr>
        <w:t>de 10 </w:t>
      </w:r>
      <w:r w:rsidRPr="007B74AE">
        <w:rPr>
          <w:rFonts w:cs="Arial"/>
        </w:rPr>
        <w:t>dB dû à la présence de murs, avec coupure de l'affaiblisseur et un filtre à</w:t>
      </w:r>
      <w:r>
        <w:rPr>
          <w:rFonts w:cs="Arial"/>
        </w:rPr>
        <w:t xml:space="preserve"> 300 </w:t>
      </w:r>
      <w:r w:rsidRPr="007B74AE">
        <w:rPr>
          <w:rFonts w:cs="Arial"/>
        </w:rPr>
        <w:t>kHz, la couverture se présente comme</w:t>
      </w:r>
      <w:r>
        <w:rPr>
          <w:rFonts w:cs="Arial"/>
        </w:rPr>
        <w:t xml:space="preserve"> il est illustré dans la </w:t>
      </w:r>
      <w:r w:rsidR="00625604">
        <w:rPr>
          <w:rFonts w:cs="Arial"/>
        </w:rPr>
        <w:t>Fig.</w:t>
      </w:r>
      <w:r>
        <w:rPr>
          <w:rFonts w:cs="Arial"/>
        </w:rPr>
        <w:t> </w:t>
      </w:r>
      <w:r w:rsidRPr="007B74AE">
        <w:rPr>
          <w:rFonts w:cs="Arial"/>
        </w:rPr>
        <w:t>5.</w:t>
      </w:r>
    </w:p>
    <w:p w:rsidR="007B26FF" w:rsidRPr="008C0501" w:rsidRDefault="007B26FF" w:rsidP="007C725C">
      <w:pPr>
        <w:pStyle w:val="FigureNo"/>
      </w:pPr>
      <w:r w:rsidRPr="008C0501">
        <w:lastRenderedPageBreak/>
        <w:t>Figure 5</w:t>
      </w:r>
    </w:p>
    <w:p w:rsidR="007B26FF" w:rsidRPr="007B74AE" w:rsidRDefault="007B26FF" w:rsidP="007C725C">
      <w:pPr>
        <w:pStyle w:val="Figuretitle"/>
        <w:rPr>
          <w:rFonts w:cs="Arial"/>
        </w:rPr>
      </w:pPr>
      <w:r w:rsidRPr="007B74AE">
        <w:t xml:space="preserve">Intensité de champ/distance pour des étiquettes RFID </w:t>
      </w:r>
    </w:p>
    <w:p w:rsidR="007B26FF" w:rsidRPr="007B74AE" w:rsidRDefault="00EC1E7A" w:rsidP="00EC1E7A">
      <w:pPr>
        <w:pStyle w:val="Figure"/>
        <w:rPr>
          <w:rFonts w:cs="Arial"/>
        </w:rPr>
      </w:pPr>
      <w:r>
        <w:object w:dxaOrig="6480" w:dyaOrig="4679">
          <v:shape id="_x0000_i1030" type="#_x0000_t75" style="width:324.9pt;height:233.75pt" o:ole="">
            <v:imagedata r:id="rId23" o:title=""/>
          </v:shape>
          <o:OLEObject Type="Embed" ProgID="CorelDRAW.Graphic.14" ShapeID="_x0000_i1030" DrawAspect="Content" ObjectID="_1344948682" r:id="rId24"/>
        </w:object>
      </w:r>
    </w:p>
    <w:p w:rsidR="00481138" w:rsidRDefault="007B26FF" w:rsidP="00481138">
      <w:r w:rsidRPr="007B74AE">
        <w:t>Il est inutile d'estimer</w:t>
      </w:r>
      <w:r>
        <w:t xml:space="preserve"> des couvertures de plus de 500 </w:t>
      </w:r>
      <w:r w:rsidRPr="007B74AE">
        <w:t xml:space="preserve">m pour des mesures au sol étant donné la présence de multiples facteurs d'affaiblissement. Les mesures pratiques montrent en effet que la </w:t>
      </w:r>
      <w:r w:rsidR="00481138" w:rsidRPr="007B74AE">
        <w:t>couverture est même dans la plupart des cas inférieure à cette valeur.</w:t>
      </w:r>
    </w:p>
    <w:p w:rsidR="00481138" w:rsidRPr="004A6105" w:rsidRDefault="00481138" w:rsidP="00481138">
      <w:pPr>
        <w:pStyle w:val="Blanc"/>
        <w:rPr>
          <w:lang w:val="fr-CH"/>
        </w:rPr>
      </w:pPr>
    </w:p>
    <w:p w:rsidR="007B26FF" w:rsidRPr="004A6105" w:rsidRDefault="007B26FF" w:rsidP="00481138">
      <w:pPr>
        <w:pStyle w:val="Blanc"/>
        <w:rPr>
          <w:lang w:val="fr-CH"/>
        </w:rPr>
      </w:pPr>
    </w:p>
    <w:tbl>
      <w:tblPr>
        <w:tblpPr w:leftFromText="141" w:rightFromText="141" w:vertAnchor="text" w:horzAnchor="margin" w:tblpXSpec="center" w:tblpY="-66"/>
        <w:tblOverlap w:val="neve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81"/>
        <w:gridCol w:w="1705"/>
        <w:gridCol w:w="2349"/>
        <w:gridCol w:w="3060"/>
      </w:tblGrid>
      <w:tr w:rsidR="007B26FF" w:rsidRPr="007B74AE" w:rsidTr="007C725C">
        <w:trPr>
          <w:trHeight w:val="70"/>
        </w:trPr>
        <w:tc>
          <w:tcPr>
            <w:tcW w:w="1881" w:type="dxa"/>
            <w:shd w:val="clear" w:color="auto" w:fill="auto"/>
          </w:tcPr>
          <w:p w:rsidR="007B26FF" w:rsidRPr="00481138" w:rsidRDefault="007B26FF" w:rsidP="00481138">
            <w:pPr>
              <w:pStyle w:val="Tablehead"/>
            </w:pPr>
            <w:r w:rsidRPr="00481138">
              <w:t>Puissance</w:t>
            </w:r>
          </w:p>
        </w:tc>
        <w:tc>
          <w:tcPr>
            <w:tcW w:w="1705" w:type="dxa"/>
            <w:shd w:val="clear" w:color="auto" w:fill="auto"/>
          </w:tcPr>
          <w:p w:rsidR="007B26FF" w:rsidRPr="00481138" w:rsidRDefault="007B26FF" w:rsidP="00481138">
            <w:pPr>
              <w:pStyle w:val="Tablehead"/>
            </w:pPr>
            <w:r w:rsidRPr="00481138">
              <w:t>Coefficient</w:t>
            </w:r>
            <w:r w:rsidRPr="00481138">
              <w:br/>
              <w:t>d'utilisation</w:t>
            </w:r>
            <w:r w:rsidRPr="00481138">
              <w:br/>
              <w:t>(%)</w:t>
            </w:r>
          </w:p>
        </w:tc>
        <w:tc>
          <w:tcPr>
            <w:tcW w:w="2349" w:type="dxa"/>
            <w:shd w:val="clear" w:color="auto" w:fill="auto"/>
          </w:tcPr>
          <w:p w:rsidR="007B26FF" w:rsidRPr="00481138" w:rsidRDefault="007B26FF" w:rsidP="00481138">
            <w:pPr>
              <w:pStyle w:val="Tablehead"/>
            </w:pPr>
            <w:r w:rsidRPr="00481138">
              <w:t>Distance de détection, perte de 20 dB,</w:t>
            </w:r>
            <w:r w:rsidRPr="00481138">
              <w:br/>
              <w:t xml:space="preserve">FI de 30 kHz </w:t>
            </w:r>
            <w:r w:rsidRPr="00481138">
              <w:br/>
              <w:t>(m)</w:t>
            </w:r>
          </w:p>
        </w:tc>
        <w:tc>
          <w:tcPr>
            <w:tcW w:w="3060" w:type="dxa"/>
            <w:shd w:val="clear" w:color="auto" w:fill="auto"/>
          </w:tcPr>
          <w:p w:rsidR="007B26FF" w:rsidRPr="00481138" w:rsidRDefault="007B26FF" w:rsidP="00481138">
            <w:pPr>
              <w:pStyle w:val="Tablehead"/>
            </w:pPr>
            <w:r w:rsidRPr="00481138">
              <w:t>Distance de détection,</w:t>
            </w:r>
            <w:r w:rsidRPr="00481138">
              <w:br/>
              <w:t>perte de 10 dB,</w:t>
            </w:r>
            <w:r w:rsidRPr="00481138">
              <w:br/>
              <w:t>FI de 300 kHz,</w:t>
            </w:r>
            <w:r w:rsidRPr="00481138">
              <w:br/>
              <w:t xml:space="preserve">pas d'affaiblisseur </w:t>
            </w:r>
            <w:r w:rsidRPr="00481138">
              <w:br/>
              <w:t>(m)</w:t>
            </w:r>
          </w:p>
        </w:tc>
      </w:tr>
      <w:tr w:rsidR="007B26FF" w:rsidRPr="007B74AE" w:rsidTr="007C725C">
        <w:trPr>
          <w:trHeight w:val="70"/>
        </w:trPr>
        <w:tc>
          <w:tcPr>
            <w:tcW w:w="1881" w:type="dxa"/>
          </w:tcPr>
          <w:p w:rsidR="007B26FF" w:rsidRPr="00481138" w:rsidRDefault="007B26FF" w:rsidP="009D6A77">
            <w:pPr>
              <w:pStyle w:val="Tabletext"/>
              <w:jc w:val="center"/>
            </w:pPr>
            <w:r w:rsidRPr="00481138">
              <w:t>10 µW (–20 dBm)</w:t>
            </w:r>
          </w:p>
        </w:tc>
        <w:tc>
          <w:tcPr>
            <w:tcW w:w="1705" w:type="dxa"/>
          </w:tcPr>
          <w:p w:rsidR="007B26FF" w:rsidRPr="00481138" w:rsidRDefault="007B26FF" w:rsidP="00481138">
            <w:pPr>
              <w:pStyle w:val="Tabletext"/>
              <w:jc w:val="center"/>
            </w:pPr>
            <w:r w:rsidRPr="00481138">
              <w:t>100</w:t>
            </w:r>
          </w:p>
        </w:tc>
        <w:tc>
          <w:tcPr>
            <w:tcW w:w="2349" w:type="dxa"/>
          </w:tcPr>
          <w:p w:rsidR="007B26FF" w:rsidRPr="00481138" w:rsidRDefault="007B26FF" w:rsidP="00481138">
            <w:pPr>
              <w:pStyle w:val="Tabletext"/>
              <w:jc w:val="center"/>
            </w:pPr>
            <w:r w:rsidRPr="00481138">
              <w:t>55</w:t>
            </w:r>
          </w:p>
        </w:tc>
        <w:tc>
          <w:tcPr>
            <w:tcW w:w="3060" w:type="dxa"/>
          </w:tcPr>
          <w:p w:rsidR="007B26FF" w:rsidRPr="00481138" w:rsidRDefault="007B26FF" w:rsidP="00481138">
            <w:pPr>
              <w:pStyle w:val="Tabletext"/>
              <w:jc w:val="center"/>
            </w:pPr>
            <w:r w:rsidRPr="00481138">
              <w:t>150</w:t>
            </w:r>
          </w:p>
        </w:tc>
      </w:tr>
      <w:tr w:rsidR="007B26FF" w:rsidRPr="007B74AE" w:rsidTr="007C725C">
        <w:trPr>
          <w:trHeight w:val="70"/>
        </w:trPr>
        <w:tc>
          <w:tcPr>
            <w:tcW w:w="1881" w:type="dxa"/>
          </w:tcPr>
          <w:p w:rsidR="007B26FF" w:rsidRPr="00481138" w:rsidRDefault="007B26FF" w:rsidP="009D6A77">
            <w:pPr>
              <w:pStyle w:val="Tabletext"/>
              <w:jc w:val="center"/>
            </w:pPr>
            <w:r w:rsidRPr="00481138">
              <w:t>5 mW</w:t>
            </w:r>
          </w:p>
        </w:tc>
        <w:tc>
          <w:tcPr>
            <w:tcW w:w="1705" w:type="dxa"/>
          </w:tcPr>
          <w:p w:rsidR="007B26FF" w:rsidRPr="00481138" w:rsidRDefault="007B26FF" w:rsidP="00481138">
            <w:pPr>
              <w:pStyle w:val="Tabletext"/>
              <w:jc w:val="center"/>
            </w:pPr>
            <w:r w:rsidRPr="00481138">
              <w:t>10-100</w:t>
            </w:r>
          </w:p>
        </w:tc>
        <w:tc>
          <w:tcPr>
            <w:tcW w:w="2349" w:type="dxa"/>
          </w:tcPr>
          <w:p w:rsidR="007B26FF" w:rsidRPr="00481138" w:rsidRDefault="007B26FF" w:rsidP="00481138">
            <w:pPr>
              <w:pStyle w:val="Tabletext"/>
              <w:jc w:val="center"/>
            </w:pPr>
            <w:r w:rsidRPr="00481138">
              <w:t>&gt;500</w:t>
            </w:r>
          </w:p>
        </w:tc>
        <w:tc>
          <w:tcPr>
            <w:tcW w:w="3060" w:type="dxa"/>
          </w:tcPr>
          <w:p w:rsidR="007B26FF" w:rsidRPr="00481138" w:rsidRDefault="007B26FF" w:rsidP="00481138">
            <w:pPr>
              <w:pStyle w:val="Tabletext"/>
              <w:jc w:val="center"/>
            </w:pPr>
            <w:r w:rsidRPr="00481138">
              <w:t>–</w:t>
            </w:r>
          </w:p>
        </w:tc>
      </w:tr>
      <w:tr w:rsidR="007B26FF" w:rsidRPr="007B74AE" w:rsidTr="007C725C">
        <w:trPr>
          <w:trHeight w:val="70"/>
        </w:trPr>
        <w:tc>
          <w:tcPr>
            <w:tcW w:w="1881" w:type="dxa"/>
          </w:tcPr>
          <w:p w:rsidR="007B26FF" w:rsidRPr="00481138" w:rsidRDefault="007B26FF" w:rsidP="009D6A77">
            <w:pPr>
              <w:pStyle w:val="Tabletext"/>
              <w:jc w:val="center"/>
            </w:pPr>
            <w:r w:rsidRPr="00481138">
              <w:t>10 mW</w:t>
            </w:r>
          </w:p>
        </w:tc>
        <w:tc>
          <w:tcPr>
            <w:tcW w:w="1705" w:type="dxa"/>
          </w:tcPr>
          <w:p w:rsidR="007B26FF" w:rsidRPr="00481138" w:rsidRDefault="007B26FF" w:rsidP="00481138">
            <w:pPr>
              <w:pStyle w:val="Tabletext"/>
              <w:jc w:val="center"/>
            </w:pPr>
            <w:r w:rsidRPr="00481138">
              <w:t>0,1-1</w:t>
            </w:r>
          </w:p>
        </w:tc>
        <w:tc>
          <w:tcPr>
            <w:tcW w:w="2349" w:type="dxa"/>
          </w:tcPr>
          <w:p w:rsidR="007B26FF" w:rsidRPr="00481138" w:rsidRDefault="007B26FF" w:rsidP="00481138">
            <w:pPr>
              <w:pStyle w:val="Tabletext"/>
              <w:jc w:val="center"/>
            </w:pPr>
            <w:r w:rsidRPr="00481138">
              <w:t>&gt;500</w:t>
            </w:r>
          </w:p>
        </w:tc>
        <w:tc>
          <w:tcPr>
            <w:tcW w:w="3060" w:type="dxa"/>
          </w:tcPr>
          <w:p w:rsidR="007B26FF" w:rsidRPr="00481138" w:rsidRDefault="007B26FF" w:rsidP="00481138">
            <w:pPr>
              <w:pStyle w:val="Tabletext"/>
              <w:jc w:val="center"/>
            </w:pPr>
            <w:r w:rsidRPr="00481138">
              <w:t>–</w:t>
            </w:r>
          </w:p>
        </w:tc>
      </w:tr>
      <w:tr w:rsidR="007B26FF" w:rsidRPr="007B74AE" w:rsidTr="007C725C">
        <w:trPr>
          <w:trHeight w:val="70"/>
        </w:trPr>
        <w:tc>
          <w:tcPr>
            <w:tcW w:w="1881" w:type="dxa"/>
          </w:tcPr>
          <w:p w:rsidR="007B26FF" w:rsidRPr="00481138" w:rsidRDefault="007B26FF" w:rsidP="009D6A77">
            <w:pPr>
              <w:pStyle w:val="Tabletext"/>
              <w:jc w:val="center"/>
            </w:pPr>
            <w:r w:rsidRPr="00481138">
              <w:t>25 mW</w:t>
            </w:r>
          </w:p>
        </w:tc>
        <w:tc>
          <w:tcPr>
            <w:tcW w:w="1705" w:type="dxa"/>
          </w:tcPr>
          <w:p w:rsidR="007B26FF" w:rsidRPr="00481138" w:rsidRDefault="007B26FF" w:rsidP="00481138">
            <w:pPr>
              <w:pStyle w:val="Tabletext"/>
              <w:jc w:val="center"/>
            </w:pPr>
            <w:r w:rsidRPr="00481138">
              <w:t>0,1-10</w:t>
            </w:r>
          </w:p>
        </w:tc>
        <w:tc>
          <w:tcPr>
            <w:tcW w:w="2349" w:type="dxa"/>
          </w:tcPr>
          <w:p w:rsidR="007B26FF" w:rsidRPr="00481138" w:rsidRDefault="007B26FF" w:rsidP="00481138">
            <w:pPr>
              <w:pStyle w:val="Tabletext"/>
              <w:jc w:val="center"/>
            </w:pPr>
            <w:r w:rsidRPr="00481138">
              <w:t>&gt;500</w:t>
            </w:r>
          </w:p>
        </w:tc>
        <w:tc>
          <w:tcPr>
            <w:tcW w:w="3060" w:type="dxa"/>
          </w:tcPr>
          <w:p w:rsidR="007B26FF" w:rsidRPr="00481138" w:rsidRDefault="007B26FF" w:rsidP="00481138">
            <w:pPr>
              <w:pStyle w:val="Tabletext"/>
              <w:jc w:val="center"/>
            </w:pPr>
            <w:r w:rsidRPr="00481138">
              <w:t>–</w:t>
            </w:r>
          </w:p>
        </w:tc>
      </w:tr>
      <w:tr w:rsidR="007B26FF" w:rsidRPr="007B74AE" w:rsidTr="007C725C">
        <w:trPr>
          <w:trHeight w:val="70"/>
        </w:trPr>
        <w:tc>
          <w:tcPr>
            <w:tcW w:w="1881" w:type="dxa"/>
          </w:tcPr>
          <w:p w:rsidR="007B26FF" w:rsidRPr="00481138" w:rsidRDefault="007B26FF" w:rsidP="009D6A77">
            <w:pPr>
              <w:pStyle w:val="Tabletext"/>
              <w:jc w:val="center"/>
            </w:pPr>
            <w:r w:rsidRPr="00481138">
              <w:t>100 mW</w:t>
            </w:r>
          </w:p>
        </w:tc>
        <w:tc>
          <w:tcPr>
            <w:tcW w:w="1705" w:type="dxa"/>
          </w:tcPr>
          <w:p w:rsidR="007B26FF" w:rsidRPr="00481138" w:rsidRDefault="007B26FF" w:rsidP="00481138">
            <w:pPr>
              <w:pStyle w:val="Tabletext"/>
              <w:jc w:val="center"/>
            </w:pPr>
            <w:r w:rsidRPr="00481138">
              <w:t>&lt;10%</w:t>
            </w:r>
          </w:p>
        </w:tc>
        <w:tc>
          <w:tcPr>
            <w:tcW w:w="2349" w:type="dxa"/>
          </w:tcPr>
          <w:p w:rsidR="007B26FF" w:rsidRPr="00481138" w:rsidRDefault="007B26FF" w:rsidP="00481138">
            <w:pPr>
              <w:pStyle w:val="Tabletext"/>
              <w:jc w:val="center"/>
            </w:pPr>
            <w:r w:rsidRPr="00481138">
              <w:t>&gt;500</w:t>
            </w:r>
          </w:p>
        </w:tc>
        <w:tc>
          <w:tcPr>
            <w:tcW w:w="3060" w:type="dxa"/>
          </w:tcPr>
          <w:p w:rsidR="007B26FF" w:rsidRPr="00481138" w:rsidRDefault="007B26FF" w:rsidP="00481138">
            <w:pPr>
              <w:pStyle w:val="Tabletext"/>
              <w:jc w:val="center"/>
            </w:pPr>
            <w:r w:rsidRPr="00481138">
              <w:t>–</w:t>
            </w:r>
          </w:p>
        </w:tc>
      </w:tr>
      <w:tr w:rsidR="007B26FF" w:rsidRPr="007B74AE" w:rsidTr="007C725C">
        <w:trPr>
          <w:trHeight w:val="70"/>
        </w:trPr>
        <w:tc>
          <w:tcPr>
            <w:tcW w:w="1881" w:type="dxa"/>
          </w:tcPr>
          <w:p w:rsidR="007B26FF" w:rsidRPr="00481138" w:rsidRDefault="007B26FF" w:rsidP="009D6A77">
            <w:pPr>
              <w:pStyle w:val="Tabletext"/>
              <w:jc w:val="center"/>
            </w:pPr>
            <w:r w:rsidRPr="00481138">
              <w:t>500 mW</w:t>
            </w:r>
          </w:p>
        </w:tc>
        <w:tc>
          <w:tcPr>
            <w:tcW w:w="1705" w:type="dxa"/>
          </w:tcPr>
          <w:p w:rsidR="007B26FF" w:rsidRPr="00481138" w:rsidRDefault="007B26FF" w:rsidP="00481138">
            <w:pPr>
              <w:pStyle w:val="Tabletext"/>
              <w:jc w:val="center"/>
            </w:pPr>
            <w:r w:rsidRPr="00481138">
              <w:t>&lt;10%</w:t>
            </w:r>
          </w:p>
        </w:tc>
        <w:tc>
          <w:tcPr>
            <w:tcW w:w="2349" w:type="dxa"/>
          </w:tcPr>
          <w:p w:rsidR="007B26FF" w:rsidRPr="00481138" w:rsidRDefault="007B26FF" w:rsidP="00481138">
            <w:pPr>
              <w:pStyle w:val="Tabletext"/>
              <w:jc w:val="center"/>
            </w:pPr>
            <w:r w:rsidRPr="00481138">
              <w:t>&gt;500</w:t>
            </w:r>
          </w:p>
        </w:tc>
        <w:tc>
          <w:tcPr>
            <w:tcW w:w="3060" w:type="dxa"/>
          </w:tcPr>
          <w:p w:rsidR="007B26FF" w:rsidRPr="00481138" w:rsidRDefault="007B26FF" w:rsidP="00481138">
            <w:pPr>
              <w:pStyle w:val="Tabletext"/>
              <w:jc w:val="center"/>
            </w:pPr>
            <w:r w:rsidRPr="00481138">
              <w:t>–</w:t>
            </w:r>
          </w:p>
        </w:tc>
      </w:tr>
      <w:tr w:rsidR="007B26FF" w:rsidRPr="007B74AE" w:rsidTr="007C725C">
        <w:trPr>
          <w:trHeight w:val="70"/>
        </w:trPr>
        <w:tc>
          <w:tcPr>
            <w:tcW w:w="1881" w:type="dxa"/>
          </w:tcPr>
          <w:p w:rsidR="007B26FF" w:rsidRPr="00481138" w:rsidRDefault="007B26FF" w:rsidP="009D6A77">
            <w:pPr>
              <w:pStyle w:val="Tabletext"/>
              <w:jc w:val="center"/>
            </w:pPr>
            <w:r w:rsidRPr="00481138">
              <w:t>1W</w:t>
            </w:r>
          </w:p>
        </w:tc>
        <w:tc>
          <w:tcPr>
            <w:tcW w:w="1705" w:type="dxa"/>
          </w:tcPr>
          <w:p w:rsidR="007B26FF" w:rsidRPr="00481138" w:rsidRDefault="007B26FF" w:rsidP="00481138">
            <w:pPr>
              <w:pStyle w:val="Tabletext"/>
              <w:jc w:val="center"/>
            </w:pPr>
            <w:r w:rsidRPr="00481138">
              <w:t>&lt;10%</w:t>
            </w:r>
          </w:p>
        </w:tc>
        <w:tc>
          <w:tcPr>
            <w:tcW w:w="2349" w:type="dxa"/>
          </w:tcPr>
          <w:p w:rsidR="007B26FF" w:rsidRPr="00481138" w:rsidRDefault="007B26FF" w:rsidP="00481138">
            <w:pPr>
              <w:pStyle w:val="Tabletext"/>
              <w:jc w:val="center"/>
            </w:pPr>
            <w:r w:rsidRPr="00481138">
              <w:t>&gt;500</w:t>
            </w:r>
          </w:p>
        </w:tc>
        <w:tc>
          <w:tcPr>
            <w:tcW w:w="3060" w:type="dxa"/>
          </w:tcPr>
          <w:p w:rsidR="007B26FF" w:rsidRPr="00481138" w:rsidRDefault="007B26FF" w:rsidP="00481138">
            <w:pPr>
              <w:pStyle w:val="Tabletext"/>
              <w:jc w:val="center"/>
            </w:pPr>
            <w:r w:rsidRPr="00481138">
              <w:t>–</w:t>
            </w:r>
          </w:p>
        </w:tc>
      </w:tr>
    </w:tbl>
    <w:p w:rsidR="007B26FF" w:rsidRDefault="007B26FF" w:rsidP="007C725C">
      <w:r w:rsidRPr="007B74AE">
        <w:t>On peut en conclure que:</w:t>
      </w:r>
    </w:p>
    <w:p w:rsidR="007B26FF" w:rsidRPr="007B74AE" w:rsidRDefault="007B26FF" w:rsidP="007C725C">
      <w:pPr>
        <w:pStyle w:val="enumlev1"/>
      </w:pPr>
      <w:r w:rsidRPr="007B74AE">
        <w:t>–</w:t>
      </w:r>
      <w:r w:rsidRPr="007B74AE">
        <w:tab/>
        <w:t xml:space="preserve">Un </w:t>
      </w:r>
      <w:r>
        <w:t>dispositif avec filtre FI de 30 ou 25 </w:t>
      </w:r>
      <w:r w:rsidRPr="007B74AE">
        <w:t>kHz convient à toutes les mesures, sauf pour les étiquettes RFID, le délai de réobservation correspondant étant de 10ms; le rayon d</w:t>
      </w:r>
      <w:r>
        <w:t>e couverture sera d'environ 500 </w:t>
      </w:r>
      <w:r w:rsidRPr="007B74AE">
        <w:t>m, au maximum.</w:t>
      </w:r>
    </w:p>
    <w:p w:rsidR="007B26FF" w:rsidRPr="007B74AE" w:rsidRDefault="007B26FF" w:rsidP="008B6E04">
      <w:pPr>
        <w:pStyle w:val="enumlev1"/>
      </w:pPr>
      <w:r w:rsidRPr="007B74AE">
        <w:t>–</w:t>
      </w:r>
      <w:r w:rsidRPr="007B74AE">
        <w:tab/>
        <w:t>Un d</w:t>
      </w:r>
      <w:r>
        <w:t>ispositif avec filtre FI de 300 </w:t>
      </w:r>
      <w:r w:rsidRPr="007B74AE">
        <w:t>kHz convient pour les mesures RFID, dans l'hypothèse où l'affaiblisseur de l'analyseur est éteint et où l'affaiblissement global dû à la présence de murs et aux conditions environ</w:t>
      </w:r>
      <w:r>
        <w:t>nantes n'est pas supérieur à 10 </w:t>
      </w:r>
      <w:r w:rsidRPr="007B74AE">
        <w:t>dB; le rayon de couve</w:t>
      </w:r>
      <w:r>
        <w:t>rture sera alors de quelque 150 </w:t>
      </w:r>
      <w:r w:rsidRPr="007B74AE">
        <w:t>m.</w:t>
      </w:r>
    </w:p>
    <w:p w:rsidR="007B26FF" w:rsidRPr="007B74AE" w:rsidRDefault="007B26FF" w:rsidP="007C725C">
      <w:pPr>
        <w:pStyle w:val="enumlev1"/>
      </w:pPr>
      <w:r w:rsidRPr="007B74AE">
        <w:t>–</w:t>
      </w:r>
      <w:r w:rsidRPr="007B74AE">
        <w:tab/>
        <w:t>Il n'est pas utile d'estimer</w:t>
      </w:r>
      <w:r>
        <w:t xml:space="preserve"> des couvertures de plus de 500 </w:t>
      </w:r>
      <w:r w:rsidRPr="007B74AE">
        <w:t>m de rayon étant donné la présence de multiple facteurs d'affaiblissement.</w:t>
      </w:r>
    </w:p>
    <w:p w:rsidR="007B26FF" w:rsidRPr="007B74AE" w:rsidRDefault="007B26FF" w:rsidP="007C725C">
      <w:pPr>
        <w:pStyle w:val="enumlev1"/>
        <w:rPr>
          <w:b/>
        </w:rPr>
      </w:pPr>
      <w:r w:rsidRPr="007B74AE">
        <w:lastRenderedPageBreak/>
        <w:t>–</w:t>
      </w:r>
      <w:r w:rsidRPr="007B74AE">
        <w:tab/>
        <w:t xml:space="preserve">Il peut ne pas être inutile d'utiliser un préamplificateur avec présélecteur lorsqu'on emploie un analyseur ou un récepteur de milieu de gamme dans des conditions de fort affaiblissement dû à la présence du murs. </w:t>
      </w:r>
    </w:p>
    <w:p w:rsidR="007B26FF" w:rsidRPr="007B74AE" w:rsidRDefault="007B26FF" w:rsidP="007C725C">
      <w:pPr>
        <w:pStyle w:val="Heading2"/>
      </w:pPr>
      <w:bookmarkStart w:id="15" w:name="_Toc242157278"/>
      <w:bookmarkStart w:id="16" w:name="_Toc250970858"/>
      <w:bookmarkStart w:id="17" w:name="_Toc250981214"/>
      <w:bookmarkStart w:id="18" w:name="_Toc268523678"/>
      <w:r w:rsidRPr="007B74AE">
        <w:t>2.7</w:t>
      </w:r>
      <w:r w:rsidRPr="007B74AE">
        <w:tab/>
        <w:t>Antenn</w:t>
      </w:r>
      <w:bookmarkEnd w:id="15"/>
      <w:bookmarkEnd w:id="16"/>
      <w:bookmarkEnd w:id="17"/>
      <w:r w:rsidRPr="007B74AE">
        <w:t>e</w:t>
      </w:r>
      <w:bookmarkEnd w:id="18"/>
    </w:p>
    <w:p w:rsidR="007B26FF" w:rsidRPr="007B74AE" w:rsidRDefault="007B26FF" w:rsidP="007C725C">
      <w:pPr>
        <w:rPr>
          <w:rFonts w:cs="Arial"/>
        </w:rPr>
      </w:pPr>
      <w:r w:rsidRPr="007B74AE">
        <w:rPr>
          <w:rFonts w:cs="Arial"/>
        </w:rPr>
        <w:t xml:space="preserve">Une mesure effectuée dans une zone névralgique SRD est comparable à une mesure de bruit radioélectrique, étant donné qu'il n'est pas possible dans la plupart des cas de donner une direction fixe d'où arrive la plus grande partie du rayonnement; toutefois, il existe une exception pour les lecteurs RFID à puissance relativement élevée. L'utilisation d'une antenne verticale à gain vertical, par exemple une antenne colinéaire, présente un avantage sur une antenne verticale à plan de sol ou une antenne log-périodique, sauf lorsqu'il existe une forte indication que des dispositifs SRD émettent à de grands angles; dans ce cas, il est possible de procéder aux mesures en utilisant des antennes directives ou des antennes à faible gain vertical. On préfèrera une antenne passive suivie d'un filtre de bande et d'un préamplificateur ou une antenne active à bande étroite plutôt qu'une antenne active à bande large, parce que même des produits IM extrêmement faibles peuvent perturber les résultats des mesures. </w:t>
      </w:r>
    </w:p>
    <w:p w:rsidR="007B26FF" w:rsidRPr="007B74AE" w:rsidRDefault="007B26FF" w:rsidP="007C725C">
      <w:pPr>
        <w:pStyle w:val="Heading2"/>
      </w:pPr>
      <w:bookmarkStart w:id="19" w:name="_Toc242157279"/>
      <w:bookmarkStart w:id="20" w:name="_Toc250970859"/>
      <w:bookmarkStart w:id="21" w:name="_Toc250981215"/>
      <w:bookmarkStart w:id="22" w:name="_Toc268523679"/>
      <w:r w:rsidRPr="007B74AE">
        <w:t>2.8</w:t>
      </w:r>
      <w:r w:rsidRPr="007B74AE">
        <w:tab/>
      </w:r>
      <w:bookmarkEnd w:id="19"/>
      <w:bookmarkEnd w:id="20"/>
      <w:bookmarkEnd w:id="21"/>
      <w:r w:rsidRPr="007B74AE">
        <w:t>Qualité du système de réception</w:t>
      </w:r>
      <w:bookmarkEnd w:id="22"/>
    </w:p>
    <w:p w:rsidR="007B26FF" w:rsidRPr="007B74AE" w:rsidRDefault="007B26FF" w:rsidP="007C725C">
      <w:pPr>
        <w:rPr>
          <w:rFonts w:cs="Arial"/>
        </w:rPr>
      </w:pPr>
      <w:r w:rsidRPr="007B74AE">
        <w:rPr>
          <w:rFonts w:cs="Arial"/>
        </w:rPr>
        <w:t xml:space="preserve">Pour le contrôle de dispositifs SRD, on peut utiliser un système de réception normal, mais la qualité des données de contrôle dépend seulement de la qualité du récepteur étant donné qu'il n'est pas possible de procéder à un contrôle auditif. Comme il est difficile de séparer les produits d'intermodulation des émissions SRD proprement dites, il faudrait plus ou moins les éliminer techniquement. Le système doit être doté d'un équilibre donné entre sensibilité et linéarité. Si le récepteur doit être pourvu d'un préamplificateur, il est vraisemblable qu'il faudra utiliser un filtre de présélection. </w:t>
      </w:r>
    </w:p>
    <w:p w:rsidR="007B26FF" w:rsidRPr="007B74AE" w:rsidRDefault="007B26FF" w:rsidP="007C725C">
      <w:r w:rsidRPr="007B74AE">
        <w:t>Pour un appareillage type, un analyseur caractérisé par une valeur de bruit de 8 dB et un IP de 3ème ordre de 25 dBm doit être doté d'un préamplificateur de 10</w:t>
      </w:r>
      <w:r w:rsidRPr="007B74AE">
        <w:noBreakHyphen/>
        <w:t>15 dB et d'un filtre de présélection.</w:t>
      </w:r>
    </w:p>
    <w:p w:rsidR="007B26FF" w:rsidRPr="007B74AE" w:rsidRDefault="007B26FF" w:rsidP="007C725C">
      <w:pPr>
        <w:pStyle w:val="Heading1"/>
      </w:pPr>
      <w:bookmarkStart w:id="23" w:name="_Toc242157280"/>
      <w:bookmarkStart w:id="24" w:name="_Toc250970860"/>
      <w:bookmarkStart w:id="25" w:name="_Toc250981216"/>
      <w:bookmarkStart w:id="26" w:name="_Toc268523680"/>
      <w:r w:rsidRPr="007B74AE">
        <w:t>3</w:t>
      </w:r>
      <w:r w:rsidRPr="007B74AE">
        <w:tab/>
        <w:t>Analyse et présentation</w:t>
      </w:r>
      <w:bookmarkEnd w:id="23"/>
      <w:bookmarkEnd w:id="24"/>
      <w:bookmarkEnd w:id="25"/>
      <w:r w:rsidRPr="007B74AE">
        <w:t xml:space="preserve"> des données</w:t>
      </w:r>
      <w:bookmarkEnd w:id="26"/>
    </w:p>
    <w:p w:rsidR="007B26FF" w:rsidRPr="007B74AE" w:rsidRDefault="007B26FF" w:rsidP="007C725C">
      <w:pPr>
        <w:rPr>
          <w:rFonts w:cs="Arial"/>
        </w:rPr>
      </w:pPr>
      <w:r w:rsidRPr="007B74AE">
        <w:rPr>
          <w:rFonts w:cs="Arial"/>
          <w:szCs w:val="24"/>
        </w:rPr>
        <w:t>Un spectrogramme donne une illustration de la dynamique des bandes de fréquence et revêt donc un certain intérêt comme source d'information supplémentaire. Un diagramme d'occupation révèle les détails d'occupation pour chaque emplacement non visible dans le format tabulaire, de sorte qu'il faudrait ajouter également ce type de diagramme</w:t>
      </w:r>
      <w:r>
        <w:rPr>
          <w:rFonts w:cs="Arial"/>
          <w:szCs w:val="24"/>
        </w:rPr>
        <w:t>s</w:t>
      </w:r>
      <w:r w:rsidRPr="007B74AE">
        <w:rPr>
          <w:rFonts w:cs="Arial"/>
          <w:szCs w:val="24"/>
        </w:rPr>
        <w:t xml:space="preserve">, pour lesquels on retiendra une résolution inférieure à la largeur de bande la plus élevée pour les bandes de fréquence caractérisées par des largeurs de bande d'émission mixtes. </w:t>
      </w:r>
    </w:p>
    <w:p w:rsidR="007B26FF" w:rsidRPr="007B74AE" w:rsidRDefault="007B26FF" w:rsidP="008B6E04">
      <w:pPr>
        <w:rPr>
          <w:rFonts w:cs="Arial"/>
        </w:rPr>
      </w:pPr>
      <w:r w:rsidRPr="007B74AE">
        <w:rPr>
          <w:rFonts w:cs="Arial"/>
        </w:rPr>
        <w:t>On peut supposer que les valeurs d'occupation du spectre sont très étroitement liées aux pays choisis, de sorte qu'il est souhaitable, lors de la réalisation d'une campagne de contrôle internationale, de procéder à une analyse basée sur les observations faites à l'intérieur d'un pays. Les chiffres d'occupation d</w:t>
      </w:r>
      <w:r>
        <w:rPr>
          <w:rFonts w:cs="Arial"/>
        </w:rPr>
        <w:t>evraient être des valeurs de 10 </w:t>
      </w:r>
      <w:r w:rsidRPr="007B74AE">
        <w:rPr>
          <w:rFonts w:cs="Arial"/>
        </w:rPr>
        <w:t>dB supérieurs au seuil du bruit r.m.s. du récepteur. Il conviendrait de présenter avec les diagrammes d'occupation une analyse manuelle et une interprétation des chiffres; pour indiquer la possibilité de partage, on peut utiliser un pourcentage d'utilisation sur des segments de fréquence spécifiques, par exemple uniquement la section RFID.</w:t>
      </w:r>
    </w:p>
    <w:p w:rsidR="007B26FF" w:rsidRPr="007B74AE" w:rsidRDefault="007B26FF" w:rsidP="007C725C">
      <w:pPr>
        <w:rPr>
          <w:rFonts w:cs="Arial"/>
        </w:rPr>
      </w:pPr>
      <w:r w:rsidRPr="007B74AE">
        <w:rPr>
          <w:rFonts w:cs="Arial"/>
        </w:rPr>
        <w:t xml:space="preserve">On peut également utiliser un tableau du type ci-dessous, dont les valeurs sont juste des exemples et ne sont pas des résultats concrets de mesure. Le tableau doit être modifié/détaillé en fonction de la bande supportant le trafic. Quelques exemples sont donnés et on peut utiliser des chiffres d'occupation par application pour indiquer les possibilités de partage en fonction des emplacements. </w:t>
      </w:r>
    </w:p>
    <w:p w:rsidR="007B26FF" w:rsidRPr="007B74AE" w:rsidRDefault="007B26FF" w:rsidP="007C725C">
      <w:pPr>
        <w:rPr>
          <w:rFonts w:cs="Arial"/>
        </w:rPr>
      </w:pPr>
      <w:r w:rsidRPr="007B74AE">
        <w:rPr>
          <w:rFonts w:cs="Arial"/>
        </w:rPr>
        <w:lastRenderedPageBreak/>
        <w:t>On calcule les chiffres d'occupation à l'aide d'une matrice temps/fréquence dans laque</w:t>
      </w:r>
      <w:r>
        <w:rPr>
          <w:rFonts w:cs="Arial"/>
        </w:rPr>
        <w:t>lle chaque valeur de 10 </w:t>
      </w:r>
      <w:r w:rsidRPr="007B74AE">
        <w:rPr>
          <w:rFonts w:cs="Arial"/>
        </w:rPr>
        <w:t xml:space="preserve">dB supérieure au seuil de bruit r.m.s. du récepteur mentionné peut être considérée comme occupée. Etant donné les propriétés "bruyantes" des émissions SRD, il conviendrait de ne pas utiliser un squelch, ou un seuil dynamique conventionnel, qui est ajusté à des intervalles relativement longs, mais plutôt un seuil fixe en fonction de la valeur plancher de bruit du récepteur utilisé et de l'environnement mesuré. Une autre possibilité consiste à déterminer la valeur plancher de bruit balayage par balayage, et d'ajuster le seuil en conséquence. </w:t>
      </w:r>
    </w:p>
    <w:p w:rsidR="007B26FF" w:rsidRDefault="007B26FF" w:rsidP="008B6E04">
      <w:pPr>
        <w:rPr>
          <w:rFonts w:cs="Arial"/>
        </w:rPr>
      </w:pPr>
      <w:r w:rsidRPr="007B74AE">
        <w:rPr>
          <w:rFonts w:cs="Arial"/>
        </w:rPr>
        <w:t xml:space="preserve">Etant donné la largeur de bande de résolution et la largeur de bande des dispositifs d'émission, certaines valeurs sont corrélées suivant la bande contrôlée; ce n'est pas un problème puisqu'on ne procède pas à une analyse du nombre de dispositifs dans une bande particulière. </w:t>
      </w:r>
    </w:p>
    <w:p w:rsidR="00543ADB" w:rsidRPr="004A6105" w:rsidRDefault="00543ADB" w:rsidP="00543ADB">
      <w:pPr>
        <w:pStyle w:val="Blanc"/>
        <w:rPr>
          <w:lang w:val="fr-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18"/>
        <w:gridCol w:w="1201"/>
        <w:gridCol w:w="1620"/>
        <w:gridCol w:w="2160"/>
        <w:gridCol w:w="1539"/>
      </w:tblGrid>
      <w:tr w:rsidR="007B26FF" w:rsidRPr="007B74AE" w:rsidTr="00543ADB">
        <w:tc>
          <w:tcPr>
            <w:tcW w:w="1701" w:type="dxa"/>
            <w:vMerge w:val="restart"/>
            <w:shd w:val="clear" w:color="auto" w:fill="auto"/>
            <w:vAlign w:val="center"/>
          </w:tcPr>
          <w:p w:rsidR="007B26FF" w:rsidRPr="00543ADB" w:rsidRDefault="007B26FF" w:rsidP="00543ADB">
            <w:pPr>
              <w:pStyle w:val="Tablehead"/>
            </w:pPr>
            <w:r w:rsidRPr="00543ADB">
              <w:t>Emplacement</w:t>
            </w:r>
          </w:p>
        </w:tc>
        <w:tc>
          <w:tcPr>
            <w:tcW w:w="1418" w:type="dxa"/>
            <w:vMerge w:val="restart"/>
            <w:shd w:val="clear" w:color="auto" w:fill="auto"/>
            <w:vAlign w:val="center"/>
          </w:tcPr>
          <w:p w:rsidR="007B26FF" w:rsidRPr="00543ADB" w:rsidRDefault="007B26FF" w:rsidP="00543ADB">
            <w:pPr>
              <w:pStyle w:val="Tablehead"/>
            </w:pPr>
            <w:r w:rsidRPr="00543ADB">
              <w:t>Type</w:t>
            </w:r>
          </w:p>
        </w:tc>
        <w:tc>
          <w:tcPr>
            <w:tcW w:w="6520" w:type="dxa"/>
            <w:gridSpan w:val="4"/>
            <w:shd w:val="clear" w:color="auto" w:fill="auto"/>
          </w:tcPr>
          <w:p w:rsidR="007B26FF" w:rsidRPr="00543ADB" w:rsidRDefault="007B26FF" w:rsidP="00543ADB">
            <w:pPr>
              <w:pStyle w:val="Tablehead"/>
            </w:pPr>
            <w:r w:rsidRPr="00543ADB">
              <w:t>Occupation</w:t>
            </w:r>
            <w:r w:rsidRPr="00543ADB">
              <w:br/>
              <w:t>(%)</w:t>
            </w:r>
          </w:p>
        </w:tc>
      </w:tr>
      <w:tr w:rsidR="007B26FF" w:rsidRPr="007B74AE" w:rsidTr="00543ADB">
        <w:tc>
          <w:tcPr>
            <w:tcW w:w="1701" w:type="dxa"/>
            <w:vMerge/>
            <w:shd w:val="clear" w:color="auto" w:fill="auto"/>
          </w:tcPr>
          <w:p w:rsidR="007B26FF" w:rsidRPr="00543ADB" w:rsidRDefault="007B26FF" w:rsidP="00543ADB">
            <w:pPr>
              <w:pStyle w:val="Tablehead"/>
            </w:pPr>
          </w:p>
        </w:tc>
        <w:tc>
          <w:tcPr>
            <w:tcW w:w="1418" w:type="dxa"/>
            <w:vMerge/>
            <w:shd w:val="clear" w:color="auto" w:fill="auto"/>
          </w:tcPr>
          <w:p w:rsidR="007B26FF" w:rsidRPr="00543ADB" w:rsidRDefault="007B26FF" w:rsidP="00543ADB">
            <w:pPr>
              <w:pStyle w:val="Tablehead"/>
            </w:pPr>
          </w:p>
        </w:tc>
        <w:tc>
          <w:tcPr>
            <w:tcW w:w="1201" w:type="dxa"/>
            <w:shd w:val="clear" w:color="auto" w:fill="auto"/>
          </w:tcPr>
          <w:p w:rsidR="007B26FF" w:rsidRPr="00543ADB" w:rsidRDefault="007B26FF" w:rsidP="00543ADB">
            <w:pPr>
              <w:pStyle w:val="Tablehead"/>
            </w:pPr>
            <w:r w:rsidRPr="00543ADB">
              <w:t>Total</w:t>
            </w:r>
          </w:p>
        </w:tc>
        <w:tc>
          <w:tcPr>
            <w:tcW w:w="1620" w:type="dxa"/>
            <w:shd w:val="clear" w:color="auto" w:fill="auto"/>
          </w:tcPr>
          <w:p w:rsidR="007B26FF" w:rsidRPr="00543ADB" w:rsidRDefault="007B26FF" w:rsidP="00543ADB">
            <w:pPr>
              <w:pStyle w:val="Tablehead"/>
            </w:pPr>
            <w:r w:rsidRPr="00543ADB">
              <w:t>Non spécifique</w:t>
            </w:r>
          </w:p>
        </w:tc>
        <w:tc>
          <w:tcPr>
            <w:tcW w:w="2160" w:type="dxa"/>
            <w:shd w:val="clear" w:color="auto" w:fill="auto"/>
          </w:tcPr>
          <w:p w:rsidR="007B26FF" w:rsidRPr="00543ADB" w:rsidRDefault="007B26FF" w:rsidP="00543ADB">
            <w:pPr>
              <w:pStyle w:val="Tablehead"/>
            </w:pPr>
            <w:r w:rsidRPr="00543ADB">
              <w:t>Alarmes</w:t>
            </w:r>
          </w:p>
        </w:tc>
        <w:tc>
          <w:tcPr>
            <w:tcW w:w="1539" w:type="dxa"/>
            <w:shd w:val="clear" w:color="auto" w:fill="auto"/>
          </w:tcPr>
          <w:p w:rsidR="007B26FF" w:rsidRPr="00543ADB" w:rsidRDefault="007B26FF" w:rsidP="00543ADB">
            <w:pPr>
              <w:pStyle w:val="Tablehead"/>
            </w:pPr>
            <w:r w:rsidRPr="00543ADB">
              <w:t>Audio</w:t>
            </w:r>
          </w:p>
        </w:tc>
      </w:tr>
      <w:tr w:rsidR="007B26FF" w:rsidRPr="007B74AE" w:rsidTr="00543ADB">
        <w:tc>
          <w:tcPr>
            <w:tcW w:w="1701" w:type="dxa"/>
            <w:vMerge/>
            <w:shd w:val="clear" w:color="auto" w:fill="auto"/>
          </w:tcPr>
          <w:p w:rsidR="007B26FF" w:rsidRPr="00543ADB" w:rsidRDefault="007B26FF" w:rsidP="00543ADB">
            <w:pPr>
              <w:pStyle w:val="Tablehead"/>
            </w:pPr>
          </w:p>
        </w:tc>
        <w:tc>
          <w:tcPr>
            <w:tcW w:w="1418" w:type="dxa"/>
            <w:vMerge/>
            <w:shd w:val="clear" w:color="auto" w:fill="auto"/>
          </w:tcPr>
          <w:p w:rsidR="007B26FF" w:rsidRPr="00543ADB" w:rsidRDefault="007B26FF" w:rsidP="00543ADB">
            <w:pPr>
              <w:pStyle w:val="Tablehead"/>
            </w:pPr>
          </w:p>
        </w:tc>
        <w:tc>
          <w:tcPr>
            <w:tcW w:w="1201" w:type="dxa"/>
            <w:shd w:val="clear" w:color="auto" w:fill="auto"/>
            <w:vAlign w:val="center"/>
          </w:tcPr>
          <w:p w:rsidR="007B26FF" w:rsidRPr="00543ADB" w:rsidRDefault="007B26FF" w:rsidP="00543ADB">
            <w:pPr>
              <w:pStyle w:val="Tablehead"/>
            </w:pPr>
            <w:r w:rsidRPr="00543ADB">
              <w:t>863-870</w:t>
            </w:r>
          </w:p>
        </w:tc>
        <w:tc>
          <w:tcPr>
            <w:tcW w:w="1620" w:type="dxa"/>
            <w:shd w:val="clear" w:color="auto" w:fill="auto"/>
          </w:tcPr>
          <w:p w:rsidR="007B26FF" w:rsidRPr="00543ADB" w:rsidRDefault="007B26FF" w:rsidP="00543ADB">
            <w:pPr>
              <w:pStyle w:val="Tablehead"/>
            </w:pPr>
            <w:r w:rsidRPr="00543ADB">
              <w:t>868,0-868,6</w:t>
            </w:r>
            <w:r w:rsidRPr="00543ADB">
              <w:br/>
              <w:t>868,7-868,2</w:t>
            </w:r>
            <w:r w:rsidRPr="00543ADB">
              <w:br/>
              <w:t>869,4-869,5</w:t>
            </w:r>
            <w:r w:rsidRPr="00543ADB">
              <w:br/>
              <w:t>869,7-870,0</w:t>
            </w:r>
          </w:p>
        </w:tc>
        <w:tc>
          <w:tcPr>
            <w:tcW w:w="2160" w:type="dxa"/>
            <w:shd w:val="clear" w:color="auto" w:fill="auto"/>
          </w:tcPr>
          <w:p w:rsidR="007B26FF" w:rsidRPr="00543ADB" w:rsidRDefault="007B26FF" w:rsidP="00543ADB">
            <w:pPr>
              <w:pStyle w:val="Tablehead"/>
            </w:pPr>
            <w:r w:rsidRPr="00543ADB">
              <w:t>869,250-869,300</w:t>
            </w:r>
            <w:r w:rsidRPr="00543ADB">
              <w:br/>
              <w:t>869,650-869,700</w:t>
            </w:r>
            <w:r w:rsidRPr="00543ADB">
              <w:br/>
              <w:t>869,200-869,250</w:t>
            </w:r>
            <w:r w:rsidRPr="00543ADB">
              <w:br/>
              <w:t>869,300-869,400</w:t>
            </w:r>
          </w:p>
        </w:tc>
        <w:tc>
          <w:tcPr>
            <w:tcW w:w="1539" w:type="dxa"/>
            <w:shd w:val="clear" w:color="auto" w:fill="auto"/>
            <w:vAlign w:val="center"/>
          </w:tcPr>
          <w:p w:rsidR="007B26FF" w:rsidRPr="00543ADB" w:rsidRDefault="007B26FF" w:rsidP="00543ADB">
            <w:pPr>
              <w:pStyle w:val="Tablehead"/>
            </w:pPr>
            <w:r w:rsidRPr="00543ADB">
              <w:t>863,0-865,0</w:t>
            </w:r>
            <w:r w:rsidRPr="00543ADB">
              <w:br/>
              <w:t>864,8-865,0</w:t>
            </w:r>
          </w:p>
        </w:tc>
      </w:tr>
      <w:tr w:rsidR="007B26FF" w:rsidRPr="007B74AE" w:rsidTr="00543ADB">
        <w:tc>
          <w:tcPr>
            <w:tcW w:w="1701" w:type="dxa"/>
          </w:tcPr>
          <w:p w:rsidR="007B26FF" w:rsidRPr="00543ADB" w:rsidRDefault="007B26FF" w:rsidP="00543ADB">
            <w:pPr>
              <w:pStyle w:val="Tabletext"/>
            </w:pPr>
            <w:r w:rsidRPr="00543ADB">
              <w:t>Amsterdam WTC</w:t>
            </w:r>
          </w:p>
        </w:tc>
        <w:tc>
          <w:tcPr>
            <w:tcW w:w="1418" w:type="dxa"/>
          </w:tcPr>
          <w:p w:rsidR="007B26FF" w:rsidRPr="00543ADB" w:rsidRDefault="007B26FF" w:rsidP="00543ADB">
            <w:pPr>
              <w:pStyle w:val="Tabletext"/>
            </w:pPr>
            <w:r w:rsidRPr="00543ADB">
              <w:t>Bureaux</w:t>
            </w:r>
          </w:p>
        </w:tc>
        <w:tc>
          <w:tcPr>
            <w:tcW w:w="1201" w:type="dxa"/>
          </w:tcPr>
          <w:p w:rsidR="007B26FF" w:rsidRPr="00543ADB" w:rsidRDefault="007B26FF" w:rsidP="004B264C">
            <w:pPr>
              <w:pStyle w:val="Tabletext"/>
              <w:jc w:val="center"/>
            </w:pPr>
            <w:r w:rsidRPr="00543ADB">
              <w:t>20</w:t>
            </w:r>
          </w:p>
        </w:tc>
        <w:tc>
          <w:tcPr>
            <w:tcW w:w="1620" w:type="dxa"/>
          </w:tcPr>
          <w:p w:rsidR="007B26FF" w:rsidRPr="00543ADB" w:rsidRDefault="007B26FF" w:rsidP="004B264C">
            <w:pPr>
              <w:pStyle w:val="Tabletext"/>
              <w:jc w:val="center"/>
            </w:pPr>
            <w:r w:rsidRPr="00543ADB">
              <w:t>0</w:t>
            </w:r>
          </w:p>
        </w:tc>
        <w:tc>
          <w:tcPr>
            <w:tcW w:w="2160" w:type="dxa"/>
          </w:tcPr>
          <w:p w:rsidR="007B26FF" w:rsidRPr="00543ADB" w:rsidRDefault="007B26FF" w:rsidP="004B264C">
            <w:pPr>
              <w:pStyle w:val="Tabletext"/>
              <w:jc w:val="center"/>
            </w:pPr>
            <w:r w:rsidRPr="00543ADB">
              <w:t>2</w:t>
            </w:r>
          </w:p>
        </w:tc>
        <w:tc>
          <w:tcPr>
            <w:tcW w:w="1539" w:type="dxa"/>
          </w:tcPr>
          <w:p w:rsidR="007B26FF" w:rsidRPr="00543ADB" w:rsidRDefault="007B26FF" w:rsidP="004B264C">
            <w:pPr>
              <w:pStyle w:val="Tabletext"/>
              <w:jc w:val="center"/>
            </w:pPr>
            <w:r w:rsidRPr="00543ADB">
              <w:t>0</w:t>
            </w:r>
          </w:p>
        </w:tc>
      </w:tr>
      <w:tr w:rsidR="007B26FF" w:rsidRPr="007B74AE" w:rsidTr="00543ADB">
        <w:tc>
          <w:tcPr>
            <w:tcW w:w="1701" w:type="dxa"/>
          </w:tcPr>
          <w:p w:rsidR="007B26FF" w:rsidRPr="00543ADB" w:rsidRDefault="007B26FF" w:rsidP="00543ADB">
            <w:pPr>
              <w:pStyle w:val="Tabletext"/>
            </w:pPr>
            <w:r w:rsidRPr="00543ADB">
              <w:t>Amsterdam WTC</w:t>
            </w:r>
          </w:p>
        </w:tc>
        <w:tc>
          <w:tcPr>
            <w:tcW w:w="1418" w:type="dxa"/>
          </w:tcPr>
          <w:p w:rsidR="007B26FF" w:rsidRPr="00543ADB" w:rsidRDefault="007B26FF" w:rsidP="00543ADB">
            <w:pPr>
              <w:pStyle w:val="Tabletext"/>
            </w:pPr>
            <w:r w:rsidRPr="00543ADB">
              <w:t>Parking</w:t>
            </w:r>
          </w:p>
        </w:tc>
        <w:tc>
          <w:tcPr>
            <w:tcW w:w="1201" w:type="dxa"/>
          </w:tcPr>
          <w:p w:rsidR="007B26FF" w:rsidRPr="00543ADB" w:rsidRDefault="007B26FF" w:rsidP="004B264C">
            <w:pPr>
              <w:pStyle w:val="Tabletext"/>
              <w:jc w:val="center"/>
            </w:pPr>
            <w:r w:rsidRPr="00543ADB">
              <w:t>3</w:t>
            </w:r>
          </w:p>
        </w:tc>
        <w:tc>
          <w:tcPr>
            <w:tcW w:w="1620" w:type="dxa"/>
          </w:tcPr>
          <w:p w:rsidR="007B26FF" w:rsidRPr="00543ADB" w:rsidRDefault="007B26FF" w:rsidP="004B264C">
            <w:pPr>
              <w:pStyle w:val="Tabletext"/>
              <w:jc w:val="center"/>
            </w:pPr>
            <w:r w:rsidRPr="00543ADB">
              <w:t>2</w:t>
            </w:r>
          </w:p>
        </w:tc>
        <w:tc>
          <w:tcPr>
            <w:tcW w:w="2160" w:type="dxa"/>
          </w:tcPr>
          <w:p w:rsidR="007B26FF" w:rsidRPr="00543ADB" w:rsidRDefault="007B26FF" w:rsidP="004B264C">
            <w:pPr>
              <w:pStyle w:val="Tabletext"/>
              <w:jc w:val="center"/>
            </w:pPr>
            <w:r w:rsidRPr="00543ADB">
              <w:t>0</w:t>
            </w:r>
          </w:p>
        </w:tc>
        <w:tc>
          <w:tcPr>
            <w:tcW w:w="1539" w:type="dxa"/>
          </w:tcPr>
          <w:p w:rsidR="007B26FF" w:rsidRPr="00543ADB" w:rsidRDefault="007B26FF" w:rsidP="004B264C">
            <w:pPr>
              <w:pStyle w:val="Tabletext"/>
              <w:jc w:val="center"/>
            </w:pPr>
            <w:r w:rsidRPr="00543ADB">
              <w:t>0</w:t>
            </w:r>
          </w:p>
        </w:tc>
      </w:tr>
    </w:tbl>
    <w:p w:rsidR="007B26FF" w:rsidRPr="007B74AE" w:rsidRDefault="007B26FF" w:rsidP="004B264C">
      <w:pPr>
        <w:spacing w:before="0"/>
        <w:rPr>
          <w:rFonts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126"/>
        <w:gridCol w:w="1534"/>
        <w:gridCol w:w="2340"/>
        <w:gridCol w:w="2079"/>
      </w:tblGrid>
      <w:tr w:rsidR="007B26FF" w:rsidRPr="007B74AE" w:rsidTr="00543ADB">
        <w:tc>
          <w:tcPr>
            <w:tcW w:w="1560" w:type="dxa"/>
            <w:vMerge w:val="restart"/>
            <w:shd w:val="clear" w:color="auto" w:fill="auto"/>
            <w:vAlign w:val="center"/>
          </w:tcPr>
          <w:p w:rsidR="007B26FF" w:rsidRPr="00543ADB" w:rsidRDefault="007B26FF" w:rsidP="00543ADB">
            <w:pPr>
              <w:pStyle w:val="Tablehead"/>
            </w:pPr>
            <w:r w:rsidRPr="00543ADB">
              <w:t>Emplacement</w:t>
            </w:r>
          </w:p>
        </w:tc>
        <w:tc>
          <w:tcPr>
            <w:tcW w:w="2126" w:type="dxa"/>
            <w:vMerge w:val="restart"/>
            <w:shd w:val="clear" w:color="auto" w:fill="auto"/>
            <w:vAlign w:val="center"/>
          </w:tcPr>
          <w:p w:rsidR="007B26FF" w:rsidRPr="00543ADB" w:rsidRDefault="007B26FF" w:rsidP="00543ADB">
            <w:pPr>
              <w:pStyle w:val="Tablehead"/>
            </w:pPr>
            <w:r w:rsidRPr="00543ADB">
              <w:t>Type</w:t>
            </w:r>
          </w:p>
        </w:tc>
        <w:tc>
          <w:tcPr>
            <w:tcW w:w="5953" w:type="dxa"/>
            <w:gridSpan w:val="3"/>
            <w:tcBorders>
              <w:right w:val="single" w:sz="4" w:space="0" w:color="auto"/>
            </w:tcBorders>
            <w:shd w:val="clear" w:color="auto" w:fill="auto"/>
            <w:vAlign w:val="center"/>
          </w:tcPr>
          <w:p w:rsidR="007B26FF" w:rsidRPr="00543ADB" w:rsidRDefault="007B26FF" w:rsidP="00543ADB">
            <w:pPr>
              <w:pStyle w:val="Tablehead"/>
            </w:pPr>
            <w:r w:rsidRPr="00543ADB">
              <w:t xml:space="preserve">Occupation </w:t>
            </w:r>
            <w:r w:rsidRPr="00543ADB">
              <w:br/>
              <w:t>(%)</w:t>
            </w:r>
          </w:p>
        </w:tc>
      </w:tr>
      <w:tr w:rsidR="007B26FF" w:rsidRPr="007B74AE" w:rsidTr="00543ADB">
        <w:tc>
          <w:tcPr>
            <w:tcW w:w="1560" w:type="dxa"/>
            <w:vMerge/>
            <w:shd w:val="clear" w:color="auto" w:fill="auto"/>
            <w:vAlign w:val="center"/>
          </w:tcPr>
          <w:p w:rsidR="007B26FF" w:rsidRPr="00543ADB" w:rsidRDefault="007B26FF" w:rsidP="00543ADB">
            <w:pPr>
              <w:pStyle w:val="Tablehead"/>
            </w:pPr>
          </w:p>
        </w:tc>
        <w:tc>
          <w:tcPr>
            <w:tcW w:w="2126" w:type="dxa"/>
            <w:vMerge/>
            <w:shd w:val="clear" w:color="auto" w:fill="auto"/>
            <w:vAlign w:val="center"/>
          </w:tcPr>
          <w:p w:rsidR="007B26FF" w:rsidRPr="00543ADB" w:rsidRDefault="007B26FF" w:rsidP="00543ADB">
            <w:pPr>
              <w:pStyle w:val="Tablehead"/>
            </w:pPr>
          </w:p>
        </w:tc>
        <w:tc>
          <w:tcPr>
            <w:tcW w:w="1534" w:type="dxa"/>
            <w:shd w:val="clear" w:color="auto" w:fill="auto"/>
            <w:vAlign w:val="center"/>
          </w:tcPr>
          <w:p w:rsidR="007B26FF" w:rsidRPr="00543ADB" w:rsidRDefault="007B26FF" w:rsidP="00543ADB">
            <w:pPr>
              <w:pStyle w:val="Tablehead"/>
            </w:pPr>
            <w:r w:rsidRPr="00543ADB">
              <w:t>Total</w:t>
            </w:r>
          </w:p>
        </w:tc>
        <w:tc>
          <w:tcPr>
            <w:tcW w:w="2340" w:type="dxa"/>
            <w:shd w:val="clear" w:color="auto" w:fill="auto"/>
            <w:vAlign w:val="center"/>
          </w:tcPr>
          <w:p w:rsidR="007B26FF" w:rsidRPr="00543ADB" w:rsidRDefault="007B26FF" w:rsidP="00543ADB">
            <w:pPr>
              <w:pStyle w:val="Tablehead"/>
            </w:pPr>
            <w:r w:rsidRPr="00543ADB">
              <w:t>Non spécifique</w:t>
            </w:r>
          </w:p>
        </w:tc>
        <w:tc>
          <w:tcPr>
            <w:tcW w:w="2079" w:type="dxa"/>
            <w:tcBorders>
              <w:right w:val="single" w:sz="4" w:space="0" w:color="auto"/>
            </w:tcBorders>
            <w:shd w:val="clear" w:color="auto" w:fill="auto"/>
            <w:vAlign w:val="center"/>
          </w:tcPr>
          <w:p w:rsidR="007B26FF" w:rsidRPr="00543ADB" w:rsidRDefault="007B26FF" w:rsidP="00543ADB">
            <w:pPr>
              <w:pStyle w:val="Tablehead"/>
            </w:pPr>
            <w:r w:rsidRPr="00543ADB">
              <w:t>RFID</w:t>
            </w:r>
          </w:p>
        </w:tc>
      </w:tr>
      <w:tr w:rsidR="007B26FF" w:rsidRPr="007B74AE" w:rsidTr="00543ADB">
        <w:tc>
          <w:tcPr>
            <w:tcW w:w="1560" w:type="dxa"/>
            <w:vMerge/>
            <w:shd w:val="clear" w:color="auto" w:fill="auto"/>
            <w:vAlign w:val="center"/>
          </w:tcPr>
          <w:p w:rsidR="007B26FF" w:rsidRPr="00543ADB" w:rsidRDefault="007B26FF" w:rsidP="00543ADB">
            <w:pPr>
              <w:pStyle w:val="Tablehead"/>
            </w:pPr>
          </w:p>
        </w:tc>
        <w:tc>
          <w:tcPr>
            <w:tcW w:w="2126" w:type="dxa"/>
            <w:vMerge/>
            <w:shd w:val="clear" w:color="auto" w:fill="auto"/>
            <w:vAlign w:val="center"/>
          </w:tcPr>
          <w:p w:rsidR="007B26FF" w:rsidRPr="00543ADB" w:rsidRDefault="007B26FF" w:rsidP="00543ADB">
            <w:pPr>
              <w:pStyle w:val="Tablehead"/>
            </w:pPr>
          </w:p>
        </w:tc>
        <w:tc>
          <w:tcPr>
            <w:tcW w:w="1534" w:type="dxa"/>
            <w:shd w:val="clear" w:color="auto" w:fill="auto"/>
            <w:vAlign w:val="center"/>
          </w:tcPr>
          <w:p w:rsidR="007B26FF" w:rsidRPr="00543ADB" w:rsidRDefault="007B26FF" w:rsidP="00543ADB">
            <w:pPr>
              <w:pStyle w:val="Tablehead"/>
            </w:pPr>
            <w:r w:rsidRPr="00543ADB">
              <w:t>863-870</w:t>
            </w:r>
          </w:p>
        </w:tc>
        <w:tc>
          <w:tcPr>
            <w:tcW w:w="2340" w:type="dxa"/>
            <w:shd w:val="clear" w:color="auto" w:fill="auto"/>
            <w:vAlign w:val="center"/>
          </w:tcPr>
          <w:p w:rsidR="007B26FF" w:rsidRPr="00543ADB" w:rsidRDefault="007B26FF" w:rsidP="00543ADB">
            <w:pPr>
              <w:pStyle w:val="Tablehead"/>
            </w:pPr>
            <w:r w:rsidRPr="00543ADB">
              <w:t>868,0-868,6</w:t>
            </w:r>
            <w:r w:rsidRPr="00543ADB">
              <w:br/>
              <w:t>868,7-868,2</w:t>
            </w:r>
            <w:r w:rsidRPr="00543ADB">
              <w:br/>
              <w:t>869,4-869,5</w:t>
            </w:r>
            <w:r w:rsidRPr="00543ADB">
              <w:br/>
              <w:t>869,7-870,0</w:t>
            </w:r>
          </w:p>
        </w:tc>
        <w:tc>
          <w:tcPr>
            <w:tcW w:w="2079" w:type="dxa"/>
            <w:shd w:val="clear" w:color="auto" w:fill="auto"/>
            <w:vAlign w:val="center"/>
          </w:tcPr>
          <w:p w:rsidR="007B26FF" w:rsidRPr="00543ADB" w:rsidRDefault="007B26FF" w:rsidP="00543ADB">
            <w:pPr>
              <w:pStyle w:val="Tablehead"/>
            </w:pPr>
            <w:r w:rsidRPr="00543ADB">
              <w:t>865,0-865,6</w:t>
            </w:r>
          </w:p>
          <w:p w:rsidR="007B26FF" w:rsidRPr="00543ADB" w:rsidRDefault="007B26FF" w:rsidP="00543ADB">
            <w:pPr>
              <w:pStyle w:val="Tablehead"/>
            </w:pPr>
            <w:r w:rsidRPr="00543ADB">
              <w:t>865,6-867,6</w:t>
            </w:r>
          </w:p>
          <w:p w:rsidR="007B26FF" w:rsidRPr="00543ADB" w:rsidRDefault="007B26FF" w:rsidP="00543ADB">
            <w:pPr>
              <w:pStyle w:val="Tablehead"/>
            </w:pPr>
            <w:r w:rsidRPr="00543ADB">
              <w:t>867,6-868,0</w:t>
            </w:r>
          </w:p>
        </w:tc>
      </w:tr>
      <w:tr w:rsidR="007B26FF" w:rsidRPr="007B74AE" w:rsidTr="00543ADB">
        <w:tc>
          <w:tcPr>
            <w:tcW w:w="1560" w:type="dxa"/>
          </w:tcPr>
          <w:p w:rsidR="007B26FF" w:rsidRPr="00543ADB" w:rsidRDefault="007B26FF" w:rsidP="00543ADB">
            <w:pPr>
              <w:pStyle w:val="Tabletext"/>
            </w:pPr>
            <w:r w:rsidRPr="00543ADB">
              <w:t>Schiphol</w:t>
            </w:r>
          </w:p>
        </w:tc>
        <w:tc>
          <w:tcPr>
            <w:tcW w:w="2126" w:type="dxa"/>
          </w:tcPr>
          <w:p w:rsidR="007B26FF" w:rsidRPr="00543ADB" w:rsidRDefault="007B26FF" w:rsidP="00543ADB">
            <w:pPr>
              <w:pStyle w:val="Tabletext"/>
            </w:pPr>
            <w:r w:rsidRPr="00543ADB">
              <w:t>Zone de manutention des bagages</w:t>
            </w:r>
          </w:p>
        </w:tc>
        <w:tc>
          <w:tcPr>
            <w:tcW w:w="1534" w:type="dxa"/>
          </w:tcPr>
          <w:p w:rsidR="007B26FF" w:rsidRPr="00543ADB" w:rsidRDefault="007B26FF" w:rsidP="004B264C">
            <w:pPr>
              <w:pStyle w:val="Tabletext"/>
              <w:jc w:val="center"/>
            </w:pPr>
            <w:r w:rsidRPr="00543ADB">
              <w:t>20</w:t>
            </w:r>
          </w:p>
        </w:tc>
        <w:tc>
          <w:tcPr>
            <w:tcW w:w="2340" w:type="dxa"/>
          </w:tcPr>
          <w:p w:rsidR="007B26FF" w:rsidRPr="00543ADB" w:rsidRDefault="007B26FF" w:rsidP="004B264C">
            <w:pPr>
              <w:pStyle w:val="Tabletext"/>
              <w:jc w:val="center"/>
            </w:pPr>
            <w:r w:rsidRPr="00543ADB">
              <w:t>0</w:t>
            </w:r>
          </w:p>
        </w:tc>
        <w:tc>
          <w:tcPr>
            <w:tcW w:w="2079" w:type="dxa"/>
          </w:tcPr>
          <w:p w:rsidR="007B26FF" w:rsidRPr="00543ADB" w:rsidRDefault="007B26FF" w:rsidP="004B264C">
            <w:pPr>
              <w:pStyle w:val="Tabletext"/>
              <w:jc w:val="center"/>
            </w:pPr>
            <w:r w:rsidRPr="00543ADB">
              <w:t>20</w:t>
            </w:r>
          </w:p>
        </w:tc>
      </w:tr>
      <w:tr w:rsidR="007B26FF" w:rsidRPr="007B74AE" w:rsidTr="00543ADB">
        <w:tc>
          <w:tcPr>
            <w:tcW w:w="1560" w:type="dxa"/>
          </w:tcPr>
          <w:p w:rsidR="007B26FF" w:rsidRPr="00543ADB" w:rsidRDefault="007B26FF" w:rsidP="00543ADB">
            <w:pPr>
              <w:pStyle w:val="Tabletext"/>
            </w:pPr>
            <w:r w:rsidRPr="00543ADB">
              <w:t>Schiphol</w:t>
            </w:r>
          </w:p>
        </w:tc>
        <w:tc>
          <w:tcPr>
            <w:tcW w:w="2126" w:type="dxa"/>
          </w:tcPr>
          <w:p w:rsidR="007B26FF" w:rsidRPr="00543ADB" w:rsidRDefault="007B26FF" w:rsidP="00543ADB">
            <w:pPr>
              <w:pStyle w:val="Tabletext"/>
            </w:pPr>
            <w:r w:rsidRPr="00543ADB">
              <w:t>Centre commercial</w:t>
            </w:r>
          </w:p>
        </w:tc>
        <w:tc>
          <w:tcPr>
            <w:tcW w:w="1534" w:type="dxa"/>
          </w:tcPr>
          <w:p w:rsidR="007B26FF" w:rsidRPr="00543ADB" w:rsidRDefault="007B26FF" w:rsidP="004B264C">
            <w:pPr>
              <w:pStyle w:val="Tabletext"/>
              <w:jc w:val="center"/>
            </w:pPr>
            <w:r w:rsidRPr="00543ADB">
              <w:t>5</w:t>
            </w:r>
          </w:p>
        </w:tc>
        <w:tc>
          <w:tcPr>
            <w:tcW w:w="2340" w:type="dxa"/>
          </w:tcPr>
          <w:p w:rsidR="007B26FF" w:rsidRPr="00543ADB" w:rsidRDefault="007B26FF" w:rsidP="004B264C">
            <w:pPr>
              <w:pStyle w:val="Tabletext"/>
              <w:jc w:val="center"/>
            </w:pPr>
            <w:r w:rsidRPr="00543ADB">
              <w:t>0</w:t>
            </w:r>
          </w:p>
        </w:tc>
        <w:tc>
          <w:tcPr>
            <w:tcW w:w="2079" w:type="dxa"/>
          </w:tcPr>
          <w:p w:rsidR="007B26FF" w:rsidRPr="00543ADB" w:rsidRDefault="007B26FF" w:rsidP="004B264C">
            <w:pPr>
              <w:pStyle w:val="Tabletext"/>
              <w:jc w:val="center"/>
            </w:pPr>
            <w:r w:rsidRPr="00543ADB">
              <w:t>5</w:t>
            </w:r>
          </w:p>
        </w:tc>
      </w:tr>
      <w:tr w:rsidR="007B26FF" w:rsidRPr="007B74AE" w:rsidTr="00543ADB">
        <w:tc>
          <w:tcPr>
            <w:tcW w:w="1560" w:type="dxa"/>
          </w:tcPr>
          <w:p w:rsidR="007B26FF" w:rsidRPr="00543ADB" w:rsidRDefault="007B26FF" w:rsidP="00543ADB">
            <w:pPr>
              <w:pStyle w:val="Tabletext"/>
            </w:pPr>
            <w:r w:rsidRPr="00543ADB">
              <w:t>Schiphol</w:t>
            </w:r>
          </w:p>
        </w:tc>
        <w:tc>
          <w:tcPr>
            <w:tcW w:w="2126" w:type="dxa"/>
          </w:tcPr>
          <w:p w:rsidR="007B26FF" w:rsidRPr="00543ADB" w:rsidRDefault="007B26FF" w:rsidP="00543ADB">
            <w:pPr>
              <w:pStyle w:val="Tabletext"/>
            </w:pPr>
            <w:r w:rsidRPr="00543ADB">
              <w:t>Parking longue durée</w:t>
            </w:r>
          </w:p>
        </w:tc>
        <w:tc>
          <w:tcPr>
            <w:tcW w:w="1534" w:type="dxa"/>
          </w:tcPr>
          <w:p w:rsidR="007B26FF" w:rsidRPr="00543ADB" w:rsidRDefault="007B26FF" w:rsidP="004B264C">
            <w:pPr>
              <w:pStyle w:val="Tabletext"/>
              <w:jc w:val="center"/>
            </w:pPr>
            <w:r w:rsidRPr="00543ADB">
              <w:t>1</w:t>
            </w:r>
          </w:p>
        </w:tc>
        <w:tc>
          <w:tcPr>
            <w:tcW w:w="2340" w:type="dxa"/>
          </w:tcPr>
          <w:p w:rsidR="007B26FF" w:rsidRPr="00543ADB" w:rsidRDefault="007B26FF" w:rsidP="004B264C">
            <w:pPr>
              <w:pStyle w:val="Tabletext"/>
              <w:jc w:val="center"/>
            </w:pPr>
            <w:r w:rsidRPr="00543ADB">
              <w:t>1</w:t>
            </w:r>
          </w:p>
        </w:tc>
        <w:tc>
          <w:tcPr>
            <w:tcW w:w="2079" w:type="dxa"/>
          </w:tcPr>
          <w:p w:rsidR="007B26FF" w:rsidRPr="00543ADB" w:rsidRDefault="007B26FF" w:rsidP="004B264C">
            <w:pPr>
              <w:pStyle w:val="Tabletext"/>
              <w:jc w:val="center"/>
            </w:pPr>
            <w:r w:rsidRPr="00543ADB">
              <w:t>0</w:t>
            </w:r>
          </w:p>
        </w:tc>
      </w:tr>
      <w:tr w:rsidR="007B26FF" w:rsidRPr="007B74AE" w:rsidTr="00543ADB">
        <w:tc>
          <w:tcPr>
            <w:tcW w:w="1560" w:type="dxa"/>
          </w:tcPr>
          <w:p w:rsidR="007B26FF" w:rsidRPr="00543ADB" w:rsidRDefault="007B26FF" w:rsidP="00543ADB">
            <w:pPr>
              <w:pStyle w:val="Tabletext"/>
            </w:pPr>
            <w:r w:rsidRPr="00543ADB">
              <w:t>Schiphol</w:t>
            </w:r>
          </w:p>
        </w:tc>
        <w:tc>
          <w:tcPr>
            <w:tcW w:w="2126" w:type="dxa"/>
          </w:tcPr>
          <w:p w:rsidR="007B26FF" w:rsidRPr="00543ADB" w:rsidRDefault="007B26FF" w:rsidP="00543ADB">
            <w:pPr>
              <w:pStyle w:val="Tabletext"/>
            </w:pPr>
            <w:r w:rsidRPr="00543ADB">
              <w:t>Parking courte durée</w:t>
            </w:r>
          </w:p>
        </w:tc>
        <w:tc>
          <w:tcPr>
            <w:tcW w:w="1534" w:type="dxa"/>
          </w:tcPr>
          <w:p w:rsidR="007B26FF" w:rsidRPr="00543ADB" w:rsidRDefault="007B26FF" w:rsidP="004B264C">
            <w:pPr>
              <w:pStyle w:val="Tabletext"/>
              <w:jc w:val="center"/>
            </w:pPr>
            <w:r w:rsidRPr="00543ADB">
              <w:t>2</w:t>
            </w:r>
          </w:p>
        </w:tc>
        <w:tc>
          <w:tcPr>
            <w:tcW w:w="2340" w:type="dxa"/>
          </w:tcPr>
          <w:p w:rsidR="007B26FF" w:rsidRPr="00543ADB" w:rsidRDefault="007B26FF" w:rsidP="004B264C">
            <w:pPr>
              <w:pStyle w:val="Tabletext"/>
              <w:jc w:val="center"/>
            </w:pPr>
            <w:r w:rsidRPr="00543ADB">
              <w:t>2</w:t>
            </w:r>
          </w:p>
        </w:tc>
        <w:tc>
          <w:tcPr>
            <w:tcW w:w="2079" w:type="dxa"/>
          </w:tcPr>
          <w:p w:rsidR="007B26FF" w:rsidRPr="00543ADB" w:rsidRDefault="007B26FF" w:rsidP="004B264C">
            <w:pPr>
              <w:pStyle w:val="Tabletext"/>
              <w:jc w:val="center"/>
            </w:pPr>
            <w:r w:rsidRPr="00543ADB">
              <w:t>0</w:t>
            </w:r>
          </w:p>
        </w:tc>
      </w:tr>
    </w:tbl>
    <w:p w:rsidR="007B26FF" w:rsidRPr="007B74AE" w:rsidRDefault="007B26FF" w:rsidP="004B264C">
      <w:pPr>
        <w:spacing w:befor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559"/>
        <w:gridCol w:w="1201"/>
        <w:gridCol w:w="5319"/>
      </w:tblGrid>
      <w:tr w:rsidR="007B26FF" w:rsidRPr="007B74AE" w:rsidTr="00543ADB">
        <w:tc>
          <w:tcPr>
            <w:tcW w:w="1560" w:type="dxa"/>
            <w:vMerge w:val="restart"/>
            <w:shd w:val="clear" w:color="auto" w:fill="auto"/>
            <w:vAlign w:val="center"/>
          </w:tcPr>
          <w:p w:rsidR="007B26FF" w:rsidRPr="007B74AE" w:rsidRDefault="007B26FF" w:rsidP="00543ADB">
            <w:pPr>
              <w:pStyle w:val="Tablehead"/>
              <w:rPr>
                <w:rFonts w:cs="Arial"/>
              </w:rPr>
            </w:pPr>
            <w:r w:rsidRPr="007B74AE">
              <w:t>Emplacement</w:t>
            </w:r>
          </w:p>
        </w:tc>
        <w:tc>
          <w:tcPr>
            <w:tcW w:w="1559" w:type="dxa"/>
            <w:vMerge w:val="restart"/>
            <w:shd w:val="clear" w:color="auto" w:fill="auto"/>
            <w:vAlign w:val="center"/>
          </w:tcPr>
          <w:p w:rsidR="007B26FF" w:rsidRPr="007B74AE" w:rsidRDefault="007B26FF" w:rsidP="00543ADB">
            <w:pPr>
              <w:pStyle w:val="Tablehead"/>
              <w:rPr>
                <w:rFonts w:cs="Arial"/>
              </w:rPr>
            </w:pPr>
            <w:r w:rsidRPr="007B74AE">
              <w:rPr>
                <w:rFonts w:cs="Arial"/>
              </w:rPr>
              <w:t>Type</w:t>
            </w:r>
          </w:p>
        </w:tc>
        <w:tc>
          <w:tcPr>
            <w:tcW w:w="6520" w:type="dxa"/>
            <w:gridSpan w:val="2"/>
            <w:shd w:val="clear" w:color="auto" w:fill="auto"/>
            <w:vAlign w:val="center"/>
          </w:tcPr>
          <w:p w:rsidR="007B26FF" w:rsidRPr="007B74AE" w:rsidRDefault="007B26FF" w:rsidP="00543ADB">
            <w:pPr>
              <w:pStyle w:val="Tablehead"/>
              <w:rPr>
                <w:rFonts w:cs="Arial"/>
              </w:rPr>
            </w:pPr>
            <w:r w:rsidRPr="007B74AE">
              <w:t>Occupation</w:t>
            </w:r>
            <w:r w:rsidRPr="007B74AE">
              <w:rPr>
                <w:rFonts w:cs="Arial"/>
              </w:rPr>
              <w:t xml:space="preserve"> </w:t>
            </w:r>
            <w:r w:rsidRPr="007B74AE">
              <w:rPr>
                <w:rFonts w:cs="Arial"/>
              </w:rPr>
              <w:br/>
              <w:t>(%)</w:t>
            </w:r>
          </w:p>
        </w:tc>
      </w:tr>
      <w:tr w:rsidR="007B26FF" w:rsidRPr="007B74AE" w:rsidTr="00543ADB">
        <w:tc>
          <w:tcPr>
            <w:tcW w:w="1560" w:type="dxa"/>
            <w:vMerge/>
            <w:shd w:val="clear" w:color="auto" w:fill="auto"/>
            <w:vAlign w:val="center"/>
          </w:tcPr>
          <w:p w:rsidR="007B26FF" w:rsidRPr="007B74AE" w:rsidRDefault="007B26FF" w:rsidP="00543ADB">
            <w:pPr>
              <w:pStyle w:val="Tablehead"/>
              <w:rPr>
                <w:rFonts w:cs="Arial"/>
              </w:rPr>
            </w:pPr>
          </w:p>
        </w:tc>
        <w:tc>
          <w:tcPr>
            <w:tcW w:w="1559" w:type="dxa"/>
            <w:vMerge/>
            <w:shd w:val="clear" w:color="auto" w:fill="auto"/>
            <w:vAlign w:val="center"/>
          </w:tcPr>
          <w:p w:rsidR="007B26FF" w:rsidRPr="007B74AE" w:rsidRDefault="007B26FF" w:rsidP="00543ADB">
            <w:pPr>
              <w:pStyle w:val="Tablehead"/>
              <w:rPr>
                <w:rFonts w:cs="Arial"/>
              </w:rPr>
            </w:pPr>
          </w:p>
        </w:tc>
        <w:tc>
          <w:tcPr>
            <w:tcW w:w="1201" w:type="dxa"/>
            <w:shd w:val="clear" w:color="auto" w:fill="auto"/>
            <w:vAlign w:val="center"/>
          </w:tcPr>
          <w:p w:rsidR="007B26FF" w:rsidRPr="007B74AE" w:rsidRDefault="007B26FF" w:rsidP="00543ADB">
            <w:pPr>
              <w:pStyle w:val="Tablehead"/>
              <w:rPr>
                <w:rFonts w:cs="Arial"/>
              </w:rPr>
            </w:pPr>
            <w:r w:rsidRPr="007B74AE">
              <w:rPr>
                <w:rFonts w:cs="Arial"/>
              </w:rPr>
              <w:t>Total</w:t>
            </w:r>
          </w:p>
        </w:tc>
        <w:tc>
          <w:tcPr>
            <w:tcW w:w="5319" w:type="dxa"/>
            <w:shd w:val="clear" w:color="auto" w:fill="auto"/>
            <w:vAlign w:val="center"/>
          </w:tcPr>
          <w:p w:rsidR="007B26FF" w:rsidRPr="007B74AE" w:rsidRDefault="007B26FF" w:rsidP="00543ADB">
            <w:pPr>
              <w:pStyle w:val="Tablehead"/>
              <w:rPr>
                <w:rFonts w:cs="Arial"/>
              </w:rPr>
            </w:pPr>
            <w:r w:rsidRPr="007B74AE">
              <w:rPr>
                <w:rFonts w:cs="Arial"/>
              </w:rPr>
              <w:t>Puissance élevée spécifique attribuée</w:t>
            </w:r>
          </w:p>
        </w:tc>
      </w:tr>
      <w:tr w:rsidR="007B26FF" w:rsidRPr="007B74AE" w:rsidTr="00543ADB">
        <w:trPr>
          <w:trHeight w:val="136"/>
        </w:trPr>
        <w:tc>
          <w:tcPr>
            <w:tcW w:w="1560" w:type="dxa"/>
            <w:vMerge/>
            <w:shd w:val="clear" w:color="auto" w:fill="auto"/>
            <w:vAlign w:val="center"/>
          </w:tcPr>
          <w:p w:rsidR="007B26FF" w:rsidRPr="007B74AE" w:rsidRDefault="007B26FF" w:rsidP="00543ADB">
            <w:pPr>
              <w:pStyle w:val="Tablehead"/>
              <w:rPr>
                <w:rFonts w:cs="Arial"/>
              </w:rPr>
            </w:pPr>
          </w:p>
        </w:tc>
        <w:tc>
          <w:tcPr>
            <w:tcW w:w="1559" w:type="dxa"/>
            <w:vMerge/>
            <w:shd w:val="clear" w:color="auto" w:fill="auto"/>
            <w:vAlign w:val="center"/>
          </w:tcPr>
          <w:p w:rsidR="007B26FF" w:rsidRPr="007B74AE" w:rsidRDefault="007B26FF" w:rsidP="00543ADB">
            <w:pPr>
              <w:pStyle w:val="Tablehead"/>
              <w:rPr>
                <w:rFonts w:cs="Arial"/>
              </w:rPr>
            </w:pPr>
          </w:p>
        </w:tc>
        <w:tc>
          <w:tcPr>
            <w:tcW w:w="1201" w:type="dxa"/>
            <w:shd w:val="clear" w:color="auto" w:fill="auto"/>
            <w:vAlign w:val="center"/>
          </w:tcPr>
          <w:p w:rsidR="007B26FF" w:rsidRPr="007B74AE" w:rsidRDefault="007B26FF" w:rsidP="00543ADB">
            <w:pPr>
              <w:pStyle w:val="Tablehead"/>
              <w:rPr>
                <w:rFonts w:cs="Arial"/>
              </w:rPr>
            </w:pPr>
            <w:r w:rsidRPr="007B74AE">
              <w:rPr>
                <w:rFonts w:cs="Arial"/>
              </w:rPr>
              <w:t>863-870</w:t>
            </w:r>
          </w:p>
        </w:tc>
        <w:tc>
          <w:tcPr>
            <w:tcW w:w="5319" w:type="dxa"/>
            <w:shd w:val="clear" w:color="auto" w:fill="auto"/>
            <w:vAlign w:val="center"/>
          </w:tcPr>
          <w:p w:rsidR="007B26FF" w:rsidRPr="007B74AE" w:rsidRDefault="007B26FF" w:rsidP="00543ADB">
            <w:pPr>
              <w:pStyle w:val="Tablehead"/>
              <w:rPr>
                <w:rFonts w:cs="Arial"/>
              </w:rPr>
            </w:pPr>
            <w:r w:rsidRPr="007B74AE">
              <w:rPr>
                <w:rFonts w:cs="Arial"/>
              </w:rPr>
              <w:t>865,4-867,6</w:t>
            </w:r>
          </w:p>
        </w:tc>
      </w:tr>
      <w:tr w:rsidR="007B26FF" w:rsidRPr="007B74AE" w:rsidTr="00543ADB">
        <w:tc>
          <w:tcPr>
            <w:tcW w:w="1560" w:type="dxa"/>
          </w:tcPr>
          <w:p w:rsidR="007B26FF" w:rsidRPr="00543ADB" w:rsidRDefault="007B26FF" w:rsidP="00543ADB">
            <w:pPr>
              <w:pStyle w:val="Tabletext"/>
            </w:pPr>
            <w:r w:rsidRPr="00543ADB">
              <w:t>Spécifique</w:t>
            </w:r>
          </w:p>
        </w:tc>
        <w:tc>
          <w:tcPr>
            <w:tcW w:w="1559" w:type="dxa"/>
          </w:tcPr>
          <w:p w:rsidR="007B26FF" w:rsidRPr="00543ADB" w:rsidRDefault="007B26FF" w:rsidP="00543ADB">
            <w:pPr>
              <w:pStyle w:val="Tabletext"/>
            </w:pPr>
            <w:r w:rsidRPr="00543ADB">
              <w:t>Spécifique</w:t>
            </w:r>
          </w:p>
        </w:tc>
        <w:tc>
          <w:tcPr>
            <w:tcW w:w="1201" w:type="dxa"/>
          </w:tcPr>
          <w:p w:rsidR="007B26FF" w:rsidRPr="00543ADB" w:rsidRDefault="007B26FF" w:rsidP="004B264C">
            <w:pPr>
              <w:pStyle w:val="Tabletext"/>
              <w:jc w:val="center"/>
            </w:pPr>
            <w:r w:rsidRPr="00543ADB">
              <w:t>30</w:t>
            </w:r>
          </w:p>
        </w:tc>
        <w:tc>
          <w:tcPr>
            <w:tcW w:w="5319" w:type="dxa"/>
          </w:tcPr>
          <w:p w:rsidR="007B26FF" w:rsidRPr="00543ADB" w:rsidRDefault="007B26FF" w:rsidP="004B264C">
            <w:pPr>
              <w:pStyle w:val="Tabletext"/>
              <w:jc w:val="center"/>
            </w:pPr>
            <w:r w:rsidRPr="00543ADB">
              <w:t>80</w:t>
            </w:r>
          </w:p>
        </w:tc>
      </w:tr>
    </w:tbl>
    <w:p w:rsidR="007B26FF" w:rsidRPr="007B74AE" w:rsidRDefault="007B26FF" w:rsidP="00625604">
      <w:pPr>
        <w:keepNext/>
        <w:keepLines/>
        <w:rPr>
          <w:rFonts w:cs="Arial"/>
          <w:szCs w:val="24"/>
        </w:rPr>
      </w:pPr>
      <w:r>
        <w:rPr>
          <w:rFonts w:cs="Arial"/>
          <w:szCs w:val="24"/>
        </w:rPr>
        <w:lastRenderedPageBreak/>
        <w:t>Les Fig</w:t>
      </w:r>
      <w:r w:rsidR="00625604">
        <w:rPr>
          <w:rFonts w:cs="Arial"/>
          <w:szCs w:val="24"/>
        </w:rPr>
        <w:t>.</w:t>
      </w:r>
      <w:r>
        <w:rPr>
          <w:rFonts w:cs="Arial"/>
          <w:szCs w:val="24"/>
        </w:rPr>
        <w:t> 6 et </w:t>
      </w:r>
      <w:r w:rsidRPr="007B74AE">
        <w:rPr>
          <w:rFonts w:cs="Arial"/>
          <w:szCs w:val="24"/>
        </w:rPr>
        <w:t>7 ci-après illustrent deux scénar</w:t>
      </w:r>
      <w:r>
        <w:rPr>
          <w:rFonts w:cs="Arial"/>
          <w:szCs w:val="24"/>
        </w:rPr>
        <w:t>ios types dans la bande 863-870 </w:t>
      </w:r>
      <w:r w:rsidRPr="007B74AE">
        <w:rPr>
          <w:rFonts w:cs="Arial"/>
          <w:szCs w:val="24"/>
        </w:rPr>
        <w:t xml:space="preserve">MHz: une intervention est faite dans un centre ville, tandis que l'autre se passe dans une zone de manutention de bagages d'un aéroport. Les réglages de l'analyseur et la configuration de l'antenne sont identiques dans les deux cas. Bien qu'il s'agisse d'une seule et même mesure instantanée dans deux zones d'activité, on pourrait en tirer certaines conclusions quant aux possibilités de partage. </w:t>
      </w:r>
    </w:p>
    <w:p w:rsidR="007B26FF" w:rsidRPr="007B74AE" w:rsidRDefault="007B26FF" w:rsidP="00543ADB">
      <w:r w:rsidRPr="007B74AE">
        <w:t>Etant donné que le contrôle SRD ne se limite pas à des bandes utilisées exclusivement pour des dispositifs SRD, il peut être en outre nécessaire de distinguer les dispositifs SRD à proprement parler et les émissions ISM, ou émissions de services. Dans certains cas, il n'est pas possible d'éliminer ces émissions ISM et d'autres émissions non SRD dans l'ensemble des données, mais on peut le faire en utilisant des méthodes statistiques décrites dans les recommandations et rapports disponibles sur les mesures du bruit radioélectrique. Lorsqu'il n'est pas possible de les éliminer, on devrait dans le cadre d'une opération de contrôle conventionnel accepter ces émissions, mais considérer que l'effet de l'occupation actuelle contribue à abaisser l'exactitude absolue de la mesure. Pour déterminer si cette approche est nécessaire, on recommande de procéder à une évaluation minutieuse de l'occupation possible de la bande de fréquence</w:t>
      </w:r>
      <w:r>
        <w:t>s</w:t>
      </w:r>
      <w:r w:rsidRPr="007B74AE">
        <w:t xml:space="preserve"> à mesurer. </w:t>
      </w:r>
    </w:p>
    <w:p w:rsidR="007B26FF" w:rsidRPr="00792F92" w:rsidRDefault="007B26FF" w:rsidP="008B6E04">
      <w:pPr>
        <w:pStyle w:val="FigureNo"/>
        <w:rPr>
          <w:sz w:val="20"/>
        </w:rPr>
      </w:pPr>
      <w:r w:rsidRPr="007B74AE">
        <w:br w:type="page"/>
      </w:r>
      <w:r w:rsidRPr="00792F92">
        <w:rPr>
          <w:sz w:val="20"/>
        </w:rPr>
        <w:lastRenderedPageBreak/>
        <w:t>Figure 6</w:t>
      </w:r>
    </w:p>
    <w:p w:rsidR="007B26FF" w:rsidRDefault="007B26FF" w:rsidP="007C725C">
      <w:pPr>
        <w:pStyle w:val="Figuretitle"/>
        <w:rPr>
          <w:sz w:val="20"/>
        </w:rPr>
      </w:pPr>
      <w:r w:rsidRPr="00792F92">
        <w:rPr>
          <w:sz w:val="20"/>
        </w:rPr>
        <w:t>Enregistrement de spectre, 863-870 MHz, RFID type, zone peuplée</w:t>
      </w:r>
    </w:p>
    <w:p w:rsidR="007B26FF" w:rsidRPr="0006772B" w:rsidRDefault="007B26FF" w:rsidP="00543ADB">
      <w:pPr>
        <w:pStyle w:val="Figure"/>
      </w:pPr>
      <w:r>
        <w:object w:dxaOrig="9611" w:dyaOrig="13128">
          <v:shape id="_x0000_i1031" type="#_x0000_t75" style="width:480.75pt;height:656.2pt" o:ole="" o:allowoverlap="f">
            <v:imagedata r:id="rId25" o:title=""/>
          </v:shape>
          <o:OLEObject Type="Embed" ProgID="CorelDRAW.Graphic.14" ShapeID="_x0000_i1031" DrawAspect="Content" ObjectID="_1344948683" r:id="rId26"/>
        </w:object>
      </w:r>
    </w:p>
    <w:p w:rsidR="007B26FF" w:rsidRPr="0055138A" w:rsidRDefault="007B26FF" w:rsidP="00543ADB">
      <w:pPr>
        <w:pStyle w:val="FigureNo"/>
      </w:pPr>
      <w:r w:rsidRPr="00543ADB">
        <w:lastRenderedPageBreak/>
        <w:t>Figure</w:t>
      </w:r>
      <w:r w:rsidRPr="0055138A">
        <w:t xml:space="preserve"> 7</w:t>
      </w:r>
    </w:p>
    <w:p w:rsidR="007B26FF" w:rsidRDefault="007B26FF" w:rsidP="00543ADB">
      <w:pPr>
        <w:pStyle w:val="Figuretitle"/>
      </w:pPr>
      <w:r w:rsidRPr="0055138A">
        <w:t xml:space="preserve">Enregistrement de spectre, </w:t>
      </w:r>
      <w:r w:rsidRPr="00543ADB">
        <w:t>863</w:t>
      </w:r>
      <w:r w:rsidRPr="0055138A">
        <w:t>-870 MHz, zone urbaine peuplée type</w:t>
      </w:r>
    </w:p>
    <w:p w:rsidR="007B26FF" w:rsidRDefault="007B26FF" w:rsidP="00543ADB">
      <w:pPr>
        <w:pStyle w:val="Figure"/>
        <w:spacing w:after="0"/>
      </w:pPr>
      <w:r>
        <w:object w:dxaOrig="9611" w:dyaOrig="13281">
          <v:shape id="_x0000_i1032" type="#_x0000_t75" style="width:480.75pt;height:663.95pt" o:ole="" o:allowoverlap="f">
            <v:imagedata r:id="rId27" o:title=""/>
          </v:shape>
          <o:OLEObject Type="Embed" ProgID="CorelDRAW.Graphic.14" ShapeID="_x0000_i1032" DrawAspect="Content" ObjectID="_1344948684" r:id="rId28"/>
        </w:object>
      </w:r>
    </w:p>
    <w:p w:rsidR="00543ADB" w:rsidRPr="00F10CA7" w:rsidRDefault="00543ADB" w:rsidP="00543ADB">
      <w:pPr>
        <w:pStyle w:val="Line"/>
        <w:spacing w:before="0"/>
        <w:rPr>
          <w:lang w:val="fr-FR"/>
        </w:rPr>
      </w:pPr>
    </w:p>
    <w:sectPr w:rsidR="00543ADB" w:rsidRPr="00F10CA7" w:rsidSect="006B23A8">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105" w:rsidRDefault="004A6105">
      <w:r>
        <w:separator/>
      </w:r>
    </w:p>
  </w:endnote>
  <w:endnote w:type="continuationSeparator" w:id="0">
    <w:p w:rsidR="004A6105" w:rsidRDefault="004A6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105" w:rsidRDefault="004A6105">
      <w:r>
        <w:separator/>
      </w:r>
    </w:p>
  </w:footnote>
  <w:footnote w:type="continuationSeparator" w:id="0">
    <w:p w:rsidR="004A6105" w:rsidRDefault="004A61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BE1" w:rsidRDefault="00452BE1">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BE1" w:rsidRDefault="00452BE1" w:rsidP="00B033C8">
    <w:pPr>
      <w:pStyle w:val="Header"/>
      <w:ind w:right="360" w:firstLine="360"/>
    </w:pPr>
    <w:r>
      <w:rPr>
        <w:noProof/>
        <w:lang w:val="en-US" w:eastAsia="zh-CN"/>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2" name="Picture 1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F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BE1" w:rsidRPr="008964B0" w:rsidRDefault="00452BE1" w:rsidP="008964B0">
    <w:pPr>
      <w:pStyle w:val="Header"/>
      <w:jc w:val="left"/>
      <w:rPr>
        <w:b/>
        <w:bCs/>
        <w:lang w:val="en-US"/>
      </w:rPr>
    </w:pPr>
    <w:r w:rsidRPr="008964B0">
      <w:rPr>
        <w:b/>
        <w:bCs/>
        <w:lang w:val="en-US"/>
      </w:rPr>
      <w:t>ii</w:t>
    </w:r>
    <w:r w:rsidRPr="008964B0">
      <w:rPr>
        <w:b/>
        <w:bCs/>
        <w:lang w:val="en-US"/>
      </w:rPr>
      <w:tab/>
      <w:t>Rap.  UIT-R  M.2010</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105" w:rsidRPr="00B86004" w:rsidRDefault="008A3AAD" w:rsidP="007C725C">
    <w:pPr>
      <w:pStyle w:val="Header"/>
      <w:jc w:val="both"/>
      <w:rPr>
        <w:b/>
        <w:bCs/>
        <w:lang w:val="en-US"/>
      </w:rPr>
    </w:pPr>
    <w:r w:rsidRPr="00B86004">
      <w:rPr>
        <w:b/>
        <w:bCs/>
      </w:rPr>
      <w:fldChar w:fldCharType="begin"/>
    </w:r>
    <w:r w:rsidR="004A6105" w:rsidRPr="00B86004">
      <w:rPr>
        <w:b/>
        <w:bCs/>
        <w:lang w:val="en-US"/>
      </w:rPr>
      <w:instrText xml:space="preserve"> PAGE </w:instrText>
    </w:r>
    <w:r w:rsidRPr="00B86004">
      <w:rPr>
        <w:b/>
        <w:bCs/>
      </w:rPr>
      <w:fldChar w:fldCharType="separate"/>
    </w:r>
    <w:r w:rsidR="003821FF">
      <w:rPr>
        <w:b/>
        <w:bCs/>
        <w:noProof/>
        <w:lang w:val="en-US"/>
      </w:rPr>
      <w:t>ii</w:t>
    </w:r>
    <w:r w:rsidRPr="00B86004">
      <w:rPr>
        <w:b/>
        <w:bCs/>
      </w:rPr>
      <w:fldChar w:fldCharType="end"/>
    </w:r>
    <w:r w:rsidR="004A6105" w:rsidRPr="00B86004">
      <w:rPr>
        <w:b/>
        <w:bCs/>
        <w:lang w:val="en-US"/>
      </w:rPr>
      <w:tab/>
    </w:r>
    <w:fldSimple w:instr=" DOCPROPERTY &quot;Header 1&quot; \* MERGEFORMAT ">
      <w:r w:rsidR="003821FF" w:rsidRPr="003821FF">
        <w:rPr>
          <w:b/>
          <w:bCs/>
          <w:lang w:val="en-US"/>
        </w:rPr>
        <w:t xml:space="preserve">Rap. </w:t>
      </w:r>
    </w:fldSimple>
    <w:r w:rsidR="004A6105" w:rsidRPr="007D77F0">
      <w:rPr>
        <w:b/>
        <w:bCs/>
        <w:lang w:val="en-US"/>
      </w:rPr>
      <w:t xml:space="preserve"> </w:t>
    </w:r>
    <w:r w:rsidRPr="00B86004">
      <w:rPr>
        <w:b/>
        <w:bCs/>
      </w:rPr>
      <w:fldChar w:fldCharType="begin"/>
    </w:r>
    <w:r w:rsidR="004A6105" w:rsidRPr="00B86004">
      <w:rPr>
        <w:b/>
        <w:bCs/>
        <w:lang w:val="en-US"/>
      </w:rPr>
      <w:instrText>styleref href</w:instrText>
    </w:r>
    <w:r w:rsidRPr="00B86004">
      <w:rPr>
        <w:b/>
        <w:bCs/>
      </w:rPr>
      <w:fldChar w:fldCharType="separate"/>
    </w:r>
    <w:r w:rsidR="003821FF">
      <w:rPr>
        <w:b/>
        <w:bCs/>
        <w:noProof/>
      </w:rPr>
      <w:t>UIT-R  SM.2154</w:t>
    </w:r>
    <w:r w:rsidRPr="00B86004">
      <w:rP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105" w:rsidRDefault="004A6105">
    <w:pPr>
      <w:pStyle w:val="Header"/>
    </w:pPr>
    <w:r>
      <w:tab/>
    </w:r>
    <w:fldSimple w:instr=" DOCPROPERTY &quot;Header&quot; \* MERGEFORMAT ">
      <w:r w:rsidR="003821FF" w:rsidRPr="003821FF">
        <w:rPr>
          <w:b/>
          <w:bCs/>
        </w:rPr>
        <w:t xml:space="preserve">Rec. </w:t>
      </w:r>
    </w:fldSimple>
    <w:r>
      <w:rPr>
        <w:b/>
        <w:bCs/>
      </w:rPr>
      <w:t xml:space="preserve"> </w:t>
    </w:r>
    <w:r w:rsidR="008A3AAD">
      <w:rPr>
        <w:b/>
        <w:bCs/>
      </w:rPr>
      <w:fldChar w:fldCharType="begin"/>
    </w:r>
    <w:r>
      <w:rPr>
        <w:b/>
        <w:bCs/>
      </w:rPr>
      <w:instrText>styleref href</w:instrText>
    </w:r>
    <w:r w:rsidR="008A3AAD">
      <w:rPr>
        <w:b/>
        <w:bCs/>
      </w:rPr>
      <w:fldChar w:fldCharType="separate"/>
    </w:r>
    <w:r w:rsidR="003821FF">
      <w:rPr>
        <w:b/>
        <w:bCs/>
        <w:noProof/>
      </w:rPr>
      <w:t>UIT-R  SM.2154</w:t>
    </w:r>
    <w:r w:rsidR="008A3AAD">
      <w:rPr>
        <w:b/>
        <w:bCs/>
      </w:rPr>
      <w:fldChar w:fldCharType="end"/>
    </w:r>
    <w:r>
      <w:tab/>
    </w:r>
    <w:r w:rsidR="008A3AAD">
      <w:rPr>
        <w:rStyle w:val="PageNumber"/>
        <w:b/>
        <w:bCs/>
      </w:rPr>
      <w:fldChar w:fldCharType="begin"/>
    </w:r>
    <w:r>
      <w:rPr>
        <w:rStyle w:val="PageNumber"/>
        <w:b/>
        <w:bCs/>
      </w:rPr>
      <w:instrText xml:space="preserve"> PAGE </w:instrText>
    </w:r>
    <w:r w:rsidR="008A3AAD">
      <w:rPr>
        <w:rStyle w:val="PageNumber"/>
        <w:b/>
        <w:bCs/>
      </w:rPr>
      <w:fldChar w:fldCharType="separate"/>
    </w:r>
    <w:r>
      <w:rPr>
        <w:rStyle w:val="PageNumber"/>
        <w:b/>
        <w:bCs/>
        <w:noProof/>
      </w:rPr>
      <w:t>iii</w:t>
    </w:r>
    <w:r w:rsidR="008A3AAD">
      <w:rPr>
        <w:rStyle w:val="PageNumbe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105" w:rsidRDefault="008A3AAD" w:rsidP="000A5C22">
    <w:pPr>
      <w:pStyle w:val="Header"/>
      <w:jc w:val="left"/>
      <w:rPr>
        <w:lang w:val="en-US"/>
      </w:rPr>
    </w:pPr>
    <w:r>
      <w:rPr>
        <w:rStyle w:val="PageNumber"/>
        <w:b/>
        <w:bCs/>
      </w:rPr>
      <w:fldChar w:fldCharType="begin"/>
    </w:r>
    <w:r w:rsidR="004A6105">
      <w:rPr>
        <w:rStyle w:val="PageNumber"/>
        <w:b/>
        <w:bCs/>
        <w:lang w:val="en-US"/>
      </w:rPr>
      <w:instrText xml:space="preserve"> PAGE </w:instrText>
    </w:r>
    <w:r>
      <w:rPr>
        <w:rStyle w:val="PageNumber"/>
        <w:b/>
        <w:bCs/>
      </w:rPr>
      <w:fldChar w:fldCharType="separate"/>
    </w:r>
    <w:r w:rsidR="003821FF">
      <w:rPr>
        <w:rStyle w:val="PageNumber"/>
        <w:b/>
        <w:bCs/>
        <w:noProof/>
        <w:lang w:val="en-US"/>
      </w:rPr>
      <w:t>14</w:t>
    </w:r>
    <w:r>
      <w:rPr>
        <w:rStyle w:val="PageNumber"/>
        <w:b/>
        <w:bCs/>
      </w:rPr>
      <w:fldChar w:fldCharType="end"/>
    </w:r>
    <w:r w:rsidR="004A6105">
      <w:rPr>
        <w:lang w:val="en-US"/>
      </w:rPr>
      <w:tab/>
    </w:r>
    <w:fldSimple w:instr=" DOCPROPERTY &quot;Header 1&quot; \* MERGEFORMAT ">
      <w:r w:rsidR="003821FF" w:rsidRPr="003821FF">
        <w:rPr>
          <w:b/>
          <w:bCs/>
          <w:lang w:val="en-US"/>
        </w:rPr>
        <w:t xml:space="preserve">Rap. </w:t>
      </w:r>
    </w:fldSimple>
    <w:r w:rsidR="004A6105" w:rsidRPr="007D77F0">
      <w:rPr>
        <w:b/>
        <w:bCs/>
        <w:lang w:val="en-US"/>
      </w:rPr>
      <w:t xml:space="preserve"> </w:t>
    </w:r>
    <w:r w:rsidRPr="00B86004">
      <w:rPr>
        <w:b/>
        <w:bCs/>
      </w:rPr>
      <w:fldChar w:fldCharType="begin"/>
    </w:r>
    <w:r w:rsidR="004A6105" w:rsidRPr="00B86004">
      <w:rPr>
        <w:b/>
        <w:bCs/>
        <w:lang w:val="en-US"/>
      </w:rPr>
      <w:instrText>styleref href</w:instrText>
    </w:r>
    <w:r w:rsidRPr="00B86004">
      <w:rPr>
        <w:b/>
        <w:bCs/>
      </w:rPr>
      <w:fldChar w:fldCharType="separate"/>
    </w:r>
    <w:r w:rsidR="003821FF">
      <w:rPr>
        <w:b/>
        <w:bCs/>
        <w:noProof/>
      </w:rPr>
      <w:t>UIT-R  SM.2154</w:t>
    </w:r>
    <w:r w:rsidRPr="00B86004">
      <w:rP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105" w:rsidRPr="007D77F0" w:rsidRDefault="004A6105" w:rsidP="006B23A8">
    <w:pPr>
      <w:pStyle w:val="Header"/>
      <w:jc w:val="left"/>
    </w:pPr>
    <w:r>
      <w:ptab w:relativeTo="margin" w:alignment="center" w:leader="none"/>
    </w:r>
    <w:fldSimple w:instr=" DOCPROPERTY &quot;Header 1&quot; \* MERGEFORMAT ">
      <w:r w:rsidR="003821FF" w:rsidRPr="003821FF">
        <w:rPr>
          <w:b/>
          <w:bCs/>
          <w:lang w:val="en-US"/>
        </w:rPr>
        <w:t xml:space="preserve">Rap. </w:t>
      </w:r>
    </w:fldSimple>
    <w:r w:rsidRPr="007D77F0">
      <w:rPr>
        <w:b/>
        <w:bCs/>
        <w:lang w:val="en-US"/>
      </w:rPr>
      <w:t xml:space="preserve"> </w:t>
    </w:r>
    <w:r w:rsidR="008A3AAD" w:rsidRPr="00B86004">
      <w:rPr>
        <w:b/>
        <w:bCs/>
      </w:rPr>
      <w:fldChar w:fldCharType="begin"/>
    </w:r>
    <w:r w:rsidRPr="00B86004">
      <w:rPr>
        <w:b/>
        <w:bCs/>
        <w:lang w:val="en-US"/>
      </w:rPr>
      <w:instrText>styleref href</w:instrText>
    </w:r>
    <w:r w:rsidR="008A3AAD" w:rsidRPr="00B86004">
      <w:rPr>
        <w:b/>
        <w:bCs/>
      </w:rPr>
      <w:fldChar w:fldCharType="separate"/>
    </w:r>
    <w:r w:rsidR="003821FF">
      <w:rPr>
        <w:b/>
        <w:bCs/>
        <w:noProof/>
      </w:rPr>
      <w:t>UIT-R  SM.2154</w:t>
    </w:r>
    <w:r w:rsidR="008A3AAD" w:rsidRPr="00B86004">
      <w:rPr>
        <w:b/>
        <w:bCs/>
      </w:rPr>
      <w:fldChar w:fldCharType="end"/>
    </w:r>
    <w:r>
      <w:rPr>
        <w:b/>
        <w:bCs/>
      </w:rPr>
      <w:tab/>
    </w:r>
    <w:r w:rsidR="008A3AAD" w:rsidRPr="006B23A8">
      <w:rPr>
        <w:b/>
        <w:bCs/>
      </w:rPr>
      <w:fldChar w:fldCharType="begin"/>
    </w:r>
    <w:r w:rsidRPr="006B23A8">
      <w:rPr>
        <w:b/>
        <w:bCs/>
      </w:rPr>
      <w:instrText xml:space="preserve"> PAGE   \* MERGEFORMAT </w:instrText>
    </w:r>
    <w:r w:rsidR="008A3AAD" w:rsidRPr="006B23A8">
      <w:rPr>
        <w:b/>
        <w:bCs/>
      </w:rPr>
      <w:fldChar w:fldCharType="separate"/>
    </w:r>
    <w:r w:rsidR="003821FF">
      <w:rPr>
        <w:b/>
        <w:bCs/>
        <w:noProof/>
      </w:rPr>
      <w:t>15</w:t>
    </w:r>
    <w:r w:rsidR="008A3AAD" w:rsidRPr="006B23A8">
      <w:rP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rsids>
    <w:rsidRoot w:val="007D77F0"/>
    <w:rsid w:val="00027DC7"/>
    <w:rsid w:val="000A5C22"/>
    <w:rsid w:val="00217EBF"/>
    <w:rsid w:val="002D76C4"/>
    <w:rsid w:val="003821FF"/>
    <w:rsid w:val="00452BE1"/>
    <w:rsid w:val="00456B51"/>
    <w:rsid w:val="00481138"/>
    <w:rsid w:val="004A6105"/>
    <w:rsid w:val="004B264C"/>
    <w:rsid w:val="00543ADB"/>
    <w:rsid w:val="005D361C"/>
    <w:rsid w:val="00607D68"/>
    <w:rsid w:val="00625604"/>
    <w:rsid w:val="006B23A8"/>
    <w:rsid w:val="007468DA"/>
    <w:rsid w:val="007B26FF"/>
    <w:rsid w:val="007C725C"/>
    <w:rsid w:val="007D77F0"/>
    <w:rsid w:val="00874FC6"/>
    <w:rsid w:val="008A3AAD"/>
    <w:rsid w:val="008B6E04"/>
    <w:rsid w:val="00924623"/>
    <w:rsid w:val="009D6A77"/>
    <w:rsid w:val="00A6617B"/>
    <w:rsid w:val="00AB0DC8"/>
    <w:rsid w:val="00B44E24"/>
    <w:rsid w:val="00BE0E42"/>
    <w:rsid w:val="00C45CF0"/>
    <w:rsid w:val="00CB5312"/>
    <w:rsid w:val="00DF4176"/>
    <w:rsid w:val="00EC1E7A"/>
    <w:rsid w:val="00F10CA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53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B5312"/>
    <w:pPr>
      <w:keepNext/>
      <w:keepLines/>
      <w:spacing w:before="480"/>
      <w:ind w:left="794" w:hanging="794"/>
      <w:outlineLvl w:val="0"/>
    </w:pPr>
    <w:rPr>
      <w:b/>
    </w:rPr>
  </w:style>
  <w:style w:type="paragraph" w:styleId="Heading2">
    <w:name w:val="heading 2"/>
    <w:basedOn w:val="Heading1"/>
    <w:next w:val="Normal"/>
    <w:qFormat/>
    <w:rsid w:val="00CB5312"/>
    <w:pPr>
      <w:spacing w:before="320"/>
      <w:outlineLvl w:val="1"/>
    </w:pPr>
  </w:style>
  <w:style w:type="paragraph" w:styleId="Heading3">
    <w:name w:val="heading 3"/>
    <w:basedOn w:val="Heading1"/>
    <w:next w:val="Normal"/>
    <w:qFormat/>
    <w:rsid w:val="00CB5312"/>
    <w:pPr>
      <w:spacing w:before="200"/>
      <w:outlineLvl w:val="2"/>
    </w:pPr>
  </w:style>
  <w:style w:type="paragraph" w:styleId="Heading4">
    <w:name w:val="heading 4"/>
    <w:basedOn w:val="Heading3"/>
    <w:next w:val="Normal"/>
    <w:qFormat/>
    <w:rsid w:val="00CB5312"/>
    <w:pPr>
      <w:tabs>
        <w:tab w:val="clear" w:pos="794"/>
        <w:tab w:val="left" w:pos="992"/>
      </w:tabs>
      <w:ind w:left="992" w:hanging="992"/>
      <w:outlineLvl w:val="3"/>
    </w:pPr>
  </w:style>
  <w:style w:type="paragraph" w:styleId="Heading5">
    <w:name w:val="heading 5"/>
    <w:basedOn w:val="Heading4"/>
    <w:next w:val="Normal"/>
    <w:qFormat/>
    <w:rsid w:val="00CB5312"/>
    <w:pPr>
      <w:outlineLvl w:val="4"/>
    </w:pPr>
  </w:style>
  <w:style w:type="paragraph" w:styleId="Heading6">
    <w:name w:val="heading 6"/>
    <w:basedOn w:val="Heading4"/>
    <w:next w:val="Normal"/>
    <w:qFormat/>
    <w:rsid w:val="00CB5312"/>
    <w:pPr>
      <w:tabs>
        <w:tab w:val="clear" w:pos="992"/>
        <w:tab w:val="clear" w:pos="1191"/>
      </w:tabs>
      <w:ind w:left="1588" w:hanging="1588"/>
      <w:outlineLvl w:val="5"/>
    </w:pPr>
  </w:style>
  <w:style w:type="paragraph" w:styleId="Heading7">
    <w:name w:val="heading 7"/>
    <w:basedOn w:val="Heading6"/>
    <w:next w:val="Normal"/>
    <w:qFormat/>
    <w:rsid w:val="00CB5312"/>
    <w:pPr>
      <w:outlineLvl w:val="6"/>
    </w:pPr>
  </w:style>
  <w:style w:type="paragraph" w:styleId="Heading8">
    <w:name w:val="heading 8"/>
    <w:basedOn w:val="Heading6"/>
    <w:next w:val="Normal"/>
    <w:qFormat/>
    <w:rsid w:val="00CB5312"/>
    <w:pPr>
      <w:outlineLvl w:val="7"/>
    </w:pPr>
  </w:style>
  <w:style w:type="paragraph" w:styleId="Heading9">
    <w:name w:val="heading 9"/>
    <w:basedOn w:val="Heading6"/>
    <w:next w:val="Normal"/>
    <w:qFormat/>
    <w:rsid w:val="00CB531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CB531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B531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B5312"/>
  </w:style>
  <w:style w:type="paragraph" w:customStyle="1" w:styleId="Headingb">
    <w:name w:val="Heading_b"/>
    <w:basedOn w:val="Heading3"/>
    <w:next w:val="Normal"/>
    <w:rsid w:val="00CB5312"/>
    <w:pPr>
      <w:spacing w:before="160"/>
      <w:ind w:left="0" w:firstLine="0"/>
      <w:outlineLvl w:val="9"/>
    </w:pPr>
  </w:style>
  <w:style w:type="paragraph" w:customStyle="1" w:styleId="Headingi">
    <w:name w:val="Heading_i"/>
    <w:basedOn w:val="Heading3"/>
    <w:next w:val="Normal"/>
    <w:rsid w:val="00CB5312"/>
    <w:pPr>
      <w:spacing w:before="160"/>
      <w:ind w:left="0" w:firstLine="0"/>
    </w:pPr>
    <w:rPr>
      <w:b w:val="0"/>
      <w:i/>
    </w:rPr>
  </w:style>
  <w:style w:type="character" w:customStyle="1" w:styleId="href">
    <w:name w:val="href"/>
    <w:basedOn w:val="DefaultParagraphFont"/>
    <w:rsid w:val="00CB5312"/>
  </w:style>
  <w:style w:type="paragraph" w:customStyle="1" w:styleId="enumlev1">
    <w:name w:val="enumlev1"/>
    <w:basedOn w:val="Normal"/>
    <w:rsid w:val="00CB5312"/>
    <w:pPr>
      <w:spacing w:before="80"/>
      <w:ind w:left="794" w:hanging="794"/>
    </w:pPr>
  </w:style>
  <w:style w:type="paragraph" w:customStyle="1" w:styleId="enumlev2">
    <w:name w:val="enumlev2"/>
    <w:basedOn w:val="enumlev1"/>
    <w:rsid w:val="00CB5312"/>
    <w:pPr>
      <w:ind w:left="1191" w:hanging="397"/>
    </w:pPr>
  </w:style>
  <w:style w:type="paragraph" w:customStyle="1" w:styleId="enumlev3">
    <w:name w:val="enumlev3"/>
    <w:basedOn w:val="enumlev2"/>
    <w:rsid w:val="00CB5312"/>
    <w:pPr>
      <w:ind w:left="1588"/>
    </w:pPr>
  </w:style>
  <w:style w:type="paragraph" w:customStyle="1" w:styleId="Normalaftertitle">
    <w:name w:val="Normal_after_title"/>
    <w:basedOn w:val="Normal"/>
    <w:next w:val="Normal"/>
    <w:rsid w:val="00CB5312"/>
    <w:pPr>
      <w:spacing w:before="320"/>
    </w:pPr>
  </w:style>
  <w:style w:type="paragraph" w:customStyle="1" w:styleId="Note">
    <w:name w:val="Note"/>
    <w:basedOn w:val="Normal"/>
    <w:rsid w:val="00CB531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B531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B5312"/>
    <w:pPr>
      <w:spacing w:before="240"/>
    </w:pPr>
    <w:rPr>
      <w:sz w:val="22"/>
      <w:lang w:val="es-ES_tradnl"/>
    </w:rPr>
  </w:style>
  <w:style w:type="paragraph" w:customStyle="1" w:styleId="Recref">
    <w:name w:val="Rec_ref"/>
    <w:basedOn w:val="Normal"/>
    <w:next w:val="Recdate"/>
    <w:rsid w:val="00CB5312"/>
    <w:pPr>
      <w:jc w:val="center"/>
    </w:pPr>
  </w:style>
  <w:style w:type="paragraph" w:customStyle="1" w:styleId="Recdate">
    <w:name w:val="Rec_date"/>
    <w:basedOn w:val="Recref"/>
    <w:next w:val="Normalaftertitle"/>
    <w:rsid w:val="00CB5312"/>
    <w:pPr>
      <w:jc w:val="right"/>
    </w:pPr>
  </w:style>
  <w:style w:type="paragraph" w:customStyle="1" w:styleId="AnnexNoTitle">
    <w:name w:val="Annex_NoTitle"/>
    <w:basedOn w:val="Normal"/>
    <w:next w:val="Normalaftertitle"/>
    <w:rsid w:val="00CB5312"/>
    <w:pPr>
      <w:keepNext/>
      <w:keepLines/>
      <w:spacing w:before="480" w:after="80"/>
      <w:jc w:val="center"/>
    </w:pPr>
    <w:rPr>
      <w:b/>
      <w:sz w:val="28"/>
    </w:rPr>
  </w:style>
  <w:style w:type="paragraph" w:customStyle="1" w:styleId="AppendixNoTitle">
    <w:name w:val="Appendix_NoTitle"/>
    <w:basedOn w:val="AnnexNoTitle"/>
    <w:next w:val="Normal"/>
    <w:rsid w:val="00CB5312"/>
  </w:style>
  <w:style w:type="paragraph" w:customStyle="1" w:styleId="Tablefin">
    <w:name w:val="Table_fin"/>
    <w:basedOn w:val="Normal"/>
    <w:next w:val="Normal"/>
    <w:rsid w:val="00CB5312"/>
    <w:pPr>
      <w:spacing w:before="0"/>
    </w:pPr>
    <w:rPr>
      <w:sz w:val="20"/>
      <w:lang w:val="en-GB"/>
    </w:rPr>
  </w:style>
  <w:style w:type="paragraph" w:customStyle="1" w:styleId="Tablehead">
    <w:name w:val="Table_head"/>
    <w:basedOn w:val="Normal"/>
    <w:next w:val="Normal"/>
    <w:rsid w:val="00CB531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B53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B5312"/>
    <w:pPr>
      <w:keepNext/>
      <w:spacing w:before="360" w:after="120"/>
      <w:jc w:val="center"/>
    </w:pPr>
  </w:style>
  <w:style w:type="paragraph" w:customStyle="1" w:styleId="Tabletext">
    <w:name w:val="Table_text"/>
    <w:basedOn w:val="Normal"/>
    <w:rsid w:val="00CB53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B5312"/>
    <w:pPr>
      <w:tabs>
        <w:tab w:val="clear" w:pos="1191"/>
        <w:tab w:val="clear" w:pos="1588"/>
        <w:tab w:val="clear" w:pos="1985"/>
        <w:tab w:val="center" w:pos="4820"/>
        <w:tab w:val="right" w:pos="9639"/>
      </w:tabs>
    </w:pPr>
  </w:style>
  <w:style w:type="paragraph" w:customStyle="1" w:styleId="Equationlegend">
    <w:name w:val="Equation_legend"/>
    <w:basedOn w:val="NormalIndent"/>
    <w:rsid w:val="00CB531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B5312"/>
    <w:pPr>
      <w:ind w:left="794"/>
    </w:pPr>
  </w:style>
  <w:style w:type="paragraph" w:customStyle="1" w:styleId="Figurelegend">
    <w:name w:val="Figure_legend"/>
    <w:basedOn w:val="Normal"/>
    <w:rsid w:val="00CB531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CB531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B5312"/>
    <w:pPr>
      <w:keepNext/>
      <w:keepLines/>
      <w:spacing w:before="480"/>
      <w:jc w:val="center"/>
    </w:pPr>
    <w:rPr>
      <w:sz w:val="28"/>
    </w:rPr>
  </w:style>
  <w:style w:type="paragraph" w:customStyle="1" w:styleId="Arttitle">
    <w:name w:val="Art_title"/>
    <w:basedOn w:val="Normal"/>
    <w:next w:val="Normalaftertitle"/>
    <w:rsid w:val="00CB5312"/>
    <w:pPr>
      <w:keepNext/>
      <w:keepLines/>
      <w:spacing w:before="240"/>
      <w:jc w:val="center"/>
    </w:pPr>
    <w:rPr>
      <w:b/>
      <w:sz w:val="28"/>
    </w:rPr>
  </w:style>
  <w:style w:type="paragraph" w:customStyle="1" w:styleId="Blanc">
    <w:name w:val="Blanc"/>
    <w:basedOn w:val="Normal"/>
    <w:next w:val="Tabletext"/>
    <w:rsid w:val="00CB531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B53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B5312"/>
    <w:pPr>
      <w:keepNext/>
      <w:keepLines/>
      <w:spacing w:before="160"/>
      <w:ind w:left="794"/>
    </w:pPr>
    <w:rPr>
      <w:i/>
    </w:rPr>
  </w:style>
  <w:style w:type="paragraph" w:customStyle="1" w:styleId="ChapNo">
    <w:name w:val="Chap_No"/>
    <w:basedOn w:val="ArtNo"/>
    <w:next w:val="Chaptitle"/>
    <w:rsid w:val="00CB5312"/>
    <w:rPr>
      <w:b/>
    </w:rPr>
  </w:style>
  <w:style w:type="paragraph" w:customStyle="1" w:styleId="Chaptitle">
    <w:name w:val="Chap_title"/>
    <w:basedOn w:val="Arttitle"/>
    <w:next w:val="Normalaftertitle"/>
    <w:rsid w:val="00CB5312"/>
  </w:style>
  <w:style w:type="character" w:styleId="FootnoteReference">
    <w:name w:val="footnote reference"/>
    <w:basedOn w:val="DefaultParagraphFont"/>
    <w:semiHidden/>
    <w:rsid w:val="00CB5312"/>
    <w:rPr>
      <w:position w:val="6"/>
      <w:sz w:val="18"/>
    </w:rPr>
  </w:style>
  <w:style w:type="paragraph" w:styleId="FootnoteText">
    <w:name w:val="footnote text"/>
    <w:basedOn w:val="Normal"/>
    <w:semiHidden/>
    <w:rsid w:val="00CB5312"/>
    <w:pPr>
      <w:keepLines/>
      <w:tabs>
        <w:tab w:val="left" w:pos="255"/>
      </w:tabs>
      <w:ind w:left="255" w:hanging="255"/>
    </w:pPr>
    <w:rPr>
      <w:sz w:val="22"/>
    </w:rPr>
  </w:style>
  <w:style w:type="paragraph" w:styleId="Index1">
    <w:name w:val="index 1"/>
    <w:basedOn w:val="Normal"/>
    <w:next w:val="Normal"/>
    <w:semiHidden/>
    <w:rsid w:val="00CB5312"/>
  </w:style>
  <w:style w:type="paragraph" w:styleId="Index2">
    <w:name w:val="index 2"/>
    <w:basedOn w:val="Normal"/>
    <w:next w:val="Normal"/>
    <w:semiHidden/>
    <w:rsid w:val="00CB5312"/>
    <w:pPr>
      <w:ind w:left="283"/>
    </w:pPr>
  </w:style>
  <w:style w:type="paragraph" w:styleId="Index3">
    <w:name w:val="index 3"/>
    <w:basedOn w:val="Normal"/>
    <w:next w:val="Normal"/>
    <w:semiHidden/>
    <w:rsid w:val="00CB5312"/>
    <w:pPr>
      <w:ind w:left="566"/>
    </w:pPr>
  </w:style>
  <w:style w:type="paragraph" w:styleId="IndexHeading">
    <w:name w:val="index heading"/>
    <w:basedOn w:val="Normal"/>
    <w:next w:val="Index1"/>
    <w:semiHidden/>
    <w:rsid w:val="00CB5312"/>
  </w:style>
  <w:style w:type="paragraph" w:customStyle="1" w:styleId="Line">
    <w:name w:val="Line"/>
    <w:basedOn w:val="Normal"/>
    <w:next w:val="Normal"/>
    <w:rsid w:val="00CB531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B531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B5312"/>
  </w:style>
  <w:style w:type="paragraph" w:customStyle="1" w:styleId="Partref">
    <w:name w:val="Part_ref"/>
    <w:basedOn w:val="Normal"/>
    <w:next w:val="Normal"/>
    <w:rsid w:val="00CB5312"/>
    <w:pPr>
      <w:keepNext/>
      <w:keepLines/>
      <w:spacing w:after="280"/>
      <w:jc w:val="center"/>
    </w:pPr>
  </w:style>
  <w:style w:type="paragraph" w:customStyle="1" w:styleId="Parttitle">
    <w:name w:val="Part_title"/>
    <w:basedOn w:val="Normal"/>
    <w:next w:val="Normalaftertitle"/>
    <w:rsid w:val="00CB531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B5312"/>
  </w:style>
  <w:style w:type="paragraph" w:customStyle="1" w:styleId="QuestionNo">
    <w:name w:val="Question_No"/>
    <w:basedOn w:val="RecNo"/>
    <w:next w:val="Normal"/>
    <w:rsid w:val="00CB5312"/>
  </w:style>
  <w:style w:type="paragraph" w:customStyle="1" w:styleId="Questionref">
    <w:name w:val="Question_ref"/>
    <w:basedOn w:val="Recref"/>
    <w:next w:val="Questiondate"/>
    <w:rsid w:val="00CB5312"/>
  </w:style>
  <w:style w:type="paragraph" w:customStyle="1" w:styleId="Questiontitle">
    <w:name w:val="Question_title"/>
    <w:basedOn w:val="Normal"/>
    <w:next w:val="Questionref"/>
    <w:rsid w:val="00CB5312"/>
  </w:style>
  <w:style w:type="paragraph" w:customStyle="1" w:styleId="Reftext">
    <w:name w:val="Ref_text"/>
    <w:basedOn w:val="Normal"/>
    <w:rsid w:val="00CB5312"/>
    <w:pPr>
      <w:ind w:left="794" w:hanging="794"/>
    </w:pPr>
    <w:rPr>
      <w:sz w:val="22"/>
    </w:rPr>
  </w:style>
  <w:style w:type="paragraph" w:customStyle="1" w:styleId="Reftitle">
    <w:name w:val="Ref_title"/>
    <w:basedOn w:val="Normal"/>
    <w:next w:val="Reftext"/>
    <w:rsid w:val="00CB531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B5312"/>
  </w:style>
  <w:style w:type="paragraph" w:customStyle="1" w:styleId="RepNo">
    <w:name w:val="Rep_No"/>
    <w:basedOn w:val="RecNo"/>
    <w:next w:val="Reptitle"/>
    <w:rsid w:val="00CB5312"/>
  </w:style>
  <w:style w:type="paragraph" w:customStyle="1" w:styleId="Repref">
    <w:name w:val="Rep_ref"/>
    <w:basedOn w:val="Recref"/>
    <w:next w:val="Repdate"/>
    <w:rsid w:val="00CB5312"/>
  </w:style>
  <w:style w:type="paragraph" w:customStyle="1" w:styleId="Reptitle">
    <w:name w:val="Rep_title"/>
    <w:basedOn w:val="Rectitle"/>
    <w:next w:val="Repref"/>
    <w:rsid w:val="00CB5312"/>
  </w:style>
  <w:style w:type="paragraph" w:customStyle="1" w:styleId="Resdate">
    <w:name w:val="Res_date"/>
    <w:basedOn w:val="Recdate"/>
    <w:next w:val="Normalaftertitle"/>
    <w:rsid w:val="00CB5312"/>
  </w:style>
  <w:style w:type="paragraph" w:customStyle="1" w:styleId="ResNo">
    <w:name w:val="Res_No"/>
    <w:basedOn w:val="RecNo"/>
    <w:next w:val="Restitle"/>
    <w:rsid w:val="00CB5312"/>
  </w:style>
  <w:style w:type="paragraph" w:customStyle="1" w:styleId="Resref">
    <w:name w:val="Res_ref"/>
    <w:basedOn w:val="Recref"/>
    <w:next w:val="Resdate"/>
    <w:rsid w:val="00CB5312"/>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CB5312"/>
  </w:style>
  <w:style w:type="paragraph" w:customStyle="1" w:styleId="Sectiontitle">
    <w:name w:val="Section_title"/>
    <w:basedOn w:val="Normal"/>
    <w:next w:val="Normalaftertitle"/>
    <w:rsid w:val="00CB531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B5312"/>
    <w:pPr>
      <w:tabs>
        <w:tab w:val="clear" w:pos="794"/>
        <w:tab w:val="clear" w:pos="1191"/>
        <w:tab w:val="clear" w:pos="1588"/>
        <w:tab w:val="clear" w:pos="1985"/>
        <w:tab w:val="right" w:pos="9611"/>
      </w:tabs>
    </w:pPr>
    <w:rPr>
      <w:i/>
    </w:rPr>
  </w:style>
  <w:style w:type="paragraph" w:styleId="TOC1">
    <w:name w:val="toc 1"/>
    <w:basedOn w:val="Normal"/>
    <w:uiPriority w:val="39"/>
    <w:rsid w:val="00CB531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B5312"/>
    <w:pPr>
      <w:tabs>
        <w:tab w:val="clear" w:pos="567"/>
        <w:tab w:val="left" w:pos="1276"/>
      </w:tabs>
      <w:spacing w:before="160"/>
      <w:ind w:left="1276" w:hanging="709"/>
    </w:pPr>
  </w:style>
  <w:style w:type="paragraph" w:styleId="TOC3">
    <w:name w:val="toc 3"/>
    <w:basedOn w:val="TOC2"/>
    <w:semiHidden/>
    <w:rsid w:val="00CB5312"/>
    <w:pPr>
      <w:tabs>
        <w:tab w:val="clear" w:pos="1276"/>
        <w:tab w:val="left" w:pos="2155"/>
      </w:tabs>
      <w:ind w:left="2155" w:hanging="879"/>
    </w:pPr>
  </w:style>
  <w:style w:type="paragraph" w:styleId="TOC4">
    <w:name w:val="toc 4"/>
    <w:basedOn w:val="TOC3"/>
    <w:semiHidden/>
    <w:rsid w:val="00CB5312"/>
    <w:pPr>
      <w:tabs>
        <w:tab w:val="left" w:pos="3261"/>
      </w:tabs>
      <w:spacing w:before="80"/>
      <w:ind w:left="3261" w:hanging="993"/>
    </w:pPr>
  </w:style>
  <w:style w:type="paragraph" w:styleId="TOC5">
    <w:name w:val="toc 5"/>
    <w:basedOn w:val="TOC4"/>
    <w:semiHidden/>
    <w:rsid w:val="00CB5312"/>
  </w:style>
  <w:style w:type="paragraph" w:styleId="TOC6">
    <w:name w:val="toc 6"/>
    <w:basedOn w:val="TOC4"/>
    <w:semiHidden/>
    <w:rsid w:val="00CB5312"/>
  </w:style>
  <w:style w:type="paragraph" w:styleId="TOC7">
    <w:name w:val="toc 7"/>
    <w:basedOn w:val="TOC4"/>
    <w:semiHidden/>
    <w:rsid w:val="00CB5312"/>
  </w:style>
  <w:style w:type="paragraph" w:styleId="TOC8">
    <w:name w:val="toc 8"/>
    <w:basedOn w:val="TOC4"/>
    <w:semiHidden/>
    <w:rsid w:val="00CB5312"/>
  </w:style>
  <w:style w:type="paragraph" w:customStyle="1" w:styleId="Rectitle">
    <w:name w:val="Rec_title"/>
    <w:basedOn w:val="Normal"/>
    <w:next w:val="Recref"/>
    <w:rsid w:val="00CB5312"/>
    <w:pPr>
      <w:keepNext/>
      <w:keepLines/>
      <w:spacing w:before="240"/>
      <w:jc w:val="center"/>
    </w:pPr>
    <w:rPr>
      <w:b/>
      <w:sz w:val="28"/>
    </w:rPr>
  </w:style>
  <w:style w:type="paragraph" w:customStyle="1" w:styleId="Annexref">
    <w:name w:val="Annex_ref"/>
    <w:basedOn w:val="Normal"/>
    <w:next w:val="Normalaftertitle"/>
    <w:rsid w:val="00CB5312"/>
    <w:pPr>
      <w:keepNext/>
      <w:keepLines/>
      <w:spacing w:after="280"/>
      <w:jc w:val="center"/>
    </w:pPr>
  </w:style>
  <w:style w:type="paragraph" w:customStyle="1" w:styleId="Appendixref">
    <w:name w:val="Appendix_ref"/>
    <w:basedOn w:val="Annexref"/>
    <w:next w:val="Normalaftertitle"/>
    <w:rsid w:val="00CB5312"/>
  </w:style>
  <w:style w:type="paragraph" w:customStyle="1" w:styleId="Figuretitle">
    <w:name w:val="Figure_title"/>
    <w:basedOn w:val="Normal"/>
    <w:next w:val="Figure"/>
    <w:rsid w:val="00CB531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B5312"/>
    <w:pPr>
      <w:keepNext/>
      <w:spacing w:before="0" w:after="120"/>
      <w:jc w:val="center"/>
    </w:pPr>
    <w:rPr>
      <w:b/>
    </w:rPr>
  </w:style>
  <w:style w:type="paragraph" w:customStyle="1" w:styleId="Summary">
    <w:name w:val="Summary"/>
    <w:basedOn w:val="Normal"/>
    <w:next w:val="Normalaftertitle"/>
    <w:rsid w:val="00CB531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table" w:styleId="TableGrid">
    <w:name w:val="Table Grid"/>
    <w:basedOn w:val="TableNormal"/>
    <w:rsid w:val="007B26FF"/>
    <w:rPr>
      <w:rFonts w:ascii="CG Times" w:hAnsi="CG Tim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7B26FF"/>
    <w:rPr>
      <w:color w:val="0000FF"/>
      <w:u w:val="single"/>
    </w:rPr>
  </w:style>
  <w:style w:type="character" w:customStyle="1" w:styleId="Heading1Char">
    <w:name w:val="Heading 1 Char"/>
    <w:basedOn w:val="DefaultParagraphFont"/>
    <w:link w:val="Heading1"/>
    <w:rsid w:val="007B26FF"/>
    <w:rPr>
      <w:b/>
      <w:sz w:val="24"/>
      <w:lang w:val="fr-FR" w:eastAsia="en-US"/>
    </w:rPr>
  </w:style>
  <w:style w:type="character" w:customStyle="1" w:styleId="HeaderChar">
    <w:name w:val="Header Char"/>
    <w:basedOn w:val="DefaultParagraphFont"/>
    <w:link w:val="Header"/>
    <w:uiPriority w:val="99"/>
    <w:rsid w:val="007B26FF"/>
    <w:rPr>
      <w:sz w:val="24"/>
      <w:lang w:val="fr-FR" w:eastAsia="en-US"/>
    </w:rPr>
  </w:style>
  <w:style w:type="paragraph" w:customStyle="1" w:styleId="Title1">
    <w:name w:val="Title 1"/>
    <w:basedOn w:val="Normal"/>
    <w:next w:val="Normal"/>
    <w:rsid w:val="007B26FF"/>
    <w:pPr>
      <w:tabs>
        <w:tab w:val="clear" w:pos="794"/>
        <w:tab w:val="clear" w:pos="1191"/>
        <w:tab w:val="clear" w:pos="1588"/>
        <w:tab w:val="clear" w:pos="1985"/>
        <w:tab w:val="left" w:pos="567"/>
        <w:tab w:val="left" w:pos="1134"/>
        <w:tab w:val="left" w:pos="1701"/>
        <w:tab w:val="left" w:pos="2268"/>
        <w:tab w:val="left" w:pos="2835"/>
      </w:tabs>
      <w:spacing w:before="240"/>
      <w:jc w:val="center"/>
    </w:pPr>
    <w:rPr>
      <w:caps/>
      <w:sz w:val="28"/>
    </w:rPr>
  </w:style>
  <w:style w:type="paragraph" w:customStyle="1" w:styleId="FooterQP">
    <w:name w:val="Footer_QP"/>
    <w:basedOn w:val="Normal"/>
    <w:rsid w:val="00452BE1"/>
    <w:pPr>
      <w:tabs>
        <w:tab w:val="clear" w:pos="794"/>
        <w:tab w:val="clear" w:pos="1191"/>
        <w:tab w:val="clear" w:pos="1588"/>
        <w:tab w:val="clear" w:pos="1985"/>
        <w:tab w:val="left" w:pos="907"/>
        <w:tab w:val="right" w:pos="8789"/>
        <w:tab w:val="right" w:pos="9639"/>
      </w:tabs>
      <w:spacing w:before="0"/>
      <w:jc w:val="left"/>
    </w:pPr>
    <w:rPr>
      <w:b/>
      <w:sz w:val="22"/>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webSettings" Target="webSettings.xml"/><Relationship Id="rId21" Type="http://schemas.openxmlformats.org/officeDocument/2006/relationships/image" Target="media/image6.emf"/><Relationship Id="rId7" Type="http://schemas.openxmlformats.org/officeDocument/2006/relationships/oleObject" Target="embeddings/oleObject1.bin"/><Relationship Id="rId12" Type="http://schemas.openxmlformats.org/officeDocument/2006/relationships/hyperlink" Target="http://www.itu.int/publ/R-REP/fr" TargetMode="External"/><Relationship Id="rId17" Type="http://schemas.openxmlformats.org/officeDocument/2006/relationships/image" Target="media/image4.wmf"/><Relationship Id="rId25" Type="http://schemas.openxmlformats.org/officeDocument/2006/relationships/image" Target="media/image8.emf"/><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6.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ITU-R/go/patents/fr" TargetMode="Externa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10" Type="http://schemas.openxmlformats.org/officeDocument/2006/relationships/header" Target="header3.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203</TotalTime>
  <Pages>17</Pages>
  <Words>4378</Words>
  <Characters>24682</Characters>
  <Application>Microsoft Office Word</Application>
  <DocSecurity>0</DocSecurity>
  <Lines>205</Lines>
  <Paragraphs>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brice</cp:lastModifiedBy>
  <cp:revision>16</cp:revision>
  <cp:lastPrinted>2005-02-10T15:54:00Z</cp:lastPrinted>
  <dcterms:created xsi:type="dcterms:W3CDTF">2010-08-06T08:13:00Z</dcterms:created>
  <dcterms:modified xsi:type="dcterms:W3CDTF">2010-09-02T14:01:00Z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