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D17" w:rsidRDefault="00F97D17" w:rsidP="00D35C21">
      <w:bookmarkStart w:id="0" w:name="irecnoe"/>
      <w:bookmarkEnd w:id="0"/>
    </w:p>
    <w:p w:rsidR="00F97D17" w:rsidRDefault="00F97D17" w:rsidP="00D35C21"/>
    <w:p w:rsidR="00F97D17" w:rsidRDefault="00F97D17" w:rsidP="00D35C21"/>
    <w:p w:rsidR="00F97D17" w:rsidRDefault="00F97D17" w:rsidP="00D35C21"/>
    <w:p w:rsidR="00F97D17" w:rsidRDefault="00F97D17" w:rsidP="00D35C21"/>
    <w:p w:rsidR="00F97D17" w:rsidRDefault="00F97D17" w:rsidP="00D35C21"/>
    <w:p w:rsidR="00F97D17" w:rsidRDefault="00F97D17" w:rsidP="00D35C21"/>
    <w:p w:rsidR="00F97D17" w:rsidRDefault="00F97D17" w:rsidP="00D35C21"/>
    <w:p w:rsidR="00F97D17" w:rsidRDefault="00F97D17" w:rsidP="00D35C21"/>
    <w:p w:rsidR="00F97D17" w:rsidRDefault="00F97D17" w:rsidP="00D35C21"/>
    <w:p w:rsidR="00F97D17" w:rsidRDefault="00F97D17" w:rsidP="00D35C21"/>
    <w:p w:rsidR="00F97D17" w:rsidRDefault="00F97D17" w:rsidP="00D35C21"/>
    <w:tbl>
      <w:tblPr>
        <w:tblW w:w="10089" w:type="dxa"/>
        <w:tblLook w:val="01E0" w:firstRow="1" w:lastRow="1" w:firstColumn="1" w:lastColumn="1" w:noHBand="0" w:noVBand="0"/>
      </w:tblPr>
      <w:tblGrid>
        <w:gridCol w:w="10089"/>
      </w:tblGrid>
      <w:tr w:rsidR="00F97D17" w:rsidRPr="00CA109F" w:rsidTr="00D35C21">
        <w:tc>
          <w:tcPr>
            <w:tcW w:w="10089" w:type="dxa"/>
          </w:tcPr>
          <w:p w:rsidR="00F97D17" w:rsidRPr="00CA109F" w:rsidRDefault="00F97D17" w:rsidP="00D35C21">
            <w:pPr>
              <w:spacing w:before="380" w:line="280" w:lineRule="exact"/>
              <w:jc w:val="right"/>
              <w:rPr>
                <w:rFonts w:ascii="Tahoma" w:hAnsi="Tahoma" w:cs="Tahoma"/>
                <w:b/>
                <w:bCs/>
                <w:iCs/>
                <w:color w:val="509141"/>
                <w:sz w:val="32"/>
                <w:szCs w:val="32"/>
                <w:lang w:val="en-US"/>
              </w:rPr>
            </w:pPr>
          </w:p>
          <w:p w:rsidR="00F97D17" w:rsidRPr="00F97D17" w:rsidRDefault="00F97D17" w:rsidP="00985DE2">
            <w:pPr>
              <w:spacing w:before="380" w:line="280" w:lineRule="exact"/>
              <w:jc w:val="right"/>
              <w:rPr>
                <w:rFonts w:ascii="Tahoma" w:hAnsi="Tahoma" w:cs="Tahoma"/>
                <w:b/>
                <w:bCs/>
                <w:iCs/>
                <w:color w:val="509141"/>
                <w:sz w:val="36"/>
                <w:szCs w:val="36"/>
                <w:lang w:val="fr-CH"/>
              </w:rPr>
            </w:pPr>
            <w:r w:rsidRPr="00F97D17">
              <w:rPr>
                <w:rFonts w:ascii="Tahoma" w:hAnsi="Tahoma" w:cs="Tahoma"/>
                <w:b/>
                <w:bCs/>
                <w:iCs/>
                <w:color w:val="509141"/>
                <w:sz w:val="36"/>
                <w:szCs w:val="36"/>
                <w:lang w:val="fr-CH"/>
              </w:rPr>
              <w:t>Informe  UIT-R  SM.</w:t>
            </w:r>
            <w:r w:rsidR="00985DE2">
              <w:rPr>
                <w:rFonts w:ascii="Tahoma" w:hAnsi="Tahoma" w:cs="Tahoma"/>
                <w:b/>
                <w:bCs/>
                <w:iCs/>
                <w:color w:val="509141"/>
                <w:sz w:val="36"/>
                <w:szCs w:val="36"/>
                <w:lang w:val="fr-CH"/>
              </w:rPr>
              <w:t>2125</w:t>
            </w:r>
            <w:r w:rsidR="00A56BB3">
              <w:rPr>
                <w:rFonts w:ascii="Tahoma" w:hAnsi="Tahoma" w:cs="Tahoma"/>
                <w:b/>
                <w:bCs/>
                <w:iCs/>
                <w:color w:val="509141"/>
                <w:sz w:val="36"/>
                <w:szCs w:val="36"/>
                <w:lang w:val="fr-CH"/>
              </w:rPr>
              <w:t>-1</w:t>
            </w:r>
            <w:r w:rsidRPr="00F97D17">
              <w:rPr>
                <w:rFonts w:ascii="Tahoma" w:hAnsi="Tahoma" w:cs="Tahoma"/>
                <w:b/>
                <w:bCs/>
                <w:iCs/>
                <w:color w:val="509141"/>
                <w:sz w:val="36"/>
                <w:szCs w:val="36"/>
                <w:lang w:val="fr-CH"/>
              </w:rPr>
              <w:t xml:space="preserve">  </w:t>
            </w:r>
          </w:p>
          <w:p w:rsidR="00F97D17" w:rsidRPr="00F97D17" w:rsidRDefault="00F97D17" w:rsidP="00985DE2">
            <w:pPr>
              <w:spacing w:before="80" w:line="280" w:lineRule="exact"/>
              <w:jc w:val="right"/>
              <w:rPr>
                <w:rFonts w:ascii="Tahoma" w:hAnsi="Tahoma" w:cs="Tahoma"/>
                <w:b/>
                <w:bCs/>
                <w:iCs/>
                <w:color w:val="509141"/>
                <w:szCs w:val="24"/>
                <w:lang w:val="fr-CH"/>
              </w:rPr>
            </w:pPr>
            <w:r w:rsidRPr="00F97D17">
              <w:rPr>
                <w:rFonts w:ascii="Tahoma" w:hAnsi="Tahoma" w:cs="Tahoma"/>
                <w:b/>
                <w:bCs/>
                <w:iCs/>
                <w:color w:val="509141"/>
                <w:szCs w:val="24"/>
                <w:lang w:val="fr-CH"/>
              </w:rPr>
              <w:t>(</w:t>
            </w:r>
            <w:r w:rsidR="00985DE2">
              <w:rPr>
                <w:rFonts w:ascii="Tahoma" w:hAnsi="Tahoma" w:cs="Tahoma"/>
                <w:b/>
                <w:bCs/>
                <w:iCs/>
                <w:color w:val="509141"/>
                <w:szCs w:val="24"/>
                <w:lang w:val="fr-CH"/>
              </w:rPr>
              <w:t>06</w:t>
            </w:r>
            <w:r w:rsidRPr="00F97D17">
              <w:rPr>
                <w:rFonts w:ascii="Tahoma" w:hAnsi="Tahoma" w:cs="Tahoma"/>
                <w:b/>
                <w:bCs/>
                <w:iCs/>
                <w:color w:val="509141"/>
                <w:szCs w:val="24"/>
                <w:lang w:val="fr-CH"/>
              </w:rPr>
              <w:t>/20</w:t>
            </w:r>
            <w:r w:rsidR="00985DE2">
              <w:rPr>
                <w:rFonts w:ascii="Tahoma" w:hAnsi="Tahoma" w:cs="Tahoma"/>
                <w:b/>
                <w:bCs/>
                <w:iCs/>
                <w:color w:val="509141"/>
                <w:szCs w:val="24"/>
                <w:lang w:val="fr-CH"/>
              </w:rPr>
              <w:t>11</w:t>
            </w:r>
            <w:r w:rsidRPr="00F97D17">
              <w:rPr>
                <w:rFonts w:ascii="Tahoma" w:hAnsi="Tahoma" w:cs="Tahoma"/>
                <w:b/>
                <w:bCs/>
                <w:iCs/>
                <w:color w:val="509141"/>
                <w:szCs w:val="24"/>
                <w:lang w:val="fr-CH"/>
              </w:rPr>
              <w:t>)</w:t>
            </w:r>
          </w:p>
        </w:tc>
      </w:tr>
      <w:tr w:rsidR="00F97D17" w:rsidRPr="00A56BB3" w:rsidTr="00D35C21">
        <w:tc>
          <w:tcPr>
            <w:tcW w:w="10089" w:type="dxa"/>
          </w:tcPr>
          <w:p w:rsidR="00F97D17" w:rsidRPr="00985DE2" w:rsidRDefault="00F97D17" w:rsidP="00D35C21">
            <w:pPr>
              <w:spacing w:before="80" w:line="500" w:lineRule="exact"/>
              <w:jc w:val="right"/>
              <w:rPr>
                <w:rFonts w:ascii="Tahoma" w:hAnsi="Tahoma" w:cs="Tahoma"/>
                <w:b/>
                <w:bCs/>
                <w:iCs/>
                <w:color w:val="509141"/>
                <w:sz w:val="44"/>
                <w:szCs w:val="44"/>
                <w:lang w:val="es-ES_tradnl"/>
              </w:rPr>
            </w:pPr>
          </w:p>
          <w:p w:rsidR="00F97D17" w:rsidRPr="00CA109F" w:rsidRDefault="00985DE2" w:rsidP="00985DE2">
            <w:pPr>
              <w:spacing w:before="80" w:line="500" w:lineRule="exact"/>
              <w:jc w:val="right"/>
              <w:rPr>
                <w:rFonts w:ascii="Tahoma" w:hAnsi="Tahoma" w:cs="Tahoma"/>
                <w:b/>
                <w:bCs/>
                <w:iCs/>
                <w:color w:val="509141"/>
                <w:sz w:val="44"/>
                <w:szCs w:val="44"/>
                <w:lang w:val="es-ES_tradnl"/>
              </w:rPr>
            </w:pPr>
            <w:r w:rsidRPr="00985DE2">
              <w:rPr>
                <w:rFonts w:ascii="Tahoma" w:hAnsi="Tahoma" w:cs="Tahoma"/>
                <w:b/>
                <w:bCs/>
                <w:iCs/>
                <w:color w:val="509141"/>
                <w:sz w:val="44"/>
                <w:szCs w:val="44"/>
                <w:lang w:val="es-ES_tradnl"/>
              </w:rPr>
              <w:t>Parámetros y procedimientos de medición de las estaciones</w:t>
            </w:r>
            <w:r>
              <w:rPr>
                <w:rFonts w:ascii="Tahoma" w:hAnsi="Tahoma" w:cs="Tahoma"/>
                <w:b/>
                <w:bCs/>
                <w:iCs/>
                <w:color w:val="509141"/>
                <w:sz w:val="44"/>
                <w:szCs w:val="44"/>
                <w:lang w:val="es-ES_tradnl"/>
              </w:rPr>
              <w:t xml:space="preserve"> </w:t>
            </w:r>
            <w:r w:rsidRPr="00985DE2">
              <w:rPr>
                <w:rFonts w:ascii="Tahoma" w:hAnsi="Tahoma" w:cs="Tahoma"/>
                <w:b/>
                <w:bCs/>
                <w:iCs/>
                <w:color w:val="509141"/>
                <w:sz w:val="44"/>
                <w:szCs w:val="44"/>
                <w:lang w:val="es-ES_tradnl"/>
              </w:rPr>
              <w:t>y receptores de comprobación técnica en las bandas</w:t>
            </w:r>
            <w:r>
              <w:rPr>
                <w:rFonts w:ascii="Tahoma" w:hAnsi="Tahoma" w:cs="Tahoma"/>
                <w:b/>
                <w:bCs/>
                <w:iCs/>
                <w:color w:val="509141"/>
                <w:sz w:val="44"/>
                <w:szCs w:val="44"/>
                <w:lang w:val="es-ES_tradnl"/>
              </w:rPr>
              <w:t xml:space="preserve"> </w:t>
            </w:r>
            <w:r w:rsidRPr="00985DE2">
              <w:rPr>
                <w:rFonts w:ascii="Tahoma" w:hAnsi="Tahoma" w:cs="Tahoma"/>
                <w:b/>
                <w:bCs/>
                <w:iCs/>
                <w:color w:val="509141"/>
                <w:sz w:val="44"/>
                <w:szCs w:val="44"/>
                <w:lang w:val="es-ES_tradnl"/>
              </w:rPr>
              <w:t>de ondas decamétricas/métricas/decimétricas</w:t>
            </w:r>
          </w:p>
        </w:tc>
      </w:tr>
      <w:tr w:rsidR="00F97D17" w:rsidRPr="00A56BB3" w:rsidTr="00D35C21">
        <w:tc>
          <w:tcPr>
            <w:tcW w:w="10089" w:type="dxa"/>
          </w:tcPr>
          <w:p w:rsidR="00F97D17" w:rsidRPr="00E55BA6" w:rsidRDefault="00F97D17" w:rsidP="00D35C21">
            <w:pPr>
              <w:spacing w:before="80" w:line="280" w:lineRule="exact"/>
              <w:ind w:right="640"/>
              <w:rPr>
                <w:rFonts w:ascii="Tahoma" w:hAnsi="Tahoma" w:cs="Tahoma"/>
                <w:b/>
                <w:bCs/>
                <w:iCs/>
                <w:color w:val="76923C" w:themeColor="accent3" w:themeShade="BF"/>
                <w:sz w:val="32"/>
                <w:szCs w:val="32"/>
                <w:lang w:val="es-ES_tradnl"/>
              </w:rPr>
            </w:pPr>
          </w:p>
          <w:p w:rsidR="00F97D17" w:rsidRPr="00E55BA6" w:rsidRDefault="00F97D17" w:rsidP="00D35C21">
            <w:pPr>
              <w:spacing w:before="80" w:line="280" w:lineRule="exact"/>
              <w:ind w:right="640"/>
              <w:rPr>
                <w:rFonts w:ascii="Tahoma" w:hAnsi="Tahoma" w:cs="Tahoma"/>
                <w:b/>
                <w:bCs/>
                <w:iCs/>
                <w:color w:val="76923C" w:themeColor="accent3" w:themeShade="BF"/>
                <w:sz w:val="32"/>
                <w:szCs w:val="32"/>
                <w:lang w:val="es-ES_tradnl"/>
              </w:rPr>
            </w:pPr>
          </w:p>
          <w:p w:rsidR="00F97D17" w:rsidRPr="00E55BA6" w:rsidRDefault="00F97D17" w:rsidP="00D35C21">
            <w:pPr>
              <w:spacing w:before="80" w:line="280" w:lineRule="exact"/>
              <w:ind w:right="640"/>
              <w:rPr>
                <w:rFonts w:ascii="Tahoma" w:hAnsi="Tahoma" w:cs="Tahoma"/>
                <w:b/>
                <w:bCs/>
                <w:iCs/>
                <w:color w:val="76923C" w:themeColor="accent3" w:themeShade="BF"/>
                <w:sz w:val="32"/>
                <w:szCs w:val="32"/>
                <w:lang w:val="es-ES_tradnl"/>
              </w:rPr>
            </w:pPr>
          </w:p>
          <w:p w:rsidR="00F97D17" w:rsidRPr="00E55BA6" w:rsidRDefault="00F97D17" w:rsidP="00D35C21">
            <w:pPr>
              <w:spacing w:before="80" w:after="180" w:line="360" w:lineRule="exact"/>
              <w:jc w:val="right"/>
              <w:rPr>
                <w:rFonts w:ascii="Tahoma" w:hAnsi="Tahoma" w:cs="Tahoma"/>
                <w:b/>
                <w:bCs/>
                <w:iCs/>
                <w:color w:val="76923C" w:themeColor="accent3" w:themeShade="BF"/>
                <w:sz w:val="36"/>
                <w:szCs w:val="36"/>
                <w:lang w:val="es-ES_tradnl"/>
              </w:rPr>
            </w:pPr>
          </w:p>
          <w:p w:rsidR="00F97D17" w:rsidRPr="00CA109F" w:rsidRDefault="00F97D17" w:rsidP="00D35C21">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rsidR="00F97D17" w:rsidRPr="00CA109F" w:rsidRDefault="00F97D17" w:rsidP="00D35C21">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F97D17" w:rsidRPr="00AF1597" w:rsidRDefault="00F97D17" w:rsidP="00D35C21">
      <w:pPr>
        <w:spacing w:before="80"/>
        <w:rPr>
          <w:i/>
          <w:sz w:val="22"/>
          <w:lang w:val="es-ES_tradnl"/>
        </w:rPr>
      </w:pPr>
    </w:p>
    <w:p w:rsidR="00F97D17" w:rsidRPr="00AF1597" w:rsidRDefault="00F97D17" w:rsidP="00D35C21">
      <w:pPr>
        <w:spacing w:before="80"/>
        <w:rPr>
          <w:i/>
          <w:sz w:val="22"/>
          <w:lang w:val="es-ES_tradnl"/>
        </w:rPr>
      </w:pPr>
    </w:p>
    <w:p w:rsidR="00F97D17" w:rsidRPr="00AF1597" w:rsidRDefault="00F97D17" w:rsidP="00D35C21">
      <w:pPr>
        <w:spacing w:before="80"/>
        <w:rPr>
          <w:i/>
          <w:sz w:val="22"/>
          <w:lang w:val="es-ES_tradnl"/>
        </w:rPr>
      </w:pPr>
    </w:p>
    <w:p w:rsidR="00F97D17" w:rsidRPr="00AF1597" w:rsidRDefault="00F97D17" w:rsidP="00D35C21">
      <w:pPr>
        <w:spacing w:before="80"/>
        <w:rPr>
          <w:i/>
          <w:sz w:val="22"/>
          <w:lang w:val="es-ES_tradnl"/>
        </w:rPr>
      </w:pPr>
    </w:p>
    <w:p w:rsidR="00F97D17" w:rsidRPr="00AF1597" w:rsidRDefault="00F97D17" w:rsidP="00D35C21">
      <w:pPr>
        <w:spacing w:before="80"/>
        <w:rPr>
          <w:i/>
          <w:sz w:val="22"/>
          <w:lang w:val="es-ES_tradnl"/>
        </w:rPr>
      </w:pPr>
    </w:p>
    <w:p w:rsidR="00F97D17" w:rsidRPr="00AF1597" w:rsidRDefault="00F97D17" w:rsidP="00D35C21">
      <w:pPr>
        <w:spacing w:before="80"/>
        <w:rPr>
          <w:i/>
          <w:sz w:val="22"/>
          <w:lang w:val="es-ES_tradnl"/>
        </w:rPr>
      </w:pPr>
    </w:p>
    <w:p w:rsidR="00F97D17" w:rsidRPr="00AF1597" w:rsidRDefault="00F97D17" w:rsidP="00D35C21">
      <w:pPr>
        <w:pStyle w:val="Equation"/>
        <w:tabs>
          <w:tab w:val="clear" w:pos="4820"/>
          <w:tab w:val="clear" w:pos="9639"/>
          <w:tab w:val="left" w:pos="1191"/>
          <w:tab w:val="left" w:pos="1588"/>
          <w:tab w:val="left" w:pos="1985"/>
        </w:tabs>
        <w:rPr>
          <w:rFonts w:ascii="Palatino Linotype" w:hAnsi="Palatino Linotype"/>
          <w:lang w:val="es-ES_tradnl"/>
        </w:rPr>
        <w:sectPr w:rsidR="00F97D17" w:rsidRPr="00AF1597" w:rsidSect="00D35C21">
          <w:headerReference w:type="even" r:id="rId9"/>
          <w:headerReference w:type="default" r:id="rId10"/>
          <w:pgSz w:w="11907" w:h="16834" w:code="9"/>
          <w:pgMar w:top="1418" w:right="1134" w:bottom="1134" w:left="1134" w:header="720" w:footer="482" w:gutter="0"/>
          <w:paperSrc w:first="15" w:other="15"/>
          <w:cols w:space="720"/>
        </w:sectPr>
      </w:pPr>
    </w:p>
    <w:p w:rsidR="00F97D17" w:rsidRPr="006C718C" w:rsidRDefault="00F97D17" w:rsidP="00D35C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F97D17" w:rsidRPr="006C718C" w:rsidRDefault="00F97D17" w:rsidP="00D35C2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97D17" w:rsidRDefault="00F97D17" w:rsidP="00D35C2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97D17" w:rsidRDefault="00F97D17" w:rsidP="00D35C21">
      <w:pPr>
        <w:spacing w:before="0"/>
        <w:rPr>
          <w:sz w:val="20"/>
          <w:lang w:val="es-ES_tradnl"/>
        </w:rPr>
      </w:pPr>
    </w:p>
    <w:p w:rsidR="00F97D17" w:rsidRPr="006C718C" w:rsidRDefault="00F97D17" w:rsidP="00D35C21">
      <w:pPr>
        <w:spacing w:before="0"/>
        <w:rPr>
          <w:sz w:val="20"/>
          <w:lang w:val="es-ES_tradnl"/>
        </w:rPr>
      </w:pPr>
    </w:p>
    <w:p w:rsidR="00F97D17" w:rsidRPr="00021E8A" w:rsidRDefault="00F97D17" w:rsidP="00D35C21">
      <w:pPr>
        <w:pStyle w:val="Heading1"/>
        <w:spacing w:before="340"/>
        <w:jc w:val="center"/>
        <w:rPr>
          <w:szCs w:val="24"/>
          <w:lang w:val="es-ES_tradnl"/>
        </w:rPr>
      </w:pPr>
      <w:bookmarkStart w:id="2" w:name="_Toc303861564"/>
      <w:bookmarkStart w:id="3" w:name="_Toc303861617"/>
      <w:bookmarkStart w:id="4" w:name="_Toc303861700"/>
      <w:bookmarkStart w:id="5" w:name="_Toc303862766"/>
      <w:bookmarkStart w:id="6" w:name="_Toc303866478"/>
      <w:r w:rsidRPr="007C36CA">
        <w:rPr>
          <w:lang w:val="es-ES_tradnl"/>
        </w:rPr>
        <w:t>Política sobre Derechos de Propiedad Intelectual</w:t>
      </w:r>
      <w:r w:rsidRPr="00021E8A">
        <w:rPr>
          <w:szCs w:val="24"/>
          <w:lang w:val="es-ES_tradnl"/>
        </w:rPr>
        <w:t xml:space="preserve"> (IPR)</w:t>
      </w:r>
      <w:bookmarkEnd w:id="2"/>
      <w:bookmarkEnd w:id="3"/>
      <w:bookmarkEnd w:id="4"/>
      <w:bookmarkEnd w:id="5"/>
      <w:bookmarkEnd w:id="6"/>
    </w:p>
    <w:p w:rsidR="00F97D17" w:rsidRPr="00021E8A" w:rsidRDefault="00F97D17" w:rsidP="00D35C2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97D17" w:rsidRDefault="00F97D17" w:rsidP="00D35C21">
      <w:pPr>
        <w:spacing w:before="0"/>
        <w:jc w:val="center"/>
        <w:rPr>
          <w:sz w:val="22"/>
          <w:lang w:val="es-ES_tradnl"/>
        </w:rPr>
      </w:pPr>
    </w:p>
    <w:p w:rsidR="00F97D17" w:rsidRPr="007C36CA" w:rsidRDefault="00F97D17" w:rsidP="00D35C21">
      <w:pPr>
        <w:spacing w:before="0"/>
        <w:jc w:val="center"/>
        <w:rPr>
          <w:sz w:val="22"/>
          <w:lang w:val="es-ES_tradnl"/>
        </w:rPr>
      </w:pPr>
    </w:p>
    <w:p w:rsidR="00F97D17" w:rsidRPr="007C36CA" w:rsidRDefault="00F97D17" w:rsidP="00D35C2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97D17" w:rsidRPr="00A56BB3" w:rsidTr="00D35C21">
        <w:tc>
          <w:tcPr>
            <w:tcW w:w="9360" w:type="dxa"/>
            <w:gridSpan w:val="2"/>
          </w:tcPr>
          <w:p w:rsidR="00F97D17" w:rsidRPr="00021E8A" w:rsidRDefault="00F97D17" w:rsidP="00D35C2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F97D17" w:rsidRPr="00763D08" w:rsidRDefault="00F97D17" w:rsidP="00D35C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F97D17" w:rsidRPr="00036EE3" w:rsidTr="00D35C21">
        <w:tc>
          <w:tcPr>
            <w:tcW w:w="1140" w:type="dxa"/>
            <w:tcBorders>
              <w:bottom w:val="nil"/>
            </w:tcBorders>
          </w:tcPr>
          <w:p w:rsidR="00F97D17" w:rsidRPr="00036EE3" w:rsidRDefault="00F97D17" w:rsidP="00D35C21">
            <w:pPr>
              <w:spacing w:before="180" w:after="100"/>
              <w:ind w:left="57"/>
              <w:rPr>
                <w:b/>
                <w:bCs/>
                <w:sz w:val="20"/>
                <w:lang w:val="en-US"/>
              </w:rPr>
            </w:pPr>
            <w:r w:rsidRPr="00036EE3">
              <w:rPr>
                <w:b/>
                <w:bCs/>
                <w:sz w:val="20"/>
                <w:lang w:val="en-US"/>
              </w:rPr>
              <w:t>Series</w:t>
            </w:r>
          </w:p>
        </w:tc>
        <w:tc>
          <w:tcPr>
            <w:tcW w:w="8220" w:type="dxa"/>
            <w:tcBorders>
              <w:bottom w:val="nil"/>
            </w:tcBorders>
          </w:tcPr>
          <w:p w:rsidR="00F97D17" w:rsidRPr="00036EE3" w:rsidRDefault="00F97D17" w:rsidP="00D35C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97D17" w:rsidRPr="00EC62B0" w:rsidTr="00D35C21">
        <w:tc>
          <w:tcPr>
            <w:tcW w:w="1140" w:type="dxa"/>
            <w:tcBorders>
              <w:top w:val="nil"/>
              <w:bottom w:val="nil"/>
            </w:tcBorders>
            <w:shd w:val="clear" w:color="auto" w:fill="auto"/>
          </w:tcPr>
          <w:p w:rsidR="00F97D17" w:rsidRPr="00EC62B0" w:rsidRDefault="00F97D17" w:rsidP="00D35C21">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F97D17" w:rsidRPr="00EC62B0" w:rsidRDefault="00F97D17" w:rsidP="00D35C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F97D17" w:rsidRPr="00A56BB3" w:rsidTr="00D35C21">
        <w:tc>
          <w:tcPr>
            <w:tcW w:w="1140" w:type="dxa"/>
            <w:tcBorders>
              <w:top w:val="nil"/>
              <w:bottom w:val="nil"/>
            </w:tcBorders>
            <w:shd w:val="clear" w:color="auto" w:fill="auto"/>
          </w:tcPr>
          <w:p w:rsidR="00F97D17" w:rsidRPr="00F12544" w:rsidRDefault="00F97D17" w:rsidP="00D35C21">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F97D17" w:rsidRPr="00F12544" w:rsidRDefault="00F97D17" w:rsidP="00D35C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F97D17" w:rsidRPr="00B11D5D" w:rsidTr="00D35C21">
        <w:tc>
          <w:tcPr>
            <w:tcW w:w="1140" w:type="dxa"/>
            <w:tcBorders>
              <w:top w:val="nil"/>
              <w:bottom w:val="nil"/>
            </w:tcBorders>
            <w:shd w:val="clear" w:color="auto" w:fill="auto"/>
          </w:tcPr>
          <w:p w:rsidR="00F97D17" w:rsidRPr="00B11D5D" w:rsidRDefault="00F97D17" w:rsidP="00D35C21">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F97D17" w:rsidRPr="00B11D5D" w:rsidRDefault="00F97D17" w:rsidP="00D35C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F97D17" w:rsidRPr="00D73486" w:rsidTr="00D35C21">
        <w:tc>
          <w:tcPr>
            <w:tcW w:w="1140" w:type="dxa"/>
            <w:tcBorders>
              <w:top w:val="nil"/>
              <w:bottom w:val="nil"/>
            </w:tcBorders>
            <w:shd w:val="clear" w:color="auto" w:fill="auto"/>
          </w:tcPr>
          <w:p w:rsidR="00F97D17" w:rsidRPr="00D73486" w:rsidRDefault="00F97D17" w:rsidP="00D35C21">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F97D17" w:rsidRPr="00D73486" w:rsidRDefault="00F97D17" w:rsidP="00D35C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F97D17" w:rsidRPr="0064346B" w:rsidTr="00D35C21">
        <w:tc>
          <w:tcPr>
            <w:tcW w:w="1140" w:type="dxa"/>
            <w:tcBorders>
              <w:top w:val="nil"/>
              <w:bottom w:val="nil"/>
            </w:tcBorders>
            <w:shd w:val="clear" w:color="auto" w:fill="auto"/>
          </w:tcPr>
          <w:p w:rsidR="00F97D17" w:rsidRPr="0064346B" w:rsidRDefault="00F97D17" w:rsidP="00D35C21">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F97D17" w:rsidRPr="0064346B" w:rsidRDefault="00F97D17" w:rsidP="00D35C2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F97D17" w:rsidRPr="00A56BB3" w:rsidTr="00D35C21">
        <w:tc>
          <w:tcPr>
            <w:tcW w:w="1140" w:type="dxa"/>
            <w:tcBorders>
              <w:top w:val="nil"/>
              <w:bottom w:val="nil"/>
            </w:tcBorders>
            <w:shd w:val="clear" w:color="auto" w:fill="auto"/>
          </w:tcPr>
          <w:p w:rsidR="00F97D17" w:rsidRPr="00297C87" w:rsidRDefault="00F97D17" w:rsidP="00D35C21">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F97D17" w:rsidRPr="00297C87" w:rsidRDefault="00F97D17" w:rsidP="00D35C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F97D17" w:rsidRPr="00A56BB3" w:rsidTr="00D35C21">
        <w:tc>
          <w:tcPr>
            <w:tcW w:w="1140" w:type="dxa"/>
            <w:tcBorders>
              <w:top w:val="nil"/>
              <w:bottom w:val="nil"/>
            </w:tcBorders>
            <w:shd w:val="clear" w:color="auto" w:fill="auto"/>
          </w:tcPr>
          <w:p w:rsidR="00F97D17" w:rsidRPr="00F84F54" w:rsidRDefault="00F97D17" w:rsidP="00D35C21">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F97D17" w:rsidRPr="00F84F54" w:rsidRDefault="00F97D17" w:rsidP="00D35C21">
            <w:pPr>
              <w:spacing w:before="30" w:after="30"/>
              <w:jc w:val="left"/>
              <w:rPr>
                <w:sz w:val="20"/>
                <w:lang w:val="es-ES_tradnl"/>
              </w:rPr>
            </w:pPr>
            <w:r w:rsidRPr="00F84F54">
              <w:rPr>
                <w:sz w:val="20"/>
                <w:lang w:val="es-ES_tradnl"/>
              </w:rPr>
              <w:t>Propagación de las ondas radioeléctricas</w:t>
            </w:r>
          </w:p>
        </w:tc>
      </w:tr>
      <w:tr w:rsidR="00F97D17" w:rsidRPr="00A10F3A" w:rsidTr="00D35C21">
        <w:tc>
          <w:tcPr>
            <w:tcW w:w="1140" w:type="dxa"/>
            <w:tcBorders>
              <w:top w:val="nil"/>
              <w:bottom w:val="nil"/>
            </w:tcBorders>
            <w:shd w:val="clear" w:color="auto" w:fill="auto"/>
          </w:tcPr>
          <w:p w:rsidR="00F97D17" w:rsidRPr="00A10F3A" w:rsidRDefault="00F97D17" w:rsidP="00D35C21">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F97D17" w:rsidRPr="00A10F3A" w:rsidRDefault="00F97D17" w:rsidP="00985D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Radioastronomía</w:t>
            </w:r>
          </w:p>
        </w:tc>
      </w:tr>
      <w:tr w:rsidR="00F97D17" w:rsidRPr="00A56BB3" w:rsidTr="00D35C21">
        <w:tc>
          <w:tcPr>
            <w:tcW w:w="1140" w:type="dxa"/>
            <w:tcBorders>
              <w:top w:val="nil"/>
              <w:bottom w:val="nil"/>
            </w:tcBorders>
            <w:shd w:val="clear" w:color="auto" w:fill="auto"/>
          </w:tcPr>
          <w:p w:rsidR="00F97D17" w:rsidRPr="007C5CE9" w:rsidRDefault="00F97D17" w:rsidP="00D35C21">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F97D17" w:rsidRPr="007C5CE9" w:rsidRDefault="00F97D17" w:rsidP="00D35C2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F97D17" w:rsidRPr="00AC1323" w:rsidTr="00D35C21">
        <w:tc>
          <w:tcPr>
            <w:tcW w:w="1140" w:type="dxa"/>
            <w:tcBorders>
              <w:top w:val="nil"/>
              <w:bottom w:val="nil"/>
            </w:tcBorders>
            <w:shd w:val="clear" w:color="auto" w:fill="auto"/>
          </w:tcPr>
          <w:p w:rsidR="00F97D17" w:rsidRPr="00AC1323" w:rsidRDefault="00F97D17" w:rsidP="00D35C21">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F97D17" w:rsidRPr="00AC1323" w:rsidRDefault="00F97D17" w:rsidP="00D35C21">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F97D17" w:rsidRPr="00BA28E1" w:rsidTr="00D35C21">
        <w:tc>
          <w:tcPr>
            <w:tcW w:w="1140" w:type="dxa"/>
            <w:tcBorders>
              <w:top w:val="nil"/>
              <w:bottom w:val="nil"/>
            </w:tcBorders>
            <w:shd w:val="clear" w:color="auto" w:fill="auto"/>
          </w:tcPr>
          <w:p w:rsidR="00F97D17" w:rsidRPr="00BA28E1" w:rsidRDefault="00F97D17" w:rsidP="00D35C21">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F97D17" w:rsidRPr="00BA28E1" w:rsidRDefault="00F97D17" w:rsidP="00D35C21">
            <w:pPr>
              <w:spacing w:before="30" w:after="30"/>
              <w:jc w:val="left"/>
              <w:rPr>
                <w:sz w:val="20"/>
                <w:lang w:val="en-US"/>
              </w:rPr>
            </w:pPr>
            <w:r w:rsidRPr="00BA28E1">
              <w:rPr>
                <w:sz w:val="20"/>
              </w:rPr>
              <w:t>Aplicaciones espaciales y meteorología</w:t>
            </w:r>
          </w:p>
        </w:tc>
      </w:tr>
      <w:tr w:rsidR="00F97D17" w:rsidRPr="00A56BB3" w:rsidTr="00D35C21">
        <w:tc>
          <w:tcPr>
            <w:tcW w:w="1140" w:type="dxa"/>
            <w:tcBorders>
              <w:top w:val="nil"/>
              <w:bottom w:val="nil"/>
            </w:tcBorders>
            <w:shd w:val="clear" w:color="auto" w:fill="auto"/>
          </w:tcPr>
          <w:p w:rsidR="00F97D17" w:rsidRPr="003A6B2B" w:rsidRDefault="00F97D17" w:rsidP="00D35C21">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F97D17" w:rsidRPr="003A6B2B" w:rsidRDefault="00F97D17" w:rsidP="00D35C21">
            <w:pPr>
              <w:spacing w:before="30" w:after="30"/>
              <w:jc w:val="left"/>
              <w:rPr>
                <w:sz w:val="20"/>
                <w:lang w:val="es-ES_tradnl"/>
              </w:rPr>
            </w:pPr>
            <w:r w:rsidRPr="003A6B2B">
              <w:rPr>
                <w:sz w:val="20"/>
                <w:lang w:val="es-ES_tradnl"/>
              </w:rPr>
              <w:t>Compartición de frecuencias y coordinación entre los sistemas del servicio fijo por satélite</w:t>
            </w:r>
            <w:r w:rsidRPr="003A6B2B">
              <w:rPr>
                <w:sz w:val="20"/>
                <w:lang w:val="es-ES_tradnl"/>
              </w:rPr>
              <w:br/>
              <w:t>y del servicio fijo</w:t>
            </w:r>
          </w:p>
        </w:tc>
      </w:tr>
      <w:tr w:rsidR="00F97D17" w:rsidRPr="003A6B2B" w:rsidTr="00D35C21">
        <w:tc>
          <w:tcPr>
            <w:tcW w:w="1140" w:type="dxa"/>
            <w:tcBorders>
              <w:top w:val="nil"/>
              <w:bottom w:val="nil"/>
            </w:tcBorders>
            <w:shd w:val="clear" w:color="auto" w:fill="F3F3F3"/>
          </w:tcPr>
          <w:p w:rsidR="00F97D17" w:rsidRPr="003A6B2B" w:rsidRDefault="00F97D17" w:rsidP="00D35C21">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F97D17" w:rsidRPr="003A6B2B" w:rsidRDefault="00F97D17" w:rsidP="00D35C21">
            <w:pPr>
              <w:spacing w:before="30"/>
              <w:jc w:val="left"/>
              <w:rPr>
                <w:b/>
                <w:bCs/>
                <w:color w:val="000080"/>
                <w:sz w:val="20"/>
                <w:lang w:val="en-US"/>
              </w:rPr>
            </w:pPr>
            <w:r w:rsidRPr="003A6B2B">
              <w:rPr>
                <w:b/>
                <w:bCs/>
                <w:color w:val="000080"/>
                <w:sz w:val="20"/>
              </w:rPr>
              <w:t>Gestión del espectro</w:t>
            </w:r>
          </w:p>
        </w:tc>
      </w:tr>
      <w:tr w:rsidR="00F97D17" w:rsidRPr="00036EE3" w:rsidTr="00D35C21">
        <w:tc>
          <w:tcPr>
            <w:tcW w:w="1140" w:type="dxa"/>
            <w:tcBorders>
              <w:top w:val="nil"/>
            </w:tcBorders>
            <w:shd w:val="clear" w:color="auto" w:fill="auto"/>
          </w:tcPr>
          <w:p w:rsidR="00F97D17" w:rsidRPr="0041026E" w:rsidRDefault="00F97D17" w:rsidP="00D35C21">
            <w:pPr>
              <w:spacing w:before="0" w:after="30"/>
              <w:ind w:left="57"/>
              <w:jc w:val="left"/>
              <w:rPr>
                <w:b/>
                <w:bCs/>
                <w:color w:val="000080"/>
                <w:sz w:val="20"/>
                <w:lang w:val="en-US"/>
              </w:rPr>
            </w:pPr>
          </w:p>
        </w:tc>
        <w:tc>
          <w:tcPr>
            <w:tcW w:w="8220" w:type="dxa"/>
            <w:tcBorders>
              <w:top w:val="nil"/>
            </w:tcBorders>
            <w:shd w:val="clear" w:color="auto" w:fill="auto"/>
          </w:tcPr>
          <w:p w:rsidR="00F97D17" w:rsidRPr="0041026E" w:rsidRDefault="00F97D17" w:rsidP="00D35C21">
            <w:pPr>
              <w:spacing w:before="0"/>
              <w:jc w:val="left"/>
              <w:rPr>
                <w:b/>
                <w:bCs/>
                <w:color w:val="000080"/>
                <w:sz w:val="20"/>
              </w:rPr>
            </w:pPr>
          </w:p>
        </w:tc>
      </w:tr>
    </w:tbl>
    <w:p w:rsidR="00F97D17" w:rsidRPr="00036EE3" w:rsidRDefault="00F97D17" w:rsidP="00D35C2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97D17" w:rsidTr="00D35C21">
        <w:tc>
          <w:tcPr>
            <w:tcW w:w="720" w:type="dxa"/>
          </w:tcPr>
          <w:p w:rsidR="00F97D17" w:rsidRDefault="00F97D17" w:rsidP="00D35C21">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97D17" w:rsidRPr="00A56BB3" w:rsidTr="00D35C21">
        <w:tc>
          <w:tcPr>
            <w:tcW w:w="9360" w:type="dxa"/>
          </w:tcPr>
          <w:p w:rsidR="00F97D17" w:rsidRPr="00CA109F" w:rsidRDefault="00F97D17" w:rsidP="00D35C21">
            <w:pPr>
              <w:spacing w:before="92" w:after="92"/>
              <w:ind w:left="252"/>
              <w:jc w:val="left"/>
              <w:rPr>
                <w:i/>
                <w:iCs/>
                <w:sz w:val="20"/>
                <w:lang w:val="es-ES_tradnl"/>
              </w:rPr>
            </w:pPr>
            <w:r w:rsidRPr="00CA109F">
              <w:rPr>
                <w:b/>
                <w:bCs/>
                <w:i/>
                <w:iCs/>
                <w:sz w:val="20"/>
                <w:lang w:val="es-ES_tradnl"/>
              </w:rPr>
              <w:t xml:space="preserve"> Nota</w:t>
            </w:r>
            <w:r w:rsidRPr="00CA109F">
              <w:rPr>
                <w:i/>
                <w:iCs/>
                <w:sz w:val="20"/>
                <w:lang w:val="es-ES_tradnl"/>
              </w:rPr>
              <w:t>: Este Informe UIT-R fue aprobado en inglés por la Comisión de Estudio conforme al procedimiento detallado en la  Resolución UIT-R 1.</w:t>
            </w:r>
          </w:p>
        </w:tc>
      </w:tr>
    </w:tbl>
    <w:p w:rsidR="00F97D17" w:rsidRPr="00763D08" w:rsidRDefault="00F97D17" w:rsidP="00D35C21">
      <w:pPr>
        <w:spacing w:before="0"/>
        <w:jc w:val="center"/>
        <w:rPr>
          <w:sz w:val="22"/>
          <w:lang w:val="es-ES_tradnl"/>
        </w:rPr>
      </w:pPr>
    </w:p>
    <w:p w:rsidR="00F97D17" w:rsidRPr="00763D08" w:rsidRDefault="00F97D17" w:rsidP="00D35C21">
      <w:pPr>
        <w:spacing w:before="60"/>
        <w:jc w:val="right"/>
        <w:rPr>
          <w:i/>
          <w:iCs/>
          <w:sz w:val="20"/>
          <w:lang w:val="es-ES_tradnl"/>
        </w:rPr>
      </w:pPr>
      <w:r w:rsidRPr="00763D08">
        <w:rPr>
          <w:i/>
          <w:iCs/>
          <w:sz w:val="20"/>
          <w:lang w:val="es-ES_tradnl"/>
        </w:rPr>
        <w:t>Publicación electrónica</w:t>
      </w:r>
    </w:p>
    <w:p w:rsidR="00F97D17" w:rsidRPr="00763D08" w:rsidRDefault="00F97D17" w:rsidP="00D35C21">
      <w:pPr>
        <w:spacing w:before="0" w:after="40"/>
        <w:jc w:val="right"/>
        <w:rPr>
          <w:sz w:val="20"/>
          <w:lang w:val="es-ES_tradnl"/>
        </w:rPr>
      </w:pPr>
      <w:r w:rsidRPr="00763D08">
        <w:rPr>
          <w:sz w:val="20"/>
          <w:lang w:val="es-ES_tradnl"/>
        </w:rPr>
        <w:t>Ginebra, 20</w:t>
      </w:r>
      <w:r>
        <w:rPr>
          <w:sz w:val="20"/>
          <w:lang w:val="es-ES_tradnl"/>
        </w:rPr>
        <w:t>11</w:t>
      </w:r>
    </w:p>
    <w:p w:rsidR="00F97D17" w:rsidRPr="00763D08" w:rsidRDefault="00F97D17" w:rsidP="00D35C21">
      <w:pPr>
        <w:spacing w:before="0"/>
        <w:jc w:val="center"/>
        <w:rPr>
          <w:sz w:val="22"/>
          <w:lang w:val="es-ES_tradnl"/>
        </w:rPr>
      </w:pPr>
    </w:p>
    <w:p w:rsidR="00F97D17" w:rsidRPr="00763D08" w:rsidRDefault="00F97D17" w:rsidP="00D35C21">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11</w:t>
      </w:r>
    </w:p>
    <w:p w:rsidR="00F97D17" w:rsidRPr="006C718C" w:rsidRDefault="00F97D17" w:rsidP="00D35C2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97D17" w:rsidRPr="006C718C" w:rsidRDefault="00F97D17" w:rsidP="00D35C21">
      <w:pPr>
        <w:spacing w:before="160"/>
        <w:rPr>
          <w:i/>
          <w:sz w:val="20"/>
          <w:highlight w:val="yellow"/>
          <w:lang w:val="es-ES_tradnl"/>
        </w:rPr>
        <w:sectPr w:rsidR="00F97D17" w:rsidRPr="006C718C" w:rsidSect="00D35C21">
          <w:headerReference w:type="even" r:id="rId13"/>
          <w:headerReference w:type="default" r:id="rId14"/>
          <w:pgSz w:w="11907" w:h="16834" w:code="9"/>
          <w:pgMar w:top="1418" w:right="1134" w:bottom="1134" w:left="1134" w:header="720" w:footer="482" w:gutter="0"/>
          <w:pgNumType w:fmt="lowerRoman" w:start="2"/>
          <w:cols w:space="720"/>
        </w:sectPr>
      </w:pPr>
    </w:p>
    <w:p w:rsidR="00F97D17" w:rsidRPr="00F97D17" w:rsidRDefault="00F97D17" w:rsidP="00F97D17">
      <w:pPr>
        <w:pStyle w:val="RepNo"/>
        <w:spacing w:before="0"/>
        <w:rPr>
          <w:lang w:val="es-ES_tradnl"/>
        </w:rPr>
      </w:pPr>
      <w:r w:rsidRPr="00F97D17">
        <w:rPr>
          <w:lang w:val="es-ES_tradnl"/>
        </w:rPr>
        <w:lastRenderedPageBreak/>
        <w:t xml:space="preserve">INFORME  </w:t>
      </w:r>
      <w:r w:rsidRPr="00F97D17">
        <w:rPr>
          <w:rStyle w:val="href"/>
          <w:lang w:val="es-ES_tradnl"/>
        </w:rPr>
        <w:t>UIT-R  SM.2125</w:t>
      </w:r>
      <w:r w:rsidR="00985DE2">
        <w:rPr>
          <w:rStyle w:val="href"/>
          <w:lang w:val="es-ES_tradnl"/>
        </w:rPr>
        <w:t>-1</w:t>
      </w:r>
      <w:r w:rsidR="00442175">
        <w:rPr>
          <w:rStyle w:val="FootnoteReference"/>
          <w:lang w:val="es-ES_tradnl"/>
        </w:rPr>
        <w:footnoteReference w:customMarkFollows="1" w:id="1"/>
        <w:t>*</w:t>
      </w:r>
    </w:p>
    <w:p w:rsidR="00F97D17" w:rsidRDefault="00F97D17" w:rsidP="00985DE2">
      <w:pPr>
        <w:pStyle w:val="Reptitle"/>
        <w:rPr>
          <w:lang w:val="es-ES_tradnl"/>
        </w:rPr>
      </w:pPr>
      <w:r w:rsidRPr="00CC69B2">
        <w:rPr>
          <w:lang w:val="es-ES_tradnl"/>
        </w:rPr>
        <w:t>Parámetros y procedimientos de medición de las estaciones</w:t>
      </w:r>
      <w:r w:rsidR="00985DE2">
        <w:rPr>
          <w:lang w:val="es-ES_tradnl"/>
        </w:rPr>
        <w:br/>
      </w:r>
      <w:r w:rsidRPr="00CC69B2">
        <w:rPr>
          <w:lang w:val="es-ES_tradnl"/>
        </w:rPr>
        <w:t>y receptores de comprobación técnica en las bandas</w:t>
      </w:r>
      <w:r w:rsidR="00985DE2">
        <w:rPr>
          <w:lang w:val="es-ES_tradnl"/>
        </w:rPr>
        <w:br/>
      </w:r>
      <w:r w:rsidRPr="00CC69B2">
        <w:rPr>
          <w:lang w:val="es-ES_tradnl"/>
        </w:rPr>
        <w:t>de ondas decamétricas/métricas/decimétricas</w:t>
      </w:r>
    </w:p>
    <w:p w:rsidR="00985DE2" w:rsidRPr="00985DE2" w:rsidRDefault="00985DE2" w:rsidP="00985DE2">
      <w:pPr>
        <w:pStyle w:val="Repref"/>
        <w:rPr>
          <w:lang w:val="es-ES_tradnl"/>
        </w:rPr>
      </w:pPr>
    </w:p>
    <w:p w:rsidR="00F97D17" w:rsidRDefault="00F97D17" w:rsidP="00F97D17">
      <w:pPr>
        <w:pStyle w:val="Repdate"/>
        <w:rPr>
          <w:lang w:val="es-ES_tradnl"/>
        </w:rPr>
      </w:pPr>
      <w:r>
        <w:rPr>
          <w:lang w:val="es-ES_tradnl"/>
        </w:rPr>
        <w:t>(2007-2011)</w:t>
      </w:r>
    </w:p>
    <w:p w:rsidR="00F97D17" w:rsidRPr="00CC69B2" w:rsidRDefault="00F97D17" w:rsidP="00985DE2">
      <w:pPr>
        <w:pStyle w:val="Headingb"/>
        <w:rPr>
          <w:rFonts w:eastAsia="MS Mincho"/>
          <w:lang w:val="es-ES_tradnl"/>
        </w:rPr>
      </w:pPr>
      <w:r w:rsidRPr="00CC69B2">
        <w:rPr>
          <w:rFonts w:eastAsia="MS Mincho"/>
          <w:lang w:val="es-ES_tradnl"/>
        </w:rPr>
        <w:t>Resumen del contenido</w:t>
      </w:r>
    </w:p>
    <w:p w:rsidR="00F97D17" w:rsidRPr="0063018E" w:rsidRDefault="00F97D17" w:rsidP="00985DE2">
      <w:pPr>
        <w:rPr>
          <w:rFonts w:eastAsia="MS Mincho"/>
          <w:lang w:val="es-ES_tradnl"/>
        </w:rPr>
      </w:pPr>
      <w:r w:rsidRPr="0063018E">
        <w:rPr>
          <w:rFonts w:eastAsia="MS Mincho"/>
          <w:lang w:val="es-ES_tradnl"/>
        </w:rPr>
        <w:t>Este Informe describe los procedimientos de medición para determinar los parámetros técnicos de los receptores y sistemas de comprobación técnica del espectro. El Informe no propone todas las posibles soluciones ni supone automáticamente siempre la mejor solución para determinar un parámetro.</w:t>
      </w:r>
    </w:p>
    <w:p w:rsidR="00F97D17" w:rsidRPr="0063018E" w:rsidRDefault="00F97D17" w:rsidP="00985DE2">
      <w:pPr>
        <w:rPr>
          <w:rFonts w:eastAsia="MS Mincho"/>
          <w:lang w:val="es-ES_tradnl"/>
        </w:rPr>
      </w:pPr>
      <w:r w:rsidRPr="0063018E">
        <w:rPr>
          <w:rFonts w:eastAsia="MS Mincho"/>
          <w:lang w:val="es-ES_tradnl"/>
        </w:rPr>
        <w:t>En un punto del Informe se describe la verificación de los parámetros fundamentales de un receptor de comprobación técnica y en otro punto la verificación de los parámetros técnicos de las estaciones de comprobación técnica y otros sistemas integrados tales como los radiogoniómetros. Ambos puntos pueden superponer su contenido e incluso llevar el mismo nombre. Sin embargo estos elementos deben considerarse como parámetros distintos.</w:t>
      </w:r>
    </w:p>
    <w:p w:rsidR="00F97D17" w:rsidRPr="0063018E" w:rsidRDefault="00F97D17" w:rsidP="00985DE2">
      <w:pPr>
        <w:rPr>
          <w:rFonts w:eastAsia="MS Mincho"/>
          <w:lang w:val="es-ES_tradnl"/>
        </w:rPr>
      </w:pPr>
      <w:r w:rsidRPr="0063018E">
        <w:rPr>
          <w:rFonts w:eastAsia="MS Mincho"/>
          <w:lang w:val="es-ES_tradnl"/>
        </w:rPr>
        <w:t>La razón de dividir las especificaciones de los parámetros fundamentales y los parámetros de la estación es el hecho de que los receptores de comprobación técnica pueden adquirirse como dispositivos separados o dispositivos integrados en un sistema en el que algunas veces no se pueden determinar los distintos parámetros del receptor.</w:t>
      </w:r>
    </w:p>
    <w:p w:rsidR="00F97D17" w:rsidRPr="0063018E" w:rsidRDefault="00F97D17" w:rsidP="00F97D17">
      <w:pPr>
        <w:rPr>
          <w:rFonts w:eastAsia="MS Mincho"/>
          <w:lang w:val="es-ES_tradnl"/>
        </w:rPr>
      </w:pPr>
    </w:p>
    <w:p w:rsidR="00F97D17" w:rsidRPr="0063018E" w:rsidRDefault="00CF2552" w:rsidP="00985DE2">
      <w:pPr>
        <w:jc w:val="center"/>
        <w:rPr>
          <w:bCs/>
          <w:lang w:val="es-ES_tradnl"/>
        </w:rPr>
      </w:pPr>
      <w:r>
        <w:rPr>
          <w:bCs/>
          <w:lang w:val="es-ES_tradnl"/>
        </w:rPr>
        <w:t>ÍNDICE</w:t>
      </w:r>
    </w:p>
    <w:p w:rsidR="009B38F1" w:rsidRPr="00AD60DF" w:rsidRDefault="00F97D17" w:rsidP="009B38F1">
      <w:pPr>
        <w:pStyle w:val="toc0"/>
        <w:rPr>
          <w:rFonts w:eastAsiaTheme="minorEastAsia"/>
          <w:noProof/>
          <w:lang w:val="es-ES_tradnl" w:eastAsia="zh-CN"/>
        </w:rPr>
      </w:pPr>
      <w:bookmarkStart w:id="7" w:name="_Toc112572518"/>
      <w:bookmarkStart w:id="8" w:name="_Toc169706692"/>
      <w:bookmarkStart w:id="9" w:name="_Toc132444373"/>
      <w:r w:rsidRPr="00CC69B2">
        <w:rPr>
          <w:rFonts w:eastAsia="MS Mincho"/>
          <w:lang w:val="es-ES_tradnl"/>
        </w:rPr>
        <w:tab/>
        <w:t>Página</w:t>
      </w:r>
      <w:bookmarkStart w:id="10" w:name="_Toc199305939"/>
      <w:bookmarkStart w:id="11" w:name="_Toc302381324"/>
      <w:bookmarkStart w:id="12" w:name="_Toc303861565"/>
      <w:bookmarkStart w:id="13" w:name="_Toc303861566"/>
      <w:bookmarkStart w:id="14" w:name="_Toc303861618"/>
    </w:p>
    <w:p w:rsidR="009B38F1" w:rsidRPr="009B38F1" w:rsidRDefault="009B38F1">
      <w:pPr>
        <w:pStyle w:val="TOC1"/>
        <w:rPr>
          <w:rFonts w:asciiTheme="minorHAnsi" w:eastAsiaTheme="minorEastAsia" w:hAnsiTheme="minorHAnsi" w:cstheme="minorBidi"/>
          <w:noProof/>
          <w:sz w:val="22"/>
          <w:szCs w:val="22"/>
          <w:lang w:val="es-ES_tradnl" w:eastAsia="zh-CN"/>
        </w:rPr>
      </w:pPr>
      <w:r w:rsidRPr="009B38F1">
        <w:rPr>
          <w:rStyle w:val="Hyperlink"/>
          <w:rFonts w:eastAsia="MS Mincho"/>
          <w:noProof/>
          <w:color w:val="auto"/>
          <w:u w:val="none"/>
          <w:lang w:val="es-ES_tradnl"/>
        </w:rPr>
        <w:t>1</w:t>
      </w:r>
      <w:r w:rsidRPr="009B38F1">
        <w:rPr>
          <w:rFonts w:asciiTheme="minorHAnsi" w:eastAsiaTheme="minorEastAsia" w:hAnsiTheme="minorHAnsi" w:cstheme="minorBidi"/>
          <w:noProof/>
          <w:sz w:val="22"/>
          <w:szCs w:val="22"/>
          <w:lang w:val="es-ES_tradnl" w:eastAsia="zh-CN"/>
        </w:rPr>
        <w:tab/>
      </w:r>
      <w:r w:rsidRPr="009B38F1">
        <w:rPr>
          <w:rStyle w:val="Hyperlink"/>
          <w:rFonts w:eastAsia="MS Mincho"/>
          <w:noProof/>
          <w:color w:val="auto"/>
          <w:u w:val="none"/>
          <w:lang w:val="es-ES_tradnl"/>
        </w:rPr>
        <w:t>Introducción</w:t>
      </w:r>
      <w:r w:rsidRPr="009B38F1">
        <w:rPr>
          <w:noProof/>
          <w:webHidden/>
          <w:lang w:val="es-ES_tradnl"/>
        </w:rPr>
        <w:tab/>
      </w:r>
      <w:r w:rsidRPr="009B38F1">
        <w:rPr>
          <w:noProof/>
          <w:webHidden/>
          <w:lang w:val="es-ES_tradnl"/>
        </w:rPr>
        <w:tab/>
        <w:t>2</w:t>
      </w:r>
    </w:p>
    <w:p w:rsidR="009B38F1" w:rsidRPr="009B38F1" w:rsidRDefault="009B38F1">
      <w:pPr>
        <w:pStyle w:val="TOC1"/>
        <w:rPr>
          <w:rFonts w:asciiTheme="minorHAnsi" w:eastAsiaTheme="minorEastAsia" w:hAnsiTheme="minorHAnsi" w:cstheme="minorBidi"/>
          <w:noProof/>
          <w:sz w:val="22"/>
          <w:szCs w:val="22"/>
          <w:lang w:val="es-ES_tradnl" w:eastAsia="zh-CN"/>
        </w:rPr>
      </w:pPr>
      <w:r w:rsidRPr="009B38F1">
        <w:rPr>
          <w:rStyle w:val="Hyperlink"/>
          <w:rFonts w:eastAsia="MS Mincho"/>
          <w:noProof/>
          <w:color w:val="auto"/>
          <w:u w:val="none"/>
          <w:lang w:val="es-ES_tradnl"/>
        </w:rPr>
        <w:t>2</w:t>
      </w:r>
      <w:r w:rsidRPr="009B38F1">
        <w:rPr>
          <w:rFonts w:asciiTheme="minorHAnsi" w:eastAsiaTheme="minorEastAsia" w:hAnsiTheme="minorHAnsi" w:cstheme="minorBidi"/>
          <w:noProof/>
          <w:sz w:val="22"/>
          <w:szCs w:val="22"/>
          <w:lang w:val="es-ES_tradnl" w:eastAsia="zh-CN"/>
        </w:rPr>
        <w:tab/>
      </w:r>
      <w:r w:rsidRPr="009B38F1">
        <w:rPr>
          <w:rStyle w:val="Hyperlink"/>
          <w:rFonts w:eastAsia="MS Mincho"/>
          <w:noProof/>
          <w:color w:val="auto"/>
          <w:u w:val="none"/>
          <w:lang w:val="es-ES_tradnl"/>
        </w:rPr>
        <w:t>Parámetros principales del receptor</w:t>
      </w:r>
      <w:r w:rsidRPr="009B38F1">
        <w:rPr>
          <w:noProof/>
          <w:webHidden/>
          <w:lang w:val="es-ES_tradnl"/>
        </w:rPr>
        <w:tab/>
      </w:r>
      <w:r w:rsidRPr="009B38F1">
        <w:rPr>
          <w:noProof/>
          <w:webHidden/>
          <w:lang w:val="es-ES_tradnl"/>
        </w:rPr>
        <w:tab/>
        <w:t>2</w:t>
      </w:r>
    </w:p>
    <w:p w:rsidR="009B38F1" w:rsidRPr="009B38F1" w:rsidRDefault="009B38F1">
      <w:pPr>
        <w:pStyle w:val="TOC2"/>
        <w:rPr>
          <w:rFonts w:asciiTheme="minorHAnsi" w:eastAsiaTheme="minorEastAsia" w:hAnsiTheme="minorHAnsi" w:cstheme="minorBidi"/>
          <w:noProof/>
          <w:sz w:val="22"/>
          <w:szCs w:val="22"/>
          <w:lang w:val="es-ES_tradnl" w:eastAsia="zh-CN"/>
        </w:rPr>
      </w:pPr>
      <w:r w:rsidRPr="009B38F1">
        <w:rPr>
          <w:rStyle w:val="Hyperlink"/>
          <w:rFonts w:eastAsia="MS Mincho"/>
          <w:noProof/>
          <w:color w:val="auto"/>
          <w:u w:val="none"/>
          <w:lang w:val="es-ES_tradnl"/>
        </w:rPr>
        <w:t>2.1</w:t>
      </w:r>
      <w:r w:rsidRPr="009B38F1">
        <w:rPr>
          <w:rFonts w:asciiTheme="minorHAnsi" w:eastAsiaTheme="minorEastAsia" w:hAnsiTheme="minorHAnsi" w:cstheme="minorBidi"/>
          <w:noProof/>
          <w:sz w:val="22"/>
          <w:szCs w:val="22"/>
          <w:lang w:val="es-ES_tradnl" w:eastAsia="zh-CN"/>
        </w:rPr>
        <w:tab/>
      </w:r>
      <w:r w:rsidRPr="009B38F1">
        <w:rPr>
          <w:rStyle w:val="Hyperlink"/>
          <w:rFonts w:eastAsia="MS Mincho"/>
          <w:noProof/>
          <w:color w:val="auto"/>
          <w:u w:val="none"/>
          <w:lang w:val="es-ES_tradnl"/>
        </w:rPr>
        <w:t>IP</w:t>
      </w:r>
      <w:r w:rsidRPr="009B38F1">
        <w:rPr>
          <w:rStyle w:val="Hyperlink"/>
          <w:rFonts w:eastAsia="MS Mincho"/>
          <w:noProof/>
          <w:color w:val="auto"/>
          <w:u w:val="none"/>
          <w:vertAlign w:val="subscript"/>
          <w:lang w:val="es-ES_tradnl"/>
        </w:rPr>
        <w:t>2</w:t>
      </w:r>
      <w:r w:rsidRPr="009B38F1">
        <w:rPr>
          <w:rStyle w:val="Hyperlink"/>
          <w:rFonts w:eastAsia="MS Mincho"/>
          <w:noProof/>
          <w:color w:val="auto"/>
          <w:u w:val="none"/>
          <w:lang w:val="es-ES_tradnl"/>
        </w:rPr>
        <w:t>/IP</w:t>
      </w:r>
      <w:r w:rsidRPr="009B38F1">
        <w:rPr>
          <w:rStyle w:val="Hyperlink"/>
          <w:rFonts w:eastAsia="MS Mincho"/>
          <w:noProof/>
          <w:color w:val="auto"/>
          <w:u w:val="none"/>
          <w:vertAlign w:val="subscript"/>
          <w:lang w:val="es-ES_tradnl"/>
        </w:rPr>
        <w:t>3</w:t>
      </w:r>
      <w:r w:rsidRPr="009B38F1">
        <w:rPr>
          <w:noProof/>
          <w:webHidden/>
          <w:lang w:val="es-ES_tradnl"/>
        </w:rPr>
        <w:tab/>
      </w:r>
      <w:r w:rsidRPr="009B38F1">
        <w:rPr>
          <w:noProof/>
          <w:webHidden/>
          <w:lang w:val="es-ES_tradnl"/>
        </w:rPr>
        <w:tab/>
        <w:t>2</w:t>
      </w:r>
    </w:p>
    <w:p w:rsidR="009B38F1" w:rsidRPr="009B38F1" w:rsidRDefault="009B38F1">
      <w:pPr>
        <w:pStyle w:val="TOC2"/>
        <w:rPr>
          <w:rFonts w:asciiTheme="minorHAnsi" w:eastAsiaTheme="minorEastAsia" w:hAnsiTheme="minorHAnsi" w:cstheme="minorBidi"/>
          <w:noProof/>
          <w:sz w:val="22"/>
          <w:szCs w:val="22"/>
          <w:lang w:val="es-ES_tradnl" w:eastAsia="zh-CN"/>
        </w:rPr>
      </w:pPr>
      <w:r w:rsidRPr="009B38F1">
        <w:rPr>
          <w:rStyle w:val="Hyperlink"/>
          <w:noProof/>
          <w:color w:val="auto"/>
          <w:u w:val="none"/>
          <w:lang w:val="es-ES_tradnl"/>
        </w:rPr>
        <w:t>2.2</w:t>
      </w:r>
      <w:r w:rsidRPr="009B38F1">
        <w:rPr>
          <w:rFonts w:asciiTheme="minorHAnsi" w:eastAsiaTheme="minorEastAsia" w:hAnsiTheme="minorHAnsi" w:cstheme="minorBidi"/>
          <w:noProof/>
          <w:sz w:val="22"/>
          <w:szCs w:val="22"/>
          <w:lang w:val="es-ES_tradnl" w:eastAsia="zh-CN"/>
        </w:rPr>
        <w:tab/>
      </w:r>
      <w:r w:rsidRPr="009B38F1">
        <w:rPr>
          <w:rStyle w:val="Hyperlink"/>
          <w:noProof/>
          <w:color w:val="auto"/>
          <w:u w:val="none"/>
          <w:lang w:val="es-ES_tradnl"/>
        </w:rPr>
        <w:t>Sensibilidad</w:t>
      </w:r>
      <w:r w:rsidRPr="009B38F1">
        <w:rPr>
          <w:noProof/>
          <w:webHidden/>
          <w:lang w:val="es-ES_tradnl"/>
        </w:rPr>
        <w:tab/>
      </w:r>
      <w:r w:rsidRPr="009B38F1">
        <w:rPr>
          <w:noProof/>
          <w:webHidden/>
          <w:lang w:val="es-ES_tradnl"/>
        </w:rPr>
        <w:tab/>
        <w:t>3</w:t>
      </w:r>
    </w:p>
    <w:p w:rsidR="009B38F1" w:rsidRPr="009B38F1" w:rsidRDefault="009B38F1">
      <w:pPr>
        <w:pStyle w:val="TOC2"/>
        <w:rPr>
          <w:rFonts w:asciiTheme="minorHAnsi" w:eastAsiaTheme="minorEastAsia" w:hAnsiTheme="minorHAnsi" w:cstheme="minorBidi"/>
          <w:noProof/>
          <w:sz w:val="22"/>
          <w:szCs w:val="22"/>
          <w:lang w:val="es-ES_tradnl" w:eastAsia="zh-CN"/>
        </w:rPr>
      </w:pPr>
      <w:r w:rsidRPr="009B38F1">
        <w:rPr>
          <w:rStyle w:val="Hyperlink"/>
          <w:noProof/>
          <w:color w:val="auto"/>
          <w:u w:val="none"/>
          <w:lang w:val="es-ES_tradnl"/>
        </w:rPr>
        <w:t>2.3</w:t>
      </w:r>
      <w:r w:rsidRPr="009B38F1">
        <w:rPr>
          <w:rFonts w:asciiTheme="minorHAnsi" w:eastAsiaTheme="minorEastAsia" w:hAnsiTheme="minorHAnsi" w:cstheme="minorBidi"/>
          <w:noProof/>
          <w:sz w:val="22"/>
          <w:szCs w:val="22"/>
          <w:lang w:val="es-ES_tradnl" w:eastAsia="zh-CN"/>
        </w:rPr>
        <w:tab/>
      </w:r>
      <w:r w:rsidRPr="009B38F1">
        <w:rPr>
          <w:rStyle w:val="Hyperlink"/>
          <w:rFonts w:eastAsia="MS Mincho"/>
          <w:noProof/>
          <w:color w:val="auto"/>
          <w:u w:val="none"/>
          <w:lang w:val="es-ES_tradnl"/>
        </w:rPr>
        <w:t>Factor de ruido del receptor</w:t>
      </w:r>
      <w:r w:rsidRPr="009B38F1">
        <w:rPr>
          <w:noProof/>
          <w:webHidden/>
          <w:lang w:val="es-ES_tradnl"/>
        </w:rPr>
        <w:tab/>
      </w:r>
      <w:r w:rsidRPr="009B38F1">
        <w:rPr>
          <w:noProof/>
          <w:webHidden/>
          <w:lang w:val="es-ES_tradnl"/>
        </w:rPr>
        <w:tab/>
        <w:t>3</w:t>
      </w:r>
    </w:p>
    <w:p w:rsidR="009B38F1" w:rsidRPr="009B38F1" w:rsidRDefault="009B38F1">
      <w:pPr>
        <w:pStyle w:val="TOC2"/>
        <w:rPr>
          <w:rFonts w:asciiTheme="minorHAnsi" w:eastAsiaTheme="minorEastAsia" w:hAnsiTheme="minorHAnsi" w:cstheme="minorBidi"/>
          <w:noProof/>
          <w:sz w:val="22"/>
          <w:szCs w:val="22"/>
          <w:lang w:val="es-ES_tradnl" w:eastAsia="zh-CN"/>
        </w:rPr>
      </w:pPr>
      <w:r w:rsidRPr="009B38F1">
        <w:rPr>
          <w:rStyle w:val="Hyperlink"/>
          <w:rFonts w:eastAsia="MS Mincho"/>
          <w:noProof/>
          <w:color w:val="auto"/>
          <w:u w:val="none"/>
          <w:lang w:val="es-ES_tradnl"/>
        </w:rPr>
        <w:t>2.4</w:t>
      </w:r>
      <w:r w:rsidRPr="009B38F1">
        <w:rPr>
          <w:rFonts w:asciiTheme="minorHAnsi" w:eastAsiaTheme="minorEastAsia" w:hAnsiTheme="minorHAnsi" w:cstheme="minorBidi"/>
          <w:noProof/>
          <w:sz w:val="22"/>
          <w:szCs w:val="22"/>
          <w:lang w:val="es-ES_tradnl" w:eastAsia="zh-CN"/>
        </w:rPr>
        <w:tab/>
      </w:r>
      <w:r w:rsidRPr="009B38F1">
        <w:rPr>
          <w:rStyle w:val="Hyperlink"/>
          <w:rFonts w:eastAsia="MS Mincho"/>
          <w:noProof/>
          <w:color w:val="auto"/>
          <w:u w:val="none"/>
          <w:lang w:val="es-ES_tradnl"/>
        </w:rPr>
        <w:t>Características del filtro de FI</w:t>
      </w:r>
      <w:r w:rsidRPr="009B38F1">
        <w:rPr>
          <w:noProof/>
          <w:webHidden/>
          <w:lang w:val="es-ES_tradnl"/>
        </w:rPr>
        <w:tab/>
      </w:r>
      <w:r w:rsidRPr="009B38F1">
        <w:rPr>
          <w:noProof/>
          <w:webHidden/>
          <w:lang w:val="es-ES_tradnl"/>
        </w:rPr>
        <w:tab/>
        <w:t>4</w:t>
      </w:r>
    </w:p>
    <w:p w:rsidR="009B38F1" w:rsidRPr="009B38F1" w:rsidRDefault="009B38F1">
      <w:pPr>
        <w:pStyle w:val="TOC2"/>
        <w:rPr>
          <w:rFonts w:asciiTheme="minorHAnsi" w:eastAsiaTheme="minorEastAsia" w:hAnsiTheme="minorHAnsi" w:cstheme="minorBidi"/>
          <w:noProof/>
          <w:sz w:val="22"/>
          <w:szCs w:val="22"/>
          <w:lang w:val="es-ES_tradnl" w:eastAsia="zh-CN"/>
        </w:rPr>
      </w:pPr>
      <w:r w:rsidRPr="009B38F1">
        <w:rPr>
          <w:rStyle w:val="Hyperlink"/>
          <w:rFonts w:eastAsia="MS Mincho"/>
          <w:noProof/>
          <w:color w:val="auto"/>
          <w:u w:val="none"/>
          <w:lang w:val="es-ES_tradnl"/>
        </w:rPr>
        <w:t>2.5</w:t>
      </w:r>
      <w:r w:rsidRPr="009B38F1">
        <w:rPr>
          <w:rFonts w:asciiTheme="minorHAnsi" w:eastAsiaTheme="minorEastAsia" w:hAnsiTheme="minorHAnsi" w:cstheme="minorBidi"/>
          <w:noProof/>
          <w:sz w:val="22"/>
          <w:szCs w:val="22"/>
          <w:lang w:val="es-ES_tradnl" w:eastAsia="zh-CN"/>
        </w:rPr>
        <w:tab/>
      </w:r>
      <w:r w:rsidRPr="009B38F1">
        <w:rPr>
          <w:rStyle w:val="Hyperlink"/>
          <w:rFonts w:eastAsia="MS Mincho"/>
          <w:noProof/>
          <w:color w:val="auto"/>
          <w:u w:val="none"/>
          <w:lang w:val="es-ES_tradnl"/>
        </w:rPr>
        <w:t>Velocidad de exploración del receptor</w:t>
      </w:r>
      <w:r w:rsidRPr="009B38F1">
        <w:rPr>
          <w:noProof/>
          <w:webHidden/>
          <w:lang w:val="es-ES_tradnl"/>
        </w:rPr>
        <w:tab/>
      </w:r>
      <w:r w:rsidRPr="009B38F1">
        <w:rPr>
          <w:noProof/>
          <w:webHidden/>
          <w:lang w:val="es-ES_tradnl"/>
        </w:rPr>
        <w:tab/>
        <w:t>5</w:t>
      </w:r>
    </w:p>
    <w:p w:rsidR="009B38F1" w:rsidRPr="009B38F1" w:rsidRDefault="009B38F1">
      <w:pPr>
        <w:pStyle w:val="TOC2"/>
        <w:rPr>
          <w:rFonts w:asciiTheme="minorHAnsi" w:eastAsiaTheme="minorEastAsia" w:hAnsiTheme="minorHAnsi" w:cstheme="minorBidi"/>
          <w:noProof/>
          <w:sz w:val="22"/>
          <w:szCs w:val="22"/>
          <w:lang w:val="es-ES_tradnl" w:eastAsia="zh-CN"/>
        </w:rPr>
      </w:pPr>
      <w:r w:rsidRPr="009B38F1">
        <w:rPr>
          <w:rStyle w:val="Hyperlink"/>
          <w:rFonts w:eastAsia="MS Mincho"/>
          <w:noProof/>
          <w:color w:val="auto"/>
          <w:u w:val="none"/>
          <w:lang w:val="es-ES_tradnl"/>
        </w:rPr>
        <w:t>2.6</w:t>
      </w:r>
      <w:r w:rsidRPr="009B38F1">
        <w:rPr>
          <w:rFonts w:asciiTheme="minorHAnsi" w:eastAsiaTheme="minorEastAsia" w:hAnsiTheme="minorHAnsi" w:cstheme="minorBidi"/>
          <w:noProof/>
          <w:sz w:val="22"/>
          <w:szCs w:val="22"/>
          <w:lang w:val="es-ES_tradnl" w:eastAsia="zh-CN"/>
        </w:rPr>
        <w:tab/>
      </w:r>
      <w:r w:rsidRPr="009B38F1">
        <w:rPr>
          <w:rStyle w:val="Hyperlink"/>
          <w:rFonts w:eastAsia="MS Mincho"/>
          <w:noProof/>
          <w:color w:val="auto"/>
          <w:u w:val="none"/>
          <w:lang w:val="es-ES_tradnl"/>
        </w:rPr>
        <w:t>Parámetros principales para los receptores de radiogoniometría</w:t>
      </w:r>
      <w:r w:rsidRPr="009B38F1">
        <w:rPr>
          <w:noProof/>
          <w:webHidden/>
          <w:lang w:val="es-ES_tradnl"/>
        </w:rPr>
        <w:tab/>
      </w:r>
      <w:r w:rsidRPr="009B38F1">
        <w:rPr>
          <w:noProof/>
          <w:webHidden/>
          <w:lang w:val="es-ES_tradnl"/>
        </w:rPr>
        <w:tab/>
        <w:t>6</w:t>
      </w:r>
    </w:p>
    <w:p w:rsidR="009B38F1" w:rsidRPr="009B38F1" w:rsidRDefault="009B38F1">
      <w:pPr>
        <w:pStyle w:val="TOC1"/>
        <w:rPr>
          <w:rFonts w:asciiTheme="minorHAnsi" w:eastAsiaTheme="minorEastAsia" w:hAnsiTheme="minorHAnsi" w:cstheme="minorBidi"/>
          <w:noProof/>
          <w:sz w:val="22"/>
          <w:szCs w:val="22"/>
          <w:lang w:val="es-ES_tradnl" w:eastAsia="zh-CN"/>
        </w:rPr>
      </w:pPr>
      <w:r w:rsidRPr="009B38F1">
        <w:rPr>
          <w:rStyle w:val="Hyperlink"/>
          <w:rFonts w:eastAsia="MS Mincho"/>
          <w:noProof/>
          <w:color w:val="auto"/>
          <w:u w:val="none"/>
          <w:lang w:val="es-ES_tradnl"/>
        </w:rPr>
        <w:t>3</w:t>
      </w:r>
      <w:r w:rsidRPr="009B38F1">
        <w:rPr>
          <w:rFonts w:asciiTheme="minorHAnsi" w:eastAsiaTheme="minorEastAsia" w:hAnsiTheme="minorHAnsi" w:cstheme="minorBidi"/>
          <w:noProof/>
          <w:sz w:val="22"/>
          <w:szCs w:val="22"/>
          <w:lang w:val="es-ES_tradnl" w:eastAsia="zh-CN"/>
        </w:rPr>
        <w:tab/>
      </w:r>
      <w:r w:rsidRPr="009B38F1">
        <w:rPr>
          <w:rStyle w:val="Hyperlink"/>
          <w:rFonts w:eastAsia="MS Mincho"/>
          <w:noProof/>
          <w:color w:val="auto"/>
          <w:u w:val="none"/>
          <w:lang w:val="es-ES_tradnl"/>
        </w:rPr>
        <w:t>Procedimientos de medición de los parámetros de comprobación técnica y de estaciones de radiogoniometría</w:t>
      </w:r>
      <w:r w:rsidRPr="009B38F1">
        <w:rPr>
          <w:noProof/>
          <w:webHidden/>
          <w:lang w:val="es-ES_tradnl"/>
        </w:rPr>
        <w:tab/>
      </w:r>
      <w:r w:rsidRPr="009B38F1">
        <w:rPr>
          <w:noProof/>
          <w:webHidden/>
          <w:lang w:val="es-ES_tradnl"/>
        </w:rPr>
        <w:tab/>
        <w:t>6</w:t>
      </w:r>
    </w:p>
    <w:p w:rsidR="009B38F1" w:rsidRPr="009B38F1" w:rsidRDefault="009B38F1">
      <w:pPr>
        <w:pStyle w:val="TOC2"/>
        <w:rPr>
          <w:rFonts w:asciiTheme="minorHAnsi" w:eastAsiaTheme="minorEastAsia" w:hAnsiTheme="minorHAnsi" w:cstheme="minorBidi"/>
          <w:noProof/>
          <w:sz w:val="22"/>
          <w:szCs w:val="22"/>
          <w:lang w:val="es-ES_tradnl" w:eastAsia="zh-CN"/>
        </w:rPr>
      </w:pPr>
      <w:r w:rsidRPr="009B38F1">
        <w:rPr>
          <w:rStyle w:val="Hyperlink"/>
          <w:noProof/>
          <w:color w:val="auto"/>
          <w:u w:val="none"/>
          <w:lang w:val="es-ES_tradnl"/>
        </w:rPr>
        <w:t>3.1</w:t>
      </w:r>
      <w:r w:rsidRPr="009B38F1">
        <w:rPr>
          <w:rFonts w:asciiTheme="minorHAnsi" w:eastAsiaTheme="minorEastAsia" w:hAnsiTheme="minorHAnsi" w:cstheme="minorBidi"/>
          <w:noProof/>
          <w:sz w:val="22"/>
          <w:szCs w:val="22"/>
          <w:lang w:val="es-ES_tradnl" w:eastAsia="zh-CN"/>
        </w:rPr>
        <w:tab/>
      </w:r>
      <w:r w:rsidRPr="009B38F1">
        <w:rPr>
          <w:rStyle w:val="Hyperlink"/>
          <w:noProof/>
          <w:color w:val="auto"/>
          <w:u w:val="none"/>
          <w:lang w:val="es-ES_tradnl"/>
        </w:rPr>
        <w:t xml:space="preserve">Mediciones de </w:t>
      </w:r>
      <w:r w:rsidRPr="009B38F1">
        <w:rPr>
          <w:rStyle w:val="Hyperlink"/>
          <w:rFonts w:eastAsia="MS Mincho"/>
          <w:noProof/>
          <w:color w:val="auto"/>
          <w:u w:val="none"/>
          <w:lang w:val="es-ES_tradnl"/>
        </w:rPr>
        <w:t>IP</w:t>
      </w:r>
      <w:r w:rsidRPr="009B38F1">
        <w:rPr>
          <w:rStyle w:val="Hyperlink"/>
          <w:rFonts w:eastAsia="MS Mincho"/>
          <w:noProof/>
          <w:color w:val="auto"/>
          <w:u w:val="none"/>
          <w:vertAlign w:val="subscript"/>
          <w:lang w:val="es-ES_tradnl"/>
        </w:rPr>
        <w:t>2</w:t>
      </w:r>
      <w:r w:rsidRPr="009B38F1">
        <w:rPr>
          <w:rStyle w:val="Hyperlink"/>
          <w:noProof/>
          <w:color w:val="auto"/>
          <w:u w:val="none"/>
          <w:lang w:val="es-ES_tradnl"/>
        </w:rPr>
        <w:t>/</w:t>
      </w:r>
      <w:r w:rsidRPr="009B38F1">
        <w:rPr>
          <w:rStyle w:val="Hyperlink"/>
          <w:rFonts w:eastAsia="MS Mincho"/>
          <w:noProof/>
          <w:color w:val="auto"/>
          <w:u w:val="none"/>
          <w:lang w:val="es-ES_tradnl"/>
        </w:rPr>
        <w:t>IP</w:t>
      </w:r>
      <w:r w:rsidRPr="009B38F1">
        <w:rPr>
          <w:rStyle w:val="Hyperlink"/>
          <w:rFonts w:eastAsia="MS Mincho"/>
          <w:noProof/>
          <w:color w:val="auto"/>
          <w:u w:val="none"/>
          <w:vertAlign w:val="subscript"/>
          <w:lang w:val="es-ES_tradnl"/>
        </w:rPr>
        <w:t>3</w:t>
      </w:r>
      <w:r w:rsidRPr="009B38F1">
        <w:rPr>
          <w:rStyle w:val="Hyperlink"/>
          <w:noProof/>
          <w:color w:val="auto"/>
          <w:u w:val="none"/>
          <w:lang w:val="es-ES_tradnl"/>
        </w:rPr>
        <w:t xml:space="preserve"> en una estación de comprobación técnica y de radiogoniometría</w:t>
      </w:r>
      <w:r w:rsidRPr="009B38F1">
        <w:rPr>
          <w:noProof/>
          <w:webHidden/>
          <w:lang w:val="es-ES_tradnl"/>
        </w:rPr>
        <w:tab/>
      </w:r>
      <w:r w:rsidRPr="009B38F1">
        <w:rPr>
          <w:noProof/>
          <w:webHidden/>
          <w:lang w:val="es-ES_tradnl"/>
        </w:rPr>
        <w:tab/>
        <w:t>7</w:t>
      </w:r>
    </w:p>
    <w:p w:rsidR="009B38F1" w:rsidRPr="009B38F1" w:rsidRDefault="009B38F1">
      <w:pPr>
        <w:pStyle w:val="TOC2"/>
        <w:rPr>
          <w:rFonts w:asciiTheme="minorHAnsi" w:eastAsiaTheme="minorEastAsia" w:hAnsiTheme="minorHAnsi" w:cstheme="minorBidi"/>
          <w:noProof/>
          <w:sz w:val="22"/>
          <w:szCs w:val="22"/>
          <w:lang w:val="es-ES_tradnl" w:eastAsia="zh-CN"/>
        </w:rPr>
      </w:pPr>
      <w:r w:rsidRPr="009B38F1">
        <w:rPr>
          <w:rStyle w:val="Hyperlink"/>
          <w:noProof/>
          <w:color w:val="auto"/>
          <w:u w:val="none"/>
          <w:lang w:val="es-ES_tradnl"/>
        </w:rPr>
        <w:lastRenderedPageBreak/>
        <w:t>3.2</w:t>
      </w:r>
      <w:r w:rsidRPr="009B38F1">
        <w:rPr>
          <w:rFonts w:asciiTheme="minorHAnsi" w:eastAsiaTheme="minorEastAsia" w:hAnsiTheme="minorHAnsi" w:cstheme="minorBidi"/>
          <w:noProof/>
          <w:sz w:val="22"/>
          <w:szCs w:val="22"/>
          <w:lang w:val="es-ES_tradnl" w:eastAsia="zh-CN"/>
        </w:rPr>
        <w:tab/>
      </w:r>
      <w:r w:rsidRPr="009B38F1">
        <w:rPr>
          <w:rStyle w:val="Hyperlink"/>
          <w:noProof/>
          <w:color w:val="auto"/>
          <w:u w:val="none"/>
          <w:lang w:val="es-ES_tradnl"/>
        </w:rPr>
        <w:t>Medición de la sensibilidad de una estación de comprobación técnica y una estación de radiogoniometría</w:t>
      </w:r>
      <w:r w:rsidRPr="009B38F1">
        <w:rPr>
          <w:noProof/>
          <w:webHidden/>
          <w:lang w:val="es-ES_tradnl"/>
        </w:rPr>
        <w:tab/>
      </w:r>
      <w:r w:rsidRPr="009B38F1">
        <w:rPr>
          <w:noProof/>
          <w:webHidden/>
          <w:lang w:val="es-ES_tradnl"/>
        </w:rPr>
        <w:tab/>
        <w:t>9</w:t>
      </w:r>
    </w:p>
    <w:p w:rsidR="009B38F1" w:rsidRPr="009B38F1" w:rsidRDefault="009B38F1">
      <w:pPr>
        <w:pStyle w:val="TOC2"/>
        <w:rPr>
          <w:rFonts w:asciiTheme="minorHAnsi" w:eastAsiaTheme="minorEastAsia" w:hAnsiTheme="minorHAnsi" w:cstheme="minorBidi"/>
          <w:noProof/>
          <w:sz w:val="22"/>
          <w:szCs w:val="22"/>
          <w:lang w:val="es-ES_tradnl" w:eastAsia="zh-CN"/>
        </w:rPr>
      </w:pPr>
      <w:r w:rsidRPr="009B38F1">
        <w:rPr>
          <w:rStyle w:val="Hyperlink"/>
          <w:noProof/>
          <w:color w:val="auto"/>
          <w:u w:val="none"/>
          <w:lang w:val="es-ES_tradnl"/>
        </w:rPr>
        <w:t>3.3</w:t>
      </w:r>
      <w:r w:rsidRPr="009B38F1">
        <w:rPr>
          <w:rFonts w:asciiTheme="minorHAnsi" w:eastAsiaTheme="minorEastAsia" w:hAnsiTheme="minorHAnsi" w:cstheme="minorBidi"/>
          <w:noProof/>
          <w:sz w:val="22"/>
          <w:szCs w:val="22"/>
          <w:lang w:val="es-ES_tradnl" w:eastAsia="zh-CN"/>
        </w:rPr>
        <w:tab/>
      </w:r>
      <w:r w:rsidRPr="009B38F1">
        <w:rPr>
          <w:rStyle w:val="Hyperlink"/>
          <w:noProof/>
          <w:color w:val="auto"/>
          <w:u w:val="none"/>
          <w:lang w:val="es-ES_tradnl"/>
        </w:rPr>
        <w:t>Parámetros fundamentales para las estaciones de radiogoniometría</w:t>
      </w:r>
      <w:r w:rsidRPr="009B38F1">
        <w:rPr>
          <w:noProof/>
          <w:webHidden/>
          <w:lang w:val="es-ES_tradnl"/>
        </w:rPr>
        <w:tab/>
      </w:r>
      <w:r w:rsidRPr="009B38F1">
        <w:rPr>
          <w:noProof/>
          <w:webHidden/>
          <w:lang w:val="es-ES_tradnl"/>
        </w:rPr>
        <w:tab/>
        <w:t>19</w:t>
      </w:r>
    </w:p>
    <w:p w:rsidR="00F97D17" w:rsidRPr="00CC69B2" w:rsidRDefault="00F97D17" w:rsidP="009B38F1">
      <w:pPr>
        <w:pStyle w:val="Heading1"/>
        <w:rPr>
          <w:rFonts w:eastAsia="MS Mincho"/>
          <w:lang w:val="es-ES_tradnl"/>
        </w:rPr>
      </w:pPr>
      <w:bookmarkStart w:id="15" w:name="_Toc303861701"/>
      <w:bookmarkStart w:id="16" w:name="_Toc303862767"/>
      <w:bookmarkStart w:id="17" w:name="_Toc303866479"/>
      <w:r w:rsidRPr="00CC69B2">
        <w:rPr>
          <w:rFonts w:eastAsia="MS Mincho"/>
          <w:lang w:val="es-ES_tradnl"/>
        </w:rPr>
        <w:t>1</w:t>
      </w:r>
      <w:r w:rsidRPr="00CC69B2">
        <w:rPr>
          <w:rFonts w:eastAsia="MS Mincho"/>
          <w:lang w:val="es-ES_tradnl"/>
        </w:rPr>
        <w:tab/>
        <w:t>Introduc</w:t>
      </w:r>
      <w:bookmarkEnd w:id="7"/>
      <w:bookmarkEnd w:id="8"/>
      <w:r w:rsidRPr="00CC69B2">
        <w:rPr>
          <w:rFonts w:eastAsia="MS Mincho"/>
          <w:lang w:val="es-ES_tradnl"/>
        </w:rPr>
        <w:t>ción</w:t>
      </w:r>
      <w:bookmarkEnd w:id="10"/>
      <w:bookmarkEnd w:id="11"/>
      <w:bookmarkEnd w:id="12"/>
      <w:bookmarkEnd w:id="13"/>
      <w:bookmarkEnd w:id="14"/>
      <w:bookmarkEnd w:id="15"/>
      <w:bookmarkEnd w:id="16"/>
      <w:bookmarkEnd w:id="17"/>
    </w:p>
    <w:bookmarkEnd w:id="9"/>
    <w:p w:rsidR="00F97D17" w:rsidRPr="0063018E" w:rsidRDefault="00F97D17" w:rsidP="00B874B3">
      <w:pPr>
        <w:rPr>
          <w:lang w:val="es-ES_tradnl"/>
        </w:rPr>
      </w:pPr>
      <w:r w:rsidRPr="0063018E">
        <w:rPr>
          <w:lang w:val="es-ES_tradnl"/>
        </w:rPr>
        <w:t>El Manual del UIT</w:t>
      </w:r>
      <w:r w:rsidRPr="0063018E">
        <w:rPr>
          <w:lang w:val="es-ES_tradnl"/>
        </w:rPr>
        <w:noBreakHyphen/>
        <w:t>R «Comprobación técnica del espectro» (Edición</w:t>
      </w:r>
      <w:r w:rsidR="00B874B3">
        <w:rPr>
          <w:lang w:val="es-ES_tradnl"/>
        </w:rPr>
        <w:t xml:space="preserve"> de </w:t>
      </w:r>
      <w:r w:rsidRPr="0063018E">
        <w:rPr>
          <w:lang w:val="es-ES_tradnl"/>
        </w:rPr>
        <w:t>2011), contiene especificaciones típicas de receptores de comprobación técnica y estaciones de radiogoniometría/comprobación técnica pero no especifica los procedimientos de medición para determinar estas especificaciones. El Manual no tiene en cuenta, además, las especificaciones de sistemas complejos tales como el de una estación completa de comprobación técnica/radiogoniometría construida en torno a un receptor de comprobación técnica.</w:t>
      </w:r>
    </w:p>
    <w:p w:rsidR="00F97D17" w:rsidRPr="00CC69B2" w:rsidRDefault="00F97D17" w:rsidP="00985DE2">
      <w:pPr>
        <w:rPr>
          <w:sz w:val="22"/>
          <w:lang w:val="es-ES_tradnl"/>
        </w:rPr>
      </w:pPr>
      <w:r w:rsidRPr="00CC69B2">
        <w:rPr>
          <w:sz w:val="22"/>
          <w:lang w:val="es-ES_tradnl"/>
        </w:rPr>
        <w:t>NOTA 1 – El Manual del UIT-R</w:t>
      </w:r>
      <w:r>
        <w:rPr>
          <w:sz w:val="22"/>
          <w:lang w:val="es-ES_tradnl"/>
        </w:rPr>
        <w:t xml:space="preserve"> sobre</w:t>
      </w:r>
      <w:r w:rsidRPr="00CC69B2">
        <w:rPr>
          <w:sz w:val="22"/>
          <w:lang w:val="es-ES_tradnl"/>
        </w:rPr>
        <w:t xml:space="preserve"> </w:t>
      </w:r>
      <w:r w:rsidR="00CF2552" w:rsidRPr="00CC69B2">
        <w:rPr>
          <w:sz w:val="22"/>
          <w:lang w:val="es-ES_tradnl"/>
        </w:rPr>
        <w:t xml:space="preserve">Comprobación </w:t>
      </w:r>
      <w:r w:rsidRPr="00CC69B2">
        <w:rPr>
          <w:sz w:val="22"/>
          <w:lang w:val="es-ES_tradnl"/>
        </w:rPr>
        <w:t>técnica del espectro, no tiene por objeto establecer una serie de normas sino ofrecer orientaciones sobre todos los aspectos de la comprobación técnica del espectro.</w:t>
      </w:r>
    </w:p>
    <w:p w:rsidR="00F97D17" w:rsidRPr="0063018E" w:rsidRDefault="00F97D17" w:rsidP="00985DE2">
      <w:pPr>
        <w:rPr>
          <w:lang w:val="es-ES_tradnl"/>
        </w:rPr>
      </w:pPr>
      <w:r w:rsidRPr="0063018E">
        <w:rPr>
          <w:lang w:val="es-ES_tradnl"/>
        </w:rPr>
        <w:t>El presente Informe indica los parámetros principales del receptor y los parámetros de la estación. Los parámetros discutidos pueden ser determinados ya sea por el fabricante ya sea por el usuario final.</w:t>
      </w:r>
    </w:p>
    <w:p w:rsidR="00F97D17" w:rsidRPr="00CC69B2" w:rsidRDefault="00F97D17" w:rsidP="00985DE2">
      <w:pPr>
        <w:pStyle w:val="Heading1"/>
        <w:rPr>
          <w:rFonts w:eastAsia="MS Mincho"/>
          <w:lang w:val="es-ES_tradnl"/>
        </w:rPr>
      </w:pPr>
      <w:bookmarkStart w:id="18" w:name="_Toc169706693"/>
      <w:bookmarkStart w:id="19" w:name="_Toc199305940"/>
      <w:bookmarkStart w:id="20" w:name="_Toc302381325"/>
      <w:bookmarkStart w:id="21" w:name="_Toc303861567"/>
      <w:bookmarkStart w:id="22" w:name="_Toc303861619"/>
      <w:bookmarkStart w:id="23" w:name="_Toc303861702"/>
      <w:bookmarkStart w:id="24" w:name="_Toc303862768"/>
      <w:bookmarkStart w:id="25" w:name="_Toc303866480"/>
      <w:r w:rsidRPr="00CC69B2">
        <w:rPr>
          <w:rFonts w:eastAsia="MS Mincho"/>
          <w:lang w:val="es-ES_tradnl"/>
        </w:rPr>
        <w:t>2</w:t>
      </w:r>
      <w:r w:rsidRPr="00CC69B2">
        <w:rPr>
          <w:rFonts w:eastAsia="MS Mincho"/>
          <w:lang w:val="es-ES_tradnl"/>
        </w:rPr>
        <w:tab/>
      </w:r>
      <w:bookmarkEnd w:id="18"/>
      <w:r w:rsidRPr="00CC69B2">
        <w:rPr>
          <w:rFonts w:eastAsia="MS Mincho"/>
          <w:lang w:val="es-ES_tradnl"/>
        </w:rPr>
        <w:t>Parámetros principales del receptor</w:t>
      </w:r>
      <w:bookmarkEnd w:id="19"/>
      <w:bookmarkEnd w:id="20"/>
      <w:bookmarkEnd w:id="21"/>
      <w:bookmarkEnd w:id="22"/>
      <w:bookmarkEnd w:id="23"/>
      <w:bookmarkEnd w:id="24"/>
      <w:bookmarkEnd w:id="25"/>
    </w:p>
    <w:p w:rsidR="00F97D17" w:rsidRPr="00CC69B2" w:rsidRDefault="00F97D17" w:rsidP="00985DE2">
      <w:pPr>
        <w:pStyle w:val="Heading2"/>
        <w:rPr>
          <w:rFonts w:eastAsia="MS Mincho"/>
          <w:lang w:val="es-ES_tradnl"/>
        </w:rPr>
      </w:pPr>
      <w:bookmarkStart w:id="26" w:name="_Toc169706694"/>
      <w:bookmarkStart w:id="27" w:name="_Toc199305941"/>
      <w:bookmarkStart w:id="28" w:name="_Toc302381326"/>
      <w:bookmarkStart w:id="29" w:name="_Toc303861568"/>
      <w:bookmarkStart w:id="30" w:name="_Toc303861620"/>
      <w:bookmarkStart w:id="31" w:name="_Toc303861703"/>
      <w:bookmarkStart w:id="32" w:name="_Toc303862769"/>
      <w:bookmarkStart w:id="33" w:name="_Toc303866481"/>
      <w:r w:rsidRPr="00CC69B2">
        <w:rPr>
          <w:rFonts w:eastAsia="MS Mincho"/>
          <w:lang w:val="es-ES_tradnl"/>
        </w:rPr>
        <w:t>2.1</w:t>
      </w:r>
      <w:r w:rsidRPr="00CC69B2">
        <w:rPr>
          <w:rFonts w:eastAsia="MS Mincho"/>
          <w:lang w:val="es-ES_tradnl"/>
        </w:rPr>
        <w:tab/>
        <w:t>IP</w:t>
      </w:r>
      <w:r w:rsidRPr="00CC69B2">
        <w:rPr>
          <w:rFonts w:eastAsia="MS Mincho"/>
          <w:vertAlign w:val="subscript"/>
          <w:lang w:val="es-ES_tradnl"/>
        </w:rPr>
        <w:t>2</w:t>
      </w:r>
      <w:r w:rsidRPr="00CC69B2">
        <w:rPr>
          <w:rFonts w:eastAsia="MS Mincho"/>
          <w:lang w:val="es-ES_tradnl"/>
        </w:rPr>
        <w:t>/IP</w:t>
      </w:r>
      <w:r w:rsidRPr="00CC69B2">
        <w:rPr>
          <w:rFonts w:eastAsia="MS Mincho"/>
          <w:vertAlign w:val="subscript"/>
          <w:lang w:val="es-ES_tradnl"/>
        </w:rPr>
        <w:t>3</w:t>
      </w:r>
      <w:bookmarkEnd w:id="26"/>
      <w:bookmarkEnd w:id="27"/>
      <w:bookmarkEnd w:id="28"/>
      <w:bookmarkEnd w:id="29"/>
      <w:bookmarkEnd w:id="30"/>
      <w:bookmarkEnd w:id="31"/>
      <w:bookmarkEnd w:id="32"/>
      <w:bookmarkEnd w:id="33"/>
    </w:p>
    <w:p w:rsidR="00F97D17" w:rsidRPr="0063018E" w:rsidRDefault="00F97D17" w:rsidP="00985DE2">
      <w:pPr>
        <w:rPr>
          <w:lang w:val="es-ES_tradnl"/>
        </w:rPr>
      </w:pPr>
      <w:r w:rsidRPr="0063018E">
        <w:rPr>
          <w:lang w:val="es-ES_tradnl"/>
        </w:rPr>
        <w:t xml:space="preserve">Los receptores de comprobación técnica funcionan en un entorno donde están presentes al mismo tiempo señales intensas y débiles. Por lo tanto, una propiedad importante de un receptor es su capacidad de manejar estas señales al mismo tiempo sin que se produzca distorsión. Esta propiedad se conoce como linealidad del receptor y una manera de cuantificar esta linealidad es mediante los valores </w:t>
      </w:r>
      <w:r w:rsidRPr="0063018E">
        <w:rPr>
          <w:rFonts w:eastAsia="MS Mincho"/>
          <w:lang w:val="es-ES_tradnl"/>
        </w:rPr>
        <w:t>IP</w:t>
      </w:r>
      <w:r w:rsidRPr="0063018E">
        <w:rPr>
          <w:rFonts w:eastAsia="MS Mincho"/>
          <w:vertAlign w:val="subscript"/>
          <w:lang w:val="es-ES_tradnl"/>
        </w:rPr>
        <w:t>2</w:t>
      </w:r>
      <w:r w:rsidRPr="0063018E">
        <w:rPr>
          <w:lang w:val="es-ES_tradnl"/>
        </w:rPr>
        <w:t xml:space="preserve"> e </w:t>
      </w:r>
      <w:r w:rsidRPr="0063018E">
        <w:rPr>
          <w:rFonts w:eastAsia="MS Mincho"/>
          <w:lang w:val="es-ES_tradnl"/>
        </w:rPr>
        <w:t>IP</w:t>
      </w:r>
      <w:r w:rsidRPr="0063018E">
        <w:rPr>
          <w:rFonts w:eastAsia="MS Mincho"/>
          <w:vertAlign w:val="subscript"/>
          <w:lang w:val="es-ES_tradnl"/>
        </w:rPr>
        <w:t>3</w:t>
      </w:r>
      <w:r w:rsidRPr="0063018E">
        <w:rPr>
          <w:lang w:val="es-ES_tradnl"/>
        </w:rPr>
        <w:t>.</w:t>
      </w:r>
    </w:p>
    <w:p w:rsidR="00F97D17" w:rsidRPr="0063018E" w:rsidRDefault="00F97D17" w:rsidP="00985DE2">
      <w:pPr>
        <w:rPr>
          <w:rFonts w:cs="Arial"/>
          <w:lang w:val="es-ES_tradnl"/>
        </w:rPr>
      </w:pPr>
      <w:r w:rsidRPr="0063018E">
        <w:rPr>
          <w:lang w:val="es-ES_tradnl"/>
        </w:rPr>
        <w:t xml:space="preserve">Aunque el extremo frontal de receptor es el que contribuye en mayor medida a los valores de </w:t>
      </w:r>
      <w:r w:rsidRPr="0063018E">
        <w:rPr>
          <w:rFonts w:eastAsia="MS Mincho"/>
          <w:lang w:val="es-ES_tradnl"/>
        </w:rPr>
        <w:t>IP</w:t>
      </w:r>
      <w:r w:rsidRPr="0063018E">
        <w:rPr>
          <w:rFonts w:eastAsia="MS Mincho"/>
          <w:vertAlign w:val="subscript"/>
          <w:lang w:val="es-ES_tradnl"/>
        </w:rPr>
        <w:t>2</w:t>
      </w:r>
      <w:r w:rsidRPr="0063018E">
        <w:rPr>
          <w:lang w:val="es-ES_tradnl"/>
        </w:rPr>
        <w:t xml:space="preserve"> e </w:t>
      </w:r>
      <w:r w:rsidRPr="0063018E">
        <w:rPr>
          <w:rFonts w:eastAsia="MS Mincho"/>
          <w:lang w:val="es-ES_tradnl"/>
        </w:rPr>
        <w:t>IP</w:t>
      </w:r>
      <w:r w:rsidRPr="0063018E">
        <w:rPr>
          <w:rFonts w:eastAsia="MS Mincho"/>
          <w:vertAlign w:val="subscript"/>
          <w:lang w:val="es-ES_tradnl"/>
        </w:rPr>
        <w:t>3</w:t>
      </w:r>
      <w:r w:rsidRPr="0063018E">
        <w:rPr>
          <w:lang w:val="es-ES_tradnl"/>
        </w:rPr>
        <w:t xml:space="preserve">, los filtros del amplificador de FI en el caso de un receptor de comprobación técnica digital y cualquier otro amplificador también tienen influencias sobre dichos valores. En consecuencia, todos estos componentes deben tenerse en cuenta cuando se llevan a cabo las mediciones de </w:t>
      </w:r>
      <w:r w:rsidRPr="0063018E">
        <w:rPr>
          <w:rFonts w:eastAsia="MS Mincho"/>
          <w:lang w:val="es-ES_tradnl"/>
        </w:rPr>
        <w:t>IP</w:t>
      </w:r>
      <w:r w:rsidRPr="0063018E">
        <w:rPr>
          <w:rFonts w:eastAsia="MS Mincho"/>
          <w:vertAlign w:val="subscript"/>
          <w:lang w:val="es-ES_tradnl"/>
        </w:rPr>
        <w:t>2</w:t>
      </w:r>
      <w:r w:rsidRPr="0063018E">
        <w:rPr>
          <w:lang w:val="es-ES_tradnl"/>
        </w:rPr>
        <w:t xml:space="preserve"> e </w:t>
      </w:r>
      <w:r w:rsidRPr="0063018E">
        <w:rPr>
          <w:rFonts w:eastAsia="MS Mincho"/>
          <w:lang w:val="es-ES_tradnl"/>
        </w:rPr>
        <w:t>IP</w:t>
      </w:r>
      <w:r w:rsidRPr="0063018E">
        <w:rPr>
          <w:rFonts w:eastAsia="MS Mincho"/>
          <w:vertAlign w:val="subscript"/>
          <w:lang w:val="es-ES_tradnl"/>
        </w:rPr>
        <w:t>3</w:t>
      </w:r>
      <w:r w:rsidRPr="0063018E">
        <w:rPr>
          <w:lang w:val="es-ES_tradnl"/>
        </w:rPr>
        <w:t xml:space="preserve">. Estas mediciones se realizan introduciendo dos señales a la entrada del receptor y midiendo la respuesta del mismo. En caso de no linealidad, se generan productos de las dos señales introducidas y se mide el nivel de estos productos para determinar el grado de no linealidad del receptor. Además de la linealidad de los propios componentes del receptor, los valores medidos de </w:t>
      </w:r>
      <w:r w:rsidRPr="0063018E">
        <w:rPr>
          <w:rFonts w:eastAsia="MS Mincho"/>
          <w:lang w:val="es-ES_tradnl"/>
        </w:rPr>
        <w:t>IP</w:t>
      </w:r>
      <w:r w:rsidRPr="0063018E">
        <w:rPr>
          <w:rFonts w:eastAsia="MS Mincho"/>
          <w:vertAlign w:val="subscript"/>
          <w:lang w:val="es-ES_tradnl"/>
        </w:rPr>
        <w:t>2</w:t>
      </w:r>
      <w:r w:rsidRPr="0063018E">
        <w:rPr>
          <w:lang w:val="es-ES_tradnl"/>
        </w:rPr>
        <w:t xml:space="preserve"> e </w:t>
      </w:r>
      <w:r w:rsidRPr="0063018E">
        <w:rPr>
          <w:rFonts w:eastAsia="MS Mincho"/>
          <w:lang w:val="es-ES_tradnl"/>
        </w:rPr>
        <w:t>IP</w:t>
      </w:r>
      <w:r w:rsidRPr="0063018E">
        <w:rPr>
          <w:rFonts w:eastAsia="MS Mincho"/>
          <w:vertAlign w:val="subscript"/>
          <w:lang w:val="es-ES_tradnl"/>
        </w:rPr>
        <w:t>3</w:t>
      </w:r>
      <w:r w:rsidRPr="0063018E">
        <w:rPr>
          <w:lang w:val="es-ES_tradnl"/>
        </w:rPr>
        <w:t xml:space="preserve"> también dependen de los siguientes parámetros</w:t>
      </w:r>
      <w:r w:rsidRPr="0063018E">
        <w:rPr>
          <w:rFonts w:cs="Arial"/>
          <w:lang w:val="es-ES_tradnl"/>
        </w:rPr>
        <w:t>:</w:t>
      </w:r>
    </w:p>
    <w:p w:rsidR="00F97D17" w:rsidRPr="00CC69B2" w:rsidRDefault="00F97D17" w:rsidP="00985DE2">
      <w:pPr>
        <w:pStyle w:val="enumlev1"/>
        <w:rPr>
          <w:lang w:val="es-ES_tradnl"/>
        </w:rPr>
      </w:pPr>
      <w:r w:rsidRPr="00CC69B2">
        <w:rPr>
          <w:lang w:val="es-ES_tradnl"/>
        </w:rPr>
        <w:t>–</w:t>
      </w:r>
      <w:r w:rsidRPr="00CC69B2">
        <w:rPr>
          <w:lang w:val="es-ES_tradnl"/>
        </w:rPr>
        <w:tab/>
        <w:t>la diferencia en frecuencia y nivel entre las do</w:t>
      </w:r>
      <w:r w:rsidR="00CF2552">
        <w:rPr>
          <w:lang w:val="es-ES_tradnl"/>
        </w:rPr>
        <w:t>s señales de prueba aplicadas;</w:t>
      </w:r>
    </w:p>
    <w:p w:rsidR="00F97D17" w:rsidRPr="00CC69B2" w:rsidRDefault="00F97D17" w:rsidP="00985DE2">
      <w:pPr>
        <w:pStyle w:val="enumlev1"/>
        <w:rPr>
          <w:lang w:val="es-ES_tradnl"/>
        </w:rPr>
      </w:pPr>
      <w:r w:rsidRPr="00CC69B2">
        <w:rPr>
          <w:lang w:val="es-ES_tradnl"/>
        </w:rPr>
        <w:t>–</w:t>
      </w:r>
      <w:r w:rsidRPr="00CC69B2">
        <w:rPr>
          <w:lang w:val="es-ES_tradnl"/>
        </w:rPr>
        <w:tab/>
        <w:t>las frecuencias de prueba seleccionadas.</w:t>
      </w:r>
    </w:p>
    <w:p w:rsidR="00F97D17" w:rsidRPr="00CC69B2" w:rsidRDefault="00F97D17" w:rsidP="00985DE2">
      <w:pPr>
        <w:pStyle w:val="Heading3"/>
        <w:rPr>
          <w:lang w:val="es-ES_tradnl"/>
        </w:rPr>
      </w:pPr>
      <w:r w:rsidRPr="00CC69B2">
        <w:rPr>
          <w:lang w:val="es-ES_tradnl"/>
        </w:rPr>
        <w:t>2.1.1</w:t>
      </w:r>
      <w:r w:rsidRPr="00CC69B2">
        <w:rPr>
          <w:lang w:val="es-ES_tradnl"/>
        </w:rPr>
        <w:tab/>
        <w:t>Principio de cálculo del producto de intermodulación de segundo orden</w:t>
      </w:r>
    </w:p>
    <w:p w:rsidR="00F97D17" w:rsidRPr="0063018E" w:rsidRDefault="00F97D17" w:rsidP="00985DE2">
      <w:pPr>
        <w:rPr>
          <w:lang w:val="es-ES_tradnl"/>
        </w:rPr>
      </w:pPr>
      <w:r w:rsidRPr="0063018E">
        <w:rPr>
          <w:lang w:val="es-ES_tradnl"/>
        </w:rPr>
        <w:t>Se aplican a la entrada de la antena del receptor de comprobación técnica dos señales de prueba de la misma potencia eficaz (</w:t>
      </w:r>
      <w:r w:rsidRPr="0063018E">
        <w:rPr>
          <w:i/>
          <w:iCs/>
          <w:lang w:val="es-ES_tradnl"/>
        </w:rPr>
        <w:t>Pin</w:t>
      </w:r>
      <w:r w:rsidRPr="0063018E">
        <w:rPr>
          <w:lang w:val="es-ES_tradnl"/>
        </w:rPr>
        <w:t xml:space="preserve">) a las frecuencias </w:t>
      </w:r>
      <w:r w:rsidRPr="0063018E">
        <w:rPr>
          <w:i/>
          <w:iCs/>
          <w:lang w:val="es-ES_tradnl"/>
        </w:rPr>
        <w:t>f</w:t>
      </w:r>
      <w:r w:rsidRPr="0063018E">
        <w:rPr>
          <w:vertAlign w:val="subscript"/>
          <w:lang w:val="es-ES_tradnl"/>
        </w:rPr>
        <w:t>1</w:t>
      </w:r>
      <w:r w:rsidRPr="0063018E">
        <w:rPr>
          <w:lang w:val="es-ES_tradnl"/>
        </w:rPr>
        <w:t> y </w:t>
      </w:r>
      <w:r w:rsidRPr="0063018E">
        <w:rPr>
          <w:i/>
          <w:iCs/>
          <w:lang w:val="es-ES_tradnl"/>
        </w:rPr>
        <w:t>f</w:t>
      </w:r>
      <w:r w:rsidRPr="0063018E">
        <w:rPr>
          <w:vertAlign w:val="subscript"/>
          <w:lang w:val="es-ES_tradnl"/>
        </w:rPr>
        <w:t>2</w:t>
      </w:r>
      <w:r w:rsidRPr="0063018E">
        <w:rPr>
          <w:lang w:val="es-ES_tradnl"/>
        </w:rPr>
        <w:t xml:space="preserve"> (</w:t>
      </w:r>
      <w:r w:rsidRPr="0063018E">
        <w:rPr>
          <w:i/>
          <w:iCs/>
          <w:lang w:val="es-ES_tradnl"/>
        </w:rPr>
        <w:t>f</w:t>
      </w:r>
      <w:r w:rsidRPr="0063018E">
        <w:rPr>
          <w:vertAlign w:val="subscript"/>
          <w:lang w:val="es-ES_tradnl"/>
        </w:rPr>
        <w:t>1</w:t>
      </w:r>
      <w:r w:rsidRPr="0063018E">
        <w:rPr>
          <w:lang w:val="es-ES_tradnl"/>
        </w:rPr>
        <w:t> &lt; </w:t>
      </w:r>
      <w:r w:rsidRPr="0063018E">
        <w:rPr>
          <w:i/>
          <w:iCs/>
          <w:lang w:val="es-ES_tradnl"/>
        </w:rPr>
        <w:t>f</w:t>
      </w:r>
      <w:r w:rsidRPr="0063018E">
        <w:rPr>
          <w:vertAlign w:val="subscript"/>
          <w:lang w:val="es-ES_tradnl"/>
        </w:rPr>
        <w:t>2</w:t>
      </w:r>
      <w:r w:rsidRPr="0063018E">
        <w:rPr>
          <w:lang w:val="es-ES_tradnl"/>
        </w:rPr>
        <w:t xml:space="preserve">). Debido a las no linealidades, pueden aparecer dos productos de intermodulación a las frecuencias </w:t>
      </w:r>
      <w:r w:rsidRPr="0063018E">
        <w:rPr>
          <w:i/>
          <w:iCs/>
          <w:lang w:val="es-ES_tradnl"/>
        </w:rPr>
        <w:t>f</w:t>
      </w:r>
      <w:r w:rsidRPr="0063018E">
        <w:rPr>
          <w:vertAlign w:val="subscript"/>
          <w:lang w:val="es-ES_tradnl"/>
        </w:rPr>
        <w:t>3</w:t>
      </w:r>
      <w:r w:rsidRPr="0063018E">
        <w:rPr>
          <w:lang w:val="es-ES_tradnl"/>
        </w:rPr>
        <w:t> y </w:t>
      </w:r>
      <w:r w:rsidRPr="0063018E">
        <w:rPr>
          <w:i/>
          <w:iCs/>
          <w:lang w:val="es-ES_tradnl"/>
        </w:rPr>
        <w:t>f</w:t>
      </w:r>
      <w:r w:rsidRPr="0063018E">
        <w:rPr>
          <w:vertAlign w:val="subscript"/>
          <w:lang w:val="es-ES_tradnl"/>
        </w:rPr>
        <w:t>4</w:t>
      </w:r>
      <w:r w:rsidRPr="0063018E">
        <w:rPr>
          <w:lang w:val="es-ES_tradnl"/>
        </w:rPr>
        <w:t>:</w:t>
      </w:r>
    </w:p>
    <w:p w:rsidR="001A5BFA" w:rsidRPr="00B874B3" w:rsidRDefault="001A5BFA" w:rsidP="001A5BFA">
      <w:pPr>
        <w:pStyle w:val="Blanc"/>
        <w:rPr>
          <w:lang w:val="es-ES_tradnl"/>
        </w:rPr>
      </w:pPr>
    </w:p>
    <w:p w:rsidR="00F97D17" w:rsidRPr="00CC69B2" w:rsidRDefault="00F97D17" w:rsidP="00985DE2">
      <w:pPr>
        <w:pStyle w:val="Equation"/>
        <w:rPr>
          <w:lang w:val="es-ES_tradnl"/>
        </w:rPr>
      </w:pPr>
      <w:r w:rsidRPr="00CC69B2">
        <w:rPr>
          <w:lang w:val="es-ES_tradnl"/>
        </w:rPr>
        <w:tab/>
      </w:r>
      <w:r w:rsidRPr="00CC69B2">
        <w:rPr>
          <w:lang w:val="es-ES_tradnl"/>
        </w:rPr>
        <w:tab/>
      </w:r>
      <w:r w:rsidRPr="00CC69B2">
        <w:rPr>
          <w:i/>
          <w:iCs/>
          <w:lang w:val="es-ES_tradnl"/>
        </w:rPr>
        <w:t>f</w:t>
      </w:r>
      <w:r w:rsidRPr="00CC69B2">
        <w:rPr>
          <w:vertAlign w:val="subscript"/>
          <w:lang w:val="es-ES_tradnl"/>
        </w:rPr>
        <w:t>3</w:t>
      </w:r>
      <w:r w:rsidRPr="00CC69B2">
        <w:rPr>
          <w:lang w:val="es-ES_tradnl"/>
        </w:rPr>
        <w:t xml:space="preserve"> = </w:t>
      </w:r>
      <w:r w:rsidRPr="00CC69B2">
        <w:rPr>
          <w:i/>
          <w:iCs/>
          <w:lang w:val="es-ES_tradnl"/>
        </w:rPr>
        <w:t>f</w:t>
      </w:r>
      <w:r w:rsidRPr="00CC69B2">
        <w:rPr>
          <w:vertAlign w:val="subscript"/>
          <w:lang w:val="es-ES_tradnl"/>
        </w:rPr>
        <w:t>2</w:t>
      </w:r>
      <w:r w:rsidRPr="00CC69B2">
        <w:rPr>
          <w:lang w:val="es-ES_tradnl"/>
        </w:rPr>
        <w:t xml:space="preserve"> – </w:t>
      </w:r>
      <w:r w:rsidRPr="00CC69B2">
        <w:rPr>
          <w:i/>
          <w:iCs/>
          <w:lang w:val="es-ES_tradnl"/>
        </w:rPr>
        <w:t>f</w:t>
      </w:r>
      <w:r w:rsidRPr="00CC69B2">
        <w:rPr>
          <w:vertAlign w:val="subscript"/>
          <w:lang w:val="es-ES_tradnl"/>
        </w:rPr>
        <w:t>1</w:t>
      </w:r>
      <w:r w:rsidRPr="00CC69B2">
        <w:rPr>
          <w:lang w:val="es-ES_tradnl"/>
        </w:rPr>
        <w:t xml:space="preserve"> y </w:t>
      </w:r>
      <w:r w:rsidRPr="00CC69B2">
        <w:rPr>
          <w:i/>
          <w:iCs/>
          <w:lang w:val="es-ES_tradnl"/>
        </w:rPr>
        <w:t>f</w:t>
      </w:r>
      <w:r w:rsidRPr="00CC69B2">
        <w:rPr>
          <w:vertAlign w:val="subscript"/>
          <w:lang w:val="es-ES_tradnl"/>
        </w:rPr>
        <w:t>4</w:t>
      </w:r>
      <w:r w:rsidRPr="00CC69B2">
        <w:rPr>
          <w:lang w:val="es-ES_tradnl"/>
        </w:rPr>
        <w:t xml:space="preserve"> = </w:t>
      </w:r>
      <w:r w:rsidRPr="00CC69B2">
        <w:rPr>
          <w:i/>
          <w:iCs/>
          <w:lang w:val="es-ES_tradnl"/>
        </w:rPr>
        <w:t>f</w:t>
      </w:r>
      <w:r w:rsidRPr="00CC69B2">
        <w:rPr>
          <w:vertAlign w:val="subscript"/>
          <w:lang w:val="es-ES_tradnl"/>
        </w:rPr>
        <w:t>2</w:t>
      </w:r>
      <w:r w:rsidRPr="00CC69B2">
        <w:rPr>
          <w:lang w:val="es-ES_tradnl"/>
        </w:rPr>
        <w:t xml:space="preserve"> + </w:t>
      </w:r>
      <w:r w:rsidRPr="00CC69B2">
        <w:rPr>
          <w:i/>
          <w:iCs/>
          <w:lang w:val="es-ES_tradnl"/>
        </w:rPr>
        <w:t>f</w:t>
      </w:r>
      <w:r w:rsidRPr="00CC69B2">
        <w:rPr>
          <w:vertAlign w:val="subscript"/>
          <w:lang w:val="es-ES_tradnl"/>
        </w:rPr>
        <w:t>1</w:t>
      </w:r>
    </w:p>
    <w:p w:rsidR="001A5BFA" w:rsidRPr="00B874B3" w:rsidRDefault="001A5BFA" w:rsidP="001A5BFA">
      <w:pPr>
        <w:pStyle w:val="Blanc"/>
        <w:keepNext w:val="0"/>
        <w:keepLines w:val="0"/>
        <w:widowControl w:val="0"/>
        <w:rPr>
          <w:lang w:val="es-ES_tradnl"/>
        </w:rPr>
      </w:pPr>
    </w:p>
    <w:p w:rsidR="00F97D17" w:rsidRPr="0063018E" w:rsidRDefault="00F97D17" w:rsidP="001A5BFA">
      <w:pPr>
        <w:keepNext/>
        <w:keepLines/>
        <w:rPr>
          <w:lang w:val="es-ES_tradnl"/>
        </w:rPr>
      </w:pPr>
      <w:r w:rsidRPr="0063018E">
        <w:rPr>
          <w:lang w:val="es-ES_tradnl"/>
        </w:rPr>
        <w:lastRenderedPageBreak/>
        <w:t xml:space="preserve">Estas frecuencias también pueden expresarse utilizando el parámetro </w:t>
      </w:r>
      <w:r w:rsidRPr="00CC69B2">
        <w:sym w:font="Symbol" w:char="F044"/>
      </w:r>
      <w:r w:rsidRPr="0063018E">
        <w:rPr>
          <w:i/>
          <w:iCs/>
          <w:lang w:val="es-ES_tradnl"/>
        </w:rPr>
        <w:t>f</w:t>
      </w:r>
      <w:r w:rsidRPr="0063018E">
        <w:rPr>
          <w:lang w:val="es-ES_tradnl"/>
        </w:rPr>
        <w:t xml:space="preserve"> (diferencia de frecuencia), que depende del tipo de medición:</w:t>
      </w:r>
    </w:p>
    <w:p w:rsidR="001A5BFA" w:rsidRPr="00B874B3" w:rsidRDefault="001A5BFA" w:rsidP="001A5BFA">
      <w:pPr>
        <w:pStyle w:val="Blanc"/>
        <w:rPr>
          <w:lang w:val="es-ES_tradnl"/>
        </w:rPr>
      </w:pPr>
    </w:p>
    <w:p w:rsidR="00F97D17" w:rsidRPr="00CC69B2" w:rsidRDefault="00F97D17" w:rsidP="00985DE2">
      <w:pPr>
        <w:pStyle w:val="Equation"/>
        <w:rPr>
          <w:lang w:val="es-ES_tradnl"/>
        </w:rPr>
      </w:pPr>
      <w:r w:rsidRPr="00CC69B2">
        <w:rPr>
          <w:lang w:val="es-ES_tradnl"/>
        </w:rPr>
        <w:tab/>
      </w:r>
      <w:r w:rsidRPr="00CC69B2">
        <w:rPr>
          <w:lang w:val="es-ES_tradnl"/>
        </w:rPr>
        <w:tab/>
      </w:r>
      <w:r w:rsidRPr="00CC69B2">
        <w:rPr>
          <w:i/>
          <w:iCs/>
          <w:lang w:val="es-ES_tradnl"/>
        </w:rPr>
        <w:t>f</w:t>
      </w:r>
      <w:r w:rsidRPr="00CC69B2">
        <w:rPr>
          <w:vertAlign w:val="subscript"/>
          <w:lang w:val="es-ES_tradnl"/>
        </w:rPr>
        <w:t>1</w:t>
      </w:r>
      <w:r w:rsidRPr="00CC69B2">
        <w:rPr>
          <w:lang w:val="es-ES_tradnl"/>
        </w:rPr>
        <w:t xml:space="preserve"> = </w:t>
      </w:r>
      <w:r w:rsidRPr="00CC69B2">
        <w:rPr>
          <w:i/>
          <w:iCs/>
          <w:lang w:val="es-ES_tradnl"/>
        </w:rPr>
        <w:t>f</w:t>
      </w:r>
      <w:r w:rsidRPr="00CC69B2">
        <w:rPr>
          <w:vertAlign w:val="subscript"/>
          <w:lang w:val="es-ES_tradnl"/>
        </w:rPr>
        <w:t>3</w:t>
      </w:r>
      <w:r w:rsidRPr="00CC69B2">
        <w:rPr>
          <w:lang w:val="es-ES_tradnl"/>
        </w:rPr>
        <w:t xml:space="preserve"> + </w:t>
      </w:r>
      <w:r w:rsidRPr="00CC69B2">
        <w:sym w:font="Symbol" w:char="F044"/>
      </w:r>
      <w:r w:rsidRPr="00CC69B2">
        <w:rPr>
          <w:i/>
          <w:iCs/>
          <w:lang w:val="es-ES_tradnl"/>
        </w:rPr>
        <w:t>f</w:t>
      </w:r>
      <w:r w:rsidRPr="00CC69B2">
        <w:rPr>
          <w:lang w:val="es-ES_tradnl"/>
        </w:rPr>
        <w:t xml:space="preserve"> y </w:t>
      </w:r>
      <w:r w:rsidRPr="00CC69B2">
        <w:rPr>
          <w:i/>
          <w:iCs/>
          <w:lang w:val="es-ES_tradnl"/>
        </w:rPr>
        <w:t>f</w:t>
      </w:r>
      <w:r w:rsidRPr="00CC69B2">
        <w:rPr>
          <w:vertAlign w:val="subscript"/>
          <w:lang w:val="es-ES_tradnl"/>
        </w:rPr>
        <w:t>2</w:t>
      </w:r>
      <w:r w:rsidRPr="00CC69B2">
        <w:rPr>
          <w:lang w:val="es-ES_tradnl"/>
        </w:rPr>
        <w:t xml:space="preserve"> = 2 × </w:t>
      </w:r>
      <w:r w:rsidRPr="00CC69B2">
        <w:rPr>
          <w:i/>
          <w:iCs/>
          <w:lang w:val="es-ES_tradnl"/>
        </w:rPr>
        <w:t>f</w:t>
      </w:r>
      <w:r w:rsidRPr="00CC69B2">
        <w:rPr>
          <w:vertAlign w:val="subscript"/>
          <w:lang w:val="es-ES_tradnl"/>
        </w:rPr>
        <w:t>3</w:t>
      </w:r>
      <w:r w:rsidRPr="00CC69B2">
        <w:rPr>
          <w:lang w:val="es-ES_tradnl"/>
        </w:rPr>
        <w:t xml:space="preserve"> + </w:t>
      </w:r>
      <w:r w:rsidRPr="00CC69B2">
        <w:sym w:font="Symbol" w:char="F044"/>
      </w:r>
      <w:r w:rsidRPr="00CC69B2">
        <w:rPr>
          <w:i/>
          <w:iCs/>
          <w:lang w:val="es-ES_tradnl"/>
        </w:rPr>
        <w:t>f</w:t>
      </w:r>
      <w:r w:rsidRPr="00CC69B2">
        <w:rPr>
          <w:lang w:val="es-ES_tradnl"/>
        </w:rPr>
        <w:t xml:space="preserve">, con </w:t>
      </w:r>
      <w:r w:rsidRPr="00CC69B2">
        <w:sym w:font="Symbol" w:char="F044"/>
      </w:r>
      <w:r w:rsidRPr="00CC69B2">
        <w:rPr>
          <w:i/>
          <w:iCs/>
          <w:lang w:val="es-ES_tradnl"/>
        </w:rPr>
        <w:t>f</w:t>
      </w:r>
      <w:r w:rsidRPr="00CC69B2">
        <w:rPr>
          <w:lang w:val="es-ES_tradnl"/>
        </w:rPr>
        <w:t xml:space="preserve"> = 2 × </w:t>
      </w:r>
      <w:r w:rsidRPr="00CC69B2">
        <w:rPr>
          <w:i/>
          <w:iCs/>
          <w:lang w:val="es-ES_tradnl"/>
        </w:rPr>
        <w:t>f</w:t>
      </w:r>
      <w:r w:rsidRPr="00CC69B2">
        <w:rPr>
          <w:vertAlign w:val="subscript"/>
          <w:lang w:val="es-ES_tradnl"/>
        </w:rPr>
        <w:t>1</w:t>
      </w:r>
      <w:r w:rsidRPr="00CC69B2">
        <w:rPr>
          <w:lang w:val="es-ES_tradnl"/>
        </w:rPr>
        <w:t xml:space="preserve"> – </w:t>
      </w:r>
      <w:r w:rsidRPr="00CC69B2">
        <w:rPr>
          <w:i/>
          <w:iCs/>
          <w:lang w:val="es-ES_tradnl"/>
        </w:rPr>
        <w:t>f</w:t>
      </w:r>
      <w:r w:rsidRPr="00CC69B2">
        <w:rPr>
          <w:vertAlign w:val="subscript"/>
          <w:lang w:val="es-ES_tradnl"/>
        </w:rPr>
        <w:t>2</w:t>
      </w:r>
    </w:p>
    <w:p w:rsidR="00F97D17" w:rsidRPr="0063018E" w:rsidRDefault="00F97D17" w:rsidP="004D6BA5">
      <w:pPr>
        <w:keepNext/>
        <w:keepLines/>
        <w:rPr>
          <w:lang w:val="es-ES_tradnl"/>
        </w:rPr>
      </w:pPr>
      <w:r w:rsidRPr="0063018E">
        <w:rPr>
          <w:lang w:val="es-ES_tradnl"/>
        </w:rPr>
        <w:t>A continuación se calcula el producto de intermodulación de segundo orden a la entrada:</w:t>
      </w:r>
    </w:p>
    <w:p w:rsidR="001A5BFA" w:rsidRPr="004D6BA5" w:rsidRDefault="001A5BFA" w:rsidP="004D6BA5">
      <w:pPr>
        <w:pStyle w:val="Blanc"/>
        <w:rPr>
          <w:lang w:val="es-ES_tradnl"/>
        </w:rPr>
      </w:pPr>
    </w:p>
    <w:p w:rsidR="00F97D17" w:rsidRPr="00CC69B2" w:rsidRDefault="00F97D17" w:rsidP="00985DE2">
      <w:pPr>
        <w:pStyle w:val="Equation"/>
        <w:rPr>
          <w:lang w:val="es-ES_tradnl"/>
        </w:rPr>
      </w:pPr>
      <w:r w:rsidRPr="00CC69B2">
        <w:rPr>
          <w:lang w:val="es-ES_tradnl"/>
        </w:rPr>
        <w:tab/>
      </w:r>
      <w:r w:rsidRPr="00CC69B2">
        <w:rPr>
          <w:lang w:val="es-ES_tradnl"/>
        </w:rPr>
        <w:tab/>
      </w:r>
      <w:r w:rsidRPr="00CC69B2">
        <w:rPr>
          <w:rFonts w:eastAsia="MS Mincho"/>
          <w:lang w:val="es-ES_tradnl"/>
        </w:rPr>
        <w:t>IP</w:t>
      </w:r>
      <w:r w:rsidRPr="00CC69B2">
        <w:rPr>
          <w:rFonts w:eastAsia="MS Mincho"/>
          <w:vertAlign w:val="subscript"/>
          <w:lang w:val="es-ES_tradnl"/>
        </w:rPr>
        <w:t>2</w:t>
      </w:r>
      <w:r w:rsidRPr="00CC69B2">
        <w:rPr>
          <w:lang w:val="es-ES_tradnl"/>
        </w:rPr>
        <w:t xml:space="preserve"> = </w:t>
      </w:r>
      <w:r w:rsidRPr="00CC69B2">
        <w:rPr>
          <w:i/>
          <w:iCs/>
          <w:lang w:val="es-ES_tradnl"/>
        </w:rPr>
        <w:t>Pin</w:t>
      </w:r>
      <w:r w:rsidRPr="00CC69B2">
        <w:rPr>
          <w:lang w:val="es-ES_tradnl"/>
        </w:rPr>
        <w:t xml:space="preserve"> + </w:t>
      </w:r>
      <w:r w:rsidRPr="00CC69B2">
        <w:rPr>
          <w:i/>
          <w:iCs/>
          <w:lang w:val="es-ES_tradnl"/>
        </w:rPr>
        <w:t>a</w:t>
      </w:r>
    </w:p>
    <w:p w:rsidR="00F97D17" w:rsidRPr="0063018E" w:rsidRDefault="00F97D17" w:rsidP="00985DE2">
      <w:pPr>
        <w:rPr>
          <w:lang w:val="es-ES_tradnl"/>
        </w:rPr>
      </w:pPr>
      <w:r w:rsidRPr="0063018E">
        <w:rPr>
          <w:lang w:val="es-ES_tradnl"/>
        </w:rPr>
        <w:t>siendo:</w:t>
      </w:r>
    </w:p>
    <w:p w:rsidR="00F97D17" w:rsidRPr="00985DE2" w:rsidRDefault="00F97D17" w:rsidP="00985DE2">
      <w:pPr>
        <w:pStyle w:val="Equationlegend"/>
        <w:rPr>
          <w:lang w:val="es-ES_tradnl"/>
        </w:rPr>
      </w:pPr>
      <w:r w:rsidRPr="00B874B3">
        <w:rPr>
          <w:lang w:val="es-ES_tradnl"/>
        </w:rPr>
        <w:tab/>
      </w:r>
      <w:r w:rsidRPr="00985DE2">
        <w:rPr>
          <w:rFonts w:eastAsia="MS Mincho"/>
          <w:lang w:val="es-ES_tradnl"/>
        </w:rPr>
        <w:t>IP</w:t>
      </w:r>
      <w:r w:rsidRPr="00985DE2">
        <w:rPr>
          <w:rFonts w:eastAsia="MS Mincho"/>
          <w:vertAlign w:val="subscript"/>
          <w:lang w:val="es-ES_tradnl"/>
        </w:rPr>
        <w:t>2</w:t>
      </w:r>
      <w:r w:rsidR="00985DE2" w:rsidRPr="00E94FB2">
        <w:rPr>
          <w:rFonts w:eastAsia="MS Mincho"/>
          <w:sz w:val="16"/>
          <w:szCs w:val="16"/>
          <w:lang w:val="es-ES_tradnl"/>
        </w:rPr>
        <w:t xml:space="preserve"> </w:t>
      </w:r>
      <w:r w:rsidR="00985DE2">
        <w:rPr>
          <w:lang w:val="es-ES_tradnl"/>
        </w:rPr>
        <w:t>:</w:t>
      </w:r>
      <w:r w:rsidRPr="00985DE2">
        <w:rPr>
          <w:lang w:val="es-ES_tradnl"/>
        </w:rPr>
        <w:tab/>
        <w:t>producto de intermodulación de segundo orden a la entrada del receptor de comprobación técnica sometido a prueba</w:t>
      </w:r>
    </w:p>
    <w:p w:rsidR="00F97D17" w:rsidRPr="00985DE2" w:rsidRDefault="00F97D17" w:rsidP="00E94FB2">
      <w:pPr>
        <w:pStyle w:val="Equationlegend"/>
        <w:rPr>
          <w:lang w:val="es-ES_tradnl"/>
        </w:rPr>
      </w:pPr>
      <w:r w:rsidRPr="00985DE2">
        <w:rPr>
          <w:lang w:val="es-ES_tradnl"/>
        </w:rPr>
        <w:tab/>
      </w:r>
      <w:r w:rsidRPr="00985DE2">
        <w:rPr>
          <w:i/>
          <w:iCs/>
          <w:lang w:val="es-ES_tradnl"/>
        </w:rPr>
        <w:t>Pin</w:t>
      </w:r>
      <w:r w:rsidR="00E94FB2">
        <w:rPr>
          <w:sz w:val="16"/>
          <w:szCs w:val="16"/>
          <w:lang w:val="es-ES_tradnl"/>
        </w:rPr>
        <w:t xml:space="preserve"> </w:t>
      </w:r>
      <w:r w:rsidRPr="00985DE2">
        <w:rPr>
          <w:lang w:val="es-ES_tradnl"/>
        </w:rPr>
        <w:t>:</w:t>
      </w:r>
      <w:r w:rsidRPr="00985DE2">
        <w:rPr>
          <w:lang w:val="es-ES_tradnl"/>
        </w:rPr>
        <w:tab/>
        <w:t>valor eficaz de la potencia (dBm) de las dos señales de prueba introducidas</w:t>
      </w:r>
    </w:p>
    <w:p w:rsidR="00F97D17" w:rsidRPr="00985DE2" w:rsidRDefault="00F97D17" w:rsidP="00985DE2">
      <w:pPr>
        <w:pStyle w:val="Equationlegend"/>
        <w:rPr>
          <w:lang w:val="es-ES_tradnl"/>
        </w:rPr>
      </w:pPr>
      <w:r w:rsidRPr="00985DE2">
        <w:rPr>
          <w:lang w:val="es-ES_tradnl"/>
        </w:rPr>
        <w:tab/>
      </w:r>
      <w:r w:rsidRPr="00985DE2">
        <w:rPr>
          <w:i/>
          <w:iCs/>
          <w:lang w:val="es-ES_tradnl"/>
        </w:rPr>
        <w:t>a</w:t>
      </w:r>
      <w:r w:rsidR="00985DE2" w:rsidRPr="00E94FB2">
        <w:rPr>
          <w:sz w:val="16"/>
          <w:szCs w:val="16"/>
          <w:lang w:val="es-ES_tradnl"/>
        </w:rPr>
        <w:t xml:space="preserve"> </w:t>
      </w:r>
      <w:r w:rsidRPr="00985DE2">
        <w:rPr>
          <w:lang w:val="es-ES_tradnl"/>
        </w:rPr>
        <w:t>:</w:t>
      </w:r>
      <w:r w:rsidRPr="00985DE2">
        <w:rPr>
          <w:lang w:val="es-ES_tradnl"/>
        </w:rPr>
        <w:tab/>
        <w:t>diferencia (dB) entre el nivel de las señales de prueba y el nivel del producto de intermodulación más elevado a la entrada.</w:t>
      </w:r>
    </w:p>
    <w:p w:rsidR="00F97D17" w:rsidRPr="00CC69B2" w:rsidRDefault="00F97D17" w:rsidP="00985DE2">
      <w:pPr>
        <w:pStyle w:val="Heading3"/>
        <w:rPr>
          <w:lang w:val="es-ES_tradnl"/>
        </w:rPr>
      </w:pPr>
      <w:r w:rsidRPr="00CC69B2">
        <w:rPr>
          <w:lang w:val="es-ES_tradnl"/>
        </w:rPr>
        <w:t>2.1.2</w:t>
      </w:r>
      <w:r w:rsidRPr="00CC69B2">
        <w:rPr>
          <w:lang w:val="es-ES_tradnl"/>
        </w:rPr>
        <w:tab/>
        <w:t>Principio de cálculo del producto de intermodulación de tercer orden</w:t>
      </w:r>
    </w:p>
    <w:p w:rsidR="00F97D17" w:rsidRPr="0063018E" w:rsidRDefault="00F97D17" w:rsidP="00985DE2">
      <w:pPr>
        <w:rPr>
          <w:lang w:val="es-ES_tradnl"/>
        </w:rPr>
      </w:pPr>
      <w:r w:rsidRPr="0063018E">
        <w:rPr>
          <w:lang w:val="es-ES_tradnl"/>
        </w:rPr>
        <w:t>Se aplican a la entrada de la antena del receptor de comprobación técnica dos señales de la misma potencia eficaz (</w:t>
      </w:r>
      <w:r w:rsidRPr="0063018E">
        <w:rPr>
          <w:i/>
          <w:iCs/>
          <w:lang w:val="es-ES_tradnl"/>
        </w:rPr>
        <w:t>Pin</w:t>
      </w:r>
      <w:r w:rsidRPr="0063018E">
        <w:rPr>
          <w:lang w:val="es-ES_tradnl"/>
        </w:rPr>
        <w:t xml:space="preserve">) a las frecuencias </w:t>
      </w:r>
      <w:r w:rsidRPr="0063018E">
        <w:rPr>
          <w:i/>
          <w:iCs/>
          <w:lang w:val="es-ES_tradnl"/>
        </w:rPr>
        <w:t>F</w:t>
      </w:r>
      <w:r w:rsidRPr="0063018E">
        <w:rPr>
          <w:vertAlign w:val="subscript"/>
          <w:lang w:val="es-ES_tradnl"/>
        </w:rPr>
        <w:t>1</w:t>
      </w:r>
      <w:r w:rsidRPr="0063018E">
        <w:rPr>
          <w:lang w:val="es-ES_tradnl"/>
        </w:rPr>
        <w:t> y </w:t>
      </w:r>
      <w:r w:rsidRPr="0063018E">
        <w:rPr>
          <w:i/>
          <w:iCs/>
          <w:lang w:val="es-ES_tradnl"/>
        </w:rPr>
        <w:t>F</w:t>
      </w:r>
      <w:r w:rsidRPr="0063018E">
        <w:rPr>
          <w:vertAlign w:val="subscript"/>
          <w:lang w:val="es-ES_tradnl"/>
        </w:rPr>
        <w:t>2</w:t>
      </w:r>
      <w:r w:rsidRPr="0063018E">
        <w:rPr>
          <w:lang w:val="es-ES_tradnl"/>
        </w:rPr>
        <w:t xml:space="preserve"> (</w:t>
      </w:r>
      <w:r w:rsidRPr="0063018E">
        <w:rPr>
          <w:i/>
          <w:iCs/>
          <w:lang w:val="es-ES_tradnl"/>
        </w:rPr>
        <w:t>F</w:t>
      </w:r>
      <w:r w:rsidRPr="0063018E">
        <w:rPr>
          <w:vertAlign w:val="subscript"/>
          <w:lang w:val="es-ES_tradnl"/>
        </w:rPr>
        <w:t>1</w:t>
      </w:r>
      <w:r w:rsidRPr="0063018E">
        <w:rPr>
          <w:lang w:val="es-ES_tradnl"/>
        </w:rPr>
        <w:t> &lt; </w:t>
      </w:r>
      <w:r w:rsidRPr="0063018E">
        <w:rPr>
          <w:i/>
          <w:iCs/>
          <w:lang w:val="es-ES_tradnl"/>
        </w:rPr>
        <w:t>F</w:t>
      </w:r>
      <w:r w:rsidRPr="0063018E">
        <w:rPr>
          <w:vertAlign w:val="subscript"/>
          <w:lang w:val="es-ES_tradnl"/>
        </w:rPr>
        <w:t>2</w:t>
      </w:r>
      <w:r w:rsidRPr="0063018E">
        <w:rPr>
          <w:lang w:val="es-ES_tradnl"/>
        </w:rPr>
        <w:t xml:space="preserve">). Debido a las no linealidades, pueden aparecer dos productos de intermodulación a las frecuencias </w:t>
      </w:r>
      <w:r w:rsidRPr="0063018E">
        <w:rPr>
          <w:i/>
          <w:iCs/>
          <w:lang w:val="es-ES_tradnl"/>
        </w:rPr>
        <w:t>F</w:t>
      </w:r>
      <w:r w:rsidRPr="0063018E">
        <w:rPr>
          <w:vertAlign w:val="subscript"/>
          <w:lang w:val="es-ES_tradnl"/>
        </w:rPr>
        <w:t>3</w:t>
      </w:r>
      <w:r w:rsidRPr="0063018E">
        <w:rPr>
          <w:lang w:val="es-ES_tradnl"/>
        </w:rPr>
        <w:t> y </w:t>
      </w:r>
      <w:r w:rsidRPr="0063018E">
        <w:rPr>
          <w:i/>
          <w:iCs/>
          <w:lang w:val="es-ES_tradnl"/>
        </w:rPr>
        <w:t>F</w:t>
      </w:r>
      <w:r w:rsidRPr="0063018E">
        <w:rPr>
          <w:vertAlign w:val="subscript"/>
          <w:lang w:val="es-ES_tradnl"/>
        </w:rPr>
        <w:t>4</w:t>
      </w:r>
      <w:r w:rsidRPr="0063018E">
        <w:rPr>
          <w:lang w:val="es-ES_tradnl"/>
        </w:rPr>
        <w:t>:</w:t>
      </w:r>
    </w:p>
    <w:p w:rsidR="005563A0" w:rsidRPr="00B874B3" w:rsidRDefault="005563A0" w:rsidP="005563A0">
      <w:pPr>
        <w:pStyle w:val="Blanc"/>
        <w:rPr>
          <w:lang w:val="es-ES_tradnl"/>
        </w:rPr>
      </w:pPr>
    </w:p>
    <w:p w:rsidR="00F97D17" w:rsidRPr="00CC69B2" w:rsidRDefault="00F97D17" w:rsidP="00985DE2">
      <w:pPr>
        <w:pStyle w:val="Equation"/>
        <w:rPr>
          <w:lang w:val="es-ES_tradnl"/>
        </w:rPr>
      </w:pPr>
      <w:r w:rsidRPr="00CC69B2">
        <w:rPr>
          <w:lang w:val="es-ES_tradnl"/>
        </w:rPr>
        <w:tab/>
      </w:r>
      <w:r w:rsidRPr="00CC69B2">
        <w:rPr>
          <w:lang w:val="es-ES_tradnl"/>
        </w:rPr>
        <w:tab/>
      </w:r>
      <w:r w:rsidRPr="00CC69B2">
        <w:rPr>
          <w:i/>
          <w:iCs/>
          <w:lang w:val="es-ES_tradnl"/>
        </w:rPr>
        <w:t>f</w:t>
      </w:r>
      <w:r w:rsidRPr="00CC69B2">
        <w:rPr>
          <w:vertAlign w:val="subscript"/>
          <w:lang w:val="es-ES_tradnl"/>
        </w:rPr>
        <w:t>3</w:t>
      </w:r>
      <w:r w:rsidRPr="00CC69B2">
        <w:rPr>
          <w:lang w:val="es-ES_tradnl"/>
        </w:rPr>
        <w:t xml:space="preserve"> = [(2 × </w:t>
      </w:r>
      <w:r w:rsidRPr="00CC69B2">
        <w:rPr>
          <w:i/>
          <w:iCs/>
          <w:lang w:val="es-ES_tradnl"/>
        </w:rPr>
        <w:t>f</w:t>
      </w:r>
      <w:r w:rsidRPr="00CC69B2">
        <w:rPr>
          <w:vertAlign w:val="subscript"/>
          <w:lang w:val="es-ES_tradnl"/>
        </w:rPr>
        <w:t>1</w:t>
      </w:r>
      <w:r w:rsidRPr="00CC69B2">
        <w:rPr>
          <w:lang w:val="es-ES_tradnl"/>
        </w:rPr>
        <w:t xml:space="preserve">) – </w:t>
      </w:r>
      <w:r w:rsidRPr="00CC69B2">
        <w:rPr>
          <w:i/>
          <w:iCs/>
          <w:lang w:val="es-ES_tradnl"/>
        </w:rPr>
        <w:t>f</w:t>
      </w:r>
      <w:r w:rsidRPr="00CC69B2">
        <w:rPr>
          <w:vertAlign w:val="subscript"/>
          <w:lang w:val="es-ES_tradnl"/>
        </w:rPr>
        <w:t>2</w:t>
      </w:r>
      <w:r w:rsidRPr="00CC69B2">
        <w:rPr>
          <w:lang w:val="es-ES_tradnl"/>
        </w:rPr>
        <w:t xml:space="preserve">] y </w:t>
      </w:r>
      <w:r w:rsidRPr="00CC69B2">
        <w:rPr>
          <w:i/>
          <w:iCs/>
          <w:lang w:val="es-ES_tradnl"/>
        </w:rPr>
        <w:t>f</w:t>
      </w:r>
      <w:r w:rsidRPr="00CC69B2">
        <w:rPr>
          <w:vertAlign w:val="subscript"/>
          <w:lang w:val="es-ES_tradnl"/>
        </w:rPr>
        <w:t>4</w:t>
      </w:r>
      <w:r w:rsidRPr="00CC69B2">
        <w:rPr>
          <w:lang w:val="es-ES_tradnl"/>
        </w:rPr>
        <w:t xml:space="preserve"> = [(2 × </w:t>
      </w:r>
      <w:r w:rsidRPr="00CC69B2">
        <w:rPr>
          <w:i/>
          <w:iCs/>
          <w:lang w:val="es-ES_tradnl"/>
        </w:rPr>
        <w:t>f</w:t>
      </w:r>
      <w:r w:rsidRPr="00CC69B2">
        <w:rPr>
          <w:vertAlign w:val="subscript"/>
          <w:lang w:val="es-ES_tradnl"/>
        </w:rPr>
        <w:t>2</w:t>
      </w:r>
      <w:r w:rsidRPr="00CC69B2">
        <w:rPr>
          <w:lang w:val="es-ES_tradnl"/>
        </w:rPr>
        <w:t xml:space="preserve">) – </w:t>
      </w:r>
      <w:r w:rsidRPr="00CC69B2">
        <w:rPr>
          <w:i/>
          <w:iCs/>
          <w:lang w:val="es-ES_tradnl"/>
        </w:rPr>
        <w:t>f</w:t>
      </w:r>
      <w:r w:rsidRPr="00CC69B2">
        <w:rPr>
          <w:vertAlign w:val="subscript"/>
          <w:lang w:val="es-ES_tradnl"/>
        </w:rPr>
        <w:t>1</w:t>
      </w:r>
      <w:r w:rsidR="00CF2552">
        <w:rPr>
          <w:lang w:val="es-ES_tradnl"/>
        </w:rPr>
        <w:t>]</w:t>
      </w:r>
    </w:p>
    <w:p w:rsidR="005563A0" w:rsidRPr="00B874B3" w:rsidRDefault="005563A0" w:rsidP="005563A0">
      <w:pPr>
        <w:pStyle w:val="Blanc"/>
        <w:rPr>
          <w:lang w:val="es-ES_tradnl"/>
        </w:rPr>
      </w:pPr>
    </w:p>
    <w:p w:rsidR="00F97D17" w:rsidRPr="0063018E" w:rsidRDefault="00F97D17" w:rsidP="00985DE2">
      <w:pPr>
        <w:rPr>
          <w:lang w:val="es-ES_tradnl"/>
        </w:rPr>
      </w:pPr>
      <w:r w:rsidRPr="0063018E">
        <w:rPr>
          <w:lang w:val="es-ES_tradnl"/>
        </w:rPr>
        <w:t xml:space="preserve">Estas frecuencias también pueden expresarse utilizando el parámetro </w:t>
      </w:r>
      <w:r w:rsidRPr="00CC69B2">
        <w:sym w:font="Symbol" w:char="F044"/>
      </w:r>
      <w:r w:rsidRPr="0063018E">
        <w:rPr>
          <w:i/>
          <w:iCs/>
          <w:lang w:val="es-ES_tradnl"/>
        </w:rPr>
        <w:t>f</w:t>
      </w:r>
      <w:r w:rsidRPr="0063018E">
        <w:rPr>
          <w:lang w:val="es-ES_tradnl"/>
        </w:rPr>
        <w:t xml:space="preserve"> (diferencia de frecuencia), que depende del tipo de medición:</w:t>
      </w:r>
    </w:p>
    <w:p w:rsidR="005563A0" w:rsidRPr="00B874B3" w:rsidRDefault="005563A0" w:rsidP="005563A0">
      <w:pPr>
        <w:pStyle w:val="Blanc"/>
        <w:rPr>
          <w:lang w:val="es-ES_tradnl"/>
        </w:rPr>
      </w:pPr>
    </w:p>
    <w:p w:rsidR="00F97D17" w:rsidRPr="00CC69B2" w:rsidRDefault="00F97D17" w:rsidP="00985DE2">
      <w:pPr>
        <w:pStyle w:val="Equation"/>
        <w:rPr>
          <w:lang w:val="es-ES_tradnl"/>
        </w:rPr>
      </w:pPr>
      <w:r w:rsidRPr="00CC69B2">
        <w:rPr>
          <w:lang w:val="es-ES_tradnl"/>
        </w:rPr>
        <w:tab/>
      </w:r>
      <w:r w:rsidRPr="00CC69B2">
        <w:rPr>
          <w:lang w:val="es-ES_tradnl"/>
        </w:rPr>
        <w:tab/>
      </w:r>
      <w:r w:rsidRPr="00CC69B2">
        <w:rPr>
          <w:i/>
          <w:iCs/>
          <w:lang w:val="es-ES_tradnl"/>
        </w:rPr>
        <w:t>f</w:t>
      </w:r>
      <w:r w:rsidRPr="00CC69B2">
        <w:rPr>
          <w:vertAlign w:val="subscript"/>
          <w:lang w:val="es-ES_tradnl"/>
        </w:rPr>
        <w:t>1</w:t>
      </w:r>
      <w:r w:rsidRPr="00CC69B2">
        <w:rPr>
          <w:lang w:val="es-ES_tradnl"/>
        </w:rPr>
        <w:t xml:space="preserve"> = </w:t>
      </w:r>
      <w:r w:rsidRPr="00CC69B2">
        <w:rPr>
          <w:i/>
          <w:iCs/>
          <w:lang w:val="es-ES_tradnl"/>
        </w:rPr>
        <w:t>f</w:t>
      </w:r>
      <w:r w:rsidRPr="00CC69B2">
        <w:rPr>
          <w:vertAlign w:val="subscript"/>
          <w:lang w:val="es-ES_tradnl"/>
        </w:rPr>
        <w:t>3</w:t>
      </w:r>
      <w:r w:rsidRPr="00CC69B2">
        <w:rPr>
          <w:lang w:val="es-ES_tradnl"/>
        </w:rPr>
        <w:t xml:space="preserve"> + </w:t>
      </w:r>
      <w:r w:rsidRPr="00CC69B2">
        <w:sym w:font="Symbol" w:char="F044"/>
      </w:r>
      <w:r w:rsidRPr="00CC69B2">
        <w:rPr>
          <w:i/>
          <w:iCs/>
          <w:lang w:val="es-ES_tradnl"/>
        </w:rPr>
        <w:t>f</w:t>
      </w:r>
      <w:r w:rsidRPr="00CC69B2">
        <w:rPr>
          <w:lang w:val="es-ES_tradnl"/>
        </w:rPr>
        <w:t xml:space="preserve"> y </w:t>
      </w:r>
      <w:r w:rsidRPr="00CC69B2">
        <w:rPr>
          <w:i/>
          <w:iCs/>
          <w:lang w:val="es-ES_tradnl"/>
        </w:rPr>
        <w:t>f</w:t>
      </w:r>
      <w:r w:rsidRPr="00CC69B2">
        <w:rPr>
          <w:vertAlign w:val="subscript"/>
          <w:lang w:val="es-ES_tradnl"/>
        </w:rPr>
        <w:t>2</w:t>
      </w:r>
      <w:r w:rsidRPr="00CC69B2">
        <w:rPr>
          <w:lang w:val="es-ES_tradnl"/>
        </w:rPr>
        <w:t xml:space="preserve">= </w:t>
      </w:r>
      <w:r w:rsidRPr="00CC69B2">
        <w:rPr>
          <w:i/>
          <w:iCs/>
          <w:lang w:val="es-ES_tradnl"/>
        </w:rPr>
        <w:t>f</w:t>
      </w:r>
      <w:r w:rsidRPr="00CC69B2">
        <w:rPr>
          <w:vertAlign w:val="subscript"/>
          <w:lang w:val="es-ES_tradnl"/>
        </w:rPr>
        <w:t>3</w:t>
      </w:r>
      <w:r w:rsidRPr="00CC69B2">
        <w:rPr>
          <w:lang w:val="es-ES_tradnl"/>
        </w:rPr>
        <w:t xml:space="preserve"> + 2 × </w:t>
      </w:r>
      <w:r w:rsidRPr="00CC69B2">
        <w:sym w:font="Symbol" w:char="F044"/>
      </w:r>
      <w:r w:rsidRPr="00CC69B2">
        <w:rPr>
          <w:i/>
          <w:iCs/>
          <w:lang w:val="es-ES_tradnl"/>
        </w:rPr>
        <w:t>f</w:t>
      </w:r>
      <w:r w:rsidRPr="00CC69B2">
        <w:rPr>
          <w:lang w:val="es-ES_tradnl"/>
        </w:rPr>
        <w:t xml:space="preserve">, con </w:t>
      </w:r>
      <w:r w:rsidRPr="00CC69B2">
        <w:sym w:font="Symbol" w:char="F044"/>
      </w:r>
      <w:r w:rsidRPr="00CC69B2">
        <w:rPr>
          <w:i/>
          <w:iCs/>
          <w:lang w:val="es-ES_tradnl"/>
        </w:rPr>
        <w:t>f</w:t>
      </w:r>
      <w:r w:rsidRPr="00CC69B2">
        <w:rPr>
          <w:lang w:val="es-ES_tradnl"/>
        </w:rPr>
        <w:t xml:space="preserve"> = </w:t>
      </w:r>
      <w:r w:rsidRPr="00CC69B2">
        <w:rPr>
          <w:i/>
          <w:iCs/>
          <w:lang w:val="es-ES_tradnl"/>
        </w:rPr>
        <w:t>f</w:t>
      </w:r>
      <w:r w:rsidRPr="00CC69B2">
        <w:rPr>
          <w:vertAlign w:val="subscript"/>
          <w:lang w:val="es-ES_tradnl"/>
        </w:rPr>
        <w:t>2</w:t>
      </w:r>
      <w:r w:rsidRPr="00CC69B2">
        <w:rPr>
          <w:lang w:val="es-ES_tradnl"/>
        </w:rPr>
        <w:t xml:space="preserve"> – </w:t>
      </w:r>
      <w:r w:rsidRPr="00CC69B2">
        <w:rPr>
          <w:i/>
          <w:iCs/>
          <w:lang w:val="es-ES_tradnl"/>
        </w:rPr>
        <w:t>f</w:t>
      </w:r>
      <w:r w:rsidRPr="00CC69B2">
        <w:rPr>
          <w:vertAlign w:val="subscript"/>
          <w:lang w:val="es-ES_tradnl"/>
        </w:rPr>
        <w:t>1</w:t>
      </w:r>
    </w:p>
    <w:p w:rsidR="005563A0" w:rsidRPr="00B874B3" w:rsidRDefault="005563A0" w:rsidP="005563A0">
      <w:pPr>
        <w:pStyle w:val="Blanc"/>
        <w:rPr>
          <w:lang w:val="es-ES_tradnl"/>
        </w:rPr>
      </w:pPr>
    </w:p>
    <w:p w:rsidR="00F97D17" w:rsidRPr="0063018E" w:rsidRDefault="00F97D17" w:rsidP="00985DE2">
      <w:pPr>
        <w:rPr>
          <w:lang w:val="es-ES_tradnl"/>
        </w:rPr>
      </w:pPr>
      <w:r w:rsidRPr="0063018E">
        <w:rPr>
          <w:lang w:val="es-ES_tradnl"/>
        </w:rPr>
        <w:t>A continuación se calculan los productos de intermodulación de tercer orden:</w:t>
      </w:r>
    </w:p>
    <w:p w:rsidR="005563A0" w:rsidRPr="00B874B3" w:rsidRDefault="005563A0" w:rsidP="005563A0">
      <w:pPr>
        <w:pStyle w:val="Blanc"/>
        <w:rPr>
          <w:lang w:val="es-ES_tradnl"/>
        </w:rPr>
      </w:pPr>
    </w:p>
    <w:p w:rsidR="00F97D17" w:rsidRPr="00CC69B2" w:rsidRDefault="00F97D17" w:rsidP="00985DE2">
      <w:pPr>
        <w:pStyle w:val="Equation"/>
        <w:rPr>
          <w:lang w:val="es-ES_tradnl"/>
        </w:rPr>
      </w:pPr>
      <w:r w:rsidRPr="00CC69B2">
        <w:rPr>
          <w:rFonts w:eastAsia="MS Mincho"/>
          <w:lang w:val="es-ES_tradnl"/>
        </w:rPr>
        <w:tab/>
      </w:r>
      <w:r w:rsidRPr="00CC69B2">
        <w:rPr>
          <w:rFonts w:eastAsia="MS Mincho"/>
          <w:lang w:val="es-ES_tradnl"/>
        </w:rPr>
        <w:tab/>
        <w:t>IP</w:t>
      </w:r>
      <w:r w:rsidRPr="00CC69B2">
        <w:rPr>
          <w:rFonts w:eastAsia="MS Mincho"/>
          <w:vertAlign w:val="subscript"/>
          <w:lang w:val="es-ES_tradnl"/>
        </w:rPr>
        <w:t>3</w:t>
      </w:r>
      <w:r w:rsidRPr="00CC69B2">
        <w:rPr>
          <w:lang w:val="es-ES_tradnl"/>
        </w:rPr>
        <w:t xml:space="preserve"> = </w:t>
      </w:r>
      <w:r w:rsidRPr="00CC69B2">
        <w:rPr>
          <w:i/>
          <w:iCs/>
          <w:lang w:val="es-ES_tradnl"/>
        </w:rPr>
        <w:t>Pin</w:t>
      </w:r>
      <w:r w:rsidRPr="00CC69B2">
        <w:rPr>
          <w:lang w:val="es-ES_tradnl"/>
        </w:rPr>
        <w:t xml:space="preserve"> + </w:t>
      </w:r>
      <w:r w:rsidRPr="00CC69B2">
        <w:rPr>
          <w:i/>
          <w:iCs/>
          <w:lang w:val="es-ES_tradnl"/>
        </w:rPr>
        <w:t>a</w:t>
      </w:r>
      <w:r w:rsidRPr="00CC69B2">
        <w:rPr>
          <w:lang w:val="es-ES_tradnl"/>
        </w:rPr>
        <w:t>/2</w:t>
      </w:r>
    </w:p>
    <w:p w:rsidR="00F97D17" w:rsidRPr="0063018E" w:rsidRDefault="00F97D17" w:rsidP="00985DE2">
      <w:pPr>
        <w:rPr>
          <w:lang w:val="es-ES_tradnl"/>
        </w:rPr>
      </w:pPr>
      <w:r w:rsidRPr="0063018E">
        <w:rPr>
          <w:lang w:val="es-ES_tradnl"/>
        </w:rPr>
        <w:t>siendo:</w:t>
      </w:r>
    </w:p>
    <w:p w:rsidR="00F97D17" w:rsidRPr="00985DE2" w:rsidRDefault="00F97D17" w:rsidP="00985DE2">
      <w:pPr>
        <w:pStyle w:val="Equationlegend"/>
        <w:rPr>
          <w:lang w:val="es-ES_tradnl"/>
        </w:rPr>
      </w:pPr>
      <w:r w:rsidRPr="00B874B3">
        <w:rPr>
          <w:vertAlign w:val="superscript"/>
          <w:lang w:val="es-ES_tradnl"/>
        </w:rPr>
        <w:tab/>
      </w:r>
      <w:r w:rsidRPr="00985DE2">
        <w:rPr>
          <w:lang w:val="es-ES_tradnl"/>
        </w:rPr>
        <w:t>IP</w:t>
      </w:r>
      <w:r w:rsidRPr="00985DE2">
        <w:rPr>
          <w:vertAlign w:val="subscript"/>
          <w:lang w:val="es-ES_tradnl"/>
        </w:rPr>
        <w:t>3</w:t>
      </w:r>
      <w:r w:rsidR="00985DE2" w:rsidRPr="00E94FB2">
        <w:rPr>
          <w:sz w:val="16"/>
          <w:szCs w:val="16"/>
          <w:lang w:val="es-ES_tradnl"/>
        </w:rPr>
        <w:t xml:space="preserve"> </w:t>
      </w:r>
      <w:r w:rsidRPr="00985DE2">
        <w:rPr>
          <w:lang w:val="es-ES_tradnl"/>
        </w:rPr>
        <w:t xml:space="preserve">: </w:t>
      </w:r>
      <w:r w:rsidRPr="00985DE2">
        <w:rPr>
          <w:lang w:val="es-ES_tradnl"/>
        </w:rPr>
        <w:tab/>
        <w:t>producto de intermodulación de tercer orden a la entrada del receptor de comprobación técnica sometido a prueba</w:t>
      </w:r>
    </w:p>
    <w:p w:rsidR="00F97D17" w:rsidRPr="00985DE2" w:rsidRDefault="00F97D17" w:rsidP="00985DE2">
      <w:pPr>
        <w:pStyle w:val="Equationlegend"/>
        <w:rPr>
          <w:lang w:val="es-ES_tradnl"/>
        </w:rPr>
      </w:pPr>
      <w:r w:rsidRPr="00985DE2">
        <w:rPr>
          <w:lang w:val="es-ES_tradnl"/>
        </w:rPr>
        <w:tab/>
      </w:r>
      <w:r w:rsidRPr="00985DE2">
        <w:rPr>
          <w:i/>
          <w:iCs/>
          <w:lang w:val="es-ES_tradnl"/>
        </w:rPr>
        <w:t>Pin</w:t>
      </w:r>
      <w:r w:rsidR="00985DE2" w:rsidRPr="00E94FB2">
        <w:rPr>
          <w:sz w:val="16"/>
          <w:szCs w:val="16"/>
          <w:lang w:val="es-ES_tradnl"/>
        </w:rPr>
        <w:t xml:space="preserve"> </w:t>
      </w:r>
      <w:r w:rsidRPr="00985DE2">
        <w:rPr>
          <w:lang w:val="es-ES_tradnl"/>
        </w:rPr>
        <w:t>:</w:t>
      </w:r>
      <w:r w:rsidRPr="00985DE2">
        <w:rPr>
          <w:lang w:val="es-ES_tradnl"/>
        </w:rPr>
        <w:tab/>
        <w:t>valor eficaz de la potencia (dBm) de las dos señales de prueba introducidas</w:t>
      </w:r>
    </w:p>
    <w:p w:rsidR="00F97D17" w:rsidRPr="00D35C21" w:rsidRDefault="00F97D17" w:rsidP="00985DE2">
      <w:pPr>
        <w:pStyle w:val="Equationlegend"/>
        <w:rPr>
          <w:lang w:val="es-ES_tradnl"/>
        </w:rPr>
      </w:pPr>
      <w:r w:rsidRPr="00985DE2">
        <w:rPr>
          <w:lang w:val="es-ES_tradnl"/>
        </w:rPr>
        <w:tab/>
      </w:r>
      <w:r w:rsidRPr="00D35C21">
        <w:rPr>
          <w:i/>
          <w:iCs/>
          <w:lang w:val="es-ES_tradnl"/>
        </w:rPr>
        <w:t>a</w:t>
      </w:r>
      <w:r w:rsidR="00985DE2" w:rsidRPr="00E94FB2">
        <w:rPr>
          <w:sz w:val="16"/>
          <w:szCs w:val="16"/>
          <w:lang w:val="es-ES_tradnl"/>
        </w:rPr>
        <w:t xml:space="preserve"> </w:t>
      </w:r>
      <w:r w:rsidRPr="00D35C21">
        <w:rPr>
          <w:lang w:val="es-ES_tradnl"/>
        </w:rPr>
        <w:t>:</w:t>
      </w:r>
      <w:r w:rsidRPr="00D35C21">
        <w:rPr>
          <w:lang w:val="es-ES_tradnl"/>
        </w:rPr>
        <w:tab/>
        <w:t>diferencia (dB) entre el nivel de las señales de prueba introducidas y el nivel de los productos de intermodulación más elevados a la entrada.</w:t>
      </w:r>
    </w:p>
    <w:p w:rsidR="00F97D17" w:rsidRPr="00CC69B2" w:rsidRDefault="00F97D17" w:rsidP="00D35C21">
      <w:pPr>
        <w:pStyle w:val="Heading2"/>
        <w:rPr>
          <w:lang w:val="es-ES_tradnl"/>
        </w:rPr>
      </w:pPr>
      <w:bookmarkStart w:id="34" w:name="_Toc169706695"/>
      <w:bookmarkStart w:id="35" w:name="_Toc199305942"/>
      <w:bookmarkStart w:id="36" w:name="_Toc302381327"/>
      <w:bookmarkStart w:id="37" w:name="_Toc303861569"/>
      <w:bookmarkStart w:id="38" w:name="_Toc303861621"/>
      <w:bookmarkStart w:id="39" w:name="_Toc303861704"/>
      <w:bookmarkStart w:id="40" w:name="_Toc303862770"/>
      <w:bookmarkStart w:id="41" w:name="_Toc303866482"/>
      <w:r w:rsidRPr="00CC69B2">
        <w:rPr>
          <w:lang w:val="es-ES_tradnl"/>
        </w:rPr>
        <w:t>2.2</w:t>
      </w:r>
      <w:r w:rsidRPr="00CC69B2">
        <w:rPr>
          <w:lang w:val="es-ES_tradnl"/>
        </w:rPr>
        <w:tab/>
        <w:t>Se</w:t>
      </w:r>
      <w:bookmarkEnd w:id="34"/>
      <w:r w:rsidRPr="00CC69B2">
        <w:rPr>
          <w:lang w:val="es-ES_tradnl"/>
        </w:rPr>
        <w:t>nsibilidad</w:t>
      </w:r>
      <w:bookmarkEnd w:id="35"/>
      <w:bookmarkEnd w:id="36"/>
      <w:bookmarkEnd w:id="37"/>
      <w:bookmarkEnd w:id="38"/>
      <w:bookmarkEnd w:id="39"/>
      <w:bookmarkEnd w:id="40"/>
      <w:bookmarkEnd w:id="41"/>
    </w:p>
    <w:p w:rsidR="00F97D17" w:rsidRPr="0063018E" w:rsidRDefault="00F97D17" w:rsidP="00D35C21">
      <w:pPr>
        <w:rPr>
          <w:lang w:val="es-ES_tradnl"/>
        </w:rPr>
      </w:pPr>
      <w:r w:rsidRPr="0063018E">
        <w:rPr>
          <w:lang w:val="es-ES_tradnl"/>
        </w:rPr>
        <w:t>La sensibilidad de un receptor de comprobación técnica del espectro se define como la mínima tensión de la señal (</w:t>
      </w:r>
      <w:r w:rsidRPr="00CC69B2">
        <w:t>μ</w:t>
      </w:r>
      <w:r w:rsidRPr="0063018E">
        <w:rPr>
          <w:lang w:val="es-ES_tradnl"/>
        </w:rPr>
        <w:t>V) a la entrada del receptor de comprobación técnica que permite la demodulación y la escucha audible de la señal recibida.</w:t>
      </w:r>
    </w:p>
    <w:p w:rsidR="00F97D17" w:rsidRPr="0063018E" w:rsidRDefault="00F97D17" w:rsidP="00D35C21">
      <w:pPr>
        <w:rPr>
          <w:lang w:val="es-ES_tradnl"/>
        </w:rPr>
      </w:pPr>
      <w:r w:rsidRPr="0063018E">
        <w:rPr>
          <w:lang w:val="es-ES_tradnl"/>
        </w:rPr>
        <w:t>El mínimo nivel de señal audible puede determinarse efectuando una medición de la relación señal/interferencia incluyendo el ruido y la distorsión (SINAD).</w:t>
      </w:r>
    </w:p>
    <w:p w:rsidR="00F97D17" w:rsidRPr="00CC69B2" w:rsidRDefault="00F97D17" w:rsidP="001E705B">
      <w:pPr>
        <w:pStyle w:val="Heading2"/>
        <w:rPr>
          <w:rFonts w:eastAsia="MS Mincho"/>
          <w:lang w:val="es-ES_tradnl"/>
        </w:rPr>
      </w:pPr>
      <w:bookmarkStart w:id="42" w:name="_Toc169706696"/>
      <w:bookmarkStart w:id="43" w:name="_Toc199305943"/>
      <w:bookmarkStart w:id="44" w:name="_Toc302381328"/>
      <w:bookmarkStart w:id="45" w:name="_Toc303861570"/>
      <w:bookmarkStart w:id="46" w:name="_Toc303861622"/>
      <w:bookmarkStart w:id="47" w:name="_Toc303861705"/>
      <w:bookmarkStart w:id="48" w:name="_Toc303862771"/>
      <w:bookmarkStart w:id="49" w:name="_Toc303866483"/>
      <w:r w:rsidRPr="00CC69B2">
        <w:rPr>
          <w:lang w:val="es-ES_tradnl"/>
        </w:rPr>
        <w:lastRenderedPageBreak/>
        <w:t>2.3</w:t>
      </w:r>
      <w:r w:rsidRPr="00CC69B2">
        <w:rPr>
          <w:lang w:val="es-ES_tradnl"/>
        </w:rPr>
        <w:tab/>
      </w:r>
      <w:bookmarkEnd w:id="42"/>
      <w:r w:rsidRPr="00CC69B2">
        <w:rPr>
          <w:rFonts w:eastAsia="MS Mincho"/>
          <w:lang w:val="es-ES_tradnl"/>
        </w:rPr>
        <w:t>Factor de ruido del receptor</w:t>
      </w:r>
      <w:bookmarkEnd w:id="43"/>
      <w:bookmarkEnd w:id="44"/>
      <w:bookmarkEnd w:id="45"/>
      <w:bookmarkEnd w:id="46"/>
      <w:bookmarkEnd w:id="47"/>
      <w:bookmarkEnd w:id="48"/>
      <w:bookmarkEnd w:id="49"/>
    </w:p>
    <w:p w:rsidR="00F97D17" w:rsidRPr="0063018E" w:rsidRDefault="00F97D17" w:rsidP="001E705B">
      <w:pPr>
        <w:rPr>
          <w:lang w:val="es-ES_tradnl"/>
        </w:rPr>
      </w:pPr>
      <w:r w:rsidRPr="0063018E">
        <w:rPr>
          <w:lang w:val="es-ES_tradnl"/>
        </w:rPr>
        <w:t>El factor de ruido es una de las especificaciones principales de un receptor de comprobación técnica. Este factor está estrechamente ligado a la sensibilidad del receptor de comprobación técnica. El factor de ruido de un receptor de comprobación técnica es el factor según el cual aumenta la potencia de ruido entregada por un receptor de comprobación técnica cuando se aplica al mismo un ruido de referencia; el factor de ruido se mide a la entrada del receptor de comprobación técnica.</w:t>
      </w:r>
    </w:p>
    <w:p w:rsidR="00F97D17" w:rsidRPr="0063018E" w:rsidRDefault="00F97D17" w:rsidP="001E705B">
      <w:pPr>
        <w:rPr>
          <w:lang w:val="es-ES_tradnl"/>
        </w:rPr>
      </w:pPr>
      <w:r w:rsidRPr="0063018E">
        <w:rPr>
          <w:lang w:val="es-ES_tradnl"/>
        </w:rPr>
        <w:t>El factor de ruido de un receptor de comprobación técnica puede medirse utilizando varios métodos:</w:t>
      </w:r>
    </w:p>
    <w:p w:rsidR="00F97D17" w:rsidRPr="00CC69B2" w:rsidRDefault="00F97D17" w:rsidP="001E705B">
      <w:pPr>
        <w:pStyle w:val="enumlev1"/>
        <w:rPr>
          <w:lang w:val="es-ES_tradnl"/>
        </w:rPr>
      </w:pPr>
      <w:r w:rsidRPr="00CC69B2">
        <w:rPr>
          <w:lang w:val="es-ES_tradnl"/>
        </w:rPr>
        <w:t>–</w:t>
      </w:r>
      <w:r w:rsidRPr="00CC69B2">
        <w:rPr>
          <w:lang w:val="es-ES_tradnl"/>
        </w:rPr>
        <w:tab/>
        <w:t>método de la ganancia;</w:t>
      </w:r>
    </w:p>
    <w:p w:rsidR="00F97D17" w:rsidRPr="00CC69B2" w:rsidRDefault="00F97D17" w:rsidP="001E705B">
      <w:pPr>
        <w:pStyle w:val="enumlev1"/>
        <w:rPr>
          <w:lang w:val="es-ES_tradnl"/>
        </w:rPr>
      </w:pPr>
      <w:r w:rsidRPr="00CC69B2">
        <w:rPr>
          <w:lang w:val="es-ES_tradnl"/>
        </w:rPr>
        <w:t>–</w:t>
      </w:r>
      <w:r w:rsidRPr="00CC69B2">
        <w:rPr>
          <w:lang w:val="es-ES_tradnl"/>
        </w:rPr>
        <w:tab/>
        <w:t>método del «factor Y» (método del diodo de ruido);</w:t>
      </w:r>
    </w:p>
    <w:p w:rsidR="00F97D17" w:rsidRPr="00CC69B2" w:rsidRDefault="00F97D17" w:rsidP="001E705B">
      <w:pPr>
        <w:pStyle w:val="enumlev1"/>
        <w:rPr>
          <w:lang w:val="es-ES_tradnl"/>
        </w:rPr>
      </w:pPr>
      <w:r w:rsidRPr="00CC69B2">
        <w:rPr>
          <w:lang w:val="es-ES_tradnl"/>
        </w:rPr>
        <w:t>–</w:t>
      </w:r>
      <w:r w:rsidRPr="00CC69B2">
        <w:rPr>
          <w:lang w:val="es-ES_tradnl"/>
        </w:rPr>
        <w:tab/>
        <w:t>método de la sensibilidad.</w:t>
      </w:r>
    </w:p>
    <w:p w:rsidR="00F97D17" w:rsidRPr="00CC69B2" w:rsidRDefault="00F97D17" w:rsidP="001E705B">
      <w:pPr>
        <w:pStyle w:val="Heading2"/>
        <w:rPr>
          <w:rFonts w:eastAsia="MS Mincho"/>
          <w:lang w:val="es-ES_tradnl"/>
        </w:rPr>
      </w:pPr>
      <w:bookmarkStart w:id="50" w:name="_Toc169706697"/>
      <w:bookmarkStart w:id="51" w:name="_Toc199305944"/>
      <w:bookmarkStart w:id="52" w:name="_Toc302381329"/>
      <w:bookmarkStart w:id="53" w:name="_Toc303861571"/>
      <w:bookmarkStart w:id="54" w:name="_Toc303861623"/>
      <w:bookmarkStart w:id="55" w:name="_Toc303861706"/>
      <w:bookmarkStart w:id="56" w:name="_Toc303862772"/>
      <w:bookmarkStart w:id="57" w:name="_Toc303866484"/>
      <w:r w:rsidRPr="00CC69B2">
        <w:rPr>
          <w:rFonts w:eastAsia="MS Mincho"/>
          <w:lang w:val="es-ES_tradnl"/>
        </w:rPr>
        <w:t>2.4</w:t>
      </w:r>
      <w:r w:rsidRPr="00CC69B2">
        <w:rPr>
          <w:rFonts w:eastAsia="MS Mincho"/>
          <w:lang w:val="es-ES_tradnl"/>
        </w:rPr>
        <w:tab/>
      </w:r>
      <w:bookmarkEnd w:id="50"/>
      <w:r w:rsidRPr="00CC69B2">
        <w:rPr>
          <w:rFonts w:eastAsia="MS Mincho"/>
          <w:lang w:val="es-ES_tradnl"/>
        </w:rPr>
        <w:t>Características del filtro de FI</w:t>
      </w:r>
      <w:bookmarkEnd w:id="51"/>
      <w:bookmarkEnd w:id="52"/>
      <w:bookmarkEnd w:id="53"/>
      <w:bookmarkEnd w:id="54"/>
      <w:bookmarkEnd w:id="55"/>
      <w:bookmarkEnd w:id="56"/>
      <w:bookmarkEnd w:id="57"/>
    </w:p>
    <w:p w:rsidR="00F97D17" w:rsidRPr="0063018E" w:rsidRDefault="00F97D17" w:rsidP="001E705B">
      <w:pPr>
        <w:rPr>
          <w:lang w:val="es-ES_tradnl"/>
        </w:rPr>
      </w:pPr>
      <w:r w:rsidRPr="0063018E">
        <w:rPr>
          <w:lang w:val="es-ES_tradnl"/>
        </w:rPr>
        <w:t>Para la mayoría de las aplicaciones de comprobación técnica y mediciones son de gran importancia tanto la forma como la anchura de banda y la calidad de los diversos filtros de FI. Básicamente se utilizan cuatro parámetros para describir las características del filtro de FI.</w:t>
      </w:r>
    </w:p>
    <w:p w:rsidR="00F97D17" w:rsidRPr="00CC69B2" w:rsidRDefault="00F97D17" w:rsidP="001E705B">
      <w:pPr>
        <w:pStyle w:val="Heading3"/>
        <w:rPr>
          <w:rFonts w:eastAsia="MS Mincho"/>
          <w:lang w:val="es-ES_tradnl"/>
        </w:rPr>
      </w:pPr>
      <w:r w:rsidRPr="00CC69B2">
        <w:rPr>
          <w:rFonts w:eastAsia="MS Mincho"/>
          <w:lang w:val="es-ES_tradnl"/>
        </w:rPr>
        <w:t>2.4.1</w:t>
      </w:r>
      <w:r w:rsidRPr="00CC69B2">
        <w:rPr>
          <w:lang w:val="es-ES_tradnl"/>
        </w:rPr>
        <w:tab/>
      </w:r>
      <w:r w:rsidRPr="00CC69B2">
        <w:rPr>
          <w:rFonts w:eastAsia="MS Mincho"/>
          <w:lang w:val="es-ES_tradnl"/>
        </w:rPr>
        <w:t>Anchura de banda de FI</w:t>
      </w:r>
    </w:p>
    <w:p w:rsidR="00F97D17" w:rsidRPr="0063018E" w:rsidRDefault="00F97D17" w:rsidP="001E705B">
      <w:pPr>
        <w:rPr>
          <w:lang w:val="es-ES_tradnl"/>
        </w:rPr>
      </w:pPr>
      <w:r w:rsidRPr="0063018E">
        <w:rPr>
          <w:lang w:val="es-ES_tradnl"/>
        </w:rPr>
        <w:t>Se trata de la anchura de banda especificada como la distancia entre los puntos de −3 dB y −6 dB del filtro de FI del receptor.</w:t>
      </w:r>
    </w:p>
    <w:p w:rsidR="00F97D17" w:rsidRPr="00CC69B2" w:rsidRDefault="00F97D17" w:rsidP="001E705B">
      <w:pPr>
        <w:pStyle w:val="Heading3"/>
        <w:rPr>
          <w:rFonts w:eastAsia="MS Mincho"/>
          <w:lang w:val="es-ES_tradnl"/>
        </w:rPr>
      </w:pPr>
      <w:r w:rsidRPr="00CC69B2">
        <w:rPr>
          <w:rFonts w:eastAsia="MS Mincho"/>
          <w:lang w:val="es-ES_tradnl"/>
        </w:rPr>
        <w:t>2.4.2</w:t>
      </w:r>
      <w:r w:rsidRPr="00CC69B2">
        <w:rPr>
          <w:lang w:val="es-ES_tradnl"/>
        </w:rPr>
        <w:tab/>
      </w:r>
      <w:r w:rsidRPr="00CC69B2">
        <w:rPr>
          <w:rFonts w:eastAsia="MS Mincho"/>
          <w:lang w:val="es-ES_tradnl"/>
        </w:rPr>
        <w:t>Rizado y asimetría de la banda de paso del filtro de FI</w:t>
      </w:r>
    </w:p>
    <w:p w:rsidR="00F97D17" w:rsidRPr="0063018E" w:rsidRDefault="00F97D17" w:rsidP="001E705B">
      <w:pPr>
        <w:rPr>
          <w:lang w:val="es-ES_tradnl"/>
        </w:rPr>
      </w:pPr>
      <w:r w:rsidRPr="0063018E">
        <w:rPr>
          <w:lang w:val="es-ES_tradnl"/>
        </w:rPr>
        <w:t>La forma en que se especifica el rizado en la banda de paso depende del fabricante. Fundamentalmente hay dos formas y cada una tiene sus ventajas para el filtrado digital o analógico. En el caso de filtros analógicos se utiliza el valor cresta a cresta puesto que no hay ranuras y la distribución del rizado no es uniforme. En los filtros digitales se emplea el valor cresta a media puesto que existen ranuras y el rizado presenta una distribución uniforme (véase la Fig. 1).</w:t>
      </w:r>
    </w:p>
    <w:p w:rsidR="00F97D17" w:rsidRPr="00CC69B2" w:rsidRDefault="00F97D17" w:rsidP="001E705B">
      <w:pPr>
        <w:pStyle w:val="FigureNo"/>
        <w:rPr>
          <w:rFonts w:eastAsia="MS Mincho"/>
          <w:lang w:val="es-ES_tradnl"/>
        </w:rPr>
      </w:pPr>
      <w:r w:rsidRPr="00CC69B2">
        <w:rPr>
          <w:rFonts w:eastAsia="MS Mincho"/>
          <w:lang w:val="es-ES_tradnl"/>
        </w:rPr>
        <w:t>FIGURA 1</w:t>
      </w:r>
    </w:p>
    <w:p w:rsidR="00F97D17" w:rsidRDefault="00F97D17" w:rsidP="001E705B">
      <w:pPr>
        <w:pStyle w:val="Figuretitle"/>
        <w:rPr>
          <w:rFonts w:eastAsia="MS Mincho"/>
          <w:lang w:val="es-ES_tradnl"/>
        </w:rPr>
      </w:pPr>
      <w:r w:rsidRPr="00CC69B2">
        <w:rPr>
          <w:rFonts w:eastAsia="MS Mincho"/>
          <w:lang w:val="es-ES_tradnl"/>
        </w:rPr>
        <w:t>Ejemplos de rizado de la banda de paso del filtro</w:t>
      </w:r>
    </w:p>
    <w:p w:rsidR="00304D67" w:rsidRPr="00E55BA6" w:rsidRDefault="00304D67" w:rsidP="00304D67">
      <w:pPr>
        <w:pStyle w:val="Blanc"/>
        <w:rPr>
          <w:rFonts w:eastAsia="MS Mincho"/>
          <w:lang w:val="es-ES_tradnl"/>
        </w:rPr>
      </w:pPr>
    </w:p>
    <w:p w:rsidR="00F97D17" w:rsidRDefault="00304D67" w:rsidP="001E705B">
      <w:pPr>
        <w:pStyle w:val="Figure"/>
      </w:pPr>
      <w:r>
        <w:object w:dxaOrig="8761" w:dyaOrig="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40.5pt" o:ole="">
            <v:imagedata r:id="rId15" o:title=""/>
          </v:shape>
          <o:OLEObject Type="Embed" ProgID="CorelDRAW.Graphic.14" ShapeID="_x0000_i1025" DrawAspect="Content" ObjectID="_1413614795" r:id="rId16"/>
        </w:object>
      </w:r>
    </w:p>
    <w:p w:rsidR="001E705B" w:rsidRPr="001E705B" w:rsidRDefault="001E705B" w:rsidP="005563A0">
      <w:pPr>
        <w:rPr>
          <w:rFonts w:eastAsia="MS Mincho"/>
        </w:rPr>
      </w:pPr>
    </w:p>
    <w:p w:rsidR="00F97D17" w:rsidRPr="00CC69B2" w:rsidRDefault="00F97D17" w:rsidP="001E705B">
      <w:pPr>
        <w:pStyle w:val="Heading3"/>
        <w:rPr>
          <w:noProof/>
          <w:webHidden/>
          <w:lang w:val="es-ES_tradnl"/>
        </w:rPr>
      </w:pPr>
      <w:r w:rsidRPr="00CC69B2">
        <w:rPr>
          <w:rFonts w:eastAsia="MS Mincho"/>
          <w:lang w:val="es-ES_tradnl"/>
        </w:rPr>
        <w:t>2.4.3</w:t>
      </w:r>
      <w:r w:rsidRPr="00CC69B2">
        <w:rPr>
          <w:lang w:val="es-ES_tradnl"/>
        </w:rPr>
        <w:tab/>
        <w:t xml:space="preserve">Curva de la banda de paso del filtro de </w:t>
      </w:r>
      <w:r w:rsidRPr="00CC69B2">
        <w:rPr>
          <w:rFonts w:eastAsia="MS Mincho"/>
          <w:lang w:val="es-ES_tradnl"/>
        </w:rPr>
        <w:t>FI y supresión fuera de banda</w:t>
      </w:r>
    </w:p>
    <w:p w:rsidR="00F97D17" w:rsidRPr="0063018E" w:rsidRDefault="00F97D17" w:rsidP="001E705B">
      <w:pPr>
        <w:rPr>
          <w:lang w:val="es-ES_tradnl"/>
        </w:rPr>
      </w:pPr>
      <w:r w:rsidRPr="0063018E">
        <w:rPr>
          <w:lang w:val="es-ES_tradnl"/>
        </w:rPr>
        <w:t>La supresión fuera de banda es la eliminación de las señales a partir de los bordes del filtro especificados a una cierta distancia del centro del filtro. Dependiendo de la construcción del filtro, pero también de su montaje y terminación, pueden aparecer distintos valores para los diversos receptores ofrecidos. Este parámetro es especialmente importante en receptores con filtros digitales en los que la supresión fuera de banda depende de los conversores A</w:t>
      </w:r>
      <w:r w:rsidRPr="0063018E">
        <w:rPr>
          <w:lang w:val="es-ES_tradnl"/>
        </w:rPr>
        <w:noBreakHyphen/>
        <w:t>D utilizados. Esta supresión puede depender de la distancia de medición real desde la frecuencia central del filtro debido a las anomalías provocadas por una terminación inadecuada del filtro.</w:t>
      </w:r>
    </w:p>
    <w:p w:rsidR="00F97D17" w:rsidRPr="00CC69B2" w:rsidRDefault="00F97D17" w:rsidP="001E705B">
      <w:pPr>
        <w:pStyle w:val="Heading3"/>
        <w:rPr>
          <w:noProof/>
          <w:webHidden/>
          <w:lang w:val="es-ES_tradnl"/>
        </w:rPr>
      </w:pPr>
      <w:r w:rsidRPr="00CC69B2">
        <w:rPr>
          <w:rFonts w:eastAsia="MS Mincho"/>
          <w:lang w:val="es-ES_tradnl"/>
        </w:rPr>
        <w:lastRenderedPageBreak/>
        <w:t>2.4.4</w:t>
      </w:r>
      <w:r w:rsidRPr="00CC69B2">
        <w:rPr>
          <w:lang w:val="es-ES_tradnl"/>
        </w:rPr>
        <w:tab/>
      </w:r>
      <w:r w:rsidRPr="00CC69B2">
        <w:rPr>
          <w:rFonts w:eastAsia="MS Mincho"/>
          <w:lang w:val="es-ES_tradnl"/>
        </w:rPr>
        <w:t>Factor de forma del filtro de FI</w:t>
      </w:r>
    </w:p>
    <w:p w:rsidR="00F97D17" w:rsidRPr="00F97D17" w:rsidRDefault="00F97D17" w:rsidP="00304D67">
      <w:pPr>
        <w:rPr>
          <w:lang w:val="es-ES_tradnl"/>
        </w:rPr>
      </w:pPr>
      <w:r w:rsidRPr="0063018E">
        <w:rPr>
          <w:lang w:val="es-ES_tradnl"/>
        </w:rPr>
        <w:t xml:space="preserve">El factor de forma se define como la relación entre la anchura de banda a </w:t>
      </w:r>
      <w:r w:rsidRPr="0063018E">
        <w:rPr>
          <w:i/>
          <w:iCs/>
          <w:lang w:val="es-ES_tradnl"/>
        </w:rPr>
        <w:t>n</w:t>
      </w:r>
      <w:r w:rsidRPr="0063018E">
        <w:rPr>
          <w:lang w:val="es-ES_tradnl"/>
        </w:rPr>
        <w:t> dB y la anchura de banda a −6 dB. El factor </w:t>
      </w:r>
      <w:r w:rsidRPr="0063018E">
        <w:rPr>
          <w:i/>
          <w:iCs/>
          <w:lang w:val="es-ES_tradnl"/>
        </w:rPr>
        <w:t>n</w:t>
      </w:r>
      <w:r w:rsidRPr="0063018E">
        <w:rPr>
          <w:lang w:val="es-ES_tradnl"/>
        </w:rPr>
        <w:t xml:space="preserve"> debe especificarse para cada filtro; por ejemplo </w:t>
      </w:r>
      <w:r w:rsidRPr="0063018E">
        <w:rPr>
          <w:i/>
          <w:iCs/>
          <w:lang w:val="es-ES_tradnl"/>
        </w:rPr>
        <w:t>n</w:t>
      </w:r>
      <w:r w:rsidRPr="0063018E">
        <w:rPr>
          <w:lang w:val="es-ES_tradnl"/>
        </w:rPr>
        <w:t xml:space="preserve"> = 60 dB o </w:t>
      </w:r>
      <w:r w:rsidRPr="0063018E">
        <w:rPr>
          <w:i/>
          <w:lang w:val="es-ES_tradnl"/>
        </w:rPr>
        <w:t>n</w:t>
      </w:r>
      <w:r w:rsidRPr="0063018E">
        <w:rPr>
          <w:lang w:val="es-ES_tradnl"/>
        </w:rPr>
        <w:t> = 50 dB</w:t>
      </w:r>
      <w:r w:rsidR="00304D67">
        <w:rPr>
          <w:lang w:val="es-ES_tradnl"/>
        </w:rPr>
        <w:t xml:space="preserve"> </w:t>
      </w:r>
      <w:r w:rsidRPr="00F97D17">
        <w:rPr>
          <w:lang w:val="es-ES_tradnl"/>
        </w:rPr>
        <w:t>(</w:t>
      </w:r>
      <w:r w:rsidR="00304D67" w:rsidRPr="00F97D17">
        <w:rPr>
          <w:lang w:val="es-ES_tradnl"/>
        </w:rPr>
        <w:t xml:space="preserve">véase </w:t>
      </w:r>
      <w:r w:rsidRPr="00F97D17">
        <w:rPr>
          <w:lang w:val="es-ES_tradnl"/>
        </w:rPr>
        <w:t>la Fig. 2).</w:t>
      </w:r>
    </w:p>
    <w:p w:rsidR="00F97D17" w:rsidRPr="00CC69B2" w:rsidRDefault="00F97D17" w:rsidP="001E705B">
      <w:pPr>
        <w:pStyle w:val="Heading3"/>
        <w:rPr>
          <w:lang w:val="es-ES_tradnl"/>
        </w:rPr>
      </w:pPr>
      <w:r w:rsidRPr="00CC69B2">
        <w:rPr>
          <w:rFonts w:eastAsia="MS Mincho"/>
          <w:lang w:val="es-ES_tradnl"/>
        </w:rPr>
        <w:t>2.4.5</w:t>
      </w:r>
      <w:r w:rsidRPr="00CC69B2">
        <w:rPr>
          <w:lang w:val="es-ES_tradnl"/>
        </w:rPr>
        <w:tab/>
      </w:r>
      <w:r w:rsidRPr="00CC69B2">
        <w:rPr>
          <w:rFonts w:eastAsia="MS Mincho"/>
          <w:lang w:val="es-ES_tradnl"/>
        </w:rPr>
        <w:t>Retardo de grupo del filtro de FI</w:t>
      </w:r>
    </w:p>
    <w:p w:rsidR="00F97D17" w:rsidRPr="0063018E" w:rsidRDefault="00F97D17" w:rsidP="001E705B">
      <w:pPr>
        <w:rPr>
          <w:lang w:val="es-ES_tradnl"/>
        </w:rPr>
      </w:pPr>
      <w:r w:rsidRPr="0063018E">
        <w:rPr>
          <w:lang w:val="es-ES_tradnl"/>
        </w:rPr>
        <w:t>El retardo de grupo es la diferencia mutua en tiempo que lleva a un cierto número de señales desplazarse a través del filtro de FI de un receptor.</w:t>
      </w:r>
    </w:p>
    <w:p w:rsidR="00F97D17" w:rsidRPr="0063018E" w:rsidRDefault="00F97D17" w:rsidP="001E705B">
      <w:pPr>
        <w:rPr>
          <w:lang w:val="es-ES_tradnl"/>
        </w:rPr>
      </w:pPr>
      <w:r w:rsidRPr="0063018E">
        <w:rPr>
          <w:lang w:val="es-ES_tradnl"/>
        </w:rPr>
        <w:t>En un filtro ideal todas las señales aplicadas a distintas frecuencias dentro del filtro de FI se desplazan con el mismo retardo, de manera que la diferencia de fase entre las señales a la entrada es la misma diferencia de fase entre las señales a la salida del filtro. El retardo de grupo también puede denominarse linealidad de fase del filtro.</w:t>
      </w:r>
    </w:p>
    <w:p w:rsidR="00F97D17" w:rsidRPr="00FC4CBA" w:rsidRDefault="00F97D17" w:rsidP="001E705B">
      <w:pPr>
        <w:pStyle w:val="FigureNo"/>
        <w:rPr>
          <w:rFonts w:eastAsia="MS Mincho"/>
          <w:lang w:val="es-ES_tradnl"/>
        </w:rPr>
      </w:pPr>
      <w:r w:rsidRPr="00FC4CBA">
        <w:rPr>
          <w:rFonts w:eastAsia="MS Mincho"/>
          <w:lang w:val="es-ES_tradnl"/>
        </w:rPr>
        <w:t>FIGURA 2</w:t>
      </w:r>
    </w:p>
    <w:p w:rsidR="00F97D17" w:rsidRDefault="00F97D17" w:rsidP="001E705B">
      <w:pPr>
        <w:pStyle w:val="Figuretitle"/>
        <w:rPr>
          <w:rFonts w:eastAsia="MS Mincho"/>
          <w:lang w:val="es-ES_tradnl"/>
        </w:rPr>
      </w:pPr>
      <w:r w:rsidRPr="00FC4CBA">
        <w:rPr>
          <w:rFonts w:eastAsia="MS Mincho"/>
          <w:lang w:val="es-ES_tradnl"/>
        </w:rPr>
        <w:t>Algunos parámetros del filtro de FI</w:t>
      </w:r>
    </w:p>
    <w:p w:rsidR="00304D67" w:rsidRPr="00E55BA6" w:rsidRDefault="00304D67" w:rsidP="00304D67">
      <w:pPr>
        <w:pStyle w:val="Blanc"/>
        <w:rPr>
          <w:rFonts w:eastAsia="MS Mincho"/>
          <w:lang w:val="es-ES_tradnl"/>
        </w:rPr>
      </w:pPr>
    </w:p>
    <w:p w:rsidR="00F97D17" w:rsidRPr="00CC69B2" w:rsidRDefault="001E705B" w:rsidP="001E705B">
      <w:pPr>
        <w:pStyle w:val="Figure"/>
      </w:pPr>
      <w:r>
        <w:object w:dxaOrig="5442" w:dyaOrig="3594">
          <v:shape id="_x0000_i1026" type="#_x0000_t75" style="width:306pt;height:202.5pt" o:ole="">
            <v:imagedata r:id="rId17" o:title=""/>
          </v:shape>
          <o:OLEObject Type="Embed" ProgID="CorelDRAW.Graphic.14" ShapeID="_x0000_i1026" DrawAspect="Content" ObjectID="_1413614796" r:id="rId18"/>
        </w:object>
      </w:r>
    </w:p>
    <w:p w:rsidR="00F97D17" w:rsidRPr="0063018E" w:rsidRDefault="00F97D17" w:rsidP="00304D67">
      <w:pPr>
        <w:pStyle w:val="Normalaftertitle"/>
        <w:rPr>
          <w:lang w:val="es-ES_tradnl"/>
        </w:rPr>
      </w:pPr>
      <w:r w:rsidRPr="0063018E">
        <w:rPr>
          <w:lang w:val="es-ES_tradnl"/>
        </w:rPr>
        <w:t>Un retardo de grupo elevado puede presentarse fundamentalmente cerca de los bordes de la banda de paso del filtro, pero en filtros de orden alto este retardo también es importante dentro de la banda de paso. Como regla general puede decirse que los filtros de banda estrecha y los filtros con un factor de forma bajo (bordes del filtro abruptos) presentan un retardo de grupo más elevado, lo que supone una calidad de funcionamiento menor. En este aspecto no hay diferencia básicamente entre los filtros digitales y los filtros analógicos.</w:t>
      </w:r>
    </w:p>
    <w:p w:rsidR="00F97D17" w:rsidRPr="0063018E" w:rsidRDefault="00F97D17" w:rsidP="001E705B">
      <w:pPr>
        <w:rPr>
          <w:lang w:val="es-ES_tradnl"/>
        </w:rPr>
      </w:pPr>
      <w:r w:rsidRPr="0063018E">
        <w:rPr>
          <w:lang w:val="es-ES_tradnl"/>
        </w:rPr>
        <w:t>¿Qué significa esto para el usuario de un receptor de comprobación técnica? Los filtros de borde abrupto y banda amplia se utilizan en receptores para demodular las señales digitales y, en particular, disminuye la calidad de funcionamiento de los demoduladores de fase si el retardo de grupo del filtro es demasiado elevado. Además la comprobación técnica auditiva puede ser un ejercicio muy fatigoso si el retardo de grupo del filtro es muy alto, pues el sonido de las señales aparece distorsionado y ruidoso. En un filtro de un receptor de comprobación técnica polivalente el retardo de grupo debe encontrarse dentro de ciertos límites para cada filtro de FI.</w:t>
      </w:r>
    </w:p>
    <w:p w:rsidR="00F97D17" w:rsidRPr="0063018E" w:rsidRDefault="00F97D17" w:rsidP="001E705B">
      <w:pPr>
        <w:rPr>
          <w:lang w:val="es-ES_tradnl"/>
        </w:rPr>
      </w:pPr>
      <w:r w:rsidRPr="0063018E">
        <w:rPr>
          <w:lang w:val="es-ES_tradnl"/>
        </w:rPr>
        <w:t>Una forma de medir el retardo de grupo es utilizar un analizador de red y realizar un barrido a través de la banda de paso del filtro, registrando los cambios en el comportamiento de la fase/frecuencia. El retardo de grupo se expresa en tiempo (microsegundos, nanosegundos).</w:t>
      </w:r>
    </w:p>
    <w:p w:rsidR="00F97D17" w:rsidRPr="00CC69B2" w:rsidRDefault="00F97D17" w:rsidP="00991712">
      <w:pPr>
        <w:pStyle w:val="Heading2"/>
        <w:rPr>
          <w:rFonts w:eastAsia="MS Mincho"/>
          <w:lang w:val="es-ES_tradnl"/>
        </w:rPr>
      </w:pPr>
      <w:bookmarkStart w:id="58" w:name="_Toc169706698"/>
      <w:bookmarkStart w:id="59" w:name="_Toc199305945"/>
      <w:bookmarkStart w:id="60" w:name="_Toc302381330"/>
      <w:bookmarkStart w:id="61" w:name="_Toc303861572"/>
      <w:bookmarkStart w:id="62" w:name="_Toc303861624"/>
      <w:bookmarkStart w:id="63" w:name="_Toc303861707"/>
      <w:bookmarkStart w:id="64" w:name="_Toc303862773"/>
      <w:bookmarkStart w:id="65" w:name="_Toc303866485"/>
      <w:r w:rsidRPr="00CC69B2">
        <w:rPr>
          <w:rFonts w:eastAsia="MS Mincho"/>
          <w:lang w:val="es-ES_tradnl"/>
        </w:rPr>
        <w:lastRenderedPageBreak/>
        <w:t>2.5</w:t>
      </w:r>
      <w:r w:rsidRPr="00CC69B2">
        <w:rPr>
          <w:rFonts w:eastAsia="MS Mincho"/>
          <w:lang w:val="es-ES_tradnl"/>
        </w:rPr>
        <w:tab/>
      </w:r>
      <w:bookmarkEnd w:id="58"/>
      <w:r w:rsidRPr="00CC69B2">
        <w:rPr>
          <w:rFonts w:eastAsia="MS Mincho"/>
          <w:lang w:val="es-ES_tradnl"/>
        </w:rPr>
        <w:t>Velocidad de exploración del receptor</w:t>
      </w:r>
      <w:bookmarkEnd w:id="59"/>
      <w:bookmarkEnd w:id="60"/>
      <w:bookmarkEnd w:id="61"/>
      <w:bookmarkEnd w:id="62"/>
      <w:bookmarkEnd w:id="63"/>
      <w:bookmarkEnd w:id="64"/>
      <w:bookmarkEnd w:id="65"/>
    </w:p>
    <w:p w:rsidR="00F97D17" w:rsidRPr="0063018E" w:rsidRDefault="00F97D17" w:rsidP="00991712">
      <w:pPr>
        <w:rPr>
          <w:lang w:val="es-ES_tradnl"/>
        </w:rPr>
      </w:pPr>
      <w:r w:rsidRPr="0063018E">
        <w:rPr>
          <w:lang w:val="es-ES_tradnl"/>
        </w:rPr>
        <w:t>La velocidad de exploración (a veces denominada velocidad de barrido) es una medida de la rapidez con la que un receptor puede proporcionar los valores del nivel de la señal en un cierto número de frecuencias dentro de una banda de frecuencias determinada. Se mide en MHz por segundo.</w:t>
      </w:r>
    </w:p>
    <w:p w:rsidR="00F97D17" w:rsidRPr="0063018E" w:rsidRDefault="00F97D17" w:rsidP="00991712">
      <w:pPr>
        <w:rPr>
          <w:lang w:val="es-ES_tradnl"/>
        </w:rPr>
      </w:pPr>
      <w:r w:rsidRPr="0063018E">
        <w:rPr>
          <w:lang w:val="es-ES_tradnl"/>
        </w:rPr>
        <w:t>La velocidad de exploración deberá incluir el efecto de cualquier tiempo de conmutación de banda, tiempo de retrazado de fin de barrido, tiempo de ajuste del oscilador local y tiempo de cálculo. En otras palabras, el parámetro velocidad de exploración puede utilizarse para calcular el periodo de revisita. Opcionalmente, los distintos elementos que afectan la velocidad de exploración pueden señalarse por separado de manera que los usuarios pueden determinar el tiempo de revisita para cualquier gama de frecuencias arbitraria.</w:t>
      </w:r>
    </w:p>
    <w:p w:rsidR="00F97D17" w:rsidRPr="00CC69B2" w:rsidRDefault="00F97D17" w:rsidP="00991712">
      <w:pPr>
        <w:pStyle w:val="Heading2"/>
        <w:rPr>
          <w:rFonts w:eastAsia="MS Mincho"/>
          <w:lang w:val="es-ES_tradnl"/>
        </w:rPr>
      </w:pPr>
      <w:bookmarkStart w:id="66" w:name="_Toc169706699"/>
      <w:bookmarkStart w:id="67" w:name="_Toc199305946"/>
      <w:bookmarkStart w:id="68" w:name="_Toc302381331"/>
      <w:bookmarkStart w:id="69" w:name="_Toc303861573"/>
      <w:bookmarkStart w:id="70" w:name="_Toc303861625"/>
      <w:bookmarkStart w:id="71" w:name="_Toc303861708"/>
      <w:bookmarkStart w:id="72" w:name="_Toc303862774"/>
      <w:bookmarkStart w:id="73" w:name="_Toc303866486"/>
      <w:r w:rsidRPr="00CC69B2">
        <w:rPr>
          <w:rFonts w:eastAsia="MS Mincho"/>
          <w:lang w:val="es-ES_tradnl"/>
        </w:rPr>
        <w:t>2.6</w:t>
      </w:r>
      <w:r w:rsidRPr="00CC69B2">
        <w:rPr>
          <w:rFonts w:eastAsia="MS Mincho"/>
          <w:lang w:val="es-ES_tradnl"/>
        </w:rPr>
        <w:tab/>
      </w:r>
      <w:bookmarkEnd w:id="66"/>
      <w:r w:rsidRPr="00CC69B2">
        <w:rPr>
          <w:rFonts w:eastAsia="MS Mincho"/>
          <w:lang w:val="es-ES_tradnl"/>
        </w:rPr>
        <w:t>Parámetros principales para los receptores de radiogoniometría</w:t>
      </w:r>
      <w:bookmarkEnd w:id="67"/>
      <w:bookmarkEnd w:id="68"/>
      <w:bookmarkEnd w:id="69"/>
      <w:bookmarkEnd w:id="70"/>
      <w:bookmarkEnd w:id="71"/>
      <w:bookmarkEnd w:id="72"/>
      <w:bookmarkEnd w:id="73"/>
    </w:p>
    <w:p w:rsidR="00F97D17" w:rsidRPr="0063018E" w:rsidRDefault="00F97D17" w:rsidP="00991712">
      <w:pPr>
        <w:rPr>
          <w:rFonts w:eastAsia="MS Mincho"/>
          <w:lang w:val="es-ES_tradnl"/>
        </w:rPr>
      </w:pPr>
      <w:r w:rsidRPr="0063018E">
        <w:rPr>
          <w:lang w:val="es-ES_tradnl" w:eastAsia="fr-FR"/>
        </w:rPr>
        <w:t>Dependiendo de los parámetros que van a medirse, el receptor de radiogoniometría deberá considerarse como un receptor de comprobación técnica de una cadena de recepción de estación de radiogoniometría, y deberán llevarse a cabo los procedimientos de medición de los parámetros correspondientes.</w:t>
      </w:r>
    </w:p>
    <w:p w:rsidR="00F97D17" w:rsidRPr="00CC69B2" w:rsidRDefault="00F97D17" w:rsidP="00991712">
      <w:pPr>
        <w:pStyle w:val="Heading1"/>
        <w:rPr>
          <w:rFonts w:eastAsia="MS Mincho"/>
          <w:lang w:val="es-ES_tradnl"/>
        </w:rPr>
      </w:pPr>
      <w:bookmarkStart w:id="74" w:name="_Toc169706700"/>
      <w:bookmarkStart w:id="75" w:name="_Toc199305947"/>
      <w:bookmarkStart w:id="76" w:name="_Toc302381332"/>
      <w:bookmarkStart w:id="77" w:name="_Toc303861574"/>
      <w:bookmarkStart w:id="78" w:name="_Toc303861626"/>
      <w:bookmarkStart w:id="79" w:name="_Toc303861709"/>
      <w:bookmarkStart w:id="80" w:name="_Toc303862775"/>
      <w:bookmarkStart w:id="81" w:name="_Toc303866487"/>
      <w:bookmarkStart w:id="82" w:name="_Toc132444374"/>
      <w:r w:rsidRPr="00CC69B2">
        <w:rPr>
          <w:rFonts w:eastAsia="MS Mincho"/>
          <w:lang w:val="es-ES_tradnl"/>
        </w:rPr>
        <w:t>3</w:t>
      </w:r>
      <w:r w:rsidRPr="00CC69B2">
        <w:rPr>
          <w:rFonts w:eastAsia="MS Mincho"/>
          <w:lang w:val="es-ES_tradnl"/>
        </w:rPr>
        <w:tab/>
      </w:r>
      <w:bookmarkEnd w:id="74"/>
      <w:r w:rsidRPr="00CC69B2">
        <w:rPr>
          <w:rFonts w:eastAsia="MS Mincho"/>
          <w:lang w:val="es-ES_tradnl"/>
        </w:rPr>
        <w:t>Procedimientos de medición de los parámetros de comprobación técnica y de estaciones de radiogoniometría</w:t>
      </w:r>
      <w:bookmarkEnd w:id="75"/>
      <w:bookmarkEnd w:id="76"/>
      <w:bookmarkEnd w:id="77"/>
      <w:bookmarkEnd w:id="78"/>
      <w:bookmarkEnd w:id="79"/>
      <w:bookmarkEnd w:id="80"/>
      <w:bookmarkEnd w:id="81"/>
    </w:p>
    <w:p w:rsidR="00F97D17" w:rsidRPr="0063018E" w:rsidRDefault="00304D67" w:rsidP="00991712">
      <w:pPr>
        <w:rPr>
          <w:lang w:val="es-ES_tradnl"/>
        </w:rPr>
      </w:pPr>
      <w:r>
        <w:rPr>
          <w:lang w:val="es-ES_tradnl"/>
        </w:rPr>
        <w:t>En la Fig. 3</w:t>
      </w:r>
      <w:r w:rsidR="00F97D17" w:rsidRPr="0063018E">
        <w:rPr>
          <w:lang w:val="es-ES_tradnl"/>
        </w:rPr>
        <w:t xml:space="preserve"> aparece un diagrama de bloques típico de una estación de comprobación técnica del espectro (así como de estación de radiogoniometría).</w:t>
      </w:r>
    </w:p>
    <w:p w:rsidR="00F97D17" w:rsidRPr="0063018E" w:rsidRDefault="00F97D17" w:rsidP="00991712">
      <w:pPr>
        <w:rPr>
          <w:lang w:val="es-ES_tradnl"/>
        </w:rPr>
      </w:pPr>
      <w:r w:rsidRPr="0063018E">
        <w:rPr>
          <w:lang w:val="es-ES_tradnl"/>
        </w:rPr>
        <w:t>Pueden definirse varios puntos de medición para caracterizar la antena (P1), la cadena de recepción (P2) o el receptor (P3).</w:t>
      </w:r>
    </w:p>
    <w:p w:rsidR="00F97D17" w:rsidRPr="00CC69B2" w:rsidRDefault="00F97D17" w:rsidP="00991712">
      <w:pPr>
        <w:pStyle w:val="FigureNo"/>
        <w:rPr>
          <w:rFonts w:eastAsia="MS Mincho"/>
          <w:lang w:val="es-ES_tradnl"/>
        </w:rPr>
      </w:pPr>
      <w:r w:rsidRPr="00CC69B2">
        <w:rPr>
          <w:rFonts w:eastAsia="MS Mincho"/>
          <w:lang w:val="es-ES_tradnl"/>
        </w:rPr>
        <w:t>FIGURa 3</w:t>
      </w:r>
    </w:p>
    <w:p w:rsidR="00F97D17" w:rsidRDefault="00F97D17" w:rsidP="00991712">
      <w:pPr>
        <w:pStyle w:val="Figuretitle"/>
        <w:rPr>
          <w:rFonts w:eastAsia="MS Mincho"/>
          <w:lang w:val="es-ES_tradnl"/>
        </w:rPr>
      </w:pPr>
      <w:r w:rsidRPr="00CC69B2">
        <w:rPr>
          <w:rFonts w:eastAsia="MS Mincho"/>
          <w:lang w:val="es-ES_tradnl"/>
        </w:rPr>
        <w:t>Diagrama de bloques de una estación de comprobación técnica/radiogoniometría</w:t>
      </w:r>
      <w:r w:rsidRPr="00CC69B2">
        <w:rPr>
          <w:rFonts w:eastAsia="MS Mincho"/>
          <w:lang w:val="es-ES_tradnl"/>
        </w:rPr>
        <w:br/>
        <w:t>en ondas decamétricas/métricas/decimétricas</w:t>
      </w:r>
    </w:p>
    <w:p w:rsidR="00304D67" w:rsidRPr="00E55BA6" w:rsidRDefault="00304D67" w:rsidP="00304D67">
      <w:pPr>
        <w:pStyle w:val="Blanc"/>
        <w:rPr>
          <w:rFonts w:eastAsia="MS Mincho"/>
          <w:lang w:val="es-ES_tradnl"/>
        </w:rPr>
      </w:pPr>
    </w:p>
    <w:p w:rsidR="00991712" w:rsidRPr="00991712" w:rsidRDefault="00991712" w:rsidP="00991712">
      <w:pPr>
        <w:pStyle w:val="Figure"/>
        <w:rPr>
          <w:rFonts w:eastAsia="MS Mincho"/>
          <w:lang w:val="es-ES_tradnl"/>
        </w:rPr>
      </w:pPr>
      <w:r>
        <w:rPr>
          <w:rFonts w:eastAsia="MS Mincho"/>
          <w:lang w:val="es-ES_tradnl"/>
        </w:rPr>
        <w:object w:dxaOrig="8271" w:dyaOrig="1942">
          <v:shape id="_x0000_i1027" type="#_x0000_t75" style="width:465pt;height:109.5pt" o:ole="">
            <v:imagedata r:id="rId19" o:title=""/>
          </v:shape>
          <o:OLEObject Type="Embed" ProgID="CorelDRAW.Graphic.14" ShapeID="_x0000_i1027" DrawAspect="Content" ObjectID="_1413614797" r:id="rId20"/>
        </w:object>
      </w:r>
    </w:p>
    <w:p w:rsidR="00F97D17" w:rsidRPr="00CC69B2" w:rsidRDefault="00F97D17" w:rsidP="00304D67">
      <w:pPr>
        <w:pStyle w:val="Normalaftertitle"/>
        <w:rPr>
          <w:lang w:val="es-ES_tradnl"/>
        </w:rPr>
      </w:pPr>
      <w:r w:rsidRPr="00CC69B2">
        <w:rPr>
          <w:lang w:val="es-ES_tradnl"/>
        </w:rPr>
        <w:t>La antena está constituida generalmente por un cierto número de antenas elementales (de dipolo o de otro tipo). Estas antenas elementales pueden contener amplificadores conmutables, células de adaptación, etc. Estos componentes deben ser parte integrante de la antena si están asociados a una sola antena elemental.</w:t>
      </w:r>
    </w:p>
    <w:p w:rsidR="00F97D17" w:rsidRPr="0063018E" w:rsidRDefault="00F97D17" w:rsidP="00991712">
      <w:pPr>
        <w:rPr>
          <w:lang w:val="es-ES_tradnl"/>
        </w:rPr>
      </w:pPr>
      <w:r w:rsidRPr="0063018E">
        <w:rPr>
          <w:lang w:val="es-ES_tradnl"/>
        </w:rPr>
        <w:t>Por otro lado, los conmutadores de antena utilizados para seleccionar varias antenas elementales (de radiogoniometría o de comprobación técnica) no deberán considerarse partes integrantes de la antena sino del conmutador de antena en la cadena de recepción. De forma similar, los amplificadores, los filtros comunes a varias antenas elementales y los componentes de cambio o transposición de frecuencia no deberán considerarse parte de la antena sino parte de la cadena de recepción.</w:t>
      </w:r>
    </w:p>
    <w:p w:rsidR="00F97D17" w:rsidRPr="0063018E" w:rsidRDefault="00F97D17" w:rsidP="00991712">
      <w:pPr>
        <w:rPr>
          <w:lang w:val="es-ES_tradnl"/>
        </w:rPr>
      </w:pPr>
      <w:r w:rsidRPr="0063018E">
        <w:rPr>
          <w:lang w:val="es-ES_tradnl"/>
        </w:rPr>
        <w:lastRenderedPageBreak/>
        <w:t>Este punto describe las mediciones realizadas en la antena (P1) y en la cadena de recepción (P2); las mediciones efectuadas en el receptor de comprobación técnica (P3) se describen en el § 2.</w:t>
      </w:r>
    </w:p>
    <w:p w:rsidR="00F97D17" w:rsidRPr="0063018E" w:rsidRDefault="00F97D17" w:rsidP="00991712">
      <w:pPr>
        <w:rPr>
          <w:lang w:val="es-ES_tradnl"/>
        </w:rPr>
      </w:pPr>
      <w:r w:rsidRPr="0063018E">
        <w:rPr>
          <w:lang w:val="es-ES_tradnl"/>
        </w:rPr>
        <w:t>Los cables utilizados para mediciones en la estación (y en la cadena de recepción) deben ser representativos de una estación operativa:</w:t>
      </w:r>
    </w:p>
    <w:p w:rsidR="00F97D17" w:rsidRPr="00CC69B2" w:rsidRDefault="00F97D17" w:rsidP="00991712">
      <w:pPr>
        <w:pStyle w:val="enumlev1"/>
        <w:rPr>
          <w:lang w:val="es-ES_tradnl"/>
        </w:rPr>
      </w:pPr>
      <w:r w:rsidRPr="00CC69B2">
        <w:rPr>
          <w:lang w:val="es-ES_tradnl"/>
        </w:rPr>
        <w:t>–</w:t>
      </w:r>
      <w:r w:rsidRPr="00CC69B2">
        <w:rPr>
          <w:lang w:val="es-ES_tradnl"/>
        </w:rPr>
        <w:tab/>
        <w:t xml:space="preserve">para una estación móvil, los cables utilizados para las pruebas deberán ser de </w:t>
      </w:r>
      <w:smartTag w:uri="urn:schemas-microsoft-com:office:smarttags" w:element="metricconverter">
        <w:smartTagPr>
          <w:attr w:name="ProductID" w:val="10ﾠm"/>
        </w:smartTagPr>
        <w:r w:rsidRPr="00CC69B2">
          <w:rPr>
            <w:lang w:val="es-ES_tradnl"/>
          </w:rPr>
          <w:t>10 m</w:t>
        </w:r>
      </w:smartTag>
      <w:r w:rsidRPr="00CC69B2">
        <w:rPr>
          <w:lang w:val="es-ES_tradnl"/>
        </w:rPr>
        <w:t>;</w:t>
      </w:r>
    </w:p>
    <w:p w:rsidR="00F97D17" w:rsidRPr="00CC69B2" w:rsidRDefault="00F97D17" w:rsidP="00991712">
      <w:pPr>
        <w:pStyle w:val="enumlev1"/>
        <w:rPr>
          <w:lang w:val="es-ES_tradnl"/>
        </w:rPr>
      </w:pPr>
      <w:r w:rsidRPr="00CC69B2">
        <w:rPr>
          <w:lang w:val="es-ES_tradnl"/>
        </w:rPr>
        <w:t>–</w:t>
      </w:r>
      <w:r w:rsidRPr="00CC69B2">
        <w:rPr>
          <w:lang w:val="es-ES_tradnl"/>
        </w:rPr>
        <w:tab/>
        <w:t xml:space="preserve">para una estación fija, los cables utilizados para las pruebas serán de </w:t>
      </w:r>
      <w:smartTag w:uri="urn:schemas-microsoft-com:office:smarttags" w:element="metricconverter">
        <w:smartTagPr>
          <w:attr w:name="ProductID" w:val="20 m"/>
        </w:smartTagPr>
        <w:r w:rsidRPr="00CC69B2">
          <w:rPr>
            <w:lang w:val="es-ES_tradnl"/>
          </w:rPr>
          <w:t>20 m</w:t>
        </w:r>
      </w:smartTag>
      <w:r w:rsidRPr="00CC69B2">
        <w:rPr>
          <w:lang w:val="es-ES_tradnl"/>
        </w:rPr>
        <w:t>.</w:t>
      </w:r>
    </w:p>
    <w:p w:rsidR="00F97D17" w:rsidRPr="00CC69B2" w:rsidRDefault="00F97D17" w:rsidP="00991712">
      <w:pPr>
        <w:pStyle w:val="Heading2"/>
        <w:rPr>
          <w:lang w:val="es-ES_tradnl"/>
        </w:rPr>
      </w:pPr>
      <w:bookmarkStart w:id="83" w:name="_Toc169706701"/>
      <w:bookmarkStart w:id="84" w:name="_Toc199305948"/>
      <w:bookmarkStart w:id="85" w:name="_Toc302381333"/>
      <w:bookmarkStart w:id="86" w:name="_Toc303861575"/>
      <w:bookmarkStart w:id="87" w:name="_Toc303861627"/>
      <w:bookmarkStart w:id="88" w:name="_Toc303861710"/>
      <w:bookmarkStart w:id="89" w:name="_Toc303862776"/>
      <w:bookmarkStart w:id="90" w:name="_Toc303866488"/>
      <w:r w:rsidRPr="00CC69B2">
        <w:rPr>
          <w:lang w:val="es-ES_tradnl"/>
        </w:rPr>
        <w:t>3.1</w:t>
      </w:r>
      <w:r w:rsidRPr="00CC69B2">
        <w:rPr>
          <w:lang w:val="es-ES_tradnl"/>
        </w:rPr>
        <w:tab/>
        <w:t xml:space="preserve">Mediciones de </w:t>
      </w:r>
      <w:r w:rsidRPr="00CC69B2">
        <w:rPr>
          <w:rFonts w:eastAsia="MS Mincho"/>
          <w:lang w:val="es-ES_tradnl"/>
        </w:rPr>
        <w:t>IP</w:t>
      </w:r>
      <w:r w:rsidRPr="00CC69B2">
        <w:rPr>
          <w:rFonts w:eastAsia="MS Mincho"/>
          <w:vertAlign w:val="subscript"/>
          <w:lang w:val="es-ES_tradnl"/>
        </w:rPr>
        <w:t>2</w:t>
      </w:r>
      <w:r w:rsidRPr="00CC69B2">
        <w:rPr>
          <w:lang w:val="es-ES_tradnl"/>
        </w:rPr>
        <w:t>/</w:t>
      </w:r>
      <w:r w:rsidRPr="00CC69B2">
        <w:rPr>
          <w:rFonts w:eastAsia="MS Mincho"/>
          <w:lang w:val="es-ES_tradnl"/>
        </w:rPr>
        <w:t>IP</w:t>
      </w:r>
      <w:r w:rsidRPr="00CC69B2">
        <w:rPr>
          <w:rFonts w:eastAsia="MS Mincho"/>
          <w:vertAlign w:val="subscript"/>
          <w:lang w:val="es-ES_tradnl"/>
        </w:rPr>
        <w:t>3</w:t>
      </w:r>
      <w:r w:rsidRPr="00CC69B2">
        <w:rPr>
          <w:lang w:val="es-ES_tradnl"/>
        </w:rPr>
        <w:t xml:space="preserve"> </w:t>
      </w:r>
      <w:bookmarkEnd w:id="83"/>
      <w:r w:rsidRPr="00CC69B2">
        <w:rPr>
          <w:lang w:val="es-ES_tradnl"/>
        </w:rPr>
        <w:t>en una estación de comprobación técnica y de radiogoniometría</w:t>
      </w:r>
      <w:bookmarkEnd w:id="84"/>
      <w:bookmarkEnd w:id="85"/>
      <w:bookmarkEnd w:id="86"/>
      <w:bookmarkEnd w:id="87"/>
      <w:bookmarkEnd w:id="88"/>
      <w:bookmarkEnd w:id="89"/>
      <w:bookmarkEnd w:id="90"/>
    </w:p>
    <w:p w:rsidR="00F97D17" w:rsidRPr="0063018E" w:rsidRDefault="00F97D17" w:rsidP="00991712">
      <w:pPr>
        <w:rPr>
          <w:lang w:val="es-ES_tradnl"/>
        </w:rPr>
      </w:pPr>
      <w:r w:rsidRPr="0063018E">
        <w:rPr>
          <w:lang w:val="es-ES_tradnl"/>
        </w:rPr>
        <w:t>Las mediciones de intermodulación dependen de las condiciones en que se realicen. En consecuencia, para que los usuarios finales puedan comparar el comportamiento de los receptores de comprobación técnica y de las estaciones de comprobación técnica del espectro y de radiogoniometría es importante especificar los procedimientos para medir los productos de intermodulación de segundo orden (</w:t>
      </w:r>
      <w:r w:rsidRPr="0063018E">
        <w:rPr>
          <w:rFonts w:eastAsia="MS Mincho"/>
          <w:lang w:val="es-ES_tradnl"/>
        </w:rPr>
        <w:t>IP</w:t>
      </w:r>
      <w:r w:rsidRPr="0063018E">
        <w:rPr>
          <w:rFonts w:eastAsia="MS Mincho"/>
          <w:vertAlign w:val="subscript"/>
          <w:lang w:val="es-ES_tradnl"/>
        </w:rPr>
        <w:t>2</w:t>
      </w:r>
      <w:r w:rsidRPr="0063018E">
        <w:rPr>
          <w:lang w:val="es-ES_tradnl"/>
        </w:rPr>
        <w:t>) y de tercer orden (</w:t>
      </w:r>
      <w:r w:rsidRPr="0063018E">
        <w:rPr>
          <w:rFonts w:eastAsia="MS Mincho"/>
          <w:lang w:val="es-ES_tradnl"/>
        </w:rPr>
        <w:t>IP</w:t>
      </w:r>
      <w:r w:rsidRPr="0063018E">
        <w:rPr>
          <w:rFonts w:eastAsia="MS Mincho"/>
          <w:vertAlign w:val="subscript"/>
          <w:lang w:val="es-ES_tradnl"/>
        </w:rPr>
        <w:t>3</w:t>
      </w:r>
      <w:r w:rsidRPr="0063018E">
        <w:rPr>
          <w:lang w:val="es-ES_tradnl"/>
        </w:rPr>
        <w:t>).</w:t>
      </w:r>
    </w:p>
    <w:p w:rsidR="00F97D17" w:rsidRPr="0063018E" w:rsidRDefault="00F97D17" w:rsidP="00991712">
      <w:pPr>
        <w:rPr>
          <w:lang w:val="es-ES_tradnl"/>
        </w:rPr>
      </w:pPr>
      <w:r w:rsidRPr="0063018E">
        <w:rPr>
          <w:lang w:val="es-ES_tradnl"/>
        </w:rPr>
        <w:t>Los productos de intermodulación de segundo y tercer orden se generan a todos los niveles en una estación de comprobación técnica del espectro o de radiogoniometría: en las antenas (antenas de radiogoniometría y/o de escucha) en los conmutadores de antena y en los cables, y en el receptor.</w:t>
      </w:r>
    </w:p>
    <w:p w:rsidR="00F97D17" w:rsidRPr="0063018E" w:rsidRDefault="00F97D17" w:rsidP="00991712">
      <w:pPr>
        <w:rPr>
          <w:lang w:val="es-ES_tradnl"/>
        </w:rPr>
      </w:pPr>
      <w:r w:rsidRPr="0063018E">
        <w:rPr>
          <w:lang w:val="es-ES_tradnl"/>
        </w:rPr>
        <w:t>Por consiguiente, para poder comprender los fenómenos resultantes de la intermodulación es necesario conocer la intermodulación generada por toda la estación de comprobación técnica.</w:t>
      </w:r>
    </w:p>
    <w:p w:rsidR="00F97D17" w:rsidRPr="0063018E" w:rsidRDefault="00F97D17" w:rsidP="00991712">
      <w:pPr>
        <w:rPr>
          <w:lang w:val="es-ES_tradnl"/>
        </w:rPr>
      </w:pPr>
      <w:r w:rsidRPr="0063018E">
        <w:rPr>
          <w:lang w:val="es-ES_tradnl"/>
        </w:rPr>
        <w:t xml:space="preserve">En el ejemplo que se expone gráficamente en la Fig. 4, el </w:t>
      </w:r>
      <w:r w:rsidRPr="0063018E">
        <w:rPr>
          <w:rFonts w:eastAsia="MS Mincho"/>
          <w:lang w:val="es-ES_tradnl"/>
        </w:rPr>
        <w:t>IP</w:t>
      </w:r>
      <w:r w:rsidRPr="0063018E">
        <w:rPr>
          <w:rFonts w:eastAsia="MS Mincho"/>
          <w:vertAlign w:val="subscript"/>
          <w:lang w:val="es-ES_tradnl"/>
        </w:rPr>
        <w:t>3</w:t>
      </w:r>
      <w:r w:rsidRPr="0063018E">
        <w:rPr>
          <w:lang w:val="es-ES_tradnl"/>
        </w:rPr>
        <w:t xml:space="preserve"> del receptor es 20 dBm, pero el mismo </w:t>
      </w:r>
      <w:r w:rsidRPr="0063018E">
        <w:rPr>
          <w:rFonts w:eastAsia="MS Mincho"/>
          <w:lang w:val="es-ES_tradnl"/>
        </w:rPr>
        <w:t>IP</w:t>
      </w:r>
      <w:r w:rsidRPr="0063018E">
        <w:rPr>
          <w:rFonts w:eastAsia="MS Mincho"/>
          <w:vertAlign w:val="subscript"/>
          <w:lang w:val="es-ES_tradnl"/>
        </w:rPr>
        <w:t>3</w:t>
      </w:r>
      <w:r w:rsidRPr="0063018E">
        <w:rPr>
          <w:lang w:val="es-ES_tradnl"/>
        </w:rPr>
        <w:t xml:space="preserve"> medido a la salida de la antena se reduce a 7,5 dBm. Este ejemplo muestra que el comportamiento del receptor no refleja necesariamente el comportamiento de la estación</w:t>
      </w:r>
    </w:p>
    <w:bookmarkEnd w:id="82"/>
    <w:p w:rsidR="00F97D17" w:rsidRPr="00CC69B2" w:rsidRDefault="00F97D17" w:rsidP="00991712">
      <w:pPr>
        <w:pStyle w:val="FigureNo"/>
        <w:rPr>
          <w:rFonts w:eastAsia="MS Mincho"/>
          <w:lang w:val="es-ES_tradnl"/>
        </w:rPr>
      </w:pPr>
      <w:r w:rsidRPr="00CC69B2">
        <w:rPr>
          <w:rFonts w:eastAsia="MS Mincho"/>
          <w:lang w:val="es-ES_tradnl"/>
        </w:rPr>
        <w:t>FIGURa 4</w:t>
      </w:r>
    </w:p>
    <w:p w:rsidR="00F97D17" w:rsidRDefault="00F97D17" w:rsidP="00991712">
      <w:pPr>
        <w:pStyle w:val="Figuretitle"/>
        <w:rPr>
          <w:rFonts w:eastAsia="MS Mincho"/>
          <w:lang w:val="es-ES_tradnl"/>
        </w:rPr>
      </w:pPr>
      <w:r w:rsidRPr="00CC69B2">
        <w:rPr>
          <w:rFonts w:eastAsia="MS Mincho"/>
          <w:lang w:val="es-ES_tradnl"/>
        </w:rPr>
        <w:t>Ejemplo de la medición del IP</w:t>
      </w:r>
      <w:r w:rsidRPr="00CC69B2">
        <w:rPr>
          <w:rFonts w:eastAsia="MS Mincho"/>
          <w:szCs w:val="24"/>
          <w:vertAlign w:val="subscript"/>
          <w:lang w:val="es-ES_tradnl"/>
        </w:rPr>
        <w:t>3</w:t>
      </w:r>
      <w:r w:rsidRPr="00CC69B2">
        <w:rPr>
          <w:rFonts w:eastAsia="MS Mincho"/>
          <w:lang w:val="es-ES_tradnl"/>
        </w:rPr>
        <w:t xml:space="preserve"> de una estación</w:t>
      </w:r>
    </w:p>
    <w:p w:rsidR="00F97D17" w:rsidRDefault="00BD5DAF" w:rsidP="00991712">
      <w:pPr>
        <w:pStyle w:val="Figure"/>
      </w:pPr>
      <w:r>
        <w:object w:dxaOrig="6490" w:dyaOrig="1776">
          <v:shape id="_x0000_i1028" type="#_x0000_t75" style="width:363.75pt;height:100.5pt" o:ole="">
            <v:imagedata r:id="rId21" o:title=""/>
          </v:shape>
          <o:OLEObject Type="Embed" ProgID="CorelDRAW.Graphic.14" ShapeID="_x0000_i1028" DrawAspect="Content" ObjectID="_1413614798" r:id="rId22"/>
        </w:object>
      </w:r>
    </w:p>
    <w:p w:rsidR="00F97D17" w:rsidRPr="00CC69B2" w:rsidRDefault="00F97D17" w:rsidP="00304D67">
      <w:pPr>
        <w:pStyle w:val="Normalaftertitle"/>
        <w:rPr>
          <w:lang w:val="es-ES_tradnl"/>
        </w:rPr>
      </w:pPr>
      <w:r w:rsidRPr="00CC69B2">
        <w:rPr>
          <w:lang w:val="es-ES_tradnl"/>
        </w:rPr>
        <w:t xml:space="preserve">Las antenas pueden generar productos de intermodulación que deben caracterizarse. Estas no linealidades vienen producidas por elementos activos y/o transformadores de adaptación. Realizando una medición se obtendrá el valor de salida de los </w:t>
      </w:r>
      <w:r w:rsidRPr="00CC69B2">
        <w:rPr>
          <w:rFonts w:eastAsia="MS Mincho"/>
          <w:lang w:val="es-ES_tradnl"/>
        </w:rPr>
        <w:t>IP</w:t>
      </w:r>
      <w:r w:rsidRPr="00CC69B2">
        <w:rPr>
          <w:rFonts w:eastAsia="MS Mincho"/>
          <w:vertAlign w:val="subscript"/>
          <w:lang w:val="es-ES_tradnl"/>
        </w:rPr>
        <w:t>2</w:t>
      </w:r>
      <w:r w:rsidRPr="00CC69B2">
        <w:rPr>
          <w:lang w:val="es-ES_tradnl"/>
        </w:rPr>
        <w:t xml:space="preserve"> e </w:t>
      </w:r>
      <w:r w:rsidRPr="00CC69B2">
        <w:rPr>
          <w:rFonts w:eastAsia="MS Mincho"/>
          <w:lang w:val="es-ES_tradnl"/>
        </w:rPr>
        <w:t>IP</w:t>
      </w:r>
      <w:r w:rsidRPr="00CC69B2">
        <w:rPr>
          <w:rFonts w:eastAsia="MS Mincho"/>
          <w:vertAlign w:val="subscript"/>
          <w:lang w:val="es-ES_tradnl"/>
        </w:rPr>
        <w:t>3</w:t>
      </w:r>
      <w:r w:rsidRPr="00CC69B2">
        <w:rPr>
          <w:lang w:val="es-ES_tradnl"/>
        </w:rPr>
        <w:t xml:space="preserve"> de las antenas (P1).</w:t>
      </w:r>
    </w:p>
    <w:p w:rsidR="00F97D17" w:rsidRPr="0063018E" w:rsidRDefault="00F97D17" w:rsidP="00991712">
      <w:pPr>
        <w:rPr>
          <w:lang w:val="es-ES_tradnl"/>
        </w:rPr>
      </w:pPr>
      <w:r w:rsidRPr="0063018E">
        <w:rPr>
          <w:lang w:val="es-ES_tradnl"/>
        </w:rPr>
        <w:t xml:space="preserve">Los valores de los </w:t>
      </w:r>
      <w:r w:rsidRPr="0063018E">
        <w:rPr>
          <w:rFonts w:eastAsia="MS Mincho"/>
          <w:lang w:val="es-ES_tradnl"/>
        </w:rPr>
        <w:t>IP</w:t>
      </w:r>
      <w:r w:rsidRPr="0063018E">
        <w:rPr>
          <w:rFonts w:eastAsia="MS Mincho"/>
          <w:vertAlign w:val="subscript"/>
          <w:lang w:val="es-ES_tradnl"/>
        </w:rPr>
        <w:t>2</w:t>
      </w:r>
      <w:r w:rsidRPr="0063018E">
        <w:rPr>
          <w:lang w:val="es-ES_tradnl"/>
        </w:rPr>
        <w:t xml:space="preserve"> e </w:t>
      </w:r>
      <w:r w:rsidRPr="0063018E">
        <w:rPr>
          <w:rFonts w:eastAsia="MS Mincho"/>
          <w:lang w:val="es-ES_tradnl"/>
        </w:rPr>
        <w:t>IP</w:t>
      </w:r>
      <w:r w:rsidRPr="0063018E">
        <w:rPr>
          <w:rFonts w:eastAsia="MS Mincho"/>
          <w:vertAlign w:val="subscript"/>
          <w:lang w:val="es-ES_tradnl"/>
        </w:rPr>
        <w:t>3</w:t>
      </w:r>
      <w:r w:rsidRPr="0063018E">
        <w:rPr>
          <w:lang w:val="es-ES_tradnl"/>
        </w:rPr>
        <w:t xml:space="preserve"> de la cadena de recepción deberán medirse en la estación completa sin su antena y se darán a la entrada de la cadena de recepción (P2).</w:t>
      </w:r>
    </w:p>
    <w:p w:rsidR="00F97D17" w:rsidRPr="0063018E" w:rsidRDefault="00F97D17" w:rsidP="00BD5DAF">
      <w:pPr>
        <w:rPr>
          <w:lang w:val="es-ES_tradnl"/>
        </w:rPr>
      </w:pPr>
      <w:r w:rsidRPr="0063018E">
        <w:rPr>
          <w:lang w:val="es-ES_tradnl"/>
        </w:rPr>
        <w:t xml:space="preserve">En el § 2.1 se describen las mediciones de los </w:t>
      </w:r>
      <w:r w:rsidRPr="0063018E">
        <w:rPr>
          <w:rFonts w:eastAsia="MS Mincho"/>
          <w:lang w:val="es-ES_tradnl"/>
        </w:rPr>
        <w:t>IP</w:t>
      </w:r>
      <w:r w:rsidRPr="0063018E">
        <w:rPr>
          <w:rFonts w:eastAsia="MS Mincho"/>
          <w:vertAlign w:val="subscript"/>
          <w:lang w:val="es-ES_tradnl"/>
        </w:rPr>
        <w:t>2</w:t>
      </w:r>
      <w:r w:rsidRPr="0063018E">
        <w:rPr>
          <w:lang w:val="es-ES_tradnl"/>
        </w:rPr>
        <w:t xml:space="preserve"> e </w:t>
      </w:r>
      <w:r w:rsidRPr="0063018E">
        <w:rPr>
          <w:rFonts w:eastAsia="MS Mincho"/>
          <w:lang w:val="es-ES_tradnl"/>
        </w:rPr>
        <w:t>IP</w:t>
      </w:r>
      <w:r w:rsidRPr="0063018E">
        <w:rPr>
          <w:rFonts w:eastAsia="MS Mincho"/>
          <w:vertAlign w:val="subscript"/>
          <w:lang w:val="es-ES_tradnl"/>
        </w:rPr>
        <w:t>3</w:t>
      </w:r>
      <w:r w:rsidRPr="0063018E">
        <w:rPr>
          <w:rFonts w:eastAsia="MS Mincho"/>
          <w:lang w:val="es-ES_tradnl"/>
        </w:rPr>
        <w:t xml:space="preserve"> </w:t>
      </w:r>
      <w:r w:rsidRPr="0063018E">
        <w:rPr>
          <w:lang w:val="es-ES_tradnl"/>
        </w:rPr>
        <w:t>del receptor de comprobación técnica.</w:t>
      </w:r>
    </w:p>
    <w:p w:rsidR="00F97D17" w:rsidRPr="00CC69B2" w:rsidRDefault="00F97D17" w:rsidP="00BD5DAF">
      <w:pPr>
        <w:pStyle w:val="Heading3"/>
        <w:rPr>
          <w:lang w:val="es-ES_tradnl"/>
        </w:rPr>
      </w:pPr>
      <w:r w:rsidRPr="00CC69B2">
        <w:rPr>
          <w:lang w:val="es-ES_tradnl"/>
        </w:rPr>
        <w:t>3.1.1</w:t>
      </w:r>
      <w:r w:rsidRPr="00CC69B2">
        <w:rPr>
          <w:lang w:val="es-ES_tradnl"/>
        </w:rPr>
        <w:tab/>
        <w:t xml:space="preserve">Medición del </w:t>
      </w:r>
      <w:r w:rsidRPr="00CC69B2">
        <w:rPr>
          <w:rFonts w:eastAsia="MS Mincho"/>
          <w:lang w:val="es-ES_tradnl"/>
        </w:rPr>
        <w:t>IP</w:t>
      </w:r>
      <w:r w:rsidRPr="00CC69B2">
        <w:rPr>
          <w:rFonts w:eastAsia="MS Mincho"/>
          <w:vertAlign w:val="subscript"/>
          <w:lang w:val="es-ES_tradnl"/>
        </w:rPr>
        <w:t>2</w:t>
      </w:r>
      <w:r>
        <w:rPr>
          <w:lang w:val="es-ES_tradnl"/>
        </w:rPr>
        <w:t xml:space="preserve"> </w:t>
      </w:r>
      <w:r w:rsidRPr="00CC69B2">
        <w:rPr>
          <w:lang w:val="es-ES_tradnl"/>
        </w:rPr>
        <w:t xml:space="preserve">y del </w:t>
      </w:r>
      <w:r w:rsidRPr="00CC69B2">
        <w:rPr>
          <w:rFonts w:eastAsia="MS Mincho"/>
          <w:lang w:val="es-ES_tradnl"/>
        </w:rPr>
        <w:t>IP</w:t>
      </w:r>
      <w:r w:rsidRPr="00CC69B2">
        <w:rPr>
          <w:rFonts w:eastAsia="MS Mincho"/>
          <w:vertAlign w:val="subscript"/>
          <w:lang w:val="es-ES_tradnl"/>
        </w:rPr>
        <w:t>3</w:t>
      </w:r>
      <w:r w:rsidRPr="00CC69B2">
        <w:rPr>
          <w:rFonts w:eastAsia="MS Mincho"/>
          <w:lang w:val="es-ES_tradnl"/>
        </w:rPr>
        <w:t xml:space="preserve"> de la antena</w:t>
      </w:r>
    </w:p>
    <w:p w:rsidR="00F97D17" w:rsidRPr="0063018E" w:rsidRDefault="00F97D17" w:rsidP="00991712">
      <w:pPr>
        <w:rPr>
          <w:lang w:val="es-ES_tradnl"/>
        </w:rPr>
      </w:pPr>
      <w:r w:rsidRPr="0063018E">
        <w:rPr>
          <w:lang w:val="es-ES_tradnl"/>
        </w:rPr>
        <w:t>Las señales de prueba se aplican mediante una antena de transmisión.</w:t>
      </w:r>
    </w:p>
    <w:p w:rsidR="00F97D17" w:rsidRPr="0063018E" w:rsidRDefault="00F97D17" w:rsidP="00991712">
      <w:pPr>
        <w:rPr>
          <w:lang w:val="es-ES_tradnl"/>
        </w:rPr>
      </w:pPr>
      <w:r w:rsidRPr="0063018E">
        <w:rPr>
          <w:lang w:val="es-ES_tradnl"/>
        </w:rPr>
        <w:t>La principal diferencia con el procedimiento realizado en el receptor es que la referencia de medición es la salida de la antena y, por consiguiente, las fórmulas son ligeramente distintas:</w:t>
      </w:r>
    </w:p>
    <w:p w:rsidR="00F97D17" w:rsidRPr="0063018E" w:rsidRDefault="00F97D17" w:rsidP="00991712">
      <w:pPr>
        <w:rPr>
          <w:lang w:val="es-ES_tradnl"/>
        </w:rPr>
      </w:pPr>
      <w:r w:rsidRPr="0063018E">
        <w:rPr>
          <w:lang w:val="es-ES_tradnl"/>
        </w:rPr>
        <w:t>El producto de intermodulación de segundo orden a la salida de la antena se calculará, por tanto, como sigue:</w:t>
      </w:r>
    </w:p>
    <w:p w:rsidR="00F97D17" w:rsidRPr="00CC69B2" w:rsidRDefault="00991712" w:rsidP="00991712">
      <w:pPr>
        <w:pStyle w:val="Equation"/>
        <w:rPr>
          <w:lang w:val="es-ES_tradnl"/>
        </w:rPr>
      </w:pPr>
      <w:r>
        <w:rPr>
          <w:rFonts w:eastAsia="MS Mincho"/>
          <w:lang w:val="es-ES_tradnl"/>
        </w:rPr>
        <w:lastRenderedPageBreak/>
        <w:tab/>
      </w:r>
      <w:r w:rsidR="00F97D17" w:rsidRPr="00CC69B2">
        <w:rPr>
          <w:rFonts w:eastAsia="MS Mincho"/>
          <w:lang w:val="es-ES_tradnl"/>
        </w:rPr>
        <w:tab/>
        <w:t>IP</w:t>
      </w:r>
      <w:r w:rsidR="00F97D17" w:rsidRPr="00CC69B2">
        <w:rPr>
          <w:rFonts w:eastAsia="MS Mincho"/>
          <w:vertAlign w:val="subscript"/>
          <w:lang w:val="es-ES_tradnl"/>
        </w:rPr>
        <w:t>2</w:t>
      </w:r>
      <w:r w:rsidR="00F97D17" w:rsidRPr="00CC69B2">
        <w:rPr>
          <w:lang w:val="es-ES_tradnl"/>
        </w:rPr>
        <w:t xml:space="preserve">s = </w:t>
      </w:r>
      <w:r w:rsidR="00F97D17" w:rsidRPr="00CC69B2">
        <w:rPr>
          <w:i/>
          <w:iCs/>
          <w:lang w:val="es-ES_tradnl"/>
        </w:rPr>
        <w:t>Psalida</w:t>
      </w:r>
      <w:r w:rsidR="00F97D17" w:rsidRPr="00CC69B2">
        <w:rPr>
          <w:lang w:val="es-ES_tradnl"/>
        </w:rPr>
        <w:t xml:space="preserve"> + </w:t>
      </w:r>
      <w:r w:rsidR="00F97D17" w:rsidRPr="00CC69B2">
        <w:rPr>
          <w:i/>
          <w:iCs/>
          <w:lang w:val="es-ES_tradnl"/>
        </w:rPr>
        <w:t>a</w:t>
      </w:r>
    </w:p>
    <w:p w:rsidR="00F97D17" w:rsidRPr="0063018E" w:rsidRDefault="00F97D17" w:rsidP="00985DE2">
      <w:pPr>
        <w:rPr>
          <w:lang w:val="es-ES_tradnl"/>
        </w:rPr>
      </w:pPr>
      <w:r w:rsidRPr="0063018E">
        <w:rPr>
          <w:lang w:val="es-ES_tradnl"/>
        </w:rPr>
        <w:t>siendo:</w:t>
      </w:r>
    </w:p>
    <w:p w:rsidR="00F97D17" w:rsidRPr="00991712" w:rsidRDefault="00F97D17" w:rsidP="00991712">
      <w:pPr>
        <w:pStyle w:val="Equationlegend"/>
        <w:rPr>
          <w:lang w:val="es-ES_tradnl"/>
        </w:rPr>
      </w:pPr>
      <w:r w:rsidRPr="00B874B3">
        <w:rPr>
          <w:rFonts w:eastAsia="MS Mincho"/>
          <w:lang w:val="es-ES_tradnl"/>
        </w:rPr>
        <w:tab/>
      </w:r>
      <w:r w:rsidRPr="00991712">
        <w:rPr>
          <w:rFonts w:eastAsia="MS Mincho"/>
          <w:lang w:val="es-ES_tradnl"/>
        </w:rPr>
        <w:t>IP</w:t>
      </w:r>
      <w:r w:rsidRPr="00991712">
        <w:rPr>
          <w:rFonts w:eastAsia="MS Mincho"/>
          <w:vertAlign w:val="subscript"/>
          <w:lang w:val="es-ES_tradnl"/>
        </w:rPr>
        <w:t>2</w:t>
      </w:r>
      <w:r w:rsidRPr="00991712">
        <w:rPr>
          <w:lang w:val="es-ES_tradnl"/>
        </w:rPr>
        <w:t>s</w:t>
      </w:r>
      <w:r w:rsidR="00991712" w:rsidRPr="00E94FB2">
        <w:rPr>
          <w:sz w:val="16"/>
          <w:szCs w:val="16"/>
          <w:lang w:val="es-ES_tradnl"/>
        </w:rPr>
        <w:t xml:space="preserve"> </w:t>
      </w:r>
      <w:r w:rsidRPr="00991712">
        <w:rPr>
          <w:lang w:val="es-ES_tradnl"/>
        </w:rPr>
        <w:t>:</w:t>
      </w:r>
      <w:r w:rsidRPr="00991712">
        <w:rPr>
          <w:lang w:val="es-ES_tradnl"/>
        </w:rPr>
        <w:tab/>
        <w:t>producto de intermodulación de segundo orden a la salida de la antena</w:t>
      </w:r>
    </w:p>
    <w:p w:rsidR="00F97D17" w:rsidRPr="00991712" w:rsidRDefault="00F97D17" w:rsidP="00991712">
      <w:pPr>
        <w:pStyle w:val="Equationlegend"/>
        <w:rPr>
          <w:lang w:val="es-ES_tradnl"/>
        </w:rPr>
      </w:pPr>
      <w:r w:rsidRPr="00991712">
        <w:rPr>
          <w:lang w:val="es-ES_tradnl"/>
        </w:rPr>
        <w:tab/>
      </w:r>
      <w:r w:rsidRPr="00991712">
        <w:rPr>
          <w:i/>
          <w:iCs/>
          <w:lang w:val="es-ES_tradnl"/>
        </w:rPr>
        <w:t>Psalida</w:t>
      </w:r>
      <w:r w:rsidR="00991712" w:rsidRPr="00E94FB2">
        <w:rPr>
          <w:sz w:val="16"/>
          <w:szCs w:val="16"/>
          <w:lang w:val="es-ES_tradnl"/>
        </w:rPr>
        <w:t xml:space="preserve"> </w:t>
      </w:r>
      <w:r w:rsidRPr="00991712">
        <w:rPr>
          <w:lang w:val="es-ES_tradnl"/>
        </w:rPr>
        <w:t>:</w:t>
      </w:r>
      <w:r w:rsidRPr="00991712">
        <w:rPr>
          <w:lang w:val="es-ES_tradnl"/>
        </w:rPr>
        <w:tab/>
        <w:t>valor cuadrático medio (eficaz) de la potencia (dBm) de las dos señales de prueba aplicadas medido a la salida de la antena</w:t>
      </w:r>
    </w:p>
    <w:p w:rsidR="00F97D17" w:rsidRPr="00991712" w:rsidRDefault="00F97D17" w:rsidP="00991712">
      <w:pPr>
        <w:pStyle w:val="Equationlegend"/>
        <w:rPr>
          <w:lang w:val="es-ES_tradnl"/>
        </w:rPr>
      </w:pPr>
      <w:r w:rsidRPr="00991712">
        <w:rPr>
          <w:lang w:val="es-ES_tradnl"/>
        </w:rPr>
        <w:tab/>
      </w:r>
      <w:r w:rsidRPr="00991712">
        <w:rPr>
          <w:i/>
          <w:iCs/>
          <w:lang w:val="es-ES_tradnl"/>
        </w:rPr>
        <w:t>a</w:t>
      </w:r>
      <w:r w:rsidR="00991712" w:rsidRPr="00E94FB2">
        <w:rPr>
          <w:sz w:val="16"/>
          <w:szCs w:val="16"/>
          <w:lang w:val="es-ES_tradnl"/>
        </w:rPr>
        <w:t xml:space="preserve"> </w:t>
      </w:r>
      <w:r w:rsidRPr="00991712">
        <w:rPr>
          <w:lang w:val="es-ES_tradnl"/>
        </w:rPr>
        <w:t>:</w:t>
      </w:r>
      <w:r w:rsidRPr="00991712">
        <w:rPr>
          <w:lang w:val="es-ES_tradnl"/>
        </w:rPr>
        <w:tab/>
        <w:t>diferencia (dB) entre el nivel de las señales de prueba aplicadas y el nivel de los productos de intermodulación más elevados a la salida.</w:t>
      </w:r>
    </w:p>
    <w:p w:rsidR="00F97D17" w:rsidRPr="0063018E" w:rsidRDefault="00F97D17" w:rsidP="00991712">
      <w:pPr>
        <w:keepNext/>
        <w:keepLines/>
        <w:rPr>
          <w:rFonts w:cs="Arial"/>
          <w:lang w:val="es-ES_tradnl"/>
        </w:rPr>
      </w:pPr>
      <w:r w:rsidRPr="0063018E">
        <w:rPr>
          <w:lang w:val="es-ES_tradnl"/>
        </w:rPr>
        <w:t>El producto de intermodulación de tercer orden a la salida de la antena se calcula como sigue:</w:t>
      </w:r>
    </w:p>
    <w:p w:rsidR="005563A0" w:rsidRPr="00B874B3" w:rsidRDefault="005563A0" w:rsidP="005563A0">
      <w:pPr>
        <w:pStyle w:val="Blanc"/>
        <w:rPr>
          <w:lang w:val="es-ES_tradnl"/>
        </w:rPr>
      </w:pPr>
    </w:p>
    <w:p w:rsidR="00F97D17" w:rsidRPr="00CC69B2" w:rsidRDefault="00F97D17" w:rsidP="00991712">
      <w:pPr>
        <w:pStyle w:val="Equation"/>
        <w:rPr>
          <w:lang w:val="es-ES_tradnl"/>
        </w:rPr>
      </w:pPr>
      <w:r w:rsidRPr="00CC69B2">
        <w:rPr>
          <w:rFonts w:eastAsia="MS Mincho"/>
          <w:lang w:val="es-ES_tradnl"/>
        </w:rPr>
        <w:tab/>
      </w:r>
      <w:r w:rsidRPr="00CC69B2">
        <w:rPr>
          <w:rFonts w:eastAsia="MS Mincho"/>
          <w:lang w:val="es-ES_tradnl"/>
        </w:rPr>
        <w:tab/>
        <w:t>IP</w:t>
      </w:r>
      <w:r w:rsidRPr="00CC69B2">
        <w:rPr>
          <w:rFonts w:eastAsia="MS Mincho"/>
          <w:vertAlign w:val="subscript"/>
          <w:lang w:val="es-ES_tradnl"/>
        </w:rPr>
        <w:t>3</w:t>
      </w:r>
      <w:r w:rsidRPr="00CC69B2">
        <w:rPr>
          <w:lang w:val="es-ES_tradnl"/>
        </w:rPr>
        <w:t xml:space="preserve">s = </w:t>
      </w:r>
      <w:r w:rsidRPr="00CC69B2">
        <w:rPr>
          <w:i/>
          <w:iCs/>
          <w:lang w:val="es-ES_tradnl"/>
        </w:rPr>
        <w:t>Psalida</w:t>
      </w:r>
      <w:r w:rsidRPr="00CC69B2">
        <w:rPr>
          <w:lang w:val="es-ES_tradnl"/>
        </w:rPr>
        <w:t xml:space="preserve"> + </w:t>
      </w:r>
      <w:r w:rsidRPr="00CC69B2">
        <w:rPr>
          <w:i/>
          <w:iCs/>
          <w:lang w:val="es-ES_tradnl"/>
        </w:rPr>
        <w:t>a</w:t>
      </w:r>
      <w:r w:rsidRPr="00CC69B2">
        <w:rPr>
          <w:lang w:val="es-ES_tradnl"/>
        </w:rPr>
        <w:t>/2</w:t>
      </w:r>
    </w:p>
    <w:p w:rsidR="00F97D17" w:rsidRPr="0063018E" w:rsidRDefault="00F97D17" w:rsidP="00985DE2">
      <w:pPr>
        <w:rPr>
          <w:lang w:val="es-ES_tradnl"/>
        </w:rPr>
      </w:pPr>
      <w:r w:rsidRPr="0063018E">
        <w:rPr>
          <w:lang w:val="es-ES_tradnl"/>
        </w:rPr>
        <w:t>siendo:</w:t>
      </w:r>
    </w:p>
    <w:p w:rsidR="00F97D17" w:rsidRPr="00991712" w:rsidRDefault="00F97D17" w:rsidP="00991712">
      <w:pPr>
        <w:pStyle w:val="Equationlegend"/>
        <w:rPr>
          <w:lang w:val="es-ES_tradnl"/>
        </w:rPr>
      </w:pPr>
      <w:r w:rsidRPr="00B874B3">
        <w:rPr>
          <w:rFonts w:eastAsia="MS Mincho"/>
          <w:lang w:val="es-ES_tradnl"/>
        </w:rPr>
        <w:tab/>
      </w:r>
      <w:r w:rsidRPr="00991712">
        <w:rPr>
          <w:rFonts w:eastAsia="MS Mincho"/>
          <w:lang w:val="es-ES_tradnl"/>
        </w:rPr>
        <w:t>IP</w:t>
      </w:r>
      <w:r w:rsidRPr="00991712">
        <w:rPr>
          <w:rFonts w:eastAsia="MS Mincho"/>
          <w:vertAlign w:val="subscript"/>
          <w:lang w:val="es-ES_tradnl"/>
        </w:rPr>
        <w:t>3</w:t>
      </w:r>
      <w:r w:rsidRPr="00991712">
        <w:rPr>
          <w:lang w:val="es-ES_tradnl"/>
        </w:rPr>
        <w:t>s</w:t>
      </w:r>
      <w:r w:rsidR="00991712" w:rsidRPr="00E94FB2">
        <w:rPr>
          <w:sz w:val="16"/>
          <w:szCs w:val="16"/>
          <w:lang w:val="es-ES_tradnl"/>
        </w:rPr>
        <w:t xml:space="preserve"> </w:t>
      </w:r>
      <w:r w:rsidRPr="00991712">
        <w:rPr>
          <w:lang w:val="es-ES_tradnl"/>
        </w:rPr>
        <w:t>:</w:t>
      </w:r>
      <w:r w:rsidRPr="00991712">
        <w:rPr>
          <w:lang w:val="es-ES_tradnl"/>
        </w:rPr>
        <w:tab/>
        <w:t>producto de intermodulación de tercer orden a la salida de la antena</w:t>
      </w:r>
    </w:p>
    <w:p w:rsidR="00F97D17" w:rsidRPr="00991712" w:rsidRDefault="00F97D17" w:rsidP="00991712">
      <w:pPr>
        <w:pStyle w:val="Equationlegend"/>
        <w:rPr>
          <w:rFonts w:cs="Arial"/>
          <w:lang w:val="es-ES_tradnl"/>
        </w:rPr>
      </w:pPr>
      <w:r w:rsidRPr="00991712">
        <w:rPr>
          <w:rFonts w:cs="Arial"/>
          <w:lang w:val="es-ES_tradnl"/>
        </w:rPr>
        <w:tab/>
      </w:r>
      <w:r w:rsidRPr="00991712">
        <w:rPr>
          <w:i/>
          <w:iCs/>
          <w:lang w:val="es-ES_tradnl"/>
        </w:rPr>
        <w:t>Psalida</w:t>
      </w:r>
      <w:r w:rsidR="00991712" w:rsidRPr="00E94FB2">
        <w:rPr>
          <w:i/>
          <w:iCs/>
          <w:sz w:val="16"/>
          <w:szCs w:val="16"/>
          <w:lang w:val="es-ES_tradnl"/>
        </w:rPr>
        <w:t xml:space="preserve"> </w:t>
      </w:r>
      <w:r w:rsidRPr="00991712">
        <w:rPr>
          <w:lang w:val="es-ES_tradnl"/>
        </w:rPr>
        <w:t>:</w:t>
      </w:r>
      <w:r w:rsidRPr="00991712">
        <w:rPr>
          <w:rFonts w:cs="Arial"/>
          <w:lang w:val="es-ES_tradnl"/>
        </w:rPr>
        <w:tab/>
      </w:r>
      <w:r w:rsidRPr="00991712">
        <w:rPr>
          <w:lang w:val="es-ES_tradnl"/>
        </w:rPr>
        <w:t>valor eficaz de la potencia (dBm) de las dos señales de prueba aplicadas medido a la salida de la antena</w:t>
      </w:r>
    </w:p>
    <w:p w:rsidR="00F97D17" w:rsidRPr="00991712" w:rsidRDefault="00F97D17" w:rsidP="00991712">
      <w:pPr>
        <w:pStyle w:val="Equationlegend"/>
        <w:rPr>
          <w:lang w:val="es-ES_tradnl"/>
        </w:rPr>
      </w:pPr>
      <w:r w:rsidRPr="00991712">
        <w:rPr>
          <w:rFonts w:cs="Arial"/>
          <w:lang w:val="es-ES_tradnl"/>
        </w:rPr>
        <w:tab/>
      </w:r>
      <w:r w:rsidRPr="00991712">
        <w:rPr>
          <w:rFonts w:cs="Arial"/>
          <w:i/>
          <w:iCs/>
          <w:lang w:val="es-ES_tradnl"/>
        </w:rPr>
        <w:t>a</w:t>
      </w:r>
      <w:r w:rsidR="00991712" w:rsidRPr="00E94FB2">
        <w:rPr>
          <w:rFonts w:cs="Arial"/>
          <w:i/>
          <w:iCs/>
          <w:sz w:val="16"/>
          <w:szCs w:val="16"/>
          <w:lang w:val="es-ES_tradnl"/>
        </w:rPr>
        <w:t xml:space="preserve"> </w:t>
      </w:r>
      <w:r w:rsidRPr="00991712">
        <w:rPr>
          <w:lang w:val="es-ES_tradnl"/>
        </w:rPr>
        <w:t>:</w:t>
      </w:r>
      <w:r w:rsidRPr="00991712">
        <w:rPr>
          <w:rFonts w:cs="Arial"/>
          <w:lang w:val="es-ES_tradnl"/>
        </w:rPr>
        <w:tab/>
        <w:t>diferencia</w:t>
      </w:r>
      <w:r w:rsidRPr="00991712">
        <w:rPr>
          <w:lang w:val="es-ES_tradnl"/>
        </w:rPr>
        <w:t xml:space="preserve"> (dB) </w:t>
      </w:r>
      <w:r w:rsidRPr="00991712">
        <w:rPr>
          <w:rFonts w:cs="Arial"/>
          <w:lang w:val="es-ES_tradnl"/>
        </w:rPr>
        <w:t>entre el nivel de las señales de prueba aplicadas y el nivel de los productos de intermodulación más elevados a la salida</w:t>
      </w:r>
      <w:r w:rsidRPr="00991712">
        <w:rPr>
          <w:lang w:val="es-ES_tradnl"/>
        </w:rPr>
        <w:t>.</w:t>
      </w:r>
    </w:p>
    <w:p w:rsidR="00F97D17" w:rsidRPr="0063018E" w:rsidRDefault="00F97D17" w:rsidP="00991712">
      <w:pPr>
        <w:rPr>
          <w:lang w:val="es-ES_tradnl"/>
        </w:rPr>
      </w:pPr>
      <w:r w:rsidRPr="0063018E">
        <w:rPr>
          <w:lang w:val="es-ES_tradnl"/>
        </w:rPr>
        <w:t>Las señales a la salida de la antena deberán estar disponibles para su medición. Si no lo están debido a restricciones de integración, las mediciones deberán realizarse en una antena de referencia idéntica a aquélla en la que está disponible la señal de salida.</w:t>
      </w:r>
    </w:p>
    <w:p w:rsidR="00F97D17" w:rsidRPr="0063018E" w:rsidRDefault="00F97D17" w:rsidP="00991712">
      <w:pPr>
        <w:rPr>
          <w:lang w:val="es-ES_tradnl"/>
        </w:rPr>
      </w:pPr>
      <w:r w:rsidRPr="0063018E">
        <w:rPr>
          <w:lang w:val="es-ES_tradnl"/>
        </w:rPr>
        <w:t xml:space="preserve">El montaje de medición propuesto en la Fig. 5 (incluida la antena de transmisión) deberá tener un comportamiento mejor que el receptor de comprobación técnica medido. Los productos de intermodulación del montaje de medición deberán estar 10 dB por encima de los productos de intermodulación que van a medirse. </w:t>
      </w:r>
    </w:p>
    <w:p w:rsidR="00F97D17" w:rsidRPr="00CC69B2" w:rsidRDefault="00F97D17" w:rsidP="00991712">
      <w:pPr>
        <w:pStyle w:val="FigureNo"/>
        <w:rPr>
          <w:rFonts w:eastAsia="MS Mincho"/>
          <w:lang w:val="es-ES_tradnl"/>
        </w:rPr>
      </w:pPr>
      <w:r w:rsidRPr="00CC69B2">
        <w:rPr>
          <w:rFonts w:eastAsia="MS Mincho"/>
          <w:lang w:val="es-ES_tradnl"/>
        </w:rPr>
        <w:t>FIGURA 5</w:t>
      </w:r>
    </w:p>
    <w:p w:rsidR="00F97D17" w:rsidRDefault="00F97D17" w:rsidP="00BD5DAF">
      <w:pPr>
        <w:pStyle w:val="Figuretitle"/>
        <w:rPr>
          <w:lang w:val="es-ES_tradnl"/>
        </w:rPr>
      </w:pPr>
      <w:r w:rsidRPr="00CC69B2">
        <w:rPr>
          <w:lang w:val="es-ES_tradnl"/>
        </w:rPr>
        <w:t xml:space="preserve">Montaje de medición del </w:t>
      </w:r>
      <w:r w:rsidRPr="00CC69B2">
        <w:rPr>
          <w:rFonts w:eastAsia="MS Mincho"/>
          <w:lang w:val="es-ES_tradnl"/>
        </w:rPr>
        <w:t>IP</w:t>
      </w:r>
      <w:r w:rsidRPr="00CC69B2">
        <w:rPr>
          <w:rFonts w:eastAsia="MS Mincho"/>
          <w:vertAlign w:val="subscript"/>
          <w:lang w:val="es-ES_tradnl"/>
        </w:rPr>
        <w:t>2</w:t>
      </w:r>
      <w:r w:rsidRPr="00CC69B2">
        <w:rPr>
          <w:lang w:val="es-ES_tradnl"/>
        </w:rPr>
        <w:t>/</w:t>
      </w:r>
      <w:r w:rsidRPr="00CC69B2">
        <w:rPr>
          <w:rFonts w:eastAsia="MS Mincho"/>
          <w:lang w:val="es-ES_tradnl"/>
        </w:rPr>
        <w:t>IP</w:t>
      </w:r>
      <w:r w:rsidRPr="00CC69B2">
        <w:rPr>
          <w:rFonts w:eastAsia="MS Mincho"/>
          <w:vertAlign w:val="subscript"/>
          <w:lang w:val="es-ES_tradnl"/>
        </w:rPr>
        <w:t>3</w:t>
      </w:r>
      <w:r w:rsidRPr="00CC69B2">
        <w:rPr>
          <w:lang w:val="es-ES_tradnl"/>
        </w:rPr>
        <w:t xml:space="preserve"> de la antena</w:t>
      </w:r>
    </w:p>
    <w:p w:rsidR="00142392" w:rsidRPr="00E55BA6" w:rsidRDefault="00142392" w:rsidP="00142392">
      <w:pPr>
        <w:pStyle w:val="Blanc"/>
        <w:rPr>
          <w:rFonts w:eastAsia="MS Mincho"/>
          <w:lang w:val="es-ES_tradnl"/>
        </w:rPr>
      </w:pPr>
    </w:p>
    <w:p w:rsidR="00BD5DAF" w:rsidRPr="00BD5DAF" w:rsidRDefault="00142392" w:rsidP="00BD5DAF">
      <w:pPr>
        <w:pStyle w:val="Figure"/>
        <w:rPr>
          <w:rFonts w:eastAsia="MS Mincho"/>
          <w:lang w:val="es-ES_tradnl"/>
        </w:rPr>
      </w:pPr>
      <w:r>
        <w:rPr>
          <w:rFonts w:eastAsia="MS Mincho"/>
          <w:lang w:val="es-ES_tradnl"/>
        </w:rPr>
        <w:object w:dxaOrig="9583" w:dyaOrig="3922">
          <v:shape id="_x0000_i1029" type="#_x0000_t75" style="width:478.5pt;height:196.5pt" o:ole="">
            <v:imagedata r:id="rId23" o:title=""/>
          </v:shape>
          <o:OLEObject Type="Embed" ProgID="CorelDRAW.Graphic.14" ShapeID="_x0000_i1029" DrawAspect="Content" ObjectID="_1413614799" r:id="rId24"/>
        </w:object>
      </w:r>
    </w:p>
    <w:p w:rsidR="00F97D17" w:rsidRPr="00CC69B2" w:rsidRDefault="00F97D17" w:rsidP="00142392">
      <w:pPr>
        <w:pStyle w:val="Normalaftertitle"/>
        <w:rPr>
          <w:lang w:val="es-ES_tradnl"/>
        </w:rPr>
      </w:pPr>
      <w:r w:rsidRPr="00CC69B2">
        <w:rPr>
          <w:lang w:val="es-ES_tradnl"/>
        </w:rPr>
        <w:t>La medición del nivel debe tener una precisión mejor de 1 dB.</w:t>
      </w:r>
    </w:p>
    <w:p w:rsidR="00F97D17" w:rsidRPr="00CC69B2" w:rsidRDefault="00F97D17" w:rsidP="00BD5DAF">
      <w:pPr>
        <w:pStyle w:val="Heading3"/>
        <w:rPr>
          <w:lang w:val="es-ES_tradnl"/>
        </w:rPr>
      </w:pPr>
      <w:r w:rsidRPr="00CC69B2">
        <w:rPr>
          <w:lang w:val="es-ES_tradnl"/>
        </w:rPr>
        <w:lastRenderedPageBreak/>
        <w:t>3.1.2</w:t>
      </w:r>
      <w:r w:rsidRPr="00CC69B2">
        <w:rPr>
          <w:lang w:val="es-ES_tradnl"/>
        </w:rPr>
        <w:tab/>
        <w:t>Medición del IP</w:t>
      </w:r>
      <w:r w:rsidRPr="00CC69B2">
        <w:rPr>
          <w:vertAlign w:val="subscript"/>
          <w:lang w:val="es-ES_tradnl"/>
        </w:rPr>
        <w:t>2</w:t>
      </w:r>
      <w:r w:rsidRPr="00CC69B2">
        <w:rPr>
          <w:lang w:val="es-ES_tradnl"/>
        </w:rPr>
        <w:t xml:space="preserve"> y del </w:t>
      </w:r>
      <w:r w:rsidRPr="00CC69B2">
        <w:rPr>
          <w:rFonts w:eastAsia="MS Mincho"/>
          <w:lang w:val="es-ES_tradnl"/>
        </w:rPr>
        <w:t>IP</w:t>
      </w:r>
      <w:r w:rsidRPr="00CC69B2">
        <w:rPr>
          <w:rFonts w:eastAsia="MS Mincho"/>
          <w:vertAlign w:val="subscript"/>
          <w:lang w:val="es-ES_tradnl"/>
        </w:rPr>
        <w:t>3</w:t>
      </w:r>
      <w:r w:rsidRPr="00CC69B2">
        <w:rPr>
          <w:lang w:val="es-ES_tradnl"/>
        </w:rPr>
        <w:t xml:space="preserve"> de la cadena de recepción</w:t>
      </w:r>
    </w:p>
    <w:p w:rsidR="00F97D17" w:rsidRPr="0063018E" w:rsidRDefault="00F97D17" w:rsidP="00BD5DAF">
      <w:pPr>
        <w:rPr>
          <w:lang w:val="es-ES_tradnl"/>
        </w:rPr>
      </w:pPr>
      <w:r w:rsidRPr="0063018E">
        <w:rPr>
          <w:lang w:val="es-ES_tradnl"/>
        </w:rPr>
        <w:t>Deberá aplicarse el mismo principio que se ha utilizado en la medición del receptor de comprobación técnica descrito en el § 2.1.</w:t>
      </w:r>
    </w:p>
    <w:p w:rsidR="00F97D17" w:rsidRPr="0063018E" w:rsidRDefault="00F97D17" w:rsidP="00BD5DAF">
      <w:pPr>
        <w:rPr>
          <w:lang w:val="es-ES_tradnl"/>
        </w:rPr>
      </w:pPr>
      <w:r w:rsidRPr="0063018E">
        <w:rPr>
          <w:lang w:val="es-ES_tradnl"/>
        </w:rPr>
        <w:t>Este principio se aplicará para las estaciones de comprobación técnica o las estaciones de radiogoniometría. Si existen varios canales, uno de ellos puede utilizarse para la prueba.</w:t>
      </w:r>
    </w:p>
    <w:p w:rsidR="00F97D17" w:rsidRPr="0063018E" w:rsidRDefault="00F97D17" w:rsidP="00BD5DAF">
      <w:pPr>
        <w:rPr>
          <w:lang w:val="es-ES_tradnl"/>
        </w:rPr>
      </w:pPr>
      <w:r w:rsidRPr="0063018E">
        <w:rPr>
          <w:lang w:val="es-ES_tradnl"/>
        </w:rPr>
        <w:t>Esta medición se define tanto para las estaciones de comprobación técnica como para las estaciones de radiogoniometría. En la Fig. 6 se representa un montaje propuesto para efectuar la medición.</w:t>
      </w:r>
    </w:p>
    <w:p w:rsidR="00F97D17" w:rsidRPr="00CC69B2" w:rsidRDefault="00F97D17" w:rsidP="00BD5DAF">
      <w:pPr>
        <w:pStyle w:val="FigureNo"/>
        <w:rPr>
          <w:rFonts w:eastAsia="MS Mincho"/>
          <w:lang w:val="es-ES_tradnl"/>
        </w:rPr>
      </w:pPr>
      <w:r w:rsidRPr="00CC69B2">
        <w:rPr>
          <w:rFonts w:eastAsia="MS Mincho"/>
          <w:lang w:val="es-ES_tradnl"/>
        </w:rPr>
        <w:t>FIGURA 6</w:t>
      </w:r>
    </w:p>
    <w:p w:rsidR="00F97D17" w:rsidRDefault="00F97D17" w:rsidP="00BD5DAF">
      <w:pPr>
        <w:pStyle w:val="Figuretitle"/>
        <w:rPr>
          <w:lang w:val="es-ES_tradnl"/>
        </w:rPr>
      </w:pPr>
      <w:r w:rsidRPr="00CC69B2">
        <w:rPr>
          <w:lang w:val="es-ES_tradnl"/>
        </w:rPr>
        <w:t xml:space="preserve">Montaje de medición del </w:t>
      </w:r>
      <w:r w:rsidRPr="00CC69B2">
        <w:rPr>
          <w:rFonts w:eastAsia="MS Mincho"/>
          <w:lang w:val="es-ES_tradnl"/>
        </w:rPr>
        <w:t>IP</w:t>
      </w:r>
      <w:r w:rsidRPr="00CC69B2">
        <w:rPr>
          <w:rFonts w:eastAsia="MS Mincho"/>
          <w:vertAlign w:val="subscript"/>
          <w:lang w:val="es-ES_tradnl"/>
        </w:rPr>
        <w:t>2</w:t>
      </w:r>
      <w:r w:rsidRPr="00CC69B2">
        <w:rPr>
          <w:lang w:val="es-ES_tradnl"/>
        </w:rPr>
        <w:t>/</w:t>
      </w:r>
      <w:r w:rsidRPr="00CC69B2">
        <w:rPr>
          <w:rFonts w:eastAsia="MS Mincho"/>
          <w:lang w:val="es-ES_tradnl"/>
        </w:rPr>
        <w:t>IP</w:t>
      </w:r>
      <w:r w:rsidRPr="00CC69B2">
        <w:rPr>
          <w:rFonts w:eastAsia="MS Mincho"/>
          <w:vertAlign w:val="subscript"/>
          <w:lang w:val="es-ES_tradnl"/>
        </w:rPr>
        <w:t>3</w:t>
      </w:r>
      <w:r w:rsidRPr="00CC69B2">
        <w:rPr>
          <w:lang w:val="es-ES_tradnl"/>
        </w:rPr>
        <w:t xml:space="preserve"> de la cadena de recepción</w:t>
      </w:r>
    </w:p>
    <w:p w:rsidR="00BD5DAF" w:rsidRPr="00BD5DAF" w:rsidRDefault="00BD5DAF" w:rsidP="00BD5DAF">
      <w:pPr>
        <w:pStyle w:val="Figure"/>
        <w:rPr>
          <w:lang w:val="es-ES_tradnl"/>
        </w:rPr>
      </w:pPr>
      <w:r>
        <w:rPr>
          <w:lang w:val="es-ES_tradnl"/>
        </w:rPr>
        <w:object w:dxaOrig="8263" w:dyaOrig="1814">
          <v:shape id="_x0000_i1030" type="#_x0000_t75" style="width:465pt;height:102pt" o:ole="">
            <v:imagedata r:id="rId25" o:title=""/>
          </v:shape>
          <o:OLEObject Type="Embed" ProgID="CorelDRAW.Graphic.14" ShapeID="_x0000_i1030" DrawAspect="Content" ObjectID="_1413614800" r:id="rId26"/>
        </w:object>
      </w:r>
    </w:p>
    <w:p w:rsidR="00F97D17" w:rsidRPr="00CC69B2" w:rsidRDefault="00F97D17" w:rsidP="00142392">
      <w:pPr>
        <w:pStyle w:val="Normalaftertitle"/>
        <w:rPr>
          <w:lang w:val="es-ES_tradnl"/>
        </w:rPr>
      </w:pPr>
      <w:r w:rsidRPr="00CC69B2">
        <w:rPr>
          <w:lang w:val="es-ES_tradnl"/>
        </w:rPr>
        <w:t>La medición del nivel debe tener una precisión mejor de 1 dB.</w:t>
      </w:r>
    </w:p>
    <w:p w:rsidR="00F97D17" w:rsidRPr="00CC69B2" w:rsidRDefault="00F97D17" w:rsidP="00BD5DAF">
      <w:pPr>
        <w:pStyle w:val="Heading2"/>
        <w:rPr>
          <w:lang w:val="es-ES_tradnl"/>
        </w:rPr>
      </w:pPr>
      <w:bookmarkStart w:id="91" w:name="_Toc169706702"/>
      <w:bookmarkStart w:id="92" w:name="_Toc199305949"/>
      <w:bookmarkStart w:id="93" w:name="_Toc302381334"/>
      <w:bookmarkStart w:id="94" w:name="_Toc303861576"/>
      <w:bookmarkStart w:id="95" w:name="_Toc303861628"/>
      <w:bookmarkStart w:id="96" w:name="_Toc303861711"/>
      <w:bookmarkStart w:id="97" w:name="_Toc303862777"/>
      <w:bookmarkStart w:id="98" w:name="_Toc303866489"/>
      <w:r w:rsidRPr="00CC69B2">
        <w:rPr>
          <w:lang w:val="es-ES_tradnl"/>
        </w:rPr>
        <w:t>3.2</w:t>
      </w:r>
      <w:r w:rsidRPr="00CC69B2">
        <w:rPr>
          <w:lang w:val="es-ES_tradnl"/>
        </w:rPr>
        <w:tab/>
      </w:r>
      <w:bookmarkEnd w:id="91"/>
      <w:r w:rsidRPr="00CC69B2">
        <w:rPr>
          <w:lang w:val="es-ES_tradnl"/>
        </w:rPr>
        <w:t>Medición de la sensibilidad de una estación de comprobación técnica y una estación de radiogoniometría</w:t>
      </w:r>
      <w:bookmarkEnd w:id="92"/>
      <w:bookmarkEnd w:id="93"/>
      <w:bookmarkEnd w:id="94"/>
      <w:bookmarkEnd w:id="95"/>
      <w:bookmarkEnd w:id="96"/>
      <w:bookmarkEnd w:id="97"/>
      <w:bookmarkEnd w:id="98"/>
    </w:p>
    <w:p w:rsidR="00F97D17" w:rsidRPr="0063018E" w:rsidRDefault="00F97D17" w:rsidP="00BD5DAF">
      <w:pPr>
        <w:rPr>
          <w:lang w:val="es-ES_tradnl"/>
        </w:rPr>
      </w:pPr>
      <w:r w:rsidRPr="0063018E">
        <w:rPr>
          <w:lang w:val="es-ES_tradnl"/>
        </w:rPr>
        <w:t>Al realizar las mediciones en una estación de comprobación técnica o de radiogoniometría, el entorno radioeléctrico puede influenciar la medición. Cuando se recibe una señal débil, cercana al límite de sensibilidad de la estación, las reflexiones procedentes de obstáculos cercanos, el ruido ambiente y otras señales radioeléctricas pueden interferir en la medición.</w:t>
      </w:r>
    </w:p>
    <w:p w:rsidR="00F97D17" w:rsidRPr="0063018E" w:rsidRDefault="00F97D17" w:rsidP="00BD5DAF">
      <w:pPr>
        <w:rPr>
          <w:lang w:val="es-ES_tradnl"/>
        </w:rPr>
      </w:pPr>
      <w:r w:rsidRPr="0063018E">
        <w:rPr>
          <w:lang w:val="es-ES_tradnl"/>
        </w:rPr>
        <w:t>Los errores resultantes del medio de propagación, los efectos multitrayecto y la interferencia no deben incluirse en la medición de la sensibilidad de la estación. Por consiguiente, es difícil llevar a cabo dicha medición en un emplazamiento no controlado.</w:t>
      </w:r>
    </w:p>
    <w:p w:rsidR="00F97D17" w:rsidRPr="0063018E" w:rsidRDefault="00F97D17" w:rsidP="00BD5DAF">
      <w:pPr>
        <w:rPr>
          <w:lang w:val="es-ES_tradnl"/>
        </w:rPr>
      </w:pPr>
      <w:r w:rsidRPr="0063018E">
        <w:rPr>
          <w:lang w:val="es-ES_tradnl"/>
        </w:rPr>
        <w:t>Se proponen dos entornos de prueba:</w:t>
      </w:r>
    </w:p>
    <w:p w:rsidR="00F97D17" w:rsidRPr="00CC69B2" w:rsidRDefault="00F97D17" w:rsidP="00BD5DAF">
      <w:pPr>
        <w:pStyle w:val="enumlev1"/>
        <w:rPr>
          <w:lang w:val="es-ES_tradnl"/>
        </w:rPr>
      </w:pPr>
      <w:r w:rsidRPr="00CC69B2">
        <w:rPr>
          <w:lang w:val="es-ES_tradnl"/>
        </w:rPr>
        <w:t>–</w:t>
      </w:r>
      <w:r w:rsidRPr="00CC69B2">
        <w:rPr>
          <w:lang w:val="es-ES_tradnl"/>
        </w:rPr>
        <w:tab/>
        <w:t>medición sobre una plataforma utilizando frecuencias definidas;</w:t>
      </w:r>
    </w:p>
    <w:p w:rsidR="00F97D17" w:rsidRPr="00CC69B2" w:rsidRDefault="00F97D17" w:rsidP="00BD5DAF">
      <w:pPr>
        <w:pStyle w:val="enumlev1"/>
        <w:rPr>
          <w:lang w:val="es-ES_tradnl"/>
        </w:rPr>
      </w:pPr>
      <w:r w:rsidRPr="00CC69B2">
        <w:rPr>
          <w:lang w:val="es-ES_tradnl"/>
        </w:rPr>
        <w:t>–</w:t>
      </w:r>
      <w:r w:rsidRPr="00CC69B2">
        <w:rPr>
          <w:lang w:val="es-ES_tradnl"/>
        </w:rPr>
        <w:tab/>
        <w:t>mediciones en un emplazamiento de prueba en zona abierta (EPZA) utilizando frecuencias restringidas en donde no puedan interferir las reflexiones procedentes de obstáculos cercanos, el ruido ambiente u otras señales radioeléctricas.</w:t>
      </w:r>
    </w:p>
    <w:p w:rsidR="00F97D17" w:rsidRPr="0063018E" w:rsidRDefault="00F97D17" w:rsidP="00BD5DAF">
      <w:pPr>
        <w:rPr>
          <w:lang w:val="es-ES_tradnl"/>
        </w:rPr>
      </w:pPr>
      <w:r w:rsidRPr="0063018E">
        <w:rPr>
          <w:lang w:val="es-ES_tradnl"/>
        </w:rPr>
        <w:t>Los resultados de las mediciones llevadas a cabo en una plataforma deberán publicarlos los fabricantes. Las mediciones realizadas en un</w:t>
      </w:r>
      <w:r w:rsidRPr="0063018E">
        <w:rPr>
          <w:rFonts w:cs="Arial"/>
          <w:lang w:val="es-ES_tradnl"/>
        </w:rPr>
        <w:t xml:space="preserve"> EPZA se utilizarán a fin de confirmar para frecuencias restringidas las mediciones efectuadas en la plataforma</w:t>
      </w:r>
      <w:r w:rsidRPr="0063018E">
        <w:rPr>
          <w:lang w:val="es-ES_tradnl"/>
        </w:rPr>
        <w:t>.</w:t>
      </w:r>
    </w:p>
    <w:p w:rsidR="00F97D17" w:rsidRPr="0063018E" w:rsidRDefault="00F97D17" w:rsidP="00BD5DAF">
      <w:pPr>
        <w:rPr>
          <w:lang w:val="es-ES_tradnl"/>
        </w:rPr>
      </w:pPr>
      <w:r w:rsidRPr="0063018E">
        <w:rPr>
          <w:lang w:val="es-ES_tradnl"/>
        </w:rPr>
        <w:t>En una estación de ondas miriamétricas/kilométricas/decamétricas situada en un EPZA no deberán realizarse mediciones de sensibilidad por las siguientes razones:</w:t>
      </w:r>
    </w:p>
    <w:p w:rsidR="00F97D17" w:rsidRPr="00CC69B2" w:rsidRDefault="00F97D17" w:rsidP="00BD5DAF">
      <w:pPr>
        <w:pStyle w:val="enumlev1"/>
        <w:rPr>
          <w:lang w:val="es-ES_tradnl"/>
        </w:rPr>
      </w:pPr>
      <w:r w:rsidRPr="00CC69B2">
        <w:rPr>
          <w:lang w:val="es-ES_tradnl"/>
        </w:rPr>
        <w:t>–</w:t>
      </w:r>
      <w:r w:rsidRPr="00CC69B2">
        <w:rPr>
          <w:lang w:val="es-ES_tradnl"/>
        </w:rPr>
        <w:tab/>
        <w:t>las longitudes de onda de las señales miriamétricas/kilométricas/decamétricas imponen grandes distancias transmisor/receptor;</w:t>
      </w:r>
    </w:p>
    <w:p w:rsidR="00F97D17" w:rsidRPr="00CC69B2" w:rsidRDefault="00F97D17" w:rsidP="00BD5DAF">
      <w:pPr>
        <w:pStyle w:val="enumlev1"/>
        <w:rPr>
          <w:lang w:val="es-ES_tradnl"/>
        </w:rPr>
      </w:pPr>
      <w:r w:rsidRPr="00CC69B2">
        <w:rPr>
          <w:lang w:val="es-ES_tradnl"/>
        </w:rPr>
        <w:t>–</w:t>
      </w:r>
      <w:r w:rsidRPr="00CC69B2">
        <w:rPr>
          <w:lang w:val="es-ES_tradnl"/>
        </w:rPr>
        <w:tab/>
        <w:t>la interferencia procedente del ruido atmosférico es difícil de controlar (depende de la actividad de las manchas solares, de la hora del día, etc.).</w:t>
      </w:r>
    </w:p>
    <w:p w:rsidR="00F97D17" w:rsidRPr="0063018E" w:rsidRDefault="00F97D17" w:rsidP="00BD5DAF">
      <w:pPr>
        <w:rPr>
          <w:lang w:val="es-ES_tradnl"/>
        </w:rPr>
      </w:pPr>
      <w:r w:rsidRPr="0063018E">
        <w:rPr>
          <w:lang w:val="es-ES_tradnl"/>
        </w:rPr>
        <w:lastRenderedPageBreak/>
        <w:t>Por consiguiente, dichas mediciones sólo deberán realizarse en plataformas (de 9 kHz a 30 MHz). Las mediciones de la sensibilidad de las estaciones de ondas métricas/decimétricas se realizarán tanto en plataformas como en EPZA.</w:t>
      </w:r>
    </w:p>
    <w:p w:rsidR="00F97D17" w:rsidRPr="00CC69B2" w:rsidRDefault="00F97D17" w:rsidP="00BD5DAF">
      <w:pPr>
        <w:pStyle w:val="Heading3"/>
        <w:rPr>
          <w:lang w:val="es-ES_tradnl"/>
        </w:rPr>
      </w:pPr>
      <w:r w:rsidRPr="00CC69B2">
        <w:rPr>
          <w:lang w:val="es-ES_tradnl"/>
        </w:rPr>
        <w:t>3.2.1</w:t>
      </w:r>
      <w:r w:rsidRPr="00CC69B2">
        <w:rPr>
          <w:lang w:val="es-ES_tradnl"/>
        </w:rPr>
        <w:tab/>
        <w:t>Principio de medición de la sensibilidad en plataformas</w:t>
      </w:r>
    </w:p>
    <w:p w:rsidR="00F97D17" w:rsidRPr="0063018E" w:rsidRDefault="00F97D17" w:rsidP="00BD5DAF">
      <w:pPr>
        <w:rPr>
          <w:lang w:val="es-ES_tradnl"/>
        </w:rPr>
      </w:pPr>
      <w:r w:rsidRPr="0063018E">
        <w:rPr>
          <w:lang w:val="es-ES_tradnl"/>
        </w:rPr>
        <w:t>Para caracterizar la sensibilidad de una estación de comprobación técnica deben efectuarse tres mediciones principales:</w:t>
      </w:r>
    </w:p>
    <w:p w:rsidR="00F97D17" w:rsidRPr="00CC69B2" w:rsidRDefault="00F97D17" w:rsidP="00BD5DAF">
      <w:pPr>
        <w:pStyle w:val="enumlev1"/>
        <w:rPr>
          <w:lang w:val="es-ES_tradnl"/>
        </w:rPr>
      </w:pPr>
      <w:r w:rsidRPr="00CC69B2">
        <w:rPr>
          <w:lang w:val="es-ES_tradnl"/>
        </w:rPr>
        <w:t>–</w:t>
      </w:r>
      <w:r w:rsidRPr="00CC69B2">
        <w:rPr>
          <w:lang w:val="es-ES_tradnl"/>
        </w:rPr>
        <w:tab/>
        <w:t xml:space="preserve">caracterización del </w:t>
      </w:r>
      <w:r w:rsidRPr="00CC69B2">
        <w:rPr>
          <w:b/>
          <w:bCs/>
          <w:lang w:val="es-ES_tradnl"/>
        </w:rPr>
        <w:t>factor de antena</w:t>
      </w:r>
      <w:r w:rsidRPr="00CC69B2">
        <w:rPr>
          <w:lang w:val="es-ES_tradnl"/>
        </w:rPr>
        <w:t xml:space="preserve"> (véase la Fig. 3 – punto de medición P1);</w:t>
      </w:r>
    </w:p>
    <w:p w:rsidR="00F97D17" w:rsidRPr="00CC69B2" w:rsidRDefault="00F97D17" w:rsidP="00BD5DAF">
      <w:pPr>
        <w:pStyle w:val="enumlev1"/>
        <w:rPr>
          <w:lang w:val="es-ES_tradnl"/>
        </w:rPr>
      </w:pPr>
      <w:r w:rsidRPr="00CC69B2">
        <w:rPr>
          <w:lang w:val="es-ES_tradnl"/>
        </w:rPr>
        <w:t>–</w:t>
      </w:r>
      <w:r w:rsidRPr="00CC69B2">
        <w:rPr>
          <w:lang w:val="es-ES_tradnl"/>
        </w:rPr>
        <w:tab/>
        <w:t xml:space="preserve">caracterización del </w:t>
      </w:r>
      <w:r w:rsidRPr="00CC69B2">
        <w:rPr>
          <w:b/>
          <w:bCs/>
          <w:lang w:val="es-ES_tradnl"/>
        </w:rPr>
        <w:t>ruido de fondo de la antena</w:t>
      </w:r>
      <w:r w:rsidRPr="00CC69B2">
        <w:rPr>
          <w:lang w:val="es-ES_tradnl"/>
        </w:rPr>
        <w:t xml:space="preserve"> (véase la Fig. 3 – punto de medición P1);</w:t>
      </w:r>
    </w:p>
    <w:p w:rsidR="00F97D17" w:rsidRPr="00CC69B2" w:rsidRDefault="00F97D17" w:rsidP="00BD5DAF">
      <w:pPr>
        <w:pStyle w:val="enumlev1"/>
        <w:rPr>
          <w:lang w:val="es-ES_tradnl"/>
        </w:rPr>
      </w:pPr>
      <w:r w:rsidRPr="00CC69B2">
        <w:rPr>
          <w:lang w:val="es-ES_tradnl"/>
        </w:rPr>
        <w:t>–</w:t>
      </w:r>
      <w:r w:rsidRPr="00CC69B2">
        <w:rPr>
          <w:lang w:val="es-ES_tradnl"/>
        </w:rPr>
        <w:tab/>
        <w:t xml:space="preserve">caracterización de la </w:t>
      </w:r>
      <w:r w:rsidRPr="00CC69B2">
        <w:rPr>
          <w:b/>
          <w:bCs/>
          <w:lang w:val="es-ES_tradnl"/>
        </w:rPr>
        <w:t>sensibilidad de la cadena de recepción</w:t>
      </w:r>
      <w:r w:rsidRPr="00CC69B2">
        <w:rPr>
          <w:lang w:val="es-ES_tradnl"/>
        </w:rPr>
        <w:t xml:space="preserve"> (véase la Fig. 3 – punto de medición P2).</w:t>
      </w:r>
    </w:p>
    <w:p w:rsidR="00F97D17" w:rsidRPr="0063018E" w:rsidRDefault="00F97D17" w:rsidP="00BD5DAF">
      <w:pPr>
        <w:rPr>
          <w:lang w:val="es-ES_tradnl"/>
        </w:rPr>
      </w:pPr>
      <w:r w:rsidRPr="0063018E">
        <w:rPr>
          <w:lang w:val="es-ES_tradnl"/>
        </w:rPr>
        <w:t>La medición de la sensibilidad en plataforma se divide en:</w:t>
      </w:r>
    </w:p>
    <w:p w:rsidR="00F97D17" w:rsidRPr="00CC69B2" w:rsidRDefault="00F97D17" w:rsidP="00BD5DAF">
      <w:pPr>
        <w:pStyle w:val="enumlev1"/>
        <w:rPr>
          <w:lang w:val="es-ES_tradnl"/>
        </w:rPr>
      </w:pPr>
      <w:r w:rsidRPr="00CC69B2">
        <w:rPr>
          <w:lang w:val="es-ES_tradnl"/>
        </w:rPr>
        <w:t>–</w:t>
      </w:r>
      <w:r w:rsidRPr="00CC69B2">
        <w:rPr>
          <w:lang w:val="es-ES_tradnl"/>
        </w:rPr>
        <w:tab/>
        <w:t xml:space="preserve">medición del factor de antena, para obtener la potencia entregada por la antena en función del campo recibido. Esta medición </w:t>
      </w:r>
      <w:r w:rsidR="00142392">
        <w:rPr>
          <w:lang w:val="es-ES_tradnl"/>
        </w:rPr>
        <w:t>se describe en el § 3.2.1.1;</w:t>
      </w:r>
    </w:p>
    <w:p w:rsidR="00F97D17" w:rsidRPr="00CC69B2" w:rsidRDefault="00F97D17" w:rsidP="00BD5DAF">
      <w:pPr>
        <w:pStyle w:val="enumlev1"/>
        <w:rPr>
          <w:lang w:val="es-ES_tradnl"/>
        </w:rPr>
      </w:pPr>
      <w:r w:rsidRPr="00CC69B2">
        <w:rPr>
          <w:lang w:val="es-ES_tradnl"/>
        </w:rPr>
        <w:t>–</w:t>
      </w:r>
      <w:r w:rsidRPr="00CC69B2">
        <w:rPr>
          <w:lang w:val="es-ES_tradnl"/>
        </w:rPr>
        <w:tab/>
        <w:t>medición del ruido de fondo de la antena, que caracteriza la contribución de la antena al ruido de la estación. Esta medic</w:t>
      </w:r>
      <w:r w:rsidR="00142392">
        <w:rPr>
          <w:lang w:val="es-ES_tradnl"/>
        </w:rPr>
        <w:t>ión se describe en el § 3.2.1.2;</w:t>
      </w:r>
    </w:p>
    <w:p w:rsidR="00F97D17" w:rsidRPr="00CC69B2" w:rsidRDefault="00F97D17" w:rsidP="00F179A7">
      <w:pPr>
        <w:pStyle w:val="enumlev1"/>
        <w:rPr>
          <w:lang w:val="es-ES_tradnl"/>
        </w:rPr>
      </w:pPr>
      <w:r w:rsidRPr="00CC69B2">
        <w:rPr>
          <w:lang w:val="es-ES_tradnl"/>
        </w:rPr>
        <w:t>–</w:t>
      </w:r>
      <w:r w:rsidRPr="00CC69B2">
        <w:rPr>
          <w:lang w:val="es-ES_tradnl"/>
        </w:rPr>
        <w:tab/>
        <w:t>medición de la sensibilidad de la cadena de recepción. Esta medición se describe en el</w:t>
      </w:r>
      <w:r w:rsidR="00F179A7">
        <w:rPr>
          <w:lang w:val="es-ES_tradnl"/>
        </w:rPr>
        <w:t xml:space="preserve"> </w:t>
      </w:r>
      <w:r w:rsidRPr="00CC69B2">
        <w:rPr>
          <w:lang w:val="es-ES_tradnl"/>
        </w:rPr>
        <w:t>§ 3.2.1.3 para la estación de comprobación técnica y en el § 3.2.1.4 para la estación de radiogoniometría.</w:t>
      </w:r>
    </w:p>
    <w:p w:rsidR="00F97D17" w:rsidRPr="0063018E" w:rsidRDefault="00F97D17" w:rsidP="00985DE2">
      <w:pPr>
        <w:rPr>
          <w:lang w:val="es-ES_tradnl"/>
        </w:rPr>
      </w:pPr>
      <w:r w:rsidRPr="0063018E">
        <w:rPr>
          <w:lang w:val="es-ES_tradnl"/>
        </w:rPr>
        <w:t xml:space="preserve">La determinación de la sensibilidad de la estación con el factor de antena, del ruido de fondo de la antena y de la sensibilidad de la cadena de recepción se realiza en dos pasos. </w:t>
      </w:r>
    </w:p>
    <w:p w:rsidR="00F97D17" w:rsidRPr="0063018E" w:rsidRDefault="00F97D17" w:rsidP="00BD5DAF">
      <w:pPr>
        <w:rPr>
          <w:lang w:val="es-ES_tradnl"/>
        </w:rPr>
      </w:pPr>
      <w:r w:rsidRPr="0063018E">
        <w:rPr>
          <w:lang w:val="es-ES_tradnl"/>
        </w:rPr>
        <w:t>El primer paso consiste en calcular la contribución de la antena al ruido de la estación:</w:t>
      </w:r>
    </w:p>
    <w:p w:rsidR="00BD5DAF" w:rsidRPr="00B874B3" w:rsidRDefault="00BD5DAF" w:rsidP="00BD5DAF">
      <w:pPr>
        <w:pStyle w:val="Blanc"/>
        <w:rPr>
          <w:lang w:val="es-ES_tradnl"/>
        </w:rPr>
      </w:pPr>
    </w:p>
    <w:p w:rsidR="00F97D17" w:rsidRPr="00CC69B2" w:rsidRDefault="00F97D17" w:rsidP="00BD5DAF">
      <w:pPr>
        <w:pStyle w:val="Equation"/>
        <w:rPr>
          <w:rFonts w:ascii="Arial" w:hAnsi="Arial" w:cs="Arial"/>
        </w:rPr>
      </w:pPr>
      <w:r w:rsidRPr="00CC69B2">
        <w:rPr>
          <w:lang w:val="es-ES_tradnl"/>
        </w:rPr>
        <w:tab/>
      </w:r>
      <w:r w:rsidRPr="00CC69B2">
        <w:rPr>
          <w:lang w:val="es-ES_tradnl"/>
        </w:rPr>
        <w:tab/>
      </w:r>
      <w:r w:rsidR="00BD5DAF" w:rsidRPr="00BD5DAF">
        <w:rPr>
          <w:position w:val="-46"/>
        </w:rPr>
        <w:object w:dxaOrig="5200" w:dyaOrig="1040">
          <v:shape id="_x0000_i1031" type="#_x0000_t75" style="width:269.25pt;height:51.75pt" o:ole="" fillcolor="window">
            <v:imagedata r:id="rId27" o:title="" gain="76205f" blacklevel="4588f"/>
          </v:shape>
          <o:OLEObject Type="Embed" ProgID="Equation.3" ShapeID="_x0000_i1031" DrawAspect="Content" ObjectID="_1413614801" r:id="rId28"/>
        </w:object>
      </w:r>
    </w:p>
    <w:p w:rsidR="00F97D17" w:rsidRPr="0063018E" w:rsidRDefault="00F97D17" w:rsidP="00985DE2">
      <w:pPr>
        <w:rPr>
          <w:lang w:val="es-ES_tradnl"/>
        </w:rPr>
      </w:pPr>
      <w:r w:rsidRPr="0063018E">
        <w:rPr>
          <w:lang w:val="es-ES_tradnl"/>
        </w:rPr>
        <w:t>siendo:</w:t>
      </w:r>
    </w:p>
    <w:p w:rsidR="00F97D17" w:rsidRPr="00BD5DAF" w:rsidRDefault="00F97D17" w:rsidP="00BD5DAF">
      <w:pPr>
        <w:pStyle w:val="Equationlegend"/>
        <w:rPr>
          <w:lang w:val="es-ES_tradnl"/>
        </w:rPr>
      </w:pPr>
      <w:r w:rsidRPr="00BD5DAF">
        <w:rPr>
          <w:lang w:val="es-ES_tradnl"/>
        </w:rPr>
        <w:tab/>
      </w:r>
      <w:r w:rsidRPr="00BD5DAF">
        <w:rPr>
          <w:i/>
          <w:iCs/>
          <w:lang w:val="es-ES_tradnl"/>
        </w:rPr>
        <w:t>NFa</w:t>
      </w:r>
      <w:r w:rsidR="00BD5DAF" w:rsidRPr="00E94FB2">
        <w:rPr>
          <w:sz w:val="16"/>
          <w:szCs w:val="16"/>
          <w:lang w:val="es-ES_tradnl"/>
        </w:rPr>
        <w:t xml:space="preserve"> </w:t>
      </w:r>
      <w:r w:rsidRPr="00BD5DAF">
        <w:rPr>
          <w:lang w:val="es-ES_tradnl"/>
        </w:rPr>
        <w:t>:</w:t>
      </w:r>
      <w:r w:rsidRPr="00BD5DAF">
        <w:rPr>
          <w:lang w:val="es-ES_tradnl"/>
        </w:rPr>
        <w:tab/>
        <w:t>contribución de la antena al ruido de la estación (dB)</w:t>
      </w:r>
    </w:p>
    <w:p w:rsidR="00F97D17" w:rsidRPr="00BD5DAF" w:rsidRDefault="00F97D17" w:rsidP="00BD5DAF">
      <w:pPr>
        <w:pStyle w:val="Equationlegend"/>
        <w:rPr>
          <w:lang w:val="es-ES_tradnl"/>
        </w:rPr>
      </w:pPr>
      <w:r w:rsidRPr="00BD5DAF">
        <w:rPr>
          <w:lang w:val="es-ES_tradnl"/>
        </w:rPr>
        <w:tab/>
      </w:r>
      <w:r w:rsidRPr="00BD5DAF">
        <w:rPr>
          <w:i/>
          <w:iCs/>
          <w:lang w:val="es-ES_tradnl"/>
        </w:rPr>
        <w:t>NFrc</w:t>
      </w:r>
      <w:r w:rsidR="00BD5DAF" w:rsidRPr="00E94FB2">
        <w:rPr>
          <w:sz w:val="16"/>
          <w:szCs w:val="16"/>
          <w:lang w:val="es-ES_tradnl"/>
        </w:rPr>
        <w:t xml:space="preserve"> </w:t>
      </w:r>
      <w:r w:rsidRPr="00BD5DAF">
        <w:rPr>
          <w:lang w:val="es-ES_tradnl"/>
        </w:rPr>
        <w:t>:</w:t>
      </w:r>
      <w:r w:rsidRPr="00BD5DAF">
        <w:rPr>
          <w:lang w:val="es-ES_tradnl"/>
        </w:rPr>
        <w:tab/>
        <w:t>factor de ruido de la cadena de recepción de la estación (dB)</w:t>
      </w:r>
    </w:p>
    <w:p w:rsidR="00F97D17" w:rsidRPr="00BD5DAF" w:rsidRDefault="00F97D17" w:rsidP="00BD5DAF">
      <w:pPr>
        <w:pStyle w:val="Equationlegend"/>
        <w:rPr>
          <w:lang w:val="es-ES_tradnl"/>
        </w:rPr>
      </w:pPr>
      <w:r w:rsidRPr="00BD5DAF">
        <w:rPr>
          <w:lang w:val="es-ES_tradnl"/>
        </w:rPr>
        <w:tab/>
      </w:r>
      <w:r w:rsidRPr="00BD5DAF">
        <w:rPr>
          <w:i/>
          <w:iCs/>
          <w:lang w:val="es-ES_tradnl"/>
        </w:rPr>
        <w:t>Nfondo</w:t>
      </w:r>
      <w:r w:rsidR="00BD5DAF" w:rsidRPr="00E94FB2">
        <w:rPr>
          <w:sz w:val="16"/>
          <w:szCs w:val="16"/>
          <w:lang w:val="es-ES_tradnl"/>
        </w:rPr>
        <w:t xml:space="preserve"> </w:t>
      </w:r>
      <w:r w:rsidRPr="00BD5DAF">
        <w:rPr>
          <w:lang w:val="es-ES_tradnl"/>
        </w:rPr>
        <w:t>:</w:t>
      </w:r>
      <w:r w:rsidRPr="00BD5DAF">
        <w:rPr>
          <w:lang w:val="es-ES_tradnl"/>
        </w:rPr>
        <w:tab/>
        <w:t>ruido de fondo de la antena, en dBm/Hz (medido – véase el § 3.2.1.2).</w:t>
      </w:r>
    </w:p>
    <w:p w:rsidR="00F97D17" w:rsidRPr="0063018E" w:rsidRDefault="00F97D17" w:rsidP="00985DE2">
      <w:pPr>
        <w:rPr>
          <w:lang w:val="es-ES_tradnl"/>
        </w:rPr>
      </w:pPr>
      <w:r w:rsidRPr="0063018E">
        <w:rPr>
          <w:lang w:val="es-ES_tradnl"/>
        </w:rPr>
        <w:t xml:space="preserve">El procedimiento de medición del factor de ruido para la cadena de recepción (Fig. 3 – punto de medición P2) es exactamente el mismo que para la medición del factor de ruido del receptor. </w:t>
      </w:r>
    </w:p>
    <w:p w:rsidR="00F97D17" w:rsidRPr="0063018E" w:rsidRDefault="00F97D17" w:rsidP="00985DE2">
      <w:pPr>
        <w:rPr>
          <w:lang w:val="es-ES_tradnl"/>
        </w:rPr>
      </w:pPr>
      <w:r w:rsidRPr="0063018E">
        <w:rPr>
          <w:lang w:val="es-ES_tradnl"/>
        </w:rPr>
        <w:t>El segundo paso consiste en calcular la sensibilidad:</w:t>
      </w:r>
    </w:p>
    <w:p w:rsidR="00F97D17" w:rsidRPr="00B874B3" w:rsidRDefault="00F97D17" w:rsidP="00BD5DAF">
      <w:pPr>
        <w:pStyle w:val="Blanc"/>
        <w:rPr>
          <w:lang w:val="es-ES_tradnl"/>
        </w:rPr>
      </w:pPr>
    </w:p>
    <w:p w:rsidR="00F97D17" w:rsidRPr="00CC69B2" w:rsidRDefault="00F97D17" w:rsidP="00BD5DAF">
      <w:pPr>
        <w:pStyle w:val="Equation"/>
        <w:rPr>
          <w:lang w:val="es-ES_tradnl"/>
        </w:rPr>
      </w:pPr>
      <w:r w:rsidRPr="00CC69B2">
        <w:rPr>
          <w:lang w:val="es-ES_tradnl"/>
        </w:rPr>
        <w:tab/>
      </w:r>
      <w:r w:rsidRPr="00CC69B2">
        <w:rPr>
          <w:lang w:val="es-ES_tradnl"/>
        </w:rPr>
        <w:tab/>
      </w:r>
      <w:r w:rsidRPr="00CC69B2">
        <w:rPr>
          <w:i/>
          <w:iCs/>
          <w:lang w:val="es-ES_tradnl"/>
        </w:rPr>
        <w:t>S</w:t>
      </w:r>
      <w:r w:rsidRPr="00CC69B2">
        <w:rPr>
          <w:lang w:val="es-ES_tradnl"/>
        </w:rPr>
        <w:t xml:space="preserve">  =  </w:t>
      </w:r>
      <w:r w:rsidRPr="00CC69B2">
        <w:rPr>
          <w:i/>
          <w:iCs/>
          <w:lang w:val="es-ES_tradnl"/>
        </w:rPr>
        <w:t>AF</w:t>
      </w:r>
      <w:r w:rsidRPr="00CC69B2">
        <w:rPr>
          <w:lang w:val="es-ES_tradnl"/>
        </w:rPr>
        <w:t xml:space="preserve"> + </w:t>
      </w:r>
      <w:r w:rsidRPr="00CC69B2">
        <w:rPr>
          <w:i/>
          <w:iCs/>
          <w:lang w:val="es-ES_tradnl"/>
        </w:rPr>
        <w:t>Src</w:t>
      </w:r>
      <w:r w:rsidRPr="00CC69B2">
        <w:rPr>
          <w:lang w:val="es-ES_tradnl"/>
        </w:rPr>
        <w:t xml:space="preserve"> + </w:t>
      </w:r>
      <w:r w:rsidRPr="00CC69B2">
        <w:rPr>
          <w:i/>
          <w:iCs/>
          <w:lang w:val="es-ES_tradnl"/>
        </w:rPr>
        <w:t>NFa</w:t>
      </w:r>
    </w:p>
    <w:p w:rsidR="00F97D17" w:rsidRPr="0063018E" w:rsidRDefault="00F97D17" w:rsidP="00985DE2">
      <w:pPr>
        <w:rPr>
          <w:lang w:val="es-ES_tradnl"/>
        </w:rPr>
      </w:pPr>
      <w:r w:rsidRPr="0063018E">
        <w:rPr>
          <w:lang w:val="es-ES_tradnl"/>
        </w:rPr>
        <w:t>siendo:</w:t>
      </w:r>
    </w:p>
    <w:p w:rsidR="00F97D17" w:rsidRPr="00BD5DAF" w:rsidRDefault="00F97D17" w:rsidP="00BD5DAF">
      <w:pPr>
        <w:pStyle w:val="Equationlegend"/>
        <w:rPr>
          <w:lang w:val="es-ES_tradnl"/>
        </w:rPr>
      </w:pPr>
      <w:r w:rsidRPr="00BD5DAF">
        <w:rPr>
          <w:lang w:val="es-ES_tradnl"/>
        </w:rPr>
        <w:tab/>
      </w:r>
      <w:r w:rsidRPr="00BD5DAF">
        <w:rPr>
          <w:i/>
          <w:iCs/>
          <w:lang w:val="es-ES_tradnl"/>
        </w:rPr>
        <w:t>S</w:t>
      </w:r>
      <w:r w:rsidR="00BD5DAF" w:rsidRPr="00E94FB2">
        <w:rPr>
          <w:sz w:val="16"/>
          <w:szCs w:val="16"/>
          <w:lang w:val="es-ES_tradnl"/>
        </w:rPr>
        <w:t xml:space="preserve"> </w:t>
      </w:r>
      <w:r w:rsidRPr="00BD5DAF">
        <w:rPr>
          <w:lang w:val="es-ES_tradnl"/>
        </w:rPr>
        <w:t>:</w:t>
      </w:r>
      <w:r w:rsidRPr="00BD5DAF">
        <w:rPr>
          <w:lang w:val="es-ES_tradnl"/>
        </w:rPr>
        <w:tab/>
        <w:t>sensibilidad de la estación (dB(µV/m))</w:t>
      </w:r>
    </w:p>
    <w:p w:rsidR="00F97D17" w:rsidRPr="00BD5DAF" w:rsidRDefault="00F97D17" w:rsidP="00BD5DAF">
      <w:pPr>
        <w:pStyle w:val="Equationlegend"/>
        <w:rPr>
          <w:lang w:val="es-ES_tradnl"/>
        </w:rPr>
      </w:pPr>
      <w:r w:rsidRPr="00BD5DAF">
        <w:rPr>
          <w:lang w:val="es-ES_tradnl"/>
        </w:rPr>
        <w:tab/>
      </w:r>
      <w:r w:rsidRPr="00BD5DAF">
        <w:rPr>
          <w:i/>
          <w:iCs/>
          <w:lang w:val="es-ES_tradnl"/>
        </w:rPr>
        <w:t>AF</w:t>
      </w:r>
      <w:r w:rsidR="00BD5DAF" w:rsidRPr="00E94FB2">
        <w:rPr>
          <w:sz w:val="16"/>
          <w:szCs w:val="16"/>
          <w:lang w:val="es-ES_tradnl"/>
        </w:rPr>
        <w:t xml:space="preserve"> </w:t>
      </w:r>
      <w:r w:rsidRPr="00BD5DAF">
        <w:rPr>
          <w:lang w:val="es-ES_tradnl"/>
        </w:rPr>
        <w:t>:</w:t>
      </w:r>
      <w:r w:rsidRPr="00BD5DAF">
        <w:rPr>
          <w:lang w:val="es-ES_tradnl"/>
        </w:rPr>
        <w:tab/>
        <w:t>factor de antena (dB(µV/m)) (medido – véase el § 3.2.1.1)</w:t>
      </w:r>
    </w:p>
    <w:p w:rsidR="00F97D17" w:rsidRPr="00BD5DAF" w:rsidRDefault="00F97D17" w:rsidP="00BD5DAF">
      <w:pPr>
        <w:pStyle w:val="Equationlegend"/>
        <w:rPr>
          <w:lang w:val="es-ES_tradnl"/>
        </w:rPr>
      </w:pPr>
      <w:r w:rsidRPr="00BD5DAF">
        <w:rPr>
          <w:lang w:val="es-ES_tradnl"/>
        </w:rPr>
        <w:tab/>
      </w:r>
      <w:r w:rsidRPr="00BD5DAF">
        <w:rPr>
          <w:i/>
          <w:iCs/>
          <w:lang w:val="es-ES_tradnl"/>
        </w:rPr>
        <w:t>Src</w:t>
      </w:r>
      <w:r w:rsidR="00BD5DAF" w:rsidRPr="00E94FB2">
        <w:rPr>
          <w:sz w:val="16"/>
          <w:szCs w:val="16"/>
          <w:lang w:val="es-ES_tradnl"/>
        </w:rPr>
        <w:t xml:space="preserve"> </w:t>
      </w:r>
      <w:r w:rsidRPr="00BD5DAF">
        <w:rPr>
          <w:lang w:val="es-ES_tradnl"/>
        </w:rPr>
        <w:t>:</w:t>
      </w:r>
      <w:r w:rsidRPr="00BD5DAF">
        <w:rPr>
          <w:lang w:val="es-ES_tradnl"/>
        </w:rPr>
        <w:tab/>
        <w:t>límite de sensibilidad de la cadena de recepción de la estación (dBm) (véanse los § 3.2.1.3 y 3.2.1.4)</w:t>
      </w:r>
    </w:p>
    <w:p w:rsidR="00F97D17" w:rsidRPr="00BD5DAF" w:rsidRDefault="00F97D17" w:rsidP="00BD5DAF">
      <w:pPr>
        <w:pStyle w:val="Equationlegend"/>
        <w:rPr>
          <w:lang w:val="es-ES_tradnl"/>
        </w:rPr>
      </w:pPr>
      <w:r w:rsidRPr="00BD5DAF">
        <w:rPr>
          <w:lang w:val="es-ES_tradnl"/>
        </w:rPr>
        <w:tab/>
      </w:r>
      <w:r w:rsidRPr="00BD5DAF">
        <w:rPr>
          <w:i/>
          <w:iCs/>
          <w:lang w:val="es-ES_tradnl"/>
        </w:rPr>
        <w:t>NFa</w:t>
      </w:r>
      <w:r w:rsidR="00BD5DAF" w:rsidRPr="00E94FB2">
        <w:rPr>
          <w:sz w:val="16"/>
          <w:szCs w:val="16"/>
          <w:lang w:val="es-ES_tradnl"/>
        </w:rPr>
        <w:t xml:space="preserve"> </w:t>
      </w:r>
      <w:r w:rsidRPr="00BD5DAF">
        <w:rPr>
          <w:lang w:val="es-ES_tradnl"/>
        </w:rPr>
        <w:t>:</w:t>
      </w:r>
      <w:r w:rsidRPr="00BD5DAF">
        <w:rPr>
          <w:lang w:val="es-ES_tradnl"/>
        </w:rPr>
        <w:tab/>
        <w:t>contribución de la antena al ruido de la estación (dB), calculado anteriormente.</w:t>
      </w:r>
    </w:p>
    <w:p w:rsidR="00F97D17" w:rsidRPr="00CC69B2" w:rsidRDefault="00F97D17" w:rsidP="00BD5DAF">
      <w:pPr>
        <w:pStyle w:val="Note"/>
        <w:rPr>
          <w:lang w:val="es-ES_tradnl"/>
        </w:rPr>
      </w:pPr>
      <w:r w:rsidRPr="00CC69B2">
        <w:rPr>
          <w:lang w:val="es-ES_tradnl"/>
        </w:rPr>
        <w:t>NOTA 1 – Si la antena o la antena de la subbanda es pasiva, la contribución de ruido de la antena puede considerarse nula y, en consecuencia, la sensibilidad de la estación es:</w:t>
      </w:r>
    </w:p>
    <w:p w:rsidR="008401FF" w:rsidRPr="00B874B3" w:rsidRDefault="008401FF" w:rsidP="008401FF">
      <w:pPr>
        <w:pStyle w:val="Blanc"/>
        <w:rPr>
          <w:lang w:val="es-ES_tradnl"/>
        </w:rPr>
      </w:pPr>
    </w:p>
    <w:p w:rsidR="00F97D17" w:rsidRPr="00CC69B2" w:rsidRDefault="00F97D17" w:rsidP="00BD5DAF">
      <w:pPr>
        <w:pStyle w:val="Equation"/>
        <w:rPr>
          <w:lang w:val="es-ES_tradnl"/>
        </w:rPr>
      </w:pPr>
      <w:r w:rsidRPr="00CC69B2">
        <w:rPr>
          <w:lang w:val="es-ES_tradnl"/>
        </w:rPr>
        <w:tab/>
      </w:r>
      <w:r w:rsidRPr="00CC69B2">
        <w:rPr>
          <w:lang w:val="es-ES_tradnl"/>
        </w:rPr>
        <w:tab/>
      </w:r>
      <w:r w:rsidRPr="00CC69B2">
        <w:rPr>
          <w:i/>
          <w:iCs/>
          <w:lang w:val="es-ES_tradnl"/>
        </w:rPr>
        <w:t>S</w:t>
      </w:r>
      <w:r w:rsidRPr="00CC69B2">
        <w:rPr>
          <w:lang w:val="es-ES_tradnl"/>
        </w:rPr>
        <w:t xml:space="preserve">  =  </w:t>
      </w:r>
      <w:r w:rsidRPr="00CC69B2">
        <w:rPr>
          <w:i/>
          <w:iCs/>
          <w:lang w:val="es-ES_tradnl"/>
        </w:rPr>
        <w:t>AF</w:t>
      </w:r>
      <w:r w:rsidRPr="00CC69B2">
        <w:rPr>
          <w:lang w:val="es-ES_tradnl"/>
        </w:rPr>
        <w:t xml:space="preserve"> + </w:t>
      </w:r>
      <w:r w:rsidRPr="00CC69B2">
        <w:rPr>
          <w:i/>
          <w:iCs/>
          <w:lang w:val="es-ES_tradnl"/>
        </w:rPr>
        <w:t>Src</w:t>
      </w:r>
    </w:p>
    <w:p w:rsidR="005A67C0" w:rsidRPr="00B874B3" w:rsidRDefault="005A67C0" w:rsidP="005A67C0">
      <w:pPr>
        <w:pStyle w:val="Blanc"/>
        <w:rPr>
          <w:lang w:val="es-ES_tradnl"/>
        </w:rPr>
      </w:pPr>
    </w:p>
    <w:p w:rsidR="00F97D17" w:rsidRPr="00CC69B2" w:rsidRDefault="00F97D17" w:rsidP="00B874B3">
      <w:pPr>
        <w:pStyle w:val="Heading4"/>
        <w:rPr>
          <w:lang w:val="es-ES_tradnl"/>
        </w:rPr>
      </w:pPr>
      <w:r w:rsidRPr="00CC69B2">
        <w:rPr>
          <w:lang w:val="es-ES_tradnl"/>
        </w:rPr>
        <w:t>3.2.1.1</w:t>
      </w:r>
      <w:r w:rsidRPr="00CC69B2">
        <w:rPr>
          <w:lang w:val="es-ES_tradnl"/>
        </w:rPr>
        <w:tab/>
        <w:t>Factor de antena</w:t>
      </w:r>
    </w:p>
    <w:p w:rsidR="00F97D17" w:rsidRPr="0063018E" w:rsidRDefault="00F97D17" w:rsidP="004255BD">
      <w:pPr>
        <w:keepNext/>
        <w:keepLines/>
        <w:rPr>
          <w:lang w:val="es-ES_tradnl"/>
        </w:rPr>
      </w:pPr>
      <w:r w:rsidRPr="0063018E">
        <w:rPr>
          <w:lang w:val="es-ES_tradnl"/>
        </w:rPr>
        <w:t>La definición del factor de antena aparece en el § 4.</w:t>
      </w:r>
      <w:r w:rsidR="004255BD">
        <w:rPr>
          <w:lang w:val="es-ES_tradnl"/>
        </w:rPr>
        <w:t>4</w:t>
      </w:r>
      <w:r w:rsidRPr="0063018E">
        <w:rPr>
          <w:lang w:val="es-ES_tradnl"/>
        </w:rPr>
        <w:t>.1.1.</w:t>
      </w:r>
      <w:r w:rsidR="004255BD">
        <w:rPr>
          <w:lang w:val="es-ES_tradnl"/>
        </w:rPr>
        <w:t>2</w:t>
      </w:r>
      <w:r w:rsidRPr="0063018E">
        <w:rPr>
          <w:lang w:val="es-ES_tradnl"/>
        </w:rPr>
        <w:t xml:space="preserve"> del Manual del UIT-R «Comprobación técnica del espectro» (Edición de 2011). El factor de antena de una antena receptora es la intensidad de campo eléctrico de una onda plana dividido por la tensión eléctrica de salida (V0) de la antena conectada a su carga nominal (normalmente 50 </w:t>
      </w:r>
      <w:r w:rsidRPr="00CC69B2">
        <w:rPr>
          <w:lang w:val="en-US"/>
        </w:rPr>
        <w:sym w:font="Symbol" w:char="F057"/>
      </w:r>
      <w:r w:rsidRPr="0063018E">
        <w:rPr>
          <w:lang w:val="es-ES_tradnl"/>
        </w:rPr>
        <w:t>):</w:t>
      </w:r>
    </w:p>
    <w:p w:rsidR="008401FF" w:rsidRPr="00B874B3" w:rsidRDefault="008401FF" w:rsidP="00B874B3">
      <w:pPr>
        <w:pStyle w:val="Blanc"/>
        <w:rPr>
          <w:lang w:val="es-ES_tradnl"/>
        </w:rPr>
      </w:pPr>
    </w:p>
    <w:p w:rsidR="00F97D17" w:rsidRPr="00CC69B2" w:rsidRDefault="00F97D17" w:rsidP="00BD5DAF">
      <w:pPr>
        <w:pStyle w:val="Equation"/>
        <w:rPr>
          <w:lang w:val="es-ES_tradnl"/>
        </w:rPr>
      </w:pPr>
      <w:r w:rsidRPr="00CC69B2">
        <w:rPr>
          <w:lang w:val="es-ES_tradnl"/>
        </w:rPr>
        <w:tab/>
      </w:r>
      <w:r w:rsidRPr="00CC69B2">
        <w:rPr>
          <w:lang w:val="es-ES_tradnl"/>
        </w:rPr>
        <w:tab/>
      </w:r>
      <w:r w:rsidRPr="00CC69B2">
        <w:rPr>
          <w:i/>
          <w:iCs/>
          <w:lang w:val="es-ES_tradnl"/>
        </w:rPr>
        <w:t>AF</w:t>
      </w:r>
      <w:r w:rsidRPr="00CC69B2">
        <w:rPr>
          <w:lang w:val="es-ES_tradnl"/>
        </w:rPr>
        <w:t xml:space="preserve">  =  </w:t>
      </w:r>
      <w:r w:rsidRPr="00CC69B2">
        <w:rPr>
          <w:i/>
          <w:iCs/>
          <w:lang w:val="es-ES_tradnl"/>
        </w:rPr>
        <w:t>E</w:t>
      </w:r>
      <w:r w:rsidRPr="00CC69B2">
        <w:rPr>
          <w:lang w:val="es-ES_tradnl"/>
        </w:rPr>
        <w:t xml:space="preserve"> – </w:t>
      </w:r>
      <w:r w:rsidRPr="00CC69B2">
        <w:rPr>
          <w:i/>
          <w:iCs/>
          <w:lang w:val="es-ES_tradnl"/>
        </w:rPr>
        <w:t>V</w:t>
      </w:r>
      <w:r w:rsidRPr="00CC69B2">
        <w:rPr>
          <w:lang w:val="es-ES_tradnl"/>
        </w:rPr>
        <w:t>0</w:t>
      </w:r>
    </w:p>
    <w:p w:rsidR="00F97D17" w:rsidRPr="0063018E" w:rsidRDefault="00F97D17" w:rsidP="005A67C0">
      <w:pPr>
        <w:keepNext/>
        <w:keepLines/>
        <w:rPr>
          <w:lang w:val="es-ES_tradnl"/>
        </w:rPr>
      </w:pPr>
      <w:r w:rsidRPr="0063018E">
        <w:rPr>
          <w:lang w:val="es-ES_tradnl"/>
        </w:rPr>
        <w:t>siendo:</w:t>
      </w:r>
    </w:p>
    <w:p w:rsidR="00F97D17" w:rsidRPr="00BD5DAF" w:rsidRDefault="00F97D17" w:rsidP="005A67C0">
      <w:pPr>
        <w:pStyle w:val="Equationlegend"/>
        <w:keepNext/>
        <w:keepLines/>
        <w:rPr>
          <w:lang w:val="es-ES_tradnl"/>
        </w:rPr>
      </w:pPr>
      <w:r w:rsidRPr="00B874B3">
        <w:rPr>
          <w:lang w:val="es-ES_tradnl"/>
        </w:rPr>
        <w:tab/>
      </w:r>
      <w:r w:rsidRPr="00BD5DAF">
        <w:rPr>
          <w:i/>
          <w:iCs/>
          <w:lang w:val="es-ES_tradnl"/>
        </w:rPr>
        <w:t>AF</w:t>
      </w:r>
      <w:r w:rsidR="00BD5DAF" w:rsidRPr="00E94FB2">
        <w:rPr>
          <w:sz w:val="16"/>
          <w:szCs w:val="16"/>
          <w:lang w:val="es-ES_tradnl"/>
        </w:rPr>
        <w:t xml:space="preserve"> </w:t>
      </w:r>
      <w:r w:rsidRPr="00BD5DAF">
        <w:rPr>
          <w:lang w:val="es-ES_tradnl"/>
        </w:rPr>
        <w:t>:</w:t>
      </w:r>
      <w:r w:rsidRPr="00BD5DAF">
        <w:rPr>
          <w:lang w:val="es-ES_tradnl"/>
        </w:rPr>
        <w:tab/>
        <w:t xml:space="preserve">factor de antena (dB/m) </w:t>
      </w:r>
    </w:p>
    <w:p w:rsidR="00F97D17" w:rsidRPr="00BD5DAF" w:rsidRDefault="00F97D17" w:rsidP="00BD5DAF">
      <w:pPr>
        <w:pStyle w:val="Equationlegend"/>
        <w:rPr>
          <w:lang w:val="es-ES_tradnl"/>
        </w:rPr>
      </w:pPr>
      <w:r w:rsidRPr="00BD5DAF">
        <w:rPr>
          <w:lang w:val="es-ES_tradnl"/>
        </w:rPr>
        <w:tab/>
      </w:r>
      <w:r w:rsidRPr="00BD5DAF">
        <w:rPr>
          <w:i/>
          <w:iCs/>
          <w:lang w:val="es-ES_tradnl"/>
        </w:rPr>
        <w:t>E</w:t>
      </w:r>
      <w:r w:rsidR="00BD5DAF" w:rsidRPr="00E94FB2">
        <w:rPr>
          <w:sz w:val="16"/>
          <w:szCs w:val="16"/>
          <w:lang w:val="es-ES_tradnl"/>
        </w:rPr>
        <w:t xml:space="preserve"> </w:t>
      </w:r>
      <w:r w:rsidRPr="00BD5DAF">
        <w:rPr>
          <w:lang w:val="es-ES_tradnl"/>
        </w:rPr>
        <w:t>:</w:t>
      </w:r>
      <w:r w:rsidRPr="00BD5DAF">
        <w:rPr>
          <w:lang w:val="es-ES_tradnl"/>
        </w:rPr>
        <w:tab/>
        <w:t>campo eléctrico (dB(µV/m))</w:t>
      </w:r>
    </w:p>
    <w:p w:rsidR="00F97D17" w:rsidRPr="00BD5DAF" w:rsidRDefault="00F97D17" w:rsidP="00BD5DAF">
      <w:pPr>
        <w:pStyle w:val="Equationlegend"/>
        <w:rPr>
          <w:lang w:val="es-ES_tradnl"/>
        </w:rPr>
      </w:pPr>
      <w:r w:rsidRPr="00BD5DAF">
        <w:rPr>
          <w:lang w:val="es-ES_tradnl"/>
        </w:rPr>
        <w:tab/>
      </w:r>
      <w:r w:rsidRPr="00BD5DAF">
        <w:rPr>
          <w:i/>
          <w:iCs/>
          <w:lang w:val="es-ES_tradnl"/>
        </w:rPr>
        <w:t>V</w:t>
      </w:r>
      <w:r w:rsidRPr="00BD5DAF">
        <w:rPr>
          <w:lang w:val="es-ES_tradnl"/>
        </w:rPr>
        <w:t>0</w:t>
      </w:r>
      <w:r w:rsidR="00BD5DAF" w:rsidRPr="00E94FB2">
        <w:rPr>
          <w:sz w:val="18"/>
          <w:szCs w:val="18"/>
          <w:lang w:val="es-ES_tradnl"/>
        </w:rPr>
        <w:t xml:space="preserve"> </w:t>
      </w:r>
      <w:r w:rsidRPr="00BD5DAF">
        <w:rPr>
          <w:lang w:val="es-ES_tradnl"/>
        </w:rPr>
        <w:t>:</w:t>
      </w:r>
      <w:r w:rsidRPr="00BD5DAF">
        <w:rPr>
          <w:lang w:val="es-ES_tradnl"/>
        </w:rPr>
        <w:tab/>
        <w:t xml:space="preserve">tensión de salida en 50 </w:t>
      </w:r>
      <w:r w:rsidRPr="00CC69B2">
        <w:sym w:font="Symbol" w:char="F057"/>
      </w:r>
      <w:r w:rsidRPr="00BD5DAF">
        <w:rPr>
          <w:lang w:val="es-ES_tradnl"/>
        </w:rPr>
        <w:t xml:space="preserve"> (dB(µV))</w:t>
      </w:r>
      <w:r w:rsidR="003B0BB0">
        <w:rPr>
          <w:lang w:val="es-ES_tradnl"/>
        </w:rPr>
        <w:t>.</w:t>
      </w:r>
    </w:p>
    <w:p w:rsidR="00F97D17" w:rsidRPr="0063018E" w:rsidRDefault="00F97D17" w:rsidP="00985DE2">
      <w:pPr>
        <w:rPr>
          <w:lang w:val="es-ES_tradnl"/>
        </w:rPr>
      </w:pPr>
      <w:r w:rsidRPr="0063018E">
        <w:rPr>
          <w:lang w:val="es-ES_tradnl"/>
        </w:rPr>
        <w:t>La medición del factor de antena se realiza en dos pasos:</w:t>
      </w:r>
    </w:p>
    <w:p w:rsidR="00F97D17" w:rsidRPr="00CC69B2" w:rsidRDefault="00F97D17" w:rsidP="00BD5DAF">
      <w:pPr>
        <w:pStyle w:val="enumlev1"/>
        <w:rPr>
          <w:lang w:val="es-ES_tradnl"/>
        </w:rPr>
      </w:pPr>
      <w:r w:rsidRPr="00CC69B2">
        <w:rPr>
          <w:lang w:val="es-ES_tradnl"/>
        </w:rPr>
        <w:t>–</w:t>
      </w:r>
      <w:r w:rsidRPr="00CC69B2">
        <w:rPr>
          <w:lang w:val="es-ES_tradnl"/>
        </w:rPr>
        <w:tab/>
        <w:t>medición del campo eléctrico recibido por una antena de referencia;</w:t>
      </w:r>
    </w:p>
    <w:p w:rsidR="00F97D17" w:rsidRPr="00CC69B2" w:rsidRDefault="00F97D17" w:rsidP="00BD5DAF">
      <w:pPr>
        <w:pStyle w:val="enumlev1"/>
        <w:rPr>
          <w:lang w:val="es-ES_tradnl"/>
        </w:rPr>
      </w:pPr>
      <w:r w:rsidRPr="00CC69B2">
        <w:rPr>
          <w:lang w:val="es-ES_tradnl"/>
        </w:rPr>
        <w:t>–</w:t>
      </w:r>
      <w:r w:rsidRPr="00CC69B2">
        <w:rPr>
          <w:lang w:val="es-ES_tradnl"/>
        </w:rPr>
        <w:tab/>
        <w:t>medición de la tensión entregada por la antena sometida a prueba (antena de comprobación técnica o de radiogoniometría).</w:t>
      </w:r>
      <w:bookmarkStart w:id="99" w:name="_GoBack"/>
      <w:bookmarkEnd w:id="99"/>
    </w:p>
    <w:p w:rsidR="00F97D17" w:rsidRPr="0063018E" w:rsidRDefault="00F97D17" w:rsidP="00BD5DAF">
      <w:pPr>
        <w:rPr>
          <w:lang w:val="es-ES_tradnl"/>
        </w:rPr>
      </w:pPr>
      <w:r w:rsidRPr="0063018E">
        <w:rPr>
          <w:lang w:val="es-ES_tradnl"/>
        </w:rPr>
        <w:t>El principio de medición consiste en producir un campo eléctrico homogéneo conocido al nivel de la antena de medición y medir la tensión de salida de la antena. En la Fig. 7 aparece un montaje para realizar esta medición.</w:t>
      </w:r>
    </w:p>
    <w:p w:rsidR="00F97D17" w:rsidRPr="00CC69B2" w:rsidRDefault="00F97D17" w:rsidP="00BD5DAF">
      <w:pPr>
        <w:rPr>
          <w:lang w:val="es-ES_tradnl"/>
        </w:rPr>
      </w:pPr>
      <w:r w:rsidRPr="00CC69B2">
        <w:rPr>
          <w:lang w:val="es-ES_tradnl"/>
        </w:rPr>
        <w:t>Para antenas en las que se desconoce el centro de fase (con estructuras log periódicas), y donde se utilizan distancias de prueba cortas (cámara anecoica) es conveniente utilizar un analizador de red a fin de determinar el centro de fase exacto. El centro de fase de la antena de referencia y de la antena sometida a prueba debe ser el mismo.</w:t>
      </w:r>
    </w:p>
    <w:p w:rsidR="00F97D17" w:rsidRPr="0063018E" w:rsidRDefault="00F97D17" w:rsidP="00985DE2">
      <w:pPr>
        <w:rPr>
          <w:lang w:val="es-ES_tradnl"/>
        </w:rPr>
      </w:pPr>
      <w:r w:rsidRPr="0063018E">
        <w:rPr>
          <w:lang w:val="es-ES_tradnl"/>
        </w:rPr>
        <w:t>El cálculo es independiente del tipo de antena:</w:t>
      </w:r>
    </w:p>
    <w:p w:rsidR="008401FF" w:rsidRPr="00B874B3" w:rsidRDefault="008401FF" w:rsidP="008401FF">
      <w:pPr>
        <w:pStyle w:val="Blanc"/>
        <w:rPr>
          <w:lang w:val="es-ES_tradnl"/>
        </w:rPr>
      </w:pPr>
    </w:p>
    <w:p w:rsidR="00F97D17" w:rsidRPr="00CC69B2" w:rsidRDefault="00F97D17" w:rsidP="008661AC">
      <w:pPr>
        <w:pStyle w:val="Equation"/>
      </w:pPr>
      <w:r w:rsidRPr="00CC69B2">
        <w:rPr>
          <w:lang w:val="es-ES_tradnl"/>
        </w:rPr>
        <w:tab/>
      </w:r>
      <w:r w:rsidRPr="00CC69B2">
        <w:rPr>
          <w:lang w:val="es-ES_tradnl"/>
        </w:rPr>
        <w:tab/>
      </w:r>
      <w:r w:rsidR="00516F6E" w:rsidRPr="00516F6E">
        <w:rPr>
          <w:position w:val="-14"/>
        </w:rPr>
        <w:object w:dxaOrig="3100" w:dyaOrig="380">
          <v:shape id="_x0000_i1032" type="#_x0000_t75" style="width:154.5pt;height:19.5pt" o:ole="" fillcolor="window">
            <v:imagedata r:id="rId29" o:title=""/>
          </v:shape>
          <o:OLEObject Type="Embed" ProgID="Equation.3" ShapeID="_x0000_i1032" DrawAspect="Content" ObjectID="_1413614802" r:id="rId30"/>
        </w:object>
      </w:r>
    </w:p>
    <w:p w:rsidR="00F97D17" w:rsidRPr="0063018E" w:rsidRDefault="00F97D17" w:rsidP="00985DE2">
      <w:pPr>
        <w:rPr>
          <w:lang w:val="es-ES_tradnl"/>
        </w:rPr>
      </w:pPr>
      <w:r w:rsidRPr="0063018E">
        <w:rPr>
          <w:lang w:val="es-ES_tradnl"/>
        </w:rPr>
        <w:t>siendo:</w:t>
      </w:r>
    </w:p>
    <w:p w:rsidR="00F97D17" w:rsidRPr="008661AC" w:rsidRDefault="00F97D17" w:rsidP="008661AC">
      <w:pPr>
        <w:pStyle w:val="Equationlegend"/>
        <w:rPr>
          <w:lang w:val="es-ES_tradnl"/>
        </w:rPr>
      </w:pPr>
      <w:r w:rsidRPr="00B874B3">
        <w:rPr>
          <w:lang w:val="es-ES_tradnl"/>
        </w:rPr>
        <w:tab/>
      </w:r>
      <w:r w:rsidRPr="008661AC">
        <w:rPr>
          <w:i/>
          <w:iCs/>
          <w:lang w:val="es-ES_tradnl"/>
        </w:rPr>
        <w:t>AF</w:t>
      </w:r>
      <w:r w:rsidRPr="008661AC">
        <w:rPr>
          <w:i/>
          <w:iCs/>
          <w:vertAlign w:val="subscript"/>
          <w:lang w:val="es-ES_tradnl"/>
        </w:rPr>
        <w:t>ant</w:t>
      </w:r>
      <w:r w:rsidR="008661AC" w:rsidRPr="008661AC">
        <w:rPr>
          <w:i/>
          <w:iCs/>
          <w:vertAlign w:val="subscript"/>
          <w:lang w:val="es-ES_tradnl"/>
        </w:rPr>
        <w:t xml:space="preserve"> </w:t>
      </w:r>
      <w:r w:rsidRPr="008661AC">
        <w:rPr>
          <w:lang w:val="es-ES_tradnl"/>
        </w:rPr>
        <w:t>:</w:t>
      </w:r>
      <w:r w:rsidRPr="008661AC">
        <w:rPr>
          <w:lang w:val="es-ES_tradnl"/>
        </w:rPr>
        <w:tab/>
        <w:t>factor de antena de la antena de radiogoniometría o de comprobación técnica (dB/m)</w:t>
      </w:r>
    </w:p>
    <w:p w:rsidR="00F97D17" w:rsidRPr="008661AC" w:rsidRDefault="00F97D17" w:rsidP="008661AC">
      <w:pPr>
        <w:pStyle w:val="Equationlegend"/>
        <w:rPr>
          <w:lang w:val="es-ES_tradnl"/>
        </w:rPr>
      </w:pPr>
      <w:r w:rsidRPr="008661AC">
        <w:rPr>
          <w:lang w:val="es-ES_tradnl"/>
        </w:rPr>
        <w:tab/>
      </w:r>
      <w:r w:rsidRPr="008661AC">
        <w:rPr>
          <w:i/>
          <w:iCs/>
          <w:lang w:val="es-ES_tradnl"/>
        </w:rPr>
        <w:t>AF</w:t>
      </w:r>
      <w:r w:rsidRPr="008661AC">
        <w:rPr>
          <w:i/>
          <w:iCs/>
          <w:vertAlign w:val="subscript"/>
          <w:lang w:val="es-ES_tradnl"/>
        </w:rPr>
        <w:t>ref</w:t>
      </w:r>
      <w:r w:rsidR="008661AC" w:rsidRPr="008661AC">
        <w:rPr>
          <w:i/>
          <w:iCs/>
          <w:vertAlign w:val="subscript"/>
          <w:lang w:val="es-ES_tradnl"/>
        </w:rPr>
        <w:t xml:space="preserve"> </w:t>
      </w:r>
      <w:r w:rsidRPr="008661AC">
        <w:rPr>
          <w:lang w:val="es-ES_tradnl"/>
        </w:rPr>
        <w:t>:</w:t>
      </w:r>
      <w:r w:rsidRPr="008661AC">
        <w:rPr>
          <w:lang w:val="es-ES_tradnl"/>
        </w:rPr>
        <w:tab/>
        <w:t>factor de antena de la antena de referencia (dB/m)</w:t>
      </w:r>
    </w:p>
    <w:p w:rsidR="00F97D17" w:rsidRPr="008661AC" w:rsidRDefault="00F97D17" w:rsidP="008661AC">
      <w:pPr>
        <w:pStyle w:val="Equationlegend"/>
        <w:rPr>
          <w:lang w:val="es-ES_tradnl"/>
        </w:rPr>
      </w:pPr>
      <w:r w:rsidRPr="008661AC">
        <w:rPr>
          <w:lang w:val="es-ES_tradnl"/>
        </w:rPr>
        <w:tab/>
      </w:r>
      <w:r w:rsidRPr="008661AC">
        <w:rPr>
          <w:i/>
          <w:iCs/>
          <w:lang w:val="es-ES_tradnl"/>
        </w:rPr>
        <w:t>Lev</w:t>
      </w:r>
      <w:r w:rsidRPr="008661AC">
        <w:rPr>
          <w:i/>
          <w:iCs/>
          <w:vertAlign w:val="subscript"/>
          <w:lang w:val="es-ES_tradnl"/>
        </w:rPr>
        <w:t>ant</w:t>
      </w:r>
      <w:r w:rsidR="008661AC" w:rsidRPr="008661AC">
        <w:rPr>
          <w:i/>
          <w:iCs/>
          <w:vertAlign w:val="subscript"/>
          <w:lang w:val="es-ES_tradnl"/>
        </w:rPr>
        <w:t xml:space="preserve"> </w:t>
      </w:r>
      <w:r w:rsidRPr="008661AC">
        <w:rPr>
          <w:lang w:val="es-ES_tradnl"/>
        </w:rPr>
        <w:t>:</w:t>
      </w:r>
      <w:r w:rsidRPr="008661AC">
        <w:rPr>
          <w:lang w:val="es-ES_tradnl"/>
        </w:rPr>
        <w:tab/>
        <w:t xml:space="preserve">tensión de salida de la antena de radiogoniometría en 50 </w:t>
      </w:r>
      <w:r w:rsidRPr="00CC69B2">
        <w:sym w:font="Symbol" w:char="F057"/>
      </w:r>
      <w:r w:rsidRPr="008661AC">
        <w:rPr>
          <w:lang w:val="es-ES_tradnl"/>
        </w:rPr>
        <w:t xml:space="preserve"> (dBµV)</w:t>
      </w:r>
    </w:p>
    <w:p w:rsidR="00F97D17" w:rsidRPr="008661AC" w:rsidRDefault="00F97D17" w:rsidP="008661AC">
      <w:pPr>
        <w:pStyle w:val="Equationlegend"/>
        <w:rPr>
          <w:lang w:val="es-ES_tradnl"/>
        </w:rPr>
      </w:pPr>
      <w:r w:rsidRPr="008661AC">
        <w:rPr>
          <w:lang w:val="es-ES_tradnl"/>
        </w:rPr>
        <w:tab/>
      </w:r>
      <w:r w:rsidRPr="008661AC">
        <w:rPr>
          <w:i/>
          <w:iCs/>
          <w:lang w:val="es-ES_tradnl"/>
        </w:rPr>
        <w:t>Lev</w:t>
      </w:r>
      <w:r w:rsidRPr="008661AC">
        <w:rPr>
          <w:i/>
          <w:iCs/>
          <w:vertAlign w:val="subscript"/>
          <w:lang w:val="es-ES_tradnl"/>
        </w:rPr>
        <w:t>ref</w:t>
      </w:r>
      <w:r w:rsidR="008661AC" w:rsidRPr="008661AC">
        <w:rPr>
          <w:i/>
          <w:iCs/>
          <w:vertAlign w:val="subscript"/>
          <w:lang w:val="es-ES_tradnl"/>
        </w:rPr>
        <w:t xml:space="preserve"> </w:t>
      </w:r>
      <w:r w:rsidRPr="008661AC">
        <w:rPr>
          <w:lang w:val="es-ES_tradnl"/>
        </w:rPr>
        <w:t>:</w:t>
      </w:r>
      <w:r w:rsidRPr="008661AC">
        <w:rPr>
          <w:lang w:val="es-ES_tradnl"/>
        </w:rPr>
        <w:tab/>
        <w:t>tensión de salida de la antena de referencia (dBµV).</w:t>
      </w:r>
    </w:p>
    <w:p w:rsidR="00F97D17" w:rsidRPr="00CC69B2" w:rsidRDefault="00F97D17" w:rsidP="008661AC">
      <w:pPr>
        <w:pStyle w:val="FigureNo"/>
        <w:rPr>
          <w:rFonts w:eastAsia="MS Mincho"/>
          <w:lang w:val="es-ES_tradnl"/>
        </w:rPr>
      </w:pPr>
      <w:r w:rsidRPr="00CC69B2">
        <w:rPr>
          <w:rFonts w:eastAsia="MS Mincho"/>
          <w:lang w:val="es-ES_tradnl"/>
        </w:rPr>
        <w:lastRenderedPageBreak/>
        <w:t>FIGURa 7</w:t>
      </w:r>
    </w:p>
    <w:p w:rsidR="00F97D17" w:rsidRDefault="00F97D17" w:rsidP="008661AC">
      <w:pPr>
        <w:pStyle w:val="Figuretitle"/>
        <w:rPr>
          <w:lang w:val="es-ES_tradnl"/>
        </w:rPr>
      </w:pPr>
      <w:r w:rsidRPr="00CC69B2">
        <w:rPr>
          <w:lang w:val="es-ES_tradnl"/>
        </w:rPr>
        <w:t>Montaje de medición del factor de antena</w:t>
      </w:r>
    </w:p>
    <w:p w:rsidR="00BE70DF" w:rsidRPr="00E55BA6" w:rsidRDefault="00BE70DF" w:rsidP="00BE70DF">
      <w:pPr>
        <w:pStyle w:val="Blanc"/>
        <w:rPr>
          <w:lang w:val="es-ES_tradnl"/>
        </w:rPr>
      </w:pPr>
    </w:p>
    <w:p w:rsidR="008661AC" w:rsidRPr="008661AC" w:rsidRDefault="00BE70DF" w:rsidP="008661AC">
      <w:pPr>
        <w:pStyle w:val="Figure"/>
        <w:rPr>
          <w:lang w:val="es-ES_tradnl"/>
        </w:rPr>
      </w:pPr>
      <w:r>
        <w:rPr>
          <w:lang w:val="es-ES_tradnl"/>
        </w:rPr>
        <w:object w:dxaOrig="7714" w:dyaOrig="4087">
          <v:shape id="_x0000_i1033" type="#_x0000_t75" style="width:387.75pt;height:205.5pt" o:ole="">
            <v:imagedata r:id="rId31" o:title=""/>
          </v:shape>
          <o:OLEObject Type="Embed" ProgID="CorelDRAW.Graphic.14" ShapeID="_x0000_i1033" DrawAspect="Content" ObjectID="_1413614803" r:id="rId32"/>
        </w:object>
      </w:r>
    </w:p>
    <w:p w:rsidR="00F97D17" w:rsidRPr="0063018E" w:rsidRDefault="00F97D17" w:rsidP="00BE70DF">
      <w:pPr>
        <w:pStyle w:val="Normalaftertitle"/>
        <w:keepNext/>
        <w:keepLines/>
        <w:rPr>
          <w:lang w:val="es-ES_tradnl"/>
        </w:rPr>
      </w:pPr>
      <w:r w:rsidRPr="0063018E">
        <w:rPr>
          <w:lang w:val="es-ES_tradnl"/>
        </w:rPr>
        <w:t>La antena de referencia deberá seleccionarse como sigue:</w:t>
      </w:r>
    </w:p>
    <w:p w:rsidR="00F97D17" w:rsidRPr="00CC69B2" w:rsidRDefault="00F97D17" w:rsidP="008661AC">
      <w:pPr>
        <w:pStyle w:val="enumlev1"/>
        <w:rPr>
          <w:lang w:val="es-ES_tradnl"/>
        </w:rPr>
      </w:pPr>
      <w:r w:rsidRPr="00CC69B2">
        <w:rPr>
          <w:lang w:val="es-ES_tradnl"/>
        </w:rPr>
        <w:t>–</w:t>
      </w:r>
      <w:r w:rsidRPr="00CC69B2">
        <w:rPr>
          <w:lang w:val="es-ES_tradnl"/>
        </w:rPr>
        <w:tab/>
        <w:t>el número de antenas dependerá de la gama de frecuencias que debe cubrirse. La gama de frecuencias en la antena sometida a prueba deberá estar completamente cubierta por las antenas;</w:t>
      </w:r>
    </w:p>
    <w:p w:rsidR="00F97D17" w:rsidRPr="00CC69B2" w:rsidRDefault="00F97D17" w:rsidP="008661AC">
      <w:pPr>
        <w:pStyle w:val="enumlev1"/>
        <w:rPr>
          <w:lang w:val="es-ES_tradnl"/>
        </w:rPr>
      </w:pPr>
      <w:r w:rsidRPr="00CC69B2">
        <w:rPr>
          <w:lang w:val="es-ES_tradnl"/>
        </w:rPr>
        <w:t>–</w:t>
      </w:r>
      <w:r w:rsidRPr="00CC69B2">
        <w:rPr>
          <w:lang w:val="es-ES_tradnl"/>
        </w:rPr>
        <w:tab/>
        <w:t>la antena de «referencia» deberá tener factores de antena conocidas con su correspondiente precisión. El factor de antena o la ganancia de antena deberá ser conforme a una norma nacional o internacional.</w:t>
      </w:r>
    </w:p>
    <w:p w:rsidR="00F97D17" w:rsidRPr="0063018E" w:rsidRDefault="00F97D17" w:rsidP="008661AC">
      <w:pPr>
        <w:rPr>
          <w:lang w:val="es-ES_tradnl"/>
        </w:rPr>
      </w:pPr>
      <w:r w:rsidRPr="0063018E">
        <w:rPr>
          <w:lang w:val="es-ES_tradnl"/>
        </w:rPr>
        <w:t>Las pérdidas en los cables no se incluyen en el cálculo pero deben ser las mismas en las mediciones de la antena de referencia que en las mediciones de las antenas sometidas a prueba.</w:t>
      </w:r>
    </w:p>
    <w:p w:rsidR="00F97D17" w:rsidRPr="00CC69B2" w:rsidRDefault="00F97D17" w:rsidP="008661AC">
      <w:pPr>
        <w:pStyle w:val="Headingb"/>
        <w:rPr>
          <w:lang w:val="es-ES_tradnl"/>
        </w:rPr>
      </w:pPr>
      <w:r w:rsidRPr="00CC69B2">
        <w:rPr>
          <w:lang w:val="es-ES_tradnl"/>
        </w:rPr>
        <w:t>Caso de una antena de radiogoniometría</w:t>
      </w:r>
    </w:p>
    <w:p w:rsidR="00F97D17" w:rsidRPr="0063018E" w:rsidRDefault="00F97D17" w:rsidP="008661AC">
      <w:pPr>
        <w:rPr>
          <w:lang w:val="es-ES_tradnl"/>
        </w:rPr>
      </w:pPr>
      <w:r w:rsidRPr="0063018E">
        <w:rPr>
          <w:lang w:val="es-ES_tradnl"/>
        </w:rPr>
        <w:t xml:space="preserve">Una antena de radiogoniometría está compuesta de </w:t>
      </w:r>
      <w:r w:rsidRPr="0063018E">
        <w:rPr>
          <w:i/>
          <w:iCs/>
          <w:lang w:val="es-ES_tradnl"/>
        </w:rPr>
        <w:t>N</w:t>
      </w:r>
      <w:r w:rsidRPr="0063018E">
        <w:rPr>
          <w:lang w:val="es-ES_tradnl"/>
        </w:rPr>
        <w:t xml:space="preserve"> antenas elementales, cada una de ellas con un ángulo de apertura de 360°/</w:t>
      </w:r>
      <w:r w:rsidRPr="0063018E">
        <w:rPr>
          <w:i/>
          <w:iCs/>
          <w:lang w:val="es-ES_tradnl"/>
        </w:rPr>
        <w:t>N</w:t>
      </w:r>
      <w:r w:rsidRPr="0063018E">
        <w:rPr>
          <w:lang w:val="es-ES_tradnl"/>
        </w:rPr>
        <w:t>. La medición se realizará en este ángulo de apertura para una antena elemental.</w:t>
      </w:r>
    </w:p>
    <w:p w:rsidR="00F97D17" w:rsidRPr="0063018E" w:rsidRDefault="00F97D17" w:rsidP="008661AC">
      <w:pPr>
        <w:rPr>
          <w:lang w:val="es-ES_tradnl"/>
        </w:rPr>
      </w:pPr>
      <w:r w:rsidRPr="0063018E">
        <w:rPr>
          <w:lang w:val="es-ES_tradnl"/>
        </w:rPr>
        <w:t>Por ejemplo, en el caso de una antena con cinco dipolos elementales, representada en la Fig. 8, la medición se realizará a lo largo del arco de 72°.</w:t>
      </w:r>
    </w:p>
    <w:p w:rsidR="00F97D17" w:rsidRPr="00CC69B2" w:rsidRDefault="00F97D17" w:rsidP="008661AC">
      <w:pPr>
        <w:pStyle w:val="FigureNo"/>
        <w:rPr>
          <w:lang w:val="es-ES_tradnl"/>
        </w:rPr>
      </w:pPr>
      <w:r w:rsidRPr="00CC69B2">
        <w:rPr>
          <w:lang w:val="es-ES_tradnl"/>
        </w:rPr>
        <w:lastRenderedPageBreak/>
        <w:t>Figura 8</w:t>
      </w:r>
    </w:p>
    <w:p w:rsidR="00F97D17" w:rsidRDefault="00F97D17" w:rsidP="008661AC">
      <w:pPr>
        <w:pStyle w:val="Figuretitle"/>
        <w:rPr>
          <w:lang w:val="es-ES_tradnl"/>
        </w:rPr>
      </w:pPr>
      <w:r w:rsidRPr="00CC69B2">
        <w:rPr>
          <w:lang w:val="es-ES_tradnl"/>
        </w:rPr>
        <w:t>Medición del nivel para una antena de radiogoniometría</w:t>
      </w:r>
    </w:p>
    <w:p w:rsidR="00BE70DF" w:rsidRPr="00E55BA6" w:rsidRDefault="00BE70DF" w:rsidP="00BE70DF">
      <w:pPr>
        <w:pStyle w:val="Blanc"/>
        <w:rPr>
          <w:lang w:val="es-ES_tradnl"/>
        </w:rPr>
      </w:pPr>
    </w:p>
    <w:p w:rsidR="008661AC" w:rsidRPr="008661AC" w:rsidRDefault="008661AC" w:rsidP="008661AC">
      <w:pPr>
        <w:pStyle w:val="Figure"/>
        <w:rPr>
          <w:lang w:val="es-ES_tradnl"/>
        </w:rPr>
      </w:pPr>
      <w:r>
        <w:rPr>
          <w:lang w:val="es-ES_tradnl"/>
        </w:rPr>
        <w:object w:dxaOrig="3402" w:dyaOrig="3268">
          <v:shape id="_x0000_i1034" type="#_x0000_t75" style="width:190.5pt;height:182.25pt" o:ole="">
            <v:imagedata r:id="rId33" o:title=""/>
          </v:shape>
          <o:OLEObject Type="Embed" ProgID="CorelDRAW.Graphic.14" ShapeID="_x0000_i1034" DrawAspect="Content" ObjectID="_1413614804" r:id="rId34"/>
        </w:object>
      </w:r>
    </w:p>
    <w:p w:rsidR="00F97D17" w:rsidRPr="00CC69B2" w:rsidRDefault="00F97D17" w:rsidP="00BE70DF">
      <w:pPr>
        <w:pStyle w:val="Normalaftertitle"/>
        <w:rPr>
          <w:lang w:val="es-ES_tradnl"/>
        </w:rPr>
      </w:pPr>
      <w:r w:rsidRPr="00CC69B2">
        <w:rPr>
          <w:lang w:val="es-ES_tradnl"/>
        </w:rPr>
        <w:t>Se realizan 10 mediciones del nivel distribuidas a lo largo de un ángulo de −(360°/</w:t>
      </w:r>
      <w:r w:rsidRPr="00CC69B2">
        <w:rPr>
          <w:i/>
          <w:iCs/>
          <w:lang w:val="es-ES_tradnl"/>
        </w:rPr>
        <w:t>N</w:t>
      </w:r>
      <w:r w:rsidRPr="00CC69B2">
        <w:rPr>
          <w:lang w:val="es-ES_tradnl"/>
        </w:rPr>
        <w:t>)/2 a +(360°/</w:t>
      </w:r>
      <w:r w:rsidRPr="00CC69B2">
        <w:rPr>
          <w:i/>
          <w:iCs/>
          <w:lang w:val="es-ES_tradnl"/>
        </w:rPr>
        <w:t>N</w:t>
      </w:r>
      <w:r w:rsidRPr="00CC69B2">
        <w:rPr>
          <w:lang w:val="es-ES_tradnl"/>
        </w:rPr>
        <w:t>)/2.</w:t>
      </w:r>
    </w:p>
    <w:p w:rsidR="00F97D17" w:rsidRDefault="00F97D17" w:rsidP="008661AC">
      <w:pPr>
        <w:rPr>
          <w:lang w:val="es-ES_tradnl"/>
        </w:rPr>
      </w:pPr>
      <w:r w:rsidRPr="0063018E">
        <w:rPr>
          <w:lang w:val="es-ES_tradnl"/>
        </w:rPr>
        <w:t>Se calcula la señal recibida para cada frecuencia de medición:</w:t>
      </w:r>
    </w:p>
    <w:p w:rsidR="008661AC" w:rsidRPr="00B874B3" w:rsidRDefault="008661AC" w:rsidP="008661AC">
      <w:pPr>
        <w:pStyle w:val="Blanc"/>
        <w:rPr>
          <w:lang w:val="es-ES_tradnl"/>
        </w:rPr>
      </w:pPr>
    </w:p>
    <w:p w:rsidR="00F97D17" w:rsidRPr="00BE70DF" w:rsidRDefault="00F97D17" w:rsidP="008661AC">
      <w:pPr>
        <w:pStyle w:val="Equation"/>
      </w:pPr>
      <w:r w:rsidRPr="00E55BA6">
        <w:rPr>
          <w:lang w:val="es-ES_tradnl"/>
        </w:rPr>
        <w:tab/>
      </w:r>
      <w:r w:rsidRPr="00E55BA6">
        <w:rPr>
          <w:lang w:val="es-ES_tradnl"/>
        </w:rPr>
        <w:tab/>
      </w:r>
      <w:r w:rsidR="00BE70DF" w:rsidRPr="00BE70DF">
        <w:rPr>
          <w:position w:val="-24"/>
        </w:rPr>
        <w:object w:dxaOrig="1880" w:dyaOrig="620">
          <v:shape id="_x0000_i1035" type="#_x0000_t75" style="width:97.5pt;height:31.5pt" o:ole="" fillcolor="window">
            <v:imagedata r:id="rId35" o:title=""/>
          </v:shape>
          <o:OLEObject Type="Embed" ProgID="Equation.3" ShapeID="_x0000_i1035" DrawAspect="Content" ObjectID="_1413614805" r:id="rId36"/>
        </w:object>
      </w:r>
    </w:p>
    <w:p w:rsidR="00BE70DF" w:rsidRPr="00B874B3" w:rsidRDefault="00BE70DF" w:rsidP="00BE70DF">
      <w:pPr>
        <w:pStyle w:val="Blanc"/>
        <w:rPr>
          <w:lang w:val="es-ES_tradnl"/>
        </w:rPr>
      </w:pPr>
    </w:p>
    <w:p w:rsidR="00F97D17" w:rsidRPr="00CC69B2" w:rsidRDefault="00F97D17" w:rsidP="008661AC">
      <w:pPr>
        <w:pStyle w:val="Note"/>
        <w:rPr>
          <w:lang w:val="es-ES_tradnl"/>
        </w:rPr>
      </w:pPr>
      <w:r w:rsidRPr="00CC69B2">
        <w:rPr>
          <w:lang w:val="es-ES_tradnl"/>
        </w:rPr>
        <w:t>NOTA 1 – Para radiogoniómetros de Watson</w:t>
      </w:r>
      <w:r w:rsidRPr="00CC69B2">
        <w:rPr>
          <w:lang w:val="es-ES_tradnl"/>
        </w:rPr>
        <w:noBreakHyphen/>
        <w:t>Watt o radiogoniómetros basados en el efecto Doppler este método no es adecuado porque su precisión depende de las dimensiones del sistema total de antenas.</w:t>
      </w:r>
    </w:p>
    <w:p w:rsidR="00F97D17" w:rsidRPr="00CC69B2" w:rsidRDefault="00F97D17" w:rsidP="008661AC">
      <w:pPr>
        <w:pStyle w:val="Note"/>
        <w:rPr>
          <w:lang w:val="es-ES_tradnl"/>
        </w:rPr>
      </w:pPr>
      <w:r w:rsidRPr="00CC69B2">
        <w:rPr>
          <w:lang w:val="es-ES_tradnl"/>
        </w:rPr>
        <w:t>NOTA 2 – Los cables y el dispositivo de medición (analizador de espectro o estación de medición) deben ser los mismos para la medición de la antena de referencia que para la medición de la antena de radiogoniometría.</w:t>
      </w:r>
    </w:p>
    <w:p w:rsidR="00F97D17" w:rsidRPr="00CC69B2" w:rsidRDefault="00F97D17" w:rsidP="008661AC">
      <w:pPr>
        <w:pStyle w:val="Heading4"/>
        <w:rPr>
          <w:lang w:val="es-ES_tradnl"/>
        </w:rPr>
      </w:pPr>
      <w:r w:rsidRPr="00CC69B2">
        <w:rPr>
          <w:lang w:val="es-ES_tradnl"/>
        </w:rPr>
        <w:t>3.2.1.2</w:t>
      </w:r>
      <w:r w:rsidRPr="00CC69B2">
        <w:rPr>
          <w:lang w:val="es-ES_tradnl"/>
        </w:rPr>
        <w:tab/>
        <w:t>Ruido de fondo de la antena</w:t>
      </w:r>
    </w:p>
    <w:p w:rsidR="00F97D17" w:rsidRPr="0063018E" w:rsidRDefault="00F97D17" w:rsidP="008661AC">
      <w:pPr>
        <w:rPr>
          <w:lang w:val="es-ES_tradnl"/>
        </w:rPr>
      </w:pPr>
      <w:r w:rsidRPr="0063018E">
        <w:rPr>
          <w:lang w:val="es-ES_tradnl"/>
        </w:rPr>
        <w:t>Las antenas activas están constituidas por elementos alimentados por una tensión o corriente continuas. Se trata de amplificadores de transistores, conmutadores o elementos de adaptación. Los componentes activos generan una densidad de potencia de ruido que degrada la sensibilidad del sistema.</w:t>
      </w:r>
    </w:p>
    <w:p w:rsidR="00F97D17" w:rsidRPr="0063018E" w:rsidRDefault="00F97D17" w:rsidP="008661AC">
      <w:pPr>
        <w:rPr>
          <w:lang w:val="es-ES_tradnl"/>
        </w:rPr>
      </w:pPr>
      <w:r w:rsidRPr="0063018E">
        <w:rPr>
          <w:lang w:val="es-ES_tradnl"/>
        </w:rPr>
        <w:t>La medición del ruido de fondo deberá realizarse en una jaula Faraday como la representada en la Fig. 9. El ruido de fondo (dBm/Hz) se medirá directamente a la salida de la antena utilizando un analizador de espectro.</w:t>
      </w:r>
    </w:p>
    <w:p w:rsidR="00F97D17" w:rsidRPr="0063018E" w:rsidRDefault="00F97D17" w:rsidP="008661AC">
      <w:pPr>
        <w:rPr>
          <w:lang w:val="es-ES_tradnl"/>
        </w:rPr>
      </w:pPr>
      <w:r w:rsidRPr="0063018E">
        <w:rPr>
          <w:lang w:val="es-ES_tradnl"/>
        </w:rPr>
        <w:t>La antena se situará en un entorno eléctricamente silencioso y alejada de cualquier estructura que pueda afectar su impedancia o su ganancia. En la práctica puede servir una sala apantallada (como una jaula de Faraday).</w:t>
      </w:r>
    </w:p>
    <w:p w:rsidR="00F97D17" w:rsidRPr="00CC69B2" w:rsidRDefault="00F97D17" w:rsidP="008661AC">
      <w:pPr>
        <w:pStyle w:val="FigureNo"/>
        <w:rPr>
          <w:lang w:val="es-ES_tradnl"/>
        </w:rPr>
      </w:pPr>
      <w:r w:rsidRPr="00CC69B2">
        <w:rPr>
          <w:rFonts w:eastAsia="MS Mincho"/>
          <w:lang w:val="es-ES_tradnl"/>
        </w:rPr>
        <w:lastRenderedPageBreak/>
        <w:t>FIGURA 9</w:t>
      </w:r>
    </w:p>
    <w:p w:rsidR="00F97D17" w:rsidRDefault="00F97D17" w:rsidP="008661AC">
      <w:pPr>
        <w:pStyle w:val="Figuretitle"/>
        <w:rPr>
          <w:lang w:val="es-ES_tradnl"/>
        </w:rPr>
      </w:pPr>
      <w:r w:rsidRPr="00CC69B2">
        <w:rPr>
          <w:lang w:val="es-ES_tradnl"/>
        </w:rPr>
        <w:t>Montaje para la medición de la densidad de potencia del ruido de una antena</w:t>
      </w:r>
    </w:p>
    <w:p w:rsidR="0079293E" w:rsidRPr="00B874B3" w:rsidRDefault="0079293E" w:rsidP="0079293E">
      <w:pPr>
        <w:pStyle w:val="Blanc"/>
        <w:rPr>
          <w:lang w:val="es-ES_tradnl"/>
        </w:rPr>
      </w:pPr>
    </w:p>
    <w:p w:rsidR="008661AC" w:rsidRPr="008661AC" w:rsidRDefault="008661AC" w:rsidP="008661AC">
      <w:pPr>
        <w:pStyle w:val="Figure"/>
        <w:rPr>
          <w:lang w:val="es-ES_tradnl"/>
        </w:rPr>
      </w:pPr>
      <w:r>
        <w:rPr>
          <w:lang w:val="es-ES_tradnl"/>
        </w:rPr>
        <w:object w:dxaOrig="3741" w:dyaOrig="3593">
          <v:shape id="_x0000_i1036" type="#_x0000_t75" style="width:208.5pt;height:200.25pt" o:ole="">
            <v:imagedata r:id="rId37" o:title=""/>
          </v:shape>
          <o:OLEObject Type="Embed" ProgID="CorelDRAW.Graphic.14" ShapeID="_x0000_i1036" DrawAspect="Content" ObjectID="_1413614806" r:id="rId38"/>
        </w:object>
      </w:r>
    </w:p>
    <w:p w:rsidR="00F97D17" w:rsidRPr="00CC69B2" w:rsidRDefault="00F97D17" w:rsidP="0079293E">
      <w:pPr>
        <w:pStyle w:val="Normalaftertitle"/>
        <w:rPr>
          <w:lang w:val="es-ES_tradnl"/>
        </w:rPr>
      </w:pPr>
      <w:r w:rsidRPr="00CC69B2">
        <w:rPr>
          <w:lang w:val="es-ES_tradnl"/>
        </w:rPr>
        <w:t>El analizador de espectro deberá tener un ruido de fondo 10 dB superior a la densidad de ruido proporcionada por la antena sometida a prueba. Puede que sea necesario utilizar un amplificador de bajo nivel de ruido.</w:t>
      </w:r>
    </w:p>
    <w:p w:rsidR="00F97D17" w:rsidRPr="00CC69B2" w:rsidRDefault="00F97D17" w:rsidP="008661AC">
      <w:pPr>
        <w:pStyle w:val="Heading4"/>
        <w:rPr>
          <w:lang w:val="es-ES_tradnl"/>
        </w:rPr>
      </w:pPr>
      <w:r w:rsidRPr="00CC69B2">
        <w:rPr>
          <w:lang w:val="es-ES_tradnl"/>
        </w:rPr>
        <w:t>3.2.1.3</w:t>
      </w:r>
      <w:r w:rsidRPr="00CC69B2">
        <w:rPr>
          <w:lang w:val="es-ES_tradnl"/>
        </w:rPr>
        <w:tab/>
        <w:t>Definición de la sensibilidad de la cadena de recepción de una estación de comprobación técnica</w:t>
      </w:r>
    </w:p>
    <w:p w:rsidR="00F97D17" w:rsidRPr="0063018E" w:rsidRDefault="00F97D17" w:rsidP="00985DE2">
      <w:pPr>
        <w:rPr>
          <w:lang w:val="es-ES_tradnl"/>
        </w:rPr>
      </w:pPr>
      <w:r w:rsidRPr="0063018E">
        <w:rPr>
          <w:lang w:val="es-ES_tradnl"/>
        </w:rPr>
        <w:t>La sensibilidad de la cadena de recepción de una estación de comprobación técnica del espectro (</w:t>
      </w:r>
      <w:r w:rsidRPr="0063018E">
        <w:rPr>
          <w:i/>
          <w:iCs/>
          <w:lang w:val="es-ES_tradnl"/>
        </w:rPr>
        <w:t>Src</w:t>
      </w:r>
      <w:r w:rsidRPr="0063018E">
        <w:rPr>
          <w:lang w:val="es-ES_tradnl"/>
        </w:rPr>
        <w:t>) se define como la mínima tensión de señal (µV) a la entrada de la cadena de recepción que permite la demodulación y la escucha de audio de la señal recibida.</w:t>
      </w:r>
    </w:p>
    <w:p w:rsidR="00F97D17" w:rsidRPr="0063018E" w:rsidRDefault="00F97D17" w:rsidP="00985DE2">
      <w:pPr>
        <w:rPr>
          <w:lang w:val="es-ES_tradnl"/>
        </w:rPr>
      </w:pPr>
      <w:r w:rsidRPr="0063018E">
        <w:rPr>
          <w:lang w:val="es-ES_tradnl"/>
        </w:rPr>
        <w:t>La medición es la misma que en el caso de los parámetros de los receptores de comprobación técnica. En la Fig. 10 se representa un montaje propuesto para efectuar esta medición.</w:t>
      </w:r>
    </w:p>
    <w:p w:rsidR="00F97D17" w:rsidRPr="0063018E" w:rsidRDefault="00F97D17" w:rsidP="00985DE2">
      <w:pPr>
        <w:rPr>
          <w:lang w:val="es-ES_tradnl"/>
        </w:rPr>
      </w:pPr>
      <w:r w:rsidRPr="0063018E">
        <w:rPr>
          <w:lang w:val="es-ES_tradnl"/>
        </w:rPr>
        <w:t>El mínimo nivel de señal audible se determinará mediante una medición de la SINAD.</w:t>
      </w:r>
    </w:p>
    <w:p w:rsidR="00F97D17" w:rsidRPr="0063018E" w:rsidRDefault="00F97D17" w:rsidP="00985DE2">
      <w:pPr>
        <w:rPr>
          <w:lang w:val="es-ES_tradnl"/>
        </w:rPr>
      </w:pPr>
      <w:r w:rsidRPr="0063018E">
        <w:rPr>
          <w:lang w:val="es-ES_tradnl"/>
        </w:rPr>
        <w:t>El generador se utiliza para aplicar las señales con las amplitudes deseadas a la cadena de recepción.</w:t>
      </w:r>
    </w:p>
    <w:p w:rsidR="00F97D17" w:rsidRPr="00CC69B2" w:rsidRDefault="00F97D17" w:rsidP="008661AC">
      <w:pPr>
        <w:pStyle w:val="FigureNo"/>
        <w:rPr>
          <w:rFonts w:eastAsia="MS Mincho"/>
          <w:lang w:val="es-ES_tradnl"/>
        </w:rPr>
      </w:pPr>
      <w:r w:rsidRPr="00CC69B2">
        <w:rPr>
          <w:rFonts w:eastAsia="MS Mincho"/>
          <w:lang w:val="es-ES_tradnl"/>
        </w:rPr>
        <w:t>FIGURA 10</w:t>
      </w:r>
    </w:p>
    <w:p w:rsidR="00F97D17" w:rsidRDefault="00F97D17" w:rsidP="008661AC">
      <w:pPr>
        <w:pStyle w:val="Figuretitle"/>
        <w:rPr>
          <w:lang w:val="es-ES_tradnl"/>
        </w:rPr>
      </w:pPr>
      <w:r w:rsidRPr="00CC69B2">
        <w:rPr>
          <w:lang w:val="es-ES_tradnl"/>
        </w:rPr>
        <w:t>Montaje para la medición de la sensibilidad de la cadena de recepción</w:t>
      </w:r>
      <w:r w:rsidRPr="00CC69B2">
        <w:rPr>
          <w:lang w:val="es-ES_tradnl"/>
        </w:rPr>
        <w:br/>
        <w:t>de una estación de comprobación técnica</w:t>
      </w:r>
    </w:p>
    <w:p w:rsidR="00E56840" w:rsidRPr="00B874B3" w:rsidRDefault="00E56840" w:rsidP="00E56840">
      <w:pPr>
        <w:pStyle w:val="Blanc"/>
        <w:rPr>
          <w:lang w:val="es-ES_tradnl"/>
        </w:rPr>
      </w:pPr>
    </w:p>
    <w:p w:rsidR="00A20ABF" w:rsidRPr="00A20ABF" w:rsidRDefault="00A20ABF" w:rsidP="00A20ABF">
      <w:pPr>
        <w:pStyle w:val="Figure"/>
        <w:rPr>
          <w:lang w:val="es-ES_tradnl"/>
        </w:rPr>
      </w:pPr>
      <w:r>
        <w:rPr>
          <w:lang w:val="es-ES_tradnl"/>
        </w:rPr>
        <w:object w:dxaOrig="6106" w:dyaOrig="1471">
          <v:shape id="_x0000_i1037" type="#_x0000_t75" style="width:343.5pt;height:82.5pt" o:ole="">
            <v:imagedata r:id="rId39" o:title=""/>
          </v:shape>
          <o:OLEObject Type="Embed" ProgID="CorelDRAW.Graphic.14" ShapeID="_x0000_i1037" DrawAspect="Content" ObjectID="_1413614807" r:id="rId40"/>
        </w:object>
      </w:r>
    </w:p>
    <w:p w:rsidR="00F97D17" w:rsidRPr="00CC69B2" w:rsidRDefault="00F97D17" w:rsidP="00A20ABF">
      <w:pPr>
        <w:pStyle w:val="Heading4"/>
        <w:rPr>
          <w:lang w:val="es-ES_tradnl"/>
        </w:rPr>
      </w:pPr>
      <w:r w:rsidRPr="00CC69B2">
        <w:rPr>
          <w:lang w:val="es-ES_tradnl"/>
        </w:rPr>
        <w:t>3.2.1.4</w:t>
      </w:r>
      <w:r w:rsidRPr="00CC69B2">
        <w:rPr>
          <w:lang w:val="es-ES_tradnl"/>
        </w:rPr>
        <w:tab/>
        <w:t>Definición de la sensibilidad de la cadena de recepción de una estación de radiogoniometría</w:t>
      </w:r>
    </w:p>
    <w:p w:rsidR="00F97D17" w:rsidRPr="0063018E" w:rsidRDefault="00F97D17" w:rsidP="00A20ABF">
      <w:pPr>
        <w:rPr>
          <w:lang w:val="es-ES_tradnl"/>
        </w:rPr>
      </w:pPr>
      <w:r w:rsidRPr="0063018E">
        <w:rPr>
          <w:lang w:val="es-ES_tradnl"/>
        </w:rPr>
        <w:t>Una mejora en la sensibilidad amplía la cobertura de un radiogoniómetro o mantiene la precisión necesaria en el caso de señales débiles.</w:t>
      </w:r>
    </w:p>
    <w:p w:rsidR="00F97D17" w:rsidRPr="0063018E" w:rsidRDefault="00F97D17" w:rsidP="00A20ABF">
      <w:pPr>
        <w:rPr>
          <w:lang w:val="es-ES_tradnl"/>
        </w:rPr>
      </w:pPr>
      <w:r w:rsidRPr="0063018E">
        <w:rPr>
          <w:lang w:val="es-ES_tradnl"/>
        </w:rPr>
        <w:lastRenderedPageBreak/>
        <w:t>La medición de la sensibilidad se basa en la degradación de la precisión de la radiogoniometría cuando se reduce el nivel de la señal recibida. En la Fig. 11 se representa un montaje propuesto para efectuar esta medición.</w:t>
      </w:r>
    </w:p>
    <w:p w:rsidR="00F97D17" w:rsidRPr="0063018E" w:rsidRDefault="00F97D17" w:rsidP="00A20ABF">
      <w:pPr>
        <w:rPr>
          <w:lang w:val="es-ES_tradnl"/>
        </w:rPr>
      </w:pPr>
      <w:r w:rsidRPr="0063018E">
        <w:rPr>
          <w:lang w:val="es-ES_tradnl"/>
        </w:rPr>
        <w:t>El generador se utilizará para aplicar las señales con las amplitudes y fases deseadas a la cadena de recepción.</w:t>
      </w:r>
    </w:p>
    <w:p w:rsidR="00F97D17" w:rsidRPr="0063018E" w:rsidRDefault="00F97D17" w:rsidP="00A20ABF">
      <w:pPr>
        <w:rPr>
          <w:lang w:val="es-ES_tradnl"/>
        </w:rPr>
      </w:pPr>
      <w:r w:rsidRPr="0063018E">
        <w:rPr>
          <w:lang w:val="es-ES_tradnl"/>
        </w:rPr>
        <w:t>A tal efecto deberá conectarse a la cadena de recepción un simulador de ángulo de llegada.</w:t>
      </w:r>
    </w:p>
    <w:p w:rsidR="00F97D17" w:rsidRPr="00CC69B2" w:rsidRDefault="00F97D17" w:rsidP="00A20ABF">
      <w:pPr>
        <w:pStyle w:val="FigureNo"/>
        <w:rPr>
          <w:rFonts w:eastAsia="MS Mincho"/>
          <w:lang w:val="es-ES_tradnl"/>
        </w:rPr>
      </w:pPr>
      <w:r w:rsidRPr="00CC69B2">
        <w:rPr>
          <w:rFonts w:eastAsia="MS Mincho"/>
          <w:lang w:val="es-ES_tradnl"/>
        </w:rPr>
        <w:t>FIGURA 11</w:t>
      </w:r>
    </w:p>
    <w:p w:rsidR="00F97D17" w:rsidRDefault="00F97D17" w:rsidP="00A20ABF">
      <w:pPr>
        <w:pStyle w:val="Figuretitle"/>
        <w:rPr>
          <w:lang w:val="es-ES_tradnl"/>
        </w:rPr>
      </w:pPr>
      <w:r w:rsidRPr="00CC69B2">
        <w:rPr>
          <w:lang w:val="es-ES_tradnl"/>
        </w:rPr>
        <w:t>Montaje para la medición de la sensibilidad de la cadena de recepción</w:t>
      </w:r>
      <w:r w:rsidRPr="00CC69B2">
        <w:rPr>
          <w:lang w:val="es-ES_tradnl"/>
        </w:rPr>
        <w:br/>
        <w:t>de una estación de radiogoniometría</w:t>
      </w:r>
    </w:p>
    <w:p w:rsidR="00E56840" w:rsidRPr="00B874B3" w:rsidRDefault="00E56840" w:rsidP="00E56840">
      <w:pPr>
        <w:pStyle w:val="Blanc"/>
        <w:rPr>
          <w:lang w:val="es-ES_tradnl"/>
        </w:rPr>
      </w:pPr>
    </w:p>
    <w:p w:rsidR="00A20ABF" w:rsidRDefault="00AD60DF" w:rsidP="00A20ABF">
      <w:pPr>
        <w:pStyle w:val="Figure"/>
        <w:rPr>
          <w:lang w:val="es-ES_tradnl"/>
        </w:rPr>
      </w:pPr>
      <w:r>
        <w:rPr>
          <w:lang w:val="es-ES_tradnl"/>
        </w:rPr>
        <w:object w:dxaOrig="8527" w:dyaOrig="1169">
          <v:shape id="_x0000_i1038" type="#_x0000_t75" style="width:480.75pt;height:66pt" o:ole="">
            <v:imagedata r:id="rId41" o:title=""/>
          </v:shape>
          <o:OLEObject Type="Embed" ProgID="CorelDRAW.Graphic.14" ShapeID="_x0000_i1038" DrawAspect="Content" ObjectID="_1413614808" r:id="rId42"/>
        </w:object>
      </w:r>
    </w:p>
    <w:p w:rsidR="00F97D17" w:rsidRDefault="00A20ABF" w:rsidP="00E56840">
      <w:pPr>
        <w:pStyle w:val="Normalaftertitle"/>
        <w:rPr>
          <w:lang w:val="es-ES_tradnl"/>
        </w:rPr>
      </w:pPr>
      <w:r>
        <w:rPr>
          <w:lang w:val="es-ES_tradnl"/>
        </w:rPr>
        <w:t>C</w:t>
      </w:r>
      <w:r w:rsidR="00F97D17" w:rsidRPr="00CC69B2">
        <w:rPr>
          <w:lang w:val="es-ES_tradnl"/>
        </w:rPr>
        <w:t xml:space="preserve">on </w:t>
      </w:r>
      <w:r w:rsidR="00F97D17" w:rsidRPr="00CC69B2">
        <w:rPr>
          <w:i/>
          <w:iCs/>
          <w:lang w:val="es-ES_tradnl"/>
        </w:rPr>
        <w:t>N</w:t>
      </w:r>
      <w:r w:rsidR="00F97D17" w:rsidRPr="00CC69B2">
        <w:rPr>
          <w:lang w:val="es-ES_tradnl"/>
        </w:rPr>
        <w:t xml:space="preserve"> mediciones asociadas a una señal intensa, se calcula el ángulo de llegada (que debe ser estable):</w:t>
      </w:r>
    </w:p>
    <w:p w:rsidR="00F97D17" w:rsidRPr="00CC69B2" w:rsidRDefault="00F97D17" w:rsidP="00A20ABF">
      <w:pPr>
        <w:pStyle w:val="Equation"/>
      </w:pPr>
      <w:r w:rsidRPr="00CC69B2">
        <w:rPr>
          <w:lang w:val="es-ES_tradnl"/>
        </w:rPr>
        <w:tab/>
      </w:r>
      <w:r w:rsidRPr="00CC69B2">
        <w:rPr>
          <w:lang w:val="es-ES_tradnl"/>
        </w:rPr>
        <w:tab/>
      </w:r>
      <w:r w:rsidR="00002078" w:rsidRPr="00002078">
        <w:rPr>
          <w:position w:val="-24"/>
        </w:rPr>
        <w:object w:dxaOrig="1120" w:dyaOrig="859">
          <v:shape id="_x0000_i1039" type="#_x0000_t75" style="width:58.5pt;height:42.75pt" o:ole="" fillcolor="window">
            <v:imagedata r:id="rId43" o:title=""/>
          </v:shape>
          <o:OLEObject Type="Embed" ProgID="Equation.3" ShapeID="_x0000_i1039" DrawAspect="Content" ObjectID="_1413614809" r:id="rId44"/>
        </w:object>
      </w:r>
    </w:p>
    <w:p w:rsidR="00F97D17" w:rsidRDefault="00F97D17" w:rsidP="00A20ABF">
      <w:pPr>
        <w:keepNext/>
        <w:keepLines/>
        <w:rPr>
          <w:lang w:val="es-ES_tradnl"/>
        </w:rPr>
      </w:pPr>
      <w:r w:rsidRPr="0063018E">
        <w:rPr>
          <w:lang w:val="es-ES_tradnl"/>
        </w:rPr>
        <w:t>Reduciendo el nivel de la señal hasta alcanzar el error de acimut:</w:t>
      </w:r>
    </w:p>
    <w:p w:rsidR="00F97D17" w:rsidRPr="00CC69B2" w:rsidRDefault="00F97D17" w:rsidP="00002078">
      <w:pPr>
        <w:pStyle w:val="Equation"/>
      </w:pPr>
      <w:r w:rsidRPr="00CC69B2">
        <w:rPr>
          <w:lang w:val="es-ES_tradnl"/>
        </w:rPr>
        <w:tab/>
      </w:r>
      <w:r w:rsidRPr="00CC69B2">
        <w:rPr>
          <w:lang w:val="es-ES_tradnl"/>
        </w:rPr>
        <w:tab/>
      </w:r>
      <w:r w:rsidR="00002078" w:rsidRPr="00002078">
        <w:rPr>
          <w:position w:val="-26"/>
        </w:rPr>
        <w:object w:dxaOrig="2120" w:dyaOrig="780">
          <v:shape id="_x0000_i1040" type="#_x0000_t75" style="width:110.25pt;height:39pt" o:ole="" fillcolor="window">
            <v:imagedata r:id="rId45" o:title=""/>
          </v:shape>
          <o:OLEObject Type="Embed" ProgID="Equation.3" ShapeID="_x0000_i1040" DrawAspect="Content" ObjectID="_1413614810" r:id="rId46"/>
        </w:object>
      </w:r>
    </w:p>
    <w:p w:rsidR="00F97D17" w:rsidRPr="0063018E" w:rsidRDefault="00F97D17" w:rsidP="00985DE2">
      <w:pPr>
        <w:rPr>
          <w:lang w:val="es-ES_tradnl"/>
        </w:rPr>
      </w:pPr>
      <w:r w:rsidRPr="0063018E">
        <w:rPr>
          <w:lang w:val="es-ES_tradnl"/>
        </w:rPr>
        <w:t>siendo:</w:t>
      </w:r>
    </w:p>
    <w:p w:rsidR="00F97D17" w:rsidRPr="00002078" w:rsidRDefault="00F97D17" w:rsidP="00002078">
      <w:pPr>
        <w:pStyle w:val="Equationlegend"/>
        <w:rPr>
          <w:lang w:val="es-ES_tradnl"/>
        </w:rPr>
      </w:pPr>
      <w:r w:rsidRPr="00B874B3">
        <w:rPr>
          <w:lang w:val="es-ES_tradnl"/>
        </w:rPr>
        <w:tab/>
      </w:r>
      <w:r w:rsidRPr="00CC69B2">
        <w:sym w:font="Symbol" w:char="F064"/>
      </w:r>
      <w:r w:rsidR="00002078" w:rsidRPr="00E94FB2">
        <w:rPr>
          <w:sz w:val="16"/>
          <w:szCs w:val="16"/>
          <w:lang w:val="es-ES_tradnl"/>
        </w:rPr>
        <w:t xml:space="preserve"> </w:t>
      </w:r>
      <w:r w:rsidRPr="00002078">
        <w:rPr>
          <w:lang w:val="es-ES_tradnl"/>
        </w:rPr>
        <w:t>:</w:t>
      </w:r>
      <w:r w:rsidRPr="00002078">
        <w:rPr>
          <w:lang w:val="es-ES_tradnl"/>
        </w:rPr>
        <w:tab/>
        <w:t>error cuadrático medio entre la medición en el límite de la sensibilidad y la medición con señal intensa (grados)</w:t>
      </w:r>
    </w:p>
    <w:p w:rsidR="00F97D17" w:rsidRPr="00002078" w:rsidRDefault="00F97D17" w:rsidP="00002078">
      <w:pPr>
        <w:pStyle w:val="Equationlegend"/>
        <w:rPr>
          <w:lang w:val="es-ES_tradnl"/>
        </w:rPr>
      </w:pPr>
      <w:r w:rsidRPr="00002078">
        <w:rPr>
          <w:lang w:val="es-ES_tradnl"/>
        </w:rPr>
        <w:tab/>
      </w:r>
      <w:r w:rsidRPr="00CC69B2">
        <w:t>θ</w:t>
      </w:r>
      <w:r w:rsidRPr="00002078">
        <w:rPr>
          <w:vertAlign w:val="subscript"/>
          <w:lang w:val="es-ES_tradnl"/>
        </w:rPr>
        <w:t>0</w:t>
      </w:r>
      <w:r w:rsidR="00002078" w:rsidRPr="00E94FB2">
        <w:rPr>
          <w:sz w:val="16"/>
          <w:szCs w:val="16"/>
          <w:lang w:val="es-ES_tradnl"/>
        </w:rPr>
        <w:t xml:space="preserve"> </w:t>
      </w:r>
      <w:r w:rsidRPr="00002078">
        <w:rPr>
          <w:lang w:val="es-ES_tradnl"/>
        </w:rPr>
        <w:t>:</w:t>
      </w:r>
      <w:r w:rsidRPr="00002078">
        <w:rPr>
          <w:lang w:val="es-ES_tradnl"/>
        </w:rPr>
        <w:tab/>
        <w:t>acimut medido con señal intensa (grados)</w:t>
      </w:r>
    </w:p>
    <w:p w:rsidR="00F97D17" w:rsidRPr="00002078" w:rsidRDefault="00F97D17" w:rsidP="00002078">
      <w:pPr>
        <w:pStyle w:val="Equationlegend"/>
        <w:rPr>
          <w:lang w:val="es-ES_tradnl"/>
        </w:rPr>
      </w:pPr>
      <w:r w:rsidRPr="00002078">
        <w:rPr>
          <w:lang w:val="es-ES_tradnl"/>
        </w:rPr>
        <w:tab/>
      </w:r>
      <w:r w:rsidRPr="00CC69B2">
        <w:t>θ</w:t>
      </w:r>
      <w:r w:rsidRPr="00002078">
        <w:rPr>
          <w:i/>
          <w:iCs/>
          <w:vertAlign w:val="subscript"/>
          <w:lang w:val="es-ES_tradnl"/>
        </w:rPr>
        <w:t>mes</w:t>
      </w:r>
      <w:r w:rsidR="00002078" w:rsidRPr="00E94FB2">
        <w:rPr>
          <w:sz w:val="16"/>
          <w:szCs w:val="16"/>
          <w:lang w:val="es-ES_tradnl"/>
        </w:rPr>
        <w:t xml:space="preserve"> </w:t>
      </w:r>
      <w:r w:rsidRPr="00002078">
        <w:rPr>
          <w:lang w:val="es-ES_tradnl"/>
        </w:rPr>
        <w:t>:</w:t>
      </w:r>
      <w:r w:rsidRPr="00002078">
        <w:rPr>
          <w:lang w:val="es-ES_tradnl"/>
        </w:rPr>
        <w:tab/>
        <w:t>acimut medido para cada nivel del generador (grados)</w:t>
      </w:r>
    </w:p>
    <w:p w:rsidR="00F97D17" w:rsidRPr="00002078" w:rsidRDefault="00F97D17" w:rsidP="00002078">
      <w:pPr>
        <w:pStyle w:val="Equationlegend"/>
        <w:rPr>
          <w:lang w:val="es-ES_tradnl"/>
        </w:rPr>
      </w:pPr>
      <w:r w:rsidRPr="00002078">
        <w:rPr>
          <w:lang w:val="es-ES_tradnl"/>
        </w:rPr>
        <w:tab/>
      </w:r>
      <w:r w:rsidRPr="00002078">
        <w:rPr>
          <w:i/>
          <w:iCs/>
          <w:lang w:val="es-ES_tradnl"/>
        </w:rPr>
        <w:t>N</w:t>
      </w:r>
      <w:r w:rsidR="00002078" w:rsidRPr="00E94FB2">
        <w:rPr>
          <w:sz w:val="16"/>
          <w:szCs w:val="16"/>
          <w:lang w:val="es-ES_tradnl"/>
        </w:rPr>
        <w:t xml:space="preserve"> </w:t>
      </w:r>
      <w:r w:rsidRPr="00002078">
        <w:rPr>
          <w:lang w:val="es-ES_tradnl"/>
        </w:rPr>
        <w:t>:</w:t>
      </w:r>
      <w:r w:rsidRPr="00002078">
        <w:rPr>
          <w:lang w:val="es-ES_tradnl"/>
        </w:rPr>
        <w:tab/>
        <w:t>número de lecturas del acimut para cada nivel del generador.</w:t>
      </w:r>
    </w:p>
    <w:p w:rsidR="00F97D17" w:rsidRPr="0063018E" w:rsidRDefault="00F97D17" w:rsidP="00A11B26">
      <w:pPr>
        <w:keepNext/>
        <w:keepLines/>
        <w:rPr>
          <w:lang w:val="es-ES_tradnl"/>
        </w:rPr>
      </w:pPr>
      <w:r w:rsidRPr="0063018E">
        <w:rPr>
          <w:lang w:val="es-ES_tradnl"/>
        </w:rPr>
        <w:t>El límite de la sensibilidad se alcanza cuando:</w:t>
      </w:r>
    </w:p>
    <w:p w:rsidR="00F97D17" w:rsidRPr="00CC69B2" w:rsidRDefault="00F97D17" w:rsidP="00002078">
      <w:pPr>
        <w:pStyle w:val="enumlev1"/>
        <w:rPr>
          <w:lang w:val="es-ES_tradnl"/>
        </w:rPr>
      </w:pPr>
      <w:r w:rsidRPr="00CC69B2">
        <w:rPr>
          <w:lang w:val="es-ES_tradnl"/>
        </w:rPr>
        <w:t>–</w:t>
      </w:r>
      <w:r w:rsidRPr="00CC69B2">
        <w:rPr>
          <w:lang w:val="es-ES_tradnl"/>
        </w:rPr>
        <w:tab/>
      </w:r>
      <w:r w:rsidRPr="00CC69B2">
        <w:sym w:font="Symbol" w:char="F064"/>
      </w:r>
      <w:r w:rsidRPr="00CC69B2">
        <w:rPr>
          <w:lang w:val="es-ES_tradnl"/>
        </w:rPr>
        <w:t xml:space="preserve"> es mayor que +2° (valor eficaz), o</w:t>
      </w:r>
    </w:p>
    <w:p w:rsidR="00F97D17" w:rsidRPr="00CC69B2" w:rsidRDefault="00F97D17" w:rsidP="00002078">
      <w:pPr>
        <w:pStyle w:val="enumlev1"/>
        <w:rPr>
          <w:lang w:val="es-ES_tradnl"/>
        </w:rPr>
      </w:pPr>
      <w:r w:rsidRPr="00CC69B2">
        <w:rPr>
          <w:lang w:val="es-ES_tradnl"/>
        </w:rPr>
        <w:t>–</w:t>
      </w:r>
      <w:r w:rsidRPr="00CC69B2">
        <w:rPr>
          <w:lang w:val="es-ES_tradnl"/>
        </w:rPr>
        <w:tab/>
        <w:t>el radiogoniómetro ya no produce ningún resultado.</w:t>
      </w:r>
    </w:p>
    <w:p w:rsidR="00F97D17" w:rsidRPr="0063018E" w:rsidRDefault="00F97D17" w:rsidP="00985DE2">
      <w:pPr>
        <w:rPr>
          <w:lang w:val="es-ES_tradnl"/>
        </w:rPr>
      </w:pPr>
      <w:r w:rsidRPr="0063018E">
        <w:rPr>
          <w:lang w:val="es-ES_tradnl"/>
        </w:rPr>
        <w:t xml:space="preserve">Si el error de acimut aceptable </w:t>
      </w:r>
      <w:r w:rsidRPr="00CC69B2">
        <w:sym w:font="Symbol" w:char="F064"/>
      </w:r>
      <w:r w:rsidRPr="0063018E">
        <w:rPr>
          <w:lang w:val="es-ES_tradnl"/>
        </w:rPr>
        <w:t xml:space="preserve"> es diferente a 2° (valor eficaz) en algunas subgamas de frecuencias, deberá comunicarse este error de acimut junto con la especificación de la sensibilidad.</w:t>
      </w:r>
    </w:p>
    <w:p w:rsidR="00F97D17" w:rsidRPr="0063018E" w:rsidRDefault="00F97D17" w:rsidP="00B874B3">
      <w:pPr>
        <w:keepNext/>
        <w:keepLines/>
        <w:rPr>
          <w:lang w:val="es-ES_tradnl"/>
        </w:rPr>
      </w:pPr>
      <w:r w:rsidRPr="0063018E">
        <w:rPr>
          <w:lang w:val="es-ES_tradnl"/>
        </w:rPr>
        <w:t>Las mediciones se realizarán utilizando los siguientes parámetros:</w:t>
      </w:r>
    </w:p>
    <w:p w:rsidR="00F97D17" w:rsidRPr="00CC69B2" w:rsidRDefault="00F97D17" w:rsidP="00B874B3">
      <w:pPr>
        <w:pStyle w:val="enumlev1"/>
        <w:keepNext/>
        <w:keepLines/>
        <w:rPr>
          <w:lang w:val="es-ES_tradnl"/>
        </w:rPr>
      </w:pPr>
      <w:r w:rsidRPr="00CC69B2">
        <w:rPr>
          <w:lang w:val="es-ES_tradnl"/>
        </w:rPr>
        <w:t>–</w:t>
      </w:r>
      <w:r w:rsidRPr="00CC69B2">
        <w:rPr>
          <w:lang w:val="es-ES_tradnl"/>
        </w:rPr>
        <w:tab/>
        <w:t>se elegirá un valor del tiempo de integración próximo a 1 s;</w:t>
      </w:r>
    </w:p>
    <w:p w:rsidR="00F97D17" w:rsidRPr="00CC69B2" w:rsidRDefault="00F97D17" w:rsidP="00B874B3">
      <w:pPr>
        <w:pStyle w:val="enumlev1"/>
        <w:keepNext/>
        <w:keepLines/>
        <w:rPr>
          <w:lang w:val="es-ES_tradnl"/>
        </w:rPr>
      </w:pPr>
      <w:r w:rsidRPr="00CC69B2">
        <w:rPr>
          <w:lang w:val="es-ES_tradnl"/>
        </w:rPr>
        <w:t>–</w:t>
      </w:r>
      <w:r w:rsidRPr="00CC69B2">
        <w:rPr>
          <w:lang w:val="es-ES_tradnl"/>
        </w:rPr>
        <w:tab/>
        <w:t>la anchura de banda seleccionada deberá ser lo más cercana posible a 1 kHz.</w:t>
      </w:r>
    </w:p>
    <w:p w:rsidR="00F97D17" w:rsidRPr="00CC69B2" w:rsidRDefault="00F97D17" w:rsidP="00002078">
      <w:pPr>
        <w:pStyle w:val="Heading3"/>
        <w:rPr>
          <w:lang w:val="es-ES_tradnl"/>
        </w:rPr>
      </w:pPr>
      <w:r w:rsidRPr="00CC69B2">
        <w:rPr>
          <w:lang w:val="es-ES_tradnl"/>
        </w:rPr>
        <w:t>3.2.2</w:t>
      </w:r>
      <w:r w:rsidRPr="00CC69B2">
        <w:rPr>
          <w:lang w:val="es-ES_tradnl"/>
        </w:rPr>
        <w:tab/>
        <w:t>Principio de medición de la sensibilidad en un emplazamiento de prueba en zona abierta</w:t>
      </w:r>
    </w:p>
    <w:p w:rsidR="00F97D17" w:rsidRPr="0063018E" w:rsidRDefault="00F97D17" w:rsidP="00985DE2">
      <w:pPr>
        <w:rPr>
          <w:lang w:val="es-ES_tradnl"/>
        </w:rPr>
      </w:pPr>
      <w:r w:rsidRPr="0063018E">
        <w:rPr>
          <w:lang w:val="es-ES_tradnl"/>
        </w:rPr>
        <w:t>En este punto se explica otro método para medir la sensibilidad.</w:t>
      </w:r>
    </w:p>
    <w:p w:rsidR="00F97D17" w:rsidRPr="0063018E" w:rsidRDefault="00F97D17" w:rsidP="00002078">
      <w:pPr>
        <w:rPr>
          <w:lang w:val="es-ES_tradnl"/>
        </w:rPr>
      </w:pPr>
      <w:r w:rsidRPr="0063018E">
        <w:rPr>
          <w:lang w:val="es-ES_tradnl"/>
        </w:rPr>
        <w:lastRenderedPageBreak/>
        <w:t>Un emplazamiento en espacio libre o emplazamiento de prueba en zona abierta (EPZA) es un emplazamiento especialmente preparado para realizar mediciones de antena (ganancia, diagrama de radiación).</w:t>
      </w:r>
    </w:p>
    <w:p w:rsidR="00F97D17" w:rsidRPr="0063018E" w:rsidRDefault="00F97D17" w:rsidP="00985DE2">
      <w:pPr>
        <w:rPr>
          <w:lang w:val="es-ES_tradnl"/>
        </w:rPr>
      </w:pPr>
      <w:r w:rsidRPr="0063018E">
        <w:rPr>
          <w:lang w:val="es-ES_tradnl"/>
        </w:rPr>
        <w:t>La medición de la sensibilidad de una estación en un emplazamiento en espacio libre o EPZA se realiza en la estación completa. En la Fig. 12 se representa un montaje propuesto para realizar esta medición.</w:t>
      </w:r>
    </w:p>
    <w:p w:rsidR="00F97D17" w:rsidRPr="0063018E" w:rsidRDefault="00F97D17" w:rsidP="00985DE2">
      <w:pPr>
        <w:rPr>
          <w:lang w:val="es-ES_tradnl"/>
        </w:rPr>
      </w:pPr>
      <w:r w:rsidRPr="0063018E">
        <w:rPr>
          <w:lang w:val="es-ES_tradnl"/>
        </w:rPr>
        <w:t>La antena de transmisión deberá ser directiva y estar dirigida hacia la antena de recepción. Se elegirá de manera que pueda transmitir potencia suficiente sin provocar intermodulación y sin radiar señales no esenciales a las frecuencias de medición.</w:t>
      </w:r>
    </w:p>
    <w:p w:rsidR="00F97D17" w:rsidRPr="0063018E" w:rsidRDefault="00F97D17" w:rsidP="00985DE2">
      <w:pPr>
        <w:rPr>
          <w:lang w:val="es-ES_tradnl"/>
        </w:rPr>
      </w:pPr>
      <w:r w:rsidRPr="0063018E">
        <w:rPr>
          <w:lang w:val="es-ES_tradnl"/>
        </w:rPr>
        <w:t>La antena de recepción debe estar ubicada en un mástil giratorio que permita una orientación precisa de la antena.</w:t>
      </w:r>
    </w:p>
    <w:p w:rsidR="00F97D17" w:rsidRPr="0063018E" w:rsidRDefault="00F97D17" w:rsidP="00985DE2">
      <w:pPr>
        <w:rPr>
          <w:lang w:val="es-ES_tradnl"/>
        </w:rPr>
      </w:pPr>
      <w:r w:rsidRPr="0063018E">
        <w:rPr>
          <w:lang w:val="es-ES_tradnl"/>
        </w:rPr>
        <w:t>En caso de medición de la sensibilidad de un radiogoniómetro, el campo recibido por la antena debe ser homogéneo y, por consiguiente, debe presentar la misma fase a lo largo de toda la estructura de la antena. La distancia de la antena de transmisión y la antena de recepción deberá ser al menos igual a la longitud de onda de la señal que va a medirse o debe elegirse una distancia tal que la diferencia de fase a lo largo de toda la estructura de la antena sea inferior a 5</w:t>
      </w:r>
      <w:r w:rsidRPr="00CC69B2">
        <w:sym w:font="Symbol" w:char="F0B0"/>
      </w:r>
      <w:r w:rsidRPr="0063018E">
        <w:rPr>
          <w:lang w:val="es-ES_tradnl"/>
        </w:rPr>
        <w:t xml:space="preserve"> para un error de radiogoniometría inferior a 0,5</w:t>
      </w:r>
      <w:r w:rsidRPr="00CC69B2">
        <w:sym w:font="Symbol" w:char="F0B0"/>
      </w:r>
      <w:r w:rsidRPr="0063018E">
        <w:rPr>
          <w:lang w:val="es-ES_tradnl"/>
        </w:rPr>
        <w:t>.</w:t>
      </w:r>
    </w:p>
    <w:p w:rsidR="00F97D17" w:rsidRPr="0063018E" w:rsidRDefault="00F97D17" w:rsidP="00985DE2">
      <w:pPr>
        <w:rPr>
          <w:lang w:val="es-ES_tradnl"/>
        </w:rPr>
      </w:pPr>
      <w:r w:rsidRPr="0063018E">
        <w:rPr>
          <w:lang w:val="es-ES_tradnl"/>
        </w:rPr>
        <w:t>El entorno del emplazamiento deberá seleccionarse de manera que garantice que las reflexiones procedentes de obstáculos cercanos, el ruido ambiente y otras señales radioeléctricas no interfieren con la medición.</w:t>
      </w:r>
    </w:p>
    <w:p w:rsidR="00F97D17" w:rsidRPr="0063018E" w:rsidRDefault="00F97D17" w:rsidP="00002078">
      <w:pPr>
        <w:keepNext/>
        <w:keepLines/>
        <w:rPr>
          <w:lang w:val="es-ES_tradnl"/>
        </w:rPr>
      </w:pPr>
      <w:r w:rsidRPr="0063018E">
        <w:rPr>
          <w:lang w:val="es-ES_tradnl"/>
        </w:rPr>
        <w:t>El emplazamiento seleccionado deberá:</w:t>
      </w:r>
    </w:p>
    <w:p w:rsidR="00F97D17" w:rsidRPr="00CC69B2" w:rsidRDefault="00F97D17" w:rsidP="00002078">
      <w:pPr>
        <w:pStyle w:val="enumlev1"/>
        <w:rPr>
          <w:lang w:val="es-ES_tradnl"/>
        </w:rPr>
      </w:pPr>
      <w:r w:rsidRPr="00CC69B2">
        <w:rPr>
          <w:lang w:val="es-ES_tradnl"/>
        </w:rPr>
        <w:t>–</w:t>
      </w:r>
      <w:r w:rsidRPr="00CC69B2">
        <w:rPr>
          <w:lang w:val="es-ES_tradnl"/>
        </w:rPr>
        <w:tab/>
        <w:t>estar libre de edificios en sus alrededores;</w:t>
      </w:r>
    </w:p>
    <w:p w:rsidR="00F97D17" w:rsidRPr="00CC69B2" w:rsidRDefault="00F97D17" w:rsidP="00002078">
      <w:pPr>
        <w:pStyle w:val="enumlev1"/>
        <w:rPr>
          <w:lang w:val="es-ES_tradnl"/>
        </w:rPr>
      </w:pPr>
      <w:r w:rsidRPr="00CC69B2">
        <w:rPr>
          <w:lang w:val="es-ES_tradnl"/>
        </w:rPr>
        <w:t>–</w:t>
      </w:r>
      <w:r w:rsidRPr="00CC69B2">
        <w:rPr>
          <w:lang w:val="es-ES_tradnl"/>
        </w:rPr>
        <w:tab/>
        <w:t>no tener superficies metálicas cercanas;</w:t>
      </w:r>
    </w:p>
    <w:p w:rsidR="00F97D17" w:rsidRPr="00CC69B2" w:rsidRDefault="00F97D17" w:rsidP="00002078">
      <w:pPr>
        <w:pStyle w:val="enumlev1"/>
        <w:rPr>
          <w:lang w:val="es-ES_tradnl"/>
        </w:rPr>
      </w:pPr>
      <w:r w:rsidRPr="00CC69B2">
        <w:rPr>
          <w:lang w:val="es-ES_tradnl"/>
        </w:rPr>
        <w:t>–</w:t>
      </w:r>
      <w:r w:rsidRPr="00CC69B2">
        <w:rPr>
          <w:lang w:val="es-ES_tradnl"/>
        </w:rPr>
        <w:tab/>
        <w:t>no tener carreteras cercanas que puedan dar lugar a interferencias debidas a los vehículos;</w:t>
      </w:r>
    </w:p>
    <w:p w:rsidR="00F97D17" w:rsidRPr="00CC69B2" w:rsidRDefault="00F97D17" w:rsidP="00002078">
      <w:pPr>
        <w:pStyle w:val="enumlev1"/>
        <w:rPr>
          <w:lang w:val="es-ES_tradnl"/>
        </w:rPr>
      </w:pPr>
      <w:r w:rsidRPr="00CC69B2">
        <w:rPr>
          <w:lang w:val="es-ES_tradnl"/>
        </w:rPr>
        <w:t>–</w:t>
      </w:r>
      <w:r w:rsidRPr="00CC69B2">
        <w:rPr>
          <w:lang w:val="es-ES_tradnl"/>
        </w:rPr>
        <w:tab/>
        <w:t>estar a una distancia suficiente de cualquier transmisor interferente (de radiodifusión, de telefonía móvil, aeropuertos, etc.);</w:t>
      </w:r>
    </w:p>
    <w:p w:rsidR="00F97D17" w:rsidRPr="00CC69B2" w:rsidRDefault="00F97D17" w:rsidP="00002078">
      <w:pPr>
        <w:pStyle w:val="enumlev1"/>
        <w:rPr>
          <w:lang w:val="es-ES_tradnl"/>
        </w:rPr>
      </w:pPr>
      <w:r w:rsidRPr="00CC69B2">
        <w:rPr>
          <w:lang w:val="es-ES_tradnl"/>
        </w:rPr>
        <w:t>–</w:t>
      </w:r>
      <w:r w:rsidRPr="00CC69B2">
        <w:rPr>
          <w:lang w:val="es-ES_tradnl"/>
        </w:rPr>
        <w:tab/>
        <w:t>estar a una distancia suficiente de fuentes de ruido tales como líneas de alimentación de alta tensión, líneas telefónicas, etc.</w:t>
      </w:r>
    </w:p>
    <w:p w:rsidR="00F97D17" w:rsidRPr="0063018E" w:rsidRDefault="00F97D17" w:rsidP="00985DE2">
      <w:pPr>
        <w:rPr>
          <w:lang w:val="es-ES_tradnl"/>
        </w:rPr>
      </w:pPr>
      <w:r w:rsidRPr="0063018E">
        <w:rPr>
          <w:lang w:val="es-ES_tradnl"/>
        </w:rPr>
        <w:t>La distancia entre la antena receptora y transmisora debe ser mayor que el tamaño de la antena.</w:t>
      </w:r>
    </w:p>
    <w:p w:rsidR="00F97D17" w:rsidRPr="0063018E" w:rsidRDefault="00F97D17" w:rsidP="00985DE2">
      <w:pPr>
        <w:rPr>
          <w:lang w:val="es-ES_tradnl"/>
        </w:rPr>
      </w:pPr>
      <w:r w:rsidRPr="0063018E">
        <w:rPr>
          <w:lang w:val="es-ES_tradnl"/>
        </w:rPr>
        <w:t xml:space="preserve">Las frecuencias deberán elegirse dentro de bandas de frecuencias sin interferencia. </w:t>
      </w:r>
    </w:p>
    <w:p w:rsidR="00F97D17" w:rsidRPr="0063018E" w:rsidRDefault="00F97D17" w:rsidP="00985DE2">
      <w:pPr>
        <w:rPr>
          <w:lang w:val="es-ES_tradnl"/>
        </w:rPr>
      </w:pPr>
      <w:r w:rsidRPr="0063018E">
        <w:rPr>
          <w:lang w:val="es-ES_tradnl"/>
        </w:rPr>
        <w:t>Deberá realizarse un estudio de las bandas de frecuencias ocupadas y se rechazarán todas aquellas frecuencias que puedan dar lugar a degradación de las mediciones. En la Fig. 13 aparece un montaje propuesto para realizar esta medición.</w:t>
      </w:r>
    </w:p>
    <w:p w:rsidR="00F97D17" w:rsidRPr="00CC69B2" w:rsidRDefault="00F97D17" w:rsidP="00002078">
      <w:pPr>
        <w:pStyle w:val="Heading4"/>
        <w:rPr>
          <w:lang w:val="es-ES_tradnl"/>
        </w:rPr>
      </w:pPr>
      <w:r w:rsidRPr="00CC69B2">
        <w:rPr>
          <w:lang w:val="es-ES_tradnl"/>
        </w:rPr>
        <w:lastRenderedPageBreak/>
        <w:t>3.2.2.1</w:t>
      </w:r>
      <w:r w:rsidRPr="00CC69B2">
        <w:rPr>
          <w:lang w:val="es-ES_tradnl"/>
        </w:rPr>
        <w:tab/>
        <w:t>Medición de la sensibilidad en un EPZA para una estación de comprobación técnica</w:t>
      </w:r>
    </w:p>
    <w:p w:rsidR="00F97D17" w:rsidRPr="00CC69B2" w:rsidRDefault="00F97D17" w:rsidP="00002078">
      <w:pPr>
        <w:pStyle w:val="FigureNo"/>
        <w:rPr>
          <w:rFonts w:eastAsia="MS Mincho"/>
          <w:lang w:val="es-ES_tradnl"/>
        </w:rPr>
      </w:pPr>
      <w:r w:rsidRPr="00CC69B2">
        <w:rPr>
          <w:rFonts w:eastAsia="MS Mincho"/>
          <w:lang w:val="es-ES_tradnl"/>
        </w:rPr>
        <w:t>FIGURA 12</w:t>
      </w:r>
    </w:p>
    <w:p w:rsidR="00F97D17" w:rsidRDefault="00F97D17" w:rsidP="00002078">
      <w:pPr>
        <w:pStyle w:val="Figuretitle"/>
        <w:rPr>
          <w:lang w:val="es-ES_tradnl"/>
        </w:rPr>
      </w:pPr>
      <w:r w:rsidRPr="00CC69B2">
        <w:rPr>
          <w:lang w:val="es-ES_tradnl"/>
        </w:rPr>
        <w:t>Montaje de medición de la sensibilidad en un EPZA para una estación de comprobación técnica</w:t>
      </w:r>
    </w:p>
    <w:p w:rsidR="003261B3" w:rsidRPr="00B874B3" w:rsidRDefault="003261B3" w:rsidP="003261B3">
      <w:pPr>
        <w:pStyle w:val="Blanc"/>
        <w:rPr>
          <w:lang w:val="es-ES_tradnl"/>
        </w:rPr>
      </w:pPr>
    </w:p>
    <w:p w:rsidR="000641A2" w:rsidRPr="000641A2" w:rsidRDefault="000641A2" w:rsidP="000641A2">
      <w:pPr>
        <w:pStyle w:val="Figure"/>
        <w:rPr>
          <w:lang w:val="es-ES_tradnl"/>
        </w:rPr>
      </w:pPr>
      <w:r>
        <w:rPr>
          <w:lang w:val="es-ES_tradnl"/>
        </w:rPr>
        <w:object w:dxaOrig="7538" w:dyaOrig="3294">
          <v:shape id="_x0000_i1041" type="#_x0000_t75" style="width:423.75pt;height:185.25pt" o:ole="">
            <v:imagedata r:id="rId47" o:title=""/>
          </v:shape>
          <o:OLEObject Type="Embed" ProgID="CorelDRAW.Graphic.14" ShapeID="_x0000_i1041" DrawAspect="Content" ObjectID="_1413614811" r:id="rId48"/>
        </w:object>
      </w:r>
    </w:p>
    <w:p w:rsidR="003261B3" w:rsidRPr="00B874B3" w:rsidRDefault="003261B3" w:rsidP="003261B3">
      <w:pPr>
        <w:pStyle w:val="Blanc"/>
        <w:rPr>
          <w:lang w:val="es-ES_tradnl"/>
        </w:rPr>
      </w:pPr>
      <w:bookmarkStart w:id="100" w:name="_Toc303861629"/>
    </w:p>
    <w:p w:rsidR="00F97D17" w:rsidRPr="00CC69B2" w:rsidRDefault="00F97D17" w:rsidP="000641A2">
      <w:pPr>
        <w:pStyle w:val="Headingi"/>
        <w:rPr>
          <w:lang w:val="es-ES_tradnl"/>
        </w:rPr>
      </w:pPr>
      <w:r w:rsidRPr="00CC69B2">
        <w:rPr>
          <w:lang w:val="es-ES_tradnl"/>
        </w:rPr>
        <w:t>Procedimiento de medición:</w:t>
      </w:r>
      <w:bookmarkEnd w:id="100"/>
    </w:p>
    <w:p w:rsidR="00F97D17" w:rsidRPr="0063018E" w:rsidRDefault="00F97D17" w:rsidP="00985DE2">
      <w:pPr>
        <w:rPr>
          <w:lang w:val="es-ES_tradnl"/>
        </w:rPr>
      </w:pPr>
      <w:r w:rsidRPr="0063018E">
        <w:rPr>
          <w:lang w:val="es-ES_tradnl"/>
        </w:rPr>
        <w:t>La sensibilidad viene dada por:</w:t>
      </w:r>
    </w:p>
    <w:p w:rsidR="008401FF" w:rsidRPr="00B874B3" w:rsidRDefault="008401FF" w:rsidP="008401FF">
      <w:pPr>
        <w:pStyle w:val="Blanc"/>
        <w:rPr>
          <w:lang w:val="es-ES_tradnl"/>
        </w:rPr>
      </w:pPr>
    </w:p>
    <w:p w:rsidR="00F97D17" w:rsidRPr="00CC69B2" w:rsidRDefault="00F97D17" w:rsidP="00516F6E">
      <w:pPr>
        <w:pStyle w:val="Equation"/>
        <w:rPr>
          <w:lang w:val="es-ES_tradnl"/>
        </w:rPr>
      </w:pPr>
      <w:r w:rsidRPr="00CC69B2">
        <w:rPr>
          <w:lang w:val="es-ES_tradnl"/>
        </w:rPr>
        <w:tab/>
      </w:r>
      <w:r w:rsidRPr="00CC69B2">
        <w:rPr>
          <w:lang w:val="es-ES_tradnl"/>
        </w:rPr>
        <w:tab/>
      </w:r>
      <w:r w:rsidRPr="00CC69B2">
        <w:rPr>
          <w:i/>
          <w:iCs/>
          <w:lang w:val="es-ES_tradnl"/>
        </w:rPr>
        <w:t>S</w:t>
      </w:r>
      <w:r w:rsidRPr="00CC69B2">
        <w:rPr>
          <w:lang w:val="es-ES_tradnl"/>
        </w:rPr>
        <w:t xml:space="preserve"> = </w:t>
      </w:r>
      <w:r w:rsidRPr="00CC69B2">
        <w:rPr>
          <w:i/>
          <w:iCs/>
          <w:lang w:val="es-ES_tradnl"/>
        </w:rPr>
        <w:t>E</w:t>
      </w:r>
      <w:r w:rsidRPr="00CC69B2">
        <w:rPr>
          <w:vertAlign w:val="subscript"/>
          <w:lang w:val="es-ES_tradnl"/>
        </w:rPr>
        <w:t>0</w:t>
      </w:r>
      <w:r w:rsidRPr="00CC69B2">
        <w:rPr>
          <w:lang w:val="es-ES_tradnl"/>
        </w:rPr>
        <w:t xml:space="preserve"> </w:t>
      </w:r>
      <w:r w:rsidR="00516F6E">
        <w:rPr>
          <w:lang w:val="es-ES_tradnl"/>
        </w:rPr>
        <w:t>+</w:t>
      </w:r>
      <w:r w:rsidRPr="00CC69B2">
        <w:rPr>
          <w:lang w:val="es-ES_tradnl"/>
        </w:rPr>
        <w:t xml:space="preserve"> (</w:t>
      </w:r>
      <w:r w:rsidRPr="00CC69B2">
        <w:rPr>
          <w:i/>
          <w:iCs/>
          <w:lang w:val="es-ES_tradnl"/>
        </w:rPr>
        <w:t>L</w:t>
      </w:r>
      <w:r w:rsidRPr="00CC69B2">
        <w:rPr>
          <w:vertAlign w:val="subscript"/>
          <w:lang w:val="es-ES_tradnl"/>
        </w:rPr>
        <w:t>1</w:t>
      </w:r>
      <w:r w:rsidRPr="00CC69B2">
        <w:rPr>
          <w:lang w:val="es-ES_tradnl"/>
        </w:rPr>
        <w:t xml:space="preserve"> – </w:t>
      </w:r>
      <w:r w:rsidRPr="00CC69B2">
        <w:rPr>
          <w:i/>
          <w:iCs/>
          <w:lang w:val="es-ES_tradnl"/>
        </w:rPr>
        <w:t>L</w:t>
      </w:r>
      <w:r w:rsidRPr="00CC69B2">
        <w:rPr>
          <w:vertAlign w:val="subscript"/>
          <w:lang w:val="es-ES_tradnl"/>
        </w:rPr>
        <w:t xml:space="preserve">0 </w:t>
      </w:r>
      <w:r w:rsidRPr="00CC69B2">
        <w:rPr>
          <w:lang w:val="es-ES_tradnl"/>
        </w:rPr>
        <w:t>)</w:t>
      </w:r>
    </w:p>
    <w:p w:rsidR="00F97D17" w:rsidRPr="0063018E" w:rsidRDefault="00F97D17" w:rsidP="00985DE2">
      <w:pPr>
        <w:rPr>
          <w:lang w:val="es-ES_tradnl"/>
        </w:rPr>
      </w:pPr>
      <w:r w:rsidRPr="0063018E">
        <w:rPr>
          <w:lang w:val="es-ES_tradnl"/>
        </w:rPr>
        <w:t>siendo:</w:t>
      </w:r>
    </w:p>
    <w:p w:rsidR="00F97D17" w:rsidRPr="00247B58" w:rsidRDefault="00F97D17" w:rsidP="006F6D7F">
      <w:pPr>
        <w:pStyle w:val="Equationlegend"/>
        <w:rPr>
          <w:lang w:val="es-ES_tradnl"/>
        </w:rPr>
      </w:pPr>
      <w:r w:rsidRPr="00B874B3">
        <w:rPr>
          <w:lang w:val="es-ES_tradnl"/>
        </w:rPr>
        <w:tab/>
      </w:r>
      <w:r w:rsidRPr="00247B58">
        <w:rPr>
          <w:i/>
          <w:iCs/>
          <w:lang w:val="es-ES_tradnl"/>
        </w:rPr>
        <w:t>S</w:t>
      </w:r>
      <w:r w:rsidR="00247B58" w:rsidRPr="00E94FB2">
        <w:rPr>
          <w:sz w:val="16"/>
          <w:szCs w:val="16"/>
          <w:lang w:val="es-ES_tradnl"/>
        </w:rPr>
        <w:t xml:space="preserve"> </w:t>
      </w:r>
      <w:r w:rsidRPr="00247B58">
        <w:rPr>
          <w:lang w:val="es-ES_tradnl"/>
        </w:rPr>
        <w:t>:</w:t>
      </w:r>
      <w:r w:rsidRPr="00247B58">
        <w:rPr>
          <w:lang w:val="es-ES_tradnl"/>
        </w:rPr>
        <w:tab/>
        <w:t>sensibilidad de la intensidad de campo de la estación de comprobación técnica (dB(µV/m))</w:t>
      </w:r>
    </w:p>
    <w:p w:rsidR="00F97D17" w:rsidRPr="00247B58" w:rsidRDefault="00F97D17" w:rsidP="006F6D7F">
      <w:pPr>
        <w:pStyle w:val="Equationlegend"/>
        <w:rPr>
          <w:lang w:val="es-ES_tradnl"/>
        </w:rPr>
      </w:pPr>
      <w:r w:rsidRPr="00247B58">
        <w:rPr>
          <w:lang w:val="es-ES_tradnl"/>
        </w:rPr>
        <w:tab/>
      </w:r>
      <w:r w:rsidRPr="00247B58">
        <w:rPr>
          <w:i/>
          <w:iCs/>
          <w:lang w:val="es-ES_tradnl"/>
        </w:rPr>
        <w:t>E</w:t>
      </w:r>
      <w:r w:rsidRPr="00247B58">
        <w:rPr>
          <w:vertAlign w:val="subscript"/>
          <w:lang w:val="es-ES_tradnl"/>
        </w:rPr>
        <w:t>0</w:t>
      </w:r>
      <w:r w:rsidR="00247B58" w:rsidRPr="00E94FB2">
        <w:rPr>
          <w:sz w:val="16"/>
          <w:szCs w:val="16"/>
          <w:lang w:val="es-ES_tradnl"/>
        </w:rPr>
        <w:t xml:space="preserve"> </w:t>
      </w:r>
      <w:r w:rsidRPr="00247B58">
        <w:rPr>
          <w:lang w:val="es-ES_tradnl"/>
        </w:rPr>
        <w:t>:</w:t>
      </w:r>
      <w:r w:rsidRPr="00247B58">
        <w:rPr>
          <w:lang w:val="es-ES_tradnl"/>
        </w:rPr>
        <w:tab/>
        <w:t>valor de la intensidad de campo medida (dB(µV/m))</w:t>
      </w:r>
    </w:p>
    <w:p w:rsidR="00F97D17" w:rsidRPr="00247B58" w:rsidRDefault="00F97D17" w:rsidP="006F6D7F">
      <w:pPr>
        <w:pStyle w:val="Equationlegend"/>
        <w:rPr>
          <w:lang w:val="es-ES_tradnl"/>
        </w:rPr>
      </w:pPr>
      <w:r w:rsidRPr="00247B58">
        <w:rPr>
          <w:lang w:val="es-ES_tradnl"/>
        </w:rPr>
        <w:tab/>
      </w:r>
      <w:r w:rsidRPr="00247B58">
        <w:rPr>
          <w:i/>
          <w:iCs/>
          <w:lang w:val="es-ES_tradnl"/>
        </w:rPr>
        <w:t>L</w:t>
      </w:r>
      <w:r w:rsidRPr="00247B58">
        <w:rPr>
          <w:vertAlign w:val="subscript"/>
          <w:lang w:val="es-ES_tradnl"/>
        </w:rPr>
        <w:t>0</w:t>
      </w:r>
      <w:r w:rsidR="00247B58" w:rsidRPr="00E94FB2">
        <w:rPr>
          <w:sz w:val="16"/>
          <w:szCs w:val="16"/>
          <w:lang w:val="es-ES_tradnl"/>
        </w:rPr>
        <w:t xml:space="preserve"> </w:t>
      </w:r>
      <w:r w:rsidRPr="00247B58">
        <w:rPr>
          <w:lang w:val="es-ES_tradnl"/>
        </w:rPr>
        <w:t>:</w:t>
      </w:r>
      <w:r w:rsidRPr="00247B58">
        <w:rPr>
          <w:lang w:val="es-ES_tradnl"/>
        </w:rPr>
        <w:tab/>
        <w:t>nivel de señal introducido en la antena transmisora con una buena SNR (dB(µV))</w:t>
      </w:r>
    </w:p>
    <w:p w:rsidR="00F97D17" w:rsidRPr="001354ED" w:rsidRDefault="00F97D17" w:rsidP="00083079">
      <w:pPr>
        <w:pStyle w:val="Equationlegend"/>
        <w:rPr>
          <w:lang w:val="es-ES_tradnl"/>
        </w:rPr>
      </w:pPr>
      <w:r w:rsidRPr="00247B58">
        <w:rPr>
          <w:lang w:val="es-ES_tradnl"/>
        </w:rPr>
        <w:tab/>
      </w:r>
      <w:r w:rsidRPr="001354ED">
        <w:rPr>
          <w:i/>
          <w:iCs/>
          <w:lang w:val="es-ES_tradnl"/>
        </w:rPr>
        <w:t>L</w:t>
      </w:r>
      <w:r w:rsidRPr="001354ED">
        <w:rPr>
          <w:vertAlign w:val="subscript"/>
          <w:lang w:val="es-ES_tradnl"/>
        </w:rPr>
        <w:t>1</w:t>
      </w:r>
      <w:r w:rsidR="00247B58" w:rsidRPr="00E94FB2">
        <w:rPr>
          <w:sz w:val="16"/>
          <w:szCs w:val="16"/>
          <w:lang w:val="es-ES_tradnl"/>
        </w:rPr>
        <w:t xml:space="preserve"> </w:t>
      </w:r>
      <w:r w:rsidRPr="001354ED">
        <w:rPr>
          <w:lang w:val="es-ES_tradnl"/>
        </w:rPr>
        <w:t xml:space="preserve">: </w:t>
      </w:r>
      <w:r w:rsidRPr="001354ED">
        <w:rPr>
          <w:lang w:val="es-ES_tradnl"/>
        </w:rPr>
        <w:tab/>
        <w:t>nivel de señal introducido en la antena transmisora cuando se alcanza la sensibilidad (en</w:t>
      </w:r>
      <w:r w:rsidR="00083079">
        <w:rPr>
          <w:lang w:val="es-ES_tradnl"/>
        </w:rPr>
        <w:t xml:space="preserve"> </w:t>
      </w:r>
      <w:r w:rsidRPr="001354ED">
        <w:rPr>
          <w:lang w:val="es-ES_tradnl"/>
        </w:rPr>
        <w:t>dB(µV)).</w:t>
      </w:r>
    </w:p>
    <w:p w:rsidR="00F97D17" w:rsidRPr="00CC69B2" w:rsidRDefault="00F97D17" w:rsidP="00014714">
      <w:pPr>
        <w:pStyle w:val="FigureNo"/>
        <w:rPr>
          <w:rFonts w:eastAsia="MS Mincho"/>
          <w:lang w:val="es-ES_tradnl"/>
        </w:rPr>
      </w:pPr>
      <w:r w:rsidRPr="00CC69B2">
        <w:rPr>
          <w:rFonts w:eastAsia="MS Mincho"/>
          <w:lang w:val="es-ES_tradnl"/>
        </w:rPr>
        <w:lastRenderedPageBreak/>
        <w:t>FIGURA 13</w:t>
      </w:r>
    </w:p>
    <w:p w:rsidR="00F97D17" w:rsidRDefault="00F97D17" w:rsidP="005369BC">
      <w:pPr>
        <w:pStyle w:val="Figuretitle"/>
        <w:rPr>
          <w:lang w:val="es-ES_tradnl"/>
        </w:rPr>
      </w:pPr>
      <w:r w:rsidRPr="00CC69B2">
        <w:rPr>
          <w:lang w:val="es-ES_tradnl"/>
        </w:rPr>
        <w:t>Montaje de la medición de la sensibilidad en un EPZA</w:t>
      </w:r>
      <w:r w:rsidR="005369BC">
        <w:rPr>
          <w:lang w:val="es-ES_tradnl"/>
        </w:rPr>
        <w:br/>
      </w:r>
      <w:r w:rsidRPr="00CC69B2">
        <w:rPr>
          <w:lang w:val="es-ES_tradnl"/>
        </w:rPr>
        <w:t>para una estación de radiogoniometría</w:t>
      </w:r>
    </w:p>
    <w:p w:rsidR="003261B3" w:rsidRPr="00B874B3" w:rsidRDefault="003261B3" w:rsidP="003261B3">
      <w:pPr>
        <w:pStyle w:val="Blanc"/>
        <w:rPr>
          <w:lang w:val="es-ES_tradnl"/>
        </w:rPr>
      </w:pPr>
    </w:p>
    <w:p w:rsidR="00014714" w:rsidRPr="00014714" w:rsidRDefault="00151C75" w:rsidP="00014714">
      <w:pPr>
        <w:pStyle w:val="Figure"/>
        <w:rPr>
          <w:lang w:val="es-ES_tradnl"/>
        </w:rPr>
      </w:pPr>
      <w:r>
        <w:rPr>
          <w:lang w:val="es-ES_tradnl"/>
        </w:rPr>
        <w:object w:dxaOrig="7211" w:dyaOrig="3480">
          <v:shape id="_x0000_i1042" type="#_x0000_t75" style="width:406.5pt;height:196.5pt" o:ole="">
            <v:imagedata r:id="rId49" o:title=""/>
          </v:shape>
          <o:OLEObject Type="Embed" ProgID="CorelDRAW.Graphic.14" ShapeID="_x0000_i1042" DrawAspect="Content" ObjectID="_1413614812" r:id="rId50"/>
        </w:object>
      </w:r>
    </w:p>
    <w:p w:rsidR="005369BC" w:rsidRPr="00B874B3" w:rsidRDefault="005369BC" w:rsidP="005369BC">
      <w:pPr>
        <w:pStyle w:val="Blanc"/>
        <w:rPr>
          <w:lang w:val="es-ES_tradnl"/>
        </w:rPr>
      </w:pPr>
    </w:p>
    <w:p w:rsidR="00F97D17" w:rsidRPr="00CC69B2" w:rsidRDefault="00F97D17" w:rsidP="00151C75">
      <w:pPr>
        <w:pStyle w:val="Heading4"/>
        <w:rPr>
          <w:lang w:val="es-ES_tradnl"/>
        </w:rPr>
      </w:pPr>
      <w:r w:rsidRPr="00CC69B2">
        <w:rPr>
          <w:lang w:val="es-ES_tradnl"/>
        </w:rPr>
        <w:t>3.2.2.2</w:t>
      </w:r>
      <w:r w:rsidRPr="00CC69B2">
        <w:rPr>
          <w:lang w:val="es-ES_tradnl"/>
        </w:rPr>
        <w:tab/>
        <w:t>Montaje para la medición de la sensibilidad en un EPZA de una estación de radiogoniometría</w:t>
      </w:r>
    </w:p>
    <w:p w:rsidR="00F97D17" w:rsidRPr="0063018E" w:rsidRDefault="00F97D17" w:rsidP="00151C75">
      <w:pPr>
        <w:rPr>
          <w:lang w:val="es-ES_tradnl"/>
        </w:rPr>
      </w:pPr>
      <w:r w:rsidRPr="0063018E">
        <w:rPr>
          <w:lang w:val="es-ES_tradnl"/>
        </w:rPr>
        <w:t xml:space="preserve">Con </w:t>
      </w:r>
      <w:r w:rsidRPr="0063018E">
        <w:rPr>
          <w:i/>
          <w:iCs/>
          <w:lang w:val="es-ES_tradnl"/>
        </w:rPr>
        <w:t>N</w:t>
      </w:r>
      <w:r w:rsidRPr="0063018E">
        <w:rPr>
          <w:lang w:val="es-ES_tradnl"/>
        </w:rPr>
        <w:t xml:space="preserve"> mediciones asociadas a una señal intensa, se calcula el ángulo de llegada (que debe ser estable):</w:t>
      </w:r>
    </w:p>
    <w:p w:rsidR="00F97D17" w:rsidRPr="00B874B3" w:rsidRDefault="00F97D17" w:rsidP="00151C75">
      <w:pPr>
        <w:pStyle w:val="Blanc"/>
        <w:rPr>
          <w:lang w:val="es-ES_tradnl"/>
        </w:rPr>
      </w:pPr>
    </w:p>
    <w:p w:rsidR="00F97D17" w:rsidRPr="00CC69B2" w:rsidRDefault="00151C75" w:rsidP="00151C75">
      <w:pPr>
        <w:pStyle w:val="Equation"/>
        <w:jc w:val="center"/>
      </w:pPr>
      <w:r w:rsidRPr="00151C75">
        <w:rPr>
          <w:position w:val="-24"/>
        </w:rPr>
        <w:object w:dxaOrig="1120" w:dyaOrig="859">
          <v:shape id="_x0000_i1043" type="#_x0000_t75" style="width:58.5pt;height:42.75pt" o:ole="" fillcolor="window">
            <v:imagedata r:id="rId51" o:title=""/>
          </v:shape>
          <o:OLEObject Type="Embed" ProgID="Equation.3" ShapeID="_x0000_i1043" DrawAspect="Content" ObjectID="_1413614813" r:id="rId52"/>
        </w:object>
      </w:r>
    </w:p>
    <w:p w:rsidR="003261B3" w:rsidRPr="00B874B3" w:rsidRDefault="003261B3" w:rsidP="003261B3">
      <w:pPr>
        <w:pStyle w:val="Blanc"/>
        <w:rPr>
          <w:lang w:val="es-ES_tradnl"/>
        </w:rPr>
      </w:pPr>
    </w:p>
    <w:p w:rsidR="00F97D17" w:rsidRPr="0063018E" w:rsidRDefault="00F97D17" w:rsidP="00151C75">
      <w:pPr>
        <w:rPr>
          <w:lang w:val="es-ES_tradnl"/>
        </w:rPr>
      </w:pPr>
      <w:r w:rsidRPr="0063018E">
        <w:rPr>
          <w:lang w:val="es-ES_tradnl"/>
        </w:rPr>
        <w:t>Se anota el nivel del generador y se lleva a cabo una medición de campo en la posición de la antena del radiogoniómetro.</w:t>
      </w:r>
    </w:p>
    <w:p w:rsidR="00F97D17" w:rsidRPr="0063018E" w:rsidRDefault="00F97D17" w:rsidP="00985DE2">
      <w:pPr>
        <w:rPr>
          <w:lang w:val="es-ES_tradnl"/>
        </w:rPr>
      </w:pPr>
      <w:r w:rsidRPr="0063018E">
        <w:rPr>
          <w:lang w:val="es-ES_tradnl"/>
        </w:rPr>
        <w:t>Reduciendo el nivel de la señal hasta alcanzar el error de acimut:</w:t>
      </w:r>
    </w:p>
    <w:p w:rsidR="00151C75" w:rsidRPr="00B874B3" w:rsidRDefault="00151C75" w:rsidP="00151C75">
      <w:pPr>
        <w:pStyle w:val="Blanc"/>
        <w:rPr>
          <w:lang w:val="es-ES_tradnl"/>
        </w:rPr>
      </w:pPr>
    </w:p>
    <w:p w:rsidR="00F97D17" w:rsidRPr="00CC69B2" w:rsidRDefault="00F97D17" w:rsidP="00151C75">
      <w:pPr>
        <w:pStyle w:val="Equation"/>
      </w:pPr>
      <w:r w:rsidRPr="00CC69B2">
        <w:rPr>
          <w:lang w:val="es-ES_tradnl"/>
        </w:rPr>
        <w:tab/>
      </w:r>
      <w:r w:rsidRPr="00CC69B2">
        <w:rPr>
          <w:lang w:val="es-ES_tradnl"/>
        </w:rPr>
        <w:tab/>
      </w:r>
      <w:r w:rsidR="00151C75" w:rsidRPr="00151C75">
        <w:rPr>
          <w:position w:val="-26"/>
        </w:rPr>
        <w:object w:dxaOrig="2120" w:dyaOrig="780">
          <v:shape id="_x0000_i1044" type="#_x0000_t75" style="width:110.25pt;height:39pt" o:ole="" fillcolor="window">
            <v:imagedata r:id="rId53" o:title=""/>
          </v:shape>
          <o:OLEObject Type="Embed" ProgID="Equation.3" ShapeID="_x0000_i1044" DrawAspect="Content" ObjectID="_1413614814" r:id="rId54"/>
        </w:object>
      </w:r>
    </w:p>
    <w:p w:rsidR="00F97D17" w:rsidRPr="0063018E" w:rsidRDefault="00F97D17" w:rsidP="00985DE2">
      <w:pPr>
        <w:rPr>
          <w:lang w:val="es-ES_tradnl"/>
        </w:rPr>
      </w:pPr>
      <w:r w:rsidRPr="0063018E">
        <w:rPr>
          <w:lang w:val="es-ES_tradnl"/>
        </w:rPr>
        <w:t>siendo:</w:t>
      </w:r>
    </w:p>
    <w:p w:rsidR="00F97D17" w:rsidRPr="00151C75" w:rsidRDefault="00F97D17" w:rsidP="00151C75">
      <w:pPr>
        <w:pStyle w:val="Equationlegend"/>
        <w:rPr>
          <w:lang w:val="es-ES_tradnl"/>
        </w:rPr>
      </w:pPr>
      <w:r w:rsidRPr="00151C75">
        <w:rPr>
          <w:lang w:val="es-ES_tradnl"/>
        </w:rPr>
        <w:tab/>
      </w:r>
      <w:r w:rsidRPr="00CC69B2">
        <w:sym w:font="Symbol" w:char="F064"/>
      </w:r>
      <w:r w:rsidR="00151C75" w:rsidRPr="00E94FB2">
        <w:rPr>
          <w:sz w:val="16"/>
          <w:szCs w:val="16"/>
          <w:lang w:val="es-ES_tradnl"/>
        </w:rPr>
        <w:t xml:space="preserve"> </w:t>
      </w:r>
      <w:r w:rsidRPr="00151C75">
        <w:rPr>
          <w:lang w:val="es-ES_tradnl"/>
        </w:rPr>
        <w:t>:</w:t>
      </w:r>
      <w:r w:rsidRPr="00151C75">
        <w:rPr>
          <w:lang w:val="es-ES_tradnl"/>
        </w:rPr>
        <w:tab/>
        <w:t>error cuadrático medio entre la medición en el límite de la sensibilidad y la medición a nivel elevado (grados)</w:t>
      </w:r>
    </w:p>
    <w:p w:rsidR="00F97D17" w:rsidRPr="00151C75" w:rsidRDefault="00F97D17" w:rsidP="00151C75">
      <w:pPr>
        <w:pStyle w:val="Equationlegend"/>
        <w:rPr>
          <w:lang w:val="es-ES_tradnl"/>
        </w:rPr>
      </w:pPr>
      <w:r w:rsidRPr="00151C75">
        <w:rPr>
          <w:lang w:val="es-ES_tradnl"/>
        </w:rPr>
        <w:tab/>
      </w:r>
      <w:r w:rsidRPr="00CC69B2">
        <w:t>θ</w:t>
      </w:r>
      <w:r w:rsidRPr="00151C75">
        <w:rPr>
          <w:vertAlign w:val="subscript"/>
          <w:lang w:val="es-ES_tradnl"/>
        </w:rPr>
        <w:t>0</w:t>
      </w:r>
      <w:r w:rsidR="00151C75" w:rsidRPr="00E94FB2">
        <w:rPr>
          <w:sz w:val="16"/>
          <w:szCs w:val="16"/>
          <w:lang w:val="es-ES_tradnl"/>
        </w:rPr>
        <w:t xml:space="preserve"> </w:t>
      </w:r>
      <w:r w:rsidRPr="00151C75">
        <w:rPr>
          <w:lang w:val="es-ES_tradnl"/>
        </w:rPr>
        <w:t>:</w:t>
      </w:r>
      <w:r w:rsidRPr="00151C75">
        <w:rPr>
          <w:lang w:val="es-ES_tradnl"/>
        </w:rPr>
        <w:tab/>
        <w:t>acimut medido con un nivel alto (grados)</w:t>
      </w:r>
    </w:p>
    <w:p w:rsidR="00F97D17" w:rsidRPr="00151C75" w:rsidRDefault="00F97D17" w:rsidP="00151C75">
      <w:pPr>
        <w:pStyle w:val="Equationlegend"/>
        <w:rPr>
          <w:lang w:val="es-ES_tradnl"/>
        </w:rPr>
      </w:pPr>
      <w:r w:rsidRPr="00151C75">
        <w:rPr>
          <w:lang w:val="es-ES_tradnl"/>
        </w:rPr>
        <w:tab/>
      </w:r>
      <w:r w:rsidRPr="00CC69B2">
        <w:t>θ</w:t>
      </w:r>
      <w:r w:rsidRPr="00151C75">
        <w:rPr>
          <w:i/>
          <w:iCs/>
          <w:vertAlign w:val="subscript"/>
          <w:lang w:val="es-ES_tradnl"/>
        </w:rPr>
        <w:t>mes</w:t>
      </w:r>
      <w:r w:rsidR="00151C75" w:rsidRPr="00E94FB2">
        <w:rPr>
          <w:sz w:val="16"/>
          <w:szCs w:val="16"/>
          <w:lang w:val="es-ES_tradnl"/>
        </w:rPr>
        <w:t xml:space="preserve"> </w:t>
      </w:r>
      <w:r w:rsidRPr="00151C75">
        <w:rPr>
          <w:lang w:val="es-ES_tradnl"/>
        </w:rPr>
        <w:t>:</w:t>
      </w:r>
      <w:r w:rsidRPr="00151C75">
        <w:rPr>
          <w:lang w:val="es-ES_tradnl"/>
        </w:rPr>
        <w:tab/>
        <w:t>acimut medido para cada nivel del generador (grados)</w:t>
      </w:r>
    </w:p>
    <w:p w:rsidR="00F97D17" w:rsidRPr="00151C75" w:rsidRDefault="00F97D17" w:rsidP="00151C75">
      <w:pPr>
        <w:pStyle w:val="Equationlegend"/>
        <w:rPr>
          <w:lang w:val="es-ES_tradnl"/>
        </w:rPr>
      </w:pPr>
      <w:r w:rsidRPr="00151C75">
        <w:rPr>
          <w:lang w:val="es-ES_tradnl"/>
        </w:rPr>
        <w:tab/>
      </w:r>
      <w:r w:rsidRPr="00151C75">
        <w:rPr>
          <w:i/>
          <w:iCs/>
          <w:lang w:val="es-ES_tradnl"/>
        </w:rPr>
        <w:t>N</w:t>
      </w:r>
      <w:r w:rsidR="00151C75" w:rsidRPr="00E94FB2">
        <w:rPr>
          <w:sz w:val="16"/>
          <w:szCs w:val="16"/>
          <w:lang w:val="es-ES_tradnl"/>
        </w:rPr>
        <w:t xml:space="preserve"> </w:t>
      </w:r>
      <w:r w:rsidRPr="00151C75">
        <w:rPr>
          <w:lang w:val="es-ES_tradnl"/>
        </w:rPr>
        <w:t>:</w:t>
      </w:r>
      <w:r w:rsidRPr="00151C75">
        <w:rPr>
          <w:lang w:val="es-ES_tradnl"/>
        </w:rPr>
        <w:tab/>
        <w:t>número de lecturas del acimut para cada nivel del generador.</w:t>
      </w:r>
    </w:p>
    <w:p w:rsidR="00F97D17" w:rsidRPr="0063018E" w:rsidRDefault="00F97D17" w:rsidP="00E94FB2">
      <w:pPr>
        <w:widowControl w:val="0"/>
        <w:rPr>
          <w:lang w:val="es-ES_tradnl"/>
        </w:rPr>
      </w:pPr>
      <w:r w:rsidRPr="0063018E">
        <w:rPr>
          <w:lang w:val="es-ES_tradnl"/>
        </w:rPr>
        <w:t>El límite de la sensibilidad se alcanza cuando:</w:t>
      </w:r>
    </w:p>
    <w:p w:rsidR="00F97D17" w:rsidRPr="00CC69B2" w:rsidRDefault="00F97D17" w:rsidP="00E94FB2">
      <w:pPr>
        <w:pStyle w:val="enumlev1"/>
        <w:widowControl w:val="0"/>
        <w:rPr>
          <w:lang w:val="es-ES_tradnl"/>
        </w:rPr>
      </w:pPr>
      <w:r w:rsidRPr="00CC69B2">
        <w:rPr>
          <w:lang w:val="es-ES_tradnl"/>
        </w:rPr>
        <w:t>–</w:t>
      </w:r>
      <w:r w:rsidRPr="00CC69B2">
        <w:rPr>
          <w:lang w:val="es-ES_tradnl"/>
        </w:rPr>
        <w:tab/>
      </w:r>
      <w:r w:rsidRPr="00CC69B2">
        <w:sym w:font="Symbol" w:char="F064"/>
      </w:r>
      <w:r w:rsidRPr="00CC69B2">
        <w:rPr>
          <w:lang w:val="es-ES_tradnl"/>
        </w:rPr>
        <w:t xml:space="preserve"> es mayor que +2° (valor eficaz), o</w:t>
      </w:r>
    </w:p>
    <w:p w:rsidR="00F97D17" w:rsidRPr="00CC69B2" w:rsidRDefault="00F97D17" w:rsidP="00E94FB2">
      <w:pPr>
        <w:pStyle w:val="enumlev1"/>
        <w:widowControl w:val="0"/>
        <w:rPr>
          <w:lang w:val="es-ES_tradnl"/>
        </w:rPr>
      </w:pPr>
      <w:r w:rsidRPr="00CC69B2">
        <w:rPr>
          <w:lang w:val="es-ES_tradnl"/>
        </w:rPr>
        <w:t>–</w:t>
      </w:r>
      <w:r w:rsidRPr="00CC69B2">
        <w:rPr>
          <w:lang w:val="es-ES_tradnl"/>
        </w:rPr>
        <w:tab/>
        <w:t>el radiogoniómetro ya no produce ningún resultado.</w:t>
      </w:r>
    </w:p>
    <w:p w:rsidR="00F97D17" w:rsidRPr="0063018E" w:rsidRDefault="00F97D17" w:rsidP="00151C75">
      <w:pPr>
        <w:keepNext/>
        <w:keepLines/>
        <w:rPr>
          <w:lang w:val="es-ES_tradnl"/>
        </w:rPr>
      </w:pPr>
      <w:r w:rsidRPr="0063018E">
        <w:rPr>
          <w:lang w:val="es-ES_tradnl"/>
        </w:rPr>
        <w:lastRenderedPageBreak/>
        <w:t>Cuando se alcanza el límite de sensibilidad, se anota el nivel del generador</w:t>
      </w:r>
      <w:r w:rsidRPr="0063018E">
        <w:rPr>
          <w:bCs/>
          <w:lang w:val="es-ES_tradnl"/>
        </w:rPr>
        <w:t xml:space="preserve"> </w:t>
      </w:r>
      <w:r w:rsidRPr="0063018E">
        <w:rPr>
          <w:bCs/>
          <w:i/>
          <w:iCs/>
          <w:lang w:val="es-ES_tradnl"/>
        </w:rPr>
        <w:t>L</w:t>
      </w:r>
      <w:r w:rsidRPr="0063018E">
        <w:rPr>
          <w:bCs/>
          <w:vertAlign w:val="subscript"/>
          <w:lang w:val="es-ES_tradnl"/>
        </w:rPr>
        <w:t>1</w:t>
      </w:r>
      <w:r w:rsidRPr="0063018E">
        <w:rPr>
          <w:lang w:val="es-ES_tradnl"/>
        </w:rPr>
        <w:t xml:space="preserve"> y a continuación se calcula la sensibilidad:</w:t>
      </w:r>
    </w:p>
    <w:p w:rsidR="008401FF" w:rsidRPr="00B874B3" w:rsidRDefault="008401FF" w:rsidP="008401FF">
      <w:pPr>
        <w:pStyle w:val="Blanc"/>
        <w:rPr>
          <w:lang w:val="es-ES_tradnl"/>
        </w:rPr>
      </w:pPr>
    </w:p>
    <w:p w:rsidR="00F97D17" w:rsidRPr="00CC69B2" w:rsidRDefault="00F97D17" w:rsidP="00516F6E">
      <w:pPr>
        <w:pStyle w:val="Equation"/>
        <w:rPr>
          <w:lang w:val="es-ES_tradnl"/>
        </w:rPr>
      </w:pPr>
      <w:r w:rsidRPr="00CC69B2">
        <w:rPr>
          <w:lang w:val="es-ES_tradnl"/>
        </w:rPr>
        <w:tab/>
      </w:r>
      <w:r w:rsidRPr="00CC69B2">
        <w:rPr>
          <w:lang w:val="es-ES_tradnl"/>
        </w:rPr>
        <w:tab/>
      </w:r>
      <w:r w:rsidRPr="00CC69B2">
        <w:rPr>
          <w:i/>
          <w:iCs/>
          <w:lang w:val="es-ES_tradnl"/>
        </w:rPr>
        <w:t>S</w:t>
      </w:r>
      <w:r w:rsidRPr="00CC69B2">
        <w:rPr>
          <w:lang w:val="es-ES_tradnl"/>
        </w:rPr>
        <w:t xml:space="preserve"> = </w:t>
      </w:r>
      <w:r w:rsidRPr="00CC69B2">
        <w:rPr>
          <w:i/>
          <w:iCs/>
          <w:lang w:val="es-ES_tradnl"/>
        </w:rPr>
        <w:t>E</w:t>
      </w:r>
      <w:r w:rsidRPr="00CC69B2">
        <w:rPr>
          <w:vertAlign w:val="subscript"/>
          <w:lang w:val="es-ES_tradnl"/>
        </w:rPr>
        <w:t>0</w:t>
      </w:r>
      <w:r w:rsidRPr="00CC69B2">
        <w:rPr>
          <w:lang w:val="es-ES_tradnl"/>
        </w:rPr>
        <w:t xml:space="preserve"> </w:t>
      </w:r>
      <w:r w:rsidR="00516F6E" w:rsidRPr="00516F6E">
        <w:rPr>
          <w:lang w:val="es-ES_tradnl"/>
        </w:rPr>
        <w:t>–</w:t>
      </w:r>
      <w:r w:rsidRPr="00CC69B2">
        <w:rPr>
          <w:lang w:val="es-ES_tradnl"/>
        </w:rPr>
        <w:t xml:space="preserve"> </w:t>
      </w:r>
      <w:r w:rsidRPr="00CC69B2">
        <w:rPr>
          <w:i/>
          <w:iCs/>
          <w:lang w:val="es-ES_tradnl"/>
        </w:rPr>
        <w:t>L</w:t>
      </w:r>
      <w:r w:rsidRPr="00CC69B2">
        <w:rPr>
          <w:vertAlign w:val="subscript"/>
          <w:lang w:val="es-ES_tradnl"/>
        </w:rPr>
        <w:t>0</w:t>
      </w:r>
      <w:r w:rsidRPr="00CC69B2">
        <w:rPr>
          <w:lang w:val="es-ES_tradnl"/>
        </w:rPr>
        <w:t xml:space="preserve"> </w:t>
      </w:r>
      <w:r w:rsidR="00516F6E">
        <w:rPr>
          <w:lang w:val="es-ES_tradnl"/>
        </w:rPr>
        <w:t>+</w:t>
      </w:r>
      <w:r w:rsidRPr="00CC69B2">
        <w:rPr>
          <w:lang w:val="es-ES_tradnl"/>
        </w:rPr>
        <w:t xml:space="preserve"> </w:t>
      </w:r>
      <w:r w:rsidRPr="00CC69B2">
        <w:rPr>
          <w:i/>
          <w:iCs/>
          <w:lang w:val="es-ES_tradnl"/>
        </w:rPr>
        <w:t>L</w:t>
      </w:r>
      <w:r w:rsidRPr="00CC69B2">
        <w:rPr>
          <w:vertAlign w:val="subscript"/>
          <w:lang w:val="es-ES_tradnl"/>
        </w:rPr>
        <w:t>1</w:t>
      </w:r>
    </w:p>
    <w:p w:rsidR="00F97D17" w:rsidRPr="0063018E" w:rsidRDefault="00F97D17" w:rsidP="00985DE2">
      <w:pPr>
        <w:rPr>
          <w:lang w:val="es-ES_tradnl"/>
        </w:rPr>
      </w:pPr>
      <w:r w:rsidRPr="0063018E">
        <w:rPr>
          <w:lang w:val="es-ES_tradnl"/>
        </w:rPr>
        <w:t>siendo:</w:t>
      </w:r>
    </w:p>
    <w:p w:rsidR="00F97D17" w:rsidRPr="00151C75" w:rsidRDefault="00F97D17" w:rsidP="00151C75">
      <w:pPr>
        <w:pStyle w:val="Equationlegend"/>
        <w:rPr>
          <w:lang w:val="es-ES_tradnl"/>
        </w:rPr>
      </w:pPr>
      <w:r w:rsidRPr="00B874B3">
        <w:rPr>
          <w:lang w:val="es-ES_tradnl"/>
        </w:rPr>
        <w:tab/>
      </w:r>
      <w:r w:rsidRPr="00151C75">
        <w:rPr>
          <w:i/>
          <w:iCs/>
          <w:lang w:val="es-ES_tradnl"/>
        </w:rPr>
        <w:t>S</w:t>
      </w:r>
      <w:r w:rsidR="00151C75" w:rsidRPr="00E94FB2">
        <w:rPr>
          <w:sz w:val="16"/>
          <w:szCs w:val="16"/>
          <w:lang w:val="es-ES_tradnl"/>
        </w:rPr>
        <w:t xml:space="preserve"> </w:t>
      </w:r>
      <w:r w:rsidRPr="00151C75">
        <w:rPr>
          <w:lang w:val="es-ES_tradnl"/>
        </w:rPr>
        <w:t>:</w:t>
      </w:r>
      <w:r w:rsidRPr="00151C75">
        <w:rPr>
          <w:lang w:val="es-ES_tradnl"/>
        </w:rPr>
        <w:tab/>
        <w:t>sensibilidad de la intensidad de campo especificada de la estación (dB(µV/m))</w:t>
      </w:r>
    </w:p>
    <w:p w:rsidR="00F97D17" w:rsidRPr="00151C75" w:rsidRDefault="00F97D17" w:rsidP="00151C75">
      <w:pPr>
        <w:pStyle w:val="Equationlegend"/>
        <w:rPr>
          <w:lang w:val="es-ES_tradnl"/>
        </w:rPr>
      </w:pPr>
      <w:r w:rsidRPr="00151C75">
        <w:rPr>
          <w:lang w:val="es-ES_tradnl"/>
        </w:rPr>
        <w:tab/>
      </w:r>
      <w:r w:rsidRPr="00151C75">
        <w:rPr>
          <w:i/>
          <w:iCs/>
          <w:lang w:val="es-ES_tradnl"/>
        </w:rPr>
        <w:t>E</w:t>
      </w:r>
      <w:r w:rsidRPr="00151C75">
        <w:rPr>
          <w:vertAlign w:val="subscript"/>
          <w:lang w:val="es-ES_tradnl"/>
        </w:rPr>
        <w:t>0</w:t>
      </w:r>
      <w:r w:rsidR="00151C75" w:rsidRPr="00E94FB2">
        <w:rPr>
          <w:sz w:val="16"/>
          <w:szCs w:val="16"/>
          <w:lang w:val="es-ES_tradnl"/>
        </w:rPr>
        <w:t xml:space="preserve"> </w:t>
      </w:r>
      <w:r w:rsidRPr="00151C75">
        <w:rPr>
          <w:lang w:val="es-ES_tradnl"/>
        </w:rPr>
        <w:t>:</w:t>
      </w:r>
      <w:r w:rsidRPr="00151C75">
        <w:rPr>
          <w:lang w:val="es-ES_tradnl"/>
        </w:rPr>
        <w:tab/>
        <w:t>valor de la intensidad de campo (dB(µV/m))</w:t>
      </w:r>
    </w:p>
    <w:p w:rsidR="00F97D17" w:rsidRPr="00151C75" w:rsidRDefault="00F97D17" w:rsidP="00151C75">
      <w:pPr>
        <w:pStyle w:val="Equationlegend"/>
        <w:rPr>
          <w:lang w:val="es-ES_tradnl"/>
        </w:rPr>
      </w:pPr>
      <w:r w:rsidRPr="00151C75">
        <w:rPr>
          <w:lang w:val="es-ES_tradnl"/>
        </w:rPr>
        <w:tab/>
      </w:r>
      <w:r w:rsidRPr="00151C75">
        <w:rPr>
          <w:i/>
          <w:iCs/>
          <w:lang w:val="es-ES_tradnl"/>
        </w:rPr>
        <w:t>L</w:t>
      </w:r>
      <w:r w:rsidRPr="00151C75">
        <w:rPr>
          <w:vertAlign w:val="subscript"/>
          <w:lang w:val="es-ES_tradnl"/>
        </w:rPr>
        <w:t>0</w:t>
      </w:r>
      <w:r w:rsidR="00151C75" w:rsidRPr="00E94FB2">
        <w:rPr>
          <w:sz w:val="16"/>
          <w:szCs w:val="16"/>
          <w:lang w:val="es-ES_tradnl"/>
        </w:rPr>
        <w:t xml:space="preserve"> </w:t>
      </w:r>
      <w:r w:rsidRPr="00151C75">
        <w:rPr>
          <w:lang w:val="es-ES_tradnl"/>
        </w:rPr>
        <w:t>:</w:t>
      </w:r>
      <w:r w:rsidRPr="00151C75">
        <w:rPr>
          <w:lang w:val="es-ES_tradnl"/>
        </w:rPr>
        <w:tab/>
        <w:t>nivel de la señal introducida en la antena de transmisión (dB(µV)) con una señal intensa</w:t>
      </w:r>
    </w:p>
    <w:p w:rsidR="00F97D17" w:rsidRPr="00151C75" w:rsidRDefault="00F97D17" w:rsidP="00151C75">
      <w:pPr>
        <w:pStyle w:val="Equationlegend"/>
        <w:rPr>
          <w:lang w:val="es-ES_tradnl"/>
        </w:rPr>
      </w:pPr>
      <w:r w:rsidRPr="00B874B3">
        <w:rPr>
          <w:lang w:val="es-ES_tradnl"/>
        </w:rPr>
        <w:tab/>
      </w:r>
      <w:r w:rsidRPr="00151C75">
        <w:rPr>
          <w:i/>
          <w:iCs/>
          <w:lang w:val="es-ES_tradnl"/>
        </w:rPr>
        <w:t>L</w:t>
      </w:r>
      <w:r w:rsidRPr="00151C75">
        <w:rPr>
          <w:vertAlign w:val="subscript"/>
          <w:lang w:val="es-ES_tradnl"/>
        </w:rPr>
        <w:t>1</w:t>
      </w:r>
      <w:r w:rsidR="00151C75" w:rsidRPr="00E94FB2">
        <w:rPr>
          <w:sz w:val="16"/>
          <w:szCs w:val="16"/>
          <w:lang w:val="es-ES_tradnl"/>
        </w:rPr>
        <w:t xml:space="preserve"> </w:t>
      </w:r>
      <w:r w:rsidRPr="00151C75">
        <w:rPr>
          <w:lang w:val="es-ES_tradnl"/>
        </w:rPr>
        <w:t>:</w:t>
      </w:r>
      <w:r w:rsidRPr="00151C75">
        <w:rPr>
          <w:lang w:val="es-ES_tradnl"/>
        </w:rPr>
        <w:tab/>
        <w:t>nivel de la señal introducida en la antena de transmisión cuando se alcanza la sensibilidad (dB(µV)).</w:t>
      </w:r>
    </w:p>
    <w:p w:rsidR="00F97D17" w:rsidRPr="0063018E" w:rsidRDefault="00F97D17" w:rsidP="00151C75">
      <w:pPr>
        <w:rPr>
          <w:lang w:val="es-ES_tradnl"/>
        </w:rPr>
      </w:pPr>
      <w:r w:rsidRPr="0063018E">
        <w:rPr>
          <w:lang w:val="es-ES_tradnl"/>
        </w:rPr>
        <w:t xml:space="preserve">Si el error del acimut aceptable </w:t>
      </w:r>
      <w:r w:rsidRPr="00CC69B2">
        <w:sym w:font="Symbol" w:char="F064"/>
      </w:r>
      <w:r w:rsidRPr="0063018E">
        <w:rPr>
          <w:lang w:val="es-ES_tradnl"/>
        </w:rPr>
        <w:t xml:space="preserve"> es distinto de 2° (valor eficaz) en algunas subgamas de frecuencias, deberá comunicarse este error de acimut junto con la especificación de la sensibilidad.</w:t>
      </w:r>
    </w:p>
    <w:p w:rsidR="00F97D17" w:rsidRPr="00CC69B2" w:rsidRDefault="00F97D17" w:rsidP="00151C75">
      <w:pPr>
        <w:pStyle w:val="Heading3"/>
        <w:rPr>
          <w:lang w:val="es-ES_tradnl"/>
        </w:rPr>
      </w:pPr>
      <w:r w:rsidRPr="00CC69B2">
        <w:rPr>
          <w:lang w:val="es-ES_tradnl"/>
        </w:rPr>
        <w:t>3.2.3</w:t>
      </w:r>
      <w:r w:rsidRPr="00CC69B2">
        <w:rPr>
          <w:lang w:val="es-ES_tradnl"/>
        </w:rPr>
        <w:tab/>
        <w:t>Parámetros de la estación para la medición de la sensibilidad</w:t>
      </w:r>
    </w:p>
    <w:p w:rsidR="00F97D17" w:rsidRPr="0063018E" w:rsidRDefault="00F97D17" w:rsidP="00151C75">
      <w:pPr>
        <w:rPr>
          <w:rFonts w:cs="Arial"/>
          <w:lang w:val="es-ES_tradnl"/>
        </w:rPr>
      </w:pPr>
      <w:r w:rsidRPr="0063018E">
        <w:rPr>
          <w:lang w:val="es-ES_tradnl"/>
        </w:rPr>
        <w:t>A fin de reproducir las condiciones operacionales lo más fielmente posible, durante las mediciones deberán utilizarse los siguientes parámetros</w:t>
      </w:r>
      <w:r w:rsidRPr="0063018E">
        <w:rPr>
          <w:rFonts w:cs="Arial"/>
          <w:lang w:val="es-ES_tradnl"/>
        </w:rPr>
        <w:t>:</w:t>
      </w:r>
    </w:p>
    <w:p w:rsidR="00F97D17" w:rsidRPr="00CC69B2" w:rsidRDefault="00F97D17" w:rsidP="00151C75">
      <w:pPr>
        <w:pStyle w:val="enumlev1"/>
        <w:rPr>
          <w:lang w:val="es-ES_tradnl"/>
        </w:rPr>
      </w:pPr>
      <w:r w:rsidRPr="00CC69B2">
        <w:rPr>
          <w:lang w:val="es-ES_tradnl"/>
        </w:rPr>
        <w:t>–</w:t>
      </w:r>
      <w:r w:rsidRPr="00CC69B2">
        <w:rPr>
          <w:lang w:val="es-ES_tradnl"/>
        </w:rPr>
        <w:tab/>
        <w:t>deberá desconectarse el CAG del receptor;</w:t>
      </w:r>
    </w:p>
    <w:p w:rsidR="00F97D17" w:rsidRPr="00CC69B2" w:rsidRDefault="00F97D17" w:rsidP="00151C75">
      <w:pPr>
        <w:pStyle w:val="enumlev1"/>
        <w:rPr>
          <w:lang w:val="es-ES_tradnl"/>
        </w:rPr>
      </w:pPr>
      <w:r w:rsidRPr="00CC69B2">
        <w:rPr>
          <w:lang w:val="es-ES_tradnl"/>
        </w:rPr>
        <w:t>–</w:t>
      </w:r>
      <w:r w:rsidRPr="00CC69B2">
        <w:rPr>
          <w:lang w:val="es-ES_tradnl"/>
        </w:rPr>
        <w:tab/>
        <w:t>todos los amplificadores de las antenas, los conmutadores de antenas y el receptor, en caso de existir, deberán ajustarse a su máxima amplificación;</w:t>
      </w:r>
    </w:p>
    <w:p w:rsidR="00F97D17" w:rsidRPr="00CC69B2" w:rsidRDefault="00F97D17" w:rsidP="00151C75">
      <w:pPr>
        <w:pStyle w:val="enumlev1"/>
        <w:rPr>
          <w:lang w:val="es-ES_tradnl"/>
        </w:rPr>
      </w:pPr>
      <w:r w:rsidRPr="00CC69B2">
        <w:rPr>
          <w:lang w:val="es-ES_tradnl"/>
        </w:rPr>
        <w:t>–</w:t>
      </w:r>
      <w:r w:rsidRPr="00CC69B2">
        <w:rPr>
          <w:lang w:val="es-ES_tradnl"/>
        </w:rPr>
        <w:tab/>
        <w:t>todos los atenuadores de las antenas, los conmutadores de antenas y el receptor, en caso de existir, deberán ajustarse a su mínima atenuación.</w:t>
      </w:r>
    </w:p>
    <w:p w:rsidR="00F97D17" w:rsidRPr="00CC69B2" w:rsidRDefault="00F97D17" w:rsidP="00151C75">
      <w:pPr>
        <w:pStyle w:val="Heading3"/>
        <w:rPr>
          <w:lang w:val="es-ES_tradnl"/>
        </w:rPr>
      </w:pPr>
      <w:r w:rsidRPr="00CC69B2">
        <w:rPr>
          <w:lang w:val="es-ES_tradnl"/>
        </w:rPr>
        <w:t>3.2.4</w:t>
      </w:r>
      <w:r w:rsidRPr="00CC69B2">
        <w:rPr>
          <w:lang w:val="es-ES_tradnl"/>
        </w:rPr>
        <w:tab/>
        <w:t>Presentación de los resultados</w:t>
      </w:r>
    </w:p>
    <w:p w:rsidR="00F97D17" w:rsidRPr="0063018E" w:rsidRDefault="00F97D17" w:rsidP="00151C75">
      <w:pPr>
        <w:rPr>
          <w:lang w:val="es-ES_tradnl"/>
        </w:rPr>
      </w:pPr>
      <w:r w:rsidRPr="0063018E">
        <w:rPr>
          <w:lang w:val="es-ES_tradnl"/>
        </w:rPr>
        <w:t>Cuando se proporcionan los valores de sensibilidad deberán indicarse los parámetros de medición descritos en los § 3.2.1.4 a §</w:t>
      </w:r>
      <w:r>
        <w:rPr>
          <w:lang w:val="es-ES_tradnl"/>
        </w:rPr>
        <w:t xml:space="preserve"> </w:t>
      </w:r>
      <w:r w:rsidRPr="0063018E">
        <w:rPr>
          <w:lang w:val="es-ES_tradnl"/>
        </w:rPr>
        <w:t xml:space="preserve">3.2.2.2. </w:t>
      </w:r>
    </w:p>
    <w:p w:rsidR="00F97D17" w:rsidRPr="0063018E" w:rsidRDefault="00F97D17" w:rsidP="00151C75">
      <w:pPr>
        <w:rPr>
          <w:lang w:val="es-ES_tradnl"/>
        </w:rPr>
      </w:pPr>
      <w:r w:rsidRPr="0063018E">
        <w:rPr>
          <w:lang w:val="es-ES_tradnl"/>
        </w:rPr>
        <w:t xml:space="preserve">Estos valores de la sensibilidad deberán garantizarse a lo largo de toda la banda de frecuencias o en la subbanda especificada por el fabricante. El fabricante puede proporcionar un valor medio o un valor típico. </w:t>
      </w:r>
    </w:p>
    <w:p w:rsidR="00F97D17" w:rsidRPr="0063018E" w:rsidRDefault="00F97D17" w:rsidP="00151C75">
      <w:pPr>
        <w:rPr>
          <w:lang w:val="es-ES_tradnl"/>
        </w:rPr>
      </w:pPr>
      <w:r w:rsidRPr="0063018E">
        <w:rPr>
          <w:lang w:val="es-ES_tradnl"/>
        </w:rPr>
        <w:t>El fabricante indicará las condiciones de cálculo de dicho valor medio o valor típico.</w:t>
      </w:r>
    </w:p>
    <w:p w:rsidR="00F97D17" w:rsidRPr="0063018E" w:rsidRDefault="00F97D17" w:rsidP="00151C75">
      <w:pPr>
        <w:rPr>
          <w:lang w:val="es-ES_tradnl"/>
        </w:rPr>
      </w:pPr>
      <w:r w:rsidRPr="0063018E">
        <w:rPr>
          <w:lang w:val="es-ES_tradnl"/>
        </w:rPr>
        <w:t>Los valores indicados por el fabricante serán:</w:t>
      </w:r>
    </w:p>
    <w:p w:rsidR="00F97D17" w:rsidRPr="00CC69B2" w:rsidRDefault="00F97D17" w:rsidP="00151C75">
      <w:pPr>
        <w:pStyle w:val="enumlev1"/>
        <w:rPr>
          <w:lang w:val="es-ES_tradnl"/>
        </w:rPr>
      </w:pPr>
      <w:r w:rsidRPr="00CC69B2">
        <w:rPr>
          <w:lang w:val="es-ES_tradnl"/>
        </w:rPr>
        <w:t>–</w:t>
      </w:r>
      <w:r w:rsidRPr="00CC69B2">
        <w:rPr>
          <w:lang w:val="es-ES_tradnl"/>
        </w:rPr>
        <w:tab/>
      </w:r>
      <w:r w:rsidR="00E902EE" w:rsidRPr="00CC69B2">
        <w:rPr>
          <w:lang w:val="es-ES_tradnl"/>
        </w:rPr>
        <w:t xml:space="preserve">la </w:t>
      </w:r>
      <w:r w:rsidRPr="00CC69B2">
        <w:rPr>
          <w:lang w:val="es-ES_tradnl"/>
        </w:rPr>
        <w:t>sensibilidad de campo de la estación de comprobación técnica (dB</w:t>
      </w:r>
      <w:r>
        <w:rPr>
          <w:lang w:val="es-ES_tradnl"/>
        </w:rPr>
        <w:t>(</w:t>
      </w:r>
      <w:r w:rsidRPr="00CC69B2">
        <w:rPr>
          <w:lang w:val="es-ES_tradnl"/>
        </w:rPr>
        <w:t>µV/m)</w:t>
      </w:r>
      <w:r>
        <w:rPr>
          <w:lang w:val="es-ES_tradnl"/>
        </w:rPr>
        <w:t>)</w:t>
      </w:r>
      <w:r w:rsidRPr="00CC69B2">
        <w:rPr>
          <w:lang w:val="es-ES_tradnl"/>
        </w:rPr>
        <w:t xml:space="preserve"> con los siguientes parámetros:</w:t>
      </w:r>
    </w:p>
    <w:p w:rsidR="00F97D17" w:rsidRPr="00CC69B2" w:rsidRDefault="00F97D17" w:rsidP="00E902EE">
      <w:pPr>
        <w:pStyle w:val="enumlev2"/>
        <w:rPr>
          <w:lang w:val="es-ES_tradnl"/>
        </w:rPr>
      </w:pPr>
      <w:r w:rsidRPr="00CC69B2">
        <w:rPr>
          <w:lang w:val="es-ES_tradnl"/>
        </w:rPr>
        <w:t>–</w:t>
      </w:r>
      <w:r w:rsidRPr="00CC69B2">
        <w:rPr>
          <w:lang w:val="es-ES_tradnl"/>
        </w:rPr>
        <w:tab/>
        <w:t>tipo de modulación (A3E o F3E);</w:t>
      </w:r>
    </w:p>
    <w:p w:rsidR="00F97D17" w:rsidRPr="00CC69B2" w:rsidRDefault="00F97D17" w:rsidP="00E902EE">
      <w:pPr>
        <w:pStyle w:val="enumlev2"/>
        <w:rPr>
          <w:lang w:val="es-ES_tradnl"/>
        </w:rPr>
      </w:pPr>
      <w:r w:rsidRPr="00CC69B2">
        <w:rPr>
          <w:lang w:val="es-ES_tradnl"/>
        </w:rPr>
        <w:t>–</w:t>
      </w:r>
      <w:r w:rsidRPr="00CC69B2">
        <w:rPr>
          <w:lang w:val="es-ES_tradnl"/>
        </w:rPr>
        <w:tab/>
        <w:t>anchura de banda del filtro de análisis (kHz);</w:t>
      </w:r>
    </w:p>
    <w:p w:rsidR="00F97D17" w:rsidRPr="00CC69B2" w:rsidRDefault="00F97D17" w:rsidP="00E902EE">
      <w:pPr>
        <w:pStyle w:val="enumlev2"/>
        <w:rPr>
          <w:lang w:val="es-ES_tradnl"/>
        </w:rPr>
      </w:pPr>
      <w:r w:rsidRPr="00CC69B2">
        <w:rPr>
          <w:lang w:val="es-ES_tradnl"/>
        </w:rPr>
        <w:t>–</w:t>
      </w:r>
      <w:r w:rsidRPr="00CC69B2">
        <w:rPr>
          <w:lang w:val="es-ES_tradnl"/>
        </w:rPr>
        <w:tab/>
        <w:t>índice de modulación o desviación de frecuencia;</w:t>
      </w:r>
    </w:p>
    <w:p w:rsidR="00F97D17" w:rsidRPr="00CC69B2" w:rsidRDefault="00E902EE" w:rsidP="00E902EE">
      <w:pPr>
        <w:pStyle w:val="enumlev2"/>
        <w:rPr>
          <w:lang w:val="es-ES_tradnl"/>
        </w:rPr>
      </w:pPr>
      <w:r>
        <w:rPr>
          <w:lang w:val="es-ES_tradnl"/>
        </w:rPr>
        <w:t>–</w:t>
      </w:r>
      <w:r>
        <w:rPr>
          <w:lang w:val="es-ES_tradnl"/>
        </w:rPr>
        <w:tab/>
        <w:t>SINAD utilizada (dB),</w:t>
      </w:r>
    </w:p>
    <w:p w:rsidR="00F97D17" w:rsidRPr="00CC69B2" w:rsidRDefault="00F97D17" w:rsidP="00151C75">
      <w:pPr>
        <w:pStyle w:val="enumlev1"/>
        <w:rPr>
          <w:lang w:val="es-ES_tradnl"/>
        </w:rPr>
      </w:pPr>
      <w:r w:rsidRPr="00CC69B2">
        <w:rPr>
          <w:lang w:val="es-ES_tradnl"/>
        </w:rPr>
        <w:t>–</w:t>
      </w:r>
      <w:r w:rsidRPr="00CC69B2">
        <w:rPr>
          <w:lang w:val="es-ES_tradnl"/>
        </w:rPr>
        <w:tab/>
      </w:r>
      <w:r w:rsidR="00E902EE" w:rsidRPr="00CC69B2">
        <w:rPr>
          <w:lang w:val="es-ES_tradnl"/>
        </w:rPr>
        <w:t xml:space="preserve">la </w:t>
      </w:r>
      <w:r w:rsidRPr="00CC69B2">
        <w:rPr>
          <w:lang w:val="es-ES_tradnl"/>
        </w:rPr>
        <w:t>sensibilidad de campo de la estación de radiogoniometría (dB</w:t>
      </w:r>
      <w:r>
        <w:rPr>
          <w:lang w:val="es-ES_tradnl"/>
        </w:rPr>
        <w:t>(</w:t>
      </w:r>
      <w:r w:rsidRPr="00CC69B2">
        <w:rPr>
          <w:lang w:val="es-ES_tradnl"/>
        </w:rPr>
        <w:t>µV/m)</w:t>
      </w:r>
      <w:r>
        <w:rPr>
          <w:lang w:val="es-ES_tradnl"/>
        </w:rPr>
        <w:t>)</w:t>
      </w:r>
      <w:r w:rsidRPr="00CC69B2">
        <w:rPr>
          <w:lang w:val="es-ES_tradnl"/>
        </w:rPr>
        <w:t xml:space="preserve"> con los siguientes parámetros:</w:t>
      </w:r>
    </w:p>
    <w:p w:rsidR="00F97D17" w:rsidRPr="00CC69B2" w:rsidRDefault="00F97D17" w:rsidP="00E902EE">
      <w:pPr>
        <w:pStyle w:val="enumlev2"/>
        <w:rPr>
          <w:lang w:val="es-ES_tradnl"/>
        </w:rPr>
      </w:pPr>
      <w:r w:rsidRPr="00CC69B2">
        <w:rPr>
          <w:lang w:val="es-ES_tradnl"/>
        </w:rPr>
        <w:t>–</w:t>
      </w:r>
      <w:r w:rsidRPr="00CC69B2">
        <w:rPr>
          <w:lang w:val="es-ES_tradnl"/>
        </w:rPr>
        <w:tab/>
        <w:t>tiempo(s) de integración;</w:t>
      </w:r>
    </w:p>
    <w:p w:rsidR="00F97D17" w:rsidRPr="00CC69B2" w:rsidRDefault="00F97D17" w:rsidP="00E902EE">
      <w:pPr>
        <w:pStyle w:val="enumlev2"/>
        <w:rPr>
          <w:lang w:val="es-ES_tradnl"/>
        </w:rPr>
      </w:pPr>
      <w:r w:rsidRPr="00CC69B2">
        <w:rPr>
          <w:lang w:val="es-ES_tradnl"/>
        </w:rPr>
        <w:t>–</w:t>
      </w:r>
      <w:r w:rsidRPr="00CC69B2">
        <w:rPr>
          <w:lang w:val="es-ES_tradnl"/>
        </w:rPr>
        <w:tab/>
        <w:t>anchura de banda del filtro de análisis (kHz).</w:t>
      </w:r>
    </w:p>
    <w:p w:rsidR="00F97D17" w:rsidRPr="00CC69B2" w:rsidRDefault="00F97D17" w:rsidP="00E94FB2">
      <w:pPr>
        <w:pStyle w:val="Heading2"/>
        <w:rPr>
          <w:lang w:val="es-ES_tradnl"/>
        </w:rPr>
      </w:pPr>
      <w:bookmarkStart w:id="101" w:name="_Toc169706703"/>
      <w:bookmarkStart w:id="102" w:name="_Toc199305950"/>
      <w:bookmarkStart w:id="103" w:name="_Toc302381335"/>
      <w:bookmarkStart w:id="104" w:name="_Toc303861577"/>
      <w:bookmarkStart w:id="105" w:name="_Toc303861630"/>
      <w:bookmarkStart w:id="106" w:name="_Toc303861712"/>
      <w:bookmarkStart w:id="107" w:name="_Toc303862778"/>
      <w:bookmarkStart w:id="108" w:name="_Toc303866490"/>
      <w:r w:rsidRPr="00CC69B2">
        <w:rPr>
          <w:lang w:val="es-ES_tradnl"/>
        </w:rPr>
        <w:lastRenderedPageBreak/>
        <w:t>3.3</w:t>
      </w:r>
      <w:r w:rsidRPr="00CC69B2">
        <w:rPr>
          <w:lang w:val="es-ES_tradnl"/>
        </w:rPr>
        <w:tab/>
        <w:t>Parámetros fundamentales para las estaciones de radiogoniometría</w:t>
      </w:r>
      <w:bookmarkEnd w:id="101"/>
      <w:bookmarkEnd w:id="102"/>
      <w:bookmarkEnd w:id="103"/>
      <w:bookmarkEnd w:id="104"/>
      <w:bookmarkEnd w:id="105"/>
      <w:bookmarkEnd w:id="106"/>
      <w:bookmarkEnd w:id="107"/>
      <w:bookmarkEnd w:id="108"/>
    </w:p>
    <w:p w:rsidR="00F97D17" w:rsidRPr="00CC69B2" w:rsidRDefault="00F97D17" w:rsidP="00151C75">
      <w:pPr>
        <w:pStyle w:val="Heading3"/>
        <w:rPr>
          <w:lang w:val="es-ES_tradnl"/>
        </w:rPr>
      </w:pPr>
      <w:r w:rsidRPr="00CC69B2">
        <w:rPr>
          <w:lang w:val="es-ES_tradnl"/>
        </w:rPr>
        <w:t>3.3.1</w:t>
      </w:r>
      <w:r w:rsidRPr="00CC69B2">
        <w:rPr>
          <w:lang w:val="es-ES_tradnl"/>
        </w:rPr>
        <w:tab/>
        <w:t>Precisión (angular) de la radiogoniometría: Precisión del sistema</w:t>
      </w:r>
    </w:p>
    <w:p w:rsidR="00F97D17" w:rsidRPr="0063018E" w:rsidRDefault="00F97D17" w:rsidP="00151C75">
      <w:pPr>
        <w:rPr>
          <w:lang w:val="es-ES_tradnl"/>
        </w:rPr>
      </w:pPr>
      <w:r w:rsidRPr="0063018E">
        <w:rPr>
          <w:lang w:val="es-ES_tradnl"/>
        </w:rPr>
        <w:t>Los procedimientos de medición de la precisión de radiogoniometría no se especifican en el Manual del UIT-R «Comprobación técnica del espectro» (Edición de 2011). Este Manual describe únicamente las clases de marcaciones (Clases A, B, C y D) con respecto a la Recomendación UIT</w:t>
      </w:r>
      <w:r w:rsidRPr="0063018E">
        <w:rPr>
          <w:lang w:val="es-ES_tradnl"/>
        </w:rPr>
        <w:noBreakHyphen/>
        <w:t>R SM.854, pero no la caracterización de los receptores de radiogoniometría.</w:t>
      </w:r>
    </w:p>
    <w:p w:rsidR="00F97D17" w:rsidRPr="0063018E" w:rsidRDefault="00F97D17" w:rsidP="00151C75">
      <w:pPr>
        <w:rPr>
          <w:lang w:val="es-ES_tradnl"/>
        </w:rPr>
      </w:pPr>
      <w:r w:rsidRPr="0063018E">
        <w:rPr>
          <w:lang w:val="es-ES_tradnl"/>
        </w:rPr>
        <w:t xml:space="preserve">La precisión del sistema de radiogoniometría es el valor eficaz o valor cuadrático medio de la diferencia entre el acimut verdadero y la marcación de pantalla. </w:t>
      </w:r>
    </w:p>
    <w:p w:rsidR="00F97D17" w:rsidRPr="0063018E" w:rsidRDefault="00F97D17" w:rsidP="00151C75">
      <w:pPr>
        <w:rPr>
          <w:lang w:val="es-ES_tradnl"/>
        </w:rPr>
      </w:pPr>
      <w:r w:rsidRPr="0063018E">
        <w:rPr>
          <w:lang w:val="es-ES_tradnl"/>
        </w:rPr>
        <w:t>Para realizar una medición precisa de radiogoniometría pueden aplicarse tres métodos:</w:t>
      </w:r>
    </w:p>
    <w:p w:rsidR="00F97D17" w:rsidRPr="00CC69B2" w:rsidRDefault="00F97D17" w:rsidP="00151C75">
      <w:pPr>
        <w:pStyle w:val="enumlev1"/>
        <w:rPr>
          <w:lang w:val="es-ES_tradnl"/>
        </w:rPr>
      </w:pPr>
      <w:r w:rsidRPr="00CC69B2">
        <w:rPr>
          <w:lang w:val="es-ES_tradnl"/>
        </w:rPr>
        <w:t>–</w:t>
      </w:r>
      <w:r w:rsidRPr="00CC69B2">
        <w:rPr>
          <w:lang w:val="es-ES_tradnl"/>
        </w:rPr>
        <w:tab/>
        <w:t>una prueba en un entorno real que represente el entorno de funcionamiento final;</w:t>
      </w:r>
    </w:p>
    <w:p w:rsidR="00F97D17" w:rsidRPr="00CC69B2" w:rsidRDefault="00F97D17" w:rsidP="00151C75">
      <w:pPr>
        <w:pStyle w:val="enumlev1"/>
        <w:rPr>
          <w:lang w:val="es-ES_tradnl"/>
        </w:rPr>
      </w:pPr>
      <w:r w:rsidRPr="00CC69B2">
        <w:rPr>
          <w:lang w:val="es-ES_tradnl"/>
        </w:rPr>
        <w:t>–</w:t>
      </w:r>
      <w:r w:rsidRPr="00CC69B2">
        <w:rPr>
          <w:lang w:val="es-ES_tradnl"/>
        </w:rPr>
        <w:tab/>
        <w:t>mediciones en un EPZA utilizando frecuencias restringidas donde no haya reflexiones procedentes de obstáculos cercanos, ruido de ambiente u otras señales radioeléctricas que puedan interferir con la medición;</w:t>
      </w:r>
    </w:p>
    <w:p w:rsidR="00F97D17" w:rsidRPr="00CC69B2" w:rsidRDefault="00F97D17" w:rsidP="00151C75">
      <w:pPr>
        <w:pStyle w:val="enumlev1"/>
        <w:rPr>
          <w:lang w:val="es-ES_tradnl"/>
        </w:rPr>
      </w:pPr>
      <w:r w:rsidRPr="00CC69B2">
        <w:rPr>
          <w:lang w:val="es-ES_tradnl"/>
        </w:rPr>
        <w:t>–</w:t>
      </w:r>
      <w:r w:rsidRPr="00CC69B2">
        <w:rPr>
          <w:lang w:val="es-ES_tradnl"/>
        </w:rPr>
        <w:tab/>
        <w:t>mediciones en una plataforma: la estación de radiogoniometría sin su antena se conecta a un simulador y un generador.</w:t>
      </w:r>
    </w:p>
    <w:p w:rsidR="00F97D17" w:rsidRPr="0063018E" w:rsidRDefault="00F97D17" w:rsidP="00151C75">
      <w:pPr>
        <w:rPr>
          <w:lang w:val="es-ES_tradnl"/>
        </w:rPr>
      </w:pPr>
      <w:r w:rsidRPr="0063018E">
        <w:rPr>
          <w:lang w:val="es-ES_tradnl"/>
        </w:rPr>
        <w:t>La primera prueba se utiliza principalmente a fin de determinar la precisión del sistema o la precisión práctica para un uso típico del sistema. Los otros dos métodos se emplean para calcular la precisión del instrumento y pueden utilizarse, por ejemplo, a efectos de calibración.</w:t>
      </w:r>
    </w:p>
    <w:p w:rsidR="00F97D17" w:rsidRPr="00CC69B2" w:rsidRDefault="00F97D17" w:rsidP="00151C75">
      <w:pPr>
        <w:pStyle w:val="Heading4"/>
        <w:rPr>
          <w:lang w:val="es-ES_tradnl"/>
        </w:rPr>
      </w:pPr>
      <w:r w:rsidRPr="00CC69B2">
        <w:rPr>
          <w:lang w:val="es-ES_tradnl"/>
        </w:rPr>
        <w:t>3.3.1.1</w:t>
      </w:r>
      <w:r w:rsidRPr="00CC69B2">
        <w:rPr>
          <w:lang w:val="es-ES_tradnl"/>
        </w:rPr>
        <w:tab/>
        <w:t>Pruebas de precisión de la radiogoniometría en un entorno real</w:t>
      </w:r>
    </w:p>
    <w:p w:rsidR="00F97D17" w:rsidRPr="00CC69B2" w:rsidRDefault="00F97D17" w:rsidP="00151C75">
      <w:pPr>
        <w:pStyle w:val="Headingb"/>
        <w:rPr>
          <w:lang w:val="es-ES_tradnl"/>
        </w:rPr>
      </w:pPr>
      <w:r w:rsidRPr="00CC69B2">
        <w:rPr>
          <w:lang w:val="es-ES_tradnl"/>
        </w:rPr>
        <w:t>Introducción a pruebas en entorno real</w:t>
      </w:r>
    </w:p>
    <w:p w:rsidR="00F97D17" w:rsidRPr="0063018E" w:rsidRDefault="00F97D17" w:rsidP="00151C75">
      <w:pPr>
        <w:rPr>
          <w:lang w:val="es-ES_tradnl"/>
        </w:rPr>
      </w:pPr>
      <w:r w:rsidRPr="0063018E">
        <w:rPr>
          <w:lang w:val="es-ES_tradnl"/>
        </w:rPr>
        <w:t>La precisión de un sistema de radiogoniometría, incluidos los radiogoniómetros autónomos así como la funcionalidad de radiogoniometría integrada y que forma parte de un sistema de comprobación técnica del espectro, puede medirse de varias formas. Un sistema puede probarse sin sus antenas en un laboratorio, conectando un generador de señal a un dispositivo (como por ejemplo un divisor de potencia y cables de RF de longitudes adecuadas) que simule las tensiones y fases incidentes en las antenas, y conectando este simulador al sistema de radiogoniometría sin sus antenas. Un sistema puede ubicarse dentro de una cámara anecoica y pueden generarse señales de prueba utilizándolas para medir la precisión del sistema. Puede situarse el sistema en un banco de pruebas o en un polígono de pruebas, dentro de un entorno electromagnéticamente limpio sin reflexiones o estructuras que puedan producir dispersión, resonancias o rerradiación, y puede probarse con señales intensas. En esos entornos limpios la mayoría de los sistemas de radiogoniometría presentan un excelente comportamiento y tales mediciones sirven para determinar la «precisión de instrumento» del sistema. Sin embargo, las mediciones del comportamiento en tales condiciones no permiten la discriminación entre los sistemas de radiogoniometría puesto que no se dan las condiciones de funcionamiento en el «mundo real» que puede manejar un sistema de alta calidad y que no puede manejar un sistema de calidad inferior. Una administración puede adquirir un sistema que responda perfectamente en pruebas de laboratorio y observar posteriormente que no funciona adecuadamente una vez instalado y en funcionamiento real.</w:t>
      </w:r>
    </w:p>
    <w:p w:rsidR="00F97D17" w:rsidRPr="0063018E" w:rsidRDefault="00F97D17" w:rsidP="00151C75">
      <w:pPr>
        <w:rPr>
          <w:lang w:val="es-ES_tradnl"/>
        </w:rPr>
      </w:pPr>
      <w:r w:rsidRPr="0063018E">
        <w:rPr>
          <w:lang w:val="es-ES_tradnl"/>
        </w:rPr>
        <w:t xml:space="preserve">Para proporcionar una medición precisa de la calidad de funcionamiento de un sistema de radiogoniometría, las pruebas deben realizarse en condiciones de funcionamiento reales similares a las que el sistema se encontrará en la práctica y esa medición sirve para determinar la «precisión del sistema». El resto de este punto describe el procedimiento recomendado para determinar dicha «precisión del sistema»; es decir, para probar los sistemas de radiogoniometría en condiciones de funcionamiento reales con una variedad de modulaciones y utilizando señales con la mínima relación señal/ruido especificada por el fabricante del sistema. Los § 3.3.1.3 y 3.3.1.4 describen los </w:t>
      </w:r>
      <w:r w:rsidRPr="0063018E">
        <w:rPr>
          <w:lang w:val="es-ES_tradnl"/>
        </w:rPr>
        <w:lastRenderedPageBreak/>
        <w:t>procedimientos para determinar la «precisión del instrumento»; es decir, para probar los sistemas de radiogoniometría en un polígono de pruebas utilizando señales intensas.</w:t>
      </w:r>
    </w:p>
    <w:p w:rsidR="00F97D17" w:rsidRPr="00CC69B2" w:rsidRDefault="00F97D17" w:rsidP="00151C75">
      <w:pPr>
        <w:pStyle w:val="Headingb"/>
        <w:rPr>
          <w:lang w:val="es-ES_tradnl"/>
        </w:rPr>
      </w:pPr>
      <w:r w:rsidRPr="00CC69B2">
        <w:rPr>
          <w:lang w:val="es-ES_tradnl"/>
        </w:rPr>
        <w:t>Definición del procedimiento de medición</w:t>
      </w:r>
    </w:p>
    <w:p w:rsidR="00F97D17" w:rsidRPr="0063018E" w:rsidRDefault="00F97D17" w:rsidP="00151C75">
      <w:pPr>
        <w:rPr>
          <w:lang w:val="es-ES_tradnl"/>
        </w:rPr>
      </w:pPr>
      <w:r w:rsidRPr="0063018E">
        <w:rPr>
          <w:lang w:val="es-ES_tradnl"/>
        </w:rPr>
        <w:t>Un sistema de radiogoniometría debe probarse en condiciones de funcionamiento reales, preferentemente en emplazamientos típicos donde el sistema será utilizado por la administración que lo adquirió. Las «pruebas operativas de fábrica» son una alternativa aceptable pero deben realizarse bajo condiciones lo más parecidas posibles a las que se encontrará el sistema una vez instalado y en funcionamiento.</w:t>
      </w:r>
    </w:p>
    <w:p w:rsidR="00F97D17" w:rsidRPr="0063018E" w:rsidRDefault="00F97D17" w:rsidP="00151C75">
      <w:pPr>
        <w:rPr>
          <w:lang w:val="es-ES_tradnl"/>
        </w:rPr>
      </w:pPr>
      <w:r w:rsidRPr="0063018E">
        <w:rPr>
          <w:lang w:val="es-ES_tradnl"/>
        </w:rPr>
        <w:t>Antes de llevar a cabo las pruebas de precisión de radiogoniometría, debe efectuarse un análisis para determinar la zona de cobertura tanto de los transmisores de prueba que se instalarán a efectos de realizar las pruebas como de las estaciones de radiodifusión conocidas y otros transmisores (denominados «blancos de oportunidad»). Este análisis ayudará a localizar los transmisores de prueba y a seleccionar los blancos de oportunidad que debe recibir el radiogoniómetro con una intensidad de señal que proporcionará una mínima relación señal/ruido cuyo valor sea al menos como el especificado por el fabricante del sistema.</w:t>
      </w:r>
    </w:p>
    <w:p w:rsidR="00F97D17" w:rsidRPr="0063018E" w:rsidRDefault="00F97D17" w:rsidP="00985DE2">
      <w:pPr>
        <w:rPr>
          <w:lang w:val="es-ES_tradnl"/>
        </w:rPr>
      </w:pPr>
      <w:r w:rsidRPr="0063018E">
        <w:rPr>
          <w:lang w:val="es-ES_tradnl"/>
        </w:rPr>
        <w:t>Los equipos de prueba deben prepararse para la realización de las pruebas. Estos equipos incluyen los transmisores de prueba y los generadores de modulación para permitir todos los tipos de modulación, tanto analógicas como digitales, en una variedad de anchuras de banda, incluidas señales de anchura de banda estrecha y amplia. En el caso de las modulaciones digitales los impulsos deben ser tan estrechos como 0,5 ms, con una longitud del impulso aleatorizada. Estos equipos deben ubicarse en un vehículo que disponga de un sistema mundial de determinación de la posición (GPS) y una fuente de alimentación adecuada; el vehículo se dirigirá a ubicaciones seleccionadas aleatoriamente a lo largo de carreteras situadas en la zona de cobertura calculada, para obtener al menos 36 valores de acimut bien distribuidos.</w:t>
      </w:r>
    </w:p>
    <w:p w:rsidR="00F97D17" w:rsidRPr="0063018E" w:rsidRDefault="00F97D17" w:rsidP="00985DE2">
      <w:pPr>
        <w:rPr>
          <w:lang w:val="es-ES_tradnl"/>
        </w:rPr>
      </w:pPr>
      <w:r w:rsidRPr="0063018E">
        <w:rPr>
          <w:lang w:val="es-ES_tradnl"/>
        </w:rPr>
        <w:t>El nivel de señal del transmisor de prueba debe ajustarse para producir una señal en el sistema de radiogoniometría que satisfaga el valor de la relación señal/ruido especificado por el fabricante para el sistema sometido a prueba. Los blancos de oportunidad deben elegirse de manera que cumplan la relación señal/ruido especificada y deben evitarse las señales que produzcan relaciones señal/ruido que superen en más de 20 dB a la relación señal/ruido especificada.</w:t>
      </w:r>
    </w:p>
    <w:p w:rsidR="00F97D17" w:rsidRPr="0063018E" w:rsidRDefault="00F97D17" w:rsidP="00985DE2">
      <w:pPr>
        <w:rPr>
          <w:lang w:val="es-ES_tradnl"/>
        </w:rPr>
      </w:pPr>
      <w:r w:rsidRPr="0063018E">
        <w:rPr>
          <w:lang w:val="es-ES_tradnl"/>
        </w:rPr>
        <w:t>Para cada medición realizada se calcula el error de marcación como la diferencia entre el acimut verdadero (ángulo de la antena de prueba del transmisor) y la marcación mostrada en el equipo de radiogoniometría.</w:t>
      </w:r>
    </w:p>
    <w:p w:rsidR="00F97D17" w:rsidRPr="0063018E" w:rsidRDefault="00F97D17" w:rsidP="00985DE2">
      <w:pPr>
        <w:rPr>
          <w:lang w:val="es-ES_tradnl"/>
        </w:rPr>
      </w:pPr>
      <w:r w:rsidRPr="0063018E">
        <w:rPr>
          <w:lang w:val="es-ES_tradnl"/>
        </w:rPr>
        <w:t>Durante las pruebas deben registrarse los datos de las mediciones para al menos 36 valores de acimut bien distribuidos en los 360°. Específicamente, debe haber un número significativamente grande de emplazamientos de prueba que cubran toda la gama de 360° con diversas separaciones de acimut (aleatorizadas) para obtener mediciones con resoluciones tan bajas como 10° pero no exactamente cada 10° y no cada 10°. Los puntos de medición deben estar separados un mínimo de 6° y un máximo de 14°con una separación media de 10° para proporcionar flexibilidad a la hora de elegir en el terreno los emplazamientos de medición adecuados.</w:t>
      </w:r>
    </w:p>
    <w:p w:rsidR="00F97D17" w:rsidRPr="0063018E" w:rsidRDefault="00F97D17" w:rsidP="00151C75">
      <w:pPr>
        <w:rPr>
          <w:lang w:val="es-ES_tradnl"/>
        </w:rPr>
      </w:pPr>
      <w:r w:rsidRPr="0063018E">
        <w:rPr>
          <w:lang w:val="es-ES_tradnl"/>
        </w:rPr>
        <w:t>Por ejemplo, un conjunto de mediciones «adecuado» puede consistir en 36 emplazamientos de pruebas situados en las siguientes marcaciones con respecto a la antena de radiogoniometría:</w:t>
      </w:r>
    </w:p>
    <w:p w:rsidR="00F97D17" w:rsidRPr="0063018E" w:rsidRDefault="00151C75" w:rsidP="00151C75">
      <w:pPr>
        <w:pStyle w:val="enumlev1"/>
        <w:rPr>
          <w:lang w:val="es-ES_tradnl"/>
        </w:rPr>
      </w:pPr>
      <w:r>
        <w:rPr>
          <w:lang w:val="es-ES_tradnl"/>
        </w:rPr>
        <w:tab/>
      </w:r>
      <w:r w:rsidR="00F97D17" w:rsidRPr="0063018E">
        <w:rPr>
          <w:lang w:val="es-ES_tradnl"/>
        </w:rPr>
        <w:t>1°, 8°, 14°, 27°, 39°, 46°, 60°, 72°, 85°, 92°, 104°, 118°, 131°, 144°, 156°, 165°, 172°, 179°, 189°,</w:t>
      </w:r>
    </w:p>
    <w:p w:rsidR="00F97D17" w:rsidRPr="0063018E" w:rsidRDefault="00151C75" w:rsidP="00151C75">
      <w:pPr>
        <w:pStyle w:val="enumlev1"/>
        <w:rPr>
          <w:lang w:val="es-ES_tradnl"/>
        </w:rPr>
      </w:pPr>
      <w:r>
        <w:rPr>
          <w:lang w:val="es-ES_tradnl"/>
        </w:rPr>
        <w:tab/>
      </w:r>
      <w:r w:rsidR="00F97D17" w:rsidRPr="0063018E">
        <w:rPr>
          <w:lang w:val="es-ES_tradnl"/>
        </w:rPr>
        <w:t>198°, 206°, 215°, 222°, 235°, 247°, 258°, 268°, 276°, 286°, 299°, 310°, 319°, 327°, 334°, 346°, 354°</w:t>
      </w:r>
    </w:p>
    <w:p w:rsidR="00F97D17" w:rsidRPr="0063018E" w:rsidRDefault="00F97D17" w:rsidP="00151C75">
      <w:pPr>
        <w:rPr>
          <w:lang w:val="es-ES_tradnl"/>
        </w:rPr>
      </w:pPr>
      <w:r w:rsidRPr="0063018E">
        <w:rPr>
          <w:lang w:val="es-ES_tradnl"/>
        </w:rPr>
        <w:t>Ese conjunto presenta un incremento mínimo de 6° (8° a 14°) y un incremento máximo de 14° (46° a 60°; 104° a 118°), y con 36 mediciones un incremento «medio» de 10°.</w:t>
      </w:r>
    </w:p>
    <w:p w:rsidR="00F97D17" w:rsidRPr="0063018E" w:rsidRDefault="00F97D17" w:rsidP="00985DE2">
      <w:pPr>
        <w:rPr>
          <w:lang w:val="es-ES_tradnl"/>
        </w:rPr>
      </w:pPr>
      <w:r w:rsidRPr="0063018E">
        <w:rPr>
          <w:lang w:val="es-ES_tradnl"/>
        </w:rPr>
        <w:lastRenderedPageBreak/>
        <w:t>El error de marcación debe medirse para al menos nueve frecuencias por década bien distribuidas en la gama de frecuencias del radiogoniómetro, incluido el principio y el final de la escala, con al menos cinco frecuencias situadas dentro de la gama operacional cuando ésta no abarca una década completa.</w:t>
      </w:r>
    </w:p>
    <w:p w:rsidR="00F97D17" w:rsidRPr="0063018E" w:rsidRDefault="00F97D17" w:rsidP="00985DE2">
      <w:pPr>
        <w:rPr>
          <w:sz w:val="22"/>
          <w:szCs w:val="22"/>
          <w:lang w:val="es-ES_tradnl"/>
        </w:rPr>
      </w:pPr>
      <w:r w:rsidRPr="0063018E">
        <w:rPr>
          <w:lang w:val="es-ES_tradnl"/>
        </w:rPr>
        <w:t xml:space="preserve">Deben recopilarse los datos para cada acimut y frecuencia, y para muchos casos de modulaciones en cada acimut y frecuencia, incluidas las modulaciones analógica y digital, de banda estrecha y de banda amplia. Las distintas mediciones de radiogoniometría pueden promediarse a fin de obtener un resultado de radiogoniometría compuesto para cada caso de acimut, frecuencia y modulación, descartando al menos el 10% de las medidas de radiogoniometría individuales como «datos salvajes». La medida radiogoniométrica resultante se compara posteriormente con el ángulo de llegada conocido y se calcula el error, o </w:t>
      </w:r>
      <w:r w:rsidRPr="00CC69B2">
        <w:rPr>
          <w:szCs w:val="24"/>
        </w:rPr>
        <w:sym w:font="Symbol" w:char="F044"/>
      </w:r>
      <w:r w:rsidRPr="0063018E">
        <w:rPr>
          <w:szCs w:val="24"/>
          <w:lang w:val="es-ES_tradnl"/>
        </w:rPr>
        <w:t>, introduciéndolo a continuación</w:t>
      </w:r>
      <w:r w:rsidRPr="0063018E">
        <w:rPr>
          <w:lang w:val="es-ES_tradnl"/>
        </w:rPr>
        <w:t xml:space="preserve"> en el cuadro de datos de prueba</w:t>
      </w:r>
      <w:r w:rsidRPr="0063018E">
        <w:rPr>
          <w:szCs w:val="24"/>
          <w:lang w:val="es-ES_tradnl"/>
        </w:rPr>
        <w:t>.</w:t>
      </w:r>
    </w:p>
    <w:p w:rsidR="00F97D17" w:rsidRPr="0063018E" w:rsidRDefault="00F97D17" w:rsidP="00985DE2">
      <w:pPr>
        <w:rPr>
          <w:szCs w:val="24"/>
          <w:lang w:val="es-ES_tradnl"/>
        </w:rPr>
      </w:pPr>
      <w:r w:rsidRPr="0063018E">
        <w:rPr>
          <w:szCs w:val="24"/>
          <w:lang w:val="es-ES_tradnl"/>
        </w:rPr>
        <w:t>La mayoría de los sistemas de radiogoniometría utilizan antenas con polarización vertical para la recepción porque las antenas de recepción con polarización horizontal suponen un coste y complejidad añadidos a un sistema de radiogoniometría y porque las señales de interés normalmente están polarizadas verticalmente o, debido a las imperfecciones de la polarización o a los efectos de propagación, pueden recibirse mediante una antena con polarización vertical. Específicamente:</w:t>
      </w:r>
    </w:p>
    <w:p w:rsidR="00F97D17" w:rsidRPr="00CC69B2" w:rsidRDefault="00F97D17" w:rsidP="00151C75">
      <w:pPr>
        <w:pStyle w:val="enumlev1"/>
        <w:rPr>
          <w:lang w:val="es-ES_tradnl"/>
        </w:rPr>
      </w:pPr>
      <w:r w:rsidRPr="00CC69B2">
        <w:rPr>
          <w:lang w:val="es-ES_tradnl"/>
        </w:rPr>
        <w:t>a)</w:t>
      </w:r>
      <w:r w:rsidRPr="00CC69B2">
        <w:rPr>
          <w:lang w:val="es-ES_tradnl"/>
        </w:rPr>
        <w:tab/>
        <w:t>Las ondas decamétricas que se propagan por la ionosfera experimentan una rotación de la polarización en la propia ionosfera de manera que una polarización, generalmente vertical, es suficiente para recibir señales en ondas decamétricas originadas con polarización vertical u horizontal. Las ondas de superficie en la banda de ondas decamétricas se propagan como señales con polarización vertical porque las señales con polarización horizontal no pueden propagarse como ondas de superficie.</w:t>
      </w:r>
    </w:p>
    <w:p w:rsidR="00F97D17" w:rsidRPr="00CC69B2" w:rsidRDefault="00F97D17" w:rsidP="00151C75">
      <w:pPr>
        <w:pStyle w:val="enumlev1"/>
        <w:rPr>
          <w:szCs w:val="24"/>
          <w:lang w:val="es-ES_tradnl"/>
        </w:rPr>
      </w:pPr>
      <w:r w:rsidRPr="00CC69B2">
        <w:rPr>
          <w:lang w:val="es-ES_tradnl"/>
        </w:rPr>
        <w:t>b)</w:t>
      </w:r>
      <w:r w:rsidRPr="00CC69B2">
        <w:rPr>
          <w:lang w:val="es-ES_tradnl"/>
        </w:rPr>
        <w:tab/>
        <w:t xml:space="preserve">La mayoría de las señales en ondas métricas/decimétricas (distintas a algunas señales de TV) presentan normalmente polarización vertical (o, al menos, polarización doble como muchas señales de radiodifusión en frecuencia modulada), por lo que la medición más importante se efectúa con polarización vertical. Las pocas señales con polarización horizontal únicamente (como algunas señales de radiodifusión de TV) proceden normalmente de emplazamientos bien conocidos y, por consiguiente, no es necesario efectuar una medida de </w:t>
      </w:r>
      <w:r w:rsidRPr="00CC69B2">
        <w:rPr>
          <w:szCs w:val="24"/>
          <w:lang w:val="es-ES_tradnl"/>
        </w:rPr>
        <w:t>radiogoniometría precisa de estas señales. Debido a la sencillez de construcción de las antenas en ondas métricas/decimétricas verticales, especialmente para plataformas móviles, la mayoría de los transmisores de interés utilizan antenas verticales, y éste es el requisito más importante para la radiogoniometría.</w:t>
      </w:r>
    </w:p>
    <w:p w:rsidR="00F97D17" w:rsidRPr="00CC69B2" w:rsidRDefault="00F97D17" w:rsidP="00151C75">
      <w:pPr>
        <w:pStyle w:val="enumlev1"/>
        <w:rPr>
          <w:szCs w:val="24"/>
          <w:lang w:val="es-ES_tradnl"/>
        </w:rPr>
      </w:pPr>
      <w:r w:rsidRPr="00CC69B2">
        <w:rPr>
          <w:szCs w:val="24"/>
          <w:lang w:val="es-ES_tradnl"/>
        </w:rPr>
        <w:t>c)</w:t>
      </w:r>
      <w:r w:rsidRPr="00CC69B2">
        <w:rPr>
          <w:szCs w:val="24"/>
          <w:lang w:val="es-ES_tradnl"/>
        </w:rPr>
        <w:tab/>
        <w:t>Algunas tecnologías en ondas decimétricas utilizan señales que pueden tener polarización horizontal, o cuya polarización puede variar dependiendo de la orientación momentánea de la antena transmisora (tales como en los sistemas celulares móviles), y puede ser interesante caracterizar el comportamiento del sistema de radiogoniometría frente a las señales transmitidas con polarización horizontal.</w:t>
      </w:r>
    </w:p>
    <w:p w:rsidR="00F97D17" w:rsidRPr="0063018E" w:rsidRDefault="00F97D17" w:rsidP="00151C75">
      <w:pPr>
        <w:rPr>
          <w:lang w:val="es-ES_tradnl"/>
        </w:rPr>
      </w:pPr>
      <w:r w:rsidRPr="0063018E">
        <w:rPr>
          <w:lang w:val="es-ES_tradnl"/>
        </w:rPr>
        <w:t>Por lo tanto, la mayoría de las pruebas de radiogoniometría se realizan generalmente con polarización vertical. Sin embargo, estas pruebas de radiogoniometría pueden efectuarse con señales transmitidas con polarización horizontal además de la polarización vertical. La polarización de las señales de prueba debe indicarse en el cuadro de datos de prueba.</w:t>
      </w:r>
    </w:p>
    <w:p w:rsidR="00F97D17" w:rsidRPr="0063018E" w:rsidRDefault="00F97D17" w:rsidP="00985DE2">
      <w:pPr>
        <w:rPr>
          <w:szCs w:val="24"/>
          <w:lang w:val="es-ES_tradnl"/>
        </w:rPr>
      </w:pPr>
      <w:r w:rsidRPr="0063018E">
        <w:rPr>
          <w:szCs w:val="24"/>
          <w:lang w:val="es-ES_tradnl"/>
        </w:rPr>
        <w:t>En el Cuadro 1 aparece un ejemplo de dicho cuadro de datos de prueba; esos cuadros se utilizan para cada una de las modulaciones analógicas y modulaciones digitales que se prueban.</w:t>
      </w:r>
    </w:p>
    <w:p w:rsidR="00F97D17" w:rsidRPr="00CC69B2" w:rsidRDefault="00F97D17" w:rsidP="00B874B3">
      <w:pPr>
        <w:pStyle w:val="TableNo"/>
        <w:keepLines/>
        <w:rPr>
          <w:rFonts w:eastAsia="MS Mincho"/>
          <w:lang w:val="es-ES_tradnl"/>
        </w:rPr>
      </w:pPr>
      <w:r w:rsidRPr="00CC69B2">
        <w:rPr>
          <w:rFonts w:eastAsia="MS Mincho"/>
          <w:lang w:val="es-ES_tradnl"/>
        </w:rPr>
        <w:lastRenderedPageBreak/>
        <w:t>CUADRO 1</w:t>
      </w:r>
    </w:p>
    <w:p w:rsidR="00F97D17" w:rsidRPr="00CC69B2" w:rsidRDefault="00F97D17" w:rsidP="00B874B3">
      <w:pPr>
        <w:pStyle w:val="Tabletitle"/>
        <w:keepLines/>
        <w:rPr>
          <w:rFonts w:eastAsia="MS Mincho"/>
          <w:lang w:val="es-ES_tradnl"/>
        </w:rPr>
      </w:pPr>
      <w:r w:rsidRPr="00CC69B2">
        <w:rPr>
          <w:rFonts w:eastAsia="MS Mincho"/>
          <w:lang w:val="es-ES_tradnl"/>
        </w:rPr>
        <w:t>Muestra de cuadro de datos de prueba</w:t>
      </w:r>
    </w:p>
    <w:p w:rsidR="00F97D17" w:rsidRPr="0063018E" w:rsidRDefault="00F97D17" w:rsidP="00B874B3">
      <w:pPr>
        <w:keepNext/>
        <w:keepLines/>
        <w:rPr>
          <w:sz w:val="16"/>
          <w:lang w:val="es-ES_tradnl"/>
        </w:rPr>
      </w:pPr>
    </w:p>
    <w:p w:rsidR="00F97D17" w:rsidRPr="00CC69B2" w:rsidRDefault="00F97D17" w:rsidP="00B874B3">
      <w:pPr>
        <w:keepNext/>
        <w:keepLines/>
        <w:jc w:val="center"/>
        <w:rPr>
          <w:sz w:val="22"/>
          <w:lang w:val="es-ES_tradnl"/>
        </w:rPr>
      </w:pPr>
      <w:r w:rsidRPr="00CC69B2">
        <w:rPr>
          <w:sz w:val="22"/>
          <w:lang w:val="es-ES_tradnl"/>
        </w:rPr>
        <w:t>Modulación de la señal _____________  Polarización de la señal _____________</w:t>
      </w:r>
    </w:p>
    <w:p w:rsidR="00F97D17" w:rsidRPr="0063018E" w:rsidRDefault="00F97D17" w:rsidP="00B874B3">
      <w:pPr>
        <w:keepNext/>
        <w:keepLines/>
        <w:rPr>
          <w:lang w:val="es-ES_tradnl"/>
        </w:rPr>
      </w:pPr>
    </w:p>
    <w:tbl>
      <w:tblPr>
        <w:tblW w:w="9639" w:type="dxa"/>
        <w:jc w:val="center"/>
        <w:tblLayout w:type="fixed"/>
        <w:tblLook w:val="0000" w:firstRow="0" w:lastRow="0" w:firstColumn="0" w:lastColumn="0" w:noHBand="0" w:noVBand="0"/>
      </w:tblPr>
      <w:tblGrid>
        <w:gridCol w:w="851"/>
        <w:gridCol w:w="1276"/>
        <w:gridCol w:w="567"/>
        <w:gridCol w:w="850"/>
        <w:gridCol w:w="567"/>
        <w:gridCol w:w="851"/>
        <w:gridCol w:w="567"/>
        <w:gridCol w:w="850"/>
        <w:gridCol w:w="537"/>
        <w:gridCol w:w="851"/>
        <w:gridCol w:w="397"/>
        <w:gridCol w:w="624"/>
        <w:gridCol w:w="851"/>
      </w:tblGrid>
      <w:tr w:rsidR="00F97D17" w:rsidRPr="00CC69B2" w:rsidTr="0054399F">
        <w:trPr>
          <w:trHeight w:val="315"/>
          <w:jc w:val="center"/>
        </w:trPr>
        <w:tc>
          <w:tcPr>
            <w:tcW w:w="851" w:type="dxa"/>
            <w:tcBorders>
              <w:bottom w:val="single" w:sz="4" w:space="0" w:color="auto"/>
              <w:right w:val="single" w:sz="4" w:space="0" w:color="auto"/>
            </w:tcBorders>
            <w:noWrap/>
            <w:vAlign w:val="bottom"/>
          </w:tcPr>
          <w:p w:rsidR="00F97D17" w:rsidRPr="0063018E" w:rsidRDefault="00F97D17" w:rsidP="0054399F">
            <w:pPr>
              <w:jc w:val="center"/>
              <w:rPr>
                <w:rFonts w:eastAsia="Arial Unicode MS"/>
                <w:sz w:val="22"/>
                <w:lang w:val="es-ES_tradnl"/>
              </w:rPr>
            </w:pPr>
          </w:p>
        </w:tc>
        <w:tc>
          <w:tcPr>
            <w:tcW w:w="1276"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t>Verdadero</w:t>
            </w:r>
          </w:p>
        </w:tc>
        <w:tc>
          <w:tcPr>
            <w:tcW w:w="1417" w:type="dxa"/>
            <w:gridSpan w:val="2"/>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t>Frecuencia 1</w:t>
            </w:r>
          </w:p>
        </w:tc>
        <w:tc>
          <w:tcPr>
            <w:tcW w:w="1418" w:type="dxa"/>
            <w:gridSpan w:val="2"/>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t>Frecuencia 2</w:t>
            </w:r>
          </w:p>
        </w:tc>
        <w:tc>
          <w:tcPr>
            <w:tcW w:w="1417" w:type="dxa"/>
            <w:gridSpan w:val="2"/>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t>Frecuencia 3</w:t>
            </w:r>
          </w:p>
        </w:tc>
        <w:tc>
          <w:tcPr>
            <w:tcW w:w="1388" w:type="dxa"/>
            <w:gridSpan w:val="2"/>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t>Frecuencia 4</w:t>
            </w:r>
          </w:p>
        </w:tc>
        <w:tc>
          <w:tcPr>
            <w:tcW w:w="397" w:type="dxa"/>
            <w:tcBorders>
              <w:top w:val="dashed" w:sz="4" w:space="0" w:color="auto"/>
              <w:left w:val="single" w:sz="4" w:space="0" w:color="auto"/>
              <w:bottom w:val="dashed" w:sz="4" w:space="0" w:color="auto"/>
              <w:right w:val="single" w:sz="4" w:space="0" w:color="auto"/>
            </w:tcBorders>
          </w:tcPr>
          <w:p w:rsidR="00F97D17" w:rsidRPr="00CC69B2" w:rsidRDefault="00F97D17" w:rsidP="0054399F">
            <w:pPr>
              <w:jc w:val="center"/>
              <w:rPr>
                <w:rFonts w:eastAsia="Arial Unicode MS"/>
                <w:sz w:val="22"/>
              </w:rPr>
            </w:pPr>
          </w:p>
        </w:tc>
        <w:tc>
          <w:tcPr>
            <w:tcW w:w="1475" w:type="dxa"/>
            <w:gridSpan w:val="2"/>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t>Frecuencia M</w:t>
            </w:r>
          </w:p>
        </w:tc>
      </w:tr>
      <w:tr w:rsidR="00F97D17" w:rsidRPr="00CC69B2" w:rsidTr="0054399F">
        <w:trPr>
          <w:trHeight w:val="31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r w:rsidRPr="00CC69B2">
              <w:rPr>
                <w:sz w:val="22"/>
              </w:rPr>
              <w:t>Índice</w:t>
            </w:r>
          </w:p>
        </w:tc>
        <w:tc>
          <w:tcPr>
            <w:tcW w:w="1276"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t>Acimut</w:t>
            </w:r>
          </w:p>
        </w:tc>
        <w:tc>
          <w:tcPr>
            <w:tcW w:w="567"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t>RG</w:t>
            </w:r>
          </w:p>
        </w:tc>
        <w:tc>
          <w:tcPr>
            <w:tcW w:w="850"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sym w:font="Symbol" w:char="F044"/>
            </w:r>
          </w:p>
        </w:tc>
        <w:tc>
          <w:tcPr>
            <w:tcW w:w="567"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t>RG</w:t>
            </w:r>
          </w:p>
        </w:tc>
        <w:tc>
          <w:tcPr>
            <w:tcW w:w="851"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sym w:font="Symbol" w:char="F044"/>
            </w:r>
          </w:p>
        </w:tc>
        <w:tc>
          <w:tcPr>
            <w:tcW w:w="567"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t>RG</w:t>
            </w:r>
          </w:p>
        </w:tc>
        <w:tc>
          <w:tcPr>
            <w:tcW w:w="850"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sym w:font="Symbol" w:char="F044"/>
            </w:r>
          </w:p>
        </w:tc>
        <w:tc>
          <w:tcPr>
            <w:tcW w:w="537"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rFonts w:eastAsia="Arial Unicode MS"/>
                <w:sz w:val="22"/>
              </w:rPr>
              <w:t>RG</w:t>
            </w:r>
          </w:p>
        </w:tc>
        <w:tc>
          <w:tcPr>
            <w:tcW w:w="851"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sym w:font="Symbol" w:char="F044"/>
            </w:r>
          </w:p>
        </w:tc>
        <w:tc>
          <w:tcPr>
            <w:tcW w:w="397" w:type="dxa"/>
            <w:tcBorders>
              <w:top w:val="dashed" w:sz="4" w:space="0" w:color="auto"/>
              <w:left w:val="single" w:sz="4" w:space="0" w:color="auto"/>
              <w:bottom w:val="dashed" w:sz="4" w:space="0" w:color="auto"/>
              <w:right w:val="single" w:sz="4" w:space="0" w:color="auto"/>
            </w:tcBorders>
          </w:tcPr>
          <w:p w:rsidR="00F97D17" w:rsidRPr="00CC69B2" w:rsidRDefault="00F97D17" w:rsidP="0054399F">
            <w:pPr>
              <w:jc w:val="center"/>
              <w:rPr>
                <w:rFonts w:eastAsia="Arial Unicode MS"/>
                <w:sz w:val="22"/>
              </w:rPr>
            </w:pPr>
          </w:p>
        </w:tc>
        <w:tc>
          <w:tcPr>
            <w:tcW w:w="624"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t>RG</w:t>
            </w:r>
          </w:p>
        </w:tc>
        <w:tc>
          <w:tcPr>
            <w:tcW w:w="851" w:type="dxa"/>
            <w:tcBorders>
              <w:top w:val="single" w:sz="4" w:space="0" w:color="auto"/>
              <w:left w:val="single" w:sz="4" w:space="0" w:color="auto"/>
              <w:bottom w:val="single" w:sz="4" w:space="0" w:color="auto"/>
              <w:right w:val="single" w:sz="4" w:space="0" w:color="auto"/>
            </w:tcBorders>
          </w:tcPr>
          <w:p w:rsidR="00F97D17" w:rsidRPr="00CC69B2" w:rsidRDefault="00F97D17" w:rsidP="0054399F">
            <w:pPr>
              <w:jc w:val="center"/>
              <w:rPr>
                <w:rFonts w:eastAsia="Arial Unicode MS"/>
                <w:sz w:val="22"/>
              </w:rPr>
            </w:pPr>
            <w:r w:rsidRPr="00CC69B2">
              <w:rPr>
                <w:sz w:val="22"/>
              </w:rPr>
              <w:sym w:font="Symbol" w:char="F044"/>
            </w:r>
          </w:p>
        </w:tc>
      </w:tr>
      <w:tr w:rsidR="00F97D17" w:rsidRPr="00CC69B2" w:rsidTr="0054399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r w:rsidRPr="00CC69B2">
              <w:rPr>
                <w:sz w:val="22"/>
              </w:rPr>
              <w:t>1</w:t>
            </w:r>
          </w:p>
        </w:tc>
        <w:tc>
          <w:tcPr>
            <w:tcW w:w="1276"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r w:rsidRPr="00CC69B2">
              <w:rPr>
                <w:sz w:val="22"/>
              </w:rPr>
              <w:t>1°</w:t>
            </w: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3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397" w:type="dxa"/>
            <w:tcBorders>
              <w:top w:val="dashed" w:sz="4" w:space="0" w:color="auto"/>
              <w:left w:val="single" w:sz="4" w:space="0" w:color="auto"/>
              <w:bottom w:val="dashed"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624"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r>
      <w:tr w:rsidR="00F97D17" w:rsidRPr="00CC69B2" w:rsidTr="0054399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r w:rsidRPr="00CC69B2">
              <w:rPr>
                <w:sz w:val="22"/>
              </w:rPr>
              <w:t>2</w:t>
            </w:r>
          </w:p>
        </w:tc>
        <w:tc>
          <w:tcPr>
            <w:tcW w:w="1276"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r w:rsidRPr="00CC69B2">
              <w:rPr>
                <w:sz w:val="22"/>
              </w:rPr>
              <w:t>8°</w:t>
            </w: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3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397" w:type="dxa"/>
            <w:tcBorders>
              <w:top w:val="dashed" w:sz="4" w:space="0" w:color="auto"/>
              <w:left w:val="single" w:sz="4" w:space="0" w:color="auto"/>
              <w:bottom w:val="dashed"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624"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r>
      <w:tr w:rsidR="00F97D17" w:rsidRPr="00CC69B2" w:rsidTr="0054399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r w:rsidRPr="00CC69B2">
              <w:rPr>
                <w:sz w:val="22"/>
              </w:rPr>
              <w:t>3</w:t>
            </w:r>
          </w:p>
        </w:tc>
        <w:tc>
          <w:tcPr>
            <w:tcW w:w="1276"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r w:rsidRPr="00CC69B2">
              <w:rPr>
                <w:sz w:val="22"/>
              </w:rPr>
              <w:t>14°</w:t>
            </w: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3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397" w:type="dxa"/>
            <w:tcBorders>
              <w:top w:val="dashed" w:sz="4" w:space="0" w:color="auto"/>
              <w:left w:val="single" w:sz="4" w:space="0" w:color="auto"/>
              <w:bottom w:val="dashed"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624"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r>
      <w:tr w:rsidR="00F97D17" w:rsidRPr="00CC69B2" w:rsidTr="0054399F">
        <w:trPr>
          <w:trHeight w:val="255"/>
          <w:jc w:val="center"/>
        </w:trPr>
        <w:tc>
          <w:tcPr>
            <w:tcW w:w="851"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1276"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567"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850"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567"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567"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850"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537"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397" w:type="dxa"/>
            <w:tcBorders>
              <w:top w:val="dashed" w:sz="4" w:space="0" w:color="auto"/>
              <w:left w:val="dashed" w:sz="4" w:space="0" w:color="auto"/>
              <w:bottom w:val="dashed"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624"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dashed" w:sz="4" w:space="0" w:color="auto"/>
              <w:bottom w:val="single" w:sz="4" w:space="0" w:color="auto"/>
              <w:right w:val="dashed" w:sz="4" w:space="0" w:color="auto"/>
            </w:tcBorders>
            <w:noWrap/>
            <w:vAlign w:val="bottom"/>
          </w:tcPr>
          <w:p w:rsidR="00F97D17" w:rsidRPr="00CC69B2" w:rsidRDefault="00F97D17" w:rsidP="0054399F">
            <w:pPr>
              <w:jc w:val="center"/>
              <w:rPr>
                <w:rFonts w:eastAsia="Arial Unicode MS"/>
                <w:sz w:val="22"/>
              </w:rPr>
            </w:pPr>
          </w:p>
        </w:tc>
      </w:tr>
      <w:tr w:rsidR="00F97D17" w:rsidRPr="00CC69B2" w:rsidTr="0054399F">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r w:rsidRPr="00CC69B2">
              <w:rPr>
                <w:rFonts w:eastAsia="Arial Unicode MS"/>
                <w:sz w:val="22"/>
              </w:rPr>
              <w:t>36</w:t>
            </w:r>
          </w:p>
        </w:tc>
        <w:tc>
          <w:tcPr>
            <w:tcW w:w="1276"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r w:rsidRPr="00CC69B2">
              <w:rPr>
                <w:sz w:val="22"/>
              </w:rPr>
              <w:t>354°</w:t>
            </w: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537"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397" w:type="dxa"/>
            <w:tcBorders>
              <w:top w:val="dashed" w:sz="4" w:space="0" w:color="auto"/>
              <w:left w:val="single" w:sz="4" w:space="0" w:color="auto"/>
              <w:bottom w:val="dashed"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624"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F97D17" w:rsidRPr="00CC69B2" w:rsidRDefault="00F97D17" w:rsidP="0054399F">
            <w:pPr>
              <w:jc w:val="center"/>
              <w:rPr>
                <w:rFonts w:eastAsia="Arial Unicode MS"/>
                <w:sz w:val="22"/>
              </w:rPr>
            </w:pPr>
          </w:p>
        </w:tc>
      </w:tr>
    </w:tbl>
    <w:p w:rsidR="00F97D17" w:rsidRPr="00CC69B2" w:rsidRDefault="00F97D17" w:rsidP="0054399F">
      <w:pPr>
        <w:pStyle w:val="Tablefin"/>
      </w:pPr>
    </w:p>
    <w:p w:rsidR="00F97D17" w:rsidRPr="0063018E" w:rsidRDefault="00F97D17" w:rsidP="00985DE2">
      <w:pPr>
        <w:rPr>
          <w:lang w:val="es-ES_tradnl"/>
        </w:rPr>
      </w:pPr>
      <w:r w:rsidRPr="0063018E">
        <w:rPr>
          <w:lang w:val="es-ES_tradnl"/>
        </w:rPr>
        <w:t xml:space="preserve">En el </w:t>
      </w:r>
      <w:r>
        <w:rPr>
          <w:lang w:val="es-ES_tradnl"/>
        </w:rPr>
        <w:t>Cuadro</w:t>
      </w:r>
      <w:r w:rsidRPr="0063018E">
        <w:rPr>
          <w:lang w:val="es-ES_tradnl"/>
        </w:rPr>
        <w:t xml:space="preserve">, RG (radiogoniometría) se refiere al acimut medido y </w:t>
      </w:r>
      <w:r w:rsidRPr="00CC69B2">
        <w:sym w:font="Symbol" w:char="F044"/>
      </w:r>
      <w:r w:rsidRPr="0063018E">
        <w:rPr>
          <w:lang w:val="es-ES_tradnl"/>
        </w:rPr>
        <w:t xml:space="preserve"> es la diferencia entre el acimut medido y el verdadero.</w:t>
      </w:r>
    </w:p>
    <w:p w:rsidR="00F97D17" w:rsidRPr="0063018E" w:rsidRDefault="00F97D17" w:rsidP="00985DE2">
      <w:pPr>
        <w:rPr>
          <w:lang w:val="es-ES_tradnl"/>
        </w:rPr>
      </w:pPr>
      <w:r w:rsidRPr="0063018E">
        <w:rPr>
          <w:lang w:val="es-ES_tradnl"/>
        </w:rPr>
        <w:t>Para llevar a cabo las pruebas, el vehículo debe dirigirse al primer emplazamiento. Debe utilizarse el sistema mundial de determinación de la posición a fin de calcular el emplazamiento preciso a partir del cual se determina la marcación entre el sistema de radiogoniometría y el sistema de prueba. A continuación, debe introducirse el acimut en todos los cuadros de datos para las distintas modulaciones y deben realizarse las pruebas para las diferentes frecuencias y modulaciones, registrándose los datos en los cuadros de datos. Una vez completadas todas las mediciones en un emplazamiento, el vehículo debe desplazarse a otro emplazamiento que es un incremento aleatorizado aproximadamente 10 dB mayor que la marcación anterior y debe repetirse el procedimiento de medición. Este procedimiento debe reiterarse hasta que se hayan efectuado las mediciones de todos los acimutes necesarios.</w:t>
      </w:r>
    </w:p>
    <w:p w:rsidR="00F97D17" w:rsidRPr="0063018E" w:rsidRDefault="00F97D17" w:rsidP="00985DE2">
      <w:pPr>
        <w:rPr>
          <w:lang w:val="es-ES_tradnl"/>
        </w:rPr>
      </w:pPr>
      <w:r w:rsidRPr="0063018E">
        <w:rPr>
          <w:lang w:val="es-ES_tradnl"/>
        </w:rPr>
        <w:t>El valor eficaz o cuadrático medio del error de marcación se calcula como sigue:</w:t>
      </w:r>
    </w:p>
    <w:p w:rsidR="0054399F" w:rsidRPr="00B874B3" w:rsidRDefault="0054399F" w:rsidP="0054399F">
      <w:pPr>
        <w:pStyle w:val="Blanc"/>
        <w:rPr>
          <w:lang w:val="es-ES_tradnl"/>
        </w:rPr>
      </w:pPr>
    </w:p>
    <w:p w:rsidR="00F97D17" w:rsidRPr="00CC69B2" w:rsidRDefault="00F97D17" w:rsidP="0054399F">
      <w:pPr>
        <w:pStyle w:val="Equation"/>
      </w:pPr>
      <w:r w:rsidRPr="00CC69B2">
        <w:rPr>
          <w:lang w:val="es-ES_tradnl"/>
        </w:rPr>
        <w:tab/>
      </w:r>
      <w:r w:rsidRPr="00CC69B2">
        <w:rPr>
          <w:lang w:val="es-ES_tradnl"/>
        </w:rPr>
        <w:tab/>
      </w:r>
      <w:r w:rsidR="0054399F" w:rsidRPr="0054399F">
        <w:rPr>
          <w:position w:val="-34"/>
        </w:rPr>
        <w:object w:dxaOrig="1840" w:dyaOrig="840">
          <v:shape id="_x0000_i1045" type="#_x0000_t75" style="width:91.5pt;height:42.75pt" o:ole="">
            <v:imagedata r:id="rId55" o:title=""/>
          </v:shape>
          <o:OLEObject Type="Embed" ProgID="Equation.3" ShapeID="_x0000_i1045" DrawAspect="Content" ObjectID="_1413614815" r:id="rId56"/>
        </w:object>
      </w:r>
    </w:p>
    <w:p w:rsidR="0054399F" w:rsidRDefault="0054399F" w:rsidP="0054399F">
      <w:pPr>
        <w:pStyle w:val="Blanc"/>
      </w:pPr>
    </w:p>
    <w:p w:rsidR="00F97D17" w:rsidRPr="0063018E" w:rsidRDefault="00F97D17" w:rsidP="00985DE2">
      <w:pPr>
        <w:rPr>
          <w:lang w:val="es-ES_tradnl"/>
        </w:rPr>
      </w:pPr>
      <w:r w:rsidRPr="0063018E">
        <w:rPr>
          <w:lang w:val="es-ES_tradnl"/>
        </w:rPr>
        <w:t>siendo:</w:t>
      </w:r>
    </w:p>
    <w:p w:rsidR="00F97D17" w:rsidRPr="0054399F" w:rsidRDefault="0054399F" w:rsidP="0054399F">
      <w:pPr>
        <w:pStyle w:val="Equationlegend"/>
        <w:rPr>
          <w:lang w:val="es-ES_tradnl"/>
        </w:rPr>
      </w:pPr>
      <w:r w:rsidRPr="00B874B3">
        <w:rPr>
          <w:i/>
          <w:iCs/>
          <w:lang w:val="es-ES_tradnl"/>
        </w:rPr>
        <w:tab/>
      </w:r>
      <w:r w:rsidRPr="00B874B3">
        <w:rPr>
          <w:i/>
          <w:iCs/>
          <w:lang w:val="es-ES_tradnl"/>
        </w:rPr>
        <w:tab/>
      </w:r>
      <w:r w:rsidR="00F97D17" w:rsidRPr="0054399F">
        <w:rPr>
          <w:i/>
          <w:iCs/>
          <w:lang w:val="es-ES_tradnl"/>
        </w:rPr>
        <w:t>N</w:t>
      </w:r>
      <w:r w:rsidRPr="0054399F">
        <w:rPr>
          <w:i/>
          <w:iCs/>
          <w:lang w:val="es-ES_tradnl"/>
        </w:rPr>
        <w:t xml:space="preserve"> </w:t>
      </w:r>
      <w:r w:rsidR="00F97D17" w:rsidRPr="0054399F">
        <w:rPr>
          <w:lang w:val="es-ES_tradnl"/>
        </w:rPr>
        <w:t>:</w:t>
      </w:r>
      <w:r w:rsidR="00F97D17" w:rsidRPr="0054399F">
        <w:rPr>
          <w:lang w:val="es-ES_tradnl"/>
        </w:rPr>
        <w:tab/>
        <w:t>cómputo de la medición.</w:t>
      </w:r>
    </w:p>
    <w:p w:rsidR="00F97D17" w:rsidRPr="00CC69B2" w:rsidRDefault="00F97D17" w:rsidP="0054399F">
      <w:r w:rsidRPr="0063018E">
        <w:rPr>
          <w:lang w:val="es-ES_tradnl"/>
        </w:rPr>
        <w:t xml:space="preserve">Durante la revisión internacional de este proyecto, deben considerarse alternativas al cálculo del error cuadrático medio. Por ejemplo, puede considerarse una función distribución acumulativa del error donde se determine el porcentaje de mediciones totales que caen dentro de un cierto error de acimut. </w:t>
      </w:r>
      <w:r w:rsidRPr="00CC69B2">
        <w:t>Como ejemplo, para un sistema determinado se puede determinar: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82"/>
        <w:gridCol w:w="4082"/>
      </w:tblGrid>
      <w:tr w:rsidR="00F97D17" w:rsidRPr="00CC69B2" w:rsidTr="00D35C21">
        <w:trPr>
          <w:jc w:val="center"/>
        </w:trPr>
        <w:tc>
          <w:tcPr>
            <w:tcW w:w="4082" w:type="dxa"/>
          </w:tcPr>
          <w:p w:rsidR="00F97D17" w:rsidRPr="00CC69B2" w:rsidRDefault="00F97D17" w:rsidP="0054399F">
            <w:pPr>
              <w:jc w:val="center"/>
            </w:pPr>
            <w:r w:rsidRPr="00CC69B2">
              <w:rPr>
                <w:i/>
                <w:lang w:val="es-ES_tradnl"/>
              </w:rPr>
              <w:t>Porcentaje de mediciones</w:t>
            </w:r>
          </w:p>
        </w:tc>
        <w:tc>
          <w:tcPr>
            <w:tcW w:w="4082" w:type="dxa"/>
          </w:tcPr>
          <w:p w:rsidR="00F97D17" w:rsidRPr="00CC69B2" w:rsidRDefault="00F97D17" w:rsidP="0054399F">
            <w:pPr>
              <w:jc w:val="center"/>
            </w:pPr>
            <w:r w:rsidRPr="00CC69B2">
              <w:rPr>
                <w:i/>
                <w:lang w:val="es-ES_tradnl"/>
              </w:rPr>
              <w:t>Error en acimut</w:t>
            </w:r>
          </w:p>
        </w:tc>
      </w:tr>
      <w:tr w:rsidR="00F97D17" w:rsidRPr="00CC69B2" w:rsidTr="00D35C21">
        <w:trPr>
          <w:jc w:val="center"/>
        </w:trPr>
        <w:tc>
          <w:tcPr>
            <w:tcW w:w="4082" w:type="dxa"/>
          </w:tcPr>
          <w:p w:rsidR="00F97D17" w:rsidRPr="00CC69B2" w:rsidRDefault="00F97D17" w:rsidP="0054399F">
            <w:pPr>
              <w:jc w:val="center"/>
            </w:pPr>
            <w:r w:rsidRPr="00CC69B2">
              <w:rPr>
                <w:lang w:val="es-ES_tradnl"/>
              </w:rPr>
              <w:t>50%</w:t>
            </w:r>
          </w:p>
        </w:tc>
        <w:tc>
          <w:tcPr>
            <w:tcW w:w="4082" w:type="dxa"/>
          </w:tcPr>
          <w:p w:rsidR="00F97D17" w:rsidRPr="00CC69B2" w:rsidRDefault="00F97D17" w:rsidP="0054399F">
            <w:pPr>
              <w:jc w:val="center"/>
            </w:pPr>
            <w:r w:rsidRPr="00CC69B2">
              <w:rPr>
                <w:lang w:val="es-ES_tradnl"/>
              </w:rPr>
              <w:t>&lt; 0,1°</w:t>
            </w:r>
          </w:p>
        </w:tc>
      </w:tr>
      <w:tr w:rsidR="00F97D17" w:rsidRPr="00CC69B2" w:rsidTr="00D35C21">
        <w:trPr>
          <w:jc w:val="center"/>
        </w:trPr>
        <w:tc>
          <w:tcPr>
            <w:tcW w:w="4082" w:type="dxa"/>
          </w:tcPr>
          <w:p w:rsidR="00F97D17" w:rsidRPr="00CC69B2" w:rsidRDefault="00F97D17" w:rsidP="0054399F">
            <w:pPr>
              <w:jc w:val="center"/>
              <w:rPr>
                <w:lang w:val="es-ES_tradnl"/>
              </w:rPr>
            </w:pPr>
            <w:r w:rsidRPr="00CC69B2">
              <w:rPr>
                <w:lang w:val="es-ES_tradnl"/>
              </w:rPr>
              <w:t>67%</w:t>
            </w:r>
          </w:p>
        </w:tc>
        <w:tc>
          <w:tcPr>
            <w:tcW w:w="4082" w:type="dxa"/>
          </w:tcPr>
          <w:p w:rsidR="00F97D17" w:rsidRPr="00CC69B2" w:rsidRDefault="00F97D17" w:rsidP="0054399F">
            <w:pPr>
              <w:jc w:val="center"/>
            </w:pPr>
            <w:r w:rsidRPr="00CC69B2">
              <w:rPr>
                <w:lang w:val="es-ES_tradnl"/>
              </w:rPr>
              <w:t>&lt; 1,7°</w:t>
            </w:r>
          </w:p>
        </w:tc>
      </w:tr>
      <w:tr w:rsidR="00F97D17" w:rsidRPr="00CC69B2" w:rsidTr="00D35C21">
        <w:trPr>
          <w:jc w:val="center"/>
        </w:trPr>
        <w:tc>
          <w:tcPr>
            <w:tcW w:w="4082" w:type="dxa"/>
          </w:tcPr>
          <w:p w:rsidR="00F97D17" w:rsidRPr="00CC69B2" w:rsidRDefault="00F97D17" w:rsidP="0054399F">
            <w:pPr>
              <w:jc w:val="center"/>
              <w:rPr>
                <w:lang w:val="es-ES_tradnl"/>
              </w:rPr>
            </w:pPr>
            <w:r w:rsidRPr="00CC69B2">
              <w:rPr>
                <w:lang w:val="es-ES_tradnl"/>
              </w:rPr>
              <w:t>90%</w:t>
            </w:r>
          </w:p>
        </w:tc>
        <w:tc>
          <w:tcPr>
            <w:tcW w:w="4082" w:type="dxa"/>
          </w:tcPr>
          <w:p w:rsidR="00F97D17" w:rsidRPr="00CC69B2" w:rsidRDefault="00F97D17" w:rsidP="0054399F">
            <w:pPr>
              <w:jc w:val="center"/>
              <w:rPr>
                <w:lang w:val="es-ES_tradnl"/>
              </w:rPr>
            </w:pPr>
            <w:r w:rsidRPr="00CC69B2">
              <w:rPr>
                <w:lang w:val="es-ES_tradnl"/>
              </w:rPr>
              <w:t>&lt; 5,5°</w:t>
            </w:r>
          </w:p>
        </w:tc>
      </w:tr>
    </w:tbl>
    <w:p w:rsidR="00F97D17" w:rsidRPr="0063018E" w:rsidRDefault="00F97D17" w:rsidP="00985DE2">
      <w:pPr>
        <w:rPr>
          <w:lang w:val="es-ES_tradnl"/>
        </w:rPr>
      </w:pPr>
      <w:r w:rsidRPr="0063018E">
        <w:rPr>
          <w:lang w:val="es-ES_tradnl"/>
        </w:rPr>
        <w:t>Utilizando el percentil del 90% como referencia en este caso, se obtendría para este sistema una especificación de error &lt; 5,5°.</w:t>
      </w:r>
    </w:p>
    <w:p w:rsidR="00F97D17" w:rsidRPr="0063018E" w:rsidRDefault="00F97D17" w:rsidP="00985DE2">
      <w:pPr>
        <w:rPr>
          <w:lang w:val="es-ES_tradnl"/>
        </w:rPr>
      </w:pPr>
      <w:r w:rsidRPr="0063018E">
        <w:rPr>
          <w:lang w:val="es-ES_tradnl"/>
        </w:rPr>
        <w:lastRenderedPageBreak/>
        <w:t>Con objeto de garantizar la fiabilidad de los resultados deben observarse los siguientes requisitos:</w:t>
      </w:r>
    </w:p>
    <w:p w:rsidR="00F97D17" w:rsidRPr="00CC69B2" w:rsidRDefault="00F97D17" w:rsidP="0054399F">
      <w:pPr>
        <w:pStyle w:val="enumlev1"/>
        <w:rPr>
          <w:lang w:val="es-ES_tradnl"/>
        </w:rPr>
      </w:pPr>
      <w:r w:rsidRPr="00CC69B2">
        <w:rPr>
          <w:lang w:val="es-ES_tradnl"/>
        </w:rPr>
        <w:t>a)</w:t>
      </w:r>
      <w:r w:rsidRPr="00CC69B2">
        <w:rPr>
          <w:lang w:val="es-ES_tradnl"/>
        </w:rPr>
        <w:tab/>
        <w:t>El acimut del transmisor en relación con la estación de radiogoniometría (acimut verdadero) debe establecerse con una precisión de al menos 0,1º de valor eficaz o una décima de la precisión de radiogoniometría estimada, tomando entre ambos valores el más restrictivo, y considerando un nivel de confianza del 95,45%.</w:t>
      </w:r>
    </w:p>
    <w:p w:rsidR="00F97D17" w:rsidRPr="00CC69B2" w:rsidRDefault="00F97D17" w:rsidP="0054399F">
      <w:pPr>
        <w:pStyle w:val="enumlev1"/>
        <w:rPr>
          <w:lang w:val="es-ES_tradnl"/>
        </w:rPr>
      </w:pPr>
      <w:r w:rsidRPr="00CC69B2">
        <w:rPr>
          <w:lang w:val="es-ES_tradnl"/>
        </w:rPr>
        <w:t>b)</w:t>
      </w:r>
      <w:r w:rsidRPr="00CC69B2">
        <w:rPr>
          <w:lang w:val="es-ES_tradnl"/>
        </w:rPr>
        <w:tab/>
        <w:t>Hasta el 10% de emplazamiento en la zona de cobertura (ángulos de acimut) pueden descartarse para tener en cuenta los problemas de ubicación y cobertura y otros problemas operacionales, siempre que se establezca un proceso o procedimiento adecuado para descartar dichos datos.</w:t>
      </w:r>
    </w:p>
    <w:p w:rsidR="00F97D17" w:rsidRPr="00CC69B2" w:rsidRDefault="00F97D17" w:rsidP="0054399F">
      <w:pPr>
        <w:pStyle w:val="enumlev1"/>
        <w:rPr>
          <w:lang w:val="es-ES_tradnl"/>
        </w:rPr>
      </w:pPr>
      <w:r w:rsidRPr="00CC69B2">
        <w:rPr>
          <w:lang w:val="es-ES_tradnl"/>
        </w:rPr>
        <w:t>c)</w:t>
      </w:r>
      <w:r w:rsidRPr="00CC69B2">
        <w:rPr>
          <w:lang w:val="es-ES_tradnl"/>
        </w:rPr>
        <w:tab/>
        <w:t>La precisión declarada del sistema de radiogoniometría debe ser el valor eficaz calculado de todos los puntos de datos distintos de los descartados.</w:t>
      </w:r>
    </w:p>
    <w:p w:rsidR="00F97D17" w:rsidRPr="0063018E" w:rsidRDefault="00F97D17" w:rsidP="00985DE2">
      <w:pPr>
        <w:rPr>
          <w:lang w:val="es-ES_tradnl"/>
        </w:rPr>
      </w:pPr>
      <w:r w:rsidRPr="0063018E">
        <w:rPr>
          <w:lang w:val="es-ES_tradnl"/>
        </w:rPr>
        <w:t>Considerando, por ejemplo, un sistema de radiogoniometría que funcione con dos conjuntos de antenas, pueden definirse los siguientes puntos de prueba como una prueba mínima coherente con esta norma:</w:t>
      </w:r>
    </w:p>
    <w:p w:rsidR="00F97D17" w:rsidRPr="00CC69B2" w:rsidRDefault="00F97D17" w:rsidP="0054399F">
      <w:pPr>
        <w:pStyle w:val="enumlev1"/>
        <w:rPr>
          <w:lang w:val="es-ES_tradnl"/>
        </w:rPr>
      </w:pPr>
      <w:r w:rsidRPr="00CC69B2">
        <w:rPr>
          <w:lang w:val="es-ES_tradnl"/>
        </w:rPr>
        <w:t>a)</w:t>
      </w:r>
      <w:r w:rsidRPr="00CC69B2">
        <w:rPr>
          <w:lang w:val="es-ES_tradnl"/>
        </w:rPr>
        <w:tab/>
        <w:t>Antena en la gama de 80 MHz a 1 300 MHz</w:t>
      </w:r>
    </w:p>
    <w:p w:rsidR="00F97D17" w:rsidRPr="00CC69B2" w:rsidRDefault="00F97D17" w:rsidP="008620FD">
      <w:pPr>
        <w:pStyle w:val="enumlev2"/>
        <w:rPr>
          <w:lang w:val="es-ES_tradnl"/>
        </w:rPr>
      </w:pPr>
      <w:r w:rsidRPr="00CC69B2">
        <w:rPr>
          <w:lang w:val="es-ES_tradnl"/>
        </w:rPr>
        <w:t>–</w:t>
      </w:r>
      <w:r w:rsidRPr="00CC69B2">
        <w:rPr>
          <w:lang w:val="es-ES_tradnl"/>
        </w:rPr>
        <w:tab/>
        <w:t>36 puntos de acimut bien distribuidos en 360º</w:t>
      </w:r>
      <w:r w:rsidR="005369BC">
        <w:rPr>
          <w:lang w:val="es-ES_tradnl"/>
        </w:rPr>
        <w:t>.</w:t>
      </w:r>
    </w:p>
    <w:p w:rsidR="00F97D17" w:rsidRPr="00CC69B2" w:rsidRDefault="00F97D17" w:rsidP="008620FD">
      <w:pPr>
        <w:pStyle w:val="enumlev2"/>
        <w:rPr>
          <w:lang w:val="es-ES_tradnl"/>
        </w:rPr>
      </w:pPr>
      <w:r w:rsidRPr="00CC69B2">
        <w:rPr>
          <w:lang w:val="es-ES_tradnl"/>
        </w:rPr>
        <w:t>–</w:t>
      </w:r>
      <w:r w:rsidRPr="00CC69B2">
        <w:rPr>
          <w:lang w:val="es-ES_tradnl"/>
        </w:rPr>
        <w:tab/>
        <w:t>13 puntos de frecuencia, 2 puntos en la primera década de la gama operacional (80 MHz y 90 MHz), 9 puntos en la segunda década (de 100 MHz a 900 MHz) más 2 puntos para completar la gama en la tercera década (1 000 MHz y 1 300 MHz)</w:t>
      </w:r>
      <w:r w:rsidR="005369BC">
        <w:rPr>
          <w:lang w:val="es-ES_tradnl"/>
        </w:rPr>
        <w:t>.</w:t>
      </w:r>
    </w:p>
    <w:p w:rsidR="00F97D17" w:rsidRPr="00CC69B2" w:rsidRDefault="00F97D17" w:rsidP="005369BC">
      <w:pPr>
        <w:pStyle w:val="enumlev2"/>
        <w:rPr>
          <w:lang w:val="es-ES_tradnl"/>
        </w:rPr>
      </w:pPr>
      <w:r w:rsidRPr="00CC69B2">
        <w:rPr>
          <w:lang w:val="es-ES_tradnl"/>
        </w:rPr>
        <w:t>–</w:t>
      </w:r>
      <w:r w:rsidRPr="00CC69B2">
        <w:rPr>
          <w:lang w:val="es-ES_tradnl"/>
        </w:rPr>
        <w:tab/>
      </w:r>
      <w:r w:rsidR="005369BC" w:rsidRPr="00CC69B2">
        <w:rPr>
          <w:lang w:val="es-ES_tradnl"/>
        </w:rPr>
        <w:t xml:space="preserve">Un </w:t>
      </w:r>
      <w:r w:rsidRPr="00CC69B2">
        <w:rPr>
          <w:lang w:val="es-ES_tradnl"/>
        </w:rPr>
        <w:t xml:space="preserve">total de </w:t>
      </w:r>
      <w:r w:rsidRPr="00CC69B2">
        <w:rPr>
          <w:i/>
          <w:iCs/>
          <w:lang w:val="es-ES_tradnl"/>
        </w:rPr>
        <w:t>N</w:t>
      </w:r>
      <w:r w:rsidR="005369BC" w:rsidRPr="005369BC">
        <w:rPr>
          <w:lang w:val="es-ES_tradnl"/>
        </w:rPr>
        <w:t xml:space="preserve"> </w:t>
      </w:r>
      <w:r w:rsidRPr="00CC69B2">
        <w:rPr>
          <w:lang w:val="es-ES_tradnl"/>
        </w:rPr>
        <w:t>=</w:t>
      </w:r>
      <w:r w:rsidR="005369BC" w:rsidRPr="005369BC">
        <w:rPr>
          <w:lang w:val="es-ES_tradnl"/>
        </w:rPr>
        <w:t xml:space="preserve"> </w:t>
      </w:r>
      <w:r w:rsidRPr="00CC69B2">
        <w:rPr>
          <w:lang w:val="es-ES_tradnl"/>
        </w:rPr>
        <w:t>36</w:t>
      </w:r>
      <w:r w:rsidR="005369BC">
        <w:rPr>
          <w:lang w:val="es-ES_tradnl"/>
        </w:rPr>
        <w:t xml:space="preserve"> </w:t>
      </w:r>
      <w:r w:rsidRPr="00CC69B2">
        <w:sym w:font="Symbol" w:char="F0B4"/>
      </w:r>
      <w:r w:rsidR="005369BC">
        <w:rPr>
          <w:lang w:val="es-ES_tradnl"/>
        </w:rPr>
        <w:t xml:space="preserve"> </w:t>
      </w:r>
      <w:r w:rsidRPr="00CC69B2">
        <w:rPr>
          <w:lang w:val="es-ES_tradnl"/>
        </w:rPr>
        <w:t>13</w:t>
      </w:r>
      <w:r w:rsidR="005369BC">
        <w:rPr>
          <w:lang w:val="es-ES_tradnl"/>
        </w:rPr>
        <w:t xml:space="preserve"> </w:t>
      </w:r>
      <w:r w:rsidRPr="00CC69B2">
        <w:rPr>
          <w:lang w:val="es-ES_tradnl"/>
        </w:rPr>
        <w:t>=</w:t>
      </w:r>
      <w:r w:rsidR="005369BC" w:rsidRPr="005369BC">
        <w:rPr>
          <w:lang w:val="es-ES_tradnl"/>
        </w:rPr>
        <w:t xml:space="preserve"> </w:t>
      </w:r>
      <w:r w:rsidRPr="00CC69B2">
        <w:rPr>
          <w:lang w:val="es-ES_tradnl"/>
        </w:rPr>
        <w:t>468 puntos de prueba para cada una de las diversas modulaciones analógicas y digitales.</w:t>
      </w:r>
    </w:p>
    <w:p w:rsidR="00F97D17" w:rsidRPr="00CC69B2" w:rsidRDefault="00F97D17" w:rsidP="0054399F">
      <w:pPr>
        <w:pStyle w:val="enumlev1"/>
        <w:rPr>
          <w:lang w:val="es-ES_tradnl"/>
        </w:rPr>
      </w:pPr>
      <w:r w:rsidRPr="00CC69B2">
        <w:rPr>
          <w:lang w:val="es-ES_tradnl"/>
        </w:rPr>
        <w:t>b)</w:t>
      </w:r>
      <w:r w:rsidRPr="00CC69B2">
        <w:rPr>
          <w:lang w:val="es-ES_tradnl"/>
        </w:rPr>
        <w:tab/>
        <w:t>Antena en la gama de 1 300 MHz a 3 000 MHz</w:t>
      </w:r>
    </w:p>
    <w:p w:rsidR="00F97D17" w:rsidRPr="00CC69B2" w:rsidRDefault="00F97D17" w:rsidP="008620FD">
      <w:pPr>
        <w:pStyle w:val="enumlev2"/>
        <w:rPr>
          <w:lang w:val="es-ES_tradnl"/>
        </w:rPr>
      </w:pPr>
      <w:r w:rsidRPr="00CC69B2">
        <w:rPr>
          <w:lang w:val="es-ES_tradnl"/>
        </w:rPr>
        <w:t>–</w:t>
      </w:r>
      <w:r w:rsidRPr="00CC69B2">
        <w:rPr>
          <w:lang w:val="es-ES_tradnl"/>
        </w:rPr>
        <w:tab/>
        <w:t>36 puntos de acimut bien distribuidos en 360º</w:t>
      </w:r>
      <w:r w:rsidR="005369BC">
        <w:rPr>
          <w:lang w:val="es-ES_tradnl"/>
        </w:rPr>
        <w:t>.</w:t>
      </w:r>
    </w:p>
    <w:p w:rsidR="00F97D17" w:rsidRPr="00CC69B2" w:rsidRDefault="00F97D17" w:rsidP="008620FD">
      <w:pPr>
        <w:pStyle w:val="enumlev2"/>
        <w:rPr>
          <w:szCs w:val="24"/>
          <w:lang w:val="es-ES_tradnl"/>
        </w:rPr>
      </w:pPr>
      <w:r w:rsidRPr="00CC69B2">
        <w:rPr>
          <w:lang w:val="es-ES_tradnl"/>
        </w:rPr>
        <w:t>–</w:t>
      </w:r>
      <w:r w:rsidRPr="00CC69B2">
        <w:rPr>
          <w:lang w:val="es-ES_tradnl"/>
        </w:rPr>
        <w:tab/>
        <w:t xml:space="preserve">5 puntos de frecuencia como mínimo ya que la gama no comprende toda la década logarítmica </w:t>
      </w:r>
      <w:r w:rsidRPr="00CC69B2">
        <w:rPr>
          <w:szCs w:val="24"/>
          <w:lang w:val="es-ES_tradnl"/>
        </w:rPr>
        <w:t>(1</w:t>
      </w:r>
      <w:r w:rsidRPr="00CC69B2">
        <w:rPr>
          <w:lang w:val="es-ES_tradnl"/>
        </w:rPr>
        <w:t> </w:t>
      </w:r>
      <w:r w:rsidRPr="00CC69B2">
        <w:rPr>
          <w:szCs w:val="24"/>
          <w:lang w:val="es-ES_tradnl"/>
        </w:rPr>
        <w:t>300</w:t>
      </w:r>
      <w:r w:rsidRPr="00CC69B2">
        <w:rPr>
          <w:rFonts w:eastAsia="Arial Unicode MS"/>
          <w:szCs w:val="24"/>
          <w:lang w:val="es-ES_tradnl"/>
        </w:rPr>
        <w:t xml:space="preserve">, </w:t>
      </w:r>
      <w:r w:rsidRPr="00CC69B2">
        <w:rPr>
          <w:szCs w:val="24"/>
          <w:lang w:val="es-ES_tradnl"/>
        </w:rPr>
        <w:t>1</w:t>
      </w:r>
      <w:r w:rsidRPr="00CC69B2">
        <w:rPr>
          <w:lang w:val="es-ES_tradnl"/>
        </w:rPr>
        <w:t> </w:t>
      </w:r>
      <w:r w:rsidRPr="00CC69B2">
        <w:rPr>
          <w:szCs w:val="24"/>
          <w:lang w:val="es-ES_tradnl"/>
        </w:rPr>
        <w:t>640</w:t>
      </w:r>
      <w:r w:rsidRPr="00CC69B2">
        <w:rPr>
          <w:rFonts w:eastAsia="Arial Unicode MS"/>
          <w:szCs w:val="24"/>
          <w:lang w:val="es-ES_tradnl"/>
        </w:rPr>
        <w:t xml:space="preserve">, </w:t>
      </w:r>
      <w:r w:rsidRPr="00CC69B2">
        <w:rPr>
          <w:szCs w:val="24"/>
          <w:lang w:val="es-ES_tradnl"/>
        </w:rPr>
        <w:t>1</w:t>
      </w:r>
      <w:r w:rsidRPr="00CC69B2">
        <w:rPr>
          <w:lang w:val="es-ES_tradnl"/>
        </w:rPr>
        <w:t> </w:t>
      </w:r>
      <w:r w:rsidRPr="00CC69B2">
        <w:rPr>
          <w:szCs w:val="24"/>
          <w:lang w:val="es-ES_tradnl"/>
        </w:rPr>
        <w:t>980</w:t>
      </w:r>
      <w:r w:rsidRPr="00CC69B2">
        <w:rPr>
          <w:rFonts w:eastAsia="Arial Unicode MS"/>
          <w:szCs w:val="24"/>
          <w:lang w:val="es-ES_tradnl"/>
        </w:rPr>
        <w:t xml:space="preserve">, </w:t>
      </w:r>
      <w:r w:rsidRPr="00CC69B2">
        <w:rPr>
          <w:szCs w:val="24"/>
          <w:lang w:val="es-ES_tradnl"/>
        </w:rPr>
        <w:t>2</w:t>
      </w:r>
      <w:r w:rsidRPr="00CC69B2">
        <w:rPr>
          <w:lang w:val="es-ES_tradnl"/>
        </w:rPr>
        <w:t> </w:t>
      </w:r>
      <w:r w:rsidRPr="00CC69B2">
        <w:rPr>
          <w:szCs w:val="24"/>
          <w:lang w:val="es-ES_tradnl"/>
        </w:rPr>
        <w:t>320</w:t>
      </w:r>
      <w:r w:rsidRPr="00CC69B2">
        <w:rPr>
          <w:rFonts w:eastAsia="Arial Unicode MS"/>
          <w:szCs w:val="24"/>
          <w:lang w:val="es-ES_tradnl"/>
        </w:rPr>
        <w:t xml:space="preserve">, </w:t>
      </w:r>
      <w:r w:rsidRPr="00CC69B2">
        <w:rPr>
          <w:szCs w:val="24"/>
          <w:lang w:val="es-ES_tradnl"/>
        </w:rPr>
        <w:t>2 660</w:t>
      </w:r>
      <w:r w:rsidRPr="00CC69B2">
        <w:rPr>
          <w:rFonts w:eastAsia="Arial Unicode MS"/>
          <w:szCs w:val="24"/>
          <w:lang w:val="es-ES_tradnl"/>
        </w:rPr>
        <w:t xml:space="preserve">, </w:t>
      </w:r>
      <w:r w:rsidR="005369BC">
        <w:rPr>
          <w:szCs w:val="24"/>
          <w:lang w:val="es-ES_tradnl"/>
        </w:rPr>
        <w:t>3 000 MHz).</w:t>
      </w:r>
    </w:p>
    <w:p w:rsidR="00F97D17" w:rsidRPr="00CC69B2" w:rsidRDefault="00F97D17" w:rsidP="008620FD">
      <w:pPr>
        <w:pStyle w:val="enumlev2"/>
        <w:rPr>
          <w:lang w:val="es-ES_tradnl"/>
        </w:rPr>
      </w:pPr>
      <w:r w:rsidRPr="00CC69B2">
        <w:rPr>
          <w:szCs w:val="24"/>
          <w:lang w:val="es-ES_tradnl"/>
        </w:rPr>
        <w:t>–</w:t>
      </w:r>
      <w:r w:rsidRPr="00CC69B2">
        <w:rPr>
          <w:szCs w:val="24"/>
          <w:lang w:val="es-ES_tradnl"/>
        </w:rPr>
        <w:tab/>
      </w:r>
      <w:r w:rsidR="005369BC" w:rsidRPr="00CC69B2">
        <w:rPr>
          <w:szCs w:val="24"/>
          <w:lang w:val="es-ES_tradnl"/>
        </w:rPr>
        <w:t xml:space="preserve">Un </w:t>
      </w:r>
      <w:r w:rsidRPr="00CC69B2">
        <w:rPr>
          <w:szCs w:val="24"/>
          <w:lang w:val="es-ES_tradnl"/>
        </w:rPr>
        <w:t xml:space="preserve">total de </w:t>
      </w:r>
      <w:r w:rsidRPr="00CC69B2">
        <w:rPr>
          <w:i/>
          <w:iCs/>
          <w:lang w:val="es-ES_tradnl"/>
        </w:rPr>
        <w:t>N</w:t>
      </w:r>
      <w:r w:rsidRPr="00CC69B2">
        <w:rPr>
          <w:lang w:val="es-ES_tradnl"/>
        </w:rPr>
        <w:t> = 36 </w:t>
      </w:r>
      <w:r w:rsidRPr="00CC69B2">
        <w:sym w:font="Symbol" w:char="F0B4"/>
      </w:r>
      <w:r w:rsidRPr="00CC69B2">
        <w:rPr>
          <w:lang w:val="es-ES_tradnl"/>
        </w:rPr>
        <w:t> 5 = 180 para cada una de las diversas modulaciones analógicas y digitales.</w:t>
      </w:r>
    </w:p>
    <w:p w:rsidR="00F97D17" w:rsidRPr="00CC69B2" w:rsidRDefault="00F97D17" w:rsidP="0054399F">
      <w:pPr>
        <w:pStyle w:val="Heading4"/>
        <w:rPr>
          <w:lang w:val="es-ES_tradnl"/>
        </w:rPr>
      </w:pPr>
      <w:r w:rsidRPr="00CC69B2">
        <w:rPr>
          <w:lang w:val="es-ES_tradnl"/>
        </w:rPr>
        <w:t>3.3.1.2</w:t>
      </w:r>
      <w:r w:rsidRPr="00CC69B2">
        <w:rPr>
          <w:lang w:val="es-ES_tradnl"/>
        </w:rPr>
        <w:tab/>
        <w:t>Consideraciones adicionales para las mediciones de radiogoniometría en la banda de ondas decamétricas</w:t>
      </w:r>
    </w:p>
    <w:p w:rsidR="00F97D17" w:rsidRPr="0063018E" w:rsidRDefault="00F97D17" w:rsidP="00985DE2">
      <w:pPr>
        <w:rPr>
          <w:lang w:val="es-ES_tradnl"/>
        </w:rPr>
      </w:pPr>
      <w:r w:rsidRPr="0063018E">
        <w:rPr>
          <w:lang w:val="es-ES_tradnl"/>
        </w:rPr>
        <w:t>La medición de la precisión de radiogoniometría en ondas decamétricas se enfrenta a algunas restricciones:</w:t>
      </w:r>
    </w:p>
    <w:p w:rsidR="00F97D17" w:rsidRPr="00CC69B2" w:rsidRDefault="00F97D17" w:rsidP="0054399F">
      <w:pPr>
        <w:pStyle w:val="enumlev1"/>
        <w:rPr>
          <w:lang w:val="es-ES_tradnl"/>
        </w:rPr>
      </w:pPr>
      <w:r w:rsidRPr="00CC69B2">
        <w:rPr>
          <w:lang w:val="es-ES_tradnl"/>
        </w:rPr>
        <w:t>–</w:t>
      </w:r>
      <w:r w:rsidRPr="00CC69B2">
        <w:rPr>
          <w:lang w:val="es-ES_tradnl"/>
        </w:rPr>
        <w:tab/>
        <w:t>la longitud de onda de la señal en ondas decamétricas impone distancias importantes entre transmisores y receptores,</w:t>
      </w:r>
    </w:p>
    <w:p w:rsidR="00F97D17" w:rsidRPr="00CC69B2" w:rsidRDefault="00F97D17" w:rsidP="0054399F">
      <w:pPr>
        <w:pStyle w:val="enumlev1"/>
        <w:rPr>
          <w:lang w:val="es-ES_tradnl"/>
        </w:rPr>
      </w:pPr>
      <w:r w:rsidRPr="00CC69B2">
        <w:rPr>
          <w:lang w:val="es-ES_tradnl"/>
        </w:rPr>
        <w:t>–</w:t>
      </w:r>
      <w:r w:rsidRPr="00CC69B2">
        <w:rPr>
          <w:lang w:val="es-ES_tradnl"/>
        </w:rPr>
        <w:tab/>
        <w:t>las variaciones en los ruidos atmosféricos no son fácilmente controlables (dependen de la actividad solar, del día o la noche y otras variables).</w:t>
      </w:r>
    </w:p>
    <w:p w:rsidR="00F97D17" w:rsidRPr="0063018E" w:rsidRDefault="00F97D17" w:rsidP="00985DE2">
      <w:pPr>
        <w:rPr>
          <w:lang w:val="es-ES_tradnl"/>
        </w:rPr>
      </w:pPr>
      <w:r w:rsidRPr="0063018E">
        <w:rPr>
          <w:lang w:val="es-ES_tradnl"/>
        </w:rPr>
        <w:t>Por consiguiente, las mediciones de la precisión de radiogoniometría en ondas decamétricas deberán ser las mismas que las efectuadas para determinar la precisión de radiogoniometría en ondas métricas/decimétricas salvo que:</w:t>
      </w:r>
    </w:p>
    <w:p w:rsidR="00F97D17" w:rsidRPr="00CC69B2" w:rsidRDefault="00F97D17" w:rsidP="0054399F">
      <w:pPr>
        <w:pStyle w:val="enumlev1"/>
        <w:rPr>
          <w:lang w:val="es-ES_tradnl"/>
        </w:rPr>
      </w:pPr>
      <w:r w:rsidRPr="00CC69B2">
        <w:rPr>
          <w:lang w:val="es-ES_tradnl"/>
        </w:rPr>
        <w:t>–</w:t>
      </w:r>
      <w:r w:rsidRPr="00CC69B2">
        <w:rPr>
          <w:lang w:val="es-ES_tradnl"/>
        </w:rPr>
        <w:tab/>
        <w:t>el transmisor deberá ser un transmisor de radiodifusión real con características conocidas (acimut, nivel), o</w:t>
      </w:r>
    </w:p>
    <w:p w:rsidR="00F97D17" w:rsidRPr="00CC69B2" w:rsidRDefault="00F97D17" w:rsidP="0054399F">
      <w:pPr>
        <w:pStyle w:val="enumlev1"/>
        <w:rPr>
          <w:lang w:val="es-ES_tradnl"/>
        </w:rPr>
      </w:pPr>
      <w:r w:rsidRPr="00CC69B2">
        <w:rPr>
          <w:lang w:val="es-ES_tradnl"/>
        </w:rPr>
        <w:t>–</w:t>
      </w:r>
      <w:r w:rsidRPr="00CC69B2">
        <w:rPr>
          <w:lang w:val="es-ES_tradnl"/>
        </w:rPr>
        <w:tab/>
        <w:t>un transmisor en ondas decamétricas situado en un vehículo que se encuentre en una posición conocida.</w:t>
      </w:r>
    </w:p>
    <w:p w:rsidR="00F97D17" w:rsidRPr="0063018E" w:rsidRDefault="00F97D17" w:rsidP="0054399F">
      <w:pPr>
        <w:pStyle w:val="Headingi"/>
        <w:rPr>
          <w:lang w:val="es-ES_tradnl"/>
        </w:rPr>
      </w:pPr>
      <w:bookmarkStart w:id="109" w:name="_Toc303861631"/>
      <w:r w:rsidRPr="0063018E">
        <w:rPr>
          <w:lang w:val="es-ES_tradnl"/>
        </w:rPr>
        <w:lastRenderedPageBreak/>
        <w:t>Ejemplo de una especificación de hoja de datos:</w:t>
      </w:r>
      <w:bookmarkEnd w:id="109"/>
    </w:p>
    <w:p w:rsidR="00F97D17" w:rsidRPr="0063018E" w:rsidRDefault="00F97D17" w:rsidP="0054399F">
      <w:pPr>
        <w:rPr>
          <w:lang w:val="es-ES_tradnl"/>
        </w:rPr>
      </w:pPr>
      <w:r w:rsidRPr="0063018E">
        <w:rPr>
          <w:lang w:val="es-ES_tradnl"/>
        </w:rPr>
        <w:t>Precisión de la radiogoniometría: ≤ 2,5° valor cuadrático medio (80 MHz a 1 300 MHz, basándose en pruebas operacionales) (con arreglo a las Recomendaciones UIT</w:t>
      </w:r>
      <w:r w:rsidRPr="0063018E">
        <w:rPr>
          <w:lang w:val="es-ES_tradnl"/>
        </w:rPr>
        <w:noBreakHyphen/>
        <w:t>R SM pertinentes).</w:t>
      </w:r>
    </w:p>
    <w:p w:rsidR="00F97D17" w:rsidRPr="0063018E" w:rsidRDefault="00F97D17" w:rsidP="0054399F">
      <w:pPr>
        <w:rPr>
          <w:lang w:val="es-ES_tradnl"/>
        </w:rPr>
      </w:pPr>
      <w:r w:rsidRPr="0063018E">
        <w:rPr>
          <w:lang w:val="es-ES_tradnl"/>
        </w:rPr>
        <w:t>Precisión de la radiogoniometría: ≤ 2,0° valor cuadrático medio (1 300 MHz a 3 000 MHz, basándose en pruebas operacionales) (con arreglo a las Recomendaciones UIT</w:t>
      </w:r>
      <w:r w:rsidRPr="0063018E">
        <w:rPr>
          <w:lang w:val="es-ES_tradnl"/>
        </w:rPr>
        <w:noBreakHyphen/>
        <w:t>R SM pertinentes).</w:t>
      </w:r>
    </w:p>
    <w:p w:rsidR="00F97D17" w:rsidRPr="00CC69B2" w:rsidRDefault="00F97D17" w:rsidP="0054399F">
      <w:pPr>
        <w:pStyle w:val="Heading4"/>
        <w:rPr>
          <w:lang w:val="es-ES_tradnl"/>
        </w:rPr>
      </w:pPr>
      <w:r w:rsidRPr="00CC69B2">
        <w:rPr>
          <w:lang w:val="es-ES_tradnl"/>
        </w:rPr>
        <w:t>3.3.1.3</w:t>
      </w:r>
      <w:r w:rsidRPr="00CC69B2">
        <w:rPr>
          <w:lang w:val="es-ES_tradnl"/>
        </w:rPr>
        <w:tab/>
        <w:t>Definición de los procedimientos de prueba de precisión de la radiogoniometría en un EPZA</w:t>
      </w:r>
    </w:p>
    <w:p w:rsidR="00F97D17" w:rsidRPr="0063018E" w:rsidRDefault="00F97D17" w:rsidP="0054399F">
      <w:pPr>
        <w:rPr>
          <w:lang w:val="es-ES_tradnl"/>
        </w:rPr>
      </w:pPr>
      <w:r w:rsidRPr="0063018E">
        <w:rPr>
          <w:lang w:val="es-ES_tradnl"/>
        </w:rPr>
        <w:t>Puede probarse un sistema sin sus antenas en un laboratorio, conectando un generador de señal a un simulador de antena y conectando posteriormente este simulador al sistema de radiogoniometría sin sus antenas. Puede ubicarse un sistema en un EPZA dentro de un entorno electromagnéticamente limpio sin reflexiones o estructuras que puedan causar dispersión, resonancias o rerradiación, y puede probarse con señales intensas. Véase la Fig. 14. Las mediciones en dicho entorno limpio sirven para determinar la «precisión del instrumento» del sistema. Esta precisión del instrumento normalmente no es una medida adecuada de cómo se comportará un sistema de radiogoniometría en condiciones de funcionamiento real, porque la mayoría de estos sistemas presentan un funcionamiento adecuado en un entorno controlado de un laboratorio o un banco de pruebas cuando se utilizan señales de prueba intensas.</w:t>
      </w:r>
    </w:p>
    <w:p w:rsidR="00F97D17" w:rsidRPr="0063018E" w:rsidRDefault="00F97D17" w:rsidP="00985DE2">
      <w:pPr>
        <w:rPr>
          <w:lang w:val="es-ES_tradnl" w:eastAsia="fr-FR"/>
        </w:rPr>
      </w:pPr>
      <w:r w:rsidRPr="0063018E">
        <w:rPr>
          <w:lang w:val="es-ES_tradnl"/>
        </w:rPr>
        <w:t>Para esta prueba se mide la precisión de radiogoniometría del radiogoniómetro utilizando un transmisor de prueba situado en los alrededores de la antena de radiogoniometría, en un entorno sin reflexiones. La disposición de prueba debe permitir variar el acimut de la antena de prueba del transmisor en unos incrementos definidos para cubrir toda la gama de marcaciones de 360</w:t>
      </w:r>
      <w:r w:rsidRPr="0063018E">
        <w:rPr>
          <w:lang w:val="es-ES_tradnl" w:eastAsia="fr-FR"/>
        </w:rPr>
        <w:t>°.</w:t>
      </w:r>
    </w:p>
    <w:p w:rsidR="00F97D17" w:rsidRPr="0063018E" w:rsidRDefault="00F97D17" w:rsidP="00985DE2">
      <w:pPr>
        <w:rPr>
          <w:lang w:val="es-ES_tradnl"/>
        </w:rPr>
      </w:pPr>
      <w:r w:rsidRPr="0063018E">
        <w:rPr>
          <w:lang w:val="es-ES_tradnl" w:eastAsia="fr-FR"/>
        </w:rPr>
        <w:t>Deben descartarse las frecuencias para las cuales el medio de propagación o los efectos multitrayecto dan lugar a errores en las mediciones radiogoniométricas.</w:t>
      </w:r>
    </w:p>
    <w:p w:rsidR="00F97D17" w:rsidRPr="00CC69B2" w:rsidRDefault="00F97D17" w:rsidP="0054399F">
      <w:pPr>
        <w:pStyle w:val="FigureNo"/>
        <w:rPr>
          <w:rFonts w:eastAsia="MS Mincho"/>
          <w:lang w:val="es-ES_tradnl"/>
        </w:rPr>
      </w:pPr>
      <w:r w:rsidRPr="00CC69B2">
        <w:rPr>
          <w:rFonts w:eastAsia="MS Mincho"/>
          <w:lang w:val="es-ES_tradnl"/>
        </w:rPr>
        <w:t>FIGURA 14</w:t>
      </w:r>
    </w:p>
    <w:p w:rsidR="00F97D17" w:rsidRDefault="00F97D17" w:rsidP="0054399F">
      <w:pPr>
        <w:pStyle w:val="Figuretitle"/>
        <w:rPr>
          <w:rFonts w:eastAsia="MS Mincho"/>
          <w:lang w:val="es-ES_tradnl"/>
        </w:rPr>
      </w:pPr>
      <w:r w:rsidRPr="00CC69B2">
        <w:rPr>
          <w:rFonts w:eastAsia="MS Mincho"/>
          <w:lang w:val="es-ES_tradnl"/>
        </w:rPr>
        <w:t>Montaje para la medición de la precisión de radiogoniometría</w:t>
      </w:r>
      <w:r w:rsidRPr="00CC69B2">
        <w:rPr>
          <w:rFonts w:eastAsia="MS Mincho"/>
          <w:lang w:val="es-ES_tradnl"/>
        </w:rPr>
        <w:br/>
        <w:t>en una estación de radiogoniometría ubicada en un EPZA</w:t>
      </w:r>
    </w:p>
    <w:p w:rsidR="00F674AA" w:rsidRPr="00B874B3" w:rsidRDefault="00F674AA" w:rsidP="00F674AA">
      <w:pPr>
        <w:pStyle w:val="Blanc"/>
        <w:rPr>
          <w:lang w:val="es-ES_tradnl"/>
        </w:rPr>
      </w:pPr>
    </w:p>
    <w:p w:rsidR="0054399F" w:rsidRPr="0054399F" w:rsidRDefault="0054399F" w:rsidP="0054399F">
      <w:pPr>
        <w:pStyle w:val="Figure"/>
        <w:rPr>
          <w:rFonts w:eastAsia="MS Mincho"/>
          <w:lang w:val="es-ES_tradnl"/>
        </w:rPr>
      </w:pPr>
      <w:r>
        <w:rPr>
          <w:rFonts w:eastAsia="MS Mincho"/>
          <w:lang w:val="es-ES_tradnl"/>
        </w:rPr>
        <w:object w:dxaOrig="6949" w:dyaOrig="3458">
          <v:shape id="_x0000_i1046" type="#_x0000_t75" style="width:390.75pt;height:194.25pt" o:ole="">
            <v:imagedata r:id="rId57" o:title=""/>
          </v:shape>
          <o:OLEObject Type="Embed" ProgID="CorelDRAW.Graphic.14" ShapeID="_x0000_i1046" DrawAspect="Content" ObjectID="_1413614816" r:id="rId58"/>
        </w:object>
      </w:r>
    </w:p>
    <w:p w:rsidR="00F97D17" w:rsidRPr="0063018E" w:rsidRDefault="00F97D17" w:rsidP="0054399F">
      <w:pPr>
        <w:keepNext/>
        <w:keepLines/>
        <w:rPr>
          <w:lang w:val="es-ES_tradnl"/>
        </w:rPr>
      </w:pPr>
      <w:r w:rsidRPr="0063018E">
        <w:rPr>
          <w:lang w:val="es-ES_tradnl"/>
        </w:rPr>
        <w:lastRenderedPageBreak/>
        <w:t>Se calcula el error en acimut medido:</w:t>
      </w:r>
    </w:p>
    <w:p w:rsidR="0054399F" w:rsidRPr="008401FF" w:rsidRDefault="0054399F" w:rsidP="0054399F">
      <w:pPr>
        <w:pStyle w:val="Blanc"/>
        <w:rPr>
          <w:lang w:val="es-ES_tradnl"/>
        </w:rPr>
      </w:pPr>
    </w:p>
    <w:p w:rsidR="00F97D17" w:rsidRPr="00CC69B2" w:rsidRDefault="00F97D17" w:rsidP="0054399F">
      <w:pPr>
        <w:pStyle w:val="Equation"/>
        <w:keepNext/>
        <w:keepLines/>
        <w:rPr>
          <w:highlight w:val="yellow"/>
          <w:lang w:val="en-US"/>
        </w:rPr>
      </w:pPr>
      <w:r w:rsidRPr="00CC69B2">
        <w:rPr>
          <w:lang w:val="es-ES_tradnl"/>
        </w:rPr>
        <w:tab/>
      </w:r>
      <w:r w:rsidRPr="00CC69B2">
        <w:rPr>
          <w:lang w:val="es-ES_tradnl"/>
        </w:rPr>
        <w:tab/>
      </w:r>
      <w:r w:rsidR="0054399F" w:rsidRPr="0054399F">
        <w:rPr>
          <w:position w:val="-14"/>
        </w:rPr>
        <w:object w:dxaOrig="2160" w:dyaOrig="380">
          <v:shape id="_x0000_i1047" type="#_x0000_t75" style="width:108.75pt;height:19.5pt" o:ole="">
            <v:imagedata r:id="rId59" o:title=""/>
          </v:shape>
          <o:OLEObject Type="Embed" ProgID="Equation.3" ShapeID="_x0000_i1047" DrawAspect="Content" ObjectID="_1413614817" r:id="rId60"/>
        </w:object>
      </w:r>
    </w:p>
    <w:p w:rsidR="00F97D17" w:rsidRPr="0063018E" w:rsidRDefault="00F97D17" w:rsidP="0054399F">
      <w:pPr>
        <w:keepNext/>
        <w:keepLines/>
        <w:rPr>
          <w:lang w:val="es-ES_tradnl"/>
        </w:rPr>
      </w:pPr>
      <w:r w:rsidRPr="0063018E">
        <w:rPr>
          <w:lang w:val="es-ES_tradnl"/>
        </w:rPr>
        <w:t>siendo:</w:t>
      </w:r>
    </w:p>
    <w:p w:rsidR="00F97D17" w:rsidRPr="0054399F" w:rsidRDefault="00F97D17" w:rsidP="0054399F">
      <w:pPr>
        <w:pStyle w:val="Equationlegend"/>
        <w:rPr>
          <w:lang w:val="es-ES_tradnl"/>
        </w:rPr>
      </w:pPr>
      <w:r w:rsidRPr="00B874B3">
        <w:rPr>
          <w:lang w:val="es-ES_tradnl"/>
        </w:rPr>
        <w:tab/>
      </w:r>
      <w:r w:rsidRPr="00CC69B2">
        <w:t>θ</w:t>
      </w:r>
      <w:r w:rsidRPr="0054399F">
        <w:rPr>
          <w:i/>
          <w:iCs/>
          <w:vertAlign w:val="subscript"/>
          <w:lang w:val="es-ES_tradnl"/>
        </w:rPr>
        <w:t>mes</w:t>
      </w:r>
      <w:r w:rsidR="0054399F" w:rsidRPr="0054399F">
        <w:rPr>
          <w:i/>
          <w:iCs/>
          <w:vertAlign w:val="subscript"/>
          <w:lang w:val="es-ES_tradnl"/>
        </w:rPr>
        <w:t xml:space="preserve"> </w:t>
      </w:r>
      <w:r w:rsidRPr="0054399F">
        <w:rPr>
          <w:lang w:val="es-ES_tradnl"/>
        </w:rPr>
        <w:t>:</w:t>
      </w:r>
      <w:r w:rsidRPr="0054399F">
        <w:rPr>
          <w:lang w:val="es-ES_tradnl"/>
        </w:rPr>
        <w:tab/>
        <w:t>ángulo medido para una frecuencia determinada y con el acimut seleccionado (grados)</w:t>
      </w:r>
    </w:p>
    <w:p w:rsidR="00F97D17" w:rsidRPr="0054399F" w:rsidRDefault="00F97D17" w:rsidP="0054399F">
      <w:pPr>
        <w:pStyle w:val="Equationlegend"/>
        <w:rPr>
          <w:lang w:val="es-ES_tradnl"/>
        </w:rPr>
      </w:pPr>
      <w:r w:rsidRPr="0054399F">
        <w:rPr>
          <w:lang w:val="es-ES_tradnl"/>
        </w:rPr>
        <w:tab/>
      </w:r>
      <w:r w:rsidRPr="00CC69B2">
        <w:t>θ</w:t>
      </w:r>
      <w:r w:rsidRPr="0054399F">
        <w:rPr>
          <w:i/>
          <w:iCs/>
          <w:vertAlign w:val="subscript"/>
          <w:lang w:val="es-ES_tradnl"/>
        </w:rPr>
        <w:t>theo</w:t>
      </w:r>
      <w:r w:rsidR="0054399F" w:rsidRPr="0054399F">
        <w:rPr>
          <w:i/>
          <w:iCs/>
          <w:vertAlign w:val="subscript"/>
          <w:lang w:val="es-ES_tradnl"/>
        </w:rPr>
        <w:t xml:space="preserve"> </w:t>
      </w:r>
      <w:r w:rsidRPr="0054399F">
        <w:rPr>
          <w:lang w:val="es-ES_tradnl"/>
        </w:rPr>
        <w:t>:</w:t>
      </w:r>
      <w:r w:rsidRPr="0054399F">
        <w:rPr>
          <w:lang w:val="es-ES_tradnl"/>
        </w:rPr>
        <w:tab/>
        <w:t>ángulo teórico con el acimut seleccionado (grados)</w:t>
      </w:r>
      <w:r w:rsidR="004D6BA5">
        <w:rPr>
          <w:lang w:val="es-ES_tradnl"/>
        </w:rPr>
        <w:t>.</w:t>
      </w:r>
    </w:p>
    <w:p w:rsidR="00F97D17" w:rsidRPr="0063018E" w:rsidRDefault="00F97D17" w:rsidP="00985DE2">
      <w:pPr>
        <w:rPr>
          <w:lang w:val="es-ES_tradnl"/>
        </w:rPr>
      </w:pPr>
      <w:r w:rsidRPr="0063018E">
        <w:rPr>
          <w:lang w:val="es-ES_tradnl"/>
        </w:rPr>
        <w:t>Se calcula el resultado de la precisión de radiogoniometría calculando la media cuadrática de todos los valores para las frecuencias concretas y los acimuts seleccionados.</w:t>
      </w:r>
    </w:p>
    <w:p w:rsidR="0054399F" w:rsidRPr="00B874B3" w:rsidRDefault="0054399F" w:rsidP="0054399F">
      <w:pPr>
        <w:pStyle w:val="Blanc"/>
        <w:rPr>
          <w:lang w:val="es-ES_tradnl"/>
        </w:rPr>
      </w:pPr>
    </w:p>
    <w:p w:rsidR="00F97D17" w:rsidRPr="00CC69B2" w:rsidRDefault="00F97D17" w:rsidP="0054399F">
      <w:pPr>
        <w:pStyle w:val="Equation"/>
        <w:rPr>
          <w:highlight w:val="yellow"/>
        </w:rPr>
      </w:pPr>
      <w:r w:rsidRPr="00CC69B2">
        <w:rPr>
          <w:lang w:val="es-ES_tradnl"/>
        </w:rPr>
        <w:tab/>
      </w:r>
      <w:r w:rsidRPr="00CC69B2">
        <w:rPr>
          <w:lang w:val="es-ES_tradnl"/>
        </w:rPr>
        <w:tab/>
      </w:r>
      <w:r w:rsidR="00E94FB2" w:rsidRPr="0054399F">
        <w:rPr>
          <w:position w:val="-26"/>
        </w:rPr>
        <w:object w:dxaOrig="2120" w:dyaOrig="960">
          <v:shape id="_x0000_i1048" type="#_x0000_t75" style="width:106.5pt;height:48pt" o:ole="">
            <v:imagedata r:id="rId61" o:title=""/>
          </v:shape>
          <o:OLEObject Type="Embed" ProgID="Equation.3" ShapeID="_x0000_i1048" DrawAspect="Content" ObjectID="_1413614818" r:id="rId62"/>
        </w:object>
      </w:r>
    </w:p>
    <w:p w:rsidR="008620FD" w:rsidRDefault="008620FD" w:rsidP="008620FD">
      <w:pPr>
        <w:pStyle w:val="Blanc"/>
      </w:pPr>
    </w:p>
    <w:p w:rsidR="00F97D17" w:rsidRPr="0054399F" w:rsidRDefault="00F97D17" w:rsidP="0054399F">
      <w:pPr>
        <w:pStyle w:val="Equationlegend"/>
        <w:rPr>
          <w:lang w:val="es-ES_tradnl"/>
        </w:rPr>
      </w:pPr>
      <w:r w:rsidRPr="00CC69B2">
        <w:tab/>
        <w:t>θ</w:t>
      </w:r>
      <w:r w:rsidR="0054399F" w:rsidRPr="00E94FB2">
        <w:rPr>
          <w:sz w:val="16"/>
          <w:szCs w:val="16"/>
          <w:lang w:val="es-ES_tradnl"/>
        </w:rPr>
        <w:t xml:space="preserve"> </w:t>
      </w:r>
      <w:r w:rsidRPr="0054399F">
        <w:rPr>
          <w:lang w:val="es-ES_tradnl"/>
        </w:rPr>
        <w:t>:</w:t>
      </w:r>
      <w:r w:rsidRPr="0054399F">
        <w:rPr>
          <w:lang w:val="es-ES_tradnl"/>
        </w:rPr>
        <w:tab/>
        <w:t xml:space="preserve">medición del acimut (grados, valor cuadrático medio) </w:t>
      </w:r>
    </w:p>
    <w:p w:rsidR="00F97D17" w:rsidRPr="0054399F" w:rsidRDefault="00F97D17" w:rsidP="0054399F">
      <w:pPr>
        <w:pStyle w:val="Equationlegend"/>
        <w:rPr>
          <w:lang w:val="es-ES_tradnl"/>
        </w:rPr>
      </w:pPr>
      <w:r w:rsidRPr="0054399F">
        <w:rPr>
          <w:lang w:val="es-ES_tradnl"/>
        </w:rPr>
        <w:tab/>
      </w:r>
      <w:r w:rsidRPr="00CC69B2">
        <w:t>θ</w:t>
      </w:r>
      <w:r w:rsidRPr="0054399F">
        <w:rPr>
          <w:vertAlign w:val="subscript"/>
          <w:lang w:val="es-ES_tradnl"/>
        </w:rPr>
        <w:t>(</w:t>
      </w:r>
      <w:r w:rsidRPr="0054399F">
        <w:rPr>
          <w:i/>
          <w:iCs/>
          <w:vertAlign w:val="subscript"/>
          <w:lang w:val="es-ES_tradnl"/>
        </w:rPr>
        <w:t>F</w:t>
      </w:r>
      <w:r w:rsidRPr="0054399F">
        <w:rPr>
          <w:vertAlign w:val="subscript"/>
          <w:lang w:val="es-ES_tradnl"/>
        </w:rPr>
        <w:t>,</w:t>
      </w:r>
      <w:r w:rsidRPr="00CC69B2">
        <w:rPr>
          <w:vertAlign w:val="subscript"/>
        </w:rPr>
        <w:t>θ</w:t>
      </w:r>
      <w:r w:rsidRPr="0054399F">
        <w:rPr>
          <w:vertAlign w:val="subscript"/>
          <w:lang w:val="es-ES_tradnl"/>
        </w:rPr>
        <w:t>)</w:t>
      </w:r>
      <w:r w:rsidR="0054399F" w:rsidRPr="00E94FB2">
        <w:rPr>
          <w:sz w:val="16"/>
          <w:szCs w:val="16"/>
          <w:lang w:val="es-ES_tradnl"/>
        </w:rPr>
        <w:t xml:space="preserve"> </w:t>
      </w:r>
      <w:r w:rsidRPr="0054399F">
        <w:rPr>
          <w:lang w:val="es-ES_tradnl"/>
        </w:rPr>
        <w:t>:</w:t>
      </w:r>
      <w:r w:rsidRPr="0054399F">
        <w:rPr>
          <w:lang w:val="es-ES_tradnl"/>
        </w:rPr>
        <w:tab/>
        <w:t>ángulo medido para una frecuencia determinada y con el acimut seleccionado (grados)</w:t>
      </w:r>
    </w:p>
    <w:p w:rsidR="00F97D17" w:rsidRPr="0054399F" w:rsidRDefault="00F97D17" w:rsidP="0054399F">
      <w:pPr>
        <w:pStyle w:val="Equationlegend"/>
        <w:rPr>
          <w:lang w:val="es-ES_tradnl"/>
        </w:rPr>
      </w:pPr>
      <w:r w:rsidRPr="0054399F">
        <w:rPr>
          <w:lang w:val="es-ES_tradnl"/>
        </w:rPr>
        <w:tab/>
      </w:r>
      <w:r w:rsidRPr="0054399F">
        <w:rPr>
          <w:i/>
          <w:iCs/>
          <w:lang w:val="es-ES_tradnl"/>
        </w:rPr>
        <w:t>N</w:t>
      </w:r>
      <w:r w:rsidR="0054399F" w:rsidRPr="00E94FB2">
        <w:rPr>
          <w:sz w:val="16"/>
          <w:szCs w:val="16"/>
          <w:lang w:val="es-ES_tradnl"/>
        </w:rPr>
        <w:t xml:space="preserve"> </w:t>
      </w:r>
      <w:r w:rsidRPr="0054399F">
        <w:rPr>
          <w:lang w:val="es-ES_tradnl"/>
        </w:rPr>
        <w:t>:</w:t>
      </w:r>
      <w:r w:rsidRPr="0054399F">
        <w:rPr>
          <w:lang w:val="es-ES_tradnl"/>
        </w:rPr>
        <w:tab/>
        <w:t>número de puntos de medición.</w:t>
      </w:r>
    </w:p>
    <w:p w:rsidR="00F97D17" w:rsidRDefault="00F97D17" w:rsidP="00985DE2">
      <w:pPr>
        <w:rPr>
          <w:lang w:val="es-ES_tradnl"/>
        </w:rPr>
      </w:pPr>
      <w:r w:rsidRPr="0063018E">
        <w:rPr>
          <w:lang w:val="es-ES_tradnl"/>
        </w:rPr>
        <w:t>Es posible compensar el error debido a la instalación de la antena de radiogoniometría teniendo en cuenta la desviación media de todas las mediciones, como sigue:</w:t>
      </w:r>
    </w:p>
    <w:p w:rsidR="0054399F" w:rsidRPr="00B874B3" w:rsidRDefault="0054399F" w:rsidP="0054399F">
      <w:pPr>
        <w:pStyle w:val="Blanc"/>
        <w:rPr>
          <w:lang w:val="es-ES_tradnl"/>
        </w:rPr>
      </w:pPr>
    </w:p>
    <w:p w:rsidR="00F97D17" w:rsidRPr="00CC69B2" w:rsidRDefault="00F97D17" w:rsidP="00C94873">
      <w:pPr>
        <w:pStyle w:val="Equation"/>
      </w:pPr>
      <w:r w:rsidRPr="00CC69B2">
        <w:rPr>
          <w:lang w:val="es-ES_tradnl"/>
        </w:rPr>
        <w:tab/>
      </w:r>
      <w:r w:rsidRPr="00CC69B2">
        <w:rPr>
          <w:lang w:val="es-ES_tradnl"/>
        </w:rPr>
        <w:tab/>
      </w:r>
      <w:r w:rsidR="00E94FB2" w:rsidRPr="00C94873">
        <w:rPr>
          <w:position w:val="-24"/>
        </w:rPr>
        <w:object w:dxaOrig="2040" w:dyaOrig="859">
          <v:shape id="_x0000_i1049" type="#_x0000_t75" style="width:102.75pt;height:43.5pt" o:ole="">
            <v:imagedata r:id="rId63" o:title=""/>
          </v:shape>
          <o:OLEObject Type="Embed" ProgID="Equation.3" ShapeID="_x0000_i1049" DrawAspect="Content" ObjectID="_1413614819" r:id="rId64"/>
        </w:object>
      </w:r>
    </w:p>
    <w:p w:rsidR="00C94873" w:rsidRPr="0063018E" w:rsidRDefault="00C94873" w:rsidP="00C94873">
      <w:pPr>
        <w:pStyle w:val="Blanc"/>
      </w:pPr>
    </w:p>
    <w:p w:rsidR="00F97D17" w:rsidRPr="0063018E" w:rsidRDefault="00F97D17" w:rsidP="00985DE2">
      <w:pPr>
        <w:rPr>
          <w:lang w:val="es-ES_tradnl"/>
        </w:rPr>
      </w:pPr>
      <w:r w:rsidRPr="0063018E">
        <w:rPr>
          <w:lang w:val="es-ES_tradnl"/>
        </w:rPr>
        <w:t>La medición de la precisión de radiogoniometría en ondas decamétricas se enfrenta a algunas restricciones:</w:t>
      </w:r>
    </w:p>
    <w:p w:rsidR="00F97D17" w:rsidRPr="00CC69B2" w:rsidRDefault="00F97D17" w:rsidP="00C94873">
      <w:pPr>
        <w:pStyle w:val="enumlev1"/>
        <w:rPr>
          <w:lang w:val="es-ES_tradnl"/>
        </w:rPr>
      </w:pPr>
      <w:r w:rsidRPr="00CC69B2">
        <w:rPr>
          <w:lang w:val="es-ES_tradnl"/>
        </w:rPr>
        <w:t>–</w:t>
      </w:r>
      <w:r w:rsidRPr="00CC69B2">
        <w:rPr>
          <w:lang w:val="es-ES_tradnl"/>
        </w:rPr>
        <w:tab/>
        <w:t>la longitud de onda de la señal de ondas decamétricas impone distancias importantes entre transmisores y receptores;</w:t>
      </w:r>
    </w:p>
    <w:p w:rsidR="00F97D17" w:rsidRPr="00CC69B2" w:rsidRDefault="00F97D17" w:rsidP="00C94873">
      <w:pPr>
        <w:pStyle w:val="enumlev1"/>
        <w:rPr>
          <w:lang w:val="es-ES_tradnl"/>
        </w:rPr>
      </w:pPr>
      <w:r w:rsidRPr="00CC69B2">
        <w:rPr>
          <w:lang w:val="es-ES_tradnl"/>
        </w:rPr>
        <w:t>–</w:t>
      </w:r>
      <w:r w:rsidRPr="00CC69B2">
        <w:rPr>
          <w:lang w:val="es-ES_tradnl"/>
        </w:rPr>
        <w:tab/>
        <w:t>las variaciones en los ruidos atmosféricos no son fácilmente controlables (dependen de la actividad solar, el día o la noche ...).</w:t>
      </w:r>
    </w:p>
    <w:p w:rsidR="00F97D17" w:rsidRPr="0063018E" w:rsidRDefault="00F97D17" w:rsidP="00985DE2">
      <w:pPr>
        <w:rPr>
          <w:lang w:val="es-ES_tradnl"/>
        </w:rPr>
      </w:pPr>
      <w:r w:rsidRPr="0063018E">
        <w:rPr>
          <w:lang w:val="es-ES_tradnl"/>
        </w:rPr>
        <w:t>Por consiguiente, las mediciones de la precisión de radiogoniometría en ondas decamétricas deberán ser las mismas que las efectuadas para determinar la precisión de radiogoniometría en ondas métricas/decimétricas, salvo que:</w:t>
      </w:r>
    </w:p>
    <w:p w:rsidR="00F97D17" w:rsidRPr="00CC69B2" w:rsidRDefault="00F97D17" w:rsidP="00C94873">
      <w:pPr>
        <w:pStyle w:val="enumlev1"/>
        <w:rPr>
          <w:lang w:val="es-ES_tradnl"/>
        </w:rPr>
      </w:pPr>
      <w:r w:rsidRPr="00CC69B2">
        <w:rPr>
          <w:lang w:val="es-ES_tradnl"/>
        </w:rPr>
        <w:t>–</w:t>
      </w:r>
      <w:r w:rsidRPr="00CC69B2">
        <w:rPr>
          <w:lang w:val="es-ES_tradnl"/>
        </w:rPr>
        <w:tab/>
        <w:t>el transmisor deberá ser un transmisor de radiodifusión real con características conocidas (acimut, nivel); o</w:t>
      </w:r>
    </w:p>
    <w:p w:rsidR="00F97D17" w:rsidRPr="00CC69B2" w:rsidRDefault="00F97D17" w:rsidP="00C94873">
      <w:pPr>
        <w:pStyle w:val="enumlev1"/>
        <w:rPr>
          <w:lang w:val="es-ES_tradnl"/>
        </w:rPr>
      </w:pPr>
      <w:r w:rsidRPr="00CC69B2">
        <w:rPr>
          <w:lang w:val="es-ES_tradnl"/>
        </w:rPr>
        <w:t>–</w:t>
      </w:r>
      <w:r w:rsidRPr="00CC69B2">
        <w:rPr>
          <w:lang w:val="es-ES_tradnl"/>
        </w:rPr>
        <w:tab/>
        <w:t>un transmisor en ondas decamétricas situado en un vehículo que se encuentre en una posición conocida.</w:t>
      </w:r>
    </w:p>
    <w:p w:rsidR="00F97D17" w:rsidRPr="0063018E" w:rsidRDefault="00F97D17" w:rsidP="00601082">
      <w:pPr>
        <w:pStyle w:val="Headingi"/>
        <w:rPr>
          <w:lang w:val="es-ES_tradnl"/>
        </w:rPr>
      </w:pPr>
      <w:bookmarkStart w:id="110" w:name="_Toc303861632"/>
      <w:r w:rsidRPr="0063018E">
        <w:rPr>
          <w:lang w:val="es-ES_tradnl"/>
        </w:rPr>
        <w:t>Distribución de los puntos de medición</w:t>
      </w:r>
      <w:bookmarkEnd w:id="110"/>
    </w:p>
    <w:p w:rsidR="00F97D17" w:rsidRPr="0063018E" w:rsidRDefault="00F97D17" w:rsidP="00985DE2">
      <w:pPr>
        <w:rPr>
          <w:iCs/>
          <w:lang w:val="es-ES_tradnl"/>
        </w:rPr>
      </w:pPr>
      <w:r w:rsidRPr="0063018E">
        <w:rPr>
          <w:iCs/>
          <w:lang w:val="es-ES_tradnl"/>
        </w:rPr>
        <w:t>Para permitir una distribución equitativa de las frecuencias sobre la totalidad de la banda, estas frecuencias deberán seleccionarse como sigue:</w:t>
      </w:r>
    </w:p>
    <w:p w:rsidR="00F97D17" w:rsidRPr="00CC69B2" w:rsidRDefault="00F97D17" w:rsidP="00C94873">
      <w:pPr>
        <w:pStyle w:val="enumlev1"/>
        <w:rPr>
          <w:lang w:val="es-ES_tradnl"/>
        </w:rPr>
      </w:pPr>
      <w:r w:rsidRPr="00CC69B2">
        <w:rPr>
          <w:lang w:val="es-ES_tradnl"/>
        </w:rPr>
        <w:t>–</w:t>
      </w:r>
      <w:r w:rsidRPr="00CC69B2">
        <w:rPr>
          <w:lang w:val="es-ES_tradnl"/>
        </w:rPr>
        <w:tab/>
        <w:t>la distribución se hará por octavas;</w:t>
      </w:r>
    </w:p>
    <w:p w:rsidR="00F97D17" w:rsidRPr="00CC69B2" w:rsidRDefault="00F97D17" w:rsidP="00C94873">
      <w:pPr>
        <w:pStyle w:val="enumlev1"/>
        <w:rPr>
          <w:lang w:val="es-ES_tradnl"/>
        </w:rPr>
      </w:pPr>
      <w:r w:rsidRPr="00CC69B2">
        <w:rPr>
          <w:lang w:val="es-ES_tradnl"/>
        </w:rPr>
        <w:t>–</w:t>
      </w:r>
      <w:r w:rsidRPr="00CC69B2">
        <w:rPr>
          <w:lang w:val="es-ES_tradnl"/>
        </w:rPr>
        <w:tab/>
        <w:t>el número de mediciones por subbanda deberá ser fijo e igual o mayor que 1;</w:t>
      </w:r>
    </w:p>
    <w:p w:rsidR="00F97D17" w:rsidRPr="00CC69B2" w:rsidRDefault="00F97D17" w:rsidP="00C94873">
      <w:pPr>
        <w:pStyle w:val="enumlev1"/>
        <w:rPr>
          <w:lang w:val="es-ES_tradnl"/>
        </w:rPr>
      </w:pPr>
      <w:r w:rsidRPr="00CC69B2">
        <w:rPr>
          <w:lang w:val="es-ES_tradnl"/>
        </w:rPr>
        <w:t>–</w:t>
      </w:r>
      <w:r w:rsidRPr="00CC69B2">
        <w:rPr>
          <w:lang w:val="es-ES_tradnl"/>
        </w:rPr>
        <w:tab/>
        <w:t>los puntos de medición se seleccionarán de forma aleatoria.</w:t>
      </w:r>
    </w:p>
    <w:p w:rsidR="00F97D17" w:rsidRPr="0063018E" w:rsidRDefault="00F97D17" w:rsidP="00985DE2">
      <w:pPr>
        <w:rPr>
          <w:lang w:val="es-ES_tradnl"/>
        </w:rPr>
      </w:pPr>
      <w:r w:rsidRPr="0063018E">
        <w:rPr>
          <w:lang w:val="es-ES_tradnl"/>
        </w:rPr>
        <w:lastRenderedPageBreak/>
        <w:t>Para mediciones en emplazamientos situados en espacios abiertos, los acimuts de medición se seleccionarán como sigue:</w:t>
      </w:r>
    </w:p>
    <w:p w:rsidR="00F97D17" w:rsidRPr="00CC69B2" w:rsidRDefault="00F97D17" w:rsidP="00C94873">
      <w:pPr>
        <w:pStyle w:val="enumlev1"/>
        <w:rPr>
          <w:lang w:val="es-ES_tradnl"/>
        </w:rPr>
      </w:pPr>
      <w:r w:rsidRPr="00CC69B2">
        <w:rPr>
          <w:lang w:val="es-ES_tradnl"/>
        </w:rPr>
        <w:t>–</w:t>
      </w:r>
      <w:r w:rsidRPr="00CC69B2">
        <w:rPr>
          <w:lang w:val="es-ES_tradnl"/>
        </w:rPr>
        <w:tab/>
        <w:t>el número de acimuts de medición deberá ser fijo e igual o mayor que 2;</w:t>
      </w:r>
    </w:p>
    <w:p w:rsidR="00F97D17" w:rsidRPr="00CC69B2" w:rsidRDefault="00F97D17" w:rsidP="00C94873">
      <w:pPr>
        <w:pStyle w:val="enumlev1"/>
        <w:rPr>
          <w:lang w:val="es-ES_tradnl"/>
        </w:rPr>
      </w:pPr>
      <w:r w:rsidRPr="00CC69B2">
        <w:rPr>
          <w:lang w:val="es-ES_tradnl"/>
        </w:rPr>
        <w:t>–</w:t>
      </w:r>
      <w:r w:rsidRPr="00CC69B2">
        <w:rPr>
          <w:lang w:val="es-ES_tradnl"/>
        </w:rPr>
        <w:tab/>
        <w:t>los acimuts de medición se seleccionarán de forma aleatoria a lo largo de los 360º.</w:t>
      </w:r>
    </w:p>
    <w:p w:rsidR="00F97D17" w:rsidRPr="0063018E" w:rsidRDefault="00F97D17" w:rsidP="00985DE2">
      <w:pPr>
        <w:rPr>
          <w:lang w:val="es-ES_tradnl"/>
        </w:rPr>
      </w:pPr>
      <w:r w:rsidRPr="0063018E">
        <w:rPr>
          <w:lang w:val="es-ES_tradnl"/>
        </w:rPr>
        <w:t>Deberá garantizarse la precisión de la radiogoniometría. La precisión de la radiogoniometría publicada deberá ser válida en toda la gama de temperaturas indicada en la hoja de datos.</w:t>
      </w:r>
    </w:p>
    <w:p w:rsidR="00F97D17" w:rsidRPr="00CC69B2" w:rsidRDefault="00F97D17" w:rsidP="00C94873">
      <w:pPr>
        <w:pStyle w:val="Heading4"/>
        <w:rPr>
          <w:lang w:val="es-ES_tradnl"/>
        </w:rPr>
      </w:pPr>
      <w:r w:rsidRPr="00CC69B2">
        <w:rPr>
          <w:lang w:val="es-ES_tradnl"/>
        </w:rPr>
        <w:t>3.3.1.4</w:t>
      </w:r>
      <w:r w:rsidRPr="00CC69B2">
        <w:rPr>
          <w:lang w:val="es-ES_tradnl"/>
        </w:rPr>
        <w:tab/>
        <w:t>Definición del procedimiento de prueba de precisión de la radiogoniometría en una plataforma</w:t>
      </w:r>
    </w:p>
    <w:p w:rsidR="00F97D17" w:rsidRPr="0063018E" w:rsidRDefault="00F97D17" w:rsidP="00985DE2">
      <w:pPr>
        <w:rPr>
          <w:lang w:val="es-ES_tradnl"/>
        </w:rPr>
      </w:pPr>
      <w:r w:rsidRPr="0063018E">
        <w:rPr>
          <w:lang w:val="es-ES_tradnl"/>
        </w:rPr>
        <w:t>La precisión de la radiogoniometría se lleva a cabo utilizando un simulador de acimut de llegada. Este dispositivo hace posible aplicar a cada antena elemental de una antena de radiogoniometría una señal con una amplitud y fase correctas. Véase la Fig. 15.</w:t>
      </w:r>
    </w:p>
    <w:p w:rsidR="00F97D17" w:rsidRPr="00CC69B2" w:rsidRDefault="00F97D17" w:rsidP="00601082">
      <w:pPr>
        <w:pStyle w:val="FigureNo"/>
        <w:rPr>
          <w:rFonts w:eastAsia="MS Mincho"/>
          <w:lang w:val="es-ES_tradnl"/>
        </w:rPr>
      </w:pPr>
      <w:r w:rsidRPr="00CC69B2">
        <w:rPr>
          <w:rFonts w:eastAsia="MS Mincho"/>
          <w:lang w:val="es-ES_tradnl"/>
        </w:rPr>
        <w:t>FIGURA 15</w:t>
      </w:r>
    </w:p>
    <w:p w:rsidR="00F97D17" w:rsidRDefault="00F97D17" w:rsidP="00601082">
      <w:pPr>
        <w:pStyle w:val="Figuretitle"/>
        <w:rPr>
          <w:lang w:val="es-ES_tradnl"/>
        </w:rPr>
      </w:pPr>
      <w:r w:rsidRPr="00CC69B2">
        <w:rPr>
          <w:rFonts w:eastAsia="MS Mincho"/>
          <w:lang w:val="es-ES_tradnl"/>
        </w:rPr>
        <w:t xml:space="preserve">Montaje para una medición de la precisión de </w:t>
      </w:r>
      <w:r w:rsidRPr="00CC69B2">
        <w:rPr>
          <w:lang w:val="es-ES_tradnl"/>
        </w:rPr>
        <w:t>radiogoniometría de una estación</w:t>
      </w:r>
      <w:r w:rsidRPr="00CC69B2">
        <w:rPr>
          <w:lang w:val="es-ES_tradnl"/>
        </w:rPr>
        <w:br/>
        <w:t>de radiogoniometría situada en una plataforma</w:t>
      </w:r>
    </w:p>
    <w:p w:rsidR="00F674AA" w:rsidRPr="00B874B3" w:rsidRDefault="00F674AA" w:rsidP="00F674AA">
      <w:pPr>
        <w:pStyle w:val="Blanc"/>
        <w:rPr>
          <w:lang w:val="es-ES_tradnl"/>
        </w:rPr>
      </w:pPr>
    </w:p>
    <w:p w:rsidR="00601082" w:rsidRPr="00601082" w:rsidRDefault="00601082" w:rsidP="00601082">
      <w:pPr>
        <w:pStyle w:val="Figure"/>
        <w:rPr>
          <w:lang w:val="es-ES_tradnl"/>
        </w:rPr>
      </w:pPr>
      <w:r>
        <w:rPr>
          <w:lang w:val="es-ES_tradnl"/>
        </w:rPr>
        <w:object w:dxaOrig="8527" w:dyaOrig="1169">
          <v:shape id="_x0000_i1050" type="#_x0000_t75" style="width:480.75pt;height:66pt" o:ole="">
            <v:imagedata r:id="rId65" o:title=""/>
          </v:shape>
          <o:OLEObject Type="Embed" ProgID="CorelDRAW.Graphic.14" ShapeID="_x0000_i1050" DrawAspect="Content" ObjectID="_1413614820" r:id="rId66"/>
        </w:object>
      </w:r>
    </w:p>
    <w:p w:rsidR="00F97D17" w:rsidRPr="0063018E" w:rsidRDefault="00F97D17" w:rsidP="00F674AA">
      <w:pPr>
        <w:pStyle w:val="Normalaftertitle"/>
        <w:rPr>
          <w:lang w:val="es-ES_tradnl"/>
        </w:rPr>
      </w:pPr>
      <w:r w:rsidRPr="0063018E">
        <w:rPr>
          <w:lang w:val="es-ES_tradnl"/>
        </w:rPr>
        <w:t>El método de medición es el mismo que en el caso de un EPZA salvo que el acimut teórico viene dado por el simulador de antena.</w:t>
      </w:r>
    </w:p>
    <w:p w:rsidR="00F97D17" w:rsidRPr="00CC69B2" w:rsidRDefault="00F97D17" w:rsidP="00A67C8B">
      <w:pPr>
        <w:pStyle w:val="Heading3"/>
        <w:rPr>
          <w:lang w:val="es-ES_tradnl"/>
        </w:rPr>
      </w:pPr>
      <w:r w:rsidRPr="00CC69B2">
        <w:rPr>
          <w:lang w:val="es-ES_tradnl"/>
        </w:rPr>
        <w:t>3.3.2</w:t>
      </w:r>
      <w:r w:rsidRPr="00CC69B2">
        <w:rPr>
          <w:lang w:val="es-ES_tradnl"/>
        </w:rPr>
        <w:tab/>
        <w:t>Velocidad de exploración de la medición de radiogoniometría</w:t>
      </w:r>
    </w:p>
    <w:p w:rsidR="00F97D17" w:rsidRPr="0063018E" w:rsidRDefault="00F97D17" w:rsidP="00985DE2">
      <w:pPr>
        <w:rPr>
          <w:lang w:val="es-ES_tradnl"/>
        </w:rPr>
      </w:pPr>
      <w:r w:rsidRPr="0063018E">
        <w:rPr>
          <w:lang w:val="es-ES_tradnl"/>
        </w:rPr>
        <w:t>La velocidad de exploración de radiogoniometría caracteriza el número de transmisores que puede analizar una estación de radiogoniometría en un periodo de tiempo determinado. Este parámetro depende de dos factores:</w:t>
      </w:r>
    </w:p>
    <w:p w:rsidR="00F97D17" w:rsidRPr="00CC69B2" w:rsidRDefault="00F97D17" w:rsidP="00A67C8B">
      <w:pPr>
        <w:pStyle w:val="enumlev1"/>
        <w:rPr>
          <w:lang w:val="es-ES_tradnl"/>
        </w:rPr>
      </w:pPr>
      <w:r w:rsidRPr="00CC69B2">
        <w:rPr>
          <w:lang w:val="es-ES_tradnl"/>
        </w:rPr>
        <w:t>–</w:t>
      </w:r>
      <w:r w:rsidRPr="00CC69B2">
        <w:rPr>
          <w:lang w:val="es-ES_tradnl"/>
        </w:rPr>
        <w:tab/>
        <w:t>la velocidad del receptor (emplazamiento de los osciladores locales, filtros ...);</w:t>
      </w:r>
    </w:p>
    <w:p w:rsidR="00F97D17" w:rsidRPr="00CC69B2" w:rsidRDefault="00F97D17" w:rsidP="00A67C8B">
      <w:pPr>
        <w:pStyle w:val="enumlev1"/>
        <w:rPr>
          <w:lang w:val="es-ES_tradnl"/>
        </w:rPr>
      </w:pPr>
      <w:r w:rsidRPr="00CC69B2">
        <w:rPr>
          <w:lang w:val="es-ES_tradnl"/>
        </w:rPr>
        <w:t>–</w:t>
      </w:r>
      <w:r w:rsidRPr="00CC69B2">
        <w:rPr>
          <w:lang w:val="es-ES_tradnl"/>
        </w:rPr>
        <w:tab/>
        <w:t>la velocidad de procesamiento digital (FFT, mediciones radiogoniométricas ...).</w:t>
      </w:r>
    </w:p>
    <w:p w:rsidR="00F97D17" w:rsidRPr="0063018E" w:rsidRDefault="00F97D17" w:rsidP="00A67C8B">
      <w:pPr>
        <w:rPr>
          <w:lang w:val="es-ES_tradnl"/>
        </w:rPr>
      </w:pPr>
      <w:r w:rsidRPr="0063018E">
        <w:rPr>
          <w:lang w:val="es-ES_tradnl"/>
        </w:rPr>
        <w:t>La velocidad de exploración es la capacidad que tiene el radiogoniómetro de medir una velocidad de detección de radiogoniometría de las señales entrantes en una banda de frecuencias determinada comprendida entre Fmín y Fmáx. El valor de la velocidad de exploración viene dado en MHz/s.</w:t>
      </w:r>
    </w:p>
    <w:p w:rsidR="00F97D17" w:rsidRPr="0063018E" w:rsidRDefault="00F97D17" w:rsidP="00985DE2">
      <w:pPr>
        <w:rPr>
          <w:lang w:val="es-ES_tradnl"/>
        </w:rPr>
      </w:pPr>
      <w:r w:rsidRPr="0063018E">
        <w:rPr>
          <w:lang w:val="es-ES_tradnl"/>
        </w:rPr>
        <w:t>La velocidad de exploración de radiogoniometría es independiente de la antena utilizada y, por consiguiente, la medición se realizará sin antena. La velocidad de exploración medida deberá ser la velocidad de exploración de la cadena de recepción de la estación de radiogoniometría como se define en la Fig. 10.</w:t>
      </w:r>
    </w:p>
    <w:p w:rsidR="00F97D17" w:rsidRPr="0063018E" w:rsidRDefault="00F97D17" w:rsidP="00985DE2">
      <w:pPr>
        <w:rPr>
          <w:lang w:val="es-ES_tradnl"/>
        </w:rPr>
      </w:pPr>
      <w:r w:rsidRPr="0063018E">
        <w:rPr>
          <w:lang w:val="es-ES_tradnl"/>
        </w:rPr>
        <w:t>El comportamiento viene garantizado por dos mediciones:</w:t>
      </w:r>
    </w:p>
    <w:p w:rsidR="00F97D17" w:rsidRPr="00CC69B2" w:rsidRDefault="00F97D17" w:rsidP="00A67C8B">
      <w:pPr>
        <w:pStyle w:val="enumlev1"/>
        <w:rPr>
          <w:lang w:val="es-ES_tradnl"/>
        </w:rPr>
      </w:pPr>
      <w:r w:rsidRPr="00CC69B2">
        <w:rPr>
          <w:lang w:val="es-ES_tradnl"/>
        </w:rPr>
        <w:t>–</w:t>
      </w:r>
      <w:r w:rsidRPr="00CC69B2">
        <w:rPr>
          <w:lang w:val="es-ES_tradnl"/>
        </w:rPr>
        <w:tab/>
        <w:t>cálculo del acimut válido de una ráfaga, que prueba a la velocidad a la que la banda ha sido explorada;</w:t>
      </w:r>
    </w:p>
    <w:p w:rsidR="00F97D17" w:rsidRPr="00CC69B2" w:rsidRDefault="00F97D17" w:rsidP="00A67C8B">
      <w:pPr>
        <w:pStyle w:val="enumlev1"/>
        <w:rPr>
          <w:lang w:val="es-ES_tradnl"/>
        </w:rPr>
      </w:pPr>
      <w:r w:rsidRPr="00CC69B2">
        <w:rPr>
          <w:lang w:val="es-ES_tradnl"/>
        </w:rPr>
        <w:t>–</w:t>
      </w:r>
      <w:r w:rsidRPr="00CC69B2">
        <w:rPr>
          <w:lang w:val="es-ES_tradnl"/>
        </w:rPr>
        <w:tab/>
        <w:t>cálculo del acimut válido de varias ráfagas simultáneas sin repercusión sobre la velocidad a la que la banda ha sido explorada.</w:t>
      </w:r>
    </w:p>
    <w:p w:rsidR="00F97D17" w:rsidRPr="0063018E" w:rsidRDefault="00F97D17" w:rsidP="00985DE2">
      <w:pPr>
        <w:rPr>
          <w:lang w:val="es-ES_tradnl"/>
        </w:rPr>
      </w:pPr>
      <w:r w:rsidRPr="0063018E">
        <w:rPr>
          <w:lang w:val="es-ES_tradnl"/>
        </w:rPr>
        <w:t>Para la medición de la velocidad de exploración sólo se tendrán en cuenta las mediciones de acimut válido.</w:t>
      </w:r>
    </w:p>
    <w:p w:rsidR="00F97D17" w:rsidRPr="00CC69B2" w:rsidRDefault="00F97D17" w:rsidP="00A67C8B">
      <w:pPr>
        <w:pStyle w:val="Headingb"/>
        <w:rPr>
          <w:lang w:val="es-ES_tradnl"/>
        </w:rPr>
      </w:pPr>
      <w:r w:rsidRPr="00CC69B2">
        <w:rPr>
          <w:lang w:val="es-ES_tradnl"/>
        </w:rPr>
        <w:lastRenderedPageBreak/>
        <w:t>Presentación de los resultados</w:t>
      </w:r>
    </w:p>
    <w:p w:rsidR="00F97D17" w:rsidRPr="0063018E" w:rsidRDefault="00F97D17" w:rsidP="00985DE2">
      <w:pPr>
        <w:rPr>
          <w:lang w:val="es-ES_tradnl"/>
        </w:rPr>
      </w:pPr>
      <w:r w:rsidRPr="0063018E">
        <w:rPr>
          <w:lang w:val="es-ES_tradnl"/>
        </w:rPr>
        <w:t>Deberá garantizarse la velocidad de exploración de radiogoniometría.</w:t>
      </w:r>
    </w:p>
    <w:p w:rsidR="00F97D17" w:rsidRPr="0063018E" w:rsidRDefault="00F97D17" w:rsidP="00985DE2">
      <w:pPr>
        <w:rPr>
          <w:lang w:val="es-ES_tradnl"/>
        </w:rPr>
      </w:pPr>
      <w:r w:rsidRPr="0063018E">
        <w:rPr>
          <w:lang w:val="es-ES_tradnl"/>
        </w:rPr>
        <w:t>La velocidad de exploración publicada deberá ser válida en toda la gama de temperaturas indicada en la hoja de datos.</w:t>
      </w:r>
    </w:p>
    <w:p w:rsidR="00F97D17" w:rsidRPr="00CC69B2" w:rsidRDefault="00F97D17" w:rsidP="00A67C8B">
      <w:pPr>
        <w:pStyle w:val="Heading3"/>
        <w:rPr>
          <w:lang w:val="es-ES_tradnl"/>
        </w:rPr>
      </w:pPr>
      <w:r w:rsidRPr="00CC69B2">
        <w:rPr>
          <w:lang w:val="es-ES_tradnl"/>
        </w:rPr>
        <w:t>3.3.3</w:t>
      </w:r>
      <w:r w:rsidRPr="00CC69B2">
        <w:rPr>
          <w:lang w:val="es-ES_tradnl"/>
        </w:rPr>
        <w:tab/>
        <w:t>Mínima duración de la señal de radiogoniometría</w:t>
      </w:r>
    </w:p>
    <w:p w:rsidR="00F97D17" w:rsidRPr="0063018E" w:rsidRDefault="00F97D17" w:rsidP="00A67C8B">
      <w:pPr>
        <w:pStyle w:val="Headingi"/>
        <w:rPr>
          <w:lang w:val="es-ES_tradnl"/>
        </w:rPr>
      </w:pPr>
      <w:bookmarkStart w:id="111" w:name="_Toc303861633"/>
      <w:r w:rsidRPr="0063018E">
        <w:rPr>
          <w:lang w:val="es-ES_tradnl"/>
        </w:rPr>
        <w:t>Principio de medición</w:t>
      </w:r>
      <w:bookmarkEnd w:id="111"/>
    </w:p>
    <w:p w:rsidR="00F97D17" w:rsidRPr="0063018E" w:rsidRDefault="00F97D17" w:rsidP="00A67C8B">
      <w:pPr>
        <w:rPr>
          <w:lang w:val="es-ES_tradnl"/>
        </w:rPr>
      </w:pPr>
      <w:r w:rsidRPr="0063018E">
        <w:rPr>
          <w:lang w:val="es-ES_tradnl"/>
        </w:rPr>
        <w:t>La mínima duración de la señal caracteriza el tiempo mínimo en que una señal debe estar presente a fin de poder ser detectada y medida por el radiogoniómetro.</w:t>
      </w:r>
    </w:p>
    <w:p w:rsidR="00F97D17" w:rsidRPr="0063018E" w:rsidRDefault="00F97D17" w:rsidP="00985DE2">
      <w:pPr>
        <w:rPr>
          <w:lang w:val="es-ES_tradnl"/>
        </w:rPr>
      </w:pPr>
      <w:r w:rsidRPr="0063018E">
        <w:rPr>
          <w:lang w:val="es-ES_tradnl"/>
        </w:rPr>
        <w:t>Este tiempo depende de:</w:t>
      </w:r>
    </w:p>
    <w:p w:rsidR="00F97D17" w:rsidRPr="00CC69B2" w:rsidRDefault="00F97D17" w:rsidP="00A67C8B">
      <w:pPr>
        <w:pStyle w:val="enumlev1"/>
        <w:rPr>
          <w:lang w:val="es-ES_tradnl"/>
        </w:rPr>
      </w:pPr>
      <w:r w:rsidRPr="00CC69B2">
        <w:rPr>
          <w:lang w:val="es-ES_tradnl"/>
        </w:rPr>
        <w:t>–</w:t>
      </w:r>
      <w:r w:rsidRPr="00CC69B2">
        <w:rPr>
          <w:lang w:val="es-ES_tradnl"/>
        </w:rPr>
        <w:tab/>
        <w:t>la velocidad de procesamiento digital (FFT, medida radiogoniometría ...);</w:t>
      </w:r>
    </w:p>
    <w:p w:rsidR="00F97D17" w:rsidRPr="00CC69B2" w:rsidRDefault="00F97D17" w:rsidP="00A67C8B">
      <w:pPr>
        <w:pStyle w:val="enumlev1"/>
        <w:rPr>
          <w:lang w:val="es-ES_tradnl"/>
        </w:rPr>
      </w:pPr>
      <w:r w:rsidRPr="00CC69B2">
        <w:rPr>
          <w:lang w:val="es-ES_tradnl"/>
        </w:rPr>
        <w:t>–</w:t>
      </w:r>
      <w:r w:rsidRPr="00CC69B2">
        <w:rPr>
          <w:lang w:val="es-ES_tradnl"/>
        </w:rPr>
        <w:tab/>
        <w:t>el filtro de FI seleccionado.</w:t>
      </w:r>
    </w:p>
    <w:p w:rsidR="00F97D17" w:rsidRPr="0063018E" w:rsidRDefault="00F97D17" w:rsidP="00A67C8B">
      <w:pPr>
        <w:rPr>
          <w:lang w:val="es-ES_tradnl"/>
        </w:rPr>
      </w:pPr>
      <w:r w:rsidRPr="0063018E">
        <w:rPr>
          <w:lang w:val="es-ES_tradnl"/>
        </w:rPr>
        <w:t>El principio de medición consiste en generar un impulso igual en tiempo a la mínima duración de la señal y calcular la probabilidad de detección, que debe ser superior al 95%.</w:t>
      </w:r>
    </w:p>
    <w:p w:rsidR="00F97D17" w:rsidRPr="00CC69B2" w:rsidRDefault="00F97D17" w:rsidP="00A67C8B">
      <w:pPr>
        <w:pStyle w:val="Headingb"/>
        <w:rPr>
          <w:lang w:val="es-ES_tradnl"/>
        </w:rPr>
      </w:pPr>
      <w:r w:rsidRPr="00CC69B2">
        <w:rPr>
          <w:lang w:val="es-ES_tradnl"/>
        </w:rPr>
        <w:t>Presentación de los resultados</w:t>
      </w:r>
    </w:p>
    <w:p w:rsidR="00F97D17" w:rsidRPr="0063018E" w:rsidRDefault="00F97D17" w:rsidP="00985DE2">
      <w:pPr>
        <w:rPr>
          <w:lang w:val="es-ES_tradnl"/>
        </w:rPr>
      </w:pPr>
      <w:r w:rsidRPr="0063018E">
        <w:rPr>
          <w:lang w:val="es-ES_tradnl"/>
        </w:rPr>
        <w:t>Deberá garantizarse la mínima duración de la señal.</w:t>
      </w:r>
    </w:p>
    <w:p w:rsidR="00F97D17" w:rsidRDefault="00F97D17" w:rsidP="00985DE2">
      <w:pPr>
        <w:rPr>
          <w:lang w:val="es-ES_tradnl"/>
        </w:rPr>
      </w:pPr>
      <w:r w:rsidRPr="0063018E">
        <w:rPr>
          <w:lang w:val="es-ES_tradnl"/>
        </w:rPr>
        <w:t>La mínima duración de la señal publicada deberá ser válida en toda la gama de temperaturas indicada en la hoja de datos.</w:t>
      </w:r>
    </w:p>
    <w:p w:rsidR="00A67C8B" w:rsidRDefault="00A67C8B" w:rsidP="00985DE2">
      <w:pPr>
        <w:rPr>
          <w:lang w:val="es-ES_tradnl"/>
        </w:rPr>
      </w:pPr>
    </w:p>
    <w:p w:rsidR="00A67C8B" w:rsidRDefault="00A67C8B" w:rsidP="00985DE2">
      <w:pPr>
        <w:rPr>
          <w:lang w:val="es-ES_tradnl"/>
        </w:rPr>
      </w:pPr>
    </w:p>
    <w:p w:rsidR="00A67C8B" w:rsidRPr="00B874B3" w:rsidRDefault="00A67C8B" w:rsidP="00A67C8B">
      <w:pPr>
        <w:pStyle w:val="Line"/>
        <w:rPr>
          <w:lang w:val="es-ES_tradnl"/>
        </w:rPr>
      </w:pPr>
    </w:p>
    <w:sectPr w:rsidR="00A67C8B" w:rsidRPr="00B874B3" w:rsidSect="001A5BFA">
      <w:headerReference w:type="even" r:id="rId67"/>
      <w:headerReference w:type="default" r:id="rId68"/>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93E" w:rsidRDefault="0079293E">
      <w:r>
        <w:separator/>
      </w:r>
    </w:p>
  </w:endnote>
  <w:endnote w:type="continuationSeparator" w:id="0">
    <w:p w:rsidR="0079293E" w:rsidRDefault="00792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93E" w:rsidRDefault="0079293E">
      <w:r>
        <w:separator/>
      </w:r>
    </w:p>
  </w:footnote>
  <w:footnote w:type="continuationSeparator" w:id="0">
    <w:p w:rsidR="0079293E" w:rsidRDefault="0079293E">
      <w:r>
        <w:continuationSeparator/>
      </w:r>
    </w:p>
  </w:footnote>
  <w:footnote w:id="1">
    <w:p w:rsidR="00442175" w:rsidRPr="00442175" w:rsidRDefault="00442175" w:rsidP="00442175">
      <w:pPr>
        <w:pStyle w:val="FootnoteText"/>
        <w:rPr>
          <w:lang w:val="es-ES_tradnl"/>
        </w:rPr>
      </w:pPr>
      <w:r w:rsidRPr="00442175">
        <w:rPr>
          <w:rStyle w:val="FootnoteReference"/>
          <w:lang w:val="es-ES_tradnl"/>
        </w:rPr>
        <w:t>*</w:t>
      </w:r>
      <w:r w:rsidRPr="00442175">
        <w:rPr>
          <w:lang w:val="es-ES_tradnl"/>
        </w:rPr>
        <w:t xml:space="preserve"> </w:t>
      </w:r>
      <w:r w:rsidRPr="00442175">
        <w:rPr>
          <w:lang w:val="es-ES_tradnl"/>
        </w:rPr>
        <w:tab/>
      </w:r>
      <w:r>
        <w:rPr>
          <w:lang w:val="es-ES_tradnl"/>
        </w:rPr>
        <w:t>La Comisión de Estudio 1 de Radiocomunicaciones introdujo modificaciones redaccionales en este Informe en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3E" w:rsidRDefault="0079293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3E" w:rsidRDefault="0079293E" w:rsidP="00D35C21">
    <w:pPr>
      <w:pStyle w:val="Header"/>
      <w:ind w:right="360" w:firstLine="360"/>
    </w:pPr>
    <w:r>
      <w:rPr>
        <w:noProof/>
        <w:lang w:val="en-US" w:eastAsia="zh-CN"/>
      </w:rPr>
      <w:drawing>
        <wp:anchor distT="0" distB="0" distL="114300" distR="114300" simplePos="0" relativeHeight="251659264" behindDoc="1" locked="0" layoutInCell="1" allowOverlap="1" wp14:anchorId="3491DA7A" wp14:editId="5A7756B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3E" w:rsidRPr="00A56CDD" w:rsidRDefault="0079293E" w:rsidP="00D35C21">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A56BB3">
      <w:rPr>
        <w:b/>
        <w:bCs/>
        <w:noProof/>
        <w:lang w:val="en-US"/>
      </w:rPr>
      <w:t>ii</w:t>
    </w:r>
    <w:r w:rsidRPr="00A56CDD">
      <w:fldChar w:fldCharType="end"/>
    </w:r>
    <w:r w:rsidRPr="00A56CDD">
      <w:rPr>
        <w:lang w:val="en-US"/>
      </w:rPr>
      <w:tab/>
    </w:r>
    <w:r>
      <w:fldChar w:fldCharType="begin"/>
    </w:r>
    <w:r w:rsidRPr="00F97D17">
      <w:rPr>
        <w:lang w:val="en-US"/>
      </w:rPr>
      <w:instrText xml:space="preserve"> DOCPROPERTY "Header 3" \* MERGEFORMAT </w:instrText>
    </w:r>
    <w:r>
      <w:fldChar w:fldCharType="separate"/>
    </w:r>
    <w:r w:rsidR="005369BC" w:rsidRPr="005369BC">
      <w:rPr>
        <w:b/>
        <w:bCs/>
        <w:lang w:val="en-US"/>
      </w:rPr>
      <w:t xml:space="preserve">I. </w:t>
    </w:r>
    <w:r>
      <w:rPr>
        <w:b/>
        <w:bCs/>
        <w:lang w:val="en-US"/>
      </w:rPr>
      <w:fldChar w:fldCharType="end"/>
    </w:r>
    <w:r w:rsidRPr="00F97D17">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A56BB3">
      <w:rPr>
        <w:b/>
        <w:bCs/>
        <w:noProof/>
      </w:rPr>
      <w:t>UIT-R  SM.2125-1</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3E" w:rsidRDefault="0079293E">
    <w:pPr>
      <w:pStyle w:val="Header"/>
    </w:pPr>
    <w:r>
      <w:tab/>
    </w:r>
    <w:fldSimple w:instr=" DOCPROPERTY &quot;Header&quot; \* MERGEFORMAT ">
      <w:r w:rsidR="005369BC" w:rsidRPr="005369B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369BC">
      <w:rPr>
        <w:b/>
        <w:bCs/>
        <w:noProof/>
      </w:rPr>
      <w:t>UIT-R  SM.2125-1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3E" w:rsidRDefault="0079293E" w:rsidP="001A5B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56BB3">
      <w:rPr>
        <w:rStyle w:val="PageNumber"/>
        <w:b/>
        <w:bCs/>
        <w:noProof/>
        <w:lang w:val="en-US"/>
      </w:rPr>
      <w:t>10</w:t>
    </w:r>
    <w:r>
      <w:rPr>
        <w:rStyle w:val="PageNumber"/>
        <w:b/>
        <w:bCs/>
      </w:rPr>
      <w:fldChar w:fldCharType="end"/>
    </w:r>
    <w:r>
      <w:rPr>
        <w:lang w:val="en-US"/>
      </w:rPr>
      <w:tab/>
    </w:r>
    <w:r>
      <w:fldChar w:fldCharType="begin"/>
    </w:r>
    <w:r w:rsidRPr="00F97D17">
      <w:rPr>
        <w:lang w:val="en-US"/>
      </w:rPr>
      <w:instrText xml:space="preserve"> DOCPROPERTY "Header 3" \* MERGEFORMAT </w:instrText>
    </w:r>
    <w:r>
      <w:fldChar w:fldCharType="separate"/>
    </w:r>
    <w:r w:rsidR="005369BC" w:rsidRPr="005369BC">
      <w:rPr>
        <w:b/>
        <w:bCs/>
        <w:lang w:val="en-US"/>
      </w:rPr>
      <w:t xml:space="preserve">I. </w:t>
    </w:r>
    <w:r>
      <w:rPr>
        <w:b/>
        <w:bCs/>
        <w:lang w:val="en-US"/>
      </w:rPr>
      <w:fldChar w:fldCharType="end"/>
    </w:r>
    <w:r w:rsidRPr="00F97D17">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A56BB3">
      <w:rPr>
        <w:b/>
        <w:bCs/>
        <w:noProof/>
      </w:rPr>
      <w:t>UIT-R  SM.2125-1</w:t>
    </w:r>
    <w:r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3E" w:rsidRPr="001A5BFA" w:rsidRDefault="0079293E" w:rsidP="001A5BFA">
    <w:pPr>
      <w:pStyle w:val="Header"/>
      <w:rPr>
        <w:b/>
        <w:bCs/>
      </w:rPr>
    </w:pPr>
    <w:r>
      <w:tab/>
    </w:r>
    <w:r>
      <w:fldChar w:fldCharType="begin"/>
    </w:r>
    <w:r w:rsidRPr="00F97D17">
      <w:rPr>
        <w:lang w:val="en-US"/>
      </w:rPr>
      <w:instrText xml:space="preserve"> DOCPROPERTY "Header 3" \* MERGEFORMAT </w:instrText>
    </w:r>
    <w:r>
      <w:fldChar w:fldCharType="separate"/>
    </w:r>
    <w:r w:rsidR="005369BC" w:rsidRPr="005369BC">
      <w:rPr>
        <w:b/>
        <w:bCs/>
        <w:lang w:val="en-US"/>
      </w:rPr>
      <w:t xml:space="preserve">I. </w:t>
    </w:r>
    <w:r>
      <w:rPr>
        <w:b/>
        <w:bCs/>
        <w:lang w:val="en-US"/>
      </w:rPr>
      <w:fldChar w:fldCharType="end"/>
    </w:r>
    <w:r w:rsidRPr="00F97D17">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A56BB3">
      <w:rPr>
        <w:b/>
        <w:bCs/>
        <w:noProof/>
      </w:rPr>
      <w:t>UIT-R  SM.2125-1</w:t>
    </w:r>
    <w:r w:rsidRPr="00A56CDD">
      <w:fldChar w:fldCharType="end"/>
    </w:r>
    <w:r>
      <w:tab/>
    </w:r>
    <w:r w:rsidRPr="001A5BFA">
      <w:rPr>
        <w:b/>
        <w:bCs/>
      </w:rPr>
      <w:fldChar w:fldCharType="begin"/>
    </w:r>
    <w:r w:rsidRPr="001A5BFA">
      <w:rPr>
        <w:b/>
        <w:bCs/>
      </w:rPr>
      <w:instrText xml:space="preserve"> PAGE   \* MERGEFORMAT </w:instrText>
    </w:r>
    <w:r w:rsidRPr="001A5BFA">
      <w:rPr>
        <w:b/>
        <w:bCs/>
      </w:rPr>
      <w:fldChar w:fldCharType="separate"/>
    </w:r>
    <w:r w:rsidR="00A56BB3">
      <w:rPr>
        <w:b/>
        <w:bCs/>
        <w:noProof/>
      </w:rPr>
      <w:t>11</w:t>
    </w:r>
    <w:r w:rsidRPr="001A5BFA">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4E36B5D"/>
    <w:multiLevelType w:val="hybridMultilevel"/>
    <w:tmpl w:val="1B7CE0E0"/>
    <w:lvl w:ilvl="0" w:tplc="A02C56A2">
      <w:start w:val="2"/>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A0B77A2"/>
    <w:multiLevelType w:val="hybridMultilevel"/>
    <w:tmpl w:val="8B9208C6"/>
    <w:lvl w:ilvl="0" w:tplc="DAD22B0A">
      <w:start w:val="2"/>
      <w:numFmt w:val="bullet"/>
      <w:lvlText w:val=""/>
      <w:lvlJc w:val="left"/>
      <w:pPr>
        <w:tabs>
          <w:tab w:val="num" w:pos="720"/>
        </w:tabs>
        <w:ind w:left="720" w:hanging="360"/>
      </w:pPr>
      <w:rPr>
        <w:rFonts w:ascii="Wingdings" w:eastAsia="SimSu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7B4ECC"/>
    <w:multiLevelType w:val="hybridMultilevel"/>
    <w:tmpl w:val="F2D8EE10"/>
    <w:lvl w:ilvl="0" w:tplc="782A89B8">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2">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EC157AC"/>
    <w:multiLevelType w:val="hybridMultilevel"/>
    <w:tmpl w:val="415024FC"/>
    <w:lvl w:ilvl="0" w:tplc="D6E4861C">
      <w:start w:val="2"/>
      <w:numFmt w:val="decimal"/>
      <w:lvlText w:val="%1"/>
      <w:lvlJc w:val="left"/>
      <w:pPr>
        <w:tabs>
          <w:tab w:val="num" w:pos="1140"/>
        </w:tabs>
        <w:ind w:left="1140" w:hanging="108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2">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4">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5">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6">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7">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8">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9">
    <w:nsid w:val="6C1243EA"/>
    <w:multiLevelType w:val="hybridMultilevel"/>
    <w:tmpl w:val="35A68FFC"/>
    <w:lvl w:ilvl="0" w:tplc="C5BA1266">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2">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abstractNum w:abstractNumId="44">
    <w:nsid w:val="7E170146"/>
    <w:multiLevelType w:val="hybridMultilevel"/>
    <w:tmpl w:val="4BD4785C"/>
    <w:lvl w:ilvl="0" w:tplc="1D5A5702">
      <w:start w:val="1"/>
      <w:numFmt w:val="decimal"/>
      <w:lvlText w:val="%1"/>
      <w:lvlJc w:val="left"/>
      <w:pPr>
        <w:tabs>
          <w:tab w:val="num" w:pos="1140"/>
        </w:tabs>
        <w:ind w:left="1140" w:hanging="7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7"/>
  </w:num>
  <w:num w:numId="3">
    <w:abstractNumId w:val="3"/>
  </w:num>
  <w:num w:numId="4">
    <w:abstractNumId w:val="14"/>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22"/>
  </w:num>
  <w:num w:numId="8">
    <w:abstractNumId w:val="37"/>
  </w:num>
  <w:num w:numId="9">
    <w:abstractNumId w:val="9"/>
  </w:num>
  <w:num w:numId="10">
    <w:abstractNumId w:val="40"/>
  </w:num>
  <w:num w:numId="11">
    <w:abstractNumId w:val="25"/>
  </w:num>
  <w:num w:numId="12">
    <w:abstractNumId w:val="24"/>
  </w:num>
  <w:num w:numId="13">
    <w:abstractNumId w:val="41"/>
  </w:num>
  <w:num w:numId="14">
    <w:abstractNumId w:val="43"/>
  </w:num>
  <w:num w:numId="15">
    <w:abstractNumId w:val="6"/>
  </w:num>
  <w:num w:numId="16">
    <w:abstractNumId w:val="32"/>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3"/>
  </w:num>
  <w:num w:numId="20">
    <w:abstractNumId w:val="11"/>
  </w:num>
  <w:num w:numId="21">
    <w:abstractNumId w:val="23"/>
  </w:num>
  <w:num w:numId="22">
    <w:abstractNumId w:val="35"/>
  </w:num>
  <w:num w:numId="23">
    <w:abstractNumId w:val="10"/>
  </w:num>
  <w:num w:numId="24">
    <w:abstractNumId w:val="1"/>
  </w:num>
  <w:num w:numId="25">
    <w:abstractNumId w:val="18"/>
  </w:num>
  <w:num w:numId="26">
    <w:abstractNumId w:val="30"/>
  </w:num>
  <w:num w:numId="27">
    <w:abstractNumId w:val="26"/>
  </w:num>
  <w:num w:numId="28">
    <w:abstractNumId w:val="13"/>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2"/>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42"/>
  </w:num>
  <w:num w:numId="37">
    <w:abstractNumId w:val="16"/>
  </w:num>
  <w:num w:numId="38">
    <w:abstractNumId w:val="36"/>
  </w:num>
  <w:num w:numId="39">
    <w:abstractNumId w:val="38"/>
  </w:num>
  <w:num w:numId="40">
    <w:abstractNumId w:val="39"/>
  </w:num>
  <w:num w:numId="41">
    <w:abstractNumId w:val="7"/>
  </w:num>
  <w:num w:numId="42">
    <w:abstractNumId w:val="19"/>
  </w:num>
  <w:num w:numId="43">
    <w:abstractNumId w:val="44"/>
  </w:num>
  <w:num w:numId="44">
    <w:abstractNumId w:val="31"/>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D17"/>
    <w:rsid w:val="00002078"/>
    <w:rsid w:val="00014714"/>
    <w:rsid w:val="000641A2"/>
    <w:rsid w:val="00070AD0"/>
    <w:rsid w:val="00083079"/>
    <w:rsid w:val="001354ED"/>
    <w:rsid w:val="00142392"/>
    <w:rsid w:val="00151C75"/>
    <w:rsid w:val="001A5BFA"/>
    <w:rsid w:val="001E705B"/>
    <w:rsid w:val="00216B18"/>
    <w:rsid w:val="00217EBF"/>
    <w:rsid w:val="00221079"/>
    <w:rsid w:val="00247B58"/>
    <w:rsid w:val="002D76C4"/>
    <w:rsid w:val="00304D67"/>
    <w:rsid w:val="003261B3"/>
    <w:rsid w:val="003B0BB0"/>
    <w:rsid w:val="003D1B30"/>
    <w:rsid w:val="003F7126"/>
    <w:rsid w:val="004255BD"/>
    <w:rsid w:val="004400A5"/>
    <w:rsid w:val="00442175"/>
    <w:rsid w:val="004D6BA5"/>
    <w:rsid w:val="004E636E"/>
    <w:rsid w:val="00516F6E"/>
    <w:rsid w:val="005369BC"/>
    <w:rsid w:val="0054399F"/>
    <w:rsid w:val="005563A0"/>
    <w:rsid w:val="005A1F6E"/>
    <w:rsid w:val="005A67C0"/>
    <w:rsid w:val="005C58F5"/>
    <w:rsid w:val="00601082"/>
    <w:rsid w:val="00607D68"/>
    <w:rsid w:val="00633DF3"/>
    <w:rsid w:val="006F6D7F"/>
    <w:rsid w:val="00731803"/>
    <w:rsid w:val="007468DA"/>
    <w:rsid w:val="0079293E"/>
    <w:rsid w:val="008401FF"/>
    <w:rsid w:val="008620FD"/>
    <w:rsid w:val="008661AC"/>
    <w:rsid w:val="0088624F"/>
    <w:rsid w:val="00985DE2"/>
    <w:rsid w:val="00991712"/>
    <w:rsid w:val="009B38F1"/>
    <w:rsid w:val="009E00A8"/>
    <w:rsid w:val="00A11B26"/>
    <w:rsid w:val="00A20ABF"/>
    <w:rsid w:val="00A56BB3"/>
    <w:rsid w:val="00A6617B"/>
    <w:rsid w:val="00A67C8B"/>
    <w:rsid w:val="00AB0DC8"/>
    <w:rsid w:val="00AD60DF"/>
    <w:rsid w:val="00B44E24"/>
    <w:rsid w:val="00B874B3"/>
    <w:rsid w:val="00BD5DAF"/>
    <w:rsid w:val="00BE70DF"/>
    <w:rsid w:val="00C4682B"/>
    <w:rsid w:val="00C94873"/>
    <w:rsid w:val="00CF2552"/>
    <w:rsid w:val="00D35C21"/>
    <w:rsid w:val="00DD6C48"/>
    <w:rsid w:val="00DF4176"/>
    <w:rsid w:val="00E55BA6"/>
    <w:rsid w:val="00E56840"/>
    <w:rsid w:val="00E902EE"/>
    <w:rsid w:val="00E94FB2"/>
    <w:rsid w:val="00EB59EA"/>
    <w:rsid w:val="00F179A7"/>
    <w:rsid w:val="00F674AA"/>
    <w:rsid w:val="00F97D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5D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85DE2"/>
    <w:pPr>
      <w:keepNext/>
      <w:keepLines/>
      <w:spacing w:before="480"/>
      <w:ind w:left="794" w:hanging="794"/>
      <w:outlineLvl w:val="0"/>
    </w:pPr>
    <w:rPr>
      <w:b/>
    </w:rPr>
  </w:style>
  <w:style w:type="paragraph" w:styleId="Heading2">
    <w:name w:val="heading 2"/>
    <w:basedOn w:val="Heading1"/>
    <w:next w:val="Normal"/>
    <w:link w:val="Heading2Char"/>
    <w:qFormat/>
    <w:rsid w:val="00985DE2"/>
    <w:pPr>
      <w:spacing w:before="320"/>
      <w:outlineLvl w:val="1"/>
    </w:pPr>
  </w:style>
  <w:style w:type="paragraph" w:styleId="Heading3">
    <w:name w:val="heading 3"/>
    <w:basedOn w:val="Heading1"/>
    <w:next w:val="Normal"/>
    <w:link w:val="Heading3Char"/>
    <w:qFormat/>
    <w:rsid w:val="00985DE2"/>
    <w:pPr>
      <w:spacing w:before="200"/>
      <w:outlineLvl w:val="2"/>
    </w:pPr>
  </w:style>
  <w:style w:type="paragraph" w:styleId="Heading4">
    <w:name w:val="heading 4"/>
    <w:basedOn w:val="Heading3"/>
    <w:next w:val="Normal"/>
    <w:link w:val="Heading4Char"/>
    <w:qFormat/>
    <w:rsid w:val="00985DE2"/>
    <w:pPr>
      <w:tabs>
        <w:tab w:val="clear" w:pos="794"/>
        <w:tab w:val="left" w:pos="992"/>
      </w:tabs>
      <w:ind w:left="992" w:hanging="992"/>
      <w:outlineLvl w:val="3"/>
    </w:pPr>
  </w:style>
  <w:style w:type="paragraph" w:styleId="Heading5">
    <w:name w:val="heading 5"/>
    <w:basedOn w:val="Heading4"/>
    <w:next w:val="Normal"/>
    <w:link w:val="Heading5Char"/>
    <w:qFormat/>
    <w:rsid w:val="00985DE2"/>
    <w:pPr>
      <w:outlineLvl w:val="4"/>
    </w:pPr>
  </w:style>
  <w:style w:type="paragraph" w:styleId="Heading6">
    <w:name w:val="heading 6"/>
    <w:basedOn w:val="Heading4"/>
    <w:next w:val="Normal"/>
    <w:link w:val="Heading6Char"/>
    <w:qFormat/>
    <w:rsid w:val="00985DE2"/>
    <w:pPr>
      <w:tabs>
        <w:tab w:val="clear" w:pos="992"/>
        <w:tab w:val="clear" w:pos="1191"/>
      </w:tabs>
      <w:ind w:left="1588" w:hanging="1588"/>
      <w:outlineLvl w:val="5"/>
    </w:pPr>
  </w:style>
  <w:style w:type="paragraph" w:styleId="Heading7">
    <w:name w:val="heading 7"/>
    <w:basedOn w:val="Heading6"/>
    <w:next w:val="Normal"/>
    <w:link w:val="Heading7Char"/>
    <w:qFormat/>
    <w:rsid w:val="00985DE2"/>
    <w:pPr>
      <w:outlineLvl w:val="6"/>
    </w:pPr>
  </w:style>
  <w:style w:type="paragraph" w:styleId="Heading8">
    <w:name w:val="heading 8"/>
    <w:basedOn w:val="Heading6"/>
    <w:next w:val="Normal"/>
    <w:link w:val="Heading8Char"/>
    <w:qFormat/>
    <w:rsid w:val="00985DE2"/>
    <w:pPr>
      <w:outlineLvl w:val="7"/>
    </w:pPr>
  </w:style>
  <w:style w:type="paragraph" w:styleId="Heading9">
    <w:name w:val="heading 9"/>
    <w:basedOn w:val="Heading6"/>
    <w:next w:val="Normal"/>
    <w:link w:val="Heading9Char"/>
    <w:qFormat/>
    <w:rsid w:val="00985D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85D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85D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85DE2"/>
  </w:style>
  <w:style w:type="paragraph" w:customStyle="1" w:styleId="Headingb">
    <w:name w:val="Heading_b"/>
    <w:basedOn w:val="Heading3"/>
    <w:next w:val="Normal"/>
    <w:rsid w:val="00985DE2"/>
    <w:pPr>
      <w:spacing w:before="160"/>
      <w:ind w:left="0" w:firstLine="0"/>
      <w:outlineLvl w:val="9"/>
    </w:pPr>
  </w:style>
  <w:style w:type="paragraph" w:customStyle="1" w:styleId="Headingi">
    <w:name w:val="Heading_i"/>
    <w:basedOn w:val="Heading3"/>
    <w:next w:val="Normal"/>
    <w:rsid w:val="00985DE2"/>
    <w:pPr>
      <w:spacing w:before="160"/>
      <w:ind w:left="0" w:firstLine="0"/>
    </w:pPr>
    <w:rPr>
      <w:b w:val="0"/>
      <w:i/>
    </w:rPr>
  </w:style>
  <w:style w:type="character" w:customStyle="1" w:styleId="href">
    <w:name w:val="href"/>
    <w:basedOn w:val="DefaultParagraphFont"/>
    <w:rsid w:val="00985DE2"/>
  </w:style>
  <w:style w:type="paragraph" w:customStyle="1" w:styleId="enumlev1">
    <w:name w:val="enumlev1"/>
    <w:basedOn w:val="Normal"/>
    <w:rsid w:val="00985DE2"/>
    <w:pPr>
      <w:spacing w:before="80"/>
      <w:ind w:left="794" w:hanging="794"/>
    </w:pPr>
  </w:style>
  <w:style w:type="paragraph" w:customStyle="1" w:styleId="enumlev2">
    <w:name w:val="enumlev2"/>
    <w:basedOn w:val="enumlev1"/>
    <w:rsid w:val="00985DE2"/>
    <w:pPr>
      <w:ind w:left="1191" w:hanging="397"/>
    </w:pPr>
  </w:style>
  <w:style w:type="paragraph" w:customStyle="1" w:styleId="enumlev3">
    <w:name w:val="enumlev3"/>
    <w:basedOn w:val="enumlev2"/>
    <w:rsid w:val="00985DE2"/>
    <w:pPr>
      <w:ind w:left="1588"/>
    </w:pPr>
  </w:style>
  <w:style w:type="paragraph" w:customStyle="1" w:styleId="Normalaftertitle">
    <w:name w:val="Normal_after_title"/>
    <w:basedOn w:val="Normal"/>
    <w:next w:val="Normal"/>
    <w:rsid w:val="00985DE2"/>
    <w:pPr>
      <w:spacing w:before="320"/>
    </w:pPr>
  </w:style>
  <w:style w:type="paragraph" w:customStyle="1" w:styleId="Note">
    <w:name w:val="Note"/>
    <w:basedOn w:val="Normal"/>
    <w:rsid w:val="00985DE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85D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85DE2"/>
    <w:pPr>
      <w:spacing w:before="240"/>
    </w:pPr>
    <w:rPr>
      <w:lang w:val="es-ES_tradnl"/>
    </w:rPr>
  </w:style>
  <w:style w:type="paragraph" w:customStyle="1" w:styleId="Recref">
    <w:name w:val="Rec_ref"/>
    <w:basedOn w:val="Normal"/>
    <w:next w:val="Recdate"/>
    <w:rsid w:val="00985DE2"/>
    <w:pPr>
      <w:jc w:val="center"/>
    </w:pPr>
  </w:style>
  <w:style w:type="paragraph" w:customStyle="1" w:styleId="Recdate">
    <w:name w:val="Rec_date"/>
    <w:basedOn w:val="Recref"/>
    <w:next w:val="Normalaftertitle"/>
    <w:rsid w:val="00985DE2"/>
    <w:pPr>
      <w:jc w:val="right"/>
    </w:pPr>
  </w:style>
  <w:style w:type="paragraph" w:customStyle="1" w:styleId="AnnexNoTitle">
    <w:name w:val="Annex_NoTitle"/>
    <w:basedOn w:val="Normal"/>
    <w:next w:val="Normalaftertitle"/>
    <w:rsid w:val="00985DE2"/>
    <w:pPr>
      <w:keepNext/>
      <w:keepLines/>
      <w:spacing w:before="480" w:after="80"/>
      <w:jc w:val="center"/>
    </w:pPr>
    <w:rPr>
      <w:b/>
      <w:sz w:val="28"/>
    </w:rPr>
  </w:style>
  <w:style w:type="paragraph" w:customStyle="1" w:styleId="AppendixNoTitle">
    <w:name w:val="Appendix_NoTitle"/>
    <w:basedOn w:val="AnnexNoTitle"/>
    <w:next w:val="Normal"/>
    <w:rsid w:val="00985DE2"/>
  </w:style>
  <w:style w:type="paragraph" w:customStyle="1" w:styleId="Tablefin">
    <w:name w:val="Table_fin"/>
    <w:basedOn w:val="Normal"/>
    <w:next w:val="Normal"/>
    <w:rsid w:val="00985DE2"/>
    <w:pPr>
      <w:spacing w:before="0"/>
    </w:pPr>
    <w:rPr>
      <w:sz w:val="20"/>
      <w:lang w:val="en-GB"/>
    </w:rPr>
  </w:style>
  <w:style w:type="paragraph" w:customStyle="1" w:styleId="Tablehead">
    <w:name w:val="Table_head"/>
    <w:basedOn w:val="Normal"/>
    <w:next w:val="Normal"/>
    <w:rsid w:val="00985D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85D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85DE2"/>
    <w:pPr>
      <w:keepNext/>
      <w:spacing w:before="360" w:after="120"/>
      <w:jc w:val="center"/>
    </w:pPr>
  </w:style>
  <w:style w:type="paragraph" w:customStyle="1" w:styleId="Tabletext">
    <w:name w:val="Table_text"/>
    <w:basedOn w:val="Normal"/>
    <w:rsid w:val="00985D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85DE2"/>
    <w:pPr>
      <w:tabs>
        <w:tab w:val="clear" w:pos="1191"/>
        <w:tab w:val="clear" w:pos="1588"/>
        <w:tab w:val="clear" w:pos="1985"/>
        <w:tab w:val="center" w:pos="4820"/>
        <w:tab w:val="right" w:pos="9639"/>
      </w:tabs>
    </w:pPr>
  </w:style>
  <w:style w:type="paragraph" w:customStyle="1" w:styleId="Equationlegend">
    <w:name w:val="Equation_legend"/>
    <w:basedOn w:val="NormalIndent"/>
    <w:rsid w:val="00985D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85DE2"/>
    <w:pPr>
      <w:ind w:left="794"/>
    </w:pPr>
  </w:style>
  <w:style w:type="paragraph" w:customStyle="1" w:styleId="Figurelegend">
    <w:name w:val="Figure_legend"/>
    <w:basedOn w:val="Normal"/>
    <w:rsid w:val="00985D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85DE2"/>
    <w:pPr>
      <w:keepNext/>
      <w:keepLines/>
      <w:spacing w:before="480" w:after="80"/>
      <w:jc w:val="center"/>
    </w:pPr>
    <w:rPr>
      <w:caps/>
      <w:sz w:val="18"/>
    </w:rPr>
  </w:style>
  <w:style w:type="paragraph" w:customStyle="1" w:styleId="tocpart">
    <w:name w:val="tocpart"/>
    <w:basedOn w:val="Normal"/>
    <w:rsid w:val="00985D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85DE2"/>
    <w:pPr>
      <w:keepNext/>
      <w:keepLines/>
      <w:spacing w:before="480"/>
      <w:jc w:val="center"/>
    </w:pPr>
    <w:rPr>
      <w:sz w:val="28"/>
    </w:rPr>
  </w:style>
  <w:style w:type="paragraph" w:customStyle="1" w:styleId="Arttitle">
    <w:name w:val="Art_title"/>
    <w:basedOn w:val="Normal"/>
    <w:next w:val="Normalaftertitle"/>
    <w:rsid w:val="00985DE2"/>
    <w:pPr>
      <w:keepNext/>
      <w:keepLines/>
      <w:spacing w:before="240"/>
      <w:jc w:val="center"/>
    </w:pPr>
    <w:rPr>
      <w:b/>
      <w:sz w:val="28"/>
    </w:rPr>
  </w:style>
  <w:style w:type="paragraph" w:customStyle="1" w:styleId="Blanc">
    <w:name w:val="Blanc"/>
    <w:basedOn w:val="Normal"/>
    <w:next w:val="Tabletext"/>
    <w:rsid w:val="00985D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85D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85DE2"/>
    <w:pPr>
      <w:keepNext/>
      <w:keepLines/>
      <w:spacing w:before="160"/>
      <w:ind w:left="794"/>
    </w:pPr>
    <w:rPr>
      <w:i/>
    </w:rPr>
  </w:style>
  <w:style w:type="paragraph" w:customStyle="1" w:styleId="ChapNo">
    <w:name w:val="Chap_No"/>
    <w:basedOn w:val="ArtNo"/>
    <w:next w:val="Chaptitle"/>
    <w:rsid w:val="00985DE2"/>
    <w:rPr>
      <w:b/>
    </w:rPr>
  </w:style>
  <w:style w:type="paragraph" w:customStyle="1" w:styleId="Chaptitle">
    <w:name w:val="Chap_title"/>
    <w:basedOn w:val="Arttitle"/>
    <w:next w:val="Normalaftertitle"/>
    <w:rsid w:val="00985DE2"/>
  </w:style>
  <w:style w:type="character" w:styleId="FootnoteReference">
    <w:name w:val="footnote reference"/>
    <w:basedOn w:val="DefaultParagraphFont"/>
    <w:semiHidden/>
    <w:rsid w:val="00985DE2"/>
    <w:rPr>
      <w:position w:val="6"/>
      <w:sz w:val="18"/>
    </w:rPr>
  </w:style>
  <w:style w:type="paragraph" w:styleId="FootnoteText">
    <w:name w:val="footnote text"/>
    <w:basedOn w:val="Normal"/>
    <w:link w:val="FootnoteTextChar"/>
    <w:semiHidden/>
    <w:rsid w:val="00985DE2"/>
    <w:pPr>
      <w:keepLines/>
      <w:tabs>
        <w:tab w:val="left" w:pos="255"/>
      </w:tabs>
      <w:ind w:left="255" w:hanging="255"/>
    </w:pPr>
    <w:rPr>
      <w:sz w:val="22"/>
    </w:rPr>
  </w:style>
  <w:style w:type="paragraph" w:styleId="Index1">
    <w:name w:val="index 1"/>
    <w:basedOn w:val="Normal"/>
    <w:next w:val="Normal"/>
    <w:semiHidden/>
    <w:rsid w:val="00985DE2"/>
  </w:style>
  <w:style w:type="paragraph" w:styleId="Index2">
    <w:name w:val="index 2"/>
    <w:basedOn w:val="Normal"/>
    <w:next w:val="Normal"/>
    <w:semiHidden/>
    <w:rsid w:val="00985DE2"/>
    <w:pPr>
      <w:ind w:left="283"/>
    </w:pPr>
  </w:style>
  <w:style w:type="paragraph" w:styleId="Index3">
    <w:name w:val="index 3"/>
    <w:basedOn w:val="Normal"/>
    <w:next w:val="Normal"/>
    <w:semiHidden/>
    <w:rsid w:val="00985DE2"/>
    <w:pPr>
      <w:ind w:left="566"/>
    </w:pPr>
  </w:style>
  <w:style w:type="paragraph" w:styleId="IndexHeading">
    <w:name w:val="index heading"/>
    <w:basedOn w:val="Normal"/>
    <w:next w:val="Index1"/>
    <w:semiHidden/>
    <w:rsid w:val="00985DE2"/>
  </w:style>
  <w:style w:type="paragraph" w:customStyle="1" w:styleId="Line">
    <w:name w:val="Line"/>
    <w:basedOn w:val="Normal"/>
    <w:next w:val="Normal"/>
    <w:rsid w:val="00985D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85D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85DE2"/>
  </w:style>
  <w:style w:type="paragraph" w:customStyle="1" w:styleId="Partref">
    <w:name w:val="Part_ref"/>
    <w:basedOn w:val="Normal"/>
    <w:next w:val="Normal"/>
    <w:rsid w:val="00985DE2"/>
    <w:pPr>
      <w:keepNext/>
      <w:keepLines/>
      <w:spacing w:after="280"/>
      <w:jc w:val="center"/>
    </w:pPr>
  </w:style>
  <w:style w:type="paragraph" w:customStyle="1" w:styleId="Parttitle">
    <w:name w:val="Part_title"/>
    <w:basedOn w:val="Normal"/>
    <w:next w:val="Normalaftertitle"/>
    <w:rsid w:val="00985D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85DE2"/>
  </w:style>
  <w:style w:type="paragraph" w:customStyle="1" w:styleId="QuestionNo">
    <w:name w:val="Question_No"/>
    <w:basedOn w:val="RecNo"/>
    <w:next w:val="Normal"/>
    <w:rsid w:val="00985DE2"/>
  </w:style>
  <w:style w:type="paragraph" w:customStyle="1" w:styleId="Questionref">
    <w:name w:val="Question_ref"/>
    <w:basedOn w:val="Recref"/>
    <w:next w:val="Questiondate"/>
    <w:rsid w:val="00985DE2"/>
  </w:style>
  <w:style w:type="paragraph" w:customStyle="1" w:styleId="Questiontitle">
    <w:name w:val="Question_title"/>
    <w:basedOn w:val="Normal"/>
    <w:next w:val="Questionref"/>
    <w:rsid w:val="00985DE2"/>
  </w:style>
  <w:style w:type="paragraph" w:customStyle="1" w:styleId="Reftext">
    <w:name w:val="Ref_text"/>
    <w:basedOn w:val="Normal"/>
    <w:rsid w:val="00985DE2"/>
    <w:pPr>
      <w:ind w:left="794" w:hanging="794"/>
    </w:pPr>
    <w:rPr>
      <w:sz w:val="22"/>
    </w:rPr>
  </w:style>
  <w:style w:type="paragraph" w:customStyle="1" w:styleId="Reftitle">
    <w:name w:val="Ref_title"/>
    <w:basedOn w:val="Normal"/>
    <w:next w:val="Reftext"/>
    <w:rsid w:val="00985D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85DE2"/>
  </w:style>
  <w:style w:type="paragraph" w:customStyle="1" w:styleId="RepNo">
    <w:name w:val="Rep_No"/>
    <w:basedOn w:val="RecNo"/>
    <w:next w:val="Reptitle"/>
    <w:rsid w:val="00985DE2"/>
  </w:style>
  <w:style w:type="paragraph" w:customStyle="1" w:styleId="Repref">
    <w:name w:val="Rep_ref"/>
    <w:basedOn w:val="Recref"/>
    <w:next w:val="Repdate"/>
    <w:rsid w:val="00985DE2"/>
  </w:style>
  <w:style w:type="paragraph" w:customStyle="1" w:styleId="Reptitle">
    <w:name w:val="Rep_title"/>
    <w:basedOn w:val="Rectitle"/>
    <w:next w:val="Repref"/>
    <w:rsid w:val="00985DE2"/>
  </w:style>
  <w:style w:type="paragraph" w:customStyle="1" w:styleId="Resdate">
    <w:name w:val="Res_date"/>
    <w:basedOn w:val="Recdate"/>
    <w:next w:val="Normalaftertitle"/>
    <w:rsid w:val="00985DE2"/>
  </w:style>
  <w:style w:type="paragraph" w:customStyle="1" w:styleId="ResNo">
    <w:name w:val="Res_No"/>
    <w:basedOn w:val="RecNo"/>
    <w:next w:val="Restitle"/>
    <w:rsid w:val="00985DE2"/>
  </w:style>
  <w:style w:type="paragraph" w:customStyle="1" w:styleId="Resref">
    <w:name w:val="Res_ref"/>
    <w:basedOn w:val="Recref"/>
    <w:next w:val="Resdate"/>
    <w:rsid w:val="00985DE2"/>
  </w:style>
  <w:style w:type="paragraph" w:customStyle="1" w:styleId="Restitle">
    <w:name w:val="Res_title"/>
    <w:basedOn w:val="Normal"/>
    <w:next w:val="Resref"/>
    <w:rsid w:val="00985DE2"/>
    <w:pPr>
      <w:spacing w:before="240"/>
      <w:jc w:val="center"/>
    </w:pPr>
    <w:rPr>
      <w:b/>
      <w:sz w:val="28"/>
    </w:rPr>
  </w:style>
  <w:style w:type="paragraph" w:customStyle="1" w:styleId="SectionNo">
    <w:name w:val="Section_No"/>
    <w:basedOn w:val="Normal"/>
    <w:next w:val="Normal"/>
    <w:rsid w:val="00985DE2"/>
  </w:style>
  <w:style w:type="paragraph" w:customStyle="1" w:styleId="Sectiontitle">
    <w:name w:val="Section_title"/>
    <w:basedOn w:val="Normal"/>
    <w:next w:val="Normalaftertitle"/>
    <w:rsid w:val="00985D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85DE2"/>
    <w:pPr>
      <w:tabs>
        <w:tab w:val="clear" w:pos="794"/>
        <w:tab w:val="clear" w:pos="1191"/>
        <w:tab w:val="clear" w:pos="1588"/>
        <w:tab w:val="clear" w:pos="1985"/>
        <w:tab w:val="right" w:pos="9611"/>
      </w:tabs>
    </w:pPr>
    <w:rPr>
      <w:i/>
    </w:rPr>
  </w:style>
  <w:style w:type="paragraph" w:styleId="TOC1">
    <w:name w:val="toc 1"/>
    <w:basedOn w:val="Normal"/>
    <w:uiPriority w:val="39"/>
    <w:rsid w:val="00985D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85DE2"/>
    <w:pPr>
      <w:tabs>
        <w:tab w:val="clear" w:pos="567"/>
        <w:tab w:val="left" w:pos="1276"/>
      </w:tabs>
      <w:spacing w:before="160"/>
      <w:ind w:left="1276" w:hanging="709"/>
    </w:pPr>
  </w:style>
  <w:style w:type="paragraph" w:styleId="TOC3">
    <w:name w:val="toc 3"/>
    <w:basedOn w:val="TOC2"/>
    <w:uiPriority w:val="39"/>
    <w:rsid w:val="00985DE2"/>
    <w:pPr>
      <w:tabs>
        <w:tab w:val="clear" w:pos="1276"/>
        <w:tab w:val="left" w:pos="2155"/>
      </w:tabs>
      <w:ind w:left="2155" w:hanging="879"/>
    </w:pPr>
  </w:style>
  <w:style w:type="paragraph" w:styleId="TOC4">
    <w:name w:val="toc 4"/>
    <w:basedOn w:val="TOC3"/>
    <w:semiHidden/>
    <w:rsid w:val="00985DE2"/>
    <w:pPr>
      <w:tabs>
        <w:tab w:val="left" w:pos="3261"/>
      </w:tabs>
      <w:spacing w:before="80"/>
      <w:ind w:left="3261" w:hanging="993"/>
    </w:pPr>
  </w:style>
  <w:style w:type="paragraph" w:styleId="TOC5">
    <w:name w:val="toc 5"/>
    <w:basedOn w:val="TOC4"/>
    <w:semiHidden/>
    <w:rsid w:val="00985DE2"/>
  </w:style>
  <w:style w:type="paragraph" w:styleId="TOC6">
    <w:name w:val="toc 6"/>
    <w:basedOn w:val="TOC4"/>
    <w:semiHidden/>
    <w:rsid w:val="00985DE2"/>
  </w:style>
  <w:style w:type="paragraph" w:styleId="TOC7">
    <w:name w:val="toc 7"/>
    <w:basedOn w:val="TOC4"/>
    <w:semiHidden/>
    <w:rsid w:val="00985DE2"/>
  </w:style>
  <w:style w:type="paragraph" w:styleId="TOC8">
    <w:name w:val="toc 8"/>
    <w:basedOn w:val="TOC4"/>
    <w:semiHidden/>
    <w:rsid w:val="00985DE2"/>
  </w:style>
  <w:style w:type="paragraph" w:customStyle="1" w:styleId="Rectitle">
    <w:name w:val="Rec_title"/>
    <w:basedOn w:val="Normal"/>
    <w:next w:val="Recref"/>
    <w:rsid w:val="00985DE2"/>
    <w:pPr>
      <w:keepNext/>
      <w:keepLines/>
      <w:spacing w:before="240"/>
      <w:jc w:val="center"/>
    </w:pPr>
    <w:rPr>
      <w:b/>
      <w:sz w:val="28"/>
    </w:rPr>
  </w:style>
  <w:style w:type="paragraph" w:customStyle="1" w:styleId="Annexref">
    <w:name w:val="Annex_ref"/>
    <w:basedOn w:val="Normal"/>
    <w:next w:val="Normalaftertitle"/>
    <w:rsid w:val="00985DE2"/>
    <w:pPr>
      <w:keepNext/>
      <w:keepLines/>
      <w:spacing w:after="280"/>
      <w:jc w:val="center"/>
    </w:pPr>
  </w:style>
  <w:style w:type="paragraph" w:customStyle="1" w:styleId="Appendixref">
    <w:name w:val="Appendix_ref"/>
    <w:basedOn w:val="Annexref"/>
    <w:next w:val="Normalaftertitle"/>
    <w:rsid w:val="00985DE2"/>
  </w:style>
  <w:style w:type="paragraph" w:customStyle="1" w:styleId="Figuretitle">
    <w:name w:val="Figure_title"/>
    <w:basedOn w:val="Normal"/>
    <w:next w:val="Figure"/>
    <w:rsid w:val="00985D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85DE2"/>
    <w:pPr>
      <w:keepNext/>
      <w:spacing w:before="0" w:after="120"/>
      <w:jc w:val="center"/>
    </w:pPr>
    <w:rPr>
      <w:b/>
    </w:rPr>
  </w:style>
  <w:style w:type="paragraph" w:customStyle="1" w:styleId="Summary">
    <w:name w:val="Summary"/>
    <w:basedOn w:val="Normal"/>
    <w:next w:val="Normalaftertitle"/>
    <w:autoRedefine/>
    <w:rsid w:val="00985DE2"/>
    <w:pPr>
      <w:spacing w:after="480"/>
    </w:pPr>
    <w:rPr>
      <w:lang w:val="es-ES_tradnl"/>
    </w:rPr>
  </w:style>
  <w:style w:type="paragraph" w:customStyle="1" w:styleId="TableLegendNote">
    <w:name w:val="Table_Legend_Note"/>
    <w:basedOn w:val="Tablelegend"/>
    <w:next w:val="Tablelegend"/>
    <w:rsid w:val="00985DE2"/>
    <w:pPr>
      <w:ind w:left="-85" w:firstLine="0"/>
    </w:pPr>
    <w:rPr>
      <w:lang w:val="en-US"/>
    </w:rPr>
  </w:style>
  <w:style w:type="paragraph" w:customStyle="1" w:styleId="Figure">
    <w:name w:val="Figure"/>
    <w:basedOn w:val="FigureNo"/>
    <w:next w:val="Normal"/>
    <w:rsid w:val="00985DE2"/>
    <w:pPr>
      <w:keepNext w:val="0"/>
      <w:spacing w:before="0" w:after="240"/>
    </w:pPr>
  </w:style>
  <w:style w:type="character" w:styleId="Hyperlink">
    <w:name w:val="Hyperlink"/>
    <w:basedOn w:val="DefaultParagraphFont"/>
    <w:uiPriority w:val="99"/>
    <w:rsid w:val="00F97D17"/>
    <w:rPr>
      <w:color w:val="0000FF"/>
      <w:u w:val="single"/>
    </w:rPr>
  </w:style>
  <w:style w:type="character" w:customStyle="1" w:styleId="Heading1Char">
    <w:name w:val="Heading 1 Char"/>
    <w:basedOn w:val="DefaultParagraphFont"/>
    <w:link w:val="Heading1"/>
    <w:rsid w:val="00F97D17"/>
    <w:rPr>
      <w:b/>
      <w:sz w:val="24"/>
      <w:lang w:val="fr-FR" w:eastAsia="en-US"/>
    </w:rPr>
  </w:style>
  <w:style w:type="character" w:customStyle="1" w:styleId="Heading2Char">
    <w:name w:val="Heading 2 Char"/>
    <w:basedOn w:val="DefaultParagraphFont"/>
    <w:link w:val="Heading2"/>
    <w:rsid w:val="00F97D17"/>
    <w:rPr>
      <w:b/>
      <w:sz w:val="24"/>
      <w:lang w:val="fr-FR" w:eastAsia="en-US"/>
    </w:rPr>
  </w:style>
  <w:style w:type="character" w:customStyle="1" w:styleId="Heading3Char">
    <w:name w:val="Heading 3 Char"/>
    <w:basedOn w:val="DefaultParagraphFont"/>
    <w:link w:val="Heading3"/>
    <w:rsid w:val="00F97D17"/>
    <w:rPr>
      <w:b/>
      <w:sz w:val="24"/>
      <w:lang w:val="fr-FR" w:eastAsia="en-US"/>
    </w:rPr>
  </w:style>
  <w:style w:type="character" w:customStyle="1" w:styleId="Heading4Char">
    <w:name w:val="Heading 4 Char"/>
    <w:basedOn w:val="DefaultParagraphFont"/>
    <w:link w:val="Heading4"/>
    <w:rsid w:val="00F97D17"/>
    <w:rPr>
      <w:b/>
      <w:sz w:val="24"/>
      <w:lang w:val="fr-FR" w:eastAsia="en-US"/>
    </w:rPr>
  </w:style>
  <w:style w:type="character" w:customStyle="1" w:styleId="Heading5Char">
    <w:name w:val="Heading 5 Char"/>
    <w:basedOn w:val="DefaultParagraphFont"/>
    <w:link w:val="Heading5"/>
    <w:rsid w:val="00F97D17"/>
    <w:rPr>
      <w:b/>
      <w:sz w:val="24"/>
      <w:lang w:val="fr-FR" w:eastAsia="en-US"/>
    </w:rPr>
  </w:style>
  <w:style w:type="character" w:customStyle="1" w:styleId="Heading6Char">
    <w:name w:val="Heading 6 Char"/>
    <w:basedOn w:val="DefaultParagraphFont"/>
    <w:link w:val="Heading6"/>
    <w:rsid w:val="00F97D17"/>
    <w:rPr>
      <w:b/>
      <w:sz w:val="24"/>
      <w:lang w:val="fr-FR" w:eastAsia="en-US"/>
    </w:rPr>
  </w:style>
  <w:style w:type="character" w:customStyle="1" w:styleId="Heading7Char">
    <w:name w:val="Heading 7 Char"/>
    <w:basedOn w:val="DefaultParagraphFont"/>
    <w:link w:val="Heading7"/>
    <w:rsid w:val="00F97D17"/>
    <w:rPr>
      <w:b/>
      <w:sz w:val="24"/>
      <w:lang w:val="fr-FR" w:eastAsia="en-US"/>
    </w:rPr>
  </w:style>
  <w:style w:type="character" w:customStyle="1" w:styleId="Heading8Char">
    <w:name w:val="Heading 8 Char"/>
    <w:basedOn w:val="DefaultParagraphFont"/>
    <w:link w:val="Heading8"/>
    <w:rsid w:val="00F97D17"/>
    <w:rPr>
      <w:b/>
      <w:sz w:val="24"/>
      <w:lang w:val="fr-FR" w:eastAsia="en-US"/>
    </w:rPr>
  </w:style>
  <w:style w:type="character" w:customStyle="1" w:styleId="Heading9Char">
    <w:name w:val="Heading 9 Char"/>
    <w:basedOn w:val="DefaultParagraphFont"/>
    <w:link w:val="Heading9"/>
    <w:rsid w:val="00F97D17"/>
    <w:rPr>
      <w:b/>
      <w:sz w:val="24"/>
      <w:lang w:val="fr-FR" w:eastAsia="en-US"/>
    </w:rPr>
  </w:style>
  <w:style w:type="character" w:customStyle="1" w:styleId="HeaderChar">
    <w:name w:val="Header Char"/>
    <w:basedOn w:val="DefaultParagraphFont"/>
    <w:link w:val="Header"/>
    <w:rsid w:val="00F97D17"/>
    <w:rPr>
      <w:sz w:val="24"/>
      <w:lang w:val="fr-FR" w:eastAsia="en-US"/>
    </w:rPr>
  </w:style>
  <w:style w:type="character" w:customStyle="1" w:styleId="FooterChar">
    <w:name w:val="Footer Char"/>
    <w:basedOn w:val="DefaultParagraphFont"/>
    <w:link w:val="Footer"/>
    <w:rsid w:val="00F97D17"/>
    <w:rPr>
      <w:noProof/>
      <w:sz w:val="18"/>
      <w:lang w:val="fr-FR" w:eastAsia="en-US"/>
    </w:rPr>
  </w:style>
  <w:style w:type="character" w:customStyle="1" w:styleId="FootnoteTextChar">
    <w:name w:val="Footnote Text Char"/>
    <w:basedOn w:val="DefaultParagraphFont"/>
    <w:link w:val="FootnoteText"/>
    <w:semiHidden/>
    <w:rsid w:val="00F97D17"/>
    <w:rPr>
      <w:sz w:val="22"/>
      <w:lang w:val="fr-FR" w:eastAsia="en-US"/>
    </w:rPr>
  </w:style>
  <w:style w:type="numbering" w:customStyle="1" w:styleId="NoList1">
    <w:name w:val="No List1"/>
    <w:next w:val="NoList"/>
    <w:semiHidden/>
    <w:rsid w:val="00F97D17"/>
  </w:style>
  <w:style w:type="table" w:styleId="TableGrid">
    <w:name w:val="Table Grid"/>
    <w:basedOn w:val="TableNormal"/>
    <w:rsid w:val="00F97D17"/>
    <w:pPr>
      <w:tabs>
        <w:tab w:val="left" w:pos="794"/>
        <w:tab w:val="left" w:pos="1191"/>
        <w:tab w:val="left" w:pos="1588"/>
        <w:tab w:val="left" w:pos="1985"/>
      </w:tabs>
      <w:overflowPunct w:val="0"/>
      <w:autoSpaceDE w:val="0"/>
      <w:autoSpaceDN w:val="0"/>
      <w:adjustRightInd w:val="0"/>
      <w:spacing w:before="120"/>
      <w:jc w:val="both"/>
      <w:textAlignment w:val="baseline"/>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7D17"/>
    <w:pPr>
      <w:spacing w:before="0"/>
    </w:pPr>
    <w:rPr>
      <w:rFonts w:ascii="Tahoma" w:hAnsi="Tahoma" w:cs="Tahoma"/>
      <w:sz w:val="16"/>
      <w:szCs w:val="16"/>
    </w:rPr>
  </w:style>
  <w:style w:type="character" w:customStyle="1" w:styleId="BalloonTextChar">
    <w:name w:val="Balloon Text Char"/>
    <w:basedOn w:val="DefaultParagraphFont"/>
    <w:link w:val="BalloonText"/>
    <w:rsid w:val="00F97D17"/>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5D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85DE2"/>
    <w:pPr>
      <w:keepNext/>
      <w:keepLines/>
      <w:spacing w:before="480"/>
      <w:ind w:left="794" w:hanging="794"/>
      <w:outlineLvl w:val="0"/>
    </w:pPr>
    <w:rPr>
      <w:b/>
    </w:rPr>
  </w:style>
  <w:style w:type="paragraph" w:styleId="Heading2">
    <w:name w:val="heading 2"/>
    <w:basedOn w:val="Heading1"/>
    <w:next w:val="Normal"/>
    <w:link w:val="Heading2Char"/>
    <w:qFormat/>
    <w:rsid w:val="00985DE2"/>
    <w:pPr>
      <w:spacing w:before="320"/>
      <w:outlineLvl w:val="1"/>
    </w:pPr>
  </w:style>
  <w:style w:type="paragraph" w:styleId="Heading3">
    <w:name w:val="heading 3"/>
    <w:basedOn w:val="Heading1"/>
    <w:next w:val="Normal"/>
    <w:link w:val="Heading3Char"/>
    <w:qFormat/>
    <w:rsid w:val="00985DE2"/>
    <w:pPr>
      <w:spacing w:before="200"/>
      <w:outlineLvl w:val="2"/>
    </w:pPr>
  </w:style>
  <w:style w:type="paragraph" w:styleId="Heading4">
    <w:name w:val="heading 4"/>
    <w:basedOn w:val="Heading3"/>
    <w:next w:val="Normal"/>
    <w:link w:val="Heading4Char"/>
    <w:qFormat/>
    <w:rsid w:val="00985DE2"/>
    <w:pPr>
      <w:tabs>
        <w:tab w:val="clear" w:pos="794"/>
        <w:tab w:val="left" w:pos="992"/>
      </w:tabs>
      <w:ind w:left="992" w:hanging="992"/>
      <w:outlineLvl w:val="3"/>
    </w:pPr>
  </w:style>
  <w:style w:type="paragraph" w:styleId="Heading5">
    <w:name w:val="heading 5"/>
    <w:basedOn w:val="Heading4"/>
    <w:next w:val="Normal"/>
    <w:link w:val="Heading5Char"/>
    <w:qFormat/>
    <w:rsid w:val="00985DE2"/>
    <w:pPr>
      <w:outlineLvl w:val="4"/>
    </w:pPr>
  </w:style>
  <w:style w:type="paragraph" w:styleId="Heading6">
    <w:name w:val="heading 6"/>
    <w:basedOn w:val="Heading4"/>
    <w:next w:val="Normal"/>
    <w:link w:val="Heading6Char"/>
    <w:qFormat/>
    <w:rsid w:val="00985DE2"/>
    <w:pPr>
      <w:tabs>
        <w:tab w:val="clear" w:pos="992"/>
        <w:tab w:val="clear" w:pos="1191"/>
      </w:tabs>
      <w:ind w:left="1588" w:hanging="1588"/>
      <w:outlineLvl w:val="5"/>
    </w:pPr>
  </w:style>
  <w:style w:type="paragraph" w:styleId="Heading7">
    <w:name w:val="heading 7"/>
    <w:basedOn w:val="Heading6"/>
    <w:next w:val="Normal"/>
    <w:link w:val="Heading7Char"/>
    <w:qFormat/>
    <w:rsid w:val="00985DE2"/>
    <w:pPr>
      <w:outlineLvl w:val="6"/>
    </w:pPr>
  </w:style>
  <w:style w:type="paragraph" w:styleId="Heading8">
    <w:name w:val="heading 8"/>
    <w:basedOn w:val="Heading6"/>
    <w:next w:val="Normal"/>
    <w:link w:val="Heading8Char"/>
    <w:qFormat/>
    <w:rsid w:val="00985DE2"/>
    <w:pPr>
      <w:outlineLvl w:val="7"/>
    </w:pPr>
  </w:style>
  <w:style w:type="paragraph" w:styleId="Heading9">
    <w:name w:val="heading 9"/>
    <w:basedOn w:val="Heading6"/>
    <w:next w:val="Normal"/>
    <w:link w:val="Heading9Char"/>
    <w:qFormat/>
    <w:rsid w:val="00985D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85D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85D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85DE2"/>
  </w:style>
  <w:style w:type="paragraph" w:customStyle="1" w:styleId="Headingb">
    <w:name w:val="Heading_b"/>
    <w:basedOn w:val="Heading3"/>
    <w:next w:val="Normal"/>
    <w:rsid w:val="00985DE2"/>
    <w:pPr>
      <w:spacing w:before="160"/>
      <w:ind w:left="0" w:firstLine="0"/>
      <w:outlineLvl w:val="9"/>
    </w:pPr>
  </w:style>
  <w:style w:type="paragraph" w:customStyle="1" w:styleId="Headingi">
    <w:name w:val="Heading_i"/>
    <w:basedOn w:val="Heading3"/>
    <w:next w:val="Normal"/>
    <w:rsid w:val="00985DE2"/>
    <w:pPr>
      <w:spacing w:before="160"/>
      <w:ind w:left="0" w:firstLine="0"/>
    </w:pPr>
    <w:rPr>
      <w:b w:val="0"/>
      <w:i/>
    </w:rPr>
  </w:style>
  <w:style w:type="character" w:customStyle="1" w:styleId="href">
    <w:name w:val="href"/>
    <w:basedOn w:val="DefaultParagraphFont"/>
    <w:rsid w:val="00985DE2"/>
  </w:style>
  <w:style w:type="paragraph" w:customStyle="1" w:styleId="enumlev1">
    <w:name w:val="enumlev1"/>
    <w:basedOn w:val="Normal"/>
    <w:rsid w:val="00985DE2"/>
    <w:pPr>
      <w:spacing w:before="80"/>
      <w:ind w:left="794" w:hanging="794"/>
    </w:pPr>
  </w:style>
  <w:style w:type="paragraph" w:customStyle="1" w:styleId="enumlev2">
    <w:name w:val="enumlev2"/>
    <w:basedOn w:val="enumlev1"/>
    <w:rsid w:val="00985DE2"/>
    <w:pPr>
      <w:ind w:left="1191" w:hanging="397"/>
    </w:pPr>
  </w:style>
  <w:style w:type="paragraph" w:customStyle="1" w:styleId="enumlev3">
    <w:name w:val="enumlev3"/>
    <w:basedOn w:val="enumlev2"/>
    <w:rsid w:val="00985DE2"/>
    <w:pPr>
      <w:ind w:left="1588"/>
    </w:pPr>
  </w:style>
  <w:style w:type="paragraph" w:customStyle="1" w:styleId="Normalaftertitle">
    <w:name w:val="Normal_after_title"/>
    <w:basedOn w:val="Normal"/>
    <w:next w:val="Normal"/>
    <w:rsid w:val="00985DE2"/>
    <w:pPr>
      <w:spacing w:before="320"/>
    </w:pPr>
  </w:style>
  <w:style w:type="paragraph" w:customStyle="1" w:styleId="Note">
    <w:name w:val="Note"/>
    <w:basedOn w:val="Normal"/>
    <w:rsid w:val="00985DE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85D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85DE2"/>
    <w:pPr>
      <w:spacing w:before="240"/>
    </w:pPr>
    <w:rPr>
      <w:lang w:val="es-ES_tradnl"/>
    </w:rPr>
  </w:style>
  <w:style w:type="paragraph" w:customStyle="1" w:styleId="Recref">
    <w:name w:val="Rec_ref"/>
    <w:basedOn w:val="Normal"/>
    <w:next w:val="Recdate"/>
    <w:rsid w:val="00985DE2"/>
    <w:pPr>
      <w:jc w:val="center"/>
    </w:pPr>
  </w:style>
  <w:style w:type="paragraph" w:customStyle="1" w:styleId="Recdate">
    <w:name w:val="Rec_date"/>
    <w:basedOn w:val="Recref"/>
    <w:next w:val="Normalaftertitle"/>
    <w:rsid w:val="00985DE2"/>
    <w:pPr>
      <w:jc w:val="right"/>
    </w:pPr>
  </w:style>
  <w:style w:type="paragraph" w:customStyle="1" w:styleId="AnnexNoTitle">
    <w:name w:val="Annex_NoTitle"/>
    <w:basedOn w:val="Normal"/>
    <w:next w:val="Normalaftertitle"/>
    <w:rsid w:val="00985DE2"/>
    <w:pPr>
      <w:keepNext/>
      <w:keepLines/>
      <w:spacing w:before="480" w:after="80"/>
      <w:jc w:val="center"/>
    </w:pPr>
    <w:rPr>
      <w:b/>
      <w:sz w:val="28"/>
    </w:rPr>
  </w:style>
  <w:style w:type="paragraph" w:customStyle="1" w:styleId="AppendixNoTitle">
    <w:name w:val="Appendix_NoTitle"/>
    <w:basedOn w:val="AnnexNoTitle"/>
    <w:next w:val="Normal"/>
    <w:rsid w:val="00985DE2"/>
  </w:style>
  <w:style w:type="paragraph" w:customStyle="1" w:styleId="Tablefin">
    <w:name w:val="Table_fin"/>
    <w:basedOn w:val="Normal"/>
    <w:next w:val="Normal"/>
    <w:rsid w:val="00985DE2"/>
    <w:pPr>
      <w:spacing w:before="0"/>
    </w:pPr>
    <w:rPr>
      <w:sz w:val="20"/>
      <w:lang w:val="en-GB"/>
    </w:rPr>
  </w:style>
  <w:style w:type="paragraph" w:customStyle="1" w:styleId="Tablehead">
    <w:name w:val="Table_head"/>
    <w:basedOn w:val="Normal"/>
    <w:next w:val="Normal"/>
    <w:rsid w:val="00985D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85D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85DE2"/>
    <w:pPr>
      <w:keepNext/>
      <w:spacing w:before="360" w:after="120"/>
      <w:jc w:val="center"/>
    </w:pPr>
  </w:style>
  <w:style w:type="paragraph" w:customStyle="1" w:styleId="Tabletext">
    <w:name w:val="Table_text"/>
    <w:basedOn w:val="Normal"/>
    <w:rsid w:val="00985D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85DE2"/>
    <w:pPr>
      <w:tabs>
        <w:tab w:val="clear" w:pos="1191"/>
        <w:tab w:val="clear" w:pos="1588"/>
        <w:tab w:val="clear" w:pos="1985"/>
        <w:tab w:val="center" w:pos="4820"/>
        <w:tab w:val="right" w:pos="9639"/>
      </w:tabs>
    </w:pPr>
  </w:style>
  <w:style w:type="paragraph" w:customStyle="1" w:styleId="Equationlegend">
    <w:name w:val="Equation_legend"/>
    <w:basedOn w:val="NormalIndent"/>
    <w:rsid w:val="00985D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85DE2"/>
    <w:pPr>
      <w:ind w:left="794"/>
    </w:pPr>
  </w:style>
  <w:style w:type="paragraph" w:customStyle="1" w:styleId="Figurelegend">
    <w:name w:val="Figure_legend"/>
    <w:basedOn w:val="Normal"/>
    <w:rsid w:val="00985D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85DE2"/>
    <w:pPr>
      <w:keepNext/>
      <w:keepLines/>
      <w:spacing w:before="480" w:after="80"/>
      <w:jc w:val="center"/>
    </w:pPr>
    <w:rPr>
      <w:caps/>
      <w:sz w:val="18"/>
    </w:rPr>
  </w:style>
  <w:style w:type="paragraph" w:customStyle="1" w:styleId="tocpart">
    <w:name w:val="tocpart"/>
    <w:basedOn w:val="Normal"/>
    <w:rsid w:val="00985D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85DE2"/>
    <w:pPr>
      <w:keepNext/>
      <w:keepLines/>
      <w:spacing w:before="480"/>
      <w:jc w:val="center"/>
    </w:pPr>
    <w:rPr>
      <w:sz w:val="28"/>
    </w:rPr>
  </w:style>
  <w:style w:type="paragraph" w:customStyle="1" w:styleId="Arttitle">
    <w:name w:val="Art_title"/>
    <w:basedOn w:val="Normal"/>
    <w:next w:val="Normalaftertitle"/>
    <w:rsid w:val="00985DE2"/>
    <w:pPr>
      <w:keepNext/>
      <w:keepLines/>
      <w:spacing w:before="240"/>
      <w:jc w:val="center"/>
    </w:pPr>
    <w:rPr>
      <w:b/>
      <w:sz w:val="28"/>
    </w:rPr>
  </w:style>
  <w:style w:type="paragraph" w:customStyle="1" w:styleId="Blanc">
    <w:name w:val="Blanc"/>
    <w:basedOn w:val="Normal"/>
    <w:next w:val="Tabletext"/>
    <w:rsid w:val="00985D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85D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85DE2"/>
    <w:pPr>
      <w:keepNext/>
      <w:keepLines/>
      <w:spacing w:before="160"/>
      <w:ind w:left="794"/>
    </w:pPr>
    <w:rPr>
      <w:i/>
    </w:rPr>
  </w:style>
  <w:style w:type="paragraph" w:customStyle="1" w:styleId="ChapNo">
    <w:name w:val="Chap_No"/>
    <w:basedOn w:val="ArtNo"/>
    <w:next w:val="Chaptitle"/>
    <w:rsid w:val="00985DE2"/>
    <w:rPr>
      <w:b/>
    </w:rPr>
  </w:style>
  <w:style w:type="paragraph" w:customStyle="1" w:styleId="Chaptitle">
    <w:name w:val="Chap_title"/>
    <w:basedOn w:val="Arttitle"/>
    <w:next w:val="Normalaftertitle"/>
    <w:rsid w:val="00985DE2"/>
  </w:style>
  <w:style w:type="character" w:styleId="FootnoteReference">
    <w:name w:val="footnote reference"/>
    <w:basedOn w:val="DefaultParagraphFont"/>
    <w:semiHidden/>
    <w:rsid w:val="00985DE2"/>
    <w:rPr>
      <w:position w:val="6"/>
      <w:sz w:val="18"/>
    </w:rPr>
  </w:style>
  <w:style w:type="paragraph" w:styleId="FootnoteText">
    <w:name w:val="footnote text"/>
    <w:basedOn w:val="Normal"/>
    <w:link w:val="FootnoteTextChar"/>
    <w:semiHidden/>
    <w:rsid w:val="00985DE2"/>
    <w:pPr>
      <w:keepLines/>
      <w:tabs>
        <w:tab w:val="left" w:pos="255"/>
      </w:tabs>
      <w:ind w:left="255" w:hanging="255"/>
    </w:pPr>
    <w:rPr>
      <w:sz w:val="22"/>
    </w:rPr>
  </w:style>
  <w:style w:type="paragraph" w:styleId="Index1">
    <w:name w:val="index 1"/>
    <w:basedOn w:val="Normal"/>
    <w:next w:val="Normal"/>
    <w:semiHidden/>
    <w:rsid w:val="00985DE2"/>
  </w:style>
  <w:style w:type="paragraph" w:styleId="Index2">
    <w:name w:val="index 2"/>
    <w:basedOn w:val="Normal"/>
    <w:next w:val="Normal"/>
    <w:semiHidden/>
    <w:rsid w:val="00985DE2"/>
    <w:pPr>
      <w:ind w:left="283"/>
    </w:pPr>
  </w:style>
  <w:style w:type="paragraph" w:styleId="Index3">
    <w:name w:val="index 3"/>
    <w:basedOn w:val="Normal"/>
    <w:next w:val="Normal"/>
    <w:semiHidden/>
    <w:rsid w:val="00985DE2"/>
    <w:pPr>
      <w:ind w:left="566"/>
    </w:pPr>
  </w:style>
  <w:style w:type="paragraph" w:styleId="IndexHeading">
    <w:name w:val="index heading"/>
    <w:basedOn w:val="Normal"/>
    <w:next w:val="Index1"/>
    <w:semiHidden/>
    <w:rsid w:val="00985DE2"/>
  </w:style>
  <w:style w:type="paragraph" w:customStyle="1" w:styleId="Line">
    <w:name w:val="Line"/>
    <w:basedOn w:val="Normal"/>
    <w:next w:val="Normal"/>
    <w:rsid w:val="00985D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85D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85DE2"/>
  </w:style>
  <w:style w:type="paragraph" w:customStyle="1" w:styleId="Partref">
    <w:name w:val="Part_ref"/>
    <w:basedOn w:val="Normal"/>
    <w:next w:val="Normal"/>
    <w:rsid w:val="00985DE2"/>
    <w:pPr>
      <w:keepNext/>
      <w:keepLines/>
      <w:spacing w:after="280"/>
      <w:jc w:val="center"/>
    </w:pPr>
  </w:style>
  <w:style w:type="paragraph" w:customStyle="1" w:styleId="Parttitle">
    <w:name w:val="Part_title"/>
    <w:basedOn w:val="Normal"/>
    <w:next w:val="Normalaftertitle"/>
    <w:rsid w:val="00985D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85DE2"/>
  </w:style>
  <w:style w:type="paragraph" w:customStyle="1" w:styleId="QuestionNo">
    <w:name w:val="Question_No"/>
    <w:basedOn w:val="RecNo"/>
    <w:next w:val="Normal"/>
    <w:rsid w:val="00985DE2"/>
  </w:style>
  <w:style w:type="paragraph" w:customStyle="1" w:styleId="Questionref">
    <w:name w:val="Question_ref"/>
    <w:basedOn w:val="Recref"/>
    <w:next w:val="Questiondate"/>
    <w:rsid w:val="00985DE2"/>
  </w:style>
  <w:style w:type="paragraph" w:customStyle="1" w:styleId="Questiontitle">
    <w:name w:val="Question_title"/>
    <w:basedOn w:val="Normal"/>
    <w:next w:val="Questionref"/>
    <w:rsid w:val="00985DE2"/>
  </w:style>
  <w:style w:type="paragraph" w:customStyle="1" w:styleId="Reftext">
    <w:name w:val="Ref_text"/>
    <w:basedOn w:val="Normal"/>
    <w:rsid w:val="00985DE2"/>
    <w:pPr>
      <w:ind w:left="794" w:hanging="794"/>
    </w:pPr>
    <w:rPr>
      <w:sz w:val="22"/>
    </w:rPr>
  </w:style>
  <w:style w:type="paragraph" w:customStyle="1" w:styleId="Reftitle">
    <w:name w:val="Ref_title"/>
    <w:basedOn w:val="Normal"/>
    <w:next w:val="Reftext"/>
    <w:rsid w:val="00985D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85DE2"/>
  </w:style>
  <w:style w:type="paragraph" w:customStyle="1" w:styleId="RepNo">
    <w:name w:val="Rep_No"/>
    <w:basedOn w:val="RecNo"/>
    <w:next w:val="Reptitle"/>
    <w:rsid w:val="00985DE2"/>
  </w:style>
  <w:style w:type="paragraph" w:customStyle="1" w:styleId="Repref">
    <w:name w:val="Rep_ref"/>
    <w:basedOn w:val="Recref"/>
    <w:next w:val="Repdate"/>
    <w:rsid w:val="00985DE2"/>
  </w:style>
  <w:style w:type="paragraph" w:customStyle="1" w:styleId="Reptitle">
    <w:name w:val="Rep_title"/>
    <w:basedOn w:val="Rectitle"/>
    <w:next w:val="Repref"/>
    <w:rsid w:val="00985DE2"/>
  </w:style>
  <w:style w:type="paragraph" w:customStyle="1" w:styleId="Resdate">
    <w:name w:val="Res_date"/>
    <w:basedOn w:val="Recdate"/>
    <w:next w:val="Normalaftertitle"/>
    <w:rsid w:val="00985DE2"/>
  </w:style>
  <w:style w:type="paragraph" w:customStyle="1" w:styleId="ResNo">
    <w:name w:val="Res_No"/>
    <w:basedOn w:val="RecNo"/>
    <w:next w:val="Restitle"/>
    <w:rsid w:val="00985DE2"/>
  </w:style>
  <w:style w:type="paragraph" w:customStyle="1" w:styleId="Resref">
    <w:name w:val="Res_ref"/>
    <w:basedOn w:val="Recref"/>
    <w:next w:val="Resdate"/>
    <w:rsid w:val="00985DE2"/>
  </w:style>
  <w:style w:type="paragraph" w:customStyle="1" w:styleId="Restitle">
    <w:name w:val="Res_title"/>
    <w:basedOn w:val="Normal"/>
    <w:next w:val="Resref"/>
    <w:rsid w:val="00985DE2"/>
    <w:pPr>
      <w:spacing w:before="240"/>
      <w:jc w:val="center"/>
    </w:pPr>
    <w:rPr>
      <w:b/>
      <w:sz w:val="28"/>
    </w:rPr>
  </w:style>
  <w:style w:type="paragraph" w:customStyle="1" w:styleId="SectionNo">
    <w:name w:val="Section_No"/>
    <w:basedOn w:val="Normal"/>
    <w:next w:val="Normal"/>
    <w:rsid w:val="00985DE2"/>
  </w:style>
  <w:style w:type="paragraph" w:customStyle="1" w:styleId="Sectiontitle">
    <w:name w:val="Section_title"/>
    <w:basedOn w:val="Normal"/>
    <w:next w:val="Normalaftertitle"/>
    <w:rsid w:val="00985D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85DE2"/>
    <w:pPr>
      <w:tabs>
        <w:tab w:val="clear" w:pos="794"/>
        <w:tab w:val="clear" w:pos="1191"/>
        <w:tab w:val="clear" w:pos="1588"/>
        <w:tab w:val="clear" w:pos="1985"/>
        <w:tab w:val="right" w:pos="9611"/>
      </w:tabs>
    </w:pPr>
    <w:rPr>
      <w:i/>
    </w:rPr>
  </w:style>
  <w:style w:type="paragraph" w:styleId="TOC1">
    <w:name w:val="toc 1"/>
    <w:basedOn w:val="Normal"/>
    <w:uiPriority w:val="39"/>
    <w:rsid w:val="00985D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85DE2"/>
    <w:pPr>
      <w:tabs>
        <w:tab w:val="clear" w:pos="567"/>
        <w:tab w:val="left" w:pos="1276"/>
      </w:tabs>
      <w:spacing w:before="160"/>
      <w:ind w:left="1276" w:hanging="709"/>
    </w:pPr>
  </w:style>
  <w:style w:type="paragraph" w:styleId="TOC3">
    <w:name w:val="toc 3"/>
    <w:basedOn w:val="TOC2"/>
    <w:uiPriority w:val="39"/>
    <w:rsid w:val="00985DE2"/>
    <w:pPr>
      <w:tabs>
        <w:tab w:val="clear" w:pos="1276"/>
        <w:tab w:val="left" w:pos="2155"/>
      </w:tabs>
      <w:ind w:left="2155" w:hanging="879"/>
    </w:pPr>
  </w:style>
  <w:style w:type="paragraph" w:styleId="TOC4">
    <w:name w:val="toc 4"/>
    <w:basedOn w:val="TOC3"/>
    <w:semiHidden/>
    <w:rsid w:val="00985DE2"/>
    <w:pPr>
      <w:tabs>
        <w:tab w:val="left" w:pos="3261"/>
      </w:tabs>
      <w:spacing w:before="80"/>
      <w:ind w:left="3261" w:hanging="993"/>
    </w:pPr>
  </w:style>
  <w:style w:type="paragraph" w:styleId="TOC5">
    <w:name w:val="toc 5"/>
    <w:basedOn w:val="TOC4"/>
    <w:semiHidden/>
    <w:rsid w:val="00985DE2"/>
  </w:style>
  <w:style w:type="paragraph" w:styleId="TOC6">
    <w:name w:val="toc 6"/>
    <w:basedOn w:val="TOC4"/>
    <w:semiHidden/>
    <w:rsid w:val="00985DE2"/>
  </w:style>
  <w:style w:type="paragraph" w:styleId="TOC7">
    <w:name w:val="toc 7"/>
    <w:basedOn w:val="TOC4"/>
    <w:semiHidden/>
    <w:rsid w:val="00985DE2"/>
  </w:style>
  <w:style w:type="paragraph" w:styleId="TOC8">
    <w:name w:val="toc 8"/>
    <w:basedOn w:val="TOC4"/>
    <w:semiHidden/>
    <w:rsid w:val="00985DE2"/>
  </w:style>
  <w:style w:type="paragraph" w:customStyle="1" w:styleId="Rectitle">
    <w:name w:val="Rec_title"/>
    <w:basedOn w:val="Normal"/>
    <w:next w:val="Recref"/>
    <w:rsid w:val="00985DE2"/>
    <w:pPr>
      <w:keepNext/>
      <w:keepLines/>
      <w:spacing w:before="240"/>
      <w:jc w:val="center"/>
    </w:pPr>
    <w:rPr>
      <w:b/>
      <w:sz w:val="28"/>
    </w:rPr>
  </w:style>
  <w:style w:type="paragraph" w:customStyle="1" w:styleId="Annexref">
    <w:name w:val="Annex_ref"/>
    <w:basedOn w:val="Normal"/>
    <w:next w:val="Normalaftertitle"/>
    <w:rsid w:val="00985DE2"/>
    <w:pPr>
      <w:keepNext/>
      <w:keepLines/>
      <w:spacing w:after="280"/>
      <w:jc w:val="center"/>
    </w:pPr>
  </w:style>
  <w:style w:type="paragraph" w:customStyle="1" w:styleId="Appendixref">
    <w:name w:val="Appendix_ref"/>
    <w:basedOn w:val="Annexref"/>
    <w:next w:val="Normalaftertitle"/>
    <w:rsid w:val="00985DE2"/>
  </w:style>
  <w:style w:type="paragraph" w:customStyle="1" w:styleId="Figuretitle">
    <w:name w:val="Figure_title"/>
    <w:basedOn w:val="Normal"/>
    <w:next w:val="Figure"/>
    <w:rsid w:val="00985D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85DE2"/>
    <w:pPr>
      <w:keepNext/>
      <w:spacing w:before="0" w:after="120"/>
      <w:jc w:val="center"/>
    </w:pPr>
    <w:rPr>
      <w:b/>
    </w:rPr>
  </w:style>
  <w:style w:type="paragraph" w:customStyle="1" w:styleId="Summary">
    <w:name w:val="Summary"/>
    <w:basedOn w:val="Normal"/>
    <w:next w:val="Normalaftertitle"/>
    <w:autoRedefine/>
    <w:rsid w:val="00985DE2"/>
    <w:pPr>
      <w:spacing w:after="480"/>
    </w:pPr>
    <w:rPr>
      <w:lang w:val="es-ES_tradnl"/>
    </w:rPr>
  </w:style>
  <w:style w:type="paragraph" w:customStyle="1" w:styleId="TableLegendNote">
    <w:name w:val="Table_Legend_Note"/>
    <w:basedOn w:val="Tablelegend"/>
    <w:next w:val="Tablelegend"/>
    <w:rsid w:val="00985DE2"/>
    <w:pPr>
      <w:ind w:left="-85" w:firstLine="0"/>
    </w:pPr>
    <w:rPr>
      <w:lang w:val="en-US"/>
    </w:rPr>
  </w:style>
  <w:style w:type="paragraph" w:customStyle="1" w:styleId="Figure">
    <w:name w:val="Figure"/>
    <w:basedOn w:val="FigureNo"/>
    <w:next w:val="Normal"/>
    <w:rsid w:val="00985DE2"/>
    <w:pPr>
      <w:keepNext w:val="0"/>
      <w:spacing w:before="0" w:after="240"/>
    </w:pPr>
  </w:style>
  <w:style w:type="character" w:styleId="Hyperlink">
    <w:name w:val="Hyperlink"/>
    <w:basedOn w:val="DefaultParagraphFont"/>
    <w:uiPriority w:val="99"/>
    <w:rsid w:val="00F97D17"/>
    <w:rPr>
      <w:color w:val="0000FF"/>
      <w:u w:val="single"/>
    </w:rPr>
  </w:style>
  <w:style w:type="character" w:customStyle="1" w:styleId="Heading1Char">
    <w:name w:val="Heading 1 Char"/>
    <w:basedOn w:val="DefaultParagraphFont"/>
    <w:link w:val="Heading1"/>
    <w:rsid w:val="00F97D17"/>
    <w:rPr>
      <w:b/>
      <w:sz w:val="24"/>
      <w:lang w:val="fr-FR" w:eastAsia="en-US"/>
    </w:rPr>
  </w:style>
  <w:style w:type="character" w:customStyle="1" w:styleId="Heading2Char">
    <w:name w:val="Heading 2 Char"/>
    <w:basedOn w:val="DefaultParagraphFont"/>
    <w:link w:val="Heading2"/>
    <w:rsid w:val="00F97D17"/>
    <w:rPr>
      <w:b/>
      <w:sz w:val="24"/>
      <w:lang w:val="fr-FR" w:eastAsia="en-US"/>
    </w:rPr>
  </w:style>
  <w:style w:type="character" w:customStyle="1" w:styleId="Heading3Char">
    <w:name w:val="Heading 3 Char"/>
    <w:basedOn w:val="DefaultParagraphFont"/>
    <w:link w:val="Heading3"/>
    <w:rsid w:val="00F97D17"/>
    <w:rPr>
      <w:b/>
      <w:sz w:val="24"/>
      <w:lang w:val="fr-FR" w:eastAsia="en-US"/>
    </w:rPr>
  </w:style>
  <w:style w:type="character" w:customStyle="1" w:styleId="Heading4Char">
    <w:name w:val="Heading 4 Char"/>
    <w:basedOn w:val="DefaultParagraphFont"/>
    <w:link w:val="Heading4"/>
    <w:rsid w:val="00F97D17"/>
    <w:rPr>
      <w:b/>
      <w:sz w:val="24"/>
      <w:lang w:val="fr-FR" w:eastAsia="en-US"/>
    </w:rPr>
  </w:style>
  <w:style w:type="character" w:customStyle="1" w:styleId="Heading5Char">
    <w:name w:val="Heading 5 Char"/>
    <w:basedOn w:val="DefaultParagraphFont"/>
    <w:link w:val="Heading5"/>
    <w:rsid w:val="00F97D17"/>
    <w:rPr>
      <w:b/>
      <w:sz w:val="24"/>
      <w:lang w:val="fr-FR" w:eastAsia="en-US"/>
    </w:rPr>
  </w:style>
  <w:style w:type="character" w:customStyle="1" w:styleId="Heading6Char">
    <w:name w:val="Heading 6 Char"/>
    <w:basedOn w:val="DefaultParagraphFont"/>
    <w:link w:val="Heading6"/>
    <w:rsid w:val="00F97D17"/>
    <w:rPr>
      <w:b/>
      <w:sz w:val="24"/>
      <w:lang w:val="fr-FR" w:eastAsia="en-US"/>
    </w:rPr>
  </w:style>
  <w:style w:type="character" w:customStyle="1" w:styleId="Heading7Char">
    <w:name w:val="Heading 7 Char"/>
    <w:basedOn w:val="DefaultParagraphFont"/>
    <w:link w:val="Heading7"/>
    <w:rsid w:val="00F97D17"/>
    <w:rPr>
      <w:b/>
      <w:sz w:val="24"/>
      <w:lang w:val="fr-FR" w:eastAsia="en-US"/>
    </w:rPr>
  </w:style>
  <w:style w:type="character" w:customStyle="1" w:styleId="Heading8Char">
    <w:name w:val="Heading 8 Char"/>
    <w:basedOn w:val="DefaultParagraphFont"/>
    <w:link w:val="Heading8"/>
    <w:rsid w:val="00F97D17"/>
    <w:rPr>
      <w:b/>
      <w:sz w:val="24"/>
      <w:lang w:val="fr-FR" w:eastAsia="en-US"/>
    </w:rPr>
  </w:style>
  <w:style w:type="character" w:customStyle="1" w:styleId="Heading9Char">
    <w:name w:val="Heading 9 Char"/>
    <w:basedOn w:val="DefaultParagraphFont"/>
    <w:link w:val="Heading9"/>
    <w:rsid w:val="00F97D17"/>
    <w:rPr>
      <w:b/>
      <w:sz w:val="24"/>
      <w:lang w:val="fr-FR" w:eastAsia="en-US"/>
    </w:rPr>
  </w:style>
  <w:style w:type="character" w:customStyle="1" w:styleId="HeaderChar">
    <w:name w:val="Header Char"/>
    <w:basedOn w:val="DefaultParagraphFont"/>
    <w:link w:val="Header"/>
    <w:rsid w:val="00F97D17"/>
    <w:rPr>
      <w:sz w:val="24"/>
      <w:lang w:val="fr-FR" w:eastAsia="en-US"/>
    </w:rPr>
  </w:style>
  <w:style w:type="character" w:customStyle="1" w:styleId="FooterChar">
    <w:name w:val="Footer Char"/>
    <w:basedOn w:val="DefaultParagraphFont"/>
    <w:link w:val="Footer"/>
    <w:rsid w:val="00F97D17"/>
    <w:rPr>
      <w:noProof/>
      <w:sz w:val="18"/>
      <w:lang w:val="fr-FR" w:eastAsia="en-US"/>
    </w:rPr>
  </w:style>
  <w:style w:type="character" w:customStyle="1" w:styleId="FootnoteTextChar">
    <w:name w:val="Footnote Text Char"/>
    <w:basedOn w:val="DefaultParagraphFont"/>
    <w:link w:val="FootnoteText"/>
    <w:semiHidden/>
    <w:rsid w:val="00F97D17"/>
    <w:rPr>
      <w:sz w:val="22"/>
      <w:lang w:val="fr-FR" w:eastAsia="en-US"/>
    </w:rPr>
  </w:style>
  <w:style w:type="numbering" w:customStyle="1" w:styleId="NoList1">
    <w:name w:val="No List1"/>
    <w:next w:val="NoList"/>
    <w:semiHidden/>
    <w:rsid w:val="00F97D17"/>
  </w:style>
  <w:style w:type="table" w:styleId="TableGrid">
    <w:name w:val="Table Grid"/>
    <w:basedOn w:val="TableNormal"/>
    <w:rsid w:val="00F97D17"/>
    <w:pPr>
      <w:tabs>
        <w:tab w:val="left" w:pos="794"/>
        <w:tab w:val="left" w:pos="1191"/>
        <w:tab w:val="left" w:pos="1588"/>
        <w:tab w:val="left" w:pos="1985"/>
      </w:tabs>
      <w:overflowPunct w:val="0"/>
      <w:autoSpaceDE w:val="0"/>
      <w:autoSpaceDN w:val="0"/>
      <w:adjustRightInd w:val="0"/>
      <w:spacing w:before="120"/>
      <w:jc w:val="both"/>
      <w:textAlignment w:val="baseline"/>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7D17"/>
    <w:pPr>
      <w:spacing w:before="0"/>
    </w:pPr>
    <w:rPr>
      <w:rFonts w:ascii="Tahoma" w:hAnsi="Tahoma" w:cs="Tahoma"/>
      <w:sz w:val="16"/>
      <w:szCs w:val="16"/>
    </w:rPr>
  </w:style>
  <w:style w:type="character" w:customStyle="1" w:styleId="BalloonTextChar">
    <w:name w:val="Balloon Text Char"/>
    <w:basedOn w:val="DefaultParagraphFont"/>
    <w:link w:val="BalloonText"/>
    <w:rsid w:val="00F97D17"/>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w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hyperlink" Target="http://www.itu.int/publ/R-REP/e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header" Target="header5.xml"/><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2F3FB-E408-41D0-BCD2-470EDF0F3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30</Pages>
  <Words>10001</Words>
  <Characters>54110</Characters>
  <Application>Microsoft Office Word</Application>
  <DocSecurity>0</DocSecurity>
  <Lines>1352</Lines>
  <Paragraphs>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Gachet, Christelle</cp:lastModifiedBy>
  <cp:revision>5</cp:revision>
  <cp:lastPrinted>2005-02-10T15:54:00Z</cp:lastPrinted>
  <dcterms:created xsi:type="dcterms:W3CDTF">2012-11-05T08:35:00Z</dcterms:created>
  <dcterms:modified xsi:type="dcterms:W3CDTF">2012-11-05T08:40:00Z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