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10942" w14:textId="77777777" w:rsidR="00FE79FE" w:rsidRDefault="00FE79FE"/>
    <w:p w14:paraId="778CF7CC" w14:textId="77777777" w:rsidR="00013002" w:rsidRDefault="00013002" w:rsidP="00DE5556">
      <w:pPr>
        <w:tabs>
          <w:tab w:val="clear" w:pos="794"/>
          <w:tab w:val="clear" w:pos="1191"/>
          <w:tab w:val="clear" w:pos="1588"/>
          <w:tab w:val="clear" w:pos="1985"/>
        </w:tabs>
      </w:pPr>
    </w:p>
    <w:p w14:paraId="760B509B" w14:textId="79656B90" w:rsidR="00D5024B" w:rsidRPr="007435E8" w:rsidRDefault="009F5368" w:rsidP="00D5024B">
      <w:pPr>
        <w:pStyle w:val="CoverNumber"/>
        <w:rPr>
          <w:lang w:val="es-ES"/>
        </w:rPr>
      </w:pPr>
      <w:bookmarkStart w:id="0" w:name="_Toc216630141"/>
      <w:bookmarkStart w:id="1" w:name="_Toc216693420"/>
      <w:r w:rsidRPr="007435E8">
        <w:rPr>
          <w:lang w:val="es-ES"/>
        </w:rPr>
        <w:t>Informe UIT-R S</w:t>
      </w:r>
      <w:r w:rsidR="007529DF" w:rsidRPr="007435E8">
        <w:rPr>
          <w:lang w:val="es-ES"/>
        </w:rPr>
        <w:t>M</w:t>
      </w:r>
      <w:r w:rsidRPr="007435E8">
        <w:rPr>
          <w:lang w:val="es-ES"/>
        </w:rPr>
        <w:t>.</w:t>
      </w:r>
      <w:r w:rsidR="00BB22CE" w:rsidRPr="007435E8">
        <w:rPr>
          <w:lang w:val="es-ES"/>
        </w:rPr>
        <w:t>2015-3</w:t>
      </w:r>
      <w:bookmarkEnd w:id="0"/>
      <w:bookmarkEnd w:id="1"/>
    </w:p>
    <w:p w14:paraId="2B20421F" w14:textId="2EB7C981" w:rsidR="00D5024B" w:rsidRPr="007435E8" w:rsidRDefault="00D5024B" w:rsidP="00D5024B">
      <w:pPr>
        <w:pStyle w:val="CoverDate"/>
        <w:rPr>
          <w:lang w:val="es-ES"/>
        </w:rPr>
      </w:pPr>
      <w:r w:rsidRPr="007435E8">
        <w:rPr>
          <w:lang w:val="es-ES"/>
        </w:rPr>
        <w:t>(</w:t>
      </w:r>
      <w:r w:rsidR="001E53E5" w:rsidRPr="007435E8">
        <w:rPr>
          <w:lang w:val="es-ES"/>
        </w:rPr>
        <w:t>0</w:t>
      </w:r>
      <w:r w:rsidR="00BB22CE" w:rsidRPr="007435E8">
        <w:rPr>
          <w:lang w:val="es-ES"/>
        </w:rPr>
        <w:t>6</w:t>
      </w:r>
      <w:r w:rsidR="001E53E5" w:rsidRPr="007435E8">
        <w:rPr>
          <w:lang w:val="es-ES"/>
        </w:rPr>
        <w:t>/202</w:t>
      </w:r>
      <w:r w:rsidR="00BB22CE" w:rsidRPr="007435E8">
        <w:rPr>
          <w:lang w:val="es-ES"/>
        </w:rPr>
        <w:t>5</w:t>
      </w:r>
      <w:r w:rsidRPr="007435E8">
        <w:rPr>
          <w:lang w:val="es-ES"/>
        </w:rPr>
        <w:t>)</w:t>
      </w:r>
    </w:p>
    <w:p w14:paraId="0F9563D3" w14:textId="77777777" w:rsidR="00D5024B" w:rsidRPr="00B20F3A" w:rsidRDefault="00A25EE2" w:rsidP="00D5024B">
      <w:pPr>
        <w:pStyle w:val="CoverSeries"/>
        <w:rPr>
          <w:lang w:val="es-ES"/>
        </w:rPr>
      </w:pPr>
      <w:r w:rsidRPr="00B20F3A">
        <w:rPr>
          <w:lang w:val="es-ES"/>
        </w:rPr>
        <w:t>S</w:t>
      </w:r>
      <w:r w:rsidR="0069322D" w:rsidRPr="00B20F3A">
        <w:rPr>
          <w:lang w:val="es-ES"/>
        </w:rPr>
        <w:t>e</w:t>
      </w:r>
      <w:r w:rsidRPr="00B20F3A">
        <w:rPr>
          <w:lang w:val="es-ES"/>
        </w:rPr>
        <w:t xml:space="preserve">rie </w:t>
      </w:r>
      <w:r w:rsidR="00D5024B" w:rsidRPr="00B20F3A">
        <w:rPr>
          <w:lang w:val="es-ES"/>
        </w:rPr>
        <w:t>S</w:t>
      </w:r>
      <w:r w:rsidR="007529DF">
        <w:rPr>
          <w:lang w:val="es-ES"/>
        </w:rPr>
        <w:t>M</w:t>
      </w:r>
      <w:r w:rsidR="00D5024B" w:rsidRPr="00B20F3A">
        <w:rPr>
          <w:lang w:val="es-ES"/>
        </w:rPr>
        <w:t xml:space="preserve">: </w:t>
      </w:r>
      <w:r w:rsidR="007529DF" w:rsidRPr="007529DF">
        <w:rPr>
          <w:lang w:val="es-ES"/>
        </w:rPr>
        <w:t>Gestión del espectro</w:t>
      </w:r>
    </w:p>
    <w:p w14:paraId="712350D8" w14:textId="467BA3D9" w:rsidR="00D5024B" w:rsidRPr="00B20F3A" w:rsidRDefault="001E53E5" w:rsidP="00D5024B">
      <w:pPr>
        <w:pStyle w:val="CoverTitle"/>
        <w:rPr>
          <w:lang w:val="es-ES"/>
        </w:rPr>
      </w:pPr>
      <w:r w:rsidRPr="001E53E5">
        <w:rPr>
          <w:lang w:val="es-ES"/>
        </w:rPr>
        <w:t xml:space="preserve">Métodos para la determinación de </w:t>
      </w:r>
      <w:r w:rsidR="007435E8">
        <w:rPr>
          <w:lang w:val="es-ES"/>
        </w:rPr>
        <w:t>«</w:t>
      </w:r>
      <w:r w:rsidRPr="001E53E5">
        <w:rPr>
          <w:lang w:val="es-ES"/>
        </w:rPr>
        <w:t>estrategias nacionales a largo plazo</w:t>
      </w:r>
      <w:r w:rsidR="007435E8">
        <w:rPr>
          <w:lang w:val="es-ES"/>
        </w:rPr>
        <w:t>»</w:t>
      </w:r>
      <w:r w:rsidRPr="001E53E5">
        <w:rPr>
          <w:lang w:val="es-ES"/>
        </w:rPr>
        <w:t xml:space="preserve"> para la utilización del espectro radioeléctrico</w:t>
      </w:r>
      <w:r w:rsidR="00193B55">
        <w:rPr>
          <w:lang w:val="es-ES"/>
        </w:rPr>
        <w:t xml:space="preserve"> en determinados países</w:t>
      </w:r>
    </w:p>
    <w:p w14:paraId="72E15B56" w14:textId="77777777" w:rsidR="00FE79FE" w:rsidRPr="00B20F3A" w:rsidRDefault="00FE79FE" w:rsidP="005373E0"/>
    <w:p w14:paraId="4A79EF99" w14:textId="77777777" w:rsidR="00A71FE5" w:rsidRPr="00B20F3A" w:rsidRDefault="00A71FE5" w:rsidP="005373E0"/>
    <w:p w14:paraId="42E99613" w14:textId="77777777" w:rsidR="00EE47C4" w:rsidRPr="00B20F3A" w:rsidRDefault="00EE47C4" w:rsidP="005373E0">
      <w:pPr>
        <w:sectPr w:rsidR="00EE47C4" w:rsidRPr="00B20F3A" w:rsidSect="0027411A">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737" w:footer="284" w:gutter="0"/>
          <w:pgNumType w:start="1"/>
          <w:cols w:space="720"/>
          <w:docGrid w:linePitch="326"/>
        </w:sectPr>
      </w:pPr>
    </w:p>
    <w:p w14:paraId="162F3A69" w14:textId="77777777" w:rsidR="009F5368" w:rsidRPr="006C718C" w:rsidRDefault="009F5368" w:rsidP="009F53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14:paraId="2CE08A04" w14:textId="77777777" w:rsidR="009F5368" w:rsidRPr="006C718C" w:rsidRDefault="009F5368" w:rsidP="009F5368">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3D1B73F3" w14:textId="77777777" w:rsidR="009F5368" w:rsidRDefault="009F5368" w:rsidP="009F5368">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613C0977" w14:textId="77777777" w:rsidR="009F5368" w:rsidRDefault="009F5368" w:rsidP="009F5368">
      <w:pPr>
        <w:spacing w:before="0"/>
        <w:rPr>
          <w:sz w:val="20"/>
          <w:lang w:val="es-ES_tradnl"/>
        </w:rPr>
      </w:pPr>
    </w:p>
    <w:p w14:paraId="5744126A" w14:textId="77777777" w:rsidR="009F5368" w:rsidRPr="006C718C" w:rsidRDefault="009F5368" w:rsidP="009F5368">
      <w:pPr>
        <w:spacing w:before="0"/>
        <w:rPr>
          <w:sz w:val="20"/>
          <w:lang w:val="es-ES_tradnl"/>
        </w:rPr>
      </w:pPr>
    </w:p>
    <w:p w14:paraId="698353D5" w14:textId="77777777" w:rsidR="009F5368" w:rsidRPr="00021E8A" w:rsidRDefault="009F5368" w:rsidP="009F5368">
      <w:pPr>
        <w:pStyle w:val="Heading1"/>
        <w:spacing w:before="340"/>
        <w:jc w:val="center"/>
        <w:rPr>
          <w:szCs w:val="24"/>
          <w:lang w:val="es-ES_tradnl"/>
        </w:rPr>
      </w:pPr>
      <w:bookmarkStart w:id="3" w:name="_Toc216630142"/>
      <w:bookmarkStart w:id="4" w:name="_Toc216693421"/>
      <w:bookmarkStart w:id="5" w:name="_Toc217031126"/>
      <w:r w:rsidRPr="007C36CA">
        <w:rPr>
          <w:lang w:val="es-ES_tradnl"/>
        </w:rPr>
        <w:t>Política sobre Derechos de Propiedad Intelectual</w:t>
      </w:r>
      <w:r w:rsidRPr="00021E8A">
        <w:rPr>
          <w:szCs w:val="24"/>
          <w:lang w:val="es-ES_tradnl"/>
        </w:rPr>
        <w:t xml:space="preserve"> (IPR)</w:t>
      </w:r>
      <w:bookmarkEnd w:id="3"/>
      <w:bookmarkEnd w:id="4"/>
      <w:bookmarkEnd w:id="5"/>
    </w:p>
    <w:p w14:paraId="6E33FEB9" w14:textId="77777777" w:rsidR="009F5368" w:rsidRPr="00021E8A" w:rsidRDefault="009F5368" w:rsidP="009F5368">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w:t>
      </w:r>
      <w:proofErr w:type="gramStart"/>
      <w:r w:rsidRPr="00021E8A">
        <w:rPr>
          <w:sz w:val="20"/>
          <w:lang w:val="es-ES_tradnl"/>
        </w:rPr>
        <w:t>las mismas</w:t>
      </w:r>
      <w:proofErr w:type="gramEnd"/>
      <w:r w:rsidRPr="00021E8A">
        <w:rPr>
          <w:sz w:val="20"/>
          <w:lang w:val="es-ES_tradnl"/>
        </w:rPr>
        <w:t xml:space="preserve"> figuran en la dirección web </w:t>
      </w:r>
      <w:hyperlink r:id="rId14"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5BBFF212" w14:textId="77777777" w:rsidR="009F5368" w:rsidRDefault="009F5368" w:rsidP="009F5368">
      <w:pPr>
        <w:spacing w:before="0"/>
        <w:jc w:val="center"/>
        <w:rPr>
          <w:sz w:val="22"/>
          <w:lang w:val="es-ES_tradnl"/>
        </w:rPr>
      </w:pPr>
    </w:p>
    <w:p w14:paraId="6DB687E9" w14:textId="77777777" w:rsidR="009F5368" w:rsidRPr="007C36CA" w:rsidRDefault="009F5368" w:rsidP="009F5368">
      <w:pPr>
        <w:spacing w:before="0"/>
        <w:jc w:val="center"/>
        <w:rPr>
          <w:sz w:val="22"/>
          <w:lang w:val="es-ES_tradnl"/>
        </w:rPr>
      </w:pPr>
    </w:p>
    <w:p w14:paraId="0E88DAA7" w14:textId="77777777" w:rsidR="009F5368" w:rsidRPr="007C36CA" w:rsidRDefault="009F5368" w:rsidP="009F5368">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9F5368" w:rsidRPr="00DB45D3" w14:paraId="3F90D73C" w14:textId="77777777" w:rsidTr="009F5368">
        <w:tc>
          <w:tcPr>
            <w:tcW w:w="9360" w:type="dxa"/>
            <w:gridSpan w:val="2"/>
          </w:tcPr>
          <w:p w14:paraId="3338E673" w14:textId="77777777" w:rsidR="009F5368" w:rsidRPr="00021E8A" w:rsidRDefault="009F5368" w:rsidP="002260CF">
            <w:pPr>
              <w:pStyle w:val="Chaptitle"/>
              <w:keepLines w:val="0"/>
              <w:tabs>
                <w:tab w:val="clear" w:pos="794"/>
                <w:tab w:val="clear" w:pos="1191"/>
                <w:tab w:val="clear" w:pos="1588"/>
                <w:tab w:val="clear" w:pos="1985"/>
              </w:tabs>
              <w:overflowPunct/>
              <w:spacing w:before="140"/>
              <w:textAlignment w:val="auto"/>
              <w:rPr>
                <w:sz w:val="22"/>
                <w:szCs w:val="22"/>
                <w:lang w:val="es-ES_tradnl"/>
              </w:rPr>
            </w:pPr>
            <w:bookmarkStart w:id="6" w:name="_Toc217031127"/>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w:t>
            </w:r>
            <w:bookmarkEnd w:id="6"/>
            <w:r w:rsidRPr="00021E8A">
              <w:rPr>
                <w:sz w:val="22"/>
                <w:szCs w:val="22"/>
                <w:lang w:val="es-ES_tradnl"/>
              </w:rPr>
              <w:t xml:space="preserve"> </w:t>
            </w:r>
          </w:p>
          <w:p w14:paraId="28EDA2F2" w14:textId="77777777" w:rsidR="009F5368" w:rsidRPr="00763D08"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5" w:history="1">
              <w:r>
                <w:rPr>
                  <w:rStyle w:val="Hyperlink"/>
                  <w:b w:val="0"/>
                  <w:sz w:val="18"/>
                  <w:szCs w:val="18"/>
                  <w:lang w:val="es-ES_tradnl"/>
                </w:rPr>
                <w:t>https://www.itu.int/publ/R-REP/es</w:t>
              </w:r>
            </w:hyperlink>
            <w:r w:rsidRPr="00763D08">
              <w:rPr>
                <w:b w:val="0"/>
                <w:bCs/>
                <w:sz w:val="18"/>
                <w:szCs w:val="18"/>
                <w:lang w:val="es-ES_tradnl"/>
              </w:rPr>
              <w:t>)</w:t>
            </w:r>
          </w:p>
        </w:tc>
      </w:tr>
      <w:tr w:rsidR="009F5368" w:rsidRPr="00036EE3" w14:paraId="7E43E25E" w14:textId="77777777" w:rsidTr="009F5368">
        <w:tc>
          <w:tcPr>
            <w:tcW w:w="1140" w:type="dxa"/>
            <w:tcBorders>
              <w:bottom w:val="nil"/>
            </w:tcBorders>
          </w:tcPr>
          <w:p w14:paraId="329DF0EA" w14:textId="77777777" w:rsidR="009F5368" w:rsidRPr="00036EE3" w:rsidRDefault="009F5368" w:rsidP="002260CF">
            <w:pPr>
              <w:spacing w:before="180" w:after="100"/>
              <w:ind w:left="57"/>
              <w:rPr>
                <w:b/>
                <w:bCs/>
                <w:sz w:val="20"/>
                <w:lang w:val="en-US"/>
              </w:rPr>
            </w:pPr>
            <w:r w:rsidRPr="00036EE3">
              <w:rPr>
                <w:b/>
                <w:bCs/>
                <w:sz w:val="20"/>
                <w:lang w:val="en-US"/>
              </w:rPr>
              <w:t>Series</w:t>
            </w:r>
          </w:p>
        </w:tc>
        <w:tc>
          <w:tcPr>
            <w:tcW w:w="8220" w:type="dxa"/>
            <w:tcBorders>
              <w:bottom w:val="nil"/>
            </w:tcBorders>
          </w:tcPr>
          <w:p w14:paraId="70300BDC" w14:textId="77777777" w:rsidR="009F5368" w:rsidRPr="00036EE3"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9F5368" w:rsidRPr="00EC62B0" w14:paraId="60EEFAB6" w14:textId="77777777" w:rsidTr="009F5368">
        <w:tc>
          <w:tcPr>
            <w:tcW w:w="1140" w:type="dxa"/>
            <w:tcBorders>
              <w:top w:val="nil"/>
              <w:bottom w:val="nil"/>
            </w:tcBorders>
          </w:tcPr>
          <w:p w14:paraId="0D501C46" w14:textId="77777777" w:rsidR="009F5368" w:rsidRPr="00EC62B0" w:rsidRDefault="009F5368" w:rsidP="002260CF">
            <w:pPr>
              <w:spacing w:before="30" w:after="30"/>
              <w:ind w:left="57"/>
              <w:jc w:val="left"/>
              <w:rPr>
                <w:b/>
                <w:bCs/>
                <w:sz w:val="20"/>
                <w:lang w:val="en-US"/>
              </w:rPr>
            </w:pPr>
            <w:r w:rsidRPr="00EC62B0">
              <w:rPr>
                <w:b/>
                <w:bCs/>
                <w:sz w:val="20"/>
                <w:lang w:val="en-US"/>
              </w:rPr>
              <w:t>BO</w:t>
            </w:r>
          </w:p>
        </w:tc>
        <w:tc>
          <w:tcPr>
            <w:tcW w:w="8220" w:type="dxa"/>
            <w:tcBorders>
              <w:top w:val="nil"/>
              <w:bottom w:val="nil"/>
            </w:tcBorders>
          </w:tcPr>
          <w:p w14:paraId="5559611A" w14:textId="77777777" w:rsidR="009F5368" w:rsidRPr="00EC62B0"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9F5368" w:rsidRPr="00A357C3" w14:paraId="06D99CC6" w14:textId="77777777" w:rsidTr="009F5368">
        <w:tc>
          <w:tcPr>
            <w:tcW w:w="1140" w:type="dxa"/>
            <w:tcBorders>
              <w:top w:val="nil"/>
              <w:bottom w:val="nil"/>
            </w:tcBorders>
          </w:tcPr>
          <w:p w14:paraId="4B14F0E8" w14:textId="77777777" w:rsidR="009F5368" w:rsidRPr="00F12544" w:rsidRDefault="009F5368" w:rsidP="002260CF">
            <w:pPr>
              <w:spacing w:before="30" w:after="30"/>
              <w:ind w:left="57"/>
              <w:jc w:val="left"/>
              <w:rPr>
                <w:b/>
                <w:bCs/>
                <w:sz w:val="20"/>
                <w:lang w:val="en-US"/>
              </w:rPr>
            </w:pPr>
            <w:r w:rsidRPr="00F12544">
              <w:rPr>
                <w:b/>
                <w:bCs/>
                <w:sz w:val="20"/>
                <w:lang w:val="en-US"/>
              </w:rPr>
              <w:t>BR</w:t>
            </w:r>
          </w:p>
        </w:tc>
        <w:tc>
          <w:tcPr>
            <w:tcW w:w="8220" w:type="dxa"/>
            <w:tcBorders>
              <w:top w:val="nil"/>
              <w:bottom w:val="nil"/>
            </w:tcBorders>
          </w:tcPr>
          <w:p w14:paraId="7D6AD77C" w14:textId="77777777" w:rsidR="009F5368" w:rsidRPr="00F12544"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9F5368" w:rsidRPr="00B11D5D" w14:paraId="63A4A205" w14:textId="77777777" w:rsidTr="009F5368">
        <w:tc>
          <w:tcPr>
            <w:tcW w:w="1140" w:type="dxa"/>
            <w:tcBorders>
              <w:top w:val="nil"/>
              <w:bottom w:val="nil"/>
            </w:tcBorders>
          </w:tcPr>
          <w:p w14:paraId="655FFA9F" w14:textId="77777777" w:rsidR="009F5368" w:rsidRPr="00B11D5D" w:rsidRDefault="009F5368" w:rsidP="002260CF">
            <w:pPr>
              <w:spacing w:before="30" w:after="30"/>
              <w:ind w:left="57"/>
              <w:jc w:val="left"/>
              <w:rPr>
                <w:b/>
                <w:bCs/>
                <w:sz w:val="20"/>
                <w:lang w:val="en-US"/>
              </w:rPr>
            </w:pPr>
            <w:r w:rsidRPr="00B11D5D">
              <w:rPr>
                <w:b/>
                <w:bCs/>
                <w:sz w:val="20"/>
                <w:lang w:val="en-US"/>
              </w:rPr>
              <w:t>BS</w:t>
            </w:r>
          </w:p>
        </w:tc>
        <w:tc>
          <w:tcPr>
            <w:tcW w:w="8220" w:type="dxa"/>
            <w:tcBorders>
              <w:top w:val="nil"/>
              <w:bottom w:val="nil"/>
            </w:tcBorders>
          </w:tcPr>
          <w:p w14:paraId="2E1E836C" w14:textId="77777777" w:rsidR="009F5368" w:rsidRPr="00B11D5D"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 xml:space="preserve">Servicio de radiodifusión </w:t>
            </w:r>
            <w:r w:rsidR="002A3BC7">
              <w:rPr>
                <w:b w:val="0"/>
                <w:sz w:val="20"/>
              </w:rPr>
              <w:t>(</w:t>
            </w:r>
            <w:r w:rsidRPr="00B11D5D">
              <w:rPr>
                <w:b w:val="0"/>
                <w:sz w:val="20"/>
              </w:rPr>
              <w:t>sonora</w:t>
            </w:r>
            <w:r w:rsidR="002A3BC7">
              <w:rPr>
                <w:b w:val="0"/>
                <w:sz w:val="20"/>
              </w:rPr>
              <w:t>)</w:t>
            </w:r>
          </w:p>
        </w:tc>
      </w:tr>
      <w:tr w:rsidR="009F5368" w:rsidRPr="00D73486" w14:paraId="0EDC593F" w14:textId="77777777" w:rsidTr="009F5368">
        <w:tc>
          <w:tcPr>
            <w:tcW w:w="1140" w:type="dxa"/>
            <w:tcBorders>
              <w:top w:val="nil"/>
              <w:bottom w:val="nil"/>
            </w:tcBorders>
          </w:tcPr>
          <w:p w14:paraId="3DE88736" w14:textId="77777777" w:rsidR="009F5368" w:rsidRPr="00D73486" w:rsidRDefault="009F5368" w:rsidP="002260CF">
            <w:pPr>
              <w:spacing w:before="30" w:after="30"/>
              <w:ind w:left="57"/>
              <w:jc w:val="left"/>
              <w:rPr>
                <w:b/>
                <w:bCs/>
                <w:sz w:val="20"/>
                <w:lang w:val="en-US"/>
              </w:rPr>
            </w:pPr>
            <w:r w:rsidRPr="00D73486">
              <w:rPr>
                <w:b/>
                <w:bCs/>
                <w:sz w:val="20"/>
                <w:lang w:val="en-US"/>
              </w:rPr>
              <w:t>BT</w:t>
            </w:r>
          </w:p>
        </w:tc>
        <w:tc>
          <w:tcPr>
            <w:tcW w:w="8220" w:type="dxa"/>
            <w:tcBorders>
              <w:top w:val="nil"/>
              <w:bottom w:val="nil"/>
            </w:tcBorders>
          </w:tcPr>
          <w:p w14:paraId="1C9803F4" w14:textId="77777777" w:rsidR="009F5368" w:rsidRPr="00D73486"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9F5368" w:rsidRPr="0064346B" w14:paraId="76F09E1D" w14:textId="77777777" w:rsidTr="009F5368">
        <w:tc>
          <w:tcPr>
            <w:tcW w:w="1140" w:type="dxa"/>
            <w:tcBorders>
              <w:top w:val="nil"/>
              <w:bottom w:val="nil"/>
            </w:tcBorders>
          </w:tcPr>
          <w:p w14:paraId="365882CE" w14:textId="77777777" w:rsidR="009F5368" w:rsidRPr="0064346B" w:rsidRDefault="009F5368" w:rsidP="002260CF">
            <w:pPr>
              <w:spacing w:before="30" w:after="30"/>
              <w:ind w:left="57"/>
              <w:jc w:val="left"/>
              <w:rPr>
                <w:b/>
                <w:bCs/>
                <w:sz w:val="20"/>
                <w:lang w:val="fr-CH"/>
              </w:rPr>
            </w:pPr>
            <w:r w:rsidRPr="0064346B">
              <w:rPr>
                <w:b/>
                <w:bCs/>
                <w:sz w:val="20"/>
                <w:lang w:val="fr-CH"/>
              </w:rPr>
              <w:t>F</w:t>
            </w:r>
          </w:p>
        </w:tc>
        <w:tc>
          <w:tcPr>
            <w:tcW w:w="8220" w:type="dxa"/>
            <w:tcBorders>
              <w:top w:val="nil"/>
              <w:bottom w:val="nil"/>
            </w:tcBorders>
          </w:tcPr>
          <w:p w14:paraId="7C9EE629" w14:textId="77777777" w:rsidR="009F5368" w:rsidRPr="0064346B" w:rsidRDefault="009F5368" w:rsidP="002260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9F5368" w:rsidRPr="00A357C3" w14:paraId="5138D413" w14:textId="77777777" w:rsidTr="009F5368">
        <w:tc>
          <w:tcPr>
            <w:tcW w:w="1140" w:type="dxa"/>
            <w:tcBorders>
              <w:top w:val="nil"/>
              <w:bottom w:val="nil"/>
            </w:tcBorders>
          </w:tcPr>
          <w:p w14:paraId="07EEBC0B" w14:textId="77777777" w:rsidR="009F5368" w:rsidRPr="00297C87" w:rsidRDefault="009F5368" w:rsidP="002260CF">
            <w:pPr>
              <w:spacing w:before="30" w:after="30"/>
              <w:ind w:left="57"/>
              <w:jc w:val="left"/>
              <w:rPr>
                <w:b/>
                <w:bCs/>
                <w:sz w:val="20"/>
                <w:lang w:val="en-US"/>
              </w:rPr>
            </w:pPr>
            <w:r w:rsidRPr="00297C87">
              <w:rPr>
                <w:b/>
                <w:bCs/>
                <w:sz w:val="20"/>
                <w:lang w:val="en-US"/>
              </w:rPr>
              <w:t>M</w:t>
            </w:r>
          </w:p>
        </w:tc>
        <w:tc>
          <w:tcPr>
            <w:tcW w:w="8220" w:type="dxa"/>
            <w:tcBorders>
              <w:top w:val="nil"/>
              <w:bottom w:val="nil"/>
            </w:tcBorders>
          </w:tcPr>
          <w:p w14:paraId="6CB0AF0F" w14:textId="77777777" w:rsidR="009F5368" w:rsidRPr="00297C87"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9F5368" w:rsidRPr="00A357C3" w14:paraId="5FB7987E" w14:textId="77777777" w:rsidTr="009F5368">
        <w:tc>
          <w:tcPr>
            <w:tcW w:w="1140" w:type="dxa"/>
            <w:tcBorders>
              <w:top w:val="nil"/>
              <w:bottom w:val="nil"/>
            </w:tcBorders>
          </w:tcPr>
          <w:p w14:paraId="0C2CC009" w14:textId="77777777" w:rsidR="009F5368" w:rsidRPr="00F84F54" w:rsidRDefault="009F5368" w:rsidP="002260CF">
            <w:pPr>
              <w:spacing w:before="30" w:after="30"/>
              <w:ind w:left="57"/>
              <w:jc w:val="left"/>
              <w:rPr>
                <w:b/>
                <w:bCs/>
                <w:sz w:val="20"/>
                <w:lang w:val="fr-CH"/>
              </w:rPr>
            </w:pPr>
            <w:r w:rsidRPr="00F84F54">
              <w:rPr>
                <w:b/>
                <w:bCs/>
                <w:sz w:val="20"/>
                <w:lang w:val="fr-CH"/>
              </w:rPr>
              <w:t>P</w:t>
            </w:r>
          </w:p>
        </w:tc>
        <w:tc>
          <w:tcPr>
            <w:tcW w:w="8220" w:type="dxa"/>
            <w:tcBorders>
              <w:top w:val="nil"/>
              <w:bottom w:val="nil"/>
            </w:tcBorders>
          </w:tcPr>
          <w:p w14:paraId="2BCFD8A9" w14:textId="77777777" w:rsidR="009F5368" w:rsidRPr="00F84F54" w:rsidRDefault="009F5368" w:rsidP="002260CF">
            <w:pPr>
              <w:spacing w:before="30" w:after="30"/>
              <w:jc w:val="left"/>
              <w:rPr>
                <w:sz w:val="20"/>
                <w:lang w:val="es-ES_tradnl"/>
              </w:rPr>
            </w:pPr>
            <w:r w:rsidRPr="00F84F54">
              <w:rPr>
                <w:sz w:val="20"/>
                <w:lang w:val="es-ES_tradnl"/>
              </w:rPr>
              <w:t>Propagación de las ondas radioeléctricas</w:t>
            </w:r>
          </w:p>
        </w:tc>
      </w:tr>
      <w:tr w:rsidR="009F5368" w:rsidRPr="00A10F3A" w14:paraId="7DA1134C" w14:textId="77777777" w:rsidTr="009F5368">
        <w:tc>
          <w:tcPr>
            <w:tcW w:w="1140" w:type="dxa"/>
            <w:tcBorders>
              <w:top w:val="nil"/>
              <w:bottom w:val="nil"/>
            </w:tcBorders>
          </w:tcPr>
          <w:p w14:paraId="21621675" w14:textId="77777777" w:rsidR="009F5368" w:rsidRPr="00A10F3A" w:rsidRDefault="009F5368" w:rsidP="002260CF">
            <w:pPr>
              <w:spacing w:before="30" w:after="30"/>
              <w:ind w:left="57"/>
              <w:jc w:val="left"/>
              <w:rPr>
                <w:b/>
                <w:bCs/>
                <w:sz w:val="20"/>
                <w:lang w:val="en-US"/>
              </w:rPr>
            </w:pPr>
            <w:r w:rsidRPr="00A10F3A">
              <w:rPr>
                <w:b/>
                <w:bCs/>
                <w:sz w:val="20"/>
                <w:lang w:val="en-US"/>
              </w:rPr>
              <w:t>RA</w:t>
            </w:r>
          </w:p>
        </w:tc>
        <w:tc>
          <w:tcPr>
            <w:tcW w:w="8220" w:type="dxa"/>
            <w:tcBorders>
              <w:top w:val="nil"/>
              <w:bottom w:val="nil"/>
            </w:tcBorders>
          </w:tcPr>
          <w:p w14:paraId="4B044392" w14:textId="77777777" w:rsidR="009F5368" w:rsidRPr="00A10F3A" w:rsidRDefault="009F5368" w:rsidP="002260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Radioastronomía</w:t>
            </w:r>
          </w:p>
        </w:tc>
      </w:tr>
      <w:tr w:rsidR="009F5368" w:rsidRPr="00A357C3" w14:paraId="276A30B8" w14:textId="77777777" w:rsidTr="009F5368">
        <w:tc>
          <w:tcPr>
            <w:tcW w:w="1140" w:type="dxa"/>
            <w:tcBorders>
              <w:top w:val="nil"/>
              <w:bottom w:val="nil"/>
            </w:tcBorders>
          </w:tcPr>
          <w:p w14:paraId="276E53F4" w14:textId="77777777" w:rsidR="009F5368" w:rsidRPr="007C5CE9" w:rsidRDefault="009F5368" w:rsidP="002260CF">
            <w:pPr>
              <w:spacing w:before="30" w:after="30"/>
              <w:ind w:left="57"/>
              <w:jc w:val="left"/>
              <w:rPr>
                <w:b/>
                <w:bCs/>
                <w:sz w:val="20"/>
                <w:lang w:val="en-US"/>
              </w:rPr>
            </w:pPr>
            <w:r w:rsidRPr="007C5CE9">
              <w:rPr>
                <w:b/>
                <w:bCs/>
                <w:sz w:val="20"/>
                <w:lang w:val="en-US"/>
              </w:rPr>
              <w:t>RS</w:t>
            </w:r>
          </w:p>
        </w:tc>
        <w:tc>
          <w:tcPr>
            <w:tcW w:w="8220" w:type="dxa"/>
            <w:tcBorders>
              <w:top w:val="nil"/>
              <w:bottom w:val="nil"/>
            </w:tcBorders>
          </w:tcPr>
          <w:p w14:paraId="4E978F88" w14:textId="77777777" w:rsidR="009F5368" w:rsidRPr="007C5CE9" w:rsidRDefault="009F5368" w:rsidP="002260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9F5368" w:rsidRPr="00AC1323" w14:paraId="0E24B186" w14:textId="77777777" w:rsidTr="00AD0CEB">
        <w:tc>
          <w:tcPr>
            <w:tcW w:w="1140" w:type="dxa"/>
            <w:tcBorders>
              <w:top w:val="nil"/>
              <w:bottom w:val="nil"/>
            </w:tcBorders>
          </w:tcPr>
          <w:p w14:paraId="2FDBD44B" w14:textId="77777777" w:rsidR="009F5368" w:rsidRPr="00AC1323" w:rsidRDefault="009F5368" w:rsidP="002260CF">
            <w:pPr>
              <w:spacing w:before="30" w:after="30"/>
              <w:ind w:left="57"/>
              <w:jc w:val="left"/>
              <w:rPr>
                <w:b/>
                <w:bCs/>
                <w:sz w:val="20"/>
                <w:lang w:val="en-US"/>
              </w:rPr>
            </w:pPr>
            <w:r w:rsidRPr="00AC1323">
              <w:rPr>
                <w:b/>
                <w:bCs/>
                <w:sz w:val="20"/>
                <w:lang w:val="en-US"/>
              </w:rPr>
              <w:t>S</w:t>
            </w:r>
          </w:p>
        </w:tc>
        <w:tc>
          <w:tcPr>
            <w:tcW w:w="8220" w:type="dxa"/>
            <w:tcBorders>
              <w:top w:val="nil"/>
              <w:bottom w:val="nil"/>
            </w:tcBorders>
          </w:tcPr>
          <w:p w14:paraId="1F6C05BC" w14:textId="77777777" w:rsidR="009F5368" w:rsidRPr="00AC1323" w:rsidRDefault="009F5368" w:rsidP="002260CF">
            <w:pPr>
              <w:spacing w:before="30" w:after="30"/>
              <w:jc w:val="left"/>
              <w:rPr>
                <w:sz w:val="20"/>
              </w:rPr>
            </w:pPr>
            <w:r w:rsidRPr="00AC1323">
              <w:rPr>
                <w:sz w:val="20"/>
              </w:rPr>
              <w:t>Servicio</w:t>
            </w:r>
            <w:r>
              <w:rPr>
                <w:sz w:val="20"/>
              </w:rPr>
              <w:t xml:space="preserve"> fijo</w:t>
            </w:r>
            <w:r w:rsidRPr="00AC1323">
              <w:rPr>
                <w:sz w:val="20"/>
              </w:rPr>
              <w:t xml:space="preserve"> por satélite</w:t>
            </w:r>
          </w:p>
        </w:tc>
      </w:tr>
      <w:tr w:rsidR="00AD0CEB" w:rsidRPr="00AD0CEB" w14:paraId="632C817E" w14:textId="77777777" w:rsidTr="00AD0CEB">
        <w:tc>
          <w:tcPr>
            <w:tcW w:w="1140" w:type="dxa"/>
            <w:tcBorders>
              <w:top w:val="nil"/>
              <w:bottom w:val="nil"/>
            </w:tcBorders>
            <w:shd w:val="clear" w:color="auto" w:fill="FFFFFF" w:themeFill="background1"/>
          </w:tcPr>
          <w:p w14:paraId="30BB2C4F" w14:textId="77777777" w:rsidR="009F5368" w:rsidRPr="00AD0CEB" w:rsidRDefault="009F5368" w:rsidP="002260CF">
            <w:pPr>
              <w:spacing w:before="30" w:after="30"/>
              <w:ind w:left="57"/>
              <w:jc w:val="left"/>
              <w:rPr>
                <w:b/>
                <w:bCs/>
                <w:sz w:val="20"/>
                <w:lang w:val="en-US"/>
              </w:rPr>
            </w:pPr>
            <w:r w:rsidRPr="00AD0CEB">
              <w:rPr>
                <w:b/>
                <w:bCs/>
                <w:sz w:val="20"/>
                <w:lang w:val="en-US"/>
              </w:rPr>
              <w:t>SA</w:t>
            </w:r>
          </w:p>
        </w:tc>
        <w:tc>
          <w:tcPr>
            <w:tcW w:w="8220" w:type="dxa"/>
            <w:tcBorders>
              <w:top w:val="nil"/>
              <w:bottom w:val="nil"/>
            </w:tcBorders>
            <w:shd w:val="clear" w:color="auto" w:fill="FFFFFF" w:themeFill="background1"/>
          </w:tcPr>
          <w:p w14:paraId="179FA93F" w14:textId="77777777" w:rsidR="009F5368" w:rsidRPr="00AD0CEB" w:rsidRDefault="009F5368" w:rsidP="002260CF">
            <w:pPr>
              <w:spacing w:before="30" w:after="30"/>
              <w:jc w:val="left"/>
              <w:rPr>
                <w:sz w:val="20"/>
                <w:lang w:val="en-US"/>
              </w:rPr>
            </w:pPr>
            <w:r w:rsidRPr="00AD0CEB">
              <w:rPr>
                <w:sz w:val="20"/>
              </w:rPr>
              <w:t>Aplicaciones espaciales y meteorología</w:t>
            </w:r>
          </w:p>
        </w:tc>
      </w:tr>
      <w:tr w:rsidR="009F5368" w:rsidRPr="00A357C3" w14:paraId="4AB6AD20" w14:textId="77777777" w:rsidTr="00AD0CEB">
        <w:tc>
          <w:tcPr>
            <w:tcW w:w="1140" w:type="dxa"/>
            <w:tcBorders>
              <w:top w:val="nil"/>
              <w:bottom w:val="nil"/>
            </w:tcBorders>
          </w:tcPr>
          <w:p w14:paraId="3D70B409" w14:textId="77777777" w:rsidR="009F5368" w:rsidRPr="00036EE3" w:rsidRDefault="009F5368" w:rsidP="002260CF">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14:paraId="27B7A160" w14:textId="77777777" w:rsidR="009F5368" w:rsidRPr="00021E8A" w:rsidRDefault="009F5368" w:rsidP="002260CF">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AD0CEB" w:rsidRPr="00AD0CEB" w14:paraId="0896321D" w14:textId="77777777" w:rsidTr="00AD0CEB">
        <w:tc>
          <w:tcPr>
            <w:tcW w:w="1140" w:type="dxa"/>
            <w:tcBorders>
              <w:top w:val="nil"/>
              <w:bottom w:val="nil"/>
            </w:tcBorders>
            <w:shd w:val="clear" w:color="auto" w:fill="F2F2F2" w:themeFill="background1" w:themeFillShade="F2"/>
          </w:tcPr>
          <w:p w14:paraId="5D1C88E1" w14:textId="77777777" w:rsidR="009F5368" w:rsidRPr="00AD0CEB" w:rsidRDefault="009F5368" w:rsidP="002260CF">
            <w:pPr>
              <w:spacing w:before="30" w:after="30"/>
              <w:ind w:left="57"/>
              <w:jc w:val="left"/>
              <w:rPr>
                <w:b/>
                <w:bCs/>
                <w:color w:val="000080"/>
                <w:sz w:val="20"/>
                <w:lang w:val="en-US"/>
              </w:rPr>
            </w:pPr>
            <w:r w:rsidRPr="00AD0CEB">
              <w:rPr>
                <w:b/>
                <w:bCs/>
                <w:color w:val="000080"/>
                <w:sz w:val="20"/>
                <w:lang w:val="en-US"/>
              </w:rPr>
              <w:t>SM</w:t>
            </w:r>
          </w:p>
        </w:tc>
        <w:tc>
          <w:tcPr>
            <w:tcW w:w="8220" w:type="dxa"/>
            <w:tcBorders>
              <w:top w:val="nil"/>
              <w:bottom w:val="nil"/>
            </w:tcBorders>
            <w:shd w:val="clear" w:color="auto" w:fill="F2F2F2" w:themeFill="background1" w:themeFillShade="F2"/>
          </w:tcPr>
          <w:p w14:paraId="2ABBFAED" w14:textId="77777777" w:rsidR="009F5368" w:rsidRPr="00AD0CEB" w:rsidRDefault="009F5368" w:rsidP="002260CF">
            <w:pPr>
              <w:spacing w:before="30"/>
              <w:jc w:val="left"/>
              <w:rPr>
                <w:b/>
                <w:bCs/>
                <w:color w:val="000080"/>
                <w:sz w:val="20"/>
                <w:lang w:val="en-US"/>
              </w:rPr>
            </w:pPr>
            <w:r w:rsidRPr="00AD0CEB">
              <w:rPr>
                <w:b/>
                <w:bCs/>
                <w:color w:val="000080"/>
                <w:sz w:val="20"/>
              </w:rPr>
              <w:t>Gestión del espectro</w:t>
            </w:r>
          </w:p>
        </w:tc>
      </w:tr>
      <w:tr w:rsidR="009F5368" w:rsidRPr="00A357C3" w14:paraId="7904C12A" w14:textId="77777777" w:rsidTr="00AD0CEB">
        <w:tc>
          <w:tcPr>
            <w:tcW w:w="1140" w:type="dxa"/>
            <w:tcBorders>
              <w:top w:val="nil"/>
            </w:tcBorders>
          </w:tcPr>
          <w:p w14:paraId="050D381D" w14:textId="77777777" w:rsidR="009F5368" w:rsidRPr="00851ECB" w:rsidRDefault="00851ECB" w:rsidP="002260CF">
            <w:pPr>
              <w:spacing w:before="0" w:after="30"/>
              <w:ind w:left="57"/>
              <w:jc w:val="left"/>
              <w:rPr>
                <w:b/>
                <w:bCs/>
                <w:sz w:val="20"/>
                <w:lang w:val="en-US"/>
              </w:rPr>
            </w:pPr>
            <w:r w:rsidRPr="00851ECB">
              <w:rPr>
                <w:b/>
                <w:bCs/>
                <w:sz w:val="20"/>
                <w:lang w:val="en-US"/>
              </w:rPr>
              <w:t>TF</w:t>
            </w:r>
          </w:p>
        </w:tc>
        <w:tc>
          <w:tcPr>
            <w:tcW w:w="8220" w:type="dxa"/>
            <w:tcBorders>
              <w:top w:val="nil"/>
            </w:tcBorders>
          </w:tcPr>
          <w:p w14:paraId="672E5F23" w14:textId="77777777" w:rsidR="009F5368" w:rsidRPr="00851ECB" w:rsidRDefault="00851ECB" w:rsidP="002260CF">
            <w:pPr>
              <w:spacing w:before="0"/>
              <w:jc w:val="left"/>
              <w:rPr>
                <w:sz w:val="20"/>
              </w:rPr>
            </w:pPr>
            <w:r w:rsidRPr="00851ECB">
              <w:rPr>
                <w:sz w:val="20"/>
                <w:lang w:val="es-ES_tradnl"/>
              </w:rPr>
              <w:t>Emisiones de frecuencias patrón y señales horarias</w:t>
            </w:r>
          </w:p>
        </w:tc>
      </w:tr>
    </w:tbl>
    <w:p w14:paraId="46736756" w14:textId="77777777" w:rsidR="009F5368" w:rsidRPr="00851ECB" w:rsidRDefault="009F5368" w:rsidP="009F5368">
      <w:pPr>
        <w:spacing w:before="0" w:after="140"/>
        <w:jc w:val="center"/>
        <w:rPr>
          <w:sz w:val="20"/>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9F5368" w:rsidRPr="00A357C3" w14:paraId="09E77281" w14:textId="77777777" w:rsidTr="00C412C7">
        <w:tc>
          <w:tcPr>
            <w:tcW w:w="9609" w:type="dxa"/>
          </w:tcPr>
          <w:p w14:paraId="4FD3C2DD" w14:textId="77777777" w:rsidR="009F5368" w:rsidRPr="00D6383C" w:rsidRDefault="009F5368" w:rsidP="002260CF">
            <w:pPr>
              <w:spacing w:before="92" w:after="92"/>
              <w:jc w:val="left"/>
              <w:rPr>
                <w:i/>
                <w:iCs/>
                <w:sz w:val="20"/>
                <w:lang w:val="es-ES_tradnl"/>
              </w:rPr>
            </w:pPr>
            <w:r w:rsidRPr="00D6383C">
              <w:rPr>
                <w:b/>
                <w:bCs/>
                <w:i/>
                <w:iCs/>
                <w:sz w:val="20"/>
                <w:lang w:val="es-ES_tradnl"/>
              </w:rPr>
              <w:t>Nota</w:t>
            </w:r>
            <w:r w:rsidRPr="00D6383C">
              <w:rPr>
                <w:i/>
                <w:iCs/>
                <w:sz w:val="20"/>
                <w:lang w:val="es-ES_tradnl"/>
              </w:rPr>
              <w:t>: Este Informe UIT-R fue aprobado en inglés por la Comisión de Estudio conforme al</w:t>
            </w:r>
            <w:r>
              <w:rPr>
                <w:i/>
                <w:iCs/>
                <w:sz w:val="20"/>
                <w:lang w:val="es-ES_tradnl"/>
              </w:rPr>
              <w:t xml:space="preserve"> procedimiento detallado en la </w:t>
            </w:r>
            <w:r w:rsidRPr="00D6383C">
              <w:rPr>
                <w:i/>
                <w:iCs/>
                <w:sz w:val="20"/>
                <w:lang w:val="es-ES_tradnl"/>
              </w:rPr>
              <w:t>Resolución UIT-R 1.</w:t>
            </w:r>
          </w:p>
        </w:tc>
      </w:tr>
    </w:tbl>
    <w:p w14:paraId="0F2066A7" w14:textId="77777777" w:rsidR="009F5368" w:rsidRPr="00763D08" w:rsidRDefault="009F5368" w:rsidP="009F5368">
      <w:pPr>
        <w:spacing w:before="0"/>
        <w:jc w:val="center"/>
        <w:rPr>
          <w:sz w:val="22"/>
          <w:lang w:val="es-ES_tradnl"/>
        </w:rPr>
      </w:pPr>
    </w:p>
    <w:p w14:paraId="690ED973" w14:textId="77777777" w:rsidR="009F5368" w:rsidRPr="00763D08" w:rsidRDefault="009F5368" w:rsidP="009F5368">
      <w:pPr>
        <w:spacing w:before="60"/>
        <w:jc w:val="right"/>
        <w:rPr>
          <w:i/>
          <w:iCs/>
          <w:sz w:val="20"/>
          <w:lang w:val="es-ES_tradnl"/>
        </w:rPr>
      </w:pPr>
      <w:r w:rsidRPr="00763D08">
        <w:rPr>
          <w:i/>
          <w:iCs/>
          <w:sz w:val="20"/>
          <w:lang w:val="es-ES_tradnl"/>
        </w:rPr>
        <w:t>Publicación electrónica</w:t>
      </w:r>
    </w:p>
    <w:p w14:paraId="79B9073C" w14:textId="73E1CEF8" w:rsidR="009F5368" w:rsidRPr="00763D08" w:rsidRDefault="009F5368" w:rsidP="009F5368">
      <w:pPr>
        <w:spacing w:before="0" w:after="40"/>
        <w:jc w:val="right"/>
        <w:rPr>
          <w:sz w:val="20"/>
          <w:lang w:val="es-ES_tradnl"/>
        </w:rPr>
      </w:pPr>
      <w:r w:rsidRPr="00763D08">
        <w:rPr>
          <w:sz w:val="20"/>
          <w:lang w:val="es-ES_tradnl"/>
        </w:rPr>
        <w:t>Ginebra, 20</w:t>
      </w:r>
      <w:r>
        <w:rPr>
          <w:sz w:val="20"/>
          <w:lang w:val="es-ES_tradnl"/>
        </w:rPr>
        <w:t>2</w:t>
      </w:r>
      <w:r w:rsidR="00193B55">
        <w:rPr>
          <w:sz w:val="20"/>
          <w:lang w:val="es-ES_tradnl"/>
        </w:rPr>
        <w:t>5</w:t>
      </w:r>
    </w:p>
    <w:p w14:paraId="4A578FAB" w14:textId="77777777" w:rsidR="009F5368" w:rsidRPr="00763D08" w:rsidRDefault="009F5368" w:rsidP="009F5368">
      <w:pPr>
        <w:spacing w:before="0"/>
        <w:jc w:val="center"/>
        <w:rPr>
          <w:sz w:val="22"/>
          <w:lang w:val="es-ES_tradnl"/>
        </w:rPr>
      </w:pPr>
    </w:p>
    <w:p w14:paraId="1C2F6B2A" w14:textId="0D6C9DBA" w:rsidR="009F5368" w:rsidRPr="00763D08" w:rsidRDefault="009F5368" w:rsidP="009F5368">
      <w:pPr>
        <w:spacing w:before="0"/>
        <w:jc w:val="center"/>
        <w:rPr>
          <w:sz w:val="20"/>
          <w:lang w:val="es-ES_tradnl"/>
        </w:rPr>
      </w:pPr>
      <w:r w:rsidRPr="00470E28">
        <w:rPr>
          <w:sz w:val="20"/>
          <w:lang w:val="en-US"/>
        </w:rPr>
        <w:sym w:font="Symbol" w:char="F0E3"/>
      </w:r>
      <w:r w:rsidRPr="00763D08">
        <w:rPr>
          <w:sz w:val="20"/>
          <w:lang w:val="es-ES_tradnl"/>
        </w:rPr>
        <w:t xml:space="preserve"> UIT 20</w:t>
      </w:r>
      <w:r>
        <w:rPr>
          <w:sz w:val="20"/>
          <w:lang w:val="es-ES_tradnl"/>
        </w:rPr>
        <w:t>2</w:t>
      </w:r>
      <w:r w:rsidR="00193B55">
        <w:rPr>
          <w:sz w:val="20"/>
          <w:lang w:val="es-ES_tradnl"/>
        </w:rPr>
        <w:t>5</w:t>
      </w:r>
    </w:p>
    <w:p w14:paraId="622EEE24" w14:textId="77777777" w:rsidR="00D5024B" w:rsidRPr="009F5368" w:rsidRDefault="009F5368" w:rsidP="009F5368">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3D72CAA6" w14:textId="77777777" w:rsidR="007565CC" w:rsidRPr="00B20F3A" w:rsidRDefault="007565CC" w:rsidP="00A971A1">
      <w:pPr>
        <w:spacing w:before="160"/>
        <w:rPr>
          <w:i/>
          <w:sz w:val="20"/>
        </w:rPr>
        <w:sectPr w:rsidR="007565CC" w:rsidRPr="00B20F3A" w:rsidSect="002058CE">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14:paraId="77D50789" w14:textId="42A3E225" w:rsidR="00B874C6" w:rsidRPr="00B20F3A" w:rsidRDefault="009F5368" w:rsidP="00A936CB">
      <w:pPr>
        <w:pStyle w:val="RecNo"/>
        <w:spacing w:before="0"/>
      </w:pPr>
      <w:bookmarkStart w:id="7" w:name="irecnoe"/>
      <w:bookmarkEnd w:id="7"/>
      <w:proofErr w:type="gramStart"/>
      <w:r w:rsidRPr="009F5368">
        <w:lastRenderedPageBreak/>
        <w:t xml:space="preserve">INFORME  </w:t>
      </w:r>
      <w:r w:rsidR="00A25EE2" w:rsidRPr="00B20F3A">
        <w:rPr>
          <w:rStyle w:val="href"/>
        </w:rPr>
        <w:t>UI</w:t>
      </w:r>
      <w:r w:rsidR="00B874C6" w:rsidRPr="00B20F3A">
        <w:rPr>
          <w:rStyle w:val="href"/>
        </w:rPr>
        <w:t>T</w:t>
      </w:r>
      <w:proofErr w:type="gramEnd"/>
      <w:r w:rsidR="00B874C6" w:rsidRPr="00B20F3A">
        <w:rPr>
          <w:rStyle w:val="href"/>
        </w:rPr>
        <w:t>-</w:t>
      </w:r>
      <w:proofErr w:type="gramStart"/>
      <w:r w:rsidR="00B874C6" w:rsidRPr="00B20F3A">
        <w:rPr>
          <w:rStyle w:val="href"/>
        </w:rPr>
        <w:t xml:space="preserve">R  </w:t>
      </w:r>
      <w:r w:rsidR="00D5024B" w:rsidRPr="00B20F3A">
        <w:rPr>
          <w:rStyle w:val="href"/>
        </w:rPr>
        <w:t>S</w:t>
      </w:r>
      <w:r w:rsidR="00CC7888">
        <w:rPr>
          <w:rStyle w:val="href"/>
        </w:rPr>
        <w:t>M</w:t>
      </w:r>
      <w:proofErr w:type="gramEnd"/>
      <w:r w:rsidR="00B874C6" w:rsidRPr="00B20F3A">
        <w:rPr>
          <w:rStyle w:val="href"/>
        </w:rPr>
        <w:t>.</w:t>
      </w:r>
      <w:r w:rsidR="00193B55">
        <w:rPr>
          <w:rStyle w:val="href"/>
        </w:rPr>
        <w:t>2015-3</w:t>
      </w:r>
    </w:p>
    <w:p w14:paraId="04E63712" w14:textId="58E521DF" w:rsidR="00B874C6" w:rsidRPr="00193B55" w:rsidRDefault="00193B55" w:rsidP="00193B55">
      <w:pPr>
        <w:jc w:val="center"/>
        <w:rPr>
          <w:b/>
          <w:bCs/>
          <w:sz w:val="28"/>
          <w:szCs w:val="22"/>
        </w:rPr>
      </w:pPr>
      <w:r>
        <w:rPr>
          <w:b/>
          <w:bCs/>
          <w:sz w:val="28"/>
          <w:szCs w:val="22"/>
        </w:rPr>
        <w:t>Métodos</w:t>
      </w:r>
      <w:r w:rsidRPr="00BE184C">
        <w:rPr>
          <w:b/>
          <w:bCs/>
          <w:sz w:val="28"/>
          <w:szCs w:val="22"/>
        </w:rPr>
        <w:t xml:space="preserve"> </w:t>
      </w:r>
      <w:r w:rsidRPr="00193B55">
        <w:rPr>
          <w:b/>
          <w:bCs/>
          <w:sz w:val="28"/>
          <w:szCs w:val="22"/>
        </w:rPr>
        <w:t xml:space="preserve">para la determinación de </w:t>
      </w:r>
      <w:r w:rsidR="00AE456A">
        <w:rPr>
          <w:b/>
          <w:bCs/>
          <w:sz w:val="28"/>
          <w:szCs w:val="22"/>
        </w:rPr>
        <w:t>«</w:t>
      </w:r>
      <w:r w:rsidRPr="00193B55">
        <w:rPr>
          <w:b/>
          <w:bCs/>
          <w:sz w:val="28"/>
          <w:szCs w:val="22"/>
        </w:rPr>
        <w:t>estrategias nacionales a largo plazo</w:t>
      </w:r>
      <w:r w:rsidR="00AE456A">
        <w:rPr>
          <w:b/>
          <w:bCs/>
          <w:sz w:val="28"/>
          <w:szCs w:val="22"/>
        </w:rPr>
        <w:t>»</w:t>
      </w:r>
      <w:r w:rsidRPr="00193B55">
        <w:rPr>
          <w:b/>
          <w:bCs/>
          <w:sz w:val="28"/>
          <w:szCs w:val="22"/>
        </w:rPr>
        <w:t xml:space="preserve"> para la utilización del espectro radioeléctrico</w:t>
      </w:r>
      <w:r>
        <w:rPr>
          <w:b/>
          <w:bCs/>
          <w:sz w:val="28"/>
          <w:szCs w:val="22"/>
        </w:rPr>
        <w:t xml:space="preserve"> en determinados países</w:t>
      </w:r>
    </w:p>
    <w:p w14:paraId="0EDB6870" w14:textId="4BBA21CD" w:rsidR="00B874C6" w:rsidRDefault="00193B55" w:rsidP="00193B55">
      <w:pPr>
        <w:jc w:val="center"/>
      </w:pPr>
      <w:r>
        <w:t>(Cuestión UIT-R 205-2/1)</w:t>
      </w:r>
    </w:p>
    <w:p w14:paraId="46342C25" w14:textId="32C27637" w:rsidR="00193B55" w:rsidRPr="007E1FB5" w:rsidRDefault="00193B55" w:rsidP="00193B55">
      <w:pPr>
        <w:pStyle w:val="Repdate"/>
        <w:rPr>
          <w:lang w:val="es-ES_tradnl"/>
        </w:rPr>
      </w:pPr>
      <w:r w:rsidRPr="007E1FB5">
        <w:rPr>
          <w:lang w:val="es-ES_tradnl"/>
        </w:rPr>
        <w:t>(1998-2019-2022</w:t>
      </w:r>
      <w:r>
        <w:rPr>
          <w:lang w:val="es-ES_tradnl"/>
        </w:rPr>
        <w:t>-2025</w:t>
      </w:r>
      <w:r w:rsidRPr="007E1FB5">
        <w:rPr>
          <w:lang w:val="es-ES_tradnl"/>
        </w:rPr>
        <w:t>)</w:t>
      </w:r>
    </w:p>
    <w:p w14:paraId="529076F9" w14:textId="77777777" w:rsidR="00193B55" w:rsidRDefault="00193B55" w:rsidP="00B874C6"/>
    <w:p w14:paraId="321213AA" w14:textId="77777777" w:rsidR="00193B55" w:rsidRPr="007E1FB5" w:rsidRDefault="00193B55" w:rsidP="00193B55">
      <w:pPr>
        <w:pStyle w:val="Normalaftertitle"/>
        <w:jc w:val="center"/>
        <w:rPr>
          <w:lang w:val="es-ES_tradnl"/>
        </w:rPr>
      </w:pPr>
      <w:r w:rsidRPr="00AE456A">
        <w:rPr>
          <w:lang w:val="es-ES_tradnl"/>
        </w:rPr>
        <w:t>ÍNDICE</w:t>
      </w:r>
    </w:p>
    <w:p w14:paraId="5B2A08AA" w14:textId="451DF486" w:rsidR="008F0DCD" w:rsidRPr="007E1FB5" w:rsidRDefault="00193B55" w:rsidP="008F0DCD">
      <w:pPr>
        <w:pStyle w:val="toc0"/>
        <w:jc w:val="right"/>
        <w:rPr>
          <w:lang w:val="es-ES_tradnl"/>
        </w:rPr>
      </w:pPr>
      <w:r w:rsidRPr="007E1FB5">
        <w:rPr>
          <w:lang w:val="es-ES_tradnl" w:eastAsia="zh-CN"/>
        </w:rPr>
        <w:t>Página</w:t>
      </w:r>
    </w:p>
    <w:p w14:paraId="61147547" w14:textId="0CC09B61" w:rsidR="008F0DCD" w:rsidRDefault="008F0DCD">
      <w:pPr>
        <w:pStyle w:val="TOC1"/>
        <w:rPr>
          <w:rFonts w:asciiTheme="minorHAnsi" w:eastAsiaTheme="minorEastAsia" w:hAnsiTheme="minorHAnsi" w:cstheme="minorBidi"/>
          <w:noProof/>
          <w:kern w:val="2"/>
          <w:szCs w:val="24"/>
          <w:lang w:val="en-GB" w:eastAsia="en-GB"/>
          <w14:ligatures w14:val="standardContextual"/>
        </w:rPr>
      </w:pPr>
      <w:r>
        <w:rPr>
          <w:lang w:val="es-ES_tradnl"/>
        </w:rPr>
        <w:fldChar w:fldCharType="begin"/>
      </w:r>
      <w:r>
        <w:rPr>
          <w:lang w:val="es-ES_tradnl"/>
        </w:rPr>
        <w:instrText xml:space="preserve"> TOC \o "2-2" \h \z \t "Heading 1;1;Annex_NoTitle;1;Appendix_NoTitle;1;Chap_No;1;Chap_title;1" </w:instrText>
      </w:r>
      <w:r>
        <w:rPr>
          <w:lang w:val="es-ES_tradnl"/>
        </w:rPr>
        <w:fldChar w:fldCharType="separate"/>
      </w:r>
      <w:hyperlink w:anchor="_Toc217031128" w:history="1">
        <w:r w:rsidRPr="00090AD7">
          <w:rPr>
            <w:rStyle w:val="Hyperlink"/>
            <w:noProof/>
            <w:lang w:val="es-ES_tradnl"/>
          </w:rPr>
          <w:t>CAPÍTULO 1</w:t>
        </w:r>
        <w:r>
          <w:rPr>
            <w:rStyle w:val="Hyperlink"/>
            <w:noProof/>
            <w:lang w:val="es-ES_tradnl"/>
          </w:rPr>
          <w:t xml:space="preserve"> – </w:t>
        </w:r>
        <w:hyperlink w:anchor="_Toc217031129" w:history="1">
          <w:r w:rsidRPr="008F0DCD">
            <w:rPr>
              <w:rStyle w:val="Hyperlink"/>
              <w:noProof/>
              <w:color w:val="auto"/>
              <w:u w:val="none"/>
              <w:lang w:val="es-ES_tradnl"/>
            </w:rPr>
            <w:t>Proceso de planificación a largo plazo</w:t>
          </w:r>
        </w:hyperlink>
        <w:r>
          <w:rPr>
            <w:noProof/>
            <w:webHidden/>
          </w:rPr>
          <w:tab/>
        </w:r>
        <w:r>
          <w:rPr>
            <w:noProof/>
            <w:webHidden/>
          </w:rPr>
          <w:tab/>
        </w:r>
        <w:r>
          <w:rPr>
            <w:noProof/>
            <w:webHidden/>
          </w:rPr>
          <w:fldChar w:fldCharType="begin"/>
        </w:r>
        <w:r>
          <w:rPr>
            <w:noProof/>
            <w:webHidden/>
          </w:rPr>
          <w:instrText xml:space="preserve"> PAGEREF _Toc217031128 \h </w:instrText>
        </w:r>
        <w:r>
          <w:rPr>
            <w:noProof/>
            <w:webHidden/>
          </w:rPr>
        </w:r>
        <w:r>
          <w:rPr>
            <w:noProof/>
            <w:webHidden/>
          </w:rPr>
          <w:fldChar w:fldCharType="separate"/>
        </w:r>
        <w:r w:rsidR="00C31DA7">
          <w:rPr>
            <w:noProof/>
            <w:webHidden/>
          </w:rPr>
          <w:t>3</w:t>
        </w:r>
        <w:r>
          <w:rPr>
            <w:noProof/>
            <w:webHidden/>
          </w:rPr>
          <w:fldChar w:fldCharType="end"/>
        </w:r>
      </w:hyperlink>
    </w:p>
    <w:p w14:paraId="0E057A85" w14:textId="77B5E4E2" w:rsidR="008F0DCD" w:rsidRDefault="008F0DCD">
      <w:pPr>
        <w:pStyle w:val="TOC1"/>
        <w:rPr>
          <w:rFonts w:asciiTheme="minorHAnsi" w:eastAsiaTheme="minorEastAsia" w:hAnsiTheme="minorHAnsi" w:cstheme="minorBidi"/>
          <w:noProof/>
          <w:kern w:val="2"/>
          <w:szCs w:val="24"/>
          <w:lang w:val="en-GB" w:eastAsia="en-GB"/>
          <w14:ligatures w14:val="standardContextual"/>
        </w:rPr>
      </w:pPr>
      <w:hyperlink w:anchor="_Toc217031130" w:history="1">
        <w:r w:rsidRPr="00090AD7">
          <w:rPr>
            <w:rStyle w:val="Hyperlink"/>
            <w:noProof/>
            <w:lang w:val="es-ES_tradnl"/>
          </w:rPr>
          <w:t>1</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lang w:val="es-ES_tradnl"/>
          </w:rPr>
          <w:t>Introducción</w:t>
        </w:r>
        <w:r>
          <w:rPr>
            <w:noProof/>
            <w:webHidden/>
          </w:rPr>
          <w:tab/>
        </w:r>
        <w:r>
          <w:rPr>
            <w:noProof/>
            <w:webHidden/>
          </w:rPr>
          <w:tab/>
        </w:r>
        <w:r>
          <w:rPr>
            <w:noProof/>
            <w:webHidden/>
          </w:rPr>
          <w:fldChar w:fldCharType="begin"/>
        </w:r>
        <w:r>
          <w:rPr>
            <w:noProof/>
            <w:webHidden/>
          </w:rPr>
          <w:instrText xml:space="preserve"> PAGEREF _Toc217031130 \h </w:instrText>
        </w:r>
        <w:r>
          <w:rPr>
            <w:noProof/>
            <w:webHidden/>
          </w:rPr>
        </w:r>
        <w:r>
          <w:rPr>
            <w:noProof/>
            <w:webHidden/>
          </w:rPr>
          <w:fldChar w:fldCharType="separate"/>
        </w:r>
        <w:r w:rsidR="00C31DA7">
          <w:rPr>
            <w:noProof/>
            <w:webHidden/>
          </w:rPr>
          <w:t>3</w:t>
        </w:r>
        <w:r>
          <w:rPr>
            <w:noProof/>
            <w:webHidden/>
          </w:rPr>
          <w:fldChar w:fldCharType="end"/>
        </w:r>
      </w:hyperlink>
    </w:p>
    <w:p w14:paraId="0339E6AF" w14:textId="51D59BEA" w:rsidR="008F0DCD" w:rsidRDefault="008F0DCD">
      <w:pPr>
        <w:pStyle w:val="TOC1"/>
        <w:rPr>
          <w:rFonts w:asciiTheme="minorHAnsi" w:eastAsiaTheme="minorEastAsia" w:hAnsiTheme="minorHAnsi" w:cstheme="minorBidi"/>
          <w:noProof/>
          <w:kern w:val="2"/>
          <w:szCs w:val="24"/>
          <w:lang w:val="en-GB" w:eastAsia="en-GB"/>
          <w14:ligatures w14:val="standardContextual"/>
        </w:rPr>
      </w:pPr>
      <w:hyperlink w:anchor="_Toc217031131" w:history="1">
        <w:r w:rsidRPr="00090AD7">
          <w:rPr>
            <w:rStyle w:val="Hyperlink"/>
            <w:noProof/>
            <w:lang w:val="es-ES_tradnl"/>
          </w:rPr>
          <w:t>2</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lang w:val="es-ES_tradnl"/>
          </w:rPr>
          <w:t>Proceso de planificación nacional a largo plazo</w:t>
        </w:r>
        <w:r>
          <w:rPr>
            <w:noProof/>
            <w:webHidden/>
          </w:rPr>
          <w:tab/>
        </w:r>
        <w:r>
          <w:rPr>
            <w:noProof/>
            <w:webHidden/>
          </w:rPr>
          <w:tab/>
        </w:r>
        <w:r>
          <w:rPr>
            <w:noProof/>
            <w:webHidden/>
          </w:rPr>
          <w:fldChar w:fldCharType="begin"/>
        </w:r>
        <w:r>
          <w:rPr>
            <w:noProof/>
            <w:webHidden/>
          </w:rPr>
          <w:instrText xml:space="preserve"> PAGEREF _Toc217031131 \h </w:instrText>
        </w:r>
        <w:r>
          <w:rPr>
            <w:noProof/>
            <w:webHidden/>
          </w:rPr>
        </w:r>
        <w:r>
          <w:rPr>
            <w:noProof/>
            <w:webHidden/>
          </w:rPr>
          <w:fldChar w:fldCharType="separate"/>
        </w:r>
        <w:r w:rsidR="00C31DA7">
          <w:rPr>
            <w:noProof/>
            <w:webHidden/>
          </w:rPr>
          <w:t>4</w:t>
        </w:r>
        <w:r>
          <w:rPr>
            <w:noProof/>
            <w:webHidden/>
          </w:rPr>
          <w:fldChar w:fldCharType="end"/>
        </w:r>
      </w:hyperlink>
    </w:p>
    <w:p w14:paraId="5F537B0C" w14:textId="329F1E2F" w:rsidR="008F0DCD" w:rsidRDefault="008F0DCD">
      <w:pPr>
        <w:pStyle w:val="TOC2"/>
        <w:rPr>
          <w:rFonts w:asciiTheme="minorHAnsi" w:eastAsiaTheme="minorEastAsia" w:hAnsiTheme="minorHAnsi" w:cstheme="minorBidi"/>
          <w:noProof/>
          <w:kern w:val="2"/>
          <w:szCs w:val="24"/>
          <w:lang w:val="en-GB" w:eastAsia="en-GB"/>
          <w14:ligatures w14:val="standardContextual"/>
        </w:rPr>
      </w:pPr>
      <w:hyperlink w:anchor="_Toc217031132" w:history="1">
        <w:r w:rsidRPr="00090AD7">
          <w:rPr>
            <w:rStyle w:val="Hyperlink"/>
            <w:noProof/>
            <w:lang w:val="es-ES_tradnl"/>
          </w:rPr>
          <w:t>2.1</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lang w:val="es-ES_tradnl"/>
          </w:rPr>
          <w:t>Definición de necesidades de espectro</w:t>
        </w:r>
        <w:r>
          <w:rPr>
            <w:noProof/>
            <w:webHidden/>
          </w:rPr>
          <w:tab/>
        </w:r>
        <w:r>
          <w:rPr>
            <w:noProof/>
            <w:webHidden/>
          </w:rPr>
          <w:tab/>
        </w:r>
        <w:r>
          <w:rPr>
            <w:noProof/>
            <w:webHidden/>
          </w:rPr>
          <w:fldChar w:fldCharType="begin"/>
        </w:r>
        <w:r>
          <w:rPr>
            <w:noProof/>
            <w:webHidden/>
          </w:rPr>
          <w:instrText xml:space="preserve"> PAGEREF _Toc217031132 \h </w:instrText>
        </w:r>
        <w:r>
          <w:rPr>
            <w:noProof/>
            <w:webHidden/>
          </w:rPr>
        </w:r>
        <w:r>
          <w:rPr>
            <w:noProof/>
            <w:webHidden/>
          </w:rPr>
          <w:fldChar w:fldCharType="separate"/>
        </w:r>
        <w:r w:rsidR="00C31DA7">
          <w:rPr>
            <w:noProof/>
            <w:webHidden/>
          </w:rPr>
          <w:t>5</w:t>
        </w:r>
        <w:r>
          <w:rPr>
            <w:noProof/>
            <w:webHidden/>
          </w:rPr>
          <w:fldChar w:fldCharType="end"/>
        </w:r>
      </w:hyperlink>
    </w:p>
    <w:p w14:paraId="20A47366" w14:textId="7EE629B8" w:rsidR="008F0DCD" w:rsidRDefault="008F0DCD">
      <w:pPr>
        <w:pStyle w:val="TOC2"/>
        <w:rPr>
          <w:rFonts w:asciiTheme="minorHAnsi" w:eastAsiaTheme="minorEastAsia" w:hAnsiTheme="minorHAnsi" w:cstheme="minorBidi"/>
          <w:noProof/>
          <w:kern w:val="2"/>
          <w:szCs w:val="24"/>
          <w:lang w:val="en-GB" w:eastAsia="en-GB"/>
          <w14:ligatures w14:val="standardContextual"/>
        </w:rPr>
      </w:pPr>
      <w:hyperlink w:anchor="_Toc217031133" w:history="1">
        <w:r w:rsidRPr="00090AD7">
          <w:rPr>
            <w:rStyle w:val="Hyperlink"/>
            <w:noProof/>
            <w:lang w:val="es-ES_tradnl"/>
          </w:rPr>
          <w:t>2.2</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lang w:val="es-ES_tradnl"/>
          </w:rPr>
          <w:t>Disponibilidad de espectro</w:t>
        </w:r>
        <w:r>
          <w:rPr>
            <w:noProof/>
            <w:webHidden/>
          </w:rPr>
          <w:tab/>
        </w:r>
        <w:r>
          <w:rPr>
            <w:noProof/>
            <w:webHidden/>
          </w:rPr>
          <w:tab/>
        </w:r>
        <w:r>
          <w:rPr>
            <w:noProof/>
            <w:webHidden/>
          </w:rPr>
          <w:fldChar w:fldCharType="begin"/>
        </w:r>
        <w:r>
          <w:rPr>
            <w:noProof/>
            <w:webHidden/>
          </w:rPr>
          <w:instrText xml:space="preserve"> PAGEREF _Toc217031133 \h </w:instrText>
        </w:r>
        <w:r>
          <w:rPr>
            <w:noProof/>
            <w:webHidden/>
          </w:rPr>
        </w:r>
        <w:r>
          <w:rPr>
            <w:noProof/>
            <w:webHidden/>
          </w:rPr>
          <w:fldChar w:fldCharType="separate"/>
        </w:r>
        <w:r w:rsidR="00C31DA7">
          <w:rPr>
            <w:noProof/>
            <w:webHidden/>
          </w:rPr>
          <w:t>5</w:t>
        </w:r>
        <w:r>
          <w:rPr>
            <w:noProof/>
            <w:webHidden/>
          </w:rPr>
          <w:fldChar w:fldCharType="end"/>
        </w:r>
      </w:hyperlink>
    </w:p>
    <w:p w14:paraId="5FEBDA15" w14:textId="259ECA6A" w:rsidR="008F0DCD" w:rsidRDefault="008F0DCD">
      <w:pPr>
        <w:pStyle w:val="TOC2"/>
        <w:rPr>
          <w:rFonts w:asciiTheme="minorHAnsi" w:eastAsiaTheme="minorEastAsia" w:hAnsiTheme="minorHAnsi" w:cstheme="minorBidi"/>
          <w:noProof/>
          <w:kern w:val="2"/>
          <w:szCs w:val="24"/>
          <w:lang w:val="en-GB" w:eastAsia="en-GB"/>
          <w14:ligatures w14:val="standardContextual"/>
        </w:rPr>
      </w:pPr>
      <w:hyperlink w:anchor="_Toc217031134" w:history="1">
        <w:r w:rsidRPr="00090AD7">
          <w:rPr>
            <w:rStyle w:val="Hyperlink"/>
            <w:noProof/>
            <w:lang w:val="es-ES_tradnl"/>
          </w:rPr>
          <w:t>2.3</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lang w:val="es-ES_tradnl"/>
          </w:rPr>
          <w:t>Opciones de planificación del espectro</w:t>
        </w:r>
        <w:r>
          <w:rPr>
            <w:noProof/>
            <w:webHidden/>
          </w:rPr>
          <w:tab/>
        </w:r>
        <w:r>
          <w:rPr>
            <w:noProof/>
            <w:webHidden/>
          </w:rPr>
          <w:tab/>
        </w:r>
        <w:r>
          <w:rPr>
            <w:noProof/>
            <w:webHidden/>
          </w:rPr>
          <w:fldChar w:fldCharType="begin"/>
        </w:r>
        <w:r>
          <w:rPr>
            <w:noProof/>
            <w:webHidden/>
          </w:rPr>
          <w:instrText xml:space="preserve"> PAGEREF _Toc217031134 \h </w:instrText>
        </w:r>
        <w:r>
          <w:rPr>
            <w:noProof/>
            <w:webHidden/>
          </w:rPr>
        </w:r>
        <w:r>
          <w:rPr>
            <w:noProof/>
            <w:webHidden/>
          </w:rPr>
          <w:fldChar w:fldCharType="separate"/>
        </w:r>
        <w:r w:rsidR="00C31DA7">
          <w:rPr>
            <w:noProof/>
            <w:webHidden/>
          </w:rPr>
          <w:t>5</w:t>
        </w:r>
        <w:r>
          <w:rPr>
            <w:noProof/>
            <w:webHidden/>
          </w:rPr>
          <w:fldChar w:fldCharType="end"/>
        </w:r>
      </w:hyperlink>
    </w:p>
    <w:p w14:paraId="761A4326" w14:textId="30D14A12" w:rsidR="008F0DCD" w:rsidRDefault="008F0DCD">
      <w:pPr>
        <w:pStyle w:val="TOC2"/>
        <w:rPr>
          <w:rFonts w:asciiTheme="minorHAnsi" w:eastAsiaTheme="minorEastAsia" w:hAnsiTheme="minorHAnsi" w:cstheme="minorBidi"/>
          <w:noProof/>
          <w:kern w:val="2"/>
          <w:szCs w:val="24"/>
          <w:lang w:val="en-GB" w:eastAsia="en-GB"/>
          <w14:ligatures w14:val="standardContextual"/>
        </w:rPr>
      </w:pPr>
      <w:hyperlink w:anchor="_Toc217031135" w:history="1">
        <w:r w:rsidRPr="00090AD7">
          <w:rPr>
            <w:rStyle w:val="Hyperlink"/>
            <w:noProof/>
            <w:lang w:val="es-ES_tradnl"/>
          </w:rPr>
          <w:t>2.4</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lang w:val="es-ES_tradnl"/>
          </w:rPr>
          <w:t>Aplicación de la planificación del espectro</w:t>
        </w:r>
        <w:r>
          <w:rPr>
            <w:noProof/>
            <w:webHidden/>
          </w:rPr>
          <w:tab/>
        </w:r>
        <w:r>
          <w:rPr>
            <w:noProof/>
            <w:webHidden/>
          </w:rPr>
          <w:tab/>
        </w:r>
        <w:r>
          <w:rPr>
            <w:noProof/>
            <w:webHidden/>
          </w:rPr>
          <w:fldChar w:fldCharType="begin"/>
        </w:r>
        <w:r>
          <w:rPr>
            <w:noProof/>
            <w:webHidden/>
          </w:rPr>
          <w:instrText xml:space="preserve"> PAGEREF _Toc217031135 \h </w:instrText>
        </w:r>
        <w:r>
          <w:rPr>
            <w:noProof/>
            <w:webHidden/>
          </w:rPr>
        </w:r>
        <w:r>
          <w:rPr>
            <w:noProof/>
            <w:webHidden/>
          </w:rPr>
          <w:fldChar w:fldCharType="separate"/>
        </w:r>
        <w:r w:rsidR="00C31DA7">
          <w:rPr>
            <w:noProof/>
            <w:webHidden/>
          </w:rPr>
          <w:t>6</w:t>
        </w:r>
        <w:r>
          <w:rPr>
            <w:noProof/>
            <w:webHidden/>
          </w:rPr>
          <w:fldChar w:fldCharType="end"/>
        </w:r>
      </w:hyperlink>
    </w:p>
    <w:p w14:paraId="688EFBBE" w14:textId="48765F57" w:rsidR="008F0DCD" w:rsidRDefault="008F0DCD">
      <w:pPr>
        <w:pStyle w:val="TOC2"/>
        <w:rPr>
          <w:rFonts w:asciiTheme="minorHAnsi" w:eastAsiaTheme="minorEastAsia" w:hAnsiTheme="minorHAnsi" w:cstheme="minorBidi"/>
          <w:noProof/>
          <w:kern w:val="2"/>
          <w:szCs w:val="24"/>
          <w:lang w:val="en-GB" w:eastAsia="en-GB"/>
          <w14:ligatures w14:val="standardContextual"/>
        </w:rPr>
      </w:pPr>
      <w:hyperlink w:anchor="_Toc217031136" w:history="1">
        <w:r w:rsidRPr="00090AD7">
          <w:rPr>
            <w:rStyle w:val="Hyperlink"/>
            <w:noProof/>
            <w:lang w:val="es-ES_tradnl"/>
          </w:rPr>
          <w:t>2.5</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lang w:val="es-ES_tradnl"/>
          </w:rPr>
          <w:t>El proceso iterativo</w:t>
        </w:r>
        <w:r>
          <w:rPr>
            <w:noProof/>
            <w:webHidden/>
          </w:rPr>
          <w:tab/>
        </w:r>
        <w:r>
          <w:rPr>
            <w:noProof/>
            <w:webHidden/>
          </w:rPr>
          <w:tab/>
        </w:r>
        <w:r>
          <w:rPr>
            <w:noProof/>
            <w:webHidden/>
          </w:rPr>
          <w:fldChar w:fldCharType="begin"/>
        </w:r>
        <w:r>
          <w:rPr>
            <w:noProof/>
            <w:webHidden/>
          </w:rPr>
          <w:instrText xml:space="preserve"> PAGEREF _Toc217031136 \h </w:instrText>
        </w:r>
        <w:r>
          <w:rPr>
            <w:noProof/>
            <w:webHidden/>
          </w:rPr>
        </w:r>
        <w:r>
          <w:rPr>
            <w:noProof/>
            <w:webHidden/>
          </w:rPr>
          <w:fldChar w:fldCharType="separate"/>
        </w:r>
        <w:r w:rsidR="00C31DA7">
          <w:rPr>
            <w:noProof/>
            <w:webHidden/>
          </w:rPr>
          <w:t>6</w:t>
        </w:r>
        <w:r>
          <w:rPr>
            <w:noProof/>
            <w:webHidden/>
          </w:rPr>
          <w:fldChar w:fldCharType="end"/>
        </w:r>
      </w:hyperlink>
    </w:p>
    <w:p w14:paraId="505C9A70" w14:textId="72B8B2B3" w:rsidR="008F0DCD" w:rsidRDefault="008F0DCD">
      <w:pPr>
        <w:pStyle w:val="TOC1"/>
        <w:rPr>
          <w:rFonts w:asciiTheme="minorHAnsi" w:eastAsiaTheme="minorEastAsia" w:hAnsiTheme="minorHAnsi" w:cstheme="minorBidi"/>
          <w:noProof/>
          <w:kern w:val="2"/>
          <w:szCs w:val="24"/>
          <w:lang w:val="en-GB" w:eastAsia="en-GB"/>
          <w14:ligatures w14:val="standardContextual"/>
        </w:rPr>
      </w:pPr>
      <w:hyperlink w:anchor="_Toc217031137" w:history="1">
        <w:r w:rsidRPr="00090AD7">
          <w:rPr>
            <w:rStyle w:val="Hyperlink"/>
            <w:noProof/>
            <w:lang w:val="es-ES_tradnl"/>
          </w:rPr>
          <w:t>3</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lang w:val="es-ES_tradnl"/>
          </w:rPr>
          <w:t>Entidad administrativa o de gestión</w:t>
        </w:r>
        <w:r>
          <w:rPr>
            <w:noProof/>
            <w:webHidden/>
          </w:rPr>
          <w:tab/>
        </w:r>
        <w:r>
          <w:rPr>
            <w:noProof/>
            <w:webHidden/>
          </w:rPr>
          <w:tab/>
        </w:r>
        <w:r>
          <w:rPr>
            <w:noProof/>
            <w:webHidden/>
          </w:rPr>
          <w:fldChar w:fldCharType="begin"/>
        </w:r>
        <w:r>
          <w:rPr>
            <w:noProof/>
            <w:webHidden/>
          </w:rPr>
          <w:instrText xml:space="preserve"> PAGEREF _Toc217031137 \h </w:instrText>
        </w:r>
        <w:r>
          <w:rPr>
            <w:noProof/>
            <w:webHidden/>
          </w:rPr>
        </w:r>
        <w:r>
          <w:rPr>
            <w:noProof/>
            <w:webHidden/>
          </w:rPr>
          <w:fldChar w:fldCharType="separate"/>
        </w:r>
        <w:r w:rsidR="00C31DA7">
          <w:rPr>
            <w:noProof/>
            <w:webHidden/>
          </w:rPr>
          <w:t>6</w:t>
        </w:r>
        <w:r>
          <w:rPr>
            <w:noProof/>
            <w:webHidden/>
          </w:rPr>
          <w:fldChar w:fldCharType="end"/>
        </w:r>
      </w:hyperlink>
    </w:p>
    <w:p w14:paraId="0B9DA28B" w14:textId="1BEE9BC8" w:rsidR="008F0DCD" w:rsidRDefault="008F0DCD">
      <w:pPr>
        <w:pStyle w:val="TOC1"/>
        <w:rPr>
          <w:rFonts w:asciiTheme="minorHAnsi" w:eastAsiaTheme="minorEastAsia" w:hAnsiTheme="minorHAnsi" w:cstheme="minorBidi"/>
          <w:noProof/>
          <w:kern w:val="2"/>
          <w:szCs w:val="24"/>
          <w:lang w:val="en-GB" w:eastAsia="en-GB"/>
          <w14:ligatures w14:val="standardContextual"/>
        </w:rPr>
      </w:pPr>
      <w:hyperlink w:anchor="_Toc217031138" w:history="1">
        <w:r w:rsidRPr="00090AD7">
          <w:rPr>
            <w:rStyle w:val="Hyperlink"/>
            <w:noProof/>
            <w:lang w:val="es-ES_tradnl"/>
          </w:rPr>
          <w:t xml:space="preserve">Anexo 1 al Capítulo 1 </w:t>
        </w:r>
        <w:r>
          <w:rPr>
            <w:rStyle w:val="Hyperlink"/>
            <w:noProof/>
            <w:lang w:val="es-ES_tradnl"/>
          </w:rPr>
          <w:t>–</w:t>
        </w:r>
        <w:r w:rsidRPr="00090AD7">
          <w:rPr>
            <w:rStyle w:val="Hyperlink"/>
            <w:noProof/>
            <w:lang w:val="es-ES_tradnl"/>
          </w:rPr>
          <w:t xml:space="preserve"> </w:t>
        </w:r>
        <w:r w:rsidRPr="00090AD7">
          <w:rPr>
            <w:rStyle w:val="Hyperlink"/>
            <w:bCs/>
            <w:noProof/>
            <w:lang w:val="es-ES_tradnl"/>
          </w:rPr>
          <w:t>Factores de influencia</w:t>
        </w:r>
        <w:r>
          <w:rPr>
            <w:noProof/>
            <w:webHidden/>
          </w:rPr>
          <w:tab/>
        </w:r>
        <w:r>
          <w:rPr>
            <w:noProof/>
            <w:webHidden/>
          </w:rPr>
          <w:tab/>
        </w:r>
        <w:r>
          <w:rPr>
            <w:noProof/>
            <w:webHidden/>
          </w:rPr>
          <w:fldChar w:fldCharType="begin"/>
        </w:r>
        <w:r>
          <w:rPr>
            <w:noProof/>
            <w:webHidden/>
          </w:rPr>
          <w:instrText xml:space="preserve"> PAGEREF _Toc217031138 \h </w:instrText>
        </w:r>
        <w:r>
          <w:rPr>
            <w:noProof/>
            <w:webHidden/>
          </w:rPr>
        </w:r>
        <w:r>
          <w:rPr>
            <w:noProof/>
            <w:webHidden/>
          </w:rPr>
          <w:fldChar w:fldCharType="separate"/>
        </w:r>
        <w:r w:rsidR="00C31DA7">
          <w:rPr>
            <w:noProof/>
            <w:webHidden/>
          </w:rPr>
          <w:t>7</w:t>
        </w:r>
        <w:r>
          <w:rPr>
            <w:noProof/>
            <w:webHidden/>
          </w:rPr>
          <w:fldChar w:fldCharType="end"/>
        </w:r>
      </w:hyperlink>
    </w:p>
    <w:p w14:paraId="39715888" w14:textId="0DEC15FB" w:rsidR="008F0DCD" w:rsidRDefault="008F0DCD">
      <w:pPr>
        <w:pStyle w:val="TOC1"/>
        <w:rPr>
          <w:rFonts w:asciiTheme="minorHAnsi" w:eastAsiaTheme="minorEastAsia" w:hAnsiTheme="minorHAnsi" w:cstheme="minorBidi"/>
          <w:noProof/>
          <w:kern w:val="2"/>
          <w:szCs w:val="24"/>
          <w:lang w:val="en-GB" w:eastAsia="en-GB"/>
          <w14:ligatures w14:val="standardContextual"/>
        </w:rPr>
      </w:pPr>
      <w:hyperlink w:anchor="_Toc217031139" w:history="1">
        <w:r w:rsidRPr="00090AD7">
          <w:rPr>
            <w:rStyle w:val="Hyperlink"/>
            <w:noProof/>
            <w:lang w:val="es-ES_tradnl"/>
          </w:rPr>
          <w:t xml:space="preserve">Anexo 2 al Capítulo 1 </w:t>
        </w:r>
        <w:r>
          <w:rPr>
            <w:rStyle w:val="Hyperlink"/>
            <w:noProof/>
            <w:lang w:val="es-ES_tradnl"/>
          </w:rPr>
          <w:t>–</w:t>
        </w:r>
        <w:r w:rsidRPr="00090AD7">
          <w:rPr>
            <w:rStyle w:val="Hyperlink"/>
            <w:noProof/>
            <w:lang w:val="es-ES_tradnl"/>
          </w:rPr>
          <w:t xml:space="preserve"> Metodología de elaboración del plan de gestión del espectro a largo plazo</w:t>
        </w:r>
        <w:r>
          <w:rPr>
            <w:noProof/>
            <w:webHidden/>
          </w:rPr>
          <w:tab/>
        </w:r>
        <w:r>
          <w:rPr>
            <w:noProof/>
            <w:webHidden/>
          </w:rPr>
          <w:tab/>
        </w:r>
        <w:r>
          <w:rPr>
            <w:noProof/>
            <w:webHidden/>
          </w:rPr>
          <w:fldChar w:fldCharType="begin"/>
        </w:r>
        <w:r>
          <w:rPr>
            <w:noProof/>
            <w:webHidden/>
          </w:rPr>
          <w:instrText xml:space="preserve"> PAGEREF _Toc217031139 \h </w:instrText>
        </w:r>
        <w:r>
          <w:rPr>
            <w:noProof/>
            <w:webHidden/>
          </w:rPr>
        </w:r>
        <w:r>
          <w:rPr>
            <w:noProof/>
            <w:webHidden/>
          </w:rPr>
          <w:fldChar w:fldCharType="separate"/>
        </w:r>
        <w:r w:rsidR="00C31DA7">
          <w:rPr>
            <w:noProof/>
            <w:webHidden/>
          </w:rPr>
          <w:t>9</w:t>
        </w:r>
        <w:r>
          <w:rPr>
            <w:noProof/>
            <w:webHidden/>
          </w:rPr>
          <w:fldChar w:fldCharType="end"/>
        </w:r>
      </w:hyperlink>
    </w:p>
    <w:p w14:paraId="4C5E2F6C" w14:textId="58759A36" w:rsidR="008F0DCD" w:rsidRDefault="008F0DCD">
      <w:pPr>
        <w:pStyle w:val="TOC1"/>
        <w:rPr>
          <w:rFonts w:asciiTheme="minorHAnsi" w:eastAsiaTheme="minorEastAsia" w:hAnsiTheme="minorHAnsi" w:cstheme="minorBidi"/>
          <w:noProof/>
          <w:kern w:val="2"/>
          <w:szCs w:val="24"/>
          <w:lang w:val="en-GB" w:eastAsia="en-GB"/>
          <w14:ligatures w14:val="standardContextual"/>
        </w:rPr>
      </w:pPr>
      <w:hyperlink w:anchor="_Toc217031140" w:history="1">
        <w:r w:rsidRPr="00090AD7">
          <w:rPr>
            <w:rStyle w:val="Hyperlink"/>
            <w:noProof/>
          </w:rPr>
          <w:t>CAPÍTULO</w:t>
        </w:r>
        <w:r w:rsidRPr="00090AD7">
          <w:rPr>
            <w:rStyle w:val="Hyperlink"/>
            <w:noProof/>
            <w:lang w:val="es-ES_tradnl"/>
          </w:rPr>
          <w:t xml:space="preserve"> 2</w:t>
        </w:r>
        <w:r>
          <w:rPr>
            <w:rStyle w:val="Hyperlink"/>
            <w:noProof/>
            <w:lang w:val="es-ES_tradnl"/>
          </w:rPr>
          <w:t xml:space="preserve"> – </w:t>
        </w:r>
        <w:hyperlink w:anchor="_Toc217031141" w:history="1">
          <w:r w:rsidRPr="008F0DCD">
            <w:rPr>
              <w:rStyle w:val="Hyperlink"/>
              <w:noProof/>
              <w:color w:val="auto"/>
              <w:u w:val="none"/>
              <w:lang w:val="es-ES_tradnl"/>
            </w:rPr>
            <w:t>Evaluación de hipótesis</w:t>
          </w:r>
        </w:hyperlink>
        <w:r>
          <w:rPr>
            <w:noProof/>
            <w:webHidden/>
          </w:rPr>
          <w:tab/>
        </w:r>
        <w:r>
          <w:rPr>
            <w:noProof/>
            <w:webHidden/>
          </w:rPr>
          <w:tab/>
        </w:r>
        <w:r>
          <w:rPr>
            <w:noProof/>
            <w:webHidden/>
          </w:rPr>
          <w:fldChar w:fldCharType="begin"/>
        </w:r>
        <w:r>
          <w:rPr>
            <w:noProof/>
            <w:webHidden/>
          </w:rPr>
          <w:instrText xml:space="preserve"> PAGEREF _Toc217031140 \h </w:instrText>
        </w:r>
        <w:r>
          <w:rPr>
            <w:noProof/>
            <w:webHidden/>
          </w:rPr>
        </w:r>
        <w:r>
          <w:rPr>
            <w:noProof/>
            <w:webHidden/>
          </w:rPr>
          <w:fldChar w:fldCharType="separate"/>
        </w:r>
        <w:r w:rsidR="00C31DA7">
          <w:rPr>
            <w:noProof/>
            <w:webHidden/>
          </w:rPr>
          <w:t>16</w:t>
        </w:r>
        <w:r>
          <w:rPr>
            <w:noProof/>
            <w:webHidden/>
          </w:rPr>
          <w:fldChar w:fldCharType="end"/>
        </w:r>
      </w:hyperlink>
    </w:p>
    <w:p w14:paraId="569A33EA" w14:textId="3EE03F21" w:rsidR="008F0DCD" w:rsidRDefault="008F0DCD">
      <w:pPr>
        <w:pStyle w:val="TOC1"/>
        <w:rPr>
          <w:rFonts w:asciiTheme="minorHAnsi" w:eastAsiaTheme="minorEastAsia" w:hAnsiTheme="minorHAnsi" w:cstheme="minorBidi"/>
          <w:noProof/>
          <w:kern w:val="2"/>
          <w:szCs w:val="24"/>
          <w:lang w:val="en-GB" w:eastAsia="en-GB"/>
          <w14:ligatures w14:val="standardContextual"/>
        </w:rPr>
      </w:pPr>
      <w:hyperlink w:anchor="_Toc217031142" w:history="1">
        <w:r w:rsidRPr="00090AD7">
          <w:rPr>
            <w:rStyle w:val="Hyperlink"/>
            <w:noProof/>
            <w:lang w:val="es-ES_tradnl"/>
          </w:rPr>
          <w:t>1</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lang w:val="es-ES_tradnl"/>
          </w:rPr>
          <w:t>Introducción</w:t>
        </w:r>
        <w:r>
          <w:rPr>
            <w:noProof/>
            <w:webHidden/>
          </w:rPr>
          <w:tab/>
        </w:r>
        <w:r w:rsidR="002A25C7">
          <w:rPr>
            <w:noProof/>
            <w:webHidden/>
          </w:rPr>
          <w:tab/>
        </w:r>
        <w:r>
          <w:rPr>
            <w:noProof/>
            <w:webHidden/>
          </w:rPr>
          <w:fldChar w:fldCharType="begin"/>
        </w:r>
        <w:r>
          <w:rPr>
            <w:noProof/>
            <w:webHidden/>
          </w:rPr>
          <w:instrText xml:space="preserve"> PAGEREF _Toc217031142 \h </w:instrText>
        </w:r>
        <w:r>
          <w:rPr>
            <w:noProof/>
            <w:webHidden/>
          </w:rPr>
        </w:r>
        <w:r>
          <w:rPr>
            <w:noProof/>
            <w:webHidden/>
          </w:rPr>
          <w:fldChar w:fldCharType="separate"/>
        </w:r>
        <w:r w:rsidR="00C31DA7">
          <w:rPr>
            <w:noProof/>
            <w:webHidden/>
          </w:rPr>
          <w:t>16</w:t>
        </w:r>
        <w:r>
          <w:rPr>
            <w:noProof/>
            <w:webHidden/>
          </w:rPr>
          <w:fldChar w:fldCharType="end"/>
        </w:r>
      </w:hyperlink>
    </w:p>
    <w:p w14:paraId="74C6797D" w14:textId="7EFE535A" w:rsidR="008F0DCD" w:rsidRDefault="008F0DCD">
      <w:pPr>
        <w:pStyle w:val="TOC1"/>
        <w:rPr>
          <w:rFonts w:asciiTheme="minorHAnsi" w:eastAsiaTheme="minorEastAsia" w:hAnsiTheme="minorHAnsi" w:cstheme="minorBidi"/>
          <w:noProof/>
          <w:kern w:val="2"/>
          <w:szCs w:val="24"/>
          <w:lang w:val="en-GB" w:eastAsia="en-GB"/>
          <w14:ligatures w14:val="standardContextual"/>
        </w:rPr>
      </w:pPr>
      <w:hyperlink w:anchor="_Toc217031143" w:history="1">
        <w:r w:rsidRPr="00090AD7">
          <w:rPr>
            <w:rStyle w:val="Hyperlink"/>
            <w:noProof/>
            <w:lang w:val="es-ES_tradnl"/>
          </w:rPr>
          <w:t>2</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lang w:val="es-ES_tradnl"/>
          </w:rPr>
          <w:t>Método de consulta</w:t>
        </w:r>
        <w:r>
          <w:rPr>
            <w:noProof/>
            <w:webHidden/>
          </w:rPr>
          <w:tab/>
        </w:r>
        <w:r w:rsidR="002A25C7">
          <w:rPr>
            <w:noProof/>
            <w:webHidden/>
          </w:rPr>
          <w:tab/>
        </w:r>
        <w:r>
          <w:rPr>
            <w:noProof/>
            <w:webHidden/>
          </w:rPr>
          <w:fldChar w:fldCharType="begin"/>
        </w:r>
        <w:r>
          <w:rPr>
            <w:noProof/>
            <w:webHidden/>
          </w:rPr>
          <w:instrText xml:space="preserve"> PAGEREF _Toc217031143 \h </w:instrText>
        </w:r>
        <w:r>
          <w:rPr>
            <w:noProof/>
            <w:webHidden/>
          </w:rPr>
        </w:r>
        <w:r>
          <w:rPr>
            <w:noProof/>
            <w:webHidden/>
          </w:rPr>
          <w:fldChar w:fldCharType="separate"/>
        </w:r>
        <w:r w:rsidR="00C31DA7">
          <w:rPr>
            <w:noProof/>
            <w:webHidden/>
          </w:rPr>
          <w:t>17</w:t>
        </w:r>
        <w:r>
          <w:rPr>
            <w:noProof/>
            <w:webHidden/>
          </w:rPr>
          <w:fldChar w:fldCharType="end"/>
        </w:r>
      </w:hyperlink>
    </w:p>
    <w:p w14:paraId="7D2F964F" w14:textId="48CA9943" w:rsidR="008F0DCD" w:rsidRDefault="008F0DCD">
      <w:pPr>
        <w:pStyle w:val="TOC2"/>
        <w:rPr>
          <w:rFonts w:asciiTheme="minorHAnsi" w:eastAsiaTheme="minorEastAsia" w:hAnsiTheme="minorHAnsi" w:cstheme="minorBidi"/>
          <w:noProof/>
          <w:kern w:val="2"/>
          <w:szCs w:val="24"/>
          <w:lang w:val="en-GB" w:eastAsia="en-GB"/>
          <w14:ligatures w14:val="standardContextual"/>
        </w:rPr>
      </w:pPr>
      <w:hyperlink w:anchor="_Toc217031144" w:history="1">
        <w:r w:rsidRPr="00090AD7">
          <w:rPr>
            <w:rStyle w:val="Hyperlink"/>
            <w:noProof/>
            <w:lang w:val="es-ES_tradnl"/>
          </w:rPr>
          <w:t>2.1</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lang w:val="es-ES_tradnl"/>
          </w:rPr>
          <w:t>Encuesta sobre necesidades futuras de espectro y servicio</w:t>
        </w:r>
        <w:r>
          <w:rPr>
            <w:noProof/>
            <w:webHidden/>
          </w:rPr>
          <w:tab/>
        </w:r>
        <w:r w:rsidR="002A25C7">
          <w:rPr>
            <w:noProof/>
            <w:webHidden/>
          </w:rPr>
          <w:tab/>
        </w:r>
        <w:r>
          <w:rPr>
            <w:noProof/>
            <w:webHidden/>
          </w:rPr>
          <w:fldChar w:fldCharType="begin"/>
        </w:r>
        <w:r>
          <w:rPr>
            <w:noProof/>
            <w:webHidden/>
          </w:rPr>
          <w:instrText xml:space="preserve"> PAGEREF _Toc217031144 \h </w:instrText>
        </w:r>
        <w:r>
          <w:rPr>
            <w:noProof/>
            <w:webHidden/>
          </w:rPr>
        </w:r>
        <w:r>
          <w:rPr>
            <w:noProof/>
            <w:webHidden/>
          </w:rPr>
          <w:fldChar w:fldCharType="separate"/>
        </w:r>
        <w:r w:rsidR="00C31DA7">
          <w:rPr>
            <w:noProof/>
            <w:webHidden/>
          </w:rPr>
          <w:t>17</w:t>
        </w:r>
        <w:r>
          <w:rPr>
            <w:noProof/>
            <w:webHidden/>
          </w:rPr>
          <w:fldChar w:fldCharType="end"/>
        </w:r>
      </w:hyperlink>
    </w:p>
    <w:p w14:paraId="25A6561A" w14:textId="3BD30DE6" w:rsidR="008F0DCD" w:rsidRDefault="008F0DCD">
      <w:pPr>
        <w:pStyle w:val="TOC2"/>
        <w:rPr>
          <w:rFonts w:asciiTheme="minorHAnsi" w:eastAsiaTheme="minorEastAsia" w:hAnsiTheme="minorHAnsi" w:cstheme="minorBidi"/>
          <w:noProof/>
          <w:kern w:val="2"/>
          <w:szCs w:val="24"/>
          <w:lang w:val="en-GB" w:eastAsia="en-GB"/>
          <w14:ligatures w14:val="standardContextual"/>
        </w:rPr>
      </w:pPr>
      <w:hyperlink w:anchor="_Toc217031145" w:history="1">
        <w:r w:rsidRPr="00090AD7">
          <w:rPr>
            <w:rStyle w:val="Hyperlink"/>
            <w:noProof/>
            <w:lang w:val="es-ES_tradnl"/>
          </w:rPr>
          <w:t>2.2</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lang w:val="es-ES_tradnl"/>
          </w:rPr>
          <w:t>Interacción entre grupos representativos</w:t>
        </w:r>
        <w:r>
          <w:rPr>
            <w:noProof/>
            <w:webHidden/>
          </w:rPr>
          <w:tab/>
        </w:r>
        <w:r w:rsidR="002A25C7">
          <w:rPr>
            <w:noProof/>
            <w:webHidden/>
          </w:rPr>
          <w:tab/>
        </w:r>
        <w:r>
          <w:rPr>
            <w:noProof/>
            <w:webHidden/>
          </w:rPr>
          <w:fldChar w:fldCharType="begin"/>
        </w:r>
        <w:r>
          <w:rPr>
            <w:noProof/>
            <w:webHidden/>
          </w:rPr>
          <w:instrText xml:space="preserve"> PAGEREF _Toc217031145 \h </w:instrText>
        </w:r>
        <w:r>
          <w:rPr>
            <w:noProof/>
            <w:webHidden/>
          </w:rPr>
        </w:r>
        <w:r>
          <w:rPr>
            <w:noProof/>
            <w:webHidden/>
          </w:rPr>
          <w:fldChar w:fldCharType="separate"/>
        </w:r>
        <w:r w:rsidR="00C31DA7">
          <w:rPr>
            <w:noProof/>
            <w:webHidden/>
          </w:rPr>
          <w:t>18</w:t>
        </w:r>
        <w:r>
          <w:rPr>
            <w:noProof/>
            <w:webHidden/>
          </w:rPr>
          <w:fldChar w:fldCharType="end"/>
        </w:r>
      </w:hyperlink>
    </w:p>
    <w:p w14:paraId="7941F198" w14:textId="7ABAF7BA" w:rsidR="008F0DCD" w:rsidRDefault="008F0DCD">
      <w:pPr>
        <w:pStyle w:val="TOC2"/>
        <w:rPr>
          <w:rFonts w:asciiTheme="minorHAnsi" w:eastAsiaTheme="minorEastAsia" w:hAnsiTheme="minorHAnsi" w:cstheme="minorBidi"/>
          <w:noProof/>
          <w:kern w:val="2"/>
          <w:szCs w:val="24"/>
          <w:lang w:val="en-GB" w:eastAsia="en-GB"/>
          <w14:ligatures w14:val="standardContextual"/>
        </w:rPr>
      </w:pPr>
      <w:hyperlink w:anchor="_Toc217031146" w:history="1">
        <w:r w:rsidRPr="00090AD7">
          <w:rPr>
            <w:rStyle w:val="Hyperlink"/>
            <w:noProof/>
            <w:lang w:val="es-ES_tradnl"/>
          </w:rPr>
          <w:t>2.3</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lang w:val="es-ES_tradnl"/>
          </w:rPr>
          <w:t>Análisis de las tendencias de uso</w:t>
        </w:r>
        <w:r>
          <w:rPr>
            <w:noProof/>
            <w:webHidden/>
          </w:rPr>
          <w:tab/>
        </w:r>
        <w:r w:rsidR="002A25C7">
          <w:rPr>
            <w:noProof/>
            <w:webHidden/>
          </w:rPr>
          <w:tab/>
        </w:r>
        <w:r>
          <w:rPr>
            <w:noProof/>
            <w:webHidden/>
          </w:rPr>
          <w:fldChar w:fldCharType="begin"/>
        </w:r>
        <w:r>
          <w:rPr>
            <w:noProof/>
            <w:webHidden/>
          </w:rPr>
          <w:instrText xml:space="preserve"> PAGEREF _Toc217031146 \h </w:instrText>
        </w:r>
        <w:r>
          <w:rPr>
            <w:noProof/>
            <w:webHidden/>
          </w:rPr>
        </w:r>
        <w:r>
          <w:rPr>
            <w:noProof/>
            <w:webHidden/>
          </w:rPr>
          <w:fldChar w:fldCharType="separate"/>
        </w:r>
        <w:r w:rsidR="00C31DA7">
          <w:rPr>
            <w:noProof/>
            <w:webHidden/>
          </w:rPr>
          <w:t>19</w:t>
        </w:r>
        <w:r>
          <w:rPr>
            <w:noProof/>
            <w:webHidden/>
          </w:rPr>
          <w:fldChar w:fldCharType="end"/>
        </w:r>
      </w:hyperlink>
    </w:p>
    <w:p w14:paraId="71DE3F5D" w14:textId="368F8356" w:rsidR="008F0DCD" w:rsidRDefault="008F0DCD">
      <w:pPr>
        <w:pStyle w:val="TOC2"/>
        <w:rPr>
          <w:rFonts w:asciiTheme="minorHAnsi" w:eastAsiaTheme="minorEastAsia" w:hAnsiTheme="minorHAnsi" w:cstheme="minorBidi"/>
          <w:noProof/>
          <w:kern w:val="2"/>
          <w:szCs w:val="24"/>
          <w:lang w:val="en-GB" w:eastAsia="en-GB"/>
          <w14:ligatures w14:val="standardContextual"/>
        </w:rPr>
      </w:pPr>
      <w:hyperlink w:anchor="_Toc217031147" w:history="1">
        <w:r w:rsidRPr="00090AD7">
          <w:rPr>
            <w:rStyle w:val="Hyperlink"/>
            <w:noProof/>
            <w:lang w:val="es-ES_tradnl"/>
          </w:rPr>
          <w:t>2.4</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lang w:val="es-ES_tradnl"/>
          </w:rPr>
          <w:t>Ejemplo</w:t>
        </w:r>
        <w:r>
          <w:rPr>
            <w:noProof/>
            <w:webHidden/>
          </w:rPr>
          <w:tab/>
        </w:r>
        <w:r w:rsidR="002A25C7">
          <w:rPr>
            <w:noProof/>
            <w:webHidden/>
          </w:rPr>
          <w:tab/>
        </w:r>
        <w:r>
          <w:rPr>
            <w:noProof/>
            <w:webHidden/>
          </w:rPr>
          <w:fldChar w:fldCharType="begin"/>
        </w:r>
        <w:r>
          <w:rPr>
            <w:noProof/>
            <w:webHidden/>
          </w:rPr>
          <w:instrText xml:space="preserve"> PAGEREF _Toc217031147 \h </w:instrText>
        </w:r>
        <w:r>
          <w:rPr>
            <w:noProof/>
            <w:webHidden/>
          </w:rPr>
        </w:r>
        <w:r>
          <w:rPr>
            <w:noProof/>
            <w:webHidden/>
          </w:rPr>
          <w:fldChar w:fldCharType="separate"/>
        </w:r>
        <w:r w:rsidR="00C31DA7">
          <w:rPr>
            <w:noProof/>
            <w:webHidden/>
          </w:rPr>
          <w:t>19</w:t>
        </w:r>
        <w:r>
          <w:rPr>
            <w:noProof/>
            <w:webHidden/>
          </w:rPr>
          <w:fldChar w:fldCharType="end"/>
        </w:r>
      </w:hyperlink>
    </w:p>
    <w:p w14:paraId="7631C965" w14:textId="49FC9C68" w:rsidR="008F0DCD" w:rsidRDefault="008F0DCD">
      <w:pPr>
        <w:pStyle w:val="TOC1"/>
        <w:rPr>
          <w:rFonts w:asciiTheme="minorHAnsi" w:eastAsiaTheme="minorEastAsia" w:hAnsiTheme="minorHAnsi" w:cstheme="minorBidi"/>
          <w:noProof/>
          <w:kern w:val="2"/>
          <w:szCs w:val="24"/>
          <w:lang w:val="en-GB" w:eastAsia="en-GB"/>
          <w14:ligatures w14:val="standardContextual"/>
        </w:rPr>
      </w:pPr>
      <w:hyperlink w:anchor="_Toc217031148" w:history="1">
        <w:r w:rsidRPr="00090AD7">
          <w:rPr>
            <w:rStyle w:val="Hyperlink"/>
            <w:noProof/>
            <w:lang w:val="es-ES_tradnl"/>
          </w:rPr>
          <w:t>3</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lang w:val="es-ES_tradnl"/>
          </w:rPr>
          <w:t>El método analítico</w:t>
        </w:r>
        <w:r>
          <w:rPr>
            <w:noProof/>
            <w:webHidden/>
          </w:rPr>
          <w:tab/>
        </w:r>
        <w:r w:rsidR="002A25C7">
          <w:rPr>
            <w:noProof/>
            <w:webHidden/>
          </w:rPr>
          <w:tab/>
        </w:r>
        <w:r>
          <w:rPr>
            <w:noProof/>
            <w:webHidden/>
          </w:rPr>
          <w:fldChar w:fldCharType="begin"/>
        </w:r>
        <w:r>
          <w:rPr>
            <w:noProof/>
            <w:webHidden/>
          </w:rPr>
          <w:instrText xml:space="preserve"> PAGEREF _Toc217031148 \h </w:instrText>
        </w:r>
        <w:r>
          <w:rPr>
            <w:noProof/>
            <w:webHidden/>
          </w:rPr>
        </w:r>
        <w:r>
          <w:rPr>
            <w:noProof/>
            <w:webHidden/>
          </w:rPr>
          <w:fldChar w:fldCharType="separate"/>
        </w:r>
        <w:r w:rsidR="00C31DA7">
          <w:rPr>
            <w:noProof/>
            <w:webHidden/>
          </w:rPr>
          <w:t>20</w:t>
        </w:r>
        <w:r>
          <w:rPr>
            <w:noProof/>
            <w:webHidden/>
          </w:rPr>
          <w:fldChar w:fldCharType="end"/>
        </w:r>
      </w:hyperlink>
    </w:p>
    <w:p w14:paraId="6F081635" w14:textId="2A44141B" w:rsidR="008F0DCD" w:rsidRDefault="008F0DCD">
      <w:pPr>
        <w:pStyle w:val="TOC2"/>
        <w:rPr>
          <w:rFonts w:asciiTheme="minorHAnsi" w:eastAsiaTheme="minorEastAsia" w:hAnsiTheme="minorHAnsi" w:cstheme="minorBidi"/>
          <w:noProof/>
          <w:kern w:val="2"/>
          <w:szCs w:val="24"/>
          <w:lang w:val="en-GB" w:eastAsia="en-GB"/>
          <w14:ligatures w14:val="standardContextual"/>
        </w:rPr>
      </w:pPr>
      <w:hyperlink w:anchor="_Toc217031149" w:history="1">
        <w:r w:rsidRPr="00090AD7">
          <w:rPr>
            <w:rStyle w:val="Hyperlink"/>
            <w:noProof/>
            <w:lang w:val="es-ES_tradnl"/>
          </w:rPr>
          <w:t>3.1</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lang w:val="es-ES_tradnl"/>
          </w:rPr>
          <w:t>Introducción</w:t>
        </w:r>
        <w:r>
          <w:rPr>
            <w:noProof/>
            <w:webHidden/>
          </w:rPr>
          <w:tab/>
        </w:r>
        <w:r w:rsidR="002A25C7">
          <w:rPr>
            <w:noProof/>
            <w:webHidden/>
          </w:rPr>
          <w:tab/>
        </w:r>
        <w:r>
          <w:rPr>
            <w:noProof/>
            <w:webHidden/>
          </w:rPr>
          <w:fldChar w:fldCharType="begin"/>
        </w:r>
        <w:r>
          <w:rPr>
            <w:noProof/>
            <w:webHidden/>
          </w:rPr>
          <w:instrText xml:space="preserve"> PAGEREF _Toc217031149 \h </w:instrText>
        </w:r>
        <w:r>
          <w:rPr>
            <w:noProof/>
            <w:webHidden/>
          </w:rPr>
        </w:r>
        <w:r>
          <w:rPr>
            <w:noProof/>
            <w:webHidden/>
          </w:rPr>
          <w:fldChar w:fldCharType="separate"/>
        </w:r>
        <w:r w:rsidR="00C31DA7">
          <w:rPr>
            <w:noProof/>
            <w:webHidden/>
          </w:rPr>
          <w:t>20</w:t>
        </w:r>
        <w:r>
          <w:rPr>
            <w:noProof/>
            <w:webHidden/>
          </w:rPr>
          <w:fldChar w:fldCharType="end"/>
        </w:r>
      </w:hyperlink>
    </w:p>
    <w:p w14:paraId="2448EC76" w14:textId="4B825066" w:rsidR="008F0DCD" w:rsidRDefault="008F0DCD">
      <w:pPr>
        <w:pStyle w:val="TOC2"/>
        <w:rPr>
          <w:rFonts w:asciiTheme="minorHAnsi" w:eastAsiaTheme="minorEastAsia" w:hAnsiTheme="minorHAnsi" w:cstheme="minorBidi"/>
          <w:noProof/>
          <w:kern w:val="2"/>
          <w:szCs w:val="24"/>
          <w:lang w:val="en-GB" w:eastAsia="en-GB"/>
          <w14:ligatures w14:val="standardContextual"/>
        </w:rPr>
      </w:pPr>
      <w:hyperlink w:anchor="_Toc217031150" w:history="1">
        <w:r w:rsidRPr="00090AD7">
          <w:rPr>
            <w:rStyle w:val="Hyperlink"/>
            <w:noProof/>
            <w:lang w:val="es-ES_tradnl"/>
          </w:rPr>
          <w:t>3.2</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lang w:val="es-ES_tradnl"/>
          </w:rPr>
          <w:t>Fases para la formulación del método analítico</w:t>
        </w:r>
        <w:r>
          <w:rPr>
            <w:noProof/>
            <w:webHidden/>
          </w:rPr>
          <w:tab/>
        </w:r>
        <w:r w:rsidR="002A25C7">
          <w:rPr>
            <w:noProof/>
            <w:webHidden/>
          </w:rPr>
          <w:tab/>
        </w:r>
        <w:r>
          <w:rPr>
            <w:noProof/>
            <w:webHidden/>
          </w:rPr>
          <w:fldChar w:fldCharType="begin"/>
        </w:r>
        <w:r>
          <w:rPr>
            <w:noProof/>
            <w:webHidden/>
          </w:rPr>
          <w:instrText xml:space="preserve"> PAGEREF _Toc217031150 \h </w:instrText>
        </w:r>
        <w:r>
          <w:rPr>
            <w:noProof/>
            <w:webHidden/>
          </w:rPr>
        </w:r>
        <w:r>
          <w:rPr>
            <w:noProof/>
            <w:webHidden/>
          </w:rPr>
          <w:fldChar w:fldCharType="separate"/>
        </w:r>
        <w:r w:rsidR="00C31DA7">
          <w:rPr>
            <w:noProof/>
            <w:webHidden/>
          </w:rPr>
          <w:t>20</w:t>
        </w:r>
        <w:r>
          <w:rPr>
            <w:noProof/>
            <w:webHidden/>
          </w:rPr>
          <w:fldChar w:fldCharType="end"/>
        </w:r>
      </w:hyperlink>
    </w:p>
    <w:p w14:paraId="1CA4326D" w14:textId="4E02A1D0" w:rsidR="008F0DCD" w:rsidRDefault="008F0DCD">
      <w:pPr>
        <w:pStyle w:val="TOC2"/>
        <w:rPr>
          <w:rFonts w:asciiTheme="minorHAnsi" w:eastAsiaTheme="minorEastAsia" w:hAnsiTheme="minorHAnsi" w:cstheme="minorBidi"/>
          <w:noProof/>
          <w:kern w:val="2"/>
          <w:szCs w:val="24"/>
          <w:lang w:val="en-GB" w:eastAsia="en-GB"/>
          <w14:ligatures w14:val="standardContextual"/>
        </w:rPr>
      </w:pPr>
      <w:hyperlink w:anchor="_Toc217031151" w:history="1">
        <w:r w:rsidRPr="00090AD7">
          <w:rPr>
            <w:rStyle w:val="Hyperlink"/>
            <w:noProof/>
            <w:lang w:val="es-ES_tradnl"/>
          </w:rPr>
          <w:t>3.3</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lang w:val="es-ES_tradnl"/>
          </w:rPr>
          <w:t>Empleo de la técnica analítica en el proceso de planificación de necesidades de espectro a largo plazo</w:t>
        </w:r>
        <w:r>
          <w:rPr>
            <w:noProof/>
            <w:webHidden/>
          </w:rPr>
          <w:tab/>
        </w:r>
        <w:r w:rsidR="002A25C7">
          <w:rPr>
            <w:noProof/>
            <w:webHidden/>
          </w:rPr>
          <w:tab/>
        </w:r>
        <w:r>
          <w:rPr>
            <w:noProof/>
            <w:webHidden/>
          </w:rPr>
          <w:fldChar w:fldCharType="begin"/>
        </w:r>
        <w:r>
          <w:rPr>
            <w:noProof/>
            <w:webHidden/>
          </w:rPr>
          <w:instrText xml:space="preserve"> PAGEREF _Toc217031151 \h </w:instrText>
        </w:r>
        <w:r>
          <w:rPr>
            <w:noProof/>
            <w:webHidden/>
          </w:rPr>
        </w:r>
        <w:r>
          <w:rPr>
            <w:noProof/>
            <w:webHidden/>
          </w:rPr>
          <w:fldChar w:fldCharType="separate"/>
        </w:r>
        <w:r w:rsidR="00C31DA7">
          <w:rPr>
            <w:noProof/>
            <w:webHidden/>
          </w:rPr>
          <w:t>21</w:t>
        </w:r>
        <w:r>
          <w:rPr>
            <w:noProof/>
            <w:webHidden/>
          </w:rPr>
          <w:fldChar w:fldCharType="end"/>
        </w:r>
      </w:hyperlink>
    </w:p>
    <w:p w14:paraId="622F44FB" w14:textId="55046139" w:rsidR="008F0DCD" w:rsidRDefault="008F0DCD">
      <w:pPr>
        <w:pStyle w:val="TOC1"/>
        <w:rPr>
          <w:rFonts w:asciiTheme="minorHAnsi" w:eastAsiaTheme="minorEastAsia" w:hAnsiTheme="minorHAnsi" w:cstheme="minorBidi"/>
          <w:noProof/>
          <w:kern w:val="2"/>
          <w:szCs w:val="24"/>
          <w:lang w:val="en-GB" w:eastAsia="en-GB"/>
          <w14:ligatures w14:val="standardContextual"/>
        </w:rPr>
      </w:pPr>
      <w:hyperlink w:anchor="_Toc217031152" w:history="1">
        <w:r w:rsidRPr="00090AD7">
          <w:rPr>
            <w:rStyle w:val="Hyperlink"/>
            <w:noProof/>
          </w:rPr>
          <w:t>CAPÍTULO</w:t>
        </w:r>
        <w:r w:rsidRPr="00090AD7">
          <w:rPr>
            <w:rStyle w:val="Hyperlink"/>
            <w:noProof/>
            <w:lang w:val="es-ES_tradnl"/>
          </w:rPr>
          <w:t xml:space="preserve"> 3</w:t>
        </w:r>
        <w:r w:rsidR="002A25C7">
          <w:rPr>
            <w:rStyle w:val="Hyperlink"/>
            <w:noProof/>
            <w:lang w:val="es-ES_tradnl"/>
          </w:rPr>
          <w:t xml:space="preserve"> – </w:t>
        </w:r>
        <w:hyperlink w:anchor="_Toc217031153" w:history="1">
          <w:r w:rsidR="002A25C7" w:rsidRPr="002A25C7">
            <w:rPr>
              <w:rStyle w:val="Hyperlink"/>
              <w:noProof/>
              <w:color w:val="auto"/>
              <w:u w:val="none"/>
              <w:lang w:val="es-ES_tradnl"/>
            </w:rPr>
            <w:t>Procedimientos apropiados para la transición de la utilización actual del espectro a objetivos a largo plazo</w:t>
          </w:r>
        </w:hyperlink>
        <w:r>
          <w:rPr>
            <w:noProof/>
            <w:webHidden/>
          </w:rPr>
          <w:tab/>
        </w:r>
        <w:r w:rsidR="002A25C7">
          <w:rPr>
            <w:noProof/>
            <w:webHidden/>
          </w:rPr>
          <w:tab/>
        </w:r>
        <w:r>
          <w:rPr>
            <w:noProof/>
            <w:webHidden/>
          </w:rPr>
          <w:fldChar w:fldCharType="begin"/>
        </w:r>
        <w:r>
          <w:rPr>
            <w:noProof/>
            <w:webHidden/>
          </w:rPr>
          <w:instrText xml:space="preserve"> PAGEREF _Toc217031152 \h </w:instrText>
        </w:r>
        <w:r>
          <w:rPr>
            <w:noProof/>
            <w:webHidden/>
          </w:rPr>
        </w:r>
        <w:r>
          <w:rPr>
            <w:noProof/>
            <w:webHidden/>
          </w:rPr>
          <w:fldChar w:fldCharType="separate"/>
        </w:r>
        <w:r w:rsidR="00C31DA7">
          <w:rPr>
            <w:noProof/>
            <w:webHidden/>
          </w:rPr>
          <w:t>22</w:t>
        </w:r>
        <w:r>
          <w:rPr>
            <w:noProof/>
            <w:webHidden/>
          </w:rPr>
          <w:fldChar w:fldCharType="end"/>
        </w:r>
      </w:hyperlink>
    </w:p>
    <w:p w14:paraId="338289A9" w14:textId="7CB1E829" w:rsidR="008F0DCD" w:rsidRDefault="008F0DCD">
      <w:pPr>
        <w:pStyle w:val="TOC1"/>
        <w:rPr>
          <w:rFonts w:asciiTheme="minorHAnsi" w:eastAsiaTheme="minorEastAsia" w:hAnsiTheme="minorHAnsi" w:cstheme="minorBidi"/>
          <w:noProof/>
          <w:kern w:val="2"/>
          <w:szCs w:val="24"/>
          <w:lang w:val="en-GB" w:eastAsia="en-GB"/>
          <w14:ligatures w14:val="standardContextual"/>
        </w:rPr>
      </w:pPr>
      <w:hyperlink w:anchor="_Toc217031154" w:history="1">
        <w:r w:rsidRPr="00090AD7">
          <w:rPr>
            <w:rStyle w:val="Hyperlink"/>
            <w:noProof/>
            <w:lang w:val="es-ES_tradnl"/>
          </w:rPr>
          <w:t>1</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lang w:val="es-ES_tradnl"/>
          </w:rPr>
          <w:t>Identificación de los objetivos de gestión del espectro a largo plazo</w:t>
        </w:r>
        <w:r>
          <w:rPr>
            <w:noProof/>
            <w:webHidden/>
          </w:rPr>
          <w:tab/>
        </w:r>
        <w:r w:rsidR="002A25C7">
          <w:rPr>
            <w:noProof/>
            <w:webHidden/>
          </w:rPr>
          <w:tab/>
        </w:r>
        <w:r>
          <w:rPr>
            <w:noProof/>
            <w:webHidden/>
          </w:rPr>
          <w:fldChar w:fldCharType="begin"/>
        </w:r>
        <w:r>
          <w:rPr>
            <w:noProof/>
            <w:webHidden/>
          </w:rPr>
          <w:instrText xml:space="preserve"> PAGEREF _Toc217031154 \h </w:instrText>
        </w:r>
        <w:r>
          <w:rPr>
            <w:noProof/>
            <w:webHidden/>
          </w:rPr>
        </w:r>
        <w:r>
          <w:rPr>
            <w:noProof/>
            <w:webHidden/>
          </w:rPr>
          <w:fldChar w:fldCharType="separate"/>
        </w:r>
        <w:r w:rsidR="00C31DA7">
          <w:rPr>
            <w:noProof/>
            <w:webHidden/>
          </w:rPr>
          <w:t>22</w:t>
        </w:r>
        <w:r>
          <w:rPr>
            <w:noProof/>
            <w:webHidden/>
          </w:rPr>
          <w:fldChar w:fldCharType="end"/>
        </w:r>
      </w:hyperlink>
    </w:p>
    <w:p w14:paraId="31E7F36F" w14:textId="220C97BA" w:rsidR="008F0DCD" w:rsidRDefault="008F0DCD">
      <w:pPr>
        <w:pStyle w:val="TOC1"/>
        <w:rPr>
          <w:rFonts w:asciiTheme="minorHAnsi" w:eastAsiaTheme="minorEastAsia" w:hAnsiTheme="minorHAnsi" w:cstheme="minorBidi"/>
          <w:noProof/>
          <w:kern w:val="2"/>
          <w:szCs w:val="24"/>
          <w:lang w:val="en-GB" w:eastAsia="en-GB"/>
          <w14:ligatures w14:val="standardContextual"/>
        </w:rPr>
      </w:pPr>
      <w:hyperlink w:anchor="_Toc217031155" w:history="1">
        <w:r w:rsidRPr="00090AD7">
          <w:rPr>
            <w:rStyle w:val="Hyperlink"/>
            <w:noProof/>
            <w:lang w:val="es-ES_tradnl"/>
          </w:rPr>
          <w:t>2</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lang w:val="es-ES_tradnl"/>
          </w:rPr>
          <w:t>Evaluación del proceso de gestión del espectro vigente</w:t>
        </w:r>
        <w:r>
          <w:rPr>
            <w:noProof/>
            <w:webHidden/>
          </w:rPr>
          <w:tab/>
        </w:r>
        <w:r w:rsidR="002A25C7">
          <w:rPr>
            <w:noProof/>
            <w:webHidden/>
          </w:rPr>
          <w:tab/>
        </w:r>
        <w:r>
          <w:rPr>
            <w:noProof/>
            <w:webHidden/>
          </w:rPr>
          <w:fldChar w:fldCharType="begin"/>
        </w:r>
        <w:r>
          <w:rPr>
            <w:noProof/>
            <w:webHidden/>
          </w:rPr>
          <w:instrText xml:space="preserve"> PAGEREF _Toc217031155 \h </w:instrText>
        </w:r>
        <w:r>
          <w:rPr>
            <w:noProof/>
            <w:webHidden/>
          </w:rPr>
        </w:r>
        <w:r>
          <w:rPr>
            <w:noProof/>
            <w:webHidden/>
          </w:rPr>
          <w:fldChar w:fldCharType="separate"/>
        </w:r>
        <w:r w:rsidR="00C31DA7">
          <w:rPr>
            <w:noProof/>
            <w:webHidden/>
          </w:rPr>
          <w:t>23</w:t>
        </w:r>
        <w:r>
          <w:rPr>
            <w:noProof/>
            <w:webHidden/>
          </w:rPr>
          <w:fldChar w:fldCharType="end"/>
        </w:r>
      </w:hyperlink>
    </w:p>
    <w:p w14:paraId="2A72B767" w14:textId="2FBC2B5E" w:rsidR="008F0DCD" w:rsidRDefault="008F0DCD">
      <w:pPr>
        <w:pStyle w:val="TOC1"/>
        <w:rPr>
          <w:rFonts w:asciiTheme="minorHAnsi" w:eastAsiaTheme="minorEastAsia" w:hAnsiTheme="minorHAnsi" w:cstheme="minorBidi"/>
          <w:noProof/>
          <w:kern w:val="2"/>
          <w:szCs w:val="24"/>
          <w:lang w:val="en-GB" w:eastAsia="en-GB"/>
          <w14:ligatures w14:val="standardContextual"/>
        </w:rPr>
      </w:pPr>
      <w:hyperlink w:anchor="_Toc217031156" w:history="1">
        <w:r w:rsidRPr="00090AD7">
          <w:rPr>
            <w:rStyle w:val="Hyperlink"/>
            <w:noProof/>
            <w:lang w:val="es-ES_tradnl"/>
          </w:rPr>
          <w:t>3</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lang w:val="es-ES_tradnl"/>
          </w:rPr>
          <w:t>Procedimientos de transición</w:t>
        </w:r>
        <w:r>
          <w:rPr>
            <w:noProof/>
            <w:webHidden/>
          </w:rPr>
          <w:tab/>
        </w:r>
        <w:r w:rsidR="002A25C7">
          <w:rPr>
            <w:noProof/>
            <w:webHidden/>
          </w:rPr>
          <w:tab/>
        </w:r>
        <w:r>
          <w:rPr>
            <w:noProof/>
            <w:webHidden/>
          </w:rPr>
          <w:fldChar w:fldCharType="begin"/>
        </w:r>
        <w:r>
          <w:rPr>
            <w:noProof/>
            <w:webHidden/>
          </w:rPr>
          <w:instrText xml:space="preserve"> PAGEREF _Toc217031156 \h </w:instrText>
        </w:r>
        <w:r>
          <w:rPr>
            <w:noProof/>
            <w:webHidden/>
          </w:rPr>
        </w:r>
        <w:r>
          <w:rPr>
            <w:noProof/>
            <w:webHidden/>
          </w:rPr>
          <w:fldChar w:fldCharType="separate"/>
        </w:r>
        <w:r w:rsidR="00C31DA7">
          <w:rPr>
            <w:noProof/>
            <w:webHidden/>
          </w:rPr>
          <w:t>23</w:t>
        </w:r>
        <w:r>
          <w:rPr>
            <w:noProof/>
            <w:webHidden/>
          </w:rPr>
          <w:fldChar w:fldCharType="end"/>
        </w:r>
      </w:hyperlink>
    </w:p>
    <w:p w14:paraId="0DF2A83D" w14:textId="6DBEBF6B" w:rsidR="008F0DCD" w:rsidRDefault="008F0DCD">
      <w:pPr>
        <w:pStyle w:val="TOC2"/>
        <w:rPr>
          <w:rFonts w:asciiTheme="minorHAnsi" w:eastAsiaTheme="minorEastAsia" w:hAnsiTheme="minorHAnsi" w:cstheme="minorBidi"/>
          <w:noProof/>
          <w:kern w:val="2"/>
          <w:szCs w:val="24"/>
          <w:lang w:val="en-GB" w:eastAsia="en-GB"/>
          <w14:ligatures w14:val="standardContextual"/>
        </w:rPr>
      </w:pPr>
      <w:hyperlink w:anchor="_Toc217031157" w:history="1">
        <w:r w:rsidRPr="00090AD7">
          <w:rPr>
            <w:rStyle w:val="Hyperlink"/>
            <w:noProof/>
            <w:lang w:val="es-ES_tradnl"/>
          </w:rPr>
          <w:t>3.1</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lang w:val="es-ES_tradnl"/>
          </w:rPr>
          <w:t>Impulsar la utilización eficaz del espectro</w:t>
        </w:r>
        <w:r>
          <w:rPr>
            <w:noProof/>
            <w:webHidden/>
          </w:rPr>
          <w:tab/>
        </w:r>
        <w:r w:rsidR="002A25C7">
          <w:rPr>
            <w:noProof/>
            <w:webHidden/>
          </w:rPr>
          <w:tab/>
        </w:r>
        <w:r>
          <w:rPr>
            <w:noProof/>
            <w:webHidden/>
          </w:rPr>
          <w:fldChar w:fldCharType="begin"/>
        </w:r>
        <w:r>
          <w:rPr>
            <w:noProof/>
            <w:webHidden/>
          </w:rPr>
          <w:instrText xml:space="preserve"> PAGEREF _Toc217031157 \h </w:instrText>
        </w:r>
        <w:r>
          <w:rPr>
            <w:noProof/>
            <w:webHidden/>
          </w:rPr>
        </w:r>
        <w:r>
          <w:rPr>
            <w:noProof/>
            <w:webHidden/>
          </w:rPr>
          <w:fldChar w:fldCharType="separate"/>
        </w:r>
        <w:r w:rsidR="00C31DA7">
          <w:rPr>
            <w:noProof/>
            <w:webHidden/>
          </w:rPr>
          <w:t>23</w:t>
        </w:r>
        <w:r>
          <w:rPr>
            <w:noProof/>
            <w:webHidden/>
          </w:rPr>
          <w:fldChar w:fldCharType="end"/>
        </w:r>
      </w:hyperlink>
    </w:p>
    <w:p w14:paraId="312CDA04" w14:textId="3FBF28FF" w:rsidR="008F0DCD" w:rsidRDefault="008F0DCD">
      <w:pPr>
        <w:pStyle w:val="TOC2"/>
        <w:rPr>
          <w:rFonts w:asciiTheme="minorHAnsi" w:eastAsiaTheme="minorEastAsia" w:hAnsiTheme="minorHAnsi" w:cstheme="minorBidi"/>
          <w:noProof/>
          <w:kern w:val="2"/>
          <w:szCs w:val="24"/>
          <w:lang w:val="en-GB" w:eastAsia="en-GB"/>
          <w14:ligatures w14:val="standardContextual"/>
        </w:rPr>
      </w:pPr>
      <w:hyperlink w:anchor="_Toc217031158" w:history="1">
        <w:r w:rsidRPr="00090AD7">
          <w:rPr>
            <w:rStyle w:val="Hyperlink"/>
            <w:noProof/>
            <w:lang w:val="es-ES_tradnl"/>
          </w:rPr>
          <w:t>3.2</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lang w:val="es-ES_tradnl"/>
          </w:rPr>
          <w:t>Mejora de la flexibilidad en la utilización del espectro y versatilidad en la gestión del mismo</w:t>
        </w:r>
        <w:r>
          <w:rPr>
            <w:noProof/>
            <w:webHidden/>
          </w:rPr>
          <w:tab/>
        </w:r>
        <w:r w:rsidR="002A25C7">
          <w:rPr>
            <w:noProof/>
            <w:webHidden/>
          </w:rPr>
          <w:tab/>
        </w:r>
        <w:r>
          <w:rPr>
            <w:noProof/>
            <w:webHidden/>
          </w:rPr>
          <w:fldChar w:fldCharType="begin"/>
        </w:r>
        <w:r>
          <w:rPr>
            <w:noProof/>
            <w:webHidden/>
          </w:rPr>
          <w:instrText xml:space="preserve"> PAGEREF _Toc217031158 \h </w:instrText>
        </w:r>
        <w:r>
          <w:rPr>
            <w:noProof/>
            <w:webHidden/>
          </w:rPr>
        </w:r>
        <w:r>
          <w:rPr>
            <w:noProof/>
            <w:webHidden/>
          </w:rPr>
          <w:fldChar w:fldCharType="separate"/>
        </w:r>
        <w:r w:rsidR="00C31DA7">
          <w:rPr>
            <w:noProof/>
            <w:webHidden/>
          </w:rPr>
          <w:t>25</w:t>
        </w:r>
        <w:r>
          <w:rPr>
            <w:noProof/>
            <w:webHidden/>
          </w:rPr>
          <w:fldChar w:fldCharType="end"/>
        </w:r>
      </w:hyperlink>
    </w:p>
    <w:p w14:paraId="20B4AB97" w14:textId="159EFE06" w:rsidR="008F0DCD" w:rsidRDefault="008F0DCD">
      <w:pPr>
        <w:pStyle w:val="TOC2"/>
        <w:rPr>
          <w:rFonts w:asciiTheme="minorHAnsi" w:eastAsiaTheme="minorEastAsia" w:hAnsiTheme="minorHAnsi" w:cstheme="minorBidi"/>
          <w:noProof/>
          <w:kern w:val="2"/>
          <w:szCs w:val="24"/>
          <w:lang w:val="en-GB" w:eastAsia="en-GB"/>
          <w14:ligatures w14:val="standardContextual"/>
        </w:rPr>
      </w:pPr>
      <w:hyperlink w:anchor="_Toc217031159" w:history="1">
        <w:r w:rsidRPr="00090AD7">
          <w:rPr>
            <w:rStyle w:val="Hyperlink"/>
            <w:noProof/>
            <w:lang w:val="es-ES_tradnl"/>
          </w:rPr>
          <w:t>3.3</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lang w:val="es-ES_tradnl"/>
          </w:rPr>
          <w:t>Maximizar los beneficios económicos y sociales que se pueden obtener mediante una apropiada gestión del espectro</w:t>
        </w:r>
        <w:r>
          <w:rPr>
            <w:noProof/>
            <w:webHidden/>
          </w:rPr>
          <w:tab/>
        </w:r>
        <w:r w:rsidR="002A25C7">
          <w:rPr>
            <w:noProof/>
            <w:webHidden/>
          </w:rPr>
          <w:tab/>
        </w:r>
        <w:r>
          <w:rPr>
            <w:noProof/>
            <w:webHidden/>
          </w:rPr>
          <w:fldChar w:fldCharType="begin"/>
        </w:r>
        <w:r>
          <w:rPr>
            <w:noProof/>
            <w:webHidden/>
          </w:rPr>
          <w:instrText xml:space="preserve"> PAGEREF _Toc217031159 \h </w:instrText>
        </w:r>
        <w:r>
          <w:rPr>
            <w:noProof/>
            <w:webHidden/>
          </w:rPr>
        </w:r>
        <w:r>
          <w:rPr>
            <w:noProof/>
            <w:webHidden/>
          </w:rPr>
          <w:fldChar w:fldCharType="separate"/>
        </w:r>
        <w:r w:rsidR="00C31DA7">
          <w:rPr>
            <w:noProof/>
            <w:webHidden/>
          </w:rPr>
          <w:t>26</w:t>
        </w:r>
        <w:r>
          <w:rPr>
            <w:noProof/>
            <w:webHidden/>
          </w:rPr>
          <w:fldChar w:fldCharType="end"/>
        </w:r>
      </w:hyperlink>
    </w:p>
    <w:p w14:paraId="4E27750E" w14:textId="51086320" w:rsidR="008F0DCD" w:rsidRDefault="008F0DCD">
      <w:pPr>
        <w:pStyle w:val="TOC2"/>
        <w:rPr>
          <w:rFonts w:asciiTheme="minorHAnsi" w:eastAsiaTheme="minorEastAsia" w:hAnsiTheme="minorHAnsi" w:cstheme="minorBidi"/>
          <w:noProof/>
          <w:kern w:val="2"/>
          <w:szCs w:val="24"/>
          <w:lang w:val="en-GB" w:eastAsia="en-GB"/>
          <w14:ligatures w14:val="standardContextual"/>
        </w:rPr>
      </w:pPr>
      <w:hyperlink w:anchor="_Toc217031160" w:history="1">
        <w:r w:rsidRPr="00090AD7">
          <w:rPr>
            <w:rStyle w:val="Hyperlink"/>
            <w:noProof/>
            <w:lang w:val="es-ES_tradnl"/>
          </w:rPr>
          <w:t>3.4</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lang w:val="es-ES_tradnl"/>
          </w:rPr>
          <w:t>Asegurar que el espectro se utilice en todas las regiones del país que sea necesario</w:t>
        </w:r>
        <w:r>
          <w:rPr>
            <w:noProof/>
            <w:webHidden/>
          </w:rPr>
          <w:tab/>
        </w:r>
        <w:r w:rsidR="002A25C7">
          <w:rPr>
            <w:noProof/>
            <w:webHidden/>
          </w:rPr>
          <w:tab/>
        </w:r>
        <w:r>
          <w:rPr>
            <w:noProof/>
            <w:webHidden/>
          </w:rPr>
          <w:fldChar w:fldCharType="begin"/>
        </w:r>
        <w:r>
          <w:rPr>
            <w:noProof/>
            <w:webHidden/>
          </w:rPr>
          <w:instrText xml:space="preserve"> PAGEREF _Toc217031160 \h </w:instrText>
        </w:r>
        <w:r>
          <w:rPr>
            <w:noProof/>
            <w:webHidden/>
          </w:rPr>
        </w:r>
        <w:r>
          <w:rPr>
            <w:noProof/>
            <w:webHidden/>
          </w:rPr>
          <w:fldChar w:fldCharType="separate"/>
        </w:r>
        <w:r w:rsidR="00C31DA7">
          <w:rPr>
            <w:noProof/>
            <w:webHidden/>
          </w:rPr>
          <w:t>26</w:t>
        </w:r>
        <w:r>
          <w:rPr>
            <w:noProof/>
            <w:webHidden/>
          </w:rPr>
          <w:fldChar w:fldCharType="end"/>
        </w:r>
      </w:hyperlink>
    </w:p>
    <w:p w14:paraId="5AC27293" w14:textId="3DAC67A7" w:rsidR="008F0DCD" w:rsidRDefault="008F0DCD">
      <w:pPr>
        <w:pStyle w:val="TOC2"/>
        <w:rPr>
          <w:rFonts w:asciiTheme="minorHAnsi" w:eastAsiaTheme="minorEastAsia" w:hAnsiTheme="minorHAnsi" w:cstheme="minorBidi"/>
          <w:noProof/>
          <w:kern w:val="2"/>
          <w:szCs w:val="24"/>
          <w:lang w:val="en-GB" w:eastAsia="en-GB"/>
          <w14:ligatures w14:val="standardContextual"/>
        </w:rPr>
      </w:pPr>
      <w:hyperlink w:anchor="_Toc217031161" w:history="1">
        <w:r w:rsidRPr="00090AD7">
          <w:rPr>
            <w:rStyle w:val="Hyperlink"/>
            <w:noProof/>
            <w:lang w:val="es-ES_tradnl"/>
          </w:rPr>
          <w:t>3.5</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lang w:val="es-ES_tradnl"/>
          </w:rPr>
          <w:t>Establecer una fuerza laboral calificada y elaborar herramientas de ingeniería del espectro adecuadas</w:t>
        </w:r>
        <w:r>
          <w:rPr>
            <w:noProof/>
            <w:webHidden/>
          </w:rPr>
          <w:tab/>
        </w:r>
        <w:r w:rsidR="002A25C7">
          <w:rPr>
            <w:noProof/>
            <w:webHidden/>
          </w:rPr>
          <w:tab/>
        </w:r>
        <w:r>
          <w:rPr>
            <w:noProof/>
            <w:webHidden/>
          </w:rPr>
          <w:fldChar w:fldCharType="begin"/>
        </w:r>
        <w:r>
          <w:rPr>
            <w:noProof/>
            <w:webHidden/>
          </w:rPr>
          <w:instrText xml:space="preserve"> PAGEREF _Toc217031161 \h </w:instrText>
        </w:r>
        <w:r>
          <w:rPr>
            <w:noProof/>
            <w:webHidden/>
          </w:rPr>
        </w:r>
        <w:r>
          <w:rPr>
            <w:noProof/>
            <w:webHidden/>
          </w:rPr>
          <w:fldChar w:fldCharType="separate"/>
        </w:r>
        <w:r w:rsidR="00C31DA7">
          <w:rPr>
            <w:noProof/>
            <w:webHidden/>
          </w:rPr>
          <w:t>27</w:t>
        </w:r>
        <w:r>
          <w:rPr>
            <w:noProof/>
            <w:webHidden/>
          </w:rPr>
          <w:fldChar w:fldCharType="end"/>
        </w:r>
      </w:hyperlink>
    </w:p>
    <w:p w14:paraId="70B25F18" w14:textId="227C8391" w:rsidR="008F0DCD" w:rsidRDefault="008F0DCD">
      <w:pPr>
        <w:pStyle w:val="TOC1"/>
        <w:rPr>
          <w:rFonts w:asciiTheme="minorHAnsi" w:eastAsiaTheme="minorEastAsia" w:hAnsiTheme="minorHAnsi" w:cstheme="minorBidi"/>
          <w:noProof/>
          <w:kern w:val="2"/>
          <w:szCs w:val="24"/>
          <w:lang w:val="en-GB" w:eastAsia="en-GB"/>
          <w14:ligatures w14:val="standardContextual"/>
        </w:rPr>
      </w:pPr>
      <w:hyperlink w:anchor="_Toc217031162" w:history="1">
        <w:r w:rsidRPr="00090AD7">
          <w:rPr>
            <w:rStyle w:val="Hyperlink"/>
            <w:rFonts w:eastAsia="SimSun"/>
            <w:noProof/>
            <w:lang w:val="es-ES_tradnl"/>
          </w:rPr>
          <w:t>Anexo 1</w:t>
        </w:r>
        <w:r w:rsidRPr="00090AD7">
          <w:rPr>
            <w:rStyle w:val="Hyperlink"/>
            <w:rFonts w:eastAsia="SimSun"/>
            <w:noProof/>
            <w:lang w:val="es-ES_tradnl" w:eastAsia="zh-CN"/>
          </w:rPr>
          <w:t xml:space="preserve"> </w:t>
        </w:r>
        <w:r w:rsidRPr="00090AD7">
          <w:rPr>
            <w:rStyle w:val="Hyperlink"/>
            <w:rFonts w:eastAsia="SimSun"/>
            <w:noProof/>
            <w:lang w:val="es-ES_tradnl"/>
          </w:rPr>
          <w:t xml:space="preserve">al Capítulo 3 </w:t>
        </w:r>
        <w:r w:rsidR="002A25C7">
          <w:rPr>
            <w:rStyle w:val="Hyperlink"/>
            <w:rFonts w:eastAsia="SimSun"/>
            <w:noProof/>
            <w:lang w:val="es-ES_tradnl"/>
          </w:rPr>
          <w:t>–</w:t>
        </w:r>
        <w:r w:rsidRPr="00090AD7">
          <w:rPr>
            <w:rStyle w:val="Hyperlink"/>
            <w:rFonts w:eastAsia="SimSun"/>
            <w:noProof/>
            <w:lang w:val="es-ES_tradnl" w:eastAsia="zh-CN"/>
          </w:rPr>
          <w:t xml:space="preserve"> </w:t>
        </w:r>
        <w:r w:rsidRPr="00090AD7">
          <w:rPr>
            <w:rStyle w:val="Hyperlink"/>
            <w:rFonts w:eastAsia="SimSun"/>
            <w:noProof/>
            <w:lang w:val="es-ES_tradnl"/>
          </w:rPr>
          <w:t>Ejemplo de procedimientos de evaluación de la eficacia con que  se utiliza el espectro en la República de Corea</w:t>
        </w:r>
        <w:r>
          <w:rPr>
            <w:noProof/>
            <w:webHidden/>
          </w:rPr>
          <w:tab/>
        </w:r>
        <w:r w:rsidR="002A25C7">
          <w:rPr>
            <w:noProof/>
            <w:webHidden/>
          </w:rPr>
          <w:tab/>
        </w:r>
        <w:r>
          <w:rPr>
            <w:noProof/>
            <w:webHidden/>
          </w:rPr>
          <w:fldChar w:fldCharType="begin"/>
        </w:r>
        <w:r>
          <w:rPr>
            <w:noProof/>
            <w:webHidden/>
          </w:rPr>
          <w:instrText xml:space="preserve"> PAGEREF _Toc217031162 \h </w:instrText>
        </w:r>
        <w:r>
          <w:rPr>
            <w:noProof/>
            <w:webHidden/>
          </w:rPr>
        </w:r>
        <w:r>
          <w:rPr>
            <w:noProof/>
            <w:webHidden/>
          </w:rPr>
          <w:fldChar w:fldCharType="separate"/>
        </w:r>
        <w:r w:rsidR="00C31DA7">
          <w:rPr>
            <w:noProof/>
            <w:webHidden/>
          </w:rPr>
          <w:t>27</w:t>
        </w:r>
        <w:r>
          <w:rPr>
            <w:noProof/>
            <w:webHidden/>
          </w:rPr>
          <w:fldChar w:fldCharType="end"/>
        </w:r>
      </w:hyperlink>
    </w:p>
    <w:p w14:paraId="05F718EE" w14:textId="5419F008" w:rsidR="008F0DCD" w:rsidRDefault="008F0DCD">
      <w:pPr>
        <w:pStyle w:val="TOC1"/>
        <w:rPr>
          <w:rFonts w:asciiTheme="minorHAnsi" w:eastAsiaTheme="minorEastAsia" w:hAnsiTheme="minorHAnsi" w:cstheme="minorBidi"/>
          <w:noProof/>
          <w:kern w:val="2"/>
          <w:szCs w:val="24"/>
          <w:lang w:val="en-GB" w:eastAsia="en-GB"/>
          <w14:ligatures w14:val="standardContextual"/>
        </w:rPr>
      </w:pPr>
      <w:hyperlink w:anchor="_Toc217031163" w:history="1">
        <w:r w:rsidRPr="00090AD7">
          <w:rPr>
            <w:rStyle w:val="Hyperlink"/>
            <w:rFonts w:eastAsia="Batang"/>
            <w:noProof/>
            <w:lang w:val="es-ES_tradnl" w:eastAsia="zh-CN"/>
          </w:rPr>
          <w:t>1</w:t>
        </w:r>
        <w:r>
          <w:rPr>
            <w:rFonts w:asciiTheme="minorHAnsi" w:eastAsiaTheme="minorEastAsia" w:hAnsiTheme="minorHAnsi" w:cstheme="minorBidi"/>
            <w:noProof/>
            <w:kern w:val="2"/>
            <w:szCs w:val="24"/>
            <w:lang w:val="en-GB" w:eastAsia="en-GB"/>
            <w14:ligatures w14:val="standardContextual"/>
          </w:rPr>
          <w:tab/>
        </w:r>
        <w:r w:rsidRPr="00090AD7">
          <w:rPr>
            <w:rStyle w:val="Hyperlink"/>
            <w:rFonts w:eastAsia="Batang"/>
            <w:noProof/>
            <w:lang w:val="es-ES_tradnl" w:eastAsia="zh-CN"/>
          </w:rPr>
          <w:t>Antecedentes</w:t>
        </w:r>
        <w:r>
          <w:rPr>
            <w:noProof/>
            <w:webHidden/>
          </w:rPr>
          <w:tab/>
        </w:r>
        <w:r w:rsidR="002A25C7">
          <w:rPr>
            <w:noProof/>
            <w:webHidden/>
          </w:rPr>
          <w:tab/>
        </w:r>
        <w:r>
          <w:rPr>
            <w:noProof/>
            <w:webHidden/>
          </w:rPr>
          <w:fldChar w:fldCharType="begin"/>
        </w:r>
        <w:r>
          <w:rPr>
            <w:noProof/>
            <w:webHidden/>
          </w:rPr>
          <w:instrText xml:space="preserve"> PAGEREF _Toc217031163 \h </w:instrText>
        </w:r>
        <w:r>
          <w:rPr>
            <w:noProof/>
            <w:webHidden/>
          </w:rPr>
        </w:r>
        <w:r>
          <w:rPr>
            <w:noProof/>
            <w:webHidden/>
          </w:rPr>
          <w:fldChar w:fldCharType="separate"/>
        </w:r>
        <w:r w:rsidR="00C31DA7">
          <w:rPr>
            <w:noProof/>
            <w:webHidden/>
          </w:rPr>
          <w:t>27</w:t>
        </w:r>
        <w:r>
          <w:rPr>
            <w:noProof/>
            <w:webHidden/>
          </w:rPr>
          <w:fldChar w:fldCharType="end"/>
        </w:r>
      </w:hyperlink>
    </w:p>
    <w:p w14:paraId="738403A7" w14:textId="4614807A" w:rsidR="008F0DCD" w:rsidRDefault="008F0DCD">
      <w:pPr>
        <w:pStyle w:val="TOC1"/>
        <w:rPr>
          <w:rFonts w:asciiTheme="minorHAnsi" w:eastAsiaTheme="minorEastAsia" w:hAnsiTheme="minorHAnsi" w:cstheme="minorBidi"/>
          <w:noProof/>
          <w:kern w:val="2"/>
          <w:szCs w:val="24"/>
          <w:lang w:val="en-GB" w:eastAsia="en-GB"/>
          <w14:ligatures w14:val="standardContextual"/>
        </w:rPr>
      </w:pPr>
      <w:hyperlink w:anchor="_Toc217031164" w:history="1">
        <w:r w:rsidRPr="00090AD7">
          <w:rPr>
            <w:rStyle w:val="Hyperlink"/>
            <w:rFonts w:eastAsia="Batang"/>
            <w:noProof/>
            <w:lang w:val="es-ES_tradnl" w:eastAsia="zh-CN"/>
          </w:rPr>
          <w:t>2</w:t>
        </w:r>
        <w:r>
          <w:rPr>
            <w:rFonts w:asciiTheme="minorHAnsi" w:eastAsiaTheme="minorEastAsia" w:hAnsiTheme="minorHAnsi" w:cstheme="minorBidi"/>
            <w:noProof/>
            <w:kern w:val="2"/>
            <w:szCs w:val="24"/>
            <w:lang w:val="en-GB" w:eastAsia="en-GB"/>
            <w14:ligatures w14:val="standardContextual"/>
          </w:rPr>
          <w:tab/>
        </w:r>
        <w:r w:rsidRPr="00090AD7">
          <w:rPr>
            <w:rStyle w:val="Hyperlink"/>
            <w:rFonts w:eastAsia="Batang"/>
            <w:noProof/>
            <w:lang w:val="es-ES_tradnl" w:eastAsia="zh-CN"/>
          </w:rPr>
          <w:t>Proceso de evaluación</w:t>
        </w:r>
        <w:r>
          <w:rPr>
            <w:noProof/>
            <w:webHidden/>
          </w:rPr>
          <w:tab/>
        </w:r>
        <w:r w:rsidR="002A25C7">
          <w:rPr>
            <w:noProof/>
            <w:webHidden/>
          </w:rPr>
          <w:tab/>
        </w:r>
        <w:r>
          <w:rPr>
            <w:noProof/>
            <w:webHidden/>
          </w:rPr>
          <w:fldChar w:fldCharType="begin"/>
        </w:r>
        <w:r>
          <w:rPr>
            <w:noProof/>
            <w:webHidden/>
          </w:rPr>
          <w:instrText xml:space="preserve"> PAGEREF _Toc217031164 \h </w:instrText>
        </w:r>
        <w:r>
          <w:rPr>
            <w:noProof/>
            <w:webHidden/>
          </w:rPr>
        </w:r>
        <w:r>
          <w:rPr>
            <w:noProof/>
            <w:webHidden/>
          </w:rPr>
          <w:fldChar w:fldCharType="separate"/>
        </w:r>
        <w:r w:rsidR="00C31DA7">
          <w:rPr>
            <w:noProof/>
            <w:webHidden/>
          </w:rPr>
          <w:t>27</w:t>
        </w:r>
        <w:r>
          <w:rPr>
            <w:noProof/>
            <w:webHidden/>
          </w:rPr>
          <w:fldChar w:fldCharType="end"/>
        </w:r>
      </w:hyperlink>
    </w:p>
    <w:p w14:paraId="2A8D096B" w14:textId="3E73F725" w:rsidR="008F0DCD" w:rsidRDefault="008F0DCD">
      <w:pPr>
        <w:pStyle w:val="TOC1"/>
        <w:rPr>
          <w:rFonts w:asciiTheme="minorHAnsi" w:eastAsiaTheme="minorEastAsia" w:hAnsiTheme="minorHAnsi" w:cstheme="minorBidi"/>
          <w:noProof/>
          <w:kern w:val="2"/>
          <w:szCs w:val="24"/>
          <w:lang w:val="en-GB" w:eastAsia="en-GB"/>
          <w14:ligatures w14:val="standardContextual"/>
        </w:rPr>
      </w:pPr>
      <w:hyperlink w:anchor="_Toc217031165" w:history="1">
        <w:r w:rsidRPr="00090AD7">
          <w:rPr>
            <w:rStyle w:val="Hyperlink"/>
            <w:rFonts w:eastAsia="Batang"/>
            <w:noProof/>
            <w:lang w:val="es-ES_tradnl" w:eastAsia="zh-CN"/>
          </w:rPr>
          <w:t>3</w:t>
        </w:r>
        <w:r>
          <w:rPr>
            <w:rFonts w:asciiTheme="minorHAnsi" w:eastAsiaTheme="minorEastAsia" w:hAnsiTheme="minorHAnsi" w:cstheme="minorBidi"/>
            <w:noProof/>
            <w:kern w:val="2"/>
            <w:szCs w:val="24"/>
            <w:lang w:val="en-GB" w:eastAsia="en-GB"/>
            <w14:ligatures w14:val="standardContextual"/>
          </w:rPr>
          <w:tab/>
        </w:r>
        <w:r w:rsidRPr="00090AD7">
          <w:rPr>
            <w:rStyle w:val="Hyperlink"/>
            <w:rFonts w:eastAsia="Batang"/>
            <w:noProof/>
            <w:lang w:val="es-ES_tradnl" w:eastAsia="zh-CN"/>
          </w:rPr>
          <w:t>Casos reales de evaluación</w:t>
        </w:r>
        <w:r>
          <w:rPr>
            <w:noProof/>
            <w:webHidden/>
          </w:rPr>
          <w:tab/>
        </w:r>
        <w:r w:rsidR="002A25C7">
          <w:rPr>
            <w:noProof/>
            <w:webHidden/>
          </w:rPr>
          <w:tab/>
        </w:r>
        <w:r>
          <w:rPr>
            <w:noProof/>
            <w:webHidden/>
          </w:rPr>
          <w:fldChar w:fldCharType="begin"/>
        </w:r>
        <w:r>
          <w:rPr>
            <w:noProof/>
            <w:webHidden/>
          </w:rPr>
          <w:instrText xml:space="preserve"> PAGEREF _Toc217031165 \h </w:instrText>
        </w:r>
        <w:r>
          <w:rPr>
            <w:noProof/>
            <w:webHidden/>
          </w:rPr>
        </w:r>
        <w:r>
          <w:rPr>
            <w:noProof/>
            <w:webHidden/>
          </w:rPr>
          <w:fldChar w:fldCharType="separate"/>
        </w:r>
        <w:r w:rsidR="00C31DA7">
          <w:rPr>
            <w:noProof/>
            <w:webHidden/>
          </w:rPr>
          <w:t>30</w:t>
        </w:r>
        <w:r>
          <w:rPr>
            <w:noProof/>
            <w:webHidden/>
          </w:rPr>
          <w:fldChar w:fldCharType="end"/>
        </w:r>
      </w:hyperlink>
    </w:p>
    <w:p w14:paraId="7FAF0923" w14:textId="1BCD3497" w:rsidR="008F0DCD" w:rsidRDefault="008F0DCD">
      <w:pPr>
        <w:pStyle w:val="TOC1"/>
        <w:rPr>
          <w:rFonts w:asciiTheme="minorHAnsi" w:eastAsiaTheme="minorEastAsia" w:hAnsiTheme="minorHAnsi" w:cstheme="minorBidi"/>
          <w:noProof/>
          <w:kern w:val="2"/>
          <w:szCs w:val="24"/>
          <w:lang w:val="en-GB" w:eastAsia="en-GB"/>
          <w14:ligatures w14:val="standardContextual"/>
        </w:rPr>
      </w:pPr>
      <w:hyperlink w:anchor="_Toc217031166" w:history="1">
        <w:r w:rsidRPr="00090AD7">
          <w:rPr>
            <w:rStyle w:val="Hyperlink"/>
            <w:rFonts w:eastAsia="Batang"/>
            <w:noProof/>
            <w:lang w:val="es-ES_tradnl" w:eastAsia="zh-CN"/>
          </w:rPr>
          <w:t>4</w:t>
        </w:r>
        <w:r>
          <w:rPr>
            <w:rFonts w:asciiTheme="minorHAnsi" w:eastAsiaTheme="minorEastAsia" w:hAnsiTheme="minorHAnsi" w:cstheme="minorBidi"/>
            <w:noProof/>
            <w:kern w:val="2"/>
            <w:szCs w:val="24"/>
            <w:lang w:val="en-GB" w:eastAsia="en-GB"/>
            <w14:ligatures w14:val="standardContextual"/>
          </w:rPr>
          <w:tab/>
        </w:r>
        <w:r w:rsidRPr="00090AD7">
          <w:rPr>
            <w:rStyle w:val="Hyperlink"/>
            <w:rFonts w:eastAsia="Batang"/>
            <w:noProof/>
            <w:lang w:val="es-ES_tradnl" w:eastAsia="zh-CN"/>
          </w:rPr>
          <w:t>Contramedidas y repercusiones previstas según los resultados de la evaluación</w:t>
        </w:r>
        <w:r>
          <w:rPr>
            <w:noProof/>
            <w:webHidden/>
          </w:rPr>
          <w:tab/>
        </w:r>
        <w:r w:rsidR="002A25C7">
          <w:rPr>
            <w:noProof/>
            <w:webHidden/>
          </w:rPr>
          <w:tab/>
        </w:r>
        <w:r>
          <w:rPr>
            <w:noProof/>
            <w:webHidden/>
          </w:rPr>
          <w:fldChar w:fldCharType="begin"/>
        </w:r>
        <w:r>
          <w:rPr>
            <w:noProof/>
            <w:webHidden/>
          </w:rPr>
          <w:instrText xml:space="preserve"> PAGEREF _Toc217031166 \h </w:instrText>
        </w:r>
        <w:r>
          <w:rPr>
            <w:noProof/>
            <w:webHidden/>
          </w:rPr>
        </w:r>
        <w:r>
          <w:rPr>
            <w:noProof/>
            <w:webHidden/>
          </w:rPr>
          <w:fldChar w:fldCharType="separate"/>
        </w:r>
        <w:r w:rsidR="00C31DA7">
          <w:rPr>
            <w:noProof/>
            <w:webHidden/>
          </w:rPr>
          <w:t>31</w:t>
        </w:r>
        <w:r>
          <w:rPr>
            <w:noProof/>
            <w:webHidden/>
          </w:rPr>
          <w:fldChar w:fldCharType="end"/>
        </w:r>
      </w:hyperlink>
    </w:p>
    <w:p w14:paraId="553D5588" w14:textId="54C0BF5D" w:rsidR="008F0DCD" w:rsidRDefault="008F0DCD">
      <w:pPr>
        <w:pStyle w:val="TOC1"/>
        <w:rPr>
          <w:rFonts w:asciiTheme="minorHAnsi" w:eastAsiaTheme="minorEastAsia" w:hAnsiTheme="minorHAnsi" w:cstheme="minorBidi"/>
          <w:noProof/>
          <w:kern w:val="2"/>
          <w:szCs w:val="24"/>
          <w:lang w:val="en-GB" w:eastAsia="en-GB"/>
          <w14:ligatures w14:val="standardContextual"/>
        </w:rPr>
      </w:pPr>
      <w:hyperlink w:anchor="_Toc217031168" w:history="1">
        <w:r w:rsidRPr="00090AD7">
          <w:rPr>
            <w:rStyle w:val="Hyperlink"/>
            <w:rFonts w:eastAsia="SimSun"/>
            <w:noProof/>
          </w:rPr>
          <w:t>Anexo 2 al Capítulo 3</w:t>
        </w:r>
        <w:r w:rsidRPr="00090AD7">
          <w:rPr>
            <w:rStyle w:val="Hyperlink"/>
            <w:noProof/>
            <w:lang w:eastAsia="zh-CN"/>
          </w:rPr>
          <w:t xml:space="preserve"> </w:t>
        </w:r>
        <w:r w:rsidR="002A25C7">
          <w:rPr>
            <w:rStyle w:val="Hyperlink"/>
            <w:noProof/>
            <w:lang w:eastAsia="zh-CN"/>
          </w:rPr>
          <w:t>–</w:t>
        </w:r>
        <w:r w:rsidRPr="00090AD7">
          <w:rPr>
            <w:rStyle w:val="Hyperlink"/>
            <w:noProof/>
            <w:lang w:eastAsia="zh-CN"/>
          </w:rPr>
          <w:t xml:space="preserve"> </w:t>
        </w:r>
        <w:r w:rsidRPr="00090AD7">
          <w:rPr>
            <w:rStyle w:val="Hyperlink"/>
            <w:noProof/>
          </w:rPr>
          <w:t>Análisis de una visión de futuro sobre un régimen de gestión del espectro versátil y sostenible para el próximo decenio en Emiratos Árabes Unidos</w:t>
        </w:r>
        <w:r>
          <w:rPr>
            <w:noProof/>
            <w:webHidden/>
          </w:rPr>
          <w:tab/>
        </w:r>
        <w:r w:rsidR="002A25C7">
          <w:rPr>
            <w:noProof/>
            <w:webHidden/>
          </w:rPr>
          <w:tab/>
        </w:r>
        <w:r>
          <w:rPr>
            <w:noProof/>
            <w:webHidden/>
          </w:rPr>
          <w:fldChar w:fldCharType="begin"/>
        </w:r>
        <w:r>
          <w:rPr>
            <w:noProof/>
            <w:webHidden/>
          </w:rPr>
          <w:instrText xml:space="preserve"> PAGEREF _Toc217031168 \h </w:instrText>
        </w:r>
        <w:r>
          <w:rPr>
            <w:noProof/>
            <w:webHidden/>
          </w:rPr>
        </w:r>
        <w:r>
          <w:rPr>
            <w:noProof/>
            <w:webHidden/>
          </w:rPr>
          <w:fldChar w:fldCharType="separate"/>
        </w:r>
        <w:r w:rsidR="00C31DA7">
          <w:rPr>
            <w:noProof/>
            <w:webHidden/>
          </w:rPr>
          <w:t>33</w:t>
        </w:r>
        <w:r>
          <w:rPr>
            <w:noProof/>
            <w:webHidden/>
          </w:rPr>
          <w:fldChar w:fldCharType="end"/>
        </w:r>
      </w:hyperlink>
    </w:p>
    <w:p w14:paraId="2D071F3E" w14:textId="488756DB" w:rsidR="008F0DCD" w:rsidRDefault="008F0DCD">
      <w:pPr>
        <w:pStyle w:val="TOC1"/>
        <w:rPr>
          <w:rFonts w:asciiTheme="minorHAnsi" w:eastAsiaTheme="minorEastAsia" w:hAnsiTheme="minorHAnsi" w:cstheme="minorBidi"/>
          <w:noProof/>
          <w:kern w:val="2"/>
          <w:szCs w:val="24"/>
          <w:lang w:val="en-GB" w:eastAsia="en-GB"/>
          <w14:ligatures w14:val="standardContextual"/>
        </w:rPr>
      </w:pPr>
      <w:hyperlink w:anchor="_Toc217031169" w:history="1">
        <w:r w:rsidRPr="00090AD7">
          <w:rPr>
            <w:rStyle w:val="Hyperlink"/>
            <w:noProof/>
          </w:rPr>
          <w:t>1</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rPr>
          <w:t>Resumen</w:t>
        </w:r>
        <w:r>
          <w:rPr>
            <w:noProof/>
            <w:webHidden/>
          </w:rPr>
          <w:tab/>
        </w:r>
        <w:r w:rsidR="002A25C7">
          <w:rPr>
            <w:noProof/>
            <w:webHidden/>
          </w:rPr>
          <w:tab/>
        </w:r>
        <w:r>
          <w:rPr>
            <w:noProof/>
            <w:webHidden/>
          </w:rPr>
          <w:fldChar w:fldCharType="begin"/>
        </w:r>
        <w:r>
          <w:rPr>
            <w:noProof/>
            <w:webHidden/>
          </w:rPr>
          <w:instrText xml:space="preserve"> PAGEREF _Toc217031169 \h </w:instrText>
        </w:r>
        <w:r>
          <w:rPr>
            <w:noProof/>
            <w:webHidden/>
          </w:rPr>
        </w:r>
        <w:r>
          <w:rPr>
            <w:noProof/>
            <w:webHidden/>
          </w:rPr>
          <w:fldChar w:fldCharType="separate"/>
        </w:r>
        <w:r w:rsidR="00C31DA7">
          <w:rPr>
            <w:noProof/>
            <w:webHidden/>
          </w:rPr>
          <w:t>33</w:t>
        </w:r>
        <w:r>
          <w:rPr>
            <w:noProof/>
            <w:webHidden/>
          </w:rPr>
          <w:fldChar w:fldCharType="end"/>
        </w:r>
      </w:hyperlink>
    </w:p>
    <w:p w14:paraId="05466964" w14:textId="485A30C0" w:rsidR="008F0DCD" w:rsidRDefault="008F0DCD">
      <w:pPr>
        <w:pStyle w:val="TOC1"/>
        <w:rPr>
          <w:rFonts w:asciiTheme="minorHAnsi" w:eastAsiaTheme="minorEastAsia" w:hAnsiTheme="minorHAnsi" w:cstheme="minorBidi"/>
          <w:noProof/>
          <w:kern w:val="2"/>
          <w:szCs w:val="24"/>
          <w:lang w:val="en-GB" w:eastAsia="en-GB"/>
          <w14:ligatures w14:val="standardContextual"/>
        </w:rPr>
      </w:pPr>
      <w:hyperlink w:anchor="_Toc217031170" w:history="1">
        <w:r w:rsidRPr="00090AD7">
          <w:rPr>
            <w:rStyle w:val="Hyperlink"/>
            <w:noProof/>
          </w:rPr>
          <w:t>2</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rPr>
          <w:t>Objetivo del análisis</w:t>
        </w:r>
        <w:r>
          <w:rPr>
            <w:noProof/>
            <w:webHidden/>
          </w:rPr>
          <w:tab/>
        </w:r>
        <w:r w:rsidR="002A25C7">
          <w:rPr>
            <w:noProof/>
            <w:webHidden/>
          </w:rPr>
          <w:tab/>
        </w:r>
        <w:r>
          <w:rPr>
            <w:noProof/>
            <w:webHidden/>
          </w:rPr>
          <w:fldChar w:fldCharType="begin"/>
        </w:r>
        <w:r>
          <w:rPr>
            <w:noProof/>
            <w:webHidden/>
          </w:rPr>
          <w:instrText xml:space="preserve"> PAGEREF _Toc217031170 \h </w:instrText>
        </w:r>
        <w:r>
          <w:rPr>
            <w:noProof/>
            <w:webHidden/>
          </w:rPr>
        </w:r>
        <w:r>
          <w:rPr>
            <w:noProof/>
            <w:webHidden/>
          </w:rPr>
          <w:fldChar w:fldCharType="separate"/>
        </w:r>
        <w:r w:rsidR="00C31DA7">
          <w:rPr>
            <w:noProof/>
            <w:webHidden/>
          </w:rPr>
          <w:t>34</w:t>
        </w:r>
        <w:r>
          <w:rPr>
            <w:noProof/>
            <w:webHidden/>
          </w:rPr>
          <w:fldChar w:fldCharType="end"/>
        </w:r>
      </w:hyperlink>
    </w:p>
    <w:p w14:paraId="7945C8F6" w14:textId="5D664B25" w:rsidR="008F0DCD" w:rsidRDefault="008F0DCD">
      <w:pPr>
        <w:pStyle w:val="TOC1"/>
        <w:rPr>
          <w:rFonts w:asciiTheme="minorHAnsi" w:eastAsiaTheme="minorEastAsia" w:hAnsiTheme="minorHAnsi" w:cstheme="minorBidi"/>
          <w:noProof/>
          <w:kern w:val="2"/>
          <w:szCs w:val="24"/>
          <w:lang w:val="en-GB" w:eastAsia="en-GB"/>
          <w14:ligatures w14:val="standardContextual"/>
        </w:rPr>
      </w:pPr>
      <w:hyperlink w:anchor="_Toc217031171" w:history="1">
        <w:r w:rsidRPr="00090AD7">
          <w:rPr>
            <w:rStyle w:val="Hyperlink"/>
            <w:noProof/>
          </w:rPr>
          <w:t>3</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rPr>
          <w:t>Estrategia digital en EAU, previsiones, casos hipotéticos e implicaciones en materia de versatilidad de espectro</w:t>
        </w:r>
        <w:r>
          <w:rPr>
            <w:noProof/>
            <w:webHidden/>
          </w:rPr>
          <w:tab/>
        </w:r>
        <w:r w:rsidR="002A25C7">
          <w:rPr>
            <w:noProof/>
            <w:webHidden/>
          </w:rPr>
          <w:tab/>
        </w:r>
        <w:r>
          <w:rPr>
            <w:noProof/>
            <w:webHidden/>
          </w:rPr>
          <w:fldChar w:fldCharType="begin"/>
        </w:r>
        <w:r>
          <w:rPr>
            <w:noProof/>
            <w:webHidden/>
          </w:rPr>
          <w:instrText xml:space="preserve"> PAGEREF _Toc217031171 \h </w:instrText>
        </w:r>
        <w:r>
          <w:rPr>
            <w:noProof/>
            <w:webHidden/>
          </w:rPr>
        </w:r>
        <w:r>
          <w:rPr>
            <w:noProof/>
            <w:webHidden/>
          </w:rPr>
          <w:fldChar w:fldCharType="separate"/>
        </w:r>
        <w:r w:rsidR="00C31DA7">
          <w:rPr>
            <w:noProof/>
            <w:webHidden/>
          </w:rPr>
          <w:t>35</w:t>
        </w:r>
        <w:r>
          <w:rPr>
            <w:noProof/>
            <w:webHidden/>
          </w:rPr>
          <w:fldChar w:fldCharType="end"/>
        </w:r>
      </w:hyperlink>
    </w:p>
    <w:p w14:paraId="053B88F2" w14:textId="7BE16AE9" w:rsidR="008F0DCD" w:rsidRDefault="008F0DCD">
      <w:pPr>
        <w:pStyle w:val="TOC1"/>
        <w:rPr>
          <w:rFonts w:asciiTheme="minorHAnsi" w:eastAsiaTheme="minorEastAsia" w:hAnsiTheme="minorHAnsi" w:cstheme="minorBidi"/>
          <w:noProof/>
          <w:kern w:val="2"/>
          <w:szCs w:val="24"/>
          <w:lang w:val="en-GB" w:eastAsia="en-GB"/>
          <w14:ligatures w14:val="standardContextual"/>
        </w:rPr>
      </w:pPr>
      <w:hyperlink w:anchor="_Toc217031172" w:history="1">
        <w:r w:rsidRPr="00090AD7">
          <w:rPr>
            <w:rStyle w:val="Hyperlink"/>
            <w:noProof/>
          </w:rPr>
          <w:t>4</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rPr>
          <w:t>Visión estratégica de la TDRA: transición a sistemas de gestión más versátiles en todo momento</w:t>
        </w:r>
        <w:r>
          <w:rPr>
            <w:noProof/>
            <w:webHidden/>
          </w:rPr>
          <w:tab/>
        </w:r>
        <w:r w:rsidR="002A25C7">
          <w:rPr>
            <w:noProof/>
            <w:webHidden/>
          </w:rPr>
          <w:tab/>
        </w:r>
        <w:r>
          <w:rPr>
            <w:noProof/>
            <w:webHidden/>
          </w:rPr>
          <w:fldChar w:fldCharType="begin"/>
        </w:r>
        <w:r>
          <w:rPr>
            <w:noProof/>
            <w:webHidden/>
          </w:rPr>
          <w:instrText xml:space="preserve"> PAGEREF _Toc217031172 \h </w:instrText>
        </w:r>
        <w:r>
          <w:rPr>
            <w:noProof/>
            <w:webHidden/>
          </w:rPr>
        </w:r>
        <w:r>
          <w:rPr>
            <w:noProof/>
            <w:webHidden/>
          </w:rPr>
          <w:fldChar w:fldCharType="separate"/>
        </w:r>
        <w:r w:rsidR="00C31DA7">
          <w:rPr>
            <w:noProof/>
            <w:webHidden/>
          </w:rPr>
          <w:t>37</w:t>
        </w:r>
        <w:r>
          <w:rPr>
            <w:noProof/>
            <w:webHidden/>
          </w:rPr>
          <w:fldChar w:fldCharType="end"/>
        </w:r>
      </w:hyperlink>
    </w:p>
    <w:p w14:paraId="58015DE4" w14:textId="5D0598C9" w:rsidR="008F0DCD" w:rsidRDefault="008F0DCD">
      <w:pPr>
        <w:pStyle w:val="TOC2"/>
        <w:rPr>
          <w:rFonts w:asciiTheme="minorHAnsi" w:eastAsiaTheme="minorEastAsia" w:hAnsiTheme="minorHAnsi" w:cstheme="minorBidi"/>
          <w:noProof/>
          <w:kern w:val="2"/>
          <w:szCs w:val="24"/>
          <w:lang w:val="en-GB" w:eastAsia="en-GB"/>
          <w14:ligatures w14:val="standardContextual"/>
        </w:rPr>
      </w:pPr>
      <w:hyperlink w:anchor="_Toc217031173" w:history="1">
        <w:r w:rsidRPr="00090AD7">
          <w:rPr>
            <w:rStyle w:val="Hyperlink"/>
            <w:noProof/>
          </w:rPr>
          <w:t>4.1</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rPr>
          <w:t>Enfoque actual sobre autorización de utilización del espectro</w:t>
        </w:r>
        <w:r>
          <w:rPr>
            <w:noProof/>
            <w:webHidden/>
          </w:rPr>
          <w:tab/>
        </w:r>
        <w:r w:rsidR="002A25C7">
          <w:rPr>
            <w:noProof/>
            <w:webHidden/>
          </w:rPr>
          <w:tab/>
        </w:r>
        <w:r>
          <w:rPr>
            <w:noProof/>
            <w:webHidden/>
          </w:rPr>
          <w:fldChar w:fldCharType="begin"/>
        </w:r>
        <w:r>
          <w:rPr>
            <w:noProof/>
            <w:webHidden/>
          </w:rPr>
          <w:instrText xml:space="preserve"> PAGEREF _Toc217031173 \h </w:instrText>
        </w:r>
        <w:r>
          <w:rPr>
            <w:noProof/>
            <w:webHidden/>
          </w:rPr>
        </w:r>
        <w:r>
          <w:rPr>
            <w:noProof/>
            <w:webHidden/>
          </w:rPr>
          <w:fldChar w:fldCharType="separate"/>
        </w:r>
        <w:r w:rsidR="00C31DA7">
          <w:rPr>
            <w:noProof/>
            <w:webHidden/>
          </w:rPr>
          <w:t>38</w:t>
        </w:r>
        <w:r>
          <w:rPr>
            <w:noProof/>
            <w:webHidden/>
          </w:rPr>
          <w:fldChar w:fldCharType="end"/>
        </w:r>
      </w:hyperlink>
    </w:p>
    <w:p w14:paraId="477BD396" w14:textId="6F1643FE" w:rsidR="008F0DCD" w:rsidRDefault="008F0DCD">
      <w:pPr>
        <w:pStyle w:val="TOC2"/>
        <w:rPr>
          <w:rFonts w:asciiTheme="minorHAnsi" w:eastAsiaTheme="minorEastAsia" w:hAnsiTheme="minorHAnsi" w:cstheme="minorBidi"/>
          <w:noProof/>
          <w:kern w:val="2"/>
          <w:szCs w:val="24"/>
          <w:lang w:val="en-GB" w:eastAsia="en-GB"/>
          <w14:ligatures w14:val="standardContextual"/>
        </w:rPr>
      </w:pPr>
      <w:hyperlink w:anchor="_Toc217031174" w:history="1">
        <w:r w:rsidRPr="00090AD7">
          <w:rPr>
            <w:rStyle w:val="Hyperlink"/>
            <w:noProof/>
          </w:rPr>
          <w:t>4.2</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rPr>
          <w:t>Gestión versátil del espectro</w:t>
        </w:r>
        <w:r>
          <w:rPr>
            <w:noProof/>
            <w:webHidden/>
          </w:rPr>
          <w:tab/>
        </w:r>
        <w:r w:rsidR="002A25C7">
          <w:rPr>
            <w:noProof/>
            <w:webHidden/>
          </w:rPr>
          <w:tab/>
        </w:r>
        <w:r>
          <w:rPr>
            <w:noProof/>
            <w:webHidden/>
          </w:rPr>
          <w:fldChar w:fldCharType="begin"/>
        </w:r>
        <w:r>
          <w:rPr>
            <w:noProof/>
            <w:webHidden/>
          </w:rPr>
          <w:instrText xml:space="preserve"> PAGEREF _Toc217031174 \h </w:instrText>
        </w:r>
        <w:r>
          <w:rPr>
            <w:noProof/>
            <w:webHidden/>
          </w:rPr>
        </w:r>
        <w:r>
          <w:rPr>
            <w:noProof/>
            <w:webHidden/>
          </w:rPr>
          <w:fldChar w:fldCharType="separate"/>
        </w:r>
        <w:r w:rsidR="00C31DA7">
          <w:rPr>
            <w:noProof/>
            <w:webHidden/>
          </w:rPr>
          <w:t>38</w:t>
        </w:r>
        <w:r>
          <w:rPr>
            <w:noProof/>
            <w:webHidden/>
          </w:rPr>
          <w:fldChar w:fldCharType="end"/>
        </w:r>
      </w:hyperlink>
    </w:p>
    <w:p w14:paraId="74710093" w14:textId="364561C3" w:rsidR="008F0DCD" w:rsidRDefault="008F0DCD">
      <w:pPr>
        <w:pStyle w:val="TOC2"/>
        <w:rPr>
          <w:rFonts w:asciiTheme="minorHAnsi" w:eastAsiaTheme="minorEastAsia" w:hAnsiTheme="minorHAnsi" w:cstheme="minorBidi"/>
          <w:noProof/>
          <w:kern w:val="2"/>
          <w:szCs w:val="24"/>
          <w:lang w:val="en-GB" w:eastAsia="en-GB"/>
          <w14:ligatures w14:val="standardContextual"/>
        </w:rPr>
      </w:pPr>
      <w:hyperlink w:anchor="_Toc217031175" w:history="1">
        <w:r w:rsidRPr="00090AD7">
          <w:rPr>
            <w:rStyle w:val="Hyperlink"/>
            <w:noProof/>
          </w:rPr>
          <w:t>4.3</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rPr>
          <w:t>Análisis comparativo</w:t>
        </w:r>
        <w:r>
          <w:rPr>
            <w:noProof/>
            <w:webHidden/>
          </w:rPr>
          <w:tab/>
        </w:r>
        <w:r w:rsidR="002A25C7">
          <w:rPr>
            <w:noProof/>
            <w:webHidden/>
          </w:rPr>
          <w:tab/>
        </w:r>
        <w:r>
          <w:rPr>
            <w:noProof/>
            <w:webHidden/>
          </w:rPr>
          <w:fldChar w:fldCharType="begin"/>
        </w:r>
        <w:r>
          <w:rPr>
            <w:noProof/>
            <w:webHidden/>
          </w:rPr>
          <w:instrText xml:space="preserve"> PAGEREF _Toc217031175 \h </w:instrText>
        </w:r>
        <w:r>
          <w:rPr>
            <w:noProof/>
            <w:webHidden/>
          </w:rPr>
        </w:r>
        <w:r>
          <w:rPr>
            <w:noProof/>
            <w:webHidden/>
          </w:rPr>
          <w:fldChar w:fldCharType="separate"/>
        </w:r>
        <w:r w:rsidR="00C31DA7">
          <w:rPr>
            <w:noProof/>
            <w:webHidden/>
          </w:rPr>
          <w:t>41</w:t>
        </w:r>
        <w:r>
          <w:rPr>
            <w:noProof/>
            <w:webHidden/>
          </w:rPr>
          <w:fldChar w:fldCharType="end"/>
        </w:r>
      </w:hyperlink>
    </w:p>
    <w:p w14:paraId="2E2FF480" w14:textId="682F660D" w:rsidR="008F0DCD" w:rsidRDefault="008F0DCD">
      <w:pPr>
        <w:pStyle w:val="TOC2"/>
        <w:rPr>
          <w:rFonts w:asciiTheme="minorHAnsi" w:eastAsiaTheme="minorEastAsia" w:hAnsiTheme="minorHAnsi" w:cstheme="minorBidi"/>
          <w:noProof/>
          <w:kern w:val="2"/>
          <w:szCs w:val="24"/>
          <w:lang w:val="en-GB" w:eastAsia="en-GB"/>
          <w14:ligatures w14:val="standardContextual"/>
        </w:rPr>
      </w:pPr>
      <w:hyperlink w:anchor="_Toc217031176" w:history="1">
        <w:r w:rsidRPr="00090AD7">
          <w:rPr>
            <w:rStyle w:val="Hyperlink"/>
            <w:noProof/>
          </w:rPr>
          <w:t>4.4</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rPr>
          <w:t>Resumen</w:t>
        </w:r>
        <w:r>
          <w:rPr>
            <w:noProof/>
            <w:webHidden/>
          </w:rPr>
          <w:tab/>
        </w:r>
        <w:r w:rsidR="002A25C7">
          <w:rPr>
            <w:noProof/>
            <w:webHidden/>
          </w:rPr>
          <w:tab/>
        </w:r>
        <w:r>
          <w:rPr>
            <w:noProof/>
            <w:webHidden/>
          </w:rPr>
          <w:fldChar w:fldCharType="begin"/>
        </w:r>
        <w:r>
          <w:rPr>
            <w:noProof/>
            <w:webHidden/>
          </w:rPr>
          <w:instrText xml:space="preserve"> PAGEREF _Toc217031176 \h </w:instrText>
        </w:r>
        <w:r>
          <w:rPr>
            <w:noProof/>
            <w:webHidden/>
          </w:rPr>
        </w:r>
        <w:r>
          <w:rPr>
            <w:noProof/>
            <w:webHidden/>
          </w:rPr>
          <w:fldChar w:fldCharType="separate"/>
        </w:r>
        <w:r w:rsidR="00C31DA7">
          <w:rPr>
            <w:noProof/>
            <w:webHidden/>
          </w:rPr>
          <w:t>41</w:t>
        </w:r>
        <w:r>
          <w:rPr>
            <w:noProof/>
            <w:webHidden/>
          </w:rPr>
          <w:fldChar w:fldCharType="end"/>
        </w:r>
      </w:hyperlink>
    </w:p>
    <w:p w14:paraId="00C397F6" w14:textId="0940E19D" w:rsidR="008F0DCD" w:rsidRDefault="008F0DCD">
      <w:pPr>
        <w:pStyle w:val="TOC1"/>
        <w:rPr>
          <w:rFonts w:asciiTheme="minorHAnsi" w:eastAsiaTheme="minorEastAsia" w:hAnsiTheme="minorHAnsi" w:cstheme="minorBidi"/>
          <w:noProof/>
          <w:kern w:val="2"/>
          <w:szCs w:val="24"/>
          <w:lang w:val="en-GB" w:eastAsia="en-GB"/>
          <w14:ligatures w14:val="standardContextual"/>
        </w:rPr>
      </w:pPr>
      <w:hyperlink w:anchor="_Toc217031177" w:history="1">
        <w:r w:rsidRPr="00090AD7">
          <w:rPr>
            <w:rStyle w:val="Hyperlink"/>
            <w:noProof/>
          </w:rPr>
          <w:t>5</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rPr>
          <w:t>Factores propicios y evolución de la gestión del espectro con respecto a tecnologías y servicios inalámbricos</w:t>
        </w:r>
        <w:r>
          <w:rPr>
            <w:noProof/>
            <w:webHidden/>
          </w:rPr>
          <w:tab/>
        </w:r>
        <w:r w:rsidR="002A25C7">
          <w:rPr>
            <w:noProof/>
            <w:webHidden/>
          </w:rPr>
          <w:tab/>
        </w:r>
        <w:r>
          <w:rPr>
            <w:noProof/>
            <w:webHidden/>
          </w:rPr>
          <w:fldChar w:fldCharType="begin"/>
        </w:r>
        <w:r>
          <w:rPr>
            <w:noProof/>
            <w:webHidden/>
          </w:rPr>
          <w:instrText xml:space="preserve"> PAGEREF _Toc217031177 \h </w:instrText>
        </w:r>
        <w:r>
          <w:rPr>
            <w:noProof/>
            <w:webHidden/>
          </w:rPr>
        </w:r>
        <w:r>
          <w:rPr>
            <w:noProof/>
            <w:webHidden/>
          </w:rPr>
          <w:fldChar w:fldCharType="separate"/>
        </w:r>
        <w:r w:rsidR="00C31DA7">
          <w:rPr>
            <w:noProof/>
            <w:webHidden/>
          </w:rPr>
          <w:t>41</w:t>
        </w:r>
        <w:r>
          <w:rPr>
            <w:noProof/>
            <w:webHidden/>
          </w:rPr>
          <w:fldChar w:fldCharType="end"/>
        </w:r>
      </w:hyperlink>
    </w:p>
    <w:p w14:paraId="6AA97A74" w14:textId="6349135C" w:rsidR="008F0DCD" w:rsidRDefault="008F0DCD">
      <w:pPr>
        <w:pStyle w:val="TOC2"/>
        <w:rPr>
          <w:rFonts w:asciiTheme="minorHAnsi" w:eastAsiaTheme="minorEastAsia" w:hAnsiTheme="minorHAnsi" w:cstheme="minorBidi"/>
          <w:noProof/>
          <w:kern w:val="2"/>
          <w:szCs w:val="24"/>
          <w:lang w:val="en-GB" w:eastAsia="en-GB"/>
          <w14:ligatures w14:val="standardContextual"/>
        </w:rPr>
      </w:pPr>
      <w:hyperlink w:anchor="_Toc217031178" w:history="1">
        <w:r w:rsidRPr="00090AD7">
          <w:rPr>
            <w:rStyle w:val="Hyperlink"/>
            <w:noProof/>
          </w:rPr>
          <w:t>5.1</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rPr>
          <w:t>Evolución de la tecnología y las necesidades de los usuarios</w:t>
        </w:r>
        <w:r>
          <w:rPr>
            <w:noProof/>
            <w:webHidden/>
          </w:rPr>
          <w:tab/>
        </w:r>
        <w:r w:rsidR="002A25C7">
          <w:rPr>
            <w:noProof/>
            <w:webHidden/>
          </w:rPr>
          <w:tab/>
        </w:r>
        <w:r>
          <w:rPr>
            <w:noProof/>
            <w:webHidden/>
          </w:rPr>
          <w:fldChar w:fldCharType="begin"/>
        </w:r>
        <w:r>
          <w:rPr>
            <w:noProof/>
            <w:webHidden/>
          </w:rPr>
          <w:instrText xml:space="preserve"> PAGEREF _Toc217031178 \h </w:instrText>
        </w:r>
        <w:r>
          <w:rPr>
            <w:noProof/>
            <w:webHidden/>
          </w:rPr>
        </w:r>
        <w:r>
          <w:rPr>
            <w:noProof/>
            <w:webHidden/>
          </w:rPr>
          <w:fldChar w:fldCharType="separate"/>
        </w:r>
        <w:r w:rsidR="00C31DA7">
          <w:rPr>
            <w:noProof/>
            <w:webHidden/>
          </w:rPr>
          <w:t>42</w:t>
        </w:r>
        <w:r>
          <w:rPr>
            <w:noProof/>
            <w:webHidden/>
          </w:rPr>
          <w:fldChar w:fldCharType="end"/>
        </w:r>
      </w:hyperlink>
    </w:p>
    <w:p w14:paraId="02CB95ED" w14:textId="00119357" w:rsidR="008F0DCD" w:rsidRDefault="008F0DCD">
      <w:pPr>
        <w:pStyle w:val="TOC2"/>
        <w:rPr>
          <w:rFonts w:asciiTheme="minorHAnsi" w:eastAsiaTheme="minorEastAsia" w:hAnsiTheme="minorHAnsi" w:cstheme="minorBidi"/>
          <w:noProof/>
          <w:kern w:val="2"/>
          <w:szCs w:val="24"/>
          <w:lang w:val="en-GB" w:eastAsia="en-GB"/>
          <w14:ligatures w14:val="standardContextual"/>
        </w:rPr>
      </w:pPr>
      <w:hyperlink w:anchor="_Toc217031179" w:history="1">
        <w:r w:rsidRPr="00090AD7">
          <w:rPr>
            <w:rStyle w:val="Hyperlink"/>
            <w:noProof/>
          </w:rPr>
          <w:t>5.2</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rPr>
          <w:t>Oportunidades en materia de soluciones para la gestión del espectro y capacitación de los organismos de reglamentación</w:t>
        </w:r>
        <w:r>
          <w:rPr>
            <w:noProof/>
            <w:webHidden/>
          </w:rPr>
          <w:tab/>
        </w:r>
        <w:r w:rsidR="002A25C7">
          <w:rPr>
            <w:noProof/>
            <w:webHidden/>
          </w:rPr>
          <w:tab/>
        </w:r>
        <w:r>
          <w:rPr>
            <w:noProof/>
            <w:webHidden/>
          </w:rPr>
          <w:fldChar w:fldCharType="begin"/>
        </w:r>
        <w:r>
          <w:rPr>
            <w:noProof/>
            <w:webHidden/>
          </w:rPr>
          <w:instrText xml:space="preserve"> PAGEREF _Toc217031179 \h </w:instrText>
        </w:r>
        <w:r>
          <w:rPr>
            <w:noProof/>
            <w:webHidden/>
          </w:rPr>
        </w:r>
        <w:r>
          <w:rPr>
            <w:noProof/>
            <w:webHidden/>
          </w:rPr>
          <w:fldChar w:fldCharType="separate"/>
        </w:r>
        <w:r w:rsidR="00C31DA7">
          <w:rPr>
            <w:noProof/>
            <w:webHidden/>
          </w:rPr>
          <w:t>45</w:t>
        </w:r>
        <w:r>
          <w:rPr>
            <w:noProof/>
            <w:webHidden/>
          </w:rPr>
          <w:fldChar w:fldCharType="end"/>
        </w:r>
      </w:hyperlink>
    </w:p>
    <w:p w14:paraId="5743659C" w14:textId="7724A9D2" w:rsidR="008F0DCD" w:rsidRDefault="008F0DCD">
      <w:pPr>
        <w:pStyle w:val="TOC1"/>
        <w:rPr>
          <w:rFonts w:asciiTheme="minorHAnsi" w:eastAsiaTheme="minorEastAsia" w:hAnsiTheme="minorHAnsi" w:cstheme="minorBidi"/>
          <w:noProof/>
          <w:kern w:val="2"/>
          <w:szCs w:val="24"/>
          <w:lang w:val="en-GB" w:eastAsia="en-GB"/>
          <w14:ligatures w14:val="standardContextual"/>
        </w:rPr>
      </w:pPr>
      <w:hyperlink w:anchor="_Toc217031180" w:history="1">
        <w:r w:rsidRPr="00090AD7">
          <w:rPr>
            <w:rStyle w:val="Hyperlink"/>
            <w:noProof/>
          </w:rPr>
          <w:t>6</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rPr>
          <w:t>TDRA 2031: Hoja de ruta, casos hipotéticos y evolución prevista de los sistemas inteligentes de gestión del espectro</w:t>
        </w:r>
        <w:r>
          <w:rPr>
            <w:noProof/>
            <w:webHidden/>
          </w:rPr>
          <w:tab/>
        </w:r>
        <w:r w:rsidR="002A25C7">
          <w:rPr>
            <w:noProof/>
            <w:webHidden/>
          </w:rPr>
          <w:tab/>
        </w:r>
        <w:r>
          <w:rPr>
            <w:noProof/>
            <w:webHidden/>
          </w:rPr>
          <w:fldChar w:fldCharType="begin"/>
        </w:r>
        <w:r>
          <w:rPr>
            <w:noProof/>
            <w:webHidden/>
          </w:rPr>
          <w:instrText xml:space="preserve"> PAGEREF _Toc217031180 \h </w:instrText>
        </w:r>
        <w:r>
          <w:rPr>
            <w:noProof/>
            <w:webHidden/>
          </w:rPr>
        </w:r>
        <w:r>
          <w:rPr>
            <w:noProof/>
            <w:webHidden/>
          </w:rPr>
          <w:fldChar w:fldCharType="separate"/>
        </w:r>
        <w:r w:rsidR="00C31DA7">
          <w:rPr>
            <w:noProof/>
            <w:webHidden/>
          </w:rPr>
          <w:t>53</w:t>
        </w:r>
        <w:r>
          <w:rPr>
            <w:noProof/>
            <w:webHidden/>
          </w:rPr>
          <w:fldChar w:fldCharType="end"/>
        </w:r>
      </w:hyperlink>
    </w:p>
    <w:p w14:paraId="4F9DFA93" w14:textId="45E490B2" w:rsidR="008F0DCD" w:rsidRDefault="008F0DCD">
      <w:pPr>
        <w:pStyle w:val="TOC2"/>
        <w:rPr>
          <w:rFonts w:asciiTheme="minorHAnsi" w:eastAsiaTheme="minorEastAsia" w:hAnsiTheme="minorHAnsi" w:cstheme="minorBidi"/>
          <w:noProof/>
          <w:kern w:val="2"/>
          <w:szCs w:val="24"/>
          <w:lang w:val="en-GB" w:eastAsia="en-GB"/>
          <w14:ligatures w14:val="standardContextual"/>
        </w:rPr>
      </w:pPr>
      <w:hyperlink w:anchor="_Toc217031181" w:history="1">
        <w:r w:rsidRPr="00090AD7">
          <w:rPr>
            <w:rStyle w:val="Hyperlink"/>
            <w:noProof/>
          </w:rPr>
          <w:t>6.1</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rPr>
          <w:t>Caso hipotético A: Tendencia a una versatilidad incremental</w:t>
        </w:r>
        <w:r>
          <w:rPr>
            <w:noProof/>
            <w:webHidden/>
          </w:rPr>
          <w:tab/>
        </w:r>
        <w:r w:rsidR="002A25C7">
          <w:rPr>
            <w:noProof/>
            <w:webHidden/>
          </w:rPr>
          <w:tab/>
        </w:r>
        <w:r>
          <w:rPr>
            <w:noProof/>
            <w:webHidden/>
          </w:rPr>
          <w:fldChar w:fldCharType="begin"/>
        </w:r>
        <w:r>
          <w:rPr>
            <w:noProof/>
            <w:webHidden/>
          </w:rPr>
          <w:instrText xml:space="preserve"> PAGEREF _Toc217031181 \h </w:instrText>
        </w:r>
        <w:r>
          <w:rPr>
            <w:noProof/>
            <w:webHidden/>
          </w:rPr>
        </w:r>
        <w:r>
          <w:rPr>
            <w:noProof/>
            <w:webHidden/>
          </w:rPr>
          <w:fldChar w:fldCharType="separate"/>
        </w:r>
        <w:r w:rsidR="00C31DA7">
          <w:rPr>
            <w:noProof/>
            <w:webHidden/>
          </w:rPr>
          <w:t>55</w:t>
        </w:r>
        <w:r>
          <w:rPr>
            <w:noProof/>
            <w:webHidden/>
          </w:rPr>
          <w:fldChar w:fldCharType="end"/>
        </w:r>
      </w:hyperlink>
    </w:p>
    <w:p w14:paraId="7AA2AF44" w14:textId="64BA8951" w:rsidR="008F0DCD" w:rsidRDefault="008F0DCD">
      <w:pPr>
        <w:pStyle w:val="TOC2"/>
        <w:rPr>
          <w:rFonts w:asciiTheme="minorHAnsi" w:eastAsiaTheme="minorEastAsia" w:hAnsiTheme="minorHAnsi" w:cstheme="minorBidi"/>
          <w:noProof/>
          <w:kern w:val="2"/>
          <w:szCs w:val="24"/>
          <w:lang w:val="en-GB" w:eastAsia="en-GB"/>
          <w14:ligatures w14:val="standardContextual"/>
        </w:rPr>
      </w:pPr>
      <w:hyperlink w:anchor="_Toc217031182" w:history="1">
        <w:r w:rsidRPr="00090AD7">
          <w:rPr>
            <w:rStyle w:val="Hyperlink"/>
            <w:noProof/>
          </w:rPr>
          <w:t>6.2</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rPr>
          <w:t>Caso hipotético B: Paso a condiciones de plena versatilidad</w:t>
        </w:r>
        <w:r>
          <w:rPr>
            <w:noProof/>
            <w:webHidden/>
          </w:rPr>
          <w:tab/>
        </w:r>
        <w:r w:rsidR="002A25C7">
          <w:rPr>
            <w:noProof/>
            <w:webHidden/>
          </w:rPr>
          <w:tab/>
        </w:r>
        <w:r>
          <w:rPr>
            <w:noProof/>
            <w:webHidden/>
          </w:rPr>
          <w:fldChar w:fldCharType="begin"/>
        </w:r>
        <w:r>
          <w:rPr>
            <w:noProof/>
            <w:webHidden/>
          </w:rPr>
          <w:instrText xml:space="preserve"> PAGEREF _Toc217031182 \h </w:instrText>
        </w:r>
        <w:r>
          <w:rPr>
            <w:noProof/>
            <w:webHidden/>
          </w:rPr>
        </w:r>
        <w:r>
          <w:rPr>
            <w:noProof/>
            <w:webHidden/>
          </w:rPr>
          <w:fldChar w:fldCharType="separate"/>
        </w:r>
        <w:r w:rsidR="00C31DA7">
          <w:rPr>
            <w:noProof/>
            <w:webHidden/>
          </w:rPr>
          <w:t>55</w:t>
        </w:r>
        <w:r>
          <w:rPr>
            <w:noProof/>
            <w:webHidden/>
          </w:rPr>
          <w:fldChar w:fldCharType="end"/>
        </w:r>
      </w:hyperlink>
    </w:p>
    <w:p w14:paraId="4E2ACA0D" w14:textId="32DF7C7D" w:rsidR="008F0DCD" w:rsidRDefault="008F0DCD">
      <w:pPr>
        <w:pStyle w:val="TOC2"/>
        <w:rPr>
          <w:rFonts w:asciiTheme="minorHAnsi" w:eastAsiaTheme="minorEastAsia" w:hAnsiTheme="minorHAnsi" w:cstheme="minorBidi"/>
          <w:noProof/>
          <w:kern w:val="2"/>
          <w:szCs w:val="24"/>
          <w:lang w:val="en-GB" w:eastAsia="en-GB"/>
          <w14:ligatures w14:val="standardContextual"/>
        </w:rPr>
      </w:pPr>
      <w:hyperlink w:anchor="_Toc217031183" w:history="1">
        <w:r w:rsidRPr="00090AD7">
          <w:rPr>
            <w:rStyle w:val="Hyperlink"/>
            <w:noProof/>
          </w:rPr>
          <w:t>6.3</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rPr>
          <w:t>Caso hipotético C: Enfoque basado en objetivos: el camino hasta 2031</w:t>
        </w:r>
        <w:r>
          <w:rPr>
            <w:noProof/>
            <w:webHidden/>
          </w:rPr>
          <w:tab/>
        </w:r>
        <w:r w:rsidR="002A25C7">
          <w:rPr>
            <w:noProof/>
            <w:webHidden/>
          </w:rPr>
          <w:tab/>
        </w:r>
        <w:r>
          <w:rPr>
            <w:noProof/>
            <w:webHidden/>
          </w:rPr>
          <w:fldChar w:fldCharType="begin"/>
        </w:r>
        <w:r>
          <w:rPr>
            <w:noProof/>
            <w:webHidden/>
          </w:rPr>
          <w:instrText xml:space="preserve"> PAGEREF _Toc217031183 \h </w:instrText>
        </w:r>
        <w:r>
          <w:rPr>
            <w:noProof/>
            <w:webHidden/>
          </w:rPr>
        </w:r>
        <w:r>
          <w:rPr>
            <w:noProof/>
            <w:webHidden/>
          </w:rPr>
          <w:fldChar w:fldCharType="separate"/>
        </w:r>
        <w:r w:rsidR="00C31DA7">
          <w:rPr>
            <w:noProof/>
            <w:webHidden/>
          </w:rPr>
          <w:t>56</w:t>
        </w:r>
        <w:r>
          <w:rPr>
            <w:noProof/>
            <w:webHidden/>
          </w:rPr>
          <w:fldChar w:fldCharType="end"/>
        </w:r>
      </w:hyperlink>
    </w:p>
    <w:p w14:paraId="5A96226C" w14:textId="193EEB19" w:rsidR="008F0DCD" w:rsidRDefault="008F0DCD">
      <w:pPr>
        <w:pStyle w:val="TOC2"/>
        <w:rPr>
          <w:rFonts w:asciiTheme="minorHAnsi" w:eastAsiaTheme="minorEastAsia" w:hAnsiTheme="minorHAnsi" w:cstheme="minorBidi"/>
          <w:noProof/>
          <w:kern w:val="2"/>
          <w:szCs w:val="24"/>
          <w:lang w:val="en-GB" w:eastAsia="en-GB"/>
          <w14:ligatures w14:val="standardContextual"/>
        </w:rPr>
      </w:pPr>
      <w:hyperlink w:anchor="_Toc217031184" w:history="1">
        <w:r w:rsidRPr="00090AD7">
          <w:rPr>
            <w:rStyle w:val="Hyperlink"/>
            <w:noProof/>
          </w:rPr>
          <w:t>6.4</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rPr>
          <w:t>Iniciativas de la TDRA y marco de la UIT</w:t>
        </w:r>
        <w:r>
          <w:rPr>
            <w:noProof/>
            <w:webHidden/>
          </w:rPr>
          <w:tab/>
        </w:r>
        <w:r w:rsidR="002A25C7">
          <w:rPr>
            <w:noProof/>
            <w:webHidden/>
          </w:rPr>
          <w:tab/>
        </w:r>
        <w:r>
          <w:rPr>
            <w:noProof/>
            <w:webHidden/>
          </w:rPr>
          <w:fldChar w:fldCharType="begin"/>
        </w:r>
        <w:r>
          <w:rPr>
            <w:noProof/>
            <w:webHidden/>
          </w:rPr>
          <w:instrText xml:space="preserve"> PAGEREF _Toc217031184 \h </w:instrText>
        </w:r>
        <w:r>
          <w:rPr>
            <w:noProof/>
            <w:webHidden/>
          </w:rPr>
        </w:r>
        <w:r>
          <w:rPr>
            <w:noProof/>
            <w:webHidden/>
          </w:rPr>
          <w:fldChar w:fldCharType="separate"/>
        </w:r>
        <w:r w:rsidR="00C31DA7">
          <w:rPr>
            <w:noProof/>
            <w:webHidden/>
          </w:rPr>
          <w:t>60</w:t>
        </w:r>
        <w:r>
          <w:rPr>
            <w:noProof/>
            <w:webHidden/>
          </w:rPr>
          <w:fldChar w:fldCharType="end"/>
        </w:r>
      </w:hyperlink>
    </w:p>
    <w:p w14:paraId="4CB370EF" w14:textId="7D90D9BC" w:rsidR="008F0DCD" w:rsidRDefault="008F0DCD">
      <w:pPr>
        <w:pStyle w:val="TOC2"/>
        <w:rPr>
          <w:rFonts w:asciiTheme="minorHAnsi" w:eastAsiaTheme="minorEastAsia" w:hAnsiTheme="minorHAnsi" w:cstheme="minorBidi"/>
          <w:noProof/>
          <w:kern w:val="2"/>
          <w:szCs w:val="24"/>
          <w:lang w:val="en-GB" w:eastAsia="en-GB"/>
          <w14:ligatures w14:val="standardContextual"/>
        </w:rPr>
      </w:pPr>
      <w:hyperlink w:anchor="_Toc217031185" w:history="1">
        <w:r w:rsidRPr="00090AD7">
          <w:rPr>
            <w:rStyle w:val="Hyperlink"/>
            <w:noProof/>
          </w:rPr>
          <w:t>6.5</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rPr>
          <w:t>El camino hacia 2031: Objetivos digitales de EAU e iniciativas de la TDRA</w:t>
        </w:r>
        <w:r>
          <w:rPr>
            <w:noProof/>
            <w:webHidden/>
          </w:rPr>
          <w:tab/>
        </w:r>
        <w:r w:rsidR="002A25C7">
          <w:rPr>
            <w:noProof/>
            <w:webHidden/>
          </w:rPr>
          <w:tab/>
        </w:r>
        <w:r>
          <w:rPr>
            <w:noProof/>
            <w:webHidden/>
          </w:rPr>
          <w:fldChar w:fldCharType="begin"/>
        </w:r>
        <w:r>
          <w:rPr>
            <w:noProof/>
            <w:webHidden/>
          </w:rPr>
          <w:instrText xml:space="preserve"> PAGEREF _Toc217031185 \h </w:instrText>
        </w:r>
        <w:r>
          <w:rPr>
            <w:noProof/>
            <w:webHidden/>
          </w:rPr>
        </w:r>
        <w:r>
          <w:rPr>
            <w:noProof/>
            <w:webHidden/>
          </w:rPr>
          <w:fldChar w:fldCharType="separate"/>
        </w:r>
        <w:r w:rsidR="00C31DA7">
          <w:rPr>
            <w:noProof/>
            <w:webHidden/>
          </w:rPr>
          <w:t>60</w:t>
        </w:r>
        <w:r>
          <w:rPr>
            <w:noProof/>
            <w:webHidden/>
          </w:rPr>
          <w:fldChar w:fldCharType="end"/>
        </w:r>
      </w:hyperlink>
    </w:p>
    <w:p w14:paraId="1B0069A7" w14:textId="054CC913" w:rsidR="008F0DCD" w:rsidRDefault="008F0DCD">
      <w:pPr>
        <w:pStyle w:val="TOC1"/>
        <w:rPr>
          <w:rFonts w:asciiTheme="minorHAnsi" w:eastAsiaTheme="minorEastAsia" w:hAnsiTheme="minorHAnsi" w:cstheme="minorBidi"/>
          <w:noProof/>
          <w:kern w:val="2"/>
          <w:szCs w:val="24"/>
          <w:lang w:val="en-GB" w:eastAsia="en-GB"/>
          <w14:ligatures w14:val="standardContextual"/>
        </w:rPr>
      </w:pPr>
      <w:hyperlink w:anchor="_Toc217031186" w:history="1">
        <w:r w:rsidRPr="00090AD7">
          <w:rPr>
            <w:rStyle w:val="Hyperlink"/>
            <w:noProof/>
          </w:rPr>
          <w:t>7</w:t>
        </w:r>
        <w:r>
          <w:rPr>
            <w:rFonts w:asciiTheme="minorHAnsi" w:eastAsiaTheme="minorEastAsia" w:hAnsiTheme="minorHAnsi" w:cstheme="minorBidi"/>
            <w:noProof/>
            <w:kern w:val="2"/>
            <w:szCs w:val="24"/>
            <w:lang w:val="en-GB" w:eastAsia="en-GB"/>
            <w14:ligatures w14:val="standardContextual"/>
          </w:rPr>
          <w:tab/>
        </w:r>
        <w:r w:rsidRPr="00090AD7">
          <w:rPr>
            <w:rStyle w:val="Hyperlink"/>
            <w:noProof/>
          </w:rPr>
          <w:t>Calendario y ventajas de la implementación de un servicio de gestión del espectro versátil</w:t>
        </w:r>
        <w:r>
          <w:rPr>
            <w:noProof/>
            <w:webHidden/>
          </w:rPr>
          <w:tab/>
        </w:r>
        <w:r w:rsidR="002A25C7">
          <w:rPr>
            <w:noProof/>
            <w:webHidden/>
          </w:rPr>
          <w:tab/>
        </w:r>
        <w:r>
          <w:rPr>
            <w:noProof/>
            <w:webHidden/>
          </w:rPr>
          <w:fldChar w:fldCharType="begin"/>
        </w:r>
        <w:r>
          <w:rPr>
            <w:noProof/>
            <w:webHidden/>
          </w:rPr>
          <w:instrText xml:space="preserve"> PAGEREF _Toc217031186 \h </w:instrText>
        </w:r>
        <w:r>
          <w:rPr>
            <w:noProof/>
            <w:webHidden/>
          </w:rPr>
        </w:r>
        <w:r>
          <w:rPr>
            <w:noProof/>
            <w:webHidden/>
          </w:rPr>
          <w:fldChar w:fldCharType="separate"/>
        </w:r>
        <w:r w:rsidR="00C31DA7">
          <w:rPr>
            <w:noProof/>
            <w:webHidden/>
          </w:rPr>
          <w:t>61</w:t>
        </w:r>
        <w:r>
          <w:rPr>
            <w:noProof/>
            <w:webHidden/>
          </w:rPr>
          <w:fldChar w:fldCharType="end"/>
        </w:r>
      </w:hyperlink>
    </w:p>
    <w:p w14:paraId="383F13A8" w14:textId="79E1E390" w:rsidR="00193B55" w:rsidRDefault="008F0DCD" w:rsidP="008F0DCD">
      <w:pPr>
        <w:rPr>
          <w:lang w:val="es-ES_tradnl"/>
        </w:rPr>
      </w:pPr>
      <w:r>
        <w:rPr>
          <w:lang w:val="es-ES_tradnl"/>
        </w:rPr>
        <w:fldChar w:fldCharType="end"/>
      </w:r>
    </w:p>
    <w:p w14:paraId="2D6A7473" w14:textId="77777777" w:rsidR="008F0DCD" w:rsidRPr="007E1FB5" w:rsidRDefault="008F0DCD" w:rsidP="008F0DCD">
      <w:pPr>
        <w:rPr>
          <w:lang w:val="es-ES_tradnl"/>
        </w:rPr>
      </w:pPr>
    </w:p>
    <w:p w14:paraId="2EC1D6E3" w14:textId="3E599C7E" w:rsidR="00AE456A" w:rsidRDefault="006E6FBB" w:rsidP="00AE456A">
      <w:pPr>
        <w:pStyle w:val="ChapNo"/>
        <w:rPr>
          <w:rFonts w:eastAsiaTheme="minorEastAsia"/>
          <w:lang w:val="es-ES_tradnl"/>
        </w:rPr>
      </w:pPr>
      <w:bookmarkStart w:id="8" w:name="_Toc34916946"/>
      <w:bookmarkStart w:id="9" w:name="_Toc184650229"/>
      <w:bookmarkStart w:id="10" w:name="_Toc184652830"/>
      <w:bookmarkStart w:id="11" w:name="_Toc216693422"/>
      <w:bookmarkStart w:id="12" w:name="_Toc34317273"/>
      <w:bookmarkStart w:id="13" w:name="_Toc217031128"/>
      <w:r>
        <w:rPr>
          <w:rFonts w:eastAsiaTheme="minorEastAsia"/>
          <w:lang w:val="es-ES_tradnl"/>
        </w:rPr>
        <w:t>CAPÍTULO</w:t>
      </w:r>
      <w:r w:rsidR="00193B55" w:rsidRPr="007E1FB5">
        <w:rPr>
          <w:rFonts w:eastAsiaTheme="minorEastAsia"/>
          <w:lang w:val="es-ES_tradnl"/>
        </w:rPr>
        <w:t xml:space="preserve"> 1</w:t>
      </w:r>
      <w:bookmarkEnd w:id="8"/>
      <w:bookmarkEnd w:id="9"/>
      <w:bookmarkEnd w:id="10"/>
      <w:bookmarkEnd w:id="11"/>
      <w:bookmarkEnd w:id="13"/>
    </w:p>
    <w:p w14:paraId="013C1A8C" w14:textId="07F8F858" w:rsidR="00193B55" w:rsidRPr="007E1FB5" w:rsidRDefault="00193B55" w:rsidP="006B1DD9">
      <w:pPr>
        <w:pStyle w:val="Chaptitle"/>
        <w:rPr>
          <w:rFonts w:eastAsiaTheme="minorEastAsia"/>
          <w:lang w:val="es-ES_tradnl"/>
        </w:rPr>
      </w:pPr>
      <w:bookmarkStart w:id="14" w:name="_Toc184652831"/>
      <w:bookmarkStart w:id="15" w:name="_Toc184656522"/>
      <w:bookmarkStart w:id="16" w:name="_Toc216693423"/>
      <w:bookmarkStart w:id="17" w:name="_Toc217031129"/>
      <w:r w:rsidRPr="007E1FB5">
        <w:rPr>
          <w:rFonts w:eastAsiaTheme="minorEastAsia"/>
          <w:lang w:val="es-ES_tradnl"/>
        </w:rPr>
        <w:t>Proceso de planificación a largo plazo</w:t>
      </w:r>
      <w:bookmarkEnd w:id="14"/>
      <w:bookmarkEnd w:id="15"/>
      <w:bookmarkEnd w:id="16"/>
      <w:bookmarkEnd w:id="17"/>
    </w:p>
    <w:p w14:paraId="79D3111F" w14:textId="77777777" w:rsidR="00193B55" w:rsidRPr="007E1FB5" w:rsidRDefault="00193B55" w:rsidP="00193B55">
      <w:pPr>
        <w:pStyle w:val="Heading1"/>
        <w:rPr>
          <w:rFonts w:eastAsiaTheme="minorEastAsia"/>
          <w:lang w:val="es-ES_tradnl"/>
        </w:rPr>
      </w:pPr>
      <w:bookmarkStart w:id="18" w:name="_Toc34914257"/>
      <w:bookmarkStart w:id="19" w:name="_Toc34916947"/>
      <w:bookmarkStart w:id="20" w:name="_Toc184650230"/>
      <w:bookmarkStart w:id="21" w:name="_Toc184652785"/>
      <w:bookmarkStart w:id="22" w:name="_Toc184652832"/>
      <w:bookmarkStart w:id="23" w:name="_Toc216630143"/>
      <w:bookmarkStart w:id="24" w:name="_Toc216693424"/>
      <w:bookmarkStart w:id="25" w:name="_Toc217031130"/>
      <w:r w:rsidRPr="007E1FB5">
        <w:rPr>
          <w:rFonts w:eastAsiaTheme="minorEastAsia"/>
          <w:lang w:val="es-ES_tradnl"/>
        </w:rPr>
        <w:t>1</w:t>
      </w:r>
      <w:r w:rsidRPr="007E1FB5">
        <w:rPr>
          <w:rFonts w:eastAsiaTheme="minorEastAsia"/>
          <w:lang w:val="es-ES_tradnl"/>
        </w:rPr>
        <w:tab/>
      </w:r>
      <w:proofErr w:type="gramStart"/>
      <w:r w:rsidRPr="007E1FB5">
        <w:rPr>
          <w:rFonts w:eastAsiaTheme="minorEastAsia"/>
          <w:lang w:val="es-ES_tradnl"/>
        </w:rPr>
        <w:t>Introducción</w:t>
      </w:r>
      <w:bookmarkEnd w:id="12"/>
      <w:bookmarkEnd w:id="18"/>
      <w:bookmarkEnd w:id="19"/>
      <w:bookmarkEnd w:id="20"/>
      <w:bookmarkEnd w:id="21"/>
      <w:bookmarkEnd w:id="22"/>
      <w:bookmarkEnd w:id="23"/>
      <w:bookmarkEnd w:id="24"/>
      <w:bookmarkEnd w:id="25"/>
      <w:proofErr w:type="gramEnd"/>
    </w:p>
    <w:p w14:paraId="3144CF2B" w14:textId="319175E8" w:rsidR="00193B55" w:rsidRPr="007E1FB5" w:rsidRDefault="00193B55" w:rsidP="00193B55">
      <w:pPr>
        <w:keepNext/>
        <w:keepLines/>
        <w:rPr>
          <w:rFonts w:eastAsiaTheme="minorEastAsia"/>
          <w:lang w:val="es-ES_tradnl"/>
        </w:rPr>
      </w:pPr>
      <w:r w:rsidRPr="007E1FB5">
        <w:rPr>
          <w:rFonts w:eastAsiaTheme="minorEastAsia"/>
          <w:lang w:val="es-ES_tradnl"/>
        </w:rPr>
        <w:t xml:space="preserve">En la Recomendación UIT-R </w:t>
      </w:r>
      <w:hyperlink r:id="rId18" w:history="1">
        <w:r w:rsidRPr="007E1FB5">
          <w:rPr>
            <w:rStyle w:val="Hyperlink"/>
            <w:rFonts w:eastAsiaTheme="minorEastAsia"/>
            <w:color w:val="auto"/>
            <w:u w:val="none"/>
            <w:lang w:val="es-ES_tradnl"/>
          </w:rPr>
          <w:t>SM.1047</w:t>
        </w:r>
      </w:hyperlink>
      <w:r w:rsidR="00C412C7">
        <w:t>-2</w:t>
      </w:r>
      <w:r w:rsidRPr="007E1FB5">
        <w:rPr>
          <w:rFonts w:eastAsiaTheme="minorEastAsia"/>
          <w:lang w:val="es-ES_tradnl"/>
        </w:rPr>
        <w:t xml:space="preserve"> (Gestión nacional del espectro), adoptada en 2012, se recomienda que, en el desarrollo de programas nacionales de gestión del espectro, se consideren temas tales como la planificación del espectro y que, a tal efecto, las administraciones se guíen por los puntos correspondientes de las Recomendaciones e Informes del UIT-R y los Manuales de la UIT. En el Capítulo 2 del </w:t>
      </w:r>
      <w:hyperlink r:id="rId19" w:history="1">
        <w:r w:rsidRPr="00193B55">
          <w:rPr>
            <w:rStyle w:val="Hyperlink"/>
            <w:rFonts w:eastAsiaTheme="minorEastAsia"/>
            <w:lang w:val="es-ES_tradnl"/>
          </w:rPr>
          <w:t>Manual sobre la Gestión nacional del espectro</w:t>
        </w:r>
      </w:hyperlink>
      <w:r w:rsidRPr="007E1FB5">
        <w:rPr>
          <w:rFonts w:eastAsiaTheme="minorEastAsia"/>
          <w:lang w:val="es-ES_tradnl"/>
        </w:rPr>
        <w:t xml:space="preserve"> de 2015, dedicado a la planificación del espectro, se define la terminología relacionada con la planificación del espectro.</w:t>
      </w:r>
    </w:p>
    <w:p w14:paraId="37CC8235" w14:textId="77777777" w:rsidR="00193B55" w:rsidRPr="007E1FB5" w:rsidRDefault="00193B55" w:rsidP="00193B55">
      <w:pPr>
        <w:keepNext/>
        <w:keepLines/>
        <w:rPr>
          <w:rFonts w:eastAsiaTheme="minorEastAsia"/>
          <w:lang w:val="es-ES_tradnl"/>
        </w:rPr>
      </w:pPr>
      <w:r w:rsidRPr="007E1FB5">
        <w:rPr>
          <w:rFonts w:eastAsiaTheme="minorEastAsia"/>
          <w:lang w:val="es-ES_tradnl"/>
        </w:rPr>
        <w:t>Según el Manual, la planificación del espectro puede dividirse en categorías según los plazos de tiempo (a corto plazo, a largo plazo y estratégica). Por «planificación a largo plazo» se entiende aquella que considera las cuestiones que han de resolverse y los sistemas que han de implementarse en un plazo comprendido entre cinco y diez años, mientras que la «planificación a corto plazo» se ciñe a un plazo comprendido entre tres y cinco años. Por su parte, la planificación estratégica afecta a la identificación de un número limitado de cuestiones clave, que requieren la atención especial de la gestión del espectro para soluciones que necesitan resolverse en un plazo superior a diez años.</w:t>
      </w:r>
    </w:p>
    <w:p w14:paraId="3BAC0013" w14:textId="77777777" w:rsidR="00193B55" w:rsidRPr="007E1FB5" w:rsidRDefault="00193B55" w:rsidP="00193B55">
      <w:pPr>
        <w:rPr>
          <w:rFonts w:eastAsiaTheme="minorEastAsia"/>
          <w:lang w:val="es-ES_tradnl"/>
        </w:rPr>
      </w:pPr>
      <w:r w:rsidRPr="007E1FB5">
        <w:rPr>
          <w:rFonts w:eastAsiaTheme="minorEastAsia"/>
          <w:lang w:val="es-ES_tradnl"/>
        </w:rPr>
        <w:t>Por tanto, las estrategias a largo plazo comprenden la definición de una visión y una misión encaminadas a la resolución de cuestiones clave relacionadas con la gestión y utilización del espectro, que han de aplicarse en un plazo decenal.</w:t>
      </w:r>
    </w:p>
    <w:p w14:paraId="508BA40E" w14:textId="77777777" w:rsidR="00193B55" w:rsidRPr="007E1FB5" w:rsidRDefault="00193B55" w:rsidP="000D3A51">
      <w:pPr>
        <w:rPr>
          <w:rFonts w:eastAsiaTheme="minorEastAsia"/>
          <w:lang w:val="es-ES_tradnl"/>
        </w:rPr>
      </w:pPr>
      <w:r w:rsidRPr="007E1FB5">
        <w:rPr>
          <w:rFonts w:eastAsiaTheme="minorEastAsia"/>
          <w:lang w:val="es-ES_tradnl"/>
        </w:rPr>
        <w:t xml:space="preserve">Actualmente, la mayor parte de los procesos de planificación del espectro se centran en plazos relativamente cortos. No obstante, si los recursos del espectro deben secundar adecuadamente las metas y objetivos nacionales, es esencial la planificación a largo plazo. Esta planificación puede proporcionar las bases de una gestión del espectro que asegure su eficaz atribución y asignación, para dar cabida a los requisitos de un espectro radioeléctrico en constante evolución en el marco de los </w:t>
      </w:r>
      <w:r w:rsidRPr="007E1FB5">
        <w:rPr>
          <w:rFonts w:eastAsiaTheme="minorEastAsia"/>
          <w:lang w:val="es-ES_tradnl"/>
        </w:rPr>
        <w:lastRenderedPageBreak/>
        <w:t>sistemas nuevos y de sus aplicaciones. Esto facilita también la toma de decisiones al proporcionar una base para la consideración y evaluación prácticas de cursos de acción alternativos.</w:t>
      </w:r>
    </w:p>
    <w:p w14:paraId="18218E0C" w14:textId="77777777" w:rsidR="00193B55" w:rsidRPr="007E1FB5" w:rsidRDefault="00193B55" w:rsidP="00193B55">
      <w:pPr>
        <w:rPr>
          <w:rFonts w:eastAsiaTheme="minorEastAsia"/>
          <w:lang w:val="es-ES_tradnl"/>
        </w:rPr>
      </w:pPr>
      <w:r w:rsidRPr="007E1FB5">
        <w:rPr>
          <w:rFonts w:eastAsiaTheme="minorEastAsia"/>
          <w:lang w:val="es-ES_tradnl"/>
        </w:rPr>
        <w:t>La planificación a largo plazo debería comprender:</w:t>
      </w:r>
    </w:p>
    <w:p w14:paraId="5A53177B" w14:textId="3AD8ACAE"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la toma de decisiones actuales sobre estrategias de planificación del espectro en vista de sus consecuencias para el futuro;</w:t>
      </w:r>
      <w:r>
        <w:rPr>
          <w:rFonts w:eastAsiaTheme="minorEastAsia"/>
          <w:lang w:val="es-ES_tradnl"/>
        </w:rPr>
        <w:t xml:space="preserve"> la gestión d</w:t>
      </w:r>
      <w:r w:rsidRPr="00193B55">
        <w:rPr>
          <w:rFonts w:eastAsiaTheme="minorEastAsia"/>
          <w:lang w:val="es-ES_tradnl"/>
        </w:rPr>
        <w:t>el proces</w:t>
      </w:r>
      <w:r>
        <w:rPr>
          <w:rFonts w:eastAsiaTheme="minorEastAsia"/>
          <w:lang w:val="es-ES_tradnl"/>
        </w:rPr>
        <w:t xml:space="preserve">amiento de </w:t>
      </w:r>
      <w:r w:rsidRPr="00193B55">
        <w:rPr>
          <w:rFonts w:eastAsiaTheme="minorEastAsia"/>
          <w:lang w:val="es-ES_tradnl"/>
        </w:rPr>
        <w:t xml:space="preserve">nuevos datos y </w:t>
      </w:r>
      <w:r>
        <w:rPr>
          <w:rFonts w:eastAsiaTheme="minorEastAsia"/>
          <w:lang w:val="es-ES_tradnl"/>
        </w:rPr>
        <w:t>la adaptación al carácter complejo y de rápida evolución</w:t>
      </w:r>
      <w:r w:rsidRPr="00193B55">
        <w:rPr>
          <w:rFonts w:eastAsiaTheme="minorEastAsia"/>
          <w:lang w:val="es-ES_tradnl"/>
        </w:rPr>
        <w:t xml:space="preserve"> de las señales inalámbricas</w:t>
      </w:r>
      <w:r w:rsidR="006B1DD9">
        <w:rPr>
          <w:rFonts w:eastAsiaTheme="minorEastAsia"/>
          <w:lang w:val="es-ES_tradnl"/>
        </w:rPr>
        <w:t>;</w:t>
      </w:r>
    </w:p>
    <w:p w14:paraId="40B8C192" w14:textId="21041984"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la determinación de las repercusiones futuras de decisiones tomadas en el pasado</w:t>
      </w:r>
      <w:r w:rsidR="00E575CD">
        <w:rPr>
          <w:rFonts w:eastAsiaTheme="minorEastAsia"/>
          <w:lang w:val="es-ES_tradnl"/>
        </w:rPr>
        <w:t>, y</w:t>
      </w:r>
      <w:r w:rsidRPr="007E1FB5">
        <w:rPr>
          <w:rFonts w:eastAsiaTheme="minorEastAsia"/>
          <w:lang w:val="es-ES_tradnl"/>
        </w:rPr>
        <w:t xml:space="preserve"> </w:t>
      </w:r>
      <w:r w:rsidR="00E575CD" w:rsidRPr="00E575CD">
        <w:rPr>
          <w:rFonts w:eastAsiaTheme="minorEastAsia"/>
          <w:lang w:val="es-ES_tradnl"/>
        </w:rPr>
        <w:t xml:space="preserve">la gestión del procesamiento de nuevos datos y la adaptación al carácter complejo y </w:t>
      </w:r>
      <w:r w:rsidR="00E575CD">
        <w:rPr>
          <w:rFonts w:eastAsiaTheme="minorEastAsia"/>
          <w:lang w:val="es-ES_tradnl"/>
        </w:rPr>
        <w:t>rápidamente variable</w:t>
      </w:r>
      <w:r w:rsidR="00E575CD" w:rsidRPr="00E575CD">
        <w:rPr>
          <w:rFonts w:eastAsiaTheme="minorEastAsia"/>
          <w:lang w:val="es-ES_tradnl"/>
        </w:rPr>
        <w:t xml:space="preserve"> de las señales inalámbricas</w:t>
      </w:r>
      <w:r w:rsidR="006B1DD9">
        <w:rPr>
          <w:rFonts w:eastAsiaTheme="minorEastAsia"/>
          <w:lang w:val="es-ES_tradnl"/>
        </w:rPr>
        <w:t>;</w:t>
      </w:r>
    </w:p>
    <w:p w14:paraId="0AE6C97F" w14:textId="08092CDD"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la adaptación periódica de las decisiones a las circunstancias cambiantes</w:t>
      </w:r>
      <w:r w:rsidR="00BA739E">
        <w:rPr>
          <w:rFonts w:eastAsiaTheme="minorEastAsia"/>
          <w:lang w:val="es-ES_tradnl"/>
        </w:rPr>
        <w:t xml:space="preserve"> y los requisitos de la evolución tecnológica</w:t>
      </w:r>
      <w:r w:rsidRPr="007E1FB5">
        <w:rPr>
          <w:rFonts w:eastAsiaTheme="minorEastAsia"/>
          <w:lang w:val="es-ES_tradnl"/>
        </w:rPr>
        <w:t>.</w:t>
      </w:r>
    </w:p>
    <w:p w14:paraId="52CCBD3D" w14:textId="77777777" w:rsidR="00193B55" w:rsidRPr="007E1FB5" w:rsidRDefault="00193B55" w:rsidP="00193B55">
      <w:pPr>
        <w:rPr>
          <w:rFonts w:eastAsiaTheme="minorEastAsia"/>
          <w:lang w:val="es-ES_tradnl"/>
        </w:rPr>
      </w:pPr>
      <w:r w:rsidRPr="007E1FB5">
        <w:rPr>
          <w:rFonts w:eastAsiaTheme="minorEastAsia"/>
          <w:lang w:val="es-ES_tradnl"/>
        </w:rPr>
        <w:t>De esta forma, debería existir un margen suficiente para integrar las necesidades nacionales de espectro de los sistemas de radiocomunicaciones conocidos y previstos dentro del marco de tiempo establecido.</w:t>
      </w:r>
    </w:p>
    <w:p w14:paraId="1384BE88" w14:textId="77777777" w:rsidR="00193B55" w:rsidRPr="007E1FB5" w:rsidRDefault="00193B55" w:rsidP="00193B55">
      <w:pPr>
        <w:rPr>
          <w:rFonts w:eastAsiaTheme="minorEastAsia"/>
          <w:lang w:val="es-ES_tradnl"/>
        </w:rPr>
      </w:pPr>
      <w:r w:rsidRPr="007E1FB5">
        <w:rPr>
          <w:rFonts w:eastAsiaTheme="minorEastAsia"/>
          <w:lang w:val="es-ES_tradnl"/>
        </w:rPr>
        <w:t>Esto también conduce a:</w:t>
      </w:r>
    </w:p>
    <w:p w14:paraId="668E1410"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la revisión del Cuadro nacional de atribución de bandas de frecuencias;</w:t>
      </w:r>
    </w:p>
    <w:p w14:paraId="73A48D8A"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la formulación de posiciones nacionales en el orden del día de conferencias internacionales de radiocomunicaciones; y</w:t>
      </w:r>
    </w:p>
    <w:p w14:paraId="0AD6DE46" w14:textId="77777777" w:rsidR="00193B5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las revisiones de reglamentos, políticas y normas relacionadas con el espectro radioeléctrico.</w:t>
      </w:r>
    </w:p>
    <w:p w14:paraId="0AF44738" w14:textId="2433F707" w:rsidR="00EE468C" w:rsidRPr="00BE184C" w:rsidRDefault="00EE468C" w:rsidP="00EE468C">
      <w:pPr>
        <w:pStyle w:val="Note"/>
      </w:pPr>
      <w:r w:rsidRPr="00BE184C">
        <w:t>NOTA – La</w:t>
      </w:r>
      <w:r w:rsidR="006A02FB">
        <w:t>s</w:t>
      </w:r>
      <w:r w:rsidRPr="00BE184C">
        <w:t xml:space="preserve"> experiencias nacionales que </w:t>
      </w:r>
      <w:r w:rsidR="006E6FBB">
        <w:t>figuran</w:t>
      </w:r>
      <w:r w:rsidRPr="00BE184C">
        <w:t xml:space="preserve"> en el presente informe </w:t>
      </w:r>
      <w:r>
        <w:t>únicamente constituyen</w:t>
      </w:r>
      <w:r w:rsidRPr="00BE184C">
        <w:t xml:space="preserve"> la opini</w:t>
      </w:r>
      <w:r>
        <w:t>ó</w:t>
      </w:r>
      <w:r w:rsidRPr="00BE184C">
        <w:t>n de las administraciones</w:t>
      </w:r>
      <w:r w:rsidR="006A02FB">
        <w:t xml:space="preserve"> de que se trate</w:t>
      </w:r>
      <w:r w:rsidRPr="00BE184C">
        <w:t>. Su finalidad es meramente informativa y no</w:t>
      </w:r>
      <w:r>
        <w:t xml:space="preserve"> son vinculantes respecto de</w:t>
      </w:r>
      <w:r w:rsidRPr="00BE184C">
        <w:t xml:space="preserve"> los demás miembros </w:t>
      </w:r>
      <w:r w:rsidR="006E6FBB">
        <w:t>a los efectos de</w:t>
      </w:r>
      <w:r w:rsidRPr="00BE184C">
        <w:t xml:space="preserve"> confirmar o refutar dichas experiencias.</w:t>
      </w:r>
    </w:p>
    <w:p w14:paraId="7019CFB6" w14:textId="77777777" w:rsidR="00193B55" w:rsidRPr="007E1FB5" w:rsidRDefault="00193B55" w:rsidP="00193B55">
      <w:pPr>
        <w:pStyle w:val="Heading1"/>
        <w:rPr>
          <w:rFonts w:eastAsiaTheme="minorEastAsia"/>
          <w:lang w:val="es-ES_tradnl"/>
        </w:rPr>
      </w:pPr>
      <w:bookmarkStart w:id="26" w:name="_Toc34914258"/>
      <w:bookmarkStart w:id="27" w:name="_Toc34916948"/>
      <w:bookmarkStart w:id="28" w:name="_Toc184650231"/>
      <w:bookmarkStart w:id="29" w:name="_Toc184652786"/>
      <w:bookmarkStart w:id="30" w:name="_Toc184652833"/>
      <w:bookmarkStart w:id="31" w:name="_Toc216630144"/>
      <w:bookmarkStart w:id="32" w:name="_Toc216693425"/>
      <w:bookmarkStart w:id="33" w:name="_Toc217031131"/>
      <w:r w:rsidRPr="007E1FB5">
        <w:rPr>
          <w:rFonts w:eastAsiaTheme="minorEastAsia"/>
          <w:lang w:val="es-ES_tradnl"/>
        </w:rPr>
        <w:t>2</w:t>
      </w:r>
      <w:r w:rsidRPr="007E1FB5">
        <w:rPr>
          <w:rFonts w:eastAsiaTheme="minorEastAsia"/>
          <w:lang w:val="es-ES_tradnl"/>
        </w:rPr>
        <w:tab/>
      </w:r>
      <w:proofErr w:type="gramStart"/>
      <w:r w:rsidRPr="007E1FB5">
        <w:rPr>
          <w:rFonts w:eastAsiaTheme="minorEastAsia"/>
          <w:lang w:val="es-ES_tradnl"/>
        </w:rPr>
        <w:t>Proceso</w:t>
      </w:r>
      <w:proofErr w:type="gramEnd"/>
      <w:r w:rsidRPr="007E1FB5">
        <w:rPr>
          <w:rFonts w:eastAsiaTheme="minorEastAsia"/>
          <w:lang w:val="es-ES_tradnl"/>
        </w:rPr>
        <w:t xml:space="preserve"> de planificación nacional a largo plazo</w:t>
      </w:r>
      <w:bookmarkEnd w:id="26"/>
      <w:bookmarkEnd w:id="27"/>
      <w:bookmarkEnd w:id="28"/>
      <w:bookmarkEnd w:id="29"/>
      <w:bookmarkEnd w:id="30"/>
      <w:bookmarkEnd w:id="31"/>
      <w:bookmarkEnd w:id="32"/>
      <w:bookmarkEnd w:id="33"/>
    </w:p>
    <w:p w14:paraId="2942605F" w14:textId="77777777" w:rsidR="00193B55" w:rsidRPr="007E1FB5" w:rsidRDefault="00193B55" w:rsidP="00193B55">
      <w:pPr>
        <w:rPr>
          <w:rFonts w:eastAsiaTheme="minorEastAsia"/>
          <w:lang w:val="es-ES_tradnl"/>
        </w:rPr>
      </w:pPr>
      <w:r w:rsidRPr="007E1FB5">
        <w:rPr>
          <w:rFonts w:eastAsiaTheme="minorEastAsia"/>
          <w:lang w:val="es-ES_tradnl"/>
        </w:rPr>
        <w:t>La elaboración de estrategias nacionales a largo plazo para la utilización del espectro requerirá la aplicación de un proceso nacional de planificación del espectro a largo plazo.</w:t>
      </w:r>
    </w:p>
    <w:p w14:paraId="7277DBAC" w14:textId="77777777" w:rsidR="00193B55" w:rsidRPr="007E1FB5" w:rsidRDefault="00193B55" w:rsidP="00193B55">
      <w:pPr>
        <w:rPr>
          <w:rFonts w:eastAsiaTheme="minorEastAsia"/>
          <w:lang w:val="es-ES_tradnl"/>
        </w:rPr>
      </w:pPr>
      <w:r w:rsidRPr="007E1FB5">
        <w:rPr>
          <w:rFonts w:eastAsiaTheme="minorEastAsia"/>
          <w:lang w:val="es-ES_tradnl"/>
        </w:rPr>
        <w:t>Una parte de ese proceso puede consistir en elaborar y aplicar un plan de la utilización prospectiva del espectro, que debería ser objeto de examen y modificación conforme a los últimos datos disponibles en plazos de entre 1 y 3-5 años. Dicho plan debería asimismo basarse en trabajos de investigación sobre las necesidades de espectro de los usuarios civiles y gubernamentales, así como en las tendencias en materia de desarrollo de nuevas tecnologías. En el Cuadro 1 se expone un ejemplo de un plan de este tipo.</w:t>
      </w:r>
    </w:p>
    <w:p w14:paraId="7B335A67" w14:textId="77777777" w:rsidR="00193B55" w:rsidRPr="007E1FB5" w:rsidRDefault="00193B55" w:rsidP="000D3A51">
      <w:pPr>
        <w:pStyle w:val="TableNo"/>
        <w:keepLines/>
        <w:rPr>
          <w:rFonts w:eastAsiaTheme="minorEastAsia"/>
          <w:lang w:val="es-ES_tradnl"/>
        </w:rPr>
      </w:pPr>
      <w:r w:rsidRPr="007E1FB5">
        <w:rPr>
          <w:rFonts w:eastAsiaTheme="minorEastAsia"/>
          <w:lang w:val="es-ES_tradnl"/>
        </w:rPr>
        <w:lastRenderedPageBreak/>
        <w:t>CUADRO 1</w:t>
      </w:r>
    </w:p>
    <w:p w14:paraId="7C202A9C" w14:textId="77777777" w:rsidR="00193B55" w:rsidRPr="007E1FB5" w:rsidRDefault="00193B55" w:rsidP="000D3A51">
      <w:pPr>
        <w:pStyle w:val="Tabletitle"/>
        <w:keepLines/>
        <w:rPr>
          <w:rFonts w:eastAsiaTheme="minorEastAsia"/>
          <w:lang w:val="es-ES_tradnl"/>
        </w:rPr>
      </w:pPr>
      <w:r w:rsidRPr="007E1FB5">
        <w:rPr>
          <w:rFonts w:eastAsiaTheme="minorEastAsia"/>
          <w:lang w:val="es-ES_tradnl"/>
        </w:rPr>
        <w:t>Ejemplo de plan de utilización prospectiva del espectro</w:t>
      </w:r>
    </w:p>
    <w:tbl>
      <w:tblPr>
        <w:tblW w:w="963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084"/>
        <w:gridCol w:w="2666"/>
        <w:gridCol w:w="2094"/>
        <w:gridCol w:w="1676"/>
        <w:gridCol w:w="1119"/>
      </w:tblGrid>
      <w:tr w:rsidR="00193B55" w:rsidRPr="007E1FB5" w14:paraId="15F00941" w14:textId="77777777" w:rsidTr="003D49C3">
        <w:trPr>
          <w:trHeight w:val="420"/>
          <w:jc w:val="center"/>
        </w:trPr>
        <w:tc>
          <w:tcPr>
            <w:tcW w:w="2084" w:type="dxa"/>
            <w:tcBorders>
              <w:top w:val="single" w:sz="4" w:space="0" w:color="00000A"/>
              <w:left w:val="single" w:sz="4" w:space="0" w:color="00000A"/>
              <w:bottom w:val="single" w:sz="4" w:space="0" w:color="00000A"/>
              <w:right w:val="single" w:sz="4" w:space="0" w:color="00000A"/>
            </w:tcBorders>
            <w:vAlign w:val="center"/>
            <w:hideMark/>
          </w:tcPr>
          <w:p w14:paraId="790F92FC" w14:textId="77777777" w:rsidR="00193B55" w:rsidRPr="007E1FB5" w:rsidRDefault="00193B55" w:rsidP="000D3A51">
            <w:pPr>
              <w:pStyle w:val="Tablehead"/>
              <w:keepLines/>
              <w:rPr>
                <w:rFonts w:eastAsiaTheme="minorEastAsia"/>
                <w:lang w:val="es-ES_tradnl"/>
              </w:rPr>
            </w:pPr>
            <w:r w:rsidRPr="007E1FB5">
              <w:rPr>
                <w:rFonts w:eastAsiaTheme="minorEastAsia"/>
                <w:lang w:val="es-ES_tradnl"/>
              </w:rPr>
              <w:t>Banda de frecuencias</w:t>
            </w:r>
            <w:r w:rsidRPr="007E1FB5">
              <w:rPr>
                <w:rFonts w:eastAsiaTheme="minorEastAsia"/>
                <w:lang w:val="es-ES_tradnl"/>
              </w:rPr>
              <w:br/>
              <w:t>(kHz, MHz, GHz)</w:t>
            </w:r>
          </w:p>
        </w:tc>
        <w:tc>
          <w:tcPr>
            <w:tcW w:w="2666" w:type="dxa"/>
            <w:tcBorders>
              <w:top w:val="single" w:sz="4" w:space="0" w:color="00000A"/>
              <w:left w:val="single" w:sz="4" w:space="0" w:color="00000A"/>
              <w:bottom w:val="single" w:sz="4" w:space="0" w:color="00000A"/>
              <w:right w:val="single" w:sz="4" w:space="0" w:color="00000A"/>
            </w:tcBorders>
            <w:vAlign w:val="center"/>
            <w:hideMark/>
          </w:tcPr>
          <w:p w14:paraId="6586D889" w14:textId="77777777" w:rsidR="00193B55" w:rsidRPr="007E1FB5" w:rsidRDefault="00193B55" w:rsidP="000D3A51">
            <w:pPr>
              <w:pStyle w:val="Tablehead"/>
              <w:keepLines/>
              <w:rPr>
                <w:rFonts w:eastAsiaTheme="minorEastAsia"/>
                <w:lang w:val="es-ES_tradnl"/>
              </w:rPr>
            </w:pPr>
            <w:r w:rsidRPr="007E1FB5">
              <w:rPr>
                <w:rFonts w:eastAsiaTheme="minorEastAsia"/>
                <w:lang w:val="es-ES_tradnl"/>
              </w:rPr>
              <w:t>Servicios/aplicaciones existentes y previstos</w:t>
            </w:r>
          </w:p>
        </w:tc>
        <w:tc>
          <w:tcPr>
            <w:tcW w:w="2094" w:type="dxa"/>
            <w:tcBorders>
              <w:top w:val="single" w:sz="4" w:space="0" w:color="00000A"/>
              <w:left w:val="single" w:sz="4" w:space="0" w:color="00000A"/>
              <w:bottom w:val="single" w:sz="4" w:space="0" w:color="00000A"/>
              <w:right w:val="single" w:sz="4" w:space="0" w:color="00000A"/>
            </w:tcBorders>
            <w:vAlign w:val="center"/>
            <w:hideMark/>
          </w:tcPr>
          <w:p w14:paraId="012DFDE1" w14:textId="77777777" w:rsidR="00193B55" w:rsidRPr="007E1FB5" w:rsidRDefault="00193B55" w:rsidP="000D3A51">
            <w:pPr>
              <w:pStyle w:val="Tablehead"/>
              <w:keepLines/>
              <w:rPr>
                <w:rFonts w:eastAsiaTheme="minorEastAsia"/>
                <w:lang w:val="es-ES_tradnl"/>
              </w:rPr>
            </w:pPr>
            <w:r w:rsidRPr="007E1FB5">
              <w:rPr>
                <w:rFonts w:eastAsiaTheme="minorEastAsia"/>
                <w:lang w:val="es-ES_tradnl"/>
              </w:rPr>
              <w:t>Especificaciones</w:t>
            </w:r>
          </w:p>
        </w:tc>
        <w:tc>
          <w:tcPr>
            <w:tcW w:w="1676" w:type="dxa"/>
            <w:tcBorders>
              <w:top w:val="single" w:sz="4" w:space="0" w:color="00000A"/>
              <w:left w:val="single" w:sz="4" w:space="0" w:color="00000A"/>
              <w:bottom w:val="single" w:sz="4" w:space="0" w:color="00000A"/>
              <w:right w:val="single" w:sz="4" w:space="0" w:color="00000A"/>
            </w:tcBorders>
            <w:vAlign w:val="center"/>
            <w:hideMark/>
          </w:tcPr>
          <w:p w14:paraId="5C7148C0" w14:textId="77777777" w:rsidR="00193B55" w:rsidRPr="007E1FB5" w:rsidRDefault="00193B55" w:rsidP="000D3A51">
            <w:pPr>
              <w:pStyle w:val="Tablehead"/>
              <w:keepLines/>
              <w:rPr>
                <w:rFonts w:eastAsiaTheme="minorEastAsia"/>
                <w:lang w:val="es-ES_tradnl"/>
              </w:rPr>
            </w:pPr>
            <w:r w:rsidRPr="007E1FB5">
              <w:rPr>
                <w:rFonts w:eastAsiaTheme="minorEastAsia"/>
                <w:lang w:val="es-ES_tradnl"/>
              </w:rPr>
              <w:t>Cambios previstos</w:t>
            </w:r>
          </w:p>
        </w:tc>
        <w:tc>
          <w:tcPr>
            <w:tcW w:w="1119" w:type="dxa"/>
            <w:tcBorders>
              <w:top w:val="single" w:sz="4" w:space="0" w:color="00000A"/>
              <w:left w:val="single" w:sz="4" w:space="0" w:color="00000A"/>
              <w:bottom w:val="single" w:sz="4" w:space="0" w:color="00000A"/>
              <w:right w:val="single" w:sz="4" w:space="0" w:color="00000A"/>
            </w:tcBorders>
            <w:vAlign w:val="center"/>
            <w:hideMark/>
          </w:tcPr>
          <w:p w14:paraId="0100C772" w14:textId="77777777" w:rsidR="00193B55" w:rsidRPr="007E1FB5" w:rsidRDefault="00193B55" w:rsidP="000D3A51">
            <w:pPr>
              <w:pStyle w:val="Tablehead"/>
              <w:keepLines/>
              <w:rPr>
                <w:rFonts w:eastAsiaTheme="minorEastAsia"/>
                <w:lang w:val="es-ES_tradnl"/>
              </w:rPr>
            </w:pPr>
            <w:r w:rsidRPr="007E1FB5">
              <w:rPr>
                <w:rFonts w:eastAsiaTheme="minorEastAsia"/>
                <w:lang w:val="es-ES_tradnl"/>
              </w:rPr>
              <w:t>Notas</w:t>
            </w:r>
          </w:p>
        </w:tc>
      </w:tr>
      <w:tr w:rsidR="00193B55" w:rsidRPr="007E1FB5" w14:paraId="6A67BA89" w14:textId="77777777" w:rsidTr="003D49C3">
        <w:trPr>
          <w:trHeight w:val="420"/>
          <w:jc w:val="center"/>
        </w:trPr>
        <w:tc>
          <w:tcPr>
            <w:tcW w:w="208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49FB5DE" w14:textId="77777777" w:rsidR="00193B55" w:rsidRPr="007E1FB5" w:rsidRDefault="00193B55" w:rsidP="000D3A51">
            <w:pPr>
              <w:pStyle w:val="Tabletext"/>
              <w:keepLines/>
              <w:rPr>
                <w:rFonts w:eastAsiaTheme="minorEastAsia"/>
                <w:b/>
                <w:bCs/>
                <w:lang w:val="es-ES_tradnl"/>
              </w:rPr>
            </w:pPr>
            <w:r w:rsidRPr="007E1FB5">
              <w:rPr>
                <w:rFonts w:eastAsiaTheme="minorEastAsia"/>
                <w:lang w:val="es-ES_tradnl"/>
              </w:rPr>
              <w:t>915-921 MHz</w:t>
            </w:r>
          </w:p>
        </w:tc>
        <w:tc>
          <w:tcPr>
            <w:tcW w:w="266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E10CDEA" w14:textId="77777777" w:rsidR="00193B55" w:rsidRPr="007E1FB5" w:rsidRDefault="00193B55" w:rsidP="000D3A51">
            <w:pPr>
              <w:pStyle w:val="Tabletext"/>
              <w:keepLines/>
              <w:jc w:val="left"/>
              <w:rPr>
                <w:rFonts w:eastAsiaTheme="minorEastAsia"/>
                <w:lang w:val="es-ES_tradnl"/>
              </w:rPr>
            </w:pPr>
            <w:r w:rsidRPr="007E1FB5">
              <w:rPr>
                <w:rFonts w:eastAsiaTheme="minorEastAsia"/>
                <w:lang w:val="es-ES_tradnl"/>
              </w:rPr>
              <w:t>SRNA</w:t>
            </w:r>
          </w:p>
          <w:p w14:paraId="15B87E69" w14:textId="77777777" w:rsidR="00193B55" w:rsidRPr="007E1FB5" w:rsidRDefault="00193B55" w:rsidP="000D3A51">
            <w:pPr>
              <w:pStyle w:val="Tabletext"/>
              <w:keepLines/>
              <w:jc w:val="left"/>
              <w:rPr>
                <w:rFonts w:eastAsiaTheme="minorEastAsia"/>
                <w:lang w:val="es-ES_tradnl"/>
              </w:rPr>
            </w:pPr>
            <w:r w:rsidRPr="007E1FB5">
              <w:rPr>
                <w:rFonts w:eastAsiaTheme="minorEastAsia"/>
                <w:lang w:val="es-ES_tradnl"/>
              </w:rPr>
              <w:t>Servicio de operaciones espaciales con fines de telemedida, seguimiento y telemando.</w:t>
            </w:r>
          </w:p>
          <w:p w14:paraId="61D64FB2" w14:textId="77777777" w:rsidR="00193B55" w:rsidRPr="00193B55" w:rsidRDefault="00193B55" w:rsidP="000D3A51">
            <w:pPr>
              <w:pStyle w:val="Tabletext"/>
              <w:keepLines/>
              <w:jc w:val="left"/>
              <w:rPr>
                <w:rFonts w:eastAsiaTheme="minorEastAsia"/>
                <w:lang w:val="pt-PT"/>
              </w:rPr>
            </w:pPr>
            <w:r w:rsidRPr="00193B55">
              <w:rPr>
                <w:rFonts w:eastAsiaTheme="minorEastAsia"/>
                <w:lang w:val="pt-PT"/>
              </w:rPr>
              <w:t>Móvil, salvo móvil aeronáutico, a título secundario.</w:t>
            </w:r>
          </w:p>
          <w:p w14:paraId="75BC396D" w14:textId="77777777" w:rsidR="00193B55" w:rsidRPr="007E1FB5" w:rsidRDefault="00193B55" w:rsidP="000D3A51">
            <w:pPr>
              <w:pStyle w:val="Tabletext"/>
              <w:keepLines/>
              <w:jc w:val="left"/>
              <w:rPr>
                <w:rFonts w:eastAsiaTheme="minorEastAsia"/>
                <w:b/>
                <w:bCs/>
                <w:lang w:val="es-ES_tradnl"/>
              </w:rPr>
            </w:pPr>
            <w:r w:rsidRPr="007E1FB5">
              <w:rPr>
                <w:rFonts w:eastAsiaTheme="minorEastAsia"/>
                <w:lang w:val="es-ES_tradnl"/>
              </w:rPr>
              <w:t>RFID</w:t>
            </w:r>
          </w:p>
        </w:tc>
        <w:tc>
          <w:tcPr>
            <w:tcW w:w="209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0F3FBAA" w14:textId="77777777" w:rsidR="00193B55" w:rsidRPr="007E1FB5" w:rsidRDefault="00193B55" w:rsidP="000D3A51">
            <w:pPr>
              <w:pStyle w:val="Tabletext"/>
              <w:keepLines/>
              <w:jc w:val="left"/>
              <w:rPr>
                <w:rFonts w:eastAsiaTheme="minorEastAsia"/>
                <w:lang w:val="es-ES_tradnl"/>
              </w:rPr>
            </w:pPr>
            <w:r w:rsidRPr="007E1FB5">
              <w:rPr>
                <w:rFonts w:eastAsiaTheme="minorEastAsia"/>
                <w:lang w:val="es-ES_tradnl"/>
              </w:rPr>
              <w:t>El SRNA funciona a título primario.</w:t>
            </w:r>
          </w:p>
        </w:tc>
        <w:tc>
          <w:tcPr>
            <w:tcW w:w="167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B0A8658" w14:textId="77777777" w:rsidR="00193B55" w:rsidRPr="007E1FB5" w:rsidRDefault="00193B55" w:rsidP="000D3A51">
            <w:pPr>
              <w:pStyle w:val="Tabletext"/>
              <w:keepLines/>
              <w:jc w:val="left"/>
              <w:rPr>
                <w:rFonts w:eastAsiaTheme="minorEastAsia"/>
                <w:b/>
                <w:bCs/>
                <w:lang w:val="es-ES_tradnl"/>
              </w:rPr>
            </w:pPr>
            <w:r w:rsidRPr="007E1FB5">
              <w:rPr>
                <w:rFonts w:eastAsiaTheme="minorEastAsia"/>
                <w:lang w:val="es-ES_tradnl"/>
              </w:rPr>
              <w:t>Desaparición del SRNA una vez concluido el periodo de amortización y despliegue del mismo servicio en otras bandas.</w:t>
            </w:r>
          </w:p>
        </w:tc>
        <w:tc>
          <w:tcPr>
            <w:tcW w:w="111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DD0B2CA" w14:textId="77777777" w:rsidR="00193B55" w:rsidRPr="007E1FB5" w:rsidRDefault="00193B55" w:rsidP="000D3A51">
            <w:pPr>
              <w:pStyle w:val="Tabletext"/>
              <w:keepLines/>
              <w:rPr>
                <w:rFonts w:eastAsiaTheme="minorEastAsia"/>
                <w:b/>
                <w:bCs/>
                <w:lang w:val="es-ES_tradnl"/>
              </w:rPr>
            </w:pPr>
          </w:p>
        </w:tc>
      </w:tr>
    </w:tbl>
    <w:p w14:paraId="286BFABA" w14:textId="05C9B164" w:rsidR="00193B55" w:rsidRPr="007E1FB5" w:rsidRDefault="00193B55" w:rsidP="00193B55">
      <w:pPr>
        <w:rPr>
          <w:rFonts w:eastAsiaTheme="minorEastAsia"/>
          <w:lang w:val="es-ES_tradnl"/>
        </w:rPr>
      </w:pPr>
      <w:r w:rsidRPr="007E1FB5">
        <w:rPr>
          <w:rFonts w:eastAsiaTheme="minorEastAsia"/>
          <w:lang w:val="es-ES_tradnl"/>
        </w:rPr>
        <w:t>A continuación</w:t>
      </w:r>
      <w:r w:rsidR="006B1DD9">
        <w:rPr>
          <w:rFonts w:eastAsiaTheme="minorEastAsia"/>
          <w:lang w:val="es-ES_tradnl"/>
        </w:rPr>
        <w:t>,</w:t>
      </w:r>
      <w:r w:rsidRPr="007E1FB5">
        <w:rPr>
          <w:rFonts w:eastAsiaTheme="minorEastAsia"/>
          <w:lang w:val="es-ES_tradnl"/>
        </w:rPr>
        <w:t xml:space="preserve"> se indican las fases de desarrollo del plan, así como los factores que cabe tener en cuenta. En el Anexo 2 de este capítulo se formula una metodología que puede utilizarse para elaborar un plan de utilización del espectro a largo plazo.</w:t>
      </w:r>
    </w:p>
    <w:p w14:paraId="517E8D0F" w14:textId="77777777" w:rsidR="00193B55" w:rsidRPr="007E1FB5" w:rsidRDefault="00193B55" w:rsidP="00193B55">
      <w:pPr>
        <w:pStyle w:val="Heading2"/>
        <w:rPr>
          <w:rFonts w:eastAsiaTheme="minorEastAsia"/>
          <w:lang w:val="es-ES_tradnl"/>
        </w:rPr>
      </w:pPr>
      <w:bookmarkStart w:id="34" w:name="_Toc34914259"/>
      <w:bookmarkStart w:id="35" w:name="_Toc34916949"/>
      <w:bookmarkStart w:id="36" w:name="_Toc184650232"/>
      <w:bookmarkStart w:id="37" w:name="_Toc184652787"/>
      <w:bookmarkStart w:id="38" w:name="_Toc184652834"/>
      <w:bookmarkStart w:id="39" w:name="_Toc216630145"/>
      <w:bookmarkStart w:id="40" w:name="_Toc216693426"/>
      <w:bookmarkStart w:id="41" w:name="_Toc217031132"/>
      <w:r w:rsidRPr="007E1FB5">
        <w:rPr>
          <w:rFonts w:eastAsiaTheme="minorEastAsia"/>
          <w:lang w:val="es-ES_tradnl"/>
        </w:rPr>
        <w:t>2.1</w:t>
      </w:r>
      <w:r w:rsidRPr="007E1FB5">
        <w:rPr>
          <w:rFonts w:eastAsiaTheme="minorEastAsia"/>
          <w:lang w:val="es-ES_tradnl"/>
        </w:rPr>
        <w:tab/>
        <w:t>Definición de necesidades de espectro</w:t>
      </w:r>
      <w:bookmarkEnd w:id="34"/>
      <w:bookmarkEnd w:id="35"/>
      <w:bookmarkEnd w:id="36"/>
      <w:bookmarkEnd w:id="37"/>
      <w:bookmarkEnd w:id="38"/>
      <w:bookmarkEnd w:id="39"/>
      <w:bookmarkEnd w:id="40"/>
      <w:bookmarkEnd w:id="41"/>
    </w:p>
    <w:p w14:paraId="7EF649F8" w14:textId="77777777" w:rsidR="00193B55" w:rsidRPr="007E1FB5" w:rsidRDefault="00193B55" w:rsidP="00193B55">
      <w:pPr>
        <w:rPr>
          <w:rFonts w:eastAsiaTheme="minorEastAsia"/>
          <w:lang w:val="es-ES_tradnl"/>
        </w:rPr>
      </w:pPr>
      <w:r w:rsidRPr="007E1FB5">
        <w:rPr>
          <w:rFonts w:eastAsiaTheme="minorEastAsia"/>
          <w:lang w:val="es-ES_tradnl"/>
        </w:rPr>
        <w:t>La definición de necesidades de espectro determina los futuros requisitos nacionales en la materia para todos los servicios radioeléctricos y los factores tecnológicos, económicos y de política (véase el Anexo 1 a este Capítulo), que pueden influir en la utilización de este recurso.</w:t>
      </w:r>
    </w:p>
    <w:p w14:paraId="4980A0E9" w14:textId="77777777" w:rsidR="00193B55" w:rsidRPr="007E1FB5" w:rsidRDefault="00193B55" w:rsidP="00193B55">
      <w:pPr>
        <w:rPr>
          <w:rFonts w:eastAsiaTheme="minorEastAsia"/>
          <w:lang w:val="es-ES_tradnl"/>
        </w:rPr>
      </w:pPr>
      <w:r w:rsidRPr="007E1FB5">
        <w:rPr>
          <w:rFonts w:eastAsiaTheme="minorEastAsia"/>
          <w:lang w:val="es-ES_tradnl"/>
        </w:rPr>
        <w:t>Las necesidades de espectro pueden definirse a partir de la evaluación de distintas hipótesis (véase el Capítulo 2). Tradicionalmente, las hipótesis relacionadas con la utilización del espectro se han evaluado de acuerdo con una serie de consultas a las partes interesadas, incluidas las organizaciones nacionales de planificación del espectro de departamentos o agencias gubernamentales, así como de solicitudes a usuarios individuales y a la población en general.</w:t>
      </w:r>
    </w:p>
    <w:p w14:paraId="66A9E12F" w14:textId="77777777" w:rsidR="00193B55" w:rsidRPr="007E1FB5" w:rsidRDefault="00193B55" w:rsidP="00193B55">
      <w:pPr>
        <w:rPr>
          <w:rFonts w:eastAsiaTheme="minorEastAsia"/>
          <w:lang w:val="es-ES_tradnl"/>
        </w:rPr>
      </w:pPr>
      <w:r w:rsidRPr="007E1FB5">
        <w:rPr>
          <w:rFonts w:eastAsiaTheme="minorEastAsia"/>
          <w:lang w:val="es-ES_tradnl"/>
        </w:rPr>
        <w:t>Recientemente, se han tomado medidas para efectuar evaluaciones de hipótesis basadas en técnicas de elaboración de modelos analíticos (véase el Capítulo 2, aplicable asimismo a las fases de disponibilidad de espectro y opciones de planificación de espectro).</w:t>
      </w:r>
    </w:p>
    <w:p w14:paraId="1E30C069" w14:textId="77777777" w:rsidR="00193B55" w:rsidRPr="007E1FB5" w:rsidRDefault="00193B55" w:rsidP="00193B55">
      <w:pPr>
        <w:pStyle w:val="Heading2"/>
        <w:rPr>
          <w:rFonts w:eastAsiaTheme="minorEastAsia"/>
          <w:lang w:val="es-ES_tradnl"/>
        </w:rPr>
      </w:pPr>
      <w:bookmarkStart w:id="42" w:name="_Toc34914260"/>
      <w:bookmarkStart w:id="43" w:name="_Toc34916950"/>
      <w:bookmarkStart w:id="44" w:name="_Toc184650233"/>
      <w:bookmarkStart w:id="45" w:name="_Toc184652788"/>
      <w:bookmarkStart w:id="46" w:name="_Toc184652835"/>
      <w:bookmarkStart w:id="47" w:name="_Toc216630146"/>
      <w:bookmarkStart w:id="48" w:name="_Toc216693427"/>
      <w:bookmarkStart w:id="49" w:name="_Toc217031133"/>
      <w:r w:rsidRPr="007E1FB5">
        <w:rPr>
          <w:rFonts w:eastAsiaTheme="minorEastAsia"/>
          <w:lang w:val="es-ES_tradnl"/>
        </w:rPr>
        <w:t>2.2</w:t>
      </w:r>
      <w:r w:rsidRPr="007E1FB5">
        <w:rPr>
          <w:rFonts w:eastAsiaTheme="minorEastAsia"/>
          <w:lang w:val="es-ES_tradnl"/>
        </w:rPr>
        <w:tab/>
        <w:t>Disponibilidad de espectro</w:t>
      </w:r>
      <w:bookmarkEnd w:id="42"/>
      <w:bookmarkEnd w:id="43"/>
      <w:bookmarkEnd w:id="44"/>
      <w:bookmarkEnd w:id="45"/>
      <w:bookmarkEnd w:id="46"/>
      <w:bookmarkEnd w:id="47"/>
      <w:bookmarkEnd w:id="48"/>
      <w:bookmarkEnd w:id="49"/>
    </w:p>
    <w:p w14:paraId="4F524B0B" w14:textId="77777777" w:rsidR="00193B55" w:rsidRPr="007E1FB5" w:rsidRDefault="00193B55" w:rsidP="00193B55">
      <w:pPr>
        <w:rPr>
          <w:rFonts w:eastAsiaTheme="minorEastAsia"/>
          <w:lang w:val="es-ES_tradnl"/>
        </w:rPr>
      </w:pPr>
      <w:r w:rsidRPr="007E1FB5">
        <w:rPr>
          <w:rFonts w:eastAsiaTheme="minorEastAsia"/>
          <w:lang w:val="es-ES_tradnl"/>
        </w:rPr>
        <w:t>El objetivo de esta fase es evaluar la disponibilidad de espectro en todos los servicios nacionales de radiocomunicaciones y dar cabida a las necesidades de espectro identificadas en la fase de definición de necesidades. Las aportaciones emanan principalmente de las propias administraciones, pero también pueden proceder de la lista internacional de frecuencias de la UIT, de los Planes de atribución de frecuencias de la UIT y de cualquier estudio de planificación regional del espectro existente.</w:t>
      </w:r>
    </w:p>
    <w:p w14:paraId="2315C91A" w14:textId="77777777" w:rsidR="00193B55" w:rsidRPr="007E1FB5" w:rsidRDefault="00193B55" w:rsidP="00193B55">
      <w:pPr>
        <w:pStyle w:val="Heading2"/>
        <w:rPr>
          <w:rFonts w:eastAsiaTheme="minorEastAsia"/>
          <w:lang w:val="es-ES_tradnl"/>
        </w:rPr>
      </w:pPr>
      <w:bookmarkStart w:id="50" w:name="_Toc34914261"/>
      <w:bookmarkStart w:id="51" w:name="_Toc34916951"/>
      <w:bookmarkStart w:id="52" w:name="_Toc184650234"/>
      <w:bookmarkStart w:id="53" w:name="_Toc184652789"/>
      <w:bookmarkStart w:id="54" w:name="_Toc184652836"/>
      <w:bookmarkStart w:id="55" w:name="_Toc216630147"/>
      <w:bookmarkStart w:id="56" w:name="_Toc216693428"/>
      <w:bookmarkStart w:id="57" w:name="_Toc217031134"/>
      <w:r w:rsidRPr="007E1FB5">
        <w:rPr>
          <w:rFonts w:eastAsiaTheme="minorEastAsia"/>
          <w:lang w:val="es-ES_tradnl"/>
        </w:rPr>
        <w:t>2.3</w:t>
      </w:r>
      <w:r w:rsidRPr="007E1FB5">
        <w:rPr>
          <w:rFonts w:eastAsiaTheme="minorEastAsia"/>
          <w:lang w:val="es-ES_tradnl"/>
        </w:rPr>
        <w:tab/>
        <w:t>Opciones de planificación del espectro</w:t>
      </w:r>
      <w:bookmarkEnd w:id="50"/>
      <w:bookmarkEnd w:id="51"/>
      <w:bookmarkEnd w:id="52"/>
      <w:bookmarkEnd w:id="53"/>
      <w:bookmarkEnd w:id="54"/>
      <w:bookmarkEnd w:id="55"/>
      <w:bookmarkEnd w:id="56"/>
      <w:bookmarkEnd w:id="57"/>
    </w:p>
    <w:p w14:paraId="15D0B7B3" w14:textId="77777777" w:rsidR="00193B55" w:rsidRPr="007E1FB5" w:rsidRDefault="00193B55" w:rsidP="00193B55">
      <w:pPr>
        <w:rPr>
          <w:rFonts w:eastAsiaTheme="minorEastAsia"/>
          <w:lang w:val="es-ES_tradnl"/>
        </w:rPr>
      </w:pPr>
      <w:r w:rsidRPr="007E1FB5">
        <w:rPr>
          <w:rFonts w:eastAsiaTheme="minorEastAsia"/>
          <w:lang w:val="es-ES_tradnl"/>
        </w:rPr>
        <w:t xml:space="preserve">El objetivo de esta fase es formular opciones de planificación del espectro adecuadas para satisfacer necesidades de espectro en base a los datos obtenidos de las dos fases precedentes. Todo análisis encaminado a la formulación de opciones de espectro debería tener en cuenta los factores técnicos, económicos y de política. El análisis debería asimismo evaluar las diversas oportunidades para introducir servicios de acuerdo con las atribuciones y/o medios de radiocomunicaciones existentes y proyectados. Las Recomendaciones referentes a las necesidades de servicios que no pueden satisfacerse con las atribuciones nacionales en vigor se basarán en estos análisis y en todos los resultados disponible en materia de comprobación técnica del espectro. Se formulan las opciones de </w:t>
      </w:r>
      <w:r w:rsidRPr="007E1FB5">
        <w:rPr>
          <w:rFonts w:eastAsiaTheme="minorEastAsia"/>
          <w:lang w:val="es-ES_tradnl"/>
        </w:rPr>
        <w:lastRenderedPageBreak/>
        <w:t>atribución y se determinan los costos relativos de cualquier reatribución y/o movimiento del espectro existente.</w:t>
      </w:r>
    </w:p>
    <w:p w14:paraId="03240BEC" w14:textId="77777777" w:rsidR="00193B55" w:rsidRPr="007E1FB5" w:rsidRDefault="00193B55" w:rsidP="00193B55">
      <w:pPr>
        <w:pStyle w:val="Heading2"/>
        <w:rPr>
          <w:rFonts w:eastAsiaTheme="minorEastAsia"/>
          <w:lang w:val="es-ES_tradnl"/>
        </w:rPr>
      </w:pPr>
      <w:bookmarkStart w:id="58" w:name="_Toc34914262"/>
      <w:bookmarkStart w:id="59" w:name="_Toc34916952"/>
      <w:bookmarkStart w:id="60" w:name="_Toc184650235"/>
      <w:bookmarkStart w:id="61" w:name="_Toc184652790"/>
      <w:bookmarkStart w:id="62" w:name="_Toc184652837"/>
      <w:bookmarkStart w:id="63" w:name="_Toc216630148"/>
      <w:bookmarkStart w:id="64" w:name="_Toc216693429"/>
      <w:bookmarkStart w:id="65" w:name="_Toc217031135"/>
      <w:r w:rsidRPr="007E1FB5">
        <w:rPr>
          <w:rFonts w:eastAsiaTheme="minorEastAsia"/>
          <w:lang w:val="es-ES_tradnl"/>
        </w:rPr>
        <w:t>2.4</w:t>
      </w:r>
      <w:r w:rsidRPr="007E1FB5">
        <w:rPr>
          <w:rFonts w:eastAsiaTheme="minorEastAsia"/>
          <w:lang w:val="es-ES_tradnl"/>
        </w:rPr>
        <w:tab/>
        <w:t>Aplicación de la planificación del espectro</w:t>
      </w:r>
      <w:bookmarkEnd w:id="58"/>
      <w:bookmarkEnd w:id="59"/>
      <w:bookmarkEnd w:id="60"/>
      <w:bookmarkEnd w:id="61"/>
      <w:bookmarkEnd w:id="62"/>
      <w:bookmarkEnd w:id="63"/>
      <w:bookmarkEnd w:id="64"/>
      <w:bookmarkEnd w:id="65"/>
    </w:p>
    <w:p w14:paraId="18EA1190" w14:textId="77777777" w:rsidR="00193B55" w:rsidRPr="007E1FB5" w:rsidRDefault="00193B55" w:rsidP="00193B55">
      <w:pPr>
        <w:rPr>
          <w:rFonts w:eastAsiaTheme="minorEastAsia"/>
          <w:lang w:val="es-ES_tradnl"/>
        </w:rPr>
      </w:pPr>
      <w:r w:rsidRPr="007E1FB5">
        <w:rPr>
          <w:rFonts w:eastAsiaTheme="minorEastAsia"/>
          <w:lang w:val="es-ES_tradnl"/>
        </w:rPr>
        <w:t>Esta fase debería sentar las bases para la aplicación de diversas estrategias de planificación del espectro (véase el Capítulo 3) y podría considerarse como un proceso continuo. La introducción de nuevos servicios puede requerir cambios en los Cuadros nacionales de atribución de frecuencias y revisiones a los reglamentos nacionales y de la UIT. Las revisiones de las disposiciones reglamentarias internacionales se llevarían a cabo en Conferencias Mundiales de Radiocomunicaciones (CMR) de la UIT.</w:t>
      </w:r>
    </w:p>
    <w:p w14:paraId="66B076F6" w14:textId="77777777" w:rsidR="00193B55" w:rsidRPr="007E1FB5" w:rsidRDefault="00193B55" w:rsidP="00193B55">
      <w:pPr>
        <w:pStyle w:val="Heading2"/>
        <w:rPr>
          <w:rFonts w:eastAsiaTheme="minorEastAsia"/>
          <w:lang w:val="es-ES_tradnl"/>
        </w:rPr>
      </w:pPr>
      <w:bookmarkStart w:id="66" w:name="_Toc34914263"/>
      <w:bookmarkStart w:id="67" w:name="_Toc34916953"/>
      <w:bookmarkStart w:id="68" w:name="_Toc184650236"/>
      <w:bookmarkStart w:id="69" w:name="_Toc184652791"/>
      <w:bookmarkStart w:id="70" w:name="_Toc184652838"/>
      <w:bookmarkStart w:id="71" w:name="_Toc216630149"/>
      <w:bookmarkStart w:id="72" w:name="_Toc216693430"/>
      <w:bookmarkStart w:id="73" w:name="_Toc217031136"/>
      <w:r w:rsidRPr="007E1FB5">
        <w:rPr>
          <w:rFonts w:eastAsiaTheme="minorEastAsia"/>
          <w:lang w:val="es-ES_tradnl"/>
        </w:rPr>
        <w:t>2.5</w:t>
      </w:r>
      <w:r w:rsidRPr="007E1FB5">
        <w:rPr>
          <w:rFonts w:eastAsiaTheme="minorEastAsia"/>
          <w:lang w:val="es-ES_tradnl"/>
        </w:rPr>
        <w:tab/>
        <w:t>El proceso iterativo</w:t>
      </w:r>
      <w:bookmarkEnd w:id="66"/>
      <w:bookmarkEnd w:id="67"/>
      <w:bookmarkEnd w:id="68"/>
      <w:bookmarkEnd w:id="69"/>
      <w:bookmarkEnd w:id="70"/>
      <w:bookmarkEnd w:id="71"/>
      <w:bookmarkEnd w:id="72"/>
      <w:bookmarkEnd w:id="73"/>
    </w:p>
    <w:p w14:paraId="1AD0AE4F" w14:textId="77777777" w:rsidR="00193B55" w:rsidRPr="007E1FB5" w:rsidRDefault="00193B55" w:rsidP="00193B55">
      <w:pPr>
        <w:keepNext/>
        <w:keepLines/>
        <w:rPr>
          <w:rFonts w:eastAsiaTheme="minorEastAsia"/>
          <w:lang w:val="es-ES_tradnl"/>
        </w:rPr>
      </w:pPr>
      <w:r w:rsidRPr="007E1FB5">
        <w:rPr>
          <w:rFonts w:eastAsiaTheme="minorEastAsia"/>
          <w:lang w:val="es-ES_tradnl"/>
        </w:rPr>
        <w:t>Las decisiones previas pueden someterse a revisión periódicamente o activarse mediante eventos concretos y, si fuera necesario, modificarse con arreglo a información actualizada. Por consiguiente, el proceso de planificación es un proceso continuo de exploración y procesamiento de datos, en lugar de un proceso lineal.</w:t>
      </w:r>
    </w:p>
    <w:p w14:paraId="52BBD89A" w14:textId="77777777" w:rsidR="00193B55" w:rsidRPr="007E1FB5" w:rsidRDefault="00193B55" w:rsidP="00193B55">
      <w:pPr>
        <w:rPr>
          <w:rFonts w:eastAsiaTheme="minorEastAsia"/>
          <w:lang w:val="es-ES_tradnl"/>
        </w:rPr>
      </w:pPr>
      <w:r w:rsidRPr="007E1FB5">
        <w:rPr>
          <w:rFonts w:eastAsiaTheme="minorEastAsia"/>
          <w:lang w:val="es-ES_tradnl"/>
        </w:rPr>
        <w:t>Cabe la posibilidad de mantener un registro de todas las modificaciones para proporcionar un historial de la evolución del plan a largo plazo.</w:t>
      </w:r>
    </w:p>
    <w:p w14:paraId="0B7165DD" w14:textId="77777777" w:rsidR="00193B55" w:rsidRPr="007E1FB5" w:rsidRDefault="00193B55" w:rsidP="00193B55">
      <w:pPr>
        <w:pStyle w:val="Heading1"/>
        <w:rPr>
          <w:rFonts w:eastAsiaTheme="minorEastAsia"/>
          <w:lang w:val="es-ES_tradnl"/>
        </w:rPr>
      </w:pPr>
      <w:bookmarkStart w:id="74" w:name="_Toc34914264"/>
      <w:bookmarkStart w:id="75" w:name="_Toc34916954"/>
      <w:bookmarkStart w:id="76" w:name="_Toc184650237"/>
      <w:bookmarkStart w:id="77" w:name="_Toc184652792"/>
      <w:bookmarkStart w:id="78" w:name="_Toc184652839"/>
      <w:bookmarkStart w:id="79" w:name="_Toc216630150"/>
      <w:bookmarkStart w:id="80" w:name="_Toc216693431"/>
      <w:bookmarkStart w:id="81" w:name="_Toc217031137"/>
      <w:r w:rsidRPr="007E1FB5">
        <w:rPr>
          <w:rFonts w:eastAsiaTheme="minorEastAsia"/>
          <w:lang w:val="es-ES_tradnl"/>
        </w:rPr>
        <w:t>3</w:t>
      </w:r>
      <w:r w:rsidRPr="007E1FB5">
        <w:rPr>
          <w:rFonts w:eastAsiaTheme="minorEastAsia"/>
          <w:lang w:val="es-ES_tradnl"/>
        </w:rPr>
        <w:tab/>
      </w:r>
      <w:proofErr w:type="gramStart"/>
      <w:r w:rsidRPr="007E1FB5">
        <w:rPr>
          <w:rFonts w:eastAsiaTheme="minorEastAsia"/>
          <w:lang w:val="es-ES_tradnl"/>
        </w:rPr>
        <w:t>Entidad</w:t>
      </w:r>
      <w:proofErr w:type="gramEnd"/>
      <w:r w:rsidRPr="007E1FB5">
        <w:rPr>
          <w:rFonts w:eastAsiaTheme="minorEastAsia"/>
          <w:lang w:val="es-ES_tradnl"/>
        </w:rPr>
        <w:t xml:space="preserve"> administrativa o de gestión</w:t>
      </w:r>
      <w:bookmarkEnd w:id="74"/>
      <w:bookmarkEnd w:id="75"/>
      <w:bookmarkEnd w:id="76"/>
      <w:bookmarkEnd w:id="77"/>
      <w:bookmarkEnd w:id="78"/>
      <w:bookmarkEnd w:id="79"/>
      <w:bookmarkEnd w:id="80"/>
      <w:bookmarkEnd w:id="81"/>
    </w:p>
    <w:p w14:paraId="185D8191" w14:textId="77777777" w:rsidR="00193B55" w:rsidRPr="007E1FB5" w:rsidRDefault="00193B55" w:rsidP="00193B55">
      <w:pPr>
        <w:rPr>
          <w:rFonts w:eastAsiaTheme="minorEastAsia"/>
          <w:lang w:val="es-ES_tradnl"/>
        </w:rPr>
      </w:pPr>
      <w:r w:rsidRPr="007E1FB5">
        <w:rPr>
          <w:rFonts w:eastAsiaTheme="minorEastAsia"/>
          <w:lang w:val="es-ES_tradnl"/>
        </w:rPr>
        <w:t>Es necesario crear una entidad administrativa o de gestión que dirija y supervise la aplicación del programa de planificación del espectro, a fin de garantizar el tratamiento de los temas relacionados con las estrategias de utilización del espectro a largo plazo. Ello incluirá la implantación de un sistema de reconocimiento temprano en el marco de los procedimientos de planificación. No obstante, dicha entidad puede estar secundada por otras entidades especiales de planificación, tales como grupos de proyecto y grupos de tareas especiales.</w:t>
      </w:r>
    </w:p>
    <w:p w14:paraId="56404694" w14:textId="77777777" w:rsidR="00193B55" w:rsidRPr="007E1FB5" w:rsidRDefault="00193B55" w:rsidP="00193B55">
      <w:pPr>
        <w:rPr>
          <w:rFonts w:eastAsiaTheme="minorEastAsia"/>
          <w:lang w:val="es-ES_tradnl"/>
        </w:rPr>
      </w:pPr>
      <w:r w:rsidRPr="007E1FB5">
        <w:rPr>
          <w:rFonts w:eastAsiaTheme="minorEastAsia"/>
          <w:lang w:val="es-ES_tradnl"/>
        </w:rPr>
        <w:t>La planificación a largo plazo suele ser una tarea primordial a nivel de gestión que no puede ser delegada, debido a las consecuencias e importancia de las decisiones que se han de tomar. Estas entidades de planificación son responsables de:</w:t>
      </w:r>
    </w:p>
    <w:p w14:paraId="7AE090BA"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la formulación de políticas estratégicas detalladas y la resolución de problemas referentes a la conversión de políticas estratégicas en planes operativos;</w:t>
      </w:r>
    </w:p>
    <w:p w14:paraId="141D1E2B"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la atribución de los recursos humanos y financieros;</w:t>
      </w:r>
    </w:p>
    <w:p w14:paraId="3C1B0EFE"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el análisis estratégico de los procedimientos, resultados y necesidades en conjunción con la aplicación de las estrategias;</w:t>
      </w:r>
    </w:p>
    <w:p w14:paraId="751B0907"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las recomendaciones necesarias referentes a adaptaciones de los sistemas de organización y gestión; y</w:t>
      </w:r>
    </w:p>
    <w:p w14:paraId="29363AD2"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la actualización de los datos de planificación utilizados como base para la gestión de frecuencias.</w:t>
      </w:r>
    </w:p>
    <w:p w14:paraId="6595982C" w14:textId="77777777" w:rsidR="00193B55" w:rsidRPr="007E1FB5" w:rsidRDefault="00193B55" w:rsidP="00193B55">
      <w:pPr>
        <w:pStyle w:val="AnnexNoTitle"/>
        <w:rPr>
          <w:rFonts w:eastAsiaTheme="minorEastAsia"/>
          <w:bCs/>
          <w:lang w:val="es-ES_tradnl"/>
        </w:rPr>
      </w:pPr>
      <w:bookmarkStart w:id="82" w:name="_Toc34916955"/>
      <w:bookmarkStart w:id="83" w:name="_Toc184650238"/>
      <w:bookmarkStart w:id="84" w:name="_Toc216693432"/>
      <w:bookmarkStart w:id="85" w:name="_Toc217031138"/>
      <w:r w:rsidRPr="007E1FB5">
        <w:rPr>
          <w:rFonts w:eastAsiaTheme="minorEastAsia"/>
          <w:lang w:val="es-ES_tradnl"/>
        </w:rPr>
        <w:lastRenderedPageBreak/>
        <w:t>Anexo 1</w:t>
      </w:r>
      <w:r w:rsidRPr="007E1FB5">
        <w:rPr>
          <w:rFonts w:eastAsiaTheme="minorEastAsia"/>
          <w:lang w:val="es-ES_tradnl"/>
        </w:rPr>
        <w:br/>
        <w:t>al Capítulo 1</w:t>
      </w:r>
      <w:r w:rsidRPr="007E1FB5">
        <w:rPr>
          <w:rFonts w:eastAsiaTheme="minorEastAsia"/>
          <w:lang w:val="es-ES_tradnl"/>
        </w:rPr>
        <w:br/>
      </w:r>
      <w:r w:rsidRPr="007E1FB5">
        <w:rPr>
          <w:rFonts w:eastAsiaTheme="minorEastAsia"/>
          <w:lang w:val="es-ES_tradnl"/>
        </w:rPr>
        <w:br/>
      </w:r>
      <w:r w:rsidRPr="007E1FB5">
        <w:rPr>
          <w:rFonts w:eastAsiaTheme="minorEastAsia"/>
          <w:bCs/>
          <w:lang w:val="es-ES_tradnl"/>
        </w:rPr>
        <w:t>Factores de influencia</w:t>
      </w:r>
      <w:bookmarkEnd w:id="82"/>
      <w:bookmarkEnd w:id="83"/>
      <w:bookmarkEnd w:id="84"/>
      <w:bookmarkEnd w:id="85"/>
    </w:p>
    <w:p w14:paraId="36FBC5EC" w14:textId="77777777" w:rsidR="00193B55" w:rsidRPr="007E1FB5" w:rsidRDefault="00193B55" w:rsidP="00193B55">
      <w:pPr>
        <w:pStyle w:val="Normalaftertitle"/>
        <w:rPr>
          <w:rFonts w:eastAsiaTheme="minorEastAsia"/>
          <w:lang w:val="es-ES_tradnl"/>
        </w:rPr>
      </w:pPr>
      <w:r w:rsidRPr="007E1FB5">
        <w:rPr>
          <w:rFonts w:eastAsiaTheme="minorEastAsia"/>
          <w:lang w:val="es-ES_tradnl"/>
        </w:rPr>
        <w:t>A continuación, se indica la lista de factores de influencia que han de ser considerados en el proceso de planificación a largo plazo:</w:t>
      </w:r>
    </w:p>
    <w:p w14:paraId="73E4C4D3" w14:textId="77777777" w:rsidR="00193B55" w:rsidRPr="007E1FB5" w:rsidRDefault="00193B55" w:rsidP="00193B55">
      <w:pPr>
        <w:rPr>
          <w:rFonts w:eastAsiaTheme="minorEastAsia"/>
          <w:lang w:val="es-ES_tradnl"/>
        </w:rPr>
      </w:pPr>
      <w:bookmarkStart w:id="86" w:name="_Toc34914265"/>
      <w:r w:rsidRPr="007E1FB5">
        <w:rPr>
          <w:rFonts w:eastAsiaTheme="minorEastAsia"/>
          <w:lang w:val="es-ES_tradnl"/>
        </w:rPr>
        <w:t>1</w:t>
      </w:r>
      <w:r w:rsidRPr="007E1FB5">
        <w:rPr>
          <w:rFonts w:eastAsiaTheme="minorEastAsia"/>
          <w:lang w:val="es-ES_tradnl"/>
        </w:rPr>
        <w:tab/>
      </w:r>
      <w:proofErr w:type="gramStart"/>
      <w:r w:rsidRPr="007E1FB5">
        <w:rPr>
          <w:rFonts w:eastAsiaTheme="minorEastAsia"/>
          <w:lang w:val="es-ES_tradnl"/>
        </w:rPr>
        <w:t>Factores</w:t>
      </w:r>
      <w:proofErr w:type="gramEnd"/>
      <w:r w:rsidRPr="007E1FB5">
        <w:rPr>
          <w:rFonts w:eastAsiaTheme="minorEastAsia"/>
          <w:lang w:val="es-ES_tradnl"/>
        </w:rPr>
        <w:t xml:space="preserve"> jurídicos y de política</w:t>
      </w:r>
      <w:bookmarkEnd w:id="86"/>
    </w:p>
    <w:p w14:paraId="2A5FC78B" w14:textId="77777777" w:rsidR="00193B55" w:rsidRPr="007E1FB5" w:rsidRDefault="00193B55" w:rsidP="00193B55">
      <w:pPr>
        <w:rPr>
          <w:rFonts w:eastAsiaTheme="minorEastAsia"/>
          <w:lang w:val="es-ES_tradnl"/>
        </w:rPr>
      </w:pPr>
      <w:r w:rsidRPr="007E1FB5">
        <w:rPr>
          <w:rFonts w:eastAsiaTheme="minorEastAsia"/>
          <w:lang w:val="es-ES_tradnl"/>
        </w:rPr>
        <w:t>1.1</w:t>
      </w:r>
      <w:r w:rsidRPr="007E1FB5">
        <w:rPr>
          <w:rFonts w:eastAsiaTheme="minorEastAsia"/>
          <w:lang w:val="es-ES_tradnl"/>
        </w:rPr>
        <w:tab/>
        <w:t>Factores reglamentarios</w:t>
      </w:r>
    </w:p>
    <w:p w14:paraId="3776E0C2" w14:textId="77777777" w:rsidR="00193B55" w:rsidRPr="007E1FB5" w:rsidRDefault="00193B55" w:rsidP="00193B55">
      <w:pPr>
        <w:rPr>
          <w:rFonts w:eastAsiaTheme="minorEastAsia"/>
          <w:lang w:val="es-ES_tradnl"/>
        </w:rPr>
      </w:pPr>
      <w:r w:rsidRPr="007E1FB5">
        <w:rPr>
          <w:rFonts w:eastAsiaTheme="minorEastAsia"/>
          <w:lang w:val="es-ES_tradnl"/>
        </w:rPr>
        <w:t>1.1.1</w:t>
      </w:r>
      <w:r w:rsidRPr="007E1FB5">
        <w:rPr>
          <w:rFonts w:eastAsiaTheme="minorEastAsia"/>
          <w:lang w:val="es-ES_tradnl"/>
        </w:rPr>
        <w:tab/>
        <w:t>Atribución Internacional de Frecuencias (UIT-R)</w:t>
      </w:r>
    </w:p>
    <w:p w14:paraId="66995455" w14:textId="77777777" w:rsidR="00193B55" w:rsidRPr="007E1FB5" w:rsidRDefault="00193B55" w:rsidP="00193B55">
      <w:pPr>
        <w:rPr>
          <w:rFonts w:eastAsiaTheme="minorEastAsia"/>
          <w:lang w:val="es-ES_tradnl"/>
        </w:rPr>
      </w:pPr>
      <w:r w:rsidRPr="007E1FB5">
        <w:rPr>
          <w:rFonts w:eastAsiaTheme="minorEastAsia"/>
          <w:lang w:val="es-ES_tradnl"/>
        </w:rPr>
        <w:t>1.1.2</w:t>
      </w:r>
      <w:r w:rsidRPr="007E1FB5">
        <w:rPr>
          <w:rFonts w:eastAsiaTheme="minorEastAsia"/>
          <w:lang w:val="es-ES_tradnl"/>
        </w:rPr>
        <w:tab/>
        <w:t>Entidades regionales de gestión de frecuencias</w:t>
      </w:r>
    </w:p>
    <w:p w14:paraId="23452343" w14:textId="77777777" w:rsidR="00193B55" w:rsidRPr="007E1FB5" w:rsidRDefault="00193B55" w:rsidP="00193B55">
      <w:pPr>
        <w:rPr>
          <w:rFonts w:eastAsiaTheme="minorEastAsia"/>
          <w:lang w:val="es-ES_tradnl"/>
        </w:rPr>
      </w:pPr>
      <w:r w:rsidRPr="007E1FB5">
        <w:rPr>
          <w:rFonts w:eastAsiaTheme="minorEastAsia"/>
          <w:lang w:val="es-ES_tradnl"/>
        </w:rPr>
        <w:t>1.1.3</w:t>
      </w:r>
      <w:r w:rsidRPr="007E1FB5">
        <w:rPr>
          <w:rFonts w:eastAsiaTheme="minorEastAsia"/>
          <w:lang w:val="es-ES_tradnl"/>
        </w:rPr>
        <w:tab/>
        <w:t>Procedimiento nacional de atribución de frecuencias</w:t>
      </w:r>
    </w:p>
    <w:p w14:paraId="2E6687C6" w14:textId="77777777" w:rsidR="00193B55" w:rsidRPr="007E1FB5" w:rsidRDefault="00193B55" w:rsidP="00193B55">
      <w:pPr>
        <w:rPr>
          <w:rFonts w:eastAsiaTheme="minorEastAsia"/>
          <w:lang w:val="es-ES_tradnl"/>
        </w:rPr>
      </w:pPr>
      <w:r w:rsidRPr="007E1FB5">
        <w:rPr>
          <w:rFonts w:eastAsiaTheme="minorEastAsia"/>
          <w:lang w:val="es-ES_tradnl"/>
        </w:rPr>
        <w:t>1.1.4</w:t>
      </w:r>
      <w:r w:rsidRPr="007E1FB5">
        <w:rPr>
          <w:rFonts w:eastAsiaTheme="minorEastAsia"/>
          <w:lang w:val="es-ES_tradnl"/>
        </w:rPr>
        <w:tab/>
        <w:t>Procedimientos de gestión de frecuencias de administraciones vecinas</w:t>
      </w:r>
    </w:p>
    <w:p w14:paraId="2E7386E1" w14:textId="77777777" w:rsidR="00193B55" w:rsidRPr="007E1FB5" w:rsidRDefault="00193B55" w:rsidP="00193B55">
      <w:pPr>
        <w:rPr>
          <w:rFonts w:eastAsiaTheme="minorEastAsia"/>
          <w:lang w:val="es-ES_tradnl"/>
        </w:rPr>
      </w:pPr>
      <w:r w:rsidRPr="007E1FB5">
        <w:rPr>
          <w:rFonts w:eastAsiaTheme="minorEastAsia"/>
          <w:lang w:val="es-ES_tradnl"/>
        </w:rPr>
        <w:t>1.1.5</w:t>
      </w:r>
      <w:r w:rsidRPr="007E1FB5">
        <w:rPr>
          <w:rFonts w:eastAsiaTheme="minorEastAsia"/>
          <w:lang w:val="es-ES_tradnl"/>
        </w:rPr>
        <w:tab/>
        <w:t>Política de normalización</w:t>
      </w:r>
    </w:p>
    <w:p w14:paraId="210A3850" w14:textId="77777777" w:rsidR="00193B55" w:rsidRPr="007E1FB5" w:rsidRDefault="00193B55" w:rsidP="00193B55">
      <w:pPr>
        <w:rPr>
          <w:rFonts w:eastAsiaTheme="minorEastAsia"/>
          <w:lang w:val="es-ES_tradnl"/>
        </w:rPr>
      </w:pPr>
      <w:r w:rsidRPr="007E1FB5">
        <w:rPr>
          <w:rFonts w:eastAsiaTheme="minorEastAsia"/>
          <w:lang w:val="es-ES_tradnl"/>
        </w:rPr>
        <w:t>1.1.6</w:t>
      </w:r>
      <w:r w:rsidRPr="007E1FB5">
        <w:rPr>
          <w:rFonts w:eastAsiaTheme="minorEastAsia"/>
          <w:lang w:val="es-ES_tradnl"/>
        </w:rPr>
        <w:tab/>
        <w:t>Factores infraestructurales de telecomunicaciones</w:t>
      </w:r>
    </w:p>
    <w:p w14:paraId="201F0EFC" w14:textId="77777777" w:rsidR="00193B55" w:rsidRPr="007E1FB5" w:rsidRDefault="00193B55" w:rsidP="00193B55">
      <w:pPr>
        <w:rPr>
          <w:rFonts w:eastAsiaTheme="minorEastAsia"/>
          <w:lang w:val="es-ES_tradnl"/>
        </w:rPr>
      </w:pPr>
      <w:r w:rsidRPr="007E1FB5">
        <w:rPr>
          <w:rFonts w:eastAsiaTheme="minorEastAsia"/>
          <w:lang w:val="es-ES_tradnl"/>
        </w:rPr>
        <w:t>1.2</w:t>
      </w:r>
      <w:r w:rsidRPr="007E1FB5">
        <w:rPr>
          <w:rFonts w:eastAsiaTheme="minorEastAsia"/>
          <w:lang w:val="es-ES_tradnl"/>
        </w:rPr>
        <w:tab/>
        <w:t>Factores industriales</w:t>
      </w:r>
    </w:p>
    <w:p w14:paraId="628E9CAE" w14:textId="77777777" w:rsidR="00193B55" w:rsidRPr="007E1FB5" w:rsidRDefault="00193B55" w:rsidP="00193B55">
      <w:pPr>
        <w:rPr>
          <w:rFonts w:eastAsiaTheme="minorEastAsia"/>
          <w:lang w:val="es-ES_tradnl"/>
        </w:rPr>
      </w:pPr>
      <w:bookmarkStart w:id="87" w:name="_Toc34914266"/>
      <w:r w:rsidRPr="007E1FB5">
        <w:rPr>
          <w:rFonts w:eastAsiaTheme="minorEastAsia"/>
          <w:lang w:val="es-ES_tradnl"/>
        </w:rPr>
        <w:t>2</w:t>
      </w:r>
      <w:r w:rsidRPr="007E1FB5">
        <w:rPr>
          <w:rFonts w:eastAsiaTheme="minorEastAsia"/>
          <w:lang w:val="es-ES_tradnl"/>
        </w:rPr>
        <w:tab/>
      </w:r>
      <w:proofErr w:type="gramStart"/>
      <w:r w:rsidRPr="007E1FB5">
        <w:rPr>
          <w:rFonts w:eastAsiaTheme="minorEastAsia"/>
          <w:lang w:val="es-ES_tradnl"/>
        </w:rPr>
        <w:t>Factores</w:t>
      </w:r>
      <w:proofErr w:type="gramEnd"/>
      <w:r w:rsidRPr="007E1FB5">
        <w:rPr>
          <w:rFonts w:eastAsiaTheme="minorEastAsia"/>
          <w:lang w:val="es-ES_tradnl"/>
        </w:rPr>
        <w:t xml:space="preserve"> económicos</w:t>
      </w:r>
      <w:bookmarkEnd w:id="87"/>
    </w:p>
    <w:p w14:paraId="141DB5D3" w14:textId="77777777" w:rsidR="00193B55" w:rsidRPr="007E1FB5" w:rsidRDefault="00193B55" w:rsidP="00193B55">
      <w:pPr>
        <w:rPr>
          <w:rFonts w:eastAsiaTheme="minorEastAsia"/>
          <w:lang w:val="es-ES_tradnl"/>
        </w:rPr>
      </w:pPr>
      <w:r w:rsidRPr="007E1FB5">
        <w:rPr>
          <w:rFonts w:eastAsiaTheme="minorEastAsia"/>
          <w:lang w:val="es-ES_tradnl"/>
        </w:rPr>
        <w:t>2.1</w:t>
      </w:r>
      <w:r w:rsidRPr="007E1FB5">
        <w:rPr>
          <w:rFonts w:eastAsiaTheme="minorEastAsia"/>
          <w:lang w:val="es-ES_tradnl"/>
        </w:rPr>
        <w:tab/>
        <w:t>Movilidad del usuario</w:t>
      </w:r>
    </w:p>
    <w:p w14:paraId="52D527BC" w14:textId="77777777" w:rsidR="00193B55" w:rsidRPr="007E1FB5" w:rsidRDefault="00193B55" w:rsidP="00193B55">
      <w:pPr>
        <w:rPr>
          <w:rFonts w:eastAsiaTheme="minorEastAsia"/>
          <w:lang w:val="es-ES_tradnl"/>
        </w:rPr>
      </w:pPr>
      <w:r w:rsidRPr="007E1FB5">
        <w:rPr>
          <w:rFonts w:eastAsiaTheme="minorEastAsia"/>
          <w:lang w:val="es-ES_tradnl"/>
        </w:rPr>
        <w:t>2.2</w:t>
      </w:r>
      <w:r w:rsidRPr="007E1FB5">
        <w:rPr>
          <w:rFonts w:eastAsiaTheme="minorEastAsia"/>
          <w:lang w:val="es-ES_tradnl"/>
        </w:rPr>
        <w:tab/>
        <w:t>Mundialización</w:t>
      </w:r>
    </w:p>
    <w:p w14:paraId="56622718" w14:textId="77777777" w:rsidR="00193B55" w:rsidRPr="007E1FB5" w:rsidRDefault="00193B55" w:rsidP="00193B55">
      <w:pPr>
        <w:rPr>
          <w:rFonts w:eastAsiaTheme="minorEastAsia"/>
          <w:lang w:val="es-ES_tradnl"/>
        </w:rPr>
      </w:pPr>
      <w:r w:rsidRPr="007E1FB5">
        <w:rPr>
          <w:rFonts w:eastAsiaTheme="minorEastAsia"/>
          <w:lang w:val="es-ES_tradnl"/>
        </w:rPr>
        <w:t>2.3</w:t>
      </w:r>
      <w:r w:rsidRPr="007E1FB5">
        <w:rPr>
          <w:rFonts w:eastAsiaTheme="minorEastAsia"/>
          <w:lang w:val="es-ES_tradnl"/>
        </w:rPr>
        <w:tab/>
        <w:t>Desarrollo económico general</w:t>
      </w:r>
    </w:p>
    <w:p w14:paraId="0E82AEB8" w14:textId="77777777" w:rsidR="00193B55" w:rsidRPr="007E1FB5" w:rsidRDefault="00193B55" w:rsidP="00193B55">
      <w:pPr>
        <w:rPr>
          <w:rFonts w:eastAsiaTheme="minorEastAsia"/>
          <w:lang w:val="es-ES_tradnl"/>
        </w:rPr>
      </w:pPr>
      <w:r w:rsidRPr="007E1FB5">
        <w:rPr>
          <w:rFonts w:eastAsiaTheme="minorEastAsia"/>
          <w:lang w:val="es-ES_tradnl"/>
        </w:rPr>
        <w:t>2.4</w:t>
      </w:r>
      <w:r w:rsidRPr="007E1FB5">
        <w:rPr>
          <w:rFonts w:eastAsiaTheme="minorEastAsia"/>
          <w:lang w:val="es-ES_tradnl"/>
        </w:rPr>
        <w:tab/>
        <w:t>Factores de mercado</w:t>
      </w:r>
    </w:p>
    <w:p w14:paraId="46758B01" w14:textId="77777777" w:rsidR="00193B55" w:rsidRPr="007E1FB5" w:rsidRDefault="00193B55" w:rsidP="00193B55">
      <w:pPr>
        <w:rPr>
          <w:rFonts w:eastAsiaTheme="minorEastAsia"/>
          <w:lang w:val="es-ES_tradnl"/>
        </w:rPr>
      </w:pPr>
      <w:r w:rsidRPr="007E1FB5">
        <w:rPr>
          <w:rFonts w:eastAsiaTheme="minorEastAsia"/>
          <w:lang w:val="es-ES_tradnl"/>
        </w:rPr>
        <w:t>2.4.1</w:t>
      </w:r>
      <w:r w:rsidRPr="007E1FB5">
        <w:rPr>
          <w:rFonts w:eastAsiaTheme="minorEastAsia"/>
          <w:lang w:val="es-ES_tradnl"/>
        </w:rPr>
        <w:tab/>
        <w:t>Estructura de precios y tarifas para equipos y servicios</w:t>
      </w:r>
    </w:p>
    <w:p w14:paraId="26628E1D" w14:textId="77777777" w:rsidR="00193B55" w:rsidRPr="007E1FB5" w:rsidRDefault="00193B55" w:rsidP="00193B55">
      <w:pPr>
        <w:rPr>
          <w:rFonts w:eastAsiaTheme="minorEastAsia"/>
          <w:lang w:val="es-ES_tradnl"/>
        </w:rPr>
      </w:pPr>
      <w:r w:rsidRPr="007E1FB5">
        <w:rPr>
          <w:rFonts w:eastAsiaTheme="minorEastAsia"/>
          <w:lang w:val="es-ES_tradnl"/>
        </w:rPr>
        <w:t>2.4.2</w:t>
      </w:r>
      <w:r w:rsidRPr="007E1FB5">
        <w:rPr>
          <w:rFonts w:eastAsiaTheme="minorEastAsia"/>
          <w:lang w:val="es-ES_tradnl"/>
        </w:rPr>
        <w:tab/>
        <w:t>Necesidades de mercado y factores de comercialización</w:t>
      </w:r>
    </w:p>
    <w:p w14:paraId="2DF2C5D4" w14:textId="77777777" w:rsidR="00193B55" w:rsidRPr="007E1FB5" w:rsidRDefault="00193B55" w:rsidP="00193B55">
      <w:pPr>
        <w:rPr>
          <w:rFonts w:eastAsiaTheme="minorEastAsia"/>
          <w:lang w:val="es-ES_tradnl"/>
        </w:rPr>
      </w:pPr>
      <w:r w:rsidRPr="007E1FB5">
        <w:rPr>
          <w:rFonts w:eastAsiaTheme="minorEastAsia"/>
          <w:lang w:val="es-ES_tradnl"/>
        </w:rPr>
        <w:t>2.4.3</w:t>
      </w:r>
      <w:r w:rsidRPr="007E1FB5">
        <w:rPr>
          <w:rFonts w:eastAsiaTheme="minorEastAsia"/>
          <w:lang w:val="es-ES_tradnl"/>
        </w:rPr>
        <w:tab/>
        <w:t>Procedimientos y prácticas utilizadas por proveedores de servicios</w:t>
      </w:r>
    </w:p>
    <w:p w14:paraId="559C20F1" w14:textId="77777777" w:rsidR="00193B55" w:rsidRPr="007E1FB5" w:rsidRDefault="00193B55" w:rsidP="00193B55">
      <w:pPr>
        <w:rPr>
          <w:rFonts w:eastAsiaTheme="minorEastAsia"/>
          <w:lang w:val="es-ES_tradnl"/>
        </w:rPr>
      </w:pPr>
      <w:r w:rsidRPr="007E1FB5">
        <w:rPr>
          <w:rFonts w:eastAsiaTheme="minorEastAsia"/>
          <w:lang w:val="es-ES_tradnl"/>
        </w:rPr>
        <w:t>2.4.4</w:t>
      </w:r>
      <w:r w:rsidRPr="007E1FB5">
        <w:rPr>
          <w:rFonts w:eastAsiaTheme="minorEastAsia"/>
          <w:lang w:val="es-ES_tradnl"/>
        </w:rPr>
        <w:tab/>
        <w:t>Subasta del espectro</w:t>
      </w:r>
    </w:p>
    <w:p w14:paraId="61A8AFF7" w14:textId="64BBB834" w:rsidR="00193B55" w:rsidRPr="007E1FB5" w:rsidRDefault="00193B55" w:rsidP="0047664D">
      <w:pPr>
        <w:ind w:left="794" w:hanging="794"/>
        <w:rPr>
          <w:rFonts w:eastAsiaTheme="minorEastAsia"/>
          <w:lang w:val="es-ES_tradnl"/>
        </w:rPr>
      </w:pPr>
      <w:r w:rsidRPr="007E1FB5">
        <w:rPr>
          <w:rFonts w:eastAsiaTheme="minorEastAsia"/>
          <w:lang w:val="es-ES_tradnl"/>
        </w:rPr>
        <w:t>2.5</w:t>
      </w:r>
      <w:r w:rsidRPr="007E1FB5">
        <w:rPr>
          <w:rFonts w:eastAsiaTheme="minorEastAsia"/>
          <w:lang w:val="es-ES_tradnl"/>
        </w:rPr>
        <w:tab/>
        <w:t>Las repercusiones de los nuevos servicios</w:t>
      </w:r>
      <w:r w:rsidR="006E6FBB">
        <w:rPr>
          <w:rFonts w:eastAsiaTheme="minorEastAsia"/>
          <w:lang w:val="es-ES_tradnl"/>
        </w:rPr>
        <w:t>, los avances tecnológicos y la evolución de los requisitos de usuario</w:t>
      </w:r>
    </w:p>
    <w:p w14:paraId="1F737E95" w14:textId="77777777" w:rsidR="00193B55" w:rsidRPr="007E1FB5" w:rsidRDefault="00193B55" w:rsidP="00193B55">
      <w:pPr>
        <w:rPr>
          <w:rFonts w:eastAsiaTheme="minorEastAsia"/>
          <w:lang w:val="es-ES_tradnl"/>
        </w:rPr>
      </w:pPr>
      <w:bookmarkStart w:id="88" w:name="_Toc34914267"/>
      <w:r w:rsidRPr="007E1FB5">
        <w:rPr>
          <w:rFonts w:eastAsiaTheme="minorEastAsia"/>
          <w:lang w:val="es-ES_tradnl"/>
        </w:rPr>
        <w:t>3</w:t>
      </w:r>
      <w:r w:rsidRPr="007E1FB5">
        <w:rPr>
          <w:rFonts w:eastAsiaTheme="minorEastAsia"/>
          <w:lang w:val="es-ES_tradnl"/>
        </w:rPr>
        <w:tab/>
      </w:r>
      <w:proofErr w:type="gramStart"/>
      <w:r w:rsidRPr="007E1FB5">
        <w:rPr>
          <w:rFonts w:eastAsiaTheme="minorEastAsia"/>
          <w:lang w:val="es-ES_tradnl"/>
        </w:rPr>
        <w:t>Factores</w:t>
      </w:r>
      <w:proofErr w:type="gramEnd"/>
      <w:r w:rsidRPr="007E1FB5">
        <w:rPr>
          <w:rFonts w:eastAsiaTheme="minorEastAsia"/>
          <w:lang w:val="es-ES_tradnl"/>
        </w:rPr>
        <w:t xml:space="preserve"> sociales</w:t>
      </w:r>
      <w:bookmarkEnd w:id="88"/>
    </w:p>
    <w:p w14:paraId="2CCBEA87" w14:textId="77777777" w:rsidR="00193B55" w:rsidRPr="007E1FB5" w:rsidRDefault="00193B55" w:rsidP="00193B55">
      <w:pPr>
        <w:rPr>
          <w:rFonts w:eastAsiaTheme="minorEastAsia"/>
          <w:lang w:val="es-ES_tradnl"/>
        </w:rPr>
      </w:pPr>
      <w:r w:rsidRPr="007E1FB5">
        <w:rPr>
          <w:rFonts w:eastAsiaTheme="minorEastAsia"/>
          <w:lang w:val="es-ES_tradnl"/>
        </w:rPr>
        <w:t>3.1</w:t>
      </w:r>
      <w:r w:rsidRPr="007E1FB5">
        <w:rPr>
          <w:rFonts w:eastAsiaTheme="minorEastAsia"/>
          <w:lang w:val="es-ES_tradnl"/>
        </w:rPr>
        <w:tab/>
        <w:t>Modificaciones de la demanda como resultado de los cambios en la estructura social</w:t>
      </w:r>
    </w:p>
    <w:p w14:paraId="25F11310" w14:textId="77777777" w:rsidR="00193B55" w:rsidRPr="007E1FB5" w:rsidRDefault="00193B55" w:rsidP="00193B55">
      <w:pPr>
        <w:ind w:left="794" w:hanging="794"/>
        <w:rPr>
          <w:rFonts w:eastAsiaTheme="minorEastAsia"/>
          <w:lang w:val="es-ES_tradnl"/>
        </w:rPr>
      </w:pPr>
      <w:r w:rsidRPr="007E1FB5">
        <w:rPr>
          <w:rFonts w:eastAsiaTheme="minorEastAsia"/>
          <w:lang w:val="es-ES_tradnl"/>
        </w:rPr>
        <w:t>3.2</w:t>
      </w:r>
      <w:r w:rsidRPr="007E1FB5">
        <w:rPr>
          <w:rFonts w:eastAsiaTheme="minorEastAsia"/>
          <w:lang w:val="es-ES_tradnl"/>
        </w:rPr>
        <w:tab/>
        <w:t>Modificaciones de la demanda como resultado de cambios en el horario de trabajo cotidiano y en la vida laboral</w:t>
      </w:r>
    </w:p>
    <w:p w14:paraId="2C75145F" w14:textId="77777777" w:rsidR="00193B55" w:rsidRPr="007E1FB5" w:rsidRDefault="00193B55" w:rsidP="00193B55">
      <w:pPr>
        <w:rPr>
          <w:rFonts w:eastAsiaTheme="minorEastAsia"/>
          <w:lang w:val="es-ES_tradnl"/>
        </w:rPr>
      </w:pPr>
      <w:r w:rsidRPr="007E1FB5">
        <w:rPr>
          <w:rFonts w:eastAsiaTheme="minorEastAsia"/>
          <w:lang w:val="es-ES_tradnl"/>
        </w:rPr>
        <w:t>3.3</w:t>
      </w:r>
      <w:r w:rsidRPr="007E1FB5">
        <w:rPr>
          <w:rFonts w:eastAsiaTheme="minorEastAsia"/>
          <w:lang w:val="es-ES_tradnl"/>
        </w:rPr>
        <w:tab/>
        <w:t>Seguridad pública</w:t>
      </w:r>
    </w:p>
    <w:p w14:paraId="229B45E6" w14:textId="77777777" w:rsidR="00193B55" w:rsidRPr="007E1FB5" w:rsidRDefault="00193B55" w:rsidP="00193B55">
      <w:pPr>
        <w:rPr>
          <w:rFonts w:eastAsiaTheme="minorEastAsia"/>
          <w:lang w:val="es-ES_tradnl"/>
        </w:rPr>
      </w:pPr>
      <w:r w:rsidRPr="007E1FB5">
        <w:rPr>
          <w:rFonts w:eastAsiaTheme="minorEastAsia"/>
          <w:lang w:val="es-ES_tradnl"/>
        </w:rPr>
        <w:t>3.4</w:t>
      </w:r>
      <w:r w:rsidRPr="007E1FB5">
        <w:rPr>
          <w:rFonts w:eastAsiaTheme="minorEastAsia"/>
          <w:lang w:val="es-ES_tradnl"/>
        </w:rPr>
        <w:tab/>
        <w:t>Aceptación pública de las aplicaciones de radiocomunicación</w:t>
      </w:r>
    </w:p>
    <w:p w14:paraId="39D543AC" w14:textId="77777777" w:rsidR="00193B55" w:rsidRPr="007E1FB5" w:rsidRDefault="00193B55" w:rsidP="00193B55">
      <w:pPr>
        <w:rPr>
          <w:rFonts w:eastAsiaTheme="minorEastAsia"/>
          <w:lang w:val="es-ES_tradnl"/>
        </w:rPr>
      </w:pPr>
      <w:bookmarkStart w:id="89" w:name="_Toc34914268"/>
      <w:r w:rsidRPr="007E1FB5">
        <w:rPr>
          <w:rFonts w:eastAsiaTheme="minorEastAsia"/>
          <w:lang w:val="es-ES_tradnl"/>
        </w:rPr>
        <w:t>4</w:t>
      </w:r>
      <w:r w:rsidRPr="007E1FB5">
        <w:rPr>
          <w:rFonts w:eastAsiaTheme="minorEastAsia"/>
          <w:lang w:val="es-ES_tradnl"/>
        </w:rPr>
        <w:tab/>
      </w:r>
      <w:proofErr w:type="gramStart"/>
      <w:r w:rsidRPr="007E1FB5">
        <w:rPr>
          <w:rFonts w:eastAsiaTheme="minorEastAsia"/>
          <w:lang w:val="es-ES_tradnl"/>
        </w:rPr>
        <w:t>Factores</w:t>
      </w:r>
      <w:proofErr w:type="gramEnd"/>
      <w:r w:rsidRPr="007E1FB5">
        <w:rPr>
          <w:rFonts w:eastAsiaTheme="minorEastAsia"/>
          <w:lang w:val="es-ES_tradnl"/>
        </w:rPr>
        <w:t xml:space="preserve"> ecológicos</w:t>
      </w:r>
      <w:bookmarkEnd w:id="89"/>
    </w:p>
    <w:p w14:paraId="45920363" w14:textId="77777777" w:rsidR="00193B55" w:rsidRPr="007E1FB5" w:rsidRDefault="00193B55" w:rsidP="00193B55">
      <w:pPr>
        <w:rPr>
          <w:rFonts w:eastAsiaTheme="minorEastAsia"/>
          <w:lang w:val="es-ES_tradnl"/>
        </w:rPr>
      </w:pPr>
      <w:r w:rsidRPr="007E1FB5">
        <w:rPr>
          <w:rFonts w:eastAsiaTheme="minorEastAsia"/>
          <w:lang w:val="es-ES_tradnl"/>
        </w:rPr>
        <w:t>4.1</w:t>
      </w:r>
      <w:r w:rsidRPr="007E1FB5">
        <w:rPr>
          <w:rFonts w:eastAsiaTheme="minorEastAsia"/>
          <w:lang w:val="es-ES_tradnl"/>
        </w:rPr>
        <w:tab/>
        <w:t>Contaminación electromagnética e interferencias de radiofrecuencias</w:t>
      </w:r>
    </w:p>
    <w:p w14:paraId="0D98C802" w14:textId="77777777" w:rsidR="00193B55" w:rsidRPr="007E1FB5" w:rsidRDefault="00193B55" w:rsidP="00193B55">
      <w:pPr>
        <w:ind w:left="794" w:hanging="794"/>
        <w:rPr>
          <w:rFonts w:eastAsiaTheme="minorEastAsia"/>
          <w:lang w:val="es-ES_tradnl"/>
        </w:rPr>
      </w:pPr>
      <w:r w:rsidRPr="007E1FB5">
        <w:rPr>
          <w:rFonts w:eastAsiaTheme="minorEastAsia"/>
          <w:lang w:val="es-ES_tradnl"/>
        </w:rPr>
        <w:t>4.2</w:t>
      </w:r>
      <w:r w:rsidRPr="007E1FB5">
        <w:rPr>
          <w:rFonts w:eastAsiaTheme="minorEastAsia"/>
          <w:lang w:val="es-ES_tradnl"/>
        </w:rPr>
        <w:tab/>
        <w:t>Desagrado público por grandes estructuras de antena y proliferación de sitios de emplazamiento</w:t>
      </w:r>
    </w:p>
    <w:p w14:paraId="393D9C70" w14:textId="77777777" w:rsidR="00193B55" w:rsidRDefault="00193B55" w:rsidP="00193B55">
      <w:pPr>
        <w:rPr>
          <w:rFonts w:eastAsiaTheme="minorEastAsia"/>
          <w:lang w:val="es-ES_tradnl"/>
        </w:rPr>
      </w:pPr>
      <w:r w:rsidRPr="007E1FB5">
        <w:rPr>
          <w:rFonts w:eastAsiaTheme="minorEastAsia"/>
          <w:lang w:val="es-ES_tradnl"/>
        </w:rPr>
        <w:t>4.3</w:t>
      </w:r>
      <w:r w:rsidRPr="007E1FB5">
        <w:rPr>
          <w:rFonts w:eastAsiaTheme="minorEastAsia"/>
          <w:lang w:val="es-ES_tradnl"/>
        </w:rPr>
        <w:tab/>
        <w:t>Residuos en el espacio</w:t>
      </w:r>
    </w:p>
    <w:p w14:paraId="2197E2C1" w14:textId="45FA7137" w:rsidR="006E6FBB" w:rsidRPr="007E1FB5" w:rsidRDefault="006E6FBB" w:rsidP="00193B55">
      <w:pPr>
        <w:rPr>
          <w:rFonts w:eastAsiaTheme="minorEastAsia"/>
          <w:lang w:val="es-ES_tradnl"/>
        </w:rPr>
      </w:pPr>
      <w:r>
        <w:rPr>
          <w:rFonts w:eastAsiaTheme="minorEastAsia"/>
          <w:lang w:val="es-ES_tradnl"/>
        </w:rPr>
        <w:lastRenderedPageBreak/>
        <w:t>4.4</w:t>
      </w:r>
      <w:r>
        <w:rPr>
          <w:rFonts w:eastAsiaTheme="minorEastAsia"/>
          <w:lang w:val="es-ES_tradnl"/>
        </w:rPr>
        <w:tab/>
        <w:t>Sostenibilidad</w:t>
      </w:r>
    </w:p>
    <w:p w14:paraId="0BA758DF" w14:textId="77777777" w:rsidR="00193B55" w:rsidRPr="007E1FB5" w:rsidRDefault="00193B55" w:rsidP="00193B55">
      <w:pPr>
        <w:rPr>
          <w:rFonts w:eastAsiaTheme="minorEastAsia"/>
          <w:lang w:val="es-ES_tradnl"/>
        </w:rPr>
      </w:pPr>
      <w:bookmarkStart w:id="90" w:name="_Toc34914269"/>
      <w:r w:rsidRPr="007E1FB5">
        <w:rPr>
          <w:rFonts w:eastAsiaTheme="minorEastAsia"/>
          <w:lang w:val="es-ES_tradnl"/>
        </w:rPr>
        <w:t>5</w:t>
      </w:r>
      <w:r w:rsidRPr="007E1FB5">
        <w:rPr>
          <w:rFonts w:eastAsiaTheme="minorEastAsia"/>
          <w:lang w:val="es-ES_tradnl"/>
        </w:rPr>
        <w:tab/>
      </w:r>
      <w:proofErr w:type="gramStart"/>
      <w:r w:rsidRPr="007E1FB5">
        <w:rPr>
          <w:rFonts w:eastAsiaTheme="minorEastAsia"/>
          <w:lang w:val="es-ES_tradnl"/>
        </w:rPr>
        <w:t>Factores</w:t>
      </w:r>
      <w:proofErr w:type="gramEnd"/>
      <w:r w:rsidRPr="007E1FB5">
        <w:rPr>
          <w:rFonts w:eastAsiaTheme="minorEastAsia"/>
          <w:lang w:val="es-ES_tradnl"/>
        </w:rPr>
        <w:t xml:space="preserve"> técnicos</w:t>
      </w:r>
      <w:bookmarkEnd w:id="90"/>
    </w:p>
    <w:p w14:paraId="2E0910DF" w14:textId="77777777" w:rsidR="00193B55" w:rsidRPr="007E1FB5" w:rsidRDefault="00193B55" w:rsidP="00193B55">
      <w:pPr>
        <w:rPr>
          <w:rFonts w:eastAsiaTheme="minorEastAsia"/>
          <w:lang w:val="es-ES_tradnl"/>
        </w:rPr>
      </w:pPr>
      <w:r w:rsidRPr="007E1FB5">
        <w:rPr>
          <w:rFonts w:eastAsiaTheme="minorEastAsia"/>
          <w:lang w:val="es-ES_tradnl"/>
        </w:rPr>
        <w:t>5.1</w:t>
      </w:r>
      <w:r w:rsidRPr="007E1FB5">
        <w:rPr>
          <w:rFonts w:eastAsiaTheme="minorEastAsia"/>
          <w:lang w:val="es-ES_tradnl"/>
        </w:rPr>
        <w:tab/>
        <w:t>Tecnologías básicas</w:t>
      </w:r>
    </w:p>
    <w:p w14:paraId="2CD8F4C8" w14:textId="77777777" w:rsidR="00193B55" w:rsidRPr="007E1FB5" w:rsidRDefault="00193B55" w:rsidP="00193B55">
      <w:pPr>
        <w:rPr>
          <w:rFonts w:eastAsiaTheme="minorEastAsia"/>
          <w:lang w:val="es-ES_tradnl"/>
        </w:rPr>
      </w:pPr>
      <w:r w:rsidRPr="007E1FB5">
        <w:rPr>
          <w:rFonts w:eastAsiaTheme="minorEastAsia"/>
          <w:lang w:val="es-ES_tradnl"/>
        </w:rPr>
        <w:t>5.1.1</w:t>
      </w:r>
      <w:r w:rsidRPr="007E1FB5">
        <w:rPr>
          <w:rFonts w:eastAsiaTheme="minorEastAsia"/>
          <w:lang w:val="es-ES_tradnl"/>
        </w:rPr>
        <w:tab/>
        <w:t>Microelectrónica</w:t>
      </w:r>
    </w:p>
    <w:p w14:paraId="1A337839" w14:textId="77777777" w:rsidR="00193B55" w:rsidRPr="007E1FB5" w:rsidRDefault="00193B55" w:rsidP="00193B55">
      <w:pPr>
        <w:rPr>
          <w:rFonts w:eastAsiaTheme="minorEastAsia"/>
          <w:lang w:val="es-ES_tradnl"/>
        </w:rPr>
      </w:pPr>
      <w:r w:rsidRPr="007E1FB5">
        <w:rPr>
          <w:rFonts w:eastAsiaTheme="minorEastAsia"/>
          <w:lang w:val="es-ES_tradnl"/>
        </w:rPr>
        <w:t>5.1.2</w:t>
      </w:r>
      <w:r w:rsidRPr="007E1FB5">
        <w:rPr>
          <w:rFonts w:eastAsiaTheme="minorEastAsia"/>
          <w:lang w:val="es-ES_tradnl"/>
        </w:rPr>
        <w:tab/>
        <w:t>Procesamiento de la señal</w:t>
      </w:r>
    </w:p>
    <w:p w14:paraId="4397D4D6" w14:textId="77777777" w:rsidR="00193B55" w:rsidRPr="007E1FB5" w:rsidRDefault="00193B55" w:rsidP="00193B55">
      <w:pPr>
        <w:rPr>
          <w:rFonts w:eastAsiaTheme="minorEastAsia"/>
          <w:lang w:val="es-ES_tradnl"/>
        </w:rPr>
      </w:pPr>
      <w:r w:rsidRPr="007E1FB5">
        <w:rPr>
          <w:rFonts w:eastAsiaTheme="minorEastAsia"/>
          <w:lang w:val="es-ES_tradnl"/>
        </w:rPr>
        <w:t>5.1.3</w:t>
      </w:r>
      <w:r w:rsidRPr="007E1FB5">
        <w:rPr>
          <w:rFonts w:eastAsiaTheme="minorEastAsia"/>
          <w:lang w:val="es-ES_tradnl"/>
        </w:rPr>
        <w:tab/>
        <w:t>Componentes de los equipos</w:t>
      </w:r>
    </w:p>
    <w:p w14:paraId="32CCDD13" w14:textId="77777777" w:rsidR="00193B55" w:rsidRPr="007E1FB5" w:rsidRDefault="00193B55" w:rsidP="00193B55">
      <w:pPr>
        <w:rPr>
          <w:rFonts w:eastAsiaTheme="minorEastAsia"/>
          <w:lang w:val="es-ES_tradnl"/>
        </w:rPr>
      </w:pPr>
      <w:r w:rsidRPr="007E1FB5">
        <w:rPr>
          <w:rFonts w:eastAsiaTheme="minorEastAsia"/>
          <w:lang w:val="es-ES_tradnl"/>
        </w:rPr>
        <w:t>5.1.3.1</w:t>
      </w:r>
      <w:r w:rsidRPr="007E1FB5">
        <w:rPr>
          <w:rFonts w:eastAsiaTheme="minorEastAsia"/>
          <w:lang w:val="es-ES_tradnl"/>
        </w:rPr>
        <w:tab/>
        <w:t>Fuentes de alimentación</w:t>
      </w:r>
    </w:p>
    <w:p w14:paraId="7849F8BE" w14:textId="77777777" w:rsidR="00193B55" w:rsidRPr="007E1FB5" w:rsidRDefault="00193B55" w:rsidP="00193B55">
      <w:pPr>
        <w:rPr>
          <w:rFonts w:eastAsiaTheme="minorEastAsia"/>
          <w:lang w:val="es-ES_tradnl"/>
        </w:rPr>
      </w:pPr>
      <w:r w:rsidRPr="007E1FB5">
        <w:rPr>
          <w:rFonts w:eastAsiaTheme="minorEastAsia"/>
          <w:lang w:val="es-ES_tradnl"/>
        </w:rPr>
        <w:t>5.1.3.2</w:t>
      </w:r>
      <w:r w:rsidRPr="007E1FB5">
        <w:rPr>
          <w:rFonts w:eastAsiaTheme="minorEastAsia"/>
          <w:lang w:val="es-ES_tradnl"/>
        </w:rPr>
        <w:tab/>
        <w:t>Baterías</w:t>
      </w:r>
    </w:p>
    <w:p w14:paraId="48D87EDE" w14:textId="77777777" w:rsidR="00193B55" w:rsidRPr="007E1FB5" w:rsidRDefault="00193B55" w:rsidP="00193B55">
      <w:pPr>
        <w:rPr>
          <w:rFonts w:eastAsiaTheme="minorEastAsia"/>
          <w:lang w:val="es-ES_tradnl"/>
        </w:rPr>
      </w:pPr>
      <w:r w:rsidRPr="007E1FB5">
        <w:rPr>
          <w:rFonts w:eastAsiaTheme="minorEastAsia"/>
          <w:lang w:val="es-ES_tradnl"/>
        </w:rPr>
        <w:t>5.1.4</w:t>
      </w:r>
      <w:r w:rsidRPr="007E1FB5">
        <w:rPr>
          <w:rFonts w:eastAsiaTheme="minorEastAsia"/>
          <w:lang w:val="es-ES_tradnl"/>
        </w:rPr>
        <w:tab/>
        <w:t>Medios de comunicación</w:t>
      </w:r>
    </w:p>
    <w:p w14:paraId="3487EF94" w14:textId="77777777" w:rsidR="00193B55" w:rsidRPr="007E1FB5" w:rsidRDefault="00193B55" w:rsidP="00193B55">
      <w:pPr>
        <w:rPr>
          <w:rFonts w:eastAsiaTheme="minorEastAsia"/>
          <w:lang w:val="es-ES_tradnl"/>
        </w:rPr>
      </w:pPr>
      <w:r w:rsidRPr="007E1FB5">
        <w:rPr>
          <w:rFonts w:eastAsiaTheme="minorEastAsia"/>
          <w:lang w:val="es-ES_tradnl"/>
        </w:rPr>
        <w:t>5.2</w:t>
      </w:r>
      <w:r w:rsidRPr="007E1FB5">
        <w:rPr>
          <w:rFonts w:eastAsiaTheme="minorEastAsia"/>
          <w:lang w:val="es-ES_tradnl"/>
        </w:rPr>
        <w:tab/>
        <w:t>Técnicas de codificación y modulación</w:t>
      </w:r>
    </w:p>
    <w:p w14:paraId="5DFECDF1" w14:textId="77777777" w:rsidR="00193B55" w:rsidRPr="007E1FB5" w:rsidRDefault="00193B55" w:rsidP="00193B55">
      <w:pPr>
        <w:rPr>
          <w:rFonts w:eastAsiaTheme="minorEastAsia"/>
          <w:lang w:val="es-ES_tradnl"/>
        </w:rPr>
      </w:pPr>
      <w:r w:rsidRPr="007E1FB5">
        <w:rPr>
          <w:rFonts w:eastAsiaTheme="minorEastAsia"/>
          <w:lang w:val="es-ES_tradnl"/>
        </w:rPr>
        <w:t>5.2.1</w:t>
      </w:r>
      <w:r w:rsidRPr="007E1FB5">
        <w:rPr>
          <w:rFonts w:eastAsiaTheme="minorEastAsia"/>
          <w:lang w:val="es-ES_tradnl"/>
        </w:rPr>
        <w:tab/>
        <w:t>Codificación en origen</w:t>
      </w:r>
    </w:p>
    <w:p w14:paraId="132F73D7" w14:textId="77777777" w:rsidR="00193B55" w:rsidRPr="007E1FB5" w:rsidRDefault="00193B55" w:rsidP="00193B55">
      <w:pPr>
        <w:rPr>
          <w:rFonts w:eastAsiaTheme="minorEastAsia"/>
          <w:lang w:val="es-ES_tradnl"/>
        </w:rPr>
      </w:pPr>
      <w:r w:rsidRPr="007E1FB5">
        <w:rPr>
          <w:rFonts w:eastAsiaTheme="minorEastAsia"/>
          <w:lang w:val="es-ES_tradnl"/>
        </w:rPr>
        <w:t>5.2.2</w:t>
      </w:r>
      <w:r w:rsidRPr="007E1FB5">
        <w:rPr>
          <w:rFonts w:eastAsiaTheme="minorEastAsia"/>
          <w:lang w:val="es-ES_tradnl"/>
        </w:rPr>
        <w:tab/>
        <w:t>Codificación de canales</w:t>
      </w:r>
    </w:p>
    <w:p w14:paraId="1E7BB80E" w14:textId="77777777" w:rsidR="00193B55" w:rsidRPr="007E1FB5" w:rsidRDefault="00193B55" w:rsidP="00193B55">
      <w:pPr>
        <w:rPr>
          <w:rFonts w:eastAsiaTheme="minorEastAsia"/>
          <w:lang w:val="es-ES_tradnl"/>
        </w:rPr>
      </w:pPr>
      <w:r w:rsidRPr="007E1FB5">
        <w:rPr>
          <w:rFonts w:eastAsiaTheme="minorEastAsia"/>
          <w:lang w:val="es-ES_tradnl"/>
        </w:rPr>
        <w:t>5.2.3</w:t>
      </w:r>
      <w:r w:rsidRPr="007E1FB5">
        <w:rPr>
          <w:rFonts w:eastAsiaTheme="minorEastAsia"/>
          <w:lang w:val="es-ES_tradnl"/>
        </w:rPr>
        <w:tab/>
        <w:t>Técnicas de modulación</w:t>
      </w:r>
    </w:p>
    <w:p w14:paraId="0B50A65D" w14:textId="77777777" w:rsidR="00193B55" w:rsidRPr="007E1FB5" w:rsidRDefault="00193B55" w:rsidP="00193B55">
      <w:pPr>
        <w:rPr>
          <w:rFonts w:eastAsiaTheme="minorEastAsia"/>
          <w:lang w:val="es-ES_tradnl"/>
        </w:rPr>
      </w:pPr>
      <w:r w:rsidRPr="007E1FB5">
        <w:rPr>
          <w:rFonts w:eastAsiaTheme="minorEastAsia"/>
          <w:lang w:val="es-ES_tradnl"/>
        </w:rPr>
        <w:t>5.3</w:t>
      </w:r>
      <w:r w:rsidRPr="007E1FB5">
        <w:rPr>
          <w:rFonts w:eastAsiaTheme="minorEastAsia"/>
          <w:lang w:val="es-ES_tradnl"/>
        </w:rPr>
        <w:tab/>
        <w:t>Técnicas de acceso al canal</w:t>
      </w:r>
    </w:p>
    <w:p w14:paraId="300AF6E2" w14:textId="77777777" w:rsidR="00193B55" w:rsidRPr="007E1FB5" w:rsidRDefault="00193B55" w:rsidP="00193B55">
      <w:pPr>
        <w:rPr>
          <w:rFonts w:eastAsiaTheme="minorEastAsia"/>
          <w:lang w:val="es-ES_tradnl"/>
        </w:rPr>
      </w:pPr>
      <w:r w:rsidRPr="007E1FB5">
        <w:rPr>
          <w:rFonts w:eastAsiaTheme="minorEastAsia"/>
          <w:lang w:val="es-ES_tradnl"/>
        </w:rPr>
        <w:t>5.3.1</w:t>
      </w:r>
      <w:r w:rsidRPr="007E1FB5">
        <w:rPr>
          <w:rFonts w:eastAsiaTheme="minorEastAsia"/>
          <w:lang w:val="es-ES_tradnl"/>
        </w:rPr>
        <w:tab/>
        <w:t>Acceso múltiple por división en el tiempo (TDMA)</w:t>
      </w:r>
    </w:p>
    <w:p w14:paraId="2FADFF50" w14:textId="77777777" w:rsidR="00193B55" w:rsidRPr="007E1FB5" w:rsidRDefault="00193B55" w:rsidP="00193B55">
      <w:pPr>
        <w:rPr>
          <w:rFonts w:eastAsiaTheme="minorEastAsia"/>
          <w:lang w:val="es-ES_tradnl"/>
        </w:rPr>
      </w:pPr>
      <w:r w:rsidRPr="007E1FB5">
        <w:rPr>
          <w:rFonts w:eastAsiaTheme="minorEastAsia"/>
          <w:lang w:val="es-ES_tradnl"/>
        </w:rPr>
        <w:t>5.3.2</w:t>
      </w:r>
      <w:r w:rsidRPr="007E1FB5">
        <w:rPr>
          <w:rFonts w:eastAsiaTheme="minorEastAsia"/>
          <w:lang w:val="es-ES_tradnl"/>
        </w:rPr>
        <w:tab/>
        <w:t>Acceso múltiple por división de frecuencia (FDMA)</w:t>
      </w:r>
    </w:p>
    <w:p w14:paraId="41287747" w14:textId="77777777" w:rsidR="00193B55" w:rsidRPr="007E1FB5" w:rsidRDefault="00193B55" w:rsidP="00193B55">
      <w:pPr>
        <w:rPr>
          <w:rFonts w:eastAsiaTheme="minorEastAsia"/>
          <w:lang w:val="es-ES_tradnl"/>
        </w:rPr>
      </w:pPr>
      <w:r w:rsidRPr="007E1FB5">
        <w:rPr>
          <w:rFonts w:eastAsiaTheme="minorEastAsia"/>
          <w:lang w:val="es-ES_tradnl"/>
        </w:rPr>
        <w:t>5.3.3</w:t>
      </w:r>
      <w:r w:rsidRPr="007E1FB5">
        <w:rPr>
          <w:rFonts w:eastAsiaTheme="minorEastAsia"/>
          <w:lang w:val="es-ES_tradnl"/>
        </w:rPr>
        <w:tab/>
        <w:t>Acceso múltiple por división de código (CDMA)</w:t>
      </w:r>
    </w:p>
    <w:p w14:paraId="4874C91E" w14:textId="77777777" w:rsidR="00193B55" w:rsidRPr="007E1FB5" w:rsidRDefault="00193B55" w:rsidP="00193B55">
      <w:pPr>
        <w:rPr>
          <w:rFonts w:eastAsiaTheme="minorEastAsia"/>
          <w:lang w:val="es-ES_tradnl"/>
        </w:rPr>
      </w:pPr>
      <w:r w:rsidRPr="007E1FB5">
        <w:rPr>
          <w:rFonts w:eastAsiaTheme="minorEastAsia"/>
          <w:lang w:val="es-ES_tradnl"/>
        </w:rPr>
        <w:t>5.3.4</w:t>
      </w:r>
      <w:r w:rsidRPr="007E1FB5">
        <w:rPr>
          <w:rFonts w:eastAsiaTheme="minorEastAsia"/>
          <w:lang w:val="es-ES_tradnl"/>
        </w:rPr>
        <w:tab/>
        <w:t>Acceso múltiple por división ortogonal de frecuencia (OFDMA)</w:t>
      </w:r>
    </w:p>
    <w:p w14:paraId="43545412" w14:textId="77777777" w:rsidR="00193B55" w:rsidRPr="007E1FB5" w:rsidRDefault="00193B55" w:rsidP="00193B55">
      <w:pPr>
        <w:rPr>
          <w:rFonts w:eastAsiaTheme="minorEastAsia"/>
          <w:lang w:val="es-ES_tradnl"/>
        </w:rPr>
      </w:pPr>
      <w:r w:rsidRPr="007E1FB5">
        <w:rPr>
          <w:rFonts w:eastAsiaTheme="minorEastAsia"/>
          <w:lang w:val="es-ES_tradnl"/>
        </w:rPr>
        <w:t>5.4</w:t>
      </w:r>
      <w:r w:rsidRPr="007E1FB5">
        <w:rPr>
          <w:rFonts w:eastAsiaTheme="minorEastAsia"/>
          <w:lang w:val="es-ES_tradnl"/>
        </w:rPr>
        <w:tab/>
        <w:t>Modo de transmisión</w:t>
      </w:r>
    </w:p>
    <w:p w14:paraId="152A1E05" w14:textId="77777777" w:rsidR="00193B55" w:rsidRPr="007E1FB5" w:rsidRDefault="00193B55" w:rsidP="00193B55">
      <w:pPr>
        <w:rPr>
          <w:rFonts w:eastAsiaTheme="minorEastAsia"/>
          <w:lang w:val="es-ES_tradnl"/>
        </w:rPr>
      </w:pPr>
      <w:r w:rsidRPr="007E1FB5">
        <w:rPr>
          <w:rFonts w:eastAsiaTheme="minorEastAsia"/>
          <w:lang w:val="es-ES_tradnl"/>
        </w:rPr>
        <w:t>5.4.1</w:t>
      </w:r>
      <w:r w:rsidRPr="007E1FB5">
        <w:rPr>
          <w:rFonts w:eastAsiaTheme="minorEastAsia"/>
          <w:lang w:val="es-ES_tradnl"/>
        </w:rPr>
        <w:tab/>
        <w:t>Técnicas de diversidad</w:t>
      </w:r>
    </w:p>
    <w:p w14:paraId="0BCE5360" w14:textId="77777777" w:rsidR="00193B55" w:rsidRPr="007E1FB5" w:rsidRDefault="00193B55" w:rsidP="00193B55">
      <w:pPr>
        <w:rPr>
          <w:rFonts w:eastAsiaTheme="minorEastAsia"/>
          <w:lang w:val="es-ES_tradnl"/>
        </w:rPr>
      </w:pPr>
      <w:r w:rsidRPr="007E1FB5">
        <w:rPr>
          <w:rFonts w:eastAsiaTheme="minorEastAsia"/>
          <w:lang w:val="es-ES_tradnl"/>
        </w:rPr>
        <w:t>5.4.1.1</w:t>
      </w:r>
      <w:r w:rsidRPr="007E1FB5">
        <w:rPr>
          <w:rFonts w:eastAsiaTheme="minorEastAsia"/>
          <w:lang w:val="es-ES_tradnl"/>
        </w:rPr>
        <w:tab/>
        <w:t>Diversidad en el tiempo</w:t>
      </w:r>
    </w:p>
    <w:p w14:paraId="05614E23" w14:textId="77777777" w:rsidR="00193B55" w:rsidRPr="007E1FB5" w:rsidRDefault="00193B55" w:rsidP="00193B55">
      <w:pPr>
        <w:rPr>
          <w:rFonts w:eastAsiaTheme="minorEastAsia"/>
          <w:lang w:val="es-ES_tradnl"/>
        </w:rPr>
      </w:pPr>
      <w:r w:rsidRPr="007E1FB5">
        <w:rPr>
          <w:rFonts w:eastAsiaTheme="minorEastAsia"/>
          <w:lang w:val="es-ES_tradnl"/>
        </w:rPr>
        <w:t>5.4.1.2</w:t>
      </w:r>
      <w:r w:rsidRPr="007E1FB5">
        <w:rPr>
          <w:rFonts w:eastAsiaTheme="minorEastAsia"/>
          <w:lang w:val="es-ES_tradnl"/>
        </w:rPr>
        <w:tab/>
        <w:t>Diversidad de frecuencias</w:t>
      </w:r>
    </w:p>
    <w:p w14:paraId="00FF5A67" w14:textId="77777777" w:rsidR="00193B55" w:rsidRPr="007E1FB5" w:rsidRDefault="00193B55" w:rsidP="00193B55">
      <w:pPr>
        <w:rPr>
          <w:rFonts w:eastAsiaTheme="minorEastAsia"/>
          <w:lang w:val="es-ES_tradnl"/>
        </w:rPr>
      </w:pPr>
      <w:r w:rsidRPr="007E1FB5">
        <w:rPr>
          <w:rFonts w:eastAsiaTheme="minorEastAsia"/>
          <w:lang w:val="es-ES_tradnl"/>
        </w:rPr>
        <w:t>5.4.1.3</w:t>
      </w:r>
      <w:r w:rsidRPr="007E1FB5">
        <w:rPr>
          <w:rFonts w:eastAsiaTheme="minorEastAsia"/>
          <w:lang w:val="es-ES_tradnl"/>
        </w:rPr>
        <w:tab/>
        <w:t>Diversidad de antena</w:t>
      </w:r>
    </w:p>
    <w:p w14:paraId="5F3BD20B" w14:textId="77777777" w:rsidR="00193B55" w:rsidRPr="007E1FB5" w:rsidRDefault="00193B55" w:rsidP="00193B55">
      <w:pPr>
        <w:rPr>
          <w:rFonts w:eastAsiaTheme="minorEastAsia"/>
          <w:lang w:val="es-ES_tradnl"/>
        </w:rPr>
      </w:pPr>
      <w:r w:rsidRPr="007E1FB5">
        <w:rPr>
          <w:rFonts w:eastAsiaTheme="minorEastAsia"/>
          <w:lang w:val="es-ES_tradnl"/>
        </w:rPr>
        <w:t>5.4.1.4</w:t>
      </w:r>
      <w:r w:rsidRPr="007E1FB5">
        <w:rPr>
          <w:rFonts w:eastAsiaTheme="minorEastAsia"/>
          <w:lang w:val="es-ES_tradnl"/>
        </w:rPr>
        <w:tab/>
        <w:t>Diversidad de espacio</w:t>
      </w:r>
    </w:p>
    <w:p w14:paraId="14F5EBC8" w14:textId="77777777" w:rsidR="00193B55" w:rsidRPr="007E1FB5" w:rsidRDefault="00193B55" w:rsidP="00193B55">
      <w:pPr>
        <w:rPr>
          <w:rFonts w:eastAsiaTheme="minorEastAsia"/>
          <w:lang w:val="es-ES_tradnl"/>
        </w:rPr>
      </w:pPr>
      <w:r w:rsidRPr="007E1FB5">
        <w:rPr>
          <w:rFonts w:eastAsiaTheme="minorEastAsia"/>
          <w:lang w:val="es-ES_tradnl"/>
        </w:rPr>
        <w:t>5.4.1.5</w:t>
      </w:r>
      <w:r w:rsidRPr="007E1FB5">
        <w:rPr>
          <w:rFonts w:eastAsiaTheme="minorEastAsia"/>
          <w:lang w:val="es-ES_tradnl"/>
        </w:rPr>
        <w:tab/>
        <w:t>Diversidad de sentido</w:t>
      </w:r>
    </w:p>
    <w:p w14:paraId="3963194B" w14:textId="77777777" w:rsidR="00193B55" w:rsidRPr="007E1FB5" w:rsidRDefault="00193B55" w:rsidP="00193B55">
      <w:pPr>
        <w:rPr>
          <w:rFonts w:eastAsiaTheme="minorEastAsia"/>
          <w:lang w:val="es-ES_tradnl"/>
        </w:rPr>
      </w:pPr>
      <w:bookmarkStart w:id="91" w:name="_Toc10203718"/>
      <w:bookmarkStart w:id="92" w:name="_Toc530469887"/>
      <w:r w:rsidRPr="007E1FB5">
        <w:rPr>
          <w:rFonts w:eastAsiaTheme="minorEastAsia"/>
          <w:lang w:val="es-ES_tradnl"/>
        </w:rPr>
        <w:t>5.4.2</w:t>
      </w:r>
      <w:r w:rsidRPr="007E1FB5">
        <w:rPr>
          <w:rFonts w:eastAsiaTheme="minorEastAsia"/>
          <w:lang w:val="es-ES_tradnl"/>
        </w:rPr>
        <w:tab/>
      </w:r>
      <w:bookmarkEnd w:id="91"/>
      <w:bookmarkEnd w:id="92"/>
      <w:r w:rsidRPr="007E1FB5">
        <w:rPr>
          <w:rFonts w:eastAsiaTheme="minorEastAsia"/>
          <w:lang w:val="es-ES_tradnl"/>
        </w:rPr>
        <w:t>Técnicas de multiplexación espacial</w:t>
      </w:r>
    </w:p>
    <w:p w14:paraId="29CE3095" w14:textId="77777777" w:rsidR="00193B55" w:rsidRPr="007E1FB5" w:rsidRDefault="00193B55" w:rsidP="00193B55">
      <w:pPr>
        <w:rPr>
          <w:rFonts w:eastAsiaTheme="minorEastAsia"/>
          <w:lang w:val="es-ES_tradnl"/>
        </w:rPr>
      </w:pPr>
      <w:r w:rsidRPr="007E1FB5">
        <w:rPr>
          <w:rFonts w:eastAsiaTheme="minorEastAsia"/>
          <w:lang w:val="es-ES_tradnl"/>
        </w:rPr>
        <w:t xml:space="preserve">5.4.2.1 </w:t>
      </w:r>
      <w:r w:rsidRPr="007E1FB5">
        <w:rPr>
          <w:rFonts w:eastAsiaTheme="minorEastAsia"/>
          <w:lang w:val="es-ES_tradnl"/>
        </w:rPr>
        <w:tab/>
        <w:t>Multiplexación directa</w:t>
      </w:r>
    </w:p>
    <w:p w14:paraId="662A91E7" w14:textId="77777777" w:rsidR="00193B55" w:rsidRPr="007E1FB5" w:rsidRDefault="00193B55" w:rsidP="00193B55">
      <w:pPr>
        <w:rPr>
          <w:rFonts w:eastAsiaTheme="minorEastAsia"/>
          <w:lang w:val="es-ES_tradnl"/>
        </w:rPr>
      </w:pPr>
      <w:r w:rsidRPr="007E1FB5">
        <w:rPr>
          <w:rFonts w:eastAsiaTheme="minorEastAsia"/>
          <w:lang w:val="es-ES_tradnl"/>
        </w:rPr>
        <w:t xml:space="preserve">5.4.2.2 </w:t>
      </w:r>
      <w:r w:rsidRPr="007E1FB5">
        <w:rPr>
          <w:rFonts w:eastAsiaTheme="minorEastAsia"/>
          <w:lang w:val="es-ES_tradnl"/>
        </w:rPr>
        <w:tab/>
        <w:t>Técnicas de conformación de haces de transmisión</w:t>
      </w:r>
    </w:p>
    <w:p w14:paraId="0A2C3997" w14:textId="77777777" w:rsidR="00193B55" w:rsidRPr="007E1FB5" w:rsidRDefault="00193B55" w:rsidP="00193B55">
      <w:pPr>
        <w:rPr>
          <w:rFonts w:eastAsiaTheme="minorEastAsia"/>
          <w:lang w:val="es-ES_tradnl"/>
        </w:rPr>
      </w:pPr>
      <w:r w:rsidRPr="007E1FB5">
        <w:rPr>
          <w:rFonts w:eastAsiaTheme="minorEastAsia"/>
          <w:lang w:val="es-ES_tradnl"/>
        </w:rPr>
        <w:t>5.4.3</w:t>
      </w:r>
      <w:r w:rsidRPr="007E1FB5">
        <w:rPr>
          <w:rFonts w:eastAsiaTheme="minorEastAsia"/>
          <w:lang w:val="es-ES_tradnl"/>
        </w:rPr>
        <w:tab/>
        <w:t>Técnicas de espectro ensanchado</w:t>
      </w:r>
    </w:p>
    <w:p w14:paraId="5DAA1432" w14:textId="77777777" w:rsidR="00193B55" w:rsidRPr="007E1FB5" w:rsidRDefault="00193B55" w:rsidP="00193B55">
      <w:pPr>
        <w:rPr>
          <w:rFonts w:eastAsiaTheme="minorEastAsia"/>
          <w:lang w:val="es-ES_tradnl"/>
        </w:rPr>
      </w:pPr>
      <w:r w:rsidRPr="007E1FB5">
        <w:rPr>
          <w:rFonts w:eastAsiaTheme="minorEastAsia"/>
          <w:lang w:val="es-ES_tradnl"/>
        </w:rPr>
        <w:t>5.5</w:t>
      </w:r>
      <w:r w:rsidRPr="007E1FB5">
        <w:rPr>
          <w:rFonts w:eastAsiaTheme="minorEastAsia"/>
          <w:lang w:val="es-ES_tradnl"/>
        </w:rPr>
        <w:tab/>
        <w:t>Antenas</w:t>
      </w:r>
    </w:p>
    <w:p w14:paraId="60D5A0CC" w14:textId="77777777" w:rsidR="00193B55" w:rsidRPr="007E1FB5" w:rsidRDefault="00193B55" w:rsidP="00193B55">
      <w:pPr>
        <w:rPr>
          <w:rFonts w:eastAsiaTheme="minorEastAsia"/>
          <w:lang w:val="es-ES_tradnl"/>
        </w:rPr>
      </w:pPr>
      <w:r w:rsidRPr="007E1FB5">
        <w:rPr>
          <w:rFonts w:eastAsiaTheme="minorEastAsia"/>
          <w:lang w:val="es-ES_tradnl"/>
        </w:rPr>
        <w:t>5.5.1</w:t>
      </w:r>
      <w:r w:rsidRPr="007E1FB5">
        <w:rPr>
          <w:rFonts w:eastAsiaTheme="minorEastAsia"/>
          <w:lang w:val="es-ES_tradnl"/>
        </w:rPr>
        <w:tab/>
        <w:t>Optimización de la antena</w:t>
      </w:r>
    </w:p>
    <w:p w14:paraId="7E869BC1" w14:textId="77777777" w:rsidR="00193B55" w:rsidRPr="007E1FB5" w:rsidRDefault="00193B55" w:rsidP="00193B55">
      <w:pPr>
        <w:ind w:left="794" w:hanging="794"/>
        <w:rPr>
          <w:rFonts w:eastAsiaTheme="minorEastAsia"/>
          <w:lang w:val="es-ES_tradnl"/>
        </w:rPr>
      </w:pPr>
      <w:r w:rsidRPr="007E1FB5">
        <w:rPr>
          <w:rFonts w:eastAsiaTheme="minorEastAsia"/>
          <w:lang w:val="es-ES_tradnl"/>
        </w:rPr>
        <w:t>5.5.1.1</w:t>
      </w:r>
      <w:r w:rsidRPr="007E1FB5">
        <w:rPr>
          <w:rFonts w:eastAsiaTheme="minorEastAsia"/>
          <w:lang w:val="es-ES_tradnl"/>
        </w:rPr>
        <w:tab/>
        <w:t>Utilización de nuevas tecnologías y métodos de fabricación para reducir el nivel de lóbulo lateral y la correlación entre antenas</w:t>
      </w:r>
    </w:p>
    <w:p w14:paraId="0D123FAA" w14:textId="77777777" w:rsidR="00193B55" w:rsidRPr="007E1FB5" w:rsidRDefault="00193B55" w:rsidP="00193B55">
      <w:pPr>
        <w:rPr>
          <w:rFonts w:eastAsiaTheme="minorEastAsia"/>
          <w:lang w:val="es-ES_tradnl"/>
        </w:rPr>
      </w:pPr>
      <w:r w:rsidRPr="007E1FB5">
        <w:rPr>
          <w:rFonts w:eastAsiaTheme="minorEastAsia"/>
          <w:lang w:val="es-ES_tradnl"/>
        </w:rPr>
        <w:t>5.5.1.2</w:t>
      </w:r>
      <w:r w:rsidRPr="007E1FB5">
        <w:rPr>
          <w:rFonts w:eastAsiaTheme="minorEastAsia"/>
          <w:lang w:val="es-ES_tradnl"/>
        </w:rPr>
        <w:tab/>
        <w:t>Nuevos métodos en el desarrollo de antenas</w:t>
      </w:r>
    </w:p>
    <w:p w14:paraId="10211CAD" w14:textId="77777777" w:rsidR="00193B55" w:rsidRPr="007E1FB5" w:rsidRDefault="00193B55" w:rsidP="00193B55">
      <w:pPr>
        <w:rPr>
          <w:rFonts w:eastAsiaTheme="minorEastAsia"/>
          <w:lang w:val="es-ES_tradnl"/>
        </w:rPr>
      </w:pPr>
      <w:r w:rsidRPr="007E1FB5">
        <w:rPr>
          <w:rFonts w:eastAsiaTheme="minorEastAsia"/>
          <w:lang w:val="es-ES_tradnl"/>
        </w:rPr>
        <w:t>5.5.1.3</w:t>
      </w:r>
      <w:r w:rsidRPr="007E1FB5">
        <w:rPr>
          <w:rFonts w:eastAsiaTheme="minorEastAsia"/>
          <w:lang w:val="es-ES_tradnl"/>
        </w:rPr>
        <w:tab/>
        <w:t xml:space="preserve">Antenas de </w:t>
      </w:r>
      <w:proofErr w:type="gramStart"/>
      <w:r w:rsidRPr="007E1FB5">
        <w:rPr>
          <w:rFonts w:eastAsiaTheme="minorEastAsia"/>
          <w:lang w:val="es-ES_tradnl"/>
        </w:rPr>
        <w:t>entrada múltiple y salida múltiple</w:t>
      </w:r>
      <w:proofErr w:type="gramEnd"/>
      <w:r w:rsidRPr="007E1FB5">
        <w:rPr>
          <w:rFonts w:eastAsiaTheme="minorEastAsia"/>
          <w:lang w:val="es-ES_tradnl"/>
        </w:rPr>
        <w:t xml:space="preserve"> (MIMO) masivas</w:t>
      </w:r>
    </w:p>
    <w:p w14:paraId="6155CA00" w14:textId="77777777" w:rsidR="00193B55" w:rsidRPr="007E1FB5" w:rsidRDefault="00193B55" w:rsidP="00193B55">
      <w:pPr>
        <w:rPr>
          <w:rFonts w:eastAsiaTheme="minorEastAsia"/>
          <w:lang w:val="es-ES_tradnl"/>
        </w:rPr>
      </w:pPr>
      <w:r w:rsidRPr="007E1FB5">
        <w:rPr>
          <w:rFonts w:eastAsiaTheme="minorEastAsia"/>
          <w:lang w:val="es-ES_tradnl"/>
        </w:rPr>
        <w:t>5.6</w:t>
      </w:r>
      <w:r w:rsidRPr="007E1FB5">
        <w:rPr>
          <w:rFonts w:eastAsiaTheme="minorEastAsia"/>
          <w:lang w:val="es-ES_tradnl"/>
        </w:rPr>
        <w:tab/>
        <w:t>Procesamiento de datos en telecomunicaciones</w:t>
      </w:r>
    </w:p>
    <w:p w14:paraId="2AA65AF0" w14:textId="77777777" w:rsidR="00193B55" w:rsidRPr="007E1FB5" w:rsidRDefault="00193B55" w:rsidP="00193B55">
      <w:pPr>
        <w:pStyle w:val="AnnexNoTitle"/>
        <w:rPr>
          <w:rFonts w:eastAsiaTheme="minorEastAsia"/>
          <w:lang w:val="es-ES_tradnl"/>
        </w:rPr>
      </w:pPr>
      <w:bookmarkStart w:id="93" w:name="_Toc10203722"/>
      <w:bookmarkStart w:id="94" w:name="_Toc13491596"/>
      <w:bookmarkStart w:id="95" w:name="_Toc34916956"/>
      <w:bookmarkStart w:id="96" w:name="_Toc184650239"/>
      <w:bookmarkStart w:id="97" w:name="_Toc216693433"/>
      <w:bookmarkStart w:id="98" w:name="_Toc217031139"/>
      <w:r w:rsidRPr="007E1FB5">
        <w:rPr>
          <w:rFonts w:eastAsiaTheme="minorEastAsia"/>
          <w:lang w:val="es-ES_tradnl"/>
        </w:rPr>
        <w:lastRenderedPageBreak/>
        <w:t xml:space="preserve">Anexo 2 </w:t>
      </w:r>
      <w:r w:rsidRPr="007E1FB5">
        <w:rPr>
          <w:rFonts w:eastAsiaTheme="minorEastAsia"/>
          <w:lang w:val="es-ES_tradnl"/>
        </w:rPr>
        <w:br/>
        <w:t>al Capítulo 1</w:t>
      </w:r>
      <w:bookmarkEnd w:id="93"/>
      <w:r w:rsidRPr="007E1FB5">
        <w:rPr>
          <w:rFonts w:eastAsiaTheme="minorEastAsia"/>
          <w:lang w:val="es-ES_tradnl"/>
        </w:rPr>
        <w:br/>
      </w:r>
      <w:r w:rsidRPr="007E1FB5">
        <w:rPr>
          <w:rFonts w:eastAsiaTheme="minorEastAsia"/>
          <w:lang w:val="es-ES_tradnl"/>
        </w:rPr>
        <w:br/>
      </w:r>
      <w:bookmarkEnd w:id="94"/>
      <w:r w:rsidRPr="007E1FB5">
        <w:rPr>
          <w:rFonts w:eastAsiaTheme="minorEastAsia"/>
          <w:lang w:val="es-ES_tradnl"/>
        </w:rPr>
        <w:t>Metodología de elaboración del plan de gestión del espectro a largo plazo</w:t>
      </w:r>
      <w:bookmarkEnd w:id="95"/>
      <w:bookmarkEnd w:id="96"/>
      <w:bookmarkEnd w:id="97"/>
      <w:bookmarkEnd w:id="98"/>
    </w:p>
    <w:p w14:paraId="4AFB6F05" w14:textId="77777777" w:rsidR="00193B55" w:rsidRPr="007E1FB5" w:rsidRDefault="00193B55" w:rsidP="00193B55">
      <w:pPr>
        <w:pStyle w:val="Normalaftertitle"/>
        <w:rPr>
          <w:rFonts w:eastAsiaTheme="minorEastAsia"/>
          <w:lang w:val="es-ES_tradnl"/>
        </w:rPr>
      </w:pPr>
      <w:r w:rsidRPr="007E1FB5">
        <w:rPr>
          <w:rFonts w:eastAsiaTheme="minorEastAsia"/>
          <w:lang w:val="es-ES_tradnl"/>
        </w:rPr>
        <w:t>El objetivo principal de la elaboración de un plan de gestión del espectro a largo plazo es garantizar un uso eficaz de las frecuencias. En función de sus objetivos, una administración puede optar por criterios de eficiencia de índole técnica, económica y política.</w:t>
      </w:r>
    </w:p>
    <w:p w14:paraId="2ADEF7BF" w14:textId="77777777" w:rsidR="00193B55" w:rsidRPr="007E1FB5" w:rsidRDefault="00193B55" w:rsidP="00193B55">
      <w:pPr>
        <w:keepNext/>
        <w:keepLines/>
        <w:rPr>
          <w:rFonts w:eastAsiaTheme="minorEastAsia"/>
          <w:lang w:val="es-ES_tradnl"/>
        </w:rPr>
      </w:pPr>
      <w:r w:rsidRPr="007E1FB5">
        <w:rPr>
          <w:rFonts w:eastAsiaTheme="minorEastAsia"/>
          <w:lang w:val="es-ES_tradnl"/>
        </w:rPr>
        <w:t>El proceso de elaboración de un plan de gestión del espectro a largo plazo se articula en torno a las siguientes fases (véase la Fig. 1):</w:t>
      </w:r>
    </w:p>
    <w:p w14:paraId="46D32790" w14:textId="77777777" w:rsidR="00193B55" w:rsidRPr="007E1FB5" w:rsidRDefault="00193B55" w:rsidP="00193B55">
      <w:pPr>
        <w:pStyle w:val="enumlev1"/>
        <w:keepNext/>
        <w:keepLines/>
        <w:rPr>
          <w:rFonts w:eastAsiaTheme="minorEastAsia"/>
          <w:lang w:val="es-ES_tradnl"/>
        </w:rPr>
      </w:pPr>
      <w:r w:rsidRPr="007E1FB5">
        <w:rPr>
          <w:rFonts w:eastAsiaTheme="minorEastAsia"/>
          <w:lang w:val="es-ES_tradnl"/>
        </w:rPr>
        <w:t>1)</w:t>
      </w:r>
      <w:r w:rsidRPr="007E1FB5">
        <w:rPr>
          <w:rFonts w:eastAsiaTheme="minorEastAsia"/>
          <w:lang w:val="es-ES_tradnl"/>
        </w:rPr>
        <w:tab/>
        <w:t>Evaluación del uso actual del espectro por diferentes tecnologías y aplicaciones.</w:t>
      </w:r>
    </w:p>
    <w:p w14:paraId="2DA19C9A" w14:textId="77777777" w:rsidR="00193B55" w:rsidRPr="007E1FB5" w:rsidRDefault="00193B55" w:rsidP="00193B55">
      <w:pPr>
        <w:pStyle w:val="enumlev1"/>
        <w:keepNext/>
        <w:keepLines/>
        <w:rPr>
          <w:rFonts w:eastAsiaTheme="minorEastAsia"/>
          <w:lang w:val="es-ES_tradnl"/>
        </w:rPr>
      </w:pPr>
      <w:r w:rsidRPr="007E1FB5">
        <w:rPr>
          <w:rFonts w:eastAsiaTheme="minorEastAsia"/>
          <w:lang w:val="es-ES_tradnl"/>
        </w:rPr>
        <w:t>2)</w:t>
      </w:r>
      <w:r w:rsidRPr="007E1FB5">
        <w:rPr>
          <w:rFonts w:eastAsiaTheme="minorEastAsia"/>
          <w:lang w:val="es-ES_tradnl"/>
        </w:rPr>
        <w:tab/>
        <w:t>Elaboración de una lista de tecnologías prospectivas.</w:t>
      </w:r>
    </w:p>
    <w:p w14:paraId="2C0178E4" w14:textId="77777777" w:rsidR="00193B55" w:rsidRPr="007E1FB5" w:rsidRDefault="00193B55" w:rsidP="00193B55">
      <w:pPr>
        <w:pStyle w:val="enumlev1"/>
        <w:keepNext/>
        <w:keepLines/>
        <w:rPr>
          <w:rFonts w:eastAsiaTheme="minorEastAsia"/>
          <w:lang w:val="es-ES_tradnl"/>
        </w:rPr>
      </w:pPr>
      <w:r w:rsidRPr="007E1FB5">
        <w:rPr>
          <w:rFonts w:eastAsiaTheme="minorEastAsia"/>
          <w:lang w:val="es-ES_tradnl"/>
        </w:rPr>
        <w:t>3)</w:t>
      </w:r>
      <w:r w:rsidRPr="007E1FB5">
        <w:rPr>
          <w:rFonts w:eastAsiaTheme="minorEastAsia"/>
          <w:lang w:val="es-ES_tradnl"/>
        </w:rPr>
        <w:tab/>
        <w:t>Evaluación de los recursos de frecuencias suficientes y necesarios para los siguientes sistemas y aplicaciones: móvil, fijo, radiodifusión, satélite y dispositivos de corto alcance (SRD).</w:t>
      </w:r>
    </w:p>
    <w:p w14:paraId="4F879E77" w14:textId="77777777" w:rsidR="00193B55" w:rsidRPr="007E1FB5" w:rsidRDefault="00193B55" w:rsidP="00193B55">
      <w:pPr>
        <w:pStyle w:val="enumlev1"/>
        <w:keepNext/>
        <w:keepLines/>
        <w:rPr>
          <w:rFonts w:eastAsiaTheme="minorEastAsia"/>
          <w:lang w:val="es-ES_tradnl"/>
        </w:rPr>
      </w:pPr>
      <w:r w:rsidRPr="007E1FB5">
        <w:rPr>
          <w:rFonts w:eastAsiaTheme="minorEastAsia"/>
          <w:lang w:val="es-ES_tradnl"/>
        </w:rPr>
        <w:t>4)</w:t>
      </w:r>
      <w:r w:rsidRPr="007E1FB5">
        <w:rPr>
          <w:rFonts w:eastAsiaTheme="minorEastAsia"/>
          <w:lang w:val="es-ES_tradnl"/>
        </w:rPr>
        <w:tab/>
        <w:t>Elaboración de medidas para dotar a las tecnologías prospectivas de una cantidad de espectro suficiente.</w:t>
      </w:r>
    </w:p>
    <w:p w14:paraId="20D71AB1" w14:textId="77777777" w:rsidR="00193B55" w:rsidRPr="007E1FB5" w:rsidRDefault="00193B55" w:rsidP="00193B55">
      <w:pPr>
        <w:pStyle w:val="FigureNo"/>
        <w:rPr>
          <w:rFonts w:eastAsiaTheme="minorEastAsia"/>
          <w:lang w:val="es-ES_tradnl"/>
        </w:rPr>
      </w:pPr>
      <w:r w:rsidRPr="007E1FB5">
        <w:rPr>
          <w:rFonts w:eastAsiaTheme="minorEastAsia"/>
          <w:lang w:val="es-ES_tradnl"/>
        </w:rPr>
        <w:t>Figura 1</w:t>
      </w:r>
    </w:p>
    <w:p w14:paraId="7727BB82" w14:textId="77777777" w:rsidR="00193B55" w:rsidRPr="007E1FB5" w:rsidRDefault="00193B55" w:rsidP="00193B55">
      <w:pPr>
        <w:pStyle w:val="Figuretitle"/>
        <w:rPr>
          <w:rFonts w:eastAsiaTheme="minorEastAsia"/>
          <w:lang w:val="es-ES_tradnl"/>
        </w:rPr>
      </w:pPr>
      <w:r w:rsidRPr="007E1FB5">
        <w:rPr>
          <w:rFonts w:eastAsiaTheme="minorEastAsia"/>
          <w:lang w:val="es-ES_tradnl"/>
        </w:rPr>
        <w:t>Evaluación del uso actual del espectro por diferentes tecnologías y aplicaciones</w:t>
      </w:r>
    </w:p>
    <w:p w14:paraId="4A5167CE" w14:textId="77777777" w:rsidR="00193B55" w:rsidRPr="007E1FB5" w:rsidRDefault="00193B55" w:rsidP="00193B55">
      <w:pPr>
        <w:pStyle w:val="Figure"/>
        <w:rPr>
          <w:rFonts w:eastAsiaTheme="minorEastAsia"/>
          <w:lang w:val="es-ES_tradnl"/>
        </w:rPr>
      </w:pPr>
      <w:r>
        <w:rPr>
          <w:rFonts w:eastAsiaTheme="minorEastAsia"/>
          <w:noProof/>
          <w:lang w:val="es-ES_tradnl"/>
        </w:rPr>
        <w:drawing>
          <wp:inline distT="0" distB="0" distL="0" distR="0" wp14:anchorId="1C80C5A8" wp14:editId="3D83E47D">
            <wp:extent cx="5532131" cy="2706630"/>
            <wp:effectExtent l="0" t="0" r="0" b="0"/>
            <wp:docPr id="1060408515" name="Picture 7" descr="La FIGURA 1 muestra la Evaluación del uso actual del espectro por diferentes tecnologías y aplicacio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08515" name="Picture 7" descr="La FIGURA 1 muestra la Evaluación del uso actual del espectro por diferentes tecnologías y aplicaciones&#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32131" cy="2706630"/>
                    </a:xfrm>
                    <a:prstGeom prst="rect">
                      <a:avLst/>
                    </a:prstGeom>
                  </pic:spPr>
                </pic:pic>
              </a:graphicData>
            </a:graphic>
          </wp:inline>
        </w:drawing>
      </w:r>
    </w:p>
    <w:p w14:paraId="30083429" w14:textId="77777777" w:rsidR="00193B55" w:rsidRPr="007E1FB5" w:rsidRDefault="00193B55" w:rsidP="00193B55">
      <w:pPr>
        <w:pStyle w:val="Normalaftertitle"/>
        <w:keepNext/>
        <w:keepLines/>
        <w:rPr>
          <w:rFonts w:eastAsiaTheme="minorEastAsia"/>
          <w:lang w:val="es-ES_tradnl"/>
        </w:rPr>
      </w:pPr>
      <w:r w:rsidRPr="007E1FB5">
        <w:rPr>
          <w:rFonts w:eastAsiaTheme="minorEastAsia"/>
          <w:lang w:val="es-ES_tradnl"/>
        </w:rPr>
        <w:t>La etapa de evaluación del uso actual del espectro por diferentes tecnologías y aplicaciones comprende las siguientes tareas principales:</w:t>
      </w:r>
    </w:p>
    <w:p w14:paraId="45C5D911" w14:textId="77777777" w:rsidR="00193B55" w:rsidRPr="007E1FB5" w:rsidRDefault="00193B55" w:rsidP="00193B55">
      <w:pPr>
        <w:pStyle w:val="enumlev1"/>
        <w:keepNext/>
        <w:keepLines/>
        <w:rPr>
          <w:rFonts w:eastAsiaTheme="minorEastAsia"/>
          <w:lang w:val="es-ES_tradnl"/>
        </w:rPr>
      </w:pPr>
      <w:r w:rsidRPr="007E1FB5">
        <w:rPr>
          <w:rFonts w:eastAsiaTheme="minorEastAsia"/>
          <w:lang w:val="es-ES_tradnl"/>
        </w:rPr>
        <w:t>–</w:t>
      </w:r>
      <w:r w:rsidRPr="007E1FB5">
        <w:rPr>
          <w:rFonts w:eastAsiaTheme="minorEastAsia"/>
          <w:lang w:val="es-ES_tradnl"/>
        </w:rPr>
        <w:tab/>
        <w:t>evaluación del espectro realmente utilizado por aplicaciones y sistemas móviles, fijos, de radiodifusión, por satélite y SRD;</w:t>
      </w:r>
    </w:p>
    <w:p w14:paraId="522548A7"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determinación de las bandas de frecuencias en las que podrían implementarse nuevas tecnologías y aplicaciones;</w:t>
      </w:r>
    </w:p>
    <w:p w14:paraId="7B610296"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determinación de las bandas de frecuencias utilizadas de manera ineficiente.</w:t>
      </w:r>
    </w:p>
    <w:p w14:paraId="53AD1F1D" w14:textId="77777777" w:rsidR="00193B55" w:rsidRPr="007E1FB5" w:rsidRDefault="00193B55" w:rsidP="00193B55">
      <w:pPr>
        <w:pStyle w:val="Headingb"/>
        <w:rPr>
          <w:lang w:val="es-ES_tradnl"/>
        </w:rPr>
      </w:pPr>
      <w:r w:rsidRPr="007E1FB5">
        <w:rPr>
          <w:lang w:val="es-ES_tradnl"/>
        </w:rPr>
        <w:lastRenderedPageBreak/>
        <w:t>Elaboración de la lista de tecnologías prospectivas</w:t>
      </w:r>
    </w:p>
    <w:p w14:paraId="338F87A8" w14:textId="77777777" w:rsidR="00193B55" w:rsidRPr="007E1FB5" w:rsidRDefault="00193B55" w:rsidP="00193B55">
      <w:pPr>
        <w:rPr>
          <w:rFonts w:eastAsiaTheme="minorEastAsia"/>
          <w:lang w:val="es-ES_tradnl"/>
        </w:rPr>
      </w:pPr>
      <w:r w:rsidRPr="007E1FB5">
        <w:rPr>
          <w:rFonts w:eastAsiaTheme="minorEastAsia"/>
          <w:lang w:val="es-ES_tradnl"/>
        </w:rPr>
        <w:t>Cabe la posibilidad de utilizar métodos periciales para elaborar la lista de tecnologías prospectivas. En este caso, se ha optado por dicha categoría, dada la escasez de datos estadísticos sobre el uso de las nuevas tecnologías, si las hubiere.</w:t>
      </w:r>
    </w:p>
    <w:p w14:paraId="245415FE" w14:textId="77777777" w:rsidR="00193B55" w:rsidRPr="007E1FB5" w:rsidRDefault="00193B55" w:rsidP="00193B55">
      <w:pPr>
        <w:rPr>
          <w:rFonts w:eastAsiaTheme="minorEastAsia"/>
          <w:lang w:val="es-ES_tradnl"/>
        </w:rPr>
      </w:pPr>
      <w:r w:rsidRPr="007E1FB5">
        <w:rPr>
          <w:rFonts w:eastAsiaTheme="minorEastAsia"/>
          <w:lang w:val="es-ES_tradnl"/>
        </w:rPr>
        <w:t>La información necesaria puede recopilarse a través de debates o cuestionarios.</w:t>
      </w:r>
    </w:p>
    <w:p w14:paraId="48DC8292" w14:textId="77777777" w:rsidR="00193B55" w:rsidRPr="007E1FB5" w:rsidRDefault="00193B55" w:rsidP="00193B55">
      <w:pPr>
        <w:rPr>
          <w:rFonts w:eastAsiaTheme="minorEastAsia"/>
          <w:lang w:val="es-ES_tradnl"/>
        </w:rPr>
      </w:pPr>
      <w:r w:rsidRPr="007E1FB5">
        <w:rPr>
          <w:rFonts w:eastAsiaTheme="minorEastAsia"/>
          <w:lang w:val="es-ES_tradnl"/>
        </w:rPr>
        <w:t>Los dictámenes periciales son opiniones de profesionales altamente calificados, expresadas en forma de evaluaciones cualitativas o cuantitativas del objeto, y deben utilizarse en el proceso de toma de decisiones.</w:t>
      </w:r>
    </w:p>
    <w:p w14:paraId="4E89F7F3" w14:textId="77777777" w:rsidR="00193B55" w:rsidRPr="007E1FB5" w:rsidRDefault="00193B55" w:rsidP="00193B55">
      <w:pPr>
        <w:rPr>
          <w:rFonts w:eastAsiaTheme="minorEastAsia"/>
          <w:lang w:val="es-ES_tradnl"/>
        </w:rPr>
      </w:pPr>
      <w:r w:rsidRPr="007E1FB5">
        <w:rPr>
          <w:rFonts w:eastAsiaTheme="minorEastAsia"/>
          <w:lang w:val="es-ES_tradnl"/>
        </w:rPr>
        <w:t>A fin de evaluar los indicadores cualitativos, podría utilizarse una escala verbal-numérica, incluida una descripción de sus niveles y de los valores numéricos o rangos adecuados.</w:t>
      </w:r>
    </w:p>
    <w:p w14:paraId="1DFA081C" w14:textId="77777777" w:rsidR="00193B55" w:rsidRPr="007E1FB5" w:rsidRDefault="00193B55" w:rsidP="00193B55">
      <w:pPr>
        <w:rPr>
          <w:rFonts w:eastAsiaTheme="minorEastAsia"/>
          <w:lang w:val="es-ES_tradnl"/>
        </w:rPr>
      </w:pPr>
      <w:r w:rsidRPr="007E1FB5">
        <w:rPr>
          <w:rFonts w:eastAsiaTheme="minorEastAsia"/>
          <w:lang w:val="es-ES_tradnl"/>
        </w:rPr>
        <w:t>La evaluación pericial puede ser individual o colectiva y comprender una o varias rondas, con miras a permitir o impedir, según el caso, el intercambio de información entre expertos. Además, pueden ser abiertas o anónimas. La variedad de campos en los que pueden aplicarse dota a los métodos periciales de un carácter heterogéneo y flexible. Sin embargo, no siempre es posible poner en práctica un esquema conocido y extendido. Por tanto, se recomienda a las administraciones que, al llevar a cabo evaluaciones periciales complejas y poco comunes, utilicen las técnicas periciales más conocidas de forma creativa y las combinen entre sí. En algunos, convendría formular un nuevo enfoque pericial. Las técnicas periciales más sencillas y conocidas son la evaluación en comisión, la conformación de un jurado de opinión ejecutiva y la lluvia de ideas. La primera consiste en celebrar un conjunto de debates abiertos sobre un tema, con miras a la formulación de una opinión integrada. La segunda (jurado de opinión ejecutiva) supone que la evaluación pericial se lleva a cabo por analogía con un proceso.</w:t>
      </w:r>
    </w:p>
    <w:p w14:paraId="1C15E40E" w14:textId="77777777" w:rsidR="00193B55" w:rsidRPr="007E1FB5" w:rsidRDefault="00193B55" w:rsidP="00193B55">
      <w:pPr>
        <w:rPr>
          <w:rFonts w:eastAsiaTheme="minorEastAsia"/>
          <w:lang w:val="es-ES_tradnl"/>
        </w:rPr>
      </w:pPr>
      <w:r w:rsidRPr="007E1FB5">
        <w:rPr>
          <w:rFonts w:eastAsiaTheme="minorEastAsia"/>
          <w:lang w:val="es-ES_tradnl"/>
        </w:rPr>
        <w:t>En el marco de la lluvia de ideas, cabría examinar todas las ideas sin rechazar ninguna. El gestor de la evaluación pericial es consciente del objetivo final de la discusión y la dirige en consecuencia.</w:t>
      </w:r>
    </w:p>
    <w:p w14:paraId="0EDAA450" w14:textId="77777777" w:rsidR="00193B55" w:rsidRPr="007E1FB5" w:rsidRDefault="00193B55" w:rsidP="00193B55">
      <w:pPr>
        <w:rPr>
          <w:rFonts w:eastAsiaTheme="minorEastAsia"/>
          <w:lang w:val="es-ES_tradnl"/>
        </w:rPr>
      </w:pPr>
      <w:r w:rsidRPr="007E1FB5">
        <w:rPr>
          <w:rFonts w:eastAsiaTheme="minorEastAsia"/>
          <w:lang w:val="es-ES_tradnl"/>
        </w:rPr>
        <w:t>Los expertos llevan a cabo una evaluación de la prospectividad de todas y cada una de las tecnologías elegidas. A fin de evaluar la prospectividad de las distintas tecnologías, puede utilizarse el método Delphi, al que se recurre con frecuencia a estos efectos. Dicho método permite considerar las opiniones independientes de cada experto competente, mediante la consolidación consecutiva de ideas, conclusiones y propuestas, con objeto de lograr un acuerdo final. Este método se basa en múltiples entrevistas grupales anónimas.</w:t>
      </w:r>
    </w:p>
    <w:p w14:paraId="74DE3F84" w14:textId="77777777" w:rsidR="00193B55" w:rsidRPr="007E1FB5" w:rsidRDefault="00193B55" w:rsidP="00193B55">
      <w:pPr>
        <w:rPr>
          <w:rFonts w:eastAsiaTheme="minorEastAsia"/>
          <w:lang w:val="es-ES_tradnl"/>
        </w:rPr>
      </w:pPr>
      <w:r w:rsidRPr="007E1FB5">
        <w:rPr>
          <w:rFonts w:eastAsiaTheme="minorEastAsia"/>
          <w:lang w:val="es-ES_tradnl"/>
        </w:rPr>
        <w:t>La técnica de Delphi comprende un conjunto de métodos combinados de acuerdo con los requisitos de organización del procedimiento general, así como de formas de recibir la evaluación de los expertos. La eficacia de la labor de los expertos viene garantizada por el anonimato del procedimiento y la posibilidad de obtener más información sobre el tema abordado. En general, el proceso se lleva a cabo en múltiples rondas, para poder aportar retroinformación. De esta forma, los expertos pueden ajustar sus opiniones de acuerdo con las evaluaciones medias provisionales y las aclaraciones de sus homólogos. Actualmente, no se ha llegado a ningún acuerdo sobre el número de rondas que debe incluir el método Delphi. Esta cuestión depende de las características específicas del proceso y de sus objetivos. Normalmente, las evaluaciones no se modifican a partir de la segunda ronda.</w:t>
      </w:r>
    </w:p>
    <w:p w14:paraId="0D379C79" w14:textId="77777777" w:rsidR="00193B55" w:rsidRPr="007E1FB5" w:rsidRDefault="00193B55" w:rsidP="00193B55">
      <w:pPr>
        <w:rPr>
          <w:rFonts w:eastAsiaTheme="minorEastAsia"/>
          <w:lang w:val="es-ES_tradnl"/>
        </w:rPr>
      </w:pPr>
      <w:r w:rsidRPr="007E1FB5">
        <w:rPr>
          <w:rFonts w:eastAsiaTheme="minorEastAsia"/>
          <w:lang w:val="es-ES_tradnl"/>
        </w:rPr>
        <w:t>Cada paso implica una serie de procedimientos típicos. En primer lugar, se solicita a los expertos que evalúen el tema cualitativamente respondiendo a preguntas tales como en qué momento se espera un determinado evento, o qué importancia tienen las características en las puntuaciones. Una vez recibidas las respuestas de los expertos, se clasifican los datos y se calculan la mediana y los cuartiles de los datos ordenados. A continuación, los resultados se comunican a los expertos, a quienes se piden aclaraciones sobre sus opiniones. Esto último se aplica especialmente a los expertos cuyas evaluaciones quedan fuera del límite de los cuartiles. Antes de comenzar el procedimiento, los expertos reciben toda la información disponible sobre el tema.</w:t>
      </w:r>
    </w:p>
    <w:p w14:paraId="297A88A1" w14:textId="77777777" w:rsidR="00193B55" w:rsidRPr="007E1FB5" w:rsidRDefault="00193B55" w:rsidP="00193B55">
      <w:pPr>
        <w:rPr>
          <w:rFonts w:eastAsiaTheme="minorEastAsia"/>
          <w:lang w:val="es-ES_tradnl"/>
        </w:rPr>
      </w:pPr>
      <w:r w:rsidRPr="007E1FB5">
        <w:rPr>
          <w:rFonts w:eastAsiaTheme="minorEastAsia"/>
          <w:lang w:val="es-ES_tradnl"/>
        </w:rPr>
        <w:lastRenderedPageBreak/>
        <w:t>Cada experto recibe un cuestionario. Si las preguntas son difíciles, deben ir seguidas de una nota explicativa. La Fig. 2 ilustra un esquema de evaluación de la prospectividad de la tecnología.</w:t>
      </w:r>
    </w:p>
    <w:p w14:paraId="5CD84494" w14:textId="77777777" w:rsidR="00193B55" w:rsidRPr="007E1FB5" w:rsidRDefault="00193B55" w:rsidP="00193B55">
      <w:pPr>
        <w:pStyle w:val="FigureNo"/>
        <w:rPr>
          <w:rFonts w:eastAsiaTheme="minorEastAsia"/>
          <w:lang w:val="es-ES_tradnl"/>
        </w:rPr>
      </w:pPr>
      <w:r w:rsidRPr="007E1FB5">
        <w:rPr>
          <w:rFonts w:eastAsiaTheme="minorEastAsia"/>
          <w:lang w:val="es-ES_tradnl"/>
        </w:rPr>
        <w:t>FigurA 2</w:t>
      </w:r>
    </w:p>
    <w:p w14:paraId="6FCBD587" w14:textId="77777777" w:rsidR="00193B55" w:rsidRPr="007E1FB5" w:rsidRDefault="00193B55" w:rsidP="00193B55">
      <w:pPr>
        <w:pStyle w:val="Figuretitle"/>
        <w:rPr>
          <w:rFonts w:eastAsiaTheme="minorEastAsia"/>
          <w:lang w:val="es-ES_tradnl"/>
        </w:rPr>
      </w:pPr>
      <w:r w:rsidRPr="007E1FB5">
        <w:rPr>
          <w:rFonts w:eastAsiaTheme="minorEastAsia"/>
          <w:lang w:val="es-ES_tradnl"/>
        </w:rPr>
        <w:t>Evaluación de la prospectividad de la tecnología</w:t>
      </w:r>
    </w:p>
    <w:p w14:paraId="79CB8E3B" w14:textId="77777777" w:rsidR="00193B55" w:rsidRPr="007E1FB5" w:rsidRDefault="00193B55" w:rsidP="00193B55">
      <w:pPr>
        <w:pStyle w:val="Normalaftertitle"/>
        <w:rPr>
          <w:rFonts w:eastAsiaTheme="minorEastAsia"/>
          <w:lang w:val="es-ES_tradnl"/>
        </w:rPr>
      </w:pPr>
      <w:r w:rsidRPr="007E1FB5">
        <w:rPr>
          <w:rFonts w:eastAsiaTheme="minorEastAsia"/>
          <w:noProof/>
          <w:lang w:val="es-ES_tradnl"/>
        </w:rPr>
        <w:drawing>
          <wp:inline distT="0" distB="0" distL="0" distR="0" wp14:anchorId="0432BF77" wp14:editId="301DBE72">
            <wp:extent cx="6120765" cy="3175000"/>
            <wp:effectExtent l="0" t="0" r="0" b="6350"/>
            <wp:docPr id="464833190" name="Picture 2" descr="La FIGURA 2 muestra la Evaluación de la prospectividad de la tecnologí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33190" name="Picture 2" descr="La FIGURA 2 muestra la Evaluación de la prospectividad de la tecnología&#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765" cy="3175000"/>
                    </a:xfrm>
                    <a:prstGeom prst="rect">
                      <a:avLst/>
                    </a:prstGeom>
                  </pic:spPr>
                </pic:pic>
              </a:graphicData>
            </a:graphic>
          </wp:inline>
        </w:drawing>
      </w:r>
    </w:p>
    <w:p w14:paraId="111C66BF" w14:textId="77777777" w:rsidR="00193B55" w:rsidRPr="007E1FB5" w:rsidRDefault="00193B55" w:rsidP="00193B55">
      <w:pPr>
        <w:pStyle w:val="Normalaftertitle"/>
        <w:rPr>
          <w:rFonts w:eastAsiaTheme="minorEastAsia"/>
          <w:lang w:val="es-ES_tradnl"/>
        </w:rPr>
      </w:pPr>
      <w:r w:rsidRPr="007E1FB5">
        <w:rPr>
          <w:rFonts w:eastAsiaTheme="minorEastAsia"/>
          <w:lang w:val="es-ES_tradnl"/>
        </w:rPr>
        <w:t>En la Fig. 3 se muestra el algoritmo desarrollado para obtener los datos de partida que se aplicarán en la evaluación de la prospectividad de la tecnología basada en el método Delphi.</w:t>
      </w:r>
    </w:p>
    <w:p w14:paraId="099E63DD" w14:textId="77777777" w:rsidR="00193B55" w:rsidRPr="007E1FB5" w:rsidRDefault="00193B55" w:rsidP="00193B55">
      <w:pPr>
        <w:pStyle w:val="FigureNo"/>
        <w:rPr>
          <w:rFonts w:eastAsiaTheme="minorEastAsia"/>
          <w:lang w:val="es-ES_tradnl"/>
        </w:rPr>
      </w:pPr>
      <w:r w:rsidRPr="007E1FB5">
        <w:rPr>
          <w:rFonts w:eastAsiaTheme="minorEastAsia"/>
          <w:lang w:val="es-ES_tradnl"/>
        </w:rPr>
        <w:lastRenderedPageBreak/>
        <w:t>FigurA 3</w:t>
      </w:r>
    </w:p>
    <w:p w14:paraId="1C69CAC9" w14:textId="77777777" w:rsidR="00193B55" w:rsidRPr="007E1FB5" w:rsidRDefault="00193B55" w:rsidP="00193B55">
      <w:pPr>
        <w:pStyle w:val="Figuretitle"/>
        <w:rPr>
          <w:rFonts w:eastAsiaTheme="minorEastAsia"/>
          <w:lang w:val="es-ES_tradnl"/>
        </w:rPr>
      </w:pPr>
      <w:r w:rsidRPr="007E1FB5">
        <w:rPr>
          <w:rFonts w:eastAsiaTheme="minorEastAsia"/>
          <w:lang w:val="es-ES_tradnl"/>
        </w:rPr>
        <w:t>Algoritmo para realizar una encuesta a expertos utilizando el método Delphi</w:t>
      </w:r>
    </w:p>
    <w:p w14:paraId="21954F06" w14:textId="77777777" w:rsidR="00193B55" w:rsidRPr="007E1FB5" w:rsidRDefault="00193B55" w:rsidP="00193B55">
      <w:pPr>
        <w:pStyle w:val="Figure"/>
        <w:rPr>
          <w:rFonts w:eastAsiaTheme="minorEastAsia"/>
          <w:lang w:val="es-ES_tradnl"/>
        </w:rPr>
      </w:pPr>
      <w:r w:rsidRPr="007E1FB5">
        <w:rPr>
          <w:rFonts w:eastAsiaTheme="minorEastAsia"/>
          <w:noProof/>
          <w:lang w:val="es-ES_tradnl"/>
        </w:rPr>
        <w:drawing>
          <wp:inline distT="0" distB="0" distL="0" distR="0" wp14:anchorId="3F088A6C" wp14:editId="7F388EB8">
            <wp:extent cx="6120765" cy="7381875"/>
            <wp:effectExtent l="0" t="0" r="0" b="9525"/>
            <wp:docPr id="566401207" name="Picture 3" descr="La FIGURA 3 muestra el Algoritmo para realizar una encuesta a expertos utilizando el método Delph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01207" name="Picture 3" descr="La FIGURA 3 muestra el Algoritmo para realizar una encuesta a expertos utilizando el método Delphi&#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7381875"/>
                    </a:xfrm>
                    <a:prstGeom prst="rect">
                      <a:avLst/>
                    </a:prstGeom>
                  </pic:spPr>
                </pic:pic>
              </a:graphicData>
            </a:graphic>
          </wp:inline>
        </w:drawing>
      </w:r>
    </w:p>
    <w:p w14:paraId="78055006" w14:textId="77777777" w:rsidR="00193B55" w:rsidRPr="007E1FB5" w:rsidRDefault="00193B55" w:rsidP="00193B55">
      <w:pPr>
        <w:pStyle w:val="Normalaftertitle"/>
        <w:keepNext/>
        <w:keepLines/>
        <w:rPr>
          <w:rFonts w:eastAsiaTheme="minorEastAsia"/>
          <w:lang w:val="es-ES_tradnl"/>
        </w:rPr>
      </w:pPr>
      <w:r w:rsidRPr="007E1FB5">
        <w:rPr>
          <w:rFonts w:eastAsiaTheme="minorEastAsia"/>
          <w:lang w:val="es-ES_tradnl"/>
        </w:rPr>
        <w:lastRenderedPageBreak/>
        <w:t>De acuerdo con el procedimiento elaborado, el grupo de expertos se conforma en la primera fase. A fin de determinar el número de expertos necesarios para obtener resultados representativos, se utiliza la siguiente fórmula:</w:t>
      </w:r>
    </w:p>
    <w:p w14:paraId="7EDBF4E1" w14:textId="77777777" w:rsidR="00193B55" w:rsidRPr="007E1FB5" w:rsidRDefault="00193B55" w:rsidP="00193B55">
      <w:pPr>
        <w:pStyle w:val="Equation"/>
        <w:keepNext/>
        <w:keepLines/>
        <w:rPr>
          <w:rFonts w:eastAsiaTheme="minorEastAsia"/>
          <w:lang w:val="es-ES_tradnl"/>
        </w:rPr>
      </w:pPr>
      <w:r w:rsidRPr="007E1FB5">
        <w:rPr>
          <w:rFonts w:eastAsiaTheme="minorEastAsia"/>
          <w:lang w:val="es-ES_tradnl"/>
        </w:rPr>
        <w:tab/>
      </w:r>
      <w:r w:rsidRPr="007E1FB5">
        <w:rPr>
          <w:rFonts w:eastAsiaTheme="minorEastAsia"/>
          <w:lang w:val="es-ES_tradnl"/>
        </w:rPr>
        <w:tab/>
      </w:r>
      <w:r w:rsidRPr="007E1FB5">
        <w:rPr>
          <w:rFonts w:eastAsiaTheme="minorEastAsia"/>
          <w:lang w:val="es-ES_tradnl"/>
        </w:rPr>
        <w:object w:dxaOrig="1060" w:dyaOrig="740" w14:anchorId="286649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5pt;height:36pt" o:ole="">
            <v:imagedata r:id="rId23" o:title=""/>
          </v:shape>
          <o:OLEObject Type="Embed" ProgID="Equation.DSMT4" ShapeID="_x0000_i1025" DrawAspect="Content" ObjectID="_1827647669" r:id="rId24"/>
        </w:object>
      </w:r>
      <w:r w:rsidRPr="007E1FB5">
        <w:rPr>
          <w:rFonts w:eastAsiaTheme="minorEastAsia"/>
          <w:lang w:val="es-ES_tradnl"/>
        </w:rPr>
        <w:tab/>
        <w:t>(1)</w:t>
      </w:r>
    </w:p>
    <w:p w14:paraId="574E61EF" w14:textId="3DFB2CA6" w:rsidR="00193B55" w:rsidRPr="007E1FB5" w:rsidRDefault="00193B55" w:rsidP="00193B55">
      <w:pPr>
        <w:rPr>
          <w:rFonts w:eastAsiaTheme="minorEastAsia"/>
          <w:lang w:val="es-ES_tradnl"/>
        </w:rPr>
      </w:pPr>
      <w:r w:rsidRPr="007E1FB5">
        <w:rPr>
          <w:rFonts w:eastAsiaTheme="minorEastAsia"/>
          <w:lang w:val="es-ES_tradnl"/>
        </w:rPr>
        <w:t xml:space="preserve">En este caso, </w:t>
      </w:r>
      <w:r w:rsidRPr="007E1FB5">
        <w:rPr>
          <w:rFonts w:eastAsiaTheme="minorEastAsia"/>
          <w:i/>
          <w:iCs/>
          <w:lang w:val="es-ES_tradnl"/>
        </w:rPr>
        <w:t>Z</w:t>
      </w:r>
      <w:r w:rsidRPr="007E1FB5">
        <w:rPr>
          <w:rFonts w:eastAsiaTheme="minorEastAsia"/>
          <w:i/>
          <w:iCs/>
          <w:vertAlign w:val="subscript"/>
          <w:lang w:val="es-ES_tradnl"/>
        </w:rPr>
        <w:t>P</w:t>
      </w:r>
      <w:r w:rsidRPr="007E1FB5">
        <w:rPr>
          <w:rFonts w:eastAsiaTheme="minorEastAsia"/>
          <w:lang w:val="es-ES_tradnl"/>
        </w:rPr>
        <w:t xml:space="preserve"> se determina de acuerdo con la figura, utilizando el valor de probabilidad de confianza de 1 − α. Para 1 − α = 0,95, </w:t>
      </w:r>
      <w:r w:rsidRPr="007E1FB5">
        <w:rPr>
          <w:rFonts w:eastAsiaTheme="minorEastAsia"/>
          <w:i/>
          <w:iCs/>
          <w:lang w:val="es-ES_tradnl"/>
        </w:rPr>
        <w:t>Z</w:t>
      </w:r>
      <w:r w:rsidRPr="007E1FB5">
        <w:rPr>
          <w:rFonts w:eastAsiaTheme="minorEastAsia"/>
          <w:i/>
          <w:iCs/>
          <w:vertAlign w:val="subscript"/>
          <w:lang w:val="es-ES_tradnl"/>
        </w:rPr>
        <w:t>P</w:t>
      </w:r>
      <w:r w:rsidRPr="007E1FB5">
        <w:rPr>
          <w:rFonts w:eastAsiaTheme="minorEastAsia"/>
          <w:lang w:val="es-ES_tradnl"/>
        </w:rPr>
        <w:t xml:space="preserve"> = 1,96; </w:t>
      </w:r>
      <m:oMath>
        <m:sSup>
          <m:sSupPr>
            <m:ctrlPr>
              <w:rPr>
                <w:rFonts w:ascii="Cambria Math" w:eastAsiaTheme="minorEastAsia" w:hAnsi="Cambria Math"/>
                <w:i/>
              </w:rPr>
            </m:ctrlPr>
          </m:sSupPr>
          <m:e>
            <m:r>
              <m:rPr>
                <m:sty m:val="p"/>
              </m:rPr>
              <w:rPr>
                <w:rFonts w:ascii="Cambria Math" w:eastAsiaTheme="minorEastAsia" w:hAnsi="Cambria Math"/>
              </w:rPr>
              <m:t>σ</m:t>
            </m:r>
          </m:e>
          <m:sup>
            <m:r>
              <w:rPr>
                <w:rFonts w:ascii="Cambria Math" w:eastAsiaTheme="minorEastAsia" w:hAnsi="Cambria Math"/>
              </w:rPr>
              <m:t>2</m:t>
            </m:r>
          </m:sup>
        </m:sSup>
        <m:r>
          <w:rPr>
            <w:rFonts w:ascii="Cambria Math" w:eastAsiaTheme="minorEastAsia" w:hAnsi="Cambria Math"/>
          </w:rPr>
          <m:t xml:space="preserve"> </m:t>
        </m:r>
      </m:oMath>
      <w:r w:rsidRPr="007E1FB5">
        <w:rPr>
          <w:rFonts w:eastAsiaTheme="minorEastAsia"/>
          <w:lang w:val="es-ES_tradnl"/>
        </w:rPr>
        <w:t>– variación de las evaluaciones de los expertos; y</w:t>
      </w:r>
      <w:r w:rsidR="00990271">
        <w:rPr>
          <w:rFonts w:eastAsiaTheme="minorEastAsia"/>
          <w:lang w:val="es-ES_tradnl"/>
        </w:rPr>
        <w:t xml:space="preserve"> </w:t>
      </w:r>
      <w:r w:rsidR="00990271">
        <w:rPr>
          <w:rFonts w:eastAsiaTheme="minorEastAsia"/>
        </w:rPr>
        <w:sym w:font="Symbol" w:char="F044"/>
      </w:r>
      <w:r w:rsidR="00990271">
        <w:rPr>
          <w:rFonts w:eastAsiaTheme="minorEastAsia"/>
        </w:rPr>
        <w:t xml:space="preserve"> </w:t>
      </w:r>
      <w:r w:rsidRPr="007E1FB5">
        <w:rPr>
          <w:rFonts w:eastAsiaTheme="minorEastAsia"/>
          <w:lang w:val="es-ES_tradnl"/>
        </w:rPr>
        <w:t>– precisión de la evaluación.</w:t>
      </w:r>
    </w:p>
    <w:p w14:paraId="750FF3F3" w14:textId="77777777" w:rsidR="00193B55" w:rsidRPr="007E1FB5" w:rsidRDefault="00193B55" w:rsidP="00193B55">
      <w:pPr>
        <w:rPr>
          <w:rFonts w:eastAsiaTheme="minorEastAsia"/>
          <w:lang w:val="es-ES_tradnl"/>
        </w:rPr>
      </w:pPr>
      <w:r w:rsidRPr="007E1FB5">
        <w:rPr>
          <w:rFonts w:eastAsiaTheme="minorEastAsia"/>
          <w:lang w:val="es-ES_tradnl"/>
        </w:rPr>
        <w:t>En esta fase, los expertos también definen criterios de evaluación de la prospectividad de la tecnología. A tal efecto, existen tres grupos de criterios:</w:t>
      </w:r>
    </w:p>
    <w:p w14:paraId="000EA139"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técnicos;</w:t>
      </w:r>
    </w:p>
    <w:p w14:paraId="4C4BC992"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comerciales; y</w:t>
      </w:r>
    </w:p>
    <w:p w14:paraId="1280B2EC"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económicos.</w:t>
      </w:r>
    </w:p>
    <w:p w14:paraId="6E5CB06B" w14:textId="77777777" w:rsidR="00193B55" w:rsidRPr="007E1FB5" w:rsidRDefault="00193B55" w:rsidP="00193B55">
      <w:pPr>
        <w:rPr>
          <w:rFonts w:eastAsiaTheme="minorEastAsia"/>
          <w:lang w:val="es-ES_tradnl"/>
        </w:rPr>
      </w:pPr>
      <w:r w:rsidRPr="007E1FB5">
        <w:rPr>
          <w:rFonts w:eastAsiaTheme="minorEastAsia"/>
          <w:lang w:val="es-ES_tradnl"/>
        </w:rPr>
        <w:t>A continuación, se proporcionan ejemplos de cada grupo de criterios.</w:t>
      </w:r>
    </w:p>
    <w:p w14:paraId="74E8EAE9" w14:textId="77777777" w:rsidR="00193B55" w:rsidRPr="007E1FB5" w:rsidRDefault="00193B55" w:rsidP="00193B55">
      <w:pPr>
        <w:spacing w:after="120"/>
        <w:rPr>
          <w:rFonts w:eastAsiaTheme="minorEastAsia"/>
          <w:lang w:val="es-ES_tradnl"/>
        </w:rPr>
      </w:pPr>
      <w:r w:rsidRPr="007E1FB5">
        <w:rPr>
          <w:rFonts w:eastAsiaTheme="minorEastAsia"/>
          <w:lang w:val="es-ES_tradnl"/>
        </w:rPr>
        <w:t>Criterios técnicos:</w:t>
      </w:r>
    </w:p>
    <w:tbl>
      <w:tblPr>
        <w:tblW w:w="9639" w:type="dxa"/>
        <w:jc w:val="center"/>
        <w:tblLook w:val="01E0" w:firstRow="1" w:lastRow="1" w:firstColumn="1" w:lastColumn="1" w:noHBand="0" w:noVBand="0"/>
      </w:tblPr>
      <w:tblGrid>
        <w:gridCol w:w="528"/>
        <w:gridCol w:w="440"/>
        <w:gridCol w:w="8671"/>
      </w:tblGrid>
      <w:tr w:rsidR="00193B55" w:rsidRPr="007E1FB5" w14:paraId="52BE55EA" w14:textId="77777777" w:rsidTr="003D49C3">
        <w:trPr>
          <w:jc w:val="center"/>
        </w:trPr>
        <w:tc>
          <w:tcPr>
            <w:tcW w:w="274" w:type="pct"/>
            <w:hideMark/>
          </w:tcPr>
          <w:p w14:paraId="2688D82B" w14:textId="77777777" w:rsidR="00193B55" w:rsidRPr="007E1FB5" w:rsidRDefault="00193B55" w:rsidP="003D49C3">
            <w:pPr>
              <w:pStyle w:val="Tabletext"/>
              <w:rPr>
                <w:rFonts w:eastAsiaTheme="minorEastAsia"/>
                <w:i/>
                <w:iCs/>
                <w:lang w:val="es-ES_tradnl"/>
              </w:rPr>
            </w:pPr>
            <w:r w:rsidRPr="007E1FB5">
              <w:rPr>
                <w:rFonts w:eastAsiaTheme="minorEastAsia"/>
                <w:i/>
                <w:iCs/>
                <w:lang w:val="es-ES_tradnl"/>
              </w:rPr>
              <w:t>К</w:t>
            </w:r>
            <w:r w:rsidRPr="007E1FB5">
              <w:rPr>
                <w:rFonts w:eastAsiaTheme="minorEastAsia"/>
                <w:i/>
                <w:iCs/>
                <w:vertAlign w:val="subscript"/>
                <w:lang w:val="es-ES_tradnl"/>
              </w:rPr>
              <w:t>V</w:t>
            </w:r>
          </w:p>
        </w:tc>
        <w:tc>
          <w:tcPr>
            <w:tcW w:w="228" w:type="pct"/>
            <w:hideMark/>
          </w:tcPr>
          <w:p w14:paraId="6AD9B645" w14:textId="77777777" w:rsidR="00193B55" w:rsidRPr="007E1FB5" w:rsidRDefault="00193B55" w:rsidP="003D49C3">
            <w:pPr>
              <w:pStyle w:val="Tabletext"/>
              <w:rPr>
                <w:rFonts w:eastAsiaTheme="minorEastAsia"/>
                <w:lang w:val="es-ES_tradnl"/>
              </w:rPr>
            </w:pPr>
            <w:r w:rsidRPr="007E1FB5">
              <w:rPr>
                <w:rFonts w:eastAsiaTheme="minorEastAsia"/>
                <w:lang w:val="es-ES_tradnl"/>
              </w:rPr>
              <w:t>–</w:t>
            </w:r>
          </w:p>
        </w:tc>
        <w:tc>
          <w:tcPr>
            <w:tcW w:w="4498" w:type="pct"/>
            <w:hideMark/>
          </w:tcPr>
          <w:p w14:paraId="3D326E4D" w14:textId="77777777" w:rsidR="00193B55" w:rsidRPr="007E1FB5" w:rsidRDefault="00193B55" w:rsidP="003D49C3">
            <w:pPr>
              <w:pStyle w:val="Tabletext"/>
              <w:rPr>
                <w:rFonts w:eastAsiaTheme="minorEastAsia"/>
                <w:lang w:val="es-ES_tradnl"/>
              </w:rPr>
            </w:pPr>
            <w:r w:rsidRPr="007E1FB5">
              <w:rPr>
                <w:rFonts w:eastAsiaTheme="minorEastAsia"/>
                <w:lang w:val="es-ES_tradnl"/>
              </w:rPr>
              <w:t>Plazo previsto para la liberación del espectro. Este indicador es importante no sólo para el operador, sino también para el gobierno. El plazo para la liberación del espectro determina el plazo tanto de implementación de la nueva tecnología, como de percepción de los beneficios. Cuanto antes se libere el espectro, más perspectivas habrá para el desarrollo de la tecnología considerada (puntuación superior).</w:t>
            </w:r>
          </w:p>
        </w:tc>
      </w:tr>
      <w:tr w:rsidR="00193B55" w:rsidRPr="007E1FB5" w14:paraId="0D357233" w14:textId="77777777" w:rsidTr="003D49C3">
        <w:trPr>
          <w:jc w:val="center"/>
        </w:trPr>
        <w:tc>
          <w:tcPr>
            <w:tcW w:w="274" w:type="pct"/>
            <w:hideMark/>
          </w:tcPr>
          <w:p w14:paraId="6AF2D8F5" w14:textId="77777777" w:rsidR="00193B55" w:rsidRPr="007E1FB5" w:rsidRDefault="00193B55" w:rsidP="003D49C3">
            <w:pPr>
              <w:pStyle w:val="Tabletext"/>
              <w:rPr>
                <w:rFonts w:eastAsiaTheme="minorEastAsia"/>
                <w:i/>
                <w:iCs/>
                <w:lang w:val="es-ES_tradnl"/>
              </w:rPr>
            </w:pPr>
            <w:r w:rsidRPr="007E1FB5">
              <w:rPr>
                <w:rFonts w:eastAsiaTheme="minorEastAsia"/>
                <w:i/>
                <w:iCs/>
                <w:lang w:val="es-ES_tradnl"/>
              </w:rPr>
              <w:t>К</w:t>
            </w:r>
            <w:r w:rsidRPr="007E1FB5">
              <w:rPr>
                <w:rFonts w:eastAsiaTheme="minorEastAsia"/>
                <w:i/>
                <w:iCs/>
                <w:vertAlign w:val="subscript"/>
                <w:lang w:val="es-ES_tradnl"/>
              </w:rPr>
              <w:t>D</w:t>
            </w:r>
          </w:p>
        </w:tc>
        <w:tc>
          <w:tcPr>
            <w:tcW w:w="228" w:type="pct"/>
            <w:hideMark/>
          </w:tcPr>
          <w:p w14:paraId="017A1EE0" w14:textId="77777777" w:rsidR="00193B55" w:rsidRPr="007E1FB5" w:rsidRDefault="00193B55" w:rsidP="003D49C3">
            <w:pPr>
              <w:pStyle w:val="Tabletext"/>
              <w:rPr>
                <w:rFonts w:eastAsiaTheme="minorEastAsia"/>
                <w:lang w:val="es-ES_tradnl"/>
              </w:rPr>
            </w:pPr>
            <w:r w:rsidRPr="007E1FB5">
              <w:rPr>
                <w:rFonts w:eastAsiaTheme="minorEastAsia"/>
                <w:lang w:val="es-ES_tradnl"/>
              </w:rPr>
              <w:t>–</w:t>
            </w:r>
          </w:p>
        </w:tc>
        <w:tc>
          <w:tcPr>
            <w:tcW w:w="4498" w:type="pct"/>
            <w:hideMark/>
          </w:tcPr>
          <w:p w14:paraId="44FF3232" w14:textId="77777777" w:rsidR="00193B55" w:rsidRPr="007E1FB5" w:rsidRDefault="00193B55" w:rsidP="003D49C3">
            <w:pPr>
              <w:pStyle w:val="Tabletext"/>
              <w:rPr>
                <w:rFonts w:eastAsiaTheme="minorEastAsia"/>
                <w:lang w:val="es-ES_tradnl"/>
              </w:rPr>
            </w:pPr>
            <w:r w:rsidRPr="007E1FB5">
              <w:rPr>
                <w:rFonts w:eastAsiaTheme="minorEastAsia"/>
                <w:lang w:val="es-ES_tradnl"/>
              </w:rPr>
              <w:t>Número de tipos de dispositivos eliminados de la banda. Este indicador muestra la complejidad y la duración de las medidas de restructuración del espectro. Cuantos más tipos de aparatos se eliminen, menos perspectivas habrá de desarrollo de la tecnología considerada (puntuación inferior).</w:t>
            </w:r>
          </w:p>
        </w:tc>
      </w:tr>
      <w:tr w:rsidR="00193B55" w:rsidRPr="007E1FB5" w14:paraId="4AFC44AE" w14:textId="77777777" w:rsidTr="003D49C3">
        <w:trPr>
          <w:jc w:val="center"/>
        </w:trPr>
        <w:tc>
          <w:tcPr>
            <w:tcW w:w="274" w:type="pct"/>
            <w:hideMark/>
          </w:tcPr>
          <w:p w14:paraId="566AB8C9" w14:textId="77777777" w:rsidR="00193B55" w:rsidRPr="007E1FB5" w:rsidRDefault="00193B55" w:rsidP="003D49C3">
            <w:pPr>
              <w:pStyle w:val="Tabletext"/>
              <w:rPr>
                <w:rFonts w:eastAsiaTheme="minorEastAsia"/>
                <w:i/>
                <w:iCs/>
                <w:lang w:val="es-ES_tradnl"/>
              </w:rPr>
            </w:pPr>
            <w:r w:rsidRPr="007E1FB5">
              <w:rPr>
                <w:rFonts w:eastAsiaTheme="minorEastAsia"/>
                <w:i/>
                <w:iCs/>
                <w:lang w:val="es-ES_tradnl"/>
              </w:rPr>
              <w:t>К</w:t>
            </w:r>
            <w:r w:rsidRPr="007E1FB5">
              <w:rPr>
                <w:rFonts w:eastAsiaTheme="minorEastAsia"/>
                <w:i/>
                <w:iCs/>
                <w:vertAlign w:val="subscript"/>
                <w:lang w:val="es-ES_tradnl"/>
              </w:rPr>
              <w:t>H</w:t>
            </w:r>
          </w:p>
        </w:tc>
        <w:tc>
          <w:tcPr>
            <w:tcW w:w="228" w:type="pct"/>
            <w:hideMark/>
          </w:tcPr>
          <w:p w14:paraId="573FE1F1" w14:textId="77777777" w:rsidR="00193B55" w:rsidRPr="007E1FB5" w:rsidRDefault="00193B55" w:rsidP="003D49C3">
            <w:pPr>
              <w:pStyle w:val="Tabletext"/>
              <w:rPr>
                <w:rFonts w:eastAsiaTheme="minorEastAsia"/>
                <w:lang w:val="es-ES_tradnl"/>
              </w:rPr>
            </w:pPr>
            <w:r w:rsidRPr="007E1FB5">
              <w:rPr>
                <w:rFonts w:eastAsiaTheme="minorEastAsia"/>
                <w:lang w:val="es-ES_tradnl"/>
              </w:rPr>
              <w:t>–</w:t>
            </w:r>
          </w:p>
        </w:tc>
        <w:tc>
          <w:tcPr>
            <w:tcW w:w="4498" w:type="pct"/>
            <w:hideMark/>
          </w:tcPr>
          <w:p w14:paraId="48CBBC1B" w14:textId="77777777" w:rsidR="00193B55" w:rsidRPr="007E1FB5" w:rsidRDefault="00193B55" w:rsidP="003D49C3">
            <w:pPr>
              <w:pStyle w:val="Tabletext"/>
              <w:rPr>
                <w:rFonts w:eastAsiaTheme="minorEastAsia"/>
                <w:lang w:val="es-ES_tradnl"/>
              </w:rPr>
            </w:pPr>
            <w:r w:rsidRPr="007E1FB5">
              <w:rPr>
                <w:rFonts w:eastAsiaTheme="minorEastAsia"/>
                <w:lang w:val="es-ES_tradnl"/>
              </w:rPr>
              <w:t>La inmunidad a las interferencias de los dispositivos de la nueva tecnología muestra las posibilidades de compatibilidad de la tecnología prospectiva en la banda disponible. Cuanto mayor sea la inmunidad a las interferencias, más perspectivas habrá para el desarrollo de la tecnología considerada (puntuación superior).</w:t>
            </w:r>
          </w:p>
        </w:tc>
      </w:tr>
      <w:tr w:rsidR="00193B55" w:rsidRPr="007E1FB5" w14:paraId="7B8850F1" w14:textId="77777777" w:rsidTr="003D49C3">
        <w:trPr>
          <w:jc w:val="center"/>
        </w:trPr>
        <w:tc>
          <w:tcPr>
            <w:tcW w:w="274" w:type="pct"/>
            <w:hideMark/>
          </w:tcPr>
          <w:p w14:paraId="4AE39E21" w14:textId="77777777" w:rsidR="00193B55" w:rsidRPr="007E1FB5" w:rsidRDefault="00193B55" w:rsidP="003D49C3">
            <w:pPr>
              <w:pStyle w:val="Tabletext"/>
              <w:rPr>
                <w:rFonts w:eastAsiaTheme="minorEastAsia"/>
                <w:i/>
                <w:iCs/>
                <w:lang w:val="es-ES_tradnl"/>
              </w:rPr>
            </w:pPr>
            <w:r w:rsidRPr="007E1FB5">
              <w:rPr>
                <w:rFonts w:eastAsiaTheme="minorEastAsia"/>
                <w:i/>
                <w:iCs/>
                <w:lang w:val="es-ES_tradnl"/>
              </w:rPr>
              <w:t>К</w:t>
            </w:r>
            <w:r w:rsidRPr="007E1FB5">
              <w:rPr>
                <w:rFonts w:eastAsiaTheme="minorEastAsia"/>
                <w:i/>
                <w:iCs/>
                <w:vertAlign w:val="subscript"/>
                <w:lang w:val="es-ES_tradnl"/>
              </w:rPr>
              <w:t>S</w:t>
            </w:r>
          </w:p>
        </w:tc>
        <w:tc>
          <w:tcPr>
            <w:tcW w:w="228" w:type="pct"/>
            <w:hideMark/>
          </w:tcPr>
          <w:p w14:paraId="19362671" w14:textId="77777777" w:rsidR="00193B55" w:rsidRPr="007E1FB5" w:rsidRDefault="00193B55" w:rsidP="003D49C3">
            <w:pPr>
              <w:pStyle w:val="Tabletext"/>
              <w:rPr>
                <w:rFonts w:eastAsiaTheme="minorEastAsia"/>
                <w:lang w:val="es-ES_tradnl"/>
              </w:rPr>
            </w:pPr>
            <w:r w:rsidRPr="007E1FB5">
              <w:rPr>
                <w:rFonts w:eastAsiaTheme="minorEastAsia"/>
                <w:lang w:val="es-ES_tradnl"/>
              </w:rPr>
              <w:t>–</w:t>
            </w:r>
          </w:p>
        </w:tc>
        <w:tc>
          <w:tcPr>
            <w:tcW w:w="4498" w:type="pct"/>
            <w:hideMark/>
          </w:tcPr>
          <w:p w14:paraId="4D6D7758" w14:textId="77777777" w:rsidR="00193B55" w:rsidRPr="007E1FB5" w:rsidRDefault="00193B55" w:rsidP="003D49C3">
            <w:pPr>
              <w:pStyle w:val="Tabletext"/>
              <w:rPr>
                <w:rFonts w:eastAsiaTheme="minorEastAsia"/>
                <w:lang w:val="es-ES_tradnl"/>
              </w:rPr>
            </w:pPr>
            <w:r w:rsidRPr="007E1FB5">
              <w:rPr>
                <w:rFonts w:eastAsiaTheme="minorEastAsia"/>
                <w:lang w:val="es-ES_tradnl"/>
              </w:rPr>
              <w:t>Eficacia espectral de la tecnología prospectiva. Este criterio muestra el nivel de eficacia con que la tecnología prospectiva utiliza el espectro. Cuanto mayor sea la eficacia espectral, más perspectivas habrá para el desarrollo de la tecnología considerada (puntuación superior).</w:t>
            </w:r>
          </w:p>
        </w:tc>
      </w:tr>
    </w:tbl>
    <w:p w14:paraId="379635EC" w14:textId="77777777" w:rsidR="00193B55" w:rsidRPr="007E1FB5" w:rsidRDefault="00193B55" w:rsidP="00193B55">
      <w:pPr>
        <w:spacing w:after="120"/>
        <w:rPr>
          <w:rFonts w:eastAsiaTheme="minorEastAsia"/>
          <w:lang w:val="es-ES_tradnl"/>
        </w:rPr>
      </w:pPr>
      <w:r w:rsidRPr="007E1FB5">
        <w:rPr>
          <w:rFonts w:eastAsiaTheme="minorEastAsia"/>
          <w:lang w:val="es-ES_tradnl"/>
        </w:rPr>
        <w:t>Criterios comerciales:</w:t>
      </w:r>
    </w:p>
    <w:tbl>
      <w:tblPr>
        <w:tblW w:w="9639" w:type="dxa"/>
        <w:jc w:val="center"/>
        <w:tblLook w:val="01E0" w:firstRow="1" w:lastRow="1" w:firstColumn="1" w:lastColumn="1" w:noHBand="0" w:noVBand="0"/>
      </w:tblPr>
      <w:tblGrid>
        <w:gridCol w:w="567"/>
        <w:gridCol w:w="426"/>
        <w:gridCol w:w="8646"/>
      </w:tblGrid>
      <w:tr w:rsidR="00193B55" w:rsidRPr="007E1FB5" w14:paraId="7174037B" w14:textId="77777777" w:rsidTr="003D49C3">
        <w:trPr>
          <w:jc w:val="center"/>
        </w:trPr>
        <w:tc>
          <w:tcPr>
            <w:tcW w:w="294" w:type="pct"/>
            <w:hideMark/>
          </w:tcPr>
          <w:p w14:paraId="189F68B1" w14:textId="77777777" w:rsidR="00193B55" w:rsidRPr="007E1FB5" w:rsidRDefault="00193B55" w:rsidP="003D49C3">
            <w:pPr>
              <w:pStyle w:val="Tabletext"/>
              <w:rPr>
                <w:rFonts w:eastAsiaTheme="minorEastAsia"/>
                <w:i/>
                <w:iCs/>
                <w:lang w:val="es-ES_tradnl"/>
              </w:rPr>
            </w:pPr>
            <w:r w:rsidRPr="007E1FB5">
              <w:rPr>
                <w:rFonts w:eastAsiaTheme="minorEastAsia"/>
                <w:i/>
                <w:iCs/>
                <w:lang w:val="es-ES_tradnl"/>
              </w:rPr>
              <w:t>К</w:t>
            </w:r>
            <w:r w:rsidRPr="007E1FB5">
              <w:rPr>
                <w:rFonts w:eastAsiaTheme="minorEastAsia"/>
                <w:i/>
                <w:iCs/>
                <w:vertAlign w:val="subscript"/>
                <w:lang w:val="es-ES_tradnl"/>
              </w:rPr>
              <w:t>R</w:t>
            </w:r>
          </w:p>
        </w:tc>
        <w:tc>
          <w:tcPr>
            <w:tcW w:w="221" w:type="pct"/>
            <w:hideMark/>
          </w:tcPr>
          <w:p w14:paraId="36800C7E" w14:textId="77777777" w:rsidR="00193B55" w:rsidRPr="007E1FB5" w:rsidRDefault="00193B55" w:rsidP="003D49C3">
            <w:pPr>
              <w:pStyle w:val="Tabletext"/>
              <w:rPr>
                <w:rFonts w:eastAsiaTheme="minorEastAsia"/>
                <w:lang w:val="es-ES_tradnl"/>
              </w:rPr>
            </w:pPr>
            <w:r w:rsidRPr="007E1FB5">
              <w:rPr>
                <w:rFonts w:eastAsiaTheme="minorEastAsia"/>
                <w:lang w:val="es-ES_tradnl"/>
              </w:rPr>
              <w:t>–</w:t>
            </w:r>
          </w:p>
        </w:tc>
        <w:tc>
          <w:tcPr>
            <w:tcW w:w="4485" w:type="pct"/>
            <w:hideMark/>
          </w:tcPr>
          <w:p w14:paraId="696C0E78" w14:textId="77777777" w:rsidR="00193B55" w:rsidRPr="007E1FB5" w:rsidRDefault="00193B55" w:rsidP="003D49C3">
            <w:pPr>
              <w:pStyle w:val="Tabletext"/>
              <w:rPr>
                <w:rFonts w:eastAsiaTheme="minorEastAsia"/>
                <w:lang w:val="es-ES_tradnl"/>
              </w:rPr>
            </w:pPr>
            <w:r w:rsidRPr="007E1FB5">
              <w:rPr>
                <w:rFonts w:eastAsiaTheme="minorEastAsia"/>
                <w:lang w:val="es-ES_tradnl"/>
              </w:rPr>
              <w:t>Disponibilidad de normas y reglamentos aprobados. Este indicador refleja la disponibilidad de normas tecnológicas aprobadas por organizaciones de normalización internacionales y regionales. Ello promueve el desarrollo de la tecnología.</w:t>
            </w:r>
          </w:p>
        </w:tc>
      </w:tr>
      <w:tr w:rsidR="00193B55" w:rsidRPr="007E1FB5" w14:paraId="2F05A4A9" w14:textId="77777777" w:rsidTr="003D49C3">
        <w:trPr>
          <w:jc w:val="center"/>
        </w:trPr>
        <w:tc>
          <w:tcPr>
            <w:tcW w:w="294" w:type="pct"/>
            <w:hideMark/>
          </w:tcPr>
          <w:p w14:paraId="0AB6897C" w14:textId="77777777" w:rsidR="00193B55" w:rsidRPr="007E1FB5" w:rsidRDefault="00193B55" w:rsidP="003D49C3">
            <w:pPr>
              <w:pStyle w:val="Tabletext"/>
              <w:rPr>
                <w:rFonts w:eastAsiaTheme="minorEastAsia"/>
                <w:i/>
                <w:iCs/>
                <w:lang w:val="es-ES_tradnl"/>
              </w:rPr>
            </w:pPr>
            <w:r w:rsidRPr="007E1FB5">
              <w:rPr>
                <w:rFonts w:eastAsiaTheme="minorEastAsia"/>
                <w:i/>
                <w:iCs/>
                <w:lang w:val="es-ES_tradnl"/>
              </w:rPr>
              <w:t>К</w:t>
            </w:r>
            <w:r w:rsidRPr="007E1FB5">
              <w:rPr>
                <w:rFonts w:eastAsiaTheme="minorEastAsia"/>
                <w:i/>
                <w:iCs/>
                <w:vertAlign w:val="subscript"/>
                <w:lang w:val="es-ES_tradnl"/>
              </w:rPr>
              <w:t>K</w:t>
            </w:r>
          </w:p>
        </w:tc>
        <w:tc>
          <w:tcPr>
            <w:tcW w:w="221" w:type="pct"/>
            <w:hideMark/>
          </w:tcPr>
          <w:p w14:paraId="17C52102" w14:textId="77777777" w:rsidR="00193B55" w:rsidRPr="007E1FB5" w:rsidRDefault="00193B55" w:rsidP="003D49C3">
            <w:pPr>
              <w:pStyle w:val="Tabletext"/>
              <w:rPr>
                <w:rFonts w:eastAsiaTheme="minorEastAsia"/>
                <w:lang w:val="es-ES_tradnl"/>
              </w:rPr>
            </w:pPr>
            <w:r w:rsidRPr="007E1FB5">
              <w:rPr>
                <w:rFonts w:eastAsiaTheme="minorEastAsia"/>
                <w:lang w:val="es-ES_tradnl"/>
              </w:rPr>
              <w:t>–</w:t>
            </w:r>
          </w:p>
        </w:tc>
        <w:tc>
          <w:tcPr>
            <w:tcW w:w="4485" w:type="pct"/>
            <w:hideMark/>
          </w:tcPr>
          <w:p w14:paraId="008FFDBB" w14:textId="77777777" w:rsidR="00193B55" w:rsidRPr="007E1FB5" w:rsidRDefault="00193B55" w:rsidP="003D49C3">
            <w:pPr>
              <w:pStyle w:val="Tabletext"/>
              <w:rPr>
                <w:rFonts w:eastAsiaTheme="minorEastAsia"/>
                <w:lang w:val="es-ES_tradnl"/>
              </w:rPr>
            </w:pPr>
            <w:r w:rsidRPr="007E1FB5">
              <w:rPr>
                <w:rFonts w:eastAsiaTheme="minorEastAsia"/>
                <w:lang w:val="es-ES_tradnl"/>
              </w:rPr>
              <w:t>Competencia comercial entre fabricantes. Este indicador caracteriza la prospectividad del desarrollo de la tecnología mediante la influencia de la competencia comercial entre vendedores. Dadas las particularidades de la fijación de precios en el mercado, así como de la ley de la oferta y la demanda, cuantos más vendedores haya en el mercado, más bajos serán los precios de los dispositivos. Cuanto más competitivo sea el mercado, más perspectivas habrá para el desarrollo de la tecnología considerada (puntuación superior).</w:t>
            </w:r>
          </w:p>
        </w:tc>
      </w:tr>
      <w:tr w:rsidR="00193B55" w:rsidRPr="007E1FB5" w14:paraId="07F7E0B6" w14:textId="77777777" w:rsidTr="003D49C3">
        <w:trPr>
          <w:jc w:val="center"/>
        </w:trPr>
        <w:tc>
          <w:tcPr>
            <w:tcW w:w="294" w:type="pct"/>
            <w:hideMark/>
          </w:tcPr>
          <w:p w14:paraId="068AA3F1" w14:textId="77777777" w:rsidR="00193B55" w:rsidRPr="007E1FB5" w:rsidRDefault="00193B55" w:rsidP="003D49C3">
            <w:pPr>
              <w:pStyle w:val="Tabletext"/>
              <w:rPr>
                <w:rFonts w:eastAsiaTheme="minorEastAsia"/>
                <w:i/>
                <w:iCs/>
                <w:lang w:val="es-ES_tradnl"/>
              </w:rPr>
            </w:pPr>
            <w:r w:rsidRPr="007E1FB5">
              <w:rPr>
                <w:rFonts w:eastAsiaTheme="minorEastAsia"/>
                <w:i/>
                <w:iCs/>
                <w:lang w:val="es-ES_tradnl"/>
              </w:rPr>
              <w:t>К</w:t>
            </w:r>
            <w:r w:rsidRPr="007E1FB5">
              <w:rPr>
                <w:rFonts w:eastAsiaTheme="minorEastAsia"/>
                <w:i/>
                <w:iCs/>
                <w:vertAlign w:val="subscript"/>
                <w:lang w:val="es-ES_tradnl"/>
              </w:rPr>
              <w:t>E</w:t>
            </w:r>
          </w:p>
        </w:tc>
        <w:tc>
          <w:tcPr>
            <w:tcW w:w="221" w:type="pct"/>
            <w:hideMark/>
          </w:tcPr>
          <w:p w14:paraId="0FC00A8A" w14:textId="77777777" w:rsidR="00193B55" w:rsidRPr="007E1FB5" w:rsidRDefault="00193B55" w:rsidP="003D49C3">
            <w:pPr>
              <w:pStyle w:val="Tabletext"/>
              <w:rPr>
                <w:rFonts w:eastAsiaTheme="minorEastAsia"/>
                <w:lang w:val="es-ES_tradnl"/>
              </w:rPr>
            </w:pPr>
            <w:r w:rsidRPr="007E1FB5">
              <w:rPr>
                <w:rFonts w:eastAsiaTheme="minorEastAsia"/>
                <w:lang w:val="es-ES_tradnl"/>
              </w:rPr>
              <w:t>–</w:t>
            </w:r>
          </w:p>
        </w:tc>
        <w:tc>
          <w:tcPr>
            <w:tcW w:w="4485" w:type="pct"/>
            <w:hideMark/>
          </w:tcPr>
          <w:p w14:paraId="556111E2" w14:textId="77777777" w:rsidR="00193B55" w:rsidRPr="007E1FB5" w:rsidRDefault="00193B55" w:rsidP="003D49C3">
            <w:pPr>
              <w:pStyle w:val="Tabletext"/>
              <w:rPr>
                <w:rFonts w:eastAsiaTheme="minorEastAsia"/>
                <w:lang w:val="es-ES_tradnl"/>
              </w:rPr>
            </w:pPr>
            <w:r w:rsidRPr="007E1FB5">
              <w:rPr>
                <w:rFonts w:eastAsiaTheme="minorEastAsia"/>
                <w:lang w:val="es-ES_tradnl"/>
              </w:rPr>
              <w:t>Experiencia en el uso de nuevas tecnologías. La disponibilidad de experiencia en la materia acelera el despliegue de la nueva tecnología y permite considerar todas las peculiaridades de las redes piloto y comerciales.</w:t>
            </w:r>
          </w:p>
        </w:tc>
      </w:tr>
    </w:tbl>
    <w:p w14:paraId="4B745A91" w14:textId="77777777" w:rsidR="00193B55" w:rsidRPr="007E1FB5" w:rsidRDefault="00193B55" w:rsidP="00193B55">
      <w:pPr>
        <w:keepNext/>
        <w:keepLines/>
        <w:spacing w:after="120"/>
        <w:rPr>
          <w:rFonts w:eastAsiaTheme="minorEastAsia"/>
          <w:lang w:val="es-ES_tradnl"/>
        </w:rPr>
      </w:pPr>
      <w:r w:rsidRPr="007E1FB5">
        <w:rPr>
          <w:rFonts w:eastAsiaTheme="minorEastAsia"/>
          <w:lang w:val="es-ES_tradnl"/>
        </w:rPr>
        <w:lastRenderedPageBreak/>
        <w:t>Criterios económicos:</w:t>
      </w:r>
    </w:p>
    <w:tbl>
      <w:tblPr>
        <w:tblW w:w="9639" w:type="dxa"/>
        <w:jc w:val="center"/>
        <w:tblLook w:val="01E0" w:firstRow="1" w:lastRow="1" w:firstColumn="1" w:lastColumn="1" w:noHBand="0" w:noVBand="0"/>
      </w:tblPr>
      <w:tblGrid>
        <w:gridCol w:w="567"/>
        <w:gridCol w:w="426"/>
        <w:gridCol w:w="8646"/>
      </w:tblGrid>
      <w:tr w:rsidR="00193B55" w:rsidRPr="007E1FB5" w14:paraId="1F888B97" w14:textId="77777777" w:rsidTr="003D49C3">
        <w:trPr>
          <w:jc w:val="center"/>
        </w:trPr>
        <w:tc>
          <w:tcPr>
            <w:tcW w:w="294" w:type="pct"/>
            <w:hideMark/>
          </w:tcPr>
          <w:p w14:paraId="49C34C36" w14:textId="77777777" w:rsidR="00193B55" w:rsidRPr="007E1FB5" w:rsidRDefault="00193B55" w:rsidP="003D49C3">
            <w:pPr>
              <w:pStyle w:val="Tabletext"/>
              <w:keepNext/>
              <w:keepLines/>
              <w:rPr>
                <w:rFonts w:eastAsiaTheme="minorEastAsia"/>
                <w:i/>
                <w:iCs/>
                <w:lang w:val="es-ES_tradnl"/>
              </w:rPr>
            </w:pPr>
            <w:r w:rsidRPr="007E1FB5">
              <w:rPr>
                <w:rFonts w:eastAsiaTheme="minorEastAsia"/>
                <w:i/>
                <w:iCs/>
                <w:lang w:val="es-ES_tradnl"/>
              </w:rPr>
              <w:t>К</w:t>
            </w:r>
            <w:r w:rsidRPr="007E1FB5">
              <w:rPr>
                <w:rFonts w:eastAsiaTheme="minorEastAsia"/>
                <w:i/>
                <w:iCs/>
                <w:vertAlign w:val="subscript"/>
                <w:lang w:val="es-ES_tradnl"/>
              </w:rPr>
              <w:t>дох</w:t>
            </w:r>
          </w:p>
        </w:tc>
        <w:tc>
          <w:tcPr>
            <w:tcW w:w="221" w:type="pct"/>
            <w:hideMark/>
          </w:tcPr>
          <w:p w14:paraId="644F7DCB" w14:textId="77777777" w:rsidR="00193B55" w:rsidRPr="007E1FB5" w:rsidRDefault="00193B55" w:rsidP="003D49C3">
            <w:pPr>
              <w:pStyle w:val="Tabletext"/>
              <w:keepNext/>
              <w:keepLines/>
              <w:rPr>
                <w:rFonts w:eastAsiaTheme="minorEastAsia"/>
                <w:lang w:val="es-ES_tradnl"/>
              </w:rPr>
            </w:pPr>
            <w:r w:rsidRPr="007E1FB5">
              <w:rPr>
                <w:rFonts w:eastAsiaTheme="minorEastAsia"/>
                <w:lang w:val="es-ES_tradnl"/>
              </w:rPr>
              <w:t>–</w:t>
            </w:r>
          </w:p>
        </w:tc>
        <w:tc>
          <w:tcPr>
            <w:tcW w:w="4485" w:type="pct"/>
            <w:hideMark/>
          </w:tcPr>
          <w:p w14:paraId="5899CE34" w14:textId="77777777" w:rsidR="00193B55" w:rsidRPr="007E1FB5" w:rsidRDefault="00193B55" w:rsidP="003D49C3">
            <w:pPr>
              <w:pStyle w:val="Tabletext"/>
              <w:keepNext/>
              <w:keepLines/>
              <w:rPr>
                <w:rFonts w:eastAsiaTheme="minorEastAsia"/>
                <w:lang w:val="es-ES_tradnl"/>
              </w:rPr>
            </w:pPr>
            <w:r w:rsidRPr="007E1FB5">
              <w:rPr>
                <w:rFonts w:eastAsiaTheme="minorEastAsia"/>
                <w:lang w:val="es-ES_tradnl"/>
              </w:rPr>
              <w:t>Eficiencia económica (rentabilidad) del uso de la nueva tecnología. Este indicador muestra la eficiencia económica del uso del espectro por diferentes tecnologías. Cuanto mayor sea el grado de eficiencia, más perspectivas habrá para el desarrollo de la tecnología considerada (puntuación superior).</w:t>
            </w:r>
          </w:p>
        </w:tc>
      </w:tr>
    </w:tbl>
    <w:p w14:paraId="545FEC82" w14:textId="77777777" w:rsidR="00193B55" w:rsidRPr="007E1FB5" w:rsidRDefault="00193B55" w:rsidP="00193B55">
      <w:pPr>
        <w:rPr>
          <w:rFonts w:eastAsiaTheme="minorEastAsia"/>
          <w:lang w:val="es-ES_tradnl"/>
        </w:rPr>
      </w:pPr>
      <w:r w:rsidRPr="007E1FB5">
        <w:rPr>
          <w:rFonts w:eastAsiaTheme="minorEastAsia"/>
          <w:lang w:val="es-ES_tradnl"/>
        </w:rPr>
        <w:t>Una vez definidos los criterios, se elabora un cuestionario y se solicita a los expertos encuestados que califiquen las tecnologías de acuerdo con los criterios en cuestión (de 0 a 10). En especial, se les pide que evalúen las repercusiones:</w:t>
      </w:r>
    </w:p>
    <w:p w14:paraId="7F010A18"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de grupos definidos de criterios sobre las perspectivas de desarrollo de las tecnologías en general;</w:t>
      </w:r>
    </w:p>
    <w:p w14:paraId="65ED36DF"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de cada factor sobre las perspectivas de desarrollo de una tecnología incluida en un grupo seleccionado; y</w:t>
      </w:r>
    </w:p>
    <w:p w14:paraId="585F0877"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de cada factor sobre las perspectivas de desarrollo de todas las tecnologías radioeléctricas objeto de examen.</w:t>
      </w:r>
    </w:p>
    <w:p w14:paraId="50D495F2" w14:textId="77777777" w:rsidR="00193B55" w:rsidRPr="007E1FB5" w:rsidRDefault="00193B55" w:rsidP="00193B55">
      <w:pPr>
        <w:rPr>
          <w:rFonts w:eastAsiaTheme="minorEastAsia"/>
          <w:lang w:val="es-ES_tradnl"/>
        </w:rPr>
      </w:pPr>
      <w:r w:rsidRPr="007E1FB5">
        <w:rPr>
          <w:rFonts w:eastAsiaTheme="minorEastAsia"/>
          <w:lang w:val="es-ES_tradnl"/>
        </w:rPr>
        <w:t>La segunda fase consiste en llevar a cabo el cuestionario propiamente dicho, que se organiza en dos rondas.</w:t>
      </w:r>
    </w:p>
    <w:p w14:paraId="06894128" w14:textId="77777777" w:rsidR="00193B55" w:rsidRPr="007E1FB5" w:rsidRDefault="00193B55" w:rsidP="00193B55">
      <w:pPr>
        <w:rPr>
          <w:rFonts w:eastAsiaTheme="minorEastAsia"/>
          <w:lang w:val="es-ES_tradnl"/>
        </w:rPr>
      </w:pPr>
      <w:r w:rsidRPr="007E1FB5">
        <w:rPr>
          <w:rFonts w:eastAsiaTheme="minorEastAsia"/>
          <w:lang w:val="es-ES_tradnl"/>
        </w:rPr>
        <w:t>En la tercera fase se realiza un análisis estadístico de los resultados recibidos. A tal efecto, se adopta la siguiente condición: si todos los expertos otorgan una importancia «0» a uno de los criterios de cualquier tecnología, dicha tecnología radioeléctrica se excluye de los cálculos posteriores.</w:t>
      </w:r>
    </w:p>
    <w:p w14:paraId="5A953FA5" w14:textId="77777777" w:rsidR="00193B55" w:rsidRPr="007E1FB5" w:rsidRDefault="00193B55" w:rsidP="00193B55">
      <w:pPr>
        <w:rPr>
          <w:rFonts w:eastAsiaTheme="minorEastAsia"/>
          <w:lang w:val="es-ES_tradnl"/>
        </w:rPr>
      </w:pPr>
      <w:r w:rsidRPr="007E1FB5">
        <w:rPr>
          <w:rFonts w:eastAsiaTheme="minorEastAsia"/>
          <w:lang w:val="es-ES_tradnl"/>
        </w:rPr>
        <w:t>Para procesar los datos, puede utilizarse el siguiente algoritmo:</w:t>
      </w:r>
    </w:p>
    <w:p w14:paraId="2AB78BE9" w14:textId="77777777" w:rsidR="00193B55" w:rsidRPr="007E1FB5" w:rsidRDefault="00193B55" w:rsidP="00193B55">
      <w:pPr>
        <w:pStyle w:val="enumlev1"/>
        <w:rPr>
          <w:rFonts w:eastAsia="SimSun"/>
          <w:lang w:val="es-ES_tradnl"/>
        </w:rPr>
      </w:pPr>
      <w:r w:rsidRPr="007E1FB5">
        <w:rPr>
          <w:rFonts w:eastAsia="SimSun"/>
          <w:lang w:val="es-ES_tradnl"/>
        </w:rPr>
        <w:t>1</w:t>
      </w:r>
      <w:r w:rsidRPr="007E1FB5">
        <w:rPr>
          <w:rFonts w:eastAsia="SimSun"/>
          <w:lang w:val="es-ES_tradnl"/>
        </w:rPr>
        <w:tab/>
      </w:r>
      <w:proofErr w:type="gramStart"/>
      <w:r w:rsidRPr="007E1FB5">
        <w:rPr>
          <w:rFonts w:eastAsiaTheme="minorEastAsia"/>
          <w:lang w:val="es-ES_tradnl"/>
        </w:rPr>
        <w:t>El</w:t>
      </w:r>
      <w:proofErr w:type="gramEnd"/>
      <w:r w:rsidRPr="007E1FB5">
        <w:rPr>
          <w:rFonts w:eastAsiaTheme="minorEastAsia"/>
          <w:lang w:val="es-ES_tradnl"/>
        </w:rPr>
        <w:t xml:space="preserve"> valor medio de las evaluaciones de los expertos sobre las repercusiones de los grupos de criterios identificados en su efecto combinado sobre las perspectivas de desarrollo de las tecnologías radioeléctricas (</w:t>
      </w:r>
      <w:r w:rsidRPr="007E1FB5">
        <w:rPr>
          <w:rFonts w:eastAsia="SimSun"/>
          <w:noProof/>
          <w:position w:val="-8"/>
          <w:lang w:val="es-ES_tradnl"/>
        </w:rPr>
        <w:drawing>
          <wp:inline distT="0" distB="0" distL="0" distR="0" wp14:anchorId="031E4562" wp14:editId="3B58774D">
            <wp:extent cx="190500" cy="22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7E1FB5">
        <w:rPr>
          <w:rFonts w:eastAsiaTheme="minorEastAsia"/>
          <w:lang w:val="es-ES_tradnl"/>
        </w:rPr>
        <w:t>):</w:t>
      </w:r>
    </w:p>
    <w:p w14:paraId="5E7F43DB" w14:textId="77777777" w:rsidR="00193B55" w:rsidRPr="007E1FB5" w:rsidRDefault="00193B55" w:rsidP="00193B55">
      <w:pPr>
        <w:tabs>
          <w:tab w:val="clear" w:pos="1191"/>
          <w:tab w:val="clear" w:pos="1588"/>
          <w:tab w:val="clear" w:pos="1985"/>
          <w:tab w:val="center" w:pos="4820"/>
          <w:tab w:val="right" w:pos="9639"/>
        </w:tabs>
        <w:rPr>
          <w:rFonts w:eastAsia="SimSun"/>
          <w:lang w:val="es-ES_tradnl"/>
        </w:rPr>
      </w:pPr>
      <w:r w:rsidRPr="007E1FB5">
        <w:rPr>
          <w:rFonts w:eastAsia="SimSun"/>
          <w:lang w:val="es-ES_tradnl"/>
        </w:rPr>
        <w:tab/>
      </w:r>
      <w:r w:rsidRPr="007E1FB5">
        <w:rPr>
          <w:rFonts w:eastAsia="SimSun"/>
          <w:lang w:val="es-ES_tradnl"/>
        </w:rPr>
        <w:tab/>
      </w:r>
      <w:r w:rsidRPr="007E1FB5">
        <w:rPr>
          <w:rFonts w:eastAsia="SimSun"/>
          <w:noProof/>
          <w:position w:val="-24"/>
          <w:lang w:val="es-ES_tradnl" w:eastAsia="en-GB"/>
        </w:rPr>
        <w:drawing>
          <wp:inline distT="0" distB="0" distL="0" distR="0" wp14:anchorId="4BE58F61" wp14:editId="40BA54E1">
            <wp:extent cx="809625" cy="7143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9625" cy="714375"/>
                    </a:xfrm>
                    <a:prstGeom prst="rect">
                      <a:avLst/>
                    </a:prstGeom>
                    <a:noFill/>
                    <a:ln>
                      <a:noFill/>
                    </a:ln>
                  </pic:spPr>
                </pic:pic>
              </a:graphicData>
            </a:graphic>
          </wp:inline>
        </w:drawing>
      </w:r>
      <w:r w:rsidRPr="007E1FB5">
        <w:rPr>
          <w:rFonts w:eastAsia="SimSun"/>
          <w:lang w:val="es-ES_tradnl"/>
        </w:rPr>
        <w:tab/>
        <w:t>(2)</w:t>
      </w:r>
    </w:p>
    <w:p w14:paraId="535B1D12" w14:textId="77777777" w:rsidR="00193B55" w:rsidRPr="007E1FB5" w:rsidRDefault="00193B55" w:rsidP="00193B55">
      <w:pPr>
        <w:spacing w:before="240"/>
        <w:rPr>
          <w:rFonts w:eastAsia="SimSun"/>
          <w:lang w:val="es-ES_tradnl"/>
        </w:rPr>
      </w:pPr>
      <w:r w:rsidRPr="007E1FB5">
        <w:rPr>
          <w:rFonts w:eastAsiaTheme="minorEastAsia"/>
          <w:lang w:val="es-ES_tradnl"/>
        </w:rPr>
        <w:t xml:space="preserve">siendo </w:t>
      </w:r>
      <w:r w:rsidRPr="007E1FB5">
        <w:rPr>
          <w:rFonts w:eastAsia="SimSun"/>
          <w:noProof/>
          <w:position w:val="-16"/>
          <w:lang w:val="es-ES_tradnl"/>
        </w:rPr>
        <w:drawing>
          <wp:inline distT="0" distB="0" distL="0" distR="0" wp14:anchorId="47571102" wp14:editId="72344853">
            <wp:extent cx="295275" cy="2571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E1FB5">
        <w:rPr>
          <w:rFonts w:eastAsiaTheme="minorEastAsia"/>
          <w:lang w:val="es-ES_tradnl"/>
        </w:rPr>
        <w:t xml:space="preserve"> una puntuación para el grupo de criterios </w:t>
      </w:r>
      <w:r w:rsidRPr="007E1FB5">
        <w:rPr>
          <w:rFonts w:eastAsiaTheme="minorEastAsia"/>
          <w:i/>
          <w:lang w:val="es-ES_tradnl"/>
        </w:rPr>
        <w:t xml:space="preserve">l </w:t>
      </w:r>
      <w:r w:rsidRPr="007E1FB5">
        <w:rPr>
          <w:rFonts w:eastAsiaTheme="minorEastAsia"/>
          <w:lang w:val="es-ES_tradnl"/>
        </w:rPr>
        <w:t>dada por el experto</w:t>
      </w:r>
      <w:r w:rsidRPr="007E1FB5">
        <w:rPr>
          <w:rFonts w:eastAsiaTheme="minorEastAsia"/>
          <w:i/>
          <w:lang w:val="es-ES_tradnl"/>
        </w:rPr>
        <w:t xml:space="preserve"> j </w:t>
      </w:r>
      <w:r w:rsidRPr="007E1FB5">
        <w:rPr>
          <w:rFonts w:eastAsiaTheme="minorEastAsia"/>
          <w:lang w:val="es-ES_tradnl"/>
        </w:rPr>
        <w:t>(</w:t>
      </w:r>
      <w:r w:rsidRPr="007E1FB5">
        <w:rPr>
          <w:rFonts w:eastAsiaTheme="minorEastAsia"/>
          <w:i/>
          <w:lang w:val="es-ES_tradnl"/>
        </w:rPr>
        <w:t>j</w:t>
      </w:r>
      <w:r w:rsidRPr="007E1FB5">
        <w:rPr>
          <w:rFonts w:eastAsiaTheme="minorEastAsia"/>
          <w:lang w:val="es-ES_tradnl"/>
        </w:rPr>
        <w:t>=1÷</w:t>
      </w:r>
      <w:r w:rsidRPr="007E1FB5">
        <w:rPr>
          <w:rFonts w:eastAsiaTheme="minorEastAsia"/>
          <w:i/>
          <w:lang w:val="es-ES_tradnl"/>
        </w:rPr>
        <w:t>n</w:t>
      </w:r>
      <w:r w:rsidRPr="007E1FB5">
        <w:rPr>
          <w:rFonts w:eastAsiaTheme="minorEastAsia"/>
          <w:lang w:val="es-ES_tradnl"/>
        </w:rPr>
        <w:t xml:space="preserve">, </w:t>
      </w:r>
      <w:r w:rsidRPr="007E1FB5">
        <w:rPr>
          <w:rFonts w:eastAsiaTheme="minorEastAsia"/>
          <w:i/>
          <w:lang w:val="es-ES_tradnl"/>
        </w:rPr>
        <w:t>n</w:t>
      </w:r>
      <w:r w:rsidRPr="007E1FB5">
        <w:rPr>
          <w:rFonts w:eastAsiaTheme="minorEastAsia"/>
          <w:lang w:val="es-ES_tradnl"/>
        </w:rPr>
        <w:t xml:space="preserve"> – número de expertos).</w:t>
      </w:r>
    </w:p>
    <w:p w14:paraId="697726AF" w14:textId="77777777" w:rsidR="00193B55" w:rsidRPr="007E1FB5" w:rsidRDefault="00193B55" w:rsidP="00193B55">
      <w:pPr>
        <w:shd w:val="clear" w:color="auto" w:fill="FFFFFF"/>
        <w:rPr>
          <w:rFonts w:eastAsia="SimSun"/>
          <w:szCs w:val="24"/>
          <w:lang w:val="es-ES_tradnl"/>
        </w:rPr>
      </w:pPr>
      <w:r w:rsidRPr="007E1FB5">
        <w:rPr>
          <w:rFonts w:eastAsiaTheme="minorEastAsia"/>
          <w:lang w:val="es-ES_tradnl"/>
        </w:rPr>
        <w:t>Para pasar de las puntuaciones a las unidades relativas, se calcula el peso relativo de la importancia de cada grupo de criterios en su efecto combinado:</w:t>
      </w:r>
    </w:p>
    <w:p w14:paraId="1B13FE0A" w14:textId="77777777" w:rsidR="00193B55" w:rsidRPr="007E1FB5" w:rsidRDefault="00193B55" w:rsidP="00193B55">
      <w:pPr>
        <w:tabs>
          <w:tab w:val="clear" w:pos="1191"/>
          <w:tab w:val="clear" w:pos="1588"/>
          <w:tab w:val="clear" w:pos="1985"/>
          <w:tab w:val="center" w:pos="4820"/>
          <w:tab w:val="right" w:pos="9639"/>
        </w:tabs>
        <w:rPr>
          <w:rFonts w:eastAsia="SimSun"/>
          <w:lang w:val="es-ES_tradnl"/>
        </w:rPr>
      </w:pPr>
      <w:r w:rsidRPr="007E1FB5">
        <w:rPr>
          <w:rFonts w:eastAsia="SimSun"/>
          <w:lang w:val="es-ES_tradnl"/>
        </w:rPr>
        <w:tab/>
      </w:r>
      <w:r w:rsidRPr="007E1FB5">
        <w:rPr>
          <w:rFonts w:eastAsia="SimSun"/>
          <w:lang w:val="es-ES_tradnl"/>
        </w:rPr>
        <w:tab/>
      </w:r>
      <w:r w:rsidRPr="007E1FB5">
        <w:rPr>
          <w:rFonts w:eastAsia="SimSun"/>
          <w:noProof/>
          <w:position w:val="-72"/>
          <w:lang w:val="es-ES_tradnl" w:eastAsia="en-GB"/>
        </w:rPr>
        <w:drawing>
          <wp:inline distT="0" distB="0" distL="0" distR="0" wp14:anchorId="5AC786BF" wp14:editId="33892B20">
            <wp:extent cx="695325" cy="7239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r w:rsidRPr="007E1FB5">
        <w:rPr>
          <w:rFonts w:eastAsia="SimSun"/>
          <w:lang w:val="es-ES_tradnl"/>
        </w:rPr>
        <w:tab/>
        <w:t>(3)</w:t>
      </w:r>
    </w:p>
    <w:p w14:paraId="69057FC6" w14:textId="77777777" w:rsidR="00193B55" w:rsidRPr="007E1FB5" w:rsidRDefault="00193B55" w:rsidP="00193B55">
      <w:pPr>
        <w:rPr>
          <w:rFonts w:eastAsiaTheme="minorEastAsia"/>
          <w:lang w:val="es-ES_tradnl"/>
        </w:rPr>
      </w:pPr>
      <w:r w:rsidRPr="007E1FB5">
        <w:rPr>
          <w:rFonts w:eastAsiaTheme="minorEastAsia"/>
          <w:lang w:val="es-ES_tradnl"/>
        </w:rPr>
        <w:t xml:space="preserve">siendo </w:t>
      </w:r>
      <w:r w:rsidRPr="007E1FB5">
        <w:rPr>
          <w:rFonts w:eastAsia="SimSun"/>
          <w:noProof/>
          <w:position w:val="-12"/>
          <w:lang w:val="es-ES_tradnl"/>
        </w:rPr>
        <w:drawing>
          <wp:inline distT="0" distB="0" distL="0" distR="0" wp14:anchorId="30482705" wp14:editId="5B0DADBA">
            <wp:extent cx="171450" cy="24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sidRPr="007E1FB5">
        <w:rPr>
          <w:rFonts w:eastAsiaTheme="minorEastAsia"/>
          <w:lang w:val="es-ES_tradnl"/>
        </w:rPr>
        <w:t xml:space="preserve"> el peso de la significación del grupo </w:t>
      </w:r>
      <w:r w:rsidRPr="007E1FB5">
        <w:rPr>
          <w:rFonts w:eastAsiaTheme="minorEastAsia"/>
          <w:i/>
          <w:lang w:val="es-ES_tradnl"/>
        </w:rPr>
        <w:t>l</w:t>
      </w:r>
      <w:r w:rsidRPr="007E1FB5">
        <w:rPr>
          <w:rFonts w:eastAsiaTheme="minorEastAsia"/>
          <w:lang w:val="es-ES_tradnl"/>
        </w:rPr>
        <w:t xml:space="preserve"> en las unidades relativas; y </w:t>
      </w:r>
      <w:r w:rsidRPr="007E1FB5">
        <w:rPr>
          <w:rFonts w:eastAsia="SimSun"/>
          <w:noProof/>
          <w:position w:val="-8"/>
          <w:lang w:val="es-ES_tradnl"/>
        </w:rPr>
        <w:drawing>
          <wp:inline distT="0" distB="0" distL="0" distR="0" wp14:anchorId="36CE9A47" wp14:editId="2F016A3D">
            <wp:extent cx="190500" cy="228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7E1FB5">
        <w:rPr>
          <w:rFonts w:eastAsiaTheme="minorEastAsia"/>
          <w:lang w:val="es-ES_tradnl"/>
        </w:rPr>
        <w:t xml:space="preserve"> el valor medio de las evaluaciones de los expertos para el grupo </w:t>
      </w:r>
      <w:r w:rsidRPr="007E1FB5">
        <w:rPr>
          <w:rFonts w:eastAsiaTheme="minorEastAsia"/>
          <w:i/>
          <w:lang w:val="es-ES_tradnl"/>
        </w:rPr>
        <w:t>l</w:t>
      </w:r>
      <w:r w:rsidRPr="007E1FB5">
        <w:rPr>
          <w:rFonts w:eastAsiaTheme="minorEastAsia"/>
          <w:lang w:val="es-ES_tradnl"/>
        </w:rPr>
        <w:t xml:space="preserve"> en las puntuaciones (</w:t>
      </w:r>
      <w:r w:rsidRPr="007E1FB5">
        <w:rPr>
          <w:rFonts w:eastAsiaTheme="minorEastAsia"/>
          <w:i/>
          <w:iCs/>
          <w:lang w:val="es-ES_tradnl"/>
        </w:rPr>
        <w:t>l=1÷k1</w:t>
      </w:r>
      <w:r w:rsidRPr="007E1FB5">
        <w:rPr>
          <w:rFonts w:eastAsiaTheme="minorEastAsia"/>
          <w:lang w:val="es-ES_tradnl"/>
        </w:rPr>
        <w:t xml:space="preserve">, </w:t>
      </w:r>
      <w:r w:rsidRPr="007E1FB5">
        <w:rPr>
          <w:rFonts w:eastAsiaTheme="minorEastAsia"/>
          <w:i/>
          <w:iCs/>
          <w:lang w:val="es-ES_tradnl"/>
        </w:rPr>
        <w:t xml:space="preserve">k1 </w:t>
      </w:r>
      <w:r w:rsidRPr="007E1FB5">
        <w:rPr>
          <w:rFonts w:eastAsiaTheme="minorEastAsia"/>
          <w:lang w:val="es-ES_tradnl"/>
        </w:rPr>
        <w:t xml:space="preserve">– número de grupos de criterios, </w:t>
      </w:r>
      <w:r w:rsidRPr="007E1FB5">
        <w:rPr>
          <w:rFonts w:eastAsiaTheme="minorEastAsia"/>
          <w:i/>
          <w:iCs/>
          <w:lang w:val="es-ES_tradnl"/>
        </w:rPr>
        <w:t>k1=</w:t>
      </w:r>
      <w:r w:rsidRPr="007E1FB5">
        <w:rPr>
          <w:rFonts w:eastAsiaTheme="minorEastAsia"/>
          <w:iCs/>
          <w:lang w:val="es-ES_tradnl"/>
        </w:rPr>
        <w:t>3</w:t>
      </w:r>
      <w:r w:rsidRPr="007E1FB5">
        <w:rPr>
          <w:rFonts w:eastAsiaTheme="minorEastAsia"/>
          <w:lang w:val="es-ES_tradnl"/>
        </w:rPr>
        <w:t xml:space="preserve">). </w:t>
      </w:r>
      <w:r w:rsidRPr="007E1FB5">
        <w:rPr>
          <w:rFonts w:eastAsia="SimSun"/>
          <w:noProof/>
          <w:position w:val="-8"/>
          <w:lang w:val="es-ES_tradnl"/>
        </w:rPr>
        <w:drawing>
          <wp:inline distT="0" distB="0" distL="0" distR="0" wp14:anchorId="645574D5" wp14:editId="3D7004F1">
            <wp:extent cx="190500"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7E1FB5">
        <w:rPr>
          <w:rFonts w:eastAsiaTheme="minorEastAsia"/>
          <w:lang w:val="es-ES_tradnl"/>
        </w:rPr>
        <w:t xml:space="preserve"> se calcula mediante la ecuación (2).</w:t>
      </w:r>
    </w:p>
    <w:p w14:paraId="1303CD56" w14:textId="77777777" w:rsidR="00193B55" w:rsidRPr="007E1FB5" w:rsidRDefault="00193B55" w:rsidP="00193B55">
      <w:pPr>
        <w:pStyle w:val="enumlev1"/>
        <w:keepNext/>
        <w:keepLines/>
        <w:rPr>
          <w:rFonts w:eastAsia="SimSun"/>
          <w:lang w:val="es-ES_tradnl"/>
        </w:rPr>
      </w:pPr>
      <w:r w:rsidRPr="007E1FB5">
        <w:rPr>
          <w:rFonts w:eastAsia="SimSun"/>
          <w:lang w:val="es-ES_tradnl"/>
        </w:rPr>
        <w:lastRenderedPageBreak/>
        <w:t>2</w:t>
      </w:r>
      <w:r w:rsidRPr="007E1FB5">
        <w:rPr>
          <w:rFonts w:eastAsia="SimSun"/>
          <w:lang w:val="es-ES_tradnl"/>
        </w:rPr>
        <w:tab/>
      </w:r>
      <w:proofErr w:type="gramStart"/>
      <w:r w:rsidRPr="007E1FB5">
        <w:rPr>
          <w:rFonts w:eastAsiaTheme="minorEastAsia"/>
          <w:lang w:val="es-ES_tradnl"/>
        </w:rPr>
        <w:t>El</w:t>
      </w:r>
      <w:proofErr w:type="gramEnd"/>
      <w:r w:rsidRPr="007E1FB5">
        <w:rPr>
          <w:rFonts w:eastAsiaTheme="minorEastAsia"/>
          <w:lang w:val="es-ES_tradnl"/>
        </w:rPr>
        <w:t xml:space="preserve"> valor medio de las evaluaciones de los expertos de cada criterio relativo a las perspectivas de desarrollo de las tecnologías radioeléctricas se calcula como sigue:</w:t>
      </w:r>
    </w:p>
    <w:p w14:paraId="13E92021" w14:textId="77777777" w:rsidR="00193B55" w:rsidRPr="007E1FB5" w:rsidRDefault="00193B55" w:rsidP="00193B55">
      <w:pPr>
        <w:keepNext/>
        <w:keepLines/>
        <w:tabs>
          <w:tab w:val="clear" w:pos="1191"/>
          <w:tab w:val="clear" w:pos="1588"/>
          <w:tab w:val="clear" w:pos="1985"/>
          <w:tab w:val="center" w:pos="4820"/>
          <w:tab w:val="right" w:pos="9639"/>
        </w:tabs>
        <w:rPr>
          <w:rFonts w:eastAsia="SimSun"/>
          <w:lang w:val="es-ES_tradnl"/>
        </w:rPr>
      </w:pPr>
      <w:r w:rsidRPr="007E1FB5">
        <w:rPr>
          <w:rFonts w:eastAsia="SimSun"/>
          <w:lang w:val="es-ES_tradnl"/>
        </w:rPr>
        <w:tab/>
      </w:r>
      <w:r w:rsidRPr="007E1FB5">
        <w:rPr>
          <w:rFonts w:eastAsia="SimSun"/>
          <w:lang w:val="es-ES_tradnl"/>
        </w:rPr>
        <w:tab/>
      </w:r>
      <w:r w:rsidRPr="007E1FB5">
        <w:rPr>
          <w:rFonts w:eastAsia="SimSun"/>
          <w:noProof/>
          <w:lang w:val="es-ES_tradnl" w:eastAsia="en-GB"/>
        </w:rPr>
        <w:drawing>
          <wp:inline distT="0" distB="0" distL="0" distR="0" wp14:anchorId="0D7A6B2B" wp14:editId="2C6E0D64">
            <wp:extent cx="1047750" cy="7048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7750" cy="704850"/>
                    </a:xfrm>
                    <a:prstGeom prst="rect">
                      <a:avLst/>
                    </a:prstGeom>
                    <a:noFill/>
                    <a:ln>
                      <a:noFill/>
                    </a:ln>
                  </pic:spPr>
                </pic:pic>
              </a:graphicData>
            </a:graphic>
          </wp:inline>
        </w:drawing>
      </w:r>
      <w:r w:rsidRPr="007E1FB5">
        <w:rPr>
          <w:rFonts w:eastAsia="SimSun"/>
          <w:lang w:val="es-ES_tradnl"/>
        </w:rPr>
        <w:t>,</w:t>
      </w:r>
      <w:r w:rsidRPr="007E1FB5">
        <w:rPr>
          <w:rFonts w:eastAsia="SimSun"/>
          <w:lang w:val="es-ES_tradnl"/>
        </w:rPr>
        <w:tab/>
        <w:t>(4)</w:t>
      </w:r>
    </w:p>
    <w:p w14:paraId="71825B31" w14:textId="77777777" w:rsidR="00193B55" w:rsidRPr="007E1FB5" w:rsidRDefault="00193B55" w:rsidP="00193B55">
      <w:pPr>
        <w:rPr>
          <w:rFonts w:eastAsiaTheme="minorEastAsia"/>
          <w:lang w:val="es-ES_tradnl"/>
        </w:rPr>
      </w:pPr>
      <w:r w:rsidRPr="007E1FB5">
        <w:rPr>
          <w:rFonts w:eastAsiaTheme="minorEastAsia"/>
          <w:lang w:val="es-ES_tradnl"/>
        </w:rPr>
        <w:t xml:space="preserve">siendo </w:t>
      </w:r>
      <w:r w:rsidRPr="007E1FB5">
        <w:rPr>
          <w:rFonts w:eastAsia="SimSun"/>
          <w:noProof/>
          <w:position w:val="-14"/>
          <w:lang w:val="es-ES_tradnl"/>
        </w:rPr>
        <w:drawing>
          <wp:inline distT="0" distB="0" distL="0" distR="0" wp14:anchorId="150474B8" wp14:editId="66FE83F1">
            <wp:extent cx="342900" cy="2190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7E1FB5">
        <w:rPr>
          <w:rFonts w:eastAsiaTheme="minorEastAsia"/>
          <w:lang w:val="es-ES_tradnl"/>
        </w:rPr>
        <w:t xml:space="preserve"> una puntuación dada al criterio </w:t>
      </w:r>
      <w:r w:rsidRPr="007E1FB5">
        <w:rPr>
          <w:rFonts w:eastAsiaTheme="minorEastAsia"/>
          <w:i/>
          <w:lang w:val="es-ES_tradnl"/>
        </w:rPr>
        <w:t>m</w:t>
      </w:r>
      <w:r w:rsidRPr="007E1FB5">
        <w:rPr>
          <w:rFonts w:eastAsiaTheme="minorEastAsia"/>
          <w:lang w:val="es-ES_tradnl"/>
        </w:rPr>
        <w:t xml:space="preserve"> en el grupo </w:t>
      </w:r>
      <w:r w:rsidRPr="007E1FB5">
        <w:rPr>
          <w:rFonts w:eastAsiaTheme="minorEastAsia"/>
          <w:i/>
          <w:lang w:val="es-ES_tradnl"/>
        </w:rPr>
        <w:t>l</w:t>
      </w:r>
      <w:r w:rsidRPr="007E1FB5">
        <w:rPr>
          <w:rFonts w:eastAsiaTheme="minorEastAsia"/>
          <w:lang w:val="es-ES_tradnl"/>
        </w:rPr>
        <w:t xml:space="preserve"> por el experto </w:t>
      </w:r>
      <w:r w:rsidRPr="007E1FB5">
        <w:rPr>
          <w:rFonts w:eastAsiaTheme="minorEastAsia"/>
          <w:i/>
          <w:lang w:val="es-ES_tradnl"/>
        </w:rPr>
        <w:t>j</w:t>
      </w:r>
      <w:r w:rsidRPr="007E1FB5">
        <w:rPr>
          <w:rFonts w:eastAsiaTheme="minorEastAsia"/>
          <w:lang w:val="es-ES_tradnl"/>
        </w:rPr>
        <w:t>.</w:t>
      </w:r>
    </w:p>
    <w:p w14:paraId="30F15266" w14:textId="77777777" w:rsidR="00193B55" w:rsidRPr="007E1FB5" w:rsidRDefault="00193B55" w:rsidP="00193B55">
      <w:pPr>
        <w:keepNext/>
        <w:keepLines/>
        <w:rPr>
          <w:rFonts w:eastAsiaTheme="minorEastAsia"/>
          <w:lang w:val="es-ES_tradnl"/>
        </w:rPr>
      </w:pPr>
      <w:r w:rsidRPr="007E1FB5">
        <w:rPr>
          <w:rFonts w:eastAsiaTheme="minorEastAsia"/>
          <w:lang w:val="es-ES_tradnl"/>
        </w:rPr>
        <w:t>Para pasar de las puntuaciones a las unidades relativas, se calcula un peso para cada criterio de cada grupo.</w:t>
      </w:r>
    </w:p>
    <w:p w14:paraId="34F2E69A" w14:textId="77777777" w:rsidR="00193B55" w:rsidRPr="007E1FB5" w:rsidRDefault="00193B55" w:rsidP="00193B55">
      <w:pPr>
        <w:pStyle w:val="Equation"/>
        <w:keepNext/>
        <w:keepLines/>
        <w:rPr>
          <w:rFonts w:eastAsiaTheme="minorEastAsia"/>
          <w:lang w:val="es-ES_tradnl"/>
        </w:rPr>
      </w:pPr>
      <w:r w:rsidRPr="007E1FB5">
        <w:rPr>
          <w:rFonts w:eastAsiaTheme="minorEastAsia"/>
          <w:lang w:val="es-ES_tradnl"/>
        </w:rPr>
        <w:tab/>
      </w:r>
      <w:r w:rsidRPr="007E1FB5">
        <w:rPr>
          <w:rFonts w:eastAsiaTheme="minorEastAsia"/>
          <w:lang w:val="es-ES_tradnl"/>
        </w:rPr>
        <w:tab/>
      </w:r>
      <w:r w:rsidRPr="007E1FB5">
        <w:rPr>
          <w:rFonts w:eastAsiaTheme="minorEastAsia"/>
          <w:lang w:val="es-ES_tradnl"/>
        </w:rPr>
        <w:object w:dxaOrig="1695" w:dyaOrig="1290" w14:anchorId="1C91D250">
          <v:shape id="_x0000_i1026" type="#_x0000_t75" style="width:84.25pt;height:64.55pt" o:ole="">
            <v:imagedata r:id="rId33" o:title=""/>
          </v:shape>
          <o:OLEObject Type="Embed" ProgID="Equation.3" ShapeID="_x0000_i1026" DrawAspect="Content" ObjectID="_1827647670" r:id="rId34"/>
        </w:object>
      </w:r>
      <w:r w:rsidRPr="007E1FB5">
        <w:rPr>
          <w:rFonts w:eastAsiaTheme="minorEastAsia"/>
          <w:lang w:val="es-ES_tradnl"/>
        </w:rPr>
        <w:t>,</w:t>
      </w:r>
      <w:r w:rsidRPr="007E1FB5">
        <w:rPr>
          <w:rFonts w:eastAsiaTheme="minorEastAsia"/>
          <w:lang w:val="es-ES_tradnl"/>
        </w:rPr>
        <w:tab/>
        <w:t>(5)</w:t>
      </w:r>
    </w:p>
    <w:p w14:paraId="658569BA" w14:textId="77777777" w:rsidR="00193B55" w:rsidRPr="007E1FB5" w:rsidRDefault="00193B55" w:rsidP="00193B55">
      <w:pPr>
        <w:keepNext/>
        <w:keepLines/>
        <w:rPr>
          <w:rFonts w:eastAsiaTheme="minorEastAsia"/>
          <w:lang w:val="es-ES_tradnl"/>
        </w:rPr>
      </w:pPr>
      <w:r w:rsidRPr="007E1FB5">
        <w:rPr>
          <w:rFonts w:eastAsiaTheme="minorEastAsia"/>
          <w:lang w:val="es-ES_tradnl"/>
        </w:rPr>
        <w:t xml:space="preserve">siendo </w:t>
      </w:r>
      <w:r w:rsidRPr="007E1FB5">
        <w:rPr>
          <w:rFonts w:eastAsia="SimSun"/>
          <w:noProof/>
          <w:position w:val="-14"/>
          <w:lang w:val="es-ES_tradnl"/>
        </w:rPr>
        <w:drawing>
          <wp:inline distT="0" distB="0" distL="0" distR="0" wp14:anchorId="4D18B13B" wp14:editId="475407DD">
            <wp:extent cx="257175" cy="2571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E1FB5">
        <w:rPr>
          <w:rFonts w:eastAsiaTheme="minorEastAsia"/>
          <w:lang w:val="es-ES_tradnl"/>
        </w:rPr>
        <w:t xml:space="preserve"> el peso del criterio </w:t>
      </w:r>
      <w:r w:rsidRPr="007E1FB5">
        <w:rPr>
          <w:rFonts w:eastAsiaTheme="minorEastAsia"/>
          <w:i/>
          <w:iCs/>
          <w:lang w:val="es-ES_tradnl"/>
        </w:rPr>
        <w:t>m</w:t>
      </w:r>
      <w:r w:rsidRPr="007E1FB5">
        <w:rPr>
          <w:rFonts w:eastAsiaTheme="minorEastAsia"/>
          <w:lang w:val="es-ES_tradnl"/>
        </w:rPr>
        <w:t xml:space="preserve"> en unidades relativas (</w:t>
      </w:r>
      <w:r w:rsidRPr="007E1FB5">
        <w:rPr>
          <w:rFonts w:eastAsiaTheme="minorEastAsia"/>
          <w:i/>
          <w:iCs/>
          <w:lang w:val="es-ES_tradnl"/>
        </w:rPr>
        <w:t>m=</w:t>
      </w:r>
      <w:r w:rsidRPr="007E1FB5">
        <w:rPr>
          <w:rFonts w:eastAsiaTheme="minorEastAsia"/>
          <w:iCs/>
          <w:lang w:val="es-ES_tradnl"/>
        </w:rPr>
        <w:t>1</w:t>
      </w:r>
      <w:r w:rsidRPr="007E1FB5">
        <w:rPr>
          <w:rFonts w:eastAsiaTheme="minorEastAsia"/>
          <w:i/>
          <w:iCs/>
          <w:lang w:val="es-ES_tradnl"/>
        </w:rPr>
        <w:t>÷k</w:t>
      </w:r>
      <w:r w:rsidRPr="007E1FB5">
        <w:rPr>
          <w:rFonts w:eastAsiaTheme="minorEastAsia"/>
          <w:iCs/>
          <w:lang w:val="es-ES_tradnl"/>
        </w:rPr>
        <w:t>2</w:t>
      </w:r>
      <w:r w:rsidRPr="007E1FB5">
        <w:rPr>
          <w:rFonts w:eastAsiaTheme="minorEastAsia"/>
          <w:i/>
          <w:iCs/>
          <w:lang w:val="es-ES_tradnl"/>
        </w:rPr>
        <w:t>, k</w:t>
      </w:r>
      <w:r w:rsidRPr="007E1FB5">
        <w:rPr>
          <w:rFonts w:eastAsiaTheme="minorEastAsia"/>
          <w:iCs/>
          <w:lang w:val="es-ES_tradnl"/>
        </w:rPr>
        <w:t>2</w:t>
      </w:r>
      <w:r w:rsidRPr="007E1FB5">
        <w:rPr>
          <w:rFonts w:eastAsiaTheme="minorEastAsia"/>
          <w:i/>
          <w:iCs/>
          <w:lang w:val="es-ES_tradnl"/>
        </w:rPr>
        <w:t xml:space="preserve"> </w:t>
      </w:r>
      <w:r w:rsidRPr="007E1FB5">
        <w:rPr>
          <w:rFonts w:eastAsiaTheme="minorEastAsia"/>
          <w:lang w:val="es-ES_tradnl"/>
        </w:rPr>
        <w:t xml:space="preserve">– un número de criterios en el grupo considerado – técnicos o económicos); e </w:t>
      </w:r>
      <w:r w:rsidRPr="007E1FB5">
        <w:rPr>
          <w:rFonts w:eastAsia="SimSun"/>
          <w:noProof/>
          <w:position w:val="-14"/>
          <w:lang w:val="es-ES_tradnl"/>
        </w:rPr>
        <w:drawing>
          <wp:inline distT="0" distB="0" distL="0" distR="0" wp14:anchorId="7DBE848B" wp14:editId="10EFD1D8">
            <wp:extent cx="342900" cy="285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7E1FB5">
        <w:rPr>
          <w:rFonts w:eastAsiaTheme="minorEastAsia"/>
          <w:lang w:val="es-ES_tradnl"/>
        </w:rPr>
        <w:t xml:space="preserve"> la puntuación media del criterio </w:t>
      </w:r>
      <w:r w:rsidRPr="007E1FB5">
        <w:rPr>
          <w:rFonts w:eastAsiaTheme="minorEastAsia"/>
          <w:i/>
          <w:lang w:val="es-ES_tradnl"/>
        </w:rPr>
        <w:t>m</w:t>
      </w:r>
      <w:r w:rsidRPr="007E1FB5">
        <w:rPr>
          <w:rFonts w:eastAsiaTheme="minorEastAsia"/>
          <w:lang w:val="es-ES_tradnl"/>
        </w:rPr>
        <w:t xml:space="preserve">. </w:t>
      </w:r>
      <w:r w:rsidRPr="007E1FB5">
        <w:rPr>
          <w:rFonts w:eastAsia="SimSun"/>
          <w:noProof/>
          <w:position w:val="-14"/>
          <w:lang w:val="es-ES_tradnl"/>
        </w:rPr>
        <w:drawing>
          <wp:inline distT="0" distB="0" distL="0" distR="0" wp14:anchorId="5B51FCFF" wp14:editId="73639EF2">
            <wp:extent cx="342900" cy="285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7E1FB5">
        <w:rPr>
          <w:rFonts w:eastAsiaTheme="minorEastAsia"/>
          <w:lang w:val="es-ES_tradnl"/>
        </w:rPr>
        <w:t xml:space="preserve"> viene definida por la ecuación (4).</w:t>
      </w:r>
    </w:p>
    <w:p w14:paraId="4A35DEDC" w14:textId="77777777" w:rsidR="00193B55" w:rsidRPr="007E1FB5" w:rsidRDefault="00193B55" w:rsidP="00193B55">
      <w:pPr>
        <w:pStyle w:val="enumlev1"/>
        <w:rPr>
          <w:rFonts w:eastAsiaTheme="minorEastAsia"/>
          <w:lang w:val="es-ES_tradnl"/>
        </w:rPr>
      </w:pPr>
      <w:r w:rsidRPr="007E1FB5">
        <w:rPr>
          <w:rFonts w:eastAsiaTheme="minorEastAsia"/>
          <w:lang w:val="es-ES_tradnl"/>
        </w:rPr>
        <w:t>3</w:t>
      </w:r>
      <w:r w:rsidRPr="007E1FB5">
        <w:rPr>
          <w:rFonts w:eastAsiaTheme="minorEastAsia"/>
          <w:lang w:val="es-ES_tradnl"/>
        </w:rPr>
        <w:tab/>
      </w:r>
      <w:proofErr w:type="gramStart"/>
      <w:r w:rsidRPr="007E1FB5">
        <w:rPr>
          <w:rFonts w:eastAsiaTheme="minorEastAsia"/>
          <w:lang w:val="es-ES_tradnl"/>
        </w:rPr>
        <w:t>A</w:t>
      </w:r>
      <w:proofErr w:type="gramEnd"/>
      <w:r w:rsidRPr="007E1FB5">
        <w:rPr>
          <w:rFonts w:eastAsiaTheme="minorEastAsia"/>
          <w:lang w:val="es-ES_tradnl"/>
        </w:rPr>
        <w:t xml:space="preserve"> continuación, se calcula una puntuación media para cada criterio aplicable a cada tecnología. Para facilitar el análisis, las puntuaciones dadas por los expertos se dividen por 10.</w:t>
      </w:r>
    </w:p>
    <w:p w14:paraId="0FB3730B" w14:textId="77777777" w:rsidR="00193B55" w:rsidRPr="007E1FB5" w:rsidRDefault="00193B55" w:rsidP="00193B55">
      <w:pPr>
        <w:pStyle w:val="Equation"/>
        <w:rPr>
          <w:rFonts w:eastAsiaTheme="minorEastAsia"/>
          <w:lang w:val="es-ES_tradnl"/>
        </w:rPr>
      </w:pPr>
      <w:r w:rsidRPr="007E1FB5">
        <w:rPr>
          <w:rFonts w:eastAsiaTheme="minorEastAsia"/>
          <w:lang w:val="es-ES_tradnl"/>
        </w:rPr>
        <w:tab/>
      </w:r>
      <w:r w:rsidRPr="007E1FB5">
        <w:rPr>
          <w:rFonts w:eastAsiaTheme="minorEastAsia"/>
          <w:lang w:val="es-ES_tradnl"/>
        </w:rPr>
        <w:tab/>
      </w:r>
      <w:r w:rsidRPr="007E1FB5">
        <w:rPr>
          <w:rFonts w:eastAsiaTheme="minorEastAsia"/>
          <w:lang w:val="es-ES_tradnl"/>
        </w:rPr>
        <w:object w:dxaOrig="1710" w:dyaOrig="1035" w14:anchorId="213E1B22">
          <v:shape id="_x0000_i1027" type="#_x0000_t75" style="width:86.25pt;height:52.3pt" o:ole="">
            <v:imagedata r:id="rId37" o:title=""/>
          </v:shape>
          <o:OLEObject Type="Embed" ProgID="Equation.3" ShapeID="_x0000_i1027" DrawAspect="Content" ObjectID="_1827647671" r:id="rId38"/>
        </w:object>
      </w:r>
      <w:r w:rsidRPr="007E1FB5">
        <w:rPr>
          <w:rFonts w:eastAsiaTheme="minorEastAsia"/>
          <w:lang w:val="es-ES_tradnl"/>
        </w:rPr>
        <w:t>,</w:t>
      </w:r>
      <w:r w:rsidRPr="007E1FB5">
        <w:rPr>
          <w:rFonts w:eastAsiaTheme="minorEastAsia"/>
          <w:lang w:val="es-ES_tradnl"/>
        </w:rPr>
        <w:tab/>
        <w:t>(6)</w:t>
      </w:r>
    </w:p>
    <w:p w14:paraId="72512DA8" w14:textId="77777777" w:rsidR="00193B55" w:rsidRPr="007E1FB5" w:rsidRDefault="00193B55" w:rsidP="00193B55">
      <w:pPr>
        <w:rPr>
          <w:rFonts w:eastAsiaTheme="minorEastAsia"/>
          <w:lang w:val="es-ES_tradnl"/>
        </w:rPr>
      </w:pPr>
      <w:r w:rsidRPr="007E1FB5">
        <w:rPr>
          <w:rFonts w:eastAsiaTheme="minorEastAsia"/>
          <w:lang w:val="es-ES_tradnl"/>
        </w:rPr>
        <w:t xml:space="preserve">siendo </w:t>
      </w:r>
      <w:r w:rsidRPr="007E1FB5">
        <w:rPr>
          <w:rFonts w:eastAsia="SimSun"/>
          <w:noProof/>
          <w:position w:val="-8"/>
          <w:lang w:val="es-ES_tradnl"/>
        </w:rPr>
        <w:drawing>
          <wp:inline distT="0" distB="0" distL="0" distR="0" wp14:anchorId="4FD5A1B9" wp14:editId="51AA2121">
            <wp:extent cx="342900" cy="247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7E1FB5">
        <w:rPr>
          <w:rFonts w:eastAsiaTheme="minorEastAsia"/>
          <w:lang w:val="es-ES_tradnl"/>
        </w:rPr>
        <w:t xml:space="preserve"> una puntuación media dada a la tecnología </w:t>
      </w:r>
      <w:r w:rsidRPr="007E1FB5">
        <w:rPr>
          <w:rFonts w:eastAsiaTheme="minorEastAsia"/>
          <w:i/>
          <w:iCs/>
          <w:lang w:val="es-ES_tradnl"/>
        </w:rPr>
        <w:t>i</w:t>
      </w:r>
      <w:r w:rsidRPr="007E1FB5">
        <w:rPr>
          <w:rFonts w:eastAsiaTheme="minorEastAsia"/>
          <w:lang w:val="es-ES_tradnl"/>
        </w:rPr>
        <w:t xml:space="preserve"> por el criterio considerado (</w:t>
      </w:r>
      <w:r w:rsidRPr="007E1FB5">
        <w:rPr>
          <w:rFonts w:eastAsiaTheme="minorEastAsia"/>
          <w:i/>
          <w:iCs/>
          <w:lang w:val="es-ES_tradnl"/>
        </w:rPr>
        <w:t>i=</w:t>
      </w:r>
      <w:r w:rsidRPr="007E1FB5">
        <w:rPr>
          <w:rFonts w:eastAsiaTheme="minorEastAsia"/>
          <w:iCs/>
          <w:lang w:val="es-ES_tradnl"/>
        </w:rPr>
        <w:t>1</w:t>
      </w:r>
      <w:r w:rsidRPr="007E1FB5">
        <w:rPr>
          <w:rFonts w:eastAsiaTheme="minorEastAsia"/>
          <w:i/>
          <w:iCs/>
          <w:lang w:val="es-ES_tradnl"/>
        </w:rPr>
        <w:t>÷k</w:t>
      </w:r>
      <w:r w:rsidRPr="007E1FB5">
        <w:rPr>
          <w:rFonts w:eastAsiaTheme="minorEastAsia"/>
          <w:iCs/>
          <w:lang w:val="es-ES_tradnl"/>
        </w:rPr>
        <w:t>3</w:t>
      </w:r>
      <w:r w:rsidRPr="007E1FB5">
        <w:rPr>
          <w:rFonts w:eastAsiaTheme="minorEastAsia"/>
          <w:i/>
          <w:iCs/>
          <w:lang w:val="es-ES_tradnl"/>
        </w:rPr>
        <w:t>, k</w:t>
      </w:r>
      <w:r w:rsidRPr="007E1FB5">
        <w:rPr>
          <w:rFonts w:eastAsiaTheme="minorEastAsia"/>
          <w:iCs/>
          <w:lang w:val="es-ES_tradnl"/>
        </w:rPr>
        <w:t>3</w:t>
      </w:r>
      <w:r w:rsidRPr="007E1FB5">
        <w:rPr>
          <w:rFonts w:eastAsiaTheme="minorEastAsia"/>
          <w:i/>
          <w:iCs/>
          <w:lang w:val="es-ES_tradnl"/>
        </w:rPr>
        <w:t xml:space="preserve"> </w:t>
      </w:r>
      <w:r w:rsidRPr="007E1FB5">
        <w:rPr>
          <w:rFonts w:eastAsiaTheme="minorEastAsia"/>
          <w:lang w:val="es-ES_tradnl"/>
        </w:rPr>
        <w:t xml:space="preserve">– número de tecnologías consideradas); y </w:t>
      </w:r>
      <w:r w:rsidRPr="007E1FB5">
        <w:rPr>
          <w:rFonts w:eastAsia="SimSun"/>
          <w:noProof/>
          <w:position w:val="-14"/>
          <w:lang w:val="es-ES_tradnl"/>
        </w:rPr>
        <w:drawing>
          <wp:inline distT="0" distB="0" distL="0" distR="0" wp14:anchorId="06C5D08C" wp14:editId="6DDE515D">
            <wp:extent cx="400050" cy="2190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7E1FB5">
        <w:rPr>
          <w:rFonts w:eastAsiaTheme="minorEastAsia"/>
          <w:lang w:val="es-ES_tradnl"/>
        </w:rPr>
        <w:t xml:space="preserve"> la puntuación dada a la tecnología </w:t>
      </w:r>
      <w:r w:rsidRPr="007E1FB5">
        <w:rPr>
          <w:rFonts w:eastAsiaTheme="minorEastAsia"/>
          <w:i/>
          <w:iCs/>
          <w:lang w:val="es-ES_tradnl"/>
        </w:rPr>
        <w:t>i</w:t>
      </w:r>
      <w:r w:rsidRPr="007E1FB5">
        <w:rPr>
          <w:rFonts w:eastAsiaTheme="minorEastAsia"/>
          <w:lang w:val="es-ES_tradnl"/>
        </w:rPr>
        <w:t xml:space="preserve"> por el experto </w:t>
      </w:r>
      <w:r w:rsidRPr="007E1FB5">
        <w:rPr>
          <w:rFonts w:eastAsiaTheme="minorEastAsia"/>
          <w:i/>
          <w:iCs/>
          <w:lang w:val="es-ES_tradnl"/>
        </w:rPr>
        <w:t>j</w:t>
      </w:r>
      <w:r w:rsidRPr="007E1FB5">
        <w:rPr>
          <w:rFonts w:eastAsiaTheme="minorEastAsia"/>
          <w:lang w:val="es-ES_tradnl"/>
        </w:rPr>
        <w:t xml:space="preserve"> dividida por 10.</w:t>
      </w:r>
    </w:p>
    <w:p w14:paraId="2F517CDE" w14:textId="77777777" w:rsidR="00193B55" w:rsidRPr="007E1FB5" w:rsidRDefault="00193B55" w:rsidP="00193B55">
      <w:pPr>
        <w:pStyle w:val="enumlev1"/>
        <w:rPr>
          <w:rFonts w:eastAsiaTheme="minorEastAsia"/>
          <w:lang w:val="es-ES_tradnl"/>
        </w:rPr>
      </w:pPr>
      <w:r w:rsidRPr="007E1FB5">
        <w:rPr>
          <w:rFonts w:eastAsiaTheme="minorEastAsia"/>
          <w:lang w:val="es-ES_tradnl"/>
        </w:rPr>
        <w:t>4</w:t>
      </w:r>
      <w:r w:rsidRPr="007E1FB5">
        <w:rPr>
          <w:rFonts w:eastAsiaTheme="minorEastAsia"/>
          <w:lang w:val="es-ES_tradnl"/>
        </w:rPr>
        <w:tab/>
      </w:r>
      <w:proofErr w:type="gramStart"/>
      <w:r w:rsidRPr="007E1FB5">
        <w:rPr>
          <w:rFonts w:eastAsiaTheme="minorEastAsia"/>
          <w:lang w:val="es-ES_tradnl"/>
        </w:rPr>
        <w:t>Por</w:t>
      </w:r>
      <w:proofErr w:type="gramEnd"/>
      <w:r w:rsidRPr="007E1FB5">
        <w:rPr>
          <w:rFonts w:eastAsiaTheme="minorEastAsia"/>
          <w:lang w:val="es-ES_tradnl"/>
        </w:rPr>
        <w:t xml:space="preserve"> último, se calcula un coeficiente de prospectividad para cada tecnología considerada.</w:t>
      </w:r>
    </w:p>
    <w:p w14:paraId="64302DC8" w14:textId="77777777" w:rsidR="00193B55" w:rsidRPr="007E1FB5" w:rsidRDefault="00193B55" w:rsidP="00193B55">
      <w:pPr>
        <w:pStyle w:val="Equation"/>
        <w:rPr>
          <w:rFonts w:eastAsiaTheme="minorEastAsia"/>
          <w:lang w:val="es-ES_tradnl"/>
        </w:rPr>
      </w:pPr>
      <w:r w:rsidRPr="007E1FB5">
        <w:rPr>
          <w:rFonts w:eastAsiaTheme="minorEastAsia"/>
          <w:lang w:val="es-ES_tradnl"/>
        </w:rPr>
        <w:tab/>
      </w:r>
      <w:r w:rsidRPr="007E1FB5">
        <w:rPr>
          <w:rFonts w:eastAsiaTheme="minorEastAsia"/>
          <w:lang w:val="es-ES_tradnl"/>
        </w:rPr>
        <w:tab/>
      </w:r>
      <w:r w:rsidRPr="007E1FB5">
        <w:rPr>
          <w:rFonts w:eastAsiaTheme="minorEastAsia"/>
          <w:lang w:val="es-ES_tradnl"/>
        </w:rPr>
        <w:object w:dxaOrig="3045" w:dyaOrig="750" w14:anchorId="66A3B98C">
          <v:shape id="_x0000_i1028" type="#_x0000_t75" style="width:152.85pt;height:37.35pt" o:ole="">
            <v:imagedata r:id="rId41" o:title=""/>
          </v:shape>
          <o:OLEObject Type="Embed" ProgID="Equation.3" ShapeID="_x0000_i1028" DrawAspect="Content" ObjectID="_1827647672" r:id="rId42"/>
        </w:object>
      </w:r>
      <w:r w:rsidRPr="007E1FB5">
        <w:rPr>
          <w:rFonts w:eastAsiaTheme="minorEastAsia"/>
          <w:lang w:val="es-ES_tradnl"/>
        </w:rPr>
        <w:t xml:space="preserve">, </w:t>
      </w:r>
      <w:r w:rsidRPr="007E1FB5">
        <w:rPr>
          <w:rFonts w:eastAsiaTheme="minorEastAsia"/>
          <w:lang w:val="es-ES_tradnl"/>
        </w:rPr>
        <w:tab/>
        <w:t>(7)</w:t>
      </w:r>
    </w:p>
    <w:p w14:paraId="27594965" w14:textId="77777777" w:rsidR="00193B55" w:rsidRPr="007E1FB5" w:rsidRDefault="00193B55" w:rsidP="00193B55">
      <w:pPr>
        <w:rPr>
          <w:rFonts w:eastAsiaTheme="minorEastAsia"/>
          <w:lang w:val="es-ES_tradnl"/>
        </w:rPr>
      </w:pPr>
      <w:r w:rsidRPr="007E1FB5">
        <w:rPr>
          <w:rFonts w:eastAsiaTheme="minorEastAsia"/>
          <w:lang w:val="es-ES_tradnl"/>
        </w:rPr>
        <w:t xml:space="preserve">siendo </w:t>
      </w:r>
      <w:r w:rsidRPr="007E1FB5">
        <w:rPr>
          <w:rFonts w:eastAsia="SimSun"/>
          <w:noProof/>
          <w:position w:val="-14"/>
          <w:lang w:val="es-ES_tradnl"/>
        </w:rPr>
        <w:drawing>
          <wp:inline distT="0" distB="0" distL="0" distR="0" wp14:anchorId="04E45A12" wp14:editId="47600CA0">
            <wp:extent cx="476250" cy="2476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7E1FB5">
        <w:rPr>
          <w:rFonts w:eastAsiaTheme="minorEastAsia"/>
          <w:lang w:val="es-ES_tradnl"/>
        </w:rPr>
        <w:t xml:space="preserve"> el coeficiente de prospectividad de la tecnología </w:t>
      </w:r>
      <w:r w:rsidRPr="007E1FB5">
        <w:rPr>
          <w:rFonts w:eastAsiaTheme="minorEastAsia"/>
          <w:i/>
          <w:lang w:val="es-ES_tradnl"/>
        </w:rPr>
        <w:t>i</w:t>
      </w:r>
      <w:r w:rsidRPr="007E1FB5">
        <w:rPr>
          <w:rFonts w:eastAsiaTheme="minorEastAsia"/>
          <w:lang w:val="es-ES_tradnl"/>
        </w:rPr>
        <w:t xml:space="preserve"> (</w:t>
      </w:r>
      <w:r w:rsidRPr="007E1FB5">
        <w:rPr>
          <w:rFonts w:eastAsiaTheme="minorEastAsia"/>
          <w:i/>
          <w:iCs/>
          <w:lang w:val="es-ES_tradnl"/>
        </w:rPr>
        <w:t>i=</w:t>
      </w:r>
      <w:r w:rsidRPr="007E1FB5">
        <w:rPr>
          <w:rFonts w:eastAsiaTheme="minorEastAsia"/>
          <w:iCs/>
          <w:lang w:val="es-ES_tradnl"/>
        </w:rPr>
        <w:t>1</w:t>
      </w:r>
      <w:r w:rsidRPr="007E1FB5">
        <w:rPr>
          <w:rFonts w:eastAsiaTheme="minorEastAsia"/>
          <w:i/>
          <w:iCs/>
          <w:lang w:val="es-ES_tradnl"/>
        </w:rPr>
        <w:t>÷k</w:t>
      </w:r>
      <w:r w:rsidRPr="007E1FB5">
        <w:rPr>
          <w:rFonts w:eastAsiaTheme="minorEastAsia"/>
          <w:iCs/>
          <w:lang w:val="es-ES_tradnl"/>
        </w:rPr>
        <w:t>3</w:t>
      </w:r>
      <w:r w:rsidRPr="007E1FB5">
        <w:rPr>
          <w:rFonts w:eastAsiaTheme="minorEastAsia"/>
          <w:lang w:val="es-ES_tradnl"/>
        </w:rPr>
        <w:t xml:space="preserve">, </w:t>
      </w:r>
      <w:r w:rsidRPr="007E1FB5">
        <w:rPr>
          <w:rFonts w:eastAsiaTheme="minorEastAsia"/>
          <w:i/>
          <w:iCs/>
          <w:lang w:val="es-ES_tradnl"/>
        </w:rPr>
        <w:t>k</w:t>
      </w:r>
      <w:r w:rsidRPr="007E1FB5">
        <w:rPr>
          <w:rFonts w:eastAsiaTheme="minorEastAsia"/>
          <w:iCs/>
          <w:lang w:val="es-ES_tradnl"/>
        </w:rPr>
        <w:t>3</w:t>
      </w:r>
      <w:r w:rsidRPr="007E1FB5">
        <w:rPr>
          <w:rFonts w:eastAsiaTheme="minorEastAsia"/>
          <w:i/>
          <w:iCs/>
          <w:lang w:val="es-ES_tradnl"/>
        </w:rPr>
        <w:t xml:space="preserve"> </w:t>
      </w:r>
      <w:r w:rsidRPr="007E1FB5">
        <w:rPr>
          <w:rFonts w:eastAsiaTheme="minorEastAsia"/>
          <w:lang w:val="es-ES_tradnl"/>
        </w:rPr>
        <w:t xml:space="preserve">– número de tecnologías), en unidades relativas; </w:t>
      </w:r>
      <w:r w:rsidRPr="007E1FB5">
        <w:rPr>
          <w:rFonts w:eastAsia="SimSun"/>
          <w:noProof/>
          <w:position w:val="-12"/>
          <w:lang w:val="es-ES_tradnl"/>
        </w:rPr>
        <w:drawing>
          <wp:inline distT="0" distB="0" distL="0" distR="0" wp14:anchorId="4AD136C8" wp14:editId="572F7CA2">
            <wp:extent cx="171450" cy="2190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7E1FB5">
        <w:rPr>
          <w:rFonts w:eastAsiaTheme="minorEastAsia"/>
          <w:lang w:val="es-ES_tradnl"/>
        </w:rPr>
        <w:t xml:space="preserve"> el peso del grupo de criterios </w:t>
      </w:r>
      <w:r w:rsidRPr="007E1FB5">
        <w:rPr>
          <w:rFonts w:eastAsiaTheme="minorEastAsia"/>
          <w:i/>
          <w:lang w:val="es-ES_tradnl"/>
        </w:rPr>
        <w:t>l</w:t>
      </w:r>
      <w:r w:rsidRPr="007E1FB5">
        <w:rPr>
          <w:rFonts w:eastAsiaTheme="minorEastAsia"/>
          <w:lang w:val="es-ES_tradnl"/>
        </w:rPr>
        <w:t xml:space="preserve"> (</w:t>
      </w:r>
      <w:r w:rsidRPr="007E1FB5">
        <w:rPr>
          <w:rFonts w:eastAsiaTheme="minorEastAsia"/>
          <w:i/>
          <w:iCs/>
          <w:lang w:val="es-ES_tradnl"/>
        </w:rPr>
        <w:t>l=</w:t>
      </w:r>
      <w:r w:rsidRPr="007E1FB5">
        <w:rPr>
          <w:rFonts w:eastAsiaTheme="minorEastAsia"/>
          <w:iCs/>
          <w:lang w:val="es-ES_tradnl"/>
        </w:rPr>
        <w:t>1</w:t>
      </w:r>
      <w:r w:rsidRPr="007E1FB5">
        <w:rPr>
          <w:rFonts w:eastAsiaTheme="minorEastAsia"/>
          <w:i/>
          <w:iCs/>
          <w:lang w:val="es-ES_tradnl"/>
        </w:rPr>
        <w:t>÷k</w:t>
      </w:r>
      <w:r w:rsidRPr="007E1FB5">
        <w:rPr>
          <w:rFonts w:eastAsiaTheme="minorEastAsia"/>
          <w:iCs/>
          <w:lang w:val="es-ES_tradnl"/>
        </w:rPr>
        <w:t>1</w:t>
      </w:r>
      <w:r w:rsidRPr="007E1FB5">
        <w:rPr>
          <w:rFonts w:eastAsiaTheme="minorEastAsia"/>
          <w:lang w:val="es-ES_tradnl"/>
        </w:rPr>
        <w:t xml:space="preserve">, </w:t>
      </w:r>
      <w:r w:rsidRPr="007E1FB5">
        <w:rPr>
          <w:rFonts w:eastAsiaTheme="minorEastAsia"/>
          <w:i/>
          <w:iCs/>
          <w:lang w:val="es-ES_tradnl"/>
        </w:rPr>
        <w:t>k</w:t>
      </w:r>
      <w:r w:rsidRPr="007E1FB5">
        <w:rPr>
          <w:rFonts w:eastAsiaTheme="minorEastAsia"/>
          <w:iCs/>
          <w:lang w:val="es-ES_tradnl"/>
        </w:rPr>
        <w:t xml:space="preserve">1 </w:t>
      </w:r>
      <w:r w:rsidRPr="007E1FB5">
        <w:rPr>
          <w:rFonts w:eastAsiaTheme="minorEastAsia"/>
          <w:lang w:val="es-ES_tradnl"/>
        </w:rPr>
        <w:t xml:space="preserve">– número de grupos de criterios), en unidades relativas; </w:t>
      </w:r>
      <w:r w:rsidRPr="007E1FB5">
        <w:rPr>
          <w:rFonts w:eastAsia="SimSun"/>
          <w:noProof/>
          <w:position w:val="-12"/>
          <w:lang w:val="es-ES_tradnl"/>
        </w:rPr>
        <w:drawing>
          <wp:inline distT="0" distB="0" distL="0" distR="0" wp14:anchorId="53CD34DB" wp14:editId="0271A5E1">
            <wp:extent cx="219075" cy="2476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7E1FB5">
        <w:rPr>
          <w:rFonts w:eastAsiaTheme="minorEastAsia"/>
          <w:lang w:val="es-ES_tradnl"/>
        </w:rPr>
        <w:t xml:space="preserve"> el peso del criterio </w:t>
      </w:r>
      <w:r w:rsidRPr="007E1FB5">
        <w:rPr>
          <w:rFonts w:eastAsiaTheme="minorEastAsia"/>
          <w:i/>
          <w:lang w:val="es-ES_tradnl"/>
        </w:rPr>
        <w:t>m</w:t>
      </w:r>
      <w:r w:rsidRPr="007E1FB5">
        <w:rPr>
          <w:rFonts w:eastAsiaTheme="minorEastAsia"/>
          <w:lang w:val="es-ES_tradnl"/>
        </w:rPr>
        <w:t xml:space="preserve"> (</w:t>
      </w:r>
      <w:r w:rsidRPr="007E1FB5">
        <w:rPr>
          <w:rFonts w:eastAsiaTheme="minorEastAsia"/>
          <w:i/>
          <w:iCs/>
          <w:lang w:val="es-ES_tradnl"/>
        </w:rPr>
        <w:t>m=</w:t>
      </w:r>
      <w:r w:rsidRPr="007E1FB5">
        <w:rPr>
          <w:rFonts w:eastAsiaTheme="minorEastAsia"/>
          <w:iCs/>
          <w:lang w:val="es-ES_tradnl"/>
        </w:rPr>
        <w:t>1</w:t>
      </w:r>
      <w:r w:rsidRPr="007E1FB5">
        <w:rPr>
          <w:rFonts w:eastAsiaTheme="minorEastAsia"/>
          <w:i/>
          <w:iCs/>
          <w:lang w:val="es-ES_tradnl"/>
        </w:rPr>
        <w:t>÷k</w:t>
      </w:r>
      <w:r w:rsidRPr="007E1FB5">
        <w:rPr>
          <w:rFonts w:eastAsiaTheme="minorEastAsia"/>
          <w:iCs/>
          <w:lang w:val="es-ES_tradnl"/>
        </w:rPr>
        <w:t>2</w:t>
      </w:r>
      <w:r w:rsidRPr="007E1FB5">
        <w:rPr>
          <w:rFonts w:eastAsiaTheme="minorEastAsia"/>
          <w:lang w:val="es-ES_tradnl"/>
        </w:rPr>
        <w:t xml:space="preserve">, </w:t>
      </w:r>
      <w:r w:rsidRPr="007E1FB5">
        <w:rPr>
          <w:rFonts w:eastAsiaTheme="minorEastAsia"/>
          <w:i/>
          <w:iCs/>
          <w:lang w:val="es-ES_tradnl"/>
        </w:rPr>
        <w:t>k</w:t>
      </w:r>
      <w:r w:rsidRPr="007E1FB5">
        <w:rPr>
          <w:rFonts w:eastAsiaTheme="minorEastAsia"/>
          <w:iCs/>
          <w:lang w:val="es-ES_tradnl"/>
        </w:rPr>
        <w:t xml:space="preserve">2 </w:t>
      </w:r>
      <w:r w:rsidRPr="007E1FB5">
        <w:rPr>
          <w:rFonts w:eastAsiaTheme="minorEastAsia"/>
          <w:lang w:val="es-ES_tradnl"/>
        </w:rPr>
        <w:t xml:space="preserve">– número de criterios en el grupo </w:t>
      </w:r>
      <w:r w:rsidRPr="007E1FB5">
        <w:rPr>
          <w:rFonts w:eastAsiaTheme="minorEastAsia"/>
          <w:i/>
          <w:iCs/>
          <w:lang w:val="es-ES_tradnl"/>
        </w:rPr>
        <w:t>l</w:t>
      </w:r>
      <w:r w:rsidRPr="007E1FB5">
        <w:rPr>
          <w:rFonts w:eastAsiaTheme="minorEastAsia"/>
          <w:lang w:val="es-ES_tradnl"/>
        </w:rPr>
        <w:t xml:space="preserve">), en unidades relativas; y </w:t>
      </w:r>
      <w:r w:rsidRPr="007E1FB5">
        <w:rPr>
          <w:rFonts w:eastAsia="SimSun"/>
          <w:noProof/>
          <w:position w:val="-8"/>
          <w:lang w:val="es-ES_tradnl"/>
        </w:rPr>
        <w:drawing>
          <wp:inline distT="0" distB="0" distL="0" distR="0" wp14:anchorId="5CF566ED" wp14:editId="4D7A8929">
            <wp:extent cx="371475" cy="3048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rsidRPr="007E1FB5">
        <w:rPr>
          <w:rFonts w:eastAsiaTheme="minorEastAsia"/>
          <w:lang w:val="es-ES_tradnl"/>
        </w:rPr>
        <w:t xml:space="preserve"> la puntuación media de la tecnología </w:t>
      </w:r>
      <w:r w:rsidRPr="007E1FB5">
        <w:rPr>
          <w:rFonts w:eastAsiaTheme="minorEastAsia"/>
          <w:i/>
          <w:iCs/>
          <w:lang w:val="es-ES_tradnl"/>
        </w:rPr>
        <w:t xml:space="preserve">I </w:t>
      </w:r>
      <w:r w:rsidRPr="007E1FB5">
        <w:rPr>
          <w:rFonts w:eastAsiaTheme="minorEastAsia"/>
          <w:iCs/>
          <w:lang w:val="es-ES_tradnl"/>
        </w:rPr>
        <w:t xml:space="preserve">por el criterio </w:t>
      </w:r>
      <w:r w:rsidRPr="007E1FB5">
        <w:rPr>
          <w:rFonts w:eastAsiaTheme="minorEastAsia"/>
          <w:i/>
          <w:iCs/>
          <w:lang w:val="es-ES_tradnl"/>
        </w:rPr>
        <w:t>m</w:t>
      </w:r>
      <w:r w:rsidRPr="007E1FB5">
        <w:rPr>
          <w:rFonts w:eastAsiaTheme="minorEastAsia"/>
          <w:iCs/>
          <w:lang w:val="es-ES_tradnl"/>
        </w:rPr>
        <w:t xml:space="preserve"> en el grupo de criterios</w:t>
      </w:r>
      <w:r w:rsidRPr="007E1FB5">
        <w:rPr>
          <w:rFonts w:eastAsiaTheme="minorEastAsia"/>
          <w:lang w:val="es-ES_tradnl"/>
        </w:rPr>
        <w:t xml:space="preserve"> </w:t>
      </w:r>
      <w:r w:rsidRPr="007E1FB5">
        <w:rPr>
          <w:rFonts w:eastAsiaTheme="minorEastAsia"/>
          <w:i/>
          <w:iCs/>
          <w:lang w:val="es-ES_tradnl"/>
        </w:rPr>
        <w:t xml:space="preserve">l, </w:t>
      </w:r>
      <w:r w:rsidRPr="007E1FB5">
        <w:rPr>
          <w:rFonts w:eastAsiaTheme="minorEastAsia"/>
          <w:lang w:val="es-ES_tradnl"/>
        </w:rPr>
        <w:t xml:space="preserve">en </w:t>
      </w:r>
      <w:r w:rsidRPr="007E1FB5">
        <w:rPr>
          <w:rFonts w:eastAsiaTheme="minorEastAsia"/>
          <w:iCs/>
          <w:lang w:val="es-ES_tradnl"/>
        </w:rPr>
        <w:t>unidades relativas</w:t>
      </w:r>
      <w:r w:rsidRPr="007E1FB5">
        <w:rPr>
          <w:rFonts w:eastAsiaTheme="minorEastAsia"/>
          <w:i/>
          <w:iCs/>
          <w:lang w:val="es-ES_tradnl"/>
        </w:rPr>
        <w:t>.</w:t>
      </w:r>
    </w:p>
    <w:p w14:paraId="27616536" w14:textId="77777777" w:rsidR="00193B55" w:rsidRPr="007E1FB5" w:rsidRDefault="00193B55" w:rsidP="00193B55">
      <w:pPr>
        <w:pStyle w:val="Headingb"/>
        <w:rPr>
          <w:lang w:val="es-ES_tradnl"/>
        </w:rPr>
      </w:pPr>
      <w:r w:rsidRPr="007E1FB5">
        <w:rPr>
          <w:lang w:val="es-ES_tradnl"/>
        </w:rPr>
        <w:t>Evaluación de los recursos de frecuencias suficientes y necesarios para los siguientes sistemas y aplicaciones: móvil, fijo, radiodifusión, satélite y dispositivos de corto alcance (SRD)</w:t>
      </w:r>
    </w:p>
    <w:p w14:paraId="5E7480F6" w14:textId="77777777" w:rsidR="00193B55" w:rsidRPr="007E1FB5" w:rsidRDefault="00193B55" w:rsidP="00193B55">
      <w:pPr>
        <w:rPr>
          <w:rFonts w:eastAsiaTheme="minorEastAsia"/>
          <w:lang w:val="es-ES_tradnl"/>
        </w:rPr>
      </w:pPr>
      <w:r w:rsidRPr="007E1FB5">
        <w:rPr>
          <w:rFonts w:eastAsiaTheme="minorEastAsia"/>
          <w:lang w:val="es-ES_tradnl"/>
        </w:rPr>
        <w:t>A la hora de determinar los recursos de frecuencias estrictamente necesarios, todas las tecnologías seleccionadas se agrupan por categorías: sistemas de comunicaciones móviles, sistemas de comunicaciones fijos, sistemas de radiodifusión, sistemas por satélite y dispositivos de corto alcance.</w:t>
      </w:r>
    </w:p>
    <w:p w14:paraId="36844DFC" w14:textId="77777777" w:rsidR="00193B55" w:rsidRPr="007E1FB5" w:rsidRDefault="00193B55" w:rsidP="00193B55">
      <w:pPr>
        <w:rPr>
          <w:rFonts w:eastAsiaTheme="minorEastAsia"/>
          <w:lang w:val="es-ES_tradnl"/>
        </w:rPr>
      </w:pPr>
      <w:r w:rsidRPr="007E1FB5">
        <w:rPr>
          <w:rFonts w:eastAsiaTheme="minorEastAsia"/>
          <w:lang w:val="es-ES_tradnl"/>
        </w:rPr>
        <w:lastRenderedPageBreak/>
        <w:t>La metodología utilizada para determinar la demanda de espectro comprende los siguientes pasos:</w:t>
      </w:r>
    </w:p>
    <w:p w14:paraId="0CB0969D"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Se seleccionan los parámetros de los servicios de comunicación prestados.</w:t>
      </w:r>
    </w:p>
    <w:p w14:paraId="6D8EC53F"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Se calcula el número de abonados por metro cuadrado dividiendo el número total de abonados por la zona de servicio (célula).</w:t>
      </w:r>
    </w:p>
    <w:p w14:paraId="1931F547"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Se seleccionan los factores de penetración (%). Cada zona puede presentar un factor de penetración diferente.</w:t>
      </w:r>
    </w:p>
    <w:p w14:paraId="2C9B7425"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Se calcula el número de abonados por célula (para los sistemas celulares).</w:t>
      </w:r>
    </w:p>
    <w:p w14:paraId="62C370A1" w14:textId="77777777" w:rsidR="00193B55" w:rsidRPr="007E1FB5" w:rsidRDefault="00193B55" w:rsidP="00193B55">
      <w:pPr>
        <w:pStyle w:val="enumlev1"/>
        <w:keepNext/>
        <w:keepLines/>
        <w:rPr>
          <w:rFonts w:eastAsiaTheme="minorEastAsia"/>
          <w:lang w:val="es-ES_tradnl"/>
        </w:rPr>
      </w:pPr>
      <w:r w:rsidRPr="007E1FB5">
        <w:rPr>
          <w:rFonts w:eastAsiaTheme="minorEastAsia"/>
          <w:lang w:val="es-ES_tradnl"/>
        </w:rPr>
        <w:t>–</w:t>
      </w:r>
      <w:r w:rsidRPr="007E1FB5">
        <w:rPr>
          <w:rFonts w:eastAsiaTheme="minorEastAsia"/>
          <w:lang w:val="es-ES_tradnl"/>
        </w:rPr>
        <w:tab/>
        <w:t>Se definen los valores de los parámetros de tráfico, en concreto:</w:t>
      </w:r>
    </w:p>
    <w:p w14:paraId="7EC4AB5F" w14:textId="77777777" w:rsidR="00193B55" w:rsidRPr="007E1FB5" w:rsidRDefault="00193B55" w:rsidP="00193B55">
      <w:pPr>
        <w:pStyle w:val="enumlev2"/>
        <w:keepNext/>
        <w:keepLines/>
        <w:rPr>
          <w:rFonts w:eastAsiaTheme="minorEastAsia"/>
          <w:lang w:val="es-ES_tradnl"/>
        </w:rPr>
      </w:pPr>
      <w:r w:rsidRPr="007E1FB5">
        <w:rPr>
          <w:rFonts w:eastAsiaTheme="minorEastAsia"/>
          <w:lang w:val="es-ES_tradnl"/>
        </w:rPr>
        <w:t>•</w:t>
      </w:r>
      <w:r w:rsidRPr="007E1FB5">
        <w:rPr>
          <w:rFonts w:eastAsiaTheme="minorEastAsia"/>
          <w:lang w:val="es-ES_tradnl"/>
        </w:rPr>
        <w:tab/>
        <w:t>la carga en horas punta (llamadas/hora);</w:t>
      </w:r>
    </w:p>
    <w:p w14:paraId="59EF6860" w14:textId="77777777" w:rsidR="00193B55" w:rsidRPr="007E1FB5" w:rsidRDefault="00193B55" w:rsidP="00193B55">
      <w:pPr>
        <w:pStyle w:val="enumlev2"/>
        <w:keepNext/>
        <w:keepLines/>
        <w:rPr>
          <w:rFonts w:eastAsiaTheme="minorEastAsia"/>
          <w:lang w:val="es-ES_tradnl"/>
        </w:rPr>
      </w:pPr>
      <w:r w:rsidRPr="007E1FB5">
        <w:rPr>
          <w:rFonts w:eastAsiaTheme="minorEastAsia"/>
          <w:lang w:val="es-ES_tradnl"/>
        </w:rPr>
        <w:t>•</w:t>
      </w:r>
      <w:r w:rsidRPr="007E1FB5">
        <w:rPr>
          <w:rFonts w:eastAsiaTheme="minorEastAsia"/>
          <w:lang w:val="es-ES_tradnl"/>
        </w:rPr>
        <w:tab/>
        <w:t>la duración de la sesión de comunicación (en segundos);</w:t>
      </w:r>
    </w:p>
    <w:p w14:paraId="5084174C" w14:textId="77777777" w:rsidR="00193B55" w:rsidRPr="007E1FB5" w:rsidRDefault="00193B55" w:rsidP="00193B55">
      <w:pPr>
        <w:pStyle w:val="enumlev2"/>
        <w:keepNext/>
        <w:keepLines/>
        <w:rPr>
          <w:rFonts w:eastAsiaTheme="minorEastAsia"/>
          <w:lang w:val="es-ES_tradnl"/>
        </w:rPr>
      </w:pPr>
      <w:r w:rsidRPr="007E1FB5">
        <w:rPr>
          <w:rFonts w:eastAsiaTheme="minorEastAsia"/>
          <w:lang w:val="es-ES_tradnl"/>
        </w:rPr>
        <w:t>•</w:t>
      </w:r>
      <w:r w:rsidRPr="007E1FB5">
        <w:rPr>
          <w:rFonts w:eastAsiaTheme="minorEastAsia"/>
          <w:lang w:val="es-ES_tradnl"/>
        </w:rPr>
        <w:tab/>
        <w:t>el coeficiente de actividad de los abonados (en unidades).</w:t>
      </w:r>
    </w:p>
    <w:p w14:paraId="767E9214"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Se calcula el tráfico por abonado.</w:t>
      </w:r>
    </w:p>
    <w:p w14:paraId="70B6F070"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Se calcula el tráfico total (Mbit/s).</w:t>
      </w:r>
    </w:p>
    <w:p w14:paraId="3532FD89"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Se calcula la calidad de funcionamiento del sistema, habida cuenta de la calidad de las líneas de comunicación y el número aceptable de bloqueos de llamadas.</w:t>
      </w:r>
    </w:p>
    <w:p w14:paraId="00354C90"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Se evalúa el espectro necesario para implementar la nueva tecnología.</w:t>
      </w:r>
    </w:p>
    <w:p w14:paraId="17C6D0FC" w14:textId="08D90C3E" w:rsidR="00193B55" w:rsidRPr="007E1FB5" w:rsidRDefault="00193B55" w:rsidP="00193B55">
      <w:pPr>
        <w:rPr>
          <w:rFonts w:eastAsiaTheme="minorEastAsia"/>
          <w:lang w:val="es-ES_tradnl"/>
        </w:rPr>
      </w:pPr>
      <w:r w:rsidRPr="007E1FB5">
        <w:rPr>
          <w:rFonts w:eastAsiaTheme="minorEastAsia"/>
          <w:lang w:val="es-ES_tradnl"/>
        </w:rPr>
        <w:t xml:space="preserve">En caso de necesitar más información a efectos de la evaluación del espectro necesario, las </w:t>
      </w:r>
      <w:r w:rsidRPr="00990271">
        <w:rPr>
          <w:rFonts w:eastAsiaTheme="minorEastAsia"/>
          <w:lang w:val="es-ES_tradnl"/>
        </w:rPr>
        <w:t xml:space="preserve">Recomendaciones </w:t>
      </w:r>
      <w:hyperlink r:id="rId47" w:history="1">
        <w:r w:rsidRPr="00990271">
          <w:rPr>
            <w:rStyle w:val="Hyperlink"/>
            <w:rFonts w:eastAsiaTheme="minorEastAsia"/>
            <w:color w:val="auto"/>
            <w:u w:val="none"/>
            <w:lang w:val="es-ES_tradnl"/>
          </w:rPr>
          <w:t>UIT-R M.1390</w:t>
        </w:r>
      </w:hyperlink>
      <w:r w:rsidRPr="00990271">
        <w:rPr>
          <w:rFonts w:eastAsiaTheme="minorEastAsia"/>
          <w:lang w:val="es-ES_tradnl"/>
        </w:rPr>
        <w:t xml:space="preserve"> y </w:t>
      </w:r>
      <w:hyperlink r:id="rId48" w:history="1">
        <w:r w:rsidRPr="00990271">
          <w:rPr>
            <w:rStyle w:val="Hyperlink"/>
            <w:rFonts w:eastAsiaTheme="minorEastAsia"/>
            <w:color w:val="auto"/>
            <w:u w:val="none"/>
            <w:lang w:val="es-ES_tradnl"/>
          </w:rPr>
          <w:t>UIT-R M.1768</w:t>
        </w:r>
      </w:hyperlink>
      <w:r w:rsidRPr="00990271">
        <w:rPr>
          <w:rFonts w:eastAsiaTheme="minorEastAsia"/>
          <w:lang w:val="es-ES_tradnl"/>
        </w:rPr>
        <w:t xml:space="preserve">-1 comprenden metodologías para el cálculo de las necesidades de espectro de las IMT-2000 y de las IMT-Avanzadas, respectivamente. Además, en la Recomendación </w:t>
      </w:r>
      <w:hyperlink r:id="rId49" w:history="1">
        <w:r w:rsidRPr="00990271">
          <w:rPr>
            <w:rStyle w:val="Hyperlink"/>
            <w:rFonts w:eastAsiaTheme="minorEastAsia"/>
            <w:color w:val="auto"/>
            <w:u w:val="none"/>
            <w:lang w:val="es-ES_tradnl"/>
          </w:rPr>
          <w:t>UIT-R M.1651</w:t>
        </w:r>
      </w:hyperlink>
      <w:r w:rsidRPr="00990271">
        <w:rPr>
          <w:rFonts w:eastAsiaTheme="minorEastAsia"/>
          <w:lang w:val="es-ES_tradnl"/>
        </w:rPr>
        <w:t xml:space="preserve"> se expone un método de evaluación del espectro necesario para los sistemas de acceso inalámbrico nómadas de banda ancha </w:t>
      </w:r>
      <w:r w:rsidRPr="007E1FB5">
        <w:rPr>
          <w:rFonts w:eastAsiaTheme="minorEastAsia"/>
          <w:lang w:val="es-ES_tradnl"/>
        </w:rPr>
        <w:t>que utilizan la banda de 5 GHz.</w:t>
      </w:r>
    </w:p>
    <w:p w14:paraId="414C0E84" w14:textId="77777777" w:rsidR="00193B55" w:rsidRPr="007E1FB5" w:rsidRDefault="00193B55" w:rsidP="00193B55">
      <w:pPr>
        <w:pStyle w:val="Headingb"/>
        <w:rPr>
          <w:lang w:val="es-ES_tradnl"/>
        </w:rPr>
      </w:pPr>
      <w:r w:rsidRPr="007E1FB5">
        <w:rPr>
          <w:lang w:val="es-ES_tradnl"/>
        </w:rPr>
        <w:t>Elaboración de medidas para dotar a las tecnologías prospectivas de una cantidad de espectro suficiente</w:t>
      </w:r>
    </w:p>
    <w:p w14:paraId="1DD5C44A" w14:textId="77777777" w:rsidR="00193B55" w:rsidRDefault="00193B55" w:rsidP="00193B55">
      <w:pPr>
        <w:rPr>
          <w:rFonts w:eastAsiaTheme="minorEastAsia"/>
          <w:lang w:val="es-ES_tradnl"/>
        </w:rPr>
      </w:pPr>
      <w:r w:rsidRPr="007E1FB5">
        <w:rPr>
          <w:rFonts w:eastAsiaTheme="minorEastAsia"/>
          <w:lang w:val="es-ES_tradnl"/>
        </w:rPr>
        <w:t>A fin de dotar a las tecnologías prometedoras de recursos de radiofrecuencia, cabe la posibilidad de adoptar medidas tales como la conversión, la restructuración o la utilización de nuevos métodos de gestión del espectro (véase el LSA</w:t>
      </w:r>
      <w:r w:rsidRPr="007E1FB5">
        <w:rPr>
          <w:rStyle w:val="FootnoteReference"/>
          <w:rFonts w:eastAsiaTheme="minorEastAsia"/>
          <w:lang w:val="es-ES_tradnl"/>
        </w:rPr>
        <w:footnoteReference w:id="1"/>
      </w:r>
      <w:r w:rsidRPr="007E1FB5">
        <w:rPr>
          <w:rFonts w:eastAsiaTheme="minorEastAsia"/>
          <w:lang w:val="es-ES_tradnl"/>
        </w:rPr>
        <w:t>).</w:t>
      </w:r>
    </w:p>
    <w:p w14:paraId="00CBAB38" w14:textId="77777777" w:rsidR="000D3A51" w:rsidRDefault="000D3A51" w:rsidP="00193B55">
      <w:pPr>
        <w:rPr>
          <w:rFonts w:eastAsiaTheme="minorEastAsia"/>
          <w:lang w:val="es-ES_tradnl"/>
        </w:rPr>
      </w:pPr>
    </w:p>
    <w:p w14:paraId="6BA8D871" w14:textId="77777777" w:rsidR="000D3A51" w:rsidRPr="007E1FB5" w:rsidRDefault="000D3A51" w:rsidP="00193B55">
      <w:pPr>
        <w:rPr>
          <w:rFonts w:eastAsiaTheme="minorEastAsia"/>
          <w:lang w:val="es-ES_tradnl"/>
        </w:rPr>
      </w:pPr>
    </w:p>
    <w:p w14:paraId="2CD80AE0" w14:textId="109693F6" w:rsidR="00193B55" w:rsidRPr="007E1FB5" w:rsidRDefault="006E6FBB" w:rsidP="006B1DD9">
      <w:pPr>
        <w:pStyle w:val="ChapNo"/>
        <w:rPr>
          <w:rFonts w:eastAsiaTheme="minorEastAsia"/>
          <w:lang w:val="es-ES_tradnl"/>
        </w:rPr>
      </w:pPr>
      <w:bookmarkStart w:id="99" w:name="_Toc34916957"/>
      <w:bookmarkStart w:id="100" w:name="_Toc184650240"/>
      <w:bookmarkStart w:id="101" w:name="_Toc184652840"/>
      <w:bookmarkStart w:id="102" w:name="_Toc216693434"/>
      <w:bookmarkStart w:id="103" w:name="_Toc217031140"/>
      <w:r w:rsidRPr="006B1DD9">
        <w:rPr>
          <w:rFonts w:eastAsiaTheme="minorEastAsia"/>
        </w:rPr>
        <w:t>CAPÍTULO</w:t>
      </w:r>
      <w:r w:rsidR="00193B55" w:rsidRPr="007E1FB5">
        <w:rPr>
          <w:rFonts w:eastAsiaTheme="minorEastAsia"/>
          <w:lang w:val="es-ES_tradnl"/>
        </w:rPr>
        <w:t xml:space="preserve"> 2</w:t>
      </w:r>
      <w:bookmarkEnd w:id="99"/>
      <w:bookmarkEnd w:id="100"/>
      <w:bookmarkEnd w:id="101"/>
      <w:bookmarkEnd w:id="102"/>
      <w:bookmarkEnd w:id="103"/>
    </w:p>
    <w:p w14:paraId="7725EB7E" w14:textId="77777777" w:rsidR="00193B55" w:rsidRPr="007E1FB5" w:rsidRDefault="00193B55" w:rsidP="00193B55">
      <w:pPr>
        <w:pStyle w:val="Chaptitle"/>
        <w:rPr>
          <w:rFonts w:eastAsiaTheme="minorEastAsia"/>
          <w:lang w:val="es-ES_tradnl"/>
        </w:rPr>
      </w:pPr>
      <w:bookmarkStart w:id="104" w:name="_Toc184652841"/>
      <w:bookmarkStart w:id="105" w:name="_Toc184656534"/>
      <w:bookmarkStart w:id="106" w:name="_Toc217031141"/>
      <w:r w:rsidRPr="007E1FB5">
        <w:rPr>
          <w:rFonts w:eastAsiaTheme="minorEastAsia"/>
          <w:lang w:val="es-ES_tradnl"/>
        </w:rPr>
        <w:t>Evaluación de hipótesis</w:t>
      </w:r>
      <w:bookmarkEnd w:id="104"/>
      <w:bookmarkEnd w:id="105"/>
      <w:bookmarkEnd w:id="106"/>
    </w:p>
    <w:p w14:paraId="04C842DA" w14:textId="77777777" w:rsidR="00193B55" w:rsidRPr="007E1FB5" w:rsidRDefault="00193B55" w:rsidP="00193B55">
      <w:pPr>
        <w:pStyle w:val="Heading1"/>
        <w:rPr>
          <w:rFonts w:eastAsiaTheme="minorEastAsia"/>
          <w:lang w:val="es-ES_tradnl"/>
        </w:rPr>
      </w:pPr>
      <w:bookmarkStart w:id="107" w:name="_Toc34914270"/>
      <w:bookmarkStart w:id="108" w:name="_Toc34916958"/>
      <w:bookmarkStart w:id="109" w:name="_Toc184650241"/>
      <w:bookmarkStart w:id="110" w:name="_Toc184652793"/>
      <w:bookmarkStart w:id="111" w:name="_Toc184652842"/>
      <w:bookmarkStart w:id="112" w:name="_Toc216630151"/>
      <w:bookmarkStart w:id="113" w:name="_Toc216693435"/>
      <w:bookmarkStart w:id="114" w:name="_Toc217031142"/>
      <w:r w:rsidRPr="007E1FB5">
        <w:rPr>
          <w:rFonts w:eastAsiaTheme="minorEastAsia"/>
          <w:lang w:val="es-ES_tradnl"/>
        </w:rPr>
        <w:t>1</w:t>
      </w:r>
      <w:r w:rsidRPr="007E1FB5">
        <w:rPr>
          <w:rFonts w:eastAsiaTheme="minorEastAsia"/>
          <w:lang w:val="es-ES_tradnl"/>
        </w:rPr>
        <w:tab/>
      </w:r>
      <w:proofErr w:type="gramStart"/>
      <w:r w:rsidRPr="007E1FB5">
        <w:rPr>
          <w:rFonts w:eastAsiaTheme="minorEastAsia"/>
          <w:lang w:val="es-ES_tradnl"/>
        </w:rPr>
        <w:t>Introducción</w:t>
      </w:r>
      <w:bookmarkEnd w:id="107"/>
      <w:bookmarkEnd w:id="108"/>
      <w:bookmarkEnd w:id="109"/>
      <w:bookmarkEnd w:id="110"/>
      <w:bookmarkEnd w:id="111"/>
      <w:bookmarkEnd w:id="112"/>
      <w:bookmarkEnd w:id="113"/>
      <w:bookmarkEnd w:id="114"/>
      <w:proofErr w:type="gramEnd"/>
    </w:p>
    <w:p w14:paraId="11B96543" w14:textId="77777777" w:rsidR="00193B55" w:rsidRPr="007E1FB5" w:rsidRDefault="00193B55" w:rsidP="00193B55">
      <w:pPr>
        <w:rPr>
          <w:rFonts w:eastAsiaTheme="minorEastAsia"/>
          <w:lang w:val="es-ES_tradnl"/>
        </w:rPr>
      </w:pPr>
      <w:r w:rsidRPr="007E1FB5">
        <w:rPr>
          <w:rFonts w:eastAsiaTheme="minorEastAsia"/>
          <w:lang w:val="es-ES_tradnl"/>
        </w:rPr>
        <w:t xml:space="preserve">De acuerdo con el panorama nacional, los recursos disponibles, y el marco reglamentario para la explotación del espectro radioeléctrico, el organismo nacional de gestión del espectro puede efectuar la selección de una serie de métodos para evaluar hipótesis relativas a su posible repercusión en la utilización de este recurso. La evaluación de dichas hipótesis puede llevarse a cabo con arreglo a métodos analíticos o de consulta, o a una combinación de ambos. Esta evaluación puede ser muy detallada, en la que se consideran todos los factores posibles, o más superficial en su visión de </w:t>
      </w:r>
      <w:r w:rsidRPr="007E1FB5">
        <w:rPr>
          <w:rFonts w:eastAsiaTheme="minorEastAsia"/>
          <w:lang w:val="es-ES_tradnl"/>
        </w:rPr>
        <w:lastRenderedPageBreak/>
        <w:t>conjunto. Asimismo, la responsabilidad de la consideración de factores puede ser principalmente la del organismo nacional de gestión del espectro (véase también el Capítulo 1) o estar distribuido entre las partes interesadas. Esta evaluación de hipótesis ayuda en última instancia a sentar las bases para las decisiones del organismo nacional de gestión del espectro referente a la reglamentación o atribución del espectro. Una hipótesis comprende una secuencia hipotética de eventos basada en acontecimientos y desarrollos relacionados con un campo específico (por ejemplo, las tendencias de la población de un país) o con un periodo de tiempo concreto, que de alguna manera se relacionan entre sí. Una hipótesis no es una previsión en sí misma, sino que complementa las previsiones tradicionales proporcionando un registro de una secuencia de eventos particulares posibles relacionada con un aspecto del sistema particularmente interesante.</w:t>
      </w:r>
    </w:p>
    <w:p w14:paraId="106E7A6F" w14:textId="77777777" w:rsidR="00193B55" w:rsidRPr="007E1FB5" w:rsidRDefault="00193B55" w:rsidP="00193B55">
      <w:pPr>
        <w:rPr>
          <w:rFonts w:eastAsiaTheme="minorEastAsia"/>
          <w:lang w:val="es-ES_tradnl"/>
        </w:rPr>
      </w:pPr>
      <w:r w:rsidRPr="007E1FB5">
        <w:rPr>
          <w:rFonts w:eastAsiaTheme="minorEastAsia"/>
          <w:lang w:val="es-ES_tradnl"/>
        </w:rPr>
        <w:t>Dentro del marco de la planificación a largo plazo, las hipótesis se utilizan para predecir la posible evolución. Estas tienen por objeto:</w:t>
      </w:r>
    </w:p>
    <w:p w14:paraId="795BA58D"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incrementar el grado de certeza de la predicción e interpretar riesgos (fiabilidad); e</w:t>
      </w:r>
    </w:p>
    <w:p w14:paraId="4BEAF906"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identificar opciones estratégicas posibles.</w:t>
      </w:r>
    </w:p>
    <w:p w14:paraId="10603D1D" w14:textId="77777777" w:rsidR="00193B55" w:rsidRPr="007E1FB5" w:rsidRDefault="00193B55" w:rsidP="00193B55">
      <w:pPr>
        <w:rPr>
          <w:rFonts w:eastAsiaTheme="minorEastAsia"/>
          <w:lang w:val="es-ES_tradnl"/>
        </w:rPr>
      </w:pPr>
      <w:r w:rsidRPr="007E1FB5">
        <w:rPr>
          <w:rFonts w:eastAsiaTheme="minorEastAsia"/>
          <w:lang w:val="es-ES_tradnl"/>
        </w:rPr>
        <w:t>Las hipótesis se basan en los principales factores de influencia, es decir, económicos, sociales, técnicos y de política. Estos se pueden desarrollar sistemáticamente con diferentes configuraciones de factores y sus grados de probabilidad estimados.</w:t>
      </w:r>
    </w:p>
    <w:p w14:paraId="57154485" w14:textId="77777777" w:rsidR="00193B55" w:rsidRPr="007E1FB5" w:rsidRDefault="00193B55" w:rsidP="00193B55">
      <w:pPr>
        <w:pStyle w:val="Heading1"/>
        <w:rPr>
          <w:rFonts w:eastAsiaTheme="minorEastAsia"/>
          <w:lang w:val="es-ES_tradnl"/>
        </w:rPr>
      </w:pPr>
      <w:bookmarkStart w:id="115" w:name="_Toc34914271"/>
      <w:bookmarkStart w:id="116" w:name="_Toc34916959"/>
      <w:bookmarkStart w:id="117" w:name="_Toc184650242"/>
      <w:bookmarkStart w:id="118" w:name="_Toc184652794"/>
      <w:bookmarkStart w:id="119" w:name="_Toc184652843"/>
      <w:bookmarkStart w:id="120" w:name="_Toc216630152"/>
      <w:bookmarkStart w:id="121" w:name="_Toc216693436"/>
      <w:bookmarkStart w:id="122" w:name="_Toc217031143"/>
      <w:r w:rsidRPr="007E1FB5">
        <w:rPr>
          <w:rFonts w:eastAsiaTheme="minorEastAsia"/>
          <w:lang w:val="es-ES_tradnl"/>
        </w:rPr>
        <w:t>2</w:t>
      </w:r>
      <w:r w:rsidRPr="007E1FB5">
        <w:rPr>
          <w:rFonts w:eastAsiaTheme="minorEastAsia"/>
          <w:lang w:val="es-ES_tradnl"/>
        </w:rPr>
        <w:tab/>
      </w:r>
      <w:proofErr w:type="gramStart"/>
      <w:r w:rsidRPr="007E1FB5">
        <w:rPr>
          <w:rFonts w:eastAsiaTheme="minorEastAsia"/>
          <w:lang w:val="es-ES_tradnl"/>
        </w:rPr>
        <w:t>Método</w:t>
      </w:r>
      <w:proofErr w:type="gramEnd"/>
      <w:r w:rsidRPr="007E1FB5">
        <w:rPr>
          <w:rFonts w:eastAsiaTheme="minorEastAsia"/>
          <w:lang w:val="es-ES_tradnl"/>
        </w:rPr>
        <w:t xml:space="preserve"> de consulta</w:t>
      </w:r>
      <w:bookmarkEnd w:id="115"/>
      <w:bookmarkEnd w:id="116"/>
      <w:bookmarkEnd w:id="117"/>
      <w:bookmarkEnd w:id="118"/>
      <w:bookmarkEnd w:id="119"/>
      <w:bookmarkEnd w:id="120"/>
      <w:bookmarkEnd w:id="121"/>
      <w:bookmarkEnd w:id="122"/>
    </w:p>
    <w:p w14:paraId="65F28AFD" w14:textId="77777777" w:rsidR="00193B55" w:rsidRPr="007E1FB5" w:rsidRDefault="00193B55" w:rsidP="00193B55">
      <w:pPr>
        <w:rPr>
          <w:rFonts w:eastAsiaTheme="minorEastAsia"/>
          <w:lang w:val="es-ES_tradnl"/>
        </w:rPr>
      </w:pPr>
      <w:r w:rsidRPr="007E1FB5">
        <w:rPr>
          <w:rFonts w:eastAsiaTheme="minorEastAsia"/>
          <w:lang w:val="es-ES_tradnl"/>
        </w:rPr>
        <w:t>El método de consulta se basa en la premisa que los organismos de planificación del espectro pueden obtener, a través de cursos de acción de carácter colaborativo en el que intervienen usuarios del espectro, proveedores de servicios, fabricantes de equipos y centros de investigación, una determinación razonablemente exacta y eficaz en función de los costes de las necesidades y utilización del espectro a largo plazo. De esta manera, toma en consideración las contribuciones analíticas e intuitivas aportadas por la comunidad que emplea el espectro, ubicando el peso de la responsabilidad de la mayor parte de análisis y predicción en quienes tengan más intereses en juego. El detalle dado al análisis de factores corresponde a la comunidad del usuario. Dada la rápida evolución de la industria de las telecomunicaciones y los recursos limitados disponibles para los organismos gestores del espectro nacional, este método representa a menudo la mejor opción desde el punto de vista de costes para la planificación del espectro.</w:t>
      </w:r>
    </w:p>
    <w:p w14:paraId="24CB0299" w14:textId="77777777" w:rsidR="00193B55" w:rsidRPr="007E1FB5" w:rsidRDefault="00193B55" w:rsidP="00193B55">
      <w:pPr>
        <w:pStyle w:val="Heading2"/>
        <w:rPr>
          <w:rFonts w:eastAsiaTheme="minorEastAsia"/>
          <w:lang w:val="es-ES_tradnl"/>
        </w:rPr>
      </w:pPr>
      <w:bookmarkStart w:id="123" w:name="_Toc34914272"/>
      <w:bookmarkStart w:id="124" w:name="_Toc34916960"/>
      <w:bookmarkStart w:id="125" w:name="_Toc184650243"/>
      <w:bookmarkStart w:id="126" w:name="_Toc184652795"/>
      <w:bookmarkStart w:id="127" w:name="_Toc184652844"/>
      <w:bookmarkStart w:id="128" w:name="_Toc216630153"/>
      <w:bookmarkStart w:id="129" w:name="_Toc216693437"/>
      <w:bookmarkStart w:id="130" w:name="_Toc217031144"/>
      <w:r w:rsidRPr="007E1FB5">
        <w:rPr>
          <w:rFonts w:eastAsiaTheme="minorEastAsia"/>
          <w:lang w:val="es-ES_tradnl"/>
        </w:rPr>
        <w:t>2.1</w:t>
      </w:r>
      <w:r w:rsidRPr="007E1FB5">
        <w:rPr>
          <w:rFonts w:eastAsiaTheme="minorEastAsia"/>
          <w:lang w:val="es-ES_tradnl"/>
        </w:rPr>
        <w:tab/>
        <w:t>Encuesta sobre necesidades futuras de espectro y servicio</w:t>
      </w:r>
      <w:bookmarkEnd w:id="123"/>
      <w:bookmarkEnd w:id="124"/>
      <w:bookmarkEnd w:id="125"/>
      <w:bookmarkEnd w:id="126"/>
      <w:bookmarkEnd w:id="127"/>
      <w:bookmarkEnd w:id="128"/>
      <w:bookmarkEnd w:id="129"/>
      <w:bookmarkEnd w:id="130"/>
    </w:p>
    <w:p w14:paraId="1B2F76A2" w14:textId="77777777" w:rsidR="00193B55" w:rsidRPr="007E1FB5" w:rsidRDefault="00193B55" w:rsidP="00193B55">
      <w:pPr>
        <w:rPr>
          <w:rFonts w:eastAsiaTheme="minorEastAsia"/>
          <w:lang w:val="es-ES_tradnl"/>
        </w:rPr>
      </w:pPr>
      <w:r w:rsidRPr="007E1FB5">
        <w:rPr>
          <w:rFonts w:eastAsiaTheme="minorEastAsia"/>
          <w:lang w:val="es-ES_tradnl"/>
        </w:rPr>
        <w:t>El método de consulta comienza con una nota o aviso público, que informa a las partes interesadas que se va a elaborar un plan de necesidades de espectro a largo plazo o, en algunos casos, de determinados componentes estratégicos de un plan, y que se requerirá información técnica, social, y económica en relación con dicho plan. El aviso ha de ser ampliamente distribuido, preferiblemente en una publicación oficial conocida que tenga gran cantidad de lectores. La naturaleza pública del aviso es esencial para obtener el máximo interés y realimentación de los posibles operadores del sistema. Las restricciones sobre su disponibilidad limitarán la respuesta. Sin embargo, en países donde no existen tales métodos de publicación oficial o en casos en que el tiempo es limitado, la labor de las entidades consultivas en actividad continua puede representar una solución eficaz para la adquisición de información.</w:t>
      </w:r>
    </w:p>
    <w:p w14:paraId="06E6F088" w14:textId="77777777" w:rsidR="00193B55" w:rsidRPr="007E1FB5" w:rsidRDefault="00193B55" w:rsidP="00193B55">
      <w:pPr>
        <w:rPr>
          <w:rFonts w:eastAsiaTheme="minorEastAsia"/>
          <w:lang w:val="es-ES_tradnl"/>
        </w:rPr>
      </w:pPr>
      <w:r w:rsidRPr="007E1FB5">
        <w:rPr>
          <w:rFonts w:eastAsiaTheme="minorEastAsia"/>
          <w:lang w:val="es-ES_tradnl"/>
        </w:rPr>
        <w:t xml:space="preserve">Se debe definir el alcance de la encuesta, así como el plazo para presentar las respuestas. Las respuestas pueden provenir de grupos de usuarios del espectro, proveedores de servicio de radiocomunicaciones, fabricantes de equipos, organizaciones gubernamentales, incluidos los organismos militares, y el público en general. Los planificadores del espectro pueden requerir que las respuestas se hagan por escrito o a través de un diálogo directo. En cualquier caso, las respuestas </w:t>
      </w:r>
      <w:r w:rsidRPr="007E1FB5">
        <w:rPr>
          <w:rFonts w:eastAsiaTheme="minorEastAsia"/>
          <w:lang w:val="es-ES_tradnl"/>
        </w:rPr>
        <w:lastRenderedPageBreak/>
        <w:t>recibidas de esos grupos forman la base para determinar las necesidades de espectro y conducen a las decisiones de gestión del espectro.</w:t>
      </w:r>
    </w:p>
    <w:p w14:paraId="64A6566A" w14:textId="77777777" w:rsidR="00193B55" w:rsidRPr="007E1FB5" w:rsidRDefault="00193B55" w:rsidP="00193B55">
      <w:pPr>
        <w:rPr>
          <w:rFonts w:eastAsiaTheme="minorEastAsia"/>
          <w:lang w:val="es-ES_tradnl"/>
        </w:rPr>
      </w:pPr>
      <w:r w:rsidRPr="007E1FB5">
        <w:rPr>
          <w:rFonts w:eastAsiaTheme="minorEastAsia"/>
          <w:lang w:val="es-ES_tradnl"/>
        </w:rPr>
        <w:t>Como se indicó anteriormente, la información de este proceso de consulta procede de una serie de grupos. Los grupos de usuarios están compuestos por usuarios finales de servicios de telecomunicación, cuyo interés común es recibir el mejor servicio al menor coste. Estos grupos de usuarios podrán indicar las necesidades en materia de servicios de radiocomunicaciones nuevos o ampliados. Los proveedores de servicios de radiocomunicaciones son aquellas entidades comerciales que suministran servicios a los usuarios finales. Los proveedores de servicios tienen expectativas de crecimiento de servicios basadas en sus propios estudios y visión comercial. Este crecimiento de los servicios podría reflejarse en una demanda de espectro adicional. Los fabricantes de equipos radioeléctricos tienen un gran interés en el crecimiento de los sistemas basados en las radiocomunicaciones, y pueden aportar observaciones técnicas sobre la idoneidad de las diversas bandas de frecuencias para un servicio radioeléctrico propuesto, junto con previsiones de avances técnicos capaces de mejorar la eficiencia del espectro.</w:t>
      </w:r>
    </w:p>
    <w:p w14:paraId="5C4E0582" w14:textId="77777777" w:rsidR="00193B55" w:rsidRPr="007E1FB5" w:rsidRDefault="00193B55" w:rsidP="00193B55">
      <w:pPr>
        <w:rPr>
          <w:rFonts w:eastAsiaTheme="minorEastAsia"/>
          <w:lang w:val="es-ES_tradnl"/>
        </w:rPr>
      </w:pPr>
      <w:r w:rsidRPr="007E1FB5">
        <w:rPr>
          <w:rFonts w:eastAsiaTheme="minorEastAsia"/>
          <w:lang w:val="es-ES_tradnl"/>
        </w:rPr>
        <w:t>Los gobiernos nacionales y locales, así como las fuerzas armadas, tendrán necesidades de espectro para satisfacer futuros sistemas de radiocomunicaciones. Aunque los servicios comerciales pueden satisfacer una parte de estas necesidades, muchos pueden ser singulares y requerirán espectro y sistemas radioeléctricos especiales dedicados a estos fines. Es probable que algunos de los sistemas pueden exigir seguridad nacional en la medida que su conocimiento no debe estar en el dominio público, y deben ser protegidos por la entidad reglamentaria.</w:t>
      </w:r>
    </w:p>
    <w:p w14:paraId="383646BC" w14:textId="77777777" w:rsidR="00193B55" w:rsidRPr="007E1FB5" w:rsidRDefault="00193B55" w:rsidP="00193B55">
      <w:pPr>
        <w:rPr>
          <w:rFonts w:eastAsiaTheme="minorEastAsia"/>
          <w:lang w:val="es-ES_tradnl"/>
        </w:rPr>
      </w:pPr>
      <w:r w:rsidRPr="007E1FB5">
        <w:rPr>
          <w:rFonts w:eastAsiaTheme="minorEastAsia"/>
          <w:lang w:val="es-ES_tradnl"/>
        </w:rPr>
        <w:t>El principio subyacente del proceso consultivo es que los usuarios, los proveedores de servicios y los fabricantes son los más capacitados para evaluar sus necesidades de espectro. En razón que operan negocios o cumplen una función gubernamental, deben poder evaluar sus necesidades, costes y requisitos de usuario. Por tanto, los participantes deben considerar e identificar los factores sociales y económicos para determinar sus necesidades.</w:t>
      </w:r>
    </w:p>
    <w:p w14:paraId="15447377" w14:textId="77777777" w:rsidR="00193B55" w:rsidRPr="007E1FB5" w:rsidRDefault="00193B55" w:rsidP="00193B55">
      <w:pPr>
        <w:rPr>
          <w:rFonts w:eastAsiaTheme="minorEastAsia"/>
          <w:lang w:val="es-ES_tradnl"/>
        </w:rPr>
      </w:pPr>
      <w:r w:rsidRPr="007E1FB5">
        <w:rPr>
          <w:rFonts w:eastAsiaTheme="minorEastAsia"/>
          <w:lang w:val="es-ES_tradnl"/>
        </w:rPr>
        <w:t>Teniendo en cuenta que quienes desean porciones del espectro contestarán las preguntas de la encuesta, puede existir una tendencia comprensible de exagerar sus necesidades de espectro y de servicio. Por consiguiente, los organismos gestores del espectro nacional podrían entablar diálogos interactivos y analizar las tendencias de uso con el fin de asegurar precisión suficiente.</w:t>
      </w:r>
    </w:p>
    <w:p w14:paraId="7E0E558C" w14:textId="77777777" w:rsidR="00193B55" w:rsidRPr="007E1FB5" w:rsidRDefault="00193B55" w:rsidP="00193B55">
      <w:pPr>
        <w:pStyle w:val="Heading2"/>
        <w:rPr>
          <w:rFonts w:eastAsiaTheme="minorEastAsia"/>
          <w:lang w:val="es-ES_tradnl"/>
        </w:rPr>
      </w:pPr>
      <w:bookmarkStart w:id="131" w:name="_Toc34914273"/>
      <w:bookmarkStart w:id="132" w:name="_Toc34916961"/>
      <w:bookmarkStart w:id="133" w:name="_Toc184650244"/>
      <w:bookmarkStart w:id="134" w:name="_Toc184652796"/>
      <w:bookmarkStart w:id="135" w:name="_Toc184652845"/>
      <w:bookmarkStart w:id="136" w:name="_Toc216630154"/>
      <w:bookmarkStart w:id="137" w:name="_Toc216693438"/>
      <w:bookmarkStart w:id="138" w:name="_Toc217031145"/>
      <w:r w:rsidRPr="007E1FB5">
        <w:rPr>
          <w:rFonts w:eastAsiaTheme="minorEastAsia"/>
          <w:lang w:val="es-ES_tradnl"/>
        </w:rPr>
        <w:t>2.2</w:t>
      </w:r>
      <w:r w:rsidRPr="007E1FB5">
        <w:rPr>
          <w:rFonts w:eastAsiaTheme="minorEastAsia"/>
          <w:lang w:val="es-ES_tradnl"/>
        </w:rPr>
        <w:tab/>
        <w:t>Interacción entre grupos representativos</w:t>
      </w:r>
      <w:bookmarkEnd w:id="131"/>
      <w:bookmarkEnd w:id="132"/>
      <w:bookmarkEnd w:id="133"/>
      <w:bookmarkEnd w:id="134"/>
      <w:bookmarkEnd w:id="135"/>
      <w:bookmarkEnd w:id="136"/>
      <w:bookmarkEnd w:id="137"/>
      <w:bookmarkEnd w:id="138"/>
    </w:p>
    <w:p w14:paraId="06F4DA58" w14:textId="77777777" w:rsidR="00193B55" w:rsidRPr="007E1FB5" w:rsidRDefault="00193B55" w:rsidP="00193B55">
      <w:pPr>
        <w:rPr>
          <w:rFonts w:eastAsiaTheme="minorEastAsia"/>
          <w:lang w:val="es-ES_tradnl"/>
        </w:rPr>
      </w:pPr>
      <w:r w:rsidRPr="007E1FB5">
        <w:rPr>
          <w:rFonts w:eastAsiaTheme="minorEastAsia"/>
          <w:lang w:val="es-ES_tradnl"/>
        </w:rPr>
        <w:t>Los procedimientos de consulta formales se pueden llevar a cabo mediante un método iterativo de varios pasos. Mientras la interacción de las partes interesadas se produce a través de respuestas y contrarrespuestas formales a la consulta, el tiempo requerido para completar el proceso de la encuesta aumenta. En muchos casos, este tiempo puede ser invalorable para permitir al organismo nacional de gestión del espectro la oportunidad adecuada para considerar las cuestiones en estudio. Además, garantiza que se registren y examinen todas las ideas.</w:t>
      </w:r>
    </w:p>
    <w:p w14:paraId="7A690675" w14:textId="77777777" w:rsidR="00193B55" w:rsidRPr="007E1FB5" w:rsidRDefault="00193B55" w:rsidP="00193B55">
      <w:pPr>
        <w:rPr>
          <w:rFonts w:eastAsiaTheme="minorEastAsia"/>
          <w:lang w:val="es-ES_tradnl"/>
        </w:rPr>
      </w:pPr>
      <w:r w:rsidRPr="007E1FB5">
        <w:rPr>
          <w:rFonts w:eastAsiaTheme="minorEastAsia"/>
          <w:lang w:val="es-ES_tradnl"/>
        </w:rPr>
        <w:t>Sin embargo, en interés de maximizar la interacción y, en algunos casos, acelerar el proceso, es apropiado entrevistarse con representantes de los principales grupos de consulta durante el periodo de la encuesta. Esta interacción permite la oportunidad de establecer un diálogo entre usuarios, proveedores de servicios y organismos reguladores para aclarar el motivo de la consulta y reducir o eliminar posibles exageraciones de necesidades de espectro. Ubica cada necesidad en el contexto de otras necesidades (sean nuevas o antiguas) proporcionando entonces una nota de realidad a las negociaciones para la obtención de espectro y, en definitiva, al resultado de la planificación. En algunos casos este diálogo ayuda a los proponentes a revisar sus pedidos cuando actúan junto con otros.</w:t>
      </w:r>
    </w:p>
    <w:p w14:paraId="2A29A1F4" w14:textId="77777777" w:rsidR="00193B55" w:rsidRPr="007E1FB5" w:rsidRDefault="00193B55" w:rsidP="00193B55">
      <w:pPr>
        <w:pStyle w:val="Heading2"/>
        <w:rPr>
          <w:rFonts w:eastAsiaTheme="minorEastAsia"/>
          <w:lang w:val="es-ES_tradnl"/>
        </w:rPr>
      </w:pPr>
      <w:bookmarkStart w:id="139" w:name="_Toc34914274"/>
      <w:bookmarkStart w:id="140" w:name="_Toc34916962"/>
      <w:bookmarkStart w:id="141" w:name="_Toc184650245"/>
      <w:bookmarkStart w:id="142" w:name="_Toc184652797"/>
      <w:bookmarkStart w:id="143" w:name="_Toc184652846"/>
      <w:bookmarkStart w:id="144" w:name="_Toc216630155"/>
      <w:bookmarkStart w:id="145" w:name="_Toc216693439"/>
      <w:bookmarkStart w:id="146" w:name="_Toc217031146"/>
      <w:r w:rsidRPr="007E1FB5">
        <w:rPr>
          <w:rFonts w:eastAsiaTheme="minorEastAsia"/>
          <w:lang w:val="es-ES_tradnl"/>
        </w:rPr>
        <w:lastRenderedPageBreak/>
        <w:t>2.3</w:t>
      </w:r>
      <w:r w:rsidRPr="007E1FB5">
        <w:rPr>
          <w:rFonts w:eastAsiaTheme="minorEastAsia"/>
          <w:lang w:val="es-ES_tradnl"/>
        </w:rPr>
        <w:tab/>
        <w:t>Análisis de las tendencias de uso</w:t>
      </w:r>
      <w:bookmarkEnd w:id="139"/>
      <w:bookmarkEnd w:id="140"/>
      <w:bookmarkEnd w:id="141"/>
      <w:bookmarkEnd w:id="142"/>
      <w:bookmarkEnd w:id="143"/>
      <w:bookmarkEnd w:id="144"/>
      <w:bookmarkEnd w:id="145"/>
      <w:bookmarkEnd w:id="146"/>
    </w:p>
    <w:p w14:paraId="1A36D367" w14:textId="77777777" w:rsidR="00193B55" w:rsidRPr="007E1FB5" w:rsidRDefault="00193B55" w:rsidP="00193B55">
      <w:pPr>
        <w:keepNext/>
        <w:keepLines/>
        <w:rPr>
          <w:rFonts w:eastAsiaTheme="minorEastAsia"/>
          <w:lang w:val="es-ES_tradnl"/>
        </w:rPr>
      </w:pPr>
      <w:r w:rsidRPr="007E1FB5">
        <w:rPr>
          <w:rFonts w:eastAsiaTheme="minorEastAsia"/>
          <w:lang w:val="es-ES_tradnl"/>
        </w:rPr>
        <w:t>Los resultados de cualquier encuesta se deben comparar con las necesidades basadas en un análisis de las tendencias de uso de servicios de radiocomunicaciones vigentes. El incremento de las necesidades de espectro para una población de usuarios que es estable o disminuye sería muy dudoso, salvo que una falta actual de servicios disponibles impida el crecimiento de los usuarios. La extrapolación de datos de utilización y el cálculo del espectro requerido, suponiendo la aplicación de tecnologías con eficacia de espectro, proporcionarán al organismo regulador una aproximación de la utilización futura para comparar los resultados de la encuesta. La previsión basada en las tendencias de uso puede ser algo errónea en el caso de tendencias no lineales (progresos significativos o importantes). Estos son casos en los que la utilización puede aumentar exponencialmente en un futuro cercano debido a un gran avance tecnológico o reducciones significativas de precios para el servicio. Sin embargo, en un sistema de consulta, se atribuye especial atención a los procesos eficaces en función de los costes. Por tanto, se debe evaluar la amplitud del análisis de tendencias de uso en términos de mejoras en la precisión que se estima resulte de ellas.</w:t>
      </w:r>
    </w:p>
    <w:p w14:paraId="4458CE04" w14:textId="77777777" w:rsidR="00193B55" w:rsidRPr="007E1FB5" w:rsidRDefault="00193B55" w:rsidP="00193B55">
      <w:pPr>
        <w:pStyle w:val="Heading2"/>
        <w:rPr>
          <w:rFonts w:eastAsiaTheme="minorEastAsia"/>
          <w:lang w:val="es-ES_tradnl"/>
        </w:rPr>
      </w:pPr>
      <w:bookmarkStart w:id="147" w:name="_Toc34914275"/>
      <w:bookmarkStart w:id="148" w:name="_Toc34916963"/>
      <w:bookmarkStart w:id="149" w:name="_Toc184650246"/>
      <w:bookmarkStart w:id="150" w:name="_Toc184652798"/>
      <w:bookmarkStart w:id="151" w:name="_Toc184652847"/>
      <w:bookmarkStart w:id="152" w:name="_Toc216630156"/>
      <w:bookmarkStart w:id="153" w:name="_Toc216693440"/>
      <w:bookmarkStart w:id="154" w:name="_Toc217031147"/>
      <w:r w:rsidRPr="007E1FB5">
        <w:rPr>
          <w:rFonts w:eastAsiaTheme="minorEastAsia"/>
          <w:lang w:val="es-ES_tradnl"/>
        </w:rPr>
        <w:t>2.4</w:t>
      </w:r>
      <w:r w:rsidRPr="007E1FB5">
        <w:rPr>
          <w:rFonts w:eastAsiaTheme="minorEastAsia"/>
          <w:lang w:val="es-ES_tradnl"/>
        </w:rPr>
        <w:tab/>
        <w:t>Ejemplo</w:t>
      </w:r>
      <w:bookmarkEnd w:id="147"/>
      <w:bookmarkEnd w:id="148"/>
      <w:bookmarkEnd w:id="149"/>
      <w:bookmarkEnd w:id="150"/>
      <w:bookmarkEnd w:id="151"/>
      <w:bookmarkEnd w:id="152"/>
      <w:bookmarkEnd w:id="153"/>
      <w:bookmarkEnd w:id="154"/>
    </w:p>
    <w:p w14:paraId="1DE440C1" w14:textId="77777777" w:rsidR="00193B55" w:rsidRPr="007E1FB5" w:rsidRDefault="00193B55" w:rsidP="00193B55">
      <w:pPr>
        <w:rPr>
          <w:rFonts w:eastAsiaTheme="minorEastAsia"/>
          <w:lang w:val="es-ES_tradnl"/>
        </w:rPr>
      </w:pPr>
      <w:r w:rsidRPr="007E1FB5">
        <w:rPr>
          <w:rFonts w:eastAsiaTheme="minorEastAsia"/>
          <w:lang w:val="es-ES_tradnl"/>
        </w:rPr>
        <w:t>En 1993, un organismo de la Administración de los Estados Unidos de América inició un programa para determinar las necesidades de espectro nacional durante un periodo de diez años en el futuro. Se publicó un anuncio de encuesta en el Federal Register, una publicación gubernamental diaria en la que se difunden al público las reglamentaciones federales propuestas, consultas públicas, y notificaciones generales relacionadas con las actividades gubernamentales. Esta encuesta describe la importancia de prever necesidades de espectro, y formula una serie de preguntas con relación a las futuras necesidades de espectro. Se solicitó que las preguntas fueran contestadas por organizaciones, empresas y particulares.</w:t>
      </w:r>
    </w:p>
    <w:p w14:paraId="5894E2A9" w14:textId="77777777" w:rsidR="00193B55" w:rsidRPr="007E1FB5" w:rsidRDefault="00193B55" w:rsidP="00193B55">
      <w:pPr>
        <w:rPr>
          <w:rFonts w:eastAsiaTheme="minorEastAsia"/>
          <w:lang w:val="es-ES_tradnl"/>
        </w:rPr>
      </w:pPr>
      <w:r w:rsidRPr="007E1FB5">
        <w:rPr>
          <w:rFonts w:eastAsiaTheme="minorEastAsia"/>
          <w:lang w:val="es-ES_tradnl"/>
        </w:rPr>
        <w:t>En respuesta a la encuesta, se recibieron más de 70 comentarios de la industria, grupos de usuarios, particulares, y organismos gubernamentales. La amplitud de los comentarios varió entre dos a varios centenares de páginas cada uno. Se examinaron los comentarios y observaciones formuladas y se compilaron las futuras necesidades de espectro para los diversos servicios de radiocomunicaciones atribuidos.</w:t>
      </w:r>
    </w:p>
    <w:p w14:paraId="62C85039" w14:textId="77777777" w:rsidR="00193B55" w:rsidRPr="007E1FB5" w:rsidRDefault="00193B55" w:rsidP="00193B55">
      <w:pPr>
        <w:rPr>
          <w:rFonts w:eastAsiaTheme="minorEastAsia"/>
          <w:lang w:val="es-ES_tradnl"/>
        </w:rPr>
      </w:pPr>
      <w:r w:rsidRPr="007E1FB5">
        <w:rPr>
          <w:rFonts w:eastAsiaTheme="minorEastAsia"/>
          <w:lang w:val="es-ES_tradnl"/>
        </w:rPr>
        <w:t>Se examinaron las estadísticas referentes a licencias de radio gubernamentales y del sector privado para determinar el grado de correlación con los comentarios recibidos referentes a las necesidades de espectro futuras. Siguiendo el análisis, se celebraron reuniones con grupos de usuarios del servicio móvil terrestre, proveedores de servicios de comunicaciones personales, y fabricantes, para compartir información adicional referente a las necesidades de espectro futuras.</w:t>
      </w:r>
    </w:p>
    <w:p w14:paraId="39BA8AF3" w14:textId="77777777" w:rsidR="00193B55" w:rsidRPr="007E1FB5" w:rsidRDefault="00193B55" w:rsidP="00193B55">
      <w:pPr>
        <w:rPr>
          <w:rFonts w:eastAsiaTheme="minorEastAsia"/>
          <w:lang w:val="es-ES_tradnl"/>
        </w:rPr>
      </w:pPr>
      <w:r w:rsidRPr="007E1FB5">
        <w:rPr>
          <w:rFonts w:eastAsiaTheme="minorEastAsia"/>
          <w:lang w:val="es-ES_tradnl"/>
        </w:rPr>
        <w:t>Se proporcionaron los resultados preliminares de las futuras necesidades de espectro a los comités consultivos gubernamentales integrados por expertos en el campo de las telecomunicaciones. Estos comités revisaron los resultados y proporcionaron comentarios adicionales sobre las necesidades de espectro.</w:t>
      </w:r>
    </w:p>
    <w:p w14:paraId="447169DD" w14:textId="77777777" w:rsidR="00193B55" w:rsidRPr="007E1FB5" w:rsidRDefault="00193B55" w:rsidP="00193B55">
      <w:pPr>
        <w:rPr>
          <w:rFonts w:eastAsiaTheme="minorEastAsia"/>
          <w:lang w:val="es-ES_tradnl"/>
        </w:rPr>
      </w:pPr>
      <w:r w:rsidRPr="007E1FB5">
        <w:rPr>
          <w:rFonts w:eastAsiaTheme="minorEastAsia"/>
          <w:lang w:val="es-ES_tradnl"/>
        </w:rPr>
        <w:t>Por último, habiendo examinado todos los comentarios recibidos, se elaboró un informe</w:t>
      </w:r>
      <w:r w:rsidRPr="007E1FB5">
        <w:rPr>
          <w:rStyle w:val="FootnoteReference"/>
          <w:rFonts w:eastAsiaTheme="minorEastAsia"/>
          <w:lang w:val="es-ES_tradnl"/>
        </w:rPr>
        <w:footnoteReference w:id="2"/>
      </w:r>
      <w:r w:rsidRPr="007E1FB5">
        <w:rPr>
          <w:rFonts w:eastAsiaTheme="minorEastAsia"/>
          <w:lang w:val="es-ES_tradnl"/>
        </w:rPr>
        <w:t xml:space="preserve"> con previsiones relativas a las necesidades de espectro de los servicios radioeléctricos atribuidos en Estados Unidos de América. Basado en este informe y en las necesidades de espectro documentadas en otros comités, se podrían formular planes para revisar los Cuadros de atribución de bandas de frecuencias nacionales e internacionales para satisfacer las demandas de servicio de telecomunicaciones futuras.</w:t>
      </w:r>
    </w:p>
    <w:p w14:paraId="4DF7181A" w14:textId="77777777" w:rsidR="00193B55" w:rsidRPr="007E1FB5" w:rsidRDefault="00193B55" w:rsidP="00193B55">
      <w:pPr>
        <w:pStyle w:val="Heading1"/>
        <w:rPr>
          <w:rFonts w:eastAsiaTheme="minorEastAsia"/>
          <w:lang w:val="es-ES_tradnl"/>
        </w:rPr>
      </w:pPr>
      <w:bookmarkStart w:id="155" w:name="_Toc34914276"/>
      <w:bookmarkStart w:id="156" w:name="_Toc34916964"/>
      <w:bookmarkStart w:id="157" w:name="_Toc184650247"/>
      <w:bookmarkStart w:id="158" w:name="_Toc184652799"/>
      <w:bookmarkStart w:id="159" w:name="_Toc184652848"/>
      <w:bookmarkStart w:id="160" w:name="_Toc216630157"/>
      <w:bookmarkStart w:id="161" w:name="_Toc216693441"/>
      <w:bookmarkStart w:id="162" w:name="_Toc217031148"/>
      <w:r w:rsidRPr="007E1FB5">
        <w:rPr>
          <w:rFonts w:eastAsiaTheme="minorEastAsia"/>
          <w:lang w:val="es-ES_tradnl"/>
        </w:rPr>
        <w:lastRenderedPageBreak/>
        <w:t>3</w:t>
      </w:r>
      <w:r w:rsidRPr="007E1FB5">
        <w:rPr>
          <w:rFonts w:eastAsiaTheme="minorEastAsia"/>
          <w:lang w:val="es-ES_tradnl"/>
        </w:rPr>
        <w:tab/>
      </w:r>
      <w:proofErr w:type="gramStart"/>
      <w:r w:rsidRPr="007E1FB5">
        <w:rPr>
          <w:rFonts w:eastAsiaTheme="minorEastAsia"/>
          <w:lang w:val="es-ES_tradnl"/>
        </w:rPr>
        <w:t>El</w:t>
      </w:r>
      <w:proofErr w:type="gramEnd"/>
      <w:r w:rsidRPr="007E1FB5">
        <w:rPr>
          <w:rFonts w:eastAsiaTheme="minorEastAsia"/>
          <w:lang w:val="es-ES_tradnl"/>
        </w:rPr>
        <w:t xml:space="preserve"> método analítico</w:t>
      </w:r>
      <w:bookmarkEnd w:id="155"/>
      <w:bookmarkEnd w:id="156"/>
      <w:bookmarkEnd w:id="157"/>
      <w:bookmarkEnd w:id="158"/>
      <w:bookmarkEnd w:id="159"/>
      <w:bookmarkEnd w:id="160"/>
      <w:bookmarkEnd w:id="161"/>
      <w:bookmarkEnd w:id="162"/>
    </w:p>
    <w:p w14:paraId="1B648EF7" w14:textId="77777777" w:rsidR="00193B55" w:rsidRPr="007E1FB5" w:rsidRDefault="00193B55" w:rsidP="00193B55">
      <w:pPr>
        <w:pStyle w:val="Heading2"/>
        <w:rPr>
          <w:rFonts w:eastAsiaTheme="minorEastAsia"/>
          <w:lang w:val="es-ES_tradnl"/>
        </w:rPr>
      </w:pPr>
      <w:bookmarkStart w:id="163" w:name="_Toc34914277"/>
      <w:bookmarkStart w:id="164" w:name="_Toc34916965"/>
      <w:bookmarkStart w:id="165" w:name="_Toc184650248"/>
      <w:bookmarkStart w:id="166" w:name="_Toc184652800"/>
      <w:bookmarkStart w:id="167" w:name="_Toc184652849"/>
      <w:bookmarkStart w:id="168" w:name="_Toc216630158"/>
      <w:bookmarkStart w:id="169" w:name="_Toc216693442"/>
      <w:bookmarkStart w:id="170" w:name="_Toc217031149"/>
      <w:r w:rsidRPr="007E1FB5">
        <w:rPr>
          <w:rFonts w:eastAsiaTheme="minorEastAsia"/>
          <w:lang w:val="es-ES_tradnl"/>
        </w:rPr>
        <w:t>3.1</w:t>
      </w:r>
      <w:r w:rsidRPr="007E1FB5">
        <w:rPr>
          <w:rFonts w:eastAsiaTheme="minorEastAsia"/>
          <w:lang w:val="es-ES_tradnl"/>
        </w:rPr>
        <w:tab/>
        <w:t>Introducción</w:t>
      </w:r>
      <w:bookmarkEnd w:id="163"/>
      <w:bookmarkEnd w:id="164"/>
      <w:bookmarkEnd w:id="165"/>
      <w:bookmarkEnd w:id="166"/>
      <w:bookmarkEnd w:id="167"/>
      <w:bookmarkEnd w:id="168"/>
      <w:bookmarkEnd w:id="169"/>
      <w:bookmarkEnd w:id="170"/>
    </w:p>
    <w:p w14:paraId="7BCD5452" w14:textId="77777777" w:rsidR="00193B55" w:rsidRPr="007E1FB5" w:rsidRDefault="00193B55" w:rsidP="00193B55">
      <w:pPr>
        <w:rPr>
          <w:rFonts w:eastAsiaTheme="minorEastAsia"/>
          <w:lang w:val="es-ES_tradnl"/>
        </w:rPr>
      </w:pPr>
      <w:r w:rsidRPr="007E1FB5">
        <w:rPr>
          <w:rFonts w:eastAsiaTheme="minorEastAsia"/>
          <w:lang w:val="es-ES_tradnl"/>
        </w:rPr>
        <w:t>El método analítico comprende un análisis detallado de los factores que afectan la previsión de las tendencias. Las conclusiones e hipótesis del análisis se convierten en cifras comprensibles. Estos datos numéricos se calculan matemáticamente mediante soporte lógico, si se dispone.</w:t>
      </w:r>
    </w:p>
    <w:p w14:paraId="0F28CFA5" w14:textId="77777777" w:rsidR="00193B55" w:rsidRPr="007E1FB5" w:rsidRDefault="00193B55" w:rsidP="00193B55">
      <w:pPr>
        <w:keepNext/>
        <w:keepLines/>
        <w:rPr>
          <w:rFonts w:eastAsiaTheme="minorEastAsia"/>
          <w:lang w:val="es-ES_tradnl"/>
        </w:rPr>
      </w:pPr>
      <w:r w:rsidRPr="007E1FB5">
        <w:rPr>
          <w:rFonts w:eastAsiaTheme="minorEastAsia"/>
          <w:lang w:val="es-ES_tradnl"/>
        </w:rPr>
        <w:t>Este método, que combina el análisis y las matemáticas, tiene las siguientes ventajas:</w:t>
      </w:r>
    </w:p>
    <w:p w14:paraId="2BB2982D" w14:textId="77777777" w:rsidR="00193B55" w:rsidRPr="007E1FB5" w:rsidRDefault="00193B55" w:rsidP="00193B55">
      <w:pPr>
        <w:pStyle w:val="enumlev1"/>
        <w:keepNext/>
        <w:keepLines/>
        <w:rPr>
          <w:rFonts w:eastAsiaTheme="minorEastAsia"/>
          <w:lang w:val="es-ES_tradnl"/>
        </w:rPr>
      </w:pPr>
      <w:r w:rsidRPr="007E1FB5">
        <w:rPr>
          <w:rFonts w:eastAsiaTheme="minorEastAsia"/>
          <w:lang w:val="es-ES_tradnl"/>
        </w:rPr>
        <w:t>–</w:t>
      </w:r>
      <w:r w:rsidRPr="007E1FB5">
        <w:rPr>
          <w:rFonts w:eastAsiaTheme="minorEastAsia"/>
          <w:lang w:val="es-ES_tradnl"/>
        </w:rPr>
        <w:tab/>
        <w:t>Se utiliza un método ascendente exhaustivo, basado en datos detallados para producir y registrar los resultados.</w:t>
      </w:r>
    </w:p>
    <w:p w14:paraId="7D84C8C4"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Los datos para los factores de influencia se derivan de estadísticas de años anteriores. Los valores para los años venideros se extrapolan de esas estadísticas.</w:t>
      </w:r>
    </w:p>
    <w:p w14:paraId="6A16FFE9"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Se puede determinar la ponderación para cada factor de influencia utilizando encuestas u otros materiales de indagación (por ejemplo, evaluación de estudios internos, informes técnicos, así como material publicitario).</w:t>
      </w:r>
    </w:p>
    <w:p w14:paraId="0F647F77"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Se puede determinar inmediatamente cualquier efecto capaz de alterar un factor de influencia individual con respecto a los resultados de la previsión.</w:t>
      </w:r>
    </w:p>
    <w:p w14:paraId="1D7AA856"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El método analítico no requiere necesariamente extensas contribuciones fuera de las organizaciones de gestión del espectro y se puede aplicar empleando las estadísticas existentes.</w:t>
      </w:r>
    </w:p>
    <w:p w14:paraId="0598B640"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El método analítico detallado y exhaustivo que utiliza estadísticas fiables produce un resultado relativamente objetivo.</w:t>
      </w:r>
    </w:p>
    <w:p w14:paraId="4E9461E8" w14:textId="77777777" w:rsidR="00193B55" w:rsidRPr="007E1FB5" w:rsidRDefault="00193B55" w:rsidP="00193B55">
      <w:pPr>
        <w:pStyle w:val="Heading2"/>
        <w:rPr>
          <w:rFonts w:eastAsiaTheme="minorEastAsia"/>
          <w:lang w:val="es-ES_tradnl"/>
        </w:rPr>
      </w:pPr>
      <w:bookmarkStart w:id="171" w:name="_Toc34914278"/>
      <w:bookmarkStart w:id="172" w:name="_Toc34916966"/>
      <w:bookmarkStart w:id="173" w:name="_Toc184650249"/>
      <w:bookmarkStart w:id="174" w:name="_Toc184652801"/>
      <w:bookmarkStart w:id="175" w:name="_Toc184652850"/>
      <w:bookmarkStart w:id="176" w:name="_Toc216630159"/>
      <w:bookmarkStart w:id="177" w:name="_Toc216693443"/>
      <w:bookmarkStart w:id="178" w:name="_Toc217031150"/>
      <w:r w:rsidRPr="007E1FB5">
        <w:rPr>
          <w:rFonts w:eastAsiaTheme="minorEastAsia"/>
          <w:lang w:val="es-ES_tradnl"/>
        </w:rPr>
        <w:t>3.2</w:t>
      </w:r>
      <w:r w:rsidRPr="007E1FB5">
        <w:rPr>
          <w:rFonts w:eastAsiaTheme="minorEastAsia"/>
          <w:lang w:val="es-ES_tradnl"/>
        </w:rPr>
        <w:tab/>
        <w:t>Fases para la formulación del método analítico</w:t>
      </w:r>
      <w:bookmarkEnd w:id="171"/>
      <w:bookmarkEnd w:id="172"/>
      <w:bookmarkEnd w:id="173"/>
      <w:bookmarkEnd w:id="174"/>
      <w:bookmarkEnd w:id="175"/>
      <w:bookmarkEnd w:id="176"/>
      <w:bookmarkEnd w:id="177"/>
      <w:bookmarkEnd w:id="178"/>
    </w:p>
    <w:p w14:paraId="2D7CE503" w14:textId="77777777" w:rsidR="00193B55" w:rsidRPr="007E1FB5" w:rsidRDefault="00193B55" w:rsidP="00193B55">
      <w:pPr>
        <w:rPr>
          <w:rFonts w:eastAsiaTheme="minorEastAsia"/>
          <w:lang w:val="es-ES_tradnl"/>
        </w:rPr>
      </w:pPr>
      <w:r w:rsidRPr="007E1FB5">
        <w:rPr>
          <w:rFonts w:eastAsiaTheme="minorEastAsia"/>
          <w:lang w:val="es-ES_tradnl"/>
        </w:rPr>
        <w:t>El método analítico tiene los siguientes pasos:</w:t>
      </w:r>
    </w:p>
    <w:p w14:paraId="2B6A74DD" w14:textId="77777777" w:rsidR="00193B55" w:rsidRPr="007E1FB5" w:rsidRDefault="00193B55" w:rsidP="00193B55">
      <w:pPr>
        <w:pStyle w:val="enumlev1"/>
        <w:tabs>
          <w:tab w:val="clear" w:pos="794"/>
          <w:tab w:val="clear" w:pos="1191"/>
          <w:tab w:val="left" w:pos="993"/>
          <w:tab w:val="left" w:pos="1560"/>
        </w:tabs>
        <w:ind w:left="993" w:hanging="993"/>
        <w:rPr>
          <w:rFonts w:eastAsiaTheme="minorEastAsia"/>
          <w:lang w:val="es-ES_tradnl"/>
        </w:rPr>
      </w:pPr>
      <w:r w:rsidRPr="007E1FB5">
        <w:rPr>
          <w:rFonts w:eastAsiaTheme="minorEastAsia"/>
          <w:i/>
          <w:lang w:val="es-ES_tradnl"/>
        </w:rPr>
        <w:t>Paso 1</w:t>
      </w:r>
      <w:r w:rsidRPr="007E1FB5">
        <w:rPr>
          <w:rFonts w:eastAsiaTheme="minorEastAsia"/>
          <w:lang w:val="es-ES_tradnl"/>
        </w:rPr>
        <w:t>:</w:t>
      </w:r>
      <w:r w:rsidRPr="007E1FB5">
        <w:rPr>
          <w:rFonts w:eastAsiaTheme="minorEastAsia"/>
          <w:lang w:val="es-ES_tradnl"/>
        </w:rPr>
        <w:tab/>
        <w:t>Análisis completo de la situación vigente.</w:t>
      </w:r>
    </w:p>
    <w:p w14:paraId="2E1214C8" w14:textId="77777777" w:rsidR="00193B55" w:rsidRPr="007E1FB5" w:rsidRDefault="00193B55" w:rsidP="00193B55">
      <w:pPr>
        <w:pStyle w:val="enumlev1"/>
        <w:tabs>
          <w:tab w:val="clear" w:pos="794"/>
          <w:tab w:val="clear" w:pos="1191"/>
          <w:tab w:val="left" w:pos="993"/>
          <w:tab w:val="left" w:pos="1560"/>
        </w:tabs>
        <w:ind w:left="993" w:hanging="993"/>
        <w:rPr>
          <w:rFonts w:eastAsiaTheme="minorEastAsia"/>
          <w:lang w:val="es-ES_tradnl"/>
        </w:rPr>
      </w:pPr>
      <w:r w:rsidRPr="007E1FB5">
        <w:rPr>
          <w:rFonts w:eastAsiaTheme="minorEastAsia"/>
          <w:i/>
          <w:lang w:val="es-ES_tradnl"/>
        </w:rPr>
        <w:t>Paso 2</w:t>
      </w:r>
      <w:r w:rsidRPr="007E1FB5">
        <w:rPr>
          <w:rFonts w:eastAsiaTheme="minorEastAsia"/>
          <w:lang w:val="es-ES_tradnl"/>
        </w:rPr>
        <w:t>:</w:t>
      </w:r>
      <w:r w:rsidRPr="007E1FB5">
        <w:rPr>
          <w:rFonts w:eastAsiaTheme="minorEastAsia"/>
          <w:lang w:val="es-ES_tradnl"/>
        </w:rPr>
        <w:tab/>
        <w:t>Hipótesis razonables efectuadas con respecto a factores (véase el Anexo 1 al Capítulo 1).</w:t>
      </w:r>
    </w:p>
    <w:p w14:paraId="06B415F9" w14:textId="77777777" w:rsidR="00193B55" w:rsidRPr="007E1FB5" w:rsidRDefault="00193B55" w:rsidP="00193B55">
      <w:pPr>
        <w:tabs>
          <w:tab w:val="clear" w:pos="794"/>
          <w:tab w:val="clear" w:pos="1191"/>
          <w:tab w:val="left" w:pos="993"/>
          <w:tab w:val="left" w:pos="1560"/>
        </w:tabs>
        <w:ind w:left="993" w:hanging="993"/>
        <w:rPr>
          <w:rFonts w:eastAsiaTheme="minorEastAsia"/>
          <w:lang w:val="es-ES_tradnl"/>
        </w:rPr>
      </w:pPr>
      <w:r w:rsidRPr="007E1FB5">
        <w:rPr>
          <w:rFonts w:eastAsiaTheme="minorEastAsia"/>
          <w:i/>
          <w:lang w:val="es-ES_tradnl"/>
        </w:rPr>
        <w:t>Paso 3</w:t>
      </w:r>
      <w:r w:rsidRPr="007E1FB5">
        <w:rPr>
          <w:rFonts w:eastAsiaTheme="minorEastAsia"/>
          <w:lang w:val="es-ES_tradnl"/>
        </w:rPr>
        <w:t>:</w:t>
      </w:r>
      <w:r w:rsidRPr="007E1FB5">
        <w:rPr>
          <w:rFonts w:eastAsiaTheme="minorEastAsia"/>
          <w:lang w:val="es-ES_tradnl"/>
        </w:rPr>
        <w:tab/>
        <w:t>Desarrollo de hipótesis:</w:t>
      </w:r>
    </w:p>
    <w:p w14:paraId="45BBB8B7" w14:textId="77777777" w:rsidR="00193B55" w:rsidRPr="007E1FB5" w:rsidRDefault="00193B55" w:rsidP="00193B55">
      <w:pPr>
        <w:pStyle w:val="enumlev2"/>
        <w:tabs>
          <w:tab w:val="clear" w:pos="794"/>
          <w:tab w:val="clear" w:pos="1191"/>
          <w:tab w:val="left" w:pos="993"/>
          <w:tab w:val="left" w:pos="1560"/>
        </w:tabs>
        <w:ind w:left="1560" w:hanging="1560"/>
        <w:rPr>
          <w:rFonts w:eastAsiaTheme="minorEastAsia"/>
          <w:lang w:val="es-ES_tradnl"/>
        </w:rPr>
      </w:pPr>
      <w:r w:rsidRPr="007E1FB5">
        <w:rPr>
          <w:rFonts w:eastAsiaTheme="minorEastAsia"/>
          <w:lang w:val="es-ES_tradnl"/>
        </w:rPr>
        <w:tab/>
        <w:t>–</w:t>
      </w:r>
      <w:r w:rsidRPr="007E1FB5">
        <w:rPr>
          <w:rFonts w:eastAsiaTheme="minorEastAsia"/>
          <w:lang w:val="es-ES_tradnl"/>
        </w:rPr>
        <w:tab/>
        <w:t>una hipótesis fiable, que indique cualquier elemento incierto y sus razones subyacentes;</w:t>
      </w:r>
    </w:p>
    <w:p w14:paraId="4DAA145B" w14:textId="77777777" w:rsidR="00193B55" w:rsidRPr="007E1FB5" w:rsidRDefault="00193B55" w:rsidP="00193B55">
      <w:pPr>
        <w:pStyle w:val="enumlev2"/>
        <w:tabs>
          <w:tab w:val="clear" w:pos="794"/>
          <w:tab w:val="clear" w:pos="1191"/>
          <w:tab w:val="left" w:pos="993"/>
          <w:tab w:val="left" w:pos="1560"/>
        </w:tabs>
        <w:ind w:left="993" w:hanging="993"/>
        <w:rPr>
          <w:rFonts w:eastAsiaTheme="minorEastAsia"/>
          <w:lang w:val="es-ES_tradnl"/>
        </w:rPr>
      </w:pPr>
      <w:r w:rsidRPr="007E1FB5">
        <w:rPr>
          <w:rFonts w:eastAsiaTheme="minorEastAsia"/>
          <w:lang w:val="es-ES_tradnl"/>
        </w:rPr>
        <w:tab/>
        <w:t>–</w:t>
      </w:r>
      <w:r w:rsidRPr="007E1FB5">
        <w:rPr>
          <w:rFonts w:eastAsiaTheme="minorEastAsia"/>
          <w:lang w:val="es-ES_tradnl"/>
        </w:rPr>
        <w:tab/>
        <w:t>hipótesis ulteriores, centradas en los factores de incertidumbre más significativos.</w:t>
      </w:r>
    </w:p>
    <w:p w14:paraId="10DBB2AA" w14:textId="77777777" w:rsidR="00193B55" w:rsidRPr="007E1FB5" w:rsidRDefault="00193B55" w:rsidP="00193B55">
      <w:pPr>
        <w:pStyle w:val="enumlev1"/>
        <w:tabs>
          <w:tab w:val="clear" w:pos="794"/>
          <w:tab w:val="clear" w:pos="1191"/>
          <w:tab w:val="left" w:pos="993"/>
          <w:tab w:val="left" w:pos="1560"/>
        </w:tabs>
        <w:ind w:left="993" w:hanging="993"/>
        <w:rPr>
          <w:rFonts w:eastAsiaTheme="minorEastAsia"/>
          <w:lang w:val="es-ES_tradnl"/>
        </w:rPr>
      </w:pPr>
      <w:r w:rsidRPr="007E1FB5">
        <w:rPr>
          <w:rFonts w:eastAsiaTheme="minorEastAsia"/>
          <w:i/>
          <w:lang w:val="es-ES_tradnl"/>
        </w:rPr>
        <w:t>Paso 4</w:t>
      </w:r>
      <w:r w:rsidRPr="007E1FB5">
        <w:rPr>
          <w:rFonts w:eastAsiaTheme="minorEastAsia"/>
          <w:lang w:val="es-ES_tradnl"/>
        </w:rPr>
        <w:t>:</w:t>
      </w:r>
      <w:r w:rsidRPr="007E1FB5">
        <w:rPr>
          <w:rFonts w:eastAsiaTheme="minorEastAsia"/>
          <w:lang w:val="es-ES_tradnl"/>
        </w:rPr>
        <w:tab/>
        <w:t>Evaluación de las hipótesis:</w:t>
      </w:r>
    </w:p>
    <w:p w14:paraId="5761E1CC" w14:textId="77777777" w:rsidR="00193B55" w:rsidRPr="007E1FB5" w:rsidRDefault="00193B55" w:rsidP="00193B55">
      <w:pPr>
        <w:pStyle w:val="enumlev2"/>
        <w:tabs>
          <w:tab w:val="clear" w:pos="794"/>
          <w:tab w:val="clear" w:pos="1191"/>
          <w:tab w:val="left" w:pos="993"/>
          <w:tab w:val="left" w:pos="1560"/>
        </w:tabs>
        <w:ind w:left="1560" w:hanging="1560"/>
        <w:rPr>
          <w:rFonts w:eastAsiaTheme="minorEastAsia"/>
          <w:lang w:val="es-ES_tradnl"/>
        </w:rPr>
      </w:pPr>
      <w:r w:rsidRPr="007E1FB5">
        <w:rPr>
          <w:rFonts w:eastAsiaTheme="minorEastAsia"/>
          <w:lang w:val="es-ES_tradnl"/>
        </w:rPr>
        <w:tab/>
        <w:t>–</w:t>
      </w:r>
      <w:r w:rsidRPr="007E1FB5">
        <w:rPr>
          <w:rFonts w:eastAsiaTheme="minorEastAsia"/>
          <w:lang w:val="es-ES_tradnl"/>
        </w:rPr>
        <w:tab/>
        <w:t>se determina la exhaustividad de las hipótesis, la validez de los factores y sus riesgos, beneficios y prioridades particulares.</w:t>
      </w:r>
    </w:p>
    <w:p w14:paraId="6120383B" w14:textId="77777777" w:rsidR="00193B55" w:rsidRPr="007E1FB5" w:rsidRDefault="00193B55" w:rsidP="00193B55">
      <w:pPr>
        <w:pStyle w:val="enumlev1"/>
        <w:tabs>
          <w:tab w:val="clear" w:pos="794"/>
          <w:tab w:val="clear" w:pos="1191"/>
          <w:tab w:val="left" w:pos="993"/>
          <w:tab w:val="left" w:pos="1560"/>
        </w:tabs>
        <w:ind w:left="993" w:hanging="993"/>
        <w:rPr>
          <w:rFonts w:eastAsiaTheme="minorEastAsia"/>
          <w:lang w:val="es-ES_tradnl"/>
        </w:rPr>
      </w:pPr>
      <w:r w:rsidRPr="007E1FB5">
        <w:rPr>
          <w:rFonts w:eastAsiaTheme="minorEastAsia"/>
          <w:i/>
          <w:lang w:val="es-ES_tradnl"/>
        </w:rPr>
        <w:t>Paso 5</w:t>
      </w:r>
      <w:r w:rsidRPr="007E1FB5">
        <w:rPr>
          <w:rFonts w:eastAsiaTheme="minorEastAsia"/>
          <w:lang w:val="es-ES_tradnl"/>
        </w:rPr>
        <w:t>:</w:t>
      </w:r>
      <w:r w:rsidRPr="007E1FB5">
        <w:rPr>
          <w:rFonts w:eastAsiaTheme="minorEastAsia"/>
          <w:lang w:val="es-ES_tradnl"/>
        </w:rPr>
        <w:tab/>
        <w:t>Presentación de un conjunto de resultados conclusivos.</w:t>
      </w:r>
    </w:p>
    <w:p w14:paraId="2C1A2991" w14:textId="77777777" w:rsidR="00193B55" w:rsidRPr="007E1FB5" w:rsidRDefault="00193B55" w:rsidP="00193B55">
      <w:pPr>
        <w:rPr>
          <w:rFonts w:eastAsiaTheme="minorEastAsia"/>
          <w:lang w:val="es-ES_tradnl"/>
        </w:rPr>
      </w:pPr>
      <w:r w:rsidRPr="007E1FB5">
        <w:rPr>
          <w:rFonts w:eastAsiaTheme="minorEastAsia"/>
          <w:lang w:val="es-ES_tradnl"/>
        </w:rPr>
        <w:t>En la Fig. 4 se detalla la elaboración de las hipótesis indicadas en el Paso 3. El cono representa la gama de evaluación posible en el tiempo e ilustra las características de la hipótesis.</w:t>
      </w:r>
    </w:p>
    <w:p w14:paraId="02B97C5E" w14:textId="77777777" w:rsidR="00193B55" w:rsidRPr="007E1FB5" w:rsidRDefault="00193B55" w:rsidP="00193B55">
      <w:pPr>
        <w:pStyle w:val="FigureNo"/>
        <w:rPr>
          <w:rFonts w:eastAsiaTheme="minorEastAsia"/>
          <w:lang w:val="es-ES_tradnl"/>
        </w:rPr>
      </w:pPr>
      <w:r w:rsidRPr="008C344D">
        <w:rPr>
          <w:rFonts w:eastAsiaTheme="minorEastAsia"/>
        </w:rPr>
        <w:lastRenderedPageBreak/>
        <w:t>FIGURA</w:t>
      </w:r>
      <w:r w:rsidRPr="007E1FB5">
        <w:rPr>
          <w:rFonts w:eastAsiaTheme="minorEastAsia"/>
          <w:lang w:val="es-ES_tradnl"/>
        </w:rPr>
        <w:t xml:space="preserve"> 4</w:t>
      </w:r>
    </w:p>
    <w:p w14:paraId="20E4C9B6" w14:textId="77777777" w:rsidR="00193B55" w:rsidRPr="007E1FB5" w:rsidRDefault="00193B55" w:rsidP="00193B55">
      <w:pPr>
        <w:pStyle w:val="Figuretitle"/>
        <w:rPr>
          <w:rFonts w:eastAsiaTheme="minorEastAsia"/>
          <w:lang w:val="es-ES_tradnl"/>
        </w:rPr>
      </w:pPr>
      <w:r w:rsidRPr="007E1FB5">
        <w:rPr>
          <w:rFonts w:eastAsiaTheme="minorEastAsia"/>
          <w:lang w:val="es-ES_tradnl"/>
        </w:rPr>
        <w:t>Elaboración de hipótesis</w:t>
      </w:r>
    </w:p>
    <w:p w14:paraId="041B215E" w14:textId="77777777" w:rsidR="00193B55" w:rsidRPr="007E1FB5" w:rsidRDefault="00193B55" w:rsidP="00193B55">
      <w:pPr>
        <w:pStyle w:val="Figure"/>
        <w:rPr>
          <w:rFonts w:eastAsiaTheme="minorEastAsia"/>
          <w:lang w:val="es-ES_tradnl"/>
        </w:rPr>
      </w:pPr>
      <w:r w:rsidRPr="007E1FB5">
        <w:rPr>
          <w:rFonts w:eastAsiaTheme="minorEastAsia"/>
          <w:noProof/>
          <w:lang w:val="es-ES_tradnl"/>
        </w:rPr>
        <w:drawing>
          <wp:inline distT="0" distB="0" distL="0" distR="0" wp14:anchorId="70ECCC6C" wp14:editId="602A0CAB">
            <wp:extent cx="5949708" cy="4654305"/>
            <wp:effectExtent l="0" t="0" r="0" b="0"/>
            <wp:docPr id="793814885" name="Picture 5" descr="La FIGURA 4 muestra la Elaboración de hipóte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14885" name="Picture 5" descr="La FIGURA 4 muestra la Elaboración de hipótesis&#1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9708" cy="4654305"/>
                    </a:xfrm>
                    <a:prstGeom prst="rect">
                      <a:avLst/>
                    </a:prstGeom>
                  </pic:spPr>
                </pic:pic>
              </a:graphicData>
            </a:graphic>
          </wp:inline>
        </w:drawing>
      </w:r>
    </w:p>
    <w:p w14:paraId="1FDBB9E3" w14:textId="77777777" w:rsidR="00193B55" w:rsidRPr="007E1FB5" w:rsidRDefault="00193B55" w:rsidP="00193B55">
      <w:pPr>
        <w:pStyle w:val="Normalaftertitle"/>
        <w:rPr>
          <w:rFonts w:eastAsiaTheme="minorEastAsia"/>
          <w:lang w:val="es-ES_tradnl"/>
        </w:rPr>
      </w:pPr>
      <w:r w:rsidRPr="007E1FB5">
        <w:rPr>
          <w:rFonts w:eastAsiaTheme="minorEastAsia"/>
          <w:lang w:val="es-ES_tradnl"/>
        </w:rPr>
        <w:t>La elaboración de hipótesis para un futuro cercano está ampliamente determinada por el presente (excluidos los eventos imprevisibles). Cuanto más lejano está el futuro mayor será la gama de realizaciones posibles. El cono ilustra cómo se amplía la gama de creaciones posibles. El diámetro de la base del cono se determina por el número de factores variables que se tienen en cuenta. Todos los trayectos de elaboración posibles en el periodo 0 a T finalizan en la base. Algunos de estos trayectos se describen a través de hipótesis: no es posible ni económicamente sensato estudiar todos los trayectos imaginables dentro de tres hipótesis. Las hipótesis A y B representan dos trayectos promedio que tienen en cuenta todos los factores. Si un evento ocurre en 1 e interfiere el trayecto, éste cambiará el curso y finalizará en C. Si la decisión se toma en 2, el trayecto cambiará nuevamente el curso y finalizará en D.</w:t>
      </w:r>
    </w:p>
    <w:p w14:paraId="4B770FC8" w14:textId="77777777" w:rsidR="00193B55" w:rsidRPr="007E1FB5" w:rsidRDefault="00193B55" w:rsidP="00193B55">
      <w:pPr>
        <w:pStyle w:val="Heading2"/>
        <w:rPr>
          <w:rFonts w:eastAsiaTheme="minorEastAsia"/>
          <w:lang w:val="es-ES_tradnl"/>
        </w:rPr>
      </w:pPr>
      <w:bookmarkStart w:id="179" w:name="_Toc34914279"/>
      <w:bookmarkStart w:id="180" w:name="_Toc34916967"/>
      <w:bookmarkStart w:id="181" w:name="_Toc184650250"/>
      <w:bookmarkStart w:id="182" w:name="_Toc184652802"/>
      <w:bookmarkStart w:id="183" w:name="_Toc184652851"/>
      <w:bookmarkStart w:id="184" w:name="_Toc216630160"/>
      <w:bookmarkStart w:id="185" w:name="_Toc216693444"/>
      <w:bookmarkStart w:id="186" w:name="_Toc217031151"/>
      <w:r w:rsidRPr="007E1FB5">
        <w:rPr>
          <w:rFonts w:eastAsiaTheme="minorEastAsia"/>
          <w:lang w:val="es-ES_tradnl"/>
        </w:rPr>
        <w:t>3.3</w:t>
      </w:r>
      <w:r w:rsidRPr="007E1FB5">
        <w:rPr>
          <w:rFonts w:eastAsiaTheme="minorEastAsia"/>
          <w:lang w:val="es-ES_tradnl"/>
        </w:rPr>
        <w:tab/>
        <w:t>Empleo de la técnica analítica en el proceso de planificación de necesidades de espectro a largo plazo</w:t>
      </w:r>
      <w:bookmarkEnd w:id="179"/>
      <w:bookmarkEnd w:id="180"/>
      <w:bookmarkEnd w:id="181"/>
      <w:bookmarkEnd w:id="182"/>
      <w:bookmarkEnd w:id="183"/>
      <w:bookmarkEnd w:id="184"/>
      <w:bookmarkEnd w:id="185"/>
      <w:bookmarkEnd w:id="186"/>
    </w:p>
    <w:p w14:paraId="31A54F16" w14:textId="77777777" w:rsidR="00193B55" w:rsidRPr="007E1FB5" w:rsidRDefault="00193B55" w:rsidP="00193B55">
      <w:pPr>
        <w:rPr>
          <w:rFonts w:eastAsiaTheme="minorEastAsia"/>
          <w:lang w:val="es-ES_tradnl"/>
        </w:rPr>
      </w:pPr>
      <w:r w:rsidRPr="007E1FB5">
        <w:rPr>
          <w:rFonts w:eastAsiaTheme="minorEastAsia"/>
          <w:lang w:val="es-ES_tradnl"/>
        </w:rPr>
        <w:t>La técnica analítica se puede considerar como un modelo que puede ser aplicado en un programa informático o analizado manualmente.</w:t>
      </w:r>
    </w:p>
    <w:p w14:paraId="2DD7DA42" w14:textId="77777777" w:rsidR="00193B55" w:rsidRPr="007E1FB5" w:rsidRDefault="00193B55" w:rsidP="00193B55">
      <w:pPr>
        <w:rPr>
          <w:rFonts w:eastAsiaTheme="minorEastAsia"/>
          <w:lang w:val="es-ES_tradnl"/>
        </w:rPr>
      </w:pPr>
      <w:r w:rsidRPr="007E1FB5">
        <w:rPr>
          <w:rFonts w:eastAsiaTheme="minorEastAsia"/>
          <w:lang w:val="es-ES_tradnl"/>
        </w:rPr>
        <w:t>Como ejemplo, la Autoridad Reglamentaria de Correos y Telecomunicaciones de Alemania elaboró, entre otros, una hipótesis sobre tendencias de la cantidad de usuarios del sistema de telecomunicaciones móviles universales (UMTS) hasta el año 2010. La hipótesis reveló una diferencia entre usuarios comerciales y privados.</w:t>
      </w:r>
    </w:p>
    <w:p w14:paraId="4CDCD298" w14:textId="77777777" w:rsidR="00193B55" w:rsidRPr="007E1FB5" w:rsidRDefault="00193B55" w:rsidP="00193B55">
      <w:pPr>
        <w:keepNext/>
        <w:keepLines/>
        <w:rPr>
          <w:rFonts w:eastAsiaTheme="minorEastAsia"/>
          <w:lang w:val="es-ES_tradnl"/>
        </w:rPr>
      </w:pPr>
      <w:r w:rsidRPr="007E1FB5">
        <w:rPr>
          <w:rFonts w:eastAsiaTheme="minorEastAsia"/>
          <w:lang w:val="es-ES_tradnl"/>
        </w:rPr>
        <w:lastRenderedPageBreak/>
        <w:t>Se determinaron los tres factores principales que afectan a la cantidad de usuarios privados:</w:t>
      </w:r>
    </w:p>
    <w:p w14:paraId="4E87E909" w14:textId="77777777" w:rsidR="00193B55" w:rsidRPr="007E1FB5" w:rsidRDefault="00193B55" w:rsidP="00193B55">
      <w:pPr>
        <w:pStyle w:val="enumlev1"/>
        <w:keepNext/>
        <w:keepLines/>
        <w:rPr>
          <w:rFonts w:eastAsiaTheme="minorEastAsia"/>
          <w:lang w:val="es-ES_tradnl"/>
        </w:rPr>
      </w:pPr>
      <w:r w:rsidRPr="007E1FB5">
        <w:rPr>
          <w:rFonts w:eastAsiaTheme="minorEastAsia"/>
          <w:lang w:val="es-ES_tradnl"/>
        </w:rPr>
        <w:t>–</w:t>
      </w:r>
      <w:r w:rsidRPr="007E1FB5">
        <w:rPr>
          <w:rFonts w:eastAsiaTheme="minorEastAsia"/>
          <w:lang w:val="es-ES_tradnl"/>
        </w:rPr>
        <w:tab/>
        <w:t>tendencias de rentas;</w:t>
      </w:r>
    </w:p>
    <w:p w14:paraId="4F03D39D"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distribución de edades, y</w:t>
      </w:r>
    </w:p>
    <w:p w14:paraId="60DA039A"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dimensión del hogar.</w:t>
      </w:r>
    </w:p>
    <w:p w14:paraId="26C9156C" w14:textId="77777777" w:rsidR="00193B55" w:rsidRPr="007E1FB5" w:rsidRDefault="00193B55" w:rsidP="00193B55">
      <w:pPr>
        <w:rPr>
          <w:rFonts w:eastAsiaTheme="minorEastAsia"/>
          <w:lang w:val="es-ES_tradnl"/>
        </w:rPr>
      </w:pPr>
      <w:r w:rsidRPr="007E1FB5">
        <w:rPr>
          <w:rFonts w:eastAsiaTheme="minorEastAsia"/>
          <w:lang w:val="es-ES_tradnl"/>
        </w:rPr>
        <w:t>Estos factores fueron determinados utilizando documentos de la Oficina de Estadística Federal y combinados con datos sobre equipos radioeléctricos móviles y tendencias de tarifas, edad de la población y distribución del poder adquisitivo, actividades de tiempo libre, e incremento en el número de hogares pequeños (dos salarios, sin hijos). Estos datos se tomaron de los análisis e investigaciones anteriores, literatura técnica, y estadísticas demográficas.</w:t>
      </w:r>
    </w:p>
    <w:p w14:paraId="0B4787FC" w14:textId="77777777" w:rsidR="00193B55" w:rsidRPr="007E1FB5" w:rsidRDefault="00193B55" w:rsidP="00193B55">
      <w:pPr>
        <w:rPr>
          <w:rFonts w:eastAsiaTheme="minorEastAsia"/>
          <w:lang w:val="es-ES_tradnl"/>
        </w:rPr>
      </w:pPr>
      <w:r w:rsidRPr="007E1FB5">
        <w:rPr>
          <w:rFonts w:eastAsiaTheme="minorEastAsia"/>
          <w:lang w:val="es-ES_tradnl"/>
        </w:rPr>
        <w:t>Se determinó el máximo número de usuarios comerciales posibles teniendo en cuenta la cantidad y tendencias en el número de vehículos de compañías empleados lucrativamente. Se determinó la cantidad de usuarios posible esperada en 2010 sustrayendo un determinado porcentaje para permitir usuarios dobles, es decir personas que utilizan el sistema de telecomunicaciones móviles universales para fines comerciales y privados.</w:t>
      </w:r>
    </w:p>
    <w:p w14:paraId="5238876B" w14:textId="77777777" w:rsidR="00193B55" w:rsidRPr="007E1FB5" w:rsidRDefault="00193B55" w:rsidP="00193B55">
      <w:pPr>
        <w:rPr>
          <w:rFonts w:eastAsiaTheme="minorEastAsia"/>
          <w:lang w:val="es-ES_tradnl"/>
        </w:rPr>
      </w:pPr>
      <w:r w:rsidRPr="007E1FB5">
        <w:rPr>
          <w:rFonts w:eastAsiaTheme="minorEastAsia"/>
          <w:lang w:val="es-ES_tradnl"/>
        </w:rPr>
        <w:t>Estos datos de usuario se utilizaron para elaborar un modelo de tráfico que en definitiva conduce a elaborar un pronóstico de las necesidades de espectro de los UMTS en 2010, teniendo en cuenta los factores de influencia técnicos tales como la anchura de banda del sistema, separación de canales, radio y configuración de la célula.</w:t>
      </w:r>
    </w:p>
    <w:p w14:paraId="5DAFE88A" w14:textId="77777777" w:rsidR="00193B55" w:rsidRPr="007E1FB5" w:rsidRDefault="00193B55" w:rsidP="00193B55">
      <w:pPr>
        <w:rPr>
          <w:rFonts w:eastAsiaTheme="minorEastAsia"/>
          <w:lang w:val="es-ES_tradnl"/>
        </w:rPr>
      </w:pPr>
      <w:r w:rsidRPr="007E1FB5">
        <w:rPr>
          <w:rFonts w:eastAsiaTheme="minorEastAsia"/>
          <w:lang w:val="es-ES_tradnl"/>
        </w:rPr>
        <w:t>Cuando una hipótesis ha sido elaborada en el pasado, cabe la posibilidad de compararla con casos actuales para confirmar su exactitud o revisarla, de ser necesario.</w:t>
      </w:r>
    </w:p>
    <w:p w14:paraId="4078D9B6" w14:textId="77777777" w:rsidR="00193B55" w:rsidRPr="007E1FB5" w:rsidRDefault="00193B55" w:rsidP="00193B55">
      <w:pPr>
        <w:rPr>
          <w:rFonts w:eastAsiaTheme="minorEastAsia"/>
          <w:lang w:val="es-ES_tradnl"/>
        </w:rPr>
      </w:pPr>
    </w:p>
    <w:p w14:paraId="77450450" w14:textId="77777777" w:rsidR="00193B55" w:rsidRPr="007E1FB5" w:rsidRDefault="00193B55" w:rsidP="00193B55">
      <w:pPr>
        <w:rPr>
          <w:rFonts w:eastAsiaTheme="minorEastAsia"/>
          <w:lang w:val="es-ES_tradnl"/>
        </w:rPr>
      </w:pPr>
    </w:p>
    <w:p w14:paraId="2DC3722A" w14:textId="7D9529B7" w:rsidR="00193B55" w:rsidRPr="007E1FB5" w:rsidRDefault="006E6FBB" w:rsidP="006B1DD9">
      <w:pPr>
        <w:pStyle w:val="ChapNo"/>
        <w:rPr>
          <w:rFonts w:eastAsiaTheme="minorEastAsia"/>
          <w:lang w:val="es-ES_tradnl"/>
        </w:rPr>
      </w:pPr>
      <w:bookmarkStart w:id="187" w:name="_Toc34916968"/>
      <w:bookmarkStart w:id="188" w:name="_Toc184650251"/>
      <w:bookmarkStart w:id="189" w:name="_Toc184652852"/>
      <w:bookmarkStart w:id="190" w:name="_Toc216693445"/>
      <w:bookmarkStart w:id="191" w:name="_Toc217031152"/>
      <w:r w:rsidRPr="006B1DD9">
        <w:rPr>
          <w:rFonts w:eastAsiaTheme="minorEastAsia"/>
        </w:rPr>
        <w:t>CAPÍTULO</w:t>
      </w:r>
      <w:r w:rsidR="00193B55" w:rsidRPr="007E1FB5">
        <w:rPr>
          <w:rFonts w:eastAsiaTheme="minorEastAsia"/>
          <w:lang w:val="es-ES_tradnl"/>
        </w:rPr>
        <w:t xml:space="preserve"> 3</w:t>
      </w:r>
      <w:bookmarkEnd w:id="187"/>
      <w:bookmarkEnd w:id="188"/>
      <w:bookmarkEnd w:id="189"/>
      <w:bookmarkEnd w:id="190"/>
      <w:bookmarkEnd w:id="191"/>
    </w:p>
    <w:p w14:paraId="3DFF8DE6" w14:textId="77777777" w:rsidR="00193B55" w:rsidRPr="007E1FB5" w:rsidRDefault="00193B55" w:rsidP="00193B55">
      <w:pPr>
        <w:pStyle w:val="Chaptitle"/>
        <w:rPr>
          <w:rFonts w:eastAsiaTheme="minorEastAsia"/>
          <w:lang w:val="es-ES_tradnl"/>
        </w:rPr>
      </w:pPr>
      <w:bookmarkStart w:id="192" w:name="_Toc184652853"/>
      <w:bookmarkStart w:id="193" w:name="_Toc184656546"/>
      <w:bookmarkStart w:id="194" w:name="_Toc217031153"/>
      <w:r w:rsidRPr="007E1FB5">
        <w:rPr>
          <w:rFonts w:eastAsiaTheme="minorEastAsia"/>
          <w:lang w:val="es-ES_tradnl"/>
        </w:rPr>
        <w:t>Procedimientos apropiados para la transición de la utilización actual</w:t>
      </w:r>
      <w:r w:rsidRPr="007E1FB5">
        <w:rPr>
          <w:rFonts w:eastAsiaTheme="minorEastAsia"/>
          <w:lang w:val="es-ES_tradnl"/>
        </w:rPr>
        <w:br/>
        <w:t>del espectro a objetivos a largo plazo</w:t>
      </w:r>
      <w:bookmarkEnd w:id="192"/>
      <w:bookmarkEnd w:id="193"/>
      <w:bookmarkEnd w:id="194"/>
    </w:p>
    <w:p w14:paraId="0FF385D4" w14:textId="77777777" w:rsidR="00193B55" w:rsidRPr="007E1FB5" w:rsidRDefault="00193B55" w:rsidP="00193B55">
      <w:pPr>
        <w:pStyle w:val="Heading1"/>
        <w:rPr>
          <w:rFonts w:eastAsiaTheme="minorEastAsia"/>
          <w:lang w:val="es-ES_tradnl"/>
        </w:rPr>
      </w:pPr>
      <w:bookmarkStart w:id="195" w:name="_Toc34914280"/>
      <w:bookmarkStart w:id="196" w:name="_Toc34916969"/>
      <w:bookmarkStart w:id="197" w:name="_Toc184650252"/>
      <w:bookmarkStart w:id="198" w:name="_Toc184652803"/>
      <w:bookmarkStart w:id="199" w:name="_Toc184652854"/>
      <w:bookmarkStart w:id="200" w:name="_Toc216630161"/>
      <w:bookmarkStart w:id="201" w:name="_Toc216693446"/>
      <w:bookmarkStart w:id="202" w:name="_Toc217031154"/>
      <w:r w:rsidRPr="007E1FB5">
        <w:rPr>
          <w:rFonts w:eastAsiaTheme="minorEastAsia"/>
          <w:lang w:val="es-ES_tradnl"/>
        </w:rPr>
        <w:t>1</w:t>
      </w:r>
      <w:r w:rsidRPr="007E1FB5">
        <w:rPr>
          <w:rFonts w:eastAsiaTheme="minorEastAsia"/>
          <w:lang w:val="es-ES_tradnl"/>
        </w:rPr>
        <w:tab/>
      </w:r>
      <w:proofErr w:type="gramStart"/>
      <w:r w:rsidRPr="007E1FB5">
        <w:rPr>
          <w:rFonts w:eastAsiaTheme="minorEastAsia"/>
          <w:lang w:val="es-ES_tradnl"/>
        </w:rPr>
        <w:t>Identificación</w:t>
      </w:r>
      <w:proofErr w:type="gramEnd"/>
      <w:r w:rsidRPr="007E1FB5">
        <w:rPr>
          <w:rFonts w:eastAsiaTheme="minorEastAsia"/>
          <w:lang w:val="es-ES_tradnl"/>
        </w:rPr>
        <w:t xml:space="preserve"> de los objetivos de gestión del espectro a largo plazo</w:t>
      </w:r>
      <w:bookmarkEnd w:id="195"/>
      <w:bookmarkEnd w:id="196"/>
      <w:bookmarkEnd w:id="197"/>
      <w:bookmarkEnd w:id="198"/>
      <w:bookmarkEnd w:id="199"/>
      <w:bookmarkEnd w:id="200"/>
      <w:bookmarkEnd w:id="201"/>
      <w:bookmarkEnd w:id="202"/>
    </w:p>
    <w:p w14:paraId="0C61BE41" w14:textId="77777777" w:rsidR="00193B55" w:rsidRPr="007E1FB5" w:rsidRDefault="00193B55" w:rsidP="00193B55">
      <w:pPr>
        <w:rPr>
          <w:rFonts w:eastAsiaTheme="minorEastAsia"/>
          <w:lang w:val="es-ES_tradnl"/>
        </w:rPr>
      </w:pPr>
      <w:r w:rsidRPr="007E1FB5">
        <w:rPr>
          <w:rFonts w:eastAsiaTheme="minorEastAsia"/>
          <w:lang w:val="es-ES_tradnl"/>
        </w:rPr>
        <w:t>La identificación de los objetivos de gestión del espectro a largo plazo debe considerar la maximización de la utilización del espectro radioeléctrico por diversas metodologías técnicas y operativas conocidas actualmente o en desarrollo. Estos objetivos deben considerar el crecimiento posible de los servicios radioeléctricos existentes, así como la introducción y el crecimiento de nuevos servicios y aplicaciones. Asimismo, se deben analizar los cambios en la utilización del espectro por la industria local y el público en general, los avances tecnológicos, así como los factores técnicos y no técnicos descritos en el Anexo 1 al Capítulo 1.</w:t>
      </w:r>
    </w:p>
    <w:p w14:paraId="1CCC8BD9" w14:textId="77777777" w:rsidR="00193B55" w:rsidRPr="007E1FB5" w:rsidRDefault="00193B55" w:rsidP="00193B55">
      <w:pPr>
        <w:rPr>
          <w:rFonts w:eastAsiaTheme="minorEastAsia"/>
          <w:lang w:val="es-ES_tradnl"/>
        </w:rPr>
      </w:pPr>
      <w:r w:rsidRPr="007E1FB5">
        <w:rPr>
          <w:rFonts w:eastAsiaTheme="minorEastAsia"/>
          <w:lang w:val="es-ES_tradnl"/>
        </w:rPr>
        <w:t>Los objetivos para la gestión del espectro a largo plazo se pueden determinar básicamente como: fomentar el desarrollo y utilización del espectro radioeléctrico para dar apoyo a los ámbitos tecnológicos, sociales, políticos y económicos, para el máximo beneficio neto de todos.</w:t>
      </w:r>
    </w:p>
    <w:p w14:paraId="6E1DBB34" w14:textId="77777777" w:rsidR="00193B55" w:rsidRPr="007E1FB5" w:rsidRDefault="00193B55" w:rsidP="00193B55">
      <w:pPr>
        <w:rPr>
          <w:rFonts w:eastAsiaTheme="minorEastAsia"/>
          <w:lang w:val="es-ES_tradnl"/>
        </w:rPr>
      </w:pPr>
      <w:r w:rsidRPr="007E1FB5">
        <w:rPr>
          <w:rFonts w:eastAsiaTheme="minorEastAsia"/>
          <w:lang w:val="es-ES_tradnl"/>
        </w:rPr>
        <w:t>Los objetivos a largo plazo deben incluir contribuciones de medio(s) gubernamental(es), de la industria local y, dentro de la industria, de organizaciones grandes y pequeñas y de una diversidad de ubicaciones geográficas.</w:t>
      </w:r>
    </w:p>
    <w:p w14:paraId="05A39CA6" w14:textId="77777777" w:rsidR="00193B55" w:rsidRPr="007E1FB5" w:rsidRDefault="00193B55" w:rsidP="00193B55">
      <w:pPr>
        <w:pStyle w:val="Heading1"/>
        <w:rPr>
          <w:rFonts w:eastAsiaTheme="minorEastAsia"/>
          <w:lang w:val="es-ES_tradnl"/>
        </w:rPr>
      </w:pPr>
      <w:bookmarkStart w:id="203" w:name="_Toc34914281"/>
      <w:bookmarkStart w:id="204" w:name="_Toc34916970"/>
      <w:bookmarkStart w:id="205" w:name="_Toc184650253"/>
      <w:bookmarkStart w:id="206" w:name="_Toc184652804"/>
      <w:bookmarkStart w:id="207" w:name="_Toc184652855"/>
      <w:bookmarkStart w:id="208" w:name="_Toc216630162"/>
      <w:bookmarkStart w:id="209" w:name="_Toc216693447"/>
      <w:bookmarkStart w:id="210" w:name="_Toc217031155"/>
      <w:r w:rsidRPr="007E1FB5">
        <w:rPr>
          <w:rFonts w:eastAsiaTheme="minorEastAsia"/>
          <w:lang w:val="es-ES_tradnl"/>
        </w:rPr>
        <w:lastRenderedPageBreak/>
        <w:t>2</w:t>
      </w:r>
      <w:r w:rsidRPr="007E1FB5">
        <w:rPr>
          <w:rFonts w:eastAsiaTheme="minorEastAsia"/>
          <w:lang w:val="es-ES_tradnl"/>
        </w:rPr>
        <w:tab/>
      </w:r>
      <w:proofErr w:type="gramStart"/>
      <w:r w:rsidRPr="007E1FB5">
        <w:rPr>
          <w:rFonts w:eastAsiaTheme="minorEastAsia"/>
          <w:lang w:val="es-ES_tradnl"/>
        </w:rPr>
        <w:t>Evaluación</w:t>
      </w:r>
      <w:proofErr w:type="gramEnd"/>
      <w:r w:rsidRPr="007E1FB5">
        <w:rPr>
          <w:rFonts w:eastAsiaTheme="minorEastAsia"/>
          <w:lang w:val="es-ES_tradnl"/>
        </w:rPr>
        <w:t xml:space="preserve"> del proceso de gestión del espectro vigente</w:t>
      </w:r>
      <w:bookmarkEnd w:id="203"/>
      <w:bookmarkEnd w:id="204"/>
      <w:bookmarkEnd w:id="205"/>
      <w:bookmarkEnd w:id="206"/>
      <w:bookmarkEnd w:id="207"/>
      <w:bookmarkEnd w:id="208"/>
      <w:bookmarkEnd w:id="209"/>
      <w:bookmarkEnd w:id="210"/>
    </w:p>
    <w:p w14:paraId="3C602DFB" w14:textId="608914AC" w:rsidR="006E6FBB" w:rsidRPr="00BE184C" w:rsidRDefault="00193B55" w:rsidP="006E6FBB">
      <w:pPr>
        <w:rPr>
          <w:rFonts w:eastAsiaTheme="minorEastAsia"/>
        </w:rPr>
      </w:pPr>
      <w:r w:rsidRPr="007E1FB5">
        <w:rPr>
          <w:rFonts w:eastAsiaTheme="minorEastAsia"/>
          <w:lang w:val="es-ES_tradnl"/>
        </w:rPr>
        <w:t>Esta evaluación debe incluir un estudio del proceso de gestión del espectro nacional vigente para determinar sus virtudes y deficiencias según son percibidos por la industria y por el gobierno. El resultado de esta evaluación formará la base para la formulación de estrategias de gestión del espectro a largo plazo actualizadas (se proporciona un ejemplo en el Anexo 1 de este Capítulo).</w:t>
      </w:r>
      <w:r w:rsidR="006E6FBB">
        <w:rPr>
          <w:rFonts w:eastAsiaTheme="minorEastAsia"/>
          <w:lang w:val="es-ES_tradnl"/>
        </w:rPr>
        <w:t xml:space="preserve"> </w:t>
      </w:r>
      <w:r w:rsidR="006E6FBB" w:rsidRPr="00BE184C">
        <w:rPr>
          <w:rFonts w:eastAsiaTheme="minorEastAsia"/>
        </w:rPr>
        <w:t xml:space="preserve">Otro aspecto que cabe </w:t>
      </w:r>
      <w:r w:rsidR="00E50A62" w:rsidRPr="00E50A62">
        <w:rPr>
          <w:rFonts w:eastAsiaTheme="minorEastAsia"/>
        </w:rPr>
        <w:t>considerar</w:t>
      </w:r>
      <w:r w:rsidR="006E6FBB" w:rsidRPr="00BE184C">
        <w:rPr>
          <w:rFonts w:eastAsiaTheme="minorEastAsia"/>
        </w:rPr>
        <w:t xml:space="preserve"> es la autonomía del proceso, en </w:t>
      </w:r>
      <w:r w:rsidR="006E6FBB">
        <w:rPr>
          <w:rFonts w:eastAsiaTheme="minorEastAsia"/>
        </w:rPr>
        <w:t xml:space="preserve">virtud de la cual </w:t>
      </w:r>
      <w:r w:rsidR="006E6FBB" w:rsidRPr="00BE184C">
        <w:rPr>
          <w:rFonts w:eastAsiaTheme="minorEastAsia"/>
        </w:rPr>
        <w:t xml:space="preserve">el alcance de los avances y la </w:t>
      </w:r>
      <w:r w:rsidR="006E6FBB">
        <w:rPr>
          <w:rFonts w:eastAsiaTheme="minorEastAsia"/>
        </w:rPr>
        <w:t>versatilidad</w:t>
      </w:r>
      <w:r w:rsidR="006E6FBB" w:rsidRPr="007B7381">
        <w:rPr>
          <w:rStyle w:val="FootnoteReference"/>
          <w:rFonts w:eastAsiaTheme="minorEastAsia"/>
        </w:rPr>
        <w:footnoteReference w:id="3"/>
      </w:r>
      <w:r w:rsidR="006E6FBB" w:rsidRPr="00BE184C">
        <w:rPr>
          <w:rFonts w:eastAsiaTheme="minorEastAsia"/>
        </w:rPr>
        <w:t xml:space="preserve"> </w:t>
      </w:r>
      <w:r w:rsidR="006E6FBB">
        <w:rPr>
          <w:rFonts w:eastAsiaTheme="minorEastAsia"/>
        </w:rPr>
        <w:t>de</w:t>
      </w:r>
      <w:r w:rsidR="006E6FBB" w:rsidRPr="003D49C3">
        <w:rPr>
          <w:rFonts w:eastAsiaTheme="minorEastAsia"/>
        </w:rPr>
        <w:t xml:space="preserve"> la gestión del espectro</w:t>
      </w:r>
      <w:r w:rsidR="006E6FBB">
        <w:rPr>
          <w:rFonts w:eastAsiaTheme="minorEastAsia"/>
        </w:rPr>
        <w:t xml:space="preserve"> vienen dados por</w:t>
      </w:r>
      <w:r w:rsidR="006E6FBB" w:rsidRPr="00BE184C">
        <w:rPr>
          <w:rFonts w:eastAsiaTheme="minorEastAsia"/>
        </w:rPr>
        <w:t>:</w:t>
      </w:r>
    </w:p>
    <w:p w14:paraId="62C5D150" w14:textId="5DB95621" w:rsidR="006E6FBB" w:rsidRPr="006B1DD9" w:rsidRDefault="006E6FBB" w:rsidP="006B1DD9">
      <w:pPr>
        <w:pStyle w:val="enumlev1"/>
        <w:rPr>
          <w:rFonts w:eastAsiaTheme="minorEastAsia"/>
        </w:rPr>
      </w:pPr>
      <w:r w:rsidRPr="00BE184C">
        <w:rPr>
          <w:rFonts w:eastAsiaTheme="minorEastAsia"/>
        </w:rPr>
        <w:t>−</w:t>
      </w:r>
      <w:r w:rsidRPr="00BE184C">
        <w:rPr>
          <w:rFonts w:eastAsiaTheme="minorEastAsia"/>
        </w:rPr>
        <w:tab/>
      </w:r>
      <w:r w:rsidR="006B1DD9">
        <w:rPr>
          <w:rFonts w:eastAsiaTheme="minorEastAsia"/>
        </w:rPr>
        <w:t>l</w:t>
      </w:r>
      <w:r w:rsidRPr="006B1DD9">
        <w:rPr>
          <w:rFonts w:eastAsiaTheme="minorEastAsia"/>
        </w:rPr>
        <w:t>as oportunidades que brindan las tecnologías inalámbricas, en particular la compartición autónoma dinámica y las aplicaciones basadas en el aprendizaje automático y el análisis de datos a nivel de gestión de red;</w:t>
      </w:r>
    </w:p>
    <w:p w14:paraId="05D9B6A0" w14:textId="362A734A" w:rsidR="006E6FBB" w:rsidRPr="006B1DD9" w:rsidRDefault="006B1DD9" w:rsidP="006B1DD9">
      <w:pPr>
        <w:pStyle w:val="enumlev1"/>
        <w:rPr>
          <w:rFonts w:eastAsiaTheme="minorEastAsia"/>
        </w:rPr>
      </w:pPr>
      <w:r w:rsidRPr="006B1DD9">
        <w:rPr>
          <w:rFonts w:eastAsiaTheme="minorEastAsia"/>
        </w:rPr>
        <w:t>–</w:t>
      </w:r>
      <w:r>
        <w:rPr>
          <w:rFonts w:eastAsiaTheme="minorEastAsia"/>
        </w:rPr>
        <w:tab/>
        <w:t>l</w:t>
      </w:r>
      <w:r w:rsidR="006E6FBB" w:rsidRPr="006B1DD9">
        <w:rPr>
          <w:rFonts w:eastAsiaTheme="minorEastAsia"/>
        </w:rPr>
        <w:t>as soluciones de gestión basadas en el aprendizaje automático y el análisis de datos; y</w:t>
      </w:r>
    </w:p>
    <w:p w14:paraId="70BD4F5D" w14:textId="104CC724" w:rsidR="00193B55" w:rsidRPr="00BE184C" w:rsidRDefault="006E6FBB" w:rsidP="006B1DD9">
      <w:pPr>
        <w:pStyle w:val="enumlev1"/>
        <w:rPr>
          <w:rFonts w:eastAsiaTheme="minorEastAsia"/>
        </w:rPr>
      </w:pPr>
      <w:r w:rsidRPr="006B1DD9">
        <w:rPr>
          <w:rFonts w:eastAsiaTheme="minorEastAsia"/>
        </w:rPr>
        <w:t>−</w:t>
      </w:r>
      <w:r w:rsidRPr="006B1DD9">
        <w:rPr>
          <w:rFonts w:eastAsiaTheme="minorEastAsia"/>
        </w:rPr>
        <w:tab/>
      </w:r>
      <w:r w:rsidR="006B1DD9">
        <w:rPr>
          <w:rFonts w:eastAsiaTheme="minorEastAsia"/>
        </w:rPr>
        <w:t>e</w:t>
      </w:r>
      <w:r w:rsidRPr="006B1DD9">
        <w:rPr>
          <w:rFonts w:eastAsiaTheme="minorEastAsia"/>
        </w:rPr>
        <w:t>l alcance</w:t>
      </w:r>
      <w:r w:rsidRPr="00BE184C">
        <w:rPr>
          <w:rFonts w:eastAsiaTheme="minorEastAsia"/>
        </w:rPr>
        <w:t xml:space="preserve"> de las decisiones políticas institucionales en los sistemas de gestión del espectro que requieren una intervención </w:t>
      </w:r>
      <w:r>
        <w:rPr>
          <w:rFonts w:eastAsiaTheme="minorEastAsia"/>
        </w:rPr>
        <w:t>establecida a nivel de</w:t>
      </w:r>
      <w:r w:rsidRPr="00BE184C">
        <w:rPr>
          <w:rFonts w:eastAsiaTheme="minorEastAsia"/>
        </w:rPr>
        <w:t xml:space="preserve"> políticas.</w:t>
      </w:r>
    </w:p>
    <w:p w14:paraId="299A926E" w14:textId="77777777" w:rsidR="00193B55" w:rsidRPr="007E1FB5" w:rsidRDefault="00193B55" w:rsidP="00193B55">
      <w:pPr>
        <w:pStyle w:val="Heading1"/>
        <w:rPr>
          <w:rFonts w:eastAsiaTheme="minorEastAsia"/>
          <w:lang w:val="es-ES_tradnl"/>
        </w:rPr>
      </w:pPr>
      <w:bookmarkStart w:id="211" w:name="_Toc34914282"/>
      <w:bookmarkStart w:id="212" w:name="_Toc34916971"/>
      <w:bookmarkStart w:id="213" w:name="_Toc184650254"/>
      <w:bookmarkStart w:id="214" w:name="_Toc184652805"/>
      <w:bookmarkStart w:id="215" w:name="_Toc184652856"/>
      <w:bookmarkStart w:id="216" w:name="_Toc216630163"/>
      <w:bookmarkStart w:id="217" w:name="_Toc216693448"/>
      <w:bookmarkStart w:id="218" w:name="_Toc217031156"/>
      <w:r w:rsidRPr="007E1FB5">
        <w:rPr>
          <w:rFonts w:eastAsiaTheme="minorEastAsia"/>
          <w:lang w:val="es-ES_tradnl"/>
        </w:rPr>
        <w:t>3</w:t>
      </w:r>
      <w:r w:rsidRPr="007E1FB5">
        <w:rPr>
          <w:rFonts w:eastAsiaTheme="minorEastAsia"/>
          <w:lang w:val="es-ES_tradnl"/>
        </w:rPr>
        <w:tab/>
      </w:r>
      <w:proofErr w:type="gramStart"/>
      <w:r w:rsidRPr="007E1FB5">
        <w:rPr>
          <w:rFonts w:eastAsiaTheme="minorEastAsia"/>
          <w:lang w:val="es-ES_tradnl"/>
        </w:rPr>
        <w:t>Procedimientos</w:t>
      </w:r>
      <w:proofErr w:type="gramEnd"/>
      <w:r w:rsidRPr="007E1FB5">
        <w:rPr>
          <w:rFonts w:eastAsiaTheme="minorEastAsia"/>
          <w:lang w:val="es-ES_tradnl"/>
        </w:rPr>
        <w:t xml:space="preserve"> de transición</w:t>
      </w:r>
      <w:bookmarkEnd w:id="211"/>
      <w:bookmarkEnd w:id="212"/>
      <w:bookmarkEnd w:id="213"/>
      <w:bookmarkEnd w:id="214"/>
      <w:bookmarkEnd w:id="215"/>
      <w:bookmarkEnd w:id="216"/>
      <w:bookmarkEnd w:id="217"/>
      <w:bookmarkEnd w:id="218"/>
    </w:p>
    <w:p w14:paraId="29F05251" w14:textId="77777777" w:rsidR="00193B55" w:rsidRPr="007E1FB5" w:rsidRDefault="00193B55" w:rsidP="00193B55">
      <w:pPr>
        <w:rPr>
          <w:rFonts w:eastAsiaTheme="minorEastAsia"/>
          <w:lang w:val="es-ES_tradnl"/>
        </w:rPr>
      </w:pPr>
      <w:r w:rsidRPr="007E1FB5">
        <w:rPr>
          <w:rFonts w:eastAsiaTheme="minorEastAsia"/>
          <w:lang w:val="es-ES_tradnl"/>
        </w:rPr>
        <w:t>El fundamento del proceso de gestión del espectro a largo plazo depende de la selección cuidadosa de estrategias para satisfacer los objetivos de gestión del espectro a largo plazo. Las estrategias seleccionadas se han de integrar a un plan nacional de espectro a largo plazo. Se proporciona a continuación una lista de procedimientos fundamentales de transición de utilización del espectro y estrategias de gestión del espectro a largo plazo (véase un ejemplo en el Anexo 1 a este Capítulo).</w:t>
      </w:r>
    </w:p>
    <w:p w14:paraId="0392A46D" w14:textId="77777777" w:rsidR="00193B55" w:rsidRPr="007E1FB5" w:rsidRDefault="00193B55" w:rsidP="00193B55">
      <w:pPr>
        <w:pStyle w:val="Heading2"/>
        <w:rPr>
          <w:rFonts w:eastAsiaTheme="minorEastAsia"/>
          <w:lang w:val="es-ES_tradnl"/>
        </w:rPr>
      </w:pPr>
      <w:bookmarkStart w:id="219" w:name="_Toc34914283"/>
      <w:bookmarkStart w:id="220" w:name="_Toc34916972"/>
      <w:bookmarkStart w:id="221" w:name="_Toc184650255"/>
      <w:bookmarkStart w:id="222" w:name="_Toc184652806"/>
      <w:bookmarkStart w:id="223" w:name="_Toc184652857"/>
      <w:bookmarkStart w:id="224" w:name="_Toc216630164"/>
      <w:bookmarkStart w:id="225" w:name="_Toc216693449"/>
      <w:bookmarkStart w:id="226" w:name="_Toc217031157"/>
      <w:r w:rsidRPr="007E1FB5">
        <w:rPr>
          <w:rFonts w:eastAsiaTheme="minorEastAsia"/>
          <w:lang w:val="es-ES_tradnl"/>
        </w:rPr>
        <w:t>3.1</w:t>
      </w:r>
      <w:r w:rsidRPr="007E1FB5">
        <w:rPr>
          <w:rFonts w:eastAsiaTheme="minorEastAsia"/>
          <w:lang w:val="es-ES_tradnl"/>
        </w:rPr>
        <w:tab/>
        <w:t>Impulsar la utilización eficaz del espectro</w:t>
      </w:r>
      <w:bookmarkEnd w:id="219"/>
      <w:bookmarkEnd w:id="220"/>
      <w:bookmarkEnd w:id="221"/>
      <w:bookmarkEnd w:id="222"/>
      <w:bookmarkEnd w:id="223"/>
      <w:bookmarkEnd w:id="224"/>
      <w:bookmarkEnd w:id="225"/>
      <w:bookmarkEnd w:id="226"/>
    </w:p>
    <w:p w14:paraId="2BBAA983" w14:textId="2582C63D" w:rsidR="00193B55" w:rsidRPr="007E1FB5" w:rsidRDefault="00193B55" w:rsidP="00193B55">
      <w:pPr>
        <w:rPr>
          <w:rFonts w:eastAsiaTheme="minorEastAsia"/>
          <w:lang w:val="es-ES_tradnl"/>
        </w:rPr>
      </w:pPr>
      <w:r w:rsidRPr="007E1FB5">
        <w:rPr>
          <w:rFonts w:eastAsiaTheme="minorEastAsia"/>
          <w:lang w:val="es-ES_tradnl"/>
        </w:rPr>
        <w:t>La transición de la utilización actual del espectro a objetivos a largo plazo se puede efectuar mediante el empleo de técnicas y procedimientos de ingeniería del espectro avanzados</w:t>
      </w:r>
      <w:r w:rsidR="00C80CDA">
        <w:rPr>
          <w:rFonts w:eastAsiaTheme="minorEastAsia"/>
          <w:lang w:val="es-ES_tradnl"/>
        </w:rPr>
        <w:t>, i</w:t>
      </w:r>
      <w:r w:rsidR="00C80CDA" w:rsidRPr="00C80CDA">
        <w:rPr>
          <w:rFonts w:eastAsiaTheme="minorEastAsia"/>
          <w:lang w:val="es-ES_tradnl"/>
        </w:rPr>
        <w:t xml:space="preserve">ncluido el desarrollo de los actuales sistemas automatizados de gestión del espectro </w:t>
      </w:r>
      <w:r w:rsidR="00C80CDA">
        <w:rPr>
          <w:rFonts w:eastAsiaTheme="minorEastAsia"/>
          <w:lang w:val="es-ES_tradnl"/>
        </w:rPr>
        <w:t>para dar lugar a</w:t>
      </w:r>
      <w:r w:rsidR="00C80CDA" w:rsidRPr="00C80CDA">
        <w:rPr>
          <w:rFonts w:eastAsiaTheme="minorEastAsia"/>
          <w:lang w:val="es-ES_tradnl"/>
        </w:rPr>
        <w:t xml:space="preserve"> futuros sistemas </w:t>
      </w:r>
      <w:r w:rsidR="00C80CDA">
        <w:rPr>
          <w:rFonts w:eastAsiaTheme="minorEastAsia"/>
          <w:lang w:val="es-ES_tradnl"/>
        </w:rPr>
        <w:t>versátiles</w:t>
      </w:r>
      <w:r w:rsidR="00C80CDA" w:rsidRPr="00C80CDA">
        <w:rPr>
          <w:rFonts w:eastAsiaTheme="minorEastAsia"/>
          <w:lang w:val="es-ES_tradnl"/>
        </w:rPr>
        <w:t xml:space="preserve"> </w:t>
      </w:r>
      <w:r w:rsidR="00C80CDA">
        <w:rPr>
          <w:rFonts w:eastAsiaTheme="minorEastAsia"/>
          <w:lang w:val="es-ES_tradnl"/>
        </w:rPr>
        <w:t>a tal efecto</w:t>
      </w:r>
      <w:r w:rsidR="00C80CDA" w:rsidRPr="00C80CDA">
        <w:rPr>
          <w:rFonts w:eastAsiaTheme="minorEastAsia"/>
          <w:lang w:val="es-ES_tradnl"/>
        </w:rPr>
        <w:t xml:space="preserve">, como se muestra en la </w:t>
      </w:r>
      <w:r w:rsidR="00C80CDA">
        <w:rPr>
          <w:rFonts w:eastAsiaTheme="minorEastAsia"/>
          <w:lang w:val="es-ES_tradnl"/>
        </w:rPr>
        <w:t>F</w:t>
      </w:r>
      <w:r w:rsidR="00C80CDA" w:rsidRPr="00C80CDA">
        <w:rPr>
          <w:rFonts w:eastAsiaTheme="minorEastAsia"/>
          <w:lang w:val="es-ES_tradnl"/>
        </w:rPr>
        <w:t>ig</w:t>
      </w:r>
      <w:r w:rsidR="00990271">
        <w:rPr>
          <w:rFonts w:eastAsiaTheme="minorEastAsia"/>
          <w:lang w:val="es-ES_tradnl"/>
        </w:rPr>
        <w:t>.</w:t>
      </w:r>
      <w:r w:rsidR="00C80CDA" w:rsidRPr="00C80CDA">
        <w:rPr>
          <w:rFonts w:eastAsiaTheme="minorEastAsia"/>
          <w:lang w:val="es-ES_tradnl"/>
        </w:rPr>
        <w:t xml:space="preserve"> 10 del </w:t>
      </w:r>
      <w:r w:rsidR="00C80CDA">
        <w:rPr>
          <w:rFonts w:eastAsiaTheme="minorEastAsia"/>
          <w:lang w:val="es-ES_tradnl"/>
        </w:rPr>
        <w:t>A</w:t>
      </w:r>
      <w:r w:rsidR="00C80CDA" w:rsidRPr="00C80CDA">
        <w:rPr>
          <w:rFonts w:eastAsiaTheme="minorEastAsia"/>
          <w:lang w:val="es-ES_tradnl"/>
        </w:rPr>
        <w:t xml:space="preserve">nexo 2 del </w:t>
      </w:r>
      <w:r w:rsidR="00C80CDA">
        <w:rPr>
          <w:rFonts w:eastAsiaTheme="minorEastAsia"/>
          <w:lang w:val="es-ES_tradnl"/>
        </w:rPr>
        <w:t>C</w:t>
      </w:r>
      <w:r w:rsidR="00C80CDA" w:rsidRPr="00C80CDA">
        <w:rPr>
          <w:rFonts w:eastAsiaTheme="minorEastAsia"/>
          <w:lang w:val="es-ES_tradnl"/>
        </w:rPr>
        <w:t>apítulo 3 sobre (Sistemas actuales y futuros de gestión del espectro)</w:t>
      </w:r>
      <w:r w:rsidRPr="007E1FB5">
        <w:rPr>
          <w:rFonts w:eastAsiaTheme="minorEastAsia"/>
          <w:lang w:val="es-ES_tradnl"/>
        </w:rPr>
        <w:t>. Los proveedores de servicios deben ser estimulados a utilizar tales técnicas y procedimientos mediante la reducción o fijación, por ejemplo, de derechos de licencias. Los procedimientos de transición tratados aquí son:</w:t>
      </w:r>
    </w:p>
    <w:p w14:paraId="3305DE1B" w14:textId="77777777" w:rsidR="00193B55" w:rsidRPr="007E1FB5" w:rsidRDefault="00193B55" w:rsidP="00193B55">
      <w:pPr>
        <w:pStyle w:val="Heading3"/>
        <w:rPr>
          <w:rFonts w:eastAsiaTheme="minorEastAsia"/>
          <w:lang w:val="es-ES_tradnl"/>
        </w:rPr>
      </w:pPr>
      <w:r w:rsidRPr="007E1FB5">
        <w:rPr>
          <w:rFonts w:eastAsiaTheme="minorEastAsia"/>
          <w:lang w:val="es-ES_tradnl"/>
        </w:rPr>
        <w:t>3.1.1</w:t>
      </w:r>
      <w:r w:rsidRPr="007E1FB5">
        <w:rPr>
          <w:rFonts w:eastAsiaTheme="minorEastAsia"/>
          <w:lang w:val="es-ES_tradnl"/>
        </w:rPr>
        <w:tab/>
        <w:t>Utilización eficaz de nuevas tecnologías para mejorar la reutilización de frecuencias</w:t>
      </w:r>
    </w:p>
    <w:p w14:paraId="032691A5" w14:textId="77777777" w:rsidR="00193B55" w:rsidRPr="007E1FB5" w:rsidRDefault="00193B55" w:rsidP="00193B55">
      <w:pPr>
        <w:rPr>
          <w:rFonts w:eastAsiaTheme="minorEastAsia"/>
          <w:lang w:val="es-ES_tradnl"/>
        </w:rPr>
      </w:pPr>
      <w:r w:rsidRPr="007E1FB5">
        <w:rPr>
          <w:rFonts w:eastAsiaTheme="minorEastAsia"/>
          <w:lang w:val="es-ES_tradnl"/>
        </w:rPr>
        <w:t>La reutilización de frecuencias se puede definir como el número de veces que puede emplearse la misma frecuencia en una zona geográfica dada sin afectar negativamente a ningún usuario de la frecuencia. La coordinación de frecuencias suele ser una de las cuestiones determinantes en la técnica de reutilización. La utilización eficaz del espectro se puede efectuar por el empleo de técnicas de ingeniería avanzadas para incrementar la reutilización de frecuencias, reducir la anchura de banda de canal, mejorar las técnicas de codificación y de modulación, mejorar la estrategias de acceso, perfeccionar la compartición de bandas sin interferencia, introducir nuevos criterios de compartición del espectro, elaborar estrategias de asignación de frecuencias y modelos de utilización del espectro, y por el empleo de otras técnicas de ingeniería y operación.</w:t>
      </w:r>
    </w:p>
    <w:p w14:paraId="79AE26A1" w14:textId="77777777" w:rsidR="00193B55" w:rsidRPr="007E1FB5" w:rsidRDefault="00193B55" w:rsidP="00193B55">
      <w:pPr>
        <w:rPr>
          <w:rFonts w:eastAsiaTheme="minorEastAsia"/>
          <w:lang w:val="es-ES_tradnl"/>
        </w:rPr>
      </w:pPr>
      <w:r w:rsidRPr="007E1FB5">
        <w:rPr>
          <w:rFonts w:eastAsiaTheme="minorEastAsia"/>
          <w:lang w:val="es-ES_tradnl"/>
        </w:rPr>
        <w:t xml:space="preserve">Los métodos técnicos para la reutilización de frecuencias y superposición de sistemas entre servicios son bien conocidos. El Manual de la UIT sobre Gestión nacional del espectro de 2015, en su capítulo sobre prácticas de ingeniería del espectro y utilización del espectro, examina estos temas incluidas las mediciones de utilización del espectro, así como su eficacia de utilización cuando se utilizan estos métodos. Asimismo, el Manual se ocupa de técnicas tales como supresores de interferencia, pantallas </w:t>
      </w:r>
      <w:r w:rsidRPr="007E1FB5">
        <w:rPr>
          <w:rFonts w:eastAsiaTheme="minorEastAsia"/>
          <w:lang w:val="es-ES_tradnl"/>
        </w:rPr>
        <w:lastRenderedPageBreak/>
        <w:t>de interferencia, antenas reflectoras de ondas milimétricas y antenas adaptativas móviles terrestres. Estos temas no han de ser tratados nuevamente en el presente.</w:t>
      </w:r>
    </w:p>
    <w:p w14:paraId="290CD778" w14:textId="77777777" w:rsidR="00193B55" w:rsidRPr="007E1FB5" w:rsidRDefault="00193B55" w:rsidP="00193B55">
      <w:pPr>
        <w:pStyle w:val="Heading3"/>
        <w:rPr>
          <w:rFonts w:eastAsiaTheme="minorEastAsia"/>
          <w:lang w:val="es-ES_tradnl"/>
        </w:rPr>
      </w:pPr>
      <w:r w:rsidRPr="007E1FB5">
        <w:rPr>
          <w:rFonts w:eastAsiaTheme="minorEastAsia"/>
          <w:lang w:val="es-ES_tradnl"/>
        </w:rPr>
        <w:t>3.1.2</w:t>
      </w:r>
      <w:r w:rsidRPr="007E1FB5">
        <w:rPr>
          <w:rFonts w:eastAsiaTheme="minorEastAsia"/>
          <w:lang w:val="es-ES_tradnl"/>
        </w:rPr>
        <w:tab/>
        <w:t>División de canales</w:t>
      </w:r>
    </w:p>
    <w:p w14:paraId="6CB2CD10" w14:textId="77777777" w:rsidR="00193B55" w:rsidRPr="007E1FB5" w:rsidRDefault="00193B55" w:rsidP="00193B55">
      <w:pPr>
        <w:rPr>
          <w:rFonts w:eastAsiaTheme="minorEastAsia"/>
          <w:lang w:val="es-ES_tradnl"/>
        </w:rPr>
      </w:pPr>
      <w:r w:rsidRPr="007E1FB5">
        <w:rPr>
          <w:rFonts w:eastAsiaTheme="minorEastAsia"/>
          <w:lang w:val="es-ES_tradnl"/>
        </w:rPr>
        <w:t>Esta técnica comprende la utilización del espectro mediante una nueva planificación de las bandas de espectro radioeléctrico existentes por el empleo de canales de anchura de banda más estrecha. La división de canales conduce a la utilización de tecnologías espectralmente más eficaces y a la introducción de normas técnicas y operativas nuevas. Los procedimientos de división de canales deben tener en cuenta que el espectro que se ha de considerar para una nueva planificación se utiliza, por lo general, intensamente. Los otros temas que se han de analizar para elaborar un plan de división de canales son:</w:t>
      </w:r>
    </w:p>
    <w:p w14:paraId="2271E10A"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Continuidad del servicio: la redistribución debe llevarse a cabo sin interrumpir el servicio.</w:t>
      </w:r>
    </w:p>
    <w:p w14:paraId="05D30AC9"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Costes: aplicación de un método evolutivo para reducir los costes al usuario del espectro.</w:t>
      </w:r>
    </w:p>
    <w:p w14:paraId="0C5185CF"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Compatibilidad: es esencial alguna medida de interfuncionamiento y compatibilidad hacia atrás, mientras se espera mejorar la funcionalidad y capacidad que brindará la nueva tecnología.</w:t>
      </w:r>
    </w:p>
    <w:p w14:paraId="2E86FFF0"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Riesgo: se debería efectuar un balance entre las políticas para proporcionar capacidad adicional y las necesidades del usuario de soluciones de bajo riesgo.</w:t>
      </w:r>
    </w:p>
    <w:p w14:paraId="0C155456"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Armonización: es necesario armonizar, en la medida de lo posible, con países vecinos e internacionalmente.</w:t>
      </w:r>
    </w:p>
    <w:p w14:paraId="295118EC" w14:textId="77777777" w:rsidR="00193B55" w:rsidRPr="007E1FB5" w:rsidRDefault="00193B55" w:rsidP="00193B55">
      <w:pPr>
        <w:pStyle w:val="Heading3"/>
        <w:rPr>
          <w:rFonts w:eastAsiaTheme="minorEastAsia"/>
          <w:lang w:val="es-ES_tradnl"/>
        </w:rPr>
      </w:pPr>
      <w:r w:rsidRPr="007E1FB5">
        <w:rPr>
          <w:rFonts w:eastAsiaTheme="minorEastAsia"/>
          <w:lang w:val="es-ES_tradnl"/>
        </w:rPr>
        <w:t>3.1.3</w:t>
      </w:r>
      <w:r w:rsidRPr="007E1FB5">
        <w:rPr>
          <w:rFonts w:eastAsiaTheme="minorEastAsia"/>
          <w:lang w:val="es-ES_tradnl"/>
        </w:rPr>
        <w:tab/>
        <w:t>Reorganización del espectro</w:t>
      </w:r>
    </w:p>
    <w:p w14:paraId="2735D99F" w14:textId="77777777" w:rsidR="00193B55" w:rsidRPr="007E1FB5" w:rsidRDefault="00193B55" w:rsidP="00193B55">
      <w:pPr>
        <w:rPr>
          <w:rFonts w:eastAsiaTheme="minorEastAsia"/>
          <w:lang w:val="es-ES_tradnl"/>
        </w:rPr>
      </w:pPr>
      <w:r w:rsidRPr="007E1FB5">
        <w:rPr>
          <w:rFonts w:eastAsiaTheme="minorEastAsia"/>
          <w:lang w:val="es-ES_tradnl"/>
        </w:rPr>
        <w:t>Un plan de espectro puede, en determinadas circunstancias y previa adopción de las correspondientes decisiones de largo alcance, dar lugar a una reorganización de los servicios. Esta medida podría requerir la transición de los usuarios de la banda de espectro en cuestión a nuevas tecnologías o a nuevas bandas de frecuencias. La necesidad de reorganización puede deberse a varias razones, véase:</w:t>
      </w:r>
    </w:p>
    <w:p w14:paraId="57EA71F7"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una atribución de espectro que ha estado en funcionamiento durante un periodo de tiempo considerable, pero que ya no satisface las demandas de los usuarios o las capacidades de los sistemas modernos;</w:t>
      </w:r>
    </w:p>
    <w:p w14:paraId="5822FC54"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la necesidad de atribuir a un nuevo servicio de radiocomunicaciones una determinada gama de frecuencias que ya está ocupada por servicios con los que el nuevo no puede compartir frecuencias;</w:t>
      </w:r>
    </w:p>
    <w:p w14:paraId="5136F60F"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una decisión de una CMR consistente en atribuir una banda de frecuencias actualmente ocupada a un servicio distinto con un ámbito de aplicación regional o mundial.</w:t>
      </w:r>
    </w:p>
    <w:p w14:paraId="448A8B98" w14:textId="77777777" w:rsidR="00193B55" w:rsidRPr="007E1FB5" w:rsidRDefault="00193B55" w:rsidP="00193B55">
      <w:pPr>
        <w:pStyle w:val="Heading3"/>
        <w:rPr>
          <w:rFonts w:eastAsiaTheme="minorEastAsia"/>
          <w:lang w:val="es-ES_tradnl"/>
        </w:rPr>
      </w:pPr>
      <w:r w:rsidRPr="007E1FB5">
        <w:rPr>
          <w:rFonts w:eastAsiaTheme="minorEastAsia"/>
          <w:lang w:val="es-ES_tradnl"/>
        </w:rPr>
        <w:t>3.1.4</w:t>
      </w:r>
      <w:r w:rsidRPr="007E1FB5">
        <w:rPr>
          <w:rFonts w:eastAsiaTheme="minorEastAsia"/>
          <w:lang w:val="es-ES_tradnl"/>
        </w:rPr>
        <w:tab/>
        <w:t>Superposición de servicios y compartición de bandas de frecuencias</w:t>
      </w:r>
    </w:p>
    <w:p w14:paraId="121A2083" w14:textId="77777777" w:rsidR="00193B55" w:rsidRPr="007E1FB5" w:rsidRDefault="00193B55" w:rsidP="00193B55">
      <w:pPr>
        <w:rPr>
          <w:rFonts w:eastAsiaTheme="minorEastAsia"/>
          <w:lang w:val="es-ES_tradnl"/>
        </w:rPr>
      </w:pPr>
      <w:r w:rsidRPr="007E1FB5">
        <w:rPr>
          <w:rFonts w:eastAsiaTheme="minorEastAsia"/>
          <w:lang w:val="es-ES_tradnl"/>
        </w:rPr>
        <w:t>La compartición eficaz de bandas de frecuencias para una serie de servicios puede desempeñar un papel importante en la reducción de la demanda del nuevo espectro. Es esencial la identificación de bandas compartidas actuales y futuras.</w:t>
      </w:r>
    </w:p>
    <w:p w14:paraId="0F5DF059" w14:textId="77777777" w:rsidR="00193B55" w:rsidRPr="007E1FB5" w:rsidRDefault="00193B55" w:rsidP="00193B55">
      <w:pPr>
        <w:rPr>
          <w:rFonts w:eastAsiaTheme="minorEastAsia"/>
          <w:lang w:val="es-ES_tradnl"/>
        </w:rPr>
      </w:pPr>
      <w:r w:rsidRPr="007E1FB5">
        <w:rPr>
          <w:rFonts w:eastAsiaTheme="minorEastAsia"/>
          <w:lang w:val="es-ES_tradnl"/>
        </w:rPr>
        <w:t>El concepto de servicios de banda ancha que comparten el espectro radioeléctrico con servicios de banda estrecha es un método que ofrece perspectivas favorables para la reducción de la demanda de mayor espectro. Este concepto se ocupa de situaciones en las que, debido a las características de un determinado esquema de modulación o de determinados parámetros del sistema, es posible que los servicios radioeléctricos compartan una banda del espectro sin producir interferencia perjudicial entre sí. Este método se denomina superposición de servicios.</w:t>
      </w:r>
    </w:p>
    <w:p w14:paraId="21DA46FF" w14:textId="77777777" w:rsidR="00193B55" w:rsidRPr="007E1FB5" w:rsidRDefault="00193B55" w:rsidP="00193B55">
      <w:pPr>
        <w:rPr>
          <w:rFonts w:eastAsiaTheme="minorEastAsia"/>
          <w:lang w:val="es-ES_tradnl"/>
        </w:rPr>
      </w:pPr>
      <w:r w:rsidRPr="007E1FB5">
        <w:rPr>
          <w:rFonts w:eastAsiaTheme="minorEastAsia"/>
          <w:lang w:val="es-ES_tradnl"/>
        </w:rPr>
        <w:t xml:space="preserve">Un ejemplo típico de superposición de servicios es la capacidad de los sistemas de espectro ensanchado para funcionar eficazmente con sistemas convencionales. Con frecuencia, se recurre a técnicas tales como las de acceso múltiple por división ortogonal de frecuencia (OFDM), acceso </w:t>
      </w:r>
      <w:r w:rsidRPr="007E1FB5">
        <w:rPr>
          <w:rFonts w:eastAsiaTheme="minorEastAsia"/>
          <w:lang w:val="es-ES_tradnl"/>
        </w:rPr>
        <w:lastRenderedPageBreak/>
        <w:t>múltiple por división de código (CDMA) y acceso múltiple por división de tiempo (TDMA) a fin de permitir la compartición de sistemas. La superposición de sistemas se debería examinar caso por caso, analizando específicamente los protocolos y arquitecturas particulares de los posibles servicios interferentes. A tal efecto, podría requerirse la compartición de espectro, la aplicación estrategias de atribución de frecuencias y la elaboración de modelos de utilización del espectro.</w:t>
      </w:r>
    </w:p>
    <w:p w14:paraId="4DE2751C" w14:textId="77777777" w:rsidR="00193B55" w:rsidRPr="007E1FB5" w:rsidRDefault="00193B55" w:rsidP="00193B55">
      <w:pPr>
        <w:pStyle w:val="Heading3"/>
        <w:rPr>
          <w:rFonts w:eastAsiaTheme="minorEastAsia"/>
          <w:lang w:val="es-ES_tradnl"/>
        </w:rPr>
      </w:pPr>
      <w:r w:rsidRPr="007E1FB5">
        <w:rPr>
          <w:rFonts w:eastAsiaTheme="minorEastAsia"/>
          <w:lang w:val="es-ES_tradnl"/>
        </w:rPr>
        <w:t>3.1.5</w:t>
      </w:r>
      <w:r w:rsidRPr="007E1FB5">
        <w:rPr>
          <w:rFonts w:eastAsiaTheme="minorEastAsia"/>
          <w:lang w:val="es-ES_tradnl"/>
        </w:rPr>
        <w:tab/>
        <w:t>Sistemas radioeléctricos compartidos</w:t>
      </w:r>
    </w:p>
    <w:p w14:paraId="03B39029" w14:textId="70BDECC6" w:rsidR="00193B55" w:rsidRPr="007E1FB5" w:rsidRDefault="00193B55" w:rsidP="00193B55">
      <w:pPr>
        <w:rPr>
          <w:rFonts w:eastAsiaTheme="minorEastAsia"/>
          <w:lang w:val="es-ES_tradnl"/>
        </w:rPr>
      </w:pPr>
      <w:r w:rsidRPr="007E1FB5">
        <w:rPr>
          <w:rFonts w:eastAsiaTheme="minorEastAsia"/>
          <w:lang w:val="es-ES_tradnl"/>
        </w:rPr>
        <w:t>Diversas organizaciones pueden compartir un sistema radioeléctrico en lugar de explotar sus propios sistemas individuales. Se debe aplicar la tecnología para crear los mecanismos de seguridad necesarios entre las funciones de diferentes usuarios y proporcionar priorización transparente. Esto requiere un mecanismo para determinar y tomar en cuenta los diferentes diagramas de carga de cada servicio del sistema compartido para maximizar la capacidad de compartición. La compartición del sistema radioeléctrico de diversas organizaciones (policía, bomberos, ambulancias) tiene la capacidad de mejorar significativamente la utilización del espectro radioeléctrico, especialmente en áreas espectralmente congestionadas. Esta compartición reducirá también el coste del sistema radioeléctrico.</w:t>
      </w:r>
      <w:r w:rsidR="00C80CDA">
        <w:rPr>
          <w:rFonts w:eastAsiaTheme="minorEastAsia"/>
          <w:lang w:val="es-ES_tradnl"/>
        </w:rPr>
        <w:t xml:space="preserve"> </w:t>
      </w:r>
      <w:r w:rsidR="00C80CDA" w:rsidRPr="00C80CDA">
        <w:rPr>
          <w:rFonts w:eastAsiaTheme="minorEastAsia"/>
          <w:lang w:val="es-ES_tradnl"/>
        </w:rPr>
        <w:t>Un</w:t>
      </w:r>
      <w:r w:rsidR="00C80CDA">
        <w:rPr>
          <w:rFonts w:eastAsiaTheme="minorEastAsia"/>
          <w:lang w:val="es-ES_tradnl"/>
        </w:rPr>
        <w:t xml:space="preserve">a visión sobre </w:t>
      </w:r>
      <w:r w:rsidR="00C80CDA" w:rsidRPr="00C80CDA">
        <w:rPr>
          <w:rFonts w:eastAsiaTheme="minorEastAsia"/>
          <w:lang w:val="es-ES_tradnl"/>
        </w:rPr>
        <w:t xml:space="preserve">marco de compartición del espectro para </w:t>
      </w:r>
      <w:r w:rsidR="00C80CDA">
        <w:rPr>
          <w:rFonts w:eastAsiaTheme="minorEastAsia"/>
          <w:lang w:val="es-ES_tradnl"/>
        </w:rPr>
        <w:t xml:space="preserve">un organismo de </w:t>
      </w:r>
      <w:r w:rsidR="00E50A62">
        <w:rPr>
          <w:rFonts w:eastAsiaTheme="minorEastAsia"/>
          <w:lang w:val="es-ES_tradnl"/>
        </w:rPr>
        <w:t>reglamentación</w:t>
      </w:r>
      <w:r w:rsidR="00C80CDA" w:rsidRPr="00C80CDA">
        <w:rPr>
          <w:rFonts w:eastAsiaTheme="minorEastAsia"/>
          <w:lang w:val="es-ES_tradnl"/>
        </w:rPr>
        <w:t xml:space="preserve"> puede </w:t>
      </w:r>
      <w:r w:rsidR="00C80CDA">
        <w:rPr>
          <w:rFonts w:eastAsiaTheme="minorEastAsia"/>
          <w:lang w:val="es-ES_tradnl"/>
        </w:rPr>
        <w:t>fomentar el establecimiento</w:t>
      </w:r>
      <w:r w:rsidR="00C80CDA" w:rsidRPr="00C80CDA">
        <w:rPr>
          <w:rFonts w:eastAsiaTheme="minorEastAsia"/>
          <w:lang w:val="es-ES_tradnl"/>
        </w:rPr>
        <w:t xml:space="preserve"> de nuevos regímenes de acceso al espectro </w:t>
      </w:r>
      <w:r w:rsidR="00C80CDA">
        <w:rPr>
          <w:rFonts w:eastAsiaTheme="minorEastAsia"/>
          <w:lang w:val="es-ES_tradnl"/>
        </w:rPr>
        <w:t>conjugados</w:t>
      </w:r>
      <w:r w:rsidR="00C80CDA" w:rsidRPr="00C80CDA">
        <w:rPr>
          <w:rFonts w:eastAsiaTheme="minorEastAsia"/>
          <w:lang w:val="es-ES_tradnl"/>
        </w:rPr>
        <w:t xml:space="preserve"> con bases de datos dinámicas.</w:t>
      </w:r>
    </w:p>
    <w:p w14:paraId="1AAE3855" w14:textId="77777777" w:rsidR="00193B55" w:rsidRPr="007E1FB5" w:rsidRDefault="00193B55" w:rsidP="00193B55">
      <w:pPr>
        <w:pStyle w:val="Heading3"/>
        <w:rPr>
          <w:rFonts w:eastAsiaTheme="minorEastAsia"/>
          <w:lang w:val="es-ES_tradnl"/>
        </w:rPr>
      </w:pPr>
      <w:r w:rsidRPr="007E1FB5">
        <w:rPr>
          <w:rFonts w:eastAsiaTheme="minorEastAsia"/>
          <w:lang w:val="es-ES_tradnl"/>
        </w:rPr>
        <w:t>3.1.6</w:t>
      </w:r>
      <w:r w:rsidRPr="007E1FB5">
        <w:rPr>
          <w:rFonts w:eastAsiaTheme="minorEastAsia"/>
          <w:lang w:val="es-ES_tradnl"/>
        </w:rPr>
        <w:tab/>
        <w:t>Empleo del espectro no utilizado</w:t>
      </w:r>
    </w:p>
    <w:p w14:paraId="28B3DAA4" w14:textId="77777777" w:rsidR="00193B55" w:rsidRPr="007E1FB5" w:rsidRDefault="00193B55" w:rsidP="00193B55">
      <w:pPr>
        <w:rPr>
          <w:rFonts w:eastAsiaTheme="minorEastAsia"/>
          <w:lang w:val="es-ES_tradnl"/>
        </w:rPr>
      </w:pPr>
      <w:r w:rsidRPr="007E1FB5">
        <w:rPr>
          <w:rFonts w:eastAsiaTheme="minorEastAsia"/>
          <w:lang w:val="es-ES_tradnl"/>
        </w:rPr>
        <w:t>La falta de equipos o de recursos, o los beneficios económicos de bloquear la utilización del espectro por terceros, ocasiona corrientemente que algunos licenciatarios no utilizan su porción autorizada del espectro. Las políticas, reglamentaciones y programas deben tener por objeto reducir al mínimo la baja utilización por el titular de la licencia del espectro autorizado. Esto puede llevarse a cabo, por ejemplo, penalizando al licenciatario con el retiro de la licencia, por ejemplo, por la no utilización del espectro autorizado.</w:t>
      </w:r>
    </w:p>
    <w:p w14:paraId="16D77D2E" w14:textId="77777777" w:rsidR="00193B55" w:rsidRPr="007E1FB5" w:rsidRDefault="00193B55" w:rsidP="00193B55">
      <w:pPr>
        <w:rPr>
          <w:rFonts w:eastAsiaTheme="minorEastAsia"/>
          <w:lang w:val="es-ES_tradnl"/>
        </w:rPr>
      </w:pPr>
      <w:r w:rsidRPr="007E1FB5">
        <w:rPr>
          <w:rFonts w:eastAsiaTheme="minorEastAsia"/>
          <w:lang w:val="es-ES_tradnl"/>
        </w:rPr>
        <w:t>Las políticas, reglamentaciones y programas deben también alentar la ampliación del servicio en bandas de GHz elevadas (&gt;40 GHz), especialmente para servicios que requieren espectro exclusivo y aplicaciones de banda ancha. El espectro radioeléctrico por encima de 40 GHz está generalmente poco utilizado. Este segmento del espectro tiene la posibilidad de sustentar servicios de banda muy ancha, y reutilización de frecuencias elevadas debido al pequeño tamaño de célula en estas frecuencias elevadas. Esta porción del espectro también proporciona diversas ventajas de ejecución tales como antenas más pequeñas, anchuras de haz más angostas, tamaño y peso de equipos reducido, y facilidad de instalación y reconfiguración.</w:t>
      </w:r>
    </w:p>
    <w:p w14:paraId="63E9F8A5" w14:textId="77777777" w:rsidR="00193B55" w:rsidRPr="007E1FB5" w:rsidRDefault="00193B55" w:rsidP="00193B55">
      <w:pPr>
        <w:pStyle w:val="Heading3"/>
        <w:rPr>
          <w:rFonts w:eastAsiaTheme="minorEastAsia"/>
          <w:lang w:val="es-ES_tradnl"/>
        </w:rPr>
      </w:pPr>
      <w:r w:rsidRPr="007E1FB5">
        <w:rPr>
          <w:rFonts w:eastAsiaTheme="minorEastAsia"/>
          <w:lang w:val="es-ES_tradnl"/>
        </w:rPr>
        <w:t>3.1.7</w:t>
      </w:r>
      <w:r w:rsidRPr="007E1FB5">
        <w:rPr>
          <w:rFonts w:eastAsiaTheme="minorEastAsia"/>
          <w:lang w:val="es-ES_tradnl"/>
        </w:rPr>
        <w:tab/>
        <w:t>Utilización de redes de distribución alámbricas como complemento</w:t>
      </w:r>
    </w:p>
    <w:p w14:paraId="21F4AEDB" w14:textId="77777777" w:rsidR="00193B55" w:rsidRPr="007E1FB5" w:rsidRDefault="00193B55" w:rsidP="00193B55">
      <w:pPr>
        <w:rPr>
          <w:rFonts w:eastAsiaTheme="minorEastAsia"/>
          <w:lang w:val="es-ES_tradnl"/>
        </w:rPr>
      </w:pPr>
      <w:r w:rsidRPr="007E1FB5">
        <w:rPr>
          <w:rFonts w:eastAsiaTheme="minorEastAsia"/>
          <w:lang w:val="es-ES_tradnl"/>
        </w:rPr>
        <w:t>Las redes de líneas alámbricas se podrían utilizar como una alternativa de las inalámbricas para reducir la demanda de espectro especialmente en áreas congestionadas y para aplicaciones de banda ancha. Se deben formular políticas y elaborar reglamentaciones para alentar la utilización de tecnologías de redes inteligentes avanzadas para permitir las interfaces sin discontinuidad entre la distribución de líneas alámbricas y los enlaces inalámbricos de corta distancia.</w:t>
      </w:r>
    </w:p>
    <w:p w14:paraId="42E4C407" w14:textId="29363320" w:rsidR="00193B55" w:rsidRPr="007E1FB5" w:rsidRDefault="00193B55" w:rsidP="00193B55">
      <w:pPr>
        <w:pStyle w:val="Heading2"/>
        <w:rPr>
          <w:rFonts w:eastAsiaTheme="minorEastAsia"/>
          <w:lang w:val="es-ES_tradnl"/>
        </w:rPr>
      </w:pPr>
      <w:bookmarkStart w:id="227" w:name="_Toc34914284"/>
      <w:bookmarkStart w:id="228" w:name="_Toc34916973"/>
      <w:bookmarkStart w:id="229" w:name="_Toc184650256"/>
      <w:bookmarkStart w:id="230" w:name="_Toc184652807"/>
      <w:bookmarkStart w:id="231" w:name="_Toc184652858"/>
      <w:bookmarkStart w:id="232" w:name="_Toc216630165"/>
      <w:bookmarkStart w:id="233" w:name="_Toc216693450"/>
      <w:bookmarkStart w:id="234" w:name="_Toc217031158"/>
      <w:r w:rsidRPr="007E1FB5">
        <w:rPr>
          <w:rFonts w:eastAsiaTheme="minorEastAsia"/>
          <w:lang w:val="es-ES_tradnl"/>
        </w:rPr>
        <w:t>3.2</w:t>
      </w:r>
      <w:r w:rsidRPr="007E1FB5">
        <w:rPr>
          <w:rFonts w:eastAsiaTheme="minorEastAsia"/>
          <w:lang w:val="es-ES_tradnl"/>
        </w:rPr>
        <w:tab/>
        <w:t>Mejora de la flexibilidad en la utilización del espectro</w:t>
      </w:r>
      <w:bookmarkEnd w:id="227"/>
      <w:bookmarkEnd w:id="228"/>
      <w:bookmarkEnd w:id="229"/>
      <w:bookmarkEnd w:id="230"/>
      <w:bookmarkEnd w:id="231"/>
      <w:r w:rsidR="00C80CDA">
        <w:rPr>
          <w:rFonts w:eastAsiaTheme="minorEastAsia"/>
          <w:lang w:val="es-ES_tradnl"/>
        </w:rPr>
        <w:t xml:space="preserve"> y versatilidad en la gestión </w:t>
      </w:r>
      <w:proofErr w:type="gramStart"/>
      <w:r w:rsidR="00C80CDA">
        <w:rPr>
          <w:rFonts w:eastAsiaTheme="minorEastAsia"/>
          <w:lang w:val="es-ES_tradnl"/>
        </w:rPr>
        <w:t>del mismo</w:t>
      </w:r>
      <w:bookmarkEnd w:id="232"/>
      <w:bookmarkEnd w:id="233"/>
      <w:bookmarkEnd w:id="234"/>
      <w:proofErr w:type="gramEnd"/>
    </w:p>
    <w:p w14:paraId="5D410A6C" w14:textId="77777777" w:rsidR="00193B55" w:rsidRPr="007E1FB5" w:rsidRDefault="00193B55" w:rsidP="00193B55">
      <w:pPr>
        <w:rPr>
          <w:rFonts w:eastAsiaTheme="minorEastAsia"/>
          <w:lang w:val="es-ES_tradnl"/>
        </w:rPr>
      </w:pPr>
      <w:r w:rsidRPr="007E1FB5">
        <w:rPr>
          <w:rFonts w:eastAsiaTheme="minorEastAsia"/>
          <w:lang w:val="es-ES_tradnl"/>
        </w:rPr>
        <w:t>Se deberá diseñar un programa de gestión del espectro a largo plazo desde el comienzo para permitir la flexibilidad de estrategias y de su calidad prioritaria. Este programa deberá:</w:t>
      </w:r>
    </w:p>
    <w:p w14:paraId="2339AED2"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permitir la flexibilidad del servicio, es decir, la utilización del espectro radioeléctrico para proporcionar cualquier servicio (señales vocales, datos, imágenes, etc.) sujeto a las limitaciones técnicas de la banda de frecuencias en cuestión;</w:t>
      </w:r>
    </w:p>
    <w:p w14:paraId="76F4831B" w14:textId="77777777" w:rsidR="00193B55" w:rsidRPr="007E1FB5" w:rsidRDefault="00193B55" w:rsidP="00193B55">
      <w:pPr>
        <w:pStyle w:val="enumlev1"/>
        <w:rPr>
          <w:rFonts w:eastAsiaTheme="minorEastAsia"/>
          <w:lang w:val="es-ES_tradnl"/>
        </w:rPr>
      </w:pPr>
      <w:r w:rsidRPr="007E1FB5">
        <w:rPr>
          <w:rFonts w:eastAsiaTheme="minorEastAsia"/>
          <w:lang w:val="es-ES_tradnl"/>
        </w:rPr>
        <w:lastRenderedPageBreak/>
        <w:t>–</w:t>
      </w:r>
      <w:r w:rsidRPr="007E1FB5">
        <w:rPr>
          <w:rFonts w:eastAsiaTheme="minorEastAsia"/>
          <w:lang w:val="es-ES_tradnl"/>
        </w:rPr>
        <w:tab/>
        <w:t>permitir flexibilidad técnica, es decir, el empleo de cualquier tecnología para proporcionar servicios sujetos a la limitación por interferencia;</w:t>
      </w:r>
    </w:p>
    <w:p w14:paraId="1D569454"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introducir políticas y reglamentos flexibles, no prescriptivos, para adaptarse a las innovaciones y a las fuerzas del mercado. Las políticas y disposiciones reglamentarias deben tener la flexibilidad necesaria para satisfacer las cambiantes necesidades sociales, económicas y técnicas.</w:t>
      </w:r>
    </w:p>
    <w:p w14:paraId="1D851530" w14:textId="79E4177B" w:rsidR="00193B55" w:rsidRPr="007E1FB5" w:rsidRDefault="00193B55" w:rsidP="00193B55">
      <w:pPr>
        <w:rPr>
          <w:rFonts w:eastAsiaTheme="minorEastAsia"/>
          <w:lang w:val="es-ES_tradnl"/>
        </w:rPr>
      </w:pPr>
      <w:r w:rsidRPr="007E1FB5">
        <w:rPr>
          <w:rFonts w:eastAsiaTheme="minorEastAsia"/>
          <w:lang w:val="es-ES_tradnl"/>
        </w:rPr>
        <w:t>Como ejemplo, un programa que facilita la flexibilidad en la utilización del espectro es el concepto de otorgamiento de licencias en bloque o espectro. Esto es cuando a un usuario se le otorga la licencia de un bloque o espectro de frecuencias, generalmente varios MHz, sobre una base geográfica. El titular de la licencia se hace responsable de la ingeniería del sistema y de la coordinación de frecuencias, en los límites de la zona autorizada y, cuando el espectro se comparte con otros titulares de bloques, dentro de la zona autorizada. La aplicación del criterio de concesión de licencias de un bloque de frecuencias amplio en lugar del concepto de canal por canal permite una mejor utilización del espectro radioeléctrico.</w:t>
      </w:r>
      <w:r w:rsidR="00C80CDA">
        <w:rPr>
          <w:rFonts w:eastAsiaTheme="minorEastAsia"/>
          <w:lang w:val="es-ES_tradnl"/>
        </w:rPr>
        <w:t xml:space="preserve"> </w:t>
      </w:r>
      <w:r w:rsidR="00C80CDA" w:rsidRPr="00C80CDA">
        <w:rPr>
          <w:rFonts w:eastAsiaTheme="minorEastAsia"/>
          <w:lang w:val="es-ES_tradnl"/>
        </w:rPr>
        <w:t xml:space="preserve">Un </w:t>
      </w:r>
      <w:r w:rsidR="00E10E90">
        <w:rPr>
          <w:rFonts w:eastAsiaTheme="minorEastAsia"/>
          <w:lang w:val="es-ES_tradnl"/>
        </w:rPr>
        <w:t>aspecto</w:t>
      </w:r>
      <w:r w:rsidR="00C80CDA" w:rsidRPr="00C80CDA">
        <w:rPr>
          <w:rFonts w:eastAsiaTheme="minorEastAsia"/>
          <w:lang w:val="es-ES_tradnl"/>
        </w:rPr>
        <w:t xml:space="preserve"> </w:t>
      </w:r>
      <w:r w:rsidR="00C80CDA">
        <w:rPr>
          <w:rFonts w:eastAsiaTheme="minorEastAsia"/>
          <w:lang w:val="es-ES_tradnl"/>
        </w:rPr>
        <w:t xml:space="preserve">destacado para </w:t>
      </w:r>
      <w:r w:rsidR="00E10E90">
        <w:rPr>
          <w:rFonts w:eastAsiaTheme="minorEastAsia"/>
          <w:lang w:val="es-ES_tradnl"/>
        </w:rPr>
        <w:t>aumentar</w:t>
      </w:r>
      <w:r w:rsidR="00C80CDA">
        <w:rPr>
          <w:rFonts w:eastAsiaTheme="minorEastAsia"/>
          <w:lang w:val="es-ES_tradnl"/>
        </w:rPr>
        <w:t xml:space="preserve"> la versatilidad </w:t>
      </w:r>
      <w:r w:rsidR="00E10E90">
        <w:rPr>
          <w:rFonts w:eastAsiaTheme="minorEastAsia"/>
          <w:lang w:val="es-ES_tradnl"/>
        </w:rPr>
        <w:t>de</w:t>
      </w:r>
      <w:r w:rsidR="00C80CDA">
        <w:rPr>
          <w:rFonts w:eastAsiaTheme="minorEastAsia"/>
          <w:lang w:val="es-ES_tradnl"/>
        </w:rPr>
        <w:t xml:space="preserve"> la utilización del espectro es</w:t>
      </w:r>
      <w:r w:rsidR="002343F5">
        <w:rPr>
          <w:rFonts w:eastAsiaTheme="minorEastAsia"/>
          <w:lang w:val="es-ES_tradnl"/>
        </w:rPr>
        <w:t xml:space="preserve"> </w:t>
      </w:r>
      <w:r w:rsidR="00E10E90">
        <w:rPr>
          <w:rFonts w:eastAsiaTheme="minorEastAsia"/>
          <w:lang w:val="es-ES_tradnl"/>
        </w:rPr>
        <w:t xml:space="preserve">facilitar </w:t>
      </w:r>
      <w:r w:rsidR="002343F5">
        <w:rPr>
          <w:rFonts w:eastAsiaTheme="minorEastAsia"/>
          <w:lang w:val="es-ES_tradnl"/>
        </w:rPr>
        <w:t xml:space="preserve">una </w:t>
      </w:r>
      <w:r w:rsidR="00C80CDA">
        <w:rPr>
          <w:rFonts w:eastAsiaTheme="minorEastAsia"/>
          <w:lang w:val="es-ES_tradnl"/>
        </w:rPr>
        <w:t xml:space="preserve">compartición </w:t>
      </w:r>
      <w:r w:rsidR="00C80CDA" w:rsidRPr="00C80CDA">
        <w:rPr>
          <w:rFonts w:eastAsiaTheme="minorEastAsia"/>
          <w:lang w:val="es-ES_tradnl"/>
        </w:rPr>
        <w:t xml:space="preserve">viable del espectro </w:t>
      </w:r>
      <w:r w:rsidR="002343F5">
        <w:rPr>
          <w:rFonts w:eastAsiaTheme="minorEastAsia"/>
          <w:lang w:val="es-ES_tradnl"/>
        </w:rPr>
        <w:t>por</w:t>
      </w:r>
      <w:r w:rsidR="00C80CDA" w:rsidRPr="00C80CDA">
        <w:rPr>
          <w:rFonts w:eastAsiaTheme="minorEastAsia"/>
          <w:lang w:val="es-ES_tradnl"/>
        </w:rPr>
        <w:t xml:space="preserve"> </w:t>
      </w:r>
      <w:r w:rsidR="00C80CDA">
        <w:rPr>
          <w:rFonts w:eastAsiaTheme="minorEastAsia"/>
          <w:lang w:val="es-ES_tradnl"/>
        </w:rPr>
        <w:t>etapas</w:t>
      </w:r>
      <w:r w:rsidR="002343F5">
        <w:rPr>
          <w:rFonts w:eastAsiaTheme="minorEastAsia"/>
          <w:lang w:val="es-ES_tradnl"/>
        </w:rPr>
        <w:t>,</w:t>
      </w:r>
      <w:r w:rsidR="00C80CDA">
        <w:rPr>
          <w:rFonts w:eastAsiaTheme="minorEastAsia"/>
          <w:lang w:val="es-ES_tradnl"/>
        </w:rPr>
        <w:t xml:space="preserve"> a fin de lograr mejoras</w:t>
      </w:r>
      <w:r w:rsidR="00C80CDA" w:rsidRPr="00C80CDA">
        <w:rPr>
          <w:rFonts w:eastAsiaTheme="minorEastAsia"/>
          <w:lang w:val="es-ES_tradnl"/>
        </w:rPr>
        <w:t xml:space="preserve"> a largo plazo.</w:t>
      </w:r>
    </w:p>
    <w:p w14:paraId="158A8E88" w14:textId="77777777" w:rsidR="00193B55" w:rsidRPr="007E1FB5" w:rsidRDefault="00193B55" w:rsidP="00193B55">
      <w:pPr>
        <w:pStyle w:val="Heading2"/>
        <w:rPr>
          <w:rFonts w:eastAsiaTheme="minorEastAsia"/>
          <w:lang w:val="es-ES_tradnl"/>
        </w:rPr>
      </w:pPr>
      <w:bookmarkStart w:id="235" w:name="_Toc34914285"/>
      <w:bookmarkStart w:id="236" w:name="_Toc34916974"/>
      <w:bookmarkStart w:id="237" w:name="_Toc184650257"/>
      <w:bookmarkStart w:id="238" w:name="_Toc184652808"/>
      <w:bookmarkStart w:id="239" w:name="_Toc184652859"/>
      <w:bookmarkStart w:id="240" w:name="_Toc216630166"/>
      <w:bookmarkStart w:id="241" w:name="_Toc216693451"/>
      <w:bookmarkStart w:id="242" w:name="_Toc217031159"/>
      <w:r w:rsidRPr="007E1FB5">
        <w:rPr>
          <w:rFonts w:eastAsiaTheme="minorEastAsia"/>
          <w:lang w:val="es-ES_tradnl"/>
        </w:rPr>
        <w:t>3.3</w:t>
      </w:r>
      <w:r w:rsidRPr="007E1FB5">
        <w:rPr>
          <w:rFonts w:eastAsiaTheme="minorEastAsia"/>
          <w:lang w:val="es-ES_tradnl"/>
        </w:rPr>
        <w:tab/>
        <w:t>Maximizar los beneficios económicos y sociales que se pueden obtener mediante una apropiada gestión del espectro</w:t>
      </w:r>
      <w:bookmarkEnd w:id="235"/>
      <w:bookmarkEnd w:id="236"/>
      <w:bookmarkEnd w:id="237"/>
      <w:bookmarkEnd w:id="238"/>
      <w:bookmarkEnd w:id="239"/>
      <w:bookmarkEnd w:id="240"/>
      <w:bookmarkEnd w:id="241"/>
      <w:bookmarkEnd w:id="242"/>
    </w:p>
    <w:p w14:paraId="7F8AC4CE" w14:textId="77777777" w:rsidR="00193B55" w:rsidRPr="007E1FB5" w:rsidRDefault="00193B55" w:rsidP="00193B55">
      <w:pPr>
        <w:rPr>
          <w:rFonts w:eastAsiaTheme="minorEastAsia"/>
          <w:lang w:val="es-ES_tradnl"/>
        </w:rPr>
      </w:pPr>
      <w:r w:rsidRPr="007E1FB5">
        <w:rPr>
          <w:rFonts w:eastAsiaTheme="minorEastAsia"/>
          <w:lang w:val="es-ES_tradnl"/>
        </w:rPr>
        <w:t>La gestión del espectro radioeléctrico desempeña una importancia fundamental para aumentar el bienestar económico y social de un país maximizando la utilización del espectro para aplicaciones inalámbricas. Se destaca especialmente que el beneficio económico en este sentido se debe utilizar en un contexto amplio en lugar de incrementar simplemente los ingresos por concesión de licencias. La aplicación de este concepto se puede efectuar durante el proceso de otorgamiento de licencia para que:</w:t>
      </w:r>
    </w:p>
    <w:p w14:paraId="09AD0508"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asegure la utilización de la mejor gama de frecuencias disponible adecuada a la aplicación con la eficacia más elevada permitida por la tecnología;</w:t>
      </w:r>
    </w:p>
    <w:p w14:paraId="4DA6B07D"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fomente una competencia perdurable entre los proveedores de servicios;</w:t>
      </w:r>
    </w:p>
    <w:p w14:paraId="0ECD882D"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conduzca a una mayor densidad de utilización dentro de las atribuciones de servicios empleando tecnologías de eficacia de espectro, reutilización de frecuencias, modelos de planificación de frecuencias mejorados, criterios de compartición mejorados y proyecciones de densidad de tráfico;</w:t>
      </w:r>
    </w:p>
    <w:p w14:paraId="7DEDD4E0"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propicie la introducción de nuevos participantes en el servicio radioeléctrico;</w:t>
      </w:r>
    </w:p>
    <w:p w14:paraId="280C8DDD" w14:textId="77777777" w:rsidR="00193B55" w:rsidRPr="007E1FB5" w:rsidRDefault="00193B55" w:rsidP="00193B55">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identifique, cuantifique (en la medida de lo posible) y maximice los beneficios sociales que resultan de la estrategia de concesión de licencias en estudio.</w:t>
      </w:r>
    </w:p>
    <w:p w14:paraId="04AB0DC3" w14:textId="77777777" w:rsidR="00193B55" w:rsidRPr="007E1FB5" w:rsidRDefault="00193B55" w:rsidP="00193B55">
      <w:pPr>
        <w:rPr>
          <w:rFonts w:eastAsiaTheme="minorEastAsia"/>
          <w:lang w:val="es-ES_tradnl"/>
        </w:rPr>
      </w:pPr>
      <w:r w:rsidRPr="007E1FB5">
        <w:rPr>
          <w:rFonts w:eastAsiaTheme="minorEastAsia"/>
          <w:lang w:val="es-ES_tradnl"/>
        </w:rPr>
        <w:t>Las políticas, disposiciones reglamentarias, normas y programas de gestión del espectro a largo plazo serán: flexibles, eficaces, estratégicas, no prescriptivas, y de tecnología y servicio neutro. Se ha de prestar atención a los efectos sanitarios negativos reales o percibidos en la utilización del espectro. Se deben establecer planes de educación pública precisos y eficaces sobre estos temas.</w:t>
      </w:r>
    </w:p>
    <w:p w14:paraId="313BA757" w14:textId="77777777" w:rsidR="00193B55" w:rsidRPr="007E1FB5" w:rsidRDefault="00193B55" w:rsidP="00193B55">
      <w:pPr>
        <w:pStyle w:val="Heading2"/>
        <w:rPr>
          <w:rFonts w:eastAsiaTheme="minorEastAsia"/>
          <w:lang w:val="es-ES_tradnl"/>
        </w:rPr>
      </w:pPr>
      <w:bookmarkStart w:id="243" w:name="_Toc34914286"/>
      <w:bookmarkStart w:id="244" w:name="_Toc34916975"/>
      <w:bookmarkStart w:id="245" w:name="_Toc184650258"/>
      <w:bookmarkStart w:id="246" w:name="_Toc184652809"/>
      <w:bookmarkStart w:id="247" w:name="_Toc184652860"/>
      <w:bookmarkStart w:id="248" w:name="_Toc216630167"/>
      <w:bookmarkStart w:id="249" w:name="_Toc216693452"/>
      <w:bookmarkStart w:id="250" w:name="_Toc217031160"/>
      <w:r w:rsidRPr="007E1FB5">
        <w:rPr>
          <w:rFonts w:eastAsiaTheme="minorEastAsia"/>
          <w:lang w:val="es-ES_tradnl"/>
        </w:rPr>
        <w:t>3.4</w:t>
      </w:r>
      <w:r w:rsidRPr="007E1FB5">
        <w:rPr>
          <w:rFonts w:eastAsiaTheme="minorEastAsia"/>
          <w:lang w:val="es-ES_tradnl"/>
        </w:rPr>
        <w:tab/>
        <w:t>Asegurar que el espectro se utilice en todas las regiones del país que sea necesario</w:t>
      </w:r>
      <w:bookmarkEnd w:id="243"/>
      <w:bookmarkEnd w:id="244"/>
      <w:bookmarkEnd w:id="245"/>
      <w:bookmarkEnd w:id="246"/>
      <w:bookmarkEnd w:id="247"/>
      <w:bookmarkEnd w:id="248"/>
      <w:bookmarkEnd w:id="249"/>
      <w:bookmarkEnd w:id="250"/>
    </w:p>
    <w:p w14:paraId="588F829B" w14:textId="77777777" w:rsidR="00193B55" w:rsidRPr="007E1FB5" w:rsidRDefault="00193B55" w:rsidP="00193B55">
      <w:pPr>
        <w:rPr>
          <w:rFonts w:eastAsiaTheme="minorEastAsia"/>
          <w:lang w:val="es-ES_tradnl"/>
        </w:rPr>
      </w:pPr>
      <w:r w:rsidRPr="007E1FB5">
        <w:rPr>
          <w:rFonts w:eastAsiaTheme="minorEastAsia"/>
          <w:lang w:val="es-ES_tradnl"/>
        </w:rPr>
        <w:t>Hay una tendencia general que los proveedores de servicios den mayor prioridad a las ciudades principales, dejando a las ciudades más pequeñas y menos pobladas deficientemente servidas. La utilización del espectro en todas las regiones del país, incluidas ciudades y pueblos pequeños, se puede obtener considerando este tema en el proceso de concesión de licencias.</w:t>
      </w:r>
    </w:p>
    <w:p w14:paraId="14925186" w14:textId="77777777" w:rsidR="00193B55" w:rsidRPr="007E1FB5" w:rsidRDefault="00193B55" w:rsidP="00193B55">
      <w:pPr>
        <w:pStyle w:val="Heading2"/>
        <w:rPr>
          <w:rFonts w:eastAsiaTheme="minorEastAsia"/>
          <w:lang w:val="es-ES_tradnl"/>
        </w:rPr>
      </w:pPr>
      <w:bookmarkStart w:id="251" w:name="_Toc34914287"/>
      <w:bookmarkStart w:id="252" w:name="_Toc34916976"/>
      <w:bookmarkStart w:id="253" w:name="_Toc184650259"/>
      <w:bookmarkStart w:id="254" w:name="_Toc184652810"/>
      <w:bookmarkStart w:id="255" w:name="_Toc184652861"/>
      <w:bookmarkStart w:id="256" w:name="_Toc216630168"/>
      <w:bookmarkStart w:id="257" w:name="_Toc216693453"/>
      <w:bookmarkStart w:id="258" w:name="_Toc217031161"/>
      <w:r w:rsidRPr="007E1FB5">
        <w:rPr>
          <w:rFonts w:eastAsiaTheme="minorEastAsia"/>
          <w:lang w:val="es-ES_tradnl"/>
        </w:rPr>
        <w:lastRenderedPageBreak/>
        <w:t>3.5</w:t>
      </w:r>
      <w:r w:rsidRPr="007E1FB5">
        <w:rPr>
          <w:rFonts w:eastAsiaTheme="minorEastAsia"/>
          <w:lang w:val="es-ES_tradnl"/>
        </w:rPr>
        <w:tab/>
        <w:t>Establecer una fuerza laboral calificada y elaborar herramientas de ingeniería del espectro adecuadas</w:t>
      </w:r>
      <w:bookmarkEnd w:id="251"/>
      <w:bookmarkEnd w:id="252"/>
      <w:bookmarkEnd w:id="253"/>
      <w:bookmarkEnd w:id="254"/>
      <w:bookmarkEnd w:id="255"/>
      <w:bookmarkEnd w:id="256"/>
      <w:bookmarkEnd w:id="257"/>
      <w:bookmarkEnd w:id="258"/>
    </w:p>
    <w:p w14:paraId="4C4E33A8" w14:textId="77777777" w:rsidR="00193B55" w:rsidRPr="007E1FB5" w:rsidRDefault="00193B55" w:rsidP="00193B55">
      <w:pPr>
        <w:rPr>
          <w:rFonts w:eastAsiaTheme="minorEastAsia"/>
          <w:lang w:val="es-ES_tradnl"/>
        </w:rPr>
      </w:pPr>
      <w:r w:rsidRPr="007E1FB5">
        <w:rPr>
          <w:rFonts w:eastAsiaTheme="minorEastAsia"/>
          <w:lang w:val="es-ES_tradnl"/>
        </w:rPr>
        <w:t>Se deben formular políticas y programas apropiados para capacitar y mantener la calidad y competencia de la fuerza laboral de gestión nacional del espectro. Esta mano de obra se debe proporcionar con los medios más avanzados, particularmente en términos de sistemas automatizados y ayudas informáticas, que permitan ocuparse eficazmente de las solicitudes de licencias y estudio de interferencia para tecnologías nuevas y existentes.</w:t>
      </w:r>
    </w:p>
    <w:p w14:paraId="6F2093C9" w14:textId="77777777" w:rsidR="00193B55" w:rsidRDefault="00193B55" w:rsidP="00193B55">
      <w:pPr>
        <w:rPr>
          <w:rFonts w:eastAsiaTheme="minorEastAsia"/>
          <w:lang w:val="es-ES_tradnl"/>
        </w:rPr>
      </w:pPr>
      <w:r w:rsidRPr="007E1FB5">
        <w:rPr>
          <w:rFonts w:eastAsiaTheme="minorEastAsia"/>
          <w:lang w:val="es-ES_tradnl"/>
        </w:rPr>
        <w:t>Asimismo, se deben hacer inversiones en investigación y desarrollo relacionadas con la gestión del espectro para satisfacer el objetivo de utilización del espectro a largo plazo.</w:t>
      </w:r>
    </w:p>
    <w:p w14:paraId="509BA366" w14:textId="77777777" w:rsidR="00483D39" w:rsidRDefault="00483D39" w:rsidP="00193B55">
      <w:pPr>
        <w:rPr>
          <w:rFonts w:eastAsiaTheme="minorEastAsia"/>
          <w:lang w:val="es-ES_tradnl"/>
        </w:rPr>
      </w:pPr>
    </w:p>
    <w:p w14:paraId="46924893" w14:textId="77777777" w:rsidR="00483D39" w:rsidRPr="007E1FB5" w:rsidRDefault="00483D39" w:rsidP="00193B55">
      <w:pPr>
        <w:rPr>
          <w:rFonts w:eastAsiaTheme="minorEastAsia"/>
          <w:lang w:val="es-ES_tradnl"/>
        </w:rPr>
      </w:pPr>
    </w:p>
    <w:p w14:paraId="4FD28B77" w14:textId="77777777" w:rsidR="00193B55" w:rsidRPr="007E1FB5" w:rsidRDefault="00193B55" w:rsidP="00483D39">
      <w:pPr>
        <w:pStyle w:val="AnnexNoTitle"/>
        <w:outlineLvl w:val="0"/>
        <w:rPr>
          <w:rFonts w:eastAsia="SimSun"/>
          <w:lang w:val="es-ES_tradnl"/>
        </w:rPr>
      </w:pPr>
      <w:bookmarkStart w:id="259" w:name="_Toc184650260"/>
      <w:bookmarkStart w:id="260" w:name="_Toc216693454"/>
      <w:bookmarkStart w:id="261" w:name="_Toc217031162"/>
      <w:r w:rsidRPr="007E1FB5">
        <w:rPr>
          <w:rFonts w:eastAsia="SimSun"/>
          <w:lang w:val="es-ES_tradnl"/>
        </w:rPr>
        <w:t>Anexo 1</w:t>
      </w:r>
      <w:r w:rsidRPr="007E1FB5">
        <w:rPr>
          <w:rFonts w:eastAsia="SimSun"/>
          <w:lang w:val="es-ES_tradnl" w:eastAsia="zh-CN"/>
        </w:rPr>
        <w:br/>
      </w:r>
      <w:r w:rsidRPr="007E1FB5">
        <w:rPr>
          <w:rFonts w:eastAsia="SimSun"/>
          <w:lang w:val="es-ES_tradnl"/>
        </w:rPr>
        <w:t xml:space="preserve">al Capítulo 3 </w:t>
      </w:r>
      <w:r w:rsidRPr="007E1FB5">
        <w:rPr>
          <w:rFonts w:eastAsia="SimSun"/>
          <w:lang w:val="es-ES_tradnl" w:eastAsia="zh-CN"/>
        </w:rPr>
        <w:br/>
      </w:r>
      <w:r w:rsidRPr="007E1FB5">
        <w:rPr>
          <w:rFonts w:eastAsia="SimSun"/>
          <w:lang w:val="es-ES_tradnl" w:eastAsia="zh-CN"/>
        </w:rPr>
        <w:br/>
      </w:r>
      <w:r w:rsidRPr="007E1FB5">
        <w:rPr>
          <w:rFonts w:eastAsia="SimSun"/>
          <w:lang w:val="es-ES_tradnl"/>
        </w:rPr>
        <w:t xml:space="preserve">Ejemplo de procedimientos de evaluación de la eficacia con que </w:t>
      </w:r>
      <w:r w:rsidRPr="007E1FB5">
        <w:rPr>
          <w:rFonts w:eastAsia="SimSun"/>
          <w:lang w:val="es-ES_tradnl"/>
        </w:rPr>
        <w:br/>
        <w:t>se utiliza el espectro en la República de Corea</w:t>
      </w:r>
      <w:bookmarkEnd w:id="259"/>
      <w:bookmarkEnd w:id="260"/>
      <w:bookmarkEnd w:id="261"/>
    </w:p>
    <w:p w14:paraId="5B3D4166" w14:textId="77777777" w:rsidR="00193B55" w:rsidRPr="007E1FB5" w:rsidRDefault="00193B55" w:rsidP="00193B55">
      <w:pPr>
        <w:pStyle w:val="Heading1"/>
        <w:rPr>
          <w:rFonts w:eastAsia="Batang"/>
          <w:lang w:val="es-ES_tradnl" w:eastAsia="zh-CN"/>
        </w:rPr>
      </w:pPr>
      <w:bookmarkStart w:id="262" w:name="_Toc184650261"/>
      <w:bookmarkStart w:id="263" w:name="_Toc184652811"/>
      <w:bookmarkStart w:id="264" w:name="_Toc184652862"/>
      <w:bookmarkStart w:id="265" w:name="_Toc216630169"/>
      <w:bookmarkStart w:id="266" w:name="_Toc216693455"/>
      <w:bookmarkStart w:id="267" w:name="_Toc217031163"/>
      <w:r w:rsidRPr="007E1FB5">
        <w:rPr>
          <w:rFonts w:eastAsia="Batang"/>
          <w:lang w:val="es-ES_tradnl" w:eastAsia="zh-CN"/>
        </w:rPr>
        <w:t>1</w:t>
      </w:r>
      <w:r w:rsidRPr="007E1FB5">
        <w:rPr>
          <w:rFonts w:eastAsia="Batang"/>
          <w:lang w:val="es-ES_tradnl" w:eastAsia="zh-CN"/>
        </w:rPr>
        <w:tab/>
      </w:r>
      <w:proofErr w:type="gramStart"/>
      <w:r w:rsidRPr="007E1FB5">
        <w:rPr>
          <w:rFonts w:eastAsia="Batang"/>
          <w:lang w:val="es-ES_tradnl" w:eastAsia="zh-CN"/>
        </w:rPr>
        <w:t>Antecedentes</w:t>
      </w:r>
      <w:bookmarkEnd w:id="262"/>
      <w:bookmarkEnd w:id="263"/>
      <w:bookmarkEnd w:id="264"/>
      <w:bookmarkEnd w:id="265"/>
      <w:bookmarkEnd w:id="266"/>
      <w:bookmarkEnd w:id="267"/>
      <w:proofErr w:type="gramEnd"/>
    </w:p>
    <w:p w14:paraId="5802D8D8" w14:textId="77777777" w:rsidR="00193B55" w:rsidRPr="007E1FB5" w:rsidRDefault="00193B55" w:rsidP="00193B55">
      <w:pPr>
        <w:rPr>
          <w:rFonts w:eastAsia="Malgun Gothic"/>
          <w:lang w:val="es-ES_tradnl" w:eastAsia="ko-KR"/>
        </w:rPr>
      </w:pPr>
      <w:r w:rsidRPr="007E1FB5">
        <w:rPr>
          <w:rFonts w:eastAsia="Malgun Gothic"/>
          <w:lang w:val="es-ES_tradnl" w:eastAsia="ko-KR"/>
        </w:rPr>
        <w:t>A medida que aumenta la demanda de espectro, se hace necesario garantizar la oportuna disponibilidad de recursos de espectro. Aunque muchos países han investigado y analizado periódicamente la forma en que se utiliza el espectro, no es fácil elaborar una política adecuada que tenga en cuenta la oferta y la demanda futuras de forma exhaustiva, debido a las limitaciones que conllevan unos análisis fragmentarios y cualitativos. Como resultado, algunos países han empezado a aplicar un método de detección de bandas candidatas y evaluación de las prioridades, a fin de asegurar sistemáticamente la disponibilidad de espectro a efectos de la planificación a largo plazo.</w:t>
      </w:r>
    </w:p>
    <w:p w14:paraId="0045BACD" w14:textId="77777777" w:rsidR="00193B55" w:rsidRPr="007E1FB5" w:rsidRDefault="00193B55" w:rsidP="00193B55">
      <w:pPr>
        <w:rPr>
          <w:rFonts w:eastAsia="Malgun Gothic"/>
          <w:lang w:val="es-ES_tradnl" w:eastAsia="ko-KR"/>
        </w:rPr>
      </w:pPr>
      <w:r w:rsidRPr="007E1FB5">
        <w:rPr>
          <w:rFonts w:eastAsia="Malgun Gothic"/>
          <w:lang w:val="es-ES_tradnl" w:eastAsia="ko-KR"/>
        </w:rPr>
        <w:t>Desde 2019, Corea (República de) aplica un sistema de evaluación para mejorar</w:t>
      </w:r>
      <w:r w:rsidRPr="007E1FB5">
        <w:rPr>
          <w:lang w:val="es-ES_tradnl"/>
        </w:rPr>
        <w:t xml:space="preserve"> </w:t>
      </w:r>
      <w:r w:rsidRPr="007E1FB5">
        <w:rPr>
          <w:rFonts w:eastAsia="Malgun Gothic"/>
          <w:lang w:val="es-ES_tradnl" w:eastAsia="ko-KR"/>
        </w:rPr>
        <w:t>la eficacia con que se utiliza el espectro en el proceso de determinación de las estrategias nacionales a largo plazo, con objeto de responder al rápido aumento de la demanda de espectro y utilizar métodos científicos para detectar espectro disponible.</w:t>
      </w:r>
    </w:p>
    <w:p w14:paraId="0E1C0645" w14:textId="77777777" w:rsidR="00193B55" w:rsidRPr="007E1FB5" w:rsidRDefault="00193B55" w:rsidP="00193B55">
      <w:pPr>
        <w:rPr>
          <w:rFonts w:eastAsia="Batang"/>
          <w:lang w:val="es-ES_tradnl" w:eastAsia="ko-KR"/>
        </w:rPr>
      </w:pPr>
      <w:r w:rsidRPr="007E1FB5">
        <w:rPr>
          <w:rFonts w:eastAsia="Malgun Gothic"/>
          <w:lang w:val="es-ES_tradnl" w:eastAsia="ko-KR"/>
        </w:rPr>
        <w:t>Los resultados, que permiten evaluar la utilización del espectro aplicando diversos factores a cada banda de frecuencias con miras a definir los objetivos de mantenimiento, se hacen públicos a través del «sistema de previsión para la reorganización del espectro» a fin de anunciar el calendario y las medidas de mantenimiento con antelación.</w:t>
      </w:r>
    </w:p>
    <w:p w14:paraId="64293698" w14:textId="77777777" w:rsidR="00193B55" w:rsidRPr="007E1FB5" w:rsidRDefault="00193B55" w:rsidP="00193B55">
      <w:pPr>
        <w:pStyle w:val="Heading1"/>
        <w:rPr>
          <w:rFonts w:eastAsia="Batang"/>
          <w:lang w:val="es-ES_tradnl" w:eastAsia="zh-CN"/>
        </w:rPr>
      </w:pPr>
      <w:bookmarkStart w:id="268" w:name="_Toc184650262"/>
      <w:bookmarkStart w:id="269" w:name="_Toc184652812"/>
      <w:bookmarkStart w:id="270" w:name="_Toc184652863"/>
      <w:bookmarkStart w:id="271" w:name="_Toc216630170"/>
      <w:bookmarkStart w:id="272" w:name="_Toc216693456"/>
      <w:bookmarkStart w:id="273" w:name="_Toc217031164"/>
      <w:r w:rsidRPr="007E1FB5">
        <w:rPr>
          <w:rFonts w:eastAsia="Batang"/>
          <w:lang w:val="es-ES_tradnl" w:eastAsia="zh-CN"/>
        </w:rPr>
        <w:t>2</w:t>
      </w:r>
      <w:r w:rsidRPr="007E1FB5">
        <w:rPr>
          <w:rFonts w:eastAsia="Batang"/>
          <w:lang w:val="es-ES_tradnl" w:eastAsia="zh-CN"/>
        </w:rPr>
        <w:tab/>
      </w:r>
      <w:proofErr w:type="gramStart"/>
      <w:r w:rsidRPr="007E1FB5">
        <w:rPr>
          <w:rFonts w:eastAsia="Batang"/>
          <w:lang w:val="es-ES_tradnl" w:eastAsia="zh-CN"/>
        </w:rPr>
        <w:t>Proceso</w:t>
      </w:r>
      <w:proofErr w:type="gramEnd"/>
      <w:r w:rsidRPr="007E1FB5">
        <w:rPr>
          <w:rFonts w:eastAsia="Batang"/>
          <w:lang w:val="es-ES_tradnl" w:eastAsia="zh-CN"/>
        </w:rPr>
        <w:t xml:space="preserve"> de evaluación</w:t>
      </w:r>
      <w:bookmarkEnd w:id="268"/>
      <w:bookmarkEnd w:id="269"/>
      <w:bookmarkEnd w:id="270"/>
      <w:bookmarkEnd w:id="271"/>
      <w:bookmarkEnd w:id="272"/>
      <w:bookmarkEnd w:id="273"/>
    </w:p>
    <w:p w14:paraId="1C204FE7" w14:textId="77777777" w:rsidR="00193B55" w:rsidRPr="007E1FB5" w:rsidRDefault="00193B55" w:rsidP="00193B55">
      <w:pPr>
        <w:rPr>
          <w:rFonts w:eastAsia="Malgun Gothic"/>
          <w:lang w:val="es-ES_tradnl" w:eastAsia="ko-KR"/>
        </w:rPr>
      </w:pPr>
      <w:r w:rsidRPr="007E1FB5">
        <w:rPr>
          <w:rFonts w:eastAsia="Malgun Gothic"/>
          <w:lang w:val="es-ES_tradnl" w:eastAsia="ko-KR"/>
        </w:rPr>
        <w:t>Todas las bandas de frecuencias se dividen en bajas (inferiores a 3 GHz), medias (de 3 a 10 GHz) y altas (superiores a 10 GHz), y cada año se evalúa paso a paso una de las tres categorías. El proceso de evaluación se lleva a cabo en las siguientes fases: autoevaluación → evaluación consultiva → comité de evaluación → opinión de las partes interesadas → previsión y notificación de orientación.</w:t>
      </w:r>
    </w:p>
    <w:p w14:paraId="1EA5FF13" w14:textId="77777777" w:rsidR="00193B55" w:rsidRPr="007E1FB5" w:rsidRDefault="00193B55" w:rsidP="00193B55">
      <w:pPr>
        <w:rPr>
          <w:rFonts w:eastAsia="Malgun Gothic"/>
          <w:lang w:val="es-ES_tradnl" w:eastAsia="ko-KR"/>
        </w:rPr>
      </w:pPr>
      <w:r w:rsidRPr="007E1FB5">
        <w:rPr>
          <w:rFonts w:eastAsia="Malgun Gothic"/>
          <w:lang w:val="es-ES_tradnl" w:eastAsia="ko-KR"/>
        </w:rPr>
        <w:t>Los criterios de evaluación de la eficacia con que se utiliza el espectro se ajustan a lo dispuesto en la Ley de Ondas Radioeléctricas y, en su momento, se propuso una matriz de cuatro niveles para la evaluación de las prioridades, en función tanto de la urgencia de la demanda como la facilidad del suministro.</w:t>
      </w:r>
    </w:p>
    <w:p w14:paraId="6137518B" w14:textId="77777777" w:rsidR="00193B55" w:rsidRPr="007E1FB5" w:rsidRDefault="00193B55" w:rsidP="00193B55">
      <w:pPr>
        <w:rPr>
          <w:rFonts w:eastAsia="Batang"/>
          <w:lang w:val="es-ES_tradnl" w:eastAsia="ko-KR"/>
        </w:rPr>
      </w:pPr>
      <w:r w:rsidRPr="007E1FB5">
        <w:rPr>
          <w:rFonts w:eastAsia="Malgun Gothic"/>
          <w:lang w:val="es-ES_tradnl" w:eastAsia="ko-KR"/>
        </w:rPr>
        <w:lastRenderedPageBreak/>
        <w:t>No es fácil establecer prioridades entre las distintas alternativas, puesto que los criterios no son proporcionales y las concesiones que cabe realizar al respecto deben cuantificarse en caso de conflicto. Por tanto, para elegir soluciones alternativas en este contexto, puede aplicarse el proceso de jerarquía analítica (PJA), que es un método de toma de decisiones basado en múltiples criterios. El PJA ofrece un marco íntegro y racional para gestionar los problemas relacionados con la toma de decisiones, representar y cuantificar sus elementos, relacionarlos con los objetivos generales y evaluar soluciones alternativas.</w:t>
      </w:r>
    </w:p>
    <w:p w14:paraId="224032F1" w14:textId="77777777" w:rsidR="00193B55" w:rsidRPr="007E1FB5" w:rsidRDefault="00193B55" w:rsidP="00193B55">
      <w:pPr>
        <w:pStyle w:val="FigureNo"/>
        <w:rPr>
          <w:rFonts w:eastAsia="Batang"/>
          <w:lang w:val="es-ES_tradnl" w:eastAsia="ko-KR"/>
        </w:rPr>
      </w:pPr>
      <w:r w:rsidRPr="007E1FB5">
        <w:rPr>
          <w:rFonts w:eastAsia="Batang"/>
          <w:lang w:val="es-ES_tradnl" w:eastAsia="ko-KR"/>
        </w:rPr>
        <w:t>FigurA 5</w:t>
      </w:r>
    </w:p>
    <w:p w14:paraId="13EEFB2E" w14:textId="77777777" w:rsidR="00193B55" w:rsidRPr="007E1FB5" w:rsidRDefault="00193B55" w:rsidP="00193B55">
      <w:pPr>
        <w:pStyle w:val="Figuretitle"/>
        <w:rPr>
          <w:rFonts w:eastAsia="Batang"/>
          <w:lang w:val="es-ES_tradnl"/>
        </w:rPr>
      </w:pPr>
      <w:r w:rsidRPr="007E1FB5">
        <w:rPr>
          <w:rFonts w:eastAsia="Batang"/>
          <w:lang w:val="es-ES_tradnl"/>
        </w:rPr>
        <w:t>Proceso de selección de los criterios de evaluación de</w:t>
      </w:r>
      <w:r w:rsidRPr="007E1FB5">
        <w:rPr>
          <w:lang w:val="es-ES_tradnl"/>
        </w:rPr>
        <w:t xml:space="preserve"> </w:t>
      </w:r>
      <w:r w:rsidRPr="007E1FB5">
        <w:rPr>
          <w:rFonts w:eastAsia="Batang"/>
          <w:lang w:val="es-ES_tradnl"/>
        </w:rPr>
        <w:t>la eficacia con que se utiliza el espectro (PJA)</w:t>
      </w:r>
    </w:p>
    <w:p w14:paraId="5226CCF5" w14:textId="77777777" w:rsidR="00193B55" w:rsidRPr="007E1FB5" w:rsidRDefault="00193B55" w:rsidP="00193B55">
      <w:pPr>
        <w:pStyle w:val="Figure"/>
        <w:rPr>
          <w:rFonts w:eastAsia="Batang"/>
          <w:lang w:val="es-ES_tradnl" w:eastAsia="ko-KR"/>
        </w:rPr>
      </w:pPr>
      <w:r w:rsidRPr="007E1FB5">
        <w:rPr>
          <w:rFonts w:eastAsia="Batang"/>
          <w:noProof/>
          <w:lang w:val="es-ES_tradnl" w:eastAsia="ko-KR"/>
        </w:rPr>
        <w:drawing>
          <wp:inline distT="0" distB="0" distL="0" distR="0" wp14:anchorId="796802F2" wp14:editId="7DEF8BFF">
            <wp:extent cx="6120765" cy="3726815"/>
            <wp:effectExtent l="0" t="0" r="0" b="6985"/>
            <wp:docPr id="501427161" name="Picture 1" descr="La FIGURA 5 muestra el Proceso de selección de los criterios de evaluación de la eficacia con que se utiliza el espectro (PJ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27161" name="Picture 1" descr="La FIGURA 5 muestra el Proceso de selección de los criterios de evaluación de la eficacia con que se utiliza el espectro (PJA)&#1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20765" cy="3726815"/>
                    </a:xfrm>
                    <a:prstGeom prst="rect">
                      <a:avLst/>
                    </a:prstGeom>
                  </pic:spPr>
                </pic:pic>
              </a:graphicData>
            </a:graphic>
          </wp:inline>
        </w:drawing>
      </w:r>
    </w:p>
    <w:p w14:paraId="3591A427" w14:textId="77777777" w:rsidR="00193B55" w:rsidRPr="007E1FB5" w:rsidRDefault="00193B55" w:rsidP="00193B55">
      <w:pPr>
        <w:pStyle w:val="Normalaftertitle"/>
        <w:rPr>
          <w:rFonts w:eastAsia="Malgun Gothic"/>
          <w:lang w:val="es-ES_tradnl" w:eastAsia="ko-KR"/>
        </w:rPr>
      </w:pPr>
      <w:r w:rsidRPr="007E1FB5">
        <w:rPr>
          <w:rFonts w:eastAsia="Malgun Gothic"/>
          <w:lang w:val="es-ES_tradnl" w:eastAsia="ko-KR"/>
        </w:rPr>
        <w:t>La evaluación de la eficacia con que se utiliza el espectro se basa en una serie de criterios relacionados con la demanda y la oferta. En lo que respecta a la demanda, se trata de evaluar las perspectivas de los servicios nuevos y las cantidades requeridas en función de la situación en la que se hallan los servicios y el nivel de demanda, los ámbitos en los que se requieren medidas para mejorar la eficacia del espectro y la coherencia con las normas internacionales y las tendencias de los principales países, con miras a determinar la urgencia de la reorganización. En lo que respecta a la oferta, con el objetivo de evaluar la facilidad de la reorganización, los criterios de evaluación giran en torno al tiempo y el coste necesarios, la posibilidad de adoptar medidas de protección de los usuarios y la posibilidad de resolver los problemas relacionados con las interferencias.</w:t>
      </w:r>
    </w:p>
    <w:p w14:paraId="2F533B25" w14:textId="77777777" w:rsidR="00193B55" w:rsidRPr="007E1FB5" w:rsidRDefault="00193B55" w:rsidP="00193B55">
      <w:pPr>
        <w:pStyle w:val="TableNo"/>
        <w:keepLines/>
        <w:rPr>
          <w:rFonts w:eastAsia="Batang"/>
          <w:lang w:val="es-ES_tradnl" w:eastAsia="ko-KR"/>
        </w:rPr>
      </w:pPr>
      <w:r w:rsidRPr="007E1FB5">
        <w:rPr>
          <w:rFonts w:eastAsia="Batang"/>
          <w:lang w:val="es-ES_tradnl" w:eastAsia="ko-KR"/>
        </w:rPr>
        <w:lastRenderedPageBreak/>
        <w:t>CUADRO 2</w:t>
      </w:r>
    </w:p>
    <w:p w14:paraId="2710BF27" w14:textId="77777777" w:rsidR="00193B55" w:rsidRPr="007E1FB5" w:rsidRDefault="00193B55" w:rsidP="00193B55">
      <w:pPr>
        <w:pStyle w:val="Tabletitle"/>
        <w:keepLines/>
        <w:rPr>
          <w:rFonts w:eastAsia="Batang"/>
          <w:lang w:val="es-ES_tradnl" w:eastAsia="ko-KR"/>
        </w:rPr>
      </w:pPr>
      <w:r w:rsidRPr="007E1FB5">
        <w:rPr>
          <w:rFonts w:eastAsia="Batang"/>
          <w:lang w:val="es-ES_tradnl"/>
        </w:rPr>
        <w:t>Criterios de evaluación</w:t>
      </w:r>
    </w:p>
    <w:tbl>
      <w:tblPr>
        <w:tblW w:w="9639" w:type="dxa"/>
        <w:jc w:val="center"/>
        <w:tblLayout w:type="fixed"/>
        <w:tblCellMar>
          <w:left w:w="99" w:type="dxa"/>
          <w:right w:w="99" w:type="dxa"/>
        </w:tblCellMar>
        <w:tblLook w:val="04A0" w:firstRow="1" w:lastRow="0" w:firstColumn="1" w:lastColumn="0" w:noHBand="0" w:noVBand="1"/>
      </w:tblPr>
      <w:tblGrid>
        <w:gridCol w:w="1868"/>
        <w:gridCol w:w="2380"/>
        <w:gridCol w:w="3969"/>
        <w:gridCol w:w="1422"/>
      </w:tblGrid>
      <w:tr w:rsidR="00193B55" w:rsidRPr="007E1FB5" w14:paraId="341FA81F" w14:textId="77777777" w:rsidTr="003D49C3">
        <w:trPr>
          <w:trHeight w:val="20"/>
          <w:tblHeader/>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4882044C" w14:textId="77777777" w:rsidR="00193B55" w:rsidRPr="007E1FB5" w:rsidRDefault="00193B55" w:rsidP="003D49C3">
            <w:pPr>
              <w:pStyle w:val="Tablehead"/>
              <w:keepLines/>
              <w:rPr>
                <w:rFonts w:eastAsia="Malgun Gothic"/>
                <w:lang w:val="es-ES_tradnl" w:eastAsia="ko-KR"/>
              </w:rPr>
            </w:pPr>
            <w:r w:rsidRPr="007E1FB5">
              <w:rPr>
                <w:rFonts w:eastAsia="Malgun Gothic"/>
                <w:lang w:val="es-ES_tradnl" w:eastAsia="ko-KR"/>
              </w:rPr>
              <w:t>Aspecto</w:t>
            </w:r>
          </w:p>
        </w:tc>
        <w:tc>
          <w:tcPr>
            <w:tcW w:w="2380" w:type="dxa"/>
            <w:tcBorders>
              <w:top w:val="single" w:sz="4" w:space="0" w:color="auto"/>
              <w:left w:val="single" w:sz="4" w:space="0" w:color="auto"/>
              <w:bottom w:val="single" w:sz="4" w:space="0" w:color="auto"/>
              <w:right w:val="single" w:sz="4" w:space="0" w:color="auto"/>
            </w:tcBorders>
            <w:vAlign w:val="center"/>
          </w:tcPr>
          <w:p w14:paraId="3EEBBC3D" w14:textId="77777777" w:rsidR="00193B55" w:rsidRPr="007E1FB5" w:rsidRDefault="00193B55" w:rsidP="003D49C3">
            <w:pPr>
              <w:pStyle w:val="Tablehead"/>
              <w:keepLines/>
              <w:rPr>
                <w:rFonts w:eastAsia="Malgun Gothic"/>
                <w:lang w:val="es-ES_tradnl" w:eastAsia="ko-KR"/>
              </w:rPr>
            </w:pPr>
            <w:r w:rsidRPr="007E1FB5">
              <w:rPr>
                <w:rFonts w:eastAsia="Malgun Gothic"/>
                <w:lang w:val="es-ES_tradnl" w:eastAsia="ko-KR"/>
              </w:rPr>
              <w:t>Factor</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4A147D3" w14:textId="77777777" w:rsidR="00193B55" w:rsidRPr="007E1FB5" w:rsidRDefault="00193B55" w:rsidP="003D49C3">
            <w:pPr>
              <w:pStyle w:val="Tablehead"/>
              <w:keepLines/>
              <w:rPr>
                <w:rFonts w:eastAsia="Malgun Gothic"/>
                <w:lang w:val="es-ES_tradnl" w:eastAsia="ko-KR"/>
              </w:rPr>
            </w:pPr>
            <w:r w:rsidRPr="007E1FB5">
              <w:rPr>
                <w:rFonts w:eastAsia="Malgun Gothic"/>
                <w:lang w:val="es-ES_tradnl" w:eastAsia="ko-KR"/>
              </w:rPr>
              <w:t>Criterios de evaluación</w:t>
            </w:r>
          </w:p>
        </w:tc>
        <w:tc>
          <w:tcPr>
            <w:tcW w:w="1422" w:type="dxa"/>
            <w:tcBorders>
              <w:top w:val="single" w:sz="4" w:space="0" w:color="auto"/>
              <w:left w:val="single" w:sz="4" w:space="0" w:color="auto"/>
              <w:bottom w:val="single" w:sz="4" w:space="0" w:color="auto"/>
              <w:right w:val="single" w:sz="4" w:space="0" w:color="auto"/>
            </w:tcBorders>
            <w:vAlign w:val="center"/>
          </w:tcPr>
          <w:p w14:paraId="6A4D576C" w14:textId="77777777" w:rsidR="00193B55" w:rsidRPr="007E1FB5" w:rsidRDefault="00193B55" w:rsidP="003D49C3">
            <w:pPr>
              <w:pStyle w:val="Tablehead"/>
              <w:keepLines/>
              <w:rPr>
                <w:rFonts w:eastAsia="Malgun Gothic"/>
                <w:lang w:val="es-ES_tradnl" w:eastAsia="ko-KR"/>
              </w:rPr>
            </w:pPr>
            <w:r w:rsidRPr="007E1FB5">
              <w:rPr>
                <w:rFonts w:eastAsia="Malgun Gothic"/>
                <w:lang w:val="es-ES_tradnl" w:eastAsia="ko-KR"/>
              </w:rPr>
              <w:t>Método</w:t>
            </w:r>
          </w:p>
        </w:tc>
      </w:tr>
      <w:tr w:rsidR="00193B55" w:rsidRPr="007E1FB5" w14:paraId="78A0EB8A" w14:textId="77777777" w:rsidTr="003D49C3">
        <w:trPr>
          <w:trHeight w:val="20"/>
          <w:jc w:val="center"/>
        </w:trPr>
        <w:tc>
          <w:tcPr>
            <w:tcW w:w="1868" w:type="dxa"/>
            <w:vMerge w:val="restart"/>
            <w:tcBorders>
              <w:top w:val="single" w:sz="4" w:space="0" w:color="auto"/>
              <w:left w:val="single" w:sz="4" w:space="0" w:color="auto"/>
              <w:bottom w:val="single" w:sz="4" w:space="0" w:color="auto"/>
              <w:right w:val="single" w:sz="4" w:space="0" w:color="auto"/>
            </w:tcBorders>
            <w:vAlign w:val="center"/>
            <w:hideMark/>
          </w:tcPr>
          <w:p w14:paraId="3D817797" w14:textId="77777777" w:rsidR="00193B55" w:rsidRPr="007E1FB5" w:rsidRDefault="00193B55" w:rsidP="003D49C3">
            <w:pPr>
              <w:pStyle w:val="TableText0"/>
              <w:jc w:val="center"/>
              <w:rPr>
                <w:rFonts w:eastAsia="Malgun Gothic"/>
                <w:sz w:val="22"/>
                <w:szCs w:val="22"/>
                <w:lang w:val="es-ES_tradnl"/>
              </w:rPr>
            </w:pPr>
            <w:r w:rsidRPr="007E1FB5">
              <w:rPr>
                <w:rFonts w:eastAsia="Malgun Gothic"/>
                <w:sz w:val="22"/>
                <w:szCs w:val="22"/>
                <w:lang w:val="es-ES_tradnl"/>
              </w:rPr>
              <w:t>Análisis de la demanda</w:t>
            </w:r>
          </w:p>
        </w:tc>
        <w:tc>
          <w:tcPr>
            <w:tcW w:w="2380" w:type="dxa"/>
            <w:vMerge w:val="restart"/>
            <w:tcBorders>
              <w:top w:val="single" w:sz="4" w:space="0" w:color="auto"/>
              <w:left w:val="single" w:sz="4" w:space="0" w:color="auto"/>
              <w:bottom w:val="single" w:sz="4" w:space="0" w:color="auto"/>
              <w:right w:val="single" w:sz="4" w:space="0" w:color="auto"/>
            </w:tcBorders>
            <w:vAlign w:val="center"/>
            <w:hideMark/>
          </w:tcPr>
          <w:p w14:paraId="2AD5BCE4" w14:textId="77777777" w:rsidR="00193B55" w:rsidRPr="007E1FB5" w:rsidRDefault="00193B55" w:rsidP="003D49C3">
            <w:pPr>
              <w:pStyle w:val="TableText0"/>
              <w:jc w:val="center"/>
              <w:rPr>
                <w:rFonts w:eastAsia="Malgun Gothic"/>
                <w:sz w:val="22"/>
                <w:szCs w:val="22"/>
                <w:lang w:val="es-ES_tradnl"/>
              </w:rPr>
            </w:pPr>
            <w:r w:rsidRPr="007E1FB5">
              <w:rPr>
                <w:rFonts w:eastAsia="Malgun Gothic"/>
                <w:sz w:val="22"/>
                <w:szCs w:val="22"/>
                <w:lang w:val="es-ES_tradnl"/>
              </w:rPr>
              <w:t>Tasa de utilización de los servicios existentes</w:t>
            </w:r>
          </w:p>
        </w:tc>
        <w:tc>
          <w:tcPr>
            <w:tcW w:w="3969" w:type="dxa"/>
            <w:tcBorders>
              <w:top w:val="single" w:sz="4" w:space="0" w:color="auto"/>
              <w:left w:val="nil"/>
              <w:bottom w:val="single" w:sz="4" w:space="0" w:color="auto"/>
              <w:right w:val="single" w:sz="4" w:space="0" w:color="auto"/>
            </w:tcBorders>
            <w:vAlign w:val="center"/>
            <w:hideMark/>
          </w:tcPr>
          <w:p w14:paraId="64BC32EB" w14:textId="77777777" w:rsidR="00193B55" w:rsidRPr="007E1FB5" w:rsidRDefault="00193B55" w:rsidP="003D49C3">
            <w:pPr>
              <w:pStyle w:val="TableText0"/>
              <w:jc w:val="left"/>
              <w:rPr>
                <w:rFonts w:eastAsia="Malgun Gothic"/>
                <w:sz w:val="22"/>
                <w:szCs w:val="22"/>
                <w:lang w:val="es-ES_tradnl"/>
              </w:rPr>
            </w:pPr>
            <w:r w:rsidRPr="007E1FB5">
              <w:rPr>
                <w:rFonts w:eastAsia="Malgun Gothic"/>
                <w:sz w:val="22"/>
                <w:szCs w:val="22"/>
                <w:lang w:val="es-ES_tradnl"/>
              </w:rPr>
              <w:t>Tendencia de las cifras de las estaciones radioeléctricas</w:t>
            </w:r>
          </w:p>
        </w:tc>
        <w:tc>
          <w:tcPr>
            <w:tcW w:w="1422" w:type="dxa"/>
            <w:tcBorders>
              <w:top w:val="single" w:sz="4" w:space="0" w:color="auto"/>
              <w:left w:val="nil"/>
              <w:bottom w:val="single" w:sz="4" w:space="0" w:color="auto"/>
              <w:right w:val="single" w:sz="4" w:space="0" w:color="auto"/>
            </w:tcBorders>
            <w:vAlign w:val="center"/>
          </w:tcPr>
          <w:p w14:paraId="22FA5523" w14:textId="77777777" w:rsidR="00193B55" w:rsidRPr="007E1FB5" w:rsidRDefault="00193B55" w:rsidP="003D49C3">
            <w:pPr>
              <w:pStyle w:val="TableText0"/>
              <w:jc w:val="center"/>
              <w:rPr>
                <w:rFonts w:eastAsia="Malgun Gothic"/>
                <w:sz w:val="22"/>
                <w:szCs w:val="22"/>
                <w:lang w:val="es-ES_tradnl"/>
              </w:rPr>
            </w:pPr>
            <w:r w:rsidRPr="007E1FB5">
              <w:rPr>
                <w:rFonts w:eastAsia="Malgun Gothic"/>
                <w:sz w:val="22"/>
                <w:szCs w:val="22"/>
                <w:lang w:val="es-ES_tradnl"/>
              </w:rPr>
              <w:t>Cuantitativo</w:t>
            </w:r>
          </w:p>
        </w:tc>
      </w:tr>
      <w:tr w:rsidR="00193B55" w:rsidRPr="007E1FB5" w14:paraId="0EC4B62B" w14:textId="77777777" w:rsidTr="003D49C3">
        <w:trPr>
          <w:trHeight w:val="37"/>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50790671" w14:textId="77777777" w:rsidR="00193B55" w:rsidRPr="007E1FB5" w:rsidRDefault="00193B55" w:rsidP="003D49C3">
            <w:pPr>
              <w:pStyle w:val="TableText0"/>
              <w:jc w:val="center"/>
              <w:rPr>
                <w:rFonts w:eastAsia="Malgun Gothic"/>
                <w:sz w:val="22"/>
                <w:szCs w:val="22"/>
                <w:lang w:val="es-ES_tradnl"/>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4DF8F9E3" w14:textId="77777777" w:rsidR="00193B55" w:rsidRPr="007E1FB5" w:rsidRDefault="00193B55" w:rsidP="003D49C3">
            <w:pPr>
              <w:pStyle w:val="TableText0"/>
              <w:jc w:val="center"/>
              <w:rPr>
                <w:rFonts w:eastAsia="Malgun Gothic"/>
                <w:sz w:val="22"/>
                <w:szCs w:val="22"/>
                <w:lang w:val="es-ES_tradnl"/>
              </w:rPr>
            </w:pPr>
          </w:p>
        </w:tc>
        <w:tc>
          <w:tcPr>
            <w:tcW w:w="3969" w:type="dxa"/>
            <w:tcBorders>
              <w:top w:val="single" w:sz="4" w:space="0" w:color="auto"/>
              <w:left w:val="nil"/>
              <w:bottom w:val="single" w:sz="4" w:space="0" w:color="auto"/>
              <w:right w:val="single" w:sz="4" w:space="0" w:color="auto"/>
            </w:tcBorders>
            <w:vAlign w:val="center"/>
            <w:hideMark/>
          </w:tcPr>
          <w:p w14:paraId="63975553" w14:textId="77777777" w:rsidR="00193B55" w:rsidRPr="007E1FB5" w:rsidRDefault="00193B55" w:rsidP="003D49C3">
            <w:pPr>
              <w:pStyle w:val="TableText0"/>
              <w:jc w:val="left"/>
              <w:rPr>
                <w:rFonts w:eastAsia="Malgun Gothic"/>
                <w:sz w:val="22"/>
                <w:szCs w:val="22"/>
                <w:lang w:val="es-ES_tradnl"/>
              </w:rPr>
            </w:pPr>
            <w:r w:rsidRPr="007E1FB5">
              <w:rPr>
                <w:rFonts w:eastAsia="Malgun Gothic"/>
                <w:sz w:val="22"/>
                <w:szCs w:val="22"/>
                <w:lang w:val="es-ES_tradnl"/>
              </w:rPr>
              <w:t>Grado de evolución tecnológica</w:t>
            </w:r>
          </w:p>
        </w:tc>
        <w:tc>
          <w:tcPr>
            <w:tcW w:w="1422" w:type="dxa"/>
            <w:tcBorders>
              <w:top w:val="single" w:sz="4" w:space="0" w:color="auto"/>
              <w:left w:val="nil"/>
              <w:bottom w:val="single" w:sz="4" w:space="0" w:color="auto"/>
              <w:right w:val="single" w:sz="4" w:space="0" w:color="auto"/>
            </w:tcBorders>
            <w:vAlign w:val="center"/>
          </w:tcPr>
          <w:p w14:paraId="3FB14584" w14:textId="77777777" w:rsidR="00193B55" w:rsidRPr="007E1FB5" w:rsidRDefault="00193B55" w:rsidP="003D49C3">
            <w:pPr>
              <w:pStyle w:val="TableText0"/>
              <w:jc w:val="center"/>
              <w:rPr>
                <w:rFonts w:eastAsia="Malgun Gothic"/>
                <w:sz w:val="22"/>
                <w:szCs w:val="22"/>
                <w:lang w:val="es-ES_tradnl"/>
              </w:rPr>
            </w:pPr>
            <w:r w:rsidRPr="007E1FB5">
              <w:rPr>
                <w:rFonts w:eastAsia="Malgun Gothic"/>
                <w:sz w:val="22"/>
                <w:szCs w:val="22"/>
                <w:lang w:val="es-ES_tradnl"/>
              </w:rPr>
              <w:t>Cualitativo</w:t>
            </w:r>
          </w:p>
        </w:tc>
      </w:tr>
      <w:tr w:rsidR="00193B55" w:rsidRPr="007E1FB5" w14:paraId="47B651BA" w14:textId="77777777" w:rsidTr="003D49C3">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2B8D419A" w14:textId="77777777" w:rsidR="00193B55" w:rsidRPr="007E1FB5" w:rsidRDefault="00193B55" w:rsidP="003D49C3">
            <w:pPr>
              <w:pStyle w:val="TableText0"/>
              <w:jc w:val="center"/>
              <w:rPr>
                <w:rFonts w:eastAsia="Malgun Gothic"/>
                <w:sz w:val="22"/>
                <w:szCs w:val="22"/>
                <w:lang w:val="es-ES_tradnl"/>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651A6A57" w14:textId="77777777" w:rsidR="00193B55" w:rsidRPr="007E1FB5" w:rsidRDefault="00193B55" w:rsidP="003D49C3">
            <w:pPr>
              <w:pStyle w:val="TableText0"/>
              <w:jc w:val="center"/>
              <w:rPr>
                <w:rFonts w:eastAsia="Malgun Gothic"/>
                <w:sz w:val="22"/>
                <w:szCs w:val="22"/>
                <w:lang w:val="es-ES_tradnl"/>
              </w:rPr>
            </w:pPr>
          </w:p>
        </w:tc>
        <w:tc>
          <w:tcPr>
            <w:tcW w:w="3969" w:type="dxa"/>
            <w:tcBorders>
              <w:top w:val="single" w:sz="4" w:space="0" w:color="auto"/>
              <w:left w:val="nil"/>
              <w:bottom w:val="single" w:sz="4" w:space="0" w:color="auto"/>
              <w:right w:val="single" w:sz="4" w:space="0" w:color="auto"/>
            </w:tcBorders>
            <w:vAlign w:val="center"/>
            <w:hideMark/>
          </w:tcPr>
          <w:p w14:paraId="416E6AB1" w14:textId="77777777" w:rsidR="00193B55" w:rsidRPr="007E1FB5" w:rsidRDefault="00193B55" w:rsidP="003D49C3">
            <w:pPr>
              <w:pStyle w:val="TableText0"/>
              <w:jc w:val="left"/>
              <w:rPr>
                <w:rFonts w:eastAsia="Malgun Gothic"/>
                <w:sz w:val="22"/>
                <w:szCs w:val="22"/>
                <w:lang w:val="es-ES_tradnl"/>
              </w:rPr>
            </w:pPr>
            <w:r w:rsidRPr="007E1FB5">
              <w:rPr>
                <w:rFonts w:eastAsia="Malgun Gothic"/>
                <w:sz w:val="22"/>
                <w:szCs w:val="22"/>
                <w:lang w:val="es-ES_tradnl"/>
              </w:rPr>
              <w:t>Repercusiones económicas</w:t>
            </w:r>
          </w:p>
        </w:tc>
        <w:tc>
          <w:tcPr>
            <w:tcW w:w="1422" w:type="dxa"/>
            <w:tcBorders>
              <w:top w:val="single" w:sz="4" w:space="0" w:color="auto"/>
              <w:left w:val="nil"/>
              <w:bottom w:val="single" w:sz="4" w:space="0" w:color="auto"/>
              <w:right w:val="single" w:sz="4" w:space="0" w:color="auto"/>
            </w:tcBorders>
            <w:vAlign w:val="center"/>
          </w:tcPr>
          <w:p w14:paraId="43FFCF08" w14:textId="77777777" w:rsidR="00193B55" w:rsidRPr="007E1FB5" w:rsidRDefault="00193B55" w:rsidP="003D49C3">
            <w:pPr>
              <w:pStyle w:val="TableText0"/>
              <w:jc w:val="center"/>
              <w:rPr>
                <w:rFonts w:eastAsia="Malgun Gothic"/>
                <w:sz w:val="22"/>
                <w:szCs w:val="22"/>
                <w:lang w:val="es-ES_tradnl"/>
              </w:rPr>
            </w:pPr>
            <w:r w:rsidRPr="007E1FB5">
              <w:rPr>
                <w:rFonts w:eastAsia="Malgun Gothic"/>
                <w:sz w:val="22"/>
                <w:szCs w:val="22"/>
                <w:lang w:val="es-ES_tradnl"/>
              </w:rPr>
              <w:t>Cualitativo</w:t>
            </w:r>
          </w:p>
        </w:tc>
      </w:tr>
      <w:tr w:rsidR="00193B55" w:rsidRPr="007E1FB5" w14:paraId="4A95F660" w14:textId="77777777" w:rsidTr="003D49C3">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386A3505" w14:textId="77777777" w:rsidR="00193B55" w:rsidRPr="007E1FB5" w:rsidRDefault="00193B55" w:rsidP="003D49C3">
            <w:pPr>
              <w:pStyle w:val="TableText0"/>
              <w:jc w:val="center"/>
              <w:rPr>
                <w:rFonts w:eastAsia="Malgun Gothic"/>
                <w:sz w:val="22"/>
                <w:szCs w:val="22"/>
                <w:lang w:val="es-ES_tradnl"/>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5D80E299" w14:textId="77777777" w:rsidR="00193B55" w:rsidRPr="007E1FB5" w:rsidRDefault="00193B55" w:rsidP="003D49C3">
            <w:pPr>
              <w:pStyle w:val="TableText0"/>
              <w:jc w:val="center"/>
              <w:rPr>
                <w:rFonts w:eastAsia="Malgun Gothic"/>
                <w:sz w:val="22"/>
                <w:szCs w:val="22"/>
                <w:lang w:val="es-ES_tradnl"/>
              </w:rPr>
            </w:pPr>
          </w:p>
        </w:tc>
        <w:tc>
          <w:tcPr>
            <w:tcW w:w="3969" w:type="dxa"/>
            <w:tcBorders>
              <w:top w:val="single" w:sz="4" w:space="0" w:color="auto"/>
              <w:left w:val="nil"/>
              <w:bottom w:val="single" w:sz="4" w:space="0" w:color="auto"/>
              <w:right w:val="single" w:sz="4" w:space="0" w:color="auto"/>
            </w:tcBorders>
            <w:vAlign w:val="center"/>
            <w:hideMark/>
          </w:tcPr>
          <w:p w14:paraId="3481E2FF" w14:textId="77777777" w:rsidR="00193B55" w:rsidRPr="007E1FB5" w:rsidRDefault="00193B55" w:rsidP="003D49C3">
            <w:pPr>
              <w:pStyle w:val="TableText0"/>
              <w:jc w:val="left"/>
              <w:rPr>
                <w:rFonts w:eastAsia="Malgun Gothic"/>
                <w:sz w:val="22"/>
                <w:szCs w:val="22"/>
                <w:lang w:val="es-ES_tradnl"/>
              </w:rPr>
            </w:pPr>
            <w:r w:rsidRPr="007E1FB5">
              <w:rPr>
                <w:rFonts w:eastAsia="Malgun Gothic"/>
                <w:sz w:val="22"/>
                <w:szCs w:val="22"/>
                <w:lang w:val="es-ES_tradnl"/>
              </w:rPr>
              <w:t>Interés social y público</w:t>
            </w:r>
          </w:p>
        </w:tc>
        <w:tc>
          <w:tcPr>
            <w:tcW w:w="1422" w:type="dxa"/>
            <w:tcBorders>
              <w:top w:val="single" w:sz="4" w:space="0" w:color="auto"/>
              <w:left w:val="nil"/>
              <w:bottom w:val="single" w:sz="4" w:space="0" w:color="auto"/>
              <w:right w:val="single" w:sz="4" w:space="0" w:color="auto"/>
            </w:tcBorders>
            <w:vAlign w:val="center"/>
          </w:tcPr>
          <w:p w14:paraId="75EE1B30" w14:textId="77777777" w:rsidR="00193B55" w:rsidRPr="007E1FB5" w:rsidRDefault="00193B55" w:rsidP="003D49C3">
            <w:pPr>
              <w:pStyle w:val="TableText0"/>
              <w:jc w:val="center"/>
              <w:rPr>
                <w:rFonts w:eastAsia="Malgun Gothic"/>
                <w:sz w:val="22"/>
                <w:szCs w:val="22"/>
                <w:lang w:val="es-ES_tradnl"/>
              </w:rPr>
            </w:pPr>
            <w:r w:rsidRPr="007E1FB5">
              <w:rPr>
                <w:rFonts w:eastAsia="Malgun Gothic"/>
                <w:sz w:val="22"/>
                <w:szCs w:val="22"/>
                <w:lang w:val="es-ES_tradnl"/>
              </w:rPr>
              <w:t>Cualitativo</w:t>
            </w:r>
          </w:p>
        </w:tc>
      </w:tr>
      <w:tr w:rsidR="00193B55" w:rsidRPr="007E1FB5" w14:paraId="513FB12B" w14:textId="77777777" w:rsidTr="003D49C3">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7619971D" w14:textId="77777777" w:rsidR="00193B55" w:rsidRPr="007E1FB5" w:rsidRDefault="00193B55" w:rsidP="003D49C3">
            <w:pPr>
              <w:pStyle w:val="TableText0"/>
              <w:jc w:val="center"/>
              <w:rPr>
                <w:rFonts w:eastAsia="Malgun Gothic"/>
                <w:sz w:val="22"/>
                <w:szCs w:val="22"/>
                <w:lang w:val="es-ES_tradnl"/>
              </w:rPr>
            </w:pPr>
          </w:p>
        </w:tc>
        <w:tc>
          <w:tcPr>
            <w:tcW w:w="2380" w:type="dxa"/>
            <w:vMerge w:val="restart"/>
            <w:tcBorders>
              <w:top w:val="single" w:sz="4" w:space="0" w:color="auto"/>
              <w:left w:val="single" w:sz="4" w:space="0" w:color="auto"/>
              <w:bottom w:val="single" w:sz="4" w:space="0" w:color="auto"/>
              <w:right w:val="single" w:sz="4" w:space="0" w:color="auto"/>
            </w:tcBorders>
            <w:vAlign w:val="center"/>
            <w:hideMark/>
          </w:tcPr>
          <w:p w14:paraId="4EC7365C" w14:textId="77777777" w:rsidR="00193B55" w:rsidRPr="007E1FB5" w:rsidRDefault="00193B55" w:rsidP="003D49C3">
            <w:pPr>
              <w:pStyle w:val="TableText0"/>
              <w:jc w:val="center"/>
              <w:rPr>
                <w:rFonts w:eastAsia="Malgun Gothic"/>
                <w:sz w:val="22"/>
                <w:szCs w:val="22"/>
                <w:lang w:val="es-ES_tradnl"/>
              </w:rPr>
            </w:pPr>
            <w:r w:rsidRPr="007E1FB5">
              <w:rPr>
                <w:rFonts w:eastAsia="Malgun Gothic"/>
                <w:sz w:val="22"/>
                <w:szCs w:val="22"/>
                <w:lang w:val="es-ES_tradnl"/>
              </w:rPr>
              <w:t>Demanda potencial de nuevos servicios</w:t>
            </w:r>
          </w:p>
        </w:tc>
        <w:tc>
          <w:tcPr>
            <w:tcW w:w="3969" w:type="dxa"/>
            <w:tcBorders>
              <w:top w:val="single" w:sz="4" w:space="0" w:color="auto"/>
              <w:left w:val="nil"/>
              <w:bottom w:val="single" w:sz="4" w:space="0" w:color="auto"/>
              <w:right w:val="single" w:sz="4" w:space="0" w:color="auto"/>
            </w:tcBorders>
            <w:vAlign w:val="center"/>
            <w:hideMark/>
          </w:tcPr>
          <w:p w14:paraId="4B7D46F4" w14:textId="77777777" w:rsidR="00193B55" w:rsidRPr="007E1FB5" w:rsidRDefault="00193B55" w:rsidP="003D49C3">
            <w:pPr>
              <w:pStyle w:val="TableText0"/>
              <w:jc w:val="left"/>
              <w:rPr>
                <w:rFonts w:eastAsia="Malgun Gothic"/>
                <w:sz w:val="22"/>
                <w:szCs w:val="22"/>
                <w:lang w:val="es-ES_tradnl"/>
              </w:rPr>
            </w:pPr>
            <w:r w:rsidRPr="007E1FB5">
              <w:rPr>
                <w:rFonts w:eastAsia="Malgun Gothic"/>
                <w:sz w:val="22"/>
                <w:szCs w:val="22"/>
                <w:lang w:val="es-ES_tradnl"/>
              </w:rPr>
              <w:t>Indicador técnico</w:t>
            </w:r>
          </w:p>
        </w:tc>
        <w:tc>
          <w:tcPr>
            <w:tcW w:w="1422" w:type="dxa"/>
            <w:tcBorders>
              <w:top w:val="single" w:sz="4" w:space="0" w:color="auto"/>
              <w:left w:val="nil"/>
              <w:bottom w:val="single" w:sz="4" w:space="0" w:color="auto"/>
              <w:right w:val="single" w:sz="4" w:space="0" w:color="auto"/>
            </w:tcBorders>
            <w:vAlign w:val="center"/>
          </w:tcPr>
          <w:p w14:paraId="2017EF2F" w14:textId="77777777" w:rsidR="00193B55" w:rsidRPr="007E1FB5" w:rsidRDefault="00193B55" w:rsidP="003D49C3">
            <w:pPr>
              <w:pStyle w:val="TableText0"/>
              <w:jc w:val="center"/>
              <w:rPr>
                <w:rFonts w:eastAsia="Malgun Gothic"/>
                <w:sz w:val="22"/>
                <w:szCs w:val="22"/>
                <w:lang w:val="es-ES_tradnl"/>
              </w:rPr>
            </w:pPr>
            <w:r w:rsidRPr="007E1FB5">
              <w:rPr>
                <w:rFonts w:eastAsia="Malgun Gothic"/>
                <w:sz w:val="22"/>
                <w:szCs w:val="22"/>
                <w:lang w:val="es-ES_tradnl"/>
              </w:rPr>
              <w:t>Cualitativo</w:t>
            </w:r>
          </w:p>
        </w:tc>
      </w:tr>
      <w:tr w:rsidR="00193B55" w:rsidRPr="007E1FB5" w14:paraId="57818B0F" w14:textId="77777777" w:rsidTr="003D49C3">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137CA952" w14:textId="77777777" w:rsidR="00193B55" w:rsidRPr="007E1FB5" w:rsidRDefault="00193B55" w:rsidP="003D49C3">
            <w:pPr>
              <w:pStyle w:val="TableText0"/>
              <w:jc w:val="center"/>
              <w:rPr>
                <w:rFonts w:eastAsia="Malgun Gothic"/>
                <w:sz w:val="22"/>
                <w:szCs w:val="22"/>
                <w:lang w:val="es-ES_tradnl"/>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30787B71" w14:textId="77777777" w:rsidR="00193B55" w:rsidRPr="007E1FB5" w:rsidRDefault="00193B55" w:rsidP="003D49C3">
            <w:pPr>
              <w:pStyle w:val="TableText0"/>
              <w:jc w:val="center"/>
              <w:rPr>
                <w:rFonts w:eastAsia="Malgun Gothic"/>
                <w:sz w:val="22"/>
                <w:szCs w:val="22"/>
                <w:lang w:val="es-ES_tradnl"/>
              </w:rPr>
            </w:pPr>
          </w:p>
        </w:tc>
        <w:tc>
          <w:tcPr>
            <w:tcW w:w="3969" w:type="dxa"/>
            <w:tcBorders>
              <w:top w:val="single" w:sz="4" w:space="0" w:color="auto"/>
              <w:left w:val="nil"/>
              <w:bottom w:val="single" w:sz="4" w:space="0" w:color="auto"/>
              <w:right w:val="single" w:sz="4" w:space="0" w:color="auto"/>
            </w:tcBorders>
            <w:vAlign w:val="center"/>
            <w:hideMark/>
          </w:tcPr>
          <w:p w14:paraId="192470ED" w14:textId="77777777" w:rsidR="00193B55" w:rsidRPr="007E1FB5" w:rsidRDefault="00193B55" w:rsidP="003D49C3">
            <w:pPr>
              <w:pStyle w:val="TableText0"/>
              <w:jc w:val="left"/>
              <w:rPr>
                <w:rFonts w:eastAsia="Malgun Gothic"/>
                <w:sz w:val="22"/>
                <w:szCs w:val="22"/>
                <w:lang w:val="es-ES_tradnl"/>
              </w:rPr>
            </w:pPr>
            <w:r w:rsidRPr="007E1FB5">
              <w:rPr>
                <w:rFonts w:eastAsia="Malgun Gothic"/>
                <w:sz w:val="22"/>
                <w:szCs w:val="22"/>
                <w:lang w:val="es-ES_tradnl"/>
              </w:rPr>
              <w:t>Indicador de ecosistema</w:t>
            </w:r>
          </w:p>
        </w:tc>
        <w:tc>
          <w:tcPr>
            <w:tcW w:w="1422" w:type="dxa"/>
            <w:tcBorders>
              <w:top w:val="single" w:sz="4" w:space="0" w:color="auto"/>
              <w:left w:val="nil"/>
              <w:bottom w:val="single" w:sz="4" w:space="0" w:color="auto"/>
              <w:right w:val="single" w:sz="4" w:space="0" w:color="auto"/>
            </w:tcBorders>
            <w:vAlign w:val="center"/>
          </w:tcPr>
          <w:p w14:paraId="260CE387" w14:textId="77777777" w:rsidR="00193B55" w:rsidRPr="007E1FB5" w:rsidRDefault="00193B55" w:rsidP="003D49C3">
            <w:pPr>
              <w:pStyle w:val="TableText0"/>
              <w:jc w:val="center"/>
              <w:rPr>
                <w:rFonts w:eastAsia="Malgun Gothic"/>
                <w:sz w:val="22"/>
                <w:szCs w:val="22"/>
                <w:lang w:val="es-ES_tradnl"/>
              </w:rPr>
            </w:pPr>
            <w:r w:rsidRPr="007E1FB5">
              <w:rPr>
                <w:rFonts w:eastAsia="Malgun Gothic"/>
                <w:sz w:val="22"/>
                <w:szCs w:val="22"/>
                <w:lang w:val="es-ES_tradnl"/>
              </w:rPr>
              <w:t>Cualitativo</w:t>
            </w:r>
          </w:p>
        </w:tc>
      </w:tr>
      <w:tr w:rsidR="00193B55" w:rsidRPr="007E1FB5" w14:paraId="5C3B8D42" w14:textId="77777777" w:rsidTr="003D49C3">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1FC09033" w14:textId="77777777" w:rsidR="00193B55" w:rsidRPr="007E1FB5" w:rsidRDefault="00193B55" w:rsidP="003D49C3">
            <w:pPr>
              <w:pStyle w:val="TableText0"/>
              <w:jc w:val="center"/>
              <w:rPr>
                <w:rFonts w:eastAsia="Malgun Gothic"/>
                <w:sz w:val="22"/>
                <w:szCs w:val="22"/>
                <w:lang w:val="es-ES_tradnl"/>
              </w:rPr>
            </w:pPr>
          </w:p>
        </w:tc>
        <w:tc>
          <w:tcPr>
            <w:tcW w:w="2380" w:type="dxa"/>
            <w:vMerge w:val="restart"/>
            <w:tcBorders>
              <w:top w:val="single" w:sz="4" w:space="0" w:color="auto"/>
              <w:left w:val="single" w:sz="4" w:space="0" w:color="auto"/>
              <w:bottom w:val="single" w:sz="4" w:space="0" w:color="auto"/>
              <w:right w:val="single" w:sz="4" w:space="0" w:color="auto"/>
            </w:tcBorders>
            <w:vAlign w:val="center"/>
            <w:hideMark/>
          </w:tcPr>
          <w:p w14:paraId="3968AE86" w14:textId="77777777" w:rsidR="00193B55" w:rsidRPr="007E1FB5" w:rsidRDefault="00193B55" w:rsidP="003D49C3">
            <w:pPr>
              <w:pStyle w:val="TableText0"/>
              <w:jc w:val="center"/>
              <w:rPr>
                <w:rFonts w:eastAsia="Malgun Gothic"/>
                <w:sz w:val="22"/>
                <w:szCs w:val="22"/>
                <w:lang w:val="es-ES_tradnl"/>
              </w:rPr>
            </w:pPr>
            <w:r w:rsidRPr="007E1FB5">
              <w:rPr>
                <w:rFonts w:eastAsia="Malgun Gothic"/>
                <w:sz w:val="22"/>
                <w:szCs w:val="22"/>
                <w:lang w:val="es-ES_tradnl"/>
              </w:rPr>
              <w:t>Demanda real de nuevos servicios</w:t>
            </w:r>
          </w:p>
        </w:tc>
        <w:tc>
          <w:tcPr>
            <w:tcW w:w="3969" w:type="dxa"/>
            <w:tcBorders>
              <w:top w:val="single" w:sz="4" w:space="0" w:color="auto"/>
              <w:left w:val="nil"/>
              <w:bottom w:val="single" w:sz="4" w:space="0" w:color="auto"/>
              <w:right w:val="single" w:sz="4" w:space="0" w:color="auto"/>
            </w:tcBorders>
            <w:vAlign w:val="center"/>
            <w:hideMark/>
          </w:tcPr>
          <w:p w14:paraId="7FFC14C8" w14:textId="77777777" w:rsidR="00193B55" w:rsidRPr="007E1FB5" w:rsidRDefault="00193B55" w:rsidP="003D49C3">
            <w:pPr>
              <w:pStyle w:val="TableText0"/>
              <w:jc w:val="left"/>
              <w:rPr>
                <w:rFonts w:eastAsia="Malgun Gothic"/>
                <w:sz w:val="22"/>
                <w:szCs w:val="22"/>
                <w:lang w:val="es-ES_tradnl"/>
              </w:rPr>
            </w:pPr>
            <w:r w:rsidRPr="007E1FB5">
              <w:rPr>
                <w:rFonts w:eastAsia="Malgun Gothic"/>
                <w:sz w:val="22"/>
                <w:szCs w:val="22"/>
                <w:lang w:val="es-ES_tradnl"/>
              </w:rPr>
              <w:t>Plan de utilización del espectro</w:t>
            </w:r>
          </w:p>
        </w:tc>
        <w:tc>
          <w:tcPr>
            <w:tcW w:w="1422" w:type="dxa"/>
            <w:tcBorders>
              <w:top w:val="single" w:sz="4" w:space="0" w:color="auto"/>
              <w:left w:val="nil"/>
              <w:bottom w:val="single" w:sz="4" w:space="0" w:color="auto"/>
              <w:right w:val="single" w:sz="4" w:space="0" w:color="auto"/>
            </w:tcBorders>
            <w:vAlign w:val="center"/>
          </w:tcPr>
          <w:p w14:paraId="04B62F27" w14:textId="77777777" w:rsidR="00193B55" w:rsidRPr="007E1FB5" w:rsidRDefault="00193B55" w:rsidP="003D49C3">
            <w:pPr>
              <w:pStyle w:val="TableText0"/>
              <w:jc w:val="center"/>
              <w:rPr>
                <w:rFonts w:eastAsia="Malgun Gothic"/>
                <w:sz w:val="22"/>
                <w:szCs w:val="22"/>
                <w:lang w:val="es-ES_tradnl"/>
              </w:rPr>
            </w:pPr>
            <w:r w:rsidRPr="007E1FB5">
              <w:rPr>
                <w:rFonts w:eastAsia="Malgun Gothic"/>
                <w:sz w:val="22"/>
                <w:szCs w:val="22"/>
                <w:lang w:val="es-ES_tradnl"/>
              </w:rPr>
              <w:t>Cuantitativo</w:t>
            </w:r>
          </w:p>
        </w:tc>
      </w:tr>
      <w:tr w:rsidR="00193B55" w:rsidRPr="007E1FB5" w14:paraId="13D1A73B" w14:textId="77777777" w:rsidTr="003D49C3">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73A70F9D" w14:textId="77777777" w:rsidR="00193B55" w:rsidRPr="007E1FB5" w:rsidRDefault="00193B55" w:rsidP="003D49C3">
            <w:pPr>
              <w:pStyle w:val="TableText0"/>
              <w:jc w:val="center"/>
              <w:rPr>
                <w:rFonts w:eastAsia="Malgun Gothic"/>
                <w:sz w:val="22"/>
                <w:szCs w:val="22"/>
                <w:lang w:val="es-ES_tradnl"/>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6B0EF6CA" w14:textId="77777777" w:rsidR="00193B55" w:rsidRPr="007E1FB5" w:rsidRDefault="00193B55" w:rsidP="003D49C3">
            <w:pPr>
              <w:pStyle w:val="TableText0"/>
              <w:jc w:val="center"/>
              <w:rPr>
                <w:rFonts w:eastAsia="Malgun Gothic"/>
                <w:sz w:val="22"/>
                <w:szCs w:val="22"/>
                <w:lang w:val="es-ES_tradnl"/>
              </w:rPr>
            </w:pPr>
          </w:p>
        </w:tc>
        <w:tc>
          <w:tcPr>
            <w:tcW w:w="3969" w:type="dxa"/>
            <w:tcBorders>
              <w:top w:val="single" w:sz="4" w:space="0" w:color="auto"/>
              <w:left w:val="nil"/>
              <w:bottom w:val="single" w:sz="4" w:space="0" w:color="auto"/>
              <w:right w:val="single" w:sz="4" w:space="0" w:color="auto"/>
            </w:tcBorders>
            <w:vAlign w:val="center"/>
            <w:hideMark/>
          </w:tcPr>
          <w:p w14:paraId="381E8DDB" w14:textId="77777777" w:rsidR="00193B55" w:rsidRPr="007E1FB5" w:rsidRDefault="00193B55" w:rsidP="003D49C3">
            <w:pPr>
              <w:pStyle w:val="TableText0"/>
              <w:jc w:val="left"/>
              <w:rPr>
                <w:rFonts w:eastAsia="Malgun Gothic"/>
                <w:sz w:val="22"/>
                <w:szCs w:val="22"/>
                <w:lang w:val="es-ES_tradnl"/>
              </w:rPr>
            </w:pPr>
            <w:r w:rsidRPr="007E1FB5">
              <w:rPr>
                <w:rFonts w:eastAsia="Malgun Gothic"/>
                <w:sz w:val="22"/>
                <w:szCs w:val="22"/>
                <w:lang w:val="es-ES_tradnl"/>
              </w:rPr>
              <w:t>Estado de la demanda nacional</w:t>
            </w:r>
          </w:p>
        </w:tc>
        <w:tc>
          <w:tcPr>
            <w:tcW w:w="1422" w:type="dxa"/>
            <w:tcBorders>
              <w:top w:val="single" w:sz="4" w:space="0" w:color="auto"/>
              <w:left w:val="nil"/>
              <w:bottom w:val="single" w:sz="4" w:space="0" w:color="auto"/>
              <w:right w:val="single" w:sz="4" w:space="0" w:color="auto"/>
            </w:tcBorders>
            <w:vAlign w:val="center"/>
          </w:tcPr>
          <w:p w14:paraId="0734E8BF" w14:textId="77777777" w:rsidR="00193B55" w:rsidRPr="007E1FB5" w:rsidRDefault="00193B55" w:rsidP="003D49C3">
            <w:pPr>
              <w:pStyle w:val="TableText0"/>
              <w:jc w:val="center"/>
              <w:rPr>
                <w:rFonts w:eastAsia="Malgun Gothic"/>
                <w:sz w:val="22"/>
                <w:szCs w:val="22"/>
                <w:lang w:val="es-ES_tradnl"/>
              </w:rPr>
            </w:pPr>
            <w:r w:rsidRPr="007E1FB5">
              <w:rPr>
                <w:rFonts w:eastAsia="Malgun Gothic"/>
                <w:sz w:val="22"/>
                <w:szCs w:val="22"/>
                <w:lang w:val="es-ES_tradnl"/>
              </w:rPr>
              <w:t>Cuantitativo</w:t>
            </w:r>
          </w:p>
        </w:tc>
      </w:tr>
      <w:tr w:rsidR="00193B55" w:rsidRPr="007E1FB5" w14:paraId="09CE92F3" w14:textId="77777777" w:rsidTr="003D49C3">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6D092C9E" w14:textId="77777777" w:rsidR="00193B55" w:rsidRPr="007E1FB5" w:rsidRDefault="00193B55" w:rsidP="003D49C3">
            <w:pPr>
              <w:pStyle w:val="Tabletext"/>
              <w:jc w:val="center"/>
              <w:rPr>
                <w:rFonts w:eastAsia="Malgun Gothic"/>
                <w:szCs w:val="22"/>
                <w:lang w:val="es-ES_tradnl" w:eastAsia="ko-KR"/>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14018D5B" w14:textId="77777777" w:rsidR="00193B55" w:rsidRPr="007E1FB5" w:rsidRDefault="00193B55" w:rsidP="003D49C3">
            <w:pPr>
              <w:pStyle w:val="Tabletext"/>
              <w:jc w:val="center"/>
              <w:rPr>
                <w:rFonts w:eastAsia="Malgun Gothic"/>
                <w:szCs w:val="22"/>
                <w:lang w:val="es-ES_tradnl" w:eastAsia="ko-KR"/>
              </w:rPr>
            </w:pPr>
          </w:p>
        </w:tc>
        <w:tc>
          <w:tcPr>
            <w:tcW w:w="3969" w:type="dxa"/>
            <w:tcBorders>
              <w:top w:val="single" w:sz="4" w:space="0" w:color="auto"/>
              <w:left w:val="nil"/>
              <w:bottom w:val="single" w:sz="4" w:space="0" w:color="auto"/>
              <w:right w:val="single" w:sz="4" w:space="0" w:color="auto"/>
            </w:tcBorders>
            <w:vAlign w:val="center"/>
            <w:hideMark/>
          </w:tcPr>
          <w:p w14:paraId="1A989B87" w14:textId="77777777" w:rsidR="00193B55" w:rsidRPr="007E1FB5" w:rsidRDefault="00193B55" w:rsidP="003D49C3">
            <w:pPr>
              <w:pStyle w:val="TableText0"/>
              <w:jc w:val="left"/>
              <w:rPr>
                <w:rFonts w:eastAsia="Malgun Gothic"/>
                <w:sz w:val="22"/>
                <w:szCs w:val="22"/>
                <w:lang w:val="es-ES_tradnl"/>
              </w:rPr>
            </w:pPr>
            <w:r w:rsidRPr="007E1FB5">
              <w:rPr>
                <w:rFonts w:eastAsia="Malgun Gothic"/>
                <w:sz w:val="22"/>
                <w:szCs w:val="22"/>
                <w:lang w:val="es-ES_tradnl"/>
              </w:rPr>
              <w:t>Repercusiones económicas</w:t>
            </w:r>
          </w:p>
        </w:tc>
        <w:tc>
          <w:tcPr>
            <w:tcW w:w="1422" w:type="dxa"/>
            <w:tcBorders>
              <w:top w:val="single" w:sz="4" w:space="0" w:color="auto"/>
              <w:left w:val="nil"/>
              <w:bottom w:val="single" w:sz="4" w:space="0" w:color="auto"/>
              <w:right w:val="single" w:sz="4" w:space="0" w:color="auto"/>
            </w:tcBorders>
            <w:vAlign w:val="center"/>
          </w:tcPr>
          <w:p w14:paraId="6B9337BF" w14:textId="77777777" w:rsidR="00193B55" w:rsidRPr="007E1FB5" w:rsidRDefault="00193B55" w:rsidP="003D49C3">
            <w:pPr>
              <w:pStyle w:val="Tabletext"/>
              <w:jc w:val="center"/>
              <w:rPr>
                <w:rFonts w:eastAsia="Malgun Gothic"/>
                <w:szCs w:val="22"/>
                <w:lang w:val="es-ES_tradnl" w:eastAsia="ko-KR"/>
              </w:rPr>
            </w:pPr>
            <w:r w:rsidRPr="007E1FB5">
              <w:rPr>
                <w:rFonts w:eastAsia="Malgun Gothic"/>
                <w:szCs w:val="22"/>
                <w:lang w:val="es-ES_tradnl" w:eastAsia="ko-KR"/>
              </w:rPr>
              <w:t>Cualitativo</w:t>
            </w:r>
          </w:p>
        </w:tc>
      </w:tr>
      <w:tr w:rsidR="00193B55" w:rsidRPr="007E1FB5" w14:paraId="42AF0595" w14:textId="77777777" w:rsidTr="003D49C3">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54E831CB" w14:textId="77777777" w:rsidR="00193B55" w:rsidRPr="007E1FB5" w:rsidRDefault="00193B55" w:rsidP="003D49C3">
            <w:pPr>
              <w:pStyle w:val="Tabletext"/>
              <w:jc w:val="center"/>
              <w:rPr>
                <w:rFonts w:eastAsia="Malgun Gothic"/>
                <w:szCs w:val="22"/>
                <w:lang w:val="es-ES_tradnl" w:eastAsia="ko-KR"/>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6ACB1774" w14:textId="77777777" w:rsidR="00193B55" w:rsidRPr="007E1FB5" w:rsidRDefault="00193B55" w:rsidP="003D49C3">
            <w:pPr>
              <w:pStyle w:val="Tabletext"/>
              <w:jc w:val="center"/>
              <w:rPr>
                <w:rFonts w:eastAsia="Malgun Gothic"/>
                <w:szCs w:val="22"/>
                <w:lang w:val="es-ES_tradnl" w:eastAsia="ko-KR"/>
              </w:rPr>
            </w:pPr>
          </w:p>
        </w:tc>
        <w:tc>
          <w:tcPr>
            <w:tcW w:w="3969" w:type="dxa"/>
            <w:tcBorders>
              <w:top w:val="single" w:sz="4" w:space="0" w:color="auto"/>
              <w:left w:val="nil"/>
              <w:bottom w:val="single" w:sz="4" w:space="0" w:color="auto"/>
              <w:right w:val="single" w:sz="4" w:space="0" w:color="auto"/>
            </w:tcBorders>
            <w:vAlign w:val="center"/>
            <w:hideMark/>
          </w:tcPr>
          <w:p w14:paraId="0C4FADC3" w14:textId="77777777" w:rsidR="00193B55" w:rsidRPr="007E1FB5" w:rsidRDefault="00193B55" w:rsidP="003D49C3">
            <w:pPr>
              <w:pStyle w:val="TableText0"/>
              <w:jc w:val="left"/>
              <w:rPr>
                <w:rFonts w:eastAsia="Malgun Gothic"/>
                <w:sz w:val="22"/>
                <w:szCs w:val="22"/>
                <w:lang w:val="es-ES_tradnl"/>
              </w:rPr>
            </w:pPr>
            <w:r w:rsidRPr="007E1FB5">
              <w:rPr>
                <w:rFonts w:eastAsia="Malgun Gothic"/>
                <w:sz w:val="22"/>
                <w:szCs w:val="22"/>
                <w:lang w:val="es-ES_tradnl"/>
              </w:rPr>
              <w:t>Interés social y público</w:t>
            </w:r>
          </w:p>
        </w:tc>
        <w:tc>
          <w:tcPr>
            <w:tcW w:w="1422" w:type="dxa"/>
            <w:tcBorders>
              <w:top w:val="single" w:sz="4" w:space="0" w:color="auto"/>
              <w:left w:val="nil"/>
              <w:bottom w:val="single" w:sz="4" w:space="0" w:color="auto"/>
              <w:right w:val="single" w:sz="4" w:space="0" w:color="auto"/>
            </w:tcBorders>
            <w:vAlign w:val="center"/>
          </w:tcPr>
          <w:p w14:paraId="67C9C59D" w14:textId="77777777" w:rsidR="00193B55" w:rsidRPr="007E1FB5" w:rsidRDefault="00193B55" w:rsidP="003D49C3">
            <w:pPr>
              <w:pStyle w:val="Tabletext"/>
              <w:jc w:val="center"/>
              <w:rPr>
                <w:rFonts w:eastAsia="Malgun Gothic"/>
                <w:szCs w:val="22"/>
                <w:lang w:val="es-ES_tradnl" w:eastAsia="ko-KR"/>
              </w:rPr>
            </w:pPr>
            <w:r w:rsidRPr="007E1FB5">
              <w:rPr>
                <w:rFonts w:eastAsia="Malgun Gothic"/>
                <w:szCs w:val="22"/>
                <w:lang w:val="es-ES_tradnl" w:eastAsia="ko-KR"/>
              </w:rPr>
              <w:t>Cualitativo</w:t>
            </w:r>
          </w:p>
        </w:tc>
      </w:tr>
      <w:tr w:rsidR="00193B55" w:rsidRPr="007E1FB5" w14:paraId="7A399EFD" w14:textId="77777777" w:rsidTr="003D49C3">
        <w:trPr>
          <w:trHeight w:val="20"/>
          <w:jc w:val="center"/>
        </w:trPr>
        <w:tc>
          <w:tcPr>
            <w:tcW w:w="9639" w:type="dxa"/>
            <w:gridSpan w:val="4"/>
            <w:tcBorders>
              <w:top w:val="single" w:sz="4" w:space="0" w:color="auto"/>
              <w:left w:val="single" w:sz="4" w:space="0" w:color="auto"/>
              <w:bottom w:val="single" w:sz="4" w:space="0" w:color="auto"/>
              <w:right w:val="single" w:sz="4" w:space="0" w:color="auto"/>
            </w:tcBorders>
            <w:vAlign w:val="center"/>
            <w:hideMark/>
          </w:tcPr>
          <w:p w14:paraId="4F75EE09" w14:textId="77777777" w:rsidR="00193B55" w:rsidRPr="007E1FB5" w:rsidRDefault="00193B55" w:rsidP="003D49C3">
            <w:pPr>
              <w:pStyle w:val="TableText0"/>
              <w:jc w:val="center"/>
              <w:rPr>
                <w:rFonts w:eastAsia="Malgun Gothic"/>
                <w:bCs/>
                <w:sz w:val="22"/>
                <w:szCs w:val="22"/>
                <w:lang w:val="es-ES_tradnl"/>
              </w:rPr>
            </w:pPr>
            <w:r w:rsidRPr="007E1FB5">
              <w:rPr>
                <w:rFonts w:eastAsia="Malgun Gothic"/>
                <w:bCs/>
                <w:sz w:val="22"/>
                <w:szCs w:val="22"/>
                <w:lang w:val="es-ES_tradnl"/>
              </w:rPr>
              <w:t>Subtotal de la puntuación del grado de demanda del servicio (Y)</w:t>
            </w:r>
          </w:p>
        </w:tc>
      </w:tr>
      <w:tr w:rsidR="00193B55" w:rsidRPr="007E1FB5" w14:paraId="3F5ADB80" w14:textId="77777777" w:rsidTr="003D49C3">
        <w:trPr>
          <w:trHeight w:val="20"/>
          <w:jc w:val="center"/>
        </w:trPr>
        <w:tc>
          <w:tcPr>
            <w:tcW w:w="1868" w:type="dxa"/>
            <w:vMerge w:val="restart"/>
            <w:tcBorders>
              <w:top w:val="single" w:sz="4" w:space="0" w:color="auto"/>
              <w:left w:val="single" w:sz="4" w:space="0" w:color="auto"/>
              <w:bottom w:val="single" w:sz="4" w:space="0" w:color="auto"/>
              <w:right w:val="single" w:sz="4" w:space="0" w:color="auto"/>
            </w:tcBorders>
            <w:vAlign w:val="center"/>
            <w:hideMark/>
          </w:tcPr>
          <w:p w14:paraId="0F955A4E" w14:textId="77777777" w:rsidR="00193B55" w:rsidRPr="007E1FB5" w:rsidRDefault="00193B55" w:rsidP="003D49C3">
            <w:pPr>
              <w:pStyle w:val="TableText0"/>
              <w:jc w:val="center"/>
              <w:rPr>
                <w:rFonts w:eastAsia="Malgun Gothic"/>
                <w:sz w:val="22"/>
                <w:szCs w:val="22"/>
                <w:lang w:val="es-ES_tradnl"/>
              </w:rPr>
            </w:pPr>
            <w:r w:rsidRPr="007E1FB5">
              <w:rPr>
                <w:rFonts w:eastAsia="Malgun Gothic"/>
                <w:sz w:val="22"/>
                <w:szCs w:val="22"/>
                <w:lang w:val="es-ES_tradnl"/>
              </w:rPr>
              <w:t>Posibilidad de oferta de espectro</w:t>
            </w:r>
          </w:p>
        </w:tc>
        <w:tc>
          <w:tcPr>
            <w:tcW w:w="2380" w:type="dxa"/>
            <w:vMerge w:val="restart"/>
            <w:tcBorders>
              <w:top w:val="single" w:sz="4" w:space="0" w:color="auto"/>
              <w:left w:val="single" w:sz="4" w:space="0" w:color="auto"/>
              <w:bottom w:val="single" w:sz="4" w:space="0" w:color="auto"/>
              <w:right w:val="single" w:sz="4" w:space="0" w:color="auto"/>
            </w:tcBorders>
            <w:vAlign w:val="center"/>
            <w:hideMark/>
          </w:tcPr>
          <w:p w14:paraId="6FB628B1" w14:textId="77777777" w:rsidR="00193B55" w:rsidRPr="007E1FB5" w:rsidRDefault="00193B55" w:rsidP="003D49C3">
            <w:pPr>
              <w:pStyle w:val="TableText0"/>
              <w:jc w:val="center"/>
              <w:rPr>
                <w:rFonts w:eastAsia="Malgun Gothic"/>
                <w:sz w:val="22"/>
                <w:szCs w:val="22"/>
                <w:lang w:val="es-ES_tradnl"/>
              </w:rPr>
            </w:pPr>
            <w:r w:rsidRPr="007E1FB5">
              <w:rPr>
                <w:rFonts w:eastAsia="Malgun Gothic"/>
                <w:sz w:val="22"/>
                <w:szCs w:val="22"/>
                <w:lang w:val="es-ES_tradnl"/>
              </w:rPr>
              <w:t>Tasa de espectro no utilizado</w:t>
            </w:r>
          </w:p>
        </w:tc>
        <w:tc>
          <w:tcPr>
            <w:tcW w:w="3969" w:type="dxa"/>
            <w:tcBorders>
              <w:top w:val="single" w:sz="4" w:space="0" w:color="auto"/>
              <w:left w:val="nil"/>
              <w:bottom w:val="single" w:sz="4" w:space="0" w:color="auto"/>
              <w:right w:val="single" w:sz="4" w:space="0" w:color="auto"/>
            </w:tcBorders>
            <w:vAlign w:val="center"/>
            <w:hideMark/>
          </w:tcPr>
          <w:p w14:paraId="3A43FDA5" w14:textId="77777777" w:rsidR="00193B55" w:rsidRPr="007E1FB5" w:rsidRDefault="00193B55" w:rsidP="003D49C3">
            <w:pPr>
              <w:pStyle w:val="TableText0"/>
              <w:jc w:val="left"/>
              <w:rPr>
                <w:rFonts w:eastAsia="Malgun Gothic"/>
                <w:sz w:val="22"/>
                <w:szCs w:val="22"/>
                <w:lang w:val="es-ES_tradnl"/>
              </w:rPr>
            </w:pPr>
            <w:r w:rsidRPr="007E1FB5">
              <w:rPr>
                <w:rFonts w:eastAsia="Malgun Gothic"/>
                <w:sz w:val="22"/>
                <w:szCs w:val="22"/>
                <w:lang w:val="es-ES_tradnl"/>
              </w:rPr>
              <w:t>Tasa de espectro no utilizado en el territorio</w:t>
            </w:r>
          </w:p>
        </w:tc>
        <w:tc>
          <w:tcPr>
            <w:tcW w:w="1422" w:type="dxa"/>
            <w:tcBorders>
              <w:top w:val="single" w:sz="4" w:space="0" w:color="auto"/>
              <w:left w:val="nil"/>
              <w:bottom w:val="single" w:sz="4" w:space="0" w:color="auto"/>
              <w:right w:val="single" w:sz="4" w:space="0" w:color="auto"/>
            </w:tcBorders>
            <w:vAlign w:val="center"/>
          </w:tcPr>
          <w:p w14:paraId="5D6679C8" w14:textId="77777777" w:rsidR="00193B55" w:rsidRPr="007E1FB5" w:rsidRDefault="00193B55" w:rsidP="003D49C3">
            <w:pPr>
              <w:pStyle w:val="TableText0"/>
              <w:jc w:val="center"/>
              <w:rPr>
                <w:rFonts w:eastAsia="Malgun Gothic"/>
                <w:sz w:val="22"/>
                <w:szCs w:val="22"/>
                <w:lang w:val="es-ES_tradnl"/>
              </w:rPr>
            </w:pPr>
            <w:r w:rsidRPr="007E1FB5">
              <w:rPr>
                <w:rFonts w:eastAsia="Malgun Gothic"/>
                <w:sz w:val="22"/>
                <w:szCs w:val="22"/>
                <w:lang w:val="es-ES_tradnl"/>
              </w:rPr>
              <w:t>Cuantitativo</w:t>
            </w:r>
          </w:p>
        </w:tc>
      </w:tr>
      <w:tr w:rsidR="00193B55" w:rsidRPr="007E1FB5" w14:paraId="08E49179" w14:textId="77777777" w:rsidTr="003D49C3">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1BA3A248" w14:textId="77777777" w:rsidR="00193B55" w:rsidRPr="007E1FB5" w:rsidRDefault="00193B55" w:rsidP="003D49C3">
            <w:pPr>
              <w:pStyle w:val="TableText0"/>
              <w:jc w:val="center"/>
              <w:rPr>
                <w:rFonts w:eastAsia="Malgun Gothic"/>
                <w:sz w:val="22"/>
                <w:szCs w:val="22"/>
                <w:lang w:val="es-ES_tradnl"/>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6F956365" w14:textId="77777777" w:rsidR="00193B55" w:rsidRPr="007E1FB5" w:rsidRDefault="00193B55" w:rsidP="003D49C3">
            <w:pPr>
              <w:pStyle w:val="TableText0"/>
              <w:jc w:val="center"/>
              <w:rPr>
                <w:rFonts w:eastAsia="Malgun Gothic"/>
                <w:sz w:val="22"/>
                <w:szCs w:val="22"/>
                <w:lang w:val="es-ES_tradnl"/>
              </w:rPr>
            </w:pPr>
          </w:p>
        </w:tc>
        <w:tc>
          <w:tcPr>
            <w:tcW w:w="3969" w:type="dxa"/>
            <w:tcBorders>
              <w:top w:val="single" w:sz="4" w:space="0" w:color="auto"/>
              <w:left w:val="nil"/>
              <w:bottom w:val="single" w:sz="4" w:space="0" w:color="auto"/>
              <w:right w:val="single" w:sz="4" w:space="0" w:color="auto"/>
            </w:tcBorders>
            <w:vAlign w:val="center"/>
            <w:hideMark/>
          </w:tcPr>
          <w:p w14:paraId="5112FF38" w14:textId="77777777" w:rsidR="00193B55" w:rsidRPr="007E1FB5" w:rsidRDefault="00193B55" w:rsidP="003D49C3">
            <w:pPr>
              <w:pStyle w:val="TableText0"/>
              <w:jc w:val="left"/>
              <w:rPr>
                <w:rFonts w:eastAsia="Malgun Gothic"/>
                <w:sz w:val="22"/>
                <w:szCs w:val="22"/>
                <w:lang w:val="es-ES_tradnl"/>
              </w:rPr>
            </w:pPr>
            <w:r w:rsidRPr="007E1FB5">
              <w:rPr>
                <w:rFonts w:eastAsia="Malgun Gothic"/>
                <w:sz w:val="22"/>
                <w:szCs w:val="22"/>
                <w:lang w:val="es-ES_tradnl"/>
              </w:rPr>
              <w:t>Tasa de espectro no utilizado en grandes ciudades</w:t>
            </w:r>
          </w:p>
        </w:tc>
        <w:tc>
          <w:tcPr>
            <w:tcW w:w="1422" w:type="dxa"/>
            <w:tcBorders>
              <w:top w:val="single" w:sz="4" w:space="0" w:color="auto"/>
              <w:left w:val="nil"/>
              <w:bottom w:val="single" w:sz="4" w:space="0" w:color="auto"/>
              <w:right w:val="single" w:sz="4" w:space="0" w:color="auto"/>
            </w:tcBorders>
            <w:vAlign w:val="center"/>
          </w:tcPr>
          <w:p w14:paraId="60D5E5FA" w14:textId="77777777" w:rsidR="00193B55" w:rsidRPr="007E1FB5" w:rsidRDefault="00193B55" w:rsidP="003D49C3">
            <w:pPr>
              <w:pStyle w:val="TableText0"/>
              <w:jc w:val="center"/>
              <w:rPr>
                <w:rFonts w:eastAsia="Malgun Gothic"/>
                <w:sz w:val="22"/>
                <w:szCs w:val="22"/>
                <w:lang w:val="es-ES_tradnl"/>
              </w:rPr>
            </w:pPr>
            <w:r w:rsidRPr="007E1FB5">
              <w:rPr>
                <w:rFonts w:eastAsia="Malgun Gothic"/>
                <w:sz w:val="22"/>
                <w:szCs w:val="22"/>
                <w:lang w:val="es-ES_tradnl"/>
              </w:rPr>
              <w:t>Cuantitativo</w:t>
            </w:r>
          </w:p>
        </w:tc>
      </w:tr>
      <w:tr w:rsidR="00193B55" w:rsidRPr="007E1FB5" w14:paraId="1E4A1F98" w14:textId="77777777" w:rsidTr="003D49C3">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43AD86C7" w14:textId="77777777" w:rsidR="00193B55" w:rsidRPr="007E1FB5" w:rsidRDefault="00193B55" w:rsidP="003D49C3">
            <w:pPr>
              <w:pStyle w:val="TableText0"/>
              <w:jc w:val="center"/>
              <w:rPr>
                <w:rFonts w:eastAsia="Malgun Gothic"/>
                <w:sz w:val="22"/>
                <w:szCs w:val="22"/>
                <w:lang w:val="es-ES_tradnl"/>
              </w:rPr>
            </w:pPr>
          </w:p>
        </w:tc>
        <w:tc>
          <w:tcPr>
            <w:tcW w:w="2380" w:type="dxa"/>
            <w:vMerge w:val="restart"/>
            <w:tcBorders>
              <w:top w:val="single" w:sz="4" w:space="0" w:color="auto"/>
              <w:left w:val="single" w:sz="4" w:space="0" w:color="auto"/>
              <w:bottom w:val="single" w:sz="4" w:space="0" w:color="auto"/>
              <w:right w:val="single" w:sz="4" w:space="0" w:color="auto"/>
            </w:tcBorders>
            <w:vAlign w:val="center"/>
            <w:hideMark/>
          </w:tcPr>
          <w:p w14:paraId="7318667E" w14:textId="77777777" w:rsidR="00193B55" w:rsidRPr="007E1FB5" w:rsidRDefault="00193B55" w:rsidP="003D49C3">
            <w:pPr>
              <w:pStyle w:val="TableText0"/>
              <w:jc w:val="center"/>
              <w:rPr>
                <w:rFonts w:eastAsia="Malgun Gothic"/>
                <w:sz w:val="22"/>
                <w:szCs w:val="22"/>
                <w:lang w:val="es-ES_tradnl"/>
              </w:rPr>
            </w:pPr>
            <w:r w:rsidRPr="007E1FB5">
              <w:rPr>
                <w:rFonts w:eastAsia="Malgun Gothic"/>
                <w:sz w:val="22"/>
                <w:szCs w:val="22"/>
                <w:lang w:val="es-ES_tradnl"/>
              </w:rPr>
              <w:t>Posibilidad de obtener espectro</w:t>
            </w:r>
          </w:p>
        </w:tc>
        <w:tc>
          <w:tcPr>
            <w:tcW w:w="3969" w:type="dxa"/>
            <w:tcBorders>
              <w:top w:val="single" w:sz="4" w:space="0" w:color="auto"/>
              <w:left w:val="nil"/>
              <w:bottom w:val="single" w:sz="4" w:space="0" w:color="auto"/>
              <w:right w:val="single" w:sz="4" w:space="0" w:color="auto"/>
            </w:tcBorders>
            <w:vAlign w:val="center"/>
            <w:hideMark/>
          </w:tcPr>
          <w:p w14:paraId="0A20E6B0" w14:textId="77777777" w:rsidR="00193B55" w:rsidRPr="007E1FB5" w:rsidRDefault="00193B55" w:rsidP="003D49C3">
            <w:pPr>
              <w:pStyle w:val="TableText0"/>
              <w:jc w:val="left"/>
              <w:rPr>
                <w:rFonts w:eastAsia="Malgun Gothic"/>
                <w:sz w:val="22"/>
                <w:szCs w:val="22"/>
                <w:lang w:val="es-ES_tradnl"/>
              </w:rPr>
            </w:pPr>
            <w:r w:rsidRPr="007E1FB5">
              <w:rPr>
                <w:rFonts w:eastAsia="Malgun Gothic"/>
                <w:sz w:val="22"/>
                <w:szCs w:val="22"/>
                <w:lang w:val="es-ES_tradnl"/>
              </w:rPr>
              <w:t>Disponibilidad de bandas de frecuencias alternativas</w:t>
            </w:r>
          </w:p>
        </w:tc>
        <w:tc>
          <w:tcPr>
            <w:tcW w:w="1422" w:type="dxa"/>
            <w:tcBorders>
              <w:top w:val="single" w:sz="4" w:space="0" w:color="auto"/>
              <w:left w:val="nil"/>
              <w:bottom w:val="single" w:sz="4" w:space="0" w:color="auto"/>
              <w:right w:val="single" w:sz="4" w:space="0" w:color="auto"/>
            </w:tcBorders>
            <w:vAlign w:val="center"/>
          </w:tcPr>
          <w:p w14:paraId="2B3EAB9B" w14:textId="77777777" w:rsidR="00193B55" w:rsidRPr="007E1FB5" w:rsidRDefault="00193B55" w:rsidP="003D49C3">
            <w:pPr>
              <w:pStyle w:val="TableText0"/>
              <w:jc w:val="center"/>
              <w:rPr>
                <w:rFonts w:eastAsia="Malgun Gothic"/>
                <w:sz w:val="22"/>
                <w:szCs w:val="22"/>
                <w:lang w:val="es-ES_tradnl"/>
              </w:rPr>
            </w:pPr>
            <w:r w:rsidRPr="007E1FB5">
              <w:rPr>
                <w:rFonts w:eastAsia="Malgun Gothic"/>
                <w:sz w:val="22"/>
                <w:szCs w:val="22"/>
                <w:lang w:val="es-ES_tradnl"/>
              </w:rPr>
              <w:t>Cuantitativo</w:t>
            </w:r>
          </w:p>
        </w:tc>
      </w:tr>
      <w:tr w:rsidR="00193B55" w:rsidRPr="007E1FB5" w14:paraId="7F2F00C0" w14:textId="77777777" w:rsidTr="003D49C3">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1CAACC3C" w14:textId="77777777" w:rsidR="00193B55" w:rsidRPr="007E1FB5" w:rsidRDefault="00193B55" w:rsidP="003D49C3">
            <w:pPr>
              <w:pStyle w:val="TableText0"/>
              <w:jc w:val="center"/>
              <w:rPr>
                <w:rFonts w:eastAsia="Malgun Gothic"/>
                <w:sz w:val="22"/>
                <w:szCs w:val="22"/>
                <w:lang w:val="es-ES_tradnl"/>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5F69CE3F" w14:textId="77777777" w:rsidR="00193B55" w:rsidRPr="007E1FB5" w:rsidRDefault="00193B55" w:rsidP="003D49C3">
            <w:pPr>
              <w:pStyle w:val="TableText0"/>
              <w:jc w:val="center"/>
              <w:rPr>
                <w:rFonts w:eastAsia="Malgun Gothic"/>
                <w:sz w:val="22"/>
                <w:szCs w:val="22"/>
                <w:lang w:val="es-ES_tradnl"/>
              </w:rPr>
            </w:pPr>
          </w:p>
        </w:tc>
        <w:tc>
          <w:tcPr>
            <w:tcW w:w="3969" w:type="dxa"/>
            <w:tcBorders>
              <w:top w:val="single" w:sz="4" w:space="0" w:color="auto"/>
              <w:left w:val="nil"/>
              <w:bottom w:val="single" w:sz="4" w:space="0" w:color="auto"/>
              <w:right w:val="single" w:sz="4" w:space="0" w:color="auto"/>
            </w:tcBorders>
            <w:vAlign w:val="center"/>
            <w:hideMark/>
          </w:tcPr>
          <w:p w14:paraId="791A266B" w14:textId="77777777" w:rsidR="00193B55" w:rsidRPr="007E1FB5" w:rsidRDefault="00193B55" w:rsidP="003D49C3">
            <w:pPr>
              <w:pStyle w:val="TableText0"/>
              <w:jc w:val="left"/>
              <w:rPr>
                <w:rFonts w:eastAsia="Malgun Gothic"/>
                <w:sz w:val="22"/>
                <w:szCs w:val="22"/>
                <w:lang w:val="es-ES_tradnl"/>
              </w:rPr>
            </w:pPr>
            <w:r w:rsidRPr="007E1FB5">
              <w:rPr>
                <w:rFonts w:eastAsia="Malgun Gothic"/>
                <w:sz w:val="22"/>
                <w:szCs w:val="22"/>
                <w:lang w:val="es-ES_tradnl"/>
              </w:rPr>
              <w:t>Posibilidad de mantenimiento del espectro</w:t>
            </w:r>
          </w:p>
        </w:tc>
        <w:tc>
          <w:tcPr>
            <w:tcW w:w="1422" w:type="dxa"/>
            <w:tcBorders>
              <w:top w:val="single" w:sz="4" w:space="0" w:color="auto"/>
              <w:left w:val="nil"/>
              <w:bottom w:val="single" w:sz="4" w:space="0" w:color="auto"/>
              <w:right w:val="single" w:sz="4" w:space="0" w:color="auto"/>
            </w:tcBorders>
            <w:vAlign w:val="center"/>
          </w:tcPr>
          <w:p w14:paraId="7B40C769" w14:textId="77777777" w:rsidR="00193B55" w:rsidRPr="007E1FB5" w:rsidRDefault="00193B55" w:rsidP="003D49C3">
            <w:pPr>
              <w:pStyle w:val="TableText0"/>
              <w:jc w:val="center"/>
              <w:rPr>
                <w:rFonts w:eastAsia="Malgun Gothic"/>
                <w:sz w:val="22"/>
                <w:szCs w:val="22"/>
                <w:lang w:val="es-ES_tradnl"/>
              </w:rPr>
            </w:pPr>
            <w:r w:rsidRPr="007E1FB5">
              <w:rPr>
                <w:rFonts w:eastAsia="Malgun Gothic"/>
                <w:sz w:val="22"/>
                <w:szCs w:val="22"/>
                <w:lang w:val="es-ES_tradnl"/>
              </w:rPr>
              <w:t>Cualitativo</w:t>
            </w:r>
          </w:p>
        </w:tc>
      </w:tr>
      <w:tr w:rsidR="00193B55" w:rsidRPr="007E1FB5" w14:paraId="638F4634" w14:textId="77777777" w:rsidTr="003D49C3">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493CBE76" w14:textId="77777777" w:rsidR="00193B55" w:rsidRPr="007E1FB5" w:rsidRDefault="00193B55" w:rsidP="003D49C3">
            <w:pPr>
              <w:pStyle w:val="TableText0"/>
              <w:jc w:val="center"/>
              <w:rPr>
                <w:rFonts w:eastAsia="Malgun Gothic"/>
                <w:sz w:val="22"/>
                <w:szCs w:val="22"/>
                <w:lang w:val="es-ES_tradnl"/>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3A638052" w14:textId="77777777" w:rsidR="00193B55" w:rsidRPr="007E1FB5" w:rsidRDefault="00193B55" w:rsidP="003D49C3">
            <w:pPr>
              <w:pStyle w:val="TableText0"/>
              <w:jc w:val="center"/>
              <w:rPr>
                <w:rFonts w:eastAsia="Malgun Gothic"/>
                <w:sz w:val="22"/>
                <w:szCs w:val="22"/>
                <w:lang w:val="es-ES_tradnl"/>
              </w:rPr>
            </w:pPr>
          </w:p>
        </w:tc>
        <w:tc>
          <w:tcPr>
            <w:tcW w:w="3969" w:type="dxa"/>
            <w:tcBorders>
              <w:top w:val="single" w:sz="4" w:space="0" w:color="auto"/>
              <w:left w:val="nil"/>
              <w:bottom w:val="single" w:sz="4" w:space="0" w:color="auto"/>
              <w:right w:val="single" w:sz="4" w:space="0" w:color="auto"/>
            </w:tcBorders>
            <w:vAlign w:val="center"/>
            <w:hideMark/>
          </w:tcPr>
          <w:p w14:paraId="163EA042" w14:textId="77777777" w:rsidR="00193B55" w:rsidRPr="007E1FB5" w:rsidRDefault="00193B55" w:rsidP="003D49C3">
            <w:pPr>
              <w:pStyle w:val="TableText0"/>
              <w:jc w:val="left"/>
              <w:rPr>
                <w:rFonts w:eastAsia="Malgun Gothic"/>
                <w:sz w:val="22"/>
                <w:szCs w:val="22"/>
                <w:lang w:val="es-ES_tradnl"/>
              </w:rPr>
            </w:pPr>
            <w:r w:rsidRPr="007E1FB5">
              <w:rPr>
                <w:rFonts w:eastAsia="Malgun Gothic"/>
                <w:sz w:val="22"/>
                <w:szCs w:val="22"/>
                <w:lang w:val="es-ES_tradnl"/>
              </w:rPr>
              <w:t>Coste de la migración a alternativas</w:t>
            </w:r>
          </w:p>
        </w:tc>
        <w:tc>
          <w:tcPr>
            <w:tcW w:w="1422" w:type="dxa"/>
            <w:tcBorders>
              <w:top w:val="single" w:sz="4" w:space="0" w:color="auto"/>
              <w:left w:val="nil"/>
              <w:bottom w:val="single" w:sz="4" w:space="0" w:color="auto"/>
              <w:right w:val="single" w:sz="4" w:space="0" w:color="auto"/>
            </w:tcBorders>
            <w:vAlign w:val="center"/>
          </w:tcPr>
          <w:p w14:paraId="7B96CEFA" w14:textId="77777777" w:rsidR="00193B55" w:rsidRPr="007E1FB5" w:rsidRDefault="00193B55" w:rsidP="003D49C3">
            <w:pPr>
              <w:pStyle w:val="TableText0"/>
              <w:jc w:val="center"/>
              <w:rPr>
                <w:rFonts w:eastAsia="Malgun Gothic"/>
                <w:sz w:val="22"/>
                <w:szCs w:val="22"/>
                <w:lang w:val="es-ES_tradnl"/>
              </w:rPr>
            </w:pPr>
            <w:r w:rsidRPr="007E1FB5">
              <w:rPr>
                <w:rFonts w:eastAsia="Malgun Gothic"/>
                <w:sz w:val="22"/>
                <w:szCs w:val="22"/>
                <w:lang w:val="es-ES_tradnl"/>
              </w:rPr>
              <w:t>Cualitativo</w:t>
            </w:r>
          </w:p>
        </w:tc>
      </w:tr>
      <w:tr w:rsidR="00193B55" w:rsidRPr="007E1FB5" w14:paraId="6950E312" w14:textId="77777777" w:rsidTr="003D49C3">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0A851CA0" w14:textId="77777777" w:rsidR="00193B55" w:rsidRPr="007E1FB5" w:rsidRDefault="00193B55" w:rsidP="003D49C3">
            <w:pPr>
              <w:pStyle w:val="TableText0"/>
              <w:jc w:val="center"/>
              <w:rPr>
                <w:rFonts w:eastAsia="Malgun Gothic"/>
                <w:sz w:val="22"/>
                <w:szCs w:val="22"/>
                <w:lang w:val="es-ES_tradnl"/>
              </w:rPr>
            </w:pPr>
          </w:p>
        </w:tc>
        <w:tc>
          <w:tcPr>
            <w:tcW w:w="2380" w:type="dxa"/>
            <w:vMerge w:val="restart"/>
            <w:tcBorders>
              <w:top w:val="single" w:sz="4" w:space="0" w:color="auto"/>
              <w:left w:val="single" w:sz="4" w:space="0" w:color="auto"/>
              <w:bottom w:val="single" w:sz="4" w:space="0" w:color="auto"/>
              <w:right w:val="single" w:sz="4" w:space="0" w:color="auto"/>
            </w:tcBorders>
            <w:vAlign w:val="center"/>
            <w:hideMark/>
          </w:tcPr>
          <w:p w14:paraId="2FA7D089" w14:textId="77777777" w:rsidR="00193B55" w:rsidRPr="007E1FB5" w:rsidRDefault="00193B55" w:rsidP="003D49C3">
            <w:pPr>
              <w:pStyle w:val="TableText0"/>
              <w:jc w:val="center"/>
              <w:rPr>
                <w:rFonts w:eastAsia="Malgun Gothic"/>
                <w:sz w:val="22"/>
                <w:szCs w:val="22"/>
                <w:lang w:val="es-ES_tradnl"/>
              </w:rPr>
            </w:pPr>
            <w:r w:rsidRPr="007E1FB5">
              <w:rPr>
                <w:rFonts w:eastAsia="Malgun Gothic"/>
                <w:sz w:val="22"/>
                <w:szCs w:val="22"/>
                <w:lang w:val="es-ES_tradnl"/>
              </w:rPr>
              <w:t>Otras consideraciones</w:t>
            </w:r>
          </w:p>
        </w:tc>
        <w:tc>
          <w:tcPr>
            <w:tcW w:w="3969" w:type="dxa"/>
            <w:tcBorders>
              <w:top w:val="single" w:sz="4" w:space="0" w:color="auto"/>
              <w:left w:val="nil"/>
              <w:bottom w:val="single" w:sz="4" w:space="0" w:color="auto"/>
              <w:right w:val="single" w:sz="4" w:space="0" w:color="auto"/>
            </w:tcBorders>
            <w:vAlign w:val="center"/>
            <w:hideMark/>
          </w:tcPr>
          <w:p w14:paraId="53F7EA44" w14:textId="77777777" w:rsidR="00193B55" w:rsidRPr="007E1FB5" w:rsidRDefault="00193B55" w:rsidP="003D49C3">
            <w:pPr>
              <w:pStyle w:val="TableText0"/>
              <w:jc w:val="left"/>
              <w:rPr>
                <w:rFonts w:eastAsia="Malgun Gothic"/>
                <w:sz w:val="22"/>
                <w:szCs w:val="22"/>
                <w:lang w:val="es-ES_tradnl"/>
              </w:rPr>
            </w:pPr>
            <w:r w:rsidRPr="007E1FB5">
              <w:rPr>
                <w:rFonts w:eastAsia="Malgun Gothic"/>
                <w:sz w:val="22"/>
                <w:szCs w:val="22"/>
                <w:lang w:val="es-ES_tradnl"/>
              </w:rPr>
              <w:t>Aceptabilidad de los usuarios tradicionales</w:t>
            </w:r>
          </w:p>
        </w:tc>
        <w:tc>
          <w:tcPr>
            <w:tcW w:w="1422" w:type="dxa"/>
            <w:tcBorders>
              <w:top w:val="single" w:sz="4" w:space="0" w:color="auto"/>
              <w:left w:val="nil"/>
              <w:bottom w:val="single" w:sz="4" w:space="0" w:color="auto"/>
              <w:right w:val="single" w:sz="4" w:space="0" w:color="auto"/>
            </w:tcBorders>
            <w:vAlign w:val="center"/>
          </w:tcPr>
          <w:p w14:paraId="68E30C04" w14:textId="77777777" w:rsidR="00193B55" w:rsidRPr="007E1FB5" w:rsidRDefault="00193B55" w:rsidP="003D49C3">
            <w:pPr>
              <w:pStyle w:val="TableText0"/>
              <w:jc w:val="center"/>
              <w:rPr>
                <w:rFonts w:eastAsia="Malgun Gothic"/>
                <w:sz w:val="22"/>
                <w:szCs w:val="22"/>
                <w:lang w:val="es-ES_tradnl"/>
              </w:rPr>
            </w:pPr>
            <w:r w:rsidRPr="007E1FB5">
              <w:rPr>
                <w:rFonts w:eastAsia="Malgun Gothic"/>
                <w:sz w:val="22"/>
                <w:szCs w:val="22"/>
                <w:lang w:val="es-ES_tradnl"/>
              </w:rPr>
              <w:t>Cualitativo</w:t>
            </w:r>
          </w:p>
        </w:tc>
      </w:tr>
      <w:tr w:rsidR="00193B55" w:rsidRPr="007E1FB5" w14:paraId="4ED5F0BD" w14:textId="77777777" w:rsidTr="003D49C3">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5F241FC6" w14:textId="77777777" w:rsidR="00193B55" w:rsidRPr="007E1FB5" w:rsidRDefault="00193B55" w:rsidP="003D49C3">
            <w:pPr>
              <w:pStyle w:val="TableText0"/>
              <w:rPr>
                <w:rFonts w:eastAsia="Malgun Gothic"/>
                <w:sz w:val="22"/>
                <w:szCs w:val="22"/>
                <w:lang w:val="es-ES_tradnl"/>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07E3E0E6" w14:textId="77777777" w:rsidR="00193B55" w:rsidRPr="007E1FB5" w:rsidRDefault="00193B55" w:rsidP="003D49C3">
            <w:pPr>
              <w:pStyle w:val="TableText0"/>
              <w:rPr>
                <w:rFonts w:eastAsia="Malgun Gothic"/>
                <w:sz w:val="22"/>
                <w:szCs w:val="22"/>
                <w:lang w:val="es-ES_tradnl"/>
              </w:rPr>
            </w:pPr>
          </w:p>
        </w:tc>
        <w:tc>
          <w:tcPr>
            <w:tcW w:w="3969" w:type="dxa"/>
            <w:tcBorders>
              <w:top w:val="single" w:sz="4" w:space="0" w:color="auto"/>
              <w:left w:val="nil"/>
              <w:bottom w:val="single" w:sz="4" w:space="0" w:color="auto"/>
              <w:right w:val="single" w:sz="4" w:space="0" w:color="auto"/>
            </w:tcBorders>
            <w:vAlign w:val="center"/>
            <w:hideMark/>
          </w:tcPr>
          <w:p w14:paraId="4C379598" w14:textId="77777777" w:rsidR="00193B55" w:rsidRPr="007E1FB5" w:rsidRDefault="00193B55" w:rsidP="003D49C3">
            <w:pPr>
              <w:pStyle w:val="TableText0"/>
              <w:jc w:val="left"/>
              <w:rPr>
                <w:rFonts w:eastAsia="Malgun Gothic"/>
                <w:sz w:val="22"/>
                <w:szCs w:val="22"/>
                <w:lang w:val="es-ES_tradnl"/>
              </w:rPr>
            </w:pPr>
            <w:r w:rsidRPr="007E1FB5">
              <w:rPr>
                <w:rFonts w:eastAsia="Malgun Gothic"/>
                <w:sz w:val="22"/>
                <w:szCs w:val="22"/>
                <w:lang w:val="es-ES_tradnl"/>
              </w:rPr>
              <w:t>Relevancia del interés público para los nuevos usos</w:t>
            </w:r>
          </w:p>
        </w:tc>
        <w:tc>
          <w:tcPr>
            <w:tcW w:w="1422" w:type="dxa"/>
            <w:tcBorders>
              <w:top w:val="single" w:sz="4" w:space="0" w:color="auto"/>
              <w:left w:val="nil"/>
              <w:bottom w:val="single" w:sz="4" w:space="0" w:color="auto"/>
              <w:right w:val="single" w:sz="4" w:space="0" w:color="auto"/>
            </w:tcBorders>
            <w:vAlign w:val="center"/>
          </w:tcPr>
          <w:p w14:paraId="0B72D159" w14:textId="77777777" w:rsidR="00193B55" w:rsidRPr="007E1FB5" w:rsidRDefault="00193B55" w:rsidP="003D49C3">
            <w:pPr>
              <w:pStyle w:val="TableText0"/>
              <w:jc w:val="center"/>
              <w:rPr>
                <w:rFonts w:eastAsia="Malgun Gothic"/>
                <w:sz w:val="22"/>
                <w:szCs w:val="22"/>
                <w:lang w:val="es-ES_tradnl"/>
              </w:rPr>
            </w:pPr>
            <w:r w:rsidRPr="007E1FB5">
              <w:rPr>
                <w:rFonts w:eastAsia="Malgun Gothic"/>
                <w:sz w:val="22"/>
                <w:szCs w:val="22"/>
                <w:lang w:val="es-ES_tradnl"/>
              </w:rPr>
              <w:t>Cualitativo</w:t>
            </w:r>
          </w:p>
        </w:tc>
      </w:tr>
      <w:tr w:rsidR="00193B55" w:rsidRPr="007E1FB5" w14:paraId="7E33A741" w14:textId="77777777" w:rsidTr="003D49C3">
        <w:trPr>
          <w:trHeight w:val="20"/>
          <w:jc w:val="center"/>
        </w:trPr>
        <w:tc>
          <w:tcPr>
            <w:tcW w:w="9639" w:type="dxa"/>
            <w:gridSpan w:val="4"/>
            <w:tcBorders>
              <w:top w:val="single" w:sz="4" w:space="0" w:color="auto"/>
              <w:left w:val="single" w:sz="4" w:space="0" w:color="auto"/>
              <w:bottom w:val="single" w:sz="4" w:space="0" w:color="auto"/>
              <w:right w:val="single" w:sz="4" w:space="0" w:color="auto"/>
            </w:tcBorders>
            <w:vAlign w:val="center"/>
            <w:hideMark/>
          </w:tcPr>
          <w:p w14:paraId="00815F5A" w14:textId="77777777" w:rsidR="00193B55" w:rsidRPr="007E1FB5" w:rsidRDefault="00193B55" w:rsidP="003D49C3">
            <w:pPr>
              <w:pStyle w:val="TableText0"/>
              <w:rPr>
                <w:rFonts w:eastAsia="Malgun Gothic"/>
                <w:sz w:val="22"/>
                <w:szCs w:val="22"/>
                <w:lang w:val="es-ES_tradnl"/>
              </w:rPr>
            </w:pPr>
            <w:r w:rsidRPr="007E1FB5">
              <w:rPr>
                <w:rFonts w:eastAsia="Malgun Gothic"/>
                <w:sz w:val="22"/>
                <w:szCs w:val="22"/>
                <w:lang w:val="es-ES_tradnl"/>
              </w:rPr>
              <w:t>Subtotal de la puntuación de la posibilidad de oferta de espectro (X)</w:t>
            </w:r>
          </w:p>
        </w:tc>
      </w:tr>
      <w:tr w:rsidR="00193B55" w:rsidRPr="007E1FB5" w14:paraId="23CBFD6C" w14:textId="77777777" w:rsidTr="003D49C3">
        <w:trPr>
          <w:trHeight w:val="20"/>
          <w:jc w:val="center"/>
        </w:trPr>
        <w:tc>
          <w:tcPr>
            <w:tcW w:w="9639" w:type="dxa"/>
            <w:gridSpan w:val="4"/>
            <w:tcBorders>
              <w:top w:val="single" w:sz="4" w:space="0" w:color="auto"/>
              <w:left w:val="single" w:sz="4" w:space="0" w:color="auto"/>
              <w:bottom w:val="single" w:sz="4" w:space="0" w:color="auto"/>
              <w:right w:val="single" w:sz="4" w:space="0" w:color="auto"/>
            </w:tcBorders>
            <w:vAlign w:val="center"/>
            <w:hideMark/>
          </w:tcPr>
          <w:p w14:paraId="1EA46539" w14:textId="77777777" w:rsidR="00193B55" w:rsidRPr="007E1FB5" w:rsidRDefault="00193B55" w:rsidP="003D49C3">
            <w:pPr>
              <w:pStyle w:val="TableText0"/>
              <w:rPr>
                <w:rFonts w:eastAsia="Malgun Gothic"/>
                <w:sz w:val="22"/>
                <w:szCs w:val="22"/>
                <w:lang w:val="es-ES_tradnl"/>
              </w:rPr>
            </w:pPr>
            <w:r w:rsidRPr="007E1FB5">
              <w:rPr>
                <w:rFonts w:eastAsia="Malgun Gothic"/>
                <w:sz w:val="22"/>
                <w:szCs w:val="22"/>
                <w:lang w:val="es-ES_tradnl"/>
              </w:rPr>
              <w:t>Total (</w:t>
            </w:r>
            <w:proofErr w:type="gramStart"/>
            <w:r w:rsidRPr="007E1FB5">
              <w:rPr>
                <w:rFonts w:eastAsia="Malgun Gothic"/>
                <w:sz w:val="22"/>
                <w:szCs w:val="22"/>
                <w:lang w:val="es-ES_tradnl"/>
              </w:rPr>
              <w:t>X,Y</w:t>
            </w:r>
            <w:proofErr w:type="gramEnd"/>
            <w:r w:rsidRPr="007E1FB5">
              <w:rPr>
                <w:rFonts w:eastAsia="Malgun Gothic"/>
                <w:sz w:val="22"/>
                <w:szCs w:val="22"/>
                <w:lang w:val="es-ES_tradnl"/>
              </w:rPr>
              <w:t>)</w:t>
            </w:r>
          </w:p>
        </w:tc>
      </w:tr>
    </w:tbl>
    <w:p w14:paraId="63C5D72C" w14:textId="77777777" w:rsidR="00193B55" w:rsidRPr="007E1FB5" w:rsidRDefault="00193B55" w:rsidP="00193B55">
      <w:pPr>
        <w:pStyle w:val="Tablefin"/>
        <w:rPr>
          <w:rFonts w:eastAsia="Batang"/>
          <w:lang w:val="es-ES_tradnl"/>
        </w:rPr>
      </w:pPr>
    </w:p>
    <w:p w14:paraId="37DCA301" w14:textId="77777777" w:rsidR="00193B55" w:rsidRPr="007E1FB5" w:rsidRDefault="00193B55" w:rsidP="00193B55">
      <w:pPr>
        <w:rPr>
          <w:rFonts w:eastAsia="Batang"/>
          <w:lang w:val="es-ES_tradnl" w:eastAsia="ko-KR"/>
        </w:rPr>
      </w:pPr>
      <w:r w:rsidRPr="007E1FB5">
        <w:rPr>
          <w:rFonts w:eastAsia="Batang"/>
          <w:sz w:val="22"/>
          <w:szCs w:val="22"/>
          <w:lang w:val="es-ES_tradnl" w:eastAsia="ko-KR"/>
        </w:rPr>
        <w:t>Los resultados de la evaluación de cada banda se muestran en un diagrama ma</w:t>
      </w:r>
      <w:r w:rsidRPr="007E1FB5">
        <w:rPr>
          <w:rFonts w:eastAsia="Batang"/>
          <w:lang w:val="es-ES_tradnl" w:eastAsia="ko-KR"/>
        </w:rPr>
        <w:t>tricial a fin de clasificar la prioridad de la reorganización en uno de cuatro grados. En la escala vertical se representa el nivel de demanda del servicio (de 0 a 5) y en la horizontal la posibilidad de suministro de espectro (de 0 a 5). Si la banda evaluada se sitúa en el primer cuadrante (grado I), se procederá a la reorganización del espectro para mejorar la eficacia con la que se utiliza y, si se sitúa en el segundo cuadrante (grado II), se prohibirá la concesión de nuevas licencias y se revisarán las medidas de eficacia a largo plazo previo aviso. Si la banda se sitúa en el tercer cuadrante (grado III), seguirá utilizándose de forma continua y, si se sitúa en el cuarto cuadrante (grado IV), se promoverá la utilización de los servicios operativos en ese momento o la investigación de nuevas demandas.</w:t>
      </w:r>
    </w:p>
    <w:p w14:paraId="2666260C" w14:textId="77777777" w:rsidR="00193B55" w:rsidRPr="007E1FB5" w:rsidRDefault="00193B55" w:rsidP="00193B55">
      <w:pPr>
        <w:pStyle w:val="FigureNo"/>
        <w:rPr>
          <w:rFonts w:eastAsia="Batang"/>
          <w:lang w:val="es-ES_tradnl" w:eastAsia="ko-KR"/>
        </w:rPr>
      </w:pPr>
      <w:r w:rsidRPr="007E1FB5">
        <w:rPr>
          <w:rFonts w:eastAsia="Batang"/>
          <w:lang w:val="es-ES_tradnl" w:eastAsia="ko-KR"/>
        </w:rPr>
        <w:lastRenderedPageBreak/>
        <w:t>FigurA 6</w:t>
      </w:r>
    </w:p>
    <w:p w14:paraId="37CE552E" w14:textId="77777777" w:rsidR="00193B55" w:rsidRPr="007E1FB5" w:rsidRDefault="00193B55" w:rsidP="00193B55">
      <w:pPr>
        <w:pStyle w:val="Figuretitle"/>
        <w:rPr>
          <w:rFonts w:eastAsia="Malgun Gothic"/>
          <w:lang w:val="es-ES_tradnl" w:eastAsia="ko-KR"/>
        </w:rPr>
      </w:pPr>
      <w:r w:rsidRPr="007E1FB5">
        <w:rPr>
          <w:rFonts w:eastAsia="Batang"/>
          <w:lang w:val="es-ES_tradnl"/>
        </w:rPr>
        <w:t xml:space="preserve">Ejemplo de resultados de una </w:t>
      </w:r>
      <w:r w:rsidRPr="007E1FB5">
        <w:rPr>
          <w:rFonts w:eastAsia="Malgun Gothic"/>
          <w:lang w:val="es-ES_tradnl" w:eastAsia="ko-KR"/>
        </w:rPr>
        <w:t>evaluación de la eficacia con que se utiliza el espectro</w:t>
      </w:r>
    </w:p>
    <w:p w14:paraId="01A68FBF" w14:textId="77777777" w:rsidR="00193B55" w:rsidRPr="007E1FB5" w:rsidRDefault="00193B55" w:rsidP="00193B55">
      <w:pPr>
        <w:pStyle w:val="Figure"/>
        <w:rPr>
          <w:rFonts w:eastAsia="Malgun Gothic"/>
          <w:lang w:val="es-ES_tradnl" w:eastAsia="ko-KR"/>
        </w:rPr>
      </w:pPr>
      <w:r w:rsidRPr="007E1FB5">
        <w:rPr>
          <w:rFonts w:eastAsia="Malgun Gothic"/>
          <w:noProof/>
          <w:lang w:val="es-ES_tradnl" w:eastAsia="ko-KR"/>
        </w:rPr>
        <w:drawing>
          <wp:inline distT="0" distB="0" distL="0" distR="0" wp14:anchorId="674F29EA" wp14:editId="61866714">
            <wp:extent cx="4968250" cy="4465329"/>
            <wp:effectExtent l="0" t="0" r="3810" b="0"/>
            <wp:docPr id="1895892933" name="Picture 6" descr="La FIGURA 6 muestra el Ejemplo de resultados de una evaluación de la eficacia con que se utiliza el espectr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92933" name="Picture 6" descr="La FIGURA 6 muestra el Ejemplo de resultados de una evaluación de la eficacia con que se utiliza el espectro&#1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968250" cy="4465329"/>
                    </a:xfrm>
                    <a:prstGeom prst="rect">
                      <a:avLst/>
                    </a:prstGeom>
                  </pic:spPr>
                </pic:pic>
              </a:graphicData>
            </a:graphic>
          </wp:inline>
        </w:drawing>
      </w:r>
    </w:p>
    <w:p w14:paraId="6DE5312E" w14:textId="77777777" w:rsidR="00193B55" w:rsidRPr="007E1FB5" w:rsidRDefault="00193B55" w:rsidP="00193B55">
      <w:pPr>
        <w:pStyle w:val="Heading1"/>
        <w:rPr>
          <w:rFonts w:eastAsia="Batang"/>
          <w:lang w:val="es-ES_tradnl" w:eastAsia="zh-CN"/>
        </w:rPr>
      </w:pPr>
      <w:bookmarkStart w:id="274" w:name="_Toc184650263"/>
      <w:bookmarkStart w:id="275" w:name="_Toc184652813"/>
      <w:bookmarkStart w:id="276" w:name="_Toc184652864"/>
      <w:bookmarkStart w:id="277" w:name="_Toc216630171"/>
      <w:bookmarkStart w:id="278" w:name="_Toc216693457"/>
      <w:bookmarkStart w:id="279" w:name="_Toc217031165"/>
      <w:r w:rsidRPr="007E1FB5">
        <w:rPr>
          <w:rFonts w:eastAsia="Batang"/>
          <w:lang w:val="es-ES_tradnl" w:eastAsia="zh-CN"/>
        </w:rPr>
        <w:t>3</w:t>
      </w:r>
      <w:r w:rsidRPr="007E1FB5">
        <w:rPr>
          <w:rFonts w:eastAsia="Batang"/>
          <w:lang w:val="es-ES_tradnl" w:eastAsia="zh-CN"/>
        </w:rPr>
        <w:tab/>
      </w:r>
      <w:proofErr w:type="gramStart"/>
      <w:r w:rsidRPr="007E1FB5">
        <w:rPr>
          <w:rFonts w:eastAsia="Batang"/>
          <w:lang w:val="es-ES_tradnl" w:eastAsia="zh-CN"/>
        </w:rPr>
        <w:t>Casos</w:t>
      </w:r>
      <w:proofErr w:type="gramEnd"/>
      <w:r w:rsidRPr="007E1FB5">
        <w:rPr>
          <w:rFonts w:eastAsia="Batang"/>
          <w:lang w:val="es-ES_tradnl" w:eastAsia="zh-CN"/>
        </w:rPr>
        <w:t xml:space="preserve"> reales de evaluación</w:t>
      </w:r>
      <w:bookmarkEnd w:id="274"/>
      <w:bookmarkEnd w:id="275"/>
      <w:bookmarkEnd w:id="276"/>
      <w:bookmarkEnd w:id="277"/>
      <w:bookmarkEnd w:id="278"/>
      <w:bookmarkEnd w:id="279"/>
    </w:p>
    <w:p w14:paraId="0C9CA4A8" w14:textId="77777777" w:rsidR="00193B55" w:rsidRPr="007E1FB5" w:rsidRDefault="00193B55" w:rsidP="00193B55">
      <w:pPr>
        <w:rPr>
          <w:rFonts w:eastAsia="Malgun Gothic"/>
          <w:lang w:val="es-ES_tradnl" w:eastAsia="ko-KR"/>
        </w:rPr>
      </w:pPr>
      <w:r w:rsidRPr="007E1FB5">
        <w:rPr>
          <w:rFonts w:eastAsia="Malgun Gothic"/>
          <w:lang w:val="es-ES_tradnl" w:eastAsia="ko-KR"/>
        </w:rPr>
        <w:t>En 2020, la evaluación se realizó en las bandas medias (3 a 10 GHz), en las que se registró un rápido aumento de la demanda de frecuencias a escala internacional, en especial para tecnologías 5G y Wi</w:t>
      </w:r>
      <w:r w:rsidRPr="007E1FB5">
        <w:rPr>
          <w:rFonts w:eastAsia="Malgun Gothic"/>
          <w:lang w:val="es-ES_tradnl" w:eastAsia="ko-KR"/>
        </w:rPr>
        <w:noBreakHyphen/>
        <w:t>Fi. En la evaluación se concluyó que era necesario reatribuir el espectro de las bandas de 3,7~4,0 GHz/3,42 GHz/6 GHz y que existían demandas nacionales reales para tecnologías como podían ser la 5G, Wi-Fi, etc. que podía satisfacerse mediante una reorganización del espectro. Además, la utilización de la banda de 5,85~5,925 GHz, destinada a los sistemas de transporte inteligentes (STI), requería activación puesto que la nueva demanda era baja y el servicio existente estaba infrautilizado. Se concluyó asimismo que la banda de 8 GHz, que presentaba una baja demanda de nuevos servicios y albergaba escasas posibilidades de oferta de bandas sustitutivas debido a la saturación de los servicios existentes, seguiría utilizándose.</w:t>
      </w:r>
    </w:p>
    <w:p w14:paraId="7065721B" w14:textId="77777777" w:rsidR="00193B55" w:rsidRPr="007E1FB5" w:rsidRDefault="00193B55" w:rsidP="00193B55">
      <w:pPr>
        <w:rPr>
          <w:rFonts w:eastAsia="Malgun Gothic"/>
          <w:lang w:val="es-ES_tradnl" w:eastAsia="ko-KR"/>
        </w:rPr>
      </w:pPr>
      <w:r w:rsidRPr="007E1FB5">
        <w:rPr>
          <w:lang w:val="es-ES_tradnl"/>
        </w:rPr>
        <w:t xml:space="preserve">Para </w:t>
      </w:r>
      <w:r w:rsidRPr="007E1FB5">
        <w:rPr>
          <w:rFonts w:eastAsia="Malgun Gothic"/>
          <w:lang w:val="es-ES_tradnl" w:eastAsia="ko-KR"/>
        </w:rPr>
        <w:t>dar</w:t>
      </w:r>
      <w:r w:rsidRPr="007E1FB5">
        <w:rPr>
          <w:lang w:val="es-ES_tradnl"/>
        </w:rPr>
        <w:t xml:space="preserve"> seguimiento a los resultados de esta evaluación, se implantó el sistema de previsión de la reorganización del espectro para las bandas de 3,7 a 4,0 GHz (incluidos de 3,4 a 3,42 </w:t>
      </w:r>
      <w:proofErr w:type="gramStart"/>
      <w:r w:rsidRPr="007E1FB5">
        <w:rPr>
          <w:lang w:val="es-ES_tradnl"/>
        </w:rPr>
        <w:t>GHz)/</w:t>
      </w:r>
      <w:proofErr w:type="gramEnd"/>
      <w:r w:rsidRPr="007E1FB5">
        <w:rPr>
          <w:lang w:val="es-ES_tradnl"/>
        </w:rPr>
        <w:t>6 GHz, cuyo espectro debía reorganizarse según la evaluación. A través del sistema de previsión, se informó a los usuarios arraigados, a los fabricantes de dispositivos y a los vendedores de los planes administrativos, incluidos los cuadros de atribución de espectro y las notificaciones correspondientes, así como de las medidas de compensación dirigidas a los usuarios que pudieran sufrir pérdidas a raíz de la reorganización del espectro.</w:t>
      </w:r>
    </w:p>
    <w:p w14:paraId="7ED77509" w14:textId="77777777" w:rsidR="00193B55" w:rsidRPr="007E1FB5" w:rsidRDefault="00193B55" w:rsidP="00193B55">
      <w:pPr>
        <w:pStyle w:val="FigureNo"/>
        <w:rPr>
          <w:rFonts w:eastAsia="Batang"/>
          <w:lang w:val="es-ES_tradnl" w:eastAsia="ko-KR"/>
        </w:rPr>
      </w:pPr>
      <w:r w:rsidRPr="007E1FB5">
        <w:rPr>
          <w:rFonts w:eastAsia="Batang"/>
          <w:lang w:val="es-ES_tradnl" w:eastAsia="ko-KR"/>
        </w:rPr>
        <w:lastRenderedPageBreak/>
        <w:t>FigurA 7</w:t>
      </w:r>
    </w:p>
    <w:p w14:paraId="2AB1C498" w14:textId="77777777" w:rsidR="00193B55" w:rsidRPr="007E1FB5" w:rsidRDefault="00193B55" w:rsidP="00193B55">
      <w:pPr>
        <w:pStyle w:val="Figuretitle"/>
        <w:rPr>
          <w:rFonts w:eastAsia="Batang"/>
          <w:lang w:val="es-ES_tradnl"/>
        </w:rPr>
      </w:pPr>
      <w:r w:rsidRPr="007E1FB5">
        <w:rPr>
          <w:rFonts w:eastAsia="Batang"/>
          <w:lang w:val="es-ES_tradnl"/>
        </w:rPr>
        <w:t>Resultados de la evaluación de la eficacia con que se utiliza el espectro (2020)</w:t>
      </w:r>
    </w:p>
    <w:p w14:paraId="00CFCB79" w14:textId="77777777" w:rsidR="00193B55" w:rsidRPr="007E1FB5" w:rsidRDefault="00193B55" w:rsidP="00193B55">
      <w:pPr>
        <w:pStyle w:val="Figure"/>
        <w:rPr>
          <w:rFonts w:eastAsia="Gulim"/>
          <w:lang w:val="es-ES_tradnl" w:eastAsia="ko-KR"/>
        </w:rPr>
      </w:pPr>
      <w:r w:rsidRPr="007E1FB5">
        <w:rPr>
          <w:rFonts w:eastAsia="Gulim"/>
          <w:noProof/>
          <w:lang w:val="es-ES_tradnl" w:eastAsia="ko-KR"/>
        </w:rPr>
        <w:drawing>
          <wp:inline distT="0" distB="0" distL="0" distR="0" wp14:anchorId="41DC7A0B" wp14:editId="776486A4">
            <wp:extent cx="6120765" cy="4646295"/>
            <wp:effectExtent l="0" t="0" r="0" b="1905"/>
            <wp:docPr id="1275969717" name="Picture 5" descr="La FIGURA 7 muestra los Resultados de la evaluación de la eficacia con que se utiliza el espectro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69717" name="Picture 5" descr="La FIGURA 7 muestra los Resultados de la evaluación de la eficacia con que se utiliza el espectro (2020)&#1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20765" cy="4646295"/>
                    </a:xfrm>
                    <a:prstGeom prst="rect">
                      <a:avLst/>
                    </a:prstGeom>
                  </pic:spPr>
                </pic:pic>
              </a:graphicData>
            </a:graphic>
          </wp:inline>
        </w:drawing>
      </w:r>
    </w:p>
    <w:p w14:paraId="3EBD82AD" w14:textId="77777777" w:rsidR="00193B55" w:rsidRPr="007E1FB5" w:rsidRDefault="00193B55" w:rsidP="00193B55">
      <w:pPr>
        <w:pStyle w:val="Heading1"/>
        <w:rPr>
          <w:rFonts w:eastAsia="Batang"/>
          <w:lang w:val="es-ES_tradnl" w:eastAsia="zh-CN"/>
        </w:rPr>
      </w:pPr>
      <w:bookmarkStart w:id="280" w:name="_Toc184650264"/>
      <w:bookmarkStart w:id="281" w:name="_Toc184652814"/>
      <w:bookmarkStart w:id="282" w:name="_Toc184652865"/>
      <w:bookmarkStart w:id="283" w:name="_Toc216630172"/>
      <w:bookmarkStart w:id="284" w:name="_Toc216693458"/>
      <w:bookmarkStart w:id="285" w:name="_Toc217031166"/>
      <w:r w:rsidRPr="007E1FB5">
        <w:rPr>
          <w:rFonts w:eastAsia="Batang"/>
          <w:lang w:val="es-ES_tradnl" w:eastAsia="zh-CN"/>
        </w:rPr>
        <w:t>4</w:t>
      </w:r>
      <w:r w:rsidRPr="007E1FB5">
        <w:rPr>
          <w:rFonts w:eastAsia="Batang"/>
          <w:lang w:val="es-ES_tradnl" w:eastAsia="zh-CN"/>
        </w:rPr>
        <w:tab/>
      </w:r>
      <w:proofErr w:type="gramStart"/>
      <w:r w:rsidRPr="007E1FB5">
        <w:rPr>
          <w:rFonts w:eastAsia="Batang"/>
          <w:lang w:val="es-ES_tradnl" w:eastAsia="zh-CN"/>
        </w:rPr>
        <w:t>Contramedidas</w:t>
      </w:r>
      <w:proofErr w:type="gramEnd"/>
      <w:r w:rsidRPr="007E1FB5">
        <w:rPr>
          <w:rFonts w:eastAsia="Batang"/>
          <w:lang w:val="es-ES_tradnl" w:eastAsia="zh-CN"/>
        </w:rPr>
        <w:t xml:space="preserve"> y repercusiones previstas según los resultados de la evaluación</w:t>
      </w:r>
      <w:bookmarkEnd w:id="280"/>
      <w:bookmarkEnd w:id="281"/>
      <w:bookmarkEnd w:id="282"/>
      <w:bookmarkEnd w:id="283"/>
      <w:bookmarkEnd w:id="284"/>
      <w:bookmarkEnd w:id="285"/>
    </w:p>
    <w:p w14:paraId="074AF6A7" w14:textId="77777777" w:rsidR="00193B55" w:rsidRPr="007E1FB5" w:rsidRDefault="00193B55" w:rsidP="00193B55">
      <w:pPr>
        <w:rPr>
          <w:rFonts w:eastAsia="Malgun Gothic"/>
          <w:color w:val="000000"/>
          <w:lang w:val="es-ES_tradnl" w:eastAsia="ko-KR"/>
        </w:rPr>
      </w:pPr>
      <w:r w:rsidRPr="007E1FB5">
        <w:rPr>
          <w:rFonts w:eastAsia="Batang"/>
          <w:lang w:val="es-ES_tradnl"/>
        </w:rPr>
        <w:t>En función de los resultados de la evaluación, el organismo regulador puede modificar las estrategias nacionales en materia de utilización del espectro a largo plazo y las partes interesadas pueden idear contramedidas para las bandas que están utilizando o pretenden utilizar por adelantado. Cabe prever que este sistema de evaluación contribuya a garantizar la oportuna disponibilidad de espectro, a proteger adecuadamente a los usuarios arraigados y a promover nuevas actividades comerciales basadas en el espectro.</w:t>
      </w:r>
    </w:p>
    <w:p w14:paraId="61E50E67" w14:textId="77777777" w:rsidR="00193B55" w:rsidRPr="007E1FB5" w:rsidRDefault="00193B55" w:rsidP="00193B55">
      <w:pPr>
        <w:pStyle w:val="TableNo"/>
        <w:keepLines/>
        <w:rPr>
          <w:rFonts w:eastAsia="Batang"/>
          <w:lang w:val="es-ES_tradnl" w:eastAsia="ko-KR"/>
        </w:rPr>
      </w:pPr>
      <w:r w:rsidRPr="007E1FB5">
        <w:rPr>
          <w:rFonts w:eastAsia="Batang"/>
          <w:lang w:val="es-ES_tradnl" w:eastAsia="ko-KR"/>
        </w:rPr>
        <w:t>CUADRO 3</w:t>
      </w:r>
    </w:p>
    <w:p w14:paraId="2B6665ED" w14:textId="77777777" w:rsidR="00193B55" w:rsidRPr="007E1FB5" w:rsidRDefault="00193B55" w:rsidP="00193B55">
      <w:pPr>
        <w:pStyle w:val="Tabletitle"/>
        <w:keepLines/>
        <w:rPr>
          <w:rFonts w:eastAsia="Batang"/>
          <w:lang w:val="es-ES_tradnl"/>
        </w:rPr>
      </w:pPr>
      <w:r w:rsidRPr="007E1FB5">
        <w:rPr>
          <w:rFonts w:eastAsia="Batang"/>
          <w:lang w:val="es-ES_tradnl"/>
        </w:rPr>
        <w:t xml:space="preserve">Ejemplo de política gubernamental y contramedidas de las partes interesadas </w:t>
      </w:r>
      <w:r w:rsidRPr="007E1FB5">
        <w:rPr>
          <w:rFonts w:eastAsia="Batang"/>
          <w:lang w:val="es-ES_tradnl"/>
        </w:rPr>
        <w:br/>
        <w:t xml:space="preserve">basadas en la evaluación </w:t>
      </w:r>
    </w:p>
    <w:tbl>
      <w:tblPr>
        <w:tblStyle w:val="TableGrid1"/>
        <w:tblW w:w="9639" w:type="dxa"/>
        <w:jc w:val="center"/>
        <w:tblLook w:val="04A0" w:firstRow="1" w:lastRow="0" w:firstColumn="1" w:lastColumn="0" w:noHBand="0" w:noVBand="1"/>
      </w:tblPr>
      <w:tblGrid>
        <w:gridCol w:w="1415"/>
        <w:gridCol w:w="4112"/>
        <w:gridCol w:w="4112"/>
      </w:tblGrid>
      <w:tr w:rsidR="00193B55" w:rsidRPr="007E1FB5" w14:paraId="4666816C" w14:textId="77777777" w:rsidTr="003D49C3">
        <w:trPr>
          <w:jc w:val="center"/>
        </w:trPr>
        <w:tc>
          <w:tcPr>
            <w:tcW w:w="1415" w:type="dxa"/>
            <w:vAlign w:val="center"/>
          </w:tcPr>
          <w:p w14:paraId="12610D24" w14:textId="77777777" w:rsidR="00193B55" w:rsidRPr="007E1FB5" w:rsidRDefault="00193B55" w:rsidP="003D49C3">
            <w:pPr>
              <w:pStyle w:val="Tablehead"/>
              <w:keepLines/>
              <w:rPr>
                <w:lang w:val="es-ES_tradnl" w:eastAsia="ko-KR"/>
              </w:rPr>
            </w:pPr>
          </w:p>
        </w:tc>
        <w:tc>
          <w:tcPr>
            <w:tcW w:w="4112" w:type="dxa"/>
            <w:vAlign w:val="center"/>
          </w:tcPr>
          <w:p w14:paraId="3041E1F7" w14:textId="77777777" w:rsidR="00193B55" w:rsidRPr="007E1FB5" w:rsidRDefault="00193B55" w:rsidP="003D49C3">
            <w:pPr>
              <w:pStyle w:val="Tablehead"/>
              <w:keepLines/>
              <w:rPr>
                <w:lang w:val="es-ES_tradnl"/>
              </w:rPr>
            </w:pPr>
            <w:r w:rsidRPr="007E1FB5">
              <w:rPr>
                <w:lang w:val="es-ES_tradnl"/>
              </w:rPr>
              <w:t>Política gubernamental</w:t>
            </w:r>
          </w:p>
        </w:tc>
        <w:tc>
          <w:tcPr>
            <w:tcW w:w="4112" w:type="dxa"/>
            <w:vAlign w:val="center"/>
          </w:tcPr>
          <w:p w14:paraId="6A8689EF" w14:textId="77777777" w:rsidR="00193B55" w:rsidRPr="007E1FB5" w:rsidRDefault="00193B55" w:rsidP="003D49C3">
            <w:pPr>
              <w:pStyle w:val="Tablehead"/>
              <w:keepLines/>
              <w:rPr>
                <w:lang w:val="es-ES_tradnl"/>
              </w:rPr>
            </w:pPr>
            <w:r w:rsidRPr="007E1FB5">
              <w:rPr>
                <w:lang w:val="es-ES_tradnl"/>
              </w:rPr>
              <w:t>Contramedidas de las partes interesadas</w:t>
            </w:r>
          </w:p>
        </w:tc>
      </w:tr>
      <w:tr w:rsidR="00193B55" w:rsidRPr="007E1FB5" w14:paraId="2E0A4104" w14:textId="77777777" w:rsidTr="003D49C3">
        <w:trPr>
          <w:jc w:val="center"/>
        </w:trPr>
        <w:tc>
          <w:tcPr>
            <w:tcW w:w="1415" w:type="dxa"/>
            <w:vAlign w:val="center"/>
          </w:tcPr>
          <w:p w14:paraId="657FDFC7" w14:textId="77777777" w:rsidR="00193B55" w:rsidRPr="007E1FB5" w:rsidRDefault="00193B55" w:rsidP="003D49C3">
            <w:pPr>
              <w:pStyle w:val="Tabletext"/>
              <w:rPr>
                <w:rFonts w:ascii="Times New Roman" w:hAnsi="Times New Roman"/>
                <w:lang w:val="es-ES_tradnl"/>
              </w:rPr>
            </w:pPr>
            <w:r w:rsidRPr="007E1FB5">
              <w:rPr>
                <w:rFonts w:ascii="Times New Roman" w:hAnsi="Times New Roman"/>
                <w:lang w:val="es-ES_tradnl"/>
              </w:rPr>
              <w:t>Grado I</w:t>
            </w:r>
          </w:p>
        </w:tc>
        <w:tc>
          <w:tcPr>
            <w:tcW w:w="4112" w:type="dxa"/>
          </w:tcPr>
          <w:p w14:paraId="75B8C36F" w14:textId="77777777" w:rsidR="00193B55" w:rsidRPr="007E1FB5" w:rsidRDefault="00193B55" w:rsidP="003D49C3">
            <w:pPr>
              <w:pStyle w:val="Tabletext"/>
              <w:jc w:val="left"/>
              <w:rPr>
                <w:rFonts w:ascii="Times New Roman" w:hAnsi="Times New Roman"/>
                <w:lang w:val="es-ES_tradnl"/>
              </w:rPr>
            </w:pPr>
            <w:r w:rsidRPr="007E1FB5">
              <w:rPr>
                <w:rFonts w:ascii="Times New Roman" w:hAnsi="Times New Roman"/>
                <w:lang w:val="es-ES_tradnl"/>
              </w:rPr>
              <w:t>Mejora de la eficiencia mediante la retirada y la reatribución de frecuencias, la conversión de normas técnicas, etc.</w:t>
            </w:r>
          </w:p>
        </w:tc>
        <w:tc>
          <w:tcPr>
            <w:tcW w:w="4112" w:type="dxa"/>
          </w:tcPr>
          <w:p w14:paraId="4C2E79FA" w14:textId="77777777" w:rsidR="00193B55" w:rsidRPr="007E1FB5" w:rsidRDefault="00193B55" w:rsidP="003D49C3">
            <w:pPr>
              <w:pStyle w:val="Tabletext"/>
              <w:jc w:val="left"/>
              <w:rPr>
                <w:rFonts w:ascii="Times New Roman" w:hAnsi="Times New Roman"/>
                <w:lang w:val="es-ES_tradnl"/>
              </w:rPr>
            </w:pPr>
            <w:r w:rsidRPr="007E1FB5">
              <w:rPr>
                <w:rFonts w:ascii="Times New Roman" w:hAnsi="Times New Roman"/>
                <w:lang w:val="es-ES_tradnl"/>
              </w:rPr>
              <w:t>Preparación de nuevos servicios, desarrollo de equipos, etc.</w:t>
            </w:r>
          </w:p>
        </w:tc>
      </w:tr>
    </w:tbl>
    <w:p w14:paraId="5A6CFE15" w14:textId="77777777" w:rsidR="00193B55" w:rsidRPr="007E1FB5" w:rsidRDefault="00193B55" w:rsidP="00193B55">
      <w:pPr>
        <w:pStyle w:val="TableNo"/>
        <w:keepLines/>
        <w:rPr>
          <w:rFonts w:eastAsia="Batang"/>
          <w:lang w:val="es-ES_tradnl" w:eastAsia="ko-KR"/>
        </w:rPr>
      </w:pPr>
      <w:r w:rsidRPr="007E1FB5">
        <w:rPr>
          <w:rFonts w:eastAsia="Batang"/>
          <w:lang w:val="es-ES_tradnl" w:eastAsia="ko-KR"/>
        </w:rPr>
        <w:lastRenderedPageBreak/>
        <w:t>CUADRO 3 (</w:t>
      </w:r>
      <w:r w:rsidRPr="007E1FB5">
        <w:rPr>
          <w:rFonts w:eastAsia="Batang"/>
          <w:i/>
          <w:iCs/>
          <w:lang w:val="es-ES_tradnl" w:eastAsia="ko-KR"/>
        </w:rPr>
        <w:t>fin</w:t>
      </w:r>
      <w:r w:rsidRPr="007E1FB5">
        <w:rPr>
          <w:rFonts w:eastAsia="Batang"/>
          <w:lang w:val="es-ES_tradnl" w:eastAsia="ko-KR"/>
        </w:rPr>
        <w:t>)</w:t>
      </w:r>
    </w:p>
    <w:tbl>
      <w:tblPr>
        <w:tblStyle w:val="TableGrid1"/>
        <w:tblW w:w="9639" w:type="dxa"/>
        <w:jc w:val="center"/>
        <w:tblLook w:val="04A0" w:firstRow="1" w:lastRow="0" w:firstColumn="1" w:lastColumn="0" w:noHBand="0" w:noVBand="1"/>
      </w:tblPr>
      <w:tblGrid>
        <w:gridCol w:w="1415"/>
        <w:gridCol w:w="4112"/>
        <w:gridCol w:w="4112"/>
      </w:tblGrid>
      <w:tr w:rsidR="00193B55" w:rsidRPr="007E1FB5" w14:paraId="41205A43" w14:textId="77777777" w:rsidTr="003D49C3">
        <w:trPr>
          <w:jc w:val="center"/>
        </w:trPr>
        <w:tc>
          <w:tcPr>
            <w:tcW w:w="1415" w:type="dxa"/>
            <w:vAlign w:val="center"/>
          </w:tcPr>
          <w:p w14:paraId="225C5E59" w14:textId="77777777" w:rsidR="00193B55" w:rsidRPr="007E1FB5" w:rsidRDefault="00193B55" w:rsidP="003D49C3">
            <w:pPr>
              <w:pStyle w:val="Tablehead"/>
              <w:keepLines/>
              <w:rPr>
                <w:lang w:val="es-ES_tradnl" w:eastAsia="ko-KR"/>
              </w:rPr>
            </w:pPr>
          </w:p>
        </w:tc>
        <w:tc>
          <w:tcPr>
            <w:tcW w:w="4112" w:type="dxa"/>
            <w:vAlign w:val="center"/>
          </w:tcPr>
          <w:p w14:paraId="4C9C3354" w14:textId="77777777" w:rsidR="00193B55" w:rsidRPr="007E1FB5" w:rsidRDefault="00193B55" w:rsidP="003D49C3">
            <w:pPr>
              <w:pStyle w:val="Tablehead"/>
              <w:keepLines/>
              <w:rPr>
                <w:lang w:val="es-ES_tradnl"/>
              </w:rPr>
            </w:pPr>
            <w:r w:rsidRPr="007E1FB5">
              <w:rPr>
                <w:lang w:val="es-ES_tradnl"/>
              </w:rPr>
              <w:t>Política gubernamental</w:t>
            </w:r>
          </w:p>
        </w:tc>
        <w:tc>
          <w:tcPr>
            <w:tcW w:w="4112" w:type="dxa"/>
            <w:vAlign w:val="center"/>
          </w:tcPr>
          <w:p w14:paraId="1F6A03CC" w14:textId="77777777" w:rsidR="00193B55" w:rsidRPr="007E1FB5" w:rsidRDefault="00193B55" w:rsidP="003D49C3">
            <w:pPr>
              <w:pStyle w:val="Tablehead"/>
              <w:keepLines/>
              <w:rPr>
                <w:lang w:val="es-ES_tradnl"/>
              </w:rPr>
            </w:pPr>
            <w:r w:rsidRPr="007E1FB5">
              <w:rPr>
                <w:lang w:val="es-ES_tradnl"/>
              </w:rPr>
              <w:t>Contramedidas de las partes interesadas</w:t>
            </w:r>
          </w:p>
        </w:tc>
      </w:tr>
      <w:tr w:rsidR="00193B55" w:rsidRPr="007E1FB5" w14:paraId="71462AB8" w14:textId="77777777" w:rsidTr="003D49C3">
        <w:trPr>
          <w:jc w:val="center"/>
        </w:trPr>
        <w:tc>
          <w:tcPr>
            <w:tcW w:w="1415" w:type="dxa"/>
            <w:vAlign w:val="center"/>
          </w:tcPr>
          <w:p w14:paraId="11339C2D" w14:textId="77777777" w:rsidR="00193B55" w:rsidRPr="007E1FB5" w:rsidRDefault="00193B55" w:rsidP="003D49C3">
            <w:pPr>
              <w:pStyle w:val="Tabletext"/>
              <w:rPr>
                <w:rFonts w:ascii="Times New Roman" w:hAnsi="Times New Roman"/>
                <w:lang w:val="es-ES_tradnl"/>
              </w:rPr>
            </w:pPr>
            <w:r w:rsidRPr="007E1FB5">
              <w:rPr>
                <w:rFonts w:ascii="Times New Roman" w:hAnsi="Times New Roman"/>
                <w:lang w:val="es-ES_tradnl"/>
              </w:rPr>
              <w:t>Grado II</w:t>
            </w:r>
          </w:p>
        </w:tc>
        <w:tc>
          <w:tcPr>
            <w:tcW w:w="4112" w:type="dxa"/>
          </w:tcPr>
          <w:p w14:paraId="03FB2A0A" w14:textId="77777777" w:rsidR="00193B55" w:rsidRPr="007E1FB5" w:rsidRDefault="00193B55" w:rsidP="003D49C3">
            <w:pPr>
              <w:pStyle w:val="Tabletext"/>
              <w:jc w:val="left"/>
              <w:rPr>
                <w:rFonts w:ascii="Times New Roman" w:hAnsi="Times New Roman"/>
                <w:lang w:val="es-ES_tradnl"/>
              </w:rPr>
            </w:pPr>
            <w:r w:rsidRPr="007E1FB5">
              <w:rPr>
                <w:rFonts w:ascii="Times New Roman" w:hAnsi="Times New Roman"/>
                <w:lang w:val="es-ES_tradnl"/>
              </w:rPr>
              <w:t>Suspensión de nuevas autorizaciones, (posible) notificación de mejoras de la eficacia, plan de ejecución de las mejoras de la eficacia, consulta a las partes interesadas, etc.</w:t>
            </w:r>
          </w:p>
        </w:tc>
        <w:tc>
          <w:tcPr>
            <w:tcW w:w="4112" w:type="dxa"/>
          </w:tcPr>
          <w:p w14:paraId="5588843E" w14:textId="77777777" w:rsidR="00193B55" w:rsidRPr="007E1FB5" w:rsidRDefault="00193B55" w:rsidP="003D49C3">
            <w:pPr>
              <w:pStyle w:val="Tabletext"/>
              <w:jc w:val="left"/>
              <w:rPr>
                <w:rFonts w:ascii="Times New Roman" w:hAnsi="Times New Roman"/>
                <w:lang w:val="es-ES_tradnl"/>
              </w:rPr>
            </w:pPr>
            <w:r w:rsidRPr="007E1FB5">
              <w:rPr>
                <w:rFonts w:ascii="Times New Roman" w:hAnsi="Times New Roman"/>
                <w:lang w:val="es-ES_tradnl"/>
              </w:rPr>
              <w:t xml:space="preserve">Suspensión de nuevas inversiones en instalaciones existentes, reubicación de abonados, preparación del desarrollo de equipos, etc. </w:t>
            </w:r>
          </w:p>
        </w:tc>
      </w:tr>
      <w:tr w:rsidR="00193B55" w:rsidRPr="007E1FB5" w14:paraId="06B024EC" w14:textId="77777777" w:rsidTr="003D49C3">
        <w:trPr>
          <w:jc w:val="center"/>
        </w:trPr>
        <w:tc>
          <w:tcPr>
            <w:tcW w:w="1415" w:type="dxa"/>
            <w:vAlign w:val="center"/>
          </w:tcPr>
          <w:p w14:paraId="2BE1B9C6" w14:textId="77777777" w:rsidR="00193B55" w:rsidRPr="007E1FB5" w:rsidRDefault="00193B55" w:rsidP="003D49C3">
            <w:pPr>
              <w:pStyle w:val="Tabletext"/>
              <w:rPr>
                <w:rFonts w:ascii="Times New Roman" w:hAnsi="Times New Roman"/>
                <w:lang w:val="es-ES_tradnl"/>
              </w:rPr>
            </w:pPr>
            <w:r w:rsidRPr="007E1FB5">
              <w:rPr>
                <w:rFonts w:ascii="Times New Roman" w:hAnsi="Times New Roman"/>
                <w:lang w:val="es-ES_tradnl"/>
              </w:rPr>
              <w:t>Grado III</w:t>
            </w:r>
          </w:p>
        </w:tc>
        <w:tc>
          <w:tcPr>
            <w:tcW w:w="4112" w:type="dxa"/>
          </w:tcPr>
          <w:p w14:paraId="0DA0AE2F" w14:textId="77777777" w:rsidR="00193B55" w:rsidRPr="007E1FB5" w:rsidRDefault="00193B55" w:rsidP="003D49C3">
            <w:pPr>
              <w:pStyle w:val="Tabletext"/>
              <w:jc w:val="left"/>
              <w:rPr>
                <w:rFonts w:ascii="Times New Roman" w:hAnsi="Times New Roman"/>
                <w:lang w:val="es-ES_tradnl"/>
              </w:rPr>
            </w:pPr>
            <w:r w:rsidRPr="007E1FB5">
              <w:rPr>
                <w:rFonts w:ascii="Times New Roman" w:hAnsi="Times New Roman"/>
                <w:lang w:val="es-ES_tradnl"/>
              </w:rPr>
              <w:t>Supervisión de la nueva demanda y el nuevo uso de las radiofrecuencias, excavación del espectro.</w:t>
            </w:r>
          </w:p>
        </w:tc>
        <w:tc>
          <w:tcPr>
            <w:tcW w:w="4112" w:type="dxa"/>
          </w:tcPr>
          <w:p w14:paraId="6846FEF6" w14:textId="77777777" w:rsidR="00193B55" w:rsidRPr="007E1FB5" w:rsidRDefault="00193B55" w:rsidP="003D49C3">
            <w:pPr>
              <w:pStyle w:val="Tabletext"/>
              <w:jc w:val="left"/>
              <w:rPr>
                <w:rFonts w:ascii="Times New Roman" w:hAnsi="Times New Roman"/>
                <w:lang w:val="es-ES_tradnl"/>
              </w:rPr>
            </w:pPr>
            <w:r w:rsidRPr="007E1FB5">
              <w:rPr>
                <w:rFonts w:ascii="Times New Roman" w:hAnsi="Times New Roman"/>
                <w:lang w:val="es-ES_tradnl"/>
              </w:rPr>
              <w:t>Utilización sostenible.</w:t>
            </w:r>
          </w:p>
        </w:tc>
      </w:tr>
      <w:tr w:rsidR="00193B55" w:rsidRPr="007E1FB5" w14:paraId="57003B89" w14:textId="77777777" w:rsidTr="003D49C3">
        <w:trPr>
          <w:jc w:val="center"/>
        </w:trPr>
        <w:tc>
          <w:tcPr>
            <w:tcW w:w="1415" w:type="dxa"/>
            <w:vAlign w:val="center"/>
          </w:tcPr>
          <w:p w14:paraId="2E852762" w14:textId="77777777" w:rsidR="00193B55" w:rsidRPr="007E1FB5" w:rsidRDefault="00193B55" w:rsidP="003D49C3">
            <w:pPr>
              <w:pStyle w:val="Tabletext"/>
              <w:rPr>
                <w:rFonts w:ascii="Times New Roman" w:hAnsi="Times New Roman"/>
                <w:lang w:val="es-ES_tradnl"/>
              </w:rPr>
            </w:pPr>
            <w:r w:rsidRPr="007E1FB5">
              <w:rPr>
                <w:rFonts w:ascii="Times New Roman" w:hAnsi="Times New Roman"/>
                <w:lang w:val="es-ES_tradnl"/>
              </w:rPr>
              <w:t>Grado IV</w:t>
            </w:r>
          </w:p>
        </w:tc>
        <w:tc>
          <w:tcPr>
            <w:tcW w:w="4112" w:type="dxa"/>
          </w:tcPr>
          <w:p w14:paraId="4544B68A" w14:textId="77777777" w:rsidR="00193B55" w:rsidRPr="007E1FB5" w:rsidRDefault="00193B55" w:rsidP="003D49C3">
            <w:pPr>
              <w:pStyle w:val="Tabletext"/>
              <w:jc w:val="left"/>
              <w:rPr>
                <w:rFonts w:ascii="Times New Roman" w:hAnsi="Times New Roman"/>
                <w:lang w:val="es-ES_tradnl"/>
              </w:rPr>
            </w:pPr>
            <w:r w:rsidRPr="007E1FB5">
              <w:rPr>
                <w:rFonts w:ascii="Times New Roman" w:hAnsi="Times New Roman"/>
                <w:lang w:val="es-ES_tradnl"/>
              </w:rPr>
              <w:t xml:space="preserve">Supervisión de la nueva demanda y detección de frecuencias del espectro, promoción de la mejora de la eficacia en caso de demanda </w:t>
            </w:r>
          </w:p>
        </w:tc>
        <w:tc>
          <w:tcPr>
            <w:tcW w:w="4112" w:type="dxa"/>
          </w:tcPr>
          <w:p w14:paraId="781BA119" w14:textId="77777777" w:rsidR="00193B55" w:rsidRPr="007E1FB5" w:rsidRDefault="00193B55" w:rsidP="003D49C3">
            <w:pPr>
              <w:pStyle w:val="Tabletext"/>
              <w:jc w:val="left"/>
              <w:rPr>
                <w:rFonts w:ascii="Times New Roman" w:hAnsi="Times New Roman"/>
                <w:lang w:val="es-ES_tradnl"/>
              </w:rPr>
            </w:pPr>
            <w:r w:rsidRPr="007E1FB5">
              <w:rPr>
                <w:rFonts w:ascii="Times New Roman" w:hAnsi="Times New Roman"/>
                <w:lang w:val="es-ES_tradnl"/>
              </w:rPr>
              <w:t>Manifestación de la demanda de nuevas radiofrecuencias, fomento de la introducción de nuevos servicios y tecnologías, etc.</w:t>
            </w:r>
          </w:p>
        </w:tc>
      </w:tr>
    </w:tbl>
    <w:p w14:paraId="3EF8CF8F" w14:textId="77777777" w:rsidR="00193B55" w:rsidRPr="007E1FB5" w:rsidRDefault="00193B55" w:rsidP="00193B55">
      <w:pPr>
        <w:pStyle w:val="Tablefin"/>
        <w:rPr>
          <w:rFonts w:eastAsiaTheme="minorEastAsia"/>
          <w:lang w:val="es-ES_tradnl"/>
        </w:rPr>
      </w:pPr>
    </w:p>
    <w:p w14:paraId="6A3F8427" w14:textId="77777777" w:rsidR="00193B55" w:rsidRPr="007E1FB5" w:rsidRDefault="00193B55" w:rsidP="00193B55">
      <w:pPr>
        <w:pStyle w:val="AnnexNoTitle"/>
        <w:rPr>
          <w:lang w:val="es-ES_tradnl"/>
        </w:rPr>
      </w:pPr>
      <w:bookmarkStart w:id="286" w:name="_Toc13491617"/>
      <w:bookmarkStart w:id="287" w:name="_Toc34916977"/>
      <w:bookmarkStart w:id="288" w:name="_Toc184650265"/>
      <w:bookmarkStart w:id="289" w:name="_Toc216693459"/>
      <w:bookmarkStart w:id="290" w:name="_Toc217031167"/>
      <w:r w:rsidRPr="007E1FB5">
        <w:rPr>
          <w:lang w:val="es-ES_tradnl"/>
        </w:rPr>
        <w:t xml:space="preserve">Lista </w:t>
      </w:r>
      <w:bookmarkEnd w:id="286"/>
      <w:r w:rsidRPr="007E1FB5">
        <w:rPr>
          <w:lang w:val="es-ES_tradnl"/>
        </w:rPr>
        <w:t>de abreviaturas</w:t>
      </w:r>
      <w:bookmarkEnd w:id="287"/>
      <w:bookmarkEnd w:id="288"/>
      <w:bookmarkEnd w:id="289"/>
      <w:bookmarkEnd w:id="290"/>
    </w:p>
    <w:p w14:paraId="21BDB8E4" w14:textId="77777777" w:rsidR="00193B55" w:rsidRPr="007E1FB5" w:rsidRDefault="00193B55" w:rsidP="00193B55">
      <w:pPr>
        <w:tabs>
          <w:tab w:val="clear" w:pos="794"/>
          <w:tab w:val="clear" w:pos="1191"/>
          <w:tab w:val="clear" w:pos="1588"/>
          <w:tab w:val="left" w:pos="1701"/>
          <w:tab w:val="left" w:pos="1843"/>
        </w:tabs>
        <w:spacing w:before="480"/>
        <w:rPr>
          <w:rFonts w:eastAsiaTheme="minorEastAsia"/>
          <w:lang w:val="es-ES_tradnl"/>
        </w:rPr>
      </w:pPr>
      <w:r w:rsidRPr="007E1FB5">
        <w:rPr>
          <w:rFonts w:eastAsiaTheme="minorEastAsia"/>
          <w:lang w:val="es-ES_tradnl"/>
        </w:rPr>
        <w:t>CDMA</w:t>
      </w:r>
      <w:r w:rsidRPr="007E1FB5">
        <w:rPr>
          <w:rFonts w:eastAsiaTheme="minorEastAsia"/>
          <w:lang w:val="es-ES_tradnl"/>
        </w:rPr>
        <w:tab/>
        <w:t>Acceso múltiple por división de código (</w:t>
      </w:r>
      <w:r w:rsidRPr="007E1FB5">
        <w:rPr>
          <w:rFonts w:eastAsiaTheme="minorEastAsia"/>
          <w:i/>
          <w:iCs/>
          <w:lang w:val="es-ES_tradnl"/>
        </w:rPr>
        <w:t>code division multiple access</w:t>
      </w:r>
      <w:r w:rsidRPr="007E1FB5">
        <w:rPr>
          <w:rFonts w:eastAsiaTheme="minorEastAsia"/>
          <w:lang w:val="es-ES_tradnl"/>
        </w:rPr>
        <w:t>)</w:t>
      </w:r>
    </w:p>
    <w:p w14:paraId="066ACBD0" w14:textId="77777777" w:rsidR="00193B55" w:rsidRPr="007E1FB5" w:rsidRDefault="00193B55" w:rsidP="00193B55">
      <w:pPr>
        <w:tabs>
          <w:tab w:val="clear" w:pos="794"/>
          <w:tab w:val="clear" w:pos="1191"/>
          <w:tab w:val="clear" w:pos="1588"/>
          <w:tab w:val="left" w:pos="1701"/>
          <w:tab w:val="left" w:pos="1843"/>
        </w:tabs>
        <w:rPr>
          <w:rFonts w:eastAsiaTheme="minorEastAsia"/>
          <w:lang w:val="es-ES_tradnl"/>
        </w:rPr>
      </w:pPr>
      <w:r w:rsidRPr="007E1FB5">
        <w:rPr>
          <w:rFonts w:eastAsiaTheme="minorEastAsia"/>
          <w:lang w:val="es-ES_tradnl"/>
        </w:rPr>
        <w:t>FDMA</w:t>
      </w:r>
      <w:r w:rsidRPr="007E1FB5">
        <w:rPr>
          <w:rFonts w:eastAsiaTheme="minorEastAsia"/>
          <w:lang w:val="es-ES_tradnl"/>
        </w:rPr>
        <w:tab/>
        <w:t>Acceso múltiple por división de frecuencia (</w:t>
      </w:r>
      <w:r w:rsidRPr="007E1FB5">
        <w:rPr>
          <w:rFonts w:eastAsiaTheme="minorEastAsia"/>
          <w:i/>
          <w:iCs/>
          <w:lang w:val="es-ES_tradnl"/>
        </w:rPr>
        <w:t>frequency division multiple access</w:t>
      </w:r>
      <w:r w:rsidRPr="007E1FB5">
        <w:rPr>
          <w:rFonts w:eastAsiaTheme="minorEastAsia"/>
          <w:lang w:val="es-ES_tradnl"/>
        </w:rPr>
        <w:t>)</w:t>
      </w:r>
    </w:p>
    <w:p w14:paraId="4A199AE4" w14:textId="77777777" w:rsidR="00193B55" w:rsidRPr="007E1FB5" w:rsidRDefault="00193B55" w:rsidP="00193B55">
      <w:pPr>
        <w:tabs>
          <w:tab w:val="clear" w:pos="794"/>
          <w:tab w:val="clear" w:pos="1191"/>
          <w:tab w:val="clear" w:pos="1588"/>
          <w:tab w:val="left" w:pos="1701"/>
          <w:tab w:val="left" w:pos="1843"/>
        </w:tabs>
        <w:rPr>
          <w:rFonts w:eastAsiaTheme="minorEastAsia"/>
          <w:lang w:val="es-ES_tradnl"/>
        </w:rPr>
      </w:pPr>
      <w:r w:rsidRPr="007E1FB5">
        <w:rPr>
          <w:rFonts w:eastAsiaTheme="minorEastAsia"/>
          <w:lang w:val="es-ES_tradnl"/>
        </w:rPr>
        <w:t>LSA</w:t>
      </w:r>
      <w:r w:rsidRPr="007E1FB5">
        <w:rPr>
          <w:rFonts w:eastAsiaTheme="minorEastAsia"/>
          <w:lang w:val="es-ES_tradnl"/>
        </w:rPr>
        <w:tab/>
        <w:t>Acceso compartido con licencia (</w:t>
      </w:r>
      <w:r w:rsidRPr="007E1FB5">
        <w:rPr>
          <w:rFonts w:eastAsiaTheme="minorEastAsia"/>
          <w:i/>
          <w:iCs/>
          <w:lang w:val="es-ES_tradnl"/>
        </w:rPr>
        <w:t>licensed shared access</w:t>
      </w:r>
      <w:r w:rsidRPr="007E1FB5">
        <w:rPr>
          <w:rFonts w:eastAsiaTheme="minorEastAsia"/>
          <w:lang w:val="es-ES_tradnl"/>
        </w:rPr>
        <w:t>)</w:t>
      </w:r>
    </w:p>
    <w:p w14:paraId="5357FCBC" w14:textId="77777777" w:rsidR="00193B55" w:rsidRPr="007E1FB5" w:rsidRDefault="00193B55" w:rsidP="00193B55">
      <w:pPr>
        <w:tabs>
          <w:tab w:val="clear" w:pos="794"/>
          <w:tab w:val="clear" w:pos="1191"/>
          <w:tab w:val="clear" w:pos="1588"/>
          <w:tab w:val="left" w:pos="1701"/>
          <w:tab w:val="left" w:pos="1843"/>
        </w:tabs>
        <w:rPr>
          <w:rFonts w:eastAsiaTheme="minorEastAsia"/>
          <w:lang w:val="es-ES_tradnl"/>
        </w:rPr>
      </w:pPr>
      <w:r w:rsidRPr="007E1FB5">
        <w:rPr>
          <w:rFonts w:eastAsiaTheme="minorEastAsia"/>
          <w:lang w:val="es-ES_tradnl"/>
        </w:rPr>
        <w:t>MIMO</w:t>
      </w:r>
      <w:r w:rsidRPr="007E1FB5">
        <w:rPr>
          <w:rFonts w:eastAsiaTheme="minorEastAsia"/>
          <w:lang w:val="es-ES_tradnl"/>
        </w:rPr>
        <w:tab/>
      </w:r>
      <w:proofErr w:type="gramStart"/>
      <w:r w:rsidRPr="007E1FB5">
        <w:rPr>
          <w:rFonts w:eastAsiaTheme="minorEastAsia"/>
          <w:lang w:val="es-ES_tradnl"/>
        </w:rPr>
        <w:t>Entrada múltiple y salida múltiple</w:t>
      </w:r>
      <w:proofErr w:type="gramEnd"/>
      <w:r w:rsidRPr="007E1FB5">
        <w:rPr>
          <w:rFonts w:eastAsiaTheme="minorEastAsia"/>
          <w:lang w:val="es-ES_tradnl"/>
        </w:rPr>
        <w:t xml:space="preserve"> (</w:t>
      </w:r>
      <w:r w:rsidRPr="007E1FB5">
        <w:rPr>
          <w:rFonts w:eastAsiaTheme="minorEastAsia"/>
          <w:i/>
          <w:iCs/>
          <w:lang w:val="es-ES_tradnl"/>
        </w:rPr>
        <w:t>multiple-input multiple-output</w:t>
      </w:r>
      <w:r w:rsidRPr="007E1FB5">
        <w:rPr>
          <w:rFonts w:eastAsiaTheme="minorEastAsia"/>
          <w:lang w:val="es-ES_tradnl"/>
        </w:rPr>
        <w:t>)</w:t>
      </w:r>
    </w:p>
    <w:p w14:paraId="7187A551" w14:textId="77777777" w:rsidR="00193B55" w:rsidRPr="007E1FB5" w:rsidRDefault="00193B55" w:rsidP="00193B55">
      <w:pPr>
        <w:tabs>
          <w:tab w:val="clear" w:pos="1191"/>
          <w:tab w:val="clear" w:pos="1588"/>
          <w:tab w:val="left" w:pos="1701"/>
          <w:tab w:val="left" w:pos="1843"/>
        </w:tabs>
        <w:ind w:left="1701" w:hanging="1701"/>
        <w:rPr>
          <w:rFonts w:eastAsiaTheme="minorEastAsia"/>
          <w:lang w:val="es-ES_tradnl"/>
        </w:rPr>
      </w:pPr>
      <w:r w:rsidRPr="007E1FB5">
        <w:rPr>
          <w:rFonts w:eastAsiaTheme="minorEastAsia"/>
          <w:lang w:val="es-ES_tradnl"/>
        </w:rPr>
        <w:t>OFDMA</w:t>
      </w:r>
      <w:r w:rsidRPr="007E1FB5">
        <w:rPr>
          <w:rFonts w:eastAsiaTheme="minorEastAsia"/>
          <w:lang w:val="es-ES_tradnl"/>
        </w:rPr>
        <w:tab/>
        <w:t>Acceso múltiple por división de frecuencia ortogonal (</w:t>
      </w:r>
      <w:r w:rsidRPr="007E1FB5">
        <w:rPr>
          <w:rFonts w:eastAsiaTheme="minorEastAsia"/>
          <w:i/>
          <w:iCs/>
          <w:lang w:val="es-ES_tradnl"/>
        </w:rPr>
        <w:t>orthogonal frequency division multiple access</w:t>
      </w:r>
      <w:r w:rsidRPr="007E1FB5">
        <w:rPr>
          <w:rFonts w:eastAsiaTheme="minorEastAsia"/>
          <w:lang w:val="es-ES_tradnl"/>
        </w:rPr>
        <w:t>)</w:t>
      </w:r>
    </w:p>
    <w:p w14:paraId="7BDDF947" w14:textId="77777777" w:rsidR="00193B55" w:rsidRPr="007E1FB5" w:rsidRDefault="00193B55" w:rsidP="00193B55">
      <w:pPr>
        <w:tabs>
          <w:tab w:val="clear" w:pos="794"/>
          <w:tab w:val="clear" w:pos="1191"/>
          <w:tab w:val="clear" w:pos="1588"/>
          <w:tab w:val="left" w:pos="1701"/>
          <w:tab w:val="left" w:pos="1843"/>
        </w:tabs>
        <w:rPr>
          <w:rFonts w:eastAsiaTheme="minorEastAsia"/>
          <w:lang w:val="es-ES_tradnl"/>
        </w:rPr>
      </w:pPr>
      <w:r w:rsidRPr="007E1FB5">
        <w:rPr>
          <w:rFonts w:eastAsiaTheme="minorEastAsia"/>
          <w:lang w:val="es-ES_tradnl"/>
        </w:rPr>
        <w:t>PJA</w:t>
      </w:r>
      <w:r w:rsidRPr="007E1FB5">
        <w:rPr>
          <w:rFonts w:eastAsiaTheme="minorEastAsia"/>
          <w:lang w:val="es-ES_tradnl"/>
        </w:rPr>
        <w:tab/>
        <w:t>Proceso de jerarquía analítica</w:t>
      </w:r>
    </w:p>
    <w:p w14:paraId="0DB10584" w14:textId="77777777" w:rsidR="00193B55" w:rsidRPr="007E1FB5" w:rsidRDefault="00193B55" w:rsidP="00193B55">
      <w:pPr>
        <w:tabs>
          <w:tab w:val="clear" w:pos="794"/>
          <w:tab w:val="clear" w:pos="1191"/>
          <w:tab w:val="clear" w:pos="1588"/>
          <w:tab w:val="left" w:pos="1701"/>
          <w:tab w:val="left" w:pos="1843"/>
        </w:tabs>
        <w:rPr>
          <w:rFonts w:eastAsiaTheme="minorEastAsia"/>
          <w:lang w:val="es-ES_tradnl"/>
        </w:rPr>
      </w:pPr>
      <w:r w:rsidRPr="007E1FB5">
        <w:rPr>
          <w:rFonts w:eastAsiaTheme="minorEastAsia"/>
          <w:lang w:val="es-ES_tradnl"/>
        </w:rPr>
        <w:t>RFID</w:t>
      </w:r>
      <w:r w:rsidRPr="007E1FB5">
        <w:rPr>
          <w:rFonts w:eastAsiaTheme="minorEastAsia"/>
          <w:lang w:val="es-ES_tradnl"/>
        </w:rPr>
        <w:tab/>
        <w:t>Identificación por radiofrecuencia (</w:t>
      </w:r>
      <w:r w:rsidRPr="007E1FB5">
        <w:rPr>
          <w:rFonts w:eastAsiaTheme="minorEastAsia"/>
          <w:i/>
          <w:iCs/>
          <w:lang w:val="es-ES_tradnl"/>
        </w:rPr>
        <w:t>radio frequency identification</w:t>
      </w:r>
      <w:r w:rsidRPr="007E1FB5">
        <w:rPr>
          <w:rFonts w:eastAsiaTheme="minorEastAsia"/>
          <w:lang w:val="es-ES_tradnl"/>
        </w:rPr>
        <w:t>)</w:t>
      </w:r>
    </w:p>
    <w:p w14:paraId="5B2D6202" w14:textId="77777777" w:rsidR="00193B55" w:rsidRPr="007E1FB5" w:rsidRDefault="00193B55" w:rsidP="00193B55">
      <w:pPr>
        <w:tabs>
          <w:tab w:val="clear" w:pos="794"/>
          <w:tab w:val="clear" w:pos="1191"/>
          <w:tab w:val="clear" w:pos="1588"/>
          <w:tab w:val="left" w:pos="1701"/>
          <w:tab w:val="left" w:pos="1843"/>
        </w:tabs>
        <w:rPr>
          <w:rFonts w:eastAsiaTheme="minorEastAsia"/>
          <w:lang w:val="es-ES_tradnl"/>
        </w:rPr>
      </w:pPr>
      <w:r w:rsidRPr="007E1FB5">
        <w:rPr>
          <w:rFonts w:eastAsiaTheme="minorEastAsia"/>
          <w:lang w:val="es-ES_tradnl"/>
        </w:rPr>
        <w:t>SRD</w:t>
      </w:r>
      <w:r w:rsidRPr="007E1FB5">
        <w:rPr>
          <w:rFonts w:eastAsiaTheme="minorEastAsia"/>
          <w:lang w:val="es-ES_tradnl"/>
        </w:rPr>
        <w:tab/>
        <w:t>Dispositivo de corto alcance (</w:t>
      </w:r>
      <w:r w:rsidRPr="007E1FB5">
        <w:rPr>
          <w:rFonts w:eastAsiaTheme="minorEastAsia"/>
          <w:i/>
          <w:iCs/>
          <w:lang w:val="es-ES_tradnl"/>
        </w:rPr>
        <w:t>short-range device</w:t>
      </w:r>
      <w:r w:rsidRPr="007E1FB5">
        <w:rPr>
          <w:rFonts w:eastAsiaTheme="minorEastAsia"/>
          <w:lang w:val="es-ES_tradnl"/>
        </w:rPr>
        <w:t>)</w:t>
      </w:r>
    </w:p>
    <w:p w14:paraId="7715C462" w14:textId="77777777" w:rsidR="00193B55" w:rsidRPr="007E1FB5" w:rsidRDefault="00193B55" w:rsidP="00193B55">
      <w:pPr>
        <w:tabs>
          <w:tab w:val="clear" w:pos="794"/>
          <w:tab w:val="clear" w:pos="1191"/>
          <w:tab w:val="clear" w:pos="1588"/>
          <w:tab w:val="left" w:pos="1701"/>
          <w:tab w:val="left" w:pos="1843"/>
        </w:tabs>
        <w:rPr>
          <w:rFonts w:eastAsiaTheme="minorEastAsia"/>
          <w:lang w:val="es-ES_tradnl"/>
        </w:rPr>
      </w:pPr>
      <w:r w:rsidRPr="007E1FB5">
        <w:rPr>
          <w:rFonts w:eastAsiaTheme="minorEastAsia"/>
          <w:lang w:val="es-ES_tradnl"/>
        </w:rPr>
        <w:t>SRNA</w:t>
      </w:r>
      <w:r w:rsidRPr="007E1FB5">
        <w:rPr>
          <w:rFonts w:eastAsiaTheme="minorEastAsia"/>
          <w:lang w:val="es-ES_tradnl"/>
        </w:rPr>
        <w:tab/>
        <w:t>Servicio de radionavegación aeronáutica</w:t>
      </w:r>
    </w:p>
    <w:p w14:paraId="191BE5C1" w14:textId="77777777" w:rsidR="00193B55" w:rsidRPr="007E1FB5" w:rsidRDefault="00193B55" w:rsidP="00193B55">
      <w:pPr>
        <w:tabs>
          <w:tab w:val="clear" w:pos="794"/>
          <w:tab w:val="clear" w:pos="1191"/>
          <w:tab w:val="clear" w:pos="1588"/>
          <w:tab w:val="left" w:pos="1701"/>
          <w:tab w:val="left" w:pos="1843"/>
        </w:tabs>
        <w:rPr>
          <w:rFonts w:eastAsiaTheme="minorEastAsia"/>
          <w:lang w:val="es-ES_tradnl"/>
        </w:rPr>
      </w:pPr>
      <w:r w:rsidRPr="007E1FB5">
        <w:rPr>
          <w:rFonts w:eastAsiaTheme="minorEastAsia"/>
          <w:lang w:val="es-ES_tradnl"/>
        </w:rPr>
        <w:t>STI</w:t>
      </w:r>
      <w:r w:rsidRPr="007E1FB5">
        <w:rPr>
          <w:rFonts w:eastAsiaTheme="minorEastAsia"/>
          <w:lang w:val="es-ES_tradnl"/>
        </w:rPr>
        <w:tab/>
        <w:t>Sistema de transporte inteligente</w:t>
      </w:r>
    </w:p>
    <w:p w14:paraId="5E49E438" w14:textId="77777777" w:rsidR="00193B55" w:rsidRPr="007E1FB5" w:rsidRDefault="00193B55" w:rsidP="00193B55">
      <w:pPr>
        <w:tabs>
          <w:tab w:val="clear" w:pos="794"/>
          <w:tab w:val="clear" w:pos="1191"/>
          <w:tab w:val="clear" w:pos="1588"/>
          <w:tab w:val="left" w:pos="1701"/>
          <w:tab w:val="left" w:pos="1843"/>
        </w:tabs>
        <w:rPr>
          <w:rFonts w:eastAsiaTheme="minorEastAsia"/>
          <w:lang w:val="es-ES_tradnl"/>
        </w:rPr>
      </w:pPr>
      <w:r w:rsidRPr="007E1FB5">
        <w:rPr>
          <w:rFonts w:eastAsiaTheme="minorEastAsia"/>
          <w:lang w:val="es-ES_tradnl"/>
        </w:rPr>
        <w:t>TDMA</w:t>
      </w:r>
      <w:r w:rsidRPr="007E1FB5">
        <w:rPr>
          <w:rFonts w:eastAsiaTheme="minorEastAsia"/>
          <w:lang w:val="es-ES_tradnl"/>
        </w:rPr>
        <w:tab/>
        <w:t>Acceso múltiple por división en el tiempo (</w:t>
      </w:r>
      <w:r w:rsidRPr="007E1FB5">
        <w:rPr>
          <w:rFonts w:eastAsiaTheme="minorEastAsia"/>
          <w:i/>
          <w:iCs/>
          <w:lang w:val="es-ES_tradnl"/>
        </w:rPr>
        <w:t>time division multiple access</w:t>
      </w:r>
      <w:r w:rsidRPr="007E1FB5">
        <w:rPr>
          <w:rFonts w:eastAsiaTheme="minorEastAsia"/>
          <w:lang w:val="es-ES_tradnl"/>
        </w:rPr>
        <w:t>)</w:t>
      </w:r>
    </w:p>
    <w:p w14:paraId="53C520A5" w14:textId="77777777" w:rsidR="00193B55" w:rsidRPr="007435E8" w:rsidRDefault="00193B55" w:rsidP="00193B55">
      <w:pPr>
        <w:tabs>
          <w:tab w:val="clear" w:pos="794"/>
          <w:tab w:val="clear" w:pos="1191"/>
          <w:tab w:val="clear" w:pos="1588"/>
          <w:tab w:val="left" w:pos="1701"/>
          <w:tab w:val="left" w:pos="1843"/>
        </w:tabs>
        <w:ind w:left="1701" w:hanging="1701"/>
        <w:rPr>
          <w:rFonts w:eastAsiaTheme="minorEastAsia"/>
        </w:rPr>
      </w:pPr>
      <w:r w:rsidRPr="007435E8">
        <w:rPr>
          <w:rFonts w:eastAsiaTheme="minorEastAsia"/>
        </w:rPr>
        <w:t>UMTS</w:t>
      </w:r>
      <w:r w:rsidRPr="007435E8">
        <w:rPr>
          <w:rFonts w:eastAsiaTheme="minorEastAsia"/>
        </w:rPr>
        <w:tab/>
        <w:t>Sistema Universal de Telecomunicaciones Móviles (</w:t>
      </w:r>
      <w:r w:rsidRPr="007435E8">
        <w:rPr>
          <w:rFonts w:eastAsiaTheme="minorEastAsia"/>
          <w:i/>
          <w:iCs/>
        </w:rPr>
        <w:t>universal mobile telecommunications system</w:t>
      </w:r>
      <w:r w:rsidRPr="007435E8">
        <w:rPr>
          <w:rFonts w:eastAsiaTheme="minorEastAsia"/>
        </w:rPr>
        <w:t>)</w:t>
      </w:r>
    </w:p>
    <w:p w14:paraId="4C822DC9" w14:textId="77777777" w:rsidR="00193B55" w:rsidRPr="007435E8" w:rsidRDefault="00193B55" w:rsidP="00193B55"/>
    <w:p w14:paraId="22C20B62" w14:textId="4E07246F" w:rsidR="00C42BA1" w:rsidRPr="00BE184C" w:rsidRDefault="00C42BA1" w:rsidP="00483D39">
      <w:pPr>
        <w:pStyle w:val="AnnexNoTitle"/>
        <w:outlineLvl w:val="0"/>
        <w:rPr>
          <w:rFonts w:eastAsiaTheme="minorEastAsia"/>
        </w:rPr>
      </w:pPr>
      <w:bookmarkStart w:id="291" w:name="_Toc136358654"/>
      <w:bookmarkStart w:id="292" w:name="_Toc184629736"/>
      <w:bookmarkStart w:id="293" w:name="_Toc184629952"/>
      <w:bookmarkStart w:id="294" w:name="_Toc216693460"/>
      <w:bookmarkStart w:id="295" w:name="_Toc217031168"/>
      <w:r w:rsidRPr="00593217">
        <w:rPr>
          <w:rFonts w:eastAsia="SimSun"/>
        </w:rPr>
        <w:lastRenderedPageBreak/>
        <w:t>Anexo</w:t>
      </w:r>
      <w:r w:rsidRPr="00BE184C">
        <w:rPr>
          <w:rFonts w:eastAsia="SimSun"/>
        </w:rPr>
        <w:t xml:space="preserve"> 2</w:t>
      </w:r>
      <w:r w:rsidRPr="00BE184C">
        <w:rPr>
          <w:rFonts w:eastAsia="SimSun"/>
        </w:rPr>
        <w:br/>
      </w:r>
      <w:r w:rsidR="00593217">
        <w:rPr>
          <w:rFonts w:eastAsia="SimSun"/>
        </w:rPr>
        <w:t>a</w:t>
      </w:r>
      <w:r w:rsidRPr="00BE184C">
        <w:rPr>
          <w:rFonts w:eastAsia="SimSun"/>
        </w:rPr>
        <w:t>l Capítulo 3</w:t>
      </w:r>
      <w:r w:rsidRPr="00BE184C">
        <w:rPr>
          <w:rFonts w:eastAsiaTheme="minorEastAsia"/>
          <w:lang w:eastAsia="zh-CN"/>
        </w:rPr>
        <w:br/>
      </w:r>
      <w:r w:rsidRPr="00BE184C">
        <w:rPr>
          <w:rFonts w:eastAsiaTheme="minorEastAsia"/>
          <w:lang w:eastAsia="zh-CN"/>
        </w:rPr>
        <w:br/>
      </w:r>
      <w:bookmarkEnd w:id="291"/>
      <w:bookmarkEnd w:id="292"/>
      <w:bookmarkEnd w:id="293"/>
      <w:r w:rsidR="00AE0024">
        <w:rPr>
          <w:rFonts w:eastAsiaTheme="minorEastAsia"/>
        </w:rPr>
        <w:t>Análisis</w:t>
      </w:r>
      <w:r w:rsidR="00E50A62">
        <w:rPr>
          <w:rFonts w:eastAsiaTheme="minorEastAsia"/>
        </w:rPr>
        <w:t xml:space="preserve"> </w:t>
      </w:r>
      <w:r w:rsidR="00F304F2">
        <w:rPr>
          <w:rFonts w:eastAsiaTheme="minorEastAsia"/>
        </w:rPr>
        <w:t>de</w:t>
      </w:r>
      <w:r w:rsidR="00E50A62" w:rsidRPr="00BE184C">
        <w:rPr>
          <w:rFonts w:eastAsiaTheme="minorEastAsia"/>
        </w:rPr>
        <w:t xml:space="preserve"> una </w:t>
      </w:r>
      <w:r w:rsidR="00AE0024">
        <w:rPr>
          <w:rFonts w:eastAsiaTheme="minorEastAsia"/>
        </w:rPr>
        <w:t>visión de</w:t>
      </w:r>
      <w:r w:rsidR="00E50A62" w:rsidRPr="00BE184C">
        <w:rPr>
          <w:rFonts w:eastAsiaTheme="minorEastAsia"/>
        </w:rPr>
        <w:t xml:space="preserve"> futuro </w:t>
      </w:r>
      <w:r w:rsidR="00AE0024">
        <w:rPr>
          <w:rFonts w:eastAsiaTheme="minorEastAsia"/>
        </w:rPr>
        <w:t>sobre</w:t>
      </w:r>
      <w:r w:rsidR="00E50A62">
        <w:rPr>
          <w:rFonts w:eastAsiaTheme="minorEastAsia"/>
        </w:rPr>
        <w:t xml:space="preserve"> </w:t>
      </w:r>
      <w:r w:rsidR="00E50A62" w:rsidRPr="00BE184C">
        <w:rPr>
          <w:rFonts w:eastAsiaTheme="minorEastAsia"/>
        </w:rPr>
        <w:t xml:space="preserve">un régimen de gestión del espectro </w:t>
      </w:r>
      <w:r w:rsidR="00E50A62">
        <w:rPr>
          <w:rFonts w:eastAsiaTheme="minorEastAsia"/>
        </w:rPr>
        <w:t>versátil</w:t>
      </w:r>
      <w:r w:rsidR="00E50A62" w:rsidRPr="00BE184C">
        <w:rPr>
          <w:rFonts w:eastAsiaTheme="minorEastAsia"/>
        </w:rPr>
        <w:t xml:space="preserve"> y sostenible para </w:t>
      </w:r>
      <w:r w:rsidR="00E50A62">
        <w:rPr>
          <w:rFonts w:eastAsiaTheme="minorEastAsia"/>
        </w:rPr>
        <w:t>el próximo decenio en</w:t>
      </w:r>
      <w:r w:rsidR="00E50A62" w:rsidRPr="00BE184C">
        <w:rPr>
          <w:rFonts w:eastAsiaTheme="minorEastAsia"/>
        </w:rPr>
        <w:t xml:space="preserve"> Emiratos Árabes Unidos</w:t>
      </w:r>
      <w:bookmarkEnd w:id="294"/>
      <w:bookmarkEnd w:id="295"/>
    </w:p>
    <w:p w14:paraId="093B7809" w14:textId="1C111FD8" w:rsidR="00C42BA1" w:rsidRPr="00BE184C" w:rsidRDefault="00C42BA1" w:rsidP="00C42BA1">
      <w:pPr>
        <w:pStyle w:val="Heading1"/>
      </w:pPr>
      <w:bookmarkStart w:id="296" w:name="_Toc121911812"/>
      <w:bookmarkStart w:id="297" w:name="_Toc136358655"/>
      <w:bookmarkStart w:id="298" w:name="_Toc184629737"/>
      <w:bookmarkStart w:id="299" w:name="_Toc184629953"/>
      <w:bookmarkStart w:id="300" w:name="_Toc216630173"/>
      <w:bookmarkStart w:id="301" w:name="_Toc216693461"/>
      <w:bookmarkStart w:id="302" w:name="_Toc217031169"/>
      <w:r w:rsidRPr="00BE184C">
        <w:t>1</w:t>
      </w:r>
      <w:r w:rsidRPr="00BE184C">
        <w:tab/>
      </w:r>
      <w:bookmarkEnd w:id="296"/>
      <w:bookmarkEnd w:id="297"/>
      <w:bookmarkEnd w:id="298"/>
      <w:bookmarkEnd w:id="299"/>
      <w:bookmarkEnd w:id="300"/>
      <w:proofErr w:type="gramStart"/>
      <w:r w:rsidR="00D16204">
        <w:t>Resumen</w:t>
      </w:r>
      <w:bookmarkEnd w:id="301"/>
      <w:bookmarkEnd w:id="302"/>
      <w:proofErr w:type="gramEnd"/>
    </w:p>
    <w:p w14:paraId="6CC0FA91" w14:textId="715CFED8" w:rsidR="00E50A62" w:rsidRPr="007B7381" w:rsidRDefault="00E50A62" w:rsidP="00E50A62">
      <w:r>
        <w:t>La</w:t>
      </w:r>
      <w:r w:rsidRPr="007B7381">
        <w:t xml:space="preserve"> Autoridad </w:t>
      </w:r>
      <w:r>
        <w:t>de Reglamentación</w:t>
      </w:r>
      <w:r w:rsidRPr="007B7381">
        <w:t xml:space="preserve"> de las Telecomunicaciones y Gobierno Digital (TDRA) presenta </w:t>
      </w:r>
      <w:r>
        <w:t xml:space="preserve">a continuación </w:t>
      </w:r>
      <w:r w:rsidR="0083140F">
        <w:t>su visión de</w:t>
      </w:r>
      <w:r w:rsidRPr="007B7381">
        <w:t xml:space="preserve"> futuro sobre un régimen de gestión del espectro </w:t>
      </w:r>
      <w:r>
        <w:t>versátil</w:t>
      </w:r>
      <w:r w:rsidRPr="007B7381">
        <w:t xml:space="preserve"> y sostenible para </w:t>
      </w:r>
      <w:r>
        <w:t>el próximo decenio en</w:t>
      </w:r>
      <w:r w:rsidRPr="007B7381">
        <w:t xml:space="preserve"> EAU. La TDRA, </w:t>
      </w:r>
      <w:r w:rsidR="0083140F">
        <w:t>sobre la base de</w:t>
      </w:r>
      <w:r w:rsidRPr="007B7381">
        <w:t xml:space="preserve"> la mejora de su sistema de gestión del espectro y la aplicación de las mejores soluciones disponibles </w:t>
      </w:r>
      <w:r>
        <w:t>a tal efecto</w:t>
      </w:r>
      <w:r w:rsidRPr="007B7381">
        <w:t xml:space="preserve">, promueve </w:t>
      </w:r>
      <w:r>
        <w:t>el</w:t>
      </w:r>
      <w:r w:rsidRPr="007B7381">
        <w:t xml:space="preserve"> desarrollo del sector</w:t>
      </w:r>
      <w:r>
        <w:t>,</w:t>
      </w:r>
      <w:r w:rsidRPr="007B7381">
        <w:t xml:space="preserve"> en consonancia con la estrategia y los objetivos digitales de EAU. </w:t>
      </w:r>
      <w:r>
        <w:t>Dicha Autoridad</w:t>
      </w:r>
      <w:r w:rsidRPr="007B7381">
        <w:t xml:space="preserve"> llevó a cabo un estudio sobre </w:t>
      </w:r>
      <w:r>
        <w:t>versatilidad</w:t>
      </w:r>
      <w:r w:rsidRPr="007B7381">
        <w:t xml:space="preserve"> del espectro </w:t>
      </w:r>
      <w:r>
        <w:t>de forma conjunta</w:t>
      </w:r>
      <w:r w:rsidRPr="007B7381">
        <w:t xml:space="preserve"> </w:t>
      </w:r>
      <w:r>
        <w:t xml:space="preserve">con </w:t>
      </w:r>
      <w:r w:rsidRPr="007B7381">
        <w:t>LS Telcom</w:t>
      </w:r>
      <w:r>
        <w:t>, cuyo</w:t>
      </w:r>
      <w:r w:rsidRPr="007B7381">
        <w:t xml:space="preserve"> resultado final fue </w:t>
      </w:r>
      <w:r w:rsidR="00573BDD">
        <w:t xml:space="preserve">la realización del </w:t>
      </w:r>
      <w:r>
        <w:t>presente</w:t>
      </w:r>
      <w:r w:rsidRPr="007B7381">
        <w:t xml:space="preserve"> </w:t>
      </w:r>
      <w:r w:rsidR="00573BDD">
        <w:t>análisis</w:t>
      </w:r>
      <w:r w:rsidRPr="007B7381">
        <w:t xml:space="preserve">. </w:t>
      </w:r>
      <w:r>
        <w:t>En éste se</w:t>
      </w:r>
      <w:r w:rsidRPr="007B7381">
        <w:t xml:space="preserve"> analiza </w:t>
      </w:r>
      <w:r>
        <w:t xml:space="preserve">una utilización </w:t>
      </w:r>
      <w:r w:rsidRPr="007B7381">
        <w:t xml:space="preserve">más eficiente y eficaz de soluciones avanzadas de gestión del espectro basadas en datos </w:t>
      </w:r>
      <w:r>
        <w:t>de forma</w:t>
      </w:r>
      <w:r w:rsidRPr="007B7381">
        <w:t xml:space="preserve"> general</w:t>
      </w:r>
      <w:r>
        <w:t>, incluida su</w:t>
      </w:r>
      <w:r w:rsidRPr="007B7381">
        <w:t xml:space="preserve"> posible </w:t>
      </w:r>
      <w:r>
        <w:t>repercusión en EAU</w:t>
      </w:r>
      <w:r w:rsidRPr="007B7381">
        <w:t>.</w:t>
      </w:r>
    </w:p>
    <w:p w14:paraId="425975BA" w14:textId="3C861228" w:rsidR="00E50A62" w:rsidRPr="007B7381" w:rsidRDefault="00E50A62" w:rsidP="00E50A62">
      <w:r w:rsidRPr="007B7381">
        <w:t xml:space="preserve">La TDRA tiene </w:t>
      </w:r>
      <w:r>
        <w:t>por</w:t>
      </w:r>
      <w:r w:rsidRPr="007B7381">
        <w:t xml:space="preserve"> misión poner el espectro a disposición de servicios </w:t>
      </w:r>
      <w:r>
        <w:t xml:space="preserve">de comunicaciones </w:t>
      </w:r>
      <w:r w:rsidRPr="007B7381">
        <w:t>inalámbric</w:t>
      </w:r>
      <w:r>
        <w:t>a</w:t>
      </w:r>
      <w:r w:rsidRPr="007B7381">
        <w:t>s innovador</w:t>
      </w:r>
      <w:r>
        <w:t>a</w:t>
      </w:r>
      <w:r w:rsidRPr="007B7381">
        <w:t xml:space="preserve">s, </w:t>
      </w:r>
      <w:r>
        <w:t>habida cuenta de su importancia para facilitar la destacada</w:t>
      </w:r>
      <w:r w:rsidRPr="007B7381">
        <w:t xml:space="preserve"> transición </w:t>
      </w:r>
      <w:r>
        <w:t>que tiene lugar actualmente en EAU</w:t>
      </w:r>
      <w:r w:rsidRPr="007B7381">
        <w:t>. En su</w:t>
      </w:r>
      <w:r w:rsidR="00BC14EC">
        <w:t>s</w:t>
      </w:r>
      <w:r w:rsidRPr="007B7381">
        <w:t xml:space="preserve"> esfuerzo</w:t>
      </w:r>
      <w:r w:rsidR="00BC14EC">
        <w:t>s</w:t>
      </w:r>
      <w:r w:rsidRPr="007B7381">
        <w:t xml:space="preserve"> por contribuir a sus objetivos, la TDRA coopera y colabora con todos sus </w:t>
      </w:r>
      <w:r w:rsidR="00BC14EC">
        <w:t>asociados</w:t>
      </w:r>
      <w:r w:rsidRPr="007B7381">
        <w:t xml:space="preserve"> estratégicos. </w:t>
      </w:r>
    </w:p>
    <w:p w14:paraId="7D062D85" w14:textId="78302A8D" w:rsidR="00E50A62" w:rsidRPr="007B7381" w:rsidRDefault="00BC14EC" w:rsidP="00E50A62">
      <w:r>
        <w:t xml:space="preserve">El presente </w:t>
      </w:r>
      <w:r w:rsidR="00573BDD">
        <w:t>análisis</w:t>
      </w:r>
      <w:r>
        <w:t xml:space="preserve"> se dirige</w:t>
      </w:r>
      <w:r w:rsidR="00E50A62" w:rsidRPr="007B7381">
        <w:t xml:space="preserve"> a todas las partes interesadas en</w:t>
      </w:r>
      <w:r w:rsidR="00157C60">
        <w:t xml:space="preserve"> las</w:t>
      </w:r>
      <w:r w:rsidR="00E50A62" w:rsidRPr="007B7381">
        <w:t xml:space="preserve"> oportunidades </w:t>
      </w:r>
      <w:r w:rsidR="00157C60">
        <w:t>que brinda</w:t>
      </w:r>
      <w:r w:rsidR="009B521F">
        <w:t>rá</w:t>
      </w:r>
      <w:r w:rsidR="00157C60">
        <w:t xml:space="preserve">n </w:t>
      </w:r>
      <w:r>
        <w:t xml:space="preserve">las </w:t>
      </w:r>
      <w:r w:rsidR="009B521F">
        <w:t xml:space="preserve">futuras </w:t>
      </w:r>
      <w:r>
        <w:t xml:space="preserve">comunicaciones </w:t>
      </w:r>
      <w:r w:rsidR="00E50A62" w:rsidRPr="007B7381">
        <w:t>inalámbricas</w:t>
      </w:r>
      <w:r>
        <w:t>, incluid</w:t>
      </w:r>
      <w:r w:rsidR="00157C60">
        <w:t>o el desarrollo de</w:t>
      </w:r>
      <w:r w:rsidR="00E50A62" w:rsidRPr="007B7381">
        <w:t xml:space="preserve"> sistemas </w:t>
      </w:r>
      <w:r>
        <w:t>versátiles</w:t>
      </w:r>
      <w:r w:rsidR="00E50A62" w:rsidRPr="007B7381">
        <w:t xml:space="preserve"> de gestión del espectro.</w:t>
      </w:r>
      <w:r w:rsidR="00157C60">
        <w:t xml:space="preserve"> </w:t>
      </w:r>
      <w:r>
        <w:t>También o</w:t>
      </w:r>
      <w:r w:rsidR="00E50A62" w:rsidRPr="007B7381">
        <w:t xml:space="preserve">frece información sobre los </w:t>
      </w:r>
      <w:r>
        <w:t>factores que propician cambios</w:t>
      </w:r>
      <w:r w:rsidR="00E50A62" w:rsidRPr="007B7381">
        <w:t xml:space="preserve"> y </w:t>
      </w:r>
      <w:r w:rsidR="00157C60">
        <w:t xml:space="preserve">los </w:t>
      </w:r>
      <w:r w:rsidR="00E50A62" w:rsidRPr="007B7381">
        <w:t xml:space="preserve">posibles enfoques para alcanzar los objetivos digitales de EAU. </w:t>
      </w:r>
      <w:r w:rsidR="00157C60">
        <w:t>En particular, se</w:t>
      </w:r>
      <w:r w:rsidR="00E50A62" w:rsidRPr="007B7381">
        <w:t xml:space="preserve"> </w:t>
      </w:r>
      <w:r>
        <w:t>abordan</w:t>
      </w:r>
      <w:r w:rsidR="00E50A62" w:rsidRPr="007B7381">
        <w:t xml:space="preserve"> los siguientes </w:t>
      </w:r>
      <w:r w:rsidR="00157C60">
        <w:t>aspectos</w:t>
      </w:r>
      <w:r w:rsidR="00E50A62" w:rsidRPr="007B7381">
        <w:t>:</w:t>
      </w:r>
    </w:p>
    <w:p w14:paraId="710D360F" w14:textId="056C401D" w:rsidR="00E50A62" w:rsidRPr="007B7381" w:rsidRDefault="004B31A9" w:rsidP="00E50A62">
      <w:pPr>
        <w:pStyle w:val="enumlev1"/>
      </w:pPr>
      <w:r>
        <w:t>–</w:t>
      </w:r>
      <w:r w:rsidR="00E50A62" w:rsidRPr="007B7381">
        <w:tab/>
      </w:r>
      <w:r w:rsidR="00EA5A79">
        <w:t>o</w:t>
      </w:r>
      <w:r w:rsidR="00E50A62" w:rsidRPr="007B7381">
        <w:t xml:space="preserve">bjetivos </w:t>
      </w:r>
      <w:r w:rsidR="00157C60">
        <w:t>en materia de</w:t>
      </w:r>
      <w:r w:rsidR="00E50A62" w:rsidRPr="007B7381">
        <w:t xml:space="preserve"> política digital </w:t>
      </w:r>
      <w:r w:rsidR="00BC14EC">
        <w:t xml:space="preserve">y factores </w:t>
      </w:r>
      <w:r w:rsidR="00E50A62" w:rsidRPr="007B7381">
        <w:t xml:space="preserve">estratégicos </w:t>
      </w:r>
      <w:r w:rsidR="00BC14EC">
        <w:t xml:space="preserve">en </w:t>
      </w:r>
      <w:r w:rsidR="00E50A62" w:rsidRPr="007B7381">
        <w:t>EAU;</w:t>
      </w:r>
    </w:p>
    <w:p w14:paraId="22DFC946" w14:textId="72A3B109" w:rsidR="00E50A62" w:rsidRPr="007B7381" w:rsidRDefault="004B31A9" w:rsidP="00E50A62">
      <w:pPr>
        <w:pStyle w:val="enumlev1"/>
      </w:pPr>
      <w:r>
        <w:t>–</w:t>
      </w:r>
      <w:r w:rsidR="00E50A62" w:rsidRPr="007B7381">
        <w:tab/>
      </w:r>
      <w:r w:rsidR="00EA5A79">
        <w:t>o</w:t>
      </w:r>
      <w:r w:rsidR="00E50A62" w:rsidRPr="007B7381">
        <w:t xml:space="preserve">portunidades y avances </w:t>
      </w:r>
      <w:r w:rsidR="00BC14EC">
        <w:t xml:space="preserve">en materia de </w:t>
      </w:r>
      <w:r w:rsidR="00E50A62" w:rsidRPr="007B7381">
        <w:t>tecnología</w:t>
      </w:r>
      <w:r w:rsidR="00BC14EC">
        <w:t>s</w:t>
      </w:r>
      <w:r w:rsidR="00E50A62" w:rsidRPr="007B7381">
        <w:t xml:space="preserve"> inalámbrica</w:t>
      </w:r>
      <w:r w:rsidR="00BC14EC">
        <w:t>s</w:t>
      </w:r>
      <w:r w:rsidR="00E50A62" w:rsidRPr="007B7381">
        <w:t>;</w:t>
      </w:r>
    </w:p>
    <w:p w14:paraId="7E394497" w14:textId="4917B240" w:rsidR="00E50A62" w:rsidRPr="007B7381" w:rsidRDefault="004B31A9" w:rsidP="00E50A62">
      <w:pPr>
        <w:pStyle w:val="enumlev1"/>
      </w:pPr>
      <w:r>
        <w:t>–</w:t>
      </w:r>
      <w:r w:rsidR="00E50A62" w:rsidRPr="007B7381">
        <w:tab/>
      </w:r>
      <w:r w:rsidR="00EA5A79">
        <w:t>d</w:t>
      </w:r>
      <w:r w:rsidR="00157C60">
        <w:t>esarrollo de</w:t>
      </w:r>
      <w:r w:rsidR="00BC14EC">
        <w:t xml:space="preserve"> </w:t>
      </w:r>
      <w:r w:rsidR="00E50A62" w:rsidRPr="007B7381">
        <w:t>soluciones de gestión del espectro;</w:t>
      </w:r>
    </w:p>
    <w:p w14:paraId="76093D9A" w14:textId="71FFF5B9" w:rsidR="00E50A62" w:rsidRPr="007B7381" w:rsidRDefault="004B31A9" w:rsidP="00E50A62">
      <w:pPr>
        <w:pStyle w:val="enumlev1"/>
      </w:pPr>
      <w:r>
        <w:t>–</w:t>
      </w:r>
      <w:r w:rsidR="00E50A62" w:rsidRPr="007B7381">
        <w:tab/>
      </w:r>
      <w:r w:rsidR="00EA5A79">
        <w:t>v</w:t>
      </w:r>
      <w:r w:rsidR="00BC14EC">
        <w:t>ersatilidad</w:t>
      </w:r>
      <w:r w:rsidR="00E50A62" w:rsidRPr="007B7381">
        <w:t xml:space="preserve"> específica </w:t>
      </w:r>
      <w:r w:rsidR="00157C60">
        <w:t>en</w:t>
      </w:r>
      <w:r w:rsidR="00E50A62" w:rsidRPr="007B7381">
        <w:t xml:space="preserve"> EAU </w:t>
      </w:r>
      <w:r w:rsidR="00157C60">
        <w:t>en relación con la</w:t>
      </w:r>
      <w:r w:rsidR="00E50A62" w:rsidRPr="007B7381">
        <w:t xml:space="preserve"> gestión del espectro.</w:t>
      </w:r>
    </w:p>
    <w:p w14:paraId="5B8D3AC0" w14:textId="094CEA6C" w:rsidR="00E50A62" w:rsidRPr="007B7381" w:rsidRDefault="00157C60" w:rsidP="00E50A62">
      <w:r>
        <w:t>La citada evolución</w:t>
      </w:r>
      <w:r w:rsidR="00E50A62" w:rsidRPr="007B7381">
        <w:t xml:space="preserve"> </w:t>
      </w:r>
      <w:r w:rsidR="00BC14EC">
        <w:t>requiere c</w:t>
      </w:r>
      <w:r w:rsidR="00BC14EC" w:rsidRPr="007B7381">
        <w:t>ada vez más</w:t>
      </w:r>
      <w:r w:rsidR="00E50A62" w:rsidRPr="007B7381">
        <w:t xml:space="preserve"> una conectividad ubicua. </w:t>
      </w:r>
      <w:r>
        <w:t>Habida cuenta de</w:t>
      </w:r>
      <w:r w:rsidR="009B521F">
        <w:t xml:space="preserve"> esa</w:t>
      </w:r>
      <w:r>
        <w:t xml:space="preserve"> </w:t>
      </w:r>
      <w:r w:rsidR="00E50A62" w:rsidRPr="007B7381">
        <w:t xml:space="preserve">«conectividad y capacidad </w:t>
      </w:r>
      <w:r>
        <w:t>posibles en los que casos en que sean necesarias</w:t>
      </w:r>
      <w:r w:rsidR="00E50A62" w:rsidRPr="007B7381">
        <w:t xml:space="preserve">», </w:t>
      </w:r>
      <w:r>
        <w:t>cabe esperar</w:t>
      </w:r>
      <w:r w:rsidR="00E50A62" w:rsidRPr="007B7381">
        <w:t xml:space="preserve"> que las </w:t>
      </w:r>
      <w:r>
        <w:t>radiocomunicaciones</w:t>
      </w:r>
      <w:r w:rsidR="00E50A62" w:rsidRPr="007B7381">
        <w:t xml:space="preserve"> avanzadas, flexibles y controladas por </w:t>
      </w:r>
      <w:r w:rsidR="00E50A62" w:rsidRPr="005B0A81">
        <w:rPr>
          <w:i/>
          <w:iCs/>
        </w:rPr>
        <w:t>software</w:t>
      </w:r>
      <w:r w:rsidR="00E50A62" w:rsidRPr="007B7381">
        <w:t xml:space="preserve"> (con </w:t>
      </w:r>
      <w:r w:rsidR="009B521F">
        <w:t>funciones</w:t>
      </w:r>
      <w:r w:rsidR="00E50A62" w:rsidRPr="007B7381">
        <w:t xml:space="preserve"> cognitivas) </w:t>
      </w:r>
      <w:r>
        <w:t xml:space="preserve">registren un desarrollo aún mayor, </w:t>
      </w:r>
      <w:r w:rsidR="009B521F">
        <w:t>y pasen a constituir</w:t>
      </w:r>
      <w:r w:rsidR="00E50A62" w:rsidRPr="007B7381">
        <w:t xml:space="preserve"> una tecnología industrial viable que permita a los dispositivos </w:t>
      </w:r>
      <w:r w:rsidR="009B521F">
        <w:t xml:space="preserve">seleccionar </w:t>
      </w:r>
      <w:r w:rsidR="00E50A62" w:rsidRPr="007B7381">
        <w:t>por sí mismos la banda de frecuencia</w:t>
      </w:r>
      <w:r w:rsidR="009B521F">
        <w:t>s</w:t>
      </w:r>
      <w:r w:rsidR="00E50A62" w:rsidRPr="007B7381">
        <w:t xml:space="preserve"> y la tecnología más adecuadas para las comunicaciones.</w:t>
      </w:r>
    </w:p>
    <w:p w14:paraId="5413B0B0" w14:textId="30C9F951" w:rsidR="00E50A62" w:rsidRPr="007B7381" w:rsidRDefault="00E50A62" w:rsidP="00E50A62">
      <w:r w:rsidRPr="007B7381">
        <w:t xml:space="preserve">Es necesario que las redes cumplan los objetivos de sostenibilidad, </w:t>
      </w:r>
      <w:r w:rsidR="009B521F">
        <w:t>al tiempo que garantizan</w:t>
      </w:r>
      <w:r w:rsidRPr="007B7381">
        <w:t xml:space="preserve"> una mayor eficiencia </w:t>
      </w:r>
      <w:r w:rsidR="009B521F">
        <w:t>de</w:t>
      </w:r>
      <w:r w:rsidRPr="007B7381">
        <w:t xml:space="preserve"> consumo. </w:t>
      </w:r>
      <w:r w:rsidR="009B521F">
        <w:t>La tecnología</w:t>
      </w:r>
      <w:r w:rsidRPr="007B7381">
        <w:t xml:space="preserve"> 5G, </w:t>
      </w:r>
      <w:r w:rsidR="009B521F">
        <w:t>pese a ofrecer</w:t>
      </w:r>
      <w:r w:rsidRPr="007B7381">
        <w:t xml:space="preserve"> un menor consumo de vatios por bit, consume más energía que las redes anteriores, lo que </w:t>
      </w:r>
      <w:r w:rsidR="009B521F">
        <w:t>pone de manifiesto que la tecnología</w:t>
      </w:r>
      <w:r w:rsidRPr="007B7381">
        <w:t xml:space="preserve"> 6G podría necesitar nuevas mejoras en </w:t>
      </w:r>
      <w:r w:rsidR="009B521F">
        <w:t>cuanto a</w:t>
      </w:r>
      <w:r w:rsidRPr="007B7381">
        <w:t xml:space="preserve"> eficiencia energética.</w:t>
      </w:r>
    </w:p>
    <w:p w14:paraId="126E4115" w14:textId="27862EB0" w:rsidR="00E50A62" w:rsidRPr="007B7381" w:rsidRDefault="00E50A62" w:rsidP="00E50A62">
      <w:r w:rsidRPr="007B7381">
        <w:t xml:space="preserve">Los avances </w:t>
      </w:r>
      <w:r w:rsidR="009B521F">
        <w:t>de</w:t>
      </w:r>
      <w:r w:rsidRPr="007B7381">
        <w:t xml:space="preserve"> la</w:t>
      </w:r>
      <w:r w:rsidR="009B521F">
        <w:t>s</w:t>
      </w:r>
      <w:r w:rsidRPr="007B7381">
        <w:t xml:space="preserve"> tecnología</w:t>
      </w:r>
      <w:r w:rsidR="009B521F">
        <w:t>s</w:t>
      </w:r>
      <w:r w:rsidRPr="007B7381">
        <w:t xml:space="preserve"> inalámbrica</w:t>
      </w:r>
      <w:r w:rsidR="009B521F">
        <w:t>s</w:t>
      </w:r>
      <w:r w:rsidRPr="007B7381">
        <w:t xml:space="preserve">, así como las expectativas de los usuarios de poder acceder al espectro necesario de forma rápida y con una carga administrativa mínima, </w:t>
      </w:r>
      <w:r w:rsidR="009B521F">
        <w:t>alientan</w:t>
      </w:r>
      <w:r w:rsidRPr="007B7381">
        <w:t xml:space="preserve"> a los reguladores a garantizar que sus marcos y enfoques normativos </w:t>
      </w:r>
      <w:r w:rsidR="009B521F">
        <w:t>sean los más adecuados</w:t>
      </w:r>
      <w:r w:rsidRPr="007B7381">
        <w:t xml:space="preserve">. La </w:t>
      </w:r>
      <w:r w:rsidR="009B521F">
        <w:t>versatilidad</w:t>
      </w:r>
      <w:r w:rsidRPr="007B7381">
        <w:t xml:space="preserve">, tal y como se define en </w:t>
      </w:r>
      <w:r w:rsidR="009B521F">
        <w:t>el presente artículo</w:t>
      </w:r>
      <w:r w:rsidRPr="007B7381">
        <w:t xml:space="preserve">, ayudará a los reguladores en este sentido, ya que los sistemas estarán más capacitados para hacer frente a </w:t>
      </w:r>
      <w:r w:rsidR="009B521F">
        <w:t>la evolución de los requisitos pertinentes</w:t>
      </w:r>
      <w:r w:rsidRPr="007B7381">
        <w:t>.</w:t>
      </w:r>
    </w:p>
    <w:p w14:paraId="2AC380BF" w14:textId="3BA16706" w:rsidR="00E50A62" w:rsidRPr="007B7381" w:rsidRDefault="00E50A62" w:rsidP="00E50A62">
      <w:r w:rsidRPr="007B7381">
        <w:lastRenderedPageBreak/>
        <w:t xml:space="preserve">Los </w:t>
      </w:r>
      <w:r w:rsidR="009B521F">
        <w:t>casos</w:t>
      </w:r>
      <w:r w:rsidRPr="007B7381">
        <w:t xml:space="preserve"> futuros que ha </w:t>
      </w:r>
      <w:r w:rsidR="009B521F">
        <w:t>abordado</w:t>
      </w:r>
      <w:r w:rsidRPr="007B7381">
        <w:t xml:space="preserve"> la TDRA se centran en </w:t>
      </w:r>
      <w:r w:rsidR="009B521F">
        <w:t>los avances previstos en materia de</w:t>
      </w:r>
      <w:r w:rsidRPr="007B7381">
        <w:t xml:space="preserve"> </w:t>
      </w:r>
      <w:r w:rsidR="009B521F">
        <w:t>evolución</w:t>
      </w:r>
      <w:r w:rsidRPr="007B7381">
        <w:t xml:space="preserve"> y tecnología</w:t>
      </w:r>
      <w:r w:rsidR="009B521F">
        <w:t>s</w:t>
      </w:r>
      <w:r w:rsidRPr="007B7381">
        <w:t xml:space="preserve">. El alcance del desarrollo de la autonomía y la </w:t>
      </w:r>
      <w:r w:rsidR="009B521F">
        <w:t>versatilidad</w:t>
      </w:r>
      <w:r w:rsidRPr="007B7381">
        <w:t xml:space="preserve"> de los procesos en </w:t>
      </w:r>
      <w:r w:rsidR="009B521F">
        <w:t>el próximo decenio vendrá dado por:</w:t>
      </w:r>
    </w:p>
    <w:p w14:paraId="292EE91E" w14:textId="4ED232A0" w:rsidR="00E50A62" w:rsidRPr="007B7381" w:rsidRDefault="004B31A9" w:rsidP="00E50A62">
      <w:pPr>
        <w:pStyle w:val="enumlev1"/>
      </w:pPr>
      <w:r>
        <w:t>–</w:t>
      </w:r>
      <w:r w:rsidR="00E50A62" w:rsidRPr="007B7381">
        <w:tab/>
      </w:r>
      <w:r w:rsidR="005B0A81">
        <w:t>l</w:t>
      </w:r>
      <w:r w:rsidR="00E50A62" w:rsidRPr="007B7381">
        <w:t xml:space="preserve">as oportunidades de </w:t>
      </w:r>
      <w:r w:rsidR="009B521F">
        <w:t>que brinden las</w:t>
      </w:r>
      <w:r w:rsidR="00E50A62" w:rsidRPr="007B7381">
        <w:t xml:space="preserve"> tecnologías inalámbricas, en particular </w:t>
      </w:r>
      <w:r w:rsidR="009B521F">
        <w:t>la compartición</w:t>
      </w:r>
      <w:r w:rsidR="00E50A62" w:rsidRPr="007B7381">
        <w:t xml:space="preserve"> autónom</w:t>
      </w:r>
      <w:r w:rsidR="009B521F">
        <w:t>a</w:t>
      </w:r>
      <w:r w:rsidR="00E50A62" w:rsidRPr="007B7381">
        <w:t xml:space="preserve"> dinámic</w:t>
      </w:r>
      <w:r w:rsidR="009B521F">
        <w:t>a</w:t>
      </w:r>
      <w:r w:rsidR="00E50A62" w:rsidRPr="007B7381">
        <w:t xml:space="preserve"> y la aplicación de la inteligencia artificial a nivel de gestión de red</w:t>
      </w:r>
      <w:r w:rsidR="005B0A81">
        <w:t>;</w:t>
      </w:r>
    </w:p>
    <w:p w14:paraId="07B1F38D" w14:textId="527ADD48" w:rsidR="00E50A62" w:rsidRPr="007B7381" w:rsidRDefault="004B31A9" w:rsidP="00E50A62">
      <w:pPr>
        <w:pStyle w:val="enumlev1"/>
      </w:pPr>
      <w:r>
        <w:t>–</w:t>
      </w:r>
      <w:r w:rsidR="00E50A62" w:rsidRPr="007B7381">
        <w:tab/>
      </w:r>
      <w:r w:rsidR="005B0A81">
        <w:t>e</w:t>
      </w:r>
      <w:r w:rsidR="00E50A62" w:rsidRPr="007B7381">
        <w:t xml:space="preserve">l </w:t>
      </w:r>
      <w:r w:rsidR="009B521F">
        <w:t>desarrollo</w:t>
      </w:r>
      <w:r w:rsidR="00E50A62" w:rsidRPr="007B7381">
        <w:t xml:space="preserve"> de la IA en las soluciones de gestión del espectro; y</w:t>
      </w:r>
    </w:p>
    <w:p w14:paraId="50D91EEB" w14:textId="1F9AC03B" w:rsidR="00E50A62" w:rsidRPr="007B7381" w:rsidRDefault="004B31A9" w:rsidP="00E50A62">
      <w:pPr>
        <w:pStyle w:val="enumlev1"/>
      </w:pPr>
      <w:r>
        <w:t>–</w:t>
      </w:r>
      <w:r w:rsidR="00E50A62" w:rsidRPr="007B7381">
        <w:tab/>
      </w:r>
      <w:r w:rsidR="005B0A81">
        <w:t>e</w:t>
      </w:r>
      <w:r w:rsidR="00E50A62" w:rsidRPr="007B7381">
        <w:t xml:space="preserve">l alcance de las decisiones políticas institucionales en </w:t>
      </w:r>
      <w:r w:rsidR="009B521F">
        <w:t xml:space="preserve">cuanto a </w:t>
      </w:r>
      <w:r w:rsidR="009B521F" w:rsidRPr="007B7381">
        <w:t xml:space="preserve">soluciones de gestión del espectro </w:t>
      </w:r>
      <w:r w:rsidR="00E50A62" w:rsidRPr="007B7381">
        <w:t xml:space="preserve">que requieren una intervención </w:t>
      </w:r>
      <w:r w:rsidR="009B521F">
        <w:t>basada en</w:t>
      </w:r>
      <w:r w:rsidR="00E50A62" w:rsidRPr="007B7381">
        <w:t xml:space="preserve"> las políticas.</w:t>
      </w:r>
    </w:p>
    <w:p w14:paraId="34840E24" w14:textId="00186DCF" w:rsidR="00E50A62" w:rsidRPr="007B7381" w:rsidRDefault="009B521F" w:rsidP="00E50A62">
      <w:r>
        <w:t>Con objeto de analizar</w:t>
      </w:r>
      <w:r w:rsidR="00E50A62" w:rsidRPr="007B7381">
        <w:t xml:space="preserve"> </w:t>
      </w:r>
      <w:r>
        <w:t xml:space="preserve">la transformación para facilitar la agenda </w:t>
      </w:r>
      <w:r w:rsidR="00E50A62" w:rsidRPr="00BE184C">
        <w:rPr>
          <w:i/>
          <w:iCs/>
        </w:rPr>
        <w:t>Agility 2031</w:t>
      </w:r>
      <w:r w:rsidR="00E50A62" w:rsidRPr="007B7381">
        <w:t xml:space="preserve">, la TDRA </w:t>
      </w:r>
      <w:r>
        <w:t>ha presentado</w:t>
      </w:r>
      <w:r w:rsidR="00E50A62" w:rsidRPr="007B7381">
        <w:t xml:space="preserve"> una serie de iniciativas basadas en un</w:t>
      </w:r>
      <w:r>
        <w:t xml:space="preserve"> exhaustivo estudio relacionado con los </w:t>
      </w:r>
      <w:r w:rsidR="00E50A62" w:rsidRPr="007B7381">
        <w:t>objetivos</w:t>
      </w:r>
      <w:r>
        <w:t xml:space="preserve"> siguientes</w:t>
      </w:r>
      <w:r w:rsidR="00E50A62" w:rsidRPr="007B7381">
        <w:t>:</w:t>
      </w:r>
    </w:p>
    <w:p w14:paraId="491F3CB7" w14:textId="0BC185BA" w:rsidR="00E50A62" w:rsidRPr="007B7381" w:rsidRDefault="004B31A9" w:rsidP="00E50A62">
      <w:pPr>
        <w:pStyle w:val="enumlev1"/>
      </w:pPr>
      <w:r>
        <w:t>–</w:t>
      </w:r>
      <w:r w:rsidR="00E50A62" w:rsidRPr="007B7381">
        <w:tab/>
        <w:t>«Los usuarios como parte del ecosistema»</w:t>
      </w:r>
      <w:r w:rsidR="005B0A81">
        <w:t>.</w:t>
      </w:r>
    </w:p>
    <w:p w14:paraId="4E6916D1" w14:textId="46A3BC08" w:rsidR="00E50A62" w:rsidRPr="007B7381" w:rsidRDefault="004B31A9" w:rsidP="00E50A62">
      <w:pPr>
        <w:pStyle w:val="enumlev1"/>
      </w:pPr>
      <w:r>
        <w:t>–</w:t>
      </w:r>
      <w:r w:rsidR="00E50A62" w:rsidRPr="007B7381">
        <w:tab/>
        <w:t>«</w:t>
      </w:r>
      <w:r w:rsidR="009B521F">
        <w:t>La p</w:t>
      </w:r>
      <w:r w:rsidR="00E50A62" w:rsidRPr="007B7381">
        <w:t>romoción de la IA»</w:t>
      </w:r>
      <w:r w:rsidR="005B0A81">
        <w:t>.</w:t>
      </w:r>
    </w:p>
    <w:p w14:paraId="309D1DB4" w14:textId="28F4A562" w:rsidR="00E50A62" w:rsidRPr="007B7381" w:rsidRDefault="004B31A9" w:rsidP="00E50A62">
      <w:pPr>
        <w:pStyle w:val="enumlev1"/>
      </w:pPr>
      <w:r>
        <w:t>–</w:t>
      </w:r>
      <w:r w:rsidR="00E50A62" w:rsidRPr="007B7381">
        <w:tab/>
        <w:t>«</w:t>
      </w:r>
      <w:r w:rsidR="009B521F">
        <w:t>La mejorad de la a</w:t>
      </w:r>
      <w:r w:rsidR="00E50A62" w:rsidRPr="007B7381">
        <w:t>utomatización</w:t>
      </w:r>
      <w:r w:rsidR="009B521F">
        <w:t xml:space="preserve"> y la </w:t>
      </w:r>
      <w:r w:rsidR="00E50A62" w:rsidRPr="007B7381">
        <w:t>autonomía».</w:t>
      </w:r>
    </w:p>
    <w:p w14:paraId="5562D6D0" w14:textId="3D448ADD" w:rsidR="00C42BA1" w:rsidRPr="00BE184C" w:rsidRDefault="00E50A62" w:rsidP="00C42BA1">
      <w:r w:rsidRPr="007B7381">
        <w:t xml:space="preserve">El enfoque general de este proyecto se muestra en la </w:t>
      </w:r>
      <w:r w:rsidR="00AF64EA">
        <w:t>F</w:t>
      </w:r>
      <w:r w:rsidRPr="007B7381">
        <w:t>ig</w:t>
      </w:r>
      <w:r w:rsidR="00AF64EA">
        <w:t>.</w:t>
      </w:r>
      <w:r>
        <w:t xml:space="preserve"> 8</w:t>
      </w:r>
      <w:r w:rsidRPr="007B7381">
        <w:t>.</w:t>
      </w:r>
    </w:p>
    <w:p w14:paraId="4BD7DC0D" w14:textId="1AB8611C" w:rsidR="00C42BA1" w:rsidRPr="007B7381" w:rsidRDefault="00C42BA1" w:rsidP="00C42BA1">
      <w:pPr>
        <w:pStyle w:val="FigureNo"/>
      </w:pPr>
      <w:r w:rsidRPr="007B7381">
        <w:t>Figur</w:t>
      </w:r>
      <w:r w:rsidR="009B521F">
        <w:t>A</w:t>
      </w:r>
      <w:r w:rsidRPr="007B7381">
        <w:t xml:space="preserve"> </w:t>
      </w:r>
      <w:r>
        <w:t>8</w:t>
      </w:r>
    </w:p>
    <w:p w14:paraId="3321CD8B" w14:textId="5D93D240" w:rsidR="00C42BA1" w:rsidRPr="007B7381" w:rsidRDefault="009B521F" w:rsidP="00C42BA1">
      <w:pPr>
        <w:pStyle w:val="Figuretitle"/>
      </w:pPr>
      <w:r>
        <w:t>Enfoque del proyecto</w:t>
      </w:r>
    </w:p>
    <w:p w14:paraId="32D719C6" w14:textId="7827B3C3" w:rsidR="00C42BA1" w:rsidRPr="007B7381" w:rsidRDefault="00BE184C" w:rsidP="00C42BA1">
      <w:pPr>
        <w:pStyle w:val="Figure"/>
      </w:pPr>
      <w:r>
        <w:rPr>
          <w:noProof/>
        </w:rPr>
        <w:drawing>
          <wp:inline distT="0" distB="0" distL="0" distR="0" wp14:anchorId="26282D76" wp14:editId="3F08278E">
            <wp:extent cx="6120765" cy="2414905"/>
            <wp:effectExtent l="0" t="0" r="0" b="0"/>
            <wp:docPr id="1546334340" name="Picture 2" descr="La FIGURA 8 muestra el Enfoque del proyect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34340" name="Picture 2" descr="La FIGURA 8 muestra el Enfoque del proyecto&#1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765" cy="2414905"/>
                    </a:xfrm>
                    <a:prstGeom prst="rect">
                      <a:avLst/>
                    </a:prstGeom>
                  </pic:spPr>
                </pic:pic>
              </a:graphicData>
            </a:graphic>
          </wp:inline>
        </w:drawing>
      </w:r>
    </w:p>
    <w:p w14:paraId="01049754" w14:textId="04395FA4" w:rsidR="00C42BA1" w:rsidRPr="00BE184C" w:rsidRDefault="00C42BA1" w:rsidP="00C42BA1">
      <w:pPr>
        <w:pStyle w:val="Heading1"/>
      </w:pPr>
      <w:bookmarkStart w:id="303" w:name="_Toc121911813"/>
      <w:bookmarkStart w:id="304" w:name="_Toc136358656"/>
      <w:bookmarkStart w:id="305" w:name="_Toc184629738"/>
      <w:bookmarkStart w:id="306" w:name="_Toc184629954"/>
      <w:bookmarkStart w:id="307" w:name="_Toc216630174"/>
      <w:bookmarkStart w:id="308" w:name="_Toc216693462"/>
      <w:bookmarkStart w:id="309" w:name="_Toc217031170"/>
      <w:r w:rsidRPr="00BE184C">
        <w:t>2</w:t>
      </w:r>
      <w:r w:rsidRPr="00BE184C">
        <w:tab/>
      </w:r>
      <w:proofErr w:type="gramStart"/>
      <w:r w:rsidR="009B521F" w:rsidRPr="00BE184C">
        <w:t>Objetivo</w:t>
      </w:r>
      <w:proofErr w:type="gramEnd"/>
      <w:r w:rsidR="009B521F" w:rsidRPr="00BE184C">
        <w:t xml:space="preserve"> del </w:t>
      </w:r>
      <w:bookmarkEnd w:id="303"/>
      <w:bookmarkEnd w:id="304"/>
      <w:bookmarkEnd w:id="305"/>
      <w:bookmarkEnd w:id="306"/>
      <w:r w:rsidR="00573BDD">
        <w:t>análisis</w:t>
      </w:r>
      <w:bookmarkEnd w:id="307"/>
      <w:bookmarkEnd w:id="308"/>
      <w:bookmarkEnd w:id="309"/>
    </w:p>
    <w:p w14:paraId="5EBED22E" w14:textId="16AA5361" w:rsidR="009B521F" w:rsidRPr="007B7381" w:rsidRDefault="009B521F" w:rsidP="009B521F">
      <w:r w:rsidRPr="00BE184C">
        <w:t xml:space="preserve">En el presente </w:t>
      </w:r>
      <w:r w:rsidR="00573BDD">
        <w:t>análisis</w:t>
      </w:r>
      <w:r w:rsidRPr="00BE184C">
        <w:t xml:space="preserve"> </w:t>
      </w:r>
      <w:r w:rsidR="00AE456A">
        <w:t>«</w:t>
      </w:r>
      <w:r w:rsidRPr="00BE184C">
        <w:t>Versatilidad de espectro</w:t>
      </w:r>
      <w:r w:rsidR="00AE456A">
        <w:t>»</w:t>
      </w:r>
      <w:r w:rsidR="00C42BA1" w:rsidRPr="00BE184C">
        <w:t xml:space="preserve"> </w:t>
      </w:r>
      <w:r w:rsidRPr="00BE184C">
        <w:t xml:space="preserve">de la TDRA </w:t>
      </w:r>
      <w:r>
        <w:t>se</w:t>
      </w:r>
      <w:r w:rsidR="00C42BA1" w:rsidRPr="00BE184C">
        <w:t xml:space="preserve"> </w:t>
      </w:r>
      <w:r w:rsidRPr="007B7381">
        <w:t xml:space="preserve">presenta una </w:t>
      </w:r>
      <w:r w:rsidR="008323E3">
        <w:t>visión</w:t>
      </w:r>
      <w:r w:rsidRPr="007B7381">
        <w:t xml:space="preserve"> de futuro sobre un régimen de gestión del espectro </w:t>
      </w:r>
      <w:r>
        <w:t>versátil</w:t>
      </w:r>
      <w:r w:rsidRPr="007B7381">
        <w:t xml:space="preserve"> y sostenible para </w:t>
      </w:r>
      <w:r>
        <w:t>el próximo decenio en</w:t>
      </w:r>
      <w:r w:rsidRPr="007B7381">
        <w:t xml:space="preserve"> EAU. La TDRA, </w:t>
      </w:r>
      <w:r>
        <w:t>por medio de</w:t>
      </w:r>
      <w:r w:rsidRPr="007B7381">
        <w:t xml:space="preserve"> la mejora de su sistema de gestión del espectro y la implementación de las mejores soluciones de gestión del espectro disponibles, promueve </w:t>
      </w:r>
      <w:r>
        <w:t>el</w:t>
      </w:r>
      <w:r w:rsidRPr="007B7381">
        <w:t xml:space="preserve"> desarrollo </w:t>
      </w:r>
      <w:r>
        <w:t xml:space="preserve">del sector a tenor de la </w:t>
      </w:r>
      <w:r w:rsidRPr="007B7381">
        <w:t xml:space="preserve">estrategia y los objetivos digitales de EAU. </w:t>
      </w:r>
      <w:r>
        <w:t xml:space="preserve">En el </w:t>
      </w:r>
      <w:r w:rsidR="008323E3">
        <w:t>análisis</w:t>
      </w:r>
      <w:r>
        <w:t xml:space="preserve"> se</w:t>
      </w:r>
      <w:r w:rsidRPr="007B7381">
        <w:t xml:space="preserve"> </w:t>
      </w:r>
      <w:r w:rsidR="008323E3">
        <w:t>tiene en cuenta</w:t>
      </w:r>
      <w:r w:rsidRPr="007B7381">
        <w:t xml:space="preserve"> </w:t>
      </w:r>
      <w:r>
        <w:t>una utilización más</w:t>
      </w:r>
      <w:r w:rsidRPr="007B7381">
        <w:t xml:space="preserve"> eficiente y eficaz de soluciones avanzadas de gestión del espectro basadas en datos </w:t>
      </w:r>
      <w:r w:rsidR="008323E3">
        <w:t>de índole general</w:t>
      </w:r>
      <w:r w:rsidRPr="007B7381">
        <w:t xml:space="preserve"> y su </w:t>
      </w:r>
      <w:r>
        <w:t>posible repercusión en EAU</w:t>
      </w:r>
      <w:r w:rsidRPr="007B7381">
        <w:t>.</w:t>
      </w:r>
    </w:p>
    <w:p w14:paraId="522D3EC8" w14:textId="6ED36E6B" w:rsidR="009B521F" w:rsidRPr="007B7381" w:rsidRDefault="009B521F" w:rsidP="009B521F">
      <w:r>
        <w:t xml:space="preserve">El presente </w:t>
      </w:r>
      <w:r w:rsidR="00573BDD">
        <w:t>análisis</w:t>
      </w:r>
      <w:r>
        <w:t xml:space="preserve"> se </w:t>
      </w:r>
      <w:r w:rsidR="00573BDD">
        <w:t>destina</w:t>
      </w:r>
      <w:r w:rsidRPr="007B7381">
        <w:t xml:space="preserve"> a todas las partes interesadas en</w:t>
      </w:r>
      <w:r>
        <w:t xml:space="preserve"> las</w:t>
      </w:r>
      <w:r w:rsidRPr="007B7381">
        <w:t xml:space="preserve"> oportunidades </w:t>
      </w:r>
      <w:r>
        <w:t xml:space="preserve">que brindarán las futuras comunicaciones </w:t>
      </w:r>
      <w:r w:rsidRPr="007B7381">
        <w:t>inalámbricas</w:t>
      </w:r>
      <w:r>
        <w:t>, incluido el desarrollo de</w:t>
      </w:r>
      <w:r w:rsidRPr="007B7381">
        <w:t xml:space="preserve"> sistemas </w:t>
      </w:r>
      <w:r>
        <w:t>versátiles</w:t>
      </w:r>
      <w:r w:rsidRPr="007B7381">
        <w:t xml:space="preserve"> de gestión del espectro.</w:t>
      </w:r>
      <w:r>
        <w:t xml:space="preserve"> También o</w:t>
      </w:r>
      <w:r w:rsidRPr="007B7381">
        <w:t xml:space="preserve">frece información sobre los </w:t>
      </w:r>
      <w:r>
        <w:t>factores que propician cambios</w:t>
      </w:r>
      <w:r w:rsidRPr="007B7381">
        <w:t xml:space="preserve"> y </w:t>
      </w:r>
      <w:r>
        <w:t xml:space="preserve">los </w:t>
      </w:r>
      <w:r w:rsidRPr="007B7381">
        <w:t xml:space="preserve">posibles enfoques para alcanzar los objetivos digitales de EAU. </w:t>
      </w:r>
      <w:r>
        <w:t>En particular, se</w:t>
      </w:r>
      <w:r w:rsidRPr="007B7381">
        <w:t xml:space="preserve"> </w:t>
      </w:r>
      <w:r>
        <w:t>abordan</w:t>
      </w:r>
      <w:r w:rsidRPr="007B7381">
        <w:t xml:space="preserve"> los siguientes </w:t>
      </w:r>
      <w:r>
        <w:t>aspectos</w:t>
      </w:r>
      <w:r w:rsidRPr="007B7381">
        <w:t>:</w:t>
      </w:r>
    </w:p>
    <w:p w14:paraId="2CCE4F81" w14:textId="7C289AE7" w:rsidR="009B521F" w:rsidRPr="007B7381" w:rsidRDefault="004B31A9" w:rsidP="00483D39">
      <w:pPr>
        <w:pStyle w:val="enumlev1"/>
        <w:keepNext/>
        <w:keepLines/>
      </w:pPr>
      <w:r>
        <w:lastRenderedPageBreak/>
        <w:t>–</w:t>
      </w:r>
      <w:r w:rsidR="009B521F" w:rsidRPr="007B7381">
        <w:tab/>
        <w:t xml:space="preserve">Objetivos </w:t>
      </w:r>
      <w:r w:rsidR="009B521F">
        <w:t>en materia de</w:t>
      </w:r>
      <w:r w:rsidR="009B521F" w:rsidRPr="007B7381">
        <w:t xml:space="preserve"> política digital </w:t>
      </w:r>
      <w:r w:rsidR="009B521F">
        <w:t xml:space="preserve">y factores </w:t>
      </w:r>
      <w:r w:rsidR="009B521F" w:rsidRPr="007B7381">
        <w:t xml:space="preserve">estratégicos </w:t>
      </w:r>
      <w:r w:rsidR="009B521F">
        <w:t xml:space="preserve">en </w:t>
      </w:r>
      <w:r w:rsidR="009B521F" w:rsidRPr="007B7381">
        <w:t>EAU</w:t>
      </w:r>
      <w:r w:rsidR="005B0A81">
        <w:t>.</w:t>
      </w:r>
    </w:p>
    <w:p w14:paraId="01CCE155" w14:textId="0E9CDBF8" w:rsidR="009B521F" w:rsidRPr="007B7381" w:rsidRDefault="004B31A9" w:rsidP="005B0A81">
      <w:pPr>
        <w:pStyle w:val="enumlev1"/>
      </w:pPr>
      <w:r>
        <w:t>–</w:t>
      </w:r>
      <w:r w:rsidR="009B521F" w:rsidRPr="007B7381">
        <w:tab/>
        <w:t xml:space="preserve">Oportunidades y avances </w:t>
      </w:r>
      <w:r w:rsidR="009B521F">
        <w:t xml:space="preserve">en materia de </w:t>
      </w:r>
      <w:r w:rsidR="009B521F" w:rsidRPr="007B7381">
        <w:t>tecnología</w:t>
      </w:r>
      <w:r w:rsidR="009B521F">
        <w:t>s</w:t>
      </w:r>
      <w:r w:rsidR="009B521F" w:rsidRPr="007B7381">
        <w:t xml:space="preserve"> inalámbrica</w:t>
      </w:r>
      <w:r w:rsidR="009B521F">
        <w:t>s</w:t>
      </w:r>
      <w:r w:rsidR="005B0A81">
        <w:t>.</w:t>
      </w:r>
    </w:p>
    <w:p w14:paraId="2BED28B6" w14:textId="3F4E3442" w:rsidR="009B521F" w:rsidRPr="007B7381" w:rsidRDefault="004B31A9" w:rsidP="005B0A81">
      <w:pPr>
        <w:pStyle w:val="enumlev1"/>
      </w:pPr>
      <w:r>
        <w:t>–</w:t>
      </w:r>
      <w:r w:rsidR="009B521F" w:rsidRPr="007B7381">
        <w:tab/>
      </w:r>
      <w:r w:rsidR="009B521F">
        <w:t xml:space="preserve">Desarrollo de </w:t>
      </w:r>
      <w:r w:rsidR="009B521F" w:rsidRPr="007B7381">
        <w:t>soluciones de gestión del espectro</w:t>
      </w:r>
      <w:r w:rsidR="005B0A81">
        <w:t>.</w:t>
      </w:r>
    </w:p>
    <w:p w14:paraId="03E6C578" w14:textId="6DEF7054" w:rsidR="00C42BA1" w:rsidRPr="00BE184C" w:rsidRDefault="004B31A9" w:rsidP="005B0A81">
      <w:pPr>
        <w:pStyle w:val="enumlev1"/>
      </w:pPr>
      <w:r>
        <w:t>–</w:t>
      </w:r>
      <w:r w:rsidR="009B521F" w:rsidRPr="007B7381">
        <w:tab/>
      </w:r>
      <w:r w:rsidR="009B521F">
        <w:t>Versatilidad</w:t>
      </w:r>
      <w:r w:rsidR="009B521F" w:rsidRPr="007B7381">
        <w:t xml:space="preserve"> específica </w:t>
      </w:r>
      <w:r w:rsidR="009B521F">
        <w:t>en</w:t>
      </w:r>
      <w:r w:rsidR="009B521F" w:rsidRPr="007B7381">
        <w:t xml:space="preserve"> EAU </w:t>
      </w:r>
      <w:r w:rsidR="009B521F">
        <w:t>en relación con la</w:t>
      </w:r>
      <w:r w:rsidR="009B521F" w:rsidRPr="007B7381">
        <w:t xml:space="preserve"> gestión del espectro</w:t>
      </w:r>
      <w:r w:rsidR="00C42BA1" w:rsidRPr="00BE184C">
        <w:t>.</w:t>
      </w:r>
    </w:p>
    <w:p w14:paraId="753DA981" w14:textId="17DBBBBD" w:rsidR="009B521F" w:rsidRPr="007B7381" w:rsidRDefault="00C42BA1" w:rsidP="009B521F">
      <w:pPr>
        <w:pStyle w:val="Heading1"/>
      </w:pPr>
      <w:bookmarkStart w:id="310" w:name="_Toc121911814"/>
      <w:bookmarkStart w:id="311" w:name="_Toc136358657"/>
      <w:bookmarkStart w:id="312" w:name="_Toc184629739"/>
      <w:bookmarkStart w:id="313" w:name="_Toc184629955"/>
      <w:bookmarkStart w:id="314" w:name="_Toc216630175"/>
      <w:bookmarkStart w:id="315" w:name="_Toc216693463"/>
      <w:bookmarkStart w:id="316" w:name="_Toc217031171"/>
      <w:r w:rsidRPr="00BE184C">
        <w:t>3</w:t>
      </w:r>
      <w:r w:rsidRPr="00BE184C">
        <w:tab/>
      </w:r>
      <w:bookmarkStart w:id="317" w:name="_Toc121744950"/>
      <w:bookmarkEnd w:id="310"/>
      <w:bookmarkEnd w:id="311"/>
      <w:bookmarkEnd w:id="312"/>
      <w:bookmarkEnd w:id="313"/>
      <w:bookmarkEnd w:id="317"/>
      <w:proofErr w:type="gramStart"/>
      <w:r w:rsidR="00401E72">
        <w:t>E</w:t>
      </w:r>
      <w:r w:rsidR="009B521F" w:rsidRPr="007B7381">
        <w:t>strategia</w:t>
      </w:r>
      <w:proofErr w:type="gramEnd"/>
      <w:r w:rsidR="009B521F" w:rsidRPr="007B7381">
        <w:t xml:space="preserve"> digital </w:t>
      </w:r>
      <w:r w:rsidR="00050353">
        <w:t>en</w:t>
      </w:r>
      <w:r w:rsidR="009B521F" w:rsidRPr="007B7381">
        <w:t xml:space="preserve"> EAU, </w:t>
      </w:r>
      <w:r w:rsidR="00401E72" w:rsidRPr="007B7381">
        <w:t>prevision</w:t>
      </w:r>
      <w:r w:rsidR="00401E72">
        <w:t>es</w:t>
      </w:r>
      <w:r w:rsidR="009B521F" w:rsidRPr="007B7381">
        <w:t xml:space="preserve">, </w:t>
      </w:r>
      <w:r w:rsidR="00401E72">
        <w:t>casos hipotéticos</w:t>
      </w:r>
      <w:r w:rsidR="009B521F" w:rsidRPr="007B7381">
        <w:t xml:space="preserve"> e implicaciones </w:t>
      </w:r>
      <w:r w:rsidR="00401E72">
        <w:t xml:space="preserve">en </w:t>
      </w:r>
      <w:r w:rsidR="007E5D78">
        <w:t>materia de</w:t>
      </w:r>
      <w:r w:rsidR="00401E72">
        <w:t xml:space="preserve"> versatilidad de</w:t>
      </w:r>
      <w:r w:rsidR="009B521F" w:rsidRPr="007B7381">
        <w:t xml:space="preserve"> espectro</w:t>
      </w:r>
      <w:bookmarkEnd w:id="314"/>
      <w:bookmarkEnd w:id="315"/>
      <w:bookmarkEnd w:id="316"/>
    </w:p>
    <w:p w14:paraId="599CAF46" w14:textId="252DADB1" w:rsidR="009B521F" w:rsidRPr="007B7381" w:rsidRDefault="00401E72" w:rsidP="009B521F">
      <w:r>
        <w:t>En</w:t>
      </w:r>
      <w:r w:rsidR="009B521F" w:rsidRPr="007B7381">
        <w:t xml:space="preserve"> EAU </w:t>
      </w:r>
      <w:r>
        <w:t>se prevé</w:t>
      </w:r>
      <w:r w:rsidR="009B521F" w:rsidRPr="007B7381">
        <w:t xml:space="preserve"> aprovechar de forma proactiva las tecnologías digitales avanzadas </w:t>
      </w:r>
      <w:r>
        <w:t>e incipientes</w:t>
      </w:r>
      <w:r w:rsidR="009B521F" w:rsidRPr="007B7381">
        <w:t xml:space="preserve">. Su objetivo es </w:t>
      </w:r>
      <w:r>
        <w:t>prestar</w:t>
      </w:r>
      <w:r w:rsidR="009B521F" w:rsidRPr="007B7381">
        <w:t xml:space="preserve"> servicios digitales</w:t>
      </w:r>
      <w:r>
        <w:t xml:space="preserve"> idóneos</w:t>
      </w:r>
      <w:r w:rsidR="009B521F" w:rsidRPr="007B7381">
        <w:t xml:space="preserve"> </w:t>
      </w:r>
      <w:r>
        <w:t>en los planos social, industrial y gubernamental orientados</w:t>
      </w:r>
      <w:r w:rsidR="009B521F" w:rsidRPr="007B7381">
        <w:t xml:space="preserve"> al futuro,</w:t>
      </w:r>
      <w:r>
        <w:t xml:space="preserve"> de forma</w:t>
      </w:r>
      <w:r w:rsidR="009B521F" w:rsidRPr="007B7381">
        <w:t xml:space="preserve"> inclusiva y sostenible, </w:t>
      </w:r>
      <w:r>
        <w:t xml:space="preserve">a tenor de </w:t>
      </w:r>
      <w:r w:rsidR="009B521F" w:rsidRPr="007B7381">
        <w:t>las necesidades futuras de usuarios y clientes</w:t>
      </w:r>
      <w:r w:rsidR="009B521F">
        <w:rPr>
          <w:rStyle w:val="FootnoteReference"/>
        </w:rPr>
        <w:footnoteReference w:id="4"/>
      </w:r>
      <w:r w:rsidR="009B521F" w:rsidRPr="007B7381">
        <w:t xml:space="preserve">. </w:t>
      </w:r>
    </w:p>
    <w:p w14:paraId="6AFD028B" w14:textId="6958AA9B" w:rsidR="009B521F" w:rsidRPr="007B7381" w:rsidRDefault="009B521F" w:rsidP="009B521F">
      <w:r w:rsidRPr="007B7381">
        <w:t xml:space="preserve">El futuro digital va más allá de </w:t>
      </w:r>
      <w:r w:rsidR="00050353">
        <w:t>la telefonía</w:t>
      </w:r>
      <w:r w:rsidRPr="007B7381">
        <w:t xml:space="preserve">, </w:t>
      </w:r>
      <w:r w:rsidR="002A1D96">
        <w:t>al abarcar</w:t>
      </w:r>
      <w:r w:rsidRPr="007B7381">
        <w:t xml:space="preserve"> la conectividad global, la mejora de procesos industriales, las ciudades inteligentes y los objetivos climáticos sostenibles</w:t>
      </w:r>
      <w:r w:rsidRPr="00C352AD">
        <w:rPr>
          <w:rStyle w:val="FootnoteReference"/>
        </w:rPr>
        <w:footnoteReference w:id="5"/>
      </w:r>
      <w:r w:rsidRPr="007B7381">
        <w:t>. La inclusión, la resiliencia, la participación de los usuarios, la apertura y la proactividad requieren una infraestructura de conectividad inalámbrica sólida, gestionada de manera eficiente y dinámica, y de prime</w:t>
      </w:r>
      <w:r w:rsidR="002A1D96">
        <w:t>r orden</w:t>
      </w:r>
      <w:r w:rsidRPr="007B7381">
        <w:t xml:space="preserve">. Las implicaciones en términos de política, gestión y acceso al espectro radioeléctrico son de gran alcance, </w:t>
      </w:r>
      <w:r w:rsidR="002A1D96">
        <w:t>puesto</w:t>
      </w:r>
      <w:r w:rsidRPr="007B7381">
        <w:t xml:space="preserve"> que el espectro radioeléctrico </w:t>
      </w:r>
      <w:r w:rsidR="002A1D96">
        <w:t>sirve de</w:t>
      </w:r>
      <w:r w:rsidRPr="007B7381">
        <w:t xml:space="preserve"> soporte </w:t>
      </w:r>
      <w:r w:rsidR="002A1D96">
        <w:t>a</w:t>
      </w:r>
      <w:r w:rsidRPr="007B7381">
        <w:t xml:space="preserve"> aplicaciones digitales cada vez más numerosas. </w:t>
      </w:r>
    </w:p>
    <w:p w14:paraId="075780D7" w14:textId="3192679A" w:rsidR="009B521F" w:rsidRPr="007B7381" w:rsidRDefault="009B521F" w:rsidP="009B521F">
      <w:pPr>
        <w:rPr>
          <w:rFonts w:asciiTheme="majorBidi" w:hAnsiTheme="majorBidi" w:cstheme="majorBidi"/>
        </w:rPr>
      </w:pPr>
      <w:r w:rsidRPr="007B7381">
        <w:rPr>
          <w:rFonts w:asciiTheme="majorBidi" w:hAnsiTheme="majorBidi" w:cstheme="majorBidi"/>
        </w:rPr>
        <w:t xml:space="preserve">La Autoridad </w:t>
      </w:r>
      <w:r w:rsidR="002A1D96">
        <w:rPr>
          <w:rFonts w:asciiTheme="majorBidi" w:hAnsiTheme="majorBidi" w:cstheme="majorBidi"/>
        </w:rPr>
        <w:t>de Reglamentación</w:t>
      </w:r>
      <w:r w:rsidRPr="007B7381">
        <w:rPr>
          <w:rFonts w:asciiTheme="majorBidi" w:hAnsiTheme="majorBidi" w:cstheme="majorBidi"/>
        </w:rPr>
        <w:t xml:space="preserve"> de las Telecomunicaciones (TRA) se </w:t>
      </w:r>
      <w:r w:rsidR="002A1D96">
        <w:rPr>
          <w:rFonts w:asciiTheme="majorBidi" w:hAnsiTheme="majorBidi" w:cstheme="majorBidi"/>
        </w:rPr>
        <w:t>constituyó</w:t>
      </w:r>
      <w:r w:rsidRPr="007B7381">
        <w:rPr>
          <w:rFonts w:asciiTheme="majorBidi" w:hAnsiTheme="majorBidi" w:cstheme="majorBidi"/>
        </w:rPr>
        <w:t xml:space="preserve"> en 2004 como organismo gubernamental encargado de </w:t>
      </w:r>
      <w:r w:rsidRPr="007B7381">
        <w:t xml:space="preserve">las telecomunicaciones </w:t>
      </w:r>
      <w:r w:rsidRPr="007B7381">
        <w:rPr>
          <w:rFonts w:asciiTheme="majorBidi" w:hAnsiTheme="majorBidi" w:cstheme="majorBidi"/>
        </w:rPr>
        <w:t xml:space="preserve">y la gestión del espectro radioeléctrico. En 2020 pasó a denominarse Autoridad </w:t>
      </w:r>
      <w:r w:rsidR="002A1D96">
        <w:rPr>
          <w:rFonts w:asciiTheme="majorBidi" w:hAnsiTheme="majorBidi" w:cstheme="majorBidi"/>
        </w:rPr>
        <w:t>de Reglamentación</w:t>
      </w:r>
      <w:r w:rsidR="002A1D96" w:rsidRPr="007B7381">
        <w:rPr>
          <w:rFonts w:asciiTheme="majorBidi" w:hAnsiTheme="majorBidi" w:cstheme="majorBidi"/>
        </w:rPr>
        <w:t xml:space="preserve"> </w:t>
      </w:r>
      <w:r w:rsidRPr="007B7381">
        <w:rPr>
          <w:rFonts w:asciiTheme="majorBidi" w:hAnsiTheme="majorBidi" w:cstheme="majorBidi"/>
        </w:rPr>
        <w:t xml:space="preserve">de las Telecomunicaciones y </w:t>
      </w:r>
      <w:r w:rsidR="002A1D96">
        <w:rPr>
          <w:rFonts w:asciiTheme="majorBidi" w:hAnsiTheme="majorBidi" w:cstheme="majorBidi"/>
        </w:rPr>
        <w:t>los Servicios Digitales</w:t>
      </w:r>
      <w:r w:rsidRPr="007B7381">
        <w:rPr>
          <w:rFonts w:asciiTheme="majorBidi" w:hAnsiTheme="majorBidi" w:cstheme="majorBidi"/>
        </w:rPr>
        <w:t xml:space="preserve"> (TDRA)</w:t>
      </w:r>
      <w:r w:rsidR="002A1D96">
        <w:rPr>
          <w:rFonts w:asciiTheme="majorBidi" w:hAnsiTheme="majorBidi" w:cstheme="majorBidi"/>
        </w:rPr>
        <w:t xml:space="preserve">, al incluir </w:t>
      </w:r>
      <w:r w:rsidRPr="007B7381">
        <w:rPr>
          <w:rFonts w:asciiTheme="majorBidi" w:hAnsiTheme="majorBidi" w:cstheme="majorBidi"/>
        </w:rPr>
        <w:t xml:space="preserve">los objetivos del Gobierno Digital. Su misión es: </w:t>
      </w:r>
    </w:p>
    <w:p w14:paraId="42F672C6" w14:textId="39C2A495" w:rsidR="009B521F" w:rsidRPr="007B7381" w:rsidRDefault="009B521F" w:rsidP="009B521F">
      <w:pPr>
        <w:ind w:left="794" w:hanging="794"/>
      </w:pPr>
      <w:r w:rsidRPr="007B7381">
        <w:tab/>
        <w:t xml:space="preserve">«... </w:t>
      </w:r>
      <w:r w:rsidR="007E5D78">
        <w:t>pasar a</w:t>
      </w:r>
      <w:r w:rsidRPr="007B7381">
        <w:t xml:space="preserve"> ser una organización líder en el sector de las TIC en Emiratos Árabes Unidos, comprometida con el mantenimiento de una competencia </w:t>
      </w:r>
      <w:r w:rsidR="00BC0636">
        <w:t>favorable</w:t>
      </w:r>
      <w:r w:rsidRPr="007B7381">
        <w:t xml:space="preserve"> para proteger los intereses de los abonados y promover la transformación electrónica de los organismos federales y sus servicios, </w:t>
      </w:r>
      <w:r w:rsidR="00BC0636">
        <w:t xml:space="preserve">sobre la base de </w:t>
      </w:r>
      <w:r w:rsidRPr="007B7381">
        <w:t xml:space="preserve">las competencias nacionales para aplicar las mejores normas y prácticas internacionales en la supervisión de los sectores y </w:t>
      </w:r>
      <w:r w:rsidR="00BC0636">
        <w:t>alentar</w:t>
      </w:r>
      <w:r w:rsidRPr="007B7381">
        <w:t xml:space="preserve"> la innovación y la inversión»</w:t>
      </w:r>
      <w:r w:rsidRPr="00C352AD">
        <w:rPr>
          <w:rStyle w:val="FootnoteReference"/>
        </w:rPr>
        <w:footnoteReference w:id="6"/>
      </w:r>
      <w:r w:rsidRPr="007B7381">
        <w:t>.</w:t>
      </w:r>
    </w:p>
    <w:p w14:paraId="039DF864" w14:textId="4A159FE9" w:rsidR="009B521F" w:rsidRPr="007B7381" w:rsidRDefault="009B521F" w:rsidP="009B521F">
      <w:r w:rsidRPr="007B7381">
        <w:t xml:space="preserve">Su sector de telecomunicaciones se encarga de la gestión del espectro, los asuntos </w:t>
      </w:r>
      <w:r w:rsidR="00FB140E">
        <w:t>de reglamentación</w:t>
      </w:r>
      <w:r w:rsidRPr="007B7381">
        <w:t xml:space="preserve"> y el desarrollo tecnológico.</w:t>
      </w:r>
    </w:p>
    <w:p w14:paraId="5E4EBB5D" w14:textId="79CB3C7A" w:rsidR="009B521F" w:rsidRPr="007B7381" w:rsidRDefault="009B521F" w:rsidP="009B521F">
      <w:r w:rsidRPr="007B7381">
        <w:t xml:space="preserve">En 2022, la TDRA </w:t>
      </w:r>
      <w:r w:rsidR="00AC36A4">
        <w:t>redobló</w:t>
      </w:r>
      <w:r w:rsidR="00FB140E">
        <w:t xml:space="preserve"> esfuerzos en </w:t>
      </w:r>
      <w:r w:rsidRPr="007B7381">
        <w:t>investigación sobre la «</w:t>
      </w:r>
      <w:r w:rsidR="00FB140E">
        <w:t>versatilidad</w:t>
      </w:r>
      <w:r w:rsidRPr="007B7381">
        <w:t xml:space="preserve"> del espectro», </w:t>
      </w:r>
      <w:r w:rsidR="00FB140E">
        <w:t>con el</w:t>
      </w:r>
      <w:r w:rsidRPr="007B7381">
        <w:t xml:space="preserve"> objetivo </w:t>
      </w:r>
      <w:r w:rsidR="00FB140E">
        <w:t>de armonizar</w:t>
      </w:r>
      <w:r w:rsidRPr="007B7381">
        <w:t xml:space="preserve"> su misión</w:t>
      </w:r>
      <w:r w:rsidR="00AC36A4">
        <w:t xml:space="preserve"> y</w:t>
      </w:r>
      <w:r w:rsidRPr="007B7381">
        <w:t xml:space="preserve"> sus políticas, sistemas de gestión del espectro y procedimientos con </w:t>
      </w:r>
      <w:r w:rsidR="00AC36A4" w:rsidRPr="00AC36A4">
        <w:rPr>
          <w:i/>
          <w:iCs/>
        </w:rPr>
        <w:t>2031</w:t>
      </w:r>
      <w:r w:rsidR="00AC36A4">
        <w:t xml:space="preserve"> </w:t>
      </w:r>
      <w:r w:rsidR="00AC36A4" w:rsidRPr="00AC36A4">
        <w:rPr>
          <w:i/>
          <w:iCs/>
        </w:rPr>
        <w:t>Vision</w:t>
      </w:r>
      <w:r w:rsidRPr="007B7381">
        <w:t xml:space="preserve">, </w:t>
      </w:r>
      <w:r w:rsidR="00AC36A4">
        <w:t>a fin de facilitar</w:t>
      </w:r>
      <w:r w:rsidRPr="007B7381">
        <w:t xml:space="preserve"> la</w:t>
      </w:r>
      <w:r w:rsidR="00FB140E">
        <w:t xml:space="preserve"> visión, las </w:t>
      </w:r>
      <w:r w:rsidRPr="007B7381">
        <w:t xml:space="preserve">estrategias y </w:t>
      </w:r>
      <w:r w:rsidR="00FB140E">
        <w:t xml:space="preserve">las </w:t>
      </w:r>
      <w:r w:rsidRPr="007B7381">
        <w:t xml:space="preserve">políticas </w:t>
      </w:r>
      <w:r w:rsidR="00AC36A4">
        <w:t>sobre</w:t>
      </w:r>
      <w:r w:rsidRPr="007B7381">
        <w:t xml:space="preserve"> Gobierno Digital Nacional de EAU.</w:t>
      </w:r>
    </w:p>
    <w:p w14:paraId="72382DCC" w14:textId="77777777" w:rsidR="00483D39" w:rsidRDefault="00483D39" w:rsidP="009B521F">
      <w:r>
        <w:br w:type="page"/>
      </w:r>
    </w:p>
    <w:p w14:paraId="0D76D0FB" w14:textId="329AA852" w:rsidR="009B521F" w:rsidRPr="007B7381" w:rsidRDefault="009B521F" w:rsidP="009B521F">
      <w:r w:rsidRPr="007B7381">
        <w:lastRenderedPageBreak/>
        <w:t xml:space="preserve">La TDRA </w:t>
      </w:r>
      <w:r w:rsidR="00FB140E">
        <w:t xml:space="preserve">guarda relación con </w:t>
      </w:r>
      <w:r w:rsidRPr="007B7381">
        <w:t>la visión y previsión de EAU para los próximos 50 años (Plan Centenario)</w:t>
      </w:r>
      <w:r w:rsidRPr="00C352AD">
        <w:rPr>
          <w:rStyle w:val="FootnoteReference"/>
        </w:rPr>
        <w:footnoteReference w:id="7"/>
      </w:r>
      <w:r w:rsidRPr="007B7381">
        <w:t xml:space="preserve">. Se basa en la metodología </w:t>
      </w:r>
      <w:r w:rsidR="00FB140E">
        <w:t>sobre</w:t>
      </w:r>
      <w:r w:rsidRPr="007B7381">
        <w:t xml:space="preserve"> </w:t>
      </w:r>
      <w:r w:rsidR="00FB140E">
        <w:t>desarrollo de casos hipotéticos</w:t>
      </w:r>
      <w:r w:rsidRPr="007B7381">
        <w:t xml:space="preserve"> y las herramientas </w:t>
      </w:r>
      <w:r w:rsidR="00FB140E">
        <w:t>necesarias para forjar el</w:t>
      </w:r>
      <w:r w:rsidRPr="007B7381">
        <w:t xml:space="preserve"> futuro de EAU</w:t>
      </w:r>
      <w:r w:rsidRPr="00C352AD">
        <w:rPr>
          <w:rStyle w:val="FootnoteReference"/>
        </w:rPr>
        <w:footnoteReference w:id="8"/>
      </w:r>
      <w:r w:rsidR="005B0A81" w:rsidRPr="005B0A81">
        <w:rPr>
          <w:vertAlign w:val="superscript"/>
        </w:rPr>
        <w:t>,</w:t>
      </w:r>
      <w:r w:rsidRPr="00C352AD">
        <w:rPr>
          <w:rStyle w:val="FootnoteReference"/>
        </w:rPr>
        <w:footnoteReference w:id="9"/>
      </w:r>
      <w:r w:rsidRPr="007B7381">
        <w:t xml:space="preserve">. </w:t>
      </w:r>
      <w:r w:rsidR="00FB140E">
        <w:t>Al</w:t>
      </w:r>
      <w:r w:rsidRPr="007B7381">
        <w:t xml:space="preserve"> elaborar </w:t>
      </w:r>
      <w:r w:rsidR="00FB140E">
        <w:t>el presente informe técnico, l</w:t>
      </w:r>
      <w:r w:rsidRPr="007B7381">
        <w:t xml:space="preserve">a TDRA </w:t>
      </w:r>
      <w:r w:rsidR="00FB140E">
        <w:t>llevó</w:t>
      </w:r>
      <w:r w:rsidRPr="007B7381">
        <w:t xml:space="preserve"> a cabo una exhaustiva investigación científica y bibliográfica sobre políticas, </w:t>
      </w:r>
      <w:r w:rsidR="00FB140E">
        <w:t xml:space="preserve">efectuó </w:t>
      </w:r>
      <w:r w:rsidRPr="007B7381">
        <w:t xml:space="preserve">una amplia encuesta </w:t>
      </w:r>
      <w:r w:rsidR="00FB140E">
        <w:t xml:space="preserve">a escalas </w:t>
      </w:r>
      <w:r w:rsidRPr="007B7381">
        <w:t xml:space="preserve">regional e internacional sobre políticas y prácticas de los reguladores del espectro radioeléctrico y </w:t>
      </w:r>
      <w:r w:rsidR="00FB140E">
        <w:t>consultó</w:t>
      </w:r>
      <w:r w:rsidRPr="007B7381">
        <w:t xml:space="preserve"> a proveedores y expertos en la materia. </w:t>
      </w:r>
    </w:p>
    <w:p w14:paraId="223BD9C5" w14:textId="3AF68DB0" w:rsidR="009B521F" w:rsidRPr="007B7381" w:rsidRDefault="009B521F" w:rsidP="009B521F">
      <w:r w:rsidRPr="007B7381">
        <w:t>La visión «</w:t>
      </w:r>
      <w:r w:rsidRPr="00BE184C">
        <w:rPr>
          <w:i/>
          <w:iCs/>
        </w:rPr>
        <w:t>We the UAE 2031</w:t>
      </w:r>
      <w:r w:rsidRPr="007B7381">
        <w:t>»</w:t>
      </w:r>
      <w:r w:rsidRPr="00C352AD">
        <w:rPr>
          <w:rStyle w:val="FootnoteReference"/>
        </w:rPr>
        <w:footnoteReference w:id="10"/>
      </w:r>
      <w:r w:rsidRPr="007B7381">
        <w:t xml:space="preserve">, publicada en noviembre de 2022, se basa en </w:t>
      </w:r>
      <w:r w:rsidR="00FB140E">
        <w:t>las actividades</w:t>
      </w:r>
      <w:r w:rsidRPr="007B7381">
        <w:t xml:space="preserve"> de previsión anterior</w:t>
      </w:r>
      <w:r w:rsidR="00FB140E">
        <w:t>mente citadas, y</w:t>
      </w:r>
      <w:r w:rsidRPr="007B7381">
        <w:t xml:space="preserve"> presenta «... cuatro pilares que abarcan todos los sectores, incluidos </w:t>
      </w:r>
      <w:r w:rsidR="0023234F">
        <w:t>el social, el económico, el diplomático y el</w:t>
      </w:r>
      <w:r w:rsidRPr="007B7381">
        <w:t xml:space="preserve"> ecosistema</w:t>
      </w:r>
      <w:r w:rsidR="00FB140E">
        <w:t xml:space="preserve"> gubernamental, </w:t>
      </w:r>
      <w:r w:rsidR="0023234F">
        <w:t>a fin de lograr</w:t>
      </w:r>
      <w:r w:rsidRPr="007B7381">
        <w:t>:</w:t>
      </w:r>
    </w:p>
    <w:p w14:paraId="6D1E10F6" w14:textId="2447A4C8" w:rsidR="009B521F" w:rsidRPr="007B7381" w:rsidRDefault="009B521F" w:rsidP="009B521F">
      <w:pPr>
        <w:pStyle w:val="enumlev1"/>
      </w:pPr>
      <w:r w:rsidRPr="007B7381">
        <w:t>1</w:t>
      </w:r>
      <w:r w:rsidR="005B0A81">
        <w:t>)</w:t>
      </w:r>
      <w:r w:rsidRPr="007B7381">
        <w:tab/>
      </w:r>
      <w:r w:rsidR="0023234F">
        <w:t>Avances sociales</w:t>
      </w:r>
      <w:r w:rsidRPr="007B7381">
        <w:t xml:space="preserve">: </w:t>
      </w:r>
      <w:r w:rsidR="00FB140E">
        <w:t>fomentar</w:t>
      </w:r>
      <w:r w:rsidRPr="007B7381">
        <w:t xml:space="preserve"> la prosperidad de la sociedad mejorando las capacidades de los ciudadanos para maximizar su contribución efectiva en todos los sectores.</w:t>
      </w:r>
    </w:p>
    <w:p w14:paraId="357DA8A0" w14:textId="424B9C0D" w:rsidR="009B521F" w:rsidRPr="007B7381" w:rsidRDefault="009B521F" w:rsidP="009B521F">
      <w:pPr>
        <w:pStyle w:val="enumlev1"/>
      </w:pPr>
      <w:r w:rsidRPr="007B7381">
        <w:t>2</w:t>
      </w:r>
      <w:r w:rsidR="005B0A81">
        <w:t>)</w:t>
      </w:r>
      <w:r w:rsidRPr="007B7381">
        <w:tab/>
      </w:r>
      <w:r w:rsidR="0023234F">
        <w:t>Avances económicos</w:t>
      </w:r>
      <w:r w:rsidRPr="007B7381">
        <w:t xml:space="preserve">: </w:t>
      </w:r>
      <w:r w:rsidR="00FB140E">
        <w:t xml:space="preserve">promover la concienciación en </w:t>
      </w:r>
      <w:r w:rsidRPr="007B7381">
        <w:t xml:space="preserve">EAU </w:t>
      </w:r>
      <w:r w:rsidR="00FB140E">
        <w:t>sobre</w:t>
      </w:r>
      <w:r w:rsidRPr="007B7381">
        <w:t xml:space="preserve"> la importancia </w:t>
      </w:r>
      <w:r w:rsidR="00FB140E">
        <w:t>que reviste</w:t>
      </w:r>
      <w:r w:rsidRPr="007B7381">
        <w:t xml:space="preserve"> </w:t>
      </w:r>
      <w:r w:rsidR="00FB140E">
        <w:t xml:space="preserve">el </w:t>
      </w:r>
      <w:r w:rsidRPr="007B7381">
        <w:t>capital humano como principal motor del próximo plan de desarrollo decenal.</w:t>
      </w:r>
    </w:p>
    <w:p w14:paraId="30BAD453" w14:textId="411F3FB9" w:rsidR="009B521F" w:rsidRPr="007B7381" w:rsidRDefault="009B521F" w:rsidP="009B521F">
      <w:pPr>
        <w:pStyle w:val="enumlev1"/>
      </w:pPr>
      <w:r w:rsidRPr="007B7381">
        <w:t>3</w:t>
      </w:r>
      <w:r w:rsidR="005B0A81">
        <w:t>)</w:t>
      </w:r>
      <w:r w:rsidRPr="007B7381">
        <w:tab/>
      </w:r>
      <w:r w:rsidR="0023234F">
        <w:t>Avances diplomáticos</w:t>
      </w:r>
      <w:r w:rsidRPr="007B7381">
        <w:t xml:space="preserve">: consolidar el papel fundamental y la influencia de EAU </w:t>
      </w:r>
      <w:r w:rsidR="00FB140E">
        <w:t>sobre la base del</w:t>
      </w:r>
      <w:r w:rsidRPr="007B7381">
        <w:t xml:space="preserve"> respeto por los valores humanos.</w:t>
      </w:r>
    </w:p>
    <w:p w14:paraId="0A703199" w14:textId="0C06702C" w:rsidR="009B521F" w:rsidRPr="007B7381" w:rsidRDefault="009B521F" w:rsidP="009B521F">
      <w:pPr>
        <w:pStyle w:val="enumlev1"/>
      </w:pPr>
      <w:r w:rsidRPr="007B7381">
        <w:t>4</w:t>
      </w:r>
      <w:r w:rsidR="005B0A81">
        <w:t>)</w:t>
      </w:r>
      <w:r w:rsidRPr="007B7381">
        <w:tab/>
      </w:r>
      <w:r w:rsidR="0023234F">
        <w:t>Avances en el e</w:t>
      </w:r>
      <w:r w:rsidRPr="007B7381">
        <w:t xml:space="preserve">cosistema </w:t>
      </w:r>
      <w:r w:rsidR="00FB140E">
        <w:t>gubernamental</w:t>
      </w:r>
      <w:r w:rsidRPr="007B7381">
        <w:t xml:space="preserve">: mejora del rendimiento </w:t>
      </w:r>
      <w:r w:rsidR="00FB140E">
        <w:t>gubernamental</w:t>
      </w:r>
      <w:r w:rsidRPr="007B7381">
        <w:t xml:space="preserve"> y de la infraestructura de EAU</w:t>
      </w:r>
      <w:r w:rsidR="00FB140E">
        <w:t>, incluido</w:t>
      </w:r>
      <w:r w:rsidRPr="007B7381">
        <w:t xml:space="preserve"> su desarrollo </w:t>
      </w:r>
      <w:r w:rsidR="00FB140E">
        <w:t>a tenor de los</w:t>
      </w:r>
      <w:r w:rsidRPr="007B7381">
        <w:t xml:space="preserve"> métodos tecnológicos</w:t>
      </w:r>
      <w:r w:rsidR="00FB140E">
        <w:t xml:space="preserve"> más recientes</w:t>
      </w:r>
      <w:r w:rsidRPr="007B7381">
        <w:t xml:space="preserve">, </w:t>
      </w:r>
      <w:r w:rsidR="00FB140E">
        <w:t>en particular</w:t>
      </w:r>
      <w:r w:rsidRPr="007B7381">
        <w:t xml:space="preserve"> de la infraestructura digital.</w:t>
      </w:r>
    </w:p>
    <w:p w14:paraId="0D2B6BF7" w14:textId="6E0AF72D" w:rsidR="009B521F" w:rsidRPr="007B7381" w:rsidRDefault="009B521F" w:rsidP="009B521F">
      <w:r w:rsidRPr="007B7381">
        <w:t xml:space="preserve">De </w:t>
      </w:r>
      <w:r w:rsidR="007935B8">
        <w:t>particular</w:t>
      </w:r>
      <w:r w:rsidRPr="007B7381">
        <w:t xml:space="preserve"> </w:t>
      </w:r>
      <w:r w:rsidR="007935B8">
        <w:t>pertinencia</w:t>
      </w:r>
      <w:r w:rsidRPr="007B7381">
        <w:t xml:space="preserve"> para </w:t>
      </w:r>
      <w:r w:rsidR="00FB140E">
        <w:t>el citado estudio</w:t>
      </w:r>
      <w:r w:rsidRPr="007B7381">
        <w:t xml:space="preserve"> de la TDRA es el </w:t>
      </w:r>
      <w:r w:rsidR="0014175B">
        <w:t>P</w:t>
      </w:r>
      <w:r w:rsidRPr="007B7381">
        <w:t>ilar 4, «</w:t>
      </w:r>
      <w:r w:rsidR="007935B8" w:rsidRPr="007935B8">
        <w:t>Avances en el ecosistema gubernamental</w:t>
      </w:r>
      <w:r w:rsidRPr="007B7381">
        <w:t xml:space="preserve">», que hace hincapié en el rendimiento de </w:t>
      </w:r>
      <w:r w:rsidR="00FB140E">
        <w:t>los organismos</w:t>
      </w:r>
      <w:r w:rsidRPr="007B7381">
        <w:t xml:space="preserve"> gubernamentales de EAU. Cabe destacar </w:t>
      </w:r>
      <w:r w:rsidR="00FB140E">
        <w:t>asimismo</w:t>
      </w:r>
      <w:r w:rsidRPr="007B7381">
        <w:t xml:space="preserve"> que el pilar «Diplomacia </w:t>
      </w:r>
      <w:r w:rsidR="00FB140E">
        <w:t>avanzada</w:t>
      </w:r>
      <w:r w:rsidRPr="007B7381">
        <w:t xml:space="preserve">» </w:t>
      </w:r>
      <w:r w:rsidR="00FB140E">
        <w:t>se centra</w:t>
      </w:r>
      <w:r w:rsidRPr="007B7381">
        <w:t xml:space="preserve"> en la influencia internacional</w:t>
      </w:r>
      <w:r w:rsidR="00FB140E">
        <w:t xml:space="preserve"> cada vez mayor</w:t>
      </w:r>
      <w:r w:rsidRPr="007B7381">
        <w:t xml:space="preserve"> de EAU. </w:t>
      </w:r>
      <w:r w:rsidR="00FB140E">
        <w:t>Dicha</w:t>
      </w:r>
      <w:r w:rsidRPr="007B7381">
        <w:t xml:space="preserve"> influencia </w:t>
      </w:r>
      <w:r w:rsidR="00FB140E">
        <w:t>se pone de relieve</w:t>
      </w:r>
      <w:r w:rsidRPr="007B7381">
        <w:t xml:space="preserve"> en la innovación tecnológica, así como en </w:t>
      </w:r>
      <w:r w:rsidR="00FB140E">
        <w:t>la esfera</w:t>
      </w:r>
      <w:r w:rsidRPr="007B7381">
        <w:t xml:space="preserve"> </w:t>
      </w:r>
      <w:r w:rsidR="00FB140E" w:rsidRPr="007B7381">
        <w:t>de la gestión del espectro</w:t>
      </w:r>
      <w:r w:rsidR="00FB140E">
        <w:t>, de carácter</w:t>
      </w:r>
      <w:r w:rsidR="00FB140E" w:rsidRPr="007B7381">
        <w:t xml:space="preserve"> </w:t>
      </w:r>
      <w:r w:rsidRPr="007B7381">
        <w:t xml:space="preserve">muy dinámico </w:t>
      </w:r>
      <w:r w:rsidR="00FB140E">
        <w:t>e internacional</w:t>
      </w:r>
      <w:r w:rsidRPr="007B7381">
        <w:t xml:space="preserve">, </w:t>
      </w:r>
      <w:r w:rsidR="00FB140E">
        <w:t>incluido el gran número de</w:t>
      </w:r>
      <w:r w:rsidRPr="007B7381">
        <w:t xml:space="preserve"> temas tecnológicos y normativos debatidos en foros regionales e internacionales, en particular la UIT.</w:t>
      </w:r>
    </w:p>
    <w:p w14:paraId="55D98ABE" w14:textId="6B4CFC45" w:rsidR="009B521F" w:rsidRPr="007B7381" w:rsidRDefault="009B521F" w:rsidP="009B521F">
      <w:r w:rsidRPr="007B7381">
        <w:t xml:space="preserve">Como organismo gubernamental encargado de la gestión del espectro radioeléctrico, </w:t>
      </w:r>
      <w:r w:rsidR="00FB140E">
        <w:t>además de</w:t>
      </w:r>
      <w:r w:rsidRPr="007B7381">
        <w:t xml:space="preserve"> otras tareas de telecomunicaciones de amplio alcance, la TDRA </w:t>
      </w:r>
      <w:r w:rsidR="00FB140E">
        <w:t xml:space="preserve">cuenta con experiencia de éxito demostrada </w:t>
      </w:r>
      <w:r w:rsidRPr="007B7381">
        <w:t>en el desempeño de su</w:t>
      </w:r>
      <w:r w:rsidR="00FB140E">
        <w:t xml:space="preserve"> labor, reconocida a escala</w:t>
      </w:r>
      <w:r w:rsidRPr="007B7381">
        <w:t xml:space="preserve"> mundial </w:t>
      </w:r>
      <w:r w:rsidR="00FB140E">
        <w:t>a raíz de</w:t>
      </w:r>
      <w:r w:rsidRPr="007B7381">
        <w:t xml:space="preserve"> la concesión de la </w:t>
      </w:r>
      <w:r w:rsidR="00FB140E" w:rsidRPr="007B7381">
        <w:t xml:space="preserve">máxima </w:t>
      </w:r>
      <w:r w:rsidRPr="007B7381">
        <w:t>calificación «G5» en el marco de</w:t>
      </w:r>
      <w:r w:rsidR="00FB140E">
        <w:t xml:space="preserve">l programa de la UIT </w:t>
      </w:r>
      <w:r w:rsidR="00AE456A">
        <w:t>«</w:t>
      </w:r>
      <w:r w:rsidRPr="007B7381">
        <w:t>Generaciones de Reg</w:t>
      </w:r>
      <w:r w:rsidR="00FB140E">
        <w:t>lamentación</w:t>
      </w:r>
      <w:r w:rsidR="00AE456A">
        <w:t>»</w:t>
      </w:r>
      <w:r w:rsidRPr="00C352AD">
        <w:rPr>
          <w:rStyle w:val="FootnoteReference"/>
        </w:rPr>
        <w:footnoteReference w:id="11"/>
      </w:r>
      <w:r w:rsidRPr="007B7381">
        <w:t xml:space="preserve"> en 2022.</w:t>
      </w:r>
    </w:p>
    <w:p w14:paraId="15AC74B7" w14:textId="2A47847F" w:rsidR="009B521F" w:rsidRPr="007B7381" w:rsidRDefault="009B521F" w:rsidP="009B521F">
      <w:r w:rsidRPr="007B7381">
        <w:t xml:space="preserve">Otro ejemplo de la </w:t>
      </w:r>
      <w:r w:rsidR="00FB140E">
        <w:t>contribución</w:t>
      </w:r>
      <w:r w:rsidRPr="007B7381">
        <w:t xml:space="preserve"> de la TDRA </w:t>
      </w:r>
      <w:r w:rsidR="00FB140E">
        <w:t>a</w:t>
      </w:r>
      <w:r w:rsidRPr="007B7381">
        <w:t xml:space="preserve"> los actuales avances digitales es </w:t>
      </w:r>
      <w:r w:rsidRPr="00BE184C">
        <w:rPr>
          <w:i/>
          <w:iCs/>
        </w:rPr>
        <w:t>UAE Pass</w:t>
      </w:r>
      <w:r w:rsidRPr="007B7381">
        <w:t xml:space="preserve">. </w:t>
      </w:r>
      <w:r w:rsidR="00FB140E">
        <w:t xml:space="preserve">Éste </w:t>
      </w:r>
      <w:r w:rsidRPr="007B7381">
        <w:t xml:space="preserve">proporciona una identificación digital </w:t>
      </w:r>
      <w:r w:rsidR="00FB140E">
        <w:t xml:space="preserve">a escala </w:t>
      </w:r>
      <w:r w:rsidRPr="007B7381">
        <w:t xml:space="preserve">nacional que permite a las personas identificarse </w:t>
      </w:r>
      <w:r w:rsidR="00FB140E">
        <w:t>mediante</w:t>
      </w:r>
      <w:r w:rsidRPr="007B7381">
        <w:t xml:space="preserve"> un único inicio de sesión, lo que </w:t>
      </w:r>
      <w:proofErr w:type="gramStart"/>
      <w:r w:rsidRPr="007B7381">
        <w:t>les</w:t>
      </w:r>
      <w:proofErr w:type="gramEnd"/>
      <w:r w:rsidRPr="007B7381">
        <w:t xml:space="preserve"> </w:t>
      </w:r>
      <w:r w:rsidR="00FB140E">
        <w:t>brinda</w:t>
      </w:r>
      <w:r w:rsidRPr="007B7381">
        <w:t xml:space="preserve"> acceso a una serie de servicios gubernamentales (incluidas las autorizaciones de espectro). Para la TDRA, </w:t>
      </w:r>
      <w:r w:rsidR="00FB140E">
        <w:t xml:space="preserve">ello es también </w:t>
      </w:r>
      <w:r w:rsidRPr="007B7381">
        <w:t xml:space="preserve">un portal de autorización </w:t>
      </w:r>
      <w:r w:rsidRPr="007B7381">
        <w:lastRenderedPageBreak/>
        <w:t>en línea o basado en teléfonos inteligentes y facilita la validación de las autorizaciones de espectro por los organismos encargados de hacer cumplir la ley.</w:t>
      </w:r>
    </w:p>
    <w:p w14:paraId="14065438" w14:textId="0640F42D" w:rsidR="009B521F" w:rsidRPr="007B7381" w:rsidRDefault="00FB140E" w:rsidP="009B521F">
      <w:r>
        <w:t>A comienzos</w:t>
      </w:r>
      <w:r w:rsidR="009B521F" w:rsidRPr="007B7381">
        <w:t xml:space="preserve"> de 2023, la gestión del espectro </w:t>
      </w:r>
      <w:r>
        <w:t>tuvo que hacer frente a</w:t>
      </w:r>
      <w:r w:rsidR="009B521F" w:rsidRPr="007B7381">
        <w:t xml:space="preserve"> nuevos avances tecnológicos y a </w:t>
      </w:r>
      <w:r>
        <w:t xml:space="preserve">los </w:t>
      </w:r>
      <w:r w:rsidRPr="007B7381">
        <w:t xml:space="preserve">correspondientes </w:t>
      </w:r>
      <w:r w:rsidR="009B521F" w:rsidRPr="007B7381">
        <w:t xml:space="preserve">ajustes normativos. </w:t>
      </w:r>
      <w:r>
        <w:t>Ello</w:t>
      </w:r>
      <w:r w:rsidR="009B521F" w:rsidRPr="007B7381">
        <w:t xml:space="preserve"> se puede resumir </w:t>
      </w:r>
      <w:r>
        <w:t>mediante</w:t>
      </w:r>
      <w:r w:rsidR="009B521F" w:rsidRPr="007B7381">
        <w:t xml:space="preserve"> un enfoque de futuro </w:t>
      </w:r>
      <w:r>
        <w:t>con respecto al</w:t>
      </w:r>
      <w:r w:rsidR="009B521F" w:rsidRPr="007B7381">
        <w:t xml:space="preserve"> acceso al espectro</w:t>
      </w:r>
      <w:r>
        <w:t>, en particular:</w:t>
      </w:r>
    </w:p>
    <w:p w14:paraId="51D9A39C" w14:textId="3CA74D8D" w:rsidR="009B521F" w:rsidRPr="007B7381" w:rsidRDefault="0014175B" w:rsidP="009B521F">
      <w:pPr>
        <w:pStyle w:val="enumlev1"/>
      </w:pPr>
      <w:r>
        <w:t>–</w:t>
      </w:r>
      <w:r w:rsidR="009B521F" w:rsidRPr="007B7381">
        <w:tab/>
        <w:t>«</w:t>
      </w:r>
      <w:r w:rsidR="005B0A81">
        <w:t>v</w:t>
      </w:r>
      <w:r w:rsidR="00FB140E">
        <w:t>ersatilidad</w:t>
      </w:r>
      <w:r w:rsidR="009B521F" w:rsidRPr="007B7381">
        <w:t xml:space="preserve"> del espectro en </w:t>
      </w:r>
      <w:r w:rsidR="007935B8">
        <w:t>todo</w:t>
      </w:r>
      <w:r w:rsidR="009B521F" w:rsidRPr="007B7381">
        <w:t xml:space="preserve"> lugar», </w:t>
      </w:r>
      <w:r w:rsidR="00FB140E">
        <w:t xml:space="preserve">con facilitad de </w:t>
      </w:r>
      <w:r w:rsidR="009B521F" w:rsidRPr="007B7381">
        <w:t xml:space="preserve">acceso a los recursos del espectro radioeléctrico necesarios en </w:t>
      </w:r>
      <w:r w:rsidR="00FB140E">
        <w:t>todo</w:t>
      </w:r>
      <w:r w:rsidR="009B521F" w:rsidRPr="007B7381">
        <w:t xml:space="preserve"> momento; y </w:t>
      </w:r>
    </w:p>
    <w:p w14:paraId="25668B83" w14:textId="7B4AEA68" w:rsidR="009B521F" w:rsidRPr="007B7381" w:rsidRDefault="0014175B" w:rsidP="009B521F">
      <w:pPr>
        <w:pStyle w:val="enumlev1"/>
      </w:pPr>
      <w:r>
        <w:t>–</w:t>
      </w:r>
      <w:r w:rsidR="009B521F" w:rsidRPr="007B7381">
        <w:tab/>
        <w:t>«</w:t>
      </w:r>
      <w:r w:rsidR="005B0A81">
        <w:t>v</w:t>
      </w:r>
      <w:r w:rsidR="00FB140E">
        <w:t>ersatilidad</w:t>
      </w:r>
      <w:r w:rsidR="00FB140E" w:rsidRPr="007B7381">
        <w:t xml:space="preserve"> </w:t>
      </w:r>
      <w:r w:rsidR="009B521F" w:rsidRPr="007B7381">
        <w:t xml:space="preserve">con visión de futuro», </w:t>
      </w:r>
      <w:r w:rsidR="007935B8">
        <w:t>a saber,</w:t>
      </w:r>
      <w:r w:rsidR="00FB140E">
        <w:t xml:space="preserve"> facilidad de</w:t>
      </w:r>
      <w:r w:rsidR="009B521F" w:rsidRPr="007B7381">
        <w:t xml:space="preserve"> suministro del espectro radioeléctrico para adaptarse a la evolución </w:t>
      </w:r>
      <w:r w:rsidR="00FB140E">
        <w:t>tecnológica</w:t>
      </w:r>
      <w:r w:rsidR="009B521F" w:rsidRPr="007B7381">
        <w:t xml:space="preserve"> y </w:t>
      </w:r>
      <w:r w:rsidR="00FB140E">
        <w:t xml:space="preserve">de </w:t>
      </w:r>
      <w:r w:rsidR="009B521F" w:rsidRPr="007B7381">
        <w:t>los servicios.</w:t>
      </w:r>
    </w:p>
    <w:p w14:paraId="6A02F362" w14:textId="04F33D37" w:rsidR="009B521F" w:rsidRPr="007B7381" w:rsidRDefault="009B521F" w:rsidP="009B521F">
      <w:r w:rsidRPr="007B7381">
        <w:t xml:space="preserve">La TDRA tiene </w:t>
      </w:r>
      <w:r w:rsidR="00FB140E">
        <w:t>por</w:t>
      </w:r>
      <w:r w:rsidRPr="007B7381">
        <w:t xml:space="preserve"> misión </w:t>
      </w:r>
      <w:r w:rsidR="00FB140E">
        <w:t>destinar</w:t>
      </w:r>
      <w:r w:rsidRPr="007B7381">
        <w:t xml:space="preserve"> el espectro a servicios inalámbricos innovadores, </w:t>
      </w:r>
      <w:r w:rsidR="00FB140E">
        <w:t xml:space="preserve">habida cuenta de la importancia de </w:t>
      </w:r>
      <w:proofErr w:type="gramStart"/>
      <w:r w:rsidR="00FB140E">
        <w:t>los mismos</w:t>
      </w:r>
      <w:proofErr w:type="gramEnd"/>
      <w:r w:rsidR="00FB140E">
        <w:t xml:space="preserve"> para facilitar la importante transición que lleva a cabo actualmente EAU</w:t>
      </w:r>
      <w:r w:rsidRPr="007B7381">
        <w:t>. En su esfuerzo por contribuir a sus objetivos, la TDRA coopera y colabora con todos sus</w:t>
      </w:r>
      <w:r w:rsidR="00FB140E">
        <w:t xml:space="preserve"> asociados</w:t>
      </w:r>
      <w:r w:rsidRPr="007B7381">
        <w:t xml:space="preserve"> estratégicos. </w:t>
      </w:r>
    </w:p>
    <w:p w14:paraId="0E3FEBCB" w14:textId="468A71D9" w:rsidR="009B521F" w:rsidRPr="007B7381" w:rsidRDefault="009B521F" w:rsidP="009B521F">
      <w:r w:rsidRPr="007B7381">
        <w:t>A</w:t>
      </w:r>
      <w:r w:rsidR="00FB140E">
        <w:t xml:space="preserve">l </w:t>
      </w:r>
      <w:r w:rsidRPr="007B7381">
        <w:t xml:space="preserve">abordar la previsión en entornos digitales altamente innovadores, EAU adopta un enfoque </w:t>
      </w:r>
      <w:r w:rsidR="00FB140E">
        <w:t>orientado al futuro basado en</w:t>
      </w:r>
      <w:r w:rsidRPr="007B7381">
        <w:t xml:space="preserve"> escenarios, como se ilustra en las publicaciones del Gobierno d</w:t>
      </w:r>
      <w:r w:rsidR="00FB140E">
        <w:t>e dicho país</w:t>
      </w:r>
      <w:r w:rsidRPr="00C352AD">
        <w:rPr>
          <w:rStyle w:val="FootnoteReference"/>
        </w:rPr>
        <w:footnoteReference w:id="12"/>
      </w:r>
      <w:r w:rsidR="005B0A81" w:rsidRPr="005B0A81">
        <w:rPr>
          <w:vertAlign w:val="superscript"/>
        </w:rPr>
        <w:t>,</w:t>
      </w:r>
      <w:r w:rsidRPr="00C352AD">
        <w:rPr>
          <w:rStyle w:val="FootnoteReference"/>
        </w:rPr>
        <w:footnoteReference w:id="13"/>
      </w:r>
      <w:r w:rsidRPr="007B7381">
        <w:t xml:space="preserve">. </w:t>
      </w:r>
    </w:p>
    <w:p w14:paraId="13DD45B8" w14:textId="06A74519" w:rsidR="00F24AE9" w:rsidRPr="007B7381" w:rsidRDefault="009B521F" w:rsidP="00F24AE9">
      <w:r w:rsidRPr="007B7381">
        <w:t xml:space="preserve">En el </w:t>
      </w:r>
      <w:r w:rsidR="00FB140E">
        <w:t>marco</w:t>
      </w:r>
      <w:r w:rsidRPr="007B7381">
        <w:t xml:space="preserve"> de la</w:t>
      </w:r>
      <w:r w:rsidR="00F24AE9">
        <w:t>s</w:t>
      </w:r>
      <w:r w:rsidRPr="007B7381">
        <w:t xml:space="preserve"> política</w:t>
      </w:r>
      <w:r w:rsidR="00F24AE9">
        <w:t>s</w:t>
      </w:r>
      <w:r w:rsidRPr="007B7381">
        <w:t xml:space="preserve"> económica</w:t>
      </w:r>
      <w:r w:rsidR="00F24AE9">
        <w:t>s</w:t>
      </w:r>
      <w:r w:rsidRPr="007B7381">
        <w:t xml:space="preserve"> y digital</w:t>
      </w:r>
      <w:r w:rsidR="00F24AE9">
        <w:t>es</w:t>
      </w:r>
      <w:r w:rsidRPr="007B7381">
        <w:t xml:space="preserve"> internacional</w:t>
      </w:r>
      <w:r w:rsidR="00F24AE9">
        <w:t>es</w:t>
      </w:r>
      <w:r w:rsidRPr="007B7381">
        <w:t xml:space="preserve"> y de EAU, </w:t>
      </w:r>
      <w:r w:rsidR="00F24AE9">
        <w:t xml:space="preserve">el presente </w:t>
      </w:r>
      <w:r w:rsidR="00573BDD">
        <w:t>análisis</w:t>
      </w:r>
      <w:r w:rsidR="00F24AE9">
        <w:t xml:space="preserve"> sobre</w:t>
      </w:r>
      <w:r w:rsidRPr="007B7381">
        <w:t xml:space="preserve"> «</w:t>
      </w:r>
      <w:r w:rsidR="00F24AE9">
        <w:t>versatilidad de</w:t>
      </w:r>
      <w:r w:rsidRPr="007B7381">
        <w:t xml:space="preserve"> la gestión del espectro» se basa en un proyecto de investigación exhaustivo que </w:t>
      </w:r>
      <w:r w:rsidR="00F24AE9">
        <w:t>abarca</w:t>
      </w:r>
      <w:r w:rsidRPr="007B7381">
        <w:t xml:space="preserve"> análisis científicos y tecnológicos </w:t>
      </w:r>
      <w:r w:rsidR="00F24AE9">
        <w:t>avanzados</w:t>
      </w:r>
      <w:r w:rsidRPr="007B7381">
        <w:t xml:space="preserve">, </w:t>
      </w:r>
      <w:r w:rsidR="00F24AE9">
        <w:t xml:space="preserve">actividades </w:t>
      </w:r>
      <w:r w:rsidRPr="007B7381">
        <w:t xml:space="preserve">de evaluación </w:t>
      </w:r>
      <w:r w:rsidR="00F24AE9">
        <w:t>de referencia</w:t>
      </w:r>
      <w:r w:rsidRPr="007B7381">
        <w:t xml:space="preserve"> </w:t>
      </w:r>
      <w:r w:rsidR="00F24AE9">
        <w:t>sobre</w:t>
      </w:r>
      <w:r w:rsidRPr="007B7381">
        <w:t xml:space="preserve"> prácticas de gestión del espectro y numerosas entrevistas </w:t>
      </w:r>
      <w:r w:rsidR="00F24AE9">
        <w:t>realizadas a</w:t>
      </w:r>
      <w:r w:rsidRPr="007B7381">
        <w:t xml:space="preserve"> partes interesadas </w:t>
      </w:r>
      <w:r w:rsidR="00F24AE9">
        <w:t>en</w:t>
      </w:r>
      <w:r w:rsidRPr="007B7381">
        <w:t xml:space="preserve"> EAU, tanto a </w:t>
      </w:r>
      <w:r w:rsidR="00F24AE9">
        <w:t>escala</w:t>
      </w:r>
      <w:r w:rsidRPr="007B7381">
        <w:t xml:space="preserve"> regional como internacional. </w:t>
      </w:r>
      <w:r w:rsidR="00F24AE9">
        <w:t>Habida cuenta de ello</w:t>
      </w:r>
      <w:r w:rsidRPr="007B7381">
        <w:t xml:space="preserve">, </w:t>
      </w:r>
      <w:r w:rsidR="00F24AE9">
        <w:t>el estudio</w:t>
      </w:r>
      <w:r w:rsidRPr="007B7381">
        <w:t xml:space="preserve"> presenta </w:t>
      </w:r>
      <w:r w:rsidR="00F24AE9">
        <w:t>varios casos hipotéticos</w:t>
      </w:r>
      <w:r w:rsidRPr="007B7381">
        <w:t xml:space="preserve"> </w:t>
      </w:r>
      <w:r w:rsidR="00F24AE9">
        <w:t>sobre</w:t>
      </w:r>
      <w:r w:rsidRPr="007B7381">
        <w:t xml:space="preserve"> evolución </w:t>
      </w:r>
      <w:r w:rsidR="00F24AE9">
        <w:t>tecnológica</w:t>
      </w:r>
      <w:r w:rsidRPr="007B7381">
        <w:t xml:space="preserve"> y servicios inalámbricos </w:t>
      </w:r>
      <w:r w:rsidR="00F24AE9">
        <w:t>para el próximo decenio</w:t>
      </w:r>
      <w:r w:rsidRPr="007B7381">
        <w:t xml:space="preserve">, así como evolución de los sistemas y </w:t>
      </w:r>
      <w:r w:rsidR="00F24AE9">
        <w:t xml:space="preserve">las </w:t>
      </w:r>
      <w:r w:rsidRPr="007B7381">
        <w:t xml:space="preserve">soluciones de gestión del espectro. Ese exhaustivo esfuerzo de investigación </w:t>
      </w:r>
      <w:r w:rsidR="00F24AE9">
        <w:t>ha dado lugar a</w:t>
      </w:r>
      <w:r w:rsidRPr="007B7381">
        <w:t xml:space="preserve"> una visión </w:t>
      </w:r>
      <w:r w:rsidR="00F24AE9">
        <w:t>detallada</w:t>
      </w:r>
      <w:r w:rsidRPr="007B7381">
        <w:t xml:space="preserve"> que </w:t>
      </w:r>
      <w:r w:rsidR="00F24AE9">
        <w:t>facilitará</w:t>
      </w:r>
      <w:r w:rsidRPr="007B7381">
        <w:t xml:space="preserve"> a la TDRA la transición </w:t>
      </w:r>
      <w:r w:rsidR="00F24AE9">
        <w:t>a lo largo del próximo decenio a</w:t>
      </w:r>
      <w:r w:rsidRPr="007B7381">
        <w:t xml:space="preserve"> plataformas de gestión del espectro más adecuadas</w:t>
      </w:r>
      <w:r w:rsidR="00F24AE9">
        <w:t>, a fin de</w:t>
      </w:r>
      <w:r w:rsidRPr="007B7381">
        <w:t xml:space="preserve"> contribuir a los objetivos </w:t>
      </w:r>
      <w:r w:rsidR="00F24AE9" w:rsidRPr="007B7381">
        <w:t xml:space="preserve">de EAU </w:t>
      </w:r>
      <w:r w:rsidR="00F24AE9">
        <w:t>en los planos económico y social</w:t>
      </w:r>
      <w:r w:rsidRPr="007B7381">
        <w:t>.</w:t>
      </w:r>
    </w:p>
    <w:p w14:paraId="2AC86EB3" w14:textId="1F27E709" w:rsidR="00F24AE9" w:rsidRPr="007B7381" w:rsidRDefault="00F24AE9" w:rsidP="00F24AE9">
      <w:pPr>
        <w:pStyle w:val="Heading1"/>
      </w:pPr>
      <w:bookmarkStart w:id="318" w:name="_Toc121739509"/>
      <w:bookmarkStart w:id="319" w:name="_Toc121911815"/>
      <w:bookmarkStart w:id="320" w:name="_Toc136358658"/>
      <w:bookmarkStart w:id="321" w:name="_Toc184629740"/>
      <w:bookmarkStart w:id="322" w:name="_Toc184629956"/>
      <w:bookmarkStart w:id="323" w:name="_Toc216630176"/>
      <w:bookmarkStart w:id="324" w:name="_Toc216693464"/>
      <w:bookmarkStart w:id="325" w:name="_Toc217031172"/>
      <w:r w:rsidRPr="004B31A9">
        <w:t>4</w:t>
      </w:r>
      <w:r w:rsidRPr="004B31A9">
        <w:tab/>
        <w:t>Visión</w:t>
      </w:r>
      <w:r w:rsidRPr="007B7381">
        <w:t xml:space="preserve"> estratégica de la TDRA: </w:t>
      </w:r>
      <w:r>
        <w:t>transición a</w:t>
      </w:r>
      <w:r w:rsidRPr="007B7381">
        <w:t xml:space="preserve"> sistemas de gestión </w:t>
      </w:r>
      <w:r>
        <w:t>más versátiles</w:t>
      </w:r>
      <w:bookmarkEnd w:id="318"/>
      <w:bookmarkEnd w:id="319"/>
      <w:bookmarkEnd w:id="320"/>
      <w:bookmarkEnd w:id="321"/>
      <w:bookmarkEnd w:id="322"/>
      <w:bookmarkEnd w:id="323"/>
      <w:r w:rsidR="00D51788">
        <w:t xml:space="preserve"> en todo momento</w:t>
      </w:r>
      <w:bookmarkEnd w:id="324"/>
      <w:bookmarkEnd w:id="325"/>
    </w:p>
    <w:p w14:paraId="664B8E1C" w14:textId="5DC0B30D" w:rsidR="00F24AE9" w:rsidRPr="007B7381" w:rsidRDefault="00F24AE9" w:rsidP="00F24AE9">
      <w:r w:rsidRPr="007B7381">
        <w:t xml:space="preserve">La demanda de espectro </w:t>
      </w:r>
      <w:r w:rsidR="00045FA7">
        <w:t>es cada vez más mayor, en consonancia con el desarrollo</w:t>
      </w:r>
      <w:r w:rsidRPr="007B7381">
        <w:t xml:space="preserve"> económico de EAU. E</w:t>
      </w:r>
      <w:r w:rsidR="00045FA7">
        <w:t>n e</w:t>
      </w:r>
      <w:r w:rsidRPr="007B7381">
        <w:t>l proyecto «</w:t>
      </w:r>
      <w:r w:rsidR="00045FA7">
        <w:t xml:space="preserve">Versatilidad de </w:t>
      </w:r>
      <w:r w:rsidRPr="007B7381">
        <w:t xml:space="preserve">espectro» de la TDRA </w:t>
      </w:r>
      <w:r w:rsidR="00045FA7">
        <w:t>se evalúa</w:t>
      </w:r>
      <w:r w:rsidRPr="007B7381">
        <w:t xml:space="preserve"> la situación actual </w:t>
      </w:r>
      <w:r w:rsidR="00045FA7">
        <w:t xml:space="preserve">al respecto </w:t>
      </w:r>
      <w:r w:rsidRPr="007B7381">
        <w:t xml:space="preserve">en EAU y la TDRA, y </w:t>
      </w:r>
      <w:r w:rsidR="00045FA7">
        <w:t>se compara con</w:t>
      </w:r>
      <w:r w:rsidRPr="007B7381">
        <w:t xml:space="preserve"> la de otros países y </w:t>
      </w:r>
      <w:r w:rsidR="00045FA7">
        <w:t>organismos de reglamentación a escala</w:t>
      </w:r>
      <w:r w:rsidRPr="007B7381">
        <w:t xml:space="preserve"> mundial, </w:t>
      </w:r>
      <w:r w:rsidR="00045FA7">
        <w:t>y se abordan los objetivos</w:t>
      </w:r>
      <w:r w:rsidRPr="007B7381">
        <w:t xml:space="preserve"> de la TDRA con respecto a la implementación de un sistema </w:t>
      </w:r>
      <w:r w:rsidR="00045FA7">
        <w:t>versátil</w:t>
      </w:r>
      <w:r w:rsidRPr="007B7381">
        <w:t xml:space="preserve"> de gestión del espectro. </w:t>
      </w:r>
      <w:r w:rsidR="00045FA7">
        <w:t>En el marco de la labor</w:t>
      </w:r>
      <w:r w:rsidRPr="007B7381">
        <w:t xml:space="preserve"> del proyecto, la comparación con otros </w:t>
      </w:r>
      <w:r w:rsidR="00045FA7">
        <w:t>organismos de reglamentación</w:t>
      </w:r>
      <w:r w:rsidRPr="007B7381">
        <w:t xml:space="preserve"> ha permitido identificar un objetivo realista para la TDRA en términos de </w:t>
      </w:r>
      <w:r w:rsidR="00045FA7">
        <w:t>versatilidad</w:t>
      </w:r>
      <w:r w:rsidRPr="007B7381">
        <w:t xml:space="preserve"> futura del espectro (caracterizada por el nivel más </w:t>
      </w:r>
      <w:r w:rsidR="00045FA7">
        <w:t>elevado</w:t>
      </w:r>
      <w:r w:rsidRPr="007B7381">
        <w:t xml:space="preserve"> de </w:t>
      </w:r>
      <w:r w:rsidR="00045FA7">
        <w:t>versatilidad</w:t>
      </w:r>
      <w:r w:rsidRPr="007B7381">
        <w:t xml:space="preserve"> </w:t>
      </w:r>
      <w:r w:rsidR="00045FA7">
        <w:t>con respecto a los sistemas de</w:t>
      </w:r>
      <w:r w:rsidRPr="007B7381">
        <w:t xml:space="preserve"> evaluación d</w:t>
      </w:r>
      <w:r w:rsidR="00045FA7">
        <w:t>el grado de desarrollo</w:t>
      </w:r>
      <w:r w:rsidRPr="007B7381">
        <w:t xml:space="preserve"> de la gestión del espectro).</w:t>
      </w:r>
    </w:p>
    <w:p w14:paraId="7B97B424" w14:textId="5FF84863" w:rsidR="00F24AE9" w:rsidRPr="007B7381" w:rsidRDefault="00F24AE9" w:rsidP="00F24AE9">
      <w:pPr>
        <w:pStyle w:val="Heading2"/>
      </w:pPr>
      <w:bookmarkStart w:id="326" w:name="_Toc121911816"/>
      <w:bookmarkStart w:id="327" w:name="_Toc136358659"/>
      <w:bookmarkStart w:id="328" w:name="_Toc184629741"/>
      <w:bookmarkStart w:id="329" w:name="_Toc184629957"/>
      <w:bookmarkStart w:id="330" w:name="_Toc216630177"/>
      <w:bookmarkStart w:id="331" w:name="_Toc216693465"/>
      <w:bookmarkStart w:id="332" w:name="_Toc217031173"/>
      <w:r w:rsidRPr="007B7381">
        <w:lastRenderedPageBreak/>
        <w:t>4.1</w:t>
      </w:r>
      <w:r w:rsidRPr="007B7381">
        <w:tab/>
        <w:t xml:space="preserve">Enfoque actual </w:t>
      </w:r>
      <w:r w:rsidR="00045FA7">
        <w:t>sobre autorización de utilización</w:t>
      </w:r>
      <w:r w:rsidRPr="007B7381">
        <w:t xml:space="preserve"> del espectro</w:t>
      </w:r>
      <w:bookmarkEnd w:id="326"/>
      <w:bookmarkEnd w:id="327"/>
      <w:bookmarkEnd w:id="328"/>
      <w:bookmarkEnd w:id="329"/>
      <w:bookmarkEnd w:id="330"/>
      <w:bookmarkEnd w:id="331"/>
      <w:bookmarkEnd w:id="332"/>
    </w:p>
    <w:p w14:paraId="05E6BF78" w14:textId="563D8FAC" w:rsidR="00F24AE9" w:rsidRPr="007B7381" w:rsidRDefault="00F24AE9" w:rsidP="00F24AE9">
      <w:r w:rsidRPr="007B7381">
        <w:t>La herramienta actual de gestión del espectro de la TDRA data de 2008 (</w:t>
      </w:r>
      <w:r w:rsidR="00D51788">
        <w:t xml:space="preserve">que </w:t>
      </w:r>
      <w:r w:rsidRPr="007B7381">
        <w:t xml:space="preserve">a su vez </w:t>
      </w:r>
      <w:r w:rsidR="00D51788">
        <w:t xml:space="preserve">es </w:t>
      </w:r>
      <w:r w:rsidRPr="007B7381">
        <w:t>una actualización del</w:t>
      </w:r>
      <w:r w:rsidR="00D51788">
        <w:t xml:space="preserve"> primer</w:t>
      </w:r>
      <w:r w:rsidRPr="007B7381">
        <w:t xml:space="preserve"> sistema de 2005). Desde entonces, ha sido objeto de numerosas actualizaciones. Los aspectos clave de la especificación </w:t>
      </w:r>
      <w:r w:rsidR="007E6D54">
        <w:t>inicial</w:t>
      </w:r>
      <w:r w:rsidRPr="007B7381">
        <w:t xml:space="preserve"> y su </w:t>
      </w:r>
      <w:r w:rsidR="007E6D54">
        <w:t>ulterior</w:t>
      </w:r>
      <w:r w:rsidRPr="007B7381">
        <w:t xml:space="preserve"> desarrollo </w:t>
      </w:r>
      <w:r w:rsidR="007E6D54">
        <w:t>guardan relación con</w:t>
      </w:r>
      <w:r w:rsidRPr="007B7381">
        <w:t xml:space="preserve"> los tiempos de espera mínimos para los solicitantes y la </w:t>
      </w:r>
      <w:r w:rsidR="007E6D54">
        <w:t>adecuada</w:t>
      </w:r>
      <w:r w:rsidRPr="007B7381">
        <w:t xml:space="preserve"> visibilidad </w:t>
      </w:r>
      <w:r w:rsidR="007E6D54">
        <w:t>de</w:t>
      </w:r>
      <w:r w:rsidRPr="007B7381">
        <w:t xml:space="preserve"> la gestión del estado de las solicitudes. La TDRA, y el Gobierno de EAU en general, </w:t>
      </w:r>
      <w:r w:rsidR="007E6D54">
        <w:t>atribuyen suma</w:t>
      </w:r>
      <w:r w:rsidRPr="007B7381">
        <w:t xml:space="preserve"> importancia a la experiencia del cliente. </w:t>
      </w:r>
      <w:r w:rsidR="007E6D54">
        <w:t>De ahí que sus</w:t>
      </w:r>
      <w:r w:rsidRPr="007B7381">
        <w:t xml:space="preserve"> sistemas y procesos están diseñados para que las solicitudes de autorización </w:t>
      </w:r>
      <w:r w:rsidR="007E6D54">
        <w:t>resulten</w:t>
      </w:r>
      <w:r w:rsidRPr="007B7381">
        <w:t xml:space="preserve"> lo más sencillas posible </w:t>
      </w:r>
      <w:r w:rsidR="007E6D54">
        <w:t>a</w:t>
      </w:r>
      <w:r w:rsidRPr="007B7381">
        <w:t xml:space="preserve"> las partes interesadas.</w:t>
      </w:r>
    </w:p>
    <w:p w14:paraId="004C11C6" w14:textId="36BDB653" w:rsidR="00F24AE9" w:rsidRPr="007B7381" w:rsidRDefault="00F24AE9" w:rsidP="00F24AE9">
      <w:r w:rsidRPr="007B7381">
        <w:t xml:space="preserve">La TDRA </w:t>
      </w:r>
      <w:r w:rsidR="007E6D54">
        <w:t>proporciona</w:t>
      </w:r>
      <w:r w:rsidRPr="007B7381">
        <w:t xml:space="preserve"> un portal de autorizaciones </w:t>
      </w:r>
      <w:r w:rsidR="007E6D54">
        <w:t>a través de</w:t>
      </w:r>
      <w:r w:rsidRPr="007B7381">
        <w:t xml:space="preserve"> su sitio web para que los usuarios soliciten </w:t>
      </w:r>
      <w:r w:rsidR="007E6D54">
        <w:t xml:space="preserve">la utilización </w:t>
      </w:r>
      <w:r w:rsidRPr="007B7381">
        <w:t xml:space="preserve">del espectro </w:t>
      </w:r>
      <w:r w:rsidR="007E6D54">
        <w:t xml:space="preserve">a tenor de la demanda existente </w:t>
      </w:r>
      <w:r w:rsidRPr="007B7381">
        <w:t>(</w:t>
      </w:r>
      <w:r w:rsidR="007E6D54">
        <w:t>habida cuenta de</w:t>
      </w:r>
      <w:r w:rsidRPr="007B7381">
        <w:t xml:space="preserve"> que </w:t>
      </w:r>
      <w:r w:rsidR="007E6D54">
        <w:t xml:space="preserve">determinadas utilizaciones del </w:t>
      </w:r>
      <w:r w:rsidRPr="007B7381">
        <w:t xml:space="preserve">espectro también se autorizan </w:t>
      </w:r>
      <w:r w:rsidR="007E6D54">
        <w:t>de forma general o por medio de</w:t>
      </w:r>
      <w:r w:rsidRPr="007B7381">
        <w:t xml:space="preserve"> exenciones). También es posible modificar, renovar y </w:t>
      </w:r>
      <w:r w:rsidR="007E6D54">
        <w:t>anular</w:t>
      </w:r>
      <w:r w:rsidRPr="007B7381">
        <w:t xml:space="preserve"> autorizaciones a través del sitio web de la TDRA, y todas las autorizaciones de espectro </w:t>
      </w:r>
      <w:r w:rsidR="007E6D54">
        <w:t>tiene lugar actualmente por vía</w:t>
      </w:r>
      <w:r w:rsidRPr="007B7381">
        <w:t xml:space="preserve"> electrónica.</w:t>
      </w:r>
    </w:p>
    <w:p w14:paraId="01528EBB" w14:textId="0F7A3F5A" w:rsidR="00F24AE9" w:rsidRPr="007B7381" w:rsidRDefault="00F24AE9" w:rsidP="00F24AE9">
      <w:r w:rsidRPr="007B7381">
        <w:t>El sector de las telecomunicaciones de EAU se caracteriza por ser un duopolio con dos licenciatarios principale</w:t>
      </w:r>
      <w:r w:rsidR="007E6D54">
        <w:t xml:space="preserve">s, a saber, </w:t>
      </w:r>
      <w:r w:rsidRPr="00AA354F">
        <w:rPr>
          <w:i/>
          <w:iCs/>
        </w:rPr>
        <w:t>e&amp; by Etisalat</w:t>
      </w:r>
      <w:r w:rsidRPr="007B7381">
        <w:t xml:space="preserve"> y </w:t>
      </w:r>
      <w:r w:rsidRPr="00AA354F">
        <w:rPr>
          <w:i/>
          <w:iCs/>
        </w:rPr>
        <w:t>du</w:t>
      </w:r>
      <w:r w:rsidRPr="007B7381">
        <w:t xml:space="preserve">. También hay licenciatarios específicos </w:t>
      </w:r>
      <w:r w:rsidR="007E6D54">
        <w:t>en el</w:t>
      </w:r>
      <w:r w:rsidRPr="007B7381">
        <w:t xml:space="preserve"> sector que poseen licencias para servicios </w:t>
      </w:r>
      <w:r w:rsidR="007E6D54">
        <w:t>específicos</w:t>
      </w:r>
      <w:r w:rsidRPr="007B7381">
        <w:t xml:space="preserve">. Para prestar servicios públicos de telecomunicaciones en EAU, los solicitantes deben obtener una licencia </w:t>
      </w:r>
      <w:r w:rsidR="007E6D54">
        <w:t>a tal efecto</w:t>
      </w:r>
      <w:r w:rsidRPr="007B7381">
        <w:t xml:space="preserve">. Las redes privadas no requieren una licencia de telecomunicaciones, pero sí </w:t>
      </w:r>
      <w:r w:rsidR="007E6D54">
        <w:t>una</w:t>
      </w:r>
      <w:r w:rsidRPr="007B7381">
        <w:t xml:space="preserve"> autorización para utilizar el espectro radioeléctrico, </w:t>
      </w:r>
      <w:r w:rsidR="007E6D54">
        <w:t>habida cuenta de que</w:t>
      </w:r>
      <w:r w:rsidRPr="007B7381">
        <w:t xml:space="preserve"> no se permite </w:t>
      </w:r>
      <w:r w:rsidR="007E6D54">
        <w:t>la comercialización</w:t>
      </w:r>
      <w:r w:rsidRPr="007B7381">
        <w:t xml:space="preserve"> ni el arrendamiento de espectro en EAU</w:t>
      </w:r>
      <w:r w:rsidRPr="007B7381">
        <w:rPr>
          <w:rStyle w:val="FootnoteReference"/>
          <w:rFonts w:asciiTheme="majorBidi" w:hAnsiTheme="majorBidi" w:cstheme="majorBidi"/>
        </w:rPr>
        <w:footnoteReference w:id="14"/>
      </w:r>
      <w:r w:rsidRPr="007B7381">
        <w:t xml:space="preserve"> .</w:t>
      </w:r>
    </w:p>
    <w:p w14:paraId="573A5F72" w14:textId="6A6802C2" w:rsidR="00F24AE9" w:rsidRPr="007B7381" w:rsidRDefault="00F24AE9" w:rsidP="00F24AE9">
      <w:pPr>
        <w:pStyle w:val="Heading2"/>
      </w:pPr>
      <w:bookmarkStart w:id="333" w:name="_Toc121911817"/>
      <w:bookmarkStart w:id="334" w:name="_Toc136358660"/>
      <w:bookmarkStart w:id="335" w:name="_Toc184629742"/>
      <w:bookmarkStart w:id="336" w:name="_Toc184629958"/>
      <w:bookmarkStart w:id="337" w:name="_Toc216630178"/>
      <w:bookmarkStart w:id="338" w:name="_Toc216693466"/>
      <w:bookmarkStart w:id="339" w:name="_Toc217031174"/>
      <w:r w:rsidRPr="007B7381">
        <w:t>4.2</w:t>
      </w:r>
      <w:r w:rsidRPr="007B7381">
        <w:tab/>
        <w:t xml:space="preserve">Gestión </w:t>
      </w:r>
      <w:r w:rsidR="007E6D54">
        <w:t>versátil</w:t>
      </w:r>
      <w:r w:rsidRPr="007B7381">
        <w:t xml:space="preserve"> del espectro</w:t>
      </w:r>
      <w:bookmarkEnd w:id="333"/>
      <w:bookmarkEnd w:id="334"/>
      <w:bookmarkEnd w:id="335"/>
      <w:bookmarkEnd w:id="336"/>
      <w:bookmarkEnd w:id="337"/>
      <w:bookmarkEnd w:id="338"/>
      <w:bookmarkEnd w:id="339"/>
    </w:p>
    <w:p w14:paraId="756C7383" w14:textId="4A56DAFE" w:rsidR="00F24AE9" w:rsidRPr="007B7381" w:rsidRDefault="00AD5B64" w:rsidP="00F24AE9">
      <w:r>
        <w:t>Habida cuenta del marco</w:t>
      </w:r>
      <w:r w:rsidR="00F24AE9" w:rsidRPr="007B7381">
        <w:t xml:space="preserve"> actual de la gestión del espectro en EAU, y </w:t>
      </w:r>
      <w:r>
        <w:t>sobre la base del análisis</w:t>
      </w:r>
      <w:r w:rsidR="00F24AE9" w:rsidRPr="007B7381">
        <w:t xml:space="preserve"> de la evolución </w:t>
      </w:r>
      <w:r>
        <w:t>del sector</w:t>
      </w:r>
      <w:r w:rsidR="00F24AE9" w:rsidRPr="007B7381">
        <w:t>, la normativa y el mundo académico, la gestión «</w:t>
      </w:r>
      <w:r>
        <w:t>versátil</w:t>
      </w:r>
      <w:r w:rsidR="00F24AE9" w:rsidRPr="007B7381">
        <w:t xml:space="preserve">» del espectro </w:t>
      </w:r>
      <w:r>
        <w:t>puede ajustarse a las características enumeradas a continuación; en particular, el sistema</w:t>
      </w:r>
      <w:r w:rsidR="00F24AE9" w:rsidRPr="007B7381">
        <w:t>:</w:t>
      </w:r>
    </w:p>
    <w:p w14:paraId="5C98589B" w14:textId="39ED2AD7" w:rsidR="00F24AE9" w:rsidRPr="007B7381" w:rsidRDefault="004B31A9" w:rsidP="00F24AE9">
      <w:pPr>
        <w:pStyle w:val="enumlev1"/>
      </w:pPr>
      <w:r>
        <w:t>–</w:t>
      </w:r>
      <w:r w:rsidR="00F24AE9" w:rsidRPr="007B7381">
        <w:tab/>
        <w:t>debe ser flexible y permitir la selección automática de una frecuencia en función de determinados datos introducidos en el sistema</w:t>
      </w:r>
      <w:r>
        <w:t>;</w:t>
      </w:r>
    </w:p>
    <w:p w14:paraId="5B8C216D" w14:textId="3B67771F" w:rsidR="00F24AE9" w:rsidRPr="007B7381" w:rsidRDefault="004B31A9" w:rsidP="00F24AE9">
      <w:pPr>
        <w:pStyle w:val="enumlev1"/>
      </w:pPr>
      <w:r>
        <w:t>–</w:t>
      </w:r>
      <w:r w:rsidR="00F24AE9" w:rsidRPr="007B7381">
        <w:tab/>
        <w:t xml:space="preserve">debe ser fácil de </w:t>
      </w:r>
      <w:r w:rsidR="00AD5B64">
        <w:t>utilizar</w:t>
      </w:r>
      <w:r w:rsidR="00F24AE9" w:rsidRPr="007B7381">
        <w:t xml:space="preserve"> y </w:t>
      </w:r>
      <w:r w:rsidR="00AD5B64">
        <w:t>permitir</w:t>
      </w:r>
      <w:r w:rsidR="00F24AE9" w:rsidRPr="007B7381">
        <w:t xml:space="preserve"> </w:t>
      </w:r>
      <w:r w:rsidR="00AD5B64">
        <w:t>varios</w:t>
      </w:r>
      <w:r w:rsidR="00F24AE9" w:rsidRPr="007B7381">
        <w:t xml:space="preserve"> tipos de entradas, por ejemplo, únicas, por lotes, automatizadas </w:t>
      </w:r>
      <w:r w:rsidR="00AD5B64">
        <w:t>o</w:t>
      </w:r>
      <w:r w:rsidR="00F24AE9" w:rsidRPr="007B7381">
        <w:t xml:space="preserve"> preconfiguradas</w:t>
      </w:r>
      <w:r>
        <w:t>;</w:t>
      </w:r>
    </w:p>
    <w:p w14:paraId="29EB3AC0" w14:textId="6C288B42" w:rsidR="00F24AE9" w:rsidRPr="007B7381" w:rsidRDefault="004B31A9" w:rsidP="00F24AE9">
      <w:pPr>
        <w:pStyle w:val="enumlev1"/>
      </w:pPr>
      <w:r>
        <w:t>–</w:t>
      </w:r>
      <w:r w:rsidR="00F24AE9" w:rsidRPr="007B7381">
        <w:tab/>
        <w:t xml:space="preserve">debe </w:t>
      </w:r>
      <w:r w:rsidR="00AD5B64">
        <w:t xml:space="preserve">facilitar su integración </w:t>
      </w:r>
      <w:r w:rsidR="00F24AE9" w:rsidRPr="007B7381">
        <w:t xml:space="preserve">en cualquier solución de </w:t>
      </w:r>
      <w:r w:rsidR="00AD5B64">
        <w:t>comprobación técnica o detección</w:t>
      </w:r>
      <w:r w:rsidR="00F24AE9" w:rsidRPr="007B7381">
        <w:t xml:space="preserve"> del espectro</w:t>
      </w:r>
      <w:r>
        <w:t>;</w:t>
      </w:r>
    </w:p>
    <w:p w14:paraId="40399DA9" w14:textId="17C95D3F" w:rsidR="00F24AE9" w:rsidRPr="007B7381" w:rsidRDefault="004B31A9" w:rsidP="00F24AE9">
      <w:pPr>
        <w:pStyle w:val="enumlev1"/>
      </w:pPr>
      <w:r>
        <w:t>–</w:t>
      </w:r>
      <w:r w:rsidR="00F24AE9" w:rsidRPr="007B7381">
        <w:tab/>
        <w:t xml:space="preserve">debe poder integrarse fácilmente en cualquier sistema </w:t>
      </w:r>
      <w:r w:rsidR="00AD5B64">
        <w:t>de TI</w:t>
      </w:r>
      <w:r w:rsidR="00F24AE9" w:rsidRPr="007B7381">
        <w:t xml:space="preserve"> (por ejemplo, financiero</w:t>
      </w:r>
      <w:r w:rsidR="00AD5B64">
        <w:t xml:space="preserve"> o</w:t>
      </w:r>
      <w:r w:rsidR="00F24AE9" w:rsidRPr="007B7381">
        <w:t xml:space="preserve"> de homologación) utilizado por los </w:t>
      </w:r>
      <w:r w:rsidR="00AD5B64">
        <w:t>organismos de reglamentación</w:t>
      </w:r>
      <w:r w:rsidR="00F24AE9" w:rsidRPr="007B7381">
        <w:t xml:space="preserve"> del espectro</w:t>
      </w:r>
      <w:r>
        <w:t>;</w:t>
      </w:r>
    </w:p>
    <w:p w14:paraId="7D6221ED" w14:textId="2A568A55" w:rsidR="00F24AE9" w:rsidRPr="007B7381" w:rsidRDefault="004B31A9" w:rsidP="00F24AE9">
      <w:pPr>
        <w:pStyle w:val="enumlev1"/>
      </w:pPr>
      <w:r>
        <w:t>–</w:t>
      </w:r>
      <w:r w:rsidR="00F24AE9" w:rsidRPr="007B7381">
        <w:tab/>
        <w:t>debe reducir al mínimo los tiempos de solicitud y autorización (</w:t>
      </w:r>
      <w:r w:rsidR="00AD5B64">
        <w:t>habida cuenta</w:t>
      </w:r>
      <w:r w:rsidR="00F24AE9" w:rsidRPr="007B7381">
        <w:t xml:space="preserve"> </w:t>
      </w:r>
      <w:r w:rsidR="00AD5B64">
        <w:t>de</w:t>
      </w:r>
      <w:r w:rsidR="00F24AE9" w:rsidRPr="007B7381">
        <w:t xml:space="preserve"> los </w:t>
      </w:r>
      <w:r w:rsidR="00AD5B64">
        <w:t>períodos</w:t>
      </w:r>
      <w:r w:rsidR="00F24AE9" w:rsidRPr="007B7381">
        <w:t xml:space="preserve"> de cumplimentación de la solicitud </w:t>
      </w:r>
      <w:r w:rsidR="00AD5B64">
        <w:t>y</w:t>
      </w:r>
      <w:r w:rsidR="00F24AE9" w:rsidRPr="007B7381">
        <w:t xml:space="preserve"> de tramitación de </w:t>
      </w:r>
      <w:proofErr w:type="gramStart"/>
      <w:r w:rsidR="00F24AE9" w:rsidRPr="007B7381">
        <w:t>la misma</w:t>
      </w:r>
      <w:proofErr w:type="gramEnd"/>
      <w:r w:rsidR="00F24AE9" w:rsidRPr="007B7381">
        <w:t xml:space="preserve">, </w:t>
      </w:r>
      <w:r w:rsidR="00AD5B64">
        <w:t>con arreglo a la información facilitada por el</w:t>
      </w:r>
      <w:r w:rsidR="00F24AE9" w:rsidRPr="007B7381">
        <w:t xml:space="preserve"> solicitante </w:t>
      </w:r>
      <w:r w:rsidR="00AD5B64">
        <w:t>y los funcionarios</w:t>
      </w:r>
      <w:r w:rsidR="00F24AE9" w:rsidRPr="007B7381">
        <w:t xml:space="preserve"> de la TDRA) y reducir la intervención humana</w:t>
      </w:r>
      <w:r>
        <w:t>;</w:t>
      </w:r>
    </w:p>
    <w:p w14:paraId="38BC7084" w14:textId="1B9E5C53" w:rsidR="00F24AE9" w:rsidRPr="007B7381" w:rsidRDefault="004B31A9" w:rsidP="00F24AE9">
      <w:pPr>
        <w:pStyle w:val="enumlev1"/>
      </w:pPr>
      <w:r>
        <w:t>–</w:t>
      </w:r>
      <w:r w:rsidR="00F24AE9" w:rsidRPr="007B7381">
        <w:tab/>
        <w:t xml:space="preserve">debe </w:t>
      </w:r>
      <w:r w:rsidR="00AD5B64">
        <w:t>ser dinámico e</w:t>
      </w:r>
      <w:r w:rsidR="00F24AE9" w:rsidRPr="007B7381">
        <w:t xml:space="preserve"> inteligente y basarse en datos</w:t>
      </w:r>
      <w:r>
        <w:t>;</w:t>
      </w:r>
    </w:p>
    <w:p w14:paraId="303555B1" w14:textId="571FF26E" w:rsidR="00F24AE9" w:rsidRPr="007B7381" w:rsidRDefault="004B31A9" w:rsidP="00F24AE9">
      <w:pPr>
        <w:pStyle w:val="enumlev1"/>
      </w:pPr>
      <w:r>
        <w:t>–</w:t>
      </w:r>
      <w:r w:rsidR="00F24AE9" w:rsidRPr="007B7381">
        <w:tab/>
        <w:t>debe aprovechar tecnologías avanzadas</w:t>
      </w:r>
      <w:r w:rsidR="00AD5B64">
        <w:t>, en particular</w:t>
      </w:r>
      <w:r w:rsidR="00F24AE9" w:rsidRPr="007B7381">
        <w:t xml:space="preserve"> la inteligencia artificial y los sistemas </w:t>
      </w:r>
      <w:r w:rsidR="00AD5B64" w:rsidRPr="00AD5B64">
        <w:t>de libro mayor distribuido</w:t>
      </w:r>
      <w:r w:rsidR="00F24AE9" w:rsidRPr="007B7381">
        <w:t>.</w:t>
      </w:r>
    </w:p>
    <w:p w14:paraId="5430C32A" w14:textId="77777777" w:rsidR="00483D39" w:rsidRDefault="00483D39" w:rsidP="00F24AE9">
      <w:r>
        <w:br w:type="page"/>
      </w:r>
    </w:p>
    <w:p w14:paraId="092523B2" w14:textId="619CB74C" w:rsidR="00F24AE9" w:rsidRPr="007B7381" w:rsidRDefault="00AD5B64" w:rsidP="00F24AE9">
      <w:r w:rsidRPr="004B31A9">
        <w:lastRenderedPageBreak/>
        <w:t>De forma específica</w:t>
      </w:r>
      <w:r w:rsidR="00F24AE9" w:rsidRPr="004B31A9">
        <w:t>:</w:t>
      </w:r>
    </w:p>
    <w:p w14:paraId="70D72693" w14:textId="5CA402CF" w:rsidR="00F24AE9" w:rsidRPr="007B7381" w:rsidRDefault="00F24AE9" w:rsidP="00F24AE9">
      <w:pPr>
        <w:ind w:left="794" w:hanging="794"/>
      </w:pPr>
      <w:r>
        <w:tab/>
      </w:r>
      <w:r w:rsidR="00AD5B64">
        <w:t>Se entiende por</w:t>
      </w:r>
      <w:r w:rsidRPr="007B7381">
        <w:t xml:space="preserve"> </w:t>
      </w:r>
      <w:r w:rsidR="00AD5B64">
        <w:t>versatilidad de</w:t>
      </w:r>
      <w:r w:rsidRPr="007B7381">
        <w:t xml:space="preserve"> la gestión del espectro «la capacidad de satisfacer las necesidades </w:t>
      </w:r>
      <w:r w:rsidR="00AD5B64">
        <w:t>variables</w:t>
      </w:r>
      <w:r w:rsidRPr="007B7381">
        <w:t xml:space="preserve"> de los usuarios de forma </w:t>
      </w:r>
      <w:r w:rsidR="00AD5B64">
        <w:t>sencilla</w:t>
      </w:r>
      <w:r w:rsidRPr="007B7381">
        <w:t xml:space="preserve"> y oportuna. </w:t>
      </w:r>
      <w:r w:rsidR="00AD5B64">
        <w:t>Guarda relación con</w:t>
      </w:r>
      <w:r w:rsidRPr="007B7381">
        <w:t xml:space="preserve"> la flexibilidad de los sistemas de gestión del espectro para adaptarse a todas las posibilidades y requisitos, </w:t>
      </w:r>
      <w:r w:rsidR="00AD5B64">
        <w:t>y</w:t>
      </w:r>
      <w:r w:rsidRPr="007B7381">
        <w:t xml:space="preserve"> </w:t>
      </w:r>
      <w:r w:rsidR="00AD5B64">
        <w:t>de ser posible, reducir</w:t>
      </w:r>
      <w:r w:rsidRPr="007B7381">
        <w:t xml:space="preserve"> a cero el </w:t>
      </w:r>
      <w:r w:rsidR="00AD5B64">
        <w:t xml:space="preserve">período de </w:t>
      </w:r>
      <w:r w:rsidRPr="007B7381">
        <w:t xml:space="preserve">tiempo que transcurre desde la solicitud hasta la puesta en </w:t>
      </w:r>
      <w:r w:rsidR="00AD5B64">
        <w:t>servicio</w:t>
      </w:r>
      <w:r w:rsidRPr="007B7381">
        <w:t xml:space="preserve">, con intervención humana mínima o </w:t>
      </w:r>
      <w:r w:rsidR="00AD5B64">
        <w:t>inexistente</w:t>
      </w:r>
      <w:r w:rsidRPr="007B7381">
        <w:t xml:space="preserve">. </w:t>
      </w:r>
      <w:r w:rsidR="00AD5B64">
        <w:t>Ello es aplicable asimismo a</w:t>
      </w:r>
      <w:r w:rsidRPr="007B7381">
        <w:t xml:space="preserve"> la forma </w:t>
      </w:r>
      <w:r w:rsidR="00AD5B64">
        <w:t>de asignar</w:t>
      </w:r>
      <w:r w:rsidRPr="007B7381">
        <w:t xml:space="preserve"> frecuencias </w:t>
      </w:r>
      <w:r w:rsidR="00AD5B64">
        <w:t>a</w:t>
      </w:r>
      <w:r w:rsidRPr="007B7381">
        <w:t xml:space="preserve"> tecnologías y servicios </w:t>
      </w:r>
      <w:r w:rsidR="00AD5B64">
        <w:t>incipientes</w:t>
      </w:r>
      <w:r w:rsidRPr="007B7381">
        <w:t>».</w:t>
      </w:r>
    </w:p>
    <w:p w14:paraId="08EFB71D" w14:textId="2A4BAFBF" w:rsidR="00F24AE9" w:rsidRPr="007B7381" w:rsidRDefault="00AD5B64" w:rsidP="00F24AE9">
      <w:r>
        <w:t>Además de la definición de versatilidad,</w:t>
      </w:r>
      <w:r w:rsidR="00F24AE9" w:rsidRPr="007B7381">
        <w:t xml:space="preserve"> se ha elaborado un conjunto de </w:t>
      </w:r>
      <w:r>
        <w:t xml:space="preserve">sistemas de </w:t>
      </w:r>
      <w:r w:rsidR="00F24AE9" w:rsidRPr="007B7381">
        <w:t xml:space="preserve">evaluación </w:t>
      </w:r>
      <w:r>
        <w:t xml:space="preserve">del grado de desarrollo de los sistemas de </w:t>
      </w:r>
      <w:r w:rsidR="00F24AE9" w:rsidRPr="007B7381">
        <w:t xml:space="preserve">gestión del espectro, como se expone en </w:t>
      </w:r>
      <w:r>
        <w:t xml:space="preserve">el </w:t>
      </w:r>
      <w:r w:rsidR="008C344D">
        <w:t>C</w:t>
      </w:r>
      <w:r>
        <w:t>uadro</w:t>
      </w:r>
      <w:r w:rsidR="00F24AE9">
        <w:t xml:space="preserve"> 4</w:t>
      </w:r>
      <w:r w:rsidR="00F24AE9" w:rsidRPr="007B7381">
        <w:t xml:space="preserve">, </w:t>
      </w:r>
      <w:r>
        <w:t>sobre la serie de un conjunto de</w:t>
      </w:r>
      <w:r w:rsidR="00F24AE9" w:rsidRPr="007B7381">
        <w:t xml:space="preserve"> atributos con </w:t>
      </w:r>
      <w:r>
        <w:t>varios</w:t>
      </w:r>
      <w:r w:rsidR="00F24AE9" w:rsidRPr="007B7381">
        <w:t xml:space="preserve"> niveles de automatización e interacción. Para cada atributo, </w:t>
      </w:r>
      <w:r>
        <w:t>cabe</w:t>
      </w:r>
      <w:r w:rsidR="00F24AE9" w:rsidRPr="007B7381">
        <w:t xml:space="preserve"> obtener un valor </w:t>
      </w:r>
      <w:r>
        <w:t xml:space="preserve">que oscila </w:t>
      </w:r>
      <w:r w:rsidR="00F24AE9" w:rsidRPr="007B7381">
        <w:t xml:space="preserve">entre 1 y 4, donde 4 representa el estado más </w:t>
      </w:r>
      <w:r>
        <w:t>versátil</w:t>
      </w:r>
      <w:r w:rsidR="00F24AE9" w:rsidRPr="007B7381">
        <w:t xml:space="preserve"> y 1 el menos </w:t>
      </w:r>
      <w:r>
        <w:t>versátil</w:t>
      </w:r>
      <w:r w:rsidR="00F24AE9" w:rsidRPr="007B7381">
        <w:t xml:space="preserve">. </w:t>
      </w:r>
      <w:r>
        <w:t>En función del análisis y de la labor de</w:t>
      </w:r>
      <w:r w:rsidR="00F24AE9" w:rsidRPr="007B7381">
        <w:t xml:space="preserve"> evaluación comparativa realizados, se considera que el nivel 4 en todos los atributos es un objetivo razonable y alcanzable para la TDRA.</w:t>
      </w:r>
    </w:p>
    <w:p w14:paraId="6F50819D" w14:textId="69D6C792" w:rsidR="00F24AE9" w:rsidRPr="007B7381" w:rsidRDefault="00F24AE9" w:rsidP="00F24AE9">
      <w:pPr>
        <w:rPr>
          <w:rFonts w:asciiTheme="majorBidi" w:hAnsiTheme="majorBidi" w:cstheme="majorBidi"/>
        </w:rPr>
      </w:pPr>
      <w:r w:rsidRPr="007B7381">
        <w:rPr>
          <w:rFonts w:asciiTheme="majorBidi" w:hAnsiTheme="majorBidi" w:cstheme="majorBidi"/>
        </w:rPr>
        <w:t xml:space="preserve">Existen numerosos factores externos que </w:t>
      </w:r>
      <w:r w:rsidR="00AD5B64">
        <w:rPr>
          <w:rFonts w:asciiTheme="majorBidi" w:hAnsiTheme="majorBidi" w:cstheme="majorBidi"/>
        </w:rPr>
        <w:t>no abarca dicha</w:t>
      </w:r>
      <w:r w:rsidRPr="007B7381">
        <w:rPr>
          <w:rFonts w:asciiTheme="majorBidi" w:hAnsiTheme="majorBidi" w:cstheme="majorBidi"/>
        </w:rPr>
        <w:t xml:space="preserve"> definición. Algunos de ellos son globales y </w:t>
      </w:r>
      <w:r w:rsidR="00AD5B64">
        <w:rPr>
          <w:rFonts w:asciiTheme="majorBidi" w:hAnsiTheme="majorBidi" w:cstheme="majorBidi"/>
        </w:rPr>
        <w:t>van más allá del</w:t>
      </w:r>
      <w:r w:rsidRPr="007B7381">
        <w:rPr>
          <w:rFonts w:asciiTheme="majorBidi" w:hAnsiTheme="majorBidi" w:cstheme="majorBidi"/>
        </w:rPr>
        <w:t xml:space="preserve"> alcance de </w:t>
      </w:r>
      <w:r w:rsidR="00AD5B64">
        <w:rPr>
          <w:rFonts w:asciiTheme="majorBidi" w:hAnsiTheme="majorBidi" w:cstheme="majorBidi"/>
        </w:rPr>
        <w:t>los organismos de reglamentación</w:t>
      </w:r>
      <w:r w:rsidRPr="007B7381">
        <w:rPr>
          <w:rFonts w:asciiTheme="majorBidi" w:hAnsiTheme="majorBidi" w:cstheme="majorBidi"/>
        </w:rPr>
        <w:t xml:space="preserve"> a nivel individual, por ejemplo, </w:t>
      </w:r>
      <w:r w:rsidR="00AD5B64">
        <w:rPr>
          <w:rFonts w:asciiTheme="majorBidi" w:hAnsiTheme="majorBidi" w:cstheme="majorBidi"/>
        </w:rPr>
        <w:t>las modificaciones del</w:t>
      </w:r>
      <w:r w:rsidRPr="007B7381">
        <w:rPr>
          <w:rFonts w:asciiTheme="majorBidi" w:hAnsiTheme="majorBidi" w:cstheme="majorBidi"/>
        </w:rPr>
        <w:t xml:space="preserve"> Reglamento de Radiocomunicaciones </w:t>
      </w:r>
      <w:r w:rsidR="00AD5B64">
        <w:rPr>
          <w:rFonts w:asciiTheme="majorBidi" w:hAnsiTheme="majorBidi" w:cstheme="majorBidi"/>
        </w:rPr>
        <w:t xml:space="preserve">a tenor de </w:t>
      </w:r>
      <w:r w:rsidRPr="007B7381">
        <w:t xml:space="preserve">las </w:t>
      </w:r>
      <w:r w:rsidR="00AD5B64">
        <w:t>R</w:t>
      </w:r>
      <w:r w:rsidRPr="007B7381">
        <w:t>esoluciones</w:t>
      </w:r>
      <w:r w:rsidRPr="007B7381">
        <w:rPr>
          <w:rFonts w:asciiTheme="majorBidi" w:hAnsiTheme="majorBidi" w:cstheme="majorBidi"/>
        </w:rPr>
        <w:t xml:space="preserve"> de la CMR. Otros</w:t>
      </w:r>
      <w:r w:rsidR="00AD5B64">
        <w:rPr>
          <w:rFonts w:asciiTheme="majorBidi" w:hAnsiTheme="majorBidi" w:cstheme="majorBidi"/>
        </w:rPr>
        <w:t xml:space="preserve"> factores</w:t>
      </w:r>
      <w:r w:rsidRPr="007B7381">
        <w:rPr>
          <w:rFonts w:asciiTheme="majorBidi" w:hAnsiTheme="majorBidi" w:cstheme="majorBidi"/>
        </w:rPr>
        <w:t xml:space="preserve"> </w:t>
      </w:r>
      <w:r w:rsidR="00AD5B64">
        <w:rPr>
          <w:rFonts w:asciiTheme="majorBidi" w:hAnsiTheme="majorBidi" w:cstheme="majorBidi"/>
        </w:rPr>
        <w:t>se ajustan a</w:t>
      </w:r>
      <w:r w:rsidRPr="007B7381">
        <w:rPr>
          <w:rFonts w:asciiTheme="majorBidi" w:hAnsiTheme="majorBidi" w:cstheme="majorBidi"/>
        </w:rPr>
        <w:t xml:space="preserve"> prioridades nacionales, por ejemplo, cuestiones de privacidad de los datos y seguridad nacional, y pueden </w:t>
      </w:r>
      <w:r w:rsidR="00AD5B64">
        <w:rPr>
          <w:rFonts w:asciiTheme="majorBidi" w:hAnsiTheme="majorBidi" w:cstheme="majorBidi"/>
        </w:rPr>
        <w:t>determinar el grado de versatilidad</w:t>
      </w:r>
      <w:r w:rsidRPr="007B7381">
        <w:rPr>
          <w:rFonts w:asciiTheme="majorBidi" w:hAnsiTheme="majorBidi" w:cstheme="majorBidi"/>
        </w:rPr>
        <w:t xml:space="preserve"> del enfoque de gestión del espectro de un país.</w:t>
      </w:r>
    </w:p>
    <w:p w14:paraId="7E895912" w14:textId="08073563" w:rsidR="00F24AE9" w:rsidRDefault="00AD5B64" w:rsidP="00F24AE9">
      <w:pPr>
        <w:rPr>
          <w:rFonts w:asciiTheme="majorBidi" w:hAnsiTheme="majorBidi" w:cstheme="majorBidi"/>
        </w:rPr>
      </w:pPr>
      <w:r>
        <w:rPr>
          <w:rFonts w:asciiTheme="majorBidi" w:hAnsiTheme="majorBidi" w:cstheme="majorBidi"/>
        </w:rPr>
        <w:t>No obstante</w:t>
      </w:r>
      <w:r w:rsidR="00F24AE9" w:rsidRPr="007B7381">
        <w:rPr>
          <w:rFonts w:asciiTheme="majorBidi" w:hAnsiTheme="majorBidi" w:cstheme="majorBidi"/>
        </w:rPr>
        <w:t>, la</w:t>
      </w:r>
      <w:r>
        <w:rPr>
          <w:rFonts w:asciiTheme="majorBidi" w:hAnsiTheme="majorBidi" w:cstheme="majorBidi"/>
        </w:rPr>
        <w:t>s</w:t>
      </w:r>
      <w:r w:rsidR="00F24AE9" w:rsidRPr="007B7381">
        <w:rPr>
          <w:rFonts w:asciiTheme="majorBidi" w:hAnsiTheme="majorBidi" w:cstheme="majorBidi"/>
        </w:rPr>
        <w:t xml:space="preserve"> política</w:t>
      </w:r>
      <w:r>
        <w:rPr>
          <w:rFonts w:asciiTheme="majorBidi" w:hAnsiTheme="majorBidi" w:cstheme="majorBidi"/>
        </w:rPr>
        <w:t>s</w:t>
      </w:r>
      <w:r w:rsidR="00F24AE9" w:rsidRPr="007B7381">
        <w:rPr>
          <w:rFonts w:asciiTheme="majorBidi" w:hAnsiTheme="majorBidi" w:cstheme="majorBidi"/>
        </w:rPr>
        <w:t xml:space="preserve"> </w:t>
      </w:r>
      <w:r>
        <w:rPr>
          <w:rFonts w:asciiTheme="majorBidi" w:hAnsiTheme="majorBidi" w:cstheme="majorBidi"/>
        </w:rPr>
        <w:t>ininterrumpidas</w:t>
      </w:r>
      <w:r w:rsidR="00F24AE9" w:rsidRPr="007B7381">
        <w:rPr>
          <w:rFonts w:asciiTheme="majorBidi" w:hAnsiTheme="majorBidi" w:cstheme="majorBidi"/>
        </w:rPr>
        <w:t xml:space="preserve"> de la TDRA </w:t>
      </w:r>
      <w:r>
        <w:rPr>
          <w:rFonts w:asciiTheme="majorBidi" w:hAnsiTheme="majorBidi" w:cstheme="majorBidi"/>
        </w:rPr>
        <w:t>tienen por objeto</w:t>
      </w:r>
      <w:r w:rsidR="00F24AE9" w:rsidRPr="007B7381">
        <w:rPr>
          <w:rFonts w:asciiTheme="majorBidi" w:hAnsiTheme="majorBidi" w:cstheme="majorBidi"/>
        </w:rPr>
        <w:t xml:space="preserve"> establecer una </w:t>
      </w:r>
      <w:r w:rsidRPr="007B7381">
        <w:rPr>
          <w:rFonts w:asciiTheme="majorBidi" w:hAnsiTheme="majorBidi" w:cstheme="majorBidi"/>
        </w:rPr>
        <w:t xml:space="preserve">sólida </w:t>
      </w:r>
      <w:r w:rsidR="00F24AE9" w:rsidRPr="007B7381">
        <w:rPr>
          <w:rFonts w:asciiTheme="majorBidi" w:hAnsiTheme="majorBidi" w:cstheme="majorBidi"/>
        </w:rPr>
        <w:t xml:space="preserve">relación con sus usuarios </w:t>
      </w:r>
      <w:r>
        <w:rPr>
          <w:rFonts w:asciiTheme="majorBidi" w:hAnsiTheme="majorBidi" w:cstheme="majorBidi"/>
        </w:rPr>
        <w:t>a fin de</w:t>
      </w:r>
      <w:r w:rsidR="00F24AE9" w:rsidRPr="007B7381">
        <w:rPr>
          <w:rFonts w:asciiTheme="majorBidi" w:hAnsiTheme="majorBidi" w:cstheme="majorBidi"/>
        </w:rPr>
        <w:t xml:space="preserve"> comprender las necesidades futuras, </w:t>
      </w:r>
      <w:r>
        <w:rPr>
          <w:rFonts w:asciiTheme="majorBidi" w:hAnsiTheme="majorBidi" w:cstheme="majorBidi"/>
        </w:rPr>
        <w:t>y</w:t>
      </w:r>
      <w:r w:rsidR="00F24AE9" w:rsidRPr="007B7381">
        <w:rPr>
          <w:rFonts w:asciiTheme="majorBidi" w:hAnsiTheme="majorBidi" w:cstheme="majorBidi"/>
        </w:rPr>
        <w:t xml:space="preserve"> satisfacerlas con un sistema de gestión del espectro </w:t>
      </w:r>
      <w:r>
        <w:rPr>
          <w:rFonts w:asciiTheme="majorBidi" w:hAnsiTheme="majorBidi" w:cstheme="majorBidi"/>
        </w:rPr>
        <w:t>versátil</w:t>
      </w:r>
      <w:r w:rsidR="00F24AE9" w:rsidRPr="007B7381">
        <w:rPr>
          <w:rFonts w:asciiTheme="majorBidi" w:hAnsiTheme="majorBidi" w:cstheme="majorBidi"/>
        </w:rPr>
        <w:t xml:space="preserve">, fácil de </w:t>
      </w:r>
      <w:r>
        <w:rPr>
          <w:rFonts w:asciiTheme="majorBidi" w:hAnsiTheme="majorBidi" w:cstheme="majorBidi"/>
        </w:rPr>
        <w:t>utilizar</w:t>
      </w:r>
      <w:r w:rsidR="00F24AE9" w:rsidRPr="007B7381">
        <w:rPr>
          <w:rFonts w:asciiTheme="majorBidi" w:hAnsiTheme="majorBidi" w:cstheme="majorBidi"/>
        </w:rPr>
        <w:t xml:space="preserve"> y flexible que se integr</w:t>
      </w:r>
      <w:r>
        <w:rPr>
          <w:rFonts w:asciiTheme="majorBidi" w:hAnsiTheme="majorBidi" w:cstheme="majorBidi"/>
        </w:rPr>
        <w:t>e</w:t>
      </w:r>
      <w:r w:rsidR="00F24AE9" w:rsidRPr="007B7381">
        <w:rPr>
          <w:rFonts w:asciiTheme="majorBidi" w:hAnsiTheme="majorBidi" w:cstheme="majorBidi"/>
        </w:rPr>
        <w:t xml:space="preserve"> </w:t>
      </w:r>
      <w:r>
        <w:rPr>
          <w:rFonts w:asciiTheme="majorBidi" w:hAnsiTheme="majorBidi" w:cstheme="majorBidi"/>
        </w:rPr>
        <w:t xml:space="preserve">plenamente </w:t>
      </w:r>
      <w:r w:rsidR="00F24AE9" w:rsidRPr="007B7381">
        <w:rPr>
          <w:rFonts w:asciiTheme="majorBidi" w:hAnsiTheme="majorBidi" w:cstheme="majorBidi"/>
        </w:rPr>
        <w:t>con los datos y procesos necesarios.</w:t>
      </w:r>
    </w:p>
    <w:p w14:paraId="45C0A476" w14:textId="762AFD40" w:rsidR="00C42BA1" w:rsidRPr="00BE184C" w:rsidRDefault="00C42BA1" w:rsidP="00F24AE9">
      <w:pPr>
        <w:rPr>
          <w:rFonts w:asciiTheme="majorBidi" w:hAnsiTheme="majorBidi" w:cstheme="majorBidi"/>
        </w:rPr>
      </w:pPr>
    </w:p>
    <w:p w14:paraId="0A720F73" w14:textId="77777777" w:rsidR="00C42BA1" w:rsidRPr="00BE184C" w:rsidRDefault="00C42BA1" w:rsidP="00C42BA1">
      <w:pPr>
        <w:rPr>
          <w:rFonts w:asciiTheme="majorBidi" w:hAnsiTheme="majorBidi" w:cstheme="majorBidi"/>
        </w:rPr>
      </w:pPr>
    </w:p>
    <w:p w14:paraId="54C75451" w14:textId="77777777" w:rsidR="00C42BA1" w:rsidRPr="00BE184C" w:rsidRDefault="00C42BA1" w:rsidP="00C42BA1">
      <w:pPr>
        <w:rPr>
          <w:rFonts w:asciiTheme="majorBidi" w:eastAsia="Arial" w:hAnsiTheme="majorBidi" w:cstheme="majorBidi"/>
          <w:sz w:val="20"/>
        </w:rPr>
        <w:sectPr w:rsidR="00C42BA1" w:rsidRPr="00BE184C" w:rsidSect="00B40696">
          <w:headerReference w:type="default" r:id="rId55"/>
          <w:footerReference w:type="even" r:id="rId56"/>
          <w:footerReference w:type="default" r:id="rId57"/>
          <w:headerReference w:type="first" r:id="rId58"/>
          <w:footerReference w:type="first" r:id="rId59"/>
          <w:pgSz w:w="11907" w:h="16834" w:code="9"/>
          <w:pgMar w:top="1418" w:right="1134" w:bottom="1134" w:left="1134" w:header="720" w:footer="482" w:gutter="0"/>
          <w:pgNumType w:start="1"/>
          <w:cols w:space="720"/>
          <w:titlePg/>
        </w:sectPr>
      </w:pPr>
    </w:p>
    <w:p w14:paraId="7DFA8156" w14:textId="4C89EFE8" w:rsidR="00C42BA1" w:rsidRPr="00BE184C" w:rsidRDefault="00F24AE9" w:rsidP="00C42BA1">
      <w:pPr>
        <w:pStyle w:val="TableNo"/>
      </w:pPr>
      <w:bookmarkStart w:id="340" w:name="_Ref121740136"/>
      <w:r w:rsidRPr="00BE184C">
        <w:lastRenderedPageBreak/>
        <w:t>CUADRO</w:t>
      </w:r>
      <w:r w:rsidR="00C42BA1" w:rsidRPr="00BE184C">
        <w:t xml:space="preserve"> </w:t>
      </w:r>
      <w:bookmarkEnd w:id="340"/>
      <w:r w:rsidR="00C42BA1" w:rsidRPr="00BE184C">
        <w:t>4</w:t>
      </w:r>
    </w:p>
    <w:p w14:paraId="16038890" w14:textId="3EDC2E53" w:rsidR="00AD5B64" w:rsidRPr="007B7381" w:rsidRDefault="00AD5B64" w:rsidP="00AD5B64">
      <w:pPr>
        <w:pStyle w:val="Tabletitle"/>
      </w:pPr>
      <w:r>
        <w:t>Métodos</w:t>
      </w:r>
      <w:r w:rsidRPr="00BE184C">
        <w:t xml:space="preserve"> de evaluación de</w:t>
      </w:r>
      <w:r>
        <w:t xml:space="preserve">l grado de desarrollo de sistemas de </w:t>
      </w:r>
      <w:r w:rsidRPr="00BE184C">
        <w:t>gestión del espectro</w:t>
      </w:r>
    </w:p>
    <w:tbl>
      <w:tblPr>
        <w:tblStyle w:val="TableGrid"/>
        <w:tblW w:w="14459" w:type="dxa"/>
        <w:tblLayout w:type="fixed"/>
        <w:tblLook w:val="0600" w:firstRow="0" w:lastRow="0" w:firstColumn="0" w:lastColumn="0" w:noHBand="1" w:noVBand="1"/>
      </w:tblPr>
      <w:tblGrid>
        <w:gridCol w:w="2823"/>
        <w:gridCol w:w="2257"/>
        <w:gridCol w:w="2367"/>
        <w:gridCol w:w="3436"/>
        <w:gridCol w:w="3576"/>
      </w:tblGrid>
      <w:tr w:rsidR="00AD5B64" w:rsidRPr="00C352AD" w14:paraId="7D08286F" w14:textId="77777777" w:rsidTr="003D49C3">
        <w:tc>
          <w:tcPr>
            <w:tcW w:w="2796" w:type="dxa"/>
          </w:tcPr>
          <w:p w14:paraId="209ACB84" w14:textId="77777777" w:rsidR="00AD5B64" w:rsidRPr="00C352AD" w:rsidRDefault="00AD5B64" w:rsidP="003D49C3">
            <w:pPr>
              <w:pStyle w:val="Tablehead"/>
              <w:rPr>
                <w:rFonts w:ascii="Times New Roman" w:hAnsi="Times New Roman" w:cs="Times New Roman"/>
              </w:rPr>
            </w:pPr>
            <w:r w:rsidRPr="00C352AD">
              <w:rPr>
                <w:rFonts w:ascii="Times New Roman" w:hAnsi="Times New Roman" w:cs="Times New Roman"/>
              </w:rPr>
              <w:t>Atributo</w:t>
            </w:r>
          </w:p>
        </w:tc>
        <w:tc>
          <w:tcPr>
            <w:tcW w:w="2236" w:type="dxa"/>
          </w:tcPr>
          <w:p w14:paraId="6D7E3A34" w14:textId="77777777" w:rsidR="00AD5B64" w:rsidRPr="00C352AD" w:rsidRDefault="00AD5B64" w:rsidP="003D49C3">
            <w:pPr>
              <w:pStyle w:val="Tablehead"/>
              <w:rPr>
                <w:rFonts w:ascii="Times New Roman" w:hAnsi="Times New Roman" w:cs="Times New Roman"/>
              </w:rPr>
            </w:pPr>
            <w:r w:rsidRPr="00C352AD">
              <w:rPr>
                <w:rFonts w:ascii="Times New Roman" w:hAnsi="Times New Roman" w:cs="Times New Roman"/>
              </w:rPr>
              <w:t>Nivel 1</w:t>
            </w:r>
          </w:p>
        </w:tc>
        <w:tc>
          <w:tcPr>
            <w:tcW w:w="2345" w:type="dxa"/>
          </w:tcPr>
          <w:p w14:paraId="1E8BC006" w14:textId="77777777" w:rsidR="00AD5B64" w:rsidRPr="00C352AD" w:rsidRDefault="00AD5B64" w:rsidP="003D49C3">
            <w:pPr>
              <w:pStyle w:val="Tablehead"/>
              <w:rPr>
                <w:rFonts w:ascii="Times New Roman" w:hAnsi="Times New Roman" w:cs="Times New Roman"/>
              </w:rPr>
            </w:pPr>
            <w:r w:rsidRPr="00C352AD">
              <w:rPr>
                <w:rFonts w:ascii="Times New Roman" w:hAnsi="Times New Roman" w:cs="Times New Roman"/>
              </w:rPr>
              <w:t>Nivel 2</w:t>
            </w:r>
          </w:p>
        </w:tc>
        <w:tc>
          <w:tcPr>
            <w:tcW w:w="3404" w:type="dxa"/>
          </w:tcPr>
          <w:p w14:paraId="725265A4" w14:textId="77777777" w:rsidR="00AD5B64" w:rsidRPr="00C352AD" w:rsidRDefault="00AD5B64" w:rsidP="003D49C3">
            <w:pPr>
              <w:pStyle w:val="Tablehead"/>
              <w:rPr>
                <w:rFonts w:ascii="Times New Roman" w:hAnsi="Times New Roman" w:cs="Times New Roman"/>
              </w:rPr>
            </w:pPr>
            <w:r w:rsidRPr="00C352AD">
              <w:rPr>
                <w:rFonts w:ascii="Times New Roman" w:hAnsi="Times New Roman" w:cs="Times New Roman"/>
              </w:rPr>
              <w:t>Nivel 3</w:t>
            </w:r>
          </w:p>
        </w:tc>
        <w:tc>
          <w:tcPr>
            <w:tcW w:w="3542" w:type="dxa"/>
          </w:tcPr>
          <w:p w14:paraId="5E123F02" w14:textId="254B096A" w:rsidR="00AD5B64" w:rsidRPr="00C352AD" w:rsidRDefault="00AD5B64" w:rsidP="003D49C3">
            <w:pPr>
              <w:pStyle w:val="Tablehead"/>
              <w:rPr>
                <w:rFonts w:ascii="Times New Roman" w:hAnsi="Times New Roman" w:cs="Times New Roman"/>
              </w:rPr>
            </w:pPr>
            <w:r w:rsidRPr="00C352AD">
              <w:rPr>
                <w:rFonts w:ascii="Times New Roman" w:hAnsi="Times New Roman" w:cs="Times New Roman"/>
              </w:rPr>
              <w:t>Nivel 4</w:t>
            </w:r>
          </w:p>
        </w:tc>
      </w:tr>
      <w:tr w:rsidR="00AD5B64" w:rsidRPr="00C352AD" w14:paraId="105DB5C9" w14:textId="77777777" w:rsidTr="003D49C3">
        <w:tc>
          <w:tcPr>
            <w:tcW w:w="2796" w:type="dxa"/>
          </w:tcPr>
          <w:p w14:paraId="3D041C11" w14:textId="3517D1C8"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 xml:space="preserve">Base de datos </w:t>
            </w:r>
            <w:r>
              <w:rPr>
                <w:rFonts w:ascii="Times New Roman" w:hAnsi="Times New Roman" w:cs="Times New Roman"/>
              </w:rPr>
              <w:t>sobre el espectro</w:t>
            </w:r>
            <w:r w:rsidRPr="00C352AD">
              <w:rPr>
                <w:rFonts w:ascii="Times New Roman" w:hAnsi="Times New Roman" w:cs="Times New Roman"/>
              </w:rPr>
              <w:t xml:space="preserve"> (autorizaciones y parámetros técnicos)</w:t>
            </w:r>
          </w:p>
        </w:tc>
        <w:tc>
          <w:tcPr>
            <w:tcW w:w="2236" w:type="dxa"/>
          </w:tcPr>
          <w:p w14:paraId="61B587D3" w14:textId="1652F392"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Básico</w:t>
            </w:r>
            <w:r w:rsidR="00D05AA9">
              <w:rPr>
                <w:rFonts w:ascii="Times New Roman" w:hAnsi="Times New Roman" w:cs="Times New Roman"/>
              </w:rPr>
              <w:t xml:space="preserve"> o </w:t>
            </w:r>
            <w:r>
              <w:rPr>
                <w:rFonts w:ascii="Times New Roman" w:hAnsi="Times New Roman" w:cs="Times New Roman"/>
              </w:rPr>
              <w:t>Específico</w:t>
            </w:r>
          </w:p>
        </w:tc>
        <w:tc>
          <w:tcPr>
            <w:tcW w:w="2345" w:type="dxa"/>
          </w:tcPr>
          <w:p w14:paraId="0C2886B7" w14:textId="19FB4307"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 xml:space="preserve">Herramienta </w:t>
            </w:r>
            <w:r w:rsidR="00D05AA9">
              <w:rPr>
                <w:rFonts w:ascii="Times New Roman" w:hAnsi="Times New Roman" w:cs="Times New Roman"/>
              </w:rPr>
              <w:t>disponible comercialmente</w:t>
            </w:r>
            <w:r w:rsidRPr="00C352AD">
              <w:rPr>
                <w:rFonts w:ascii="Times New Roman" w:hAnsi="Times New Roman" w:cs="Times New Roman"/>
              </w:rPr>
              <w:t xml:space="preserve"> (SMS4DC)</w:t>
            </w:r>
          </w:p>
        </w:tc>
        <w:tc>
          <w:tcPr>
            <w:tcW w:w="3404" w:type="dxa"/>
          </w:tcPr>
          <w:p w14:paraId="09C4E4E3" w14:textId="113B8B1D"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Desarroll</w:t>
            </w:r>
            <w:r>
              <w:rPr>
                <w:rFonts w:ascii="Times New Roman" w:hAnsi="Times New Roman" w:cs="Times New Roman"/>
              </w:rPr>
              <w:t>o interno</w:t>
            </w:r>
            <w:r w:rsidRPr="00C352AD">
              <w:rPr>
                <w:rFonts w:ascii="Times New Roman" w:hAnsi="Times New Roman" w:cs="Times New Roman"/>
              </w:rPr>
              <w:t xml:space="preserve"> o </w:t>
            </w:r>
            <w:r>
              <w:rPr>
                <w:rFonts w:ascii="Times New Roman" w:hAnsi="Times New Roman" w:cs="Times New Roman"/>
              </w:rPr>
              <w:t>específico</w:t>
            </w:r>
            <w:r w:rsidRPr="00C352AD">
              <w:rPr>
                <w:rFonts w:ascii="Times New Roman" w:hAnsi="Times New Roman" w:cs="Times New Roman"/>
              </w:rPr>
              <w:t xml:space="preserve">, </w:t>
            </w:r>
            <w:r>
              <w:rPr>
                <w:rFonts w:ascii="Times New Roman" w:hAnsi="Times New Roman" w:cs="Times New Roman"/>
              </w:rPr>
              <w:t xml:space="preserve">herramienta </w:t>
            </w:r>
            <w:r w:rsidR="00D05AA9">
              <w:rPr>
                <w:rFonts w:ascii="Times New Roman" w:hAnsi="Times New Roman" w:cs="Times New Roman"/>
              </w:rPr>
              <w:t>disponible comercialmente</w:t>
            </w:r>
            <w:r w:rsidRPr="00A213FE">
              <w:rPr>
                <w:rStyle w:val="FootnoteReference"/>
                <w:rFonts w:ascii="Times New Roman" w:hAnsi="Times New Roman" w:cs="Times New Roman"/>
                <w:szCs w:val="18"/>
              </w:rPr>
              <w:footnoteReference w:id="15"/>
            </w:r>
            <w:r w:rsidRPr="00C352AD">
              <w:rPr>
                <w:rFonts w:ascii="Times New Roman" w:hAnsi="Times New Roman" w:cs="Times New Roman"/>
              </w:rPr>
              <w:t xml:space="preserve"> </w:t>
            </w:r>
            <w:r>
              <w:rPr>
                <w:rFonts w:ascii="Times New Roman" w:hAnsi="Times New Roman" w:cs="Times New Roman"/>
              </w:rPr>
              <w:t xml:space="preserve">específica </w:t>
            </w:r>
            <w:r w:rsidRPr="00C352AD">
              <w:rPr>
                <w:rFonts w:ascii="Times New Roman" w:hAnsi="Times New Roman" w:cs="Times New Roman"/>
              </w:rPr>
              <w:t>(</w:t>
            </w:r>
            <w:r>
              <w:rPr>
                <w:rFonts w:ascii="Times New Roman" w:hAnsi="Times New Roman" w:cs="Times New Roman"/>
              </w:rPr>
              <w:t>a tenor de las necesidades</w:t>
            </w:r>
            <w:r w:rsidRPr="00C352AD">
              <w:rPr>
                <w:rFonts w:ascii="Times New Roman" w:hAnsi="Times New Roman" w:cs="Times New Roman"/>
              </w:rPr>
              <w:t xml:space="preserve"> del solicitante)</w:t>
            </w:r>
          </w:p>
        </w:tc>
        <w:tc>
          <w:tcPr>
            <w:tcW w:w="3542" w:type="dxa"/>
          </w:tcPr>
          <w:p w14:paraId="618D9A1A" w14:textId="3EAE1FBE"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En tiempo real,</w:t>
            </w:r>
            <w:r w:rsidR="00D05AA9">
              <w:rPr>
                <w:rFonts w:ascii="Times New Roman" w:hAnsi="Times New Roman" w:cs="Times New Roman"/>
              </w:rPr>
              <w:t xml:space="preserve"> de forma</w:t>
            </w:r>
            <w:r w:rsidRPr="00C352AD">
              <w:rPr>
                <w:rFonts w:ascii="Times New Roman" w:hAnsi="Times New Roman" w:cs="Times New Roman"/>
              </w:rPr>
              <w:t xml:space="preserve"> dinámic</w:t>
            </w:r>
            <w:r w:rsidR="00D05AA9">
              <w:rPr>
                <w:rFonts w:ascii="Times New Roman" w:hAnsi="Times New Roman" w:cs="Times New Roman"/>
              </w:rPr>
              <w:t>a</w:t>
            </w:r>
            <w:r w:rsidRPr="00C352AD">
              <w:rPr>
                <w:rFonts w:ascii="Times New Roman" w:hAnsi="Times New Roman" w:cs="Times New Roman"/>
              </w:rPr>
              <w:t>, configurable y flexible</w:t>
            </w:r>
          </w:p>
        </w:tc>
      </w:tr>
      <w:tr w:rsidR="00AD5B64" w:rsidRPr="00C352AD" w14:paraId="081B01D9" w14:textId="77777777" w:rsidTr="003D49C3">
        <w:tc>
          <w:tcPr>
            <w:tcW w:w="2796" w:type="dxa"/>
          </w:tcPr>
          <w:p w14:paraId="7613876E" w14:textId="77777777"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Herramientas de análisis técnico (</w:t>
            </w:r>
            <w:r w:rsidRPr="000F2DFA">
              <w:rPr>
                <w:rFonts w:ascii="Times New Roman" w:hAnsi="Times New Roman" w:cs="Times New Roman"/>
                <w:i/>
                <w:iCs/>
              </w:rPr>
              <w:t>software</w:t>
            </w:r>
            <w:r w:rsidRPr="00C352AD">
              <w:rPr>
                <w:rFonts w:ascii="Times New Roman" w:hAnsi="Times New Roman" w:cs="Times New Roman"/>
              </w:rPr>
              <w:t>)</w:t>
            </w:r>
          </w:p>
        </w:tc>
        <w:tc>
          <w:tcPr>
            <w:tcW w:w="2236" w:type="dxa"/>
          </w:tcPr>
          <w:p w14:paraId="663F75A1" w14:textId="6FF901BD"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Básico</w:t>
            </w:r>
            <w:r w:rsidR="00D05AA9">
              <w:rPr>
                <w:rFonts w:ascii="Times New Roman" w:hAnsi="Times New Roman" w:cs="Times New Roman"/>
              </w:rPr>
              <w:t xml:space="preserve"> o </w:t>
            </w:r>
            <w:r>
              <w:rPr>
                <w:rFonts w:ascii="Times New Roman" w:hAnsi="Times New Roman" w:cs="Times New Roman"/>
              </w:rPr>
              <w:t>Específico</w:t>
            </w:r>
          </w:p>
        </w:tc>
        <w:tc>
          <w:tcPr>
            <w:tcW w:w="2345" w:type="dxa"/>
          </w:tcPr>
          <w:p w14:paraId="2B908645" w14:textId="5F558E05"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 xml:space="preserve">Herramienta </w:t>
            </w:r>
            <w:r w:rsidR="00D05AA9">
              <w:rPr>
                <w:rFonts w:ascii="Times New Roman" w:hAnsi="Times New Roman" w:cs="Times New Roman"/>
              </w:rPr>
              <w:t>disponible comercialmente</w:t>
            </w:r>
            <w:r w:rsidR="00D05AA9" w:rsidRPr="00C352AD">
              <w:rPr>
                <w:rFonts w:ascii="Times New Roman" w:hAnsi="Times New Roman" w:cs="Times New Roman"/>
              </w:rPr>
              <w:t xml:space="preserve"> </w:t>
            </w:r>
            <w:r w:rsidRPr="00C352AD">
              <w:rPr>
                <w:rFonts w:ascii="Times New Roman" w:hAnsi="Times New Roman" w:cs="Times New Roman"/>
              </w:rPr>
              <w:t>(SEAMCAT)</w:t>
            </w:r>
          </w:p>
        </w:tc>
        <w:tc>
          <w:tcPr>
            <w:tcW w:w="3404" w:type="dxa"/>
          </w:tcPr>
          <w:p w14:paraId="627BC44E" w14:textId="51A02FC2"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Desarroll</w:t>
            </w:r>
            <w:r>
              <w:rPr>
                <w:rFonts w:ascii="Times New Roman" w:hAnsi="Times New Roman" w:cs="Times New Roman"/>
              </w:rPr>
              <w:t>o interno</w:t>
            </w:r>
            <w:r w:rsidRPr="00C352AD">
              <w:rPr>
                <w:rFonts w:ascii="Times New Roman" w:hAnsi="Times New Roman" w:cs="Times New Roman"/>
              </w:rPr>
              <w:t xml:space="preserve"> o </w:t>
            </w:r>
            <w:r>
              <w:rPr>
                <w:rFonts w:ascii="Times New Roman" w:hAnsi="Times New Roman" w:cs="Times New Roman"/>
              </w:rPr>
              <w:t>específico</w:t>
            </w:r>
            <w:r w:rsidRPr="00C352AD">
              <w:rPr>
                <w:rFonts w:ascii="Times New Roman" w:hAnsi="Times New Roman" w:cs="Times New Roman"/>
              </w:rPr>
              <w:t xml:space="preserve">, </w:t>
            </w:r>
            <w:r>
              <w:rPr>
                <w:rFonts w:ascii="Times New Roman" w:hAnsi="Times New Roman" w:cs="Times New Roman"/>
              </w:rPr>
              <w:t xml:space="preserve">herramienta </w:t>
            </w:r>
            <w:r w:rsidR="00D05AA9">
              <w:rPr>
                <w:rFonts w:ascii="Times New Roman" w:hAnsi="Times New Roman" w:cs="Times New Roman"/>
              </w:rPr>
              <w:t xml:space="preserve">disponible comercialmente </w:t>
            </w:r>
            <w:r>
              <w:rPr>
                <w:rFonts w:ascii="Times New Roman" w:hAnsi="Times New Roman" w:cs="Times New Roman"/>
              </w:rPr>
              <w:t xml:space="preserve">específica </w:t>
            </w:r>
            <w:r w:rsidRPr="00C352AD">
              <w:rPr>
                <w:rFonts w:ascii="Times New Roman" w:hAnsi="Times New Roman" w:cs="Times New Roman"/>
              </w:rPr>
              <w:t>(</w:t>
            </w:r>
            <w:r>
              <w:rPr>
                <w:rFonts w:ascii="Times New Roman" w:hAnsi="Times New Roman" w:cs="Times New Roman"/>
              </w:rPr>
              <w:t>a tenor de las necesidades</w:t>
            </w:r>
            <w:r w:rsidRPr="00C352AD">
              <w:rPr>
                <w:rFonts w:ascii="Times New Roman" w:hAnsi="Times New Roman" w:cs="Times New Roman"/>
              </w:rPr>
              <w:t xml:space="preserve"> d</w:t>
            </w:r>
            <w:r w:rsidR="00D05AA9">
              <w:rPr>
                <w:rFonts w:ascii="Times New Roman" w:hAnsi="Times New Roman" w:cs="Times New Roman"/>
              </w:rPr>
              <w:t>e</w:t>
            </w:r>
            <w:r w:rsidRPr="00C352AD">
              <w:rPr>
                <w:rFonts w:ascii="Times New Roman" w:hAnsi="Times New Roman" w:cs="Times New Roman"/>
              </w:rPr>
              <w:t xml:space="preserve"> </w:t>
            </w:r>
            <w:r w:rsidR="007C6292">
              <w:rPr>
                <w:rFonts w:ascii="Times New Roman" w:hAnsi="Times New Roman" w:cs="Times New Roman"/>
              </w:rPr>
              <w:t>organismos de reglamentación</w:t>
            </w:r>
            <w:r w:rsidRPr="00C352AD">
              <w:rPr>
                <w:rFonts w:ascii="Times New Roman" w:hAnsi="Times New Roman" w:cs="Times New Roman"/>
              </w:rPr>
              <w:t>)</w:t>
            </w:r>
          </w:p>
        </w:tc>
        <w:tc>
          <w:tcPr>
            <w:tcW w:w="3542" w:type="dxa"/>
          </w:tcPr>
          <w:p w14:paraId="4126C9DD" w14:textId="75643F2B"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 xml:space="preserve">En tiempo real (valores operativos), </w:t>
            </w:r>
            <w:r w:rsidR="00D05AA9">
              <w:rPr>
                <w:rFonts w:ascii="Times New Roman" w:hAnsi="Times New Roman" w:cs="Times New Roman"/>
              </w:rPr>
              <w:t xml:space="preserve">de forma </w:t>
            </w:r>
            <w:r w:rsidRPr="00C352AD">
              <w:rPr>
                <w:rFonts w:ascii="Times New Roman" w:hAnsi="Times New Roman" w:cs="Times New Roman"/>
              </w:rPr>
              <w:t>dinámic</w:t>
            </w:r>
            <w:r w:rsidR="00D05AA9">
              <w:rPr>
                <w:rFonts w:ascii="Times New Roman" w:hAnsi="Times New Roman" w:cs="Times New Roman"/>
              </w:rPr>
              <w:t>a</w:t>
            </w:r>
            <w:r w:rsidRPr="00C352AD">
              <w:rPr>
                <w:rFonts w:ascii="Times New Roman" w:hAnsi="Times New Roman" w:cs="Times New Roman"/>
              </w:rPr>
              <w:t xml:space="preserve">, </w:t>
            </w:r>
            <w:r w:rsidR="007C6292">
              <w:rPr>
                <w:rFonts w:ascii="Times New Roman" w:hAnsi="Times New Roman" w:cs="Times New Roman"/>
              </w:rPr>
              <w:t>adaptable</w:t>
            </w:r>
            <w:r w:rsidRPr="00C352AD">
              <w:rPr>
                <w:rFonts w:ascii="Times New Roman" w:hAnsi="Times New Roman" w:cs="Times New Roman"/>
              </w:rPr>
              <w:t xml:space="preserve">, configurable y flexible, por ejemplo, </w:t>
            </w:r>
            <w:r w:rsidR="007C6292">
              <w:rPr>
                <w:rFonts w:ascii="Times New Roman" w:hAnsi="Times New Roman" w:cs="Times New Roman"/>
              </w:rPr>
              <w:t xml:space="preserve">herramienta sobre enlaces fijos </w:t>
            </w:r>
            <w:r w:rsidRPr="00C352AD">
              <w:rPr>
                <w:rFonts w:ascii="Times New Roman" w:hAnsi="Times New Roman" w:cs="Times New Roman"/>
              </w:rPr>
              <w:t>ANFR AR</w:t>
            </w:r>
            <w:r w:rsidRPr="00A213FE">
              <w:rPr>
                <w:rStyle w:val="FootnoteReference"/>
                <w:rFonts w:ascii="Times New Roman" w:hAnsi="Times New Roman" w:cs="Times New Roman"/>
                <w:szCs w:val="18"/>
              </w:rPr>
              <w:footnoteReference w:id="16"/>
            </w:r>
            <w:r w:rsidRPr="00C352AD">
              <w:rPr>
                <w:rFonts w:ascii="Times New Roman" w:hAnsi="Times New Roman" w:cs="Times New Roman"/>
              </w:rPr>
              <w:t xml:space="preserve"> </w:t>
            </w:r>
          </w:p>
        </w:tc>
      </w:tr>
      <w:tr w:rsidR="00AD5B64" w:rsidRPr="00C352AD" w14:paraId="2FDB0A2D" w14:textId="77777777" w:rsidTr="003D49C3">
        <w:tc>
          <w:tcPr>
            <w:tcW w:w="2796" w:type="dxa"/>
          </w:tcPr>
          <w:p w14:paraId="0F229E27" w14:textId="77777777"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 xml:space="preserve">Proceso de solicitud del cliente </w:t>
            </w:r>
          </w:p>
        </w:tc>
        <w:tc>
          <w:tcPr>
            <w:tcW w:w="2236" w:type="dxa"/>
          </w:tcPr>
          <w:p w14:paraId="3E19FA1C" w14:textId="42FA56E6" w:rsidR="00AD5B64" w:rsidRPr="00C352AD" w:rsidRDefault="007C6292" w:rsidP="000F2DFA">
            <w:pPr>
              <w:pStyle w:val="Tabletext"/>
              <w:spacing w:before="20" w:after="20"/>
              <w:jc w:val="left"/>
              <w:rPr>
                <w:rFonts w:ascii="Times New Roman" w:hAnsi="Times New Roman" w:cs="Times New Roman"/>
              </w:rPr>
            </w:pPr>
            <w:r>
              <w:rPr>
                <w:rFonts w:ascii="Times New Roman" w:hAnsi="Times New Roman" w:cs="Times New Roman"/>
              </w:rPr>
              <w:t>Soporte impreso</w:t>
            </w:r>
            <w:r w:rsidR="00D05AA9">
              <w:rPr>
                <w:rFonts w:ascii="Times New Roman" w:hAnsi="Times New Roman" w:cs="Times New Roman"/>
              </w:rPr>
              <w:t xml:space="preserve">, </w:t>
            </w:r>
            <w:r w:rsidR="00AD5B64" w:rsidRPr="00C352AD">
              <w:rPr>
                <w:rFonts w:ascii="Times New Roman" w:hAnsi="Times New Roman" w:cs="Times New Roman"/>
              </w:rPr>
              <w:t>carta</w:t>
            </w:r>
            <w:r w:rsidR="00D05AA9">
              <w:rPr>
                <w:rFonts w:ascii="Times New Roman" w:hAnsi="Times New Roman" w:cs="Times New Roman"/>
              </w:rPr>
              <w:t xml:space="preserve">, </w:t>
            </w:r>
            <w:r w:rsidR="00AD5B64" w:rsidRPr="00C352AD">
              <w:rPr>
                <w:rFonts w:ascii="Times New Roman" w:hAnsi="Times New Roman" w:cs="Times New Roman"/>
              </w:rPr>
              <w:t>correo electrónico</w:t>
            </w:r>
            <w:r w:rsidR="00D05AA9">
              <w:rPr>
                <w:rFonts w:ascii="Times New Roman" w:hAnsi="Times New Roman" w:cs="Times New Roman"/>
              </w:rPr>
              <w:t xml:space="preserve"> o telefonía</w:t>
            </w:r>
          </w:p>
        </w:tc>
        <w:tc>
          <w:tcPr>
            <w:tcW w:w="2345" w:type="dxa"/>
          </w:tcPr>
          <w:p w14:paraId="059CEA01" w14:textId="347BBC2D"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Formulario en línea (</w:t>
            </w:r>
            <w:r w:rsidR="007C6292">
              <w:rPr>
                <w:rFonts w:ascii="Times New Roman" w:hAnsi="Times New Roman" w:cs="Times New Roman"/>
              </w:rPr>
              <w:t>solicitud por vía</w:t>
            </w:r>
            <w:r w:rsidRPr="00C352AD">
              <w:rPr>
                <w:rFonts w:ascii="Times New Roman" w:hAnsi="Times New Roman" w:cs="Times New Roman"/>
              </w:rPr>
              <w:t xml:space="preserve"> electrónic</w:t>
            </w:r>
            <w:r w:rsidR="007C6292">
              <w:rPr>
                <w:rFonts w:ascii="Times New Roman" w:hAnsi="Times New Roman" w:cs="Times New Roman"/>
              </w:rPr>
              <w:t>a</w:t>
            </w:r>
            <w:r w:rsidRPr="00C352AD">
              <w:rPr>
                <w:rFonts w:ascii="Times New Roman" w:hAnsi="Times New Roman" w:cs="Times New Roman"/>
              </w:rPr>
              <w:t>)</w:t>
            </w:r>
          </w:p>
        </w:tc>
        <w:tc>
          <w:tcPr>
            <w:tcW w:w="3404" w:type="dxa"/>
          </w:tcPr>
          <w:p w14:paraId="6FC9D611" w14:textId="1A6828D7"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Portal en línea (</w:t>
            </w:r>
            <w:r w:rsidR="007C6292">
              <w:rPr>
                <w:rFonts w:ascii="Times New Roman" w:hAnsi="Times New Roman" w:cs="Times New Roman"/>
              </w:rPr>
              <w:t>solicitud automática</w:t>
            </w:r>
            <w:r w:rsidRPr="00C352AD">
              <w:rPr>
                <w:rFonts w:ascii="Times New Roman" w:hAnsi="Times New Roman" w:cs="Times New Roman"/>
              </w:rPr>
              <w:t>)</w:t>
            </w:r>
          </w:p>
        </w:tc>
        <w:tc>
          <w:tcPr>
            <w:tcW w:w="3542" w:type="dxa"/>
          </w:tcPr>
          <w:p w14:paraId="2D2642BD" w14:textId="77777777"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Portal inteligente con asistente virtual</w:t>
            </w:r>
          </w:p>
        </w:tc>
      </w:tr>
      <w:tr w:rsidR="00AD5B64" w:rsidRPr="00C352AD" w14:paraId="4A97FE83" w14:textId="77777777" w:rsidTr="003D49C3">
        <w:tc>
          <w:tcPr>
            <w:tcW w:w="2796" w:type="dxa"/>
          </w:tcPr>
          <w:p w14:paraId="01223F10" w14:textId="77777777"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Datos de ocupación del espectro</w:t>
            </w:r>
          </w:p>
        </w:tc>
        <w:tc>
          <w:tcPr>
            <w:tcW w:w="2236" w:type="dxa"/>
          </w:tcPr>
          <w:p w14:paraId="19D9ECB5" w14:textId="77777777"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Campañas de medición</w:t>
            </w:r>
          </w:p>
        </w:tc>
        <w:tc>
          <w:tcPr>
            <w:tcW w:w="2345" w:type="dxa"/>
          </w:tcPr>
          <w:p w14:paraId="585A8F74" w14:textId="7927F820"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 xml:space="preserve">Estaciones de </w:t>
            </w:r>
            <w:r w:rsidR="007C6292">
              <w:rPr>
                <w:rFonts w:ascii="Times New Roman" w:hAnsi="Times New Roman" w:cs="Times New Roman"/>
              </w:rPr>
              <w:t>comprobación técnica</w:t>
            </w:r>
            <w:r w:rsidRPr="00C352AD">
              <w:rPr>
                <w:rFonts w:ascii="Times New Roman" w:hAnsi="Times New Roman" w:cs="Times New Roman"/>
              </w:rPr>
              <w:t xml:space="preserve"> fijas y móviles</w:t>
            </w:r>
          </w:p>
        </w:tc>
        <w:tc>
          <w:tcPr>
            <w:tcW w:w="3404" w:type="dxa"/>
          </w:tcPr>
          <w:p w14:paraId="253E4739" w14:textId="0CBCAFF9"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 xml:space="preserve">Sensores dinámicos y </w:t>
            </w:r>
            <w:r w:rsidR="000F1A96">
              <w:rPr>
                <w:rFonts w:ascii="Times New Roman" w:hAnsi="Times New Roman" w:cs="Times New Roman"/>
              </w:rPr>
              <w:t>conjuntos de sensores</w:t>
            </w:r>
          </w:p>
        </w:tc>
        <w:tc>
          <w:tcPr>
            <w:tcW w:w="3542" w:type="dxa"/>
          </w:tcPr>
          <w:p w14:paraId="613F0B0E" w14:textId="52671291"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 xml:space="preserve">Integración de sensores de </w:t>
            </w:r>
            <w:r w:rsidR="007C6292">
              <w:rPr>
                <w:rFonts w:ascii="Times New Roman" w:hAnsi="Times New Roman" w:cs="Times New Roman"/>
              </w:rPr>
              <w:t>comprobación técnica</w:t>
            </w:r>
            <w:r w:rsidRPr="00C352AD">
              <w:rPr>
                <w:rFonts w:ascii="Times New Roman" w:hAnsi="Times New Roman" w:cs="Times New Roman"/>
              </w:rPr>
              <w:t xml:space="preserve"> en una base de datos en tiempo real</w:t>
            </w:r>
          </w:p>
        </w:tc>
      </w:tr>
      <w:tr w:rsidR="00AD5B64" w:rsidRPr="00C352AD" w14:paraId="3AF9527D" w14:textId="77777777" w:rsidTr="003D49C3">
        <w:tc>
          <w:tcPr>
            <w:tcW w:w="2796" w:type="dxa"/>
          </w:tcPr>
          <w:p w14:paraId="440BCD0B" w14:textId="6C1B2798"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 xml:space="preserve">Ocupación del espectro </w:t>
            </w:r>
            <w:r w:rsidR="000F3EDB">
              <w:rPr>
                <w:rFonts w:ascii="Times New Roman" w:hAnsi="Times New Roman" w:cs="Times New Roman"/>
              </w:rPr>
              <w:t>compartida</w:t>
            </w:r>
            <w:r w:rsidRPr="00C352AD">
              <w:rPr>
                <w:rFonts w:ascii="Times New Roman" w:hAnsi="Times New Roman" w:cs="Times New Roman"/>
              </w:rPr>
              <w:t xml:space="preserve"> en línea</w:t>
            </w:r>
          </w:p>
        </w:tc>
        <w:tc>
          <w:tcPr>
            <w:tcW w:w="2236" w:type="dxa"/>
          </w:tcPr>
          <w:p w14:paraId="13C5F697" w14:textId="77777777"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Sin visibilidad más allá de NFAT/NFP</w:t>
            </w:r>
          </w:p>
        </w:tc>
        <w:tc>
          <w:tcPr>
            <w:tcW w:w="2345" w:type="dxa"/>
          </w:tcPr>
          <w:p w14:paraId="2C91BF4C" w14:textId="049DDB36" w:rsidR="00AD5B64" w:rsidRPr="00C352AD" w:rsidRDefault="007C6292" w:rsidP="000F2DFA">
            <w:pPr>
              <w:pStyle w:val="Tabletext"/>
              <w:spacing w:before="20" w:after="20"/>
              <w:jc w:val="left"/>
              <w:rPr>
                <w:rFonts w:ascii="Times New Roman" w:hAnsi="Times New Roman" w:cs="Times New Roman"/>
              </w:rPr>
            </w:pPr>
            <w:r>
              <w:rPr>
                <w:rFonts w:ascii="Times New Roman" w:hAnsi="Times New Roman" w:cs="Times New Roman"/>
              </w:rPr>
              <w:t>Publicación de p</w:t>
            </w:r>
            <w:r w:rsidR="00AD5B64" w:rsidRPr="00C352AD">
              <w:rPr>
                <w:rFonts w:ascii="Times New Roman" w:hAnsi="Times New Roman" w:cs="Times New Roman"/>
              </w:rPr>
              <w:t xml:space="preserve">lanes de bandas </w:t>
            </w:r>
          </w:p>
        </w:tc>
        <w:tc>
          <w:tcPr>
            <w:tcW w:w="3404" w:type="dxa"/>
          </w:tcPr>
          <w:p w14:paraId="6E64822D" w14:textId="77777777"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Base de datos de licencias con función de búsqueda</w:t>
            </w:r>
          </w:p>
        </w:tc>
        <w:tc>
          <w:tcPr>
            <w:tcW w:w="3542" w:type="dxa"/>
          </w:tcPr>
          <w:p w14:paraId="20E2E1B3" w14:textId="41F6DF2D"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 xml:space="preserve">Visibilidad </w:t>
            </w:r>
            <w:r w:rsidR="007C6292">
              <w:rPr>
                <w:rFonts w:ascii="Times New Roman" w:hAnsi="Times New Roman" w:cs="Times New Roman"/>
              </w:rPr>
              <w:t>plena</w:t>
            </w:r>
            <w:r w:rsidRPr="00C352AD">
              <w:rPr>
                <w:rFonts w:ascii="Times New Roman" w:hAnsi="Times New Roman" w:cs="Times New Roman"/>
              </w:rPr>
              <w:t xml:space="preserve"> en tiempo real de las bandas </w:t>
            </w:r>
            <w:r w:rsidR="007C6292">
              <w:rPr>
                <w:rFonts w:ascii="Times New Roman" w:hAnsi="Times New Roman" w:cs="Times New Roman"/>
              </w:rPr>
              <w:t>previstas</w:t>
            </w:r>
          </w:p>
        </w:tc>
      </w:tr>
      <w:tr w:rsidR="00AD5B64" w:rsidRPr="00C352AD" w14:paraId="7B416E9A" w14:textId="77777777" w:rsidTr="003D49C3">
        <w:tc>
          <w:tcPr>
            <w:tcW w:w="2796" w:type="dxa"/>
          </w:tcPr>
          <w:p w14:paraId="09DE63AC" w14:textId="77777777"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Asignación</w:t>
            </w:r>
          </w:p>
        </w:tc>
        <w:tc>
          <w:tcPr>
            <w:tcW w:w="2236" w:type="dxa"/>
          </w:tcPr>
          <w:p w14:paraId="33A2844B" w14:textId="76870E2F"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Manual</w:t>
            </w:r>
            <w:r w:rsidR="00D05AA9">
              <w:rPr>
                <w:rFonts w:ascii="Times New Roman" w:hAnsi="Times New Roman" w:cs="Times New Roman"/>
              </w:rPr>
              <w:t xml:space="preserve"> o </w:t>
            </w:r>
            <w:r w:rsidR="007C6292">
              <w:rPr>
                <w:rFonts w:ascii="Times New Roman" w:hAnsi="Times New Roman" w:cs="Times New Roman"/>
              </w:rPr>
              <w:t>soporte impreso</w:t>
            </w:r>
          </w:p>
        </w:tc>
        <w:tc>
          <w:tcPr>
            <w:tcW w:w="2345" w:type="dxa"/>
          </w:tcPr>
          <w:p w14:paraId="7CB9FDAB" w14:textId="77777777"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Asignación electrónica</w:t>
            </w:r>
          </w:p>
        </w:tc>
        <w:tc>
          <w:tcPr>
            <w:tcW w:w="3404" w:type="dxa"/>
          </w:tcPr>
          <w:p w14:paraId="064593D1" w14:textId="77777777"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Asignación automatizada</w:t>
            </w:r>
          </w:p>
        </w:tc>
        <w:tc>
          <w:tcPr>
            <w:tcW w:w="3542" w:type="dxa"/>
          </w:tcPr>
          <w:p w14:paraId="364474CB" w14:textId="32066467"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Asignación en tiempo real</w:t>
            </w:r>
            <w:r w:rsidR="007C6292">
              <w:rPr>
                <w:rFonts w:ascii="Times New Roman" w:hAnsi="Times New Roman" w:cs="Times New Roman"/>
              </w:rPr>
              <w:t xml:space="preserve"> o dinámica</w:t>
            </w:r>
          </w:p>
        </w:tc>
      </w:tr>
      <w:tr w:rsidR="00AD5B64" w:rsidRPr="00C352AD" w14:paraId="7AFD599C" w14:textId="77777777" w:rsidTr="003D49C3">
        <w:tc>
          <w:tcPr>
            <w:tcW w:w="2796" w:type="dxa"/>
          </w:tcPr>
          <w:p w14:paraId="183D0881" w14:textId="414434A4" w:rsidR="00AD5B64" w:rsidRPr="00C352AD" w:rsidRDefault="007C6292" w:rsidP="000F2DFA">
            <w:pPr>
              <w:pStyle w:val="Tabletext"/>
              <w:spacing w:before="20" w:after="20"/>
              <w:jc w:val="left"/>
              <w:rPr>
                <w:rFonts w:ascii="Times New Roman" w:hAnsi="Times New Roman" w:cs="Times New Roman"/>
              </w:rPr>
            </w:pPr>
            <w:r w:rsidRPr="00C352AD">
              <w:rPr>
                <w:rFonts w:ascii="Times New Roman" w:hAnsi="Times New Roman" w:cs="Times New Roman"/>
              </w:rPr>
              <w:t xml:space="preserve">Duración </w:t>
            </w:r>
            <w:r>
              <w:rPr>
                <w:rFonts w:ascii="Times New Roman" w:hAnsi="Times New Roman" w:cs="Times New Roman"/>
              </w:rPr>
              <w:t>de a</w:t>
            </w:r>
            <w:r w:rsidR="00AD5B64" w:rsidRPr="00C352AD">
              <w:rPr>
                <w:rFonts w:ascii="Times New Roman" w:hAnsi="Times New Roman" w:cs="Times New Roman"/>
              </w:rPr>
              <w:t>utorización</w:t>
            </w:r>
            <w:r>
              <w:rPr>
                <w:rFonts w:ascii="Times New Roman" w:hAnsi="Times New Roman" w:cs="Times New Roman"/>
              </w:rPr>
              <w:t xml:space="preserve"> flexible</w:t>
            </w:r>
          </w:p>
        </w:tc>
        <w:tc>
          <w:tcPr>
            <w:tcW w:w="2236" w:type="dxa"/>
          </w:tcPr>
          <w:p w14:paraId="787BE865" w14:textId="77777777"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Periodo fijo</w:t>
            </w:r>
          </w:p>
        </w:tc>
        <w:tc>
          <w:tcPr>
            <w:tcW w:w="2345" w:type="dxa"/>
          </w:tcPr>
          <w:p w14:paraId="448F58FC" w14:textId="67F5B86A"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 xml:space="preserve">Periodo fijo con flexibilidad </w:t>
            </w:r>
            <w:r w:rsidR="007C6292">
              <w:rPr>
                <w:rFonts w:ascii="Times New Roman" w:hAnsi="Times New Roman" w:cs="Times New Roman"/>
              </w:rPr>
              <w:t>de revisión</w:t>
            </w:r>
          </w:p>
        </w:tc>
        <w:tc>
          <w:tcPr>
            <w:tcW w:w="3404" w:type="dxa"/>
          </w:tcPr>
          <w:p w14:paraId="4A55A3C6" w14:textId="3403973D" w:rsidR="00AD5B64" w:rsidRPr="00C352AD" w:rsidRDefault="007C6292" w:rsidP="000F2DFA">
            <w:pPr>
              <w:pStyle w:val="Tabletext"/>
              <w:spacing w:before="20" w:after="20"/>
              <w:jc w:val="left"/>
              <w:rPr>
                <w:rFonts w:ascii="Times New Roman" w:hAnsi="Times New Roman" w:cs="Times New Roman"/>
              </w:rPr>
            </w:pPr>
            <w:r>
              <w:rPr>
                <w:rFonts w:ascii="Times New Roman" w:hAnsi="Times New Roman" w:cs="Times New Roman"/>
              </w:rPr>
              <w:t>Plena flexibilidad</w:t>
            </w:r>
          </w:p>
        </w:tc>
        <w:tc>
          <w:tcPr>
            <w:tcW w:w="3542" w:type="dxa"/>
          </w:tcPr>
          <w:p w14:paraId="5278AFCE" w14:textId="42D198C2" w:rsidR="00AD5B64" w:rsidRPr="00C352AD" w:rsidRDefault="00AD5B64" w:rsidP="000F2DFA">
            <w:pPr>
              <w:pStyle w:val="Tabletext"/>
              <w:spacing w:before="20" w:after="20"/>
              <w:jc w:val="left"/>
              <w:rPr>
                <w:rFonts w:ascii="Times New Roman" w:hAnsi="Times New Roman" w:cs="Times New Roman"/>
              </w:rPr>
            </w:pPr>
            <w:r w:rsidRPr="00C352AD">
              <w:rPr>
                <w:rFonts w:ascii="Times New Roman" w:hAnsi="Times New Roman" w:cs="Times New Roman"/>
              </w:rPr>
              <w:t xml:space="preserve">En </w:t>
            </w:r>
            <w:r w:rsidR="007C6292">
              <w:rPr>
                <w:rFonts w:ascii="Times New Roman" w:hAnsi="Times New Roman" w:cs="Times New Roman"/>
              </w:rPr>
              <w:t>tiempo real, conforme se requiera</w:t>
            </w:r>
          </w:p>
        </w:tc>
      </w:tr>
    </w:tbl>
    <w:p w14:paraId="295FDA6F" w14:textId="5DCFA05E" w:rsidR="00C42BA1" w:rsidRDefault="00C42BA1" w:rsidP="00AD5B64">
      <w:pPr>
        <w:pStyle w:val="Tabletitle"/>
      </w:pPr>
    </w:p>
    <w:p w14:paraId="5D4BA446" w14:textId="77777777" w:rsidR="00C42BA1" w:rsidRPr="007B7381" w:rsidRDefault="00C42BA1" w:rsidP="00C42BA1"/>
    <w:p w14:paraId="39E9FB01" w14:textId="77777777" w:rsidR="00C42BA1" w:rsidRPr="007B7381" w:rsidRDefault="00C42BA1" w:rsidP="00C42BA1">
      <w:pPr>
        <w:sectPr w:rsidR="00C42BA1" w:rsidRPr="007B7381" w:rsidSect="00C352AD">
          <w:headerReference w:type="even" r:id="rId60"/>
          <w:headerReference w:type="default" r:id="rId61"/>
          <w:footerReference w:type="default" r:id="rId62"/>
          <w:pgSz w:w="16840" w:h="11907" w:orient="landscape" w:code="9"/>
          <w:pgMar w:top="1134" w:right="1418" w:bottom="1134" w:left="1134" w:header="720" w:footer="482" w:gutter="0"/>
          <w:cols w:space="720"/>
          <w:docGrid w:linePitch="360"/>
        </w:sectPr>
      </w:pPr>
    </w:p>
    <w:p w14:paraId="604F2C94" w14:textId="763CABC9" w:rsidR="00C42BA1" w:rsidRPr="007B7381" w:rsidRDefault="00C42BA1" w:rsidP="00C42BA1">
      <w:pPr>
        <w:pStyle w:val="Heading2"/>
      </w:pPr>
      <w:bookmarkStart w:id="341" w:name="_Toc121911818"/>
      <w:bookmarkStart w:id="342" w:name="_Toc136358661"/>
      <w:bookmarkStart w:id="343" w:name="_Toc184629743"/>
      <w:bookmarkStart w:id="344" w:name="_Toc184629959"/>
      <w:bookmarkStart w:id="345" w:name="_Toc216630179"/>
      <w:bookmarkStart w:id="346" w:name="_Toc216693467"/>
      <w:bookmarkStart w:id="347" w:name="_Toc217031175"/>
      <w:r w:rsidRPr="007B7381">
        <w:lastRenderedPageBreak/>
        <w:t>4.3</w:t>
      </w:r>
      <w:r w:rsidRPr="007B7381">
        <w:tab/>
      </w:r>
      <w:bookmarkEnd w:id="341"/>
      <w:bookmarkEnd w:id="342"/>
      <w:bookmarkEnd w:id="343"/>
      <w:bookmarkEnd w:id="344"/>
      <w:r w:rsidR="0019446E">
        <w:t>Análisis comparativo</w:t>
      </w:r>
      <w:bookmarkEnd w:id="345"/>
      <w:bookmarkEnd w:id="346"/>
      <w:bookmarkEnd w:id="347"/>
    </w:p>
    <w:p w14:paraId="7EC1C448" w14:textId="05FFA1F3" w:rsidR="0019446E" w:rsidRPr="007B7381" w:rsidRDefault="0019446E" w:rsidP="0019446E">
      <w:r w:rsidRPr="007B7381">
        <w:t xml:space="preserve">Se recabó la opinión de </w:t>
      </w:r>
      <w:r>
        <w:t>organismos de reglamentación</w:t>
      </w:r>
      <w:r w:rsidRPr="007B7381">
        <w:t xml:space="preserve"> </w:t>
      </w:r>
      <w:r>
        <w:t>a escala internacional</w:t>
      </w:r>
      <w:r w:rsidRPr="007B7381">
        <w:t xml:space="preserve"> para validar el enfoque adoptado y </w:t>
      </w:r>
      <w:r>
        <w:t>valorar</w:t>
      </w:r>
      <w:r w:rsidRPr="007B7381">
        <w:t xml:space="preserve"> los avances </w:t>
      </w:r>
      <w:r>
        <w:t>registrados en materia de versatilidad</w:t>
      </w:r>
      <w:r w:rsidRPr="007B7381">
        <w:t>.</w:t>
      </w:r>
    </w:p>
    <w:p w14:paraId="6A93FAE9" w14:textId="2EAB2C94" w:rsidR="0019446E" w:rsidRPr="007B7381" w:rsidRDefault="0019446E" w:rsidP="0019446E">
      <w:r w:rsidRPr="007B7381">
        <w:t>El análisis comparativo</w:t>
      </w:r>
      <w:r>
        <w:t xml:space="preserve"> llevado a cabo</w:t>
      </w:r>
      <w:r w:rsidRPr="007B7381">
        <w:t xml:space="preserve"> </w:t>
      </w:r>
      <w:r>
        <w:t>puso de manifiesto</w:t>
      </w:r>
      <w:r w:rsidRPr="007B7381">
        <w:t xml:space="preserve"> que la TDRA ocupa un lugar destacado </w:t>
      </w:r>
      <w:r>
        <w:t>en relación con</w:t>
      </w:r>
      <w:r w:rsidRPr="007B7381">
        <w:t xml:space="preserve"> la mayoría de </w:t>
      </w:r>
      <w:proofErr w:type="gramStart"/>
      <w:r w:rsidRPr="007B7381">
        <w:t>parámetros</w:t>
      </w:r>
      <w:proofErr w:type="gramEnd"/>
      <w:r w:rsidRPr="007B7381">
        <w:t xml:space="preserve"> </w:t>
      </w:r>
      <w:r>
        <w:t>pertinentes</w:t>
      </w:r>
      <w:r w:rsidRPr="007B7381">
        <w:t xml:space="preserve"> </w:t>
      </w:r>
      <w:r>
        <w:t>para la</w:t>
      </w:r>
      <w:r w:rsidRPr="007B7381">
        <w:t xml:space="preserve"> evaluación de</w:t>
      </w:r>
      <w:r>
        <w:t>l grado de desarrollo,</w:t>
      </w:r>
      <w:r w:rsidRPr="007B7381">
        <w:t xml:space="preserve"> </w:t>
      </w:r>
      <w:r>
        <w:t>con respecto a los</w:t>
      </w:r>
      <w:r w:rsidRPr="007B7381">
        <w:t xml:space="preserve"> </w:t>
      </w:r>
      <w:r>
        <w:t>organismos de reglamentación</w:t>
      </w:r>
      <w:r w:rsidRPr="007B7381">
        <w:t xml:space="preserve"> más avanzados del mundo. Existen oportunidades de </w:t>
      </w:r>
      <w:r>
        <w:t>mejora</w:t>
      </w:r>
      <w:r w:rsidRPr="007B7381">
        <w:t xml:space="preserve"> para la TDRA en aspectos como las herramientas de análisis técnico y la puesta a disposición de información sobre la ocupación del espectro a </w:t>
      </w:r>
      <w:r>
        <w:t>organismos ajenos</w:t>
      </w:r>
      <w:r w:rsidRPr="007B7381">
        <w:t xml:space="preserve"> a la TDRA.</w:t>
      </w:r>
    </w:p>
    <w:p w14:paraId="4A0DA71E" w14:textId="5183B7FE" w:rsidR="0019446E" w:rsidRPr="007B7381" w:rsidRDefault="0019446E" w:rsidP="0019446E">
      <w:r>
        <w:t xml:space="preserve">Dicho análisis </w:t>
      </w:r>
      <w:r w:rsidRPr="007B7381">
        <w:t xml:space="preserve">comparativo </w:t>
      </w:r>
      <w:r>
        <w:t>también pone de relieve que las radiocomunicaciones móviles privadas</w:t>
      </w:r>
      <w:r w:rsidRPr="007B7381">
        <w:t xml:space="preserve"> (PMR), la </w:t>
      </w:r>
      <w:r w:rsidR="000F1A96">
        <w:t>elaboración</w:t>
      </w:r>
      <w:r w:rsidRPr="007B7381">
        <w:t xml:space="preserve"> de programas y eventos </w:t>
      </w:r>
      <w:r w:rsidR="000F1A96">
        <w:t>sobre</w:t>
      </w:r>
      <w:r w:rsidRPr="007B7381">
        <w:t xml:space="preserve"> espectro (PMSE), el acceso dinámico al espectro (DSA) y la tramitación de solicitudes son los servicios</w:t>
      </w:r>
      <w:r w:rsidR="000F1A96">
        <w:t xml:space="preserve"> y </w:t>
      </w:r>
      <w:r w:rsidRPr="007B7381">
        <w:t xml:space="preserve">procesos </w:t>
      </w:r>
      <w:r w:rsidR="000F1A96">
        <w:t>que guardan una relación más estrecha con</w:t>
      </w:r>
      <w:r w:rsidRPr="007B7381">
        <w:t xml:space="preserve"> las tecnologías de gestión «</w:t>
      </w:r>
      <w:r w:rsidR="000F1A96">
        <w:t>versátil</w:t>
      </w:r>
      <w:r w:rsidRPr="007B7381">
        <w:t xml:space="preserve">» del espectro (por ejemplo, la IA y </w:t>
      </w:r>
      <w:r w:rsidR="000F1A96">
        <w:t>el empleo</w:t>
      </w:r>
      <w:r w:rsidRPr="007B7381">
        <w:t xml:space="preserve"> de </w:t>
      </w:r>
      <w:r w:rsidR="000F1A96">
        <w:t xml:space="preserve">conjuntos de </w:t>
      </w:r>
      <w:r w:rsidRPr="007B7381">
        <w:t xml:space="preserve">sensores). </w:t>
      </w:r>
      <w:r w:rsidR="000F1A96">
        <w:t>La utilización de</w:t>
      </w:r>
      <w:r w:rsidRPr="007B7381">
        <w:t xml:space="preserve"> sistemas DSA se asocia principalmente </w:t>
      </w:r>
      <w:r w:rsidR="000F1A96">
        <w:t>a la compartición de</w:t>
      </w:r>
      <w:r w:rsidRPr="007B7381">
        <w:t xml:space="preserve"> servicios móviles</w:t>
      </w:r>
      <w:r w:rsidR="000F1A96">
        <w:t>, entre</w:t>
      </w:r>
      <w:r w:rsidRPr="007B7381">
        <w:t xml:space="preserve"> otros servicios, </w:t>
      </w:r>
      <w:r w:rsidR="000F1A96">
        <w:t xml:space="preserve">si bien determinados organismos de reglamentación </w:t>
      </w:r>
      <w:r w:rsidRPr="007B7381">
        <w:t>lo asocian con RLAN,</w:t>
      </w:r>
      <w:r w:rsidR="000F1A96">
        <w:t xml:space="preserve"> la</w:t>
      </w:r>
      <w:r w:rsidRPr="007B7381">
        <w:t xml:space="preserve"> radiodifusión, PMSE y </w:t>
      </w:r>
      <w:r w:rsidR="000F1A96">
        <w:t xml:space="preserve">los </w:t>
      </w:r>
      <w:r w:rsidRPr="007B7381">
        <w:t>satélites.</w:t>
      </w:r>
    </w:p>
    <w:p w14:paraId="08D10803" w14:textId="7FEB62EE" w:rsidR="0019446E" w:rsidRPr="007B7381" w:rsidRDefault="0019446E" w:rsidP="0019446E">
      <w:pPr>
        <w:pStyle w:val="Heading2"/>
      </w:pPr>
      <w:bookmarkStart w:id="348" w:name="_Toc121911819"/>
      <w:bookmarkStart w:id="349" w:name="_Toc136358662"/>
      <w:bookmarkStart w:id="350" w:name="_Toc184629744"/>
      <w:bookmarkStart w:id="351" w:name="_Toc184629960"/>
      <w:bookmarkStart w:id="352" w:name="_Toc216630180"/>
      <w:bookmarkStart w:id="353" w:name="_Toc216693468"/>
      <w:bookmarkStart w:id="354" w:name="_Toc217031176"/>
      <w:r w:rsidRPr="007B7381">
        <w:t>4.4</w:t>
      </w:r>
      <w:r w:rsidRPr="007B7381">
        <w:tab/>
      </w:r>
      <w:bookmarkEnd w:id="348"/>
      <w:bookmarkEnd w:id="349"/>
      <w:bookmarkEnd w:id="350"/>
      <w:bookmarkEnd w:id="351"/>
      <w:bookmarkEnd w:id="352"/>
      <w:r w:rsidR="00D16204">
        <w:t>Resumen</w:t>
      </w:r>
      <w:bookmarkEnd w:id="353"/>
      <w:bookmarkEnd w:id="354"/>
    </w:p>
    <w:p w14:paraId="562D13F6" w14:textId="30940F2A" w:rsidR="0019446E" w:rsidRPr="007B7381" w:rsidRDefault="00454B5F" w:rsidP="0019446E">
      <w:r>
        <w:t>Tras examinar</w:t>
      </w:r>
      <w:r w:rsidR="0019446E" w:rsidRPr="007B7381">
        <w:t xml:space="preserve"> </w:t>
      </w:r>
      <w:r>
        <w:t>la situación act</w:t>
      </w:r>
      <w:r w:rsidR="0019446E" w:rsidRPr="007B7381">
        <w:t xml:space="preserve">ual </w:t>
      </w:r>
      <w:r>
        <w:t>en materia de</w:t>
      </w:r>
      <w:r w:rsidR="0019446E" w:rsidRPr="007B7381">
        <w:t xml:space="preserve"> gestión del espectro </w:t>
      </w:r>
      <w:r>
        <w:t>en el marco</w:t>
      </w:r>
      <w:r w:rsidR="0019446E" w:rsidRPr="007B7381">
        <w:t xml:space="preserve"> de la TDRA</w:t>
      </w:r>
      <w:r>
        <w:t>,</w:t>
      </w:r>
      <w:r w:rsidR="0019446E" w:rsidRPr="007B7381">
        <w:t xml:space="preserve"> se ha llegado a la conclusión de que</w:t>
      </w:r>
      <w:r>
        <w:t xml:space="preserve"> el funcionamiento de</w:t>
      </w:r>
      <w:r w:rsidR="0019446E" w:rsidRPr="007B7381">
        <w:t xml:space="preserve"> la TDRA </w:t>
      </w:r>
      <w:r>
        <w:t>es adecuado</w:t>
      </w:r>
      <w:r w:rsidR="0019446E" w:rsidRPr="007B7381">
        <w:t xml:space="preserve">, </w:t>
      </w:r>
      <w:r>
        <w:t>habida cuenta de su sencillez y del fácil acceso al mismo</w:t>
      </w:r>
      <w:r w:rsidR="0019446E" w:rsidRPr="007B7381">
        <w:t xml:space="preserve">, y </w:t>
      </w:r>
      <w:r>
        <w:t>de que las tareas de</w:t>
      </w:r>
      <w:r w:rsidR="0019446E" w:rsidRPr="007B7381">
        <w:t xml:space="preserve"> análisis y asignación se llevan a cabo de </w:t>
      </w:r>
      <w:r>
        <w:t>forma</w:t>
      </w:r>
      <w:r w:rsidR="0019446E" w:rsidRPr="007B7381">
        <w:t xml:space="preserve"> rápida y avanzada</w:t>
      </w:r>
      <w:r>
        <w:t xml:space="preserve"> en el plano tecnológico</w:t>
      </w:r>
      <w:r w:rsidR="0019446E" w:rsidRPr="007B7381">
        <w:t>.</w:t>
      </w:r>
    </w:p>
    <w:p w14:paraId="0C169EEC" w14:textId="01BAD58B" w:rsidR="00C42BA1" w:rsidRPr="00BE184C" w:rsidRDefault="0042295E" w:rsidP="0019446E">
      <w:r>
        <w:t>Dicho examen, y el análisis de</w:t>
      </w:r>
      <w:r w:rsidR="0019446E" w:rsidRPr="007B7381">
        <w:t xml:space="preserve"> la</w:t>
      </w:r>
      <w:r>
        <w:t>s</w:t>
      </w:r>
      <w:r w:rsidR="0019446E" w:rsidRPr="007B7381">
        <w:t xml:space="preserve"> capacidad</w:t>
      </w:r>
      <w:r>
        <w:t>es</w:t>
      </w:r>
      <w:r w:rsidR="0019446E" w:rsidRPr="007B7381">
        <w:t xml:space="preserve"> tecnológica</w:t>
      </w:r>
      <w:r>
        <w:t>s</w:t>
      </w:r>
      <w:r w:rsidR="0019446E" w:rsidRPr="007B7381">
        <w:t xml:space="preserve"> actual</w:t>
      </w:r>
      <w:r>
        <w:t>es</w:t>
      </w:r>
      <w:r w:rsidR="0019446E" w:rsidRPr="007B7381">
        <w:t xml:space="preserve"> y futura</w:t>
      </w:r>
      <w:r>
        <w:t>s</w:t>
      </w:r>
      <w:r w:rsidR="0019446E" w:rsidRPr="007B7381">
        <w:t xml:space="preserve">, </w:t>
      </w:r>
      <w:r>
        <w:t>ha permitido definir el grado de versatilidad</w:t>
      </w:r>
      <w:r w:rsidR="0019446E" w:rsidRPr="007B7381">
        <w:t xml:space="preserve"> del espectro, </w:t>
      </w:r>
      <w:r>
        <w:t>así como</w:t>
      </w:r>
      <w:r w:rsidR="0019446E" w:rsidRPr="007B7381">
        <w:t xml:space="preserve"> un conjunto de parámetros de evaluación. El ejercicio de evaluación comparativa </w:t>
      </w:r>
      <w:r>
        <w:t>puso de manifiesto</w:t>
      </w:r>
      <w:r w:rsidR="0019446E" w:rsidRPr="007B7381">
        <w:t xml:space="preserve"> que el enfoque de la TDRA es, en términos generales, </w:t>
      </w:r>
      <w:r>
        <w:t>equiparable</w:t>
      </w:r>
      <w:r w:rsidR="0019446E" w:rsidRPr="007B7381">
        <w:t xml:space="preserve"> o ligeramente más avanzado que el de muchos otros </w:t>
      </w:r>
      <w:r>
        <w:t>organismos de reglamentación con respecto a una gran cantidad de</w:t>
      </w:r>
      <w:r w:rsidR="0019446E" w:rsidRPr="007B7381">
        <w:t xml:space="preserve"> aspectos considerados.</w:t>
      </w:r>
    </w:p>
    <w:p w14:paraId="5ADB745D" w14:textId="68D19085" w:rsidR="00C42BA1" w:rsidRPr="00BE184C" w:rsidRDefault="00C42BA1" w:rsidP="00C42BA1">
      <w:pPr>
        <w:pStyle w:val="Heading1"/>
      </w:pPr>
      <w:bookmarkStart w:id="355" w:name="_Toc121911820"/>
      <w:bookmarkStart w:id="356" w:name="_Toc136358663"/>
      <w:bookmarkStart w:id="357" w:name="_Toc184629745"/>
      <w:bookmarkStart w:id="358" w:name="_Toc184629961"/>
      <w:bookmarkStart w:id="359" w:name="_Toc216630181"/>
      <w:bookmarkStart w:id="360" w:name="_Toc216693469"/>
      <w:bookmarkStart w:id="361" w:name="_Toc217031177"/>
      <w:r w:rsidRPr="00BE184C">
        <w:t>5</w:t>
      </w:r>
      <w:r w:rsidRPr="00BE184C">
        <w:tab/>
      </w:r>
      <w:bookmarkEnd w:id="355"/>
      <w:bookmarkEnd w:id="356"/>
      <w:bookmarkEnd w:id="357"/>
      <w:bookmarkEnd w:id="358"/>
      <w:proofErr w:type="gramStart"/>
      <w:r w:rsidR="0042295E" w:rsidRPr="00BE184C">
        <w:t>Factores</w:t>
      </w:r>
      <w:proofErr w:type="gramEnd"/>
      <w:r w:rsidR="0042295E" w:rsidRPr="00BE184C">
        <w:t xml:space="preserve"> propicios y evolución de la gestión del espectro </w:t>
      </w:r>
      <w:r w:rsidR="0042295E">
        <w:t>con respecto a</w:t>
      </w:r>
      <w:r w:rsidR="0042295E" w:rsidRPr="00BE184C">
        <w:t xml:space="preserve"> tecnologías y servicios inalámbricos</w:t>
      </w:r>
      <w:bookmarkEnd w:id="359"/>
      <w:bookmarkEnd w:id="360"/>
      <w:bookmarkEnd w:id="361"/>
    </w:p>
    <w:p w14:paraId="60873BFE" w14:textId="02B3BA04" w:rsidR="0042295E" w:rsidRPr="007B7381" w:rsidRDefault="00B151C1" w:rsidP="0042295E">
      <w:r>
        <w:t>A lo largo del próximo decenio c</w:t>
      </w:r>
      <w:r w:rsidR="007E199F">
        <w:t>abe esperar notables</w:t>
      </w:r>
      <w:r w:rsidR="0042295E" w:rsidRPr="007B7381">
        <w:t xml:space="preserve"> innovaciones en </w:t>
      </w:r>
      <w:r>
        <w:t>materia de</w:t>
      </w:r>
      <w:r w:rsidR="0042295E" w:rsidRPr="007B7381">
        <w:t xml:space="preserve"> tecnologías y servicios inalámbricos, así como avances en las soluciones de gestión del espectro. La forma en que los </w:t>
      </w:r>
      <w:r>
        <w:t>organismos de reglamentación</w:t>
      </w:r>
      <w:r w:rsidR="0042295E" w:rsidRPr="007B7381">
        <w:t xml:space="preserve"> garanticen una gestión eficaz del espectro </w:t>
      </w:r>
      <w:r>
        <w:t>frente</w:t>
      </w:r>
      <w:r w:rsidR="0042295E" w:rsidRPr="007B7381">
        <w:t xml:space="preserve"> el desarrollo de </w:t>
      </w:r>
      <w:r w:rsidR="00A66D4D">
        <w:t>esos sectores</w:t>
      </w:r>
      <w:r w:rsidR="0042295E" w:rsidRPr="007B7381">
        <w:t xml:space="preserve"> vendrá </w:t>
      </w:r>
      <w:proofErr w:type="gramStart"/>
      <w:r w:rsidR="0042295E" w:rsidRPr="007B7381">
        <w:t>determinada</w:t>
      </w:r>
      <w:proofErr w:type="gramEnd"/>
      <w:r w:rsidR="0042295E" w:rsidRPr="007B7381">
        <w:t xml:space="preserve"> por la interacción y </w:t>
      </w:r>
      <w:r w:rsidR="00A66D4D">
        <w:t xml:space="preserve">evolución </w:t>
      </w:r>
      <w:r w:rsidR="0042295E" w:rsidRPr="007B7381">
        <w:t xml:space="preserve">de </w:t>
      </w:r>
      <w:r w:rsidR="00A66D4D">
        <w:t>esos</w:t>
      </w:r>
      <w:r w:rsidR="0042295E" w:rsidRPr="007B7381">
        <w:t xml:space="preserve"> factores.</w:t>
      </w:r>
    </w:p>
    <w:p w14:paraId="3F157A15" w14:textId="6887AD93" w:rsidR="0042295E" w:rsidRPr="007B7381" w:rsidRDefault="00A66D4D" w:rsidP="0042295E">
      <w:r>
        <w:t>De</w:t>
      </w:r>
      <w:r w:rsidR="0042295E" w:rsidRPr="007B7381">
        <w:t xml:space="preserve"> un lado, la </w:t>
      </w:r>
      <w:r w:rsidRPr="007B7381">
        <w:t>innovación</w:t>
      </w:r>
      <w:r w:rsidR="0042295E" w:rsidRPr="007B7381">
        <w:t xml:space="preserve"> en tecnologías y servicios inalámbricos requerirá </w:t>
      </w:r>
      <w:r w:rsidR="001C5C66">
        <w:t>una demanda variable</w:t>
      </w:r>
      <w:r w:rsidR="0042295E" w:rsidRPr="007B7381">
        <w:t xml:space="preserve"> de espectro </w:t>
      </w:r>
      <w:r w:rsidR="001C5C66">
        <w:t>para</w:t>
      </w:r>
      <w:r w:rsidR="0042295E" w:rsidRPr="007B7381">
        <w:t xml:space="preserve"> servicios innovadores y, posiblemente, </w:t>
      </w:r>
      <w:r w:rsidR="001C5C66">
        <w:t>la evolución de</w:t>
      </w:r>
      <w:r w:rsidR="0042295E" w:rsidRPr="007B7381">
        <w:t xml:space="preserve"> las asignaciones y autorizaciones de frecuencias. </w:t>
      </w:r>
      <w:r w:rsidR="001C5C66">
        <w:t>Ello</w:t>
      </w:r>
      <w:r w:rsidR="0042295E" w:rsidRPr="007B7381">
        <w:t xml:space="preserve"> podría </w:t>
      </w:r>
      <w:r w:rsidR="001C5C66">
        <w:t>conllevar</w:t>
      </w:r>
      <w:r w:rsidR="0042295E" w:rsidRPr="007B7381">
        <w:t xml:space="preserve"> cambios </w:t>
      </w:r>
      <w:r w:rsidR="001C5C66">
        <w:t>de</w:t>
      </w:r>
      <w:r w:rsidR="0042295E" w:rsidRPr="007B7381">
        <w:t xml:space="preserve"> demanda, </w:t>
      </w:r>
      <w:r w:rsidR="001C5C66">
        <w:t>así como</w:t>
      </w:r>
      <w:r w:rsidR="0042295E" w:rsidRPr="007B7381">
        <w:t xml:space="preserve"> </w:t>
      </w:r>
      <w:r w:rsidR="001C5C66">
        <w:t>del tipo de</w:t>
      </w:r>
      <w:r w:rsidR="0042295E" w:rsidRPr="007B7381">
        <w:t xml:space="preserve"> espectro necesario. Por ejemplo, las nuevas tecnologías </w:t>
      </w:r>
      <w:r w:rsidR="001C5C66">
        <w:t>podrían</w:t>
      </w:r>
      <w:r w:rsidR="0042295E" w:rsidRPr="007B7381">
        <w:t xml:space="preserve"> requerir espectro en </w:t>
      </w:r>
      <w:r w:rsidR="001C5C66" w:rsidRPr="007B7381">
        <w:t xml:space="preserve">lugares </w:t>
      </w:r>
      <w:r w:rsidR="0042295E" w:rsidRPr="007B7381">
        <w:t xml:space="preserve">diferentes, </w:t>
      </w:r>
      <w:r w:rsidR="001C5C66">
        <w:t>por</w:t>
      </w:r>
      <w:r w:rsidR="0042295E" w:rsidRPr="007B7381">
        <w:t xml:space="preserve"> </w:t>
      </w:r>
      <w:r w:rsidR="001C5C66">
        <w:t>varios</w:t>
      </w:r>
      <w:r w:rsidR="0042295E" w:rsidRPr="007B7381">
        <w:t xml:space="preserve"> períodos de tiempo y en </w:t>
      </w:r>
      <w:r w:rsidR="001C5C66">
        <w:t>cantidad diversa</w:t>
      </w:r>
      <w:r w:rsidR="0042295E" w:rsidRPr="007B7381">
        <w:t xml:space="preserve">. </w:t>
      </w:r>
      <w:r w:rsidR="001C5C66">
        <w:t>Ello puede constituir un factor determinante</w:t>
      </w:r>
      <w:r w:rsidR="0042295E" w:rsidRPr="007B7381">
        <w:t xml:space="preserve">, </w:t>
      </w:r>
      <w:r w:rsidR="001C5C66">
        <w:t>puesto que el nuevo empleo</w:t>
      </w:r>
      <w:r w:rsidR="0042295E" w:rsidRPr="007B7381">
        <w:t xml:space="preserve"> del espectro obligará a adaptar los </w:t>
      </w:r>
      <w:r w:rsidR="001C5C66">
        <w:t>métodos</w:t>
      </w:r>
      <w:r w:rsidR="0042295E" w:rsidRPr="007B7381">
        <w:t xml:space="preserve"> de gestión del espectro.</w:t>
      </w:r>
    </w:p>
    <w:p w14:paraId="35F9464E" w14:textId="439AF2ED" w:rsidR="0042295E" w:rsidRPr="007B7381" w:rsidRDefault="001C5C66" w:rsidP="0042295E">
      <w:r>
        <w:t>De</w:t>
      </w:r>
      <w:r w:rsidR="0042295E" w:rsidRPr="007B7381">
        <w:t xml:space="preserve"> otro lado, los avances en las soluciones de gestión del espectro, </w:t>
      </w:r>
      <w:r>
        <w:t>a saber,</w:t>
      </w:r>
      <w:r w:rsidR="0042295E" w:rsidRPr="007B7381">
        <w:t xml:space="preserve"> las soluciones que utilizan las organizaciones de gestión del espectro para gestionar el </w:t>
      </w:r>
      <w:r>
        <w:t>mismo</w:t>
      </w:r>
      <w:r w:rsidR="0042295E" w:rsidRPr="007B7381">
        <w:t>, también cambiarán la forma en que se autori</w:t>
      </w:r>
      <w:r>
        <w:t>ce</w:t>
      </w:r>
      <w:r w:rsidR="0042295E" w:rsidRPr="007B7381">
        <w:t xml:space="preserve"> el uso del espectro. Los avances en </w:t>
      </w:r>
      <w:r>
        <w:t>cuanto a</w:t>
      </w:r>
      <w:r w:rsidR="0042295E" w:rsidRPr="007B7381">
        <w:t xml:space="preserve"> capacidades de las soluciones de </w:t>
      </w:r>
      <w:proofErr w:type="gramStart"/>
      <w:r w:rsidR="0042295E" w:rsidRPr="007B7381">
        <w:t>gestión,</w:t>
      </w:r>
      <w:proofErr w:type="gramEnd"/>
      <w:r w:rsidR="0042295E" w:rsidRPr="007B7381">
        <w:t xml:space="preserve"> ya sean </w:t>
      </w:r>
      <w:r>
        <w:t xml:space="preserve">las </w:t>
      </w:r>
      <w:r w:rsidR="0042295E" w:rsidRPr="007B7381">
        <w:t xml:space="preserve">desarrolladas por los </w:t>
      </w:r>
      <w:r>
        <w:t>organismos de reglamentación o las</w:t>
      </w:r>
      <w:r w:rsidR="0042295E" w:rsidRPr="007B7381">
        <w:t xml:space="preserve"> introducidas por la industria o el </w:t>
      </w:r>
      <w:r>
        <w:t>sector</w:t>
      </w:r>
      <w:r w:rsidR="0042295E" w:rsidRPr="007B7381">
        <w:t xml:space="preserve"> académico, permitirán autorizar el espectro de formas nuevas e innovadoras. </w:t>
      </w:r>
      <w:r>
        <w:t xml:space="preserve">Ello puede </w:t>
      </w:r>
      <w:r>
        <w:lastRenderedPageBreak/>
        <w:t>constituir</w:t>
      </w:r>
      <w:r w:rsidR="0042295E" w:rsidRPr="007B7381">
        <w:t xml:space="preserve"> </w:t>
      </w:r>
      <w:r>
        <w:t>un fator que fomente la demanda</w:t>
      </w:r>
      <w:r w:rsidR="0042295E" w:rsidRPr="007B7381">
        <w:t xml:space="preserve">, </w:t>
      </w:r>
      <w:r>
        <w:t>puesto que los organismos de reglamentación propugnan</w:t>
      </w:r>
      <w:r w:rsidR="0042295E" w:rsidRPr="007B7381">
        <w:t xml:space="preserve"> nuevos métodos </w:t>
      </w:r>
      <w:r>
        <w:t>de mayor versatilidad</w:t>
      </w:r>
      <w:r w:rsidR="0042295E" w:rsidRPr="007B7381">
        <w:t>.</w:t>
      </w:r>
    </w:p>
    <w:p w14:paraId="370AED89" w14:textId="04F25EB3" w:rsidR="0042295E" w:rsidRPr="007B7381" w:rsidRDefault="0042295E" w:rsidP="0042295E">
      <w:r w:rsidRPr="007B7381">
        <w:t>E</w:t>
      </w:r>
      <w:r w:rsidR="001C5C66">
        <w:t>n el presente documento técnico</w:t>
      </w:r>
      <w:r w:rsidR="001C5C66" w:rsidRPr="007B7381">
        <w:t xml:space="preserve"> de la TDRA</w:t>
      </w:r>
      <w:r w:rsidR="001C5C66">
        <w:t>,</w:t>
      </w:r>
      <w:r w:rsidR="001C5C66" w:rsidRPr="007B7381">
        <w:t xml:space="preserve"> </w:t>
      </w:r>
      <w:r w:rsidRPr="007B7381">
        <w:t>«</w:t>
      </w:r>
      <w:r w:rsidR="001C5C66">
        <w:t>Versatilidad</w:t>
      </w:r>
      <w:r w:rsidRPr="007B7381">
        <w:t xml:space="preserve"> del espectro»</w:t>
      </w:r>
      <w:r w:rsidR="001C5C66">
        <w:t xml:space="preserve">, se estudia la manera en que </w:t>
      </w:r>
      <w:r w:rsidRPr="007B7381">
        <w:t xml:space="preserve">interactúan los factores </w:t>
      </w:r>
      <w:r w:rsidR="001C5C66">
        <w:t>determinantes y de fomento de la demanda</w:t>
      </w:r>
      <w:r w:rsidRPr="007B7381">
        <w:t xml:space="preserve">, las implicaciones </w:t>
      </w:r>
      <w:r w:rsidR="001C5C66">
        <w:t>del análisis</w:t>
      </w:r>
      <w:r w:rsidRPr="007B7381">
        <w:t xml:space="preserve"> de los requisitos </w:t>
      </w:r>
      <w:r w:rsidR="001C5C66">
        <w:t xml:space="preserve">de los usuarios </w:t>
      </w:r>
      <w:r w:rsidRPr="007B7381">
        <w:t xml:space="preserve">y la satisfacción de </w:t>
      </w:r>
      <w:proofErr w:type="gramStart"/>
      <w:r w:rsidRPr="007B7381">
        <w:t>l</w:t>
      </w:r>
      <w:r w:rsidR="001C5C66">
        <w:t>os mismos</w:t>
      </w:r>
      <w:proofErr w:type="gramEnd"/>
      <w:r w:rsidRPr="007B7381">
        <w:t xml:space="preserve">, tema </w:t>
      </w:r>
      <w:r w:rsidR="001C5C66">
        <w:t>primordial</w:t>
      </w:r>
      <w:r w:rsidRPr="007B7381">
        <w:t xml:space="preserve"> para la TDRA.</w:t>
      </w:r>
    </w:p>
    <w:p w14:paraId="39477A62" w14:textId="25F516FA" w:rsidR="0042295E" w:rsidRPr="007B7381" w:rsidRDefault="0042295E" w:rsidP="0042295E">
      <w:pPr>
        <w:pStyle w:val="Heading2"/>
      </w:pPr>
      <w:bookmarkStart w:id="362" w:name="_Toc121911821"/>
      <w:bookmarkStart w:id="363" w:name="_Toc136358664"/>
      <w:bookmarkStart w:id="364" w:name="_Toc184629746"/>
      <w:bookmarkStart w:id="365" w:name="_Toc184629962"/>
      <w:bookmarkStart w:id="366" w:name="_Toc216630182"/>
      <w:bookmarkStart w:id="367" w:name="_Toc216693470"/>
      <w:bookmarkStart w:id="368" w:name="_Toc217031178"/>
      <w:r w:rsidRPr="007B7381">
        <w:t>5.1</w:t>
      </w:r>
      <w:r w:rsidRPr="007B7381">
        <w:tab/>
        <w:t xml:space="preserve">Evolución </w:t>
      </w:r>
      <w:r w:rsidR="008F7465">
        <w:t>de la tecnología y las</w:t>
      </w:r>
      <w:r w:rsidRPr="007B7381">
        <w:t xml:space="preserve"> necesidades de los usuarios</w:t>
      </w:r>
      <w:bookmarkEnd w:id="362"/>
      <w:bookmarkEnd w:id="363"/>
      <w:bookmarkEnd w:id="364"/>
      <w:bookmarkEnd w:id="365"/>
      <w:bookmarkEnd w:id="366"/>
      <w:bookmarkEnd w:id="367"/>
      <w:bookmarkEnd w:id="368"/>
    </w:p>
    <w:p w14:paraId="062EE4BC" w14:textId="49669C19" w:rsidR="0042295E" w:rsidRPr="007B7381" w:rsidRDefault="0042295E" w:rsidP="0042295E">
      <w:pPr>
        <w:rPr>
          <w:highlight w:val="white"/>
        </w:rPr>
      </w:pPr>
      <w:r w:rsidRPr="007B7381">
        <w:rPr>
          <w:highlight w:val="white"/>
        </w:rPr>
        <w:t xml:space="preserve">Para 2031 se prevé </w:t>
      </w:r>
      <w:r w:rsidR="00474A07">
        <w:rPr>
          <w:highlight w:val="white"/>
        </w:rPr>
        <w:t>el surgimiento</w:t>
      </w:r>
      <w:r w:rsidRPr="007B7381">
        <w:rPr>
          <w:highlight w:val="white"/>
        </w:rPr>
        <w:t xml:space="preserve"> de una amplia gama de tecnologías y servicios inalámbricos innovadores. </w:t>
      </w:r>
      <w:r w:rsidR="00474A07">
        <w:rPr>
          <w:highlight w:val="white"/>
        </w:rPr>
        <w:t xml:space="preserve">Cabe esperar </w:t>
      </w:r>
      <w:r w:rsidRPr="007B7381">
        <w:rPr>
          <w:highlight w:val="white"/>
        </w:rPr>
        <w:t xml:space="preserve">que estos afecten a operadores, </w:t>
      </w:r>
      <w:r w:rsidR="00474A07">
        <w:rPr>
          <w:highlight w:val="white"/>
        </w:rPr>
        <w:t>a organismos de reglamentación</w:t>
      </w:r>
      <w:r w:rsidRPr="007B7381">
        <w:rPr>
          <w:highlight w:val="white"/>
        </w:rPr>
        <w:t xml:space="preserve">, </w:t>
      </w:r>
      <w:r w:rsidR="00474A07">
        <w:rPr>
          <w:highlight w:val="white"/>
        </w:rPr>
        <w:t>al sector industrial</w:t>
      </w:r>
      <w:r w:rsidRPr="007B7381">
        <w:rPr>
          <w:highlight w:val="white"/>
        </w:rPr>
        <w:t xml:space="preserve"> y</w:t>
      </w:r>
      <w:r w:rsidR="00474A07">
        <w:rPr>
          <w:highlight w:val="white"/>
        </w:rPr>
        <w:t xml:space="preserve"> a</w:t>
      </w:r>
      <w:r w:rsidRPr="007B7381">
        <w:rPr>
          <w:highlight w:val="white"/>
        </w:rPr>
        <w:t xml:space="preserve">l público en general. </w:t>
      </w:r>
      <w:r w:rsidR="00474A07">
        <w:rPr>
          <w:highlight w:val="white"/>
        </w:rPr>
        <w:t>Con objeto de establecer</w:t>
      </w:r>
      <w:r w:rsidRPr="007B7381">
        <w:rPr>
          <w:highlight w:val="white"/>
        </w:rPr>
        <w:t xml:space="preserve"> </w:t>
      </w:r>
      <w:r w:rsidR="00474A07">
        <w:rPr>
          <w:highlight w:val="white"/>
        </w:rPr>
        <w:t>la manera en que</w:t>
      </w:r>
      <w:r w:rsidRPr="007B7381">
        <w:rPr>
          <w:highlight w:val="white"/>
        </w:rPr>
        <w:t xml:space="preserve"> </w:t>
      </w:r>
      <w:r w:rsidR="00474A07">
        <w:rPr>
          <w:highlight w:val="white"/>
        </w:rPr>
        <w:t>un</w:t>
      </w:r>
      <w:r w:rsidRPr="007B7381">
        <w:rPr>
          <w:highlight w:val="white"/>
        </w:rPr>
        <w:t xml:space="preserve"> </w:t>
      </w:r>
      <w:r w:rsidR="00474A07">
        <w:rPr>
          <w:highlight w:val="white"/>
        </w:rPr>
        <w:t>organismo de reglamentación</w:t>
      </w:r>
      <w:r w:rsidRPr="007B7381">
        <w:rPr>
          <w:highlight w:val="white"/>
        </w:rPr>
        <w:t xml:space="preserve"> del espectro puede servir mejor a sus clientes, </w:t>
      </w:r>
      <w:r w:rsidR="00474A07">
        <w:rPr>
          <w:highlight w:val="white"/>
        </w:rPr>
        <w:t>en el presente estudio se aborda pormenorizadamente</w:t>
      </w:r>
      <w:r w:rsidRPr="007B7381">
        <w:rPr>
          <w:highlight w:val="white"/>
        </w:rPr>
        <w:t xml:space="preserve"> la</w:t>
      </w:r>
      <w:r w:rsidR="00474A07">
        <w:rPr>
          <w:highlight w:val="white"/>
        </w:rPr>
        <w:t xml:space="preserve"> evolución de la</w:t>
      </w:r>
      <w:r w:rsidRPr="007B7381">
        <w:rPr>
          <w:highlight w:val="white"/>
        </w:rPr>
        <w:t xml:space="preserve">s tecnologías inalámbricas y el panorama de los servicios </w:t>
      </w:r>
      <w:r w:rsidR="00474A07">
        <w:rPr>
          <w:highlight w:val="white"/>
        </w:rPr>
        <w:t>que se prestarán</w:t>
      </w:r>
      <w:r w:rsidRPr="007B7381">
        <w:rPr>
          <w:highlight w:val="white"/>
        </w:rPr>
        <w:t xml:space="preserve">. </w:t>
      </w:r>
    </w:p>
    <w:p w14:paraId="5009BFB0" w14:textId="4514B7CD" w:rsidR="0042295E" w:rsidRPr="007B7381" w:rsidRDefault="000A6C38" w:rsidP="0042295E">
      <w:r>
        <w:t xml:space="preserve">A tal efecto, se efectuó </w:t>
      </w:r>
      <w:r w:rsidR="0042295E" w:rsidRPr="007B7381">
        <w:t xml:space="preserve">una encuesta sobre </w:t>
      </w:r>
      <w:r>
        <w:t>el futuro</w:t>
      </w:r>
      <w:r w:rsidR="0042295E" w:rsidRPr="007B7381">
        <w:t xml:space="preserve"> de las tecnologías inalámbricas </w:t>
      </w:r>
      <w:r>
        <w:t>referidas por</w:t>
      </w:r>
      <w:r w:rsidR="0042295E" w:rsidRPr="007B7381">
        <w:t xml:space="preserve"> la UIT</w:t>
      </w:r>
      <w:r w:rsidR="0042295E" w:rsidRPr="007B7381">
        <w:rPr>
          <w:rStyle w:val="FootnoteReference"/>
          <w:rFonts w:asciiTheme="majorBidi" w:hAnsiTheme="majorBidi" w:cstheme="majorBidi"/>
        </w:rPr>
        <w:footnoteReference w:id="17"/>
      </w:r>
      <w:r w:rsidR="0042295E" w:rsidRPr="007B7381">
        <w:t>, los proveedores de equipos (</w:t>
      </w:r>
      <w:r>
        <w:t>en particular,</w:t>
      </w:r>
      <w:r w:rsidR="0042295E" w:rsidRPr="007B7381">
        <w:t xml:space="preserve"> Nokia</w:t>
      </w:r>
      <w:r w:rsidR="0042295E" w:rsidRPr="007B7381">
        <w:rPr>
          <w:rStyle w:val="FootnoteReference"/>
          <w:rFonts w:asciiTheme="majorBidi" w:hAnsiTheme="majorBidi" w:cstheme="majorBidi"/>
        </w:rPr>
        <w:footnoteReference w:id="18"/>
      </w:r>
      <w:r w:rsidR="0042295E" w:rsidRPr="007B7381">
        <w:t>, Ericsson</w:t>
      </w:r>
      <w:r w:rsidR="0042295E" w:rsidRPr="007B7381">
        <w:rPr>
          <w:rStyle w:val="FootnoteReference"/>
          <w:rFonts w:asciiTheme="majorBidi" w:hAnsiTheme="majorBidi" w:cstheme="majorBidi"/>
        </w:rPr>
        <w:footnoteReference w:id="19"/>
      </w:r>
      <w:r w:rsidR="0042295E" w:rsidRPr="007B7381">
        <w:t xml:space="preserve"> y Huawei</w:t>
      </w:r>
      <w:r w:rsidR="0042295E" w:rsidRPr="007B7381">
        <w:rPr>
          <w:rStyle w:val="FootnoteReference"/>
          <w:rFonts w:asciiTheme="majorBidi" w:hAnsiTheme="majorBidi" w:cstheme="majorBidi"/>
        </w:rPr>
        <w:footnoteReference w:id="20"/>
      </w:r>
      <w:r w:rsidR="0042295E" w:rsidRPr="007B7381">
        <w:t xml:space="preserve">) y </w:t>
      </w:r>
      <w:r>
        <w:t>diversos</w:t>
      </w:r>
      <w:r w:rsidR="0042295E" w:rsidRPr="007B7381">
        <w:t xml:space="preserve"> proyectos de instituciones de investigación (</w:t>
      </w:r>
      <w:r w:rsidR="0042295E" w:rsidRPr="000F3EDB">
        <w:rPr>
          <w:i/>
          <w:iCs/>
        </w:rPr>
        <w:t>NSF NextG Research</w:t>
      </w:r>
      <w:r w:rsidR="0042295E" w:rsidRPr="007B7381">
        <w:rPr>
          <w:rStyle w:val="FootnoteReference"/>
          <w:rFonts w:asciiTheme="majorBidi" w:hAnsiTheme="majorBidi" w:cstheme="majorBidi"/>
        </w:rPr>
        <w:footnoteReference w:id="21"/>
      </w:r>
      <w:r w:rsidR="0042295E" w:rsidRPr="007B7381">
        <w:t xml:space="preserve"> y el proyecto de investigación HEXA-X de la UE</w:t>
      </w:r>
      <w:r w:rsidR="0042295E" w:rsidRPr="007B7381">
        <w:rPr>
          <w:rStyle w:val="FootnoteReference"/>
          <w:rFonts w:asciiTheme="majorBidi" w:hAnsiTheme="majorBidi" w:cstheme="majorBidi"/>
        </w:rPr>
        <w:footnoteReference w:id="22"/>
      </w:r>
      <w:r w:rsidR="0042295E" w:rsidRPr="007B7381">
        <w:t xml:space="preserve">). Las principales </w:t>
      </w:r>
      <w:r>
        <w:t>vías de evolución</w:t>
      </w:r>
      <w:r w:rsidR="0042295E" w:rsidRPr="007B7381">
        <w:t xml:space="preserve"> previstas a medio plazo son las siguientes:</w:t>
      </w:r>
    </w:p>
    <w:p w14:paraId="210B900A" w14:textId="598AE4E2" w:rsidR="0042295E" w:rsidRPr="007B7381" w:rsidRDefault="000F2DFA" w:rsidP="0042295E">
      <w:pPr>
        <w:pStyle w:val="enumlev1"/>
      </w:pPr>
      <w:r>
        <w:t>–</w:t>
      </w:r>
      <w:r w:rsidR="0042295E" w:rsidRPr="007B7381">
        <w:tab/>
      </w:r>
      <w:r>
        <w:t>l</w:t>
      </w:r>
      <w:r w:rsidR="0042295E" w:rsidRPr="007B7381">
        <w:t>as capacidades en desarrollo de</w:t>
      </w:r>
      <w:r w:rsidR="000A6C38">
        <w:t xml:space="preserve"> la tecnología</w:t>
      </w:r>
      <w:r w:rsidR="0042295E" w:rsidRPr="007B7381">
        <w:t xml:space="preserve"> 6G;</w:t>
      </w:r>
    </w:p>
    <w:p w14:paraId="53A1A5F3" w14:textId="142F99BD" w:rsidR="0042295E" w:rsidRPr="007B7381" w:rsidRDefault="000F2DFA" w:rsidP="0042295E">
      <w:pPr>
        <w:pStyle w:val="enumlev1"/>
      </w:pPr>
      <w:r>
        <w:t>–</w:t>
      </w:r>
      <w:r w:rsidR="0042295E" w:rsidRPr="007B7381">
        <w:tab/>
      </w:r>
      <w:r>
        <w:t>l</w:t>
      </w:r>
      <w:r w:rsidR="0042295E" w:rsidRPr="007B7381">
        <w:t>a</w:t>
      </w:r>
      <w:r w:rsidR="00C61F09">
        <w:t xml:space="preserve"> demanda cada vez mayor </w:t>
      </w:r>
      <w:r w:rsidR="0042295E" w:rsidRPr="007B7381">
        <w:t xml:space="preserve">de </w:t>
      </w:r>
      <w:r w:rsidR="00C61F09">
        <w:t>una utilización localizada</w:t>
      </w:r>
      <w:r w:rsidR="0042295E" w:rsidRPr="007B7381">
        <w:t xml:space="preserve"> del espectro, tanto para aplicaciones de tipo PMSE como para redes privadas (</w:t>
      </w:r>
      <w:r w:rsidR="00C61F09">
        <w:t xml:space="preserve">por </w:t>
      </w:r>
      <w:r w:rsidR="0042295E" w:rsidRPr="007B7381">
        <w:t>industrias</w:t>
      </w:r>
      <w:r w:rsidR="00C61F09">
        <w:t xml:space="preserve"> u</w:t>
      </w:r>
      <w:r w:rsidR="0042295E" w:rsidRPr="007B7381">
        <w:t xml:space="preserve"> </w:t>
      </w:r>
      <w:r w:rsidR="00C61F09">
        <w:t>organismos</w:t>
      </w:r>
      <w:r w:rsidR="0042295E" w:rsidRPr="007B7381">
        <w:t xml:space="preserve"> locales, </w:t>
      </w:r>
      <w:r w:rsidR="00C61F09">
        <w:t>como usos</w:t>
      </w:r>
      <w:r w:rsidR="0042295E" w:rsidRPr="007B7381">
        <w:t xml:space="preserve"> «verticales»);</w:t>
      </w:r>
    </w:p>
    <w:p w14:paraId="7B683EB4" w14:textId="18A0FFDD" w:rsidR="0042295E" w:rsidRPr="007B7381" w:rsidRDefault="000F2DFA" w:rsidP="0042295E">
      <w:pPr>
        <w:pStyle w:val="enumlev1"/>
      </w:pPr>
      <w:r>
        <w:t>–</w:t>
      </w:r>
      <w:r w:rsidR="0042295E" w:rsidRPr="007B7381">
        <w:tab/>
      </w:r>
      <w:r>
        <w:t>l</w:t>
      </w:r>
      <w:r w:rsidR="0042295E" w:rsidRPr="007B7381">
        <w:t>a necesidad de mejorar la conectividad de los hogares</w:t>
      </w:r>
      <w:r w:rsidR="00C61F09">
        <w:t xml:space="preserve"> y en los mismos</w:t>
      </w:r>
      <w:r w:rsidR="0042295E" w:rsidRPr="007B7381">
        <w:t xml:space="preserve"> (a través de </w:t>
      </w:r>
      <w:r w:rsidR="00C61F09">
        <w:t xml:space="preserve">redes </w:t>
      </w:r>
      <w:r w:rsidR="0042295E" w:rsidRPr="007B7381">
        <w:t>Wi</w:t>
      </w:r>
      <w:r>
        <w:noBreakHyphen/>
      </w:r>
      <w:r w:rsidR="0042295E" w:rsidRPr="007B7381">
        <w:t xml:space="preserve">Fi y la expansión del acceso inalámbrico fijo), </w:t>
      </w:r>
      <w:r w:rsidR="00C61F09">
        <w:t xml:space="preserve">de </w:t>
      </w:r>
      <w:r w:rsidR="0042295E" w:rsidRPr="007B7381">
        <w:t xml:space="preserve">las «zonas sin </w:t>
      </w:r>
      <w:r w:rsidR="00C61F09">
        <w:t>servicio</w:t>
      </w:r>
      <w:r w:rsidR="0042295E" w:rsidRPr="007B7381">
        <w:t xml:space="preserve">» (que se </w:t>
      </w:r>
      <w:r w:rsidR="00C61F09">
        <w:t>cubren</w:t>
      </w:r>
      <w:r w:rsidR="0042295E" w:rsidRPr="007B7381">
        <w:t xml:space="preserve"> cada vez más mediante constelaciones de satélites, en particular </w:t>
      </w:r>
      <w:r w:rsidR="00C61F09">
        <w:t xml:space="preserve">satélites </w:t>
      </w:r>
      <w:r w:rsidR="0042295E" w:rsidRPr="007B7381">
        <w:t>no geoestacionarios, NGSO</w:t>
      </w:r>
      <w:r w:rsidR="00C61F09">
        <w:t xml:space="preserve">, y satélites de </w:t>
      </w:r>
      <w:r w:rsidR="0042295E" w:rsidRPr="007B7381">
        <w:t xml:space="preserve">órbita terrestre baja, LEO) y </w:t>
      </w:r>
      <w:r w:rsidR="00C61F09">
        <w:t>de</w:t>
      </w:r>
      <w:r w:rsidR="0042295E" w:rsidRPr="007B7381">
        <w:t xml:space="preserve"> objetos (Internet de las cosas, IoT)</w:t>
      </w:r>
      <w:r>
        <w:t>;</w:t>
      </w:r>
    </w:p>
    <w:p w14:paraId="693A8104" w14:textId="5BDE7F3F" w:rsidR="0042295E" w:rsidRPr="007B7381" w:rsidRDefault="000F2DFA" w:rsidP="0042295E">
      <w:pPr>
        <w:pStyle w:val="enumlev1"/>
      </w:pPr>
      <w:r>
        <w:t>–</w:t>
      </w:r>
      <w:r w:rsidR="0042295E" w:rsidRPr="007B7381">
        <w:tab/>
      </w:r>
      <w:r>
        <w:t>l</w:t>
      </w:r>
      <w:r w:rsidR="0042295E" w:rsidRPr="007B7381">
        <w:t>a integración de múltiples topologías de red para mejorar la cobertura y el servicio (redes</w:t>
      </w:r>
      <w:r>
        <w:t> </w:t>
      </w:r>
      <w:r w:rsidR="0042295E" w:rsidRPr="007B7381">
        <w:t>3D)</w:t>
      </w:r>
      <w:r>
        <w:t>;</w:t>
      </w:r>
    </w:p>
    <w:p w14:paraId="04745996" w14:textId="198DBDC4" w:rsidR="0042295E" w:rsidRPr="007B7381" w:rsidRDefault="000F2DFA" w:rsidP="0042295E">
      <w:pPr>
        <w:pStyle w:val="enumlev1"/>
      </w:pPr>
      <w:r>
        <w:t>–</w:t>
      </w:r>
      <w:r w:rsidR="0042295E" w:rsidRPr="007B7381">
        <w:tab/>
      </w:r>
      <w:r>
        <w:t>e</w:t>
      </w:r>
      <w:r w:rsidR="0042295E" w:rsidRPr="007B7381">
        <w:t xml:space="preserve">l desarrollo de </w:t>
      </w:r>
      <w:r w:rsidR="00C61F09">
        <w:t xml:space="preserve">las </w:t>
      </w:r>
      <w:r w:rsidR="0042295E" w:rsidRPr="007B7381">
        <w:t xml:space="preserve">redes como servicio (NaaS) y el acceso </w:t>
      </w:r>
      <w:r w:rsidR="00C61F09" w:rsidRPr="007B7381">
        <w:t xml:space="preserve">al espectro </w:t>
      </w:r>
      <w:r w:rsidR="00C61F09">
        <w:t>previa</w:t>
      </w:r>
      <w:r w:rsidR="0042295E" w:rsidRPr="007B7381">
        <w:t xml:space="preserve"> demanda</w:t>
      </w:r>
      <w:r>
        <w:t>;</w:t>
      </w:r>
    </w:p>
    <w:p w14:paraId="7E9D8EE1" w14:textId="5EA9F797" w:rsidR="0042295E" w:rsidRPr="007B7381" w:rsidRDefault="000F2DFA" w:rsidP="0042295E">
      <w:pPr>
        <w:pStyle w:val="enumlev1"/>
      </w:pPr>
      <w:r>
        <w:t>–</w:t>
      </w:r>
      <w:r w:rsidR="0042295E" w:rsidRPr="007B7381">
        <w:tab/>
      </w:r>
      <w:r>
        <w:t>l</w:t>
      </w:r>
      <w:r w:rsidR="0042295E" w:rsidRPr="007B7381">
        <w:t xml:space="preserve">a importancia </w:t>
      </w:r>
      <w:r w:rsidR="00C61F09">
        <w:t xml:space="preserve">cada vez mayor </w:t>
      </w:r>
      <w:r w:rsidR="0042295E" w:rsidRPr="007B7381">
        <w:t>de la sostenibilidad y la huella de carbono de las TIC</w:t>
      </w:r>
      <w:r w:rsidR="0042295E">
        <w:t>;</w:t>
      </w:r>
    </w:p>
    <w:p w14:paraId="7D7F4133" w14:textId="54C127AC" w:rsidR="0042295E" w:rsidRPr="007B7381" w:rsidRDefault="000F2DFA" w:rsidP="001F4BC3">
      <w:pPr>
        <w:pStyle w:val="enumlev1"/>
        <w:keepNext/>
        <w:keepLines/>
      </w:pPr>
      <w:r>
        <w:lastRenderedPageBreak/>
        <w:t>–</w:t>
      </w:r>
      <w:r>
        <w:tab/>
        <w:t>l</w:t>
      </w:r>
      <w:r w:rsidR="0042295E" w:rsidRPr="007B7381">
        <w:t>a importancia de la ciberseguridad, la fiabilidad y la resiliencia en las redes</w:t>
      </w:r>
      <w:r w:rsidR="00C61F09">
        <w:t>; y</w:t>
      </w:r>
    </w:p>
    <w:p w14:paraId="15F53E49" w14:textId="50991B44" w:rsidR="0042295E" w:rsidRPr="007B7381" w:rsidRDefault="000F2DFA" w:rsidP="0042295E">
      <w:pPr>
        <w:pStyle w:val="enumlev1"/>
      </w:pPr>
      <w:r>
        <w:t>–</w:t>
      </w:r>
      <w:r w:rsidR="0042295E" w:rsidRPr="007B7381">
        <w:tab/>
      </w:r>
      <w:r>
        <w:t>e</w:t>
      </w:r>
      <w:r w:rsidR="0042295E" w:rsidRPr="007B7381">
        <w:t>l papel cada vez más importante que podría</w:t>
      </w:r>
      <w:r w:rsidR="00C61F09">
        <w:t>n</w:t>
      </w:r>
      <w:r w:rsidR="0042295E" w:rsidRPr="007B7381">
        <w:t xml:space="preserve"> desempeñar la</w:t>
      </w:r>
      <w:r w:rsidR="00C61F09">
        <w:t>s radiocomunicaciones</w:t>
      </w:r>
      <w:r w:rsidR="0042295E" w:rsidRPr="007B7381">
        <w:t xml:space="preserve"> cognitiva</w:t>
      </w:r>
      <w:r w:rsidR="00C61F09">
        <w:t>s</w:t>
      </w:r>
      <w:r w:rsidR="0042295E" w:rsidRPr="007B7381">
        <w:t xml:space="preserve"> en el acceso al espectro y </w:t>
      </w:r>
      <w:r w:rsidR="00C61F09">
        <w:t>la</w:t>
      </w:r>
      <w:r w:rsidR="0042295E" w:rsidRPr="007B7381">
        <w:t xml:space="preserve"> </w:t>
      </w:r>
      <w:r w:rsidR="00C61F09">
        <w:t>comprobación técnica del mismo</w:t>
      </w:r>
      <w:r w:rsidR="0042295E" w:rsidRPr="007B7381">
        <w:t>.</w:t>
      </w:r>
    </w:p>
    <w:p w14:paraId="7C633AA0" w14:textId="33C42723" w:rsidR="0042295E" w:rsidRPr="007B7381" w:rsidRDefault="0042295E" w:rsidP="0042295E">
      <w:r w:rsidRPr="007B7381">
        <w:t xml:space="preserve">Muchos de los avances identificados tienen implicaciones para la gestión de redes y son de </w:t>
      </w:r>
      <w:r w:rsidR="00007390">
        <w:t xml:space="preserve">gran </w:t>
      </w:r>
      <w:r w:rsidRPr="007B7381">
        <w:t xml:space="preserve">interés principalmente para los operadores, </w:t>
      </w:r>
      <w:r w:rsidR="00007390">
        <w:t>si bien</w:t>
      </w:r>
      <w:r w:rsidRPr="007B7381">
        <w:t xml:space="preserve"> muchos son </w:t>
      </w:r>
      <w:r w:rsidR="00007390">
        <w:t>asimismo pertinentes a los efectos de</w:t>
      </w:r>
      <w:r w:rsidRPr="007B7381">
        <w:t xml:space="preserve"> gestión del espectro radioeléctrico, en particular </w:t>
      </w:r>
      <w:r w:rsidR="00007390">
        <w:t>en relación con los retos y las oportunidades de las radiocomunicaciones</w:t>
      </w:r>
      <w:r w:rsidRPr="007B7381">
        <w:t xml:space="preserve"> cognitivas.</w:t>
      </w:r>
    </w:p>
    <w:p w14:paraId="05CD109A" w14:textId="4F36CDC9" w:rsidR="0042295E" w:rsidRPr="007B7381" w:rsidRDefault="0042295E" w:rsidP="0042295E">
      <w:pPr>
        <w:pStyle w:val="Heading3"/>
      </w:pPr>
      <w:bookmarkStart w:id="369" w:name="_Toc121911822"/>
      <w:r w:rsidRPr="007B7381">
        <w:t>5.1.1</w:t>
      </w:r>
      <w:r w:rsidRPr="007B7381">
        <w:tab/>
        <w:t>Radio</w:t>
      </w:r>
      <w:r w:rsidR="00007390">
        <w:t>comunicaciones</w:t>
      </w:r>
      <w:r w:rsidRPr="007B7381">
        <w:t xml:space="preserve"> cognitivas</w:t>
      </w:r>
      <w:bookmarkEnd w:id="369"/>
    </w:p>
    <w:p w14:paraId="27029CD1" w14:textId="5C71175D" w:rsidR="0042295E" w:rsidRPr="007B7381" w:rsidRDefault="0042295E" w:rsidP="0042295E">
      <w:r w:rsidRPr="007B7381">
        <w:t xml:space="preserve">Las </w:t>
      </w:r>
      <w:r w:rsidR="00007390">
        <w:t>r</w:t>
      </w:r>
      <w:r w:rsidR="00007390" w:rsidRPr="00007390">
        <w:t xml:space="preserve">adiocomunicaciones </w:t>
      </w:r>
      <w:r w:rsidRPr="007B7381">
        <w:t xml:space="preserve">cognitivas </w:t>
      </w:r>
      <w:r w:rsidR="00007390">
        <w:t>permiten</w:t>
      </w:r>
      <w:r w:rsidRPr="007B7381">
        <w:t xml:space="preserve"> seleccionar dinámicamente la frecuencia</w:t>
      </w:r>
      <w:r w:rsidR="00007390">
        <w:t xml:space="preserve"> más adecuada</w:t>
      </w:r>
      <w:r w:rsidRPr="007B7381">
        <w:t xml:space="preserve"> disponible </w:t>
      </w:r>
      <w:r w:rsidR="00007390">
        <w:t>al detectar la que puede proporcionar</w:t>
      </w:r>
      <w:r w:rsidRPr="007B7381">
        <w:t xml:space="preserve"> el mejor rendimiento, al tiempo que garantizan la protección de los usuarios. El ritmo de desarrollo de </w:t>
      </w:r>
      <w:r w:rsidR="005C5101">
        <w:t xml:space="preserve">dichas radiocomunicaciones constituirá </w:t>
      </w:r>
      <w:r w:rsidRPr="007B7381">
        <w:t xml:space="preserve">un factor importante </w:t>
      </w:r>
      <w:r w:rsidR="005C5101">
        <w:t>respecto de</w:t>
      </w:r>
      <w:r w:rsidRPr="007B7381">
        <w:t xml:space="preserve"> la evolución del uso y la gestión del espectro radioeléctrico. El </w:t>
      </w:r>
      <w:r w:rsidR="005C5101">
        <w:t>empleo</w:t>
      </w:r>
      <w:r w:rsidRPr="007B7381">
        <w:t xml:space="preserve"> de </w:t>
      </w:r>
      <w:r w:rsidR="005C5101">
        <w:t>radiocomunicaciones</w:t>
      </w:r>
      <w:r w:rsidRPr="007B7381">
        <w:t xml:space="preserve"> cognitivas </w:t>
      </w:r>
      <w:r w:rsidR="005C5101">
        <w:t xml:space="preserve">puede propiciar sistemas </w:t>
      </w:r>
      <w:r w:rsidRPr="007B7381">
        <w:t>de gestión descentralizado</w:t>
      </w:r>
      <w:r w:rsidR="005C5101">
        <w:t>s</w:t>
      </w:r>
      <w:r w:rsidRPr="007B7381">
        <w:t xml:space="preserve"> si los dispositivos son capaces de realizar ellos mismos las tareas de detección y decisión, y </w:t>
      </w:r>
      <w:r w:rsidR="005C5101">
        <w:t>puede facilitar</w:t>
      </w:r>
      <w:r w:rsidRPr="007B7381">
        <w:t xml:space="preserve"> un acceso </w:t>
      </w:r>
      <w:r w:rsidR="005C5101">
        <w:t>ocasional</w:t>
      </w:r>
      <w:r w:rsidRPr="007B7381">
        <w:t xml:space="preserve"> al espectro para los usuarios. </w:t>
      </w:r>
      <w:r w:rsidR="005C5101">
        <w:t>Cabe esperar</w:t>
      </w:r>
      <w:r w:rsidRPr="007B7381">
        <w:t xml:space="preserve"> que los propios dispositivos sean más complejos y caros que las radi</w:t>
      </w:r>
      <w:r w:rsidR="005C5101">
        <w:t>ocomunicaciones</w:t>
      </w:r>
      <w:r w:rsidRPr="007B7381">
        <w:t xml:space="preserve"> no cognitivas, ya que </w:t>
      </w:r>
      <w:r w:rsidR="005C5101">
        <w:t>deben</w:t>
      </w:r>
      <w:r w:rsidRPr="007B7381">
        <w:t xml:space="preserve"> ser capaces de funcionar en múltiples bandas de frecuencia y, en última instancia, </w:t>
      </w:r>
      <w:r w:rsidR="005C5101">
        <w:t>ser compatibles con</w:t>
      </w:r>
      <w:r w:rsidRPr="007B7381">
        <w:t xml:space="preserve"> diferentes anch</w:t>
      </w:r>
      <w:r w:rsidR="005C5101">
        <w:t xml:space="preserve">uras </w:t>
      </w:r>
      <w:r w:rsidRPr="007B7381">
        <w:t xml:space="preserve">de banda y </w:t>
      </w:r>
      <w:r w:rsidR="005C5101">
        <w:t>métodos</w:t>
      </w:r>
      <w:r w:rsidRPr="007B7381">
        <w:t xml:space="preserve"> de modulación.</w:t>
      </w:r>
      <w:r w:rsidR="005C5101">
        <w:t xml:space="preserve"> Por otro lado</w:t>
      </w:r>
      <w:r w:rsidRPr="007B7381">
        <w:t xml:space="preserve">, los dispositivos deberán ser capaces de detectar la ocupación del espectro, o al menos poder </w:t>
      </w:r>
      <w:r w:rsidR="005C5101">
        <w:t>recabar</w:t>
      </w:r>
      <w:r w:rsidRPr="007B7381">
        <w:t xml:space="preserve"> esta información </w:t>
      </w:r>
      <w:r w:rsidR="005C5101">
        <w:t>a través de</w:t>
      </w:r>
      <w:r w:rsidRPr="007B7381">
        <w:t xml:space="preserve"> fuentes alternativas, y ser lo suficientemente inteligentes como para analizar la información y determinar una configuración de transmisión adecuada. </w:t>
      </w:r>
      <w:r w:rsidR="005C5101">
        <w:t>En consecuencia</w:t>
      </w:r>
      <w:r w:rsidRPr="007B7381">
        <w:t xml:space="preserve">, es probable que el </w:t>
      </w:r>
      <w:r w:rsidR="005C5101">
        <w:t>empleo</w:t>
      </w:r>
      <w:r w:rsidRPr="007B7381">
        <w:t xml:space="preserve"> de </w:t>
      </w:r>
      <w:r w:rsidR="005C5101">
        <w:t>radiocomunicaciones</w:t>
      </w:r>
      <w:r w:rsidRPr="007B7381">
        <w:t xml:space="preserve"> cognitivas no sea adecuado para todos los servicios, al menos a corto plazo.</w:t>
      </w:r>
    </w:p>
    <w:p w14:paraId="2A46D299" w14:textId="3C928D85" w:rsidR="0042295E" w:rsidRPr="007B7381" w:rsidRDefault="0042295E" w:rsidP="0042295E">
      <w:r w:rsidRPr="007B7381">
        <w:t xml:space="preserve">Existen varios enfoques normativos que ofrecen resultados similares a los de las </w:t>
      </w:r>
      <w:r w:rsidR="005C5101">
        <w:t>radiocomunicaciones</w:t>
      </w:r>
      <w:r w:rsidRPr="007B7381">
        <w:t xml:space="preserve"> cognitivas, </w:t>
      </w:r>
      <w:r w:rsidR="005C5101">
        <w:t>en particular,</w:t>
      </w:r>
      <w:r w:rsidRPr="007B7381">
        <w:t xml:space="preserve"> TVWS (espacios </w:t>
      </w:r>
      <w:r w:rsidR="005C5101">
        <w:t xml:space="preserve">libres </w:t>
      </w:r>
      <w:r w:rsidRPr="007B7381">
        <w:t xml:space="preserve">de televisión), CBRS (servicio de </w:t>
      </w:r>
      <w:r w:rsidR="005C5101" w:rsidRPr="007B7381">
        <w:t>radio</w:t>
      </w:r>
      <w:r w:rsidR="005C5101">
        <w:t>comunicaciones</w:t>
      </w:r>
      <w:r w:rsidRPr="007B7381">
        <w:t xml:space="preserve"> de banda ancha para</w:t>
      </w:r>
      <w:r w:rsidR="005C5101">
        <w:t xml:space="preserve"> los</w:t>
      </w:r>
      <w:r w:rsidRPr="007B7381">
        <w:t xml:space="preserve"> ciudadanos) o AFC (coordinación automática de frecuencias).</w:t>
      </w:r>
    </w:p>
    <w:p w14:paraId="7A09F4CC" w14:textId="77777777" w:rsidR="0042295E" w:rsidRPr="007B7381" w:rsidRDefault="0042295E" w:rsidP="0042295E">
      <w:pPr>
        <w:pStyle w:val="Heading3"/>
      </w:pPr>
      <w:bookmarkStart w:id="370" w:name="_Toc121911823"/>
      <w:r w:rsidRPr="007B7381">
        <w:t>5.1.2</w:t>
      </w:r>
      <w:r w:rsidRPr="007B7381">
        <w:tab/>
        <w:t>Objetivos de sostenibilidad</w:t>
      </w:r>
      <w:bookmarkEnd w:id="370"/>
    </w:p>
    <w:p w14:paraId="6B011F4E" w14:textId="6AB91374" w:rsidR="0042295E" w:rsidRPr="007B7381" w:rsidRDefault="0042295E" w:rsidP="0042295E">
      <w:r w:rsidRPr="007B7381">
        <w:t>En 2017,</w:t>
      </w:r>
      <w:r w:rsidR="005C5101">
        <w:t xml:space="preserve"> </w:t>
      </w:r>
      <w:r w:rsidRPr="007B7381">
        <w:t xml:space="preserve">EAU </w:t>
      </w:r>
      <w:r w:rsidR="005C5101">
        <w:t>puso en marcha</w:t>
      </w:r>
      <w:r w:rsidRPr="007B7381">
        <w:t xml:space="preserve"> su «Estrategia </w:t>
      </w:r>
      <w:r w:rsidR="003007B1">
        <w:t>en</w:t>
      </w:r>
      <w:r w:rsidRPr="007B7381">
        <w:t xml:space="preserve">ergética </w:t>
      </w:r>
      <w:r w:rsidR="005C5101">
        <w:t xml:space="preserve">para </w:t>
      </w:r>
      <w:r w:rsidRPr="007B7381">
        <w:t>2050»</w:t>
      </w:r>
      <w:r w:rsidRPr="007B7381">
        <w:rPr>
          <w:rStyle w:val="FootnoteReference"/>
          <w:rFonts w:asciiTheme="majorBidi" w:hAnsiTheme="majorBidi" w:cstheme="majorBidi"/>
        </w:rPr>
        <w:footnoteReference w:id="23"/>
      </w:r>
      <w:r w:rsidRPr="007B7381">
        <w:t xml:space="preserve">, cuyo objetivo es aumentar </w:t>
      </w:r>
      <w:r w:rsidR="003007B1" w:rsidRPr="007B7381">
        <w:t xml:space="preserve">del 25% al 50% </w:t>
      </w:r>
      <w:r w:rsidRPr="007B7381">
        <w:t xml:space="preserve">la contribución de la energía limpia </w:t>
      </w:r>
      <w:r w:rsidR="003007B1">
        <w:t>al conjunto</w:t>
      </w:r>
      <w:r w:rsidRPr="007B7381">
        <w:t xml:space="preserve"> energétic</w:t>
      </w:r>
      <w:r w:rsidR="003007B1">
        <w:t>o</w:t>
      </w:r>
      <w:r w:rsidRPr="007B7381">
        <w:t xml:space="preserve"> total</w:t>
      </w:r>
      <w:r w:rsidR="003007B1">
        <w:t>,</w:t>
      </w:r>
      <w:r w:rsidRPr="007B7381">
        <w:t xml:space="preserve"> y reducir la huella de carbono de la generación de energía en un 70%, lo que supondría un ahorro de 700</w:t>
      </w:r>
      <w:r w:rsidR="0003771A">
        <w:t> </w:t>
      </w:r>
      <w:r w:rsidRPr="007B7381">
        <w:t>000</w:t>
      </w:r>
      <w:r w:rsidR="0003771A">
        <w:t> </w:t>
      </w:r>
      <w:r w:rsidRPr="007B7381">
        <w:t xml:space="preserve">millones de AED para 2050. También </w:t>
      </w:r>
      <w:r w:rsidR="003007B1">
        <w:t>tiene por objeto</w:t>
      </w:r>
      <w:r w:rsidRPr="007B7381">
        <w:t xml:space="preserve"> aumentar la eficiencia del consumo de particulares y empresas en un 40%.</w:t>
      </w:r>
    </w:p>
    <w:p w14:paraId="251AF470" w14:textId="241063C3" w:rsidR="0042295E" w:rsidRPr="007B7381" w:rsidRDefault="0042295E" w:rsidP="0042295E">
      <w:r w:rsidRPr="007B7381">
        <w:t xml:space="preserve">Para cumplir </w:t>
      </w:r>
      <w:r w:rsidR="003007B1">
        <w:t>el objetivo</w:t>
      </w:r>
      <w:r w:rsidRPr="007B7381">
        <w:t xml:space="preserve"> de EAU de aumentar en un 40% la eficiencia en el consumo </w:t>
      </w:r>
      <w:r w:rsidR="003007B1">
        <w:t>energético es necesario lograr</w:t>
      </w:r>
      <w:r w:rsidRPr="007B7381">
        <w:t xml:space="preserve"> avances en las tecnologías de red. Los requisitos para </w:t>
      </w:r>
      <w:r w:rsidR="003007B1">
        <w:t>la tecnología</w:t>
      </w:r>
      <w:r w:rsidRPr="007B7381">
        <w:t xml:space="preserve"> 6G aún se encuentran en fase de desarrollo, </w:t>
      </w:r>
      <w:r w:rsidR="003007B1">
        <w:t>si bien</w:t>
      </w:r>
      <w:r w:rsidRPr="007B7381">
        <w:t xml:space="preserve"> pueden suponer una oportunidad para cumplir mejor los objetivos de sostenibilidad. </w:t>
      </w:r>
      <w:r w:rsidRPr="007B7381">
        <w:rPr>
          <w:color w:val="212529"/>
        </w:rPr>
        <w:t xml:space="preserve">Por ejemplo, </w:t>
      </w:r>
      <w:r w:rsidRPr="007B7381">
        <w:t xml:space="preserve">la iniciativa europea Hexa-X ha establecido </w:t>
      </w:r>
      <w:r w:rsidR="003007B1">
        <w:t xml:space="preserve">varios </w:t>
      </w:r>
      <w:r w:rsidRPr="007B7381">
        <w:t xml:space="preserve">objetivos para </w:t>
      </w:r>
      <w:r w:rsidR="003007B1">
        <w:t>la tecnología</w:t>
      </w:r>
      <w:r w:rsidRPr="007B7381">
        <w:t xml:space="preserve"> 6G en términos de sostenibilidad</w:t>
      </w:r>
      <w:r w:rsidRPr="007B7381">
        <w:rPr>
          <w:rStyle w:val="FootnoteReference"/>
          <w:rFonts w:asciiTheme="majorBidi" w:hAnsiTheme="majorBidi" w:cstheme="majorBidi"/>
        </w:rPr>
        <w:footnoteReference w:id="24"/>
      </w:r>
      <w:r w:rsidRPr="007B7381">
        <w:t>:</w:t>
      </w:r>
    </w:p>
    <w:p w14:paraId="16204555" w14:textId="692BD325" w:rsidR="0042295E" w:rsidRPr="007B7381" w:rsidRDefault="0003771A" w:rsidP="0042295E">
      <w:pPr>
        <w:pStyle w:val="enumlev1"/>
      </w:pPr>
      <w:r>
        <w:t>–</w:t>
      </w:r>
      <w:r w:rsidR="0042295E" w:rsidRPr="007B7381">
        <w:tab/>
      </w:r>
      <w:r w:rsidR="003007B1">
        <w:t>Facilitar</w:t>
      </w:r>
      <w:r w:rsidR="0042295E" w:rsidRPr="007B7381">
        <w:t xml:space="preserve"> una reducción de las emisiones de carbono de más del 30% mediante el uso de </w:t>
      </w:r>
      <w:r w:rsidR="003007B1">
        <w:t xml:space="preserve">la tecnología </w:t>
      </w:r>
      <w:r w:rsidR="0042295E" w:rsidRPr="007B7381">
        <w:t>6G.</w:t>
      </w:r>
    </w:p>
    <w:p w14:paraId="6F107CC8" w14:textId="39081494" w:rsidR="0042295E" w:rsidRPr="007B7381" w:rsidRDefault="0003771A" w:rsidP="00483D39">
      <w:pPr>
        <w:pStyle w:val="enumlev1"/>
        <w:keepNext/>
        <w:keepLines/>
      </w:pPr>
      <w:r>
        <w:lastRenderedPageBreak/>
        <w:t>–</w:t>
      </w:r>
      <w:r w:rsidR="0042295E" w:rsidRPr="007B7381">
        <w:tab/>
        <w:t>Reducir en más de un 30% el coste total de propiedad (TCO), incluidas las tarifas energéticas.</w:t>
      </w:r>
    </w:p>
    <w:p w14:paraId="668FF99E" w14:textId="7B294D02" w:rsidR="0042295E" w:rsidRPr="007B7381" w:rsidRDefault="0003771A" w:rsidP="0042295E">
      <w:pPr>
        <w:pStyle w:val="enumlev1"/>
      </w:pPr>
      <w:r>
        <w:t>–</w:t>
      </w:r>
      <w:r w:rsidR="0042295E" w:rsidRPr="007B7381">
        <w:tab/>
        <w:t>Reducción de más del 90% en el consumo de energía por bit.</w:t>
      </w:r>
    </w:p>
    <w:p w14:paraId="3C681111" w14:textId="1B6B0B2F" w:rsidR="0042295E" w:rsidRPr="007B7381" w:rsidRDefault="0042295E" w:rsidP="0042295E">
      <w:pPr>
        <w:pStyle w:val="Heading3"/>
      </w:pPr>
      <w:bookmarkStart w:id="371" w:name="_Toc121911824"/>
      <w:r w:rsidRPr="007B7381">
        <w:t>5.1.3</w:t>
      </w:r>
      <w:r w:rsidRPr="007B7381">
        <w:tab/>
        <w:t xml:space="preserve">Expectativas de EAU respecto </w:t>
      </w:r>
      <w:r w:rsidR="003007B1">
        <w:t>de</w:t>
      </w:r>
      <w:r w:rsidRPr="007B7381">
        <w:t xml:space="preserve"> los procesos de gestión del espectro</w:t>
      </w:r>
      <w:bookmarkEnd w:id="371"/>
    </w:p>
    <w:p w14:paraId="7F639DE0" w14:textId="016DE459" w:rsidR="0042295E" w:rsidRPr="007B7381" w:rsidRDefault="0042295E" w:rsidP="0042295E">
      <w:r w:rsidRPr="007B7381">
        <w:t>En EAU</w:t>
      </w:r>
      <w:r w:rsidR="003007B1">
        <w:t xml:space="preserve">, </w:t>
      </w:r>
      <w:r w:rsidRPr="007B7381">
        <w:t xml:space="preserve">los servicios gubernamentales </w:t>
      </w:r>
      <w:r w:rsidR="003007B1">
        <w:t>en su conjunto deben estar</w:t>
      </w:r>
      <w:r w:rsidRPr="007B7381">
        <w:t xml:space="preserve"> disponibles para los ciudadanos de </w:t>
      </w:r>
      <w:r w:rsidR="003007B1">
        <w:t>forma</w:t>
      </w:r>
      <w:r w:rsidRPr="007B7381">
        <w:t xml:space="preserve"> sencilla y adecuada. </w:t>
      </w:r>
      <w:r w:rsidR="003007B1">
        <w:t>Ello conlleva</w:t>
      </w:r>
      <w:r w:rsidRPr="007B7381">
        <w:t xml:space="preserve"> que </w:t>
      </w:r>
      <w:r w:rsidR="003007B1">
        <w:t>estén</w:t>
      </w:r>
      <w:r w:rsidRPr="007B7381">
        <w:t xml:space="preserve"> disponibles en línea, con interfaces fáciles de usar y con una carga mínima para los usuarios. Una de las características del actual sistema de gestión del espectro de la TDRA es el número de clics necesarios para presentar una solicitud de espectro. Se ha llevado a cabo un</w:t>
      </w:r>
      <w:r w:rsidR="003007B1">
        <w:t>a</w:t>
      </w:r>
      <w:r w:rsidRPr="007B7381">
        <w:t xml:space="preserve"> importante </w:t>
      </w:r>
      <w:r w:rsidR="003007B1">
        <w:t>labor</w:t>
      </w:r>
      <w:r w:rsidRPr="007B7381">
        <w:t xml:space="preserve"> de desarrollo para minimizar el número de clics necesarios. Uno de los principales indicadores </w:t>
      </w:r>
      <w:r w:rsidR="003007B1">
        <w:t>fundamentales</w:t>
      </w:r>
      <w:r w:rsidRPr="007B7381">
        <w:t xml:space="preserve"> de rendimiento (</w:t>
      </w:r>
      <w:r w:rsidR="003007B1">
        <w:t>IFR</w:t>
      </w:r>
      <w:r w:rsidRPr="007B7381">
        <w:t xml:space="preserve">) de la TDRA es el tiempo de espera </w:t>
      </w:r>
      <w:r w:rsidR="003007B1">
        <w:t>de</w:t>
      </w:r>
      <w:r w:rsidRPr="007B7381">
        <w:t xml:space="preserve"> las autorizaciones de espectro. Algunos servicios están totalmente automatizados, </w:t>
      </w:r>
      <w:r w:rsidR="003007B1">
        <w:t>en particular</w:t>
      </w:r>
      <w:r w:rsidRPr="007B7381">
        <w:t xml:space="preserve"> las renovaciones de autorizaciones, </w:t>
      </w:r>
      <w:r w:rsidR="003007B1">
        <w:t>al tiempo</w:t>
      </w:r>
      <w:r w:rsidRPr="007B7381">
        <w:t xml:space="preserve"> que otros requieren la intervención del personal de la TDRA para tramitar la</w:t>
      </w:r>
      <w:r w:rsidR="003007B1">
        <w:t>s</w:t>
      </w:r>
      <w:r w:rsidRPr="007B7381">
        <w:t xml:space="preserve"> solicitud</w:t>
      </w:r>
      <w:r w:rsidR="003007B1">
        <w:t>es</w:t>
      </w:r>
      <w:r w:rsidRPr="007B7381">
        <w:t>.</w:t>
      </w:r>
    </w:p>
    <w:p w14:paraId="2BAC9F60" w14:textId="30B2AA1E" w:rsidR="0042295E" w:rsidRPr="007B7381" w:rsidRDefault="0042295E" w:rsidP="0042295E">
      <w:r w:rsidRPr="007B7381">
        <w:t xml:space="preserve">La necesidad de que el acceso al espectro sea lo más rápido posible </w:t>
      </w:r>
      <w:r w:rsidR="003007B1">
        <w:t>conlleva la necesidad de desplegar esfuerzos ininterrumpidos</w:t>
      </w:r>
      <w:r w:rsidRPr="007B7381">
        <w:t xml:space="preserve"> para minimizar </w:t>
      </w:r>
      <w:r w:rsidR="003007B1">
        <w:t>las demoras de</w:t>
      </w:r>
      <w:r w:rsidRPr="007B7381">
        <w:t xml:space="preserve"> autorización. </w:t>
      </w:r>
      <w:r w:rsidR="003007B1">
        <w:t>Por otro lado,</w:t>
      </w:r>
      <w:r w:rsidRPr="007B7381">
        <w:t xml:space="preserve"> los avances identificados en relación con la demanda ad hoc y flexible de espectro </w:t>
      </w:r>
      <w:r w:rsidR="003007B1">
        <w:t>ponen claramente de manifiesto</w:t>
      </w:r>
      <w:r w:rsidRPr="007B7381">
        <w:t xml:space="preserve"> que el enfoque de la TDRA en materia de gestión del espectro también debe tener en cuenta ese aspecto.</w:t>
      </w:r>
    </w:p>
    <w:p w14:paraId="186AE93D" w14:textId="1C0DD74D" w:rsidR="0042295E" w:rsidRPr="007B7381" w:rsidRDefault="0042295E" w:rsidP="0042295E">
      <w:pPr>
        <w:pStyle w:val="Heading3"/>
      </w:pPr>
      <w:bookmarkStart w:id="372" w:name="_Toc121911825"/>
      <w:r w:rsidRPr="007B7381">
        <w:t>5.1.4</w:t>
      </w:r>
      <w:r w:rsidRPr="007B7381">
        <w:tab/>
      </w:r>
      <w:bookmarkEnd w:id="372"/>
      <w:r w:rsidR="00D16204" w:rsidRPr="00D16204">
        <w:t>Resumen</w:t>
      </w:r>
    </w:p>
    <w:p w14:paraId="588287F3" w14:textId="3AD886B8" w:rsidR="0042295E" w:rsidRPr="007B7381" w:rsidRDefault="0042295E" w:rsidP="0042295E">
      <w:r w:rsidRPr="007B7381">
        <w:t xml:space="preserve">Se han identificado varias tendencias </w:t>
      </w:r>
      <w:r w:rsidR="003A3F48">
        <w:t>de</w:t>
      </w:r>
      <w:r w:rsidRPr="007B7381">
        <w:t xml:space="preserve"> desarrollo </w:t>
      </w:r>
      <w:r w:rsidR="003A3F48">
        <w:t>en el s</w:t>
      </w:r>
      <w:r w:rsidRPr="007B7381">
        <w:t xml:space="preserve">ector de las telecomunicaciones inalámbricas. La primera </w:t>
      </w:r>
      <w:r w:rsidR="003A3F48">
        <w:t>corresponde a</w:t>
      </w:r>
      <w:r w:rsidRPr="007B7381">
        <w:t xml:space="preserve"> los avances en la tecnología IMT (telecomunicaciones móviles internacionales): </w:t>
      </w:r>
      <w:r w:rsidR="003A3F48">
        <w:t>si bien la tecnología</w:t>
      </w:r>
      <w:r w:rsidRPr="007B7381">
        <w:t xml:space="preserve"> 5G se está implantando ampliamente en todo el mundo, </w:t>
      </w:r>
      <w:r w:rsidR="003A3F48">
        <w:t>la</w:t>
      </w:r>
      <w:r w:rsidR="0003771A">
        <w:t> </w:t>
      </w:r>
      <w:r w:rsidRPr="007B7381">
        <w:t xml:space="preserve">6G está en </w:t>
      </w:r>
      <w:r w:rsidR="003A3F48">
        <w:t>ciernes</w:t>
      </w:r>
      <w:r w:rsidRPr="007B7381">
        <w:t xml:space="preserve"> y </w:t>
      </w:r>
      <w:r w:rsidR="003A3F48">
        <w:t>con ella surgirán</w:t>
      </w:r>
      <w:r w:rsidRPr="007B7381">
        <w:t xml:space="preserve"> nuevos requisitos de espectro y topologías de red. Junto con los avances en IMT, </w:t>
      </w:r>
      <w:r w:rsidR="003A3F48">
        <w:t>aumenta</w:t>
      </w:r>
      <w:r w:rsidRPr="007B7381">
        <w:t xml:space="preserve"> la demanda de acceso al espectro localizado</w:t>
      </w:r>
      <w:r w:rsidR="003A3F48">
        <w:t xml:space="preserve"> para</w:t>
      </w:r>
      <w:r w:rsidRPr="007B7381">
        <w:t xml:space="preserve"> redes privadas o verticales, así como la demanda de equipos PMSE </w:t>
      </w:r>
      <w:r w:rsidR="003A3F48">
        <w:t>para</w:t>
      </w:r>
      <w:r w:rsidRPr="007B7381">
        <w:t xml:space="preserve"> eventos.</w:t>
      </w:r>
    </w:p>
    <w:p w14:paraId="22A6575C" w14:textId="6DD8AF94" w:rsidR="0042295E" w:rsidRPr="007B7381" w:rsidRDefault="0042295E" w:rsidP="0042295E">
      <w:r w:rsidRPr="007B7381">
        <w:t xml:space="preserve">Otro avance </w:t>
      </w:r>
      <w:r w:rsidR="003A3F48">
        <w:t>guarda relación con</w:t>
      </w:r>
      <w:r w:rsidRPr="007B7381">
        <w:t xml:space="preserve"> la necesidad de </w:t>
      </w:r>
      <w:r w:rsidR="003A3F48">
        <w:t>fomentar una</w:t>
      </w:r>
      <w:r w:rsidRPr="007B7381">
        <w:t xml:space="preserve"> conectividad ubicua. Se prevé que la conectividad </w:t>
      </w:r>
      <w:r w:rsidR="003A3F48">
        <w:t>de</w:t>
      </w:r>
      <w:r w:rsidRPr="007B7381">
        <w:t xml:space="preserve"> los usuarios finales se </w:t>
      </w:r>
      <w:r w:rsidR="003A3F48">
        <w:t>facilite</w:t>
      </w:r>
      <w:r w:rsidRPr="007B7381">
        <w:t xml:space="preserve"> cada vez más desde el espacio</w:t>
      </w:r>
      <w:r w:rsidR="003A3F48">
        <w:t>,</w:t>
      </w:r>
      <w:r w:rsidRPr="007B7381">
        <w:t xml:space="preserve"> mediante satélites LEO y MEO, en lugar de</w:t>
      </w:r>
      <w:r w:rsidR="003A3F48">
        <w:t xml:space="preserve"> a través de</w:t>
      </w:r>
      <w:r w:rsidRPr="007B7381">
        <w:t xml:space="preserve"> redes </w:t>
      </w:r>
      <w:r w:rsidR="003A3F48">
        <w:t>terrenales</w:t>
      </w:r>
      <w:r w:rsidRPr="007B7381">
        <w:t xml:space="preserve"> móviles o fijas más </w:t>
      </w:r>
      <w:r w:rsidR="003A3F48">
        <w:t>habituales</w:t>
      </w:r>
      <w:r w:rsidRPr="007B7381">
        <w:t xml:space="preserve">. </w:t>
      </w:r>
      <w:r w:rsidR="003A3F48">
        <w:t>Al</w:t>
      </w:r>
      <w:r w:rsidRPr="007B7381">
        <w:t xml:space="preserve"> exist</w:t>
      </w:r>
      <w:r w:rsidR="003A3F48">
        <w:t>ir</w:t>
      </w:r>
      <w:r w:rsidRPr="007B7381">
        <w:t xml:space="preserve"> conectividad terre</w:t>
      </w:r>
      <w:r w:rsidR="003A3F48">
        <w:t>nal,</w:t>
      </w:r>
      <w:r w:rsidRPr="007B7381">
        <w:t xml:space="preserve"> las medidas para </w:t>
      </w:r>
      <w:r w:rsidR="003A3F48">
        <w:t>facilitar</w:t>
      </w:r>
      <w:r w:rsidRPr="007B7381">
        <w:t xml:space="preserve"> </w:t>
      </w:r>
      <w:r w:rsidR="003A3F48">
        <w:t xml:space="preserve">el </w:t>
      </w:r>
      <w:r w:rsidR="00A30D32">
        <w:t>acceso inalámbrico</w:t>
      </w:r>
      <w:r w:rsidRPr="007B7381">
        <w:t xml:space="preserve"> </w:t>
      </w:r>
      <w:r w:rsidR="00A30D32">
        <w:t xml:space="preserve">fijo </w:t>
      </w:r>
      <w:r w:rsidRPr="007B7381">
        <w:t>y mejorar la conectividad Wi</w:t>
      </w:r>
      <w:r w:rsidR="0003771A">
        <w:noBreakHyphen/>
      </w:r>
      <w:r w:rsidRPr="007B7381">
        <w:t xml:space="preserve">Fi </w:t>
      </w:r>
      <w:r w:rsidR="003A3F48">
        <w:t>permiten</w:t>
      </w:r>
      <w:r w:rsidRPr="007B7381">
        <w:t xml:space="preserve"> mejorar la </w:t>
      </w:r>
      <w:r w:rsidR="003A3F48">
        <w:t>calidad percibida por</w:t>
      </w:r>
      <w:r w:rsidRPr="007B7381">
        <w:t xml:space="preserve"> los usuarios finales. </w:t>
      </w:r>
      <w:r w:rsidR="003A3F48">
        <w:t>Dicha</w:t>
      </w:r>
      <w:r w:rsidRPr="007B7381">
        <w:t xml:space="preserve"> conectividad también es cada vez más necesaria para los dispositivos y objetos que utilizan</w:t>
      </w:r>
      <w:r w:rsidR="003A3F48">
        <w:t xml:space="preserve"> </w:t>
      </w:r>
      <w:r w:rsidRPr="007B7381">
        <w:t>aplicaciones</w:t>
      </w:r>
      <w:r w:rsidR="003A3F48">
        <w:t xml:space="preserve">, en particular </w:t>
      </w:r>
      <w:r w:rsidRPr="007B7381">
        <w:t xml:space="preserve">el seguimiento de la ubicación. Esa conectividad puede </w:t>
      </w:r>
      <w:r w:rsidR="003A3F48">
        <w:t>proporcionarse mediante</w:t>
      </w:r>
      <w:r w:rsidRPr="007B7381">
        <w:t xml:space="preserve"> varias redes de IoT.</w:t>
      </w:r>
    </w:p>
    <w:p w14:paraId="62723558" w14:textId="4EFDA10C" w:rsidR="0042295E" w:rsidRPr="007B7381" w:rsidRDefault="0042295E" w:rsidP="0042295E">
      <w:r w:rsidRPr="007B7381">
        <w:t xml:space="preserve">También se </w:t>
      </w:r>
      <w:r w:rsidR="003A3F48">
        <w:t>prevén</w:t>
      </w:r>
      <w:r w:rsidRPr="007B7381">
        <w:t xml:space="preserve"> avances en las propias redes. Por ejemplo, </w:t>
      </w:r>
      <w:r w:rsidR="00E9253B">
        <w:t xml:space="preserve">cabe esperar </w:t>
      </w:r>
      <w:r w:rsidRPr="007B7381">
        <w:t xml:space="preserve">que las redes integradas ofrezcan una mejor conectividad mediante el </w:t>
      </w:r>
      <w:r w:rsidR="00D06AB7">
        <w:t>empleo</w:t>
      </w:r>
      <w:r w:rsidRPr="007B7381">
        <w:t xml:space="preserve"> de </w:t>
      </w:r>
      <w:r w:rsidR="00E52F0D">
        <w:t>varias</w:t>
      </w:r>
      <w:r w:rsidRPr="007B7381">
        <w:t xml:space="preserve"> capas, </w:t>
      </w:r>
      <w:r w:rsidR="00E52F0D">
        <w:t>en particular las habituales</w:t>
      </w:r>
      <w:r w:rsidRPr="007B7381">
        <w:t xml:space="preserve"> </w:t>
      </w:r>
      <w:r w:rsidR="00E52F0D">
        <w:t>macro</w:t>
      </w:r>
      <w:r w:rsidRPr="007B7381">
        <w:t xml:space="preserve">estaciones base, células </w:t>
      </w:r>
      <w:r w:rsidR="00E52F0D">
        <w:t>de pequeño tamaño</w:t>
      </w:r>
      <w:r w:rsidRPr="007B7381">
        <w:t xml:space="preserve">, HAPS y satélites. </w:t>
      </w:r>
      <w:r w:rsidR="00D06AB7">
        <w:t>Por otro lado</w:t>
      </w:r>
      <w:r w:rsidRPr="007B7381">
        <w:t xml:space="preserve">, se </w:t>
      </w:r>
      <w:r w:rsidR="00D06AB7">
        <w:t>prevé</w:t>
      </w:r>
      <w:r w:rsidRPr="007B7381">
        <w:t xml:space="preserve"> que los usuarios finales puedan adquirir redes como</w:t>
      </w:r>
      <w:r w:rsidR="00D06AB7">
        <w:t xml:space="preserve"> </w:t>
      </w:r>
      <w:r w:rsidRPr="007B7381">
        <w:t xml:space="preserve">servicio, </w:t>
      </w:r>
      <w:r w:rsidR="00D06AB7">
        <w:t>y acceder</w:t>
      </w:r>
      <w:r w:rsidRPr="007B7381">
        <w:t xml:space="preserve"> a la capacidad de la red </w:t>
      </w:r>
      <w:r w:rsidR="00D06AB7">
        <w:t>únicamente</w:t>
      </w:r>
      <w:r w:rsidRPr="007B7381">
        <w:t xml:space="preserve"> cuando sea necesario. </w:t>
      </w:r>
      <w:r w:rsidR="00D06AB7">
        <w:t xml:space="preserve">Además de esa </w:t>
      </w:r>
      <w:r w:rsidRPr="007B7381">
        <w:t xml:space="preserve">oferta de «conectividad y capacidad </w:t>
      </w:r>
      <w:r w:rsidR="00D06AB7">
        <w:t>en los casos en</w:t>
      </w:r>
      <w:r w:rsidRPr="007B7381">
        <w:t xml:space="preserve"> sea necesario», </w:t>
      </w:r>
      <w:r w:rsidR="00D06AB7">
        <w:t>cabe esperar</w:t>
      </w:r>
      <w:r w:rsidRPr="007B7381">
        <w:t xml:space="preserve"> que las radio</w:t>
      </w:r>
      <w:r w:rsidR="00D06AB7">
        <w:t>comunicaciones</w:t>
      </w:r>
      <w:r w:rsidRPr="007B7381">
        <w:t xml:space="preserve"> cognitivas se desarrollen aún más para </w:t>
      </w:r>
      <w:r w:rsidR="00D06AB7">
        <w:t>que pasen a ser</w:t>
      </w:r>
      <w:r w:rsidRPr="007B7381">
        <w:t xml:space="preserve"> una tecnología industrial viable, </w:t>
      </w:r>
      <w:r w:rsidR="00D06AB7">
        <w:t>y permitan</w:t>
      </w:r>
      <w:r w:rsidRPr="007B7381">
        <w:t xml:space="preserve"> que los propios dispositivos </w:t>
      </w:r>
      <w:r w:rsidR="00D06AB7">
        <w:t>escojan</w:t>
      </w:r>
      <w:r w:rsidRPr="007B7381">
        <w:t xml:space="preserve"> la banda de frecuencia</w:t>
      </w:r>
      <w:r w:rsidR="00D06AB7">
        <w:t>s</w:t>
      </w:r>
      <w:r w:rsidRPr="007B7381">
        <w:t xml:space="preserve"> y la tecnología más adecuadas para </w:t>
      </w:r>
      <w:r w:rsidR="00D06AB7">
        <w:t>establecer las</w:t>
      </w:r>
      <w:r w:rsidRPr="007B7381">
        <w:t xml:space="preserve"> comunicaciones.</w:t>
      </w:r>
    </w:p>
    <w:p w14:paraId="52755167" w14:textId="19FDCB74" w:rsidR="0042295E" w:rsidRPr="007B7381" w:rsidRDefault="0042295E" w:rsidP="0042295E">
      <w:r w:rsidRPr="007B7381">
        <w:t xml:space="preserve">Es necesario que las redes cumplan los objetivos de sostenibilidad, </w:t>
      </w:r>
      <w:r w:rsidR="00A30D32">
        <w:t>y garanticen</w:t>
      </w:r>
      <w:r w:rsidRPr="007B7381">
        <w:t xml:space="preserve"> una mayor eficiencia </w:t>
      </w:r>
      <w:r w:rsidR="00A30D32">
        <w:t>en cuanto a consumo. La tecnología</w:t>
      </w:r>
      <w:r w:rsidRPr="007B7381">
        <w:t xml:space="preserve"> 5G, aunque ofrece un menor consumo de vatios por bit, consume más energía que las </w:t>
      </w:r>
      <w:r w:rsidR="00A30D32">
        <w:t>anteriores generaciones de red</w:t>
      </w:r>
      <w:r w:rsidRPr="007B7381">
        <w:t xml:space="preserve">, </w:t>
      </w:r>
      <w:r w:rsidR="00A30D32">
        <w:t>de ahí que la tecnología</w:t>
      </w:r>
      <w:r w:rsidRPr="007B7381">
        <w:t xml:space="preserve"> 6G </w:t>
      </w:r>
      <w:r w:rsidR="00A30D32">
        <w:t>pueda</w:t>
      </w:r>
      <w:r w:rsidRPr="007B7381">
        <w:t xml:space="preserve"> </w:t>
      </w:r>
      <w:r w:rsidR="00A30D32">
        <w:t>precisar</w:t>
      </w:r>
      <w:r w:rsidRPr="007B7381">
        <w:t xml:space="preserve"> </w:t>
      </w:r>
      <w:r w:rsidR="00A30D32">
        <w:t>más</w:t>
      </w:r>
      <w:r w:rsidRPr="007B7381">
        <w:t xml:space="preserve"> mejoras en materia de eficiencia energética.</w:t>
      </w:r>
    </w:p>
    <w:p w14:paraId="79C0AD7D" w14:textId="59380C5B" w:rsidR="0042295E" w:rsidRPr="007B7381" w:rsidRDefault="0042295E" w:rsidP="0042295E">
      <w:r w:rsidRPr="007B7381">
        <w:t xml:space="preserve">Todos esos avances, así como las expectativas </w:t>
      </w:r>
      <w:r w:rsidR="00A30D32">
        <w:t xml:space="preserve">cada vez mayores </w:t>
      </w:r>
      <w:r w:rsidRPr="007B7381">
        <w:t xml:space="preserve">de los usuarios de poder acceder al espectro necesario de forma rápida y con una carga administrativa mínima, </w:t>
      </w:r>
      <w:r w:rsidR="00A30D32">
        <w:t>alientan</w:t>
      </w:r>
      <w:r w:rsidRPr="007B7381">
        <w:t xml:space="preserve"> a los </w:t>
      </w:r>
      <w:r w:rsidR="00A30D32">
        <w:t>organismos de reglamentación</w:t>
      </w:r>
      <w:r w:rsidRPr="007B7381">
        <w:t xml:space="preserve"> a garantizar que sus marcos y enfoques normativos sean adecuados para su </w:t>
      </w:r>
      <w:r w:rsidRPr="007B7381">
        <w:lastRenderedPageBreak/>
        <w:t xml:space="preserve">finalidad y </w:t>
      </w:r>
      <w:r w:rsidR="00A30D32">
        <w:t>permitan</w:t>
      </w:r>
      <w:r w:rsidRPr="007B7381">
        <w:t xml:space="preserve"> </w:t>
      </w:r>
      <w:r w:rsidR="00A30D32">
        <w:t xml:space="preserve">adaptarse a los </w:t>
      </w:r>
      <w:r w:rsidRPr="007B7381">
        <w:t>avances</w:t>
      </w:r>
      <w:r w:rsidR="00A30D32">
        <w:t xml:space="preserve"> más recientes</w:t>
      </w:r>
      <w:r w:rsidRPr="007B7381">
        <w:t xml:space="preserve">. La </w:t>
      </w:r>
      <w:r w:rsidR="00A30D32">
        <w:t>versatilidad</w:t>
      </w:r>
      <w:r w:rsidRPr="007B7381">
        <w:t xml:space="preserve">, tal y como se define en </w:t>
      </w:r>
      <w:r w:rsidR="00A30D32">
        <w:t>el presente estudio,</w:t>
      </w:r>
      <w:r w:rsidRPr="007B7381">
        <w:t xml:space="preserve"> </w:t>
      </w:r>
      <w:r w:rsidR="00A30D32">
        <w:t>facilitará esa labor a los organismos de reglamentación,</w:t>
      </w:r>
      <w:r w:rsidRPr="007B7381">
        <w:t xml:space="preserve"> ya que los sistemas estarán mejor preparados para </w:t>
      </w:r>
      <w:r w:rsidR="00A30D32">
        <w:t xml:space="preserve">satisfacer </w:t>
      </w:r>
      <w:r w:rsidRPr="007B7381">
        <w:t xml:space="preserve">requisitos </w:t>
      </w:r>
      <w:r w:rsidR="00A30D32">
        <w:t>más variados</w:t>
      </w:r>
      <w:r w:rsidRPr="007B7381">
        <w:t>.</w:t>
      </w:r>
    </w:p>
    <w:p w14:paraId="6FCC82C7" w14:textId="42451C0F" w:rsidR="0042295E" w:rsidRPr="007B7381" w:rsidRDefault="0042295E" w:rsidP="0042295E">
      <w:pPr>
        <w:pStyle w:val="Heading2"/>
      </w:pPr>
      <w:bookmarkStart w:id="373" w:name="_Toc121911826"/>
      <w:bookmarkStart w:id="374" w:name="_Toc136358665"/>
      <w:bookmarkStart w:id="375" w:name="_Toc184629747"/>
      <w:bookmarkStart w:id="376" w:name="_Toc184629963"/>
      <w:bookmarkStart w:id="377" w:name="_Toc216630183"/>
      <w:bookmarkStart w:id="378" w:name="_Toc216693471"/>
      <w:bookmarkStart w:id="379" w:name="_Toc217031179"/>
      <w:r w:rsidRPr="007B7381">
        <w:t>5.2</w:t>
      </w:r>
      <w:r w:rsidRPr="007B7381">
        <w:tab/>
        <w:t xml:space="preserve">Oportunidades </w:t>
      </w:r>
      <w:r w:rsidR="00A30D32">
        <w:t xml:space="preserve">en </w:t>
      </w:r>
      <w:r w:rsidR="00287B97">
        <w:t>materia de</w:t>
      </w:r>
      <w:r w:rsidRPr="007B7381">
        <w:t xml:space="preserve"> soluciones para la gestión del espectro y </w:t>
      </w:r>
      <w:r w:rsidR="00A30D32">
        <w:t>capacitación de los organismos de reglamentación</w:t>
      </w:r>
      <w:bookmarkEnd w:id="373"/>
      <w:bookmarkEnd w:id="374"/>
      <w:bookmarkEnd w:id="375"/>
      <w:bookmarkEnd w:id="376"/>
      <w:bookmarkEnd w:id="377"/>
      <w:bookmarkEnd w:id="378"/>
      <w:bookmarkEnd w:id="379"/>
    </w:p>
    <w:p w14:paraId="13C1FB91" w14:textId="73251DBD" w:rsidR="0042295E" w:rsidRPr="007B7381" w:rsidRDefault="0042295E" w:rsidP="0042295E">
      <w:r w:rsidRPr="007B7381">
        <w:t xml:space="preserve">A medida que evolucionan los requisitos de acceso al espectro, también lo hacen los enfoques y </w:t>
      </w:r>
      <w:r w:rsidR="007165A4">
        <w:t xml:space="preserve">las </w:t>
      </w:r>
      <w:r w:rsidRPr="007B7381">
        <w:t xml:space="preserve">soluciones que utilizan los </w:t>
      </w:r>
      <w:r w:rsidR="007165A4" w:rsidRPr="007165A4">
        <w:t xml:space="preserve">organismos de reglamentación </w:t>
      </w:r>
      <w:r w:rsidRPr="007B7381">
        <w:t xml:space="preserve">para </w:t>
      </w:r>
      <w:r w:rsidR="007165A4">
        <w:t xml:space="preserve">la gestión </w:t>
      </w:r>
      <w:proofErr w:type="gramStart"/>
      <w:r w:rsidR="007165A4">
        <w:t>del mismo</w:t>
      </w:r>
      <w:proofErr w:type="gramEnd"/>
      <w:r w:rsidRPr="007B7381">
        <w:t xml:space="preserve">. En esta sección se </w:t>
      </w:r>
      <w:r w:rsidR="007165A4">
        <w:t>abordan</w:t>
      </w:r>
      <w:r w:rsidRPr="007B7381">
        <w:t xml:space="preserve"> los avances identificados que </w:t>
      </w:r>
      <w:r w:rsidR="007165A4">
        <w:t>facilitan</w:t>
      </w:r>
      <w:r w:rsidRPr="007B7381">
        <w:t xml:space="preserve"> a </w:t>
      </w:r>
      <w:r w:rsidR="007165A4">
        <w:t>dichos</w:t>
      </w:r>
      <w:r w:rsidRPr="007B7381">
        <w:t xml:space="preserve"> </w:t>
      </w:r>
      <w:r w:rsidR="007165A4" w:rsidRPr="007165A4">
        <w:t xml:space="preserve">organismos de reglamentación </w:t>
      </w:r>
      <w:r w:rsidR="007165A4">
        <w:t>la gestión d</w:t>
      </w:r>
      <w:r w:rsidRPr="007B7381">
        <w:t xml:space="preserve">el espectro de forma más </w:t>
      </w:r>
      <w:r w:rsidR="007165A4">
        <w:t>versátil</w:t>
      </w:r>
      <w:r w:rsidRPr="007B7381">
        <w:t xml:space="preserve"> e innovadora.</w:t>
      </w:r>
    </w:p>
    <w:p w14:paraId="13DC931D" w14:textId="7C52814A" w:rsidR="0042295E" w:rsidRPr="007B7381" w:rsidRDefault="0042295E" w:rsidP="0042295E">
      <w:pPr>
        <w:pStyle w:val="Heading3"/>
      </w:pPr>
      <w:bookmarkStart w:id="380" w:name="_Toc121911827"/>
      <w:r w:rsidRPr="007B7381">
        <w:t>5.2.1</w:t>
      </w:r>
      <w:r w:rsidRPr="007B7381">
        <w:tab/>
        <w:t>Modelos alternativos de concesión de licencias y autorizaciones de espectro</w:t>
      </w:r>
      <w:r w:rsidRPr="00043BF5">
        <w:rPr>
          <w:rStyle w:val="FootnoteReference"/>
          <w:rFonts w:asciiTheme="majorBidi" w:hAnsiTheme="majorBidi" w:cstheme="majorBidi"/>
          <w:b w:val="0"/>
          <w:bCs/>
        </w:rPr>
        <w:footnoteReference w:id="25"/>
      </w:r>
      <w:bookmarkEnd w:id="380"/>
    </w:p>
    <w:p w14:paraId="1004842C" w14:textId="47EE1D50" w:rsidR="0042295E" w:rsidRPr="007B7381" w:rsidRDefault="0042295E" w:rsidP="0042295E">
      <w:r w:rsidRPr="007B7381">
        <w:t xml:space="preserve">Tradicionalmente, las autorizaciones de espectro se han </w:t>
      </w:r>
      <w:r w:rsidR="007165A4">
        <w:t>concedido con arreglo a los</w:t>
      </w:r>
      <w:r w:rsidRPr="007B7381">
        <w:t xml:space="preserve"> tres </w:t>
      </w:r>
      <w:r w:rsidR="007165A4">
        <w:t>factores siguientes</w:t>
      </w:r>
      <w:r w:rsidRPr="007B7381">
        <w:t>:</w:t>
      </w:r>
    </w:p>
    <w:p w14:paraId="184F4E26" w14:textId="55708466" w:rsidR="0042295E" w:rsidRPr="007B7381" w:rsidRDefault="0003771A" w:rsidP="0042295E">
      <w:pPr>
        <w:pStyle w:val="enumlev1"/>
      </w:pPr>
      <w:r>
        <w:t>–</w:t>
      </w:r>
      <w:r w:rsidR="0042295E" w:rsidRPr="007B7381">
        <w:tab/>
      </w:r>
      <w:r>
        <w:t>l</w:t>
      </w:r>
      <w:r w:rsidR="0042295E" w:rsidRPr="007B7381">
        <w:t xml:space="preserve">as licencias de espectro (como las que se utilizan a menudo para </w:t>
      </w:r>
      <w:r w:rsidR="007165A4">
        <w:t>conceder</w:t>
      </w:r>
      <w:r w:rsidR="0042295E" w:rsidRPr="007B7381">
        <w:t xml:space="preserve"> licencias de telefonía móvil); </w:t>
      </w:r>
    </w:p>
    <w:p w14:paraId="3575CA31" w14:textId="17421697" w:rsidR="0042295E" w:rsidRPr="007B7381" w:rsidRDefault="0003771A" w:rsidP="0042295E">
      <w:pPr>
        <w:pStyle w:val="enumlev1"/>
      </w:pPr>
      <w:r>
        <w:t>–</w:t>
      </w:r>
      <w:r w:rsidR="0042295E" w:rsidRPr="007B7381">
        <w:tab/>
      </w:r>
      <w:r>
        <w:t>l</w:t>
      </w:r>
      <w:r w:rsidR="0042295E" w:rsidRPr="007B7381">
        <w:t xml:space="preserve">icencias de emplazamiento o </w:t>
      </w:r>
      <w:r w:rsidR="007165A4">
        <w:t>transmisión</w:t>
      </w:r>
      <w:r w:rsidR="0042295E" w:rsidRPr="007B7381">
        <w:t xml:space="preserve"> (</w:t>
      </w:r>
      <w:r w:rsidR="007165A4">
        <w:t xml:space="preserve">en virtud de las cuales se autoriza </w:t>
      </w:r>
      <w:r w:rsidR="0042295E" w:rsidRPr="007B7381">
        <w:t xml:space="preserve">una frecuencia específica </w:t>
      </w:r>
      <w:r w:rsidR="007165A4">
        <w:t>para</w:t>
      </w:r>
      <w:r w:rsidR="0042295E" w:rsidRPr="007B7381">
        <w:t xml:space="preserve"> una ubicación </w:t>
      </w:r>
      <w:r w:rsidR="007165A4">
        <w:t>concreta, habida cuenta de</w:t>
      </w:r>
      <w:r w:rsidR="0042295E" w:rsidRPr="007B7381">
        <w:t xml:space="preserve"> que </w:t>
      </w:r>
      <w:r w:rsidR="007165A4">
        <w:t>ello</w:t>
      </w:r>
      <w:r w:rsidR="0042295E" w:rsidRPr="007B7381">
        <w:t xml:space="preserve"> incluye el acceso compartido con licencia); o</w:t>
      </w:r>
    </w:p>
    <w:p w14:paraId="02DA9119" w14:textId="1ED6211A" w:rsidR="0042295E" w:rsidRPr="007B7381" w:rsidRDefault="0003771A" w:rsidP="0042295E">
      <w:pPr>
        <w:pStyle w:val="enumlev1"/>
      </w:pPr>
      <w:r>
        <w:t>–</w:t>
      </w:r>
      <w:r w:rsidR="0042295E" w:rsidRPr="007B7381">
        <w:tab/>
      </w:r>
      <w:r>
        <w:t>a</w:t>
      </w:r>
      <w:r w:rsidR="0042295E" w:rsidRPr="007B7381">
        <w:t xml:space="preserve">utorizaciones generales y exenciones de licencia (por las que no se requiere </w:t>
      </w:r>
      <w:r w:rsidR="007165A4">
        <w:t>ninguna</w:t>
      </w:r>
      <w:r w:rsidR="0042295E" w:rsidRPr="007B7381">
        <w:t xml:space="preserve"> licencia individual</w:t>
      </w:r>
      <w:r w:rsidR="007165A4">
        <w:t>,</w:t>
      </w:r>
      <w:r w:rsidR="0042295E" w:rsidRPr="007B7381">
        <w:t xml:space="preserve"> siempre que el equipo cumpla determinados criterios de </w:t>
      </w:r>
      <w:r w:rsidR="007165A4">
        <w:t>utilización</w:t>
      </w:r>
      <w:r w:rsidR="0042295E" w:rsidRPr="007B7381">
        <w:t xml:space="preserve">). </w:t>
      </w:r>
    </w:p>
    <w:p w14:paraId="3BA305E9" w14:textId="45DD421D" w:rsidR="00C42BA1" w:rsidRPr="007165A4" w:rsidRDefault="007165A4" w:rsidP="00C42BA1">
      <w:pPr>
        <w:spacing w:after="240"/>
        <w:rPr>
          <w:rFonts w:asciiTheme="majorBidi" w:hAnsiTheme="majorBidi" w:cstheme="majorBidi"/>
        </w:rPr>
      </w:pPr>
      <w:r>
        <w:rPr>
          <w:rFonts w:asciiTheme="majorBidi" w:hAnsiTheme="majorBidi" w:cstheme="majorBidi"/>
        </w:rPr>
        <w:t>No obstante</w:t>
      </w:r>
      <w:r w:rsidR="0042295E" w:rsidRPr="007B7381">
        <w:rPr>
          <w:rFonts w:asciiTheme="majorBidi" w:hAnsiTheme="majorBidi" w:cstheme="majorBidi"/>
        </w:rPr>
        <w:t xml:space="preserve">, cada vez se </w:t>
      </w:r>
      <w:r>
        <w:rPr>
          <w:rFonts w:asciiTheme="majorBidi" w:hAnsiTheme="majorBidi" w:cstheme="majorBidi"/>
        </w:rPr>
        <w:t>aplican más otros</w:t>
      </w:r>
      <w:r w:rsidR="0042295E" w:rsidRPr="007B7381">
        <w:rPr>
          <w:rFonts w:asciiTheme="majorBidi" w:hAnsiTheme="majorBidi" w:cstheme="majorBidi"/>
        </w:rPr>
        <w:t xml:space="preserve"> sistemas de concesión de licencias y autorizaciones menos convencionales.</w:t>
      </w:r>
    </w:p>
    <w:p w14:paraId="78268CA4" w14:textId="0AD60E9C" w:rsidR="00C42BA1" w:rsidRPr="007165A4" w:rsidRDefault="00C42BA1" w:rsidP="00C42BA1">
      <w:pPr>
        <w:pStyle w:val="FigureNo"/>
      </w:pPr>
      <w:r w:rsidRPr="007165A4">
        <w:lastRenderedPageBreak/>
        <w:t>Figur</w:t>
      </w:r>
      <w:r w:rsidR="003007B1" w:rsidRPr="007165A4">
        <w:t>A</w:t>
      </w:r>
      <w:r w:rsidRPr="007165A4">
        <w:t xml:space="preserve"> 9</w:t>
      </w:r>
    </w:p>
    <w:p w14:paraId="79EE56FA" w14:textId="700DB435" w:rsidR="00C42BA1" w:rsidRPr="007165A4" w:rsidRDefault="007165A4" w:rsidP="00C42BA1">
      <w:pPr>
        <w:pStyle w:val="Figuretitle"/>
      </w:pPr>
      <w:r w:rsidRPr="007165A4">
        <w:t>Cinco niveles de modelos de compartición de espectro</w:t>
      </w:r>
      <w:r w:rsidR="00C42BA1" w:rsidRPr="007165A4">
        <w:t xml:space="preserve"> </w:t>
      </w:r>
      <w:r w:rsidR="00C42BA1" w:rsidRPr="007165A4">
        <w:br/>
        <w:t>(Pucker, 2020)</w:t>
      </w:r>
    </w:p>
    <w:p w14:paraId="478BA823" w14:textId="6E6CE935" w:rsidR="00C42BA1" w:rsidRPr="007B7381" w:rsidRDefault="00BE184C" w:rsidP="00C42BA1">
      <w:pPr>
        <w:pStyle w:val="Figure"/>
      </w:pPr>
      <w:r>
        <w:rPr>
          <w:noProof/>
        </w:rPr>
        <w:drawing>
          <wp:inline distT="0" distB="0" distL="0" distR="0" wp14:anchorId="633B9747" wp14:editId="7C85C0F5">
            <wp:extent cx="5443739" cy="3374143"/>
            <wp:effectExtent l="0" t="0" r="5080" b="0"/>
            <wp:docPr id="1861302861" name="Picture 1" descr="La FIGURA 9 muestra los Cinco niveles de modelos de compartición de espectro &#10;(Pucker,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02861" name="Picture 1" descr="La FIGURA 9 muestra los Cinco niveles de modelos de compartición de espectro &#10;(Pucker, 2020)&#10;"/>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43739" cy="3374143"/>
                    </a:xfrm>
                    <a:prstGeom prst="rect">
                      <a:avLst/>
                    </a:prstGeom>
                  </pic:spPr>
                </pic:pic>
              </a:graphicData>
            </a:graphic>
          </wp:inline>
        </w:drawing>
      </w:r>
    </w:p>
    <w:p w14:paraId="48260CC6" w14:textId="6A56D7A2" w:rsidR="007165A4" w:rsidRPr="007B7381" w:rsidRDefault="007165A4" w:rsidP="007165A4">
      <w:pPr>
        <w:pStyle w:val="Normalaftertitle"/>
      </w:pPr>
      <w:r w:rsidRPr="007B7381">
        <w:t xml:space="preserve">Uno de los primeros modelos alternativos es la concesión de licencias locales, en </w:t>
      </w:r>
      <w:r>
        <w:t>virtud de la cual el</w:t>
      </w:r>
      <w:r w:rsidRPr="007B7381">
        <w:t xml:space="preserve"> espectro </w:t>
      </w:r>
      <w:r w:rsidR="00DA2104">
        <w:t xml:space="preserve">se </w:t>
      </w:r>
      <w:r w:rsidRPr="007B7381">
        <w:t xml:space="preserve">sigue asignándose por bloques, es decir, se asignan frecuencias, </w:t>
      </w:r>
      <w:r w:rsidR="00DA2104">
        <w:t>si bien</w:t>
      </w:r>
      <w:r w:rsidRPr="007B7381">
        <w:t xml:space="preserve"> para una zona específica en lugar de para una región o </w:t>
      </w:r>
      <w:r w:rsidR="00DA2104">
        <w:t xml:space="preserve">un </w:t>
      </w:r>
      <w:r w:rsidRPr="007B7381">
        <w:t>país</w:t>
      </w:r>
      <w:r w:rsidR="00DA2104">
        <w:t xml:space="preserve"> en su conjunto</w:t>
      </w:r>
      <w:r w:rsidRPr="007B7381">
        <w:t xml:space="preserve">. En muchos países, este tipo de enfoque se </w:t>
      </w:r>
      <w:r w:rsidR="00DA2104">
        <w:t xml:space="preserve">aplica para la concesión de licencias </w:t>
      </w:r>
      <w:r w:rsidRPr="007B7381">
        <w:t xml:space="preserve">verticales. Por ejemplo, 10 de los 27 Estados miembros de la Unión Europea habían implementado sistemas de concesión de licencias locales (principalmente </w:t>
      </w:r>
      <w:r w:rsidR="00DA2104">
        <w:t>para</w:t>
      </w:r>
      <w:r w:rsidRPr="007B7381">
        <w:t xml:space="preserve"> 3,6</w:t>
      </w:r>
      <w:r w:rsidR="0003771A">
        <w:t> </w:t>
      </w:r>
      <w:r w:rsidRPr="007B7381">
        <w:t xml:space="preserve">GHz) en marzo de 2022. Estos sistemas de concesión de licencias locales suelen seguir siendo de </w:t>
      </w:r>
      <w:r w:rsidR="00DA2104">
        <w:t>carácter</w:t>
      </w:r>
      <w:r w:rsidRPr="007B7381">
        <w:t xml:space="preserve"> administrativ</w:t>
      </w:r>
      <w:r w:rsidR="00DA2104">
        <w:t>o, si bien</w:t>
      </w:r>
      <w:r w:rsidRPr="007B7381">
        <w:t xml:space="preserve"> facilitan una forma más flexible de autor</w:t>
      </w:r>
      <w:r w:rsidR="00DA2104">
        <w:t xml:space="preserve">izar la utilización de </w:t>
      </w:r>
      <w:r w:rsidRPr="007B7381">
        <w:t xml:space="preserve">espectro </w:t>
      </w:r>
      <w:r w:rsidR="00DA2104">
        <w:t>en</w:t>
      </w:r>
      <w:r w:rsidRPr="007B7381">
        <w:t xml:space="preserve"> determinados usos. </w:t>
      </w:r>
    </w:p>
    <w:p w14:paraId="76C4E703" w14:textId="65EF518A" w:rsidR="007165A4" w:rsidRPr="007B7381" w:rsidRDefault="007165A4" w:rsidP="007165A4">
      <w:r w:rsidRPr="007B7381">
        <w:t xml:space="preserve">Otro modelo alternativo es el de las licencias </w:t>
      </w:r>
      <w:r w:rsidR="00DA2104">
        <w:t>parciales</w:t>
      </w:r>
      <w:r w:rsidRPr="007B7381">
        <w:t xml:space="preserve">, en </w:t>
      </w:r>
      <w:r w:rsidR="00DA2104">
        <w:t>virtud de las cuales</w:t>
      </w:r>
      <w:r w:rsidRPr="007B7381">
        <w:t xml:space="preserve"> los usuarios de los equipos deben </w:t>
      </w:r>
      <w:r w:rsidR="00DA2104">
        <w:t>inscribirse</w:t>
      </w:r>
      <w:r w:rsidRPr="007B7381">
        <w:t xml:space="preserve"> ante el </w:t>
      </w:r>
      <w:r w:rsidR="00DA2104">
        <w:t>organismo de reglamentación pertinente</w:t>
      </w:r>
      <w:r w:rsidRPr="007B7381">
        <w:t xml:space="preserve"> para acceder al espectro, </w:t>
      </w:r>
      <w:r w:rsidR="00DA2104">
        <w:t>si bien</w:t>
      </w:r>
      <w:r w:rsidRPr="007B7381">
        <w:t xml:space="preserve"> no es necesario obtener una licencia </w:t>
      </w:r>
      <w:r w:rsidR="00DA2104">
        <w:t>específica</w:t>
      </w:r>
      <w:r w:rsidRPr="007B7381">
        <w:t>.</w:t>
      </w:r>
    </w:p>
    <w:p w14:paraId="7ADF4B2F" w14:textId="77777777" w:rsidR="007165A4" w:rsidRPr="007B7381" w:rsidRDefault="007165A4" w:rsidP="007165A4">
      <w:pPr>
        <w:pStyle w:val="Heading4"/>
      </w:pPr>
      <w:r w:rsidRPr="007B7381">
        <w:t>5.2.1.1</w:t>
      </w:r>
      <w:r w:rsidRPr="007B7381">
        <w:tab/>
        <w:t>Regímenes de compartición del espectro</w:t>
      </w:r>
    </w:p>
    <w:p w14:paraId="635435E5" w14:textId="29D884C4" w:rsidR="007165A4" w:rsidRPr="007B7381" w:rsidRDefault="00DA2104" w:rsidP="007165A4">
      <w:r>
        <w:t xml:space="preserve">La compartición de </w:t>
      </w:r>
      <w:r w:rsidR="007165A4" w:rsidRPr="007B7381">
        <w:t xml:space="preserve">espectro ocupa un lugar destacado en </w:t>
      </w:r>
      <w:r w:rsidR="00F713C1">
        <w:t>el programa</w:t>
      </w:r>
      <w:r w:rsidR="007165A4" w:rsidRPr="007B7381">
        <w:t xml:space="preserve"> de </w:t>
      </w:r>
      <w:r w:rsidR="00F713C1">
        <w:t>determinados</w:t>
      </w:r>
      <w:r w:rsidR="007165A4" w:rsidRPr="007B7381">
        <w:t xml:space="preserve"> responsables de la</w:t>
      </w:r>
      <w:r w:rsidR="00F713C1">
        <w:t xml:space="preserve"> formulación de políticas sobre</w:t>
      </w:r>
      <w:r w:rsidR="007165A4" w:rsidRPr="007B7381">
        <w:t xml:space="preserve"> espectro como una posible solución «</w:t>
      </w:r>
      <w:r w:rsidR="00F713C1">
        <w:t>versátil</w:t>
      </w:r>
      <w:r w:rsidR="007165A4" w:rsidRPr="007B7381">
        <w:t xml:space="preserve">» para </w:t>
      </w:r>
      <w:r w:rsidR="00F713C1">
        <w:t>abordar los casos de</w:t>
      </w:r>
      <w:r w:rsidR="007165A4" w:rsidRPr="007B7381">
        <w:t xml:space="preserve"> exceso de demanda de espectro. La demanda </w:t>
      </w:r>
      <w:r w:rsidR="00F713C1">
        <w:t xml:space="preserve">cada vez mayor </w:t>
      </w:r>
      <w:r w:rsidR="007165A4" w:rsidRPr="007B7381">
        <w:t xml:space="preserve">de espectro </w:t>
      </w:r>
      <w:r w:rsidR="00F713C1">
        <w:t>da lugar a elevados</w:t>
      </w:r>
      <w:r w:rsidR="007165A4" w:rsidRPr="007B7381">
        <w:t xml:space="preserve"> niveles de congestión en determinadas bandas y zonas del mundo. En algunos casos, </w:t>
      </w:r>
      <w:r w:rsidR="00F713C1">
        <w:t>la compartición</w:t>
      </w:r>
      <w:r w:rsidR="007165A4" w:rsidRPr="007B7381">
        <w:t xml:space="preserve"> entre usuarios puede contribuir a aumentar la eficiencia del espectro de las bandas </w:t>
      </w:r>
      <w:r w:rsidR="00F713C1">
        <w:t>de que se trate</w:t>
      </w:r>
      <w:r w:rsidR="007165A4" w:rsidRPr="007B7381">
        <w:t xml:space="preserve">. </w:t>
      </w:r>
      <w:r w:rsidR="00F713C1">
        <w:t>De forma análoga</w:t>
      </w:r>
      <w:r w:rsidR="007165A4" w:rsidRPr="007B7381">
        <w:t xml:space="preserve">, el acceso a bandas específicas, </w:t>
      </w:r>
      <w:r w:rsidR="00F713C1">
        <w:t>en particular</w:t>
      </w:r>
      <w:r w:rsidR="007165A4" w:rsidRPr="007B7381">
        <w:t xml:space="preserve">, las requeridas </w:t>
      </w:r>
      <w:r w:rsidR="00F713C1">
        <w:t>para</w:t>
      </w:r>
      <w:r w:rsidR="007165A4" w:rsidRPr="007B7381">
        <w:t xml:space="preserve"> las IMT (telecomunicaciones móviles internacionales), puede dar lugar a situaciones </w:t>
      </w:r>
      <w:r w:rsidR="00F713C1">
        <w:t>complejas</w:t>
      </w:r>
      <w:r w:rsidR="007165A4" w:rsidRPr="007B7381">
        <w:t xml:space="preserve"> para los operadores tradicionales que, en algunos casos, se resuelven mejor mediante </w:t>
      </w:r>
      <w:r w:rsidR="00F713C1">
        <w:t>fórmulas de compartición</w:t>
      </w:r>
      <w:r w:rsidR="007165A4" w:rsidRPr="007B7381">
        <w:t>.</w:t>
      </w:r>
    </w:p>
    <w:p w14:paraId="30A47AB8" w14:textId="2E81BC36" w:rsidR="007165A4" w:rsidRPr="007B7381" w:rsidRDefault="007165A4" w:rsidP="007165A4">
      <w:r w:rsidRPr="007B7381">
        <w:t xml:space="preserve">Las tecnologías de </w:t>
      </w:r>
      <w:r w:rsidR="00F713C1">
        <w:t>compartición</w:t>
      </w:r>
      <w:r w:rsidRPr="007B7381">
        <w:t xml:space="preserve"> ya están disponibles comercialmente en algunos países, con acceso dinámico al espectro (DSA) </w:t>
      </w:r>
      <w:r w:rsidR="00F713C1">
        <w:t xml:space="preserve">habilitado mediante </w:t>
      </w:r>
      <w:r w:rsidRPr="007B7381">
        <w:t xml:space="preserve">CBRS (Servicio de </w:t>
      </w:r>
      <w:r w:rsidR="00F713C1">
        <w:t>r</w:t>
      </w:r>
      <w:r w:rsidRPr="007B7381">
        <w:t>adio</w:t>
      </w:r>
      <w:r w:rsidR="00F713C1">
        <w:t>comunicaciones</w:t>
      </w:r>
      <w:r w:rsidRPr="007B7381">
        <w:t xml:space="preserve"> de </w:t>
      </w:r>
      <w:r w:rsidR="00F713C1">
        <w:t>b</w:t>
      </w:r>
      <w:r w:rsidRPr="007B7381">
        <w:t xml:space="preserve">anda </w:t>
      </w:r>
      <w:r w:rsidR="00F713C1">
        <w:t>a</w:t>
      </w:r>
      <w:r w:rsidRPr="007B7381">
        <w:t xml:space="preserve">ncha para </w:t>
      </w:r>
      <w:r w:rsidR="00F713C1">
        <w:t>los c</w:t>
      </w:r>
      <w:r w:rsidRPr="007B7381">
        <w:t xml:space="preserve">iudadanos, </w:t>
      </w:r>
      <w:r w:rsidR="00F713C1">
        <w:t>basado en compartición temporal</w:t>
      </w:r>
      <w:r w:rsidRPr="007B7381">
        <w:t xml:space="preserve">) y AFC (Coordinación </w:t>
      </w:r>
      <w:r w:rsidR="00F713C1">
        <w:t>a</w:t>
      </w:r>
      <w:r w:rsidRPr="007B7381">
        <w:t xml:space="preserve">utomática de </w:t>
      </w:r>
      <w:r w:rsidR="00F713C1">
        <w:t>f</w:t>
      </w:r>
      <w:r w:rsidRPr="007B7381">
        <w:t xml:space="preserve">recuencias, </w:t>
      </w:r>
      <w:r w:rsidR="00F713C1">
        <w:t>basada en compartición relativa a la</w:t>
      </w:r>
      <w:r w:rsidRPr="007B7381">
        <w:t xml:space="preserve"> ubicación). Sin embargo, la demanda de espectro</w:t>
      </w:r>
      <w:r w:rsidR="00F713C1">
        <w:t xml:space="preserve"> cada vez mayor pone de relieve</w:t>
      </w:r>
      <w:r w:rsidRPr="007B7381">
        <w:t xml:space="preserve"> que en el futuro podrían ser necesarias tecnologías y enfoques </w:t>
      </w:r>
      <w:r w:rsidR="00F713C1">
        <w:lastRenderedPageBreak/>
        <w:t>innovadores sobre compartición de red,</w:t>
      </w:r>
      <w:r w:rsidRPr="007B7381">
        <w:t xml:space="preserve"> en función del problema que se deba abordar y de las características físicas de las bandas de frecuencia. </w:t>
      </w:r>
    </w:p>
    <w:p w14:paraId="3104A73B" w14:textId="75FE346B" w:rsidR="007165A4" w:rsidRPr="0078752B" w:rsidRDefault="007165A4" w:rsidP="007165A4">
      <w:pPr>
        <w:rPr>
          <w:spacing w:val="-6"/>
        </w:rPr>
      </w:pPr>
      <w:r w:rsidRPr="0078752B">
        <w:rPr>
          <w:spacing w:val="-6"/>
        </w:rPr>
        <w:t xml:space="preserve">Los regímenes de </w:t>
      </w:r>
      <w:r w:rsidR="00F713C1" w:rsidRPr="0078752B">
        <w:rPr>
          <w:spacing w:val="-6"/>
        </w:rPr>
        <w:t>compartición, en particular el</w:t>
      </w:r>
      <w:r w:rsidRPr="0078752B">
        <w:rPr>
          <w:spacing w:val="-6"/>
        </w:rPr>
        <w:t xml:space="preserve"> CBRS, utilizan sensores para facilitar </w:t>
      </w:r>
      <w:r w:rsidR="00F713C1" w:rsidRPr="0078752B">
        <w:rPr>
          <w:spacing w:val="-6"/>
        </w:rPr>
        <w:t>la compartición</w:t>
      </w:r>
      <w:r w:rsidRPr="0078752B">
        <w:rPr>
          <w:spacing w:val="-6"/>
        </w:rPr>
        <w:t xml:space="preserve">, </w:t>
      </w:r>
      <w:r w:rsidR="00F713C1" w:rsidRPr="0078752B">
        <w:rPr>
          <w:spacing w:val="-6"/>
        </w:rPr>
        <w:t>si bien</w:t>
      </w:r>
      <w:r w:rsidRPr="0078752B">
        <w:rPr>
          <w:spacing w:val="-6"/>
        </w:rPr>
        <w:t xml:space="preserve"> cabe señalar que en Estados Unidos se </w:t>
      </w:r>
      <w:r w:rsidR="00F713C1" w:rsidRPr="0078752B">
        <w:rPr>
          <w:spacing w:val="-6"/>
        </w:rPr>
        <w:t xml:space="preserve">utilizan cada vez menos </w:t>
      </w:r>
      <w:r w:rsidRPr="0078752B">
        <w:rPr>
          <w:spacing w:val="-6"/>
        </w:rPr>
        <w:t xml:space="preserve">los sistemas basados en sensores y </w:t>
      </w:r>
      <w:r w:rsidR="00F713C1" w:rsidRPr="0078752B">
        <w:rPr>
          <w:spacing w:val="-6"/>
        </w:rPr>
        <w:t xml:space="preserve">se pasa a emplear </w:t>
      </w:r>
      <w:r w:rsidRPr="0078752B">
        <w:rPr>
          <w:spacing w:val="-6"/>
        </w:rPr>
        <w:t xml:space="preserve">en su lugar la «capacidad de información de </w:t>
      </w:r>
      <w:r w:rsidR="00F713C1" w:rsidRPr="0078752B">
        <w:rPr>
          <w:spacing w:val="-6"/>
        </w:rPr>
        <w:t>servicios establecidos</w:t>
      </w:r>
      <w:r w:rsidRPr="0078752B">
        <w:rPr>
          <w:spacing w:val="-6"/>
        </w:rPr>
        <w:t>»</w:t>
      </w:r>
      <w:r w:rsidRPr="0078752B">
        <w:rPr>
          <w:rStyle w:val="FootnoteReference"/>
          <w:spacing w:val="-6"/>
        </w:rPr>
        <w:footnoteReference w:id="26"/>
      </w:r>
      <w:r w:rsidRPr="0078752B">
        <w:rPr>
          <w:spacing w:val="-6"/>
        </w:rPr>
        <w:t xml:space="preserve"> </w:t>
      </w:r>
      <w:r w:rsidR="00F713C1" w:rsidRPr="0078752B">
        <w:rPr>
          <w:spacing w:val="-6"/>
        </w:rPr>
        <w:t>(</w:t>
      </w:r>
      <w:r w:rsidRPr="0078752B">
        <w:rPr>
          <w:spacing w:val="-6"/>
        </w:rPr>
        <w:t xml:space="preserve">IIC) para notificar a los usuarios de </w:t>
      </w:r>
      <w:r w:rsidR="00F713C1" w:rsidRPr="0078752B">
        <w:rPr>
          <w:spacing w:val="-6"/>
        </w:rPr>
        <w:t>servicios de nivel inferior</w:t>
      </w:r>
      <w:r w:rsidRPr="0078752B">
        <w:rPr>
          <w:spacing w:val="-6"/>
        </w:rPr>
        <w:t xml:space="preserve"> </w:t>
      </w:r>
      <w:r w:rsidR="00F713C1" w:rsidRPr="0078752B">
        <w:rPr>
          <w:spacing w:val="-6"/>
        </w:rPr>
        <w:t>en los casos en que se precise acceso al</w:t>
      </w:r>
      <w:r w:rsidRPr="0078752B">
        <w:rPr>
          <w:spacing w:val="-6"/>
        </w:rPr>
        <w:t xml:space="preserve"> espectro. Otros regímenes, </w:t>
      </w:r>
      <w:r w:rsidR="00F713C1" w:rsidRPr="0078752B">
        <w:rPr>
          <w:spacing w:val="-6"/>
        </w:rPr>
        <w:t>en particular</w:t>
      </w:r>
      <w:r w:rsidRPr="0078752B">
        <w:rPr>
          <w:spacing w:val="-6"/>
        </w:rPr>
        <w:t xml:space="preserve"> el AFC, utilizan bases de datos centralizadas para coordinar </w:t>
      </w:r>
      <w:r w:rsidR="00F713C1" w:rsidRPr="0078752B">
        <w:rPr>
          <w:spacing w:val="-6"/>
        </w:rPr>
        <w:t>su</w:t>
      </w:r>
      <w:r w:rsidRPr="0078752B">
        <w:rPr>
          <w:spacing w:val="-6"/>
        </w:rPr>
        <w:t xml:space="preserve"> uso. </w:t>
      </w:r>
      <w:r w:rsidR="00F713C1" w:rsidRPr="0078752B">
        <w:rPr>
          <w:spacing w:val="-6"/>
        </w:rPr>
        <w:t>Dichos</w:t>
      </w:r>
      <w:r w:rsidRPr="0078752B">
        <w:rPr>
          <w:spacing w:val="-6"/>
        </w:rPr>
        <w:t xml:space="preserve"> regímenes pueden ser específicos </w:t>
      </w:r>
      <w:r w:rsidR="00F713C1" w:rsidRPr="0078752B">
        <w:rPr>
          <w:spacing w:val="-6"/>
        </w:rPr>
        <w:t>para</w:t>
      </w:r>
      <w:r w:rsidRPr="0078752B">
        <w:rPr>
          <w:spacing w:val="-6"/>
        </w:rPr>
        <w:t xml:space="preserve"> determinados contextos, o considerarse elementos </w:t>
      </w:r>
      <w:r w:rsidR="00F713C1" w:rsidRPr="0078752B">
        <w:rPr>
          <w:spacing w:val="-6"/>
        </w:rPr>
        <w:t>fundamentales</w:t>
      </w:r>
      <w:r w:rsidRPr="0078752B">
        <w:rPr>
          <w:spacing w:val="-6"/>
        </w:rPr>
        <w:t xml:space="preserve"> que pueden </w:t>
      </w:r>
      <w:r w:rsidR="00F713C1" w:rsidRPr="0078752B">
        <w:rPr>
          <w:spacing w:val="-6"/>
        </w:rPr>
        <w:t>resultar</w:t>
      </w:r>
      <w:r w:rsidRPr="0078752B">
        <w:rPr>
          <w:spacing w:val="-6"/>
        </w:rPr>
        <w:t xml:space="preserve"> útiles para los regímenes de </w:t>
      </w:r>
      <w:r w:rsidR="00F713C1" w:rsidRPr="0078752B">
        <w:rPr>
          <w:spacing w:val="-6"/>
        </w:rPr>
        <w:t xml:space="preserve">compartición con respecto a </w:t>
      </w:r>
      <w:r w:rsidRPr="0078752B">
        <w:rPr>
          <w:spacing w:val="-6"/>
        </w:rPr>
        <w:t xml:space="preserve">otros contextos y bandas. Por ejemplo, se podría utilizar un enfoque de CBRS en el contexto de los PMSE </w:t>
      </w:r>
      <w:r w:rsidR="00F713C1" w:rsidRPr="0078752B">
        <w:rPr>
          <w:spacing w:val="-6"/>
        </w:rPr>
        <w:t>en los casos en que</w:t>
      </w:r>
      <w:r w:rsidRPr="0078752B">
        <w:rPr>
          <w:spacing w:val="-6"/>
        </w:rPr>
        <w:t xml:space="preserve"> sea necesario proteger a un usuario. Sin embargo, la aplicación de estos regímenes de </w:t>
      </w:r>
      <w:r w:rsidR="00F713C1" w:rsidRPr="0078752B">
        <w:rPr>
          <w:spacing w:val="-6"/>
        </w:rPr>
        <w:t>compartición</w:t>
      </w:r>
      <w:r w:rsidRPr="0078752B">
        <w:rPr>
          <w:spacing w:val="-6"/>
        </w:rPr>
        <w:t xml:space="preserve"> puede ser compleja y costosa, </w:t>
      </w:r>
      <w:r w:rsidR="00F713C1" w:rsidRPr="0078752B">
        <w:rPr>
          <w:spacing w:val="-6"/>
        </w:rPr>
        <w:t>de ahí que los organismos de reglamentación sean reacios</w:t>
      </w:r>
      <w:r w:rsidRPr="0078752B">
        <w:rPr>
          <w:spacing w:val="-6"/>
        </w:rPr>
        <w:t xml:space="preserve"> a comprometerse </w:t>
      </w:r>
      <w:r w:rsidR="00F713C1" w:rsidRPr="0078752B">
        <w:rPr>
          <w:spacing w:val="-6"/>
        </w:rPr>
        <w:t>al respecto</w:t>
      </w:r>
      <w:r w:rsidRPr="0078752B">
        <w:rPr>
          <w:spacing w:val="-6"/>
        </w:rPr>
        <w:t xml:space="preserve"> hasta que la demanda sea evidente.</w:t>
      </w:r>
    </w:p>
    <w:p w14:paraId="1A9059BA" w14:textId="671EE39A" w:rsidR="007165A4" w:rsidRPr="007B7381" w:rsidRDefault="00F713C1" w:rsidP="007165A4">
      <w:r>
        <w:t>La modificación de</w:t>
      </w:r>
      <w:r w:rsidR="007165A4" w:rsidRPr="007B7381">
        <w:t xml:space="preserve"> </w:t>
      </w:r>
      <w:r>
        <w:t>la utilización</w:t>
      </w:r>
      <w:r w:rsidR="007165A4" w:rsidRPr="007B7381">
        <w:t xml:space="preserve"> de una banda de frecuencias </w:t>
      </w:r>
      <w:r>
        <w:t>tiene lugar</w:t>
      </w:r>
      <w:r w:rsidR="007165A4" w:rsidRPr="007B7381">
        <w:t xml:space="preserve"> </w:t>
      </w:r>
      <w:r>
        <w:t xml:space="preserve">inicialmente </w:t>
      </w:r>
      <w:r w:rsidR="007165A4" w:rsidRPr="007B7381">
        <w:t xml:space="preserve">en la UIT, </w:t>
      </w:r>
      <w:r>
        <w:t>mediante</w:t>
      </w:r>
      <w:r w:rsidR="007165A4" w:rsidRPr="007B7381">
        <w:t xml:space="preserve"> nuevas asignaciones garantizadas por un servicio específico en el </w:t>
      </w:r>
      <w:r>
        <w:t xml:space="preserve">marco del </w:t>
      </w:r>
      <w:r w:rsidR="007165A4" w:rsidRPr="007B7381">
        <w:t xml:space="preserve">Reglamento de Radiocomunicaciones. </w:t>
      </w:r>
      <w:r>
        <w:t>Posteriormente</w:t>
      </w:r>
      <w:r w:rsidR="007165A4" w:rsidRPr="007B7381">
        <w:t>, e</w:t>
      </w:r>
      <w:r>
        <w:t>sa</w:t>
      </w:r>
      <w:r w:rsidR="007165A4" w:rsidRPr="007B7381">
        <w:t xml:space="preserve"> asignación se </w:t>
      </w:r>
      <w:r>
        <w:t>inscribe</w:t>
      </w:r>
      <w:r w:rsidR="007165A4" w:rsidRPr="007B7381">
        <w:t xml:space="preserve"> en </w:t>
      </w:r>
      <w:r>
        <w:t xml:space="preserve">los cuadros </w:t>
      </w:r>
      <w:r w:rsidR="007165A4" w:rsidRPr="007B7381">
        <w:t xml:space="preserve">nacionales de </w:t>
      </w:r>
      <w:r>
        <w:t>atribución</w:t>
      </w:r>
      <w:r w:rsidR="007165A4" w:rsidRPr="007B7381">
        <w:t xml:space="preserve"> de frecuencias (</w:t>
      </w:r>
      <w:r w:rsidRPr="00F713C1">
        <w:t>CNAF</w:t>
      </w:r>
      <w:r w:rsidR="007165A4" w:rsidRPr="007B7381">
        <w:t xml:space="preserve">), y el </w:t>
      </w:r>
      <w:r>
        <w:t>organismo de reglamentación</w:t>
      </w:r>
      <w:r w:rsidR="007165A4" w:rsidRPr="007B7381">
        <w:t xml:space="preserve"> determina el acceso a la banda. La elección del régimen de acceso a una banda depende de varios factores, por ejemplo, la presencia de usuarios, las necesidades de </w:t>
      </w:r>
      <w:proofErr w:type="gramStart"/>
      <w:r w:rsidR="007165A4" w:rsidRPr="007B7381">
        <w:t xml:space="preserve">los </w:t>
      </w:r>
      <w:r>
        <w:t>mismos</w:t>
      </w:r>
      <w:proofErr w:type="gramEnd"/>
      <w:r w:rsidR="007165A4" w:rsidRPr="007B7381">
        <w:t xml:space="preserve"> (tanto</w:t>
      </w:r>
      <w:r>
        <w:t xml:space="preserve"> de los</w:t>
      </w:r>
      <w:r w:rsidR="007165A4" w:rsidRPr="007B7381">
        <w:t xml:space="preserve"> existentes como </w:t>
      </w:r>
      <w:r>
        <w:t xml:space="preserve">de los </w:t>
      </w:r>
      <w:r w:rsidR="007165A4" w:rsidRPr="007B7381">
        <w:t xml:space="preserve">nuevos), las características de los dispositivos y la viabilidad comercial. </w:t>
      </w:r>
    </w:p>
    <w:p w14:paraId="2ECEFF80" w14:textId="2BC865CC" w:rsidR="007165A4" w:rsidRPr="007B7381" w:rsidRDefault="007165A4" w:rsidP="007165A4">
      <w:r w:rsidRPr="007B7381">
        <w:t>En el caso de algunas bandas, por ejemplo,</w:t>
      </w:r>
      <w:r w:rsidR="00F713C1">
        <w:t xml:space="preserve"> la relativa a</w:t>
      </w:r>
      <w:r w:rsidRPr="007B7381">
        <w:t xml:space="preserve"> los radares marítimos en la banda C en Estados Unidos, se consideró excesivo el coste de «reorganizar» (trasladar a diferentes frecuencias) a usuarios existentes (radares marítimos) e instalar los nuevos equipos necesarios. En su lugar, se determinó que el coste y la complejidad que suponía desarrollar </w:t>
      </w:r>
      <w:r w:rsidR="00F713C1">
        <w:t>un</w:t>
      </w:r>
      <w:r w:rsidRPr="007B7381">
        <w:t xml:space="preserve"> enfoque de compartición CBRS (</w:t>
      </w:r>
      <w:r w:rsidR="00F713C1">
        <w:t>sin</w:t>
      </w:r>
      <w:r w:rsidRPr="007B7381">
        <w:t xml:space="preserve"> migrar a los usuarios de radares marítimos) era viable, </w:t>
      </w:r>
      <w:r w:rsidR="00F713C1">
        <w:t xml:space="preserve">habida cuenta de los elevados </w:t>
      </w:r>
      <w:r w:rsidRPr="007B7381">
        <w:t xml:space="preserve">beneficios que aportaría el acceso al espectro </w:t>
      </w:r>
      <w:r w:rsidR="00F713C1">
        <w:t>en</w:t>
      </w:r>
      <w:r w:rsidRPr="007B7381">
        <w:t xml:space="preserve"> la banda C para</w:t>
      </w:r>
      <w:r w:rsidR="00F713C1">
        <w:t xml:space="preserve"> la tecnología</w:t>
      </w:r>
      <w:r w:rsidRPr="007B7381">
        <w:t xml:space="preserve"> 5G.</w:t>
      </w:r>
    </w:p>
    <w:p w14:paraId="31B3C911" w14:textId="5A625529" w:rsidR="00C42BA1" w:rsidRPr="007165A4" w:rsidRDefault="007165A4" w:rsidP="007165A4">
      <w:r w:rsidRPr="007B7381">
        <w:t xml:space="preserve">Un </w:t>
      </w:r>
      <w:r w:rsidR="00F713C1">
        <w:t>elemento</w:t>
      </w:r>
      <w:r w:rsidRPr="007B7381">
        <w:t xml:space="preserve"> importante para </w:t>
      </w:r>
      <w:r w:rsidR="00F713C1">
        <w:t>fomentar la versatilidad de</w:t>
      </w:r>
      <w:r w:rsidRPr="007B7381">
        <w:t xml:space="preserve"> espectro en EAU </w:t>
      </w:r>
      <w:r w:rsidR="00F713C1">
        <w:t>es</w:t>
      </w:r>
      <w:r w:rsidRPr="007B7381">
        <w:t xml:space="preserve"> la </w:t>
      </w:r>
      <w:r w:rsidR="00F713C1">
        <w:t xml:space="preserve">compartición </w:t>
      </w:r>
      <w:r w:rsidRPr="007B7381">
        <w:t xml:space="preserve">de espectro </w:t>
      </w:r>
      <w:r w:rsidR="00F713C1">
        <w:t xml:space="preserve">de forma </w:t>
      </w:r>
      <w:r w:rsidRPr="007B7381">
        <w:t xml:space="preserve">viable. </w:t>
      </w:r>
      <w:r w:rsidR="00F713C1">
        <w:t xml:space="preserve">En el </w:t>
      </w:r>
      <w:r w:rsidR="00CA7955">
        <w:t>C</w:t>
      </w:r>
      <w:r w:rsidR="00F713C1">
        <w:t>uadro</w:t>
      </w:r>
      <w:r>
        <w:t xml:space="preserve"> 5</w:t>
      </w:r>
      <w:r w:rsidR="00F713C1">
        <w:t xml:space="preserve"> se</w:t>
      </w:r>
      <w:r>
        <w:t xml:space="preserve"> </w:t>
      </w:r>
      <w:r w:rsidRPr="007B7381">
        <w:t xml:space="preserve">muestra un </w:t>
      </w:r>
      <w:r w:rsidR="00F713C1">
        <w:t>programa</w:t>
      </w:r>
      <w:r w:rsidRPr="007B7381">
        <w:t xml:space="preserve"> </w:t>
      </w:r>
      <w:r w:rsidR="00F713C1">
        <w:t>orientativo sobre</w:t>
      </w:r>
      <w:r w:rsidRPr="007B7381">
        <w:t xml:space="preserve"> los avances necesarios</w:t>
      </w:r>
      <w:r w:rsidR="00F713C1">
        <w:t xml:space="preserve"> a tal efecto</w:t>
      </w:r>
      <w:r w:rsidR="00C42BA1" w:rsidRPr="007165A4">
        <w:t>:</w:t>
      </w:r>
    </w:p>
    <w:p w14:paraId="593569F7" w14:textId="0E6329F5" w:rsidR="00C42BA1" w:rsidRPr="00F713C1" w:rsidRDefault="007165A4" w:rsidP="0078752B">
      <w:pPr>
        <w:pStyle w:val="TableNo"/>
        <w:spacing w:before="240"/>
      </w:pPr>
      <w:r w:rsidRPr="00F713C1">
        <w:t>CUADRO</w:t>
      </w:r>
      <w:r w:rsidR="00C42BA1" w:rsidRPr="00F713C1">
        <w:t xml:space="preserve"> 5</w:t>
      </w:r>
    </w:p>
    <w:p w14:paraId="712F0BEF" w14:textId="3A868828" w:rsidR="00C42BA1" w:rsidRPr="007B7381" w:rsidRDefault="00F713C1" w:rsidP="00C42BA1">
      <w:pPr>
        <w:pStyle w:val="Tabletitle"/>
      </w:pPr>
      <w:r>
        <w:t>Programa orientativo sobre compartición de e</w:t>
      </w:r>
      <w:r w:rsidRPr="007B7381">
        <w:t>spectro</w:t>
      </w:r>
    </w:p>
    <w:tbl>
      <w:tblPr>
        <w:tblStyle w:val="TableGrid"/>
        <w:tblW w:w="9639" w:type="dxa"/>
        <w:jc w:val="center"/>
        <w:tblLayout w:type="fixed"/>
        <w:tblLook w:val="0600" w:firstRow="0" w:lastRow="0" w:firstColumn="0" w:lastColumn="0" w:noHBand="1" w:noVBand="1"/>
      </w:tblPr>
      <w:tblGrid>
        <w:gridCol w:w="1696"/>
        <w:gridCol w:w="7943"/>
      </w:tblGrid>
      <w:tr w:rsidR="00C42BA1" w:rsidRPr="00043BF5" w14:paraId="58B661AB" w14:textId="77777777" w:rsidTr="0078752B">
        <w:trPr>
          <w:jc w:val="center"/>
        </w:trPr>
        <w:tc>
          <w:tcPr>
            <w:tcW w:w="1696" w:type="dxa"/>
          </w:tcPr>
          <w:p w14:paraId="34E9BC8C" w14:textId="2DB88049" w:rsidR="00C42BA1" w:rsidRPr="00043BF5" w:rsidRDefault="00F713C1" w:rsidP="003D49C3">
            <w:pPr>
              <w:pStyle w:val="Tablehead"/>
              <w:rPr>
                <w:rFonts w:ascii="Times New Roman" w:hAnsi="Times New Roman" w:cs="Times New Roman"/>
              </w:rPr>
            </w:pPr>
            <w:r>
              <w:rPr>
                <w:rFonts w:ascii="Times New Roman" w:hAnsi="Times New Roman" w:cs="Times New Roman"/>
              </w:rPr>
              <w:t>Per</w:t>
            </w:r>
            <w:r w:rsidR="0003771A">
              <w:rPr>
                <w:rFonts w:ascii="Times New Roman" w:hAnsi="Times New Roman" w:cs="Times New Roman"/>
              </w:rPr>
              <w:t>i</w:t>
            </w:r>
            <w:r>
              <w:rPr>
                <w:rFonts w:ascii="Times New Roman" w:hAnsi="Times New Roman" w:cs="Times New Roman"/>
              </w:rPr>
              <w:t>odo</w:t>
            </w:r>
          </w:p>
        </w:tc>
        <w:tc>
          <w:tcPr>
            <w:tcW w:w="7943" w:type="dxa"/>
          </w:tcPr>
          <w:p w14:paraId="05F30FEB" w14:textId="298817E1" w:rsidR="00C42BA1" w:rsidRPr="00043BF5" w:rsidRDefault="00F713C1" w:rsidP="003D49C3">
            <w:pPr>
              <w:pStyle w:val="Tablehead"/>
              <w:rPr>
                <w:rFonts w:ascii="Times New Roman" w:hAnsi="Times New Roman" w:cs="Times New Roman"/>
              </w:rPr>
            </w:pPr>
            <w:r>
              <w:rPr>
                <w:rFonts w:ascii="Times New Roman" w:hAnsi="Times New Roman" w:cs="Times New Roman"/>
              </w:rPr>
              <w:t>Avances</w:t>
            </w:r>
          </w:p>
        </w:tc>
      </w:tr>
      <w:tr w:rsidR="00F713C1" w:rsidRPr="00F713C1" w14:paraId="391D932E" w14:textId="77777777" w:rsidTr="0078752B">
        <w:trPr>
          <w:jc w:val="center"/>
        </w:trPr>
        <w:tc>
          <w:tcPr>
            <w:tcW w:w="1696" w:type="dxa"/>
          </w:tcPr>
          <w:p w14:paraId="67CDB8E8" w14:textId="77777777" w:rsidR="00F713C1" w:rsidRPr="00043BF5" w:rsidRDefault="00F713C1" w:rsidP="00F713C1">
            <w:pPr>
              <w:pStyle w:val="Tabletext"/>
              <w:rPr>
                <w:rFonts w:ascii="Times New Roman" w:hAnsi="Times New Roman" w:cs="Times New Roman"/>
              </w:rPr>
            </w:pPr>
            <w:r w:rsidRPr="00043BF5">
              <w:rPr>
                <w:rFonts w:ascii="Times New Roman" w:hAnsi="Times New Roman" w:cs="Times New Roman"/>
              </w:rPr>
              <w:t>2024-26</w:t>
            </w:r>
          </w:p>
        </w:tc>
        <w:tc>
          <w:tcPr>
            <w:tcW w:w="7943" w:type="dxa"/>
          </w:tcPr>
          <w:p w14:paraId="5A3B89AD" w14:textId="2974F13F" w:rsidR="00F713C1" w:rsidRPr="00F713C1" w:rsidRDefault="00F713C1" w:rsidP="00F713C1">
            <w:pPr>
              <w:pStyle w:val="Tabletext"/>
              <w:rPr>
                <w:rFonts w:ascii="Times New Roman" w:hAnsi="Times New Roman" w:cs="Times New Roman"/>
              </w:rPr>
            </w:pPr>
            <w:r>
              <w:rPr>
                <w:rFonts w:ascii="Times New Roman" w:hAnsi="Times New Roman" w:cs="Times New Roman"/>
              </w:rPr>
              <w:t>Aplicación de las políticas formuladas sobre la base de la</w:t>
            </w:r>
            <w:r w:rsidRPr="00043BF5">
              <w:rPr>
                <w:rFonts w:ascii="Times New Roman" w:hAnsi="Times New Roman" w:cs="Times New Roman"/>
              </w:rPr>
              <w:t xml:space="preserve"> IA </w:t>
            </w:r>
            <w:r>
              <w:rPr>
                <w:rFonts w:ascii="Times New Roman" w:hAnsi="Times New Roman" w:cs="Times New Roman"/>
              </w:rPr>
              <w:t>de forma conjunta con</w:t>
            </w:r>
            <w:r w:rsidRPr="00043BF5">
              <w:rPr>
                <w:rFonts w:ascii="Times New Roman" w:hAnsi="Times New Roman" w:cs="Times New Roman"/>
              </w:rPr>
              <w:t xml:space="preserve"> </w:t>
            </w:r>
            <w:r>
              <w:rPr>
                <w:rFonts w:ascii="Times New Roman" w:hAnsi="Times New Roman" w:cs="Times New Roman"/>
              </w:rPr>
              <w:t xml:space="preserve">la utilización de </w:t>
            </w:r>
            <w:r w:rsidRPr="00043BF5">
              <w:rPr>
                <w:rFonts w:ascii="Times New Roman" w:hAnsi="Times New Roman" w:cs="Times New Roman"/>
              </w:rPr>
              <w:t>sensores y radi</w:t>
            </w:r>
            <w:r>
              <w:rPr>
                <w:rFonts w:ascii="Times New Roman" w:hAnsi="Times New Roman" w:cs="Times New Roman"/>
              </w:rPr>
              <w:t>ocomunicaciones cognitivas</w:t>
            </w:r>
            <w:r w:rsidRPr="00043BF5">
              <w:rPr>
                <w:rFonts w:ascii="Times New Roman" w:hAnsi="Times New Roman" w:cs="Times New Roman"/>
              </w:rPr>
              <w:t xml:space="preserve"> para </w:t>
            </w:r>
            <w:r>
              <w:rPr>
                <w:rFonts w:ascii="Times New Roman" w:hAnsi="Times New Roman" w:cs="Times New Roman"/>
              </w:rPr>
              <w:t>fomentar la</w:t>
            </w:r>
            <w:r w:rsidRPr="00043BF5">
              <w:rPr>
                <w:rFonts w:ascii="Times New Roman" w:hAnsi="Times New Roman" w:cs="Times New Roman"/>
              </w:rPr>
              <w:t xml:space="preserve"> compartición, </w:t>
            </w:r>
            <w:r>
              <w:rPr>
                <w:rFonts w:ascii="Times New Roman" w:hAnsi="Times New Roman" w:cs="Times New Roman"/>
              </w:rPr>
              <w:t xml:space="preserve">el </w:t>
            </w:r>
            <w:r w:rsidRPr="00043BF5">
              <w:rPr>
                <w:rFonts w:ascii="Times New Roman" w:hAnsi="Times New Roman" w:cs="Times New Roman"/>
              </w:rPr>
              <w:t xml:space="preserve">acceso automatizado al espectro y </w:t>
            </w:r>
            <w:r>
              <w:rPr>
                <w:rFonts w:ascii="Times New Roman" w:hAnsi="Times New Roman" w:cs="Times New Roman"/>
              </w:rPr>
              <w:t xml:space="preserve">la </w:t>
            </w:r>
            <w:r w:rsidRPr="00043BF5">
              <w:rPr>
                <w:rFonts w:ascii="Times New Roman" w:hAnsi="Times New Roman" w:cs="Times New Roman"/>
              </w:rPr>
              <w:t xml:space="preserve">asignación de frecuencias </w:t>
            </w:r>
            <w:r>
              <w:rPr>
                <w:rFonts w:ascii="Times New Roman" w:hAnsi="Times New Roman" w:cs="Times New Roman"/>
              </w:rPr>
              <w:t>en esferas</w:t>
            </w:r>
            <w:r w:rsidRPr="00043BF5">
              <w:rPr>
                <w:rFonts w:ascii="Times New Roman" w:hAnsi="Times New Roman" w:cs="Times New Roman"/>
              </w:rPr>
              <w:t xml:space="preserve"> tecnológicas y de servicio </w:t>
            </w:r>
            <w:r>
              <w:rPr>
                <w:rFonts w:ascii="Times New Roman" w:hAnsi="Times New Roman" w:cs="Times New Roman"/>
              </w:rPr>
              <w:t>específicas</w:t>
            </w:r>
            <w:r w:rsidRPr="00043BF5">
              <w:rPr>
                <w:rFonts w:ascii="Times New Roman" w:hAnsi="Times New Roman" w:cs="Times New Roman"/>
              </w:rPr>
              <w:t>.</w:t>
            </w:r>
          </w:p>
        </w:tc>
      </w:tr>
      <w:tr w:rsidR="00F713C1" w:rsidRPr="00F713C1" w14:paraId="34C1CA51" w14:textId="77777777" w:rsidTr="0078752B">
        <w:trPr>
          <w:jc w:val="center"/>
        </w:trPr>
        <w:tc>
          <w:tcPr>
            <w:tcW w:w="1696" w:type="dxa"/>
          </w:tcPr>
          <w:p w14:paraId="3EA423AD" w14:textId="77777777" w:rsidR="00F713C1" w:rsidRPr="00043BF5" w:rsidRDefault="00F713C1" w:rsidP="00F713C1">
            <w:pPr>
              <w:pStyle w:val="Tabletext"/>
              <w:rPr>
                <w:rFonts w:ascii="Times New Roman" w:hAnsi="Times New Roman" w:cs="Times New Roman"/>
              </w:rPr>
            </w:pPr>
            <w:r w:rsidRPr="00043BF5">
              <w:rPr>
                <w:rFonts w:ascii="Times New Roman" w:hAnsi="Times New Roman" w:cs="Times New Roman"/>
              </w:rPr>
              <w:t>2026-31</w:t>
            </w:r>
          </w:p>
        </w:tc>
        <w:tc>
          <w:tcPr>
            <w:tcW w:w="7943" w:type="dxa"/>
          </w:tcPr>
          <w:p w14:paraId="39F98721" w14:textId="0B236548" w:rsidR="00F713C1" w:rsidRPr="00F713C1" w:rsidRDefault="00F713C1" w:rsidP="00F713C1">
            <w:pPr>
              <w:pStyle w:val="Tabletext"/>
              <w:rPr>
                <w:rFonts w:ascii="Times New Roman" w:hAnsi="Times New Roman" w:cs="Times New Roman"/>
              </w:rPr>
            </w:pPr>
            <w:r>
              <w:rPr>
                <w:rFonts w:ascii="Times New Roman" w:hAnsi="Times New Roman" w:cs="Times New Roman"/>
              </w:rPr>
              <w:t>Ampliación de la</w:t>
            </w:r>
            <w:r w:rsidRPr="00043BF5">
              <w:rPr>
                <w:rFonts w:ascii="Times New Roman" w:hAnsi="Times New Roman" w:cs="Times New Roman"/>
              </w:rPr>
              <w:t xml:space="preserve"> IA </w:t>
            </w:r>
            <w:r>
              <w:rPr>
                <w:rFonts w:ascii="Times New Roman" w:hAnsi="Times New Roman" w:cs="Times New Roman"/>
              </w:rPr>
              <w:t>a la compartición</w:t>
            </w:r>
            <w:r w:rsidRPr="00043BF5">
              <w:rPr>
                <w:rFonts w:ascii="Times New Roman" w:hAnsi="Times New Roman" w:cs="Times New Roman"/>
              </w:rPr>
              <w:t xml:space="preserve"> y la toma de decisiones en todas las </w:t>
            </w:r>
            <w:r>
              <w:rPr>
                <w:rFonts w:ascii="Times New Roman" w:hAnsi="Times New Roman" w:cs="Times New Roman"/>
              </w:rPr>
              <w:t>esferas</w:t>
            </w:r>
            <w:r w:rsidRPr="00043BF5">
              <w:rPr>
                <w:rFonts w:ascii="Times New Roman" w:hAnsi="Times New Roman" w:cs="Times New Roman"/>
              </w:rPr>
              <w:t xml:space="preserve"> tecnológicas y de servicios.</w:t>
            </w:r>
          </w:p>
        </w:tc>
      </w:tr>
      <w:tr w:rsidR="00F713C1" w:rsidRPr="00F713C1" w14:paraId="27BFBBE1" w14:textId="77777777" w:rsidTr="0078752B">
        <w:trPr>
          <w:jc w:val="center"/>
        </w:trPr>
        <w:tc>
          <w:tcPr>
            <w:tcW w:w="1696" w:type="dxa"/>
          </w:tcPr>
          <w:p w14:paraId="097B4A4A" w14:textId="77777777" w:rsidR="00F713C1" w:rsidRPr="00043BF5" w:rsidRDefault="00F713C1" w:rsidP="00F713C1">
            <w:pPr>
              <w:pStyle w:val="Tabletext"/>
              <w:rPr>
                <w:rFonts w:ascii="Times New Roman" w:hAnsi="Times New Roman" w:cs="Times New Roman"/>
              </w:rPr>
            </w:pPr>
            <w:r w:rsidRPr="00043BF5">
              <w:rPr>
                <w:rFonts w:ascii="Times New Roman" w:hAnsi="Times New Roman" w:cs="Times New Roman"/>
              </w:rPr>
              <w:t>2031+</w:t>
            </w:r>
          </w:p>
        </w:tc>
        <w:tc>
          <w:tcPr>
            <w:tcW w:w="7943" w:type="dxa"/>
          </w:tcPr>
          <w:p w14:paraId="59DDA996" w14:textId="527E26C0" w:rsidR="00F713C1" w:rsidRPr="00F713C1" w:rsidRDefault="00F713C1" w:rsidP="00F713C1">
            <w:pPr>
              <w:pStyle w:val="Tabletext"/>
              <w:rPr>
                <w:rFonts w:ascii="Times New Roman" w:hAnsi="Times New Roman" w:cs="Times New Roman"/>
              </w:rPr>
            </w:pPr>
            <w:r>
              <w:rPr>
                <w:rFonts w:ascii="Times New Roman" w:hAnsi="Times New Roman" w:cs="Times New Roman"/>
              </w:rPr>
              <w:t>Cabe prever que</w:t>
            </w:r>
            <w:r w:rsidRPr="00043BF5">
              <w:rPr>
                <w:rFonts w:ascii="Times New Roman" w:hAnsi="Times New Roman" w:cs="Times New Roman"/>
              </w:rPr>
              <w:t xml:space="preserve"> en el futuro se desarrolle un enfoque común de </w:t>
            </w:r>
            <w:r>
              <w:rPr>
                <w:rFonts w:ascii="Times New Roman" w:hAnsi="Times New Roman" w:cs="Times New Roman"/>
              </w:rPr>
              <w:t>compartición</w:t>
            </w:r>
            <w:r w:rsidRPr="00043BF5">
              <w:rPr>
                <w:rFonts w:ascii="Times New Roman" w:hAnsi="Times New Roman" w:cs="Times New Roman"/>
              </w:rPr>
              <w:t xml:space="preserve"> aplicable a todas las bandas de espectro compartidas. En este caso, una única herramienta podría gestionar </w:t>
            </w:r>
            <w:r>
              <w:rPr>
                <w:rFonts w:ascii="Times New Roman" w:hAnsi="Times New Roman" w:cs="Times New Roman"/>
              </w:rPr>
              <w:t>la compartición</w:t>
            </w:r>
            <w:r w:rsidRPr="00043BF5">
              <w:rPr>
                <w:rFonts w:ascii="Times New Roman" w:hAnsi="Times New Roman" w:cs="Times New Roman"/>
              </w:rPr>
              <w:t xml:space="preserve"> por todos los usuarios, sin que los </w:t>
            </w:r>
            <w:r>
              <w:rPr>
                <w:rFonts w:ascii="Times New Roman" w:hAnsi="Times New Roman" w:cs="Times New Roman"/>
              </w:rPr>
              <w:t>organismos de reglamentación tuvieran</w:t>
            </w:r>
            <w:r w:rsidRPr="00043BF5">
              <w:rPr>
                <w:rFonts w:ascii="Times New Roman" w:hAnsi="Times New Roman" w:cs="Times New Roman"/>
              </w:rPr>
              <w:t xml:space="preserve"> que establecer sistemas específicos </w:t>
            </w:r>
            <w:r>
              <w:rPr>
                <w:rFonts w:ascii="Times New Roman" w:hAnsi="Times New Roman" w:cs="Times New Roman"/>
              </w:rPr>
              <w:t>en</w:t>
            </w:r>
            <w:r w:rsidRPr="00043BF5">
              <w:rPr>
                <w:rFonts w:ascii="Times New Roman" w:hAnsi="Times New Roman" w:cs="Times New Roman"/>
              </w:rPr>
              <w:t xml:space="preserve"> cada </w:t>
            </w:r>
            <w:r>
              <w:rPr>
                <w:rFonts w:ascii="Times New Roman" w:hAnsi="Times New Roman" w:cs="Times New Roman"/>
              </w:rPr>
              <w:t>caso</w:t>
            </w:r>
            <w:r w:rsidRPr="00043BF5">
              <w:rPr>
                <w:rFonts w:ascii="Times New Roman" w:hAnsi="Times New Roman" w:cs="Times New Roman"/>
              </w:rPr>
              <w:t>.</w:t>
            </w:r>
          </w:p>
        </w:tc>
      </w:tr>
    </w:tbl>
    <w:p w14:paraId="2BF5E1E5" w14:textId="4F93D2D7" w:rsidR="00C42BA1" w:rsidRPr="00F713C1" w:rsidRDefault="00C42BA1" w:rsidP="00C42BA1">
      <w:pPr>
        <w:pStyle w:val="Heading3"/>
      </w:pPr>
      <w:bookmarkStart w:id="381" w:name="_Toc121911828"/>
      <w:r w:rsidRPr="00F713C1">
        <w:lastRenderedPageBreak/>
        <w:t>5.2.2</w:t>
      </w:r>
      <w:r w:rsidRPr="00F713C1">
        <w:tab/>
      </w:r>
      <w:r w:rsidR="00F713C1" w:rsidRPr="00F713C1">
        <w:t>Aumento de la inteligencia y</w:t>
      </w:r>
      <w:r w:rsidR="00F713C1">
        <w:t xml:space="preserve"> versatilidad de las bases de datos</w:t>
      </w:r>
      <w:bookmarkEnd w:id="381"/>
    </w:p>
    <w:p w14:paraId="5923C8F7" w14:textId="62A6E810" w:rsidR="00F713C1" w:rsidRPr="007B7381" w:rsidRDefault="00F713C1" w:rsidP="00F713C1">
      <w:r w:rsidRPr="007B7381">
        <w:t xml:space="preserve">Los sistemas de gestión del espectro </w:t>
      </w:r>
      <w:r>
        <w:t>(</w:t>
      </w:r>
      <w:r w:rsidRPr="007B7381">
        <w:t xml:space="preserve">SMS) son fundamentales para poner el espectro a disposición de los usuarios. El personal de los </w:t>
      </w:r>
      <w:r>
        <w:t>organismos de reglamentación</w:t>
      </w:r>
      <w:r w:rsidRPr="007B7381">
        <w:t xml:space="preserve"> nacionales interactúa con los SMS para conceder autorizaciones (por ejemplo, mediante la recopilación de información sobre la demanda de los usuarios y el análisis de las solicitudes) y los solicitantes interactúan con </w:t>
      </w:r>
      <w:r>
        <w:t>dicho</w:t>
      </w:r>
      <w:r w:rsidRPr="007B7381">
        <w:t xml:space="preserve"> sistema para proporcionar la información pertinente.</w:t>
      </w:r>
    </w:p>
    <w:p w14:paraId="4CE18053" w14:textId="321B324E" w:rsidR="00F713C1" w:rsidRPr="007B7381" w:rsidRDefault="00F713C1" w:rsidP="00F713C1">
      <w:r w:rsidRPr="007B7381">
        <w:t>Un</w:t>
      </w:r>
      <w:r>
        <w:t>a esfera en la</w:t>
      </w:r>
      <w:r w:rsidRPr="007B7381">
        <w:t xml:space="preserve"> que pueden producirse avances a corto plazo es </w:t>
      </w:r>
      <w:r>
        <w:t>la</w:t>
      </w:r>
      <w:r w:rsidRPr="007B7381">
        <w:t xml:space="preserve"> de los sistemas de gestión del espectro más desarrollados y automatizados. Por ejemplo, algunos proveedores de SMS ya ofrecen un procesamiento semiautomatizado de las solicitudes de licencia, y los países contactados </w:t>
      </w:r>
      <w:r>
        <w:t>en el marco de actividades de</w:t>
      </w:r>
      <w:r w:rsidRPr="007B7381">
        <w:t xml:space="preserve"> evaluación comparativa </w:t>
      </w:r>
      <w:r>
        <w:t>constataron</w:t>
      </w:r>
      <w:r w:rsidRPr="007B7381">
        <w:t xml:space="preserve"> que varios servicios están sujetos a autorizaciones automáticas. Es probable que </w:t>
      </w:r>
      <w:r>
        <w:t>prosiga</w:t>
      </w:r>
      <w:r w:rsidRPr="007B7381">
        <w:t xml:space="preserve"> la integración de esos servicios y la ampliación</w:t>
      </w:r>
      <w:r>
        <w:t xml:space="preserve"> a otros</w:t>
      </w:r>
      <w:r w:rsidRPr="007B7381">
        <w:t xml:space="preserve"> de los procesos </w:t>
      </w:r>
      <w:r>
        <w:t>aplicados</w:t>
      </w:r>
      <w:r w:rsidRPr="007B7381">
        <w:t>.</w:t>
      </w:r>
    </w:p>
    <w:p w14:paraId="0204CCC5" w14:textId="1A690835" w:rsidR="00F713C1" w:rsidRPr="007B7381" w:rsidRDefault="00F713C1" w:rsidP="00F713C1">
      <w:r>
        <w:t>Por otro lado, cabe prever</w:t>
      </w:r>
      <w:r w:rsidRPr="007B7381">
        <w:t xml:space="preserve"> que se alcancen mayores </w:t>
      </w:r>
      <w:r>
        <w:t>grados</w:t>
      </w:r>
      <w:r w:rsidRPr="007B7381">
        <w:t xml:space="preserve"> de inteligencia </w:t>
      </w:r>
      <w:r>
        <w:t>con respecto a los</w:t>
      </w:r>
      <w:r w:rsidRPr="007B7381">
        <w:t xml:space="preserve"> sistemas de gestión del espectro, lo que </w:t>
      </w:r>
      <w:r>
        <w:t>brindaría</w:t>
      </w:r>
      <w:r w:rsidRPr="007B7381">
        <w:t xml:space="preserve"> a los usuarios una experiencia más personalizada. Por ejemplo, los usuarios que inicien sesión en sus cuentas </w:t>
      </w:r>
      <w:r>
        <w:t>a través de</w:t>
      </w:r>
      <w:r w:rsidRPr="007B7381">
        <w:t xml:space="preserve"> un portal de autorización podrían ser </w:t>
      </w:r>
      <w:r>
        <w:t>orientados hacia actividades</w:t>
      </w:r>
      <w:r w:rsidRPr="007B7381">
        <w:t xml:space="preserve"> relacionadas con sus autorizaciones </w:t>
      </w:r>
      <w:r>
        <w:t>en curso, en particular, actividades de</w:t>
      </w:r>
      <w:r w:rsidRPr="007B7381">
        <w:t xml:space="preserve"> renovación, o inicialmente hacia solicitudes de autorización </w:t>
      </w:r>
      <w:r>
        <w:t>pertinentes</w:t>
      </w:r>
      <w:r w:rsidRPr="007B7381">
        <w:t xml:space="preserve">. Aunque no es habitual </w:t>
      </w:r>
      <w:r>
        <w:t>en</w:t>
      </w:r>
      <w:r w:rsidRPr="007B7381">
        <w:t xml:space="preserve"> los </w:t>
      </w:r>
      <w:r>
        <w:t>organismos de reglamentación</w:t>
      </w:r>
      <w:r w:rsidRPr="007B7381">
        <w:t xml:space="preserve"> evaluados, varios de ellos han </w:t>
      </w:r>
      <w:r>
        <w:t>señalado</w:t>
      </w:r>
      <w:r w:rsidRPr="007B7381">
        <w:t xml:space="preserve"> que </w:t>
      </w:r>
      <w:r>
        <w:t>se han registrado avances al respecto</w:t>
      </w:r>
      <w:r w:rsidRPr="007B7381">
        <w:t xml:space="preserve">, en particular en lo que respecta a la mejora de la experiencia del cliente sin afectar a la capacidad de los </w:t>
      </w:r>
      <w:r>
        <w:t>organismos de reglamentación</w:t>
      </w:r>
      <w:r w:rsidRPr="007B7381">
        <w:t xml:space="preserve"> para recopilar la información necesaria.</w:t>
      </w:r>
    </w:p>
    <w:p w14:paraId="514434FA" w14:textId="7FD3F763" w:rsidR="00C42BA1" w:rsidRPr="00F713C1" w:rsidRDefault="00F713C1" w:rsidP="00F713C1">
      <w:r w:rsidRPr="007B7381">
        <w:t>Más allá de</w:t>
      </w:r>
      <w:r>
        <w:t>l mero</w:t>
      </w:r>
      <w:r w:rsidRPr="007B7381">
        <w:t xml:space="preserve"> aumento de </w:t>
      </w:r>
      <w:r>
        <w:t>sus</w:t>
      </w:r>
      <w:r w:rsidRPr="007B7381">
        <w:t xml:space="preserve"> niveles de automatización, </w:t>
      </w:r>
      <w:r>
        <w:t>cabe</w:t>
      </w:r>
      <w:r w:rsidRPr="007B7381">
        <w:t xml:space="preserve"> esperar </w:t>
      </w:r>
      <w:r>
        <w:t xml:space="preserve">asimismo </w:t>
      </w:r>
      <w:r w:rsidRPr="007B7381">
        <w:t xml:space="preserve">que los propios </w:t>
      </w:r>
      <w:r>
        <w:t>sistemas de gestión del espectro pasen a ser</w:t>
      </w:r>
      <w:r w:rsidRPr="007B7381">
        <w:t xml:space="preserve"> más flexibles y dinámicos. </w:t>
      </w:r>
      <w:r>
        <w:t>Dichos</w:t>
      </w:r>
      <w:r w:rsidRPr="007B7381">
        <w:t xml:space="preserve"> sistemas dependen en gran medida de bases de datos centralizadas de licencias, que interactúan con otros sistemas, </w:t>
      </w:r>
      <w:r>
        <w:t>en particular,</w:t>
      </w:r>
      <w:r w:rsidRPr="007B7381">
        <w:t xml:space="preserve"> portales de </w:t>
      </w:r>
      <w:r>
        <w:t xml:space="preserve">tramitación de </w:t>
      </w:r>
      <w:r w:rsidRPr="007B7381">
        <w:t>solicitudes, herramientas de análisis técnico y portales financieros y de homologación. A continuación</w:t>
      </w:r>
      <w:r w:rsidR="0003771A">
        <w:t>,</w:t>
      </w:r>
      <w:r w:rsidRPr="007B7381">
        <w:t xml:space="preserve"> se muestra un diagrama general del sistema </w:t>
      </w:r>
      <w:r>
        <w:t>relativo a</w:t>
      </w:r>
      <w:r w:rsidRPr="007B7381">
        <w:t xml:space="preserve"> las actuales herramientas de gestión del espectro</w:t>
      </w:r>
      <w:r w:rsidR="00C42BA1" w:rsidRPr="00F713C1">
        <w:t>.</w:t>
      </w:r>
    </w:p>
    <w:p w14:paraId="40B13AF4" w14:textId="2FFBCF0E" w:rsidR="00C42BA1" w:rsidRPr="00F713C1" w:rsidRDefault="00C42BA1" w:rsidP="00C42BA1">
      <w:pPr>
        <w:pStyle w:val="FigureNo"/>
      </w:pPr>
      <w:r w:rsidRPr="00F713C1">
        <w:lastRenderedPageBreak/>
        <w:t>Figur</w:t>
      </w:r>
      <w:r w:rsidR="00F713C1" w:rsidRPr="00F713C1">
        <w:t>A</w:t>
      </w:r>
      <w:r w:rsidRPr="00F713C1">
        <w:t xml:space="preserve"> 10</w:t>
      </w:r>
    </w:p>
    <w:p w14:paraId="6A2F7E33" w14:textId="1C54D3A6" w:rsidR="00C42BA1" w:rsidRPr="00F713C1" w:rsidRDefault="00F713C1" w:rsidP="00C42BA1">
      <w:pPr>
        <w:pStyle w:val="Figuretitle"/>
      </w:pPr>
      <w:r w:rsidRPr="00F713C1">
        <w:t>Sistemas de gestión del espectro actuales y futuros</w:t>
      </w:r>
    </w:p>
    <w:p w14:paraId="3B096962" w14:textId="22A7F0B1" w:rsidR="00C42BA1" w:rsidRPr="00AE456A" w:rsidRDefault="00C042CD" w:rsidP="00C42BA1">
      <w:pPr>
        <w:pStyle w:val="Figure"/>
      </w:pPr>
      <w:r>
        <w:rPr>
          <w:noProof/>
          <w:lang w:val="en-GB"/>
        </w:rPr>
        <w:drawing>
          <wp:inline distT="0" distB="0" distL="0" distR="0" wp14:anchorId="1FC98880" wp14:editId="7045350D">
            <wp:extent cx="4973520" cy="8153676"/>
            <wp:effectExtent l="0" t="0" r="0" b="0"/>
            <wp:docPr id="1005539920" name="Picture 4" descr="La FIGURA 10 muestra los Sistemas de gestión del espectro actuales y futur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39920" name="Picture 4" descr="La FIGURA 10 muestra los Sistemas de gestión del espectro actuales y futuros&#1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980248" cy="8164706"/>
                    </a:xfrm>
                    <a:prstGeom prst="rect">
                      <a:avLst/>
                    </a:prstGeom>
                  </pic:spPr>
                </pic:pic>
              </a:graphicData>
            </a:graphic>
          </wp:inline>
        </w:drawing>
      </w:r>
      <w:r w:rsidR="00C42BA1" w:rsidRPr="00AE456A">
        <w:t xml:space="preserve"> </w:t>
      </w:r>
    </w:p>
    <w:p w14:paraId="057EF1C7" w14:textId="61B682D3" w:rsidR="00F713C1" w:rsidRPr="007B7381" w:rsidRDefault="00735486" w:rsidP="00F713C1">
      <w:pPr>
        <w:pStyle w:val="Normalaftertitle"/>
      </w:pPr>
      <w:r>
        <w:lastRenderedPageBreak/>
        <w:t>También cabe prever</w:t>
      </w:r>
      <w:r w:rsidR="00F713C1" w:rsidRPr="007B7381">
        <w:t xml:space="preserve"> su integración en una única solución. Dicho sistema no contaría con herramientas auxiliares específicas para gestionar </w:t>
      </w:r>
      <w:r w:rsidR="00321D5D">
        <w:t>los elementos</w:t>
      </w:r>
      <w:r w:rsidR="00F713C1" w:rsidRPr="007B7381">
        <w:t xml:space="preserve"> «</w:t>
      </w:r>
      <w:r w:rsidR="00321D5D">
        <w:t>versátiles</w:t>
      </w:r>
      <w:r w:rsidR="00F713C1" w:rsidRPr="007B7381">
        <w:t xml:space="preserve">» del enfoque de gestión del espectro, sino que todos los servicios, bandas y regímenes de acceso se gestionarían </w:t>
      </w:r>
      <w:r w:rsidR="00321D5D">
        <w:t>a través de</w:t>
      </w:r>
      <w:r w:rsidR="00F713C1" w:rsidRPr="007B7381">
        <w:t xml:space="preserve"> una herramienta centralizada, junto con los regímenes de acceso tradicionales más antiguos. La herramienta sería lo suficientemente inteligente como para </w:t>
      </w:r>
      <w:r w:rsidR="00321D5D">
        <w:t>tener en cuenta</w:t>
      </w:r>
      <w:r w:rsidR="00F713C1" w:rsidRPr="007B7381">
        <w:t xml:space="preserve"> solicitudes </w:t>
      </w:r>
      <w:r w:rsidR="00321D5D">
        <w:t>con arreglo al</w:t>
      </w:r>
      <w:r w:rsidR="00F713C1" w:rsidRPr="007B7381">
        <w:t xml:space="preserve"> régimen de acceso adecuado, </w:t>
      </w:r>
      <w:r w:rsidR="00321D5D">
        <w:t>al interactuar</w:t>
      </w:r>
      <w:r w:rsidR="00F713C1" w:rsidRPr="007B7381">
        <w:t xml:space="preserve"> con otros sistemas</w:t>
      </w:r>
      <w:r w:rsidR="00321D5D">
        <w:t>,</w:t>
      </w:r>
      <w:r w:rsidR="00F713C1" w:rsidRPr="007B7381">
        <w:t xml:space="preserve"> según fuera necesario. Dicho sistema estaría en mejores condiciones de ofrecer el </w:t>
      </w:r>
      <w:r w:rsidR="00321D5D">
        <w:t xml:space="preserve">grado de versatilidad </w:t>
      </w:r>
      <w:r w:rsidR="00F713C1" w:rsidRPr="007B7381">
        <w:t xml:space="preserve">en la gestión del espectro </w:t>
      </w:r>
      <w:r w:rsidR="00321D5D">
        <w:t>correspondiente a los</w:t>
      </w:r>
      <w:r w:rsidR="00F713C1" w:rsidRPr="007B7381">
        <w:t xml:space="preserve"> niveles más </w:t>
      </w:r>
      <w:r w:rsidR="00321D5D">
        <w:t>elevados</w:t>
      </w:r>
      <w:r w:rsidR="00F713C1" w:rsidRPr="007B7381">
        <w:t xml:space="preserve"> de los parámetros de evaluación </w:t>
      </w:r>
      <w:r w:rsidR="00321D5D">
        <w:t>previamente establecidos</w:t>
      </w:r>
      <w:r w:rsidR="00F713C1" w:rsidRPr="007B7381">
        <w:t>.</w:t>
      </w:r>
    </w:p>
    <w:p w14:paraId="2B96F6AB" w14:textId="05F5B3A9" w:rsidR="00C42BA1" w:rsidRPr="00F713C1" w:rsidRDefault="00F713C1" w:rsidP="00F713C1">
      <w:r w:rsidRPr="007B7381">
        <w:t xml:space="preserve">Una mayor integración del </w:t>
      </w:r>
      <w:r w:rsidR="00321D5D">
        <w:t>sistema de gestión del espectro mediante</w:t>
      </w:r>
      <w:r w:rsidRPr="007B7381">
        <w:t xml:space="preserve"> otras herramientas también podría ser </w:t>
      </w:r>
      <w:r w:rsidR="00321D5D">
        <w:t>útil</w:t>
      </w:r>
      <w:r w:rsidRPr="007B7381">
        <w:t xml:space="preserve"> tanto para el </w:t>
      </w:r>
      <w:r w:rsidR="00321D5D">
        <w:t>organismo de reglamentación</w:t>
      </w:r>
      <w:r w:rsidRPr="007B7381">
        <w:t xml:space="preserve"> como para </w:t>
      </w:r>
      <w:r w:rsidR="00321D5D">
        <w:t>mejorar la</w:t>
      </w:r>
      <w:r w:rsidRPr="007B7381">
        <w:t xml:space="preserve"> experiencia del usuario final de los sistemas. Por ejemplo, la integración directa </w:t>
      </w:r>
      <w:r w:rsidR="00321D5D">
        <w:t>de dicho sistema</w:t>
      </w:r>
      <w:r w:rsidRPr="007B7381">
        <w:t xml:space="preserve"> con los datos de </w:t>
      </w:r>
      <w:r w:rsidR="00321D5D">
        <w:t>comprobación técnica</w:t>
      </w:r>
      <w:r w:rsidRPr="007B7381">
        <w:t xml:space="preserve"> podría facilitar la autorización inmediata de licencias al permitir cálculos automatizados y más precisos del potencial de interferencia, </w:t>
      </w:r>
      <w:r w:rsidR="00321D5D">
        <w:t xml:space="preserve">en particular con respecto a la </w:t>
      </w:r>
      <w:r w:rsidRPr="007B7381">
        <w:t>PMSE</w:t>
      </w:r>
      <w:r w:rsidR="00321D5D">
        <w:t>, entre otras aplicaciones</w:t>
      </w:r>
      <w:r w:rsidR="00C42BA1" w:rsidRPr="00F713C1">
        <w:t>.</w:t>
      </w:r>
    </w:p>
    <w:p w14:paraId="5981C5AD" w14:textId="6E8EA251" w:rsidR="00C42BA1" w:rsidRPr="0027482E" w:rsidRDefault="00C42BA1" w:rsidP="00C42BA1">
      <w:pPr>
        <w:pStyle w:val="Heading3"/>
      </w:pPr>
      <w:bookmarkStart w:id="382" w:name="_Toc121911829"/>
      <w:r w:rsidRPr="0027482E">
        <w:t>5.2.3</w:t>
      </w:r>
      <w:r w:rsidRPr="0027482E">
        <w:tab/>
      </w:r>
      <w:r w:rsidR="0027482E" w:rsidRPr="0027482E">
        <w:t>Inteligencia artificial</w:t>
      </w:r>
      <w:bookmarkEnd w:id="382"/>
    </w:p>
    <w:p w14:paraId="23EAACF6" w14:textId="12E2B604" w:rsidR="0027482E" w:rsidRPr="007B7381" w:rsidRDefault="0027482E" w:rsidP="0027482E">
      <w:r w:rsidRPr="007B7381">
        <w:t xml:space="preserve">Por inteligencia artificial </w:t>
      </w:r>
      <w:r>
        <w:t>(</w:t>
      </w:r>
      <w:r w:rsidRPr="007B7381">
        <w:t>IA</w:t>
      </w:r>
      <w:r>
        <w:t xml:space="preserve">) </w:t>
      </w:r>
      <w:r w:rsidRPr="007B7381">
        <w:t xml:space="preserve">se entiende </w:t>
      </w:r>
      <w:r>
        <w:t>habitualmente</w:t>
      </w:r>
      <w:r w:rsidRPr="007B7381">
        <w:t xml:space="preserve"> la capacidad de las máquinas y los </w:t>
      </w:r>
      <w:r>
        <w:t>computadores</w:t>
      </w:r>
      <w:r w:rsidRPr="007B7381">
        <w:t xml:space="preserve"> para </w:t>
      </w:r>
      <w:r>
        <w:t>mejorar</w:t>
      </w:r>
      <w:r w:rsidRPr="007B7381">
        <w:t xml:space="preserve"> los métodos y la velocidad de procesamiento de datos </w:t>
      </w:r>
      <w:r>
        <w:t>hasta alcanzar</w:t>
      </w:r>
      <w:r w:rsidRPr="007B7381">
        <w:t xml:space="preserve"> un nivel avanzado que super</w:t>
      </w:r>
      <w:r>
        <w:t>e</w:t>
      </w:r>
      <w:r w:rsidRPr="007B7381">
        <w:t xml:space="preserve"> la capacidad</w:t>
      </w:r>
      <w:r>
        <w:t xml:space="preserve"> humana</w:t>
      </w:r>
      <w:r w:rsidRPr="007B7381">
        <w:t>. Muchas fuentes incluyen en la definición la capacidad de aprender, resolver problemas o, al menos, deducir reglas, en contraposición al enfoque más tradicional de entrada</w:t>
      </w:r>
      <w:r>
        <w:t>s</w:t>
      </w:r>
      <w:r w:rsidRPr="007B7381">
        <w:t>-salida</w:t>
      </w:r>
      <w:r>
        <w:t>s</w:t>
      </w:r>
      <w:r w:rsidRPr="007B7381">
        <w:t xml:space="preserve"> que han </w:t>
      </w:r>
      <w:r>
        <w:t>aplicado habitualmente computadores y</w:t>
      </w:r>
      <w:r w:rsidRPr="007B7381">
        <w:t xml:space="preserve"> máquinas. </w:t>
      </w:r>
      <w:r>
        <w:t>Por otro lado,</w:t>
      </w:r>
      <w:r w:rsidRPr="007B7381">
        <w:t xml:space="preserve"> los sistemas de IA pueden percibir y analizar su entorno y actuar en consecuencia para maximizar las posibilidades de </w:t>
      </w:r>
      <w:r>
        <w:t>lograr resultados satisfactorios</w:t>
      </w:r>
      <w:r w:rsidRPr="007B7381">
        <w:t xml:space="preserve">. Una aplicación es el aprendizaje automático, mediante el cual los sistemas de IA se entrenan utilizando </w:t>
      </w:r>
      <w:r>
        <w:t>amplios</w:t>
      </w:r>
      <w:r w:rsidRPr="007B7381">
        <w:t xml:space="preserve"> conjuntos de datos para poder identificar los resultados más </w:t>
      </w:r>
      <w:r>
        <w:t>eficaces</w:t>
      </w:r>
      <w:r w:rsidRPr="007B7381">
        <w:t>.</w:t>
      </w:r>
    </w:p>
    <w:p w14:paraId="7CFA27AA" w14:textId="27D95B0B" w:rsidR="0027482E" w:rsidRPr="007B7381" w:rsidRDefault="0027482E" w:rsidP="0027482E">
      <w:pPr>
        <w:rPr>
          <w:rFonts w:asciiTheme="majorBidi" w:hAnsiTheme="majorBidi" w:cstheme="majorBidi"/>
        </w:rPr>
      </w:pPr>
      <w:r w:rsidRPr="007B7381">
        <w:rPr>
          <w:rFonts w:asciiTheme="majorBidi" w:hAnsiTheme="majorBidi" w:cstheme="majorBidi"/>
        </w:rPr>
        <w:t xml:space="preserve">La inteligencia artificial en la gestión del espectro aún no está </w:t>
      </w:r>
      <w:r>
        <w:rPr>
          <w:rFonts w:asciiTheme="majorBidi" w:hAnsiTheme="majorBidi" w:cstheme="majorBidi"/>
        </w:rPr>
        <w:t>lo suficientemente avanzada</w:t>
      </w:r>
      <w:r w:rsidRPr="007B7381">
        <w:rPr>
          <w:rFonts w:asciiTheme="majorBidi" w:hAnsiTheme="majorBidi" w:cstheme="majorBidi"/>
        </w:rPr>
        <w:t xml:space="preserve">. Por ejemplo, la UIT considera que </w:t>
      </w:r>
      <w:r w:rsidRPr="007B7381">
        <w:t>la inteligencia</w:t>
      </w:r>
      <w:r w:rsidRPr="007B7381">
        <w:rPr>
          <w:rFonts w:asciiTheme="majorBidi" w:hAnsiTheme="majorBidi" w:cstheme="majorBidi"/>
        </w:rPr>
        <w:t xml:space="preserve"> artificial </w:t>
      </w:r>
      <w:r>
        <w:rPr>
          <w:rFonts w:asciiTheme="majorBidi" w:hAnsiTheme="majorBidi" w:cstheme="majorBidi"/>
        </w:rPr>
        <w:t>reviste importancia</w:t>
      </w:r>
      <w:r w:rsidRPr="007B7381">
        <w:rPr>
          <w:rFonts w:asciiTheme="majorBidi" w:hAnsiTheme="majorBidi" w:cstheme="majorBidi"/>
        </w:rPr>
        <w:t xml:space="preserve"> en varios aspectos de la gestión del espectro</w:t>
      </w:r>
      <w:r w:rsidRPr="00043BF5">
        <w:rPr>
          <w:rStyle w:val="FootnoteReference"/>
        </w:rPr>
        <w:footnoteReference w:id="27"/>
      </w:r>
      <w:r w:rsidRPr="007B7381">
        <w:rPr>
          <w:rFonts w:asciiTheme="majorBidi" w:hAnsiTheme="majorBidi" w:cstheme="majorBidi"/>
        </w:rPr>
        <w:t xml:space="preserve">, </w:t>
      </w:r>
      <w:r>
        <w:rPr>
          <w:rFonts w:asciiTheme="majorBidi" w:hAnsiTheme="majorBidi" w:cstheme="majorBidi"/>
        </w:rPr>
        <w:t>si bien</w:t>
      </w:r>
      <w:r w:rsidRPr="007B7381">
        <w:rPr>
          <w:rFonts w:asciiTheme="majorBidi" w:hAnsiTheme="majorBidi" w:cstheme="majorBidi"/>
        </w:rPr>
        <w:t xml:space="preserve"> sus publicaciones sobre aplicación de la inteligencia artificial </w:t>
      </w:r>
      <w:r>
        <w:rPr>
          <w:rFonts w:asciiTheme="majorBidi" w:hAnsiTheme="majorBidi" w:cstheme="majorBidi"/>
        </w:rPr>
        <w:t>a tal efecto</w:t>
      </w:r>
      <w:r w:rsidRPr="007B7381">
        <w:rPr>
          <w:rFonts w:asciiTheme="majorBidi" w:hAnsiTheme="majorBidi" w:cstheme="majorBidi"/>
        </w:rPr>
        <w:t xml:space="preserve"> se refieren principalmente a la</w:t>
      </w:r>
      <w:r>
        <w:rPr>
          <w:rFonts w:asciiTheme="majorBidi" w:hAnsiTheme="majorBidi" w:cstheme="majorBidi"/>
        </w:rPr>
        <w:t>s radiocomunicaciones</w:t>
      </w:r>
      <w:r w:rsidRPr="007B7381">
        <w:rPr>
          <w:rFonts w:asciiTheme="majorBidi" w:hAnsiTheme="majorBidi" w:cstheme="majorBidi"/>
        </w:rPr>
        <w:t xml:space="preserve"> cognitiva</w:t>
      </w:r>
      <w:r>
        <w:rPr>
          <w:rFonts w:asciiTheme="majorBidi" w:hAnsiTheme="majorBidi" w:cstheme="majorBidi"/>
        </w:rPr>
        <w:t>s</w:t>
      </w:r>
      <w:r w:rsidRPr="007B7381">
        <w:rPr>
          <w:rFonts w:asciiTheme="majorBidi" w:hAnsiTheme="majorBidi" w:cstheme="majorBidi"/>
        </w:rPr>
        <w:t>.</w:t>
      </w:r>
    </w:p>
    <w:p w14:paraId="23D09DD8" w14:textId="5A321117" w:rsidR="0027482E" w:rsidRPr="007B7381" w:rsidRDefault="0027482E" w:rsidP="0027482E">
      <w:r>
        <w:t xml:space="preserve">Se considera </w:t>
      </w:r>
      <w:r w:rsidRPr="007B7381">
        <w:t xml:space="preserve">que la IA puede aplicarse más allá de los aspectos generales de la gestión del espectro, </w:t>
      </w:r>
      <w:r w:rsidR="006A1938">
        <w:t>así como a</w:t>
      </w:r>
      <w:r w:rsidRPr="007B7381">
        <w:t xml:space="preserve"> elementos más prácticos relacionados con las tecnologías de la información. Por ejemplo, los asistentes inteligentes </w:t>
      </w:r>
      <w:r w:rsidR="006A1938">
        <w:t>pueden servir</w:t>
      </w:r>
      <w:r w:rsidRPr="007B7381">
        <w:t xml:space="preserve"> para ayudar a los solicitantes de espectro a navegar por el portal </w:t>
      </w:r>
      <w:r w:rsidR="006A1938">
        <w:t xml:space="preserve">pertinente </w:t>
      </w:r>
      <w:r w:rsidRPr="007B7381">
        <w:t xml:space="preserve">y reconocer automáticamente perfiles de usuario y proporcionarles orientación personalizada. </w:t>
      </w:r>
    </w:p>
    <w:p w14:paraId="15442F54" w14:textId="48FB993C" w:rsidR="0027482E" w:rsidRPr="007B7381" w:rsidRDefault="00FB6CAA" w:rsidP="0027482E">
      <w:r>
        <w:t>Se prevé</w:t>
      </w:r>
      <w:r w:rsidR="006A1938">
        <w:t xml:space="preserve"> </w:t>
      </w:r>
      <w:r w:rsidR="0027482E" w:rsidRPr="007B7381">
        <w:t xml:space="preserve">que </w:t>
      </w:r>
      <w:r w:rsidR="00736002">
        <w:t xml:space="preserve">los avances en </w:t>
      </w:r>
      <w:r w:rsidR="0027482E">
        <w:t xml:space="preserve">IA </w:t>
      </w:r>
      <w:r w:rsidR="0027482E" w:rsidRPr="007B7381">
        <w:t>desempeñe</w:t>
      </w:r>
      <w:r w:rsidR="00736002">
        <w:t>n</w:t>
      </w:r>
      <w:r w:rsidR="0027482E" w:rsidRPr="007B7381">
        <w:t xml:space="preserve"> un papel </w:t>
      </w:r>
      <w:r>
        <w:t>esencial</w:t>
      </w:r>
      <w:r w:rsidR="00736002">
        <w:t xml:space="preserve"> </w:t>
      </w:r>
      <w:r w:rsidR="0027482E" w:rsidRPr="007B7381">
        <w:t xml:space="preserve">en la gestión de los sistemas de acceso dinámico al espectro. </w:t>
      </w:r>
      <w:r w:rsidR="00736002">
        <w:t xml:space="preserve">Cabe señalar </w:t>
      </w:r>
      <w:r w:rsidR="0027482E" w:rsidRPr="007B7381">
        <w:t xml:space="preserve">que, </w:t>
      </w:r>
      <w:r w:rsidR="00736002">
        <w:t>con arreglo a</w:t>
      </w:r>
      <w:r w:rsidR="0027482E" w:rsidRPr="007B7381">
        <w:t xml:space="preserve"> las definiciones anterior</w:t>
      </w:r>
      <w:r w:rsidR="00736002">
        <w:t>mente citadas</w:t>
      </w:r>
      <w:r w:rsidR="0027482E" w:rsidRPr="007B7381">
        <w:t xml:space="preserve"> de IA, </w:t>
      </w:r>
      <w:r w:rsidR="00736002">
        <w:t xml:space="preserve">el </w:t>
      </w:r>
      <w:r w:rsidR="0027482E" w:rsidRPr="007B7381">
        <w:t xml:space="preserve">CBRS y </w:t>
      </w:r>
      <w:r w:rsidR="00736002">
        <w:t xml:space="preserve">la </w:t>
      </w:r>
      <w:r w:rsidR="0027482E" w:rsidRPr="007B7381">
        <w:t>AFC</w:t>
      </w:r>
      <w:r w:rsidR="00736002">
        <w:t xml:space="preserve"> </w:t>
      </w:r>
      <w:r w:rsidR="0027482E" w:rsidRPr="007B7381">
        <w:t xml:space="preserve">(anteriormente </w:t>
      </w:r>
      <w:r w:rsidR="00736002">
        <w:t>referidas en el presente estudio</w:t>
      </w:r>
      <w:r w:rsidR="0027482E" w:rsidRPr="007B7381">
        <w:t>)</w:t>
      </w:r>
      <w:r>
        <w:t>,</w:t>
      </w:r>
      <w:r w:rsidR="0027482E" w:rsidRPr="007B7381">
        <w:t xml:space="preserve"> </w:t>
      </w:r>
      <w:r>
        <w:t>entre otras técnicas,</w:t>
      </w:r>
      <w:r w:rsidRPr="007B7381">
        <w:t xml:space="preserve"> </w:t>
      </w:r>
      <w:r w:rsidR="0027482E" w:rsidRPr="007B7381">
        <w:t xml:space="preserve">ya </w:t>
      </w:r>
      <w:r>
        <w:t>guardan relación con</w:t>
      </w:r>
      <w:r w:rsidR="0027482E" w:rsidRPr="007B7381">
        <w:t xml:space="preserve"> la inteligencia artificial, </w:t>
      </w:r>
      <w:r>
        <w:t>al tener e</w:t>
      </w:r>
      <w:r w:rsidR="0027482E" w:rsidRPr="007B7381">
        <w:t>n cuenta las condiciones ambientales y aprende</w:t>
      </w:r>
      <w:r>
        <w:t>r</w:t>
      </w:r>
      <w:r w:rsidR="0027482E" w:rsidRPr="007B7381">
        <w:t xml:space="preserve"> </w:t>
      </w:r>
      <w:r>
        <w:t>en tiempo real</w:t>
      </w:r>
      <w:r w:rsidR="0027482E" w:rsidRPr="007B7381">
        <w:t xml:space="preserve"> para maximizar las posibilidades de </w:t>
      </w:r>
      <w:r>
        <w:t>lograr resultados satisfactorios</w:t>
      </w:r>
      <w:r w:rsidR="0027482E" w:rsidRPr="007B7381">
        <w:t xml:space="preserve"> en las autorizaciones del espectro. </w:t>
      </w:r>
      <w:r>
        <w:t>Diversos análisis apuntan a que</w:t>
      </w:r>
      <w:r w:rsidR="0027482E" w:rsidRPr="007B7381">
        <w:t xml:space="preserve"> la IA podría ser adecuada para la gestión del acceso dinámico al espectro (DSA), ya que, una vez entrenados, los sistemas DSA basados en IA deberían ser capaces de procesar fácilmente nuevos datos y </w:t>
      </w:r>
      <w:r w:rsidR="006D2C34">
        <w:t xml:space="preserve">abordar el carácter complejo </w:t>
      </w:r>
      <w:r w:rsidR="0027482E" w:rsidRPr="007B7381">
        <w:t xml:space="preserve">y </w:t>
      </w:r>
      <w:r w:rsidR="006D2C34">
        <w:t>variable</w:t>
      </w:r>
      <w:r w:rsidR="0027482E" w:rsidRPr="007B7381">
        <w:t xml:space="preserve"> de las señales inalámbricas, lo que puede resultar </w:t>
      </w:r>
      <w:r w:rsidR="006D2C34">
        <w:t>complejo</w:t>
      </w:r>
      <w:r w:rsidR="0027482E" w:rsidRPr="007B7381">
        <w:t xml:space="preserve"> para los seres humanos y los equipos </w:t>
      </w:r>
      <w:r w:rsidR="0027482E" w:rsidRPr="007B7381">
        <w:lastRenderedPageBreak/>
        <w:t>tradicionales</w:t>
      </w:r>
      <w:r w:rsidR="0027482E" w:rsidRPr="00043BF5">
        <w:rPr>
          <w:rStyle w:val="FootnoteReference"/>
        </w:rPr>
        <w:footnoteReference w:id="28"/>
      </w:r>
      <w:r w:rsidR="0027482E" w:rsidRPr="007B7381">
        <w:t xml:space="preserve">. </w:t>
      </w:r>
      <w:r w:rsidR="00F73D75">
        <w:t>La</w:t>
      </w:r>
      <w:r w:rsidR="0027482E" w:rsidRPr="007B7381">
        <w:t xml:space="preserve"> IA </w:t>
      </w:r>
      <w:r w:rsidR="00F73D75">
        <w:t xml:space="preserve">puede utilizarse asimismo </w:t>
      </w:r>
      <w:r w:rsidR="00922052">
        <w:t>respecto del</w:t>
      </w:r>
      <w:r w:rsidR="0027482E" w:rsidRPr="007B7381">
        <w:t xml:space="preserve"> DSA </w:t>
      </w:r>
      <w:r w:rsidR="00F73D75">
        <w:t>para facilitar</w:t>
      </w:r>
      <w:r w:rsidR="0027482E" w:rsidRPr="007B7381">
        <w:t xml:space="preserve"> la </w:t>
      </w:r>
      <w:r w:rsidR="00922052">
        <w:t>tarificación</w:t>
      </w:r>
      <w:r w:rsidR="0027482E" w:rsidRPr="007B7381">
        <w:t xml:space="preserve"> del espectro en función de los </w:t>
      </w:r>
      <w:r w:rsidR="00F73D75">
        <w:t>niveles</w:t>
      </w:r>
      <w:r w:rsidR="0027482E" w:rsidRPr="007B7381">
        <w:t xml:space="preserve"> de demanda </w:t>
      </w:r>
      <w:r w:rsidR="00922052">
        <w:t>en tiempo real</w:t>
      </w:r>
      <w:r w:rsidR="0027482E" w:rsidRPr="007B7381">
        <w:t xml:space="preserve">, de modo que los precios del espectro puedan </w:t>
      </w:r>
      <w:r w:rsidR="00922052">
        <w:t>fluctuar</w:t>
      </w:r>
      <w:r w:rsidR="0027482E" w:rsidRPr="007B7381">
        <w:t xml:space="preserve"> en </w:t>
      </w:r>
      <w:r w:rsidR="00922052">
        <w:t>consecuencia</w:t>
      </w:r>
      <w:r w:rsidR="0027482E" w:rsidRPr="007B7381">
        <w:t xml:space="preserve">, lo que, en teoría, contribuiría a maximizar </w:t>
      </w:r>
      <w:r w:rsidR="00922052">
        <w:t>la</w:t>
      </w:r>
      <w:r w:rsidR="0027482E" w:rsidRPr="007B7381">
        <w:t xml:space="preserve"> eficiencia espectral.</w:t>
      </w:r>
    </w:p>
    <w:p w14:paraId="73D86468" w14:textId="2673C31B" w:rsidR="0027482E" w:rsidRPr="007B7381" w:rsidRDefault="0027482E" w:rsidP="0027482E">
      <w:r w:rsidRPr="007B7381">
        <w:t xml:space="preserve">Un aspecto de la gestión del espectro que sin duda podría </w:t>
      </w:r>
      <w:r w:rsidR="00922052">
        <w:t>verse beneficiado por la</w:t>
      </w:r>
      <w:r>
        <w:t xml:space="preserve"> IA </w:t>
      </w:r>
      <w:r w:rsidRPr="007B7381">
        <w:t xml:space="preserve">es el de la </w:t>
      </w:r>
      <w:r w:rsidR="00922052">
        <w:t>comprobación técnica</w:t>
      </w:r>
      <w:r w:rsidRPr="007B7381">
        <w:t xml:space="preserve">. El papel que podría desempeñar </w:t>
      </w:r>
      <w:r>
        <w:t xml:space="preserve">la IA </w:t>
      </w:r>
      <w:r w:rsidRPr="007B7381">
        <w:t xml:space="preserve">en el procesamiento de las </w:t>
      </w:r>
      <w:r w:rsidR="00922052">
        <w:t>ingentes</w:t>
      </w:r>
      <w:r w:rsidRPr="007B7381">
        <w:t xml:space="preserve"> cantidades de datos </w:t>
      </w:r>
      <w:r w:rsidR="00922052">
        <w:t xml:space="preserve">relativos a </w:t>
      </w:r>
      <w:r w:rsidR="00F73D75">
        <w:t>esa</w:t>
      </w:r>
      <w:r w:rsidR="00922052">
        <w:t xml:space="preserve"> comprobación técnica, así como su</w:t>
      </w:r>
      <w:r w:rsidRPr="007B7381">
        <w:t xml:space="preserve"> puesta a disposición de los sistemas de autorización</w:t>
      </w:r>
      <w:r w:rsidR="00922052">
        <w:t>,</w:t>
      </w:r>
      <w:r w:rsidRPr="007B7381">
        <w:t xml:space="preserve"> podría ser muy útil</w:t>
      </w:r>
      <w:r w:rsidRPr="00043BF5">
        <w:rPr>
          <w:rStyle w:val="FootnoteReference"/>
        </w:rPr>
        <w:footnoteReference w:id="29"/>
      </w:r>
      <w:r w:rsidRPr="007B7381">
        <w:t xml:space="preserve">. La </w:t>
      </w:r>
      <w:r w:rsidR="00922052" w:rsidRPr="007B7381">
        <w:t xml:space="preserve">demostrada </w:t>
      </w:r>
      <w:r w:rsidRPr="007B7381">
        <w:t xml:space="preserve">capacidad de la IA para el reconocimiento de </w:t>
      </w:r>
      <w:r w:rsidR="00922052">
        <w:t>pautas</w:t>
      </w:r>
      <w:r w:rsidRPr="007B7381">
        <w:t xml:space="preserve"> podría ser especialmente útil para identificar señales que, junto con una densa red de sensores, podrían </w:t>
      </w:r>
      <w:r w:rsidR="00F73D75">
        <w:t>facilitar las</w:t>
      </w:r>
      <w:r w:rsidRPr="007B7381">
        <w:t xml:space="preserve"> mediciones en tiempo real de la ocupación del espectro.</w:t>
      </w:r>
    </w:p>
    <w:p w14:paraId="4F90E124" w14:textId="383D8E9E" w:rsidR="0027482E" w:rsidRPr="007B7381" w:rsidRDefault="0027482E" w:rsidP="0027482E">
      <w:r w:rsidRPr="007B7381">
        <w:t xml:space="preserve">Los </w:t>
      </w:r>
      <w:r w:rsidR="00F73D75">
        <w:t>organismos de reglamentación</w:t>
      </w:r>
      <w:r w:rsidRPr="007B7381">
        <w:t xml:space="preserve"> </w:t>
      </w:r>
      <w:r w:rsidR="00F73D75">
        <w:t>comienzan</w:t>
      </w:r>
      <w:r w:rsidRPr="007B7381">
        <w:t xml:space="preserve"> a implementar </w:t>
      </w:r>
      <w:r w:rsidR="00F73D75">
        <w:t xml:space="preserve">en varios países </w:t>
      </w:r>
      <w:r w:rsidRPr="007B7381">
        <w:t>sistemas de concesión de licencias automatizados (</w:t>
      </w:r>
      <w:r w:rsidR="00F73D75">
        <w:t>por lo general,</w:t>
      </w:r>
      <w:r w:rsidRPr="007B7381">
        <w:t xml:space="preserve"> centrados en PMR, PMSE, enlaces fijos y marítimos y aeronáuticos), </w:t>
      </w:r>
      <w:r w:rsidR="00F73D75">
        <w:t xml:space="preserve">aunque éstos se basan </w:t>
      </w:r>
      <w:r w:rsidRPr="007B7381">
        <w:t xml:space="preserve">en algoritmos de asignación bien definidos y comprendidos. La </w:t>
      </w:r>
      <w:r w:rsidR="00F73D75">
        <w:t>ampliación</w:t>
      </w:r>
      <w:r w:rsidRPr="007B7381">
        <w:t xml:space="preserve"> de la IA a sistemas en los que se requieren niveles más </w:t>
      </w:r>
      <w:r w:rsidR="00F73D75">
        <w:t>elevados</w:t>
      </w:r>
      <w:r w:rsidRPr="007B7381">
        <w:t xml:space="preserve"> de toma de decisiones políticas </w:t>
      </w:r>
      <w:r w:rsidR="00F73D75">
        <w:t xml:space="preserve">a los efectos de </w:t>
      </w:r>
      <w:r w:rsidRPr="007B7381">
        <w:t>asignación (por ejemplo, reasignación de frecuencias</w:t>
      </w:r>
      <w:r w:rsidR="00F73D75">
        <w:t xml:space="preserve"> para comunicaciones por satélite</w:t>
      </w:r>
      <w:r w:rsidRPr="007B7381">
        <w:t>)</w:t>
      </w:r>
      <w:r w:rsidR="00F73D75">
        <w:t>,</w:t>
      </w:r>
      <w:r w:rsidRPr="007B7381">
        <w:t xml:space="preserve"> o por </w:t>
      </w:r>
      <w:r w:rsidR="00F73D75">
        <w:t>aspectos</w:t>
      </w:r>
      <w:r w:rsidRPr="007B7381">
        <w:t xml:space="preserve"> de seguridad y defensa</w:t>
      </w:r>
      <w:r w:rsidR="00F73D75">
        <w:t>,</w:t>
      </w:r>
      <w:r w:rsidRPr="007B7381">
        <w:t xml:space="preserve"> se considera </w:t>
      </w:r>
      <w:r w:rsidR="00F73D75">
        <w:t>más compleja</w:t>
      </w:r>
      <w:r w:rsidRPr="007B7381">
        <w:t>.</w:t>
      </w:r>
    </w:p>
    <w:p w14:paraId="041A098F" w14:textId="361050FE" w:rsidR="0027482E" w:rsidRPr="007B7381" w:rsidRDefault="0027482E" w:rsidP="0027482E">
      <w:pPr>
        <w:rPr>
          <w:rFonts w:asciiTheme="majorBidi" w:hAnsiTheme="majorBidi" w:cstheme="majorBidi"/>
        </w:rPr>
      </w:pPr>
      <w:r w:rsidRPr="007B7381">
        <w:rPr>
          <w:rFonts w:asciiTheme="majorBidi" w:hAnsiTheme="majorBidi" w:cstheme="majorBidi"/>
        </w:rPr>
        <w:t>Otr</w:t>
      </w:r>
      <w:r w:rsidR="00F73D75">
        <w:rPr>
          <w:rFonts w:asciiTheme="majorBidi" w:hAnsiTheme="majorBidi" w:cstheme="majorBidi"/>
        </w:rPr>
        <w:t>a esfera en la que</w:t>
      </w:r>
      <w:r w:rsidRPr="007B7381">
        <w:rPr>
          <w:rFonts w:asciiTheme="majorBidi" w:hAnsiTheme="majorBidi" w:cstheme="majorBidi"/>
        </w:rPr>
        <w:t xml:space="preserve"> la IA puede resultar útil es la identificación </w:t>
      </w:r>
      <w:r w:rsidR="009B6C11">
        <w:rPr>
          <w:rFonts w:asciiTheme="majorBidi" w:hAnsiTheme="majorBidi" w:cstheme="majorBidi"/>
        </w:rPr>
        <w:t>de los efectos</w:t>
      </w:r>
      <w:r w:rsidRPr="007B7381">
        <w:rPr>
          <w:rFonts w:asciiTheme="majorBidi" w:hAnsiTheme="majorBidi" w:cstheme="majorBidi"/>
        </w:rPr>
        <w:t xml:space="preserve"> de </w:t>
      </w:r>
      <w:r w:rsidR="009B6C11">
        <w:rPr>
          <w:rFonts w:asciiTheme="majorBidi" w:hAnsiTheme="majorBidi" w:cstheme="majorBidi"/>
        </w:rPr>
        <w:t>la modificación del</w:t>
      </w:r>
      <w:r w:rsidRPr="007B7381">
        <w:rPr>
          <w:rFonts w:asciiTheme="majorBidi" w:hAnsiTheme="majorBidi" w:cstheme="majorBidi"/>
        </w:rPr>
        <w:t xml:space="preserve"> Reglamento de Radiocomunicaciones de la UIT, </w:t>
      </w:r>
      <w:r w:rsidR="009B6C11">
        <w:rPr>
          <w:rFonts w:asciiTheme="majorBidi" w:hAnsiTheme="majorBidi" w:cstheme="majorBidi"/>
        </w:rPr>
        <w:t>que se pone al día</w:t>
      </w:r>
      <w:r w:rsidRPr="007B7381">
        <w:rPr>
          <w:rFonts w:asciiTheme="majorBidi" w:hAnsiTheme="majorBidi" w:cstheme="majorBidi"/>
        </w:rPr>
        <w:t xml:space="preserve"> en </w:t>
      </w:r>
      <w:r w:rsidR="009B6C11">
        <w:rPr>
          <w:rFonts w:asciiTheme="majorBidi" w:hAnsiTheme="majorBidi" w:cstheme="majorBidi"/>
        </w:rPr>
        <w:t>cada</w:t>
      </w:r>
      <w:r w:rsidRPr="007B7381">
        <w:rPr>
          <w:rFonts w:asciiTheme="majorBidi" w:hAnsiTheme="majorBidi" w:cstheme="majorBidi"/>
        </w:rPr>
        <w:t xml:space="preserve"> Conferencia Mundial de Radiocomunicaciones (CMR). </w:t>
      </w:r>
      <w:r w:rsidR="009B6C11">
        <w:rPr>
          <w:rFonts w:asciiTheme="majorBidi" w:hAnsiTheme="majorBidi" w:cstheme="majorBidi"/>
        </w:rPr>
        <w:t>El</w:t>
      </w:r>
      <w:r w:rsidRPr="007B7381">
        <w:rPr>
          <w:rFonts w:asciiTheme="majorBidi" w:hAnsiTheme="majorBidi" w:cstheme="majorBidi"/>
        </w:rPr>
        <w:t xml:space="preserve"> proceso de actualización de </w:t>
      </w:r>
      <w:r w:rsidR="009B6C11">
        <w:rPr>
          <w:rFonts w:asciiTheme="majorBidi" w:hAnsiTheme="majorBidi" w:cstheme="majorBidi"/>
        </w:rPr>
        <w:t>los cuadros</w:t>
      </w:r>
      <w:r w:rsidRPr="007B7381">
        <w:rPr>
          <w:rFonts w:asciiTheme="majorBidi" w:hAnsiTheme="majorBidi" w:cstheme="majorBidi"/>
        </w:rPr>
        <w:t xml:space="preserve"> nacionales </w:t>
      </w:r>
      <w:r w:rsidRPr="007B7381">
        <w:t xml:space="preserve">de </w:t>
      </w:r>
      <w:r w:rsidR="009B6C11">
        <w:t>atribución</w:t>
      </w:r>
      <w:r w:rsidRPr="007B7381">
        <w:rPr>
          <w:rFonts w:asciiTheme="majorBidi" w:hAnsiTheme="majorBidi" w:cstheme="majorBidi"/>
        </w:rPr>
        <w:t xml:space="preserve"> de frecuencias requiere identificar qué cambios se han realizado en los servicios a los que se permite acceder a </w:t>
      </w:r>
      <w:r w:rsidR="009B6C11">
        <w:rPr>
          <w:rFonts w:asciiTheme="majorBidi" w:hAnsiTheme="majorBidi" w:cstheme="majorBidi"/>
        </w:rPr>
        <w:t>una</w:t>
      </w:r>
      <w:r w:rsidRPr="007B7381">
        <w:rPr>
          <w:rFonts w:asciiTheme="majorBidi" w:hAnsiTheme="majorBidi" w:cstheme="majorBidi"/>
        </w:rPr>
        <w:t xml:space="preserve"> gama de frecuencias</w:t>
      </w:r>
      <w:r w:rsidR="009B6C11">
        <w:rPr>
          <w:rFonts w:asciiTheme="majorBidi" w:hAnsiTheme="majorBidi" w:cstheme="majorBidi"/>
        </w:rPr>
        <w:t xml:space="preserve"> determinada</w:t>
      </w:r>
      <w:r w:rsidRPr="007B7381">
        <w:rPr>
          <w:rFonts w:asciiTheme="majorBidi" w:hAnsiTheme="majorBidi" w:cstheme="majorBidi"/>
        </w:rPr>
        <w:t xml:space="preserve">. </w:t>
      </w:r>
      <w:r w:rsidR="009B6C11">
        <w:rPr>
          <w:rFonts w:asciiTheme="majorBidi" w:hAnsiTheme="majorBidi" w:cstheme="majorBidi"/>
        </w:rPr>
        <w:t>Puede tratarse de u</w:t>
      </w:r>
      <w:r w:rsidRPr="007B7381">
        <w:rPr>
          <w:rFonts w:asciiTheme="majorBidi" w:hAnsiTheme="majorBidi" w:cstheme="majorBidi"/>
        </w:rPr>
        <w:t>n proceso manual</w:t>
      </w:r>
      <w:r w:rsidR="009B6C11">
        <w:rPr>
          <w:rFonts w:asciiTheme="majorBidi" w:hAnsiTheme="majorBidi" w:cstheme="majorBidi"/>
        </w:rPr>
        <w:t>,</w:t>
      </w:r>
      <w:r w:rsidRPr="007B7381">
        <w:rPr>
          <w:rFonts w:asciiTheme="majorBidi" w:hAnsiTheme="majorBidi" w:cstheme="majorBidi"/>
        </w:rPr>
        <w:t xml:space="preserve"> que requiere mucho tiempo tras </w:t>
      </w:r>
      <w:r w:rsidR="009B6C11">
        <w:rPr>
          <w:rFonts w:asciiTheme="majorBidi" w:hAnsiTheme="majorBidi" w:cstheme="majorBidi"/>
        </w:rPr>
        <w:t>cada</w:t>
      </w:r>
      <w:r w:rsidRPr="007B7381">
        <w:rPr>
          <w:rFonts w:asciiTheme="majorBidi" w:hAnsiTheme="majorBidi" w:cstheme="majorBidi"/>
        </w:rPr>
        <w:t xml:space="preserve"> CMR. Es posible que la IA </w:t>
      </w:r>
      <w:r w:rsidR="009B6C11">
        <w:rPr>
          <w:rFonts w:asciiTheme="majorBidi" w:hAnsiTheme="majorBidi" w:cstheme="majorBidi"/>
        </w:rPr>
        <w:t>permita</w:t>
      </w:r>
      <w:r w:rsidRPr="007B7381">
        <w:rPr>
          <w:rFonts w:asciiTheme="majorBidi" w:hAnsiTheme="majorBidi" w:cstheme="majorBidi"/>
        </w:rPr>
        <w:t xml:space="preserve">, a corto plazo, identificar los cambios </w:t>
      </w:r>
      <w:r w:rsidR="009B6C11">
        <w:rPr>
          <w:rFonts w:asciiTheme="majorBidi" w:hAnsiTheme="majorBidi" w:cstheme="majorBidi"/>
        </w:rPr>
        <w:t>pertinentes</w:t>
      </w:r>
      <w:r w:rsidRPr="007B7381">
        <w:rPr>
          <w:rFonts w:asciiTheme="majorBidi" w:hAnsiTheme="majorBidi" w:cstheme="majorBidi"/>
        </w:rPr>
        <w:t xml:space="preserve"> en el Reglamento de Radiocomunicaciones y actualizar </w:t>
      </w:r>
      <w:r w:rsidR="009B6C11">
        <w:rPr>
          <w:rFonts w:asciiTheme="majorBidi" w:hAnsiTheme="majorBidi" w:cstheme="majorBidi"/>
        </w:rPr>
        <w:t>los citados cuadros nacionales de atribución de frecuencias</w:t>
      </w:r>
      <w:r w:rsidRPr="007B7381">
        <w:rPr>
          <w:rFonts w:asciiTheme="majorBidi" w:hAnsiTheme="majorBidi" w:cstheme="majorBidi"/>
        </w:rPr>
        <w:t xml:space="preserve"> en un plazo más breve y con menos errores que un ser humano.</w:t>
      </w:r>
    </w:p>
    <w:p w14:paraId="75ED6081" w14:textId="223DAF7E" w:rsidR="0027482E" w:rsidRPr="007B7381" w:rsidRDefault="0027482E" w:rsidP="0027482E">
      <w:pPr>
        <w:rPr>
          <w:rFonts w:asciiTheme="majorBidi" w:hAnsiTheme="majorBidi" w:cstheme="majorBidi"/>
        </w:rPr>
      </w:pPr>
      <w:r w:rsidRPr="007B7381">
        <w:rPr>
          <w:rFonts w:asciiTheme="majorBidi" w:hAnsiTheme="majorBidi" w:cstheme="majorBidi"/>
        </w:rPr>
        <w:t xml:space="preserve">También </w:t>
      </w:r>
      <w:r w:rsidR="009B6C11">
        <w:rPr>
          <w:rFonts w:asciiTheme="majorBidi" w:hAnsiTheme="majorBidi" w:cstheme="majorBidi"/>
        </w:rPr>
        <w:t>cabe destacar la aplicación de la</w:t>
      </w:r>
      <w:r w:rsidRPr="007B7381">
        <w:rPr>
          <w:rFonts w:asciiTheme="majorBidi" w:hAnsiTheme="majorBidi" w:cstheme="majorBidi"/>
        </w:rPr>
        <w:t xml:space="preserve"> inteligencia artificial </w:t>
      </w:r>
      <w:r w:rsidR="009B6C11">
        <w:rPr>
          <w:rFonts w:asciiTheme="majorBidi" w:hAnsiTheme="majorBidi" w:cstheme="majorBidi"/>
        </w:rPr>
        <w:t>al reconocimiento de notificaciones de redes de satélite en la</w:t>
      </w:r>
      <w:r w:rsidRPr="007B7381">
        <w:rPr>
          <w:rFonts w:asciiTheme="majorBidi" w:hAnsiTheme="majorBidi" w:cstheme="majorBidi"/>
        </w:rPr>
        <w:t xml:space="preserve"> UIT. </w:t>
      </w:r>
      <w:r w:rsidR="0094655F">
        <w:rPr>
          <w:rFonts w:asciiTheme="majorBidi" w:hAnsiTheme="majorBidi" w:cstheme="majorBidi"/>
        </w:rPr>
        <w:t>Según el</w:t>
      </w:r>
      <w:r w:rsidRPr="007B7381">
        <w:rPr>
          <w:rFonts w:asciiTheme="majorBidi" w:hAnsiTheme="majorBidi" w:cstheme="majorBidi"/>
        </w:rPr>
        <w:t xml:space="preserve"> personal de la TDRA, </w:t>
      </w:r>
      <w:r w:rsidR="0094655F">
        <w:rPr>
          <w:rFonts w:asciiTheme="majorBidi" w:hAnsiTheme="majorBidi" w:cstheme="majorBidi"/>
        </w:rPr>
        <w:t>ello</w:t>
      </w:r>
      <w:r w:rsidRPr="007B7381">
        <w:rPr>
          <w:rFonts w:asciiTheme="majorBidi" w:hAnsiTheme="majorBidi" w:cstheme="majorBidi"/>
        </w:rPr>
        <w:t xml:space="preserve"> requiere un enfoque de aprendizaje automático, basado en </w:t>
      </w:r>
      <w:r w:rsidR="0094655F">
        <w:rPr>
          <w:rFonts w:asciiTheme="majorBidi" w:hAnsiTheme="majorBidi" w:cstheme="majorBidi"/>
        </w:rPr>
        <w:t>notificaciones de redes de</w:t>
      </w:r>
      <w:r w:rsidRPr="007B7381">
        <w:rPr>
          <w:rFonts w:asciiTheme="majorBidi" w:hAnsiTheme="majorBidi" w:cstheme="majorBidi"/>
        </w:rPr>
        <w:t xml:space="preserve"> satélite </w:t>
      </w:r>
      <w:r w:rsidR="0094655F">
        <w:rPr>
          <w:rFonts w:asciiTheme="majorBidi" w:hAnsiTheme="majorBidi" w:cstheme="majorBidi"/>
        </w:rPr>
        <w:t>realizadas satisfactoriamente hasta ahora</w:t>
      </w:r>
      <w:r w:rsidRPr="007B7381">
        <w:rPr>
          <w:rFonts w:asciiTheme="majorBidi" w:hAnsiTheme="majorBidi" w:cstheme="majorBidi"/>
        </w:rPr>
        <w:t xml:space="preserve">, o el desarrollo de un algoritmo para determinar la probabilidad de éxito. </w:t>
      </w:r>
    </w:p>
    <w:p w14:paraId="2E9C1F7D" w14:textId="400C163C" w:rsidR="0027482E" w:rsidRPr="007B7381" w:rsidRDefault="0027482E" w:rsidP="0027482E">
      <w:pPr>
        <w:pStyle w:val="Heading3"/>
      </w:pPr>
      <w:bookmarkStart w:id="383" w:name="_Toc121911830"/>
      <w:r w:rsidRPr="007B7381">
        <w:t>5.2.4</w:t>
      </w:r>
      <w:r w:rsidRPr="007B7381">
        <w:tab/>
      </w:r>
      <w:r w:rsidR="0094655F">
        <w:t>Cadenas de bloques</w:t>
      </w:r>
      <w:r w:rsidRPr="007B7381">
        <w:t xml:space="preserve"> y procedimientos seguros de asignación cooperativa</w:t>
      </w:r>
      <w:bookmarkEnd w:id="383"/>
    </w:p>
    <w:p w14:paraId="3670C42B" w14:textId="186F20AE" w:rsidR="0027482E" w:rsidRPr="007B7381" w:rsidRDefault="0094655F" w:rsidP="0027482E">
      <w:r>
        <w:t>Las</w:t>
      </w:r>
      <w:r w:rsidR="0027482E" w:rsidRPr="007B7381">
        <w:t xml:space="preserve"> cadena</w:t>
      </w:r>
      <w:r>
        <w:t>s</w:t>
      </w:r>
      <w:r w:rsidR="0027482E" w:rsidRPr="007B7381">
        <w:t xml:space="preserve"> de bloques </w:t>
      </w:r>
      <w:r>
        <w:t>son</w:t>
      </w:r>
      <w:r w:rsidR="0027482E" w:rsidRPr="007B7381">
        <w:t xml:space="preserve"> libro</w:t>
      </w:r>
      <w:r>
        <w:t>s mayores</w:t>
      </w:r>
      <w:r w:rsidR="0027482E" w:rsidRPr="007B7381">
        <w:t xml:space="preserve"> </w:t>
      </w:r>
      <w:r>
        <w:t xml:space="preserve">distribuidos y </w:t>
      </w:r>
      <w:r w:rsidR="0027482E" w:rsidRPr="007B7381">
        <w:t>descentralizado</w:t>
      </w:r>
      <w:r>
        <w:t>s que contienen</w:t>
      </w:r>
      <w:r w:rsidR="0027482E" w:rsidRPr="007B7381">
        <w:t xml:space="preserve"> información, compartido</w:t>
      </w:r>
      <w:r>
        <w:t>s</w:t>
      </w:r>
      <w:r w:rsidR="0027482E" w:rsidRPr="007B7381">
        <w:t xml:space="preserve"> entre varios nodos. Actualmente no se utiliza</w:t>
      </w:r>
      <w:r>
        <w:t>n</w:t>
      </w:r>
      <w:r w:rsidR="0027482E" w:rsidRPr="007B7381">
        <w:t xml:space="preserve"> de forma generalizada en los sistemas de gestión del espectro, </w:t>
      </w:r>
      <w:r>
        <w:t>si bien</w:t>
      </w:r>
      <w:r w:rsidR="0027482E" w:rsidRPr="007B7381">
        <w:t xml:space="preserve"> la</w:t>
      </w:r>
      <w:r>
        <w:t xml:space="preserve">s </w:t>
      </w:r>
      <w:r w:rsidR="0027482E" w:rsidRPr="007B7381">
        <w:t>cadena</w:t>
      </w:r>
      <w:r>
        <w:t>s</w:t>
      </w:r>
      <w:r w:rsidR="0027482E" w:rsidRPr="007B7381">
        <w:t xml:space="preserve"> de bloques u otros procedimientos de asignación cooperativa segura pueden considerarse una solución </w:t>
      </w:r>
      <w:r>
        <w:t>adecuada</w:t>
      </w:r>
      <w:r w:rsidR="0027482E" w:rsidRPr="007B7381">
        <w:t xml:space="preserve"> para resolver algunos de los retos futuros relacionados con la verificación de datos. </w:t>
      </w:r>
    </w:p>
    <w:p w14:paraId="1F228395" w14:textId="08390142" w:rsidR="0027482E" w:rsidRPr="007B7381" w:rsidRDefault="0027482E" w:rsidP="0027482E">
      <w:r w:rsidRPr="007B7381">
        <w:t xml:space="preserve">Es muy </w:t>
      </w:r>
      <w:r w:rsidR="0094655F">
        <w:t>complejo</w:t>
      </w:r>
      <w:r w:rsidRPr="007B7381">
        <w:t xml:space="preserve"> para los usuarios falsificar la información, </w:t>
      </w:r>
      <w:r w:rsidR="0094655F">
        <w:t>puesto</w:t>
      </w:r>
      <w:r w:rsidRPr="007B7381">
        <w:t xml:space="preserve"> que cada nodo (</w:t>
      </w:r>
      <w:r w:rsidR="0094655F">
        <w:t>computador</w:t>
      </w:r>
      <w:r w:rsidRPr="007B7381">
        <w:t xml:space="preserve">) contiene una copia </w:t>
      </w:r>
      <w:r w:rsidR="0094655F">
        <w:t>íntegra</w:t>
      </w:r>
      <w:r w:rsidRPr="007B7381">
        <w:t xml:space="preserve"> de la información y </w:t>
      </w:r>
      <w:r w:rsidR="0094655F">
        <w:t>cada</w:t>
      </w:r>
      <w:r w:rsidRPr="007B7381">
        <w:t xml:space="preserve"> </w:t>
      </w:r>
      <w:r w:rsidR="0094655F" w:rsidRPr="007B7381">
        <w:t>transacción</w:t>
      </w:r>
      <w:r w:rsidRPr="007B7381">
        <w:t xml:space="preserve"> (cambio en la información) se verifica antes de su </w:t>
      </w:r>
      <w:r w:rsidR="00E9604E">
        <w:t>aprobación</w:t>
      </w:r>
      <w:r w:rsidRPr="007B7381">
        <w:t xml:space="preserve"> en la cadena de bloques. A continuación</w:t>
      </w:r>
      <w:r w:rsidR="0003771A">
        <w:t>,</w:t>
      </w:r>
      <w:r w:rsidRPr="007B7381">
        <w:t xml:space="preserve"> se </w:t>
      </w:r>
      <w:r w:rsidR="00E9604E">
        <w:t>enumeran</w:t>
      </w:r>
      <w:r w:rsidRPr="007B7381">
        <w:t xml:space="preserve"> cinco ventajas clave de las cadenas de bloques</w:t>
      </w:r>
      <w:r w:rsidRPr="00043BF5">
        <w:rPr>
          <w:rStyle w:val="FootnoteReference"/>
        </w:rPr>
        <w:footnoteReference w:id="30"/>
      </w:r>
      <w:r>
        <w:t>:</w:t>
      </w:r>
    </w:p>
    <w:p w14:paraId="0A1EBC6E" w14:textId="4B2ADE51" w:rsidR="0027482E" w:rsidRPr="007B7381" w:rsidRDefault="0003771A" w:rsidP="00483D39">
      <w:pPr>
        <w:pStyle w:val="enumlev1"/>
        <w:keepNext/>
        <w:keepLines/>
      </w:pPr>
      <w:r>
        <w:lastRenderedPageBreak/>
        <w:t>–</w:t>
      </w:r>
      <w:r w:rsidR="0027482E" w:rsidRPr="007B7381">
        <w:tab/>
        <w:t>Descentralización, es decir, ninguna parte es responsable de la información.</w:t>
      </w:r>
    </w:p>
    <w:p w14:paraId="582F7E82" w14:textId="48C9CE29" w:rsidR="0027482E" w:rsidRPr="007B7381" w:rsidRDefault="0003771A" w:rsidP="0027482E">
      <w:pPr>
        <w:pStyle w:val="enumlev1"/>
      </w:pPr>
      <w:r>
        <w:t>–</w:t>
      </w:r>
      <w:r w:rsidR="0027482E" w:rsidRPr="007B7381">
        <w:tab/>
        <w:t>Transparencia, es decir, el historial de transacciones que han dado lugar al estado actual es visible para todos los usuarios.</w:t>
      </w:r>
    </w:p>
    <w:p w14:paraId="3115240F" w14:textId="43EEE547" w:rsidR="0027482E" w:rsidRPr="007B7381" w:rsidRDefault="0003771A" w:rsidP="0027482E">
      <w:pPr>
        <w:pStyle w:val="enumlev1"/>
      </w:pPr>
      <w:r>
        <w:t>–</w:t>
      </w:r>
      <w:r w:rsidR="0027482E" w:rsidRPr="007B7381">
        <w:tab/>
        <w:t>In</w:t>
      </w:r>
      <w:r w:rsidR="00E9604E">
        <w:t>variabilidad,</w:t>
      </w:r>
      <w:r w:rsidR="0027482E" w:rsidRPr="007B7381">
        <w:t xml:space="preserve"> es decir, es </w:t>
      </w:r>
      <w:r w:rsidR="00E9604E">
        <w:t xml:space="preserve">muy complejo modificar </w:t>
      </w:r>
      <w:r w:rsidR="0027482E" w:rsidRPr="007B7381">
        <w:t>la información.</w:t>
      </w:r>
    </w:p>
    <w:p w14:paraId="13151D55" w14:textId="235BD6B7" w:rsidR="0027482E" w:rsidRPr="007B7381" w:rsidRDefault="0003771A" w:rsidP="0027482E">
      <w:pPr>
        <w:pStyle w:val="enumlev1"/>
      </w:pPr>
      <w:r>
        <w:t>–</w:t>
      </w:r>
      <w:r w:rsidR="0027482E" w:rsidRPr="007B7381">
        <w:tab/>
        <w:t>Disponibilidad, es decir, la</w:t>
      </w:r>
      <w:r w:rsidR="00E9604E">
        <w:t>s</w:t>
      </w:r>
      <w:r w:rsidR="0027482E" w:rsidRPr="007B7381">
        <w:t xml:space="preserve"> cadena</w:t>
      </w:r>
      <w:r w:rsidR="00E9604E">
        <w:t>s</w:t>
      </w:r>
      <w:r w:rsidR="0027482E" w:rsidRPr="007B7381">
        <w:t xml:space="preserve"> de bloques se </w:t>
      </w:r>
      <w:r w:rsidR="00E9604E">
        <w:t>copian</w:t>
      </w:r>
      <w:r w:rsidR="0027482E" w:rsidRPr="007B7381">
        <w:t xml:space="preserve"> en muchos nodos, lo que ofrece gran redundancia.</w:t>
      </w:r>
    </w:p>
    <w:p w14:paraId="2C12FD1A" w14:textId="14FB8A51" w:rsidR="0027482E" w:rsidRPr="007B7381" w:rsidRDefault="0003771A" w:rsidP="0027482E">
      <w:pPr>
        <w:pStyle w:val="enumlev1"/>
      </w:pPr>
      <w:r>
        <w:t>–</w:t>
      </w:r>
      <w:r w:rsidR="0027482E" w:rsidRPr="007B7381">
        <w:tab/>
        <w:t xml:space="preserve">Seguridad, es decir, todas las entradas del libro mayor </w:t>
      </w:r>
      <w:r w:rsidR="00E9604E">
        <w:t xml:space="preserve">distribuido </w:t>
      </w:r>
      <w:r w:rsidR="0027482E" w:rsidRPr="007B7381">
        <w:t>están firmadas criptográficamente.</w:t>
      </w:r>
    </w:p>
    <w:p w14:paraId="6F84A343" w14:textId="5E8A25FA" w:rsidR="0027482E" w:rsidRPr="007B7381" w:rsidRDefault="0027482E" w:rsidP="0027482E">
      <w:r w:rsidRPr="007B7381">
        <w:t xml:space="preserve">En conjunto, estas características </w:t>
      </w:r>
      <w:r w:rsidR="00E9604E">
        <w:t>fundamentales</w:t>
      </w:r>
      <w:r w:rsidRPr="007B7381">
        <w:t xml:space="preserve"> pueden </w:t>
      </w:r>
      <w:r w:rsidR="00E9604E">
        <w:t>evitar</w:t>
      </w:r>
      <w:r w:rsidRPr="007B7381">
        <w:t xml:space="preserve"> la necesidad de </w:t>
      </w:r>
      <w:r w:rsidR="00E9604E">
        <w:t xml:space="preserve">contar con un organismo </w:t>
      </w:r>
      <w:r w:rsidRPr="007B7381">
        <w:t xml:space="preserve">de confianza </w:t>
      </w:r>
      <w:r w:rsidR="00E9604E">
        <w:t>encargado</w:t>
      </w:r>
      <w:r w:rsidRPr="007B7381">
        <w:t xml:space="preserve"> de la administración de muchos aspectos de la gestión del espectro</w:t>
      </w:r>
      <w:r w:rsidR="00E9604E">
        <w:t>,</w:t>
      </w:r>
      <w:r w:rsidRPr="007B7381">
        <w:t xml:space="preserve"> y </w:t>
      </w:r>
      <w:r w:rsidR="00E9604E">
        <w:t>mejorar la</w:t>
      </w:r>
      <w:r w:rsidRPr="007B7381">
        <w:t xml:space="preserve"> visibilidad de la ocupación del espectro, </w:t>
      </w:r>
      <w:r w:rsidR="00E9604E">
        <w:t>en particular</w:t>
      </w:r>
      <w:r w:rsidRPr="007B7381">
        <w:t xml:space="preserve"> si la cadena de bloques se puede actualizar en tiempo (casi) real.</w:t>
      </w:r>
    </w:p>
    <w:p w14:paraId="4E7832DB" w14:textId="71FE3FBE" w:rsidR="0027482E" w:rsidRPr="007B7381" w:rsidRDefault="00E9604E" w:rsidP="0027482E">
      <w:r>
        <w:t>Brindar acceso a</w:t>
      </w:r>
      <w:r w:rsidR="0027482E" w:rsidRPr="007B7381">
        <w:t xml:space="preserve"> la cadena de bloques </w:t>
      </w:r>
      <w:r>
        <w:t>de</w:t>
      </w:r>
      <w:r w:rsidR="0027482E" w:rsidRPr="007B7381">
        <w:t xml:space="preserve"> todos los usuarios tiene el inconveniente de que se requieren mecanismos de verificación y nodos de cadena de bloques más complejos, </w:t>
      </w:r>
      <w:r>
        <w:t>si bien evitar</w:t>
      </w:r>
      <w:r w:rsidR="0027482E" w:rsidRPr="007B7381">
        <w:t xml:space="preserve"> carga administrativa </w:t>
      </w:r>
      <w:r>
        <w:t>al organismo de reglamentación</w:t>
      </w:r>
      <w:r w:rsidR="0027482E" w:rsidRPr="007B7381">
        <w:t xml:space="preserve">. </w:t>
      </w:r>
    </w:p>
    <w:p w14:paraId="7443DC96" w14:textId="5A5C89B0" w:rsidR="0027482E" w:rsidRPr="007B7381" w:rsidRDefault="00E9604E" w:rsidP="0027482E">
      <w:r>
        <w:t>Aunque</w:t>
      </w:r>
      <w:r w:rsidR="0027482E" w:rsidRPr="007B7381">
        <w:t xml:space="preserve"> </w:t>
      </w:r>
      <w:r>
        <w:t>cabe prever</w:t>
      </w:r>
      <w:r w:rsidR="0027482E" w:rsidRPr="007B7381">
        <w:t xml:space="preserve"> varias ventajas y casos de </w:t>
      </w:r>
      <w:r>
        <w:t>utilización</w:t>
      </w:r>
      <w:r w:rsidR="0027482E" w:rsidRPr="007B7381">
        <w:t xml:space="preserve"> relacionados con </w:t>
      </w:r>
      <w:r>
        <w:t>la aplicación</w:t>
      </w:r>
      <w:r w:rsidR="0027482E" w:rsidRPr="007B7381">
        <w:t xml:space="preserve"> de la</w:t>
      </w:r>
      <w:r>
        <w:t>s</w:t>
      </w:r>
      <w:r w:rsidR="0027482E" w:rsidRPr="007B7381">
        <w:t xml:space="preserve"> cade</w:t>
      </w:r>
      <w:r>
        <w:t>nas</w:t>
      </w:r>
      <w:r w:rsidR="0027482E" w:rsidRPr="007B7381">
        <w:t xml:space="preserve"> de bloques </w:t>
      </w:r>
      <w:r w:rsidR="00487AAF">
        <w:t>a</w:t>
      </w:r>
      <w:r w:rsidR="0027482E" w:rsidRPr="007B7381">
        <w:t xml:space="preserve"> la gestión del espectro, también </w:t>
      </w:r>
      <w:r w:rsidR="00487AAF">
        <w:t>presentan</w:t>
      </w:r>
      <w:r w:rsidR="0027482E" w:rsidRPr="007B7381">
        <w:t xml:space="preserve"> </w:t>
      </w:r>
      <w:r w:rsidR="00487AAF">
        <w:t>posibles</w:t>
      </w:r>
      <w:r w:rsidR="0027482E" w:rsidRPr="007B7381">
        <w:t xml:space="preserve"> inconvenientes. En primer lugar, la </w:t>
      </w:r>
      <w:r w:rsidR="00D41089">
        <w:t>capacidad</w:t>
      </w:r>
      <w:r w:rsidR="0027482E" w:rsidRPr="007B7381">
        <w:t xml:space="preserve"> de procesamiento necesaria para validar las transacciones de la</w:t>
      </w:r>
      <w:r w:rsidR="00487AAF">
        <w:t>s</w:t>
      </w:r>
      <w:r w:rsidR="0027482E" w:rsidRPr="007B7381">
        <w:t xml:space="preserve"> cadena</w:t>
      </w:r>
      <w:r w:rsidR="00487AAF">
        <w:t>s</w:t>
      </w:r>
      <w:r w:rsidR="0027482E" w:rsidRPr="007B7381">
        <w:t xml:space="preserve"> de bloques </w:t>
      </w:r>
      <w:r w:rsidR="00487AAF">
        <w:t>es susceptible de limitar</w:t>
      </w:r>
      <w:r w:rsidR="0027482E" w:rsidRPr="007B7381">
        <w:t xml:space="preserve"> su </w:t>
      </w:r>
      <w:r w:rsidR="00487AAF">
        <w:t>aplicación</w:t>
      </w:r>
      <w:r w:rsidR="0027482E" w:rsidRPr="007B7381">
        <w:t xml:space="preserve">. Es probable que muchos de los dispositivos que podrían utilizar las cadenas de bloques sean de </w:t>
      </w:r>
      <w:r w:rsidR="00487AAF">
        <w:t>carácter</w:t>
      </w:r>
      <w:r w:rsidR="0027482E" w:rsidRPr="007B7381">
        <w:t xml:space="preserve"> móvil y, </w:t>
      </w:r>
      <w:r w:rsidR="00487AAF">
        <w:t>en consecuencia</w:t>
      </w:r>
      <w:r w:rsidR="0027482E" w:rsidRPr="007B7381">
        <w:t xml:space="preserve">, funcionen con baterías. El consumo de batería que generará la necesidad de validar las transacciones podría resultar prohibitivo. </w:t>
      </w:r>
      <w:r w:rsidR="00487AAF">
        <w:t>De forma análoga</w:t>
      </w:r>
      <w:r w:rsidR="0027482E" w:rsidRPr="007B7381">
        <w:t xml:space="preserve">, la validación de las transacciones también requerirá una comunicación adicional entre los nodos o dispositivos que acceden al espectro y los demás nodos de la cadena de bloques. </w:t>
      </w:r>
      <w:r w:rsidR="00487AAF">
        <w:t>Ello</w:t>
      </w:r>
      <w:r w:rsidR="0027482E" w:rsidRPr="007B7381">
        <w:t xml:space="preserve"> podría requerir recursos de espectro adicionales, lo que reduciría la eficiencia del sistema. La validación también requiere tiempo. </w:t>
      </w:r>
      <w:r w:rsidR="00487AAF">
        <w:t>En consecuencia</w:t>
      </w:r>
      <w:r w:rsidR="0027482E" w:rsidRPr="007B7381">
        <w:t>, la</w:t>
      </w:r>
      <w:r w:rsidR="00487AAF">
        <w:t>s</w:t>
      </w:r>
      <w:r w:rsidR="0027482E" w:rsidRPr="007B7381">
        <w:t xml:space="preserve"> cadena</w:t>
      </w:r>
      <w:r w:rsidR="00487AAF">
        <w:t>s</w:t>
      </w:r>
      <w:r w:rsidR="0027482E" w:rsidRPr="007B7381">
        <w:t xml:space="preserve"> de bloques como sistema de autorización o gestión del espectro en tiempo real </w:t>
      </w:r>
      <w:r w:rsidR="00487AAF">
        <w:t>podrían</w:t>
      </w:r>
      <w:r w:rsidR="0027482E" w:rsidRPr="007B7381">
        <w:t xml:space="preserve"> ser limitada</w:t>
      </w:r>
      <w:r w:rsidR="00487AAF">
        <w:t>s</w:t>
      </w:r>
      <w:r w:rsidR="0027482E" w:rsidRPr="007B7381">
        <w:t>.</w:t>
      </w:r>
    </w:p>
    <w:p w14:paraId="6A726F4F" w14:textId="6C555147" w:rsidR="0027482E" w:rsidRPr="007B7381" w:rsidRDefault="0027482E" w:rsidP="0027482E">
      <w:r w:rsidRPr="007B7381">
        <w:t xml:space="preserve">Existen casos de </w:t>
      </w:r>
      <w:r w:rsidR="00487AAF">
        <w:t>utilización</w:t>
      </w:r>
      <w:r w:rsidRPr="007B7381">
        <w:t xml:space="preserve"> prometedores para la</w:t>
      </w:r>
      <w:r w:rsidR="00487AAF">
        <w:t>s</w:t>
      </w:r>
      <w:r w:rsidRPr="007B7381">
        <w:t xml:space="preserve"> cadena</w:t>
      </w:r>
      <w:r w:rsidR="00487AAF">
        <w:t>s</w:t>
      </w:r>
      <w:r w:rsidRPr="007B7381">
        <w:t xml:space="preserve"> de bloques, </w:t>
      </w:r>
      <w:r w:rsidR="00487AAF">
        <w:t>si bien</w:t>
      </w:r>
      <w:r w:rsidRPr="007B7381">
        <w:t xml:space="preserve"> es necesario comprender sus limitaciones. En </w:t>
      </w:r>
      <w:r w:rsidR="00487AAF">
        <w:t>el caso más favorable</w:t>
      </w:r>
      <w:r w:rsidRPr="007B7381">
        <w:t xml:space="preserve">, </w:t>
      </w:r>
      <w:r w:rsidR="00487AAF">
        <w:t>constituyen</w:t>
      </w:r>
      <w:r w:rsidRPr="007B7381">
        <w:t xml:space="preserve"> una herramienta de gestión del espectro descentralizada que puede</w:t>
      </w:r>
      <w:r w:rsidR="00487AAF">
        <w:t>n</w:t>
      </w:r>
      <w:r w:rsidRPr="007B7381">
        <w:t xml:space="preserve"> </w:t>
      </w:r>
      <w:r w:rsidR="00487AAF">
        <w:t>contribuir,</w:t>
      </w:r>
      <w:r w:rsidRPr="007B7381">
        <w:t xml:space="preserve"> </w:t>
      </w:r>
      <w:r w:rsidR="00487AAF">
        <w:t>casi</w:t>
      </w:r>
      <w:r w:rsidR="00487AAF" w:rsidRPr="007B7381">
        <w:t xml:space="preserve"> en tiempo real</w:t>
      </w:r>
      <w:r w:rsidR="00487AAF">
        <w:t>,</w:t>
      </w:r>
      <w:r w:rsidR="00487AAF" w:rsidRPr="007B7381">
        <w:t xml:space="preserve"> </w:t>
      </w:r>
      <w:r w:rsidRPr="007B7381">
        <w:t xml:space="preserve">a incentivar a los usuarios a compartir el espectro de forma más eficaz y eficiente. En el </w:t>
      </w:r>
      <w:r w:rsidR="00487AAF">
        <w:t>caso más desfavorable, son</w:t>
      </w:r>
      <w:r w:rsidRPr="007B7381">
        <w:t xml:space="preserve"> una forma ineficaz de </w:t>
      </w:r>
      <w:r w:rsidR="00487AAF">
        <w:t>copiar información de la que ya disponen los organismos de reglamentación</w:t>
      </w:r>
      <w:r w:rsidRPr="007B7381">
        <w:t xml:space="preserve">. La </w:t>
      </w:r>
      <w:r w:rsidR="00487AAF">
        <w:t>implantación</w:t>
      </w:r>
      <w:r w:rsidRPr="007B7381">
        <w:t xml:space="preserve"> </w:t>
      </w:r>
      <w:r w:rsidR="00487AAF">
        <w:t>satisfactoria</w:t>
      </w:r>
      <w:r w:rsidRPr="007B7381">
        <w:t xml:space="preserve"> por la ANFR de cadena de bloques </w:t>
      </w:r>
      <w:r w:rsidR="00487AAF">
        <w:t xml:space="preserve">a los efectos de </w:t>
      </w:r>
      <w:r w:rsidRPr="007B7381">
        <w:t xml:space="preserve">autocoordinación de frecuencias entre usuarios de PMSE </w:t>
      </w:r>
      <w:r w:rsidR="00487AAF">
        <w:t>pone de relieve</w:t>
      </w:r>
      <w:r w:rsidRPr="007B7381">
        <w:t xml:space="preserve"> que, en casos específicos, la</w:t>
      </w:r>
      <w:r w:rsidR="00487AAF">
        <w:t xml:space="preserve">s </w:t>
      </w:r>
      <w:r w:rsidRPr="007B7381">
        <w:t>cadena</w:t>
      </w:r>
      <w:r w:rsidR="00487AAF">
        <w:t>s</w:t>
      </w:r>
      <w:r w:rsidRPr="007B7381">
        <w:t xml:space="preserve"> de bloques puede</w:t>
      </w:r>
      <w:r w:rsidR="00487AAF">
        <w:t>n</w:t>
      </w:r>
      <w:r w:rsidRPr="007B7381">
        <w:t xml:space="preserve"> proporcionar beneficios. Sin embargo, la mayoría de los </w:t>
      </w:r>
      <w:r w:rsidR="00487AAF">
        <w:t>organismos de reglamentación</w:t>
      </w:r>
      <w:r w:rsidRPr="007B7381">
        <w:t xml:space="preserve"> siguen sin estar convencidos de las ventajas </w:t>
      </w:r>
      <w:r w:rsidR="00487AAF">
        <w:t>que brinda la implantación de</w:t>
      </w:r>
      <w:r w:rsidRPr="007B7381">
        <w:t xml:space="preserve"> cadena</w:t>
      </w:r>
      <w:r w:rsidR="00487AAF">
        <w:t>s</w:t>
      </w:r>
      <w:r w:rsidRPr="007B7381">
        <w:t xml:space="preserve"> de bloques en la gestión del espectro de forma general. </w:t>
      </w:r>
      <w:r w:rsidR="00487AAF">
        <w:t>Podrían analizarse a tal efecto</w:t>
      </w:r>
      <w:r w:rsidRPr="007B7381">
        <w:t xml:space="preserve"> otros procedimientos de asignación cooperativa más sencillos y seguros.</w:t>
      </w:r>
    </w:p>
    <w:p w14:paraId="43251D9D" w14:textId="255DC9D3" w:rsidR="0027482E" w:rsidRPr="007B7381" w:rsidRDefault="0027482E" w:rsidP="0027482E">
      <w:pPr>
        <w:pStyle w:val="Heading3"/>
      </w:pPr>
      <w:bookmarkStart w:id="384" w:name="_Toc121911831"/>
      <w:r w:rsidRPr="007B7381">
        <w:t>5.2.5</w:t>
      </w:r>
      <w:r w:rsidRPr="007B7381">
        <w:tab/>
        <w:t xml:space="preserve">Pagos </w:t>
      </w:r>
      <w:r w:rsidR="00487AAF">
        <w:t>mediante</w:t>
      </w:r>
      <w:r w:rsidRPr="007B7381">
        <w:t xml:space="preserve"> </w:t>
      </w:r>
      <w:r w:rsidR="00487AAF">
        <w:t>divisas</w:t>
      </w:r>
      <w:r w:rsidRPr="007B7381">
        <w:t xml:space="preserve"> digitales (Proyecto Aber 2019-20 de EAU)</w:t>
      </w:r>
      <w:bookmarkEnd w:id="384"/>
    </w:p>
    <w:p w14:paraId="01EDE9CE" w14:textId="77D8FB49" w:rsidR="0027482E" w:rsidRPr="007B7381" w:rsidRDefault="0027482E" w:rsidP="0027482E">
      <w:r w:rsidRPr="007B7381">
        <w:t xml:space="preserve">Emiratos Árabes Unidos </w:t>
      </w:r>
      <w:r w:rsidR="00487AAF">
        <w:t>puso en marcha</w:t>
      </w:r>
      <w:r w:rsidRPr="007B7381">
        <w:t xml:space="preserve"> en 2019 el Proyecto Aber, </w:t>
      </w:r>
      <w:r w:rsidR="0084020E">
        <w:t>sobre</w:t>
      </w:r>
      <w:r w:rsidR="00487AAF">
        <w:t xml:space="preserve"> una</w:t>
      </w:r>
      <w:r w:rsidRPr="007B7381">
        <w:t xml:space="preserve"> </w:t>
      </w:r>
      <w:r w:rsidR="00487AAF">
        <w:t>divisa</w:t>
      </w:r>
      <w:r w:rsidRPr="007B7381">
        <w:t xml:space="preserve"> digital del banco central (CBDC)</w:t>
      </w:r>
      <w:r w:rsidR="0084020E">
        <w:t>, con objeto de estudiar la realización de</w:t>
      </w:r>
      <w:r w:rsidRPr="007B7381">
        <w:t xml:space="preserve"> pagos nacionales y transfronterizos a través de un sistema de pago distribuido. El proyecto </w:t>
      </w:r>
      <w:r w:rsidR="0084020E">
        <w:t>registró</w:t>
      </w:r>
      <w:r w:rsidRPr="007B7381">
        <w:t xml:space="preserve"> mejoras </w:t>
      </w:r>
      <w:r w:rsidR="0084020E">
        <w:t xml:space="preserve">sustanciales </w:t>
      </w:r>
      <w:r w:rsidRPr="007B7381">
        <w:t xml:space="preserve">en </w:t>
      </w:r>
      <w:r w:rsidR="0084020E">
        <w:t>cuanto a</w:t>
      </w:r>
      <w:r w:rsidRPr="007B7381">
        <w:t xml:space="preserve"> eficiencia y ahorro</w:t>
      </w:r>
      <w:r w:rsidR="0084020E">
        <w:t xml:space="preserve"> de </w:t>
      </w:r>
      <w:r w:rsidRPr="007B7381">
        <w:t xml:space="preserve">costes </w:t>
      </w:r>
      <w:r w:rsidR="0084020E">
        <w:t>por</w:t>
      </w:r>
      <w:r w:rsidRPr="007B7381">
        <w:t xml:space="preserve"> transacción al utilizar un sistema de pago centralizado</w:t>
      </w:r>
      <w:r w:rsidRPr="00043BF5">
        <w:rPr>
          <w:rStyle w:val="FootnoteReference"/>
        </w:rPr>
        <w:footnoteReference w:id="31"/>
      </w:r>
      <w:r w:rsidRPr="007B7381">
        <w:t xml:space="preserve">. En noviembre de 2020, </w:t>
      </w:r>
      <w:r w:rsidRPr="007B7381">
        <w:lastRenderedPageBreak/>
        <w:t xml:space="preserve">se consideró viable el despliegue de una CBDC en EAU, a la espera de </w:t>
      </w:r>
      <w:r w:rsidR="0084020E">
        <w:t xml:space="preserve">realizar </w:t>
      </w:r>
      <w:r w:rsidRPr="007B7381">
        <w:t xml:space="preserve">nuevos estudios. En particular, las CBDC </w:t>
      </w:r>
      <w:r w:rsidR="00855608">
        <w:t>deben superar amplios</w:t>
      </w:r>
      <w:r w:rsidRPr="007B7381">
        <w:t xml:space="preserve"> retos normativos que requieren un examen </w:t>
      </w:r>
      <w:r w:rsidR="00855608">
        <w:t>pormenorizado, en particular, aspectos relacionados</w:t>
      </w:r>
      <w:r w:rsidRPr="007B7381">
        <w:t xml:space="preserve"> con la privacidad, la protección de los consumidores y las normas contra el blanqueo de capitales</w:t>
      </w:r>
      <w:r w:rsidRPr="00043BF5">
        <w:rPr>
          <w:rStyle w:val="FootnoteReference"/>
        </w:rPr>
        <w:footnoteReference w:id="32"/>
      </w:r>
      <w:r w:rsidRPr="007B7381">
        <w:t xml:space="preserve">. Las CBDC ya se han puesto en marcha </w:t>
      </w:r>
      <w:r w:rsidR="00855608">
        <w:t xml:space="preserve">en muchos </w:t>
      </w:r>
      <w:r w:rsidRPr="007B7381">
        <w:t>países.</w:t>
      </w:r>
    </w:p>
    <w:p w14:paraId="1F2F282E" w14:textId="4B71EDF7" w:rsidR="0027482E" w:rsidRPr="007B7381" w:rsidRDefault="00855608" w:rsidP="0027482E">
      <w:r>
        <w:t>Se llegó a la conclusión, tras efectuar varios estudios, de</w:t>
      </w:r>
      <w:r w:rsidR="0027482E" w:rsidRPr="007B7381">
        <w:t xml:space="preserve"> que las monedas digitales, </w:t>
      </w:r>
      <w:r>
        <w:t>en particular</w:t>
      </w:r>
      <w:r w:rsidR="0027482E" w:rsidRPr="007B7381">
        <w:t xml:space="preserve"> las CBDC, tienen algunas ventajas en determinados </w:t>
      </w:r>
      <w:r>
        <w:t>casos</w:t>
      </w:r>
      <w:r w:rsidR="0027482E" w:rsidRPr="007B7381">
        <w:t xml:space="preserve">, principalmente debido </w:t>
      </w:r>
      <w:r>
        <w:t>al carácter</w:t>
      </w:r>
      <w:r w:rsidR="0027482E" w:rsidRPr="007B7381">
        <w:t xml:space="preserve"> complementari</w:t>
      </w:r>
      <w:r>
        <w:t>o</w:t>
      </w:r>
      <w:r w:rsidR="0027482E" w:rsidRPr="007B7381">
        <w:t xml:space="preserve"> de las CBDC y las cadenas de bloques, que permiten, por ejemplo, </w:t>
      </w:r>
      <w:r>
        <w:t>el establecimiento de</w:t>
      </w:r>
      <w:r w:rsidR="0027482E" w:rsidRPr="007B7381">
        <w:t xml:space="preserve"> contratos inteligentes. Los </w:t>
      </w:r>
      <w:r>
        <w:t>organismos de reglamentación</w:t>
      </w:r>
      <w:r w:rsidR="0027482E" w:rsidRPr="007B7381">
        <w:t xml:space="preserve"> </w:t>
      </w:r>
      <w:r w:rsidR="002830A3">
        <w:t>consultados</w:t>
      </w:r>
      <w:r w:rsidR="0027482E" w:rsidRPr="007B7381">
        <w:t xml:space="preserve"> </w:t>
      </w:r>
      <w:r>
        <w:t>en el marco de las actividades de</w:t>
      </w:r>
      <w:r w:rsidR="0027482E" w:rsidRPr="007B7381">
        <w:t xml:space="preserve"> evaluación comparativa consideraron que </w:t>
      </w:r>
      <w:r w:rsidR="002830A3">
        <w:t>la utilización</w:t>
      </w:r>
      <w:r w:rsidR="0027482E" w:rsidRPr="007B7381">
        <w:t xml:space="preserve"> de </w:t>
      </w:r>
      <w:r w:rsidR="002830A3">
        <w:t>divisas</w:t>
      </w:r>
      <w:r w:rsidR="0027482E" w:rsidRPr="007B7381">
        <w:t xml:space="preserve"> digitales, ya fueran privadas o CBDC, </w:t>
      </w:r>
      <w:r w:rsidR="002830A3">
        <w:t>compete</w:t>
      </w:r>
      <w:r w:rsidR="0027482E" w:rsidRPr="007B7381">
        <w:t xml:space="preserve"> al banco central de cada país</w:t>
      </w:r>
      <w:r w:rsidR="002830A3">
        <w:t>,</w:t>
      </w:r>
      <w:r w:rsidR="0027482E" w:rsidRPr="007B7381">
        <w:t xml:space="preserve"> y no a la organización responsable de la gestión del espectro.</w:t>
      </w:r>
    </w:p>
    <w:p w14:paraId="6F2523DC" w14:textId="79E99DD1" w:rsidR="0027482E" w:rsidRPr="007B7381" w:rsidRDefault="0027482E" w:rsidP="0027482E">
      <w:pPr>
        <w:pStyle w:val="Heading3"/>
      </w:pPr>
      <w:bookmarkStart w:id="385" w:name="_Toc121911832"/>
      <w:r w:rsidRPr="007B7381">
        <w:t>5.2.6</w:t>
      </w:r>
      <w:r w:rsidRPr="007B7381">
        <w:tab/>
      </w:r>
      <w:bookmarkEnd w:id="385"/>
      <w:r w:rsidR="00D16204" w:rsidRPr="00D16204">
        <w:t>Resumen</w:t>
      </w:r>
    </w:p>
    <w:p w14:paraId="7EDD93C6" w14:textId="36A8968D" w:rsidR="0027482E" w:rsidRPr="007B7381" w:rsidRDefault="002830A3" w:rsidP="0027482E">
      <w:r>
        <w:t>Cabe esperar</w:t>
      </w:r>
      <w:r w:rsidR="0027482E" w:rsidRPr="007B7381">
        <w:t xml:space="preserve"> que los avances </w:t>
      </w:r>
      <w:r>
        <w:t xml:space="preserve">registrados en </w:t>
      </w:r>
      <w:r w:rsidR="001E0E22">
        <w:t>materia de s</w:t>
      </w:r>
      <w:r w:rsidR="0027482E" w:rsidRPr="007B7381">
        <w:t xml:space="preserve">oluciones de gestión del espectro sean </w:t>
      </w:r>
      <w:r w:rsidR="001E0E22">
        <w:t>sustanciales</w:t>
      </w:r>
      <w:r w:rsidR="0027482E" w:rsidRPr="007B7381">
        <w:t xml:space="preserve">. En la actualidad, las soluciones de gestión del espectro y los enfoques normativos tienden a </w:t>
      </w:r>
      <w:r w:rsidR="001E0E22">
        <w:t>ser dispares</w:t>
      </w:r>
      <w:r w:rsidR="0027482E" w:rsidRPr="007B7381">
        <w:t xml:space="preserve">, </w:t>
      </w:r>
      <w:r w:rsidR="001E0E22">
        <w:t>en el marco de</w:t>
      </w:r>
      <w:r w:rsidR="0027482E" w:rsidRPr="007B7381">
        <w:t xml:space="preserve"> un sistema y un enfoque específicos que gestionan el acceso a la mayoría de las bandas y servicios, y herramientas y enfoques </w:t>
      </w:r>
      <w:r w:rsidR="001E0E22">
        <w:t>complementarios</w:t>
      </w:r>
      <w:r w:rsidR="0027482E" w:rsidRPr="007B7381">
        <w:t xml:space="preserve"> independientes para regímenes de acceso más específicos. </w:t>
      </w:r>
    </w:p>
    <w:p w14:paraId="157AFFA7" w14:textId="565F3D72" w:rsidR="0027482E" w:rsidRPr="007B7381" w:rsidRDefault="0027482E" w:rsidP="0027482E">
      <w:r w:rsidRPr="007B7381">
        <w:t xml:space="preserve">Se </w:t>
      </w:r>
      <w:r w:rsidR="001E0E22">
        <w:t>prevé</w:t>
      </w:r>
      <w:r w:rsidRPr="007B7381">
        <w:t xml:space="preserve"> que los avances en </w:t>
      </w:r>
      <w:r w:rsidR="001E0E22">
        <w:t>cuanto a</w:t>
      </w:r>
      <w:r w:rsidRPr="007B7381">
        <w:t xml:space="preserve"> soluciones y tecnologías de gestión del espectro, </w:t>
      </w:r>
      <w:r w:rsidR="001E0E22">
        <w:t>en particular</w:t>
      </w:r>
      <w:r w:rsidRPr="007B7381">
        <w:t xml:space="preserve"> la inteligencia artificial y los procedimientos de asignación cooperativa segura, </w:t>
      </w:r>
      <w:r w:rsidR="001E0E22">
        <w:t>faciliten la</w:t>
      </w:r>
      <w:r w:rsidRPr="007B7381">
        <w:t xml:space="preserve"> integración de </w:t>
      </w:r>
      <w:r w:rsidR="001E0E22">
        <w:t>todos los</w:t>
      </w:r>
      <w:r w:rsidRPr="007B7381">
        <w:t xml:space="preserve"> aspectos del </w:t>
      </w:r>
      <w:r w:rsidR="001E0E22">
        <w:t>sistema de gestión del espectro</w:t>
      </w:r>
      <w:r w:rsidRPr="007B7381">
        <w:t xml:space="preserve"> y el desarrollo de herramientas más </w:t>
      </w:r>
      <w:r w:rsidR="001E0E22">
        <w:t>versátiles</w:t>
      </w:r>
      <w:r w:rsidRPr="007B7381">
        <w:t xml:space="preserve"> y flexibles. El objetivo </w:t>
      </w:r>
      <w:r w:rsidR="001E0E22">
        <w:t>último es</w:t>
      </w:r>
      <w:r w:rsidRPr="007B7381">
        <w:t xml:space="preserve"> disponer de una única herramienta </w:t>
      </w:r>
      <w:r w:rsidR="001E0E22">
        <w:t>versátil</w:t>
      </w:r>
      <w:r w:rsidRPr="007B7381">
        <w:t xml:space="preserve">, suficientemente inteligente y flexible como para poder autorizar todos los servicios y el espectro </w:t>
      </w:r>
      <w:r w:rsidR="001E0E22">
        <w:t>en cada caso, según se precise</w:t>
      </w:r>
      <w:r w:rsidRPr="007B7381">
        <w:t>.</w:t>
      </w:r>
    </w:p>
    <w:p w14:paraId="43E60282" w14:textId="6279463E" w:rsidR="00C42BA1" w:rsidRPr="0027482E" w:rsidRDefault="001E0E22" w:rsidP="0027482E">
      <w:r>
        <w:t>Dicho</w:t>
      </w:r>
      <w:r w:rsidR="0027482E" w:rsidRPr="007B7381">
        <w:t xml:space="preserve"> sistema podría aplicar de forma viable </w:t>
      </w:r>
      <w:r>
        <w:t xml:space="preserve">ulteriormente </w:t>
      </w:r>
      <w:r w:rsidR="0027482E" w:rsidRPr="007B7381">
        <w:t xml:space="preserve">nuevos enfoques de autorización y </w:t>
      </w:r>
      <w:r>
        <w:t xml:space="preserve">reglamentación, y en su caso, </w:t>
      </w:r>
      <w:r w:rsidR="0027482E" w:rsidRPr="007B7381">
        <w:t>regímenes de compartición (sin necesidad de implementar un nuevo sistema específico), así como determinar dinámicamente los precios</w:t>
      </w:r>
      <w:r>
        <w:t>, de ser</w:t>
      </w:r>
      <w:r w:rsidR="0027482E" w:rsidRPr="007B7381">
        <w:t xml:space="preserve"> necesario. Es posible proporcionar un mejor servicio a los clientes mediante</w:t>
      </w:r>
      <w:r>
        <w:t xml:space="preserve"> </w:t>
      </w:r>
      <w:r w:rsidR="0027482E" w:rsidRPr="007B7381">
        <w:t xml:space="preserve">asistentes inteligentes que </w:t>
      </w:r>
      <w:r>
        <w:t>orienten</w:t>
      </w:r>
      <w:r w:rsidR="0027482E" w:rsidRPr="007B7381">
        <w:t xml:space="preserve"> a los solicitantes a lo largo del proceso de solicitud, autorizaciones automatizadas y análisis basados en parámetros </w:t>
      </w:r>
      <w:r>
        <w:t>operacionales,</w:t>
      </w:r>
      <w:r w:rsidR="0027482E" w:rsidRPr="007B7381">
        <w:t xml:space="preserve"> en lugar de en valores</w:t>
      </w:r>
      <w:r>
        <w:t xml:space="preserve"> para los casos</w:t>
      </w:r>
      <w:r w:rsidR="0027482E" w:rsidRPr="007B7381">
        <w:t xml:space="preserve"> más desfavorables.</w:t>
      </w:r>
      <w:r>
        <w:t xml:space="preserve"> Se prevé que el examen de</w:t>
      </w:r>
      <w:r w:rsidR="0027482E" w:rsidRPr="007B7381">
        <w:t xml:space="preserve"> </w:t>
      </w:r>
      <w:r>
        <w:t xml:space="preserve">un </w:t>
      </w:r>
      <w:r w:rsidR="0027482E" w:rsidRPr="007B7381">
        <w:t xml:space="preserve">marco de compartición del espectro para EAU </w:t>
      </w:r>
      <w:r>
        <w:t>propicie</w:t>
      </w:r>
      <w:r w:rsidR="0027482E" w:rsidRPr="007B7381">
        <w:t xml:space="preserve"> nuevos regímenes de acceso al espectro</w:t>
      </w:r>
      <w:r>
        <w:t>, conjugado con la utilización de</w:t>
      </w:r>
      <w:r w:rsidR="0027482E" w:rsidRPr="007B7381">
        <w:t xml:space="preserve"> bases de datos dinámicas.</w:t>
      </w:r>
    </w:p>
    <w:p w14:paraId="69FAFD3B" w14:textId="1897FB1E" w:rsidR="00C42BA1" w:rsidRPr="0010687A" w:rsidRDefault="00C42BA1" w:rsidP="00C42BA1">
      <w:pPr>
        <w:pStyle w:val="Heading1"/>
      </w:pPr>
      <w:bookmarkStart w:id="386" w:name="_Toc121911833"/>
      <w:bookmarkStart w:id="387" w:name="_Toc136358666"/>
      <w:bookmarkStart w:id="388" w:name="_Toc184629748"/>
      <w:bookmarkStart w:id="389" w:name="_Toc184629964"/>
      <w:bookmarkStart w:id="390" w:name="_Toc216630184"/>
      <w:bookmarkStart w:id="391" w:name="_Toc216693472"/>
      <w:bookmarkStart w:id="392" w:name="_Toc217031180"/>
      <w:r w:rsidRPr="0010687A">
        <w:t>6</w:t>
      </w:r>
      <w:r w:rsidRPr="0010687A">
        <w:tab/>
        <w:t xml:space="preserve">TDRA 2031: </w:t>
      </w:r>
      <w:bookmarkEnd w:id="386"/>
      <w:bookmarkEnd w:id="387"/>
      <w:bookmarkEnd w:id="388"/>
      <w:bookmarkEnd w:id="389"/>
      <w:r w:rsidR="0010687A" w:rsidRPr="007B7381">
        <w:t xml:space="preserve">Hoja de ruta, </w:t>
      </w:r>
      <w:r w:rsidR="0010687A">
        <w:t>casos hipotéticos</w:t>
      </w:r>
      <w:r w:rsidR="0010687A" w:rsidRPr="007B7381">
        <w:t xml:space="preserve"> y evolución</w:t>
      </w:r>
      <w:r w:rsidR="0010687A">
        <w:t xml:space="preserve"> prevista</w:t>
      </w:r>
      <w:r w:rsidR="0010687A" w:rsidRPr="007B7381">
        <w:t xml:space="preserve"> de los sistemas inteligentes de gestión del espectro</w:t>
      </w:r>
      <w:bookmarkEnd w:id="390"/>
      <w:bookmarkEnd w:id="391"/>
      <w:bookmarkEnd w:id="392"/>
    </w:p>
    <w:p w14:paraId="52C99F98" w14:textId="2A473A9E" w:rsidR="0010687A" w:rsidRPr="007B7381" w:rsidRDefault="0010687A" w:rsidP="0010687A">
      <w:r w:rsidRPr="007B7381">
        <w:t>E</w:t>
      </w:r>
      <w:r w:rsidR="00D1531F">
        <w:t>n e</w:t>
      </w:r>
      <w:r w:rsidRPr="007B7381">
        <w:t>l proyecto TDRA 2022</w:t>
      </w:r>
      <w:r w:rsidR="00D1531F">
        <w:t>,</w:t>
      </w:r>
      <w:r w:rsidRPr="007B7381">
        <w:t xml:space="preserve"> «</w:t>
      </w:r>
      <w:r w:rsidR="00D1531F">
        <w:t>Versatilidad</w:t>
      </w:r>
      <w:r w:rsidRPr="007B7381">
        <w:t xml:space="preserve"> del espectro»</w:t>
      </w:r>
      <w:r w:rsidR="00D1531F">
        <w:t>,</w:t>
      </w:r>
      <w:r w:rsidRPr="007B7381">
        <w:t xml:space="preserve"> </w:t>
      </w:r>
      <w:r w:rsidR="00D1531F">
        <w:t>se han analizado pormenorizadamente</w:t>
      </w:r>
      <w:r w:rsidRPr="007B7381">
        <w:t xml:space="preserve"> las oportunidades </w:t>
      </w:r>
      <w:r w:rsidR="00A806BB">
        <w:t>que brindan las</w:t>
      </w:r>
      <w:r w:rsidRPr="007B7381">
        <w:t xml:space="preserve"> tecnología</w:t>
      </w:r>
      <w:r w:rsidR="00A806BB">
        <w:t>s</w:t>
      </w:r>
      <w:r w:rsidRPr="007B7381">
        <w:t xml:space="preserve"> inalámbrica</w:t>
      </w:r>
      <w:r w:rsidR="00A806BB">
        <w:t>s</w:t>
      </w:r>
      <w:r w:rsidRPr="007B7381">
        <w:t xml:space="preserve"> y la evolución de las soluciones de gestión del espectro, </w:t>
      </w:r>
      <w:r w:rsidR="00A806BB">
        <w:t>sus</w:t>
      </w:r>
      <w:r w:rsidRPr="007B7381">
        <w:t xml:space="preserve"> ventajas </w:t>
      </w:r>
      <w:r w:rsidR="00A806BB">
        <w:t>en materia de versatilidad</w:t>
      </w:r>
      <w:r w:rsidRPr="007B7381">
        <w:t xml:space="preserve"> </w:t>
      </w:r>
      <w:r w:rsidR="00A806BB">
        <w:t>y</w:t>
      </w:r>
      <w:r w:rsidRPr="007B7381">
        <w:t xml:space="preserve"> su </w:t>
      </w:r>
      <w:r w:rsidR="00A806BB">
        <w:t>implantación por los organismos encargados</w:t>
      </w:r>
      <w:r w:rsidRPr="007B7381">
        <w:t xml:space="preserve"> de la gestión del espectro </w:t>
      </w:r>
      <w:r w:rsidR="00A806BB">
        <w:t>a escala internacional</w:t>
      </w:r>
      <w:r w:rsidRPr="007B7381">
        <w:t xml:space="preserve">. </w:t>
      </w:r>
    </w:p>
    <w:p w14:paraId="1BFC71FF" w14:textId="48F09713" w:rsidR="0010687A" w:rsidRPr="007B7381" w:rsidRDefault="00A806BB" w:rsidP="0010687A">
      <w:r>
        <w:t>Se prevé que los</w:t>
      </w:r>
      <w:r w:rsidR="0010687A" w:rsidRPr="007B7381">
        <w:t xml:space="preserve"> factores </w:t>
      </w:r>
      <w:r>
        <w:t>que determinan el grado de</w:t>
      </w:r>
      <w:r w:rsidR="0010687A" w:rsidRPr="007B7381">
        <w:t xml:space="preserve"> </w:t>
      </w:r>
      <w:r>
        <w:t>versatilidad</w:t>
      </w:r>
      <w:r w:rsidR="0010687A" w:rsidRPr="007B7381">
        <w:t xml:space="preserve">, </w:t>
      </w:r>
      <w:r>
        <w:t xml:space="preserve">así como </w:t>
      </w:r>
      <w:r w:rsidR="0010687A" w:rsidRPr="007B7381">
        <w:t>las tecnologías y las soluciones de gestión del espectro</w:t>
      </w:r>
      <w:r>
        <w:t>,</w:t>
      </w:r>
      <w:r w:rsidR="0010687A" w:rsidRPr="007B7381">
        <w:t xml:space="preserve"> </w:t>
      </w:r>
      <w:r>
        <w:t>evolucionen</w:t>
      </w:r>
      <w:r w:rsidR="0010687A" w:rsidRPr="007B7381">
        <w:t xml:space="preserve"> de forma no lineal y </w:t>
      </w:r>
      <w:r>
        <w:t xml:space="preserve">parcialmente </w:t>
      </w:r>
      <w:r w:rsidR="0010687A" w:rsidRPr="007B7381">
        <w:t xml:space="preserve">predecible </w:t>
      </w:r>
      <w:r>
        <w:t>a lo largo del próximo decenio</w:t>
      </w:r>
      <w:r w:rsidR="0010687A" w:rsidRPr="007B7381">
        <w:t xml:space="preserve">. Existen notables incertidumbres en </w:t>
      </w:r>
      <w:r>
        <w:t>cuanto a su programa de implantación</w:t>
      </w:r>
      <w:r w:rsidR="0010687A" w:rsidRPr="007B7381">
        <w:t xml:space="preserve">. </w:t>
      </w:r>
      <w:r>
        <w:t xml:space="preserve">Habida cuenta de ello, en el presente </w:t>
      </w:r>
      <w:r w:rsidR="00573BDD">
        <w:t>análisis</w:t>
      </w:r>
      <w:r>
        <w:t>,</w:t>
      </w:r>
      <w:r w:rsidR="0010687A" w:rsidRPr="007B7381">
        <w:t xml:space="preserve"> </w:t>
      </w:r>
      <w:r>
        <w:t xml:space="preserve">a tenor del </w:t>
      </w:r>
      <w:r w:rsidR="0010687A" w:rsidRPr="007B7381">
        <w:t xml:space="preserve">enfoque </w:t>
      </w:r>
      <w:r>
        <w:t>sobre casos hipotéticos</w:t>
      </w:r>
      <w:r w:rsidR="0010687A" w:rsidRPr="007B7381">
        <w:t xml:space="preserve"> </w:t>
      </w:r>
      <w:r w:rsidR="0010687A" w:rsidRPr="007B7381">
        <w:lastRenderedPageBreak/>
        <w:t>recomendado por EAU</w:t>
      </w:r>
      <w:r w:rsidR="0010687A" w:rsidRPr="007B7381">
        <w:rPr>
          <w:rStyle w:val="FootnoteReference"/>
          <w:rFonts w:asciiTheme="majorBidi" w:hAnsiTheme="majorBidi" w:cstheme="majorBidi"/>
        </w:rPr>
        <w:footnoteReference w:id="33"/>
      </w:r>
      <w:r w:rsidR="0010687A" w:rsidRPr="007B7381">
        <w:t xml:space="preserve">, es necesario considerar más de una </w:t>
      </w:r>
      <w:r w:rsidRPr="007B7381">
        <w:t xml:space="preserve">posible </w:t>
      </w:r>
      <w:r w:rsidR="0010687A" w:rsidRPr="007B7381">
        <w:t xml:space="preserve">vía </w:t>
      </w:r>
      <w:r w:rsidR="00BE3DE1">
        <w:t>de</w:t>
      </w:r>
      <w:r w:rsidR="0010687A" w:rsidRPr="007B7381">
        <w:t xml:space="preserve"> desarrollo de modelos </w:t>
      </w:r>
      <w:r>
        <w:t>de versatilidad</w:t>
      </w:r>
      <w:r w:rsidR="0010687A" w:rsidRPr="007B7381">
        <w:t xml:space="preserve">. </w:t>
      </w:r>
      <w:r w:rsidR="00BE3DE1">
        <w:t>Con objeto de determinar la manera idónea de adaptar</w:t>
      </w:r>
      <w:r w:rsidR="0010687A" w:rsidRPr="00273177">
        <w:t xml:space="preserve"> la gestión del espectro a su finalidad y </w:t>
      </w:r>
      <w:r w:rsidR="00BE3DE1">
        <w:t>brindar el mejor servicio posible a</w:t>
      </w:r>
      <w:r w:rsidR="0010687A" w:rsidRPr="00273177">
        <w:t xml:space="preserve"> los clientes y usuarios del espectro en EAU</w:t>
      </w:r>
      <w:r w:rsidR="00BE3DE1">
        <w:t xml:space="preserve">, cabe tener en cuenta </w:t>
      </w:r>
      <w:r w:rsidR="0010687A" w:rsidRPr="007B7381">
        <w:t xml:space="preserve">tres </w:t>
      </w:r>
      <w:r w:rsidR="00BE3DE1">
        <w:t>casos hipotéticos</w:t>
      </w:r>
      <w:r w:rsidR="0010687A" w:rsidRPr="007B7381">
        <w:t xml:space="preserve"> </w:t>
      </w:r>
      <w:r w:rsidR="00BE3DE1">
        <w:t xml:space="preserve">diferentes, </w:t>
      </w:r>
      <w:r w:rsidR="0010687A" w:rsidRPr="007B7381">
        <w:t xml:space="preserve">y </w:t>
      </w:r>
      <w:r w:rsidR="00BE3DE1">
        <w:t xml:space="preserve">debatir </w:t>
      </w:r>
      <w:r w:rsidR="0010687A" w:rsidRPr="007B7381">
        <w:t xml:space="preserve">las iniciativas que la propia TDRA debe adoptar para alcanzar </w:t>
      </w:r>
      <w:r w:rsidR="00BE3DE1">
        <w:t>los</w:t>
      </w:r>
      <w:r w:rsidR="0010687A" w:rsidRPr="007B7381">
        <w:t xml:space="preserve"> objetivos </w:t>
      </w:r>
      <w:r w:rsidR="00BE3DE1">
        <w:t>fijados en materia de versatilidad</w:t>
      </w:r>
      <w:r w:rsidR="0010687A" w:rsidRPr="007B7381">
        <w:t>.</w:t>
      </w:r>
    </w:p>
    <w:p w14:paraId="3EAE0D11" w14:textId="2DDEEFFB" w:rsidR="0010687A" w:rsidRPr="007B7381" w:rsidRDefault="0010687A" w:rsidP="0010687A">
      <w:r w:rsidRPr="007B7381">
        <w:t xml:space="preserve">Los </w:t>
      </w:r>
      <w:r w:rsidR="00BE3DE1">
        <w:t>casos hipotéticos</w:t>
      </w:r>
      <w:r w:rsidRPr="007B7381">
        <w:t xml:space="preserve"> futuros que ha </w:t>
      </w:r>
      <w:r w:rsidR="00BE3DE1">
        <w:t>abordado</w:t>
      </w:r>
      <w:r w:rsidRPr="007B7381">
        <w:t xml:space="preserve"> la TDRA </w:t>
      </w:r>
      <w:r w:rsidR="00BE3DE1">
        <w:t>han hecho hincapié</w:t>
      </w:r>
      <w:r w:rsidRPr="007B7381">
        <w:t xml:space="preserve"> en el grado de desarrollo de los factores </w:t>
      </w:r>
      <w:r w:rsidR="00BE3DE1">
        <w:t>relativos a los avances registrados al respecto y a la</w:t>
      </w:r>
      <w:r w:rsidRPr="007B7381">
        <w:t xml:space="preserve"> tecnología</w:t>
      </w:r>
      <w:r w:rsidR="00BE3DE1">
        <w:t xml:space="preserve"> empleada</w:t>
      </w:r>
      <w:r w:rsidRPr="007B7381">
        <w:t xml:space="preserve">. El alcance de los avances en la autonomía y la </w:t>
      </w:r>
      <w:r w:rsidR="00BE3DE1">
        <w:t>versatilidad</w:t>
      </w:r>
      <w:r w:rsidRPr="007B7381">
        <w:t xml:space="preserve"> de los procesos </w:t>
      </w:r>
      <w:r w:rsidR="00BE3DE1">
        <w:t>a lo largo del próximo decenio</w:t>
      </w:r>
      <w:r w:rsidR="009A2A1F">
        <w:t xml:space="preserve"> </w:t>
      </w:r>
      <w:r w:rsidR="00BE3DE1">
        <w:t>vendrá dado por</w:t>
      </w:r>
      <w:r w:rsidRPr="007B7381">
        <w:t>:</w:t>
      </w:r>
    </w:p>
    <w:p w14:paraId="36381F51" w14:textId="54DB3E8C" w:rsidR="0010687A" w:rsidRPr="007B7381" w:rsidRDefault="0003771A" w:rsidP="0010687A">
      <w:pPr>
        <w:pStyle w:val="enumlev1"/>
      </w:pPr>
      <w:r>
        <w:t>–</w:t>
      </w:r>
      <w:r w:rsidR="0010687A" w:rsidRPr="007B7381">
        <w:tab/>
        <w:t xml:space="preserve">Las oportunidades que ofrecen las tecnologías inalámbricas, en particular </w:t>
      </w:r>
      <w:r w:rsidR="009A2A1F">
        <w:t>la compartición</w:t>
      </w:r>
      <w:r w:rsidR="0010687A" w:rsidRPr="007B7381">
        <w:t xml:space="preserve"> autónom</w:t>
      </w:r>
      <w:r w:rsidR="009A2A1F">
        <w:t>a</w:t>
      </w:r>
      <w:r w:rsidR="0010687A" w:rsidRPr="007B7381">
        <w:t xml:space="preserve"> dinámic</w:t>
      </w:r>
      <w:r w:rsidR="009A2A1F">
        <w:t>a</w:t>
      </w:r>
      <w:r w:rsidR="0010687A" w:rsidRPr="007B7381">
        <w:t xml:space="preserve"> y la aplicación de la inteligencia artificial a </w:t>
      </w:r>
      <w:r w:rsidR="009A2A1F">
        <w:t>la</w:t>
      </w:r>
      <w:r w:rsidR="0010687A" w:rsidRPr="007B7381">
        <w:t xml:space="preserve"> gestión de redes.</w:t>
      </w:r>
    </w:p>
    <w:p w14:paraId="22162D9C" w14:textId="5D648FE5" w:rsidR="0010687A" w:rsidRPr="007B7381" w:rsidRDefault="0003771A" w:rsidP="0010687A">
      <w:pPr>
        <w:pStyle w:val="enumlev1"/>
      </w:pPr>
      <w:r>
        <w:t>–</w:t>
      </w:r>
      <w:r w:rsidR="0010687A" w:rsidRPr="007B7381">
        <w:tab/>
        <w:t xml:space="preserve">El </w:t>
      </w:r>
      <w:r w:rsidR="009A2A1F">
        <w:t>desarrollo</w:t>
      </w:r>
      <w:r w:rsidR="0010687A" w:rsidRPr="007B7381">
        <w:t xml:space="preserve"> de la IA </w:t>
      </w:r>
      <w:r w:rsidR="009A2A1F">
        <w:t>respecto de</w:t>
      </w:r>
      <w:r w:rsidR="0010687A" w:rsidRPr="007B7381">
        <w:t xml:space="preserve"> las soluciones </w:t>
      </w:r>
      <w:r w:rsidR="009A2A1F">
        <w:t>para la</w:t>
      </w:r>
      <w:r w:rsidR="0010687A" w:rsidRPr="007B7381">
        <w:t xml:space="preserve"> gestión del espectro.</w:t>
      </w:r>
    </w:p>
    <w:p w14:paraId="47E08294" w14:textId="5DD90BFE" w:rsidR="0010687A" w:rsidRPr="007B7381" w:rsidRDefault="0003771A" w:rsidP="0010687A">
      <w:pPr>
        <w:pStyle w:val="enumlev1"/>
      </w:pPr>
      <w:r>
        <w:t>–</w:t>
      </w:r>
      <w:r w:rsidR="0010687A" w:rsidRPr="007B7381">
        <w:tab/>
        <w:t xml:space="preserve">El alcance de las decisiones </w:t>
      </w:r>
      <w:r w:rsidR="009A2A1F">
        <w:t xml:space="preserve">sobre </w:t>
      </w:r>
      <w:r w:rsidR="0010687A" w:rsidRPr="007B7381">
        <w:t xml:space="preserve">políticas institucionales en </w:t>
      </w:r>
      <w:r w:rsidR="009A2A1F">
        <w:t>relación con los sistemas de gestión del espectro</w:t>
      </w:r>
      <w:r w:rsidR="0010687A" w:rsidRPr="007B7381">
        <w:t xml:space="preserve"> que requieren una intervención </w:t>
      </w:r>
      <w:r w:rsidR="009A2A1F">
        <w:t>basada en</w:t>
      </w:r>
      <w:r w:rsidR="0010687A" w:rsidRPr="007B7381">
        <w:t xml:space="preserve"> políticas.</w:t>
      </w:r>
    </w:p>
    <w:p w14:paraId="0AFE377E" w14:textId="367E901C" w:rsidR="0010687A" w:rsidRPr="007B7381" w:rsidRDefault="009A2A1F" w:rsidP="0010687A">
      <w:r>
        <w:t>Sobre la base de</w:t>
      </w:r>
      <w:r w:rsidR="0010687A" w:rsidRPr="007B7381">
        <w:t xml:space="preserve"> las </w:t>
      </w:r>
      <w:r w:rsidRPr="007B7381">
        <w:t xml:space="preserve">exhaustivas </w:t>
      </w:r>
      <w:r w:rsidR="0010687A" w:rsidRPr="007B7381">
        <w:t xml:space="preserve">comparaciones </w:t>
      </w:r>
      <w:r>
        <w:t xml:space="preserve">efectuadas a escala internacional </w:t>
      </w:r>
      <w:r w:rsidR="0010687A" w:rsidRPr="007B7381">
        <w:t xml:space="preserve">y los análisis realizados por la TDRA, y </w:t>
      </w:r>
      <w:r>
        <w:t>habida cuenta de</w:t>
      </w:r>
      <w:r w:rsidR="0010687A" w:rsidRPr="007B7381">
        <w:t xml:space="preserve"> las </w:t>
      </w:r>
      <w:r w:rsidR="003A6338" w:rsidRPr="007B7381">
        <w:t xml:space="preserve">futuras </w:t>
      </w:r>
      <w:r w:rsidR="0010687A" w:rsidRPr="007B7381">
        <w:t>oportunidades de la</w:t>
      </w:r>
      <w:r>
        <w:t>s</w:t>
      </w:r>
      <w:r w:rsidR="0010687A" w:rsidRPr="007B7381">
        <w:t xml:space="preserve"> tecnología</w:t>
      </w:r>
      <w:r>
        <w:t>s de red</w:t>
      </w:r>
      <w:r w:rsidR="0010687A" w:rsidRPr="007B7381">
        <w:t xml:space="preserve"> y las mejoras en las soluciones de gestión del espectro </w:t>
      </w:r>
      <w:r>
        <w:t xml:space="preserve">de los citados sistemas previstos </w:t>
      </w:r>
      <w:r w:rsidR="003A6338">
        <w:t>para tal fin</w:t>
      </w:r>
      <w:r w:rsidR="0010687A" w:rsidRPr="007B7381">
        <w:t xml:space="preserve">, la TDRA considera </w:t>
      </w:r>
      <w:r w:rsidR="0010687A">
        <w:t xml:space="preserve">tres </w:t>
      </w:r>
      <w:r w:rsidR="0010687A" w:rsidRPr="007B7381">
        <w:t xml:space="preserve">vías </w:t>
      </w:r>
      <w:r>
        <w:t>principales</w:t>
      </w:r>
      <w:r w:rsidR="0010687A" w:rsidRPr="007B7381">
        <w:t xml:space="preserve"> para </w:t>
      </w:r>
      <w:r w:rsidR="003A6338">
        <w:t>facilitar los</w:t>
      </w:r>
      <w:r>
        <w:t xml:space="preserve"> casos hipotéticos </w:t>
      </w:r>
      <w:r w:rsidR="003A6338">
        <w:t>sobre</w:t>
      </w:r>
      <w:r>
        <w:t xml:space="preserve"> versatilidad </w:t>
      </w:r>
      <w:r w:rsidR="003A6338">
        <w:t>previstos para</w:t>
      </w:r>
      <w:r w:rsidR="0010687A" w:rsidRPr="007B7381">
        <w:t xml:space="preserve"> el período 2023-2031:</w:t>
      </w:r>
    </w:p>
    <w:p w14:paraId="55A39A70" w14:textId="4A2DDD74" w:rsidR="0010687A" w:rsidRPr="007B7381" w:rsidRDefault="00BE3DE1" w:rsidP="0010687A">
      <w:pPr>
        <w:pStyle w:val="TableNo"/>
        <w:keepLines/>
      </w:pPr>
      <w:r>
        <w:t>CUADRO</w:t>
      </w:r>
      <w:r w:rsidR="0010687A">
        <w:t xml:space="preserve"> 6</w:t>
      </w:r>
    </w:p>
    <w:p w14:paraId="0068A756" w14:textId="671D818B" w:rsidR="0010687A" w:rsidRPr="007B7381" w:rsidRDefault="00267E1A" w:rsidP="0010687A">
      <w:pPr>
        <w:pStyle w:val="Tabletitle"/>
        <w:keepLines/>
      </w:pPr>
      <w:r>
        <w:t>Casos hipotéticos sobre</w:t>
      </w:r>
      <w:r w:rsidR="0010687A" w:rsidRPr="007B7381">
        <w:t xml:space="preserve"> desarrollo de la gestión del espectro para el período 2023-2031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669"/>
        <w:gridCol w:w="1954"/>
        <w:gridCol w:w="2776"/>
        <w:gridCol w:w="2240"/>
      </w:tblGrid>
      <w:tr w:rsidR="0010687A" w:rsidRPr="0076523D" w14:paraId="77187E60" w14:textId="77777777" w:rsidTr="005226E5">
        <w:trPr>
          <w:trHeight w:val="584"/>
          <w:jc w:val="center"/>
        </w:trPr>
        <w:tc>
          <w:tcPr>
            <w:tcW w:w="1384" w:type="pct"/>
            <w:tcMar>
              <w:top w:w="72" w:type="dxa"/>
              <w:left w:w="144" w:type="dxa"/>
              <w:bottom w:w="72" w:type="dxa"/>
              <w:right w:w="144" w:type="dxa"/>
            </w:tcMar>
            <w:vAlign w:val="center"/>
          </w:tcPr>
          <w:p w14:paraId="49E85041" w14:textId="5F74F291" w:rsidR="0010687A" w:rsidRPr="0076523D" w:rsidRDefault="003A6338" w:rsidP="003D49C3">
            <w:pPr>
              <w:pStyle w:val="Tablehead"/>
              <w:keepLines/>
              <w:rPr>
                <w:szCs w:val="22"/>
              </w:rPr>
            </w:pPr>
            <w:r>
              <w:rPr>
                <w:szCs w:val="22"/>
              </w:rPr>
              <w:t>Caso hipotético sobre versatilidad</w:t>
            </w:r>
          </w:p>
        </w:tc>
        <w:tc>
          <w:tcPr>
            <w:tcW w:w="1013" w:type="pct"/>
            <w:tcMar>
              <w:top w:w="72" w:type="dxa"/>
              <w:left w:w="144" w:type="dxa"/>
              <w:bottom w:w="72" w:type="dxa"/>
              <w:right w:w="144" w:type="dxa"/>
            </w:tcMar>
            <w:vAlign w:val="center"/>
          </w:tcPr>
          <w:p w14:paraId="705BA86D" w14:textId="77777777" w:rsidR="0010687A" w:rsidRPr="0076523D" w:rsidRDefault="0010687A" w:rsidP="003D49C3">
            <w:pPr>
              <w:pStyle w:val="Tablehead"/>
              <w:keepLines/>
              <w:rPr>
                <w:szCs w:val="22"/>
              </w:rPr>
            </w:pPr>
            <w:r w:rsidRPr="0076523D">
              <w:rPr>
                <w:szCs w:val="22"/>
              </w:rPr>
              <w:t>Descripción</w:t>
            </w:r>
          </w:p>
        </w:tc>
        <w:tc>
          <w:tcPr>
            <w:tcW w:w="1440" w:type="pct"/>
            <w:tcMar>
              <w:top w:w="72" w:type="dxa"/>
              <w:left w:w="144" w:type="dxa"/>
              <w:bottom w:w="72" w:type="dxa"/>
              <w:right w:w="144" w:type="dxa"/>
            </w:tcMar>
            <w:vAlign w:val="center"/>
          </w:tcPr>
          <w:p w14:paraId="07594B85" w14:textId="50ADB9F1" w:rsidR="0010687A" w:rsidRPr="0076523D" w:rsidRDefault="0010687A" w:rsidP="003D49C3">
            <w:pPr>
              <w:pStyle w:val="Tablehead"/>
              <w:keepLines/>
              <w:rPr>
                <w:szCs w:val="22"/>
              </w:rPr>
            </w:pPr>
            <w:r w:rsidRPr="0076523D">
              <w:rPr>
                <w:szCs w:val="22"/>
              </w:rPr>
              <w:t xml:space="preserve">Vía </w:t>
            </w:r>
            <w:r w:rsidR="003A6338">
              <w:rPr>
                <w:szCs w:val="22"/>
              </w:rPr>
              <w:t xml:space="preserve">para </w:t>
            </w:r>
            <w:r w:rsidR="000F3EDB">
              <w:rPr>
                <w:szCs w:val="22"/>
              </w:rPr>
              <w:t>fomentar</w:t>
            </w:r>
            <w:r w:rsidR="003A6338">
              <w:rPr>
                <w:szCs w:val="22"/>
              </w:rPr>
              <w:t xml:space="preserve"> la versatilidad</w:t>
            </w:r>
          </w:p>
        </w:tc>
        <w:tc>
          <w:tcPr>
            <w:tcW w:w="1162" w:type="pct"/>
            <w:tcMar>
              <w:top w:w="72" w:type="dxa"/>
              <w:left w:w="144" w:type="dxa"/>
              <w:bottom w:w="72" w:type="dxa"/>
              <w:right w:w="144" w:type="dxa"/>
            </w:tcMar>
            <w:vAlign w:val="center"/>
          </w:tcPr>
          <w:p w14:paraId="07B2F2C7" w14:textId="77777777" w:rsidR="0010687A" w:rsidRPr="0076523D" w:rsidRDefault="0010687A" w:rsidP="003D49C3">
            <w:pPr>
              <w:pStyle w:val="Tablehead"/>
              <w:keepLines/>
              <w:rPr>
                <w:szCs w:val="22"/>
              </w:rPr>
            </w:pPr>
            <w:r w:rsidRPr="0076523D">
              <w:rPr>
                <w:szCs w:val="22"/>
              </w:rPr>
              <w:t>Resultado</w:t>
            </w:r>
          </w:p>
        </w:tc>
      </w:tr>
      <w:tr w:rsidR="0010687A" w:rsidRPr="0076523D" w14:paraId="3A99D9A4" w14:textId="77777777" w:rsidTr="005226E5">
        <w:trPr>
          <w:trHeight w:val="593"/>
          <w:jc w:val="center"/>
        </w:trPr>
        <w:tc>
          <w:tcPr>
            <w:tcW w:w="1384" w:type="pct"/>
            <w:tcMar>
              <w:top w:w="72" w:type="dxa"/>
              <w:left w:w="144" w:type="dxa"/>
              <w:bottom w:w="72" w:type="dxa"/>
              <w:right w:w="144" w:type="dxa"/>
            </w:tcMar>
            <w:vAlign w:val="center"/>
          </w:tcPr>
          <w:p w14:paraId="01B53106" w14:textId="462E6786" w:rsidR="0010687A" w:rsidRPr="0076523D" w:rsidRDefault="0010687A" w:rsidP="003A6338">
            <w:pPr>
              <w:pStyle w:val="Tabletext"/>
              <w:keepNext/>
              <w:keepLines/>
              <w:ind w:left="284" w:hanging="284"/>
              <w:jc w:val="left"/>
              <w:rPr>
                <w:szCs w:val="22"/>
              </w:rPr>
            </w:pPr>
            <w:r w:rsidRPr="0076523D">
              <w:rPr>
                <w:szCs w:val="22"/>
              </w:rPr>
              <w:t>A)</w:t>
            </w:r>
            <w:r w:rsidRPr="0076523D">
              <w:rPr>
                <w:szCs w:val="22"/>
              </w:rPr>
              <w:tab/>
              <w:t xml:space="preserve">Tendencia </w:t>
            </w:r>
            <w:r w:rsidR="003A6338">
              <w:rPr>
                <w:szCs w:val="22"/>
              </w:rPr>
              <w:t>a</w:t>
            </w:r>
            <w:r w:rsidRPr="0076523D">
              <w:rPr>
                <w:szCs w:val="22"/>
              </w:rPr>
              <w:t xml:space="preserve"> una </w:t>
            </w:r>
            <w:r w:rsidR="003A6338">
              <w:rPr>
                <w:szCs w:val="22"/>
              </w:rPr>
              <w:t>versatilidad</w:t>
            </w:r>
            <w:r w:rsidRPr="0076523D">
              <w:rPr>
                <w:szCs w:val="22"/>
              </w:rPr>
              <w:t xml:space="preserve"> incremental</w:t>
            </w:r>
          </w:p>
        </w:tc>
        <w:tc>
          <w:tcPr>
            <w:tcW w:w="1013" w:type="pct"/>
            <w:tcMar>
              <w:top w:w="72" w:type="dxa"/>
              <w:left w:w="144" w:type="dxa"/>
              <w:bottom w:w="72" w:type="dxa"/>
              <w:right w:w="144" w:type="dxa"/>
            </w:tcMar>
            <w:vAlign w:val="center"/>
          </w:tcPr>
          <w:p w14:paraId="1F26684E" w14:textId="7D8365B7" w:rsidR="0010687A" w:rsidRPr="0076523D" w:rsidRDefault="0010687A" w:rsidP="003A6338">
            <w:pPr>
              <w:pStyle w:val="Tabletext"/>
              <w:keepNext/>
              <w:keepLines/>
              <w:jc w:val="left"/>
              <w:rPr>
                <w:szCs w:val="22"/>
              </w:rPr>
            </w:pPr>
            <w:r w:rsidRPr="0076523D">
              <w:rPr>
                <w:szCs w:val="22"/>
              </w:rPr>
              <w:t xml:space="preserve">Mejora </w:t>
            </w:r>
            <w:r w:rsidR="003A6338">
              <w:rPr>
                <w:szCs w:val="22"/>
              </w:rPr>
              <w:t>paulatina</w:t>
            </w:r>
            <w:r w:rsidRPr="0076523D">
              <w:rPr>
                <w:szCs w:val="22"/>
              </w:rPr>
              <w:t xml:space="preserve"> de </w:t>
            </w:r>
            <w:r w:rsidR="003A6338">
              <w:rPr>
                <w:szCs w:val="22"/>
              </w:rPr>
              <w:t>la versatilidad</w:t>
            </w:r>
            <w:r w:rsidRPr="0076523D">
              <w:rPr>
                <w:szCs w:val="22"/>
              </w:rPr>
              <w:t xml:space="preserve"> en la gestión del espectro</w:t>
            </w:r>
          </w:p>
        </w:tc>
        <w:tc>
          <w:tcPr>
            <w:tcW w:w="1440" w:type="pct"/>
            <w:tcMar>
              <w:top w:w="72" w:type="dxa"/>
              <w:left w:w="144" w:type="dxa"/>
              <w:bottom w:w="72" w:type="dxa"/>
              <w:right w:w="144" w:type="dxa"/>
            </w:tcMar>
            <w:vAlign w:val="center"/>
          </w:tcPr>
          <w:p w14:paraId="1F7C49DD" w14:textId="3889A01C" w:rsidR="0010687A" w:rsidRPr="0076523D" w:rsidRDefault="0010687A" w:rsidP="003A6338">
            <w:pPr>
              <w:pStyle w:val="Tabletext"/>
              <w:keepNext/>
              <w:keepLines/>
              <w:jc w:val="left"/>
              <w:rPr>
                <w:szCs w:val="22"/>
              </w:rPr>
            </w:pPr>
            <w:r w:rsidRPr="0076523D">
              <w:rPr>
                <w:szCs w:val="22"/>
              </w:rPr>
              <w:t xml:space="preserve">Adopción </w:t>
            </w:r>
            <w:r w:rsidR="003A6338">
              <w:rPr>
                <w:szCs w:val="22"/>
              </w:rPr>
              <w:t>variable</w:t>
            </w:r>
            <w:r w:rsidRPr="0076523D">
              <w:rPr>
                <w:szCs w:val="22"/>
              </w:rPr>
              <w:t xml:space="preserve"> de nuevos procesos </w:t>
            </w:r>
            <w:r w:rsidR="003A6338">
              <w:rPr>
                <w:szCs w:val="22"/>
              </w:rPr>
              <w:t>versátiles</w:t>
            </w:r>
            <w:r w:rsidRPr="0076523D">
              <w:rPr>
                <w:szCs w:val="22"/>
              </w:rPr>
              <w:t xml:space="preserve">, </w:t>
            </w:r>
            <w:r w:rsidR="003A6338">
              <w:rPr>
                <w:szCs w:val="22"/>
              </w:rPr>
              <w:t>incluida</w:t>
            </w:r>
            <w:r w:rsidRPr="0076523D">
              <w:rPr>
                <w:szCs w:val="22"/>
              </w:rPr>
              <w:t xml:space="preserve"> cierta inteligencia adicional</w:t>
            </w:r>
          </w:p>
        </w:tc>
        <w:tc>
          <w:tcPr>
            <w:tcW w:w="1162" w:type="pct"/>
            <w:tcMar>
              <w:top w:w="72" w:type="dxa"/>
              <w:left w:w="144" w:type="dxa"/>
              <w:bottom w:w="72" w:type="dxa"/>
              <w:right w:w="144" w:type="dxa"/>
            </w:tcMar>
            <w:vAlign w:val="center"/>
          </w:tcPr>
          <w:p w14:paraId="7E2A5F60" w14:textId="2AA93CC7" w:rsidR="0010687A" w:rsidRPr="0076523D" w:rsidRDefault="0010687A" w:rsidP="003A6338">
            <w:pPr>
              <w:pStyle w:val="Tabletext"/>
              <w:keepNext/>
              <w:keepLines/>
              <w:jc w:val="left"/>
              <w:rPr>
                <w:szCs w:val="22"/>
              </w:rPr>
            </w:pPr>
            <w:r w:rsidRPr="0076523D">
              <w:rPr>
                <w:szCs w:val="22"/>
              </w:rPr>
              <w:t xml:space="preserve">Nivel de </w:t>
            </w:r>
            <w:r w:rsidR="003A6338">
              <w:rPr>
                <w:szCs w:val="22"/>
              </w:rPr>
              <w:t>desarrollo</w:t>
            </w:r>
            <w:r w:rsidRPr="0076523D">
              <w:rPr>
                <w:szCs w:val="22"/>
              </w:rPr>
              <w:t xml:space="preserve"> incremental</w:t>
            </w:r>
          </w:p>
        </w:tc>
      </w:tr>
      <w:tr w:rsidR="0010687A" w:rsidRPr="0076523D" w14:paraId="2CB6316D" w14:textId="77777777" w:rsidTr="005226E5">
        <w:trPr>
          <w:trHeight w:val="584"/>
          <w:jc w:val="center"/>
        </w:trPr>
        <w:tc>
          <w:tcPr>
            <w:tcW w:w="1384" w:type="pct"/>
            <w:tcMar>
              <w:top w:w="72" w:type="dxa"/>
              <w:left w:w="144" w:type="dxa"/>
              <w:bottom w:w="72" w:type="dxa"/>
              <w:right w:w="144" w:type="dxa"/>
            </w:tcMar>
            <w:vAlign w:val="center"/>
          </w:tcPr>
          <w:p w14:paraId="3B3F347B" w14:textId="19204161" w:rsidR="0010687A" w:rsidRPr="0076523D" w:rsidRDefault="0010687A" w:rsidP="003A6338">
            <w:pPr>
              <w:pStyle w:val="Tabletext"/>
              <w:keepNext/>
              <w:keepLines/>
              <w:ind w:left="284" w:hanging="284"/>
              <w:jc w:val="left"/>
              <w:rPr>
                <w:szCs w:val="22"/>
              </w:rPr>
            </w:pPr>
            <w:r w:rsidRPr="0076523D">
              <w:rPr>
                <w:szCs w:val="22"/>
              </w:rPr>
              <w:t>B)</w:t>
            </w:r>
            <w:r w:rsidRPr="0076523D">
              <w:rPr>
                <w:szCs w:val="22"/>
              </w:rPr>
              <w:tab/>
            </w:r>
            <w:r w:rsidR="003A6338">
              <w:rPr>
                <w:szCs w:val="22"/>
              </w:rPr>
              <w:t>Paso a</w:t>
            </w:r>
            <w:r w:rsidRPr="0076523D">
              <w:rPr>
                <w:szCs w:val="22"/>
              </w:rPr>
              <w:t xml:space="preserve"> condiciones de</w:t>
            </w:r>
            <w:r w:rsidR="003A6338">
              <w:rPr>
                <w:szCs w:val="22"/>
              </w:rPr>
              <w:t xml:space="preserve"> plena</w:t>
            </w:r>
            <w:r w:rsidRPr="0076523D">
              <w:rPr>
                <w:szCs w:val="22"/>
              </w:rPr>
              <w:t xml:space="preserve"> </w:t>
            </w:r>
            <w:r w:rsidR="003A6338">
              <w:rPr>
                <w:szCs w:val="22"/>
              </w:rPr>
              <w:t>versatilidad</w:t>
            </w:r>
            <w:r w:rsidR="003A6338" w:rsidRPr="0076523D">
              <w:rPr>
                <w:szCs w:val="22"/>
              </w:rPr>
              <w:t xml:space="preserve"> </w:t>
            </w:r>
          </w:p>
        </w:tc>
        <w:tc>
          <w:tcPr>
            <w:tcW w:w="1013" w:type="pct"/>
            <w:tcMar>
              <w:top w:w="72" w:type="dxa"/>
              <w:left w:w="144" w:type="dxa"/>
              <w:bottom w:w="72" w:type="dxa"/>
              <w:right w:w="144" w:type="dxa"/>
            </w:tcMar>
            <w:vAlign w:val="center"/>
          </w:tcPr>
          <w:p w14:paraId="02CD2C9A" w14:textId="438C867F" w:rsidR="0010687A" w:rsidRPr="0076523D" w:rsidRDefault="003A6338" w:rsidP="003A6338">
            <w:pPr>
              <w:pStyle w:val="Tabletext"/>
              <w:keepNext/>
              <w:keepLines/>
              <w:jc w:val="left"/>
              <w:rPr>
                <w:szCs w:val="22"/>
              </w:rPr>
            </w:pPr>
            <w:r>
              <w:rPr>
                <w:szCs w:val="22"/>
              </w:rPr>
              <w:t>C</w:t>
            </w:r>
            <w:r w:rsidRPr="003A6338">
              <w:rPr>
                <w:szCs w:val="22"/>
              </w:rPr>
              <w:t>ondiciones de plena versatilidad</w:t>
            </w:r>
          </w:p>
        </w:tc>
        <w:tc>
          <w:tcPr>
            <w:tcW w:w="1440" w:type="pct"/>
            <w:tcMar>
              <w:top w:w="72" w:type="dxa"/>
              <w:left w:w="144" w:type="dxa"/>
              <w:bottom w:w="72" w:type="dxa"/>
              <w:right w:w="144" w:type="dxa"/>
            </w:tcMar>
            <w:vAlign w:val="center"/>
          </w:tcPr>
          <w:p w14:paraId="1434C23A" w14:textId="096797D2" w:rsidR="0010687A" w:rsidRPr="0076523D" w:rsidRDefault="0010687A" w:rsidP="003A6338">
            <w:pPr>
              <w:pStyle w:val="Tabletext"/>
              <w:keepNext/>
              <w:keepLines/>
              <w:jc w:val="left"/>
              <w:rPr>
                <w:szCs w:val="22"/>
              </w:rPr>
            </w:pPr>
            <w:r w:rsidRPr="0076523D">
              <w:rPr>
                <w:szCs w:val="22"/>
              </w:rPr>
              <w:t xml:space="preserve">Adopción generalizada de todos los procesos </w:t>
            </w:r>
            <w:r w:rsidR="003A6338">
              <w:rPr>
                <w:szCs w:val="22"/>
              </w:rPr>
              <w:t>plenamente versátiles</w:t>
            </w:r>
            <w:r w:rsidRPr="0076523D">
              <w:rPr>
                <w:szCs w:val="22"/>
              </w:rPr>
              <w:t xml:space="preserve"> que </w:t>
            </w:r>
            <w:r w:rsidR="003A6338">
              <w:rPr>
                <w:szCs w:val="22"/>
              </w:rPr>
              <w:t>concebidos y desarrollados</w:t>
            </w:r>
          </w:p>
        </w:tc>
        <w:tc>
          <w:tcPr>
            <w:tcW w:w="1162" w:type="pct"/>
            <w:tcMar>
              <w:top w:w="72" w:type="dxa"/>
              <w:left w:w="144" w:type="dxa"/>
              <w:bottom w:w="72" w:type="dxa"/>
              <w:right w:w="144" w:type="dxa"/>
            </w:tcMar>
            <w:vAlign w:val="center"/>
          </w:tcPr>
          <w:p w14:paraId="470BD9FA" w14:textId="2491D4CE" w:rsidR="0010687A" w:rsidRPr="0076523D" w:rsidRDefault="003A6338" w:rsidP="003A6338">
            <w:pPr>
              <w:pStyle w:val="Tabletext"/>
              <w:keepNext/>
              <w:keepLines/>
              <w:jc w:val="left"/>
              <w:rPr>
                <w:szCs w:val="22"/>
              </w:rPr>
            </w:pPr>
            <w:r>
              <w:rPr>
                <w:szCs w:val="22"/>
              </w:rPr>
              <w:t>Desarrollo plenamente versátil</w:t>
            </w:r>
            <w:r w:rsidR="0010687A" w:rsidRPr="0076523D">
              <w:rPr>
                <w:szCs w:val="22"/>
              </w:rPr>
              <w:t xml:space="preserve"> (</w:t>
            </w:r>
            <w:r>
              <w:rPr>
                <w:szCs w:val="22"/>
              </w:rPr>
              <w:t>caso hipotético</w:t>
            </w:r>
            <w:r w:rsidR="0010687A" w:rsidRPr="0076523D">
              <w:rPr>
                <w:szCs w:val="22"/>
              </w:rPr>
              <w:t xml:space="preserve"> de referencia «</w:t>
            </w:r>
            <w:r>
              <w:rPr>
                <w:szCs w:val="22"/>
              </w:rPr>
              <w:t>idóneo</w:t>
            </w:r>
            <w:r w:rsidR="0010687A" w:rsidRPr="0076523D">
              <w:rPr>
                <w:szCs w:val="22"/>
              </w:rPr>
              <w:t>»)</w:t>
            </w:r>
          </w:p>
        </w:tc>
      </w:tr>
      <w:tr w:rsidR="0010687A" w:rsidRPr="0076523D" w14:paraId="2F0627C3" w14:textId="77777777" w:rsidTr="005226E5">
        <w:trPr>
          <w:trHeight w:val="584"/>
          <w:jc w:val="center"/>
        </w:trPr>
        <w:tc>
          <w:tcPr>
            <w:tcW w:w="1384" w:type="pct"/>
            <w:tcMar>
              <w:top w:w="72" w:type="dxa"/>
              <w:left w:w="144" w:type="dxa"/>
              <w:bottom w:w="72" w:type="dxa"/>
              <w:right w:w="144" w:type="dxa"/>
            </w:tcMar>
            <w:vAlign w:val="center"/>
          </w:tcPr>
          <w:p w14:paraId="6492E1C3" w14:textId="479A73B4" w:rsidR="0010687A" w:rsidRPr="0076523D" w:rsidRDefault="0010687A" w:rsidP="003A6338">
            <w:pPr>
              <w:pStyle w:val="Tabletext"/>
              <w:ind w:left="284" w:hanging="284"/>
              <w:jc w:val="left"/>
              <w:rPr>
                <w:szCs w:val="22"/>
              </w:rPr>
            </w:pPr>
            <w:r w:rsidRPr="0076523D">
              <w:rPr>
                <w:szCs w:val="22"/>
              </w:rPr>
              <w:t>C)</w:t>
            </w:r>
            <w:r w:rsidRPr="0076523D">
              <w:rPr>
                <w:szCs w:val="22"/>
              </w:rPr>
              <w:tab/>
              <w:t xml:space="preserve">Enfoque basado en objetivos: </w:t>
            </w:r>
            <w:r w:rsidR="003A6338">
              <w:rPr>
                <w:szCs w:val="22"/>
              </w:rPr>
              <w:t>el</w:t>
            </w:r>
            <w:r w:rsidRPr="0076523D">
              <w:rPr>
                <w:szCs w:val="22"/>
              </w:rPr>
              <w:t xml:space="preserve"> camino hacia 2031</w:t>
            </w:r>
          </w:p>
        </w:tc>
        <w:tc>
          <w:tcPr>
            <w:tcW w:w="1013" w:type="pct"/>
            <w:tcMar>
              <w:top w:w="72" w:type="dxa"/>
              <w:left w:w="144" w:type="dxa"/>
              <w:bottom w:w="72" w:type="dxa"/>
              <w:right w:w="144" w:type="dxa"/>
            </w:tcMar>
            <w:vAlign w:val="center"/>
          </w:tcPr>
          <w:p w14:paraId="71EBD466" w14:textId="12F617D0" w:rsidR="0010687A" w:rsidRPr="0076523D" w:rsidRDefault="003A6338" w:rsidP="003A6338">
            <w:pPr>
              <w:pStyle w:val="Tabletext"/>
              <w:jc w:val="left"/>
              <w:rPr>
                <w:szCs w:val="22"/>
              </w:rPr>
            </w:pPr>
            <w:r>
              <w:rPr>
                <w:szCs w:val="22"/>
              </w:rPr>
              <w:t>V</w:t>
            </w:r>
            <w:r w:rsidRPr="003A6338">
              <w:rPr>
                <w:szCs w:val="22"/>
              </w:rPr>
              <w:t>ersatilidad</w:t>
            </w:r>
            <w:r w:rsidRPr="0076523D">
              <w:rPr>
                <w:szCs w:val="22"/>
              </w:rPr>
              <w:t xml:space="preserve"> </w:t>
            </w:r>
            <w:r>
              <w:rPr>
                <w:szCs w:val="22"/>
              </w:rPr>
              <w:t>sustancialmente</w:t>
            </w:r>
            <w:r w:rsidRPr="0076523D">
              <w:rPr>
                <w:szCs w:val="22"/>
              </w:rPr>
              <w:t xml:space="preserve"> </w:t>
            </w:r>
            <w:r>
              <w:rPr>
                <w:szCs w:val="22"/>
              </w:rPr>
              <w:t>mejorada a los efectos de</w:t>
            </w:r>
            <w:r w:rsidR="0010687A" w:rsidRPr="0076523D">
              <w:rPr>
                <w:szCs w:val="22"/>
              </w:rPr>
              <w:t xml:space="preserve"> gestión del espectro</w:t>
            </w:r>
          </w:p>
        </w:tc>
        <w:tc>
          <w:tcPr>
            <w:tcW w:w="1440" w:type="pct"/>
            <w:tcMar>
              <w:top w:w="72" w:type="dxa"/>
              <w:left w:w="144" w:type="dxa"/>
              <w:bottom w:w="72" w:type="dxa"/>
              <w:right w:w="144" w:type="dxa"/>
            </w:tcMar>
            <w:vAlign w:val="center"/>
          </w:tcPr>
          <w:p w14:paraId="7F402FBB" w14:textId="59D50AF0" w:rsidR="0010687A" w:rsidRPr="0076523D" w:rsidRDefault="0010687A" w:rsidP="003A6338">
            <w:pPr>
              <w:pStyle w:val="Tabletext"/>
              <w:ind w:left="284" w:hanging="284"/>
              <w:jc w:val="left"/>
              <w:rPr>
                <w:szCs w:val="22"/>
              </w:rPr>
            </w:pPr>
            <w:r w:rsidRPr="0076523D">
              <w:rPr>
                <w:szCs w:val="22"/>
              </w:rPr>
              <w:t>–</w:t>
            </w:r>
            <w:r w:rsidRPr="0076523D">
              <w:rPr>
                <w:szCs w:val="22"/>
              </w:rPr>
              <w:tab/>
              <w:t xml:space="preserve">Adopción de nuevos procesos </w:t>
            </w:r>
            <w:r w:rsidR="003A6338">
              <w:rPr>
                <w:szCs w:val="22"/>
              </w:rPr>
              <w:t>versátiles</w:t>
            </w:r>
          </w:p>
          <w:p w14:paraId="5C7421AD" w14:textId="5CD01D46" w:rsidR="0010687A" w:rsidRPr="0076523D" w:rsidRDefault="0010687A" w:rsidP="003A6338">
            <w:pPr>
              <w:pStyle w:val="Tabletext"/>
              <w:ind w:left="284" w:hanging="284"/>
              <w:jc w:val="left"/>
              <w:rPr>
                <w:szCs w:val="22"/>
              </w:rPr>
            </w:pPr>
            <w:r w:rsidRPr="0076523D">
              <w:rPr>
                <w:szCs w:val="22"/>
              </w:rPr>
              <w:t>–</w:t>
            </w:r>
            <w:r w:rsidRPr="0076523D">
              <w:rPr>
                <w:szCs w:val="22"/>
              </w:rPr>
              <w:tab/>
              <w:t xml:space="preserve">Iniciativas </w:t>
            </w:r>
            <w:r w:rsidR="003A6338" w:rsidRPr="0076523D">
              <w:rPr>
                <w:szCs w:val="22"/>
              </w:rPr>
              <w:t>de</w:t>
            </w:r>
            <w:r w:rsidR="003A6338">
              <w:rPr>
                <w:szCs w:val="22"/>
              </w:rPr>
              <w:t xml:space="preserve"> la</w:t>
            </w:r>
            <w:r w:rsidR="003A6338" w:rsidRPr="0076523D">
              <w:rPr>
                <w:szCs w:val="22"/>
              </w:rPr>
              <w:t xml:space="preserve"> TDRA </w:t>
            </w:r>
            <w:r w:rsidRPr="0076523D">
              <w:rPr>
                <w:szCs w:val="22"/>
              </w:rPr>
              <w:t xml:space="preserve">orientadas al futuro </w:t>
            </w:r>
          </w:p>
        </w:tc>
        <w:tc>
          <w:tcPr>
            <w:tcW w:w="1162" w:type="pct"/>
            <w:tcMar>
              <w:top w:w="72" w:type="dxa"/>
              <w:left w:w="144" w:type="dxa"/>
              <w:bottom w:w="72" w:type="dxa"/>
              <w:right w:w="144" w:type="dxa"/>
            </w:tcMar>
            <w:vAlign w:val="center"/>
          </w:tcPr>
          <w:p w14:paraId="6E3CD6B7" w14:textId="5940FA3E" w:rsidR="0010687A" w:rsidRPr="0076523D" w:rsidRDefault="003A6338" w:rsidP="003A6338">
            <w:pPr>
              <w:pStyle w:val="Tabletext"/>
              <w:jc w:val="left"/>
              <w:rPr>
                <w:szCs w:val="22"/>
              </w:rPr>
            </w:pPr>
            <w:r>
              <w:rPr>
                <w:szCs w:val="22"/>
              </w:rPr>
              <w:t>Avances</w:t>
            </w:r>
            <w:r w:rsidR="0010687A" w:rsidRPr="0076523D">
              <w:rPr>
                <w:szCs w:val="22"/>
              </w:rPr>
              <w:t xml:space="preserve"> cuantitativo</w:t>
            </w:r>
            <w:r>
              <w:rPr>
                <w:szCs w:val="22"/>
              </w:rPr>
              <w:t>s</w:t>
            </w:r>
            <w:r w:rsidR="0010687A" w:rsidRPr="0076523D">
              <w:rPr>
                <w:szCs w:val="22"/>
              </w:rPr>
              <w:t xml:space="preserve"> en </w:t>
            </w:r>
            <w:r>
              <w:rPr>
                <w:szCs w:val="22"/>
              </w:rPr>
              <w:t>cuanto a grado de desarrollo</w:t>
            </w:r>
          </w:p>
        </w:tc>
      </w:tr>
    </w:tbl>
    <w:p w14:paraId="7361EBFF" w14:textId="77777777" w:rsidR="0003771A" w:rsidRDefault="0003771A">
      <w:pPr>
        <w:tabs>
          <w:tab w:val="clear" w:pos="794"/>
          <w:tab w:val="clear" w:pos="1191"/>
          <w:tab w:val="clear" w:pos="1588"/>
          <w:tab w:val="clear" w:pos="1985"/>
        </w:tabs>
        <w:overflowPunct/>
        <w:autoSpaceDE/>
        <w:autoSpaceDN/>
        <w:adjustRightInd/>
        <w:spacing w:before="0"/>
        <w:jc w:val="left"/>
        <w:textAlignment w:val="auto"/>
        <w:rPr>
          <w:b/>
        </w:rPr>
      </w:pPr>
      <w:bookmarkStart w:id="393" w:name="_Toc121911834"/>
      <w:bookmarkStart w:id="394" w:name="_Toc136358667"/>
      <w:bookmarkStart w:id="395" w:name="_Toc184629749"/>
      <w:bookmarkStart w:id="396" w:name="_Toc184629965"/>
      <w:bookmarkStart w:id="397" w:name="_Toc216630185"/>
      <w:bookmarkStart w:id="398" w:name="_Toc216693473"/>
      <w:r>
        <w:br w:type="page"/>
      </w:r>
    </w:p>
    <w:p w14:paraId="4606218A" w14:textId="0DEDB5BE" w:rsidR="0010687A" w:rsidRPr="007B7381" w:rsidRDefault="0010687A" w:rsidP="0010687A">
      <w:pPr>
        <w:pStyle w:val="Heading2"/>
      </w:pPr>
      <w:bookmarkStart w:id="399" w:name="_Toc217031181"/>
      <w:r w:rsidRPr="007B7381">
        <w:lastRenderedPageBreak/>
        <w:t>6.1</w:t>
      </w:r>
      <w:r w:rsidRPr="007B7381">
        <w:tab/>
      </w:r>
      <w:r w:rsidR="003A6338">
        <w:t>Caso hipotético</w:t>
      </w:r>
      <w:r w:rsidRPr="007B7381">
        <w:t xml:space="preserve"> A: </w:t>
      </w:r>
      <w:bookmarkEnd w:id="393"/>
      <w:bookmarkEnd w:id="394"/>
      <w:bookmarkEnd w:id="395"/>
      <w:bookmarkEnd w:id="396"/>
      <w:r w:rsidR="003A6338" w:rsidRPr="003A6338">
        <w:t>Tendencia a una versatilidad incremental</w:t>
      </w:r>
      <w:bookmarkEnd w:id="397"/>
      <w:bookmarkEnd w:id="398"/>
      <w:bookmarkEnd w:id="399"/>
    </w:p>
    <w:p w14:paraId="7441911B" w14:textId="1E0972A5" w:rsidR="0010687A" w:rsidRPr="007B7381" w:rsidRDefault="003A6338" w:rsidP="0010687A">
      <w:r>
        <w:t>La actividad</w:t>
      </w:r>
      <w:r w:rsidR="0010687A" w:rsidRPr="007B7381">
        <w:t xml:space="preserve"> de evaluación comparativa </w:t>
      </w:r>
      <w:r>
        <w:t>llevada a cabo en el marco del</w:t>
      </w:r>
      <w:r w:rsidR="0010687A" w:rsidRPr="007B7381">
        <w:t xml:space="preserve"> proyecto </w:t>
      </w:r>
      <w:r>
        <w:t xml:space="preserve">de la </w:t>
      </w:r>
      <w:r w:rsidR="0010687A" w:rsidRPr="007B7381">
        <w:t xml:space="preserve">TDRA </w:t>
      </w:r>
      <w:r>
        <w:t>sobre versatilidad de espectro ha puesto de manifiesto</w:t>
      </w:r>
      <w:r w:rsidR="0010687A" w:rsidRPr="007B7381">
        <w:t xml:space="preserve"> expectativas algo cautelosas de los </w:t>
      </w:r>
      <w:r>
        <w:t>organismos de reglamentación de t</w:t>
      </w:r>
      <w:r w:rsidR="0010687A" w:rsidRPr="007B7381">
        <w:t xml:space="preserve">odo el mundo en cuanto a la posibilidad de que se produzcan avances rápidos y sustanciales en la automatización de la gestión del espectro </w:t>
      </w:r>
      <w:r>
        <w:t>a corto plazo</w:t>
      </w:r>
      <w:r w:rsidR="0010687A" w:rsidRPr="007B7381">
        <w:t xml:space="preserve">. La automatización de la gestión del espectro podría tener lugar, pero </w:t>
      </w:r>
      <w:r>
        <w:t>únicamente</w:t>
      </w:r>
      <w:r w:rsidR="0010687A" w:rsidRPr="007B7381">
        <w:t xml:space="preserve"> de forma </w:t>
      </w:r>
      <w:r>
        <w:t>paulatina</w:t>
      </w:r>
      <w:r w:rsidR="0010687A" w:rsidRPr="007B7381">
        <w:t xml:space="preserve">, como se ilustra en </w:t>
      </w:r>
      <w:r w:rsidR="0010687A">
        <w:t xml:space="preserve">la </w:t>
      </w:r>
      <w:r w:rsidR="0003771A">
        <w:t>F</w:t>
      </w:r>
      <w:r w:rsidR="0010687A">
        <w:t>ig</w:t>
      </w:r>
      <w:r w:rsidR="005226E5">
        <w:t>.</w:t>
      </w:r>
      <w:r w:rsidR="0003771A">
        <w:t> </w:t>
      </w:r>
      <w:r w:rsidR="0010687A">
        <w:t>11</w:t>
      </w:r>
      <w:r w:rsidR="0010687A" w:rsidRPr="007B7381">
        <w:t>.</w:t>
      </w:r>
    </w:p>
    <w:p w14:paraId="1268C12E" w14:textId="77777777" w:rsidR="0010687A" w:rsidRPr="007B7381" w:rsidRDefault="0010687A" w:rsidP="0010687A">
      <w:pPr>
        <w:pStyle w:val="FigureNo"/>
      </w:pPr>
      <w:bookmarkStart w:id="400" w:name="_Ref121744482"/>
      <w:r w:rsidRPr="007B7381">
        <w:t>Figura</w:t>
      </w:r>
      <w:bookmarkEnd w:id="400"/>
      <w:r>
        <w:t xml:space="preserve"> 11</w:t>
      </w:r>
    </w:p>
    <w:p w14:paraId="57C7CBAA" w14:textId="1B4247C8" w:rsidR="0010687A" w:rsidRPr="007B7381" w:rsidRDefault="0010687A" w:rsidP="0010687A">
      <w:pPr>
        <w:pStyle w:val="Figuretitle"/>
      </w:pPr>
      <w:r w:rsidRPr="007B7381">
        <w:t xml:space="preserve">Ejemplo de hoja de ruta para </w:t>
      </w:r>
      <w:r w:rsidR="003A6338">
        <w:t>facilitar</w:t>
      </w:r>
      <w:r w:rsidRPr="007B7381">
        <w:t xml:space="preserve"> la gestión del espectro </w:t>
      </w:r>
      <w:r w:rsidR="003A6338">
        <w:t>con arreglo al caso hipotético</w:t>
      </w:r>
      <w:r w:rsidRPr="007B7381">
        <w:t xml:space="preserve"> A</w:t>
      </w:r>
    </w:p>
    <w:p w14:paraId="26DD1D50" w14:textId="05B2C493" w:rsidR="0010687A" w:rsidRPr="007B7381" w:rsidRDefault="00C042CD" w:rsidP="0010687A">
      <w:pPr>
        <w:pStyle w:val="Figure"/>
      </w:pPr>
      <w:r>
        <w:rPr>
          <w:noProof/>
        </w:rPr>
        <w:drawing>
          <wp:inline distT="0" distB="0" distL="0" distR="0" wp14:anchorId="362BF699" wp14:editId="2E576D9C">
            <wp:extent cx="5449835" cy="2935230"/>
            <wp:effectExtent l="0" t="0" r="0" b="0"/>
            <wp:docPr id="1981447483" name="Picture 7" descr="La FIGURA 11 muestra el Ejemplo de hoja de ruta para facilitar la gestión del espectro con arreglo al caso hipotético 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47483" name="Picture 7" descr="La FIGURA 11 muestra el Ejemplo de hoja de ruta para facilitar la gestión del espectro con arreglo al caso hipotético A&#1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49835" cy="2935230"/>
                    </a:xfrm>
                    <a:prstGeom prst="rect">
                      <a:avLst/>
                    </a:prstGeom>
                  </pic:spPr>
                </pic:pic>
              </a:graphicData>
            </a:graphic>
          </wp:inline>
        </w:drawing>
      </w:r>
    </w:p>
    <w:p w14:paraId="0BBA56C4" w14:textId="4A6E887F" w:rsidR="0010687A" w:rsidRPr="007B7381" w:rsidRDefault="003A6338" w:rsidP="0010687A">
      <w:pPr>
        <w:pStyle w:val="Normalaftertitle"/>
      </w:pPr>
      <w:r>
        <w:t>Con arreglo a</w:t>
      </w:r>
      <w:r w:rsidR="0010687A" w:rsidRPr="007B7381">
        <w:t xml:space="preserve"> este </w:t>
      </w:r>
      <w:r>
        <w:t>caso hipotético</w:t>
      </w:r>
      <w:r w:rsidR="0010687A" w:rsidRPr="007B7381">
        <w:t xml:space="preserve"> de referencia, las bases de datos en tiempo real </w:t>
      </w:r>
      <w:r>
        <w:t>requerirán tiempo para</w:t>
      </w:r>
      <w:r w:rsidR="0010687A" w:rsidRPr="007B7381">
        <w:t xml:space="preserve"> configurarse y estar plenamente operativas. </w:t>
      </w:r>
      <w:r>
        <w:t>La compartición</w:t>
      </w:r>
      <w:r w:rsidR="0010687A" w:rsidRPr="007B7381">
        <w:t xml:space="preserve"> se verá </w:t>
      </w:r>
      <w:r>
        <w:t>restringida</w:t>
      </w:r>
      <w:r w:rsidR="0010687A" w:rsidRPr="007B7381">
        <w:t xml:space="preserve"> </w:t>
      </w:r>
      <w:r>
        <w:t>principalmente</w:t>
      </w:r>
      <w:r w:rsidR="0010687A" w:rsidRPr="007B7381">
        <w:t xml:space="preserve"> </w:t>
      </w:r>
      <w:r>
        <w:t>por</w:t>
      </w:r>
      <w:r w:rsidR="0010687A" w:rsidRPr="007B7381">
        <w:t xml:space="preserve"> reclamaciones </w:t>
      </w:r>
      <w:r>
        <w:t xml:space="preserve">sobre </w:t>
      </w:r>
      <w:r w:rsidR="0010687A" w:rsidRPr="007B7381">
        <w:t xml:space="preserve">derechos exclusivos por los operadores </w:t>
      </w:r>
      <w:r>
        <w:t>establecidos</w:t>
      </w:r>
      <w:r w:rsidR="0010687A" w:rsidRPr="007B7381">
        <w:t xml:space="preserve">, la complejidad y el ritmo relativamente lento del desarrollo de </w:t>
      </w:r>
      <w:r>
        <w:t>radiocomunicaciones</w:t>
      </w:r>
      <w:r w:rsidR="0010687A" w:rsidRPr="007B7381">
        <w:t xml:space="preserve"> cognitivas eficaces, y las limitadas bandas de espectro abiertas a esta innovación. La</w:t>
      </w:r>
      <w:r>
        <w:t>s</w:t>
      </w:r>
      <w:r w:rsidR="0010687A" w:rsidRPr="007B7381">
        <w:t xml:space="preserve"> cadena</w:t>
      </w:r>
      <w:r>
        <w:t>s</w:t>
      </w:r>
      <w:r w:rsidR="0010687A" w:rsidRPr="007B7381">
        <w:t xml:space="preserve"> de bloques y la asignación cooperativa de frecuencias se limitarán a pocos servicios</w:t>
      </w:r>
      <w:r>
        <w:t>,</w:t>
      </w:r>
      <w:r w:rsidR="0010687A" w:rsidRPr="007B7381">
        <w:t xml:space="preserve"> </w:t>
      </w:r>
      <w:r>
        <w:t>cuyos</w:t>
      </w:r>
      <w:r w:rsidR="0010687A" w:rsidRPr="007B7381">
        <w:t xml:space="preserve"> usuarios </w:t>
      </w:r>
      <w:r>
        <w:t>podrán</w:t>
      </w:r>
      <w:r w:rsidR="0010687A" w:rsidRPr="007B7381">
        <w:t xml:space="preserve"> gestionar requisitos relativamente básicos. </w:t>
      </w:r>
      <w:r>
        <w:t>Ello</w:t>
      </w:r>
      <w:r w:rsidR="0010687A" w:rsidRPr="007B7381">
        <w:t xml:space="preserve"> no significa que </w:t>
      </w:r>
      <w:r>
        <w:t>el grado de versatilidad no mejore en años sucesivos,</w:t>
      </w:r>
      <w:r w:rsidR="0010687A" w:rsidRPr="007B7381">
        <w:t xml:space="preserve"> sino que </w:t>
      </w:r>
      <w:r>
        <w:t>lo hará</w:t>
      </w:r>
      <w:r w:rsidR="0010687A" w:rsidRPr="007B7381">
        <w:t xml:space="preserve"> de forma incremental y </w:t>
      </w:r>
      <w:r>
        <w:t>adaptable</w:t>
      </w:r>
      <w:r w:rsidR="0010687A" w:rsidRPr="007B7381">
        <w:t>.</w:t>
      </w:r>
    </w:p>
    <w:p w14:paraId="069F425F" w14:textId="2812B034" w:rsidR="0010687A" w:rsidRPr="007B7381" w:rsidRDefault="0010687A" w:rsidP="0010687A">
      <w:pPr>
        <w:pStyle w:val="Heading2"/>
      </w:pPr>
      <w:bookmarkStart w:id="401" w:name="_Toc121911835"/>
      <w:bookmarkStart w:id="402" w:name="_Toc136358668"/>
      <w:bookmarkStart w:id="403" w:name="_Toc184629750"/>
      <w:bookmarkStart w:id="404" w:name="_Toc184629966"/>
      <w:bookmarkStart w:id="405" w:name="_Toc216630186"/>
      <w:bookmarkStart w:id="406" w:name="_Toc216693474"/>
      <w:bookmarkStart w:id="407" w:name="_Toc217031182"/>
      <w:r w:rsidRPr="007B7381">
        <w:t>6.2</w:t>
      </w:r>
      <w:r w:rsidRPr="007B7381">
        <w:tab/>
      </w:r>
      <w:r w:rsidR="003A6338">
        <w:t>Caso hipotético</w:t>
      </w:r>
      <w:r w:rsidR="003A6338" w:rsidRPr="007B7381">
        <w:t xml:space="preserve"> </w:t>
      </w:r>
      <w:r w:rsidRPr="007B7381">
        <w:t xml:space="preserve">B: </w:t>
      </w:r>
      <w:bookmarkEnd w:id="401"/>
      <w:bookmarkEnd w:id="402"/>
      <w:bookmarkEnd w:id="403"/>
      <w:bookmarkEnd w:id="404"/>
      <w:r w:rsidR="003A6338" w:rsidRPr="003A6338">
        <w:t>Paso a condiciones de plena versatilidad</w:t>
      </w:r>
      <w:bookmarkEnd w:id="405"/>
      <w:bookmarkEnd w:id="406"/>
      <w:bookmarkEnd w:id="407"/>
    </w:p>
    <w:p w14:paraId="26C1ED96" w14:textId="2542D67E" w:rsidR="0010687A" w:rsidRPr="007B7381" w:rsidRDefault="0010687A" w:rsidP="0010687A">
      <w:r w:rsidRPr="007B7381">
        <w:t xml:space="preserve">La gestión </w:t>
      </w:r>
      <w:r w:rsidR="003A6338">
        <w:t>plenamente</w:t>
      </w:r>
      <w:r w:rsidRPr="007B7381">
        <w:t xml:space="preserve"> autónoma del espectro se considera un objetivo que </w:t>
      </w:r>
      <w:r w:rsidR="003A6338">
        <w:t>conviene</w:t>
      </w:r>
      <w:r w:rsidRPr="007B7381">
        <w:t xml:space="preserve"> tener en cuenta, </w:t>
      </w:r>
      <w:r w:rsidR="00235D2A">
        <w:t>si bien</w:t>
      </w:r>
      <w:r w:rsidRPr="007B7381">
        <w:t xml:space="preserve"> </w:t>
      </w:r>
      <w:r w:rsidR="00235D2A">
        <w:t>su futuro vendrá determinado por</w:t>
      </w:r>
      <w:r w:rsidRPr="007B7381">
        <w:t xml:space="preserve"> </w:t>
      </w:r>
      <w:r w:rsidR="00235D2A">
        <w:t>la comunidad de</w:t>
      </w:r>
      <w:r w:rsidRPr="007B7381">
        <w:t xml:space="preserve"> partes interesadas y </w:t>
      </w:r>
      <w:r w:rsidR="00235D2A">
        <w:t>organismos de reglamentación</w:t>
      </w:r>
      <w:r w:rsidRPr="007B7381">
        <w:t xml:space="preserve"> del espectro radioeléctrico. </w:t>
      </w:r>
      <w:r w:rsidR="00235D2A">
        <w:t>Con respecto a la</w:t>
      </w:r>
      <w:r w:rsidRPr="007B7381">
        <w:t xml:space="preserve"> gestión del espectro radioeléctrico</w:t>
      </w:r>
      <w:r w:rsidR="00235D2A">
        <w:t>, ello se tiene por</w:t>
      </w:r>
      <w:r w:rsidRPr="007B7381">
        <w:t xml:space="preserve"> un «sueño» o una «fantasía». </w:t>
      </w:r>
      <w:r w:rsidR="00235D2A">
        <w:t>En la</w:t>
      </w:r>
      <w:r>
        <w:t xml:space="preserve"> </w:t>
      </w:r>
      <w:r w:rsidR="0003771A">
        <w:t>F</w:t>
      </w:r>
      <w:r>
        <w:t>ig</w:t>
      </w:r>
      <w:r w:rsidR="005226E5">
        <w:t>.</w:t>
      </w:r>
      <w:r>
        <w:t xml:space="preserve"> 12 </w:t>
      </w:r>
      <w:r w:rsidR="00235D2A">
        <w:t xml:space="preserve">se </w:t>
      </w:r>
      <w:r w:rsidRPr="007B7381">
        <w:t xml:space="preserve">describe una </w:t>
      </w:r>
      <w:r w:rsidR="00235D2A" w:rsidRPr="007B7381">
        <w:t xml:space="preserve">hipotética </w:t>
      </w:r>
      <w:r w:rsidRPr="007B7381">
        <w:t xml:space="preserve">trayectoria hacia la «automatización </w:t>
      </w:r>
      <w:r w:rsidR="00235D2A">
        <w:t>plenamente versátil</w:t>
      </w:r>
      <w:r w:rsidRPr="007B7381">
        <w:t>».</w:t>
      </w:r>
    </w:p>
    <w:p w14:paraId="78C45A5F" w14:textId="77777777" w:rsidR="0010687A" w:rsidRPr="007B7381" w:rsidRDefault="0010687A" w:rsidP="0010687A">
      <w:pPr>
        <w:pStyle w:val="FigureNo"/>
      </w:pPr>
      <w:bookmarkStart w:id="408" w:name="_Ref121744519"/>
      <w:r w:rsidRPr="007B7381">
        <w:lastRenderedPageBreak/>
        <w:t>Figura</w:t>
      </w:r>
      <w:bookmarkEnd w:id="408"/>
      <w:r>
        <w:t xml:space="preserve"> 12</w:t>
      </w:r>
    </w:p>
    <w:p w14:paraId="1FCBE846" w14:textId="2152CBDA" w:rsidR="0010687A" w:rsidRPr="007B7381" w:rsidRDefault="0010687A" w:rsidP="0010687A">
      <w:pPr>
        <w:pStyle w:val="Figuretitle"/>
      </w:pPr>
      <w:r w:rsidRPr="007B7381">
        <w:t xml:space="preserve">Ejemplo de hoja de ruta para </w:t>
      </w:r>
      <w:r w:rsidR="00235D2A">
        <w:t>facilitar el</w:t>
      </w:r>
      <w:r w:rsidRPr="007B7381">
        <w:t xml:space="preserve"> desarrollo de la gestión del espectro </w:t>
      </w:r>
      <w:r w:rsidR="00235D2A">
        <w:t>con arreglo al caso hipotético</w:t>
      </w:r>
      <w:r w:rsidRPr="007B7381">
        <w:t xml:space="preserve"> B</w:t>
      </w:r>
    </w:p>
    <w:p w14:paraId="6C9A7F59" w14:textId="74B0ACF6" w:rsidR="0010687A" w:rsidRPr="007B7381" w:rsidRDefault="00C042CD" w:rsidP="0010687A">
      <w:pPr>
        <w:pStyle w:val="Figure"/>
      </w:pPr>
      <w:r>
        <w:rPr>
          <w:noProof/>
        </w:rPr>
        <w:drawing>
          <wp:inline distT="0" distB="0" distL="0" distR="0" wp14:anchorId="38E8542D" wp14:editId="0269CED3">
            <wp:extent cx="4654305" cy="2980950"/>
            <wp:effectExtent l="0" t="0" r="0" b="0"/>
            <wp:docPr id="1055565201" name="Picture 8" descr="La FIGURA 12 muestra el Ejemplo de hoja de ruta para facilitar el desarrollo de la gestión del espectro con arreglo al caso hipotético 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65201" name="Picture 8" descr="La FIGURA 12 muestra el Ejemplo de hoja de ruta para facilitar el desarrollo de la gestión del espectro con arreglo al caso hipotético B&#10;"/>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654305" cy="2980950"/>
                    </a:xfrm>
                    <a:prstGeom prst="rect">
                      <a:avLst/>
                    </a:prstGeom>
                  </pic:spPr>
                </pic:pic>
              </a:graphicData>
            </a:graphic>
          </wp:inline>
        </w:drawing>
      </w:r>
    </w:p>
    <w:p w14:paraId="7E1462D4" w14:textId="6D2ACAE5" w:rsidR="0010687A" w:rsidRPr="007B7381" w:rsidRDefault="0010687A" w:rsidP="0010687A">
      <w:pPr>
        <w:pStyle w:val="Normalaftertitle"/>
      </w:pPr>
      <w:r w:rsidRPr="007B7381">
        <w:t xml:space="preserve">La posibilidad de </w:t>
      </w:r>
      <w:r w:rsidR="00235D2A">
        <w:t>conjugar la precisión de las</w:t>
      </w:r>
      <w:r w:rsidRPr="007B7381">
        <w:t xml:space="preserve"> </w:t>
      </w:r>
      <w:r w:rsidR="00235D2A">
        <w:t>radiocomunicaciones</w:t>
      </w:r>
      <w:r w:rsidRPr="007B7381">
        <w:t xml:space="preserve"> cognitivas con </w:t>
      </w:r>
      <w:r w:rsidR="00235D2A">
        <w:t xml:space="preserve">la ingente capacidad de la </w:t>
      </w:r>
      <w:r w:rsidRPr="007B7381">
        <w:t xml:space="preserve">IA </w:t>
      </w:r>
      <w:r w:rsidR="00235D2A">
        <w:t>a los efectos de atribución,</w:t>
      </w:r>
      <w:r w:rsidRPr="007B7381">
        <w:t xml:space="preserve"> asignación, autorización y gestión del espectro en tiempo real, </w:t>
      </w:r>
      <w:r w:rsidR="00235D2A">
        <w:t>de forma plenamente</w:t>
      </w:r>
      <w:r w:rsidRPr="007B7381">
        <w:t xml:space="preserve"> autónoma y eficiente </w:t>
      </w:r>
      <w:r w:rsidR="00235D2A">
        <w:t>para</w:t>
      </w:r>
      <w:r w:rsidRPr="007B7381">
        <w:t xml:space="preserve"> amplias bandas de frecuencia</w:t>
      </w:r>
      <w:r w:rsidR="00235D2A">
        <w:t>,</w:t>
      </w:r>
      <w:r w:rsidRPr="007B7381">
        <w:t xml:space="preserve"> se </w:t>
      </w:r>
      <w:r w:rsidR="00235D2A">
        <w:t>ha estudiado</w:t>
      </w:r>
      <w:r w:rsidRPr="007B7381">
        <w:t xml:space="preserve"> en </w:t>
      </w:r>
      <w:r w:rsidR="00235D2A">
        <w:t xml:space="preserve">el marco de </w:t>
      </w:r>
      <w:r w:rsidRPr="007B7381">
        <w:t xml:space="preserve">proyectos </w:t>
      </w:r>
      <w:r w:rsidR="00235D2A">
        <w:t>de investigación y</w:t>
      </w:r>
      <w:r w:rsidRPr="007B7381">
        <w:t xml:space="preserve"> bancos de pruebas llevados a cabo principalmente en Estados Unidos por DARPA y NSF.</w:t>
      </w:r>
    </w:p>
    <w:p w14:paraId="6F2055A0" w14:textId="68C0AA15" w:rsidR="0010687A" w:rsidRPr="007B7381" w:rsidRDefault="0010687A" w:rsidP="0010687A">
      <w:r w:rsidRPr="007B7381">
        <w:t xml:space="preserve">Según la encuesta de la TDRA </w:t>
      </w:r>
      <w:r w:rsidR="00235D2A">
        <w:t>efectuada a</w:t>
      </w:r>
      <w:r w:rsidRPr="007B7381">
        <w:t xml:space="preserve"> las partes interesadas, la opinión generalizada de los expertos es que seguirá habiendo limitaciones en cuanto a lo que pueden lograr las soluciones de gestión del espectro en términos de asignación y autorización autónomas del espectro. Más allá </w:t>
      </w:r>
      <w:r w:rsidR="00235D2A">
        <w:t>de estudios en</w:t>
      </w:r>
      <w:r w:rsidRPr="007B7381">
        <w:t xml:space="preserve"> laboratorio, en condiciones reales, la autorización del espectro para muchos servicios </w:t>
      </w:r>
      <w:r w:rsidR="00235D2A">
        <w:t>dependerá</w:t>
      </w:r>
      <w:r w:rsidRPr="007B7381">
        <w:t xml:space="preserve"> de una combinación de </w:t>
      </w:r>
      <w:r w:rsidR="00235D2A">
        <w:t>aspectos</w:t>
      </w:r>
      <w:r w:rsidRPr="007B7381">
        <w:t xml:space="preserve"> técnic</w:t>
      </w:r>
      <w:r w:rsidR="00235D2A">
        <w:t>os</w:t>
      </w:r>
      <w:r w:rsidRPr="007B7381">
        <w:t xml:space="preserve"> y polític</w:t>
      </w:r>
      <w:r w:rsidR="00235D2A">
        <w:t>o</w:t>
      </w:r>
      <w:r w:rsidRPr="007B7381">
        <w:t xml:space="preserve">s. El acceso dinámico al espectro ya se utiliza ampliamente para determinadas tecnologías y servicios, </w:t>
      </w:r>
      <w:r w:rsidR="00235D2A">
        <w:t>si bien</w:t>
      </w:r>
      <w:r w:rsidRPr="007B7381">
        <w:t xml:space="preserve"> está lejos de </w:t>
      </w:r>
      <w:r w:rsidR="00235D2A">
        <w:t>ampliarse</w:t>
      </w:r>
      <w:r w:rsidRPr="007B7381">
        <w:t xml:space="preserve"> más allá de las </w:t>
      </w:r>
      <w:r w:rsidR="00235D2A">
        <w:t>atribuciones</w:t>
      </w:r>
      <w:r w:rsidRPr="007B7381">
        <w:t xml:space="preserve"> de servicio y </w:t>
      </w:r>
      <w:r w:rsidR="00235D2A">
        <w:t xml:space="preserve">de </w:t>
      </w:r>
      <w:r w:rsidRPr="007B7381">
        <w:t xml:space="preserve">abarcar todo el espectro radioeléctrico. Las condiciones de competencia y </w:t>
      </w:r>
      <w:r w:rsidR="00235D2A">
        <w:t>los aspectos</w:t>
      </w:r>
      <w:r w:rsidRPr="007B7381">
        <w:t xml:space="preserve"> de seguridad y defensa pueden beneficiarse del análisis de la IA, pero no </w:t>
      </w:r>
      <w:r w:rsidR="00235D2A">
        <w:t>son las más adecuadas para</w:t>
      </w:r>
      <w:r w:rsidRPr="007B7381">
        <w:t xml:space="preserve"> los sistemas autónomos, por muy inteligentes que sean. </w:t>
      </w:r>
    </w:p>
    <w:p w14:paraId="4681C9A5" w14:textId="4DEB5094" w:rsidR="0010687A" w:rsidRPr="007B7381" w:rsidRDefault="0010687A" w:rsidP="0010687A">
      <w:r w:rsidRPr="007B7381">
        <w:t xml:space="preserve">Aunque proporcionan una visión de referencia útil, las condiciones para </w:t>
      </w:r>
      <w:r w:rsidR="00235D2A">
        <w:t>propiciar</w:t>
      </w:r>
      <w:r w:rsidRPr="007B7381">
        <w:t xml:space="preserve"> una solución de gestión del espectro </w:t>
      </w:r>
      <w:r w:rsidR="00235D2A">
        <w:t>plenamente</w:t>
      </w:r>
      <w:r w:rsidRPr="007B7381">
        <w:t xml:space="preserve"> autónoma no </w:t>
      </w:r>
      <w:r w:rsidR="00235D2A">
        <w:t>se darán</w:t>
      </w:r>
      <w:r w:rsidRPr="007B7381">
        <w:t xml:space="preserve"> para 2031. Sin embargo, </w:t>
      </w:r>
      <w:r w:rsidR="00235D2A">
        <w:t>conviene</w:t>
      </w:r>
      <w:r w:rsidRPr="007B7381">
        <w:t xml:space="preserve"> que </w:t>
      </w:r>
      <w:r w:rsidR="00235D2A">
        <w:t>ello</w:t>
      </w:r>
      <w:r w:rsidRPr="007B7381">
        <w:t xml:space="preserve"> nos permita vislumbrar cómo podría ser algún día la gestión del espectro radioeléctrico en su conjunto. </w:t>
      </w:r>
      <w:r w:rsidR="000C4F2D">
        <w:t>Ello permite</w:t>
      </w:r>
      <w:r w:rsidRPr="007B7381">
        <w:t xml:space="preserve"> </w:t>
      </w:r>
      <w:r w:rsidR="000C4F2D">
        <w:t>determinar algunos sistemas de medición útiles</w:t>
      </w:r>
      <w:r w:rsidRPr="007B7381">
        <w:t xml:space="preserve"> </w:t>
      </w:r>
      <w:r w:rsidR="000C4F2D">
        <w:t>en relación con</w:t>
      </w:r>
      <w:r w:rsidRPr="007B7381">
        <w:t xml:space="preserve"> la brecha </w:t>
      </w:r>
      <w:r w:rsidR="000C4F2D">
        <w:t xml:space="preserve">que existe </w:t>
      </w:r>
      <w:r w:rsidRPr="007B7381">
        <w:t xml:space="preserve">entre </w:t>
      </w:r>
      <w:r>
        <w:t>la situación actual</w:t>
      </w:r>
      <w:r w:rsidRPr="007B7381">
        <w:t>, la realidad práctica de la</w:t>
      </w:r>
      <w:r w:rsidR="000C4F2D">
        <w:t xml:space="preserve"> </w:t>
      </w:r>
      <w:r w:rsidRPr="007B7381">
        <w:t>demanda</w:t>
      </w:r>
      <w:r w:rsidR="000C4F2D">
        <w:t xml:space="preserve"> relativa al</w:t>
      </w:r>
      <w:r w:rsidRPr="007B7381">
        <w:t xml:space="preserve"> ecosistema inalámbrico, los avances</w:t>
      </w:r>
      <w:r w:rsidR="000C4F2D">
        <w:t xml:space="preserve"> registrados</w:t>
      </w:r>
      <w:r w:rsidRPr="007B7381">
        <w:t xml:space="preserve">, las soluciones de gestión del espectro y lo que </w:t>
      </w:r>
      <w:r w:rsidR="000C4F2D">
        <w:t>cabe esperar en el caso más favorable, aunque</w:t>
      </w:r>
      <w:r w:rsidRPr="007B7381">
        <w:t xml:space="preserve"> razonable. </w:t>
      </w:r>
      <w:r w:rsidR="000C4F2D">
        <w:t>También define</w:t>
      </w:r>
      <w:r w:rsidRPr="007B7381">
        <w:t xml:space="preserve"> un espacio</w:t>
      </w:r>
      <w:r w:rsidR="000C4F2D">
        <w:t xml:space="preserve"> y</w:t>
      </w:r>
      <w:r w:rsidRPr="007B7381">
        <w:t xml:space="preserve"> un marco</w:t>
      </w:r>
      <w:r w:rsidR="000C4F2D">
        <w:t xml:space="preserve"> para determinar</w:t>
      </w:r>
      <w:r w:rsidRPr="007B7381">
        <w:t xml:space="preserve"> las iniciativas </w:t>
      </w:r>
      <w:r w:rsidR="000C4F2D">
        <w:t>encaminadas a</w:t>
      </w:r>
      <w:r w:rsidRPr="007B7381">
        <w:t xml:space="preserve"> lograr los mejores resultados posible</w:t>
      </w:r>
      <w:r w:rsidR="000C4F2D">
        <w:t>s</w:t>
      </w:r>
      <w:r w:rsidRPr="007B7381">
        <w:t xml:space="preserve"> </w:t>
      </w:r>
      <w:r w:rsidR="000C4F2D">
        <w:t>con arreglo a</w:t>
      </w:r>
      <w:r w:rsidRPr="007B7381">
        <w:t xml:space="preserve"> un enfoque basado en objetivos hasta 2031.</w:t>
      </w:r>
    </w:p>
    <w:p w14:paraId="7C2195C8" w14:textId="1985CA3A" w:rsidR="0010687A" w:rsidRPr="007B7381" w:rsidRDefault="0010687A" w:rsidP="0010687A">
      <w:pPr>
        <w:pStyle w:val="Heading2"/>
      </w:pPr>
      <w:bookmarkStart w:id="409" w:name="_Toc121911836"/>
      <w:bookmarkStart w:id="410" w:name="_Toc136358669"/>
      <w:bookmarkStart w:id="411" w:name="_Toc184629751"/>
      <w:bookmarkStart w:id="412" w:name="_Toc184629967"/>
      <w:bookmarkStart w:id="413" w:name="_Toc216630187"/>
      <w:bookmarkStart w:id="414" w:name="_Toc216693475"/>
      <w:bookmarkStart w:id="415" w:name="_Toc217031183"/>
      <w:r w:rsidRPr="007B7381">
        <w:t>6.3</w:t>
      </w:r>
      <w:r w:rsidRPr="007B7381">
        <w:tab/>
      </w:r>
      <w:r w:rsidR="003A6338">
        <w:t>Caso hipotético</w:t>
      </w:r>
      <w:r w:rsidRPr="007B7381">
        <w:t xml:space="preserve"> C: </w:t>
      </w:r>
      <w:bookmarkEnd w:id="409"/>
      <w:bookmarkEnd w:id="410"/>
      <w:bookmarkEnd w:id="411"/>
      <w:bookmarkEnd w:id="412"/>
      <w:r w:rsidR="003A6338" w:rsidRPr="003A6338">
        <w:t xml:space="preserve">Enfoque basado en objetivos: el camino </w:t>
      </w:r>
      <w:r w:rsidR="00895C67">
        <w:t>hasta</w:t>
      </w:r>
      <w:r w:rsidR="003A6338" w:rsidRPr="003A6338">
        <w:t xml:space="preserve"> 2031</w:t>
      </w:r>
      <w:bookmarkEnd w:id="413"/>
      <w:bookmarkEnd w:id="414"/>
      <w:bookmarkEnd w:id="415"/>
    </w:p>
    <w:p w14:paraId="2F7C0781" w14:textId="0453EA8D" w:rsidR="0010687A" w:rsidRPr="007B7381" w:rsidRDefault="000C4F2D" w:rsidP="0010687A">
      <w:r>
        <w:t xml:space="preserve">Habida cuenta de la situación real a comienzos </w:t>
      </w:r>
      <w:r w:rsidR="0010687A" w:rsidRPr="007B7381">
        <w:t xml:space="preserve">de 2023, </w:t>
      </w:r>
      <w:r>
        <w:t>las actividades de la</w:t>
      </w:r>
      <w:r w:rsidR="0010687A" w:rsidRPr="007B7381">
        <w:t xml:space="preserve"> TDRA </w:t>
      </w:r>
      <w:r>
        <w:t>previstas hasta</w:t>
      </w:r>
      <w:r w:rsidR="002344DB">
        <w:t> </w:t>
      </w:r>
      <w:r w:rsidRPr="007B7381">
        <w:t xml:space="preserve">2031 </w:t>
      </w:r>
      <w:r>
        <w:t>sobre versatilidad constituirán</w:t>
      </w:r>
      <w:r w:rsidR="0010687A" w:rsidRPr="007B7381">
        <w:t xml:space="preserve"> el resultado de un</w:t>
      </w:r>
      <w:r>
        <w:t xml:space="preserve"> conjunto</w:t>
      </w:r>
      <w:r w:rsidR="0010687A" w:rsidRPr="007B7381">
        <w:t xml:space="preserve"> de oportunidades tecnológicas y de soluciones de gestión del espectro, </w:t>
      </w:r>
      <w:r>
        <w:t>fortalecido</w:t>
      </w:r>
      <w:r w:rsidR="0010687A" w:rsidRPr="007B7381">
        <w:t xml:space="preserve"> por las propias iniciativas y </w:t>
      </w:r>
      <w:r>
        <w:t>los avances</w:t>
      </w:r>
      <w:r w:rsidR="0010687A" w:rsidRPr="007B7381">
        <w:t xml:space="preserve"> de la </w:t>
      </w:r>
      <w:r w:rsidR="0010687A" w:rsidRPr="007B7381">
        <w:lastRenderedPageBreak/>
        <w:t>TDRA, que contribuirán a</w:t>
      </w:r>
      <w:r>
        <w:t>l cumplimiento de</w:t>
      </w:r>
      <w:r w:rsidR="0010687A" w:rsidRPr="007B7381">
        <w:t xml:space="preserve"> los objetivos digitales del «Ecosistema 2031» de EAU </w:t>
      </w:r>
      <w:r>
        <w:t>en lo que a</w:t>
      </w:r>
      <w:r w:rsidR="0010687A" w:rsidRPr="007B7381">
        <w:t xml:space="preserve"> gestión del espectro</w:t>
      </w:r>
      <w:r>
        <w:t xml:space="preserve"> se refiere</w:t>
      </w:r>
      <w:r w:rsidR="0010687A" w:rsidRPr="007B7381">
        <w:t>.</w:t>
      </w:r>
    </w:p>
    <w:p w14:paraId="44389E6E" w14:textId="578F6479" w:rsidR="0010687A" w:rsidRPr="007B7381" w:rsidRDefault="0010687A" w:rsidP="0010687A">
      <w:r w:rsidRPr="007B7381">
        <w:t xml:space="preserve">Las principales iniciativas que la TDRA </w:t>
      </w:r>
      <w:r w:rsidR="000C4F2D">
        <w:t xml:space="preserve">lleva </w:t>
      </w:r>
      <w:r w:rsidRPr="007B7381">
        <w:t xml:space="preserve">a cabo para </w:t>
      </w:r>
      <w:r w:rsidR="000C4F2D">
        <w:t>fomentar la versatilidad con miras a mejorar</w:t>
      </w:r>
      <w:r w:rsidRPr="007B7381">
        <w:t xml:space="preserve"> el </w:t>
      </w:r>
      <w:r w:rsidR="000C4F2D">
        <w:t>grado de desarrollo</w:t>
      </w:r>
      <w:r w:rsidRPr="007B7381">
        <w:t xml:space="preserve"> del régimen de gestión del espectro incluyen</w:t>
      </w:r>
      <w:r w:rsidR="000C4F2D">
        <w:t xml:space="preserve"> las enumeradas a continuación</w:t>
      </w:r>
      <w:r w:rsidRPr="007B7381">
        <w:t>:</w:t>
      </w:r>
    </w:p>
    <w:p w14:paraId="4B22AF23" w14:textId="3DC04A05" w:rsidR="0010687A" w:rsidRPr="007B7381" w:rsidRDefault="002344DB" w:rsidP="0010687A">
      <w:pPr>
        <w:pStyle w:val="enumlev1"/>
      </w:pPr>
      <w:r>
        <w:t>–</w:t>
      </w:r>
      <w:r w:rsidR="0010687A" w:rsidRPr="007B7381">
        <w:tab/>
        <w:t xml:space="preserve">El grado de integración sistémica y dinámica del proceso de solicitud, autorización y </w:t>
      </w:r>
      <w:r w:rsidR="00733484">
        <w:t>comprobación técnica</w:t>
      </w:r>
      <w:r w:rsidR="0010687A" w:rsidRPr="007B7381">
        <w:t>.</w:t>
      </w:r>
    </w:p>
    <w:p w14:paraId="0CA5AF01" w14:textId="475217A1" w:rsidR="0010687A" w:rsidRPr="007B7381" w:rsidRDefault="002344DB" w:rsidP="0010687A">
      <w:pPr>
        <w:pStyle w:val="enumlev1"/>
      </w:pPr>
      <w:r>
        <w:t>–</w:t>
      </w:r>
      <w:r w:rsidR="0010687A" w:rsidRPr="007B7381">
        <w:tab/>
        <w:t xml:space="preserve">La </w:t>
      </w:r>
      <w:r w:rsidR="00733484">
        <w:t>puesta en marcha</w:t>
      </w:r>
      <w:r w:rsidR="0010687A" w:rsidRPr="007B7381">
        <w:t xml:space="preserve"> de bases de datos dinámicas en tiempo real.</w:t>
      </w:r>
    </w:p>
    <w:p w14:paraId="4B37724F" w14:textId="1266204D" w:rsidR="0010687A" w:rsidRPr="007B7381" w:rsidRDefault="002344DB" w:rsidP="0010687A">
      <w:pPr>
        <w:pStyle w:val="enumlev1"/>
      </w:pPr>
      <w:r>
        <w:t>–</w:t>
      </w:r>
      <w:r w:rsidR="0010687A" w:rsidRPr="007B7381">
        <w:tab/>
      </w:r>
      <w:r w:rsidR="00733484">
        <w:t>La utilización de cadenas de bloques</w:t>
      </w:r>
      <w:r w:rsidR="0010687A" w:rsidRPr="007B7381">
        <w:t xml:space="preserve"> y procedimientos cooperativos seguros para la organización</w:t>
      </w:r>
      <w:r w:rsidR="00733484">
        <w:t xml:space="preserve"> propia</w:t>
      </w:r>
      <w:r w:rsidR="0010687A" w:rsidRPr="007B7381">
        <w:t xml:space="preserve"> de las asignaciones del espectro.</w:t>
      </w:r>
    </w:p>
    <w:p w14:paraId="29291C57" w14:textId="7AC0D61C" w:rsidR="0010687A" w:rsidRPr="007B7381" w:rsidRDefault="002344DB" w:rsidP="0010687A">
      <w:pPr>
        <w:pStyle w:val="enumlev1"/>
      </w:pPr>
      <w:r>
        <w:t>–</w:t>
      </w:r>
      <w:r w:rsidR="0010687A" w:rsidRPr="007B7381">
        <w:tab/>
        <w:t xml:space="preserve">El alcance de las asignaciones </w:t>
      </w:r>
      <w:r w:rsidR="00733484">
        <w:t xml:space="preserve">únicas por decisión </w:t>
      </w:r>
      <w:r w:rsidR="0010687A" w:rsidRPr="007B7381">
        <w:t xml:space="preserve">directa, </w:t>
      </w:r>
      <w:r w:rsidR="00733484">
        <w:t xml:space="preserve">las de carácter </w:t>
      </w:r>
      <w:r w:rsidR="0010687A" w:rsidRPr="007B7381">
        <w:t>vertical</w:t>
      </w:r>
      <w:r w:rsidR="00733484">
        <w:t xml:space="preserve"> y de acceso inalámbrico</w:t>
      </w:r>
      <w:r w:rsidR="00733484" w:rsidRPr="00733484">
        <w:t xml:space="preserve"> </w:t>
      </w:r>
      <w:r w:rsidR="00733484">
        <w:t>fijo</w:t>
      </w:r>
      <w:r w:rsidR="0010687A" w:rsidRPr="007B7381">
        <w:t xml:space="preserve">, que aumentan la carga de trabajo del </w:t>
      </w:r>
      <w:r w:rsidR="00733484">
        <w:t>organismo de reglamentación</w:t>
      </w:r>
      <w:r w:rsidR="0010687A" w:rsidRPr="007B7381">
        <w:t>; y</w:t>
      </w:r>
    </w:p>
    <w:p w14:paraId="2930EEB4" w14:textId="5852BF7B" w:rsidR="0010687A" w:rsidRPr="007B7381" w:rsidRDefault="002344DB" w:rsidP="0010687A">
      <w:pPr>
        <w:pStyle w:val="enumlev1"/>
      </w:pPr>
      <w:r>
        <w:t>–</w:t>
      </w:r>
      <w:r w:rsidR="0010687A" w:rsidRPr="007B7381">
        <w:tab/>
        <w:t xml:space="preserve">La ampliación de los enfoques </w:t>
      </w:r>
      <w:r w:rsidR="00733484">
        <w:t>de compartición</w:t>
      </w:r>
      <w:r w:rsidR="0010687A" w:rsidRPr="007B7381">
        <w:t xml:space="preserve"> (detección avanzada, integración de bases de datos y detección, </w:t>
      </w:r>
      <w:r w:rsidR="00733484">
        <w:t xml:space="preserve">así como </w:t>
      </w:r>
      <w:r w:rsidR="0010687A" w:rsidRPr="007B7381">
        <w:t>acceso dinámico).</w:t>
      </w:r>
    </w:p>
    <w:p w14:paraId="5542329A" w14:textId="5FF56DFD" w:rsidR="0010687A" w:rsidRPr="007B7381" w:rsidRDefault="00733484" w:rsidP="0010687A">
      <w:pPr>
        <w:rPr>
          <w:rFonts w:asciiTheme="majorBidi" w:hAnsiTheme="majorBidi" w:cstheme="majorBidi"/>
        </w:rPr>
      </w:pPr>
      <w:r>
        <w:rPr>
          <w:rFonts w:asciiTheme="majorBidi" w:hAnsiTheme="majorBidi" w:cstheme="majorBidi"/>
        </w:rPr>
        <w:t xml:space="preserve">En el </w:t>
      </w:r>
      <w:r w:rsidR="002344DB">
        <w:rPr>
          <w:rFonts w:asciiTheme="majorBidi" w:hAnsiTheme="majorBidi" w:cstheme="majorBidi"/>
        </w:rPr>
        <w:t>C</w:t>
      </w:r>
      <w:r>
        <w:rPr>
          <w:rFonts w:asciiTheme="majorBidi" w:hAnsiTheme="majorBidi" w:cstheme="majorBidi"/>
        </w:rPr>
        <w:t>uadro</w:t>
      </w:r>
      <w:r w:rsidR="0010687A">
        <w:rPr>
          <w:rFonts w:asciiTheme="majorBidi" w:hAnsiTheme="majorBidi" w:cstheme="majorBidi"/>
        </w:rPr>
        <w:t xml:space="preserve"> 7</w:t>
      </w:r>
      <w:r>
        <w:rPr>
          <w:rFonts w:asciiTheme="majorBidi" w:hAnsiTheme="majorBidi" w:cstheme="majorBidi"/>
        </w:rPr>
        <w:t xml:space="preserve"> se especifican</w:t>
      </w:r>
      <w:r w:rsidR="0010687A" w:rsidRPr="007B7381">
        <w:rPr>
          <w:rFonts w:asciiTheme="majorBidi" w:hAnsiTheme="majorBidi" w:cstheme="majorBidi"/>
        </w:rPr>
        <w:t xml:space="preserve"> los objetivos </w:t>
      </w:r>
      <w:r>
        <w:rPr>
          <w:rFonts w:asciiTheme="majorBidi" w:hAnsiTheme="majorBidi" w:cstheme="majorBidi"/>
        </w:rPr>
        <w:t>de</w:t>
      </w:r>
      <w:r w:rsidR="0010687A" w:rsidRPr="007B7381">
        <w:rPr>
          <w:rFonts w:asciiTheme="majorBidi" w:hAnsiTheme="majorBidi" w:cstheme="majorBidi"/>
        </w:rPr>
        <w:t xml:space="preserve"> la TDRA </w:t>
      </w:r>
      <w:r>
        <w:rPr>
          <w:rFonts w:asciiTheme="majorBidi" w:hAnsiTheme="majorBidi" w:cstheme="majorBidi"/>
        </w:rPr>
        <w:t>con miras a lograr un elevado</w:t>
      </w:r>
      <w:r w:rsidR="0010687A" w:rsidRPr="007B7381">
        <w:rPr>
          <w:rFonts w:asciiTheme="majorBidi" w:hAnsiTheme="majorBidi" w:cstheme="majorBidi"/>
        </w:rPr>
        <w:t xml:space="preserve"> </w:t>
      </w:r>
      <w:r>
        <w:rPr>
          <w:rFonts w:asciiTheme="majorBidi" w:hAnsiTheme="majorBidi" w:cstheme="majorBidi"/>
        </w:rPr>
        <w:t>grado de desarrollo en cuento a versatilidad</w:t>
      </w:r>
      <w:r w:rsidR="0010687A" w:rsidRPr="007B7381">
        <w:rPr>
          <w:rFonts w:asciiTheme="majorBidi" w:hAnsiTheme="majorBidi" w:cstheme="majorBidi"/>
        </w:rPr>
        <w:t xml:space="preserve"> y autonomía.</w:t>
      </w:r>
    </w:p>
    <w:p w14:paraId="679C1529" w14:textId="46ABA0C6" w:rsidR="0010687A" w:rsidRPr="007B7381" w:rsidRDefault="00733484" w:rsidP="0010687A">
      <w:pPr>
        <w:pStyle w:val="TableNo"/>
      </w:pPr>
      <w:r>
        <w:t>CUADRO</w:t>
      </w:r>
      <w:r w:rsidR="0010687A">
        <w:t xml:space="preserve"> 7</w:t>
      </w:r>
    </w:p>
    <w:p w14:paraId="69E4B037" w14:textId="21D997F3" w:rsidR="0010687A" w:rsidRPr="007B7381" w:rsidRDefault="0010687A" w:rsidP="0010687A">
      <w:pPr>
        <w:pStyle w:val="Tabletitle"/>
      </w:pPr>
      <w:r w:rsidRPr="007B7381">
        <w:t xml:space="preserve">Descripción de los objetivos asociados al </w:t>
      </w:r>
      <w:r w:rsidR="00733484">
        <w:t>caso hipotético</w:t>
      </w:r>
      <w:r w:rsidRPr="007B7381">
        <w:t xml:space="preserve"> C</w:t>
      </w:r>
    </w:p>
    <w:tbl>
      <w:tblPr>
        <w:tblStyle w:val="TableGrid"/>
        <w:tblW w:w="9639" w:type="dxa"/>
        <w:jc w:val="center"/>
        <w:tblLayout w:type="fixed"/>
        <w:tblLook w:val="0600" w:firstRow="0" w:lastRow="0" w:firstColumn="0" w:lastColumn="0" w:noHBand="1" w:noVBand="1"/>
      </w:tblPr>
      <w:tblGrid>
        <w:gridCol w:w="2636"/>
        <w:gridCol w:w="7003"/>
      </w:tblGrid>
      <w:tr w:rsidR="0010687A" w:rsidRPr="00043BF5" w14:paraId="51F826E1" w14:textId="77777777" w:rsidTr="003D49C3">
        <w:trPr>
          <w:jc w:val="center"/>
        </w:trPr>
        <w:tc>
          <w:tcPr>
            <w:tcW w:w="2405" w:type="dxa"/>
          </w:tcPr>
          <w:p w14:paraId="05492485" w14:textId="77777777" w:rsidR="0010687A" w:rsidRPr="00043BF5" w:rsidRDefault="0010687A" w:rsidP="003D49C3">
            <w:pPr>
              <w:pStyle w:val="Tablehead"/>
              <w:rPr>
                <w:rFonts w:ascii="Times New Roman" w:hAnsi="Times New Roman" w:cs="Times New Roman"/>
              </w:rPr>
            </w:pPr>
            <w:r w:rsidRPr="00043BF5">
              <w:rPr>
                <w:rFonts w:ascii="Times New Roman" w:hAnsi="Times New Roman" w:cs="Times New Roman"/>
              </w:rPr>
              <w:t>Objetivo</w:t>
            </w:r>
          </w:p>
        </w:tc>
        <w:tc>
          <w:tcPr>
            <w:tcW w:w="6389" w:type="dxa"/>
          </w:tcPr>
          <w:p w14:paraId="620AC36D" w14:textId="77777777" w:rsidR="0010687A" w:rsidRPr="00043BF5" w:rsidRDefault="0010687A" w:rsidP="003D49C3">
            <w:pPr>
              <w:pStyle w:val="Tablehead"/>
              <w:rPr>
                <w:rFonts w:ascii="Times New Roman" w:hAnsi="Times New Roman" w:cs="Times New Roman"/>
              </w:rPr>
            </w:pPr>
            <w:r w:rsidRPr="00043BF5">
              <w:rPr>
                <w:rFonts w:ascii="Times New Roman" w:hAnsi="Times New Roman" w:cs="Times New Roman"/>
              </w:rPr>
              <w:t>Descripción</w:t>
            </w:r>
          </w:p>
        </w:tc>
      </w:tr>
      <w:tr w:rsidR="0010687A" w:rsidRPr="00043BF5" w14:paraId="57708396" w14:textId="77777777" w:rsidTr="003D49C3">
        <w:trPr>
          <w:jc w:val="center"/>
        </w:trPr>
        <w:tc>
          <w:tcPr>
            <w:tcW w:w="2405" w:type="dxa"/>
          </w:tcPr>
          <w:p w14:paraId="37F8705D" w14:textId="77777777" w:rsidR="0010687A" w:rsidRPr="00043BF5" w:rsidRDefault="0010687A" w:rsidP="00733484">
            <w:pPr>
              <w:pStyle w:val="Tabletext"/>
              <w:jc w:val="left"/>
              <w:rPr>
                <w:rFonts w:ascii="Times New Roman" w:hAnsi="Times New Roman" w:cs="Times New Roman"/>
              </w:rPr>
            </w:pPr>
            <w:r w:rsidRPr="00043BF5">
              <w:rPr>
                <w:rFonts w:ascii="Times New Roman" w:hAnsi="Times New Roman" w:cs="Times New Roman"/>
              </w:rPr>
              <w:t>1)</w:t>
            </w:r>
            <w:r w:rsidRPr="00043BF5">
              <w:rPr>
                <w:rFonts w:ascii="Times New Roman" w:hAnsi="Times New Roman" w:cs="Times New Roman"/>
              </w:rPr>
              <w:tab/>
              <w:t>Usuarios</w:t>
            </w:r>
          </w:p>
        </w:tc>
        <w:tc>
          <w:tcPr>
            <w:tcW w:w="6389" w:type="dxa"/>
          </w:tcPr>
          <w:p w14:paraId="50FB6578" w14:textId="1F97E5BF" w:rsidR="0010687A" w:rsidRPr="00043BF5" w:rsidRDefault="0010687A" w:rsidP="00733484">
            <w:pPr>
              <w:pStyle w:val="Tabletext"/>
              <w:jc w:val="left"/>
              <w:rPr>
                <w:rFonts w:ascii="Times New Roman" w:hAnsi="Times New Roman" w:cs="Times New Roman"/>
              </w:rPr>
            </w:pPr>
            <w:r w:rsidRPr="00043BF5">
              <w:rPr>
                <w:rFonts w:ascii="Times New Roman" w:hAnsi="Times New Roman" w:cs="Times New Roman"/>
              </w:rPr>
              <w:t xml:space="preserve">Los usuarios </w:t>
            </w:r>
            <w:r w:rsidR="00733484">
              <w:rPr>
                <w:rFonts w:ascii="Times New Roman" w:hAnsi="Times New Roman" w:cs="Times New Roman"/>
              </w:rPr>
              <w:t>forman</w:t>
            </w:r>
            <w:r w:rsidRPr="00043BF5">
              <w:rPr>
                <w:rFonts w:ascii="Times New Roman" w:hAnsi="Times New Roman" w:cs="Times New Roman"/>
              </w:rPr>
              <w:t xml:space="preserve"> parte del sistema </w:t>
            </w:r>
            <w:r w:rsidR="00733484">
              <w:rPr>
                <w:rFonts w:ascii="Times New Roman" w:hAnsi="Times New Roman" w:cs="Times New Roman"/>
              </w:rPr>
              <w:t>versátil</w:t>
            </w:r>
            <w:r w:rsidRPr="00043BF5">
              <w:rPr>
                <w:rFonts w:ascii="Times New Roman" w:hAnsi="Times New Roman" w:cs="Times New Roman"/>
              </w:rPr>
              <w:t xml:space="preserve"> de gestión del espectro en tiempo real.</w:t>
            </w:r>
          </w:p>
        </w:tc>
      </w:tr>
      <w:tr w:rsidR="0010687A" w:rsidRPr="00043BF5" w14:paraId="788FAC0F" w14:textId="77777777" w:rsidTr="003D49C3">
        <w:trPr>
          <w:jc w:val="center"/>
        </w:trPr>
        <w:tc>
          <w:tcPr>
            <w:tcW w:w="2405" w:type="dxa"/>
          </w:tcPr>
          <w:p w14:paraId="1274E6EA" w14:textId="029BEB6F" w:rsidR="0010687A" w:rsidRPr="00043BF5" w:rsidRDefault="0010687A" w:rsidP="00733484">
            <w:pPr>
              <w:pStyle w:val="Tabletext"/>
              <w:jc w:val="left"/>
              <w:rPr>
                <w:rFonts w:ascii="Times New Roman" w:hAnsi="Times New Roman" w:cs="Times New Roman"/>
              </w:rPr>
            </w:pPr>
            <w:r w:rsidRPr="00043BF5">
              <w:rPr>
                <w:rFonts w:ascii="Times New Roman" w:hAnsi="Times New Roman" w:cs="Times New Roman"/>
              </w:rPr>
              <w:t>2)</w:t>
            </w:r>
            <w:r w:rsidRPr="00043BF5">
              <w:rPr>
                <w:rFonts w:ascii="Times New Roman" w:hAnsi="Times New Roman" w:cs="Times New Roman"/>
              </w:rPr>
              <w:tab/>
            </w:r>
            <w:r w:rsidR="00895C67">
              <w:rPr>
                <w:rFonts w:ascii="Times New Roman" w:hAnsi="Times New Roman" w:cs="Times New Roman"/>
              </w:rPr>
              <w:t>Fomento</w:t>
            </w:r>
            <w:r w:rsidRPr="00043BF5">
              <w:rPr>
                <w:rFonts w:ascii="Times New Roman" w:hAnsi="Times New Roman" w:cs="Times New Roman"/>
              </w:rPr>
              <w:t xml:space="preserve"> de la IA</w:t>
            </w:r>
          </w:p>
        </w:tc>
        <w:tc>
          <w:tcPr>
            <w:tcW w:w="6389" w:type="dxa"/>
          </w:tcPr>
          <w:p w14:paraId="29CB552F" w14:textId="18D9952C" w:rsidR="0010687A" w:rsidRPr="00043BF5" w:rsidRDefault="00895C67" w:rsidP="00733484">
            <w:pPr>
              <w:pStyle w:val="Tabletext"/>
              <w:jc w:val="left"/>
              <w:rPr>
                <w:rFonts w:ascii="Times New Roman" w:hAnsi="Times New Roman" w:cs="Times New Roman"/>
              </w:rPr>
            </w:pPr>
            <w:r>
              <w:rPr>
                <w:rFonts w:ascii="Times New Roman" w:hAnsi="Times New Roman" w:cs="Times New Roman"/>
              </w:rPr>
              <w:t>Fomento</w:t>
            </w:r>
            <w:r w:rsidR="0010687A" w:rsidRPr="00043BF5">
              <w:rPr>
                <w:rFonts w:ascii="Times New Roman" w:hAnsi="Times New Roman" w:cs="Times New Roman"/>
              </w:rPr>
              <w:t xml:space="preserve"> de la IA en el proceso ASMS para </w:t>
            </w:r>
            <w:r w:rsidR="00733484">
              <w:rPr>
                <w:rFonts w:ascii="Times New Roman" w:hAnsi="Times New Roman" w:cs="Times New Roman"/>
              </w:rPr>
              <w:t>prever</w:t>
            </w:r>
            <w:r w:rsidR="0010687A" w:rsidRPr="00043BF5">
              <w:rPr>
                <w:rFonts w:ascii="Times New Roman" w:hAnsi="Times New Roman" w:cs="Times New Roman"/>
              </w:rPr>
              <w:t xml:space="preserve"> y satisfacer las necesidades de los usuarios</w:t>
            </w:r>
          </w:p>
        </w:tc>
      </w:tr>
      <w:tr w:rsidR="0010687A" w:rsidRPr="00043BF5" w14:paraId="29A3B317" w14:textId="77777777" w:rsidTr="003D49C3">
        <w:trPr>
          <w:trHeight w:val="292"/>
          <w:jc w:val="center"/>
        </w:trPr>
        <w:tc>
          <w:tcPr>
            <w:tcW w:w="2405" w:type="dxa"/>
          </w:tcPr>
          <w:p w14:paraId="3AC8C04C" w14:textId="2E6A503E" w:rsidR="0010687A" w:rsidRPr="00043BF5" w:rsidRDefault="0010687A" w:rsidP="00733484">
            <w:pPr>
              <w:pStyle w:val="Tabletext"/>
              <w:ind w:left="284" w:hanging="284"/>
              <w:jc w:val="left"/>
              <w:rPr>
                <w:rFonts w:ascii="Times New Roman" w:hAnsi="Times New Roman" w:cs="Times New Roman"/>
              </w:rPr>
            </w:pPr>
            <w:r w:rsidRPr="00043BF5">
              <w:rPr>
                <w:rFonts w:ascii="Times New Roman" w:hAnsi="Times New Roman" w:cs="Times New Roman"/>
              </w:rPr>
              <w:t>3)</w:t>
            </w:r>
            <w:r w:rsidR="00733484">
              <w:rPr>
                <w:rFonts w:ascii="Times New Roman" w:hAnsi="Times New Roman" w:cs="Times New Roman"/>
              </w:rPr>
              <w:t xml:space="preserve"> Mejora de la a</w:t>
            </w:r>
            <w:r w:rsidRPr="00043BF5">
              <w:rPr>
                <w:rFonts w:ascii="Times New Roman" w:hAnsi="Times New Roman" w:cs="Times New Roman"/>
              </w:rPr>
              <w:t>utomatización</w:t>
            </w:r>
            <w:r w:rsidR="00733484">
              <w:rPr>
                <w:rFonts w:ascii="Times New Roman" w:hAnsi="Times New Roman" w:cs="Times New Roman"/>
              </w:rPr>
              <w:t xml:space="preserve"> y la </w:t>
            </w:r>
            <w:r w:rsidRPr="00043BF5">
              <w:rPr>
                <w:rFonts w:ascii="Times New Roman" w:hAnsi="Times New Roman" w:cs="Times New Roman"/>
              </w:rPr>
              <w:t xml:space="preserve">autonomía </w:t>
            </w:r>
          </w:p>
        </w:tc>
        <w:tc>
          <w:tcPr>
            <w:tcW w:w="6389" w:type="dxa"/>
          </w:tcPr>
          <w:p w14:paraId="4285FF66" w14:textId="5A62A043" w:rsidR="0010687A" w:rsidRPr="00043BF5" w:rsidRDefault="00733484" w:rsidP="00733484">
            <w:pPr>
              <w:pStyle w:val="Tabletext"/>
              <w:jc w:val="left"/>
              <w:rPr>
                <w:rFonts w:ascii="Times New Roman" w:hAnsi="Times New Roman" w:cs="Times New Roman"/>
              </w:rPr>
            </w:pPr>
            <w:r>
              <w:rPr>
                <w:rFonts w:ascii="Times New Roman" w:hAnsi="Times New Roman" w:cs="Times New Roman"/>
              </w:rPr>
              <w:t>Mejora de la a</w:t>
            </w:r>
            <w:r w:rsidR="0010687A" w:rsidRPr="00043BF5">
              <w:rPr>
                <w:rFonts w:ascii="Times New Roman" w:hAnsi="Times New Roman" w:cs="Times New Roman"/>
              </w:rPr>
              <w:t>utomatización</w:t>
            </w:r>
            <w:r>
              <w:rPr>
                <w:rFonts w:ascii="Times New Roman" w:hAnsi="Times New Roman" w:cs="Times New Roman"/>
              </w:rPr>
              <w:t xml:space="preserve"> y la </w:t>
            </w:r>
            <w:r w:rsidR="0010687A" w:rsidRPr="00043BF5">
              <w:rPr>
                <w:rFonts w:ascii="Times New Roman" w:hAnsi="Times New Roman" w:cs="Times New Roman"/>
              </w:rPr>
              <w:t xml:space="preserve">autonomía para </w:t>
            </w:r>
            <w:r>
              <w:rPr>
                <w:rFonts w:ascii="Times New Roman" w:hAnsi="Times New Roman" w:cs="Times New Roman"/>
              </w:rPr>
              <w:t>promover la versatilidad</w:t>
            </w:r>
            <w:r w:rsidR="0010687A" w:rsidRPr="00043BF5">
              <w:rPr>
                <w:rFonts w:ascii="Times New Roman" w:hAnsi="Times New Roman" w:cs="Times New Roman"/>
              </w:rPr>
              <w:t>: hoja de ruta hacia 2031</w:t>
            </w:r>
          </w:p>
        </w:tc>
      </w:tr>
    </w:tbl>
    <w:p w14:paraId="70562C1E" w14:textId="77777777" w:rsidR="0010687A" w:rsidRPr="007B7381" w:rsidRDefault="0010687A" w:rsidP="0010687A">
      <w:r w:rsidRPr="007B7381">
        <w:t>Los objetivos de este proceso de transición son los siguientes.</w:t>
      </w:r>
    </w:p>
    <w:p w14:paraId="34E75E2E" w14:textId="207D3356" w:rsidR="0010687A" w:rsidRPr="007B7381" w:rsidRDefault="0010687A" w:rsidP="0010687A">
      <w:pPr>
        <w:pStyle w:val="Heading3"/>
      </w:pPr>
      <w:bookmarkStart w:id="416" w:name="_Toc121911837"/>
      <w:r w:rsidRPr="007B7381">
        <w:t>6.3.1</w:t>
      </w:r>
      <w:r w:rsidRPr="007B7381">
        <w:tab/>
        <w:t xml:space="preserve">Objetivo 1: Los usuarios como parte </w:t>
      </w:r>
      <w:r w:rsidR="001776ED" w:rsidRPr="001776ED">
        <w:t xml:space="preserve">del sistema versátil de gestión del espectro en tiempo real </w:t>
      </w:r>
      <w:bookmarkEnd w:id="416"/>
    </w:p>
    <w:p w14:paraId="2B14D81D" w14:textId="4DB56FA9" w:rsidR="0010687A" w:rsidRPr="007B7381" w:rsidRDefault="0010687A" w:rsidP="0010687A">
      <w:r w:rsidRPr="00251FBA">
        <w:rPr>
          <w:color w:val="000000" w:themeColor="text1"/>
        </w:rPr>
        <w:t xml:space="preserve">En </w:t>
      </w:r>
      <w:r w:rsidRPr="007B7381">
        <w:t xml:space="preserve">consonancia con los objetivos digitales de EAU, la TDRA </w:t>
      </w:r>
      <w:r w:rsidR="00251FBA">
        <w:t>prevé</w:t>
      </w:r>
      <w:r w:rsidRPr="007B7381">
        <w:t xml:space="preserve"> </w:t>
      </w:r>
      <w:r w:rsidR="00251FBA">
        <w:t>lograr</w:t>
      </w:r>
      <w:r w:rsidRPr="007B7381">
        <w:t xml:space="preserve"> un </w:t>
      </w:r>
      <w:r w:rsidR="00251FBA">
        <w:t>elevado grado</w:t>
      </w:r>
      <w:r w:rsidRPr="007B7381">
        <w:t xml:space="preserve"> de satisfacción de los usuarios, </w:t>
      </w:r>
      <w:r w:rsidR="00251FBA">
        <w:t>en el marco de lo establecido en su</w:t>
      </w:r>
      <w:r w:rsidRPr="007B7381">
        <w:t xml:space="preserve"> carta fundacional. E</w:t>
      </w:r>
      <w:r w:rsidR="00251FBA">
        <w:t>n e</w:t>
      </w:r>
      <w:r w:rsidRPr="007B7381">
        <w:t>l proyecto de investigación «</w:t>
      </w:r>
      <w:r w:rsidRPr="00251FBA">
        <w:rPr>
          <w:i/>
          <w:iCs/>
        </w:rPr>
        <w:t>Spectrum Agility</w:t>
      </w:r>
      <w:r w:rsidRPr="007B7381">
        <w:t xml:space="preserve">», </w:t>
      </w:r>
      <w:r w:rsidR="00251FBA">
        <w:t>a tenor de su concepto de versatilidad</w:t>
      </w:r>
      <w:r w:rsidRPr="007B7381">
        <w:t xml:space="preserve"> y flexibilidad, los usuarios </w:t>
      </w:r>
      <w:r w:rsidR="00251FBA">
        <w:t>se consideran</w:t>
      </w:r>
      <w:r w:rsidRPr="007B7381">
        <w:t xml:space="preserve"> parte del propio sistema de gestión del espectro. </w:t>
      </w:r>
      <w:r w:rsidR="00987E7C">
        <w:t>La</w:t>
      </w:r>
      <w:r w:rsidRPr="007B7381">
        <w:t xml:space="preserve"> función de la TDRA no termina </w:t>
      </w:r>
      <w:r w:rsidR="00987E7C">
        <w:t>tras conceder</w:t>
      </w:r>
      <w:r w:rsidRPr="007B7381">
        <w:t xml:space="preserve"> una autorización a un usuario. La TDRA debe garantizar un funcionamiento </w:t>
      </w:r>
      <w:r w:rsidR="00987E7C">
        <w:t>ininterrumpido y</w:t>
      </w:r>
      <w:r w:rsidRPr="007B7381">
        <w:t xml:space="preserve"> sin interferencia durante la vigencia de la autorización y </w:t>
      </w:r>
      <w:r w:rsidR="00987E7C">
        <w:t>facilitar</w:t>
      </w:r>
      <w:r w:rsidRPr="007B7381">
        <w:t xml:space="preserve"> a los usuarios </w:t>
      </w:r>
      <w:r w:rsidR="00987E7C">
        <w:t>la modificación, renovación o supresión de s</w:t>
      </w:r>
      <w:r w:rsidRPr="007B7381">
        <w:t xml:space="preserve">us autorizaciones de forma flexible cuando sea necesario. </w:t>
      </w:r>
    </w:p>
    <w:p w14:paraId="59B39C5D" w14:textId="5441D4BC" w:rsidR="0010687A" w:rsidRPr="007B7381" w:rsidRDefault="0010687A" w:rsidP="0010687A">
      <w:r w:rsidRPr="007B7381">
        <w:t xml:space="preserve">Una posible aplicación de ese concepto es la gestión de las frecuencias de los usuarios en tiempo real para </w:t>
      </w:r>
      <w:r w:rsidR="00493F97">
        <w:t>mejorar el</w:t>
      </w:r>
      <w:r w:rsidRPr="007B7381">
        <w:t xml:space="preserve"> servicio y </w:t>
      </w:r>
      <w:r w:rsidR="00493F97">
        <w:t xml:space="preserve">la </w:t>
      </w:r>
      <w:r w:rsidRPr="007B7381">
        <w:t xml:space="preserve">eficiencia espectral. </w:t>
      </w:r>
      <w:r w:rsidR="00633AE0">
        <w:t>Su</w:t>
      </w:r>
      <w:r w:rsidR="00493F97">
        <w:t xml:space="preserve"> utilización y las autorizaciones </w:t>
      </w:r>
      <w:r w:rsidR="00633AE0">
        <w:t xml:space="preserve">pertinentes pueden garantizarse </w:t>
      </w:r>
      <w:r w:rsidR="00493F97">
        <w:t>en tiempo real</w:t>
      </w:r>
      <w:r w:rsidRPr="007B7381">
        <w:t xml:space="preserve">. Por ejemplo, si una frecuencia en una ubicación determinada puede ser útil para otro solicitante, la TDRA podría (en determinadas condiciones) modificar la autorización de un usuario actual </w:t>
      </w:r>
      <w:r w:rsidR="00633AE0">
        <w:t>a fin de</w:t>
      </w:r>
      <w:r w:rsidRPr="007B7381">
        <w:t xml:space="preserve"> liberar dinámicamente espacio para el nuevo solicitante. </w:t>
      </w:r>
      <w:r w:rsidR="00633AE0">
        <w:t>Ello</w:t>
      </w:r>
      <w:r w:rsidRPr="007B7381">
        <w:t xml:space="preserve"> podría </w:t>
      </w:r>
      <w:r w:rsidR="00633AE0">
        <w:t>entenderse</w:t>
      </w:r>
      <w:r w:rsidRPr="007B7381">
        <w:t xml:space="preserve"> como «gestión del espectro en tiempo real».</w:t>
      </w:r>
    </w:p>
    <w:p w14:paraId="5A826EBB" w14:textId="6B388977" w:rsidR="0010687A" w:rsidRPr="007B7381" w:rsidRDefault="00633AE0" w:rsidP="005226E5">
      <w:pPr>
        <w:keepNext/>
        <w:keepLines/>
      </w:pPr>
      <w:r>
        <w:lastRenderedPageBreak/>
        <w:t>La asignación</w:t>
      </w:r>
      <w:r w:rsidR="0010687A" w:rsidRPr="007B7381">
        <w:t xml:space="preserve"> a los usuarios de forma dinámica (en determinadas condiciones) </w:t>
      </w:r>
      <w:r>
        <w:t xml:space="preserve">de </w:t>
      </w:r>
      <w:r w:rsidR="0010687A" w:rsidRPr="007B7381">
        <w:t xml:space="preserve">autorizaciones aceleradas para </w:t>
      </w:r>
      <w:r>
        <w:t>utilización del</w:t>
      </w:r>
      <w:r w:rsidR="0010687A" w:rsidRPr="007B7381">
        <w:t xml:space="preserve"> espectro</w:t>
      </w:r>
      <w:r>
        <w:t xml:space="preserve"> puede constituir o</w:t>
      </w:r>
      <w:r w:rsidRPr="007B7381">
        <w:t xml:space="preserve">tra aplicación </w:t>
      </w:r>
      <w:r>
        <w:t>relativa al concepto de</w:t>
      </w:r>
      <w:r w:rsidRPr="007B7381">
        <w:t xml:space="preserve"> «usuario como parte del sistema de gestión del espectro»</w:t>
      </w:r>
      <w:r w:rsidR="0010687A" w:rsidRPr="007B7381">
        <w:t xml:space="preserve">. Si los usuarios </w:t>
      </w:r>
      <w:r>
        <w:t>se inscriben</w:t>
      </w:r>
      <w:r w:rsidR="0010687A" w:rsidRPr="007B7381">
        <w:t xml:space="preserve"> en la TDRA y los equipos están </w:t>
      </w:r>
      <w:r>
        <w:t>plenamente</w:t>
      </w:r>
      <w:r w:rsidR="0010687A" w:rsidRPr="007B7381">
        <w:t xml:space="preserve"> homologados y conectados a los sistemas de la TDRA, podría ser posible automatizar partes del proceso de autorización </w:t>
      </w:r>
      <w:r>
        <w:t>mediante</w:t>
      </w:r>
      <w:r w:rsidR="0010687A" w:rsidRPr="007B7381">
        <w:t xml:space="preserve"> una intervención humana mínima. </w:t>
      </w:r>
    </w:p>
    <w:p w14:paraId="58DED8B2" w14:textId="5A874A79" w:rsidR="0010687A" w:rsidRPr="007B7381" w:rsidRDefault="00633AE0" w:rsidP="0010687A">
      <w:r>
        <w:t>En la actualidad</w:t>
      </w:r>
      <w:r w:rsidR="0010687A" w:rsidRPr="007B7381">
        <w:t xml:space="preserve">, las autorizaciones en EAU tienen una vigencia de un año, </w:t>
      </w:r>
      <w:r>
        <w:t>si bien</w:t>
      </w:r>
      <w:r w:rsidR="0010687A" w:rsidRPr="007B7381">
        <w:t xml:space="preserve"> una aplicación </w:t>
      </w:r>
      <w:r>
        <w:t xml:space="preserve">específica </w:t>
      </w:r>
      <w:r w:rsidR="0010687A" w:rsidRPr="007B7381">
        <w:t xml:space="preserve">del tipo de sistema conectado en tiempo real </w:t>
      </w:r>
      <w:r>
        <w:t>objeto de interés</w:t>
      </w:r>
      <w:r w:rsidR="0010687A" w:rsidRPr="007B7381">
        <w:t xml:space="preserve"> podría </w:t>
      </w:r>
      <w:r>
        <w:t>conllevar una autorización de utilización</w:t>
      </w:r>
      <w:r w:rsidR="0010687A" w:rsidRPr="007B7381">
        <w:t xml:space="preserve"> </w:t>
      </w:r>
      <w:r>
        <w:t>por</w:t>
      </w:r>
      <w:r w:rsidR="0010687A" w:rsidRPr="007B7381">
        <w:t xml:space="preserve"> períodos mucho más </w:t>
      </w:r>
      <w:r>
        <w:t>breves</w:t>
      </w:r>
      <w:r w:rsidR="0010687A" w:rsidRPr="007B7381">
        <w:t xml:space="preserve">, por ejemplo, </w:t>
      </w:r>
      <w:r>
        <w:t>varios</w:t>
      </w:r>
      <w:r w:rsidR="0010687A" w:rsidRPr="007B7381">
        <w:t xml:space="preserve"> minutos, </w:t>
      </w:r>
      <w:r>
        <w:t>de ser</w:t>
      </w:r>
      <w:r w:rsidR="0010687A" w:rsidRPr="007B7381">
        <w:t xml:space="preserve"> necesario. </w:t>
      </w:r>
      <w:r>
        <w:t>Ello</w:t>
      </w:r>
      <w:r w:rsidR="0010687A" w:rsidRPr="007B7381">
        <w:t xml:space="preserve"> también podría facilitar </w:t>
      </w:r>
      <w:r>
        <w:t>la facturación</w:t>
      </w:r>
      <w:r w:rsidR="0010687A" w:rsidRPr="007B7381">
        <w:t xml:space="preserve"> dinámic</w:t>
      </w:r>
      <w:r>
        <w:t>a por acc</w:t>
      </w:r>
      <w:r w:rsidR="0010687A" w:rsidRPr="007B7381">
        <w:t xml:space="preserve">eso al espectro. Por ejemplo, se podría </w:t>
      </w:r>
      <w:r>
        <w:t>facturar</w:t>
      </w:r>
      <w:r w:rsidR="0010687A" w:rsidRPr="007B7381">
        <w:t xml:space="preserve"> a los usuarios desde que </w:t>
      </w:r>
      <w:r>
        <w:t>activen</w:t>
      </w:r>
      <w:r w:rsidR="0010687A" w:rsidRPr="007B7381">
        <w:t xml:space="preserve"> los dispositivos hasta que se </w:t>
      </w:r>
      <w:r>
        <w:t>apaguen</w:t>
      </w:r>
      <w:r w:rsidR="0010687A" w:rsidRPr="007B7381">
        <w:t xml:space="preserve">, y la frecuencia se seleccionaría automáticamente mediante la base de datos de la TDRA en nombre del dispositivo. Eso también proporcionaría a la TDRA </w:t>
      </w:r>
      <w:r>
        <w:t>una mayor</w:t>
      </w:r>
      <w:r w:rsidR="0010687A" w:rsidRPr="007B7381">
        <w:t xml:space="preserve"> visibilidad </w:t>
      </w:r>
      <w:r>
        <w:t>sobre utilización</w:t>
      </w:r>
      <w:r w:rsidR="0010687A" w:rsidRPr="007B7381">
        <w:t xml:space="preserve"> del espectro y la propiedad de los dispositivos.</w:t>
      </w:r>
    </w:p>
    <w:p w14:paraId="782BF98E" w14:textId="11542F4B" w:rsidR="0010687A" w:rsidRPr="007B7381" w:rsidRDefault="0010687A" w:rsidP="0010687A">
      <w:r w:rsidRPr="007B7381">
        <w:t xml:space="preserve">También sería </w:t>
      </w:r>
      <w:r w:rsidR="00633AE0">
        <w:t>viable</w:t>
      </w:r>
      <w:r w:rsidRPr="007B7381">
        <w:t xml:space="preserve"> </w:t>
      </w:r>
      <w:r w:rsidR="00633AE0">
        <w:t>establecer</w:t>
      </w:r>
      <w:r w:rsidRPr="007B7381">
        <w:t xml:space="preserve"> niveles de prioridad para los usuarios, de modo que, si se requiere acceso simultáneo, se garantice el acceso a aquellos </w:t>
      </w:r>
      <w:r w:rsidR="00633AE0">
        <w:t>de carácter prioritario. Ello</w:t>
      </w:r>
      <w:r w:rsidRPr="007B7381">
        <w:t xml:space="preserve"> es similar al enfoque utilizado en CBRS, por ejemplo.</w:t>
      </w:r>
    </w:p>
    <w:p w14:paraId="4A11B512" w14:textId="62DAB23F" w:rsidR="0010687A" w:rsidRPr="007B7381" w:rsidRDefault="00633AE0" w:rsidP="0010687A">
      <w:r>
        <w:t>También</w:t>
      </w:r>
      <w:r w:rsidR="0010687A" w:rsidRPr="007B7381">
        <w:t xml:space="preserve"> sería posible </w:t>
      </w:r>
      <w:r>
        <w:t>establecer</w:t>
      </w:r>
      <w:r w:rsidR="0010687A" w:rsidRPr="007B7381">
        <w:t xml:space="preserve"> la gestión del espectro </w:t>
      </w:r>
      <w:r>
        <w:t>con arreglo a</w:t>
      </w:r>
      <w:r w:rsidR="0010687A" w:rsidRPr="007B7381">
        <w:t xml:space="preserve"> cinco </w:t>
      </w:r>
      <w:r>
        <w:t>factores, a saber,</w:t>
      </w:r>
      <w:r w:rsidR="0010687A" w:rsidRPr="007B7381">
        <w:t xml:space="preserve"> x, y, z (coordenadas</w:t>
      </w:r>
      <w:r>
        <w:t xml:space="preserve"> espaciales</w:t>
      </w:r>
      <w:r w:rsidR="0010687A" w:rsidRPr="007B7381">
        <w:t xml:space="preserve">), tiempo y frecuencia. </w:t>
      </w:r>
      <w:r>
        <w:t>A</w:t>
      </w:r>
      <w:r w:rsidR="0010687A" w:rsidRPr="007B7381">
        <w:t>lgunos servicios</w:t>
      </w:r>
      <w:r>
        <w:t xml:space="preserve"> podrían automatizarse aún más para que la mayoría de </w:t>
      </w:r>
      <w:r w:rsidR="0010687A" w:rsidRPr="007B7381">
        <w:t>los aspectos de una autorización</w:t>
      </w:r>
      <w:r>
        <w:t>, o todos, fueran autónomos</w:t>
      </w:r>
      <w:r w:rsidR="0010687A" w:rsidRPr="007B7381">
        <w:t xml:space="preserve">. </w:t>
      </w:r>
      <w:r>
        <w:t>No obstante</w:t>
      </w:r>
      <w:r w:rsidR="0010687A" w:rsidRPr="007B7381">
        <w:t xml:space="preserve">, para algunos servicios, el nivel de complejidad es tal que la automatización no será posible para todos los aspectos a corto plazo, por ejemplo, </w:t>
      </w:r>
      <w:r>
        <w:t>los</w:t>
      </w:r>
      <w:r w:rsidR="0010687A" w:rsidRPr="007B7381">
        <w:t xml:space="preserve"> que requieren una</w:t>
      </w:r>
      <w:r>
        <w:t xml:space="preserve"> gran</w:t>
      </w:r>
      <w:r w:rsidR="0010687A" w:rsidRPr="007B7381">
        <w:t xml:space="preserve"> coordinación. </w:t>
      </w:r>
      <w:r>
        <w:t>Determinados</w:t>
      </w:r>
      <w:r w:rsidR="0010687A" w:rsidRPr="007B7381">
        <w:t xml:space="preserve"> aspectos, </w:t>
      </w:r>
      <w:r>
        <w:t>en particular</w:t>
      </w:r>
      <w:r w:rsidR="0010687A" w:rsidRPr="007B7381">
        <w:t xml:space="preserve"> el análisis técnico o el intercambio de información, podrían automatizarse. </w:t>
      </w:r>
    </w:p>
    <w:p w14:paraId="245C5061" w14:textId="1F8B4B51" w:rsidR="0010687A" w:rsidRPr="007B7381" w:rsidRDefault="0010687A" w:rsidP="0010687A">
      <w:r w:rsidRPr="007B7381">
        <w:t xml:space="preserve">El objetivo principal </w:t>
      </w:r>
      <w:r w:rsidR="00633AE0">
        <w:t>de ese te caso hipotético</w:t>
      </w:r>
      <w:r w:rsidRPr="007B7381">
        <w:t xml:space="preserve"> es mejorar el </w:t>
      </w:r>
      <w:r w:rsidR="00633AE0">
        <w:t>grado</w:t>
      </w:r>
      <w:r w:rsidRPr="007B7381">
        <w:t xml:space="preserve"> de autonomía del sistema en el proceso de autorización.</w:t>
      </w:r>
    </w:p>
    <w:p w14:paraId="04844EBE" w14:textId="6406F47F" w:rsidR="0010687A" w:rsidRPr="007B7381" w:rsidRDefault="0010687A" w:rsidP="0010687A">
      <w:pPr>
        <w:pStyle w:val="Heading3"/>
      </w:pPr>
      <w:bookmarkStart w:id="417" w:name="_Toc121911838"/>
      <w:r w:rsidRPr="007B7381">
        <w:t>6.3.2</w:t>
      </w:r>
      <w:r w:rsidRPr="007B7381">
        <w:tab/>
        <w:t xml:space="preserve">Objetivo 2: Promover la IA en el proceso ASMS: </w:t>
      </w:r>
      <w:r w:rsidR="00633AE0">
        <w:t>prever</w:t>
      </w:r>
      <w:r w:rsidRPr="007B7381">
        <w:t xml:space="preserve"> y satisfacer las necesidades de los usuarios</w:t>
      </w:r>
      <w:bookmarkEnd w:id="417"/>
    </w:p>
    <w:p w14:paraId="62CD76A9" w14:textId="658A381B" w:rsidR="0010687A" w:rsidRPr="007B7381" w:rsidRDefault="00633AE0" w:rsidP="0010687A">
      <w:r>
        <w:t>A tenor de</w:t>
      </w:r>
      <w:r w:rsidR="0010687A" w:rsidRPr="007B7381">
        <w:t xml:space="preserve"> este objetivo del TDRA, la IA </w:t>
      </w:r>
      <w:r>
        <w:t xml:space="preserve">constituye </w:t>
      </w:r>
      <w:r w:rsidR="0010687A" w:rsidRPr="007B7381">
        <w:t xml:space="preserve">un factor </w:t>
      </w:r>
      <w:r>
        <w:t>destacado en lo que a versatilidad se refiere</w:t>
      </w:r>
      <w:r w:rsidR="0010687A" w:rsidRPr="007B7381">
        <w:t xml:space="preserve"> en cada etapa del proceso de gestión del espectro.</w:t>
      </w:r>
    </w:p>
    <w:p w14:paraId="7F4E0E9A" w14:textId="7BF8CB4F" w:rsidR="0010687A" w:rsidRPr="007B7381" w:rsidRDefault="00633AE0" w:rsidP="0010687A">
      <w:pPr>
        <w:pStyle w:val="TableNo"/>
      </w:pPr>
      <w:r>
        <w:t>CUADRO</w:t>
      </w:r>
      <w:r w:rsidR="0010687A">
        <w:t xml:space="preserve"> 8</w:t>
      </w:r>
    </w:p>
    <w:p w14:paraId="709328A5" w14:textId="4201773D" w:rsidR="0010687A" w:rsidRPr="007B7381" w:rsidRDefault="00633AE0" w:rsidP="0010687A">
      <w:pPr>
        <w:pStyle w:val="Tabletitle"/>
      </w:pPr>
      <w:r>
        <w:t>Grados</w:t>
      </w:r>
      <w:r w:rsidR="0010687A" w:rsidRPr="007B7381">
        <w:t xml:space="preserve"> de desarrollo de la IA</w:t>
      </w:r>
    </w:p>
    <w:tbl>
      <w:tblPr>
        <w:tblStyle w:val="TableGrid"/>
        <w:tblW w:w="9639" w:type="dxa"/>
        <w:jc w:val="center"/>
        <w:tblLook w:val="0600" w:firstRow="0" w:lastRow="0" w:firstColumn="0" w:lastColumn="0" w:noHBand="1" w:noVBand="1"/>
      </w:tblPr>
      <w:tblGrid>
        <w:gridCol w:w="2186"/>
        <w:gridCol w:w="7453"/>
      </w:tblGrid>
      <w:tr w:rsidR="0010687A" w:rsidRPr="00684A8A" w14:paraId="339FC40D" w14:textId="77777777" w:rsidTr="003D49C3">
        <w:trPr>
          <w:cantSplit/>
          <w:jc w:val="center"/>
        </w:trPr>
        <w:tc>
          <w:tcPr>
            <w:tcW w:w="1134" w:type="pct"/>
          </w:tcPr>
          <w:p w14:paraId="588B4823" w14:textId="3E7BD7F5" w:rsidR="0010687A" w:rsidRPr="00684A8A" w:rsidRDefault="0010687A" w:rsidP="003D49C3">
            <w:pPr>
              <w:pStyle w:val="Tablehead"/>
              <w:rPr>
                <w:rFonts w:ascii="Times New Roman" w:hAnsi="Times New Roman" w:cs="Times New Roman"/>
              </w:rPr>
            </w:pPr>
            <w:r w:rsidRPr="00684A8A">
              <w:rPr>
                <w:rFonts w:ascii="Times New Roman" w:hAnsi="Times New Roman" w:cs="Times New Roman"/>
              </w:rPr>
              <w:t xml:space="preserve">Aplicación de la IA </w:t>
            </w:r>
          </w:p>
        </w:tc>
        <w:tc>
          <w:tcPr>
            <w:tcW w:w="3866" w:type="pct"/>
          </w:tcPr>
          <w:p w14:paraId="725B4CD7" w14:textId="77777777" w:rsidR="0010687A" w:rsidRPr="00684A8A" w:rsidRDefault="0010687A" w:rsidP="003D49C3">
            <w:pPr>
              <w:pStyle w:val="Tablehead"/>
              <w:rPr>
                <w:rFonts w:ascii="Times New Roman" w:hAnsi="Times New Roman" w:cs="Times New Roman"/>
              </w:rPr>
            </w:pPr>
            <w:r w:rsidRPr="00684A8A">
              <w:rPr>
                <w:rFonts w:ascii="Times New Roman" w:hAnsi="Times New Roman" w:cs="Times New Roman"/>
              </w:rPr>
              <w:t>Descripción</w:t>
            </w:r>
          </w:p>
        </w:tc>
      </w:tr>
      <w:tr w:rsidR="0010687A" w:rsidRPr="00684A8A" w14:paraId="7823F0EC" w14:textId="77777777" w:rsidTr="000D3A51">
        <w:trPr>
          <w:cantSplit/>
          <w:jc w:val="center"/>
        </w:trPr>
        <w:tc>
          <w:tcPr>
            <w:tcW w:w="1134" w:type="pct"/>
            <w:tcBorders>
              <w:bottom w:val="single" w:sz="4" w:space="0" w:color="auto"/>
            </w:tcBorders>
          </w:tcPr>
          <w:p w14:paraId="1330E896" w14:textId="7A588FB2" w:rsidR="0010687A" w:rsidRPr="00684A8A" w:rsidRDefault="0010687A" w:rsidP="00633AE0">
            <w:pPr>
              <w:pStyle w:val="Tabletext"/>
              <w:ind w:left="284" w:hanging="284"/>
              <w:jc w:val="left"/>
              <w:rPr>
                <w:rFonts w:ascii="Times New Roman" w:hAnsi="Times New Roman" w:cs="Times New Roman"/>
              </w:rPr>
            </w:pPr>
            <w:r w:rsidRPr="00684A8A">
              <w:rPr>
                <w:rFonts w:ascii="Times New Roman" w:hAnsi="Times New Roman" w:cs="Times New Roman"/>
              </w:rPr>
              <w:t>1</w:t>
            </w:r>
            <w:r w:rsidR="002344DB">
              <w:rPr>
                <w:rFonts w:ascii="Times New Roman" w:hAnsi="Times New Roman" w:cs="Times New Roman"/>
              </w:rPr>
              <w:t>)</w:t>
            </w:r>
            <w:r w:rsidRPr="00684A8A">
              <w:rPr>
                <w:rFonts w:ascii="Times New Roman" w:hAnsi="Times New Roman" w:cs="Times New Roman"/>
              </w:rPr>
              <w:tab/>
            </w:r>
            <w:r w:rsidR="00633AE0">
              <w:rPr>
                <w:rFonts w:ascii="Times New Roman" w:hAnsi="Times New Roman" w:cs="Times New Roman"/>
              </w:rPr>
              <w:t>Presentación</w:t>
            </w:r>
            <w:r w:rsidRPr="00684A8A">
              <w:rPr>
                <w:rFonts w:ascii="Times New Roman" w:hAnsi="Times New Roman" w:cs="Times New Roman"/>
              </w:rPr>
              <w:t xml:space="preserve"> de solicitudes</w:t>
            </w:r>
          </w:p>
        </w:tc>
        <w:tc>
          <w:tcPr>
            <w:tcW w:w="3866" w:type="pct"/>
            <w:tcBorders>
              <w:bottom w:val="single" w:sz="4" w:space="0" w:color="auto"/>
            </w:tcBorders>
          </w:tcPr>
          <w:p w14:paraId="56578F5E" w14:textId="286C93F9" w:rsidR="0010687A" w:rsidRPr="00684A8A" w:rsidRDefault="00023804" w:rsidP="00633AE0">
            <w:pPr>
              <w:pStyle w:val="Tabletext"/>
              <w:jc w:val="left"/>
              <w:rPr>
                <w:rFonts w:ascii="Times New Roman" w:hAnsi="Times New Roman" w:cs="Times New Roman"/>
              </w:rPr>
            </w:pPr>
            <w:r>
              <w:rPr>
                <w:rFonts w:ascii="Times New Roman" w:hAnsi="Times New Roman" w:cs="Times New Roman"/>
              </w:rPr>
              <w:t>A</w:t>
            </w:r>
            <w:r w:rsidR="0010687A" w:rsidRPr="00684A8A">
              <w:rPr>
                <w:rFonts w:ascii="Times New Roman" w:hAnsi="Times New Roman" w:cs="Times New Roman"/>
              </w:rPr>
              <w:t xml:space="preserve">sistente de IA que </w:t>
            </w:r>
            <w:r>
              <w:rPr>
                <w:rFonts w:ascii="Times New Roman" w:hAnsi="Times New Roman" w:cs="Times New Roman"/>
              </w:rPr>
              <w:t>puede brindar</w:t>
            </w:r>
            <w:r w:rsidR="0010687A" w:rsidRPr="00684A8A">
              <w:rPr>
                <w:rFonts w:ascii="Times New Roman" w:hAnsi="Times New Roman" w:cs="Times New Roman"/>
              </w:rPr>
              <w:t xml:space="preserve"> apoyo para </w:t>
            </w:r>
            <w:r>
              <w:rPr>
                <w:rFonts w:ascii="Times New Roman" w:hAnsi="Times New Roman" w:cs="Times New Roman"/>
              </w:rPr>
              <w:t>llevar a cabo una</w:t>
            </w:r>
            <w:r w:rsidR="0010687A" w:rsidRPr="00684A8A">
              <w:rPr>
                <w:rFonts w:ascii="Times New Roman" w:hAnsi="Times New Roman" w:cs="Times New Roman"/>
              </w:rPr>
              <w:t xml:space="preserve"> solicitud de forma autónoma como solución interactiva en línea. La IA </w:t>
            </w:r>
            <w:r w:rsidR="00522B29">
              <w:rPr>
                <w:rFonts w:ascii="Times New Roman" w:hAnsi="Times New Roman" w:cs="Times New Roman"/>
              </w:rPr>
              <w:t>de base</w:t>
            </w:r>
            <w:r w:rsidR="0010687A" w:rsidRPr="00684A8A">
              <w:rPr>
                <w:rFonts w:ascii="Times New Roman" w:hAnsi="Times New Roman" w:cs="Times New Roman"/>
              </w:rPr>
              <w:t xml:space="preserve">, con cientos de datos, </w:t>
            </w:r>
            <w:r w:rsidR="00522B29">
              <w:rPr>
                <w:rFonts w:ascii="Times New Roman" w:hAnsi="Times New Roman" w:cs="Times New Roman"/>
              </w:rPr>
              <w:t>análoga</w:t>
            </w:r>
            <w:r w:rsidR="0010687A" w:rsidRPr="00684A8A">
              <w:rPr>
                <w:rFonts w:ascii="Times New Roman" w:hAnsi="Times New Roman" w:cs="Times New Roman"/>
              </w:rPr>
              <w:t xml:space="preserve"> a un sistema experto en evolución, </w:t>
            </w:r>
            <w:r w:rsidR="00522B29">
              <w:rPr>
                <w:rFonts w:ascii="Times New Roman" w:hAnsi="Times New Roman" w:cs="Times New Roman"/>
              </w:rPr>
              <w:t>permitirá</w:t>
            </w:r>
            <w:r w:rsidR="0010687A" w:rsidRPr="00684A8A">
              <w:rPr>
                <w:rFonts w:ascii="Times New Roman" w:hAnsi="Times New Roman" w:cs="Times New Roman"/>
              </w:rPr>
              <w:t xml:space="preserve"> identificar al usuario y sus necesidades de una manera cada vez más precisa. Los perfiles de usuario podrían utilizarse </w:t>
            </w:r>
            <w:r w:rsidR="00522B29">
              <w:rPr>
                <w:rFonts w:ascii="Times New Roman" w:hAnsi="Times New Roman" w:cs="Times New Roman"/>
              </w:rPr>
              <w:t>a través</w:t>
            </w:r>
            <w:r w:rsidR="0010687A" w:rsidRPr="00684A8A">
              <w:rPr>
                <w:rFonts w:ascii="Times New Roman" w:hAnsi="Times New Roman" w:cs="Times New Roman"/>
              </w:rPr>
              <w:t xml:space="preserve"> del portal de solicitudes para ayudar a </w:t>
            </w:r>
            <w:r w:rsidR="00522B29">
              <w:rPr>
                <w:rFonts w:ascii="Times New Roman" w:hAnsi="Times New Roman" w:cs="Times New Roman"/>
              </w:rPr>
              <w:t>prestar</w:t>
            </w:r>
            <w:r w:rsidR="0010687A" w:rsidRPr="00684A8A">
              <w:rPr>
                <w:rFonts w:ascii="Times New Roman" w:hAnsi="Times New Roman" w:cs="Times New Roman"/>
              </w:rPr>
              <w:t xml:space="preserve"> un servicio más personalizado a los solicitantes. También sería posible </w:t>
            </w:r>
            <w:r w:rsidR="00522B29">
              <w:rPr>
                <w:rFonts w:ascii="Times New Roman" w:hAnsi="Times New Roman" w:cs="Times New Roman"/>
              </w:rPr>
              <w:t>calcular previamente</w:t>
            </w:r>
            <w:r w:rsidR="0010687A" w:rsidRPr="00684A8A">
              <w:rPr>
                <w:rFonts w:ascii="Times New Roman" w:hAnsi="Times New Roman" w:cs="Times New Roman"/>
              </w:rPr>
              <w:t xml:space="preserve"> y publicar los canales de enlace fijos disponibles en cada zona, por ejemplo, para facilitar las solicitudes a los usuarios. </w:t>
            </w:r>
          </w:p>
        </w:tc>
      </w:tr>
      <w:tr w:rsidR="0010687A" w:rsidRPr="00684A8A" w14:paraId="102F9842" w14:textId="77777777" w:rsidTr="000D3A51">
        <w:trPr>
          <w:cantSplit/>
          <w:jc w:val="center"/>
        </w:trPr>
        <w:tc>
          <w:tcPr>
            <w:tcW w:w="1134" w:type="pct"/>
            <w:tcBorders>
              <w:bottom w:val="single" w:sz="4" w:space="0" w:color="auto"/>
            </w:tcBorders>
          </w:tcPr>
          <w:p w14:paraId="15DE7D88" w14:textId="483E83D8" w:rsidR="0010687A" w:rsidRPr="00684A8A" w:rsidRDefault="0010687A" w:rsidP="00522B29">
            <w:pPr>
              <w:pStyle w:val="Tabletext"/>
              <w:ind w:left="284" w:hanging="284"/>
              <w:jc w:val="left"/>
              <w:rPr>
                <w:rFonts w:ascii="Times New Roman" w:hAnsi="Times New Roman" w:cs="Times New Roman"/>
              </w:rPr>
            </w:pPr>
            <w:r w:rsidRPr="00684A8A">
              <w:rPr>
                <w:rFonts w:ascii="Times New Roman" w:hAnsi="Times New Roman" w:cs="Times New Roman"/>
              </w:rPr>
              <w:t>2</w:t>
            </w:r>
            <w:r w:rsidR="002344DB">
              <w:rPr>
                <w:rFonts w:ascii="Times New Roman" w:hAnsi="Times New Roman" w:cs="Times New Roman"/>
              </w:rPr>
              <w:t>)</w:t>
            </w:r>
            <w:r w:rsidRPr="00684A8A">
              <w:rPr>
                <w:rFonts w:ascii="Times New Roman" w:hAnsi="Times New Roman" w:cs="Times New Roman"/>
              </w:rPr>
              <w:tab/>
              <w:t>Tramitación y autorización de solicitudes</w:t>
            </w:r>
          </w:p>
        </w:tc>
        <w:tc>
          <w:tcPr>
            <w:tcW w:w="3866" w:type="pct"/>
            <w:tcBorders>
              <w:bottom w:val="single" w:sz="4" w:space="0" w:color="auto"/>
            </w:tcBorders>
          </w:tcPr>
          <w:p w14:paraId="13827E2F" w14:textId="2CAA0A12" w:rsidR="0010687A" w:rsidRPr="00684A8A" w:rsidRDefault="0010687A" w:rsidP="00522B29">
            <w:pPr>
              <w:pStyle w:val="Tabletext"/>
              <w:jc w:val="left"/>
              <w:rPr>
                <w:rFonts w:ascii="Times New Roman" w:hAnsi="Times New Roman" w:cs="Times New Roman"/>
              </w:rPr>
            </w:pPr>
            <w:r w:rsidRPr="00684A8A">
              <w:rPr>
                <w:rFonts w:ascii="Times New Roman" w:hAnsi="Times New Roman" w:cs="Times New Roman"/>
              </w:rPr>
              <w:t xml:space="preserve">Procesamiento autónomo con </w:t>
            </w:r>
            <w:r w:rsidR="00522B29">
              <w:rPr>
                <w:rFonts w:ascii="Times New Roman" w:hAnsi="Times New Roman" w:cs="Times New Roman"/>
              </w:rPr>
              <w:t>objeto de</w:t>
            </w:r>
            <w:r w:rsidRPr="00684A8A">
              <w:rPr>
                <w:rFonts w:ascii="Times New Roman" w:hAnsi="Times New Roman" w:cs="Times New Roman"/>
              </w:rPr>
              <w:t xml:space="preserve"> que no haya intervención humana para incluir predicciones </w:t>
            </w:r>
            <w:r w:rsidR="00522B29">
              <w:rPr>
                <w:rFonts w:ascii="Times New Roman" w:hAnsi="Times New Roman" w:cs="Times New Roman"/>
              </w:rPr>
              <w:t xml:space="preserve">sobre radiofrecuencias, </w:t>
            </w:r>
            <w:r w:rsidRPr="00684A8A">
              <w:rPr>
                <w:rFonts w:ascii="Times New Roman" w:hAnsi="Times New Roman" w:cs="Times New Roman"/>
              </w:rPr>
              <w:t>análisis técnicos, cálculos</w:t>
            </w:r>
            <w:r w:rsidR="00522B29">
              <w:rPr>
                <w:rFonts w:ascii="Times New Roman" w:hAnsi="Times New Roman" w:cs="Times New Roman"/>
              </w:rPr>
              <w:t xml:space="preserve"> y</w:t>
            </w:r>
            <w:r w:rsidRPr="00684A8A">
              <w:rPr>
                <w:rFonts w:ascii="Times New Roman" w:hAnsi="Times New Roman" w:cs="Times New Roman"/>
              </w:rPr>
              <w:t xml:space="preserve"> procesos de autorización colaborativos, </w:t>
            </w:r>
            <w:r w:rsidR="00522B29">
              <w:rPr>
                <w:rFonts w:ascii="Times New Roman" w:hAnsi="Times New Roman" w:cs="Times New Roman"/>
              </w:rPr>
              <w:t>de forma análoga</w:t>
            </w:r>
            <w:r w:rsidRPr="00684A8A">
              <w:rPr>
                <w:rFonts w:ascii="Times New Roman" w:hAnsi="Times New Roman" w:cs="Times New Roman"/>
              </w:rPr>
              <w:t xml:space="preserve"> en muchos casos a </w:t>
            </w:r>
            <w:r w:rsidR="00522B29">
              <w:rPr>
                <w:rFonts w:ascii="Times New Roman" w:hAnsi="Times New Roman" w:cs="Times New Roman"/>
              </w:rPr>
              <w:t xml:space="preserve">la toma de </w:t>
            </w:r>
            <w:r w:rsidRPr="00684A8A">
              <w:rPr>
                <w:rFonts w:ascii="Times New Roman" w:hAnsi="Times New Roman" w:cs="Times New Roman"/>
              </w:rPr>
              <w:t xml:space="preserve">decisiones de asignación automatizadas. A medida que se generen más datos y se </w:t>
            </w:r>
            <w:r w:rsidR="00522B29">
              <w:rPr>
                <w:rFonts w:ascii="Times New Roman" w:hAnsi="Times New Roman" w:cs="Times New Roman"/>
              </w:rPr>
              <w:t>precise</w:t>
            </w:r>
            <w:r w:rsidRPr="00684A8A">
              <w:rPr>
                <w:rFonts w:ascii="Times New Roman" w:hAnsi="Times New Roman" w:cs="Times New Roman"/>
              </w:rPr>
              <w:t xml:space="preserve"> una mayor resolución para habilitar</w:t>
            </w:r>
            <w:r w:rsidR="00AD186D">
              <w:rPr>
                <w:rFonts w:ascii="Times New Roman" w:hAnsi="Times New Roman" w:cs="Times New Roman"/>
              </w:rPr>
              <w:t xml:space="preserve"> o facilitar</w:t>
            </w:r>
            <w:r w:rsidRPr="00684A8A">
              <w:rPr>
                <w:rFonts w:ascii="Times New Roman" w:hAnsi="Times New Roman" w:cs="Times New Roman"/>
              </w:rPr>
              <w:t xml:space="preserve"> la autorización del espectro, algoritmos evolucionados desempeñarán un papel fundamental, </w:t>
            </w:r>
            <w:r w:rsidR="00AD186D">
              <w:rPr>
                <w:rFonts w:ascii="Times New Roman" w:hAnsi="Times New Roman" w:cs="Times New Roman"/>
              </w:rPr>
              <w:t>sobre la base de</w:t>
            </w:r>
            <w:r w:rsidRPr="00684A8A">
              <w:rPr>
                <w:rFonts w:ascii="Times New Roman" w:hAnsi="Times New Roman" w:cs="Times New Roman"/>
              </w:rPr>
              <w:t xml:space="preserve"> una IA de nivel 2. </w:t>
            </w:r>
          </w:p>
        </w:tc>
      </w:tr>
    </w:tbl>
    <w:p w14:paraId="02282C5D" w14:textId="279E8767" w:rsidR="005226E5" w:rsidRPr="005226E5" w:rsidRDefault="005226E5" w:rsidP="005226E5">
      <w:pPr>
        <w:pStyle w:val="TableNo"/>
      </w:pPr>
      <w:r>
        <w:lastRenderedPageBreak/>
        <w:t>CUADRO 8</w:t>
      </w:r>
      <w:r>
        <w:t xml:space="preserve"> (</w:t>
      </w:r>
      <w:r>
        <w:rPr>
          <w:i/>
          <w:iCs/>
        </w:rPr>
        <w:t>fin</w:t>
      </w:r>
      <w:r>
        <w:t>)</w:t>
      </w:r>
    </w:p>
    <w:tbl>
      <w:tblPr>
        <w:tblStyle w:val="TableGrid"/>
        <w:tblW w:w="9639" w:type="dxa"/>
        <w:jc w:val="center"/>
        <w:tblLook w:val="0600" w:firstRow="0" w:lastRow="0" w:firstColumn="0" w:lastColumn="0" w:noHBand="1" w:noVBand="1"/>
      </w:tblPr>
      <w:tblGrid>
        <w:gridCol w:w="2186"/>
        <w:gridCol w:w="7453"/>
      </w:tblGrid>
      <w:tr w:rsidR="005226E5" w:rsidRPr="00684A8A" w14:paraId="0DAC77F4" w14:textId="77777777" w:rsidTr="00486F13">
        <w:trPr>
          <w:cantSplit/>
          <w:jc w:val="center"/>
        </w:trPr>
        <w:tc>
          <w:tcPr>
            <w:tcW w:w="1134" w:type="pct"/>
          </w:tcPr>
          <w:p w14:paraId="5A3A9B83" w14:textId="77777777" w:rsidR="005226E5" w:rsidRPr="00684A8A" w:rsidRDefault="005226E5" w:rsidP="00486F13">
            <w:pPr>
              <w:pStyle w:val="Tablehead"/>
              <w:rPr>
                <w:rFonts w:ascii="Times New Roman" w:hAnsi="Times New Roman" w:cs="Times New Roman"/>
              </w:rPr>
            </w:pPr>
            <w:r w:rsidRPr="00684A8A">
              <w:rPr>
                <w:rFonts w:ascii="Times New Roman" w:hAnsi="Times New Roman" w:cs="Times New Roman"/>
              </w:rPr>
              <w:t xml:space="preserve">Aplicación de la IA </w:t>
            </w:r>
          </w:p>
        </w:tc>
        <w:tc>
          <w:tcPr>
            <w:tcW w:w="3866" w:type="pct"/>
          </w:tcPr>
          <w:p w14:paraId="156CE57C" w14:textId="77777777" w:rsidR="005226E5" w:rsidRPr="00684A8A" w:rsidRDefault="005226E5" w:rsidP="00486F13">
            <w:pPr>
              <w:pStyle w:val="Tablehead"/>
              <w:rPr>
                <w:rFonts w:ascii="Times New Roman" w:hAnsi="Times New Roman" w:cs="Times New Roman"/>
              </w:rPr>
            </w:pPr>
            <w:r w:rsidRPr="00684A8A">
              <w:rPr>
                <w:rFonts w:ascii="Times New Roman" w:hAnsi="Times New Roman" w:cs="Times New Roman"/>
              </w:rPr>
              <w:t>Descripción</w:t>
            </w:r>
          </w:p>
        </w:tc>
      </w:tr>
      <w:tr w:rsidR="0010687A" w:rsidRPr="00684A8A" w14:paraId="06465FAF" w14:textId="77777777" w:rsidTr="003D49C3">
        <w:trPr>
          <w:cantSplit/>
          <w:jc w:val="center"/>
        </w:trPr>
        <w:tc>
          <w:tcPr>
            <w:tcW w:w="1134" w:type="pct"/>
          </w:tcPr>
          <w:p w14:paraId="0CF0E4E3" w14:textId="2F9210F7" w:rsidR="0010687A" w:rsidRPr="00684A8A" w:rsidRDefault="0010687A" w:rsidP="00522B29">
            <w:pPr>
              <w:pStyle w:val="Tabletext"/>
              <w:ind w:left="284" w:hanging="284"/>
              <w:jc w:val="left"/>
              <w:rPr>
                <w:rFonts w:ascii="Times New Roman" w:hAnsi="Times New Roman" w:cs="Times New Roman"/>
              </w:rPr>
            </w:pPr>
            <w:r w:rsidRPr="00684A8A">
              <w:rPr>
                <w:rFonts w:ascii="Times New Roman" w:hAnsi="Times New Roman" w:cs="Times New Roman"/>
              </w:rPr>
              <w:t>3</w:t>
            </w:r>
            <w:r w:rsidR="002344DB">
              <w:rPr>
                <w:rFonts w:ascii="Times New Roman" w:hAnsi="Times New Roman" w:cs="Times New Roman"/>
              </w:rPr>
              <w:t>)</w:t>
            </w:r>
            <w:r w:rsidRPr="00684A8A">
              <w:rPr>
                <w:rFonts w:ascii="Times New Roman" w:hAnsi="Times New Roman" w:cs="Times New Roman"/>
              </w:rPr>
              <w:tab/>
              <w:t xml:space="preserve">Proceso de </w:t>
            </w:r>
            <w:r w:rsidR="00522B29">
              <w:rPr>
                <w:rFonts w:ascii="Times New Roman" w:hAnsi="Times New Roman" w:cs="Times New Roman"/>
              </w:rPr>
              <w:t>comprobación técnica</w:t>
            </w:r>
          </w:p>
        </w:tc>
        <w:tc>
          <w:tcPr>
            <w:tcW w:w="3866" w:type="pct"/>
          </w:tcPr>
          <w:p w14:paraId="108981D4" w14:textId="7F56EEDC" w:rsidR="0010687A" w:rsidRPr="00684A8A" w:rsidRDefault="0010687A" w:rsidP="00522B29">
            <w:pPr>
              <w:pStyle w:val="Tabletext"/>
              <w:jc w:val="left"/>
              <w:rPr>
                <w:rFonts w:ascii="Times New Roman" w:hAnsi="Times New Roman" w:cs="Times New Roman"/>
              </w:rPr>
            </w:pPr>
            <w:r w:rsidRPr="00684A8A">
              <w:rPr>
                <w:rFonts w:ascii="Times New Roman" w:hAnsi="Times New Roman" w:cs="Times New Roman"/>
              </w:rPr>
              <w:t xml:space="preserve">La etapa de </w:t>
            </w:r>
            <w:r w:rsidR="00AD186D">
              <w:rPr>
                <w:rFonts w:ascii="Times New Roman" w:hAnsi="Times New Roman" w:cs="Times New Roman"/>
              </w:rPr>
              <w:t>comprobación técnica</w:t>
            </w:r>
            <w:r w:rsidRPr="00684A8A">
              <w:rPr>
                <w:rFonts w:ascii="Times New Roman" w:hAnsi="Times New Roman" w:cs="Times New Roman"/>
              </w:rPr>
              <w:t xml:space="preserve">, </w:t>
            </w:r>
            <w:r w:rsidR="00AD186D">
              <w:rPr>
                <w:rFonts w:ascii="Times New Roman" w:hAnsi="Times New Roman" w:cs="Times New Roman"/>
              </w:rPr>
              <w:t>incluida la</w:t>
            </w:r>
            <w:r w:rsidRPr="00684A8A">
              <w:rPr>
                <w:rFonts w:ascii="Times New Roman" w:hAnsi="Times New Roman" w:cs="Times New Roman"/>
              </w:rPr>
              <w:t xml:space="preserve"> preventiva, </w:t>
            </w:r>
            <w:r w:rsidR="00AD186D">
              <w:rPr>
                <w:rFonts w:ascii="Times New Roman" w:hAnsi="Times New Roman" w:cs="Times New Roman"/>
              </w:rPr>
              <w:t>requiere</w:t>
            </w:r>
            <w:r w:rsidRPr="00684A8A">
              <w:rPr>
                <w:rFonts w:ascii="Times New Roman" w:hAnsi="Times New Roman" w:cs="Times New Roman"/>
              </w:rPr>
              <w:t xml:space="preserve"> una gran cantidad de datos de medición procedentes de un</w:t>
            </w:r>
            <w:r w:rsidR="00AD186D">
              <w:rPr>
                <w:rFonts w:ascii="Times New Roman" w:hAnsi="Times New Roman" w:cs="Times New Roman"/>
              </w:rPr>
              <w:t xml:space="preserve"> conjunto</w:t>
            </w:r>
            <w:r w:rsidRPr="00684A8A">
              <w:rPr>
                <w:rFonts w:ascii="Times New Roman" w:hAnsi="Times New Roman" w:cs="Times New Roman"/>
              </w:rPr>
              <w:t xml:space="preserve"> de sensores (por ejemplo, </w:t>
            </w:r>
            <w:r w:rsidR="00AD186D">
              <w:rPr>
                <w:rFonts w:ascii="Times New Roman" w:hAnsi="Times New Roman" w:cs="Times New Roman"/>
              </w:rPr>
              <w:t xml:space="preserve">mallas de </w:t>
            </w:r>
            <w:r w:rsidRPr="00684A8A">
              <w:rPr>
                <w:rFonts w:ascii="Times New Roman" w:hAnsi="Times New Roman" w:cs="Times New Roman"/>
              </w:rPr>
              <w:t xml:space="preserve">sensores). Los datos deberán procesarse, interpretarse y presentarse rápidamente de forma significativa para </w:t>
            </w:r>
            <w:r w:rsidR="00AD186D">
              <w:rPr>
                <w:rFonts w:ascii="Times New Roman" w:hAnsi="Times New Roman" w:cs="Times New Roman"/>
              </w:rPr>
              <w:t>facilitar</w:t>
            </w:r>
            <w:r w:rsidRPr="00684A8A">
              <w:rPr>
                <w:rFonts w:ascii="Times New Roman" w:hAnsi="Times New Roman" w:cs="Times New Roman"/>
              </w:rPr>
              <w:t xml:space="preserve"> autorizaciones en tiempo real. </w:t>
            </w:r>
            <w:r w:rsidR="00AD186D">
              <w:rPr>
                <w:rFonts w:ascii="Times New Roman" w:hAnsi="Times New Roman" w:cs="Times New Roman"/>
              </w:rPr>
              <w:t>En consecuencia</w:t>
            </w:r>
            <w:r w:rsidRPr="00684A8A">
              <w:rPr>
                <w:rFonts w:ascii="Times New Roman" w:hAnsi="Times New Roman" w:cs="Times New Roman"/>
              </w:rPr>
              <w:t>, se necesitar</w:t>
            </w:r>
            <w:r w:rsidR="00AD186D">
              <w:rPr>
                <w:rFonts w:ascii="Times New Roman" w:hAnsi="Times New Roman" w:cs="Times New Roman"/>
              </w:rPr>
              <w:t>á</w:t>
            </w:r>
            <w:r w:rsidRPr="00684A8A">
              <w:rPr>
                <w:rFonts w:ascii="Times New Roman" w:hAnsi="Times New Roman" w:cs="Times New Roman"/>
              </w:rPr>
              <w:t xml:space="preserve"> una aplicación de IA avanzada de nivel 3.</w:t>
            </w:r>
          </w:p>
        </w:tc>
      </w:tr>
    </w:tbl>
    <w:p w14:paraId="0495F3F0" w14:textId="4BCFFF79" w:rsidR="0010687A" w:rsidRPr="007B7381" w:rsidRDefault="0010687A" w:rsidP="0010687A">
      <w:r w:rsidRPr="007B7381">
        <w:t xml:space="preserve">Este proceso de gestión del espectro </w:t>
      </w:r>
      <w:r w:rsidR="00AD186D">
        <w:t>basado en tres etapas</w:t>
      </w:r>
      <w:r>
        <w:t xml:space="preserve"> </w:t>
      </w:r>
      <w:r w:rsidRPr="007B7381">
        <w:t xml:space="preserve">puede evolucionar de forma constante y </w:t>
      </w:r>
      <w:r w:rsidR="00AD186D">
        <w:t>eficaz</w:t>
      </w:r>
      <w:r w:rsidRPr="007B7381">
        <w:t xml:space="preserve">. Sin embargo, </w:t>
      </w:r>
      <w:r w:rsidR="00AD186D">
        <w:t>para cada</w:t>
      </w:r>
      <w:r w:rsidRPr="007B7381">
        <w:t xml:space="preserve"> solución avanzada de gestión dinámica del espectro, que posiblemente incluya disposiciones </w:t>
      </w:r>
      <w:r w:rsidR="00AD186D">
        <w:t>sobre</w:t>
      </w:r>
      <w:r w:rsidRPr="007B7381">
        <w:t xml:space="preserve"> compartición, </w:t>
      </w:r>
      <w:r w:rsidR="00AD186D">
        <w:t>esas tres etapas pueden</w:t>
      </w:r>
      <w:r w:rsidRPr="007B7381">
        <w:t xml:space="preserve"> integrarse en un sistema </w:t>
      </w:r>
      <w:r w:rsidR="00AD186D">
        <w:t>provisto de</w:t>
      </w:r>
      <w:r w:rsidRPr="007B7381">
        <w:t xml:space="preserve"> </w:t>
      </w:r>
      <w:r w:rsidRPr="007B7381">
        <w:rPr>
          <w:rFonts w:asciiTheme="majorBidi" w:hAnsiTheme="majorBidi" w:cstheme="majorBidi"/>
        </w:rPr>
        <w:t xml:space="preserve">retroalimentación </w:t>
      </w:r>
      <w:r w:rsidRPr="007B7381">
        <w:t xml:space="preserve">y </w:t>
      </w:r>
      <w:r w:rsidR="00AD186D">
        <w:t>ciclos iterativos</w:t>
      </w:r>
      <w:r w:rsidRPr="007B7381">
        <w:t xml:space="preserve">. </w:t>
      </w:r>
      <w:r w:rsidR="00AD186D">
        <w:t>Ello</w:t>
      </w:r>
      <w:r w:rsidRPr="007B7381">
        <w:t xml:space="preserve"> representaría la aplicación más </w:t>
      </w:r>
      <w:r w:rsidR="00AD186D">
        <w:t>útil</w:t>
      </w:r>
      <w:r w:rsidRPr="007B7381">
        <w:t xml:space="preserve"> de la IA en el futuro.</w:t>
      </w:r>
    </w:p>
    <w:p w14:paraId="07BBF2A4" w14:textId="4C15E375" w:rsidR="0010687A" w:rsidRPr="007B7381" w:rsidRDefault="00AD186D" w:rsidP="0010687A">
      <w:pPr>
        <w:rPr>
          <w:rFonts w:asciiTheme="majorBidi" w:hAnsiTheme="majorBidi" w:cstheme="majorBidi"/>
        </w:rPr>
      </w:pPr>
      <w:r>
        <w:rPr>
          <w:rFonts w:asciiTheme="majorBidi" w:hAnsiTheme="majorBidi" w:cstheme="majorBidi"/>
        </w:rPr>
        <w:t>Por otro lado</w:t>
      </w:r>
      <w:r w:rsidR="0010687A" w:rsidRPr="007B7381">
        <w:rPr>
          <w:rFonts w:asciiTheme="majorBidi" w:hAnsiTheme="majorBidi" w:cstheme="majorBidi"/>
        </w:rPr>
        <w:t xml:space="preserve">, una vez que se puedan recopilar más datos sobre </w:t>
      </w:r>
      <w:r>
        <w:rPr>
          <w:rFonts w:asciiTheme="majorBidi" w:hAnsiTheme="majorBidi" w:cstheme="majorBidi"/>
        </w:rPr>
        <w:t>utilización</w:t>
      </w:r>
      <w:r w:rsidR="0010687A" w:rsidRPr="007B7381">
        <w:rPr>
          <w:rFonts w:asciiTheme="majorBidi" w:hAnsiTheme="majorBidi" w:cstheme="majorBidi"/>
        </w:rPr>
        <w:t xml:space="preserve"> del espectro, la IA podría </w:t>
      </w:r>
      <w:r>
        <w:rPr>
          <w:rFonts w:asciiTheme="majorBidi" w:hAnsiTheme="majorBidi" w:cstheme="majorBidi"/>
        </w:rPr>
        <w:t>facilitar</w:t>
      </w:r>
      <w:r w:rsidR="0010687A" w:rsidRPr="007B7381">
        <w:rPr>
          <w:rFonts w:asciiTheme="majorBidi" w:hAnsiTheme="majorBidi" w:cstheme="majorBidi"/>
        </w:rPr>
        <w:t xml:space="preserve"> la </w:t>
      </w:r>
      <w:r>
        <w:rPr>
          <w:rFonts w:asciiTheme="majorBidi" w:hAnsiTheme="majorBidi" w:cstheme="majorBidi"/>
        </w:rPr>
        <w:t>formulación</w:t>
      </w:r>
      <w:r w:rsidR="0010687A" w:rsidRPr="007B7381">
        <w:rPr>
          <w:rFonts w:asciiTheme="majorBidi" w:hAnsiTheme="majorBidi" w:cstheme="majorBidi"/>
        </w:rPr>
        <w:t xml:space="preserve"> de políticas y </w:t>
      </w:r>
      <w:r>
        <w:rPr>
          <w:rFonts w:asciiTheme="majorBidi" w:hAnsiTheme="majorBidi" w:cstheme="majorBidi"/>
        </w:rPr>
        <w:t>aumentar</w:t>
      </w:r>
      <w:r w:rsidR="0010687A" w:rsidRPr="007B7381">
        <w:rPr>
          <w:rFonts w:asciiTheme="majorBidi" w:hAnsiTheme="majorBidi" w:cstheme="majorBidi"/>
        </w:rPr>
        <w:t xml:space="preserve"> la rentabilidad. </w:t>
      </w:r>
      <w:r>
        <w:rPr>
          <w:rFonts w:asciiTheme="majorBidi" w:hAnsiTheme="majorBidi" w:cstheme="majorBidi"/>
        </w:rPr>
        <w:t>Ello se tiene en cuenta con respecto a la tecnología</w:t>
      </w:r>
      <w:r w:rsidR="0010687A" w:rsidRPr="007B7381">
        <w:rPr>
          <w:rFonts w:asciiTheme="majorBidi" w:hAnsiTheme="majorBidi" w:cstheme="majorBidi"/>
        </w:rPr>
        <w:t xml:space="preserve"> 6G</w:t>
      </w:r>
      <w:r>
        <w:rPr>
          <w:rFonts w:asciiTheme="majorBidi" w:hAnsiTheme="majorBidi" w:cstheme="majorBidi"/>
        </w:rPr>
        <w:t>, a raíz de la utilización más frecuente</w:t>
      </w:r>
      <w:r w:rsidR="0010687A" w:rsidRPr="007B7381">
        <w:rPr>
          <w:rFonts w:asciiTheme="majorBidi" w:hAnsiTheme="majorBidi" w:cstheme="majorBidi"/>
        </w:rPr>
        <w:t xml:space="preserve"> del aprendizaje automático y la IA.</w:t>
      </w:r>
    </w:p>
    <w:p w14:paraId="505836BF" w14:textId="3810D998" w:rsidR="0010687A" w:rsidRPr="007B7381" w:rsidRDefault="0010687A" w:rsidP="0010687A">
      <w:pPr>
        <w:pStyle w:val="Heading3"/>
      </w:pPr>
      <w:bookmarkStart w:id="418" w:name="_Toc121911839"/>
      <w:r w:rsidRPr="007B7381">
        <w:t>6</w:t>
      </w:r>
      <w:r>
        <w:t>.</w:t>
      </w:r>
      <w:r w:rsidRPr="007B7381">
        <w:t>3</w:t>
      </w:r>
      <w:r>
        <w:t>.</w:t>
      </w:r>
      <w:r w:rsidRPr="007B7381">
        <w:t>3</w:t>
      </w:r>
      <w:r w:rsidRPr="007B7381">
        <w:tab/>
        <w:t xml:space="preserve">Objetivo 3: </w:t>
      </w:r>
      <w:r w:rsidR="0022429A">
        <w:t>M</w:t>
      </w:r>
      <w:r w:rsidR="00AD186D">
        <w:t>ayor grado de</w:t>
      </w:r>
      <w:r w:rsidRPr="007B7381">
        <w:t xml:space="preserve"> automatización</w:t>
      </w:r>
      <w:r w:rsidR="00AD186D">
        <w:t xml:space="preserve"> y </w:t>
      </w:r>
      <w:r w:rsidRPr="007B7381">
        <w:t xml:space="preserve">autonomía para </w:t>
      </w:r>
      <w:r w:rsidR="00AD186D">
        <w:t xml:space="preserve">facilitar </w:t>
      </w:r>
      <w:r w:rsidRPr="007B7381">
        <w:t xml:space="preserve">una implementación </w:t>
      </w:r>
      <w:r w:rsidR="00AD186D">
        <w:t>versátil</w:t>
      </w:r>
      <w:r w:rsidRPr="007B7381">
        <w:t xml:space="preserve">: hoja de ruta </w:t>
      </w:r>
      <w:r w:rsidR="00AD186D">
        <w:t>hacia</w:t>
      </w:r>
      <w:r w:rsidRPr="007B7381">
        <w:t xml:space="preserve"> 2031</w:t>
      </w:r>
      <w:bookmarkEnd w:id="418"/>
    </w:p>
    <w:p w14:paraId="63392DED" w14:textId="6368E30D" w:rsidR="0010687A" w:rsidRPr="007B7381" w:rsidRDefault="0010687A" w:rsidP="0010687A">
      <w:r w:rsidRPr="007B7381">
        <w:t xml:space="preserve">Los regímenes de gestión del espectro en el futuro serán cada vez más </w:t>
      </w:r>
      <w:r w:rsidR="00AD186D">
        <w:t>versátiles</w:t>
      </w:r>
      <w:r w:rsidRPr="007B7381">
        <w:t xml:space="preserve">, lo que </w:t>
      </w:r>
      <w:r w:rsidR="00AD186D">
        <w:t>propiciará</w:t>
      </w:r>
      <w:r w:rsidRPr="007B7381">
        <w:t xml:space="preserve"> mayores niveles de automatización</w:t>
      </w:r>
      <w:r w:rsidR="00AD186D">
        <w:t xml:space="preserve"> y de </w:t>
      </w:r>
      <w:r w:rsidRPr="007B7381">
        <w:t>autonomía</w:t>
      </w:r>
      <w:r w:rsidR="00AD186D">
        <w:t>,</w:t>
      </w:r>
      <w:r w:rsidRPr="007B7381">
        <w:t xml:space="preserve"> más allá de lo</w:t>
      </w:r>
      <w:r w:rsidR="00AD186D">
        <w:t>s existentes</w:t>
      </w:r>
      <w:r w:rsidRPr="007B7381">
        <w:t xml:space="preserve"> en la actualidad. </w:t>
      </w:r>
    </w:p>
    <w:p w14:paraId="23A3D68F" w14:textId="4AA10B8A" w:rsidR="0010687A" w:rsidRPr="007B7381" w:rsidRDefault="0010687A" w:rsidP="0010687A">
      <w:r w:rsidRPr="007B7381">
        <w:t>La evolución de los sistemas</w:t>
      </w:r>
      <w:r w:rsidR="00755F6F">
        <w:t xml:space="preserve"> existentes</w:t>
      </w:r>
      <w:r w:rsidRPr="007B7381">
        <w:t xml:space="preserve"> se </w:t>
      </w:r>
      <w:r w:rsidR="00AD186D">
        <w:t>apoyará</w:t>
      </w:r>
      <w:r w:rsidRPr="007B7381">
        <w:t xml:space="preserve"> en avances que </w:t>
      </w:r>
      <w:r w:rsidR="00AD186D">
        <w:t>tienen lugar</w:t>
      </w:r>
      <w:r w:rsidRPr="007B7381">
        <w:t xml:space="preserve"> en la actualidad, en particular </w:t>
      </w:r>
      <w:r w:rsidR="00755F6F">
        <w:t xml:space="preserve">mediante un </w:t>
      </w:r>
      <w:r w:rsidR="008B22A9">
        <w:t>aumento de la</w:t>
      </w:r>
      <w:r w:rsidRPr="007B7381">
        <w:t xml:space="preserve"> inteligencia en </w:t>
      </w:r>
      <w:r w:rsidR="008B22A9">
        <w:t>cuanto a</w:t>
      </w:r>
      <w:r w:rsidRPr="007B7381">
        <w:t xml:space="preserve"> procesamiento de datos, </w:t>
      </w:r>
      <w:r w:rsidR="00755F6F">
        <w:t xml:space="preserve">una </w:t>
      </w:r>
      <w:r w:rsidRPr="007B7381">
        <w:t xml:space="preserve">mayor automatización y autonomía de los procesos de gestión del espectro y </w:t>
      </w:r>
      <w:r w:rsidR="00755F6F">
        <w:t>una utilización más frecuente</w:t>
      </w:r>
      <w:r w:rsidRPr="007B7381">
        <w:t xml:space="preserve"> de sistemas de acceso dinámico al espectro </w:t>
      </w:r>
      <w:r w:rsidR="00755F6F">
        <w:t>para varias</w:t>
      </w:r>
      <w:r w:rsidRPr="007B7381">
        <w:t xml:space="preserve"> bandas y servicios. </w:t>
      </w:r>
      <w:r w:rsidR="00755F6F">
        <w:t>En la</w:t>
      </w:r>
      <w:r>
        <w:t xml:space="preserve"> </w:t>
      </w:r>
      <w:r w:rsidR="002344DB">
        <w:t>F</w:t>
      </w:r>
      <w:r>
        <w:t>ig</w:t>
      </w:r>
      <w:r w:rsidR="0022429A">
        <w:t>.</w:t>
      </w:r>
      <w:r>
        <w:t xml:space="preserve"> 13 </w:t>
      </w:r>
      <w:r w:rsidR="00755F6F">
        <w:t>se representa esa</w:t>
      </w:r>
      <w:r w:rsidRPr="007B7381">
        <w:t xml:space="preserve"> transición y las iniciativas </w:t>
      </w:r>
      <w:r w:rsidR="00755F6F">
        <w:t>para facilitar la evolución de</w:t>
      </w:r>
      <w:r w:rsidRPr="007B7381">
        <w:t xml:space="preserve"> los sistemas actuales.</w:t>
      </w:r>
    </w:p>
    <w:p w14:paraId="5F6AF048" w14:textId="77777777" w:rsidR="0010687A" w:rsidRPr="007B7381" w:rsidRDefault="0010687A" w:rsidP="0010687A">
      <w:pPr>
        <w:pStyle w:val="FigureNo"/>
      </w:pPr>
      <w:r w:rsidRPr="007B7381">
        <w:t>Figura</w:t>
      </w:r>
      <w:r>
        <w:t xml:space="preserve"> 13</w:t>
      </w:r>
    </w:p>
    <w:p w14:paraId="2490ED2C" w14:textId="77777777" w:rsidR="0010687A" w:rsidRPr="007B7381" w:rsidRDefault="0010687A" w:rsidP="0010687A">
      <w:pPr>
        <w:pStyle w:val="Figuretitle"/>
      </w:pPr>
      <w:r w:rsidRPr="007B7381">
        <w:t>Sistemas de gestión del espectro actuales y futuros</w:t>
      </w:r>
    </w:p>
    <w:p w14:paraId="66E783DA" w14:textId="28D2D041" w:rsidR="0010687A" w:rsidRPr="007B7381" w:rsidRDefault="007617AF" w:rsidP="0010687A">
      <w:pPr>
        <w:pStyle w:val="Figure"/>
      </w:pPr>
      <w:r>
        <w:rPr>
          <w:noProof/>
        </w:rPr>
        <w:drawing>
          <wp:inline distT="0" distB="0" distL="0" distR="0" wp14:anchorId="3A8C1FA9" wp14:editId="5532CD67">
            <wp:extent cx="6120765" cy="3345815"/>
            <wp:effectExtent l="0" t="0" r="0" b="6985"/>
            <wp:docPr id="791586562" name="Picture 9" descr="La FIGURA 13 muestra los Sistemas de gestión del espectro actuales y futur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86562" name="Picture 9" descr="La FIGURA 13 muestra los Sistemas de gestión del espectro actuales y futuros&#10;"/>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120765" cy="3345815"/>
                    </a:xfrm>
                    <a:prstGeom prst="rect">
                      <a:avLst/>
                    </a:prstGeom>
                  </pic:spPr>
                </pic:pic>
              </a:graphicData>
            </a:graphic>
          </wp:inline>
        </w:drawing>
      </w:r>
    </w:p>
    <w:p w14:paraId="5ABA3E5A" w14:textId="7921706B" w:rsidR="0010687A" w:rsidRPr="007B7381" w:rsidRDefault="0010687A" w:rsidP="0010687A">
      <w:pPr>
        <w:pStyle w:val="Heading2"/>
      </w:pPr>
      <w:bookmarkStart w:id="419" w:name="_Toc121911840"/>
      <w:bookmarkStart w:id="420" w:name="_Toc136358670"/>
      <w:bookmarkStart w:id="421" w:name="_Toc184629752"/>
      <w:bookmarkStart w:id="422" w:name="_Toc184629968"/>
      <w:bookmarkStart w:id="423" w:name="_Toc216630188"/>
      <w:bookmarkStart w:id="424" w:name="_Toc216693476"/>
      <w:bookmarkStart w:id="425" w:name="_Toc217031184"/>
      <w:r w:rsidRPr="007B7381">
        <w:lastRenderedPageBreak/>
        <w:t>6.4</w:t>
      </w:r>
      <w:r w:rsidRPr="007B7381">
        <w:tab/>
        <w:t>Iniciativas de la TDRA y marco de la UIT</w:t>
      </w:r>
      <w:bookmarkEnd w:id="419"/>
      <w:bookmarkEnd w:id="420"/>
      <w:bookmarkEnd w:id="421"/>
      <w:bookmarkEnd w:id="422"/>
      <w:bookmarkEnd w:id="423"/>
      <w:bookmarkEnd w:id="424"/>
      <w:bookmarkEnd w:id="425"/>
    </w:p>
    <w:p w14:paraId="35F6DBB6" w14:textId="7C35E128" w:rsidR="0010687A" w:rsidRPr="007B7381" w:rsidRDefault="00301E59" w:rsidP="0010687A">
      <w:r>
        <w:t>El cuadro</w:t>
      </w:r>
      <w:r w:rsidR="0010687A" w:rsidRPr="007B7381">
        <w:t xml:space="preserve"> internacional de </w:t>
      </w:r>
      <w:r>
        <w:t>atribución</w:t>
      </w:r>
      <w:r w:rsidR="0010687A" w:rsidRPr="007B7381">
        <w:t xml:space="preserve"> de</w:t>
      </w:r>
      <w:r>
        <w:t xml:space="preserve"> bandas de</w:t>
      </w:r>
      <w:r w:rsidR="0010687A" w:rsidRPr="007B7381">
        <w:t xml:space="preserve"> frecuencias evoluciona </w:t>
      </w:r>
      <w:r>
        <w:t>paulatinamente</w:t>
      </w:r>
      <w:r w:rsidR="0010687A" w:rsidRPr="007B7381">
        <w:t xml:space="preserve">, </w:t>
      </w:r>
      <w:r>
        <w:t>con arreglo a la celebración</w:t>
      </w:r>
      <w:r w:rsidR="0010687A" w:rsidRPr="007B7381">
        <w:t xml:space="preserve"> cuatrienal de las conferencias de la UIT. </w:t>
      </w:r>
      <w:r>
        <w:t>Si bien se prevé abordar aspectos de versatilidad, e</w:t>
      </w:r>
      <w:r w:rsidR="0010687A" w:rsidRPr="007B7381">
        <w:t xml:space="preserve">l camino hacia </w:t>
      </w:r>
      <w:r>
        <w:t>la misma</w:t>
      </w:r>
      <w:r w:rsidR="0010687A" w:rsidRPr="007B7381">
        <w:t xml:space="preserve"> se </w:t>
      </w:r>
      <w:r>
        <w:t>rige por</w:t>
      </w:r>
      <w:r w:rsidR="0010687A" w:rsidRPr="007B7381">
        <w:t xml:space="preserve"> un </w:t>
      </w:r>
      <w:r>
        <w:t xml:space="preserve">riguroso </w:t>
      </w:r>
      <w:r w:rsidR="0010687A" w:rsidRPr="007B7381">
        <w:t xml:space="preserve">marco institucional. </w:t>
      </w:r>
      <w:r>
        <w:t>No obstante</w:t>
      </w:r>
      <w:r w:rsidR="0010687A" w:rsidRPr="007B7381">
        <w:t xml:space="preserve">, los enfoques cognitivos, si se aplican a todas las tecnologías y servicios, </w:t>
      </w:r>
      <w:r>
        <w:t>poseen</w:t>
      </w:r>
      <w:r w:rsidR="0010687A" w:rsidRPr="007B7381">
        <w:t xml:space="preserve"> implicaciones internacionales </w:t>
      </w:r>
      <w:r>
        <w:t>muy</w:t>
      </w:r>
      <w:r w:rsidR="0010687A" w:rsidRPr="007B7381">
        <w:t xml:space="preserve"> amplias. </w:t>
      </w:r>
      <w:r>
        <w:t>Los</w:t>
      </w:r>
      <w:r w:rsidR="0010687A" w:rsidRPr="007B7381">
        <w:t xml:space="preserve"> procedimientos de la UIT </w:t>
      </w:r>
      <w:r>
        <w:t>podrían tener que modificarse</w:t>
      </w:r>
      <w:r w:rsidR="0010687A" w:rsidRPr="007B7381">
        <w:t xml:space="preserve"> en el futuro </w:t>
      </w:r>
      <w:r>
        <w:t>en aras de</w:t>
      </w:r>
      <w:r w:rsidR="0010687A" w:rsidRPr="007B7381">
        <w:t xml:space="preserve"> una mayor flexibilidad y </w:t>
      </w:r>
      <w:r>
        <w:t>versatilidad</w:t>
      </w:r>
      <w:r w:rsidR="0010687A" w:rsidRPr="007B7381">
        <w:t>. Sin embargo, en lo que respecta a las soluciones de gestión del espectro, se puede</w:t>
      </w:r>
      <w:r>
        <w:t>n</w:t>
      </w:r>
      <w:r w:rsidR="0010687A" w:rsidRPr="007B7381">
        <w:t xml:space="preserve"> lograr </w:t>
      </w:r>
      <w:r>
        <w:t>algunos resultados</w:t>
      </w:r>
      <w:r w:rsidR="0010687A" w:rsidRPr="007B7381">
        <w:t>.</w:t>
      </w:r>
    </w:p>
    <w:p w14:paraId="5A57A6DD" w14:textId="6A16429F" w:rsidR="0010687A" w:rsidRPr="007B7381" w:rsidRDefault="0010687A" w:rsidP="0010687A">
      <w:r w:rsidRPr="007B7381">
        <w:t xml:space="preserve">El manual de gestión del espectro de la UIT se actualizó por última vez en 2015 y </w:t>
      </w:r>
      <w:r w:rsidR="00284BB5">
        <w:t>abarca</w:t>
      </w:r>
      <w:r w:rsidRPr="007B7381">
        <w:t xml:space="preserve"> los sistemas informáticos y la automatización. No </w:t>
      </w:r>
      <w:r w:rsidR="00284BB5">
        <w:t>comprende</w:t>
      </w:r>
      <w:r w:rsidRPr="007B7381">
        <w:t xml:space="preserve"> elementos más futuristas, </w:t>
      </w:r>
      <w:r w:rsidR="00284BB5">
        <w:t xml:space="preserve">en particular la utilización </w:t>
      </w:r>
      <w:r w:rsidRPr="007B7381">
        <w:t>de la inteligencia artificial</w:t>
      </w:r>
      <w:r w:rsidR="00284BB5">
        <w:t>,</w:t>
      </w:r>
      <w:r w:rsidRPr="007B7381">
        <w:t xml:space="preserve"> o </w:t>
      </w:r>
      <w:r w:rsidR="00284BB5">
        <w:t>la incorporación de</w:t>
      </w:r>
      <w:r w:rsidRPr="007B7381">
        <w:t xml:space="preserve"> mayor inteligencia a la</w:t>
      </w:r>
      <w:r w:rsidR="00284BB5">
        <w:t>s labores de</w:t>
      </w:r>
      <w:r w:rsidRPr="007B7381">
        <w:t xml:space="preserve"> gestión del espectro. Podría ser útil, </w:t>
      </w:r>
      <w:r w:rsidR="00284BB5">
        <w:t>a raíz</w:t>
      </w:r>
      <w:r w:rsidRPr="007B7381">
        <w:t xml:space="preserve"> de las conclusiones de</w:t>
      </w:r>
      <w:r w:rsidR="00284BB5">
        <w:t>l presente</w:t>
      </w:r>
      <w:r w:rsidRPr="007B7381">
        <w:t xml:space="preserve"> estudio, que la UIT </w:t>
      </w:r>
      <w:r w:rsidR="00284BB5">
        <w:t>examinara</w:t>
      </w:r>
      <w:r w:rsidRPr="007B7381">
        <w:t xml:space="preserve"> la posibilidad de actualizar su Manual de gestión del espectro</w:t>
      </w:r>
      <w:r w:rsidR="00284BB5">
        <w:t>, así como</w:t>
      </w:r>
      <w:r w:rsidRPr="007B7381">
        <w:t xml:space="preserve"> iniciativas futuras y capacidades de gestión del espectro para </w:t>
      </w:r>
      <w:r w:rsidR="00284BB5">
        <w:t>el</w:t>
      </w:r>
      <w:r w:rsidRPr="007B7381">
        <w:t xml:space="preserve"> próxim</w:t>
      </w:r>
      <w:r w:rsidR="00284BB5">
        <w:t>o decenio</w:t>
      </w:r>
      <w:r w:rsidRPr="007B7381">
        <w:t>.</w:t>
      </w:r>
    </w:p>
    <w:p w14:paraId="6FA94CA4" w14:textId="636C2693" w:rsidR="0010687A" w:rsidRPr="007B7381" w:rsidRDefault="0010687A" w:rsidP="0010687A">
      <w:r w:rsidRPr="007B7381">
        <w:t xml:space="preserve">Si bien </w:t>
      </w:r>
      <w:r w:rsidR="00284BB5">
        <w:t xml:space="preserve">las modificaciones en el marco </w:t>
      </w:r>
      <w:r w:rsidRPr="007B7381">
        <w:t xml:space="preserve">de la UIT </w:t>
      </w:r>
      <w:r w:rsidR="00284BB5">
        <w:t>van más allá</w:t>
      </w:r>
      <w:r w:rsidRPr="007B7381">
        <w:t xml:space="preserve"> del alcance de este </w:t>
      </w:r>
      <w:r w:rsidR="00573BDD">
        <w:t>análisis</w:t>
      </w:r>
      <w:r w:rsidRPr="007B7381">
        <w:t xml:space="preserve">, </w:t>
      </w:r>
      <w:r w:rsidR="00284BB5">
        <w:t>cabe destacar varios aspectos relativos</w:t>
      </w:r>
      <w:r w:rsidRPr="007B7381">
        <w:t xml:space="preserve"> a posibles limitaciones de flexibilidad y </w:t>
      </w:r>
      <w:r w:rsidR="00284BB5">
        <w:t>versatilidad</w:t>
      </w:r>
      <w:r w:rsidRPr="007B7381">
        <w:t xml:space="preserve"> que podrían </w:t>
      </w:r>
      <w:r w:rsidR="00284BB5">
        <w:t>abordarse</w:t>
      </w:r>
      <w:r w:rsidRPr="007B7381">
        <w:t xml:space="preserve"> debido a la necesidad de cumplir el marco </w:t>
      </w:r>
      <w:r w:rsidR="00284BB5">
        <w:t>reglamentario</w:t>
      </w:r>
      <w:r w:rsidRPr="007B7381">
        <w:t xml:space="preserve"> de la UIT. </w:t>
      </w:r>
      <w:r w:rsidR="00284BB5">
        <w:t>Puesto</w:t>
      </w:r>
      <w:r w:rsidRPr="007B7381">
        <w:t xml:space="preserve"> que el ciclo </w:t>
      </w:r>
      <w:r w:rsidR="00284BB5">
        <w:t xml:space="preserve">de trabajo </w:t>
      </w:r>
      <w:r w:rsidRPr="007B7381">
        <w:t xml:space="preserve">de la UIT requiere </w:t>
      </w:r>
      <w:r w:rsidR="00284BB5">
        <w:t>la adopción de una serie</w:t>
      </w:r>
      <w:r w:rsidRPr="007B7381">
        <w:rPr>
          <w:rFonts w:asciiTheme="majorBidi" w:hAnsiTheme="majorBidi" w:cstheme="majorBidi"/>
        </w:rPr>
        <w:t xml:space="preserve"> </w:t>
      </w:r>
      <w:r w:rsidRPr="007B7381">
        <w:t xml:space="preserve">de </w:t>
      </w:r>
      <w:r w:rsidR="00284BB5">
        <w:t>medidas</w:t>
      </w:r>
      <w:r w:rsidRPr="007B7381">
        <w:t xml:space="preserve"> y la toma de decisiones por consenso, </w:t>
      </w:r>
      <w:r w:rsidR="00284BB5">
        <w:t xml:space="preserve">toda modificación al respecto podría </w:t>
      </w:r>
      <w:r w:rsidRPr="007B7381">
        <w:t xml:space="preserve">requerir un esfuerzo y un tiempo considerables </w:t>
      </w:r>
      <w:r w:rsidR="00284BB5">
        <w:t>hasta lograr implantaciones</w:t>
      </w:r>
      <w:r w:rsidRPr="007B7381">
        <w:t xml:space="preserve"> a </w:t>
      </w:r>
      <w:r w:rsidR="00284BB5">
        <w:t>escala</w:t>
      </w:r>
      <w:r w:rsidRPr="007B7381">
        <w:t xml:space="preserve"> nacional. </w:t>
      </w:r>
      <w:r w:rsidR="00284BB5">
        <w:t>Si bien se han</w:t>
      </w:r>
      <w:r w:rsidRPr="007B7381">
        <w:t xml:space="preserve"> presentado varias </w:t>
      </w:r>
      <w:r w:rsidR="00284BB5">
        <w:t>propuestas</w:t>
      </w:r>
      <w:r w:rsidRPr="007B7381">
        <w:t xml:space="preserve"> sobre </w:t>
      </w:r>
      <w:r w:rsidR="00284BB5">
        <w:t>modificaciones del</w:t>
      </w:r>
      <w:r w:rsidRPr="007B7381">
        <w:t xml:space="preserve"> proceso </w:t>
      </w:r>
      <w:r w:rsidR="00284BB5">
        <w:t xml:space="preserve">de trabajo </w:t>
      </w:r>
      <w:r w:rsidRPr="007B7381">
        <w:t xml:space="preserve">de la UIT, ninguna </w:t>
      </w:r>
      <w:r w:rsidR="00284BB5">
        <w:t xml:space="preserve">de ellas </w:t>
      </w:r>
      <w:r w:rsidRPr="007B7381">
        <w:t xml:space="preserve">se ha considerado adecuada. </w:t>
      </w:r>
      <w:r w:rsidR="00284BB5">
        <w:t xml:space="preserve">En consecuencia, en lo que a la toma de </w:t>
      </w:r>
      <w:r w:rsidRPr="007B7381">
        <w:t>decisiones</w:t>
      </w:r>
      <w:r w:rsidR="00284BB5">
        <w:t xml:space="preserve"> se refiere</w:t>
      </w:r>
      <w:r w:rsidRPr="007B7381">
        <w:t xml:space="preserve">, el alcance y el ritmo </w:t>
      </w:r>
      <w:r w:rsidR="00930EED">
        <w:t xml:space="preserve">de avance </w:t>
      </w:r>
      <w:r w:rsidRPr="007B7381">
        <w:t xml:space="preserve">posibles de la </w:t>
      </w:r>
      <w:r w:rsidR="00284BB5">
        <w:t>implantación</w:t>
      </w:r>
      <w:r w:rsidRPr="007B7381">
        <w:t xml:space="preserve"> de procesos </w:t>
      </w:r>
      <w:r w:rsidR="00284BB5" w:rsidRPr="007B7381">
        <w:t xml:space="preserve">automatizados </w:t>
      </w:r>
      <w:r w:rsidR="00284BB5">
        <w:t>en materia de versatilidad</w:t>
      </w:r>
      <w:r w:rsidRPr="007B7381">
        <w:t xml:space="preserve"> siguen siendo limitados.</w:t>
      </w:r>
    </w:p>
    <w:p w14:paraId="4CEE200C" w14:textId="585A7FC9" w:rsidR="0010687A" w:rsidRPr="007B7381" w:rsidRDefault="0010687A" w:rsidP="0010687A">
      <w:pPr>
        <w:pStyle w:val="Heading2"/>
      </w:pPr>
      <w:bookmarkStart w:id="426" w:name="_Toc121911841"/>
      <w:bookmarkStart w:id="427" w:name="_Toc136358671"/>
      <w:bookmarkStart w:id="428" w:name="_Toc184629753"/>
      <w:bookmarkStart w:id="429" w:name="_Toc184629969"/>
      <w:bookmarkStart w:id="430" w:name="_Toc216630189"/>
      <w:bookmarkStart w:id="431" w:name="_Toc216693477"/>
      <w:bookmarkStart w:id="432" w:name="_Toc217031185"/>
      <w:r w:rsidRPr="007B7381">
        <w:t>6.5</w:t>
      </w:r>
      <w:r w:rsidRPr="007B7381">
        <w:tab/>
        <w:t xml:space="preserve">El camino hacia 2031: </w:t>
      </w:r>
      <w:r w:rsidR="0022429A">
        <w:t>O</w:t>
      </w:r>
      <w:r w:rsidRPr="007B7381">
        <w:t>bjetivos digitales de EAU e iniciativas de la TDRA</w:t>
      </w:r>
      <w:bookmarkEnd w:id="426"/>
      <w:bookmarkEnd w:id="427"/>
      <w:bookmarkEnd w:id="428"/>
      <w:bookmarkEnd w:id="429"/>
      <w:bookmarkEnd w:id="430"/>
      <w:bookmarkEnd w:id="431"/>
      <w:bookmarkEnd w:id="432"/>
    </w:p>
    <w:p w14:paraId="6650388F" w14:textId="77877D83" w:rsidR="0010687A" w:rsidRPr="007B7381" w:rsidRDefault="0010687A" w:rsidP="0010687A">
      <w:r w:rsidRPr="007B7381">
        <w:t xml:space="preserve">En </w:t>
      </w:r>
      <w:r w:rsidR="000F0675">
        <w:t>el marco de sus</w:t>
      </w:r>
      <w:r w:rsidRPr="007B7381">
        <w:t xml:space="preserve"> esfuerzo</w:t>
      </w:r>
      <w:r w:rsidR="000F0675">
        <w:t>s</w:t>
      </w:r>
      <w:r w:rsidRPr="007B7381">
        <w:t xml:space="preserve"> </w:t>
      </w:r>
      <w:r w:rsidR="000F0675">
        <w:t>encaminados a</w:t>
      </w:r>
      <w:r w:rsidRPr="007B7381">
        <w:t xml:space="preserve"> fomentar </w:t>
      </w:r>
      <w:r w:rsidR="000F0675">
        <w:t>la versatilidad de la</w:t>
      </w:r>
      <w:r w:rsidRPr="007B7381">
        <w:t xml:space="preserve"> gestión del espectro, la TDRA </w:t>
      </w:r>
      <w:r w:rsidR="000F0675">
        <w:t>aplica</w:t>
      </w:r>
      <w:r w:rsidRPr="007B7381">
        <w:t xml:space="preserve"> un riguroso enfoque de gestión</w:t>
      </w:r>
      <w:r w:rsidR="000F0675">
        <w:t>,</w:t>
      </w:r>
      <w:r w:rsidRPr="007B7381">
        <w:t xml:space="preserve"> que</w:t>
      </w:r>
      <w:r w:rsidR="000F0675">
        <w:t xml:space="preserve"> reúne las siguientes características</w:t>
      </w:r>
      <w:r w:rsidRPr="007B7381">
        <w:t>:</w:t>
      </w:r>
    </w:p>
    <w:p w14:paraId="2E96BBBD" w14:textId="512205E9" w:rsidR="0010687A" w:rsidRPr="007B7381" w:rsidRDefault="002344DB" w:rsidP="0010687A">
      <w:pPr>
        <w:pStyle w:val="enumlev1"/>
      </w:pPr>
      <w:r>
        <w:t>–</w:t>
      </w:r>
      <w:r w:rsidR="0010687A" w:rsidRPr="007B7381">
        <w:tab/>
      </w:r>
      <w:r w:rsidR="007C342F">
        <w:t xml:space="preserve">está </w:t>
      </w:r>
      <w:r w:rsidR="000F0675">
        <w:t xml:space="preserve">orientado a </w:t>
      </w:r>
      <w:r w:rsidR="0010687A" w:rsidRPr="007B7381">
        <w:t>los resultados;</w:t>
      </w:r>
    </w:p>
    <w:p w14:paraId="67AD09D0" w14:textId="741A7830" w:rsidR="0010687A" w:rsidRPr="007B7381" w:rsidRDefault="002344DB" w:rsidP="0010687A">
      <w:pPr>
        <w:pStyle w:val="enumlev1"/>
      </w:pPr>
      <w:r>
        <w:t>–</w:t>
      </w:r>
      <w:r w:rsidR="0010687A" w:rsidRPr="007B7381">
        <w:tab/>
      </w:r>
      <w:r w:rsidR="007C342F">
        <w:t xml:space="preserve">es </w:t>
      </w:r>
      <w:r w:rsidR="000F0675">
        <w:t>eficaz</w:t>
      </w:r>
      <w:r w:rsidR="0010687A" w:rsidRPr="007B7381">
        <w:t>;</w:t>
      </w:r>
    </w:p>
    <w:p w14:paraId="745E6DB1" w14:textId="376FF869" w:rsidR="0010687A" w:rsidRPr="007B7381" w:rsidRDefault="002344DB" w:rsidP="0010687A">
      <w:pPr>
        <w:pStyle w:val="enumlev1"/>
      </w:pPr>
      <w:r>
        <w:t>–</w:t>
      </w:r>
      <w:r w:rsidR="0010687A" w:rsidRPr="007B7381">
        <w:tab/>
      </w:r>
      <w:r w:rsidR="000F0675">
        <w:t>facilita</w:t>
      </w:r>
      <w:r w:rsidR="0010687A" w:rsidRPr="007B7381">
        <w:t xml:space="preserve"> </w:t>
      </w:r>
      <w:r w:rsidR="000F0675">
        <w:t>los ensayos</w:t>
      </w:r>
      <w:r w:rsidR="0010687A" w:rsidRPr="007B7381">
        <w:t xml:space="preserve"> en la colaboración en red;</w:t>
      </w:r>
    </w:p>
    <w:p w14:paraId="65A3062D" w14:textId="59FF5C82" w:rsidR="0010687A" w:rsidRPr="007B7381" w:rsidRDefault="002344DB" w:rsidP="0010687A">
      <w:pPr>
        <w:pStyle w:val="enumlev1"/>
      </w:pPr>
      <w:r>
        <w:t>–</w:t>
      </w:r>
      <w:r w:rsidR="0010687A" w:rsidRPr="007B7381">
        <w:tab/>
      </w:r>
      <w:r w:rsidR="000F0675">
        <w:t>se ajusta a</w:t>
      </w:r>
      <w:r w:rsidR="0010687A" w:rsidRPr="007B7381">
        <w:t xml:space="preserve"> </w:t>
      </w:r>
      <w:r w:rsidR="007C342F">
        <w:t>atribuciones</w:t>
      </w:r>
      <w:r w:rsidR="0010687A" w:rsidRPr="007B7381">
        <w:t xml:space="preserve"> de recursos adaptativas;</w:t>
      </w:r>
    </w:p>
    <w:p w14:paraId="3A30D553" w14:textId="302627E1" w:rsidR="0010687A" w:rsidRPr="007B7381" w:rsidRDefault="002344DB" w:rsidP="0010687A">
      <w:pPr>
        <w:pStyle w:val="enumlev1"/>
      </w:pPr>
      <w:r>
        <w:t>–</w:t>
      </w:r>
      <w:r w:rsidR="0010687A" w:rsidRPr="007B7381">
        <w:tab/>
      </w:r>
      <w:r w:rsidR="007C342F">
        <w:t>facilita</w:t>
      </w:r>
      <w:r w:rsidR="0010687A" w:rsidRPr="007B7381">
        <w:t xml:space="preserve"> el flujo de conocimiento de </w:t>
      </w:r>
      <w:r w:rsidR="007C342F">
        <w:t>forma eficaz</w:t>
      </w:r>
      <w:r w:rsidR="0010687A" w:rsidRPr="007B7381">
        <w:t>, innovadora y transformadora</w:t>
      </w:r>
      <w:r>
        <w:t>;</w:t>
      </w:r>
    </w:p>
    <w:p w14:paraId="7E7496FB" w14:textId="101443F2" w:rsidR="0010687A" w:rsidRPr="007B7381" w:rsidRDefault="002344DB" w:rsidP="0010687A">
      <w:pPr>
        <w:pStyle w:val="enumlev1"/>
      </w:pPr>
      <w:r>
        <w:t>–</w:t>
      </w:r>
      <w:r w:rsidR="0010687A" w:rsidRPr="007B7381">
        <w:tab/>
      </w:r>
      <w:r w:rsidR="007C342F">
        <w:t>propicia la</w:t>
      </w:r>
      <w:r w:rsidR="0010687A" w:rsidRPr="007B7381">
        <w:t xml:space="preserve"> participación y la creación</w:t>
      </w:r>
      <w:r w:rsidR="007C342F">
        <w:t xml:space="preserve"> conjunta</w:t>
      </w:r>
      <w:r w:rsidR="0010687A" w:rsidRPr="007B7381">
        <w:t>.</w:t>
      </w:r>
    </w:p>
    <w:p w14:paraId="59D12679" w14:textId="7BDF7B7E" w:rsidR="0010687A" w:rsidRPr="007B7381" w:rsidRDefault="007C342F" w:rsidP="0010687A">
      <w:r>
        <w:t>Ello debe constituir</w:t>
      </w:r>
      <w:r w:rsidR="0010687A" w:rsidRPr="007B7381">
        <w:t xml:space="preserve"> un manifiesto realista </w:t>
      </w:r>
      <w:r>
        <w:t>sobre</w:t>
      </w:r>
      <w:r w:rsidR="0010687A" w:rsidRPr="007B7381">
        <w:t xml:space="preserve"> la evolución de la gestión del espectro</w:t>
      </w:r>
      <w:r>
        <w:t>, con objeto de que la</w:t>
      </w:r>
      <w:r w:rsidR="0010687A" w:rsidRPr="007B7381">
        <w:t xml:space="preserve"> TDRA pueda </w:t>
      </w:r>
      <w:r>
        <w:t>aplicar</w:t>
      </w:r>
      <w:r w:rsidR="0010687A" w:rsidRPr="007B7381">
        <w:t xml:space="preserve"> las iniciativas </w:t>
      </w:r>
      <w:r>
        <w:t xml:space="preserve">pertinentes </w:t>
      </w:r>
      <w:r w:rsidR="0010687A" w:rsidRPr="007B7381">
        <w:t xml:space="preserve">de manera oportuna y rentable. </w:t>
      </w:r>
    </w:p>
    <w:p w14:paraId="47BDE392" w14:textId="0D996ABD" w:rsidR="0010687A" w:rsidRPr="007B7381" w:rsidRDefault="007C342F" w:rsidP="0010687A">
      <w:r>
        <w:t xml:space="preserve">Con objeto de </w:t>
      </w:r>
      <w:r w:rsidR="009D4ABE">
        <w:t>fomentar</w:t>
      </w:r>
      <w:r>
        <w:t xml:space="preserve"> las</w:t>
      </w:r>
      <w:r w:rsidR="0010687A" w:rsidRPr="007B7381">
        <w:t xml:space="preserve"> oportunidades que </w:t>
      </w:r>
      <w:r w:rsidR="009D4ABE">
        <w:t>brindan</w:t>
      </w:r>
      <w:r w:rsidR="0010687A" w:rsidRPr="007B7381">
        <w:t xml:space="preserve"> las tecnologías y los avances en las soluciones de gestión del espectro, y </w:t>
      </w:r>
      <w:r w:rsidR="009D4ABE">
        <w:t>estudiar las modificaciones necesarias en relación con</w:t>
      </w:r>
      <w:r w:rsidR="0010687A" w:rsidRPr="007B7381">
        <w:t xml:space="preserve"> </w:t>
      </w:r>
      <w:r w:rsidR="009D4ABE">
        <w:t xml:space="preserve">el proyecto </w:t>
      </w:r>
      <w:r w:rsidR="0010687A" w:rsidRPr="009D4ABE">
        <w:rPr>
          <w:i/>
          <w:iCs/>
        </w:rPr>
        <w:t>Agility</w:t>
      </w:r>
      <w:r w:rsidR="002344DB">
        <w:rPr>
          <w:i/>
          <w:iCs/>
        </w:rPr>
        <w:t> </w:t>
      </w:r>
      <w:r w:rsidR="0010687A" w:rsidRPr="009D4ABE">
        <w:rPr>
          <w:i/>
          <w:iCs/>
        </w:rPr>
        <w:t>2031</w:t>
      </w:r>
      <w:r w:rsidR="0010687A" w:rsidRPr="007B7381">
        <w:t xml:space="preserve">, la TDRA considera las </w:t>
      </w:r>
      <w:r w:rsidR="009D4ABE" w:rsidRPr="007B7381">
        <w:t xml:space="preserve">iniciativas </w:t>
      </w:r>
      <w:r w:rsidR="0010687A" w:rsidRPr="007B7381">
        <w:t>siguientes:</w:t>
      </w:r>
    </w:p>
    <w:p w14:paraId="5AD03C4B" w14:textId="4A804DE5" w:rsidR="0010687A" w:rsidRPr="007B7381" w:rsidRDefault="0010687A" w:rsidP="0010687A">
      <w:pPr>
        <w:pStyle w:val="Headingb"/>
      </w:pPr>
      <w:r w:rsidRPr="007B7381">
        <w:t>Iniciativas relacionadas con el objetivo</w:t>
      </w:r>
      <w:r w:rsidR="009D4ABE">
        <w:t xml:space="preserve"> </w:t>
      </w:r>
      <w:r w:rsidRPr="007B7381">
        <w:t>«</w:t>
      </w:r>
      <w:r w:rsidR="009D4ABE">
        <w:t>U</w:t>
      </w:r>
      <w:r w:rsidRPr="007B7381">
        <w:t>suarios»</w:t>
      </w:r>
    </w:p>
    <w:p w14:paraId="01A5E470" w14:textId="33EB0CCD" w:rsidR="0010687A" w:rsidRPr="007B7381" w:rsidRDefault="002344DB" w:rsidP="0010687A">
      <w:pPr>
        <w:pStyle w:val="enumlev1"/>
      </w:pPr>
      <w:r>
        <w:t>–</w:t>
      </w:r>
      <w:r w:rsidR="0010687A" w:rsidRPr="007B7381">
        <w:rPr>
          <w:b/>
          <w:bCs/>
        </w:rPr>
        <w:tab/>
        <w:t xml:space="preserve">Procedimientos personalizados </w:t>
      </w:r>
      <w:r w:rsidR="009D4ABE">
        <w:t>mediante</w:t>
      </w:r>
      <w:r w:rsidR="0010687A" w:rsidRPr="007B7381">
        <w:t xml:space="preserve"> IA para </w:t>
      </w:r>
      <w:r w:rsidR="009D4ABE">
        <w:t>proporcionar orientaciones</w:t>
      </w:r>
      <w:r w:rsidR="0010687A" w:rsidRPr="007B7381">
        <w:t xml:space="preserve"> a los usuarios.</w:t>
      </w:r>
    </w:p>
    <w:p w14:paraId="54395256" w14:textId="10E84058" w:rsidR="0010687A" w:rsidRPr="007B7381" w:rsidRDefault="002344DB" w:rsidP="0010687A">
      <w:pPr>
        <w:pStyle w:val="enumlev1"/>
      </w:pPr>
      <w:r>
        <w:t>–</w:t>
      </w:r>
      <w:r w:rsidR="0010687A" w:rsidRPr="007B7381">
        <w:tab/>
      </w:r>
      <w:r w:rsidR="009D4ABE">
        <w:t>Promover un</w:t>
      </w:r>
      <w:r w:rsidR="0010687A" w:rsidRPr="007B7381">
        <w:t xml:space="preserve"> </w:t>
      </w:r>
      <w:r w:rsidR="0010687A" w:rsidRPr="007B7381">
        <w:rPr>
          <w:b/>
          <w:bCs/>
        </w:rPr>
        <w:t>espectro más abierto</w:t>
      </w:r>
      <w:r w:rsidR="009D4ABE">
        <w:t xml:space="preserve"> por medio de una mayor compartición a fin de</w:t>
      </w:r>
      <w:r w:rsidR="0010687A" w:rsidRPr="007B7381">
        <w:t xml:space="preserve"> facilitar el acceso de los usuarios</w:t>
      </w:r>
      <w:r>
        <w:t>.</w:t>
      </w:r>
    </w:p>
    <w:p w14:paraId="3618892E" w14:textId="186B040E" w:rsidR="0010687A" w:rsidRPr="007B7381" w:rsidRDefault="002344DB" w:rsidP="0010687A">
      <w:pPr>
        <w:pStyle w:val="enumlev1"/>
      </w:pPr>
      <w:r>
        <w:t>–</w:t>
      </w:r>
      <w:r w:rsidR="0010687A" w:rsidRPr="007B7381">
        <w:tab/>
      </w:r>
      <w:r w:rsidR="009D4ABE">
        <w:t>Empoderar</w:t>
      </w:r>
      <w:r w:rsidR="0010687A" w:rsidRPr="007B7381">
        <w:t xml:space="preserve"> a los usuarios con procedimientos </w:t>
      </w:r>
      <w:r w:rsidR="0010687A" w:rsidRPr="007B7381">
        <w:rPr>
          <w:b/>
          <w:bCs/>
        </w:rPr>
        <w:t xml:space="preserve">de asignación colaborativos </w:t>
      </w:r>
      <w:r w:rsidR="009D4ABE">
        <w:rPr>
          <w:b/>
          <w:bCs/>
        </w:rPr>
        <w:t xml:space="preserve">y </w:t>
      </w:r>
      <w:r w:rsidR="0010687A" w:rsidRPr="007B7381">
        <w:rPr>
          <w:b/>
          <w:bCs/>
        </w:rPr>
        <w:t>seguros</w:t>
      </w:r>
      <w:r w:rsidR="009D4ABE">
        <w:rPr>
          <w:b/>
          <w:bCs/>
        </w:rPr>
        <w:t>,</w:t>
      </w:r>
      <w:r w:rsidR="0010687A" w:rsidRPr="007B7381">
        <w:rPr>
          <w:b/>
          <w:bCs/>
        </w:rPr>
        <w:t xml:space="preserve"> </w:t>
      </w:r>
      <w:r w:rsidR="009D4ABE">
        <w:t>de ser posible</w:t>
      </w:r>
      <w:r w:rsidR="0010687A" w:rsidRPr="007B7381">
        <w:t>.</w:t>
      </w:r>
    </w:p>
    <w:p w14:paraId="66538A24" w14:textId="77777777" w:rsidR="0010687A" w:rsidRPr="007B7381" w:rsidRDefault="0010687A" w:rsidP="0010687A">
      <w:pPr>
        <w:pStyle w:val="Headingb"/>
      </w:pPr>
      <w:r w:rsidRPr="007B7381">
        <w:lastRenderedPageBreak/>
        <w:t>Iniciativas relacionadas con el objetivo «Promoción de la IA»</w:t>
      </w:r>
    </w:p>
    <w:p w14:paraId="2DE77E84" w14:textId="1AEF6475" w:rsidR="0010687A" w:rsidRPr="007B7381" w:rsidRDefault="002344DB" w:rsidP="0010687A">
      <w:pPr>
        <w:pStyle w:val="enumlev1"/>
      </w:pPr>
      <w:r>
        <w:t>–</w:t>
      </w:r>
      <w:r w:rsidR="0010687A" w:rsidRPr="007B7381">
        <w:tab/>
      </w:r>
      <w:r w:rsidR="009D4ABE">
        <w:t>Estudio</w:t>
      </w:r>
      <w:r w:rsidR="0010687A" w:rsidRPr="007B7381">
        <w:t xml:space="preserve"> exhaustiv</w:t>
      </w:r>
      <w:r w:rsidR="009D4ABE">
        <w:t>o</w:t>
      </w:r>
      <w:r w:rsidR="0010687A" w:rsidRPr="007B7381">
        <w:t xml:space="preserve"> sobre la aplicación, las autorizaciones y la </w:t>
      </w:r>
      <w:r w:rsidR="009D4ABE">
        <w:t>comprobación técnica</w:t>
      </w:r>
      <w:r w:rsidR="0010687A" w:rsidRPr="007B7381">
        <w:t xml:space="preserve"> del espectro «</w:t>
      </w:r>
      <w:r w:rsidR="009D4ABE">
        <w:t>sobre la base de</w:t>
      </w:r>
      <w:r w:rsidR="0010687A" w:rsidRPr="007B7381">
        <w:t xml:space="preserve"> algoritmos».</w:t>
      </w:r>
    </w:p>
    <w:p w14:paraId="24ED55F6" w14:textId="057BE26E" w:rsidR="0010687A" w:rsidRPr="007B7381" w:rsidRDefault="0010687A" w:rsidP="0010687A">
      <w:pPr>
        <w:pStyle w:val="Headingb"/>
      </w:pPr>
      <w:r w:rsidRPr="007B7381">
        <w:t>Iniciativas relacionadas con el objetivo «</w:t>
      </w:r>
      <w:r w:rsidR="009D4ABE">
        <w:t>Mejora de la a</w:t>
      </w:r>
      <w:r w:rsidRPr="007B7381">
        <w:t>utomatización</w:t>
      </w:r>
      <w:r w:rsidR="009D4ABE">
        <w:t xml:space="preserve"> y la </w:t>
      </w:r>
      <w:r w:rsidRPr="007B7381">
        <w:t>autonomía»</w:t>
      </w:r>
    </w:p>
    <w:p w14:paraId="40078733" w14:textId="1E17B298" w:rsidR="0010687A" w:rsidRPr="007B7381" w:rsidRDefault="002344DB" w:rsidP="0010687A">
      <w:pPr>
        <w:pStyle w:val="enumlev1"/>
      </w:pPr>
      <w:r>
        <w:t>–</w:t>
      </w:r>
      <w:r w:rsidR="0010687A" w:rsidRPr="007B7381">
        <w:tab/>
      </w:r>
      <w:r w:rsidR="009D4ABE">
        <w:t>Establecimiento de</w:t>
      </w:r>
      <w:r w:rsidR="0010687A" w:rsidRPr="007B7381">
        <w:t xml:space="preserve"> flujos de trabajo eficientes que </w:t>
      </w:r>
      <w:r w:rsidR="00DF638A">
        <w:t>conjuguen</w:t>
      </w:r>
      <w:r w:rsidR="0010687A" w:rsidRPr="007B7381">
        <w:t xml:space="preserve"> automatización y orientaciones </w:t>
      </w:r>
      <w:r w:rsidR="00DF638A">
        <w:t xml:space="preserve">sobre </w:t>
      </w:r>
      <w:r w:rsidR="0010687A" w:rsidRPr="007B7381">
        <w:t xml:space="preserve">políticas, incluidas las comunicaciones prioritarias </w:t>
      </w:r>
      <w:r w:rsidR="00DF638A">
        <w:t>o</w:t>
      </w:r>
      <w:r w:rsidR="0010687A" w:rsidRPr="007B7381">
        <w:t xml:space="preserve"> de emergencia.</w:t>
      </w:r>
    </w:p>
    <w:p w14:paraId="7BDA7848" w14:textId="43E2DC3F" w:rsidR="0010687A" w:rsidRPr="007B7381" w:rsidRDefault="002344DB" w:rsidP="0010687A">
      <w:pPr>
        <w:pStyle w:val="enumlev1"/>
      </w:pPr>
      <w:r>
        <w:t>–</w:t>
      </w:r>
      <w:r w:rsidR="0010687A" w:rsidRPr="007B7381">
        <w:tab/>
      </w:r>
      <w:r w:rsidR="00DF638A">
        <w:t>Redoblar</w:t>
      </w:r>
      <w:r w:rsidR="0010687A" w:rsidRPr="007B7381">
        <w:t xml:space="preserve"> esfuerzos de investigación para mejorar la eficiencia y la sostenibilidad del espectro en la gestión </w:t>
      </w:r>
      <w:proofErr w:type="gramStart"/>
      <w:r w:rsidR="0010687A" w:rsidRPr="007B7381">
        <w:t xml:space="preserve">del </w:t>
      </w:r>
      <w:r w:rsidR="00DF638A">
        <w:t>mismo</w:t>
      </w:r>
      <w:proofErr w:type="gramEnd"/>
      <w:r w:rsidR="0010687A" w:rsidRPr="007B7381">
        <w:t xml:space="preserve"> con instituciones de investigación, proveedores y </w:t>
      </w:r>
      <w:r w:rsidR="00DF638A">
        <w:t>asociados</w:t>
      </w:r>
      <w:r w:rsidR="0010687A" w:rsidRPr="007B7381">
        <w:t xml:space="preserve"> internacionales </w:t>
      </w:r>
      <w:r w:rsidR="00DF638A">
        <w:t>en</w:t>
      </w:r>
      <w:r w:rsidR="0010687A" w:rsidRPr="007B7381">
        <w:t xml:space="preserve"> EAU.</w:t>
      </w:r>
    </w:p>
    <w:p w14:paraId="07454A4F" w14:textId="60BD68DE" w:rsidR="0010687A" w:rsidRPr="007B7381" w:rsidRDefault="00DF638A" w:rsidP="0010687A">
      <w:r>
        <w:t>Dichas</w:t>
      </w:r>
      <w:r w:rsidR="0010687A" w:rsidRPr="007B7381">
        <w:t xml:space="preserve"> iniciativas tienen por objeto complementar las oportunidades que </w:t>
      </w:r>
      <w:r>
        <w:t>brindan</w:t>
      </w:r>
      <w:r w:rsidR="0010687A" w:rsidRPr="007B7381">
        <w:t xml:space="preserve"> las nuevas tecnologías inalámbricas y las soluciones de gestión del espectro para </w:t>
      </w:r>
      <w:r>
        <w:t>fomentar la versatilidad</w:t>
      </w:r>
      <w:r w:rsidR="0010687A" w:rsidRPr="007B7381">
        <w:t xml:space="preserve"> en la gestión del espectro radioeléctrico.</w:t>
      </w:r>
    </w:p>
    <w:p w14:paraId="08407EC3" w14:textId="1C32C9A1" w:rsidR="0010687A" w:rsidRPr="007B7381" w:rsidRDefault="0010687A" w:rsidP="0010687A">
      <w:pPr>
        <w:pStyle w:val="Heading1"/>
      </w:pPr>
      <w:bookmarkStart w:id="433" w:name="_Toc121911842"/>
      <w:bookmarkStart w:id="434" w:name="_Toc136358672"/>
      <w:bookmarkStart w:id="435" w:name="_Toc184629754"/>
      <w:bookmarkStart w:id="436" w:name="_Toc184629970"/>
      <w:bookmarkStart w:id="437" w:name="_Toc216630190"/>
      <w:bookmarkStart w:id="438" w:name="_Toc216693478"/>
      <w:bookmarkStart w:id="439" w:name="_Toc217031186"/>
      <w:r w:rsidRPr="007B7381">
        <w:t>7</w:t>
      </w:r>
      <w:r w:rsidRPr="007B7381">
        <w:tab/>
      </w:r>
      <w:proofErr w:type="gramStart"/>
      <w:r w:rsidRPr="007B7381">
        <w:t>Calendario</w:t>
      </w:r>
      <w:proofErr w:type="gramEnd"/>
      <w:r w:rsidRPr="007B7381">
        <w:t xml:space="preserve"> y ventajas de la implementación de un </w:t>
      </w:r>
      <w:r w:rsidR="00DF638A">
        <w:t>servicio de gestión del espectro versátil</w:t>
      </w:r>
      <w:bookmarkEnd w:id="433"/>
      <w:bookmarkEnd w:id="434"/>
      <w:bookmarkEnd w:id="435"/>
      <w:bookmarkEnd w:id="436"/>
      <w:bookmarkEnd w:id="437"/>
      <w:bookmarkEnd w:id="438"/>
      <w:bookmarkEnd w:id="439"/>
      <w:r w:rsidRPr="007B7381">
        <w:t xml:space="preserve"> </w:t>
      </w:r>
    </w:p>
    <w:p w14:paraId="2D4BABF3" w14:textId="1B4181FA" w:rsidR="0010687A" w:rsidRPr="007B7381" w:rsidRDefault="0010687A" w:rsidP="0010687A">
      <w:r w:rsidRPr="007B7381">
        <w:t xml:space="preserve">La TDRA </w:t>
      </w:r>
      <w:r w:rsidR="00DF638A">
        <w:t>prevé</w:t>
      </w:r>
      <w:r w:rsidRPr="007B7381">
        <w:t xml:space="preserve"> poner en marcha un programa de actividades </w:t>
      </w:r>
      <w:r w:rsidR="00DF638A">
        <w:t xml:space="preserve">encaminadas a la implantación de un servicio de gestión del espectro versátil a lo largo de </w:t>
      </w:r>
      <w:r w:rsidRPr="007B7381">
        <w:t xml:space="preserve">los próximos nueve años, </w:t>
      </w:r>
      <w:r w:rsidR="00277178">
        <w:t>sobre la base de</w:t>
      </w:r>
      <w:r w:rsidRPr="007B7381">
        <w:t xml:space="preserve"> los objetivos y las iniciativas </w:t>
      </w:r>
      <w:r w:rsidR="00277178">
        <w:t>debatidos en el presente informe técnico</w:t>
      </w:r>
      <w:r w:rsidRPr="007B7381">
        <w:t xml:space="preserve">. </w:t>
      </w:r>
      <w:r w:rsidR="00277178">
        <w:t>A continuación</w:t>
      </w:r>
      <w:r w:rsidR="002344DB">
        <w:t>,</w:t>
      </w:r>
      <w:r w:rsidR="00277178">
        <w:t xml:space="preserve"> se enumeran</w:t>
      </w:r>
      <w:r w:rsidRPr="007B7381">
        <w:t xml:space="preserve"> los principales plazos </w:t>
      </w:r>
      <w:r w:rsidR="00277178">
        <w:t>de implantación del plan de la</w:t>
      </w:r>
      <w:r w:rsidRPr="007B7381">
        <w:t xml:space="preserve"> TDRA</w:t>
      </w:r>
      <w:r w:rsidR="00277178">
        <w:t>.</w:t>
      </w:r>
    </w:p>
    <w:p w14:paraId="4B104A17" w14:textId="77777777" w:rsidR="0010687A" w:rsidRPr="00A20A49" w:rsidRDefault="0010687A" w:rsidP="0010687A">
      <w:pPr>
        <w:rPr>
          <w:b/>
          <w:bCs/>
        </w:rPr>
      </w:pPr>
      <w:r w:rsidRPr="00A20A49">
        <w:rPr>
          <w:b/>
          <w:bCs/>
        </w:rPr>
        <w:t>2023</w:t>
      </w:r>
    </w:p>
    <w:p w14:paraId="4AF732C4" w14:textId="37E88F36" w:rsidR="0010687A" w:rsidRPr="007B7381" w:rsidRDefault="0010687A" w:rsidP="0010687A">
      <w:r w:rsidRPr="007B7381">
        <w:t>En la primera fase</w:t>
      </w:r>
      <w:r w:rsidR="00277178">
        <w:t>,</w:t>
      </w:r>
      <w:r w:rsidRPr="007B7381">
        <w:t xml:space="preserve"> ya </w:t>
      </w:r>
      <w:r w:rsidR="00277178">
        <w:t>implantada</w:t>
      </w:r>
      <w:r w:rsidRPr="007B7381">
        <w:t xml:space="preserve"> (2022-23), el </w:t>
      </w:r>
      <w:r w:rsidR="00277178" w:rsidRPr="00277178">
        <w:t xml:space="preserve">servicio de gestión del espectro </w:t>
      </w:r>
      <w:r w:rsidRPr="007B7381">
        <w:t xml:space="preserve">de referencia de la TDRA </w:t>
      </w:r>
      <w:r w:rsidR="00277178">
        <w:t>se ajustó a</w:t>
      </w:r>
      <w:r w:rsidRPr="007B7381">
        <w:t xml:space="preserve"> las normas internacionales de gestión del espectro, como </w:t>
      </w:r>
      <w:r w:rsidR="00277178">
        <w:t>pone de manifiesto</w:t>
      </w:r>
      <w:r w:rsidRPr="007B7381">
        <w:t xml:space="preserve"> la clasificación de la TDRA </w:t>
      </w:r>
      <w:r w:rsidR="00277178">
        <w:t>con arreglo a</w:t>
      </w:r>
      <w:r w:rsidRPr="007B7381">
        <w:t xml:space="preserve"> los indicadores e índices de competitividad </w:t>
      </w:r>
      <w:r w:rsidR="00277178">
        <w:t>a escala internacional</w:t>
      </w:r>
      <w:r w:rsidRPr="007B7381">
        <w:t xml:space="preserve"> de las TIC</w:t>
      </w:r>
      <w:r w:rsidR="00277178">
        <w:t>, proceso de</w:t>
      </w:r>
      <w:r w:rsidRPr="007B7381">
        <w:t xml:space="preserve"> evolución</w:t>
      </w:r>
      <w:r w:rsidR="00277178">
        <w:t xml:space="preserve"> que sigue su curso.</w:t>
      </w:r>
    </w:p>
    <w:p w14:paraId="08635DF3" w14:textId="1F47913A" w:rsidR="0010687A" w:rsidRPr="00A20A49" w:rsidRDefault="0010687A" w:rsidP="0010687A">
      <w:pPr>
        <w:rPr>
          <w:b/>
          <w:bCs/>
        </w:rPr>
      </w:pPr>
      <w:r w:rsidRPr="00A20A49">
        <w:rPr>
          <w:b/>
          <w:bCs/>
        </w:rPr>
        <w:t>2024-26</w:t>
      </w:r>
    </w:p>
    <w:p w14:paraId="6717F776" w14:textId="4492141F" w:rsidR="0010687A" w:rsidRPr="007B7381" w:rsidRDefault="0010687A" w:rsidP="0010687A">
      <w:r w:rsidRPr="007B7381">
        <w:t xml:space="preserve">En la siguiente etapa, la TDRA </w:t>
      </w:r>
      <w:r w:rsidR="00277178">
        <w:t>implantará</w:t>
      </w:r>
      <w:r w:rsidRPr="007B7381">
        <w:t xml:space="preserve"> </w:t>
      </w:r>
      <w:r w:rsidR="00277178">
        <w:t>soluciones evolucionadas basadas en la</w:t>
      </w:r>
      <w:r w:rsidRPr="007B7381">
        <w:t xml:space="preserve"> oferta, la IA y enfoques avanzados de compartición del espectro.</w:t>
      </w:r>
    </w:p>
    <w:p w14:paraId="1D7D4EF3" w14:textId="77777777" w:rsidR="0010687A" w:rsidRPr="00A20A49" w:rsidRDefault="0010687A" w:rsidP="0010687A">
      <w:pPr>
        <w:rPr>
          <w:b/>
          <w:bCs/>
        </w:rPr>
      </w:pPr>
      <w:r w:rsidRPr="00A20A49">
        <w:rPr>
          <w:b/>
          <w:bCs/>
        </w:rPr>
        <w:t>2026-31</w:t>
      </w:r>
    </w:p>
    <w:p w14:paraId="6B4A7506" w14:textId="6402F52C" w:rsidR="0010687A" w:rsidRPr="007B7381" w:rsidRDefault="0010687A" w:rsidP="0010687A">
      <w:r w:rsidRPr="007B7381">
        <w:t xml:space="preserve">En la tercera etapa, la TDRA </w:t>
      </w:r>
      <w:r w:rsidR="00F675BC">
        <w:t>conjugará</w:t>
      </w:r>
      <w:r w:rsidRPr="007B7381">
        <w:t xml:space="preserve"> las tendencias de la oferta con su propio enfoque </w:t>
      </w:r>
      <w:r w:rsidR="00F675BC">
        <w:t>basado en</w:t>
      </w:r>
      <w:r w:rsidRPr="007B7381">
        <w:t xml:space="preserve"> iniciativas, </w:t>
      </w:r>
      <w:r w:rsidR="00F675BC">
        <w:t>en consonancia con la</w:t>
      </w:r>
      <w:r w:rsidRPr="007B7381">
        <w:t xml:space="preserve"> Visión 2031 de EAU y los objetivos estratégicos de la TDRA.</w:t>
      </w:r>
    </w:p>
    <w:p w14:paraId="22786297" w14:textId="5E369390" w:rsidR="0010687A" w:rsidRPr="007B7381" w:rsidRDefault="0010687A" w:rsidP="0010687A">
      <w:pPr>
        <w:rPr>
          <w:rFonts w:asciiTheme="majorBidi" w:hAnsiTheme="majorBidi" w:cstheme="majorBidi"/>
        </w:rPr>
      </w:pPr>
      <w:r w:rsidRPr="007B7381">
        <w:rPr>
          <w:rFonts w:asciiTheme="majorBidi" w:hAnsiTheme="majorBidi" w:cstheme="majorBidi"/>
        </w:rPr>
        <w:t xml:space="preserve">La TDRA </w:t>
      </w:r>
      <w:r w:rsidR="00F675BC">
        <w:rPr>
          <w:rFonts w:asciiTheme="majorBidi" w:hAnsiTheme="majorBidi" w:cstheme="majorBidi"/>
        </w:rPr>
        <w:t>supervisará</w:t>
      </w:r>
      <w:r w:rsidRPr="007B7381">
        <w:rPr>
          <w:rFonts w:asciiTheme="majorBidi" w:hAnsiTheme="majorBidi" w:cstheme="majorBidi"/>
        </w:rPr>
        <w:t xml:space="preserve"> </w:t>
      </w:r>
      <w:r w:rsidR="00F675BC">
        <w:rPr>
          <w:rFonts w:asciiTheme="majorBidi" w:hAnsiTheme="majorBidi" w:cstheme="majorBidi"/>
        </w:rPr>
        <w:t>los avances</w:t>
      </w:r>
      <w:r w:rsidRPr="007B7381">
        <w:rPr>
          <w:rFonts w:asciiTheme="majorBidi" w:hAnsiTheme="majorBidi" w:cstheme="majorBidi"/>
        </w:rPr>
        <w:t xml:space="preserve"> </w:t>
      </w:r>
      <w:r w:rsidR="00F675BC">
        <w:rPr>
          <w:rFonts w:asciiTheme="majorBidi" w:hAnsiTheme="majorBidi" w:cstheme="majorBidi"/>
        </w:rPr>
        <w:t>para lograr</w:t>
      </w:r>
      <w:r w:rsidRPr="007B7381">
        <w:rPr>
          <w:rFonts w:asciiTheme="majorBidi" w:hAnsiTheme="majorBidi" w:cstheme="majorBidi"/>
        </w:rPr>
        <w:t xml:space="preserve"> un sistema </w:t>
      </w:r>
      <w:r w:rsidR="00F675BC">
        <w:rPr>
          <w:rFonts w:asciiTheme="majorBidi" w:hAnsiTheme="majorBidi" w:cstheme="majorBidi"/>
        </w:rPr>
        <w:t>versátil</w:t>
      </w:r>
      <w:r w:rsidRPr="007B7381">
        <w:rPr>
          <w:rFonts w:asciiTheme="majorBidi" w:hAnsiTheme="majorBidi" w:cstheme="majorBidi"/>
        </w:rPr>
        <w:t xml:space="preserve"> de gestión del espectro mediante el </w:t>
      </w:r>
      <w:r w:rsidR="00F675BC">
        <w:t>establecimiento</w:t>
      </w:r>
      <w:r w:rsidRPr="007B7381">
        <w:t xml:space="preserve"> </w:t>
      </w:r>
      <w:r w:rsidRPr="007B7381">
        <w:rPr>
          <w:rFonts w:asciiTheme="majorBidi" w:hAnsiTheme="majorBidi" w:cstheme="majorBidi"/>
        </w:rPr>
        <w:t xml:space="preserve">de objetivos específicos </w:t>
      </w:r>
      <w:r w:rsidR="00F675BC">
        <w:rPr>
          <w:rFonts w:asciiTheme="majorBidi" w:hAnsiTheme="majorBidi" w:cstheme="majorBidi"/>
        </w:rPr>
        <w:t>en materia de versatilidad, en particular sobre</w:t>
      </w:r>
      <w:r w:rsidRPr="007B7381">
        <w:rPr>
          <w:rFonts w:asciiTheme="majorBidi" w:hAnsiTheme="majorBidi" w:cstheme="majorBidi"/>
        </w:rPr>
        <w:t xml:space="preserve"> inclusión,</w:t>
      </w:r>
      <w:r w:rsidR="00F675BC">
        <w:rPr>
          <w:rFonts w:asciiTheme="majorBidi" w:hAnsiTheme="majorBidi" w:cstheme="majorBidi"/>
        </w:rPr>
        <w:t xml:space="preserve"> integración de los</w:t>
      </w:r>
      <w:r w:rsidRPr="007B7381">
        <w:rPr>
          <w:rFonts w:asciiTheme="majorBidi" w:hAnsiTheme="majorBidi" w:cstheme="majorBidi"/>
        </w:rPr>
        <w:t xml:space="preserve"> usuarios </w:t>
      </w:r>
      <w:r w:rsidR="00F675BC">
        <w:rPr>
          <w:rFonts w:asciiTheme="majorBidi" w:hAnsiTheme="majorBidi" w:cstheme="majorBidi"/>
        </w:rPr>
        <w:t>en el</w:t>
      </w:r>
      <w:r w:rsidRPr="007B7381">
        <w:rPr>
          <w:rFonts w:asciiTheme="majorBidi" w:hAnsiTheme="majorBidi" w:cstheme="majorBidi"/>
        </w:rPr>
        <w:t xml:space="preserve"> ecosistema, </w:t>
      </w:r>
      <w:r w:rsidR="00F675BC">
        <w:rPr>
          <w:rFonts w:asciiTheme="majorBidi" w:hAnsiTheme="majorBidi" w:cstheme="majorBidi"/>
        </w:rPr>
        <w:t>desarrollo de la</w:t>
      </w:r>
      <w:r w:rsidRPr="007B7381">
        <w:rPr>
          <w:rFonts w:asciiTheme="majorBidi" w:hAnsiTheme="majorBidi" w:cstheme="majorBidi"/>
        </w:rPr>
        <w:t xml:space="preserve"> IA </w:t>
      </w:r>
      <w:r w:rsidR="00F675BC">
        <w:rPr>
          <w:rFonts w:asciiTheme="majorBidi" w:hAnsiTheme="majorBidi" w:cstheme="majorBidi"/>
        </w:rPr>
        <w:t>para facilitar</w:t>
      </w:r>
      <w:r w:rsidRPr="007B7381">
        <w:rPr>
          <w:rFonts w:asciiTheme="majorBidi" w:hAnsiTheme="majorBidi" w:cstheme="majorBidi"/>
        </w:rPr>
        <w:t xml:space="preserve"> la aplicación, autorización y </w:t>
      </w:r>
      <w:r w:rsidR="00F675BC">
        <w:rPr>
          <w:rFonts w:asciiTheme="majorBidi" w:hAnsiTheme="majorBidi" w:cstheme="majorBidi"/>
        </w:rPr>
        <w:t>comprobación técnica</w:t>
      </w:r>
      <w:r w:rsidRPr="007B7381">
        <w:rPr>
          <w:rFonts w:asciiTheme="majorBidi" w:hAnsiTheme="majorBidi" w:cstheme="majorBidi"/>
        </w:rPr>
        <w:t xml:space="preserve"> del espectro, y </w:t>
      </w:r>
      <w:r w:rsidR="00F675BC">
        <w:rPr>
          <w:rFonts w:asciiTheme="majorBidi" w:hAnsiTheme="majorBidi" w:cstheme="majorBidi"/>
        </w:rPr>
        <w:t>promover</w:t>
      </w:r>
      <w:r w:rsidRPr="007B7381">
        <w:rPr>
          <w:rFonts w:asciiTheme="majorBidi" w:hAnsiTheme="majorBidi" w:cstheme="majorBidi"/>
        </w:rPr>
        <w:t xml:space="preserve"> la automatización </w:t>
      </w:r>
      <w:r w:rsidR="00F675BC">
        <w:rPr>
          <w:rFonts w:asciiTheme="majorBidi" w:hAnsiTheme="majorBidi" w:cstheme="majorBidi"/>
        </w:rPr>
        <w:t>para propiciar</w:t>
      </w:r>
      <w:r w:rsidRPr="007B7381">
        <w:rPr>
          <w:rFonts w:asciiTheme="majorBidi" w:hAnsiTheme="majorBidi" w:cstheme="majorBidi"/>
        </w:rPr>
        <w:t xml:space="preserve"> procesos autónomos en los sistemas de gestión del espectro.</w:t>
      </w:r>
    </w:p>
    <w:p w14:paraId="7F6AF49F" w14:textId="33D18C5F" w:rsidR="0010687A" w:rsidRPr="007B7381" w:rsidRDefault="00F675BC" w:rsidP="0010687A">
      <w:pPr>
        <w:rPr>
          <w:rFonts w:asciiTheme="majorBidi" w:hAnsiTheme="majorBidi" w:cstheme="majorBidi"/>
        </w:rPr>
      </w:pPr>
      <w:r>
        <w:t>Por otro lado</w:t>
      </w:r>
      <w:r w:rsidR="0010687A" w:rsidRPr="007B7381">
        <w:rPr>
          <w:rFonts w:asciiTheme="majorBidi" w:hAnsiTheme="majorBidi" w:cstheme="majorBidi"/>
        </w:rPr>
        <w:t xml:space="preserve">, un programa de </w:t>
      </w:r>
      <w:r>
        <w:rPr>
          <w:rFonts w:asciiTheme="majorBidi" w:hAnsiTheme="majorBidi" w:cstheme="majorBidi"/>
        </w:rPr>
        <w:t>estas características</w:t>
      </w:r>
      <w:r w:rsidR="0010687A" w:rsidRPr="007B7381">
        <w:rPr>
          <w:rFonts w:asciiTheme="majorBidi" w:hAnsiTheme="majorBidi" w:cstheme="majorBidi"/>
        </w:rPr>
        <w:t xml:space="preserve"> debe demostrar un</w:t>
      </w:r>
      <w:r>
        <w:rPr>
          <w:rFonts w:asciiTheme="majorBidi" w:hAnsiTheme="majorBidi" w:cstheme="majorBidi"/>
        </w:rPr>
        <w:t xml:space="preserve">a </w:t>
      </w:r>
      <w:r w:rsidR="00872EC7">
        <w:rPr>
          <w:rFonts w:asciiTheme="majorBidi" w:hAnsiTheme="majorBidi" w:cstheme="majorBidi"/>
        </w:rPr>
        <w:t>clara</w:t>
      </w:r>
      <w:r w:rsidR="00872EC7" w:rsidRPr="007B7381">
        <w:rPr>
          <w:rFonts w:asciiTheme="majorBidi" w:hAnsiTheme="majorBidi" w:cstheme="majorBidi"/>
        </w:rPr>
        <w:t xml:space="preserve"> </w:t>
      </w:r>
      <w:r>
        <w:rPr>
          <w:rFonts w:asciiTheme="majorBidi" w:hAnsiTheme="majorBidi" w:cstheme="majorBidi"/>
        </w:rPr>
        <w:t xml:space="preserve">serie </w:t>
      </w:r>
      <w:r w:rsidR="0010687A" w:rsidRPr="007B7381">
        <w:rPr>
          <w:rFonts w:asciiTheme="majorBidi" w:hAnsiTheme="majorBidi" w:cstheme="majorBidi"/>
        </w:rPr>
        <w:t xml:space="preserve">de beneficios para justificar la continuación del plan de trabajo y garantizar </w:t>
      </w:r>
      <w:r>
        <w:rPr>
          <w:rFonts w:asciiTheme="majorBidi" w:hAnsiTheme="majorBidi" w:cstheme="majorBidi"/>
        </w:rPr>
        <w:t xml:space="preserve">un futuro sistema de gestión del espectro que </w:t>
      </w:r>
      <w:r w:rsidR="00872EC7">
        <w:rPr>
          <w:rFonts w:asciiTheme="majorBidi" w:hAnsiTheme="majorBidi" w:cstheme="majorBidi"/>
        </w:rPr>
        <w:t>sea lo más conveniente posible para la</w:t>
      </w:r>
      <w:r>
        <w:rPr>
          <w:rFonts w:asciiTheme="majorBidi" w:hAnsiTheme="majorBidi" w:cstheme="majorBidi"/>
        </w:rPr>
        <w:t xml:space="preserve"> </w:t>
      </w:r>
      <w:r w:rsidR="0010687A" w:rsidRPr="007B7381">
        <w:rPr>
          <w:rFonts w:asciiTheme="majorBidi" w:hAnsiTheme="majorBidi" w:cstheme="majorBidi"/>
        </w:rPr>
        <w:t>TDRA. A continuación</w:t>
      </w:r>
      <w:r w:rsidR="002344DB">
        <w:rPr>
          <w:rFonts w:asciiTheme="majorBidi" w:hAnsiTheme="majorBidi" w:cstheme="majorBidi"/>
        </w:rPr>
        <w:t>,</w:t>
      </w:r>
      <w:r w:rsidR="0010687A" w:rsidRPr="007B7381">
        <w:rPr>
          <w:rFonts w:asciiTheme="majorBidi" w:hAnsiTheme="majorBidi" w:cstheme="majorBidi"/>
        </w:rPr>
        <w:t xml:space="preserve"> se enumeran algun</w:t>
      </w:r>
      <w:r>
        <w:rPr>
          <w:rFonts w:asciiTheme="majorBidi" w:hAnsiTheme="majorBidi" w:cstheme="majorBidi"/>
        </w:rPr>
        <w:t>as de las principales ventajas conexas</w:t>
      </w:r>
      <w:r w:rsidR="0010687A" w:rsidRPr="007B7381">
        <w:rPr>
          <w:rFonts w:asciiTheme="majorBidi" w:hAnsiTheme="majorBidi" w:cstheme="majorBidi"/>
        </w:rPr>
        <w:t xml:space="preserve">: </w:t>
      </w:r>
    </w:p>
    <w:p w14:paraId="453779B0" w14:textId="1D37455D" w:rsidR="0010687A" w:rsidRPr="007B7381" w:rsidRDefault="002344DB" w:rsidP="0010687A">
      <w:pPr>
        <w:pStyle w:val="enumlev1"/>
      </w:pPr>
      <w:r>
        <w:t>–</w:t>
      </w:r>
      <w:r w:rsidR="0010687A" w:rsidRPr="007B7381">
        <w:rPr>
          <w:b/>
          <w:bCs/>
        </w:rPr>
        <w:tab/>
      </w:r>
      <w:r w:rsidR="0010687A" w:rsidRPr="00AB77D3">
        <w:t>Satisfacción del cliente</w:t>
      </w:r>
      <w:r w:rsidR="0010687A" w:rsidRPr="007B7381">
        <w:t xml:space="preserve">: </w:t>
      </w:r>
      <w:r w:rsidR="00872EC7">
        <w:t>la</w:t>
      </w:r>
      <w:r w:rsidR="0010687A" w:rsidRPr="007B7381">
        <w:t xml:space="preserve"> mejora </w:t>
      </w:r>
      <w:r w:rsidR="00872EC7">
        <w:t>de</w:t>
      </w:r>
      <w:r w:rsidR="0010687A" w:rsidRPr="007B7381">
        <w:t xml:space="preserve"> la satisfacción del cliente </w:t>
      </w:r>
      <w:r w:rsidR="00872EC7">
        <w:t>en el marco de su relación con la</w:t>
      </w:r>
      <w:r w:rsidR="0010687A" w:rsidRPr="007B7381">
        <w:t xml:space="preserve"> TDRA</w:t>
      </w:r>
      <w:r w:rsidR="00872EC7">
        <w:t xml:space="preserve">, en particular a raíz </w:t>
      </w:r>
      <w:r w:rsidR="0010687A" w:rsidRPr="007B7381">
        <w:t xml:space="preserve">de solicitudes más sencillas o </w:t>
      </w:r>
      <w:r w:rsidR="00872EC7">
        <w:t xml:space="preserve">de </w:t>
      </w:r>
      <w:r w:rsidR="0010687A" w:rsidRPr="007B7381">
        <w:t xml:space="preserve">plazos de autorización más </w:t>
      </w:r>
      <w:r w:rsidR="00872EC7">
        <w:t>breves</w:t>
      </w:r>
      <w:r w:rsidR="0010687A" w:rsidRPr="007B7381">
        <w:t>.</w:t>
      </w:r>
    </w:p>
    <w:p w14:paraId="7C442D93" w14:textId="180667E1" w:rsidR="0010687A" w:rsidRPr="007B7381" w:rsidRDefault="002344DB" w:rsidP="0010687A">
      <w:pPr>
        <w:pStyle w:val="enumlev1"/>
      </w:pPr>
      <w:r>
        <w:t>–</w:t>
      </w:r>
      <w:r w:rsidR="0010687A" w:rsidRPr="007B7381">
        <w:rPr>
          <w:b/>
          <w:bCs/>
        </w:rPr>
        <w:tab/>
      </w:r>
      <w:r w:rsidR="0010687A" w:rsidRPr="00AB77D3">
        <w:t>Eficiencia espectral</w:t>
      </w:r>
      <w:r w:rsidR="0010687A" w:rsidRPr="007B7381">
        <w:t xml:space="preserve">: </w:t>
      </w:r>
      <w:r w:rsidR="00872EC7">
        <w:t>aumento</w:t>
      </w:r>
      <w:r w:rsidR="0010687A" w:rsidRPr="007B7381">
        <w:t xml:space="preserve"> de la eficiencia espectral lograda </w:t>
      </w:r>
      <w:r w:rsidR="00872EC7">
        <w:t>mediante</w:t>
      </w:r>
      <w:r w:rsidR="0010687A" w:rsidRPr="007B7381">
        <w:t xml:space="preserve"> los servicios </w:t>
      </w:r>
      <w:r w:rsidR="00872EC7">
        <w:t>se explotan en</w:t>
      </w:r>
      <w:r w:rsidR="0010687A" w:rsidRPr="007B7381">
        <w:t xml:space="preserve"> EAU.</w:t>
      </w:r>
    </w:p>
    <w:p w14:paraId="5E955C08" w14:textId="7F6FD64F" w:rsidR="0010687A" w:rsidRPr="007B7381" w:rsidRDefault="002344DB" w:rsidP="0010687A">
      <w:pPr>
        <w:pStyle w:val="enumlev1"/>
      </w:pPr>
      <w:r>
        <w:lastRenderedPageBreak/>
        <w:t>–</w:t>
      </w:r>
      <w:r w:rsidR="0010687A" w:rsidRPr="007B7381">
        <w:rPr>
          <w:b/>
          <w:bCs/>
        </w:rPr>
        <w:tab/>
      </w:r>
      <w:r w:rsidR="0010687A" w:rsidRPr="00AB77D3">
        <w:t>Flexibilidad</w:t>
      </w:r>
      <w:r w:rsidR="0010687A" w:rsidRPr="007B7381">
        <w:t xml:space="preserve">: mejora de la capacidad de la TDRA para ofrecer flexibilidad a los usuarios, por ejemplo, en lo que respecta al acceso a bandas </w:t>
      </w:r>
      <w:r w:rsidR="00872EC7">
        <w:t xml:space="preserve">de frecuencias </w:t>
      </w:r>
      <w:r w:rsidR="0010687A" w:rsidRPr="007B7381">
        <w:t>en condiciones</w:t>
      </w:r>
      <w:r w:rsidR="00872EC7">
        <w:t xml:space="preserve"> de índole diversa</w:t>
      </w:r>
      <w:r w:rsidR="0010687A" w:rsidRPr="007B7381">
        <w:t>.</w:t>
      </w:r>
    </w:p>
    <w:p w14:paraId="12423B53" w14:textId="1AB03D86" w:rsidR="00B874C6" w:rsidRDefault="002344DB" w:rsidP="002344DB">
      <w:pPr>
        <w:pStyle w:val="enumlev1"/>
      </w:pPr>
      <w:r>
        <w:t>–</w:t>
      </w:r>
      <w:r w:rsidR="0010687A" w:rsidRPr="007B7381">
        <w:rPr>
          <w:b/>
          <w:bCs/>
        </w:rPr>
        <w:tab/>
      </w:r>
      <w:r w:rsidR="0010687A" w:rsidRPr="002D126E">
        <w:t>Capacidad de la TDRA</w:t>
      </w:r>
      <w:r w:rsidR="0010687A" w:rsidRPr="005E0419">
        <w:t xml:space="preserve">: </w:t>
      </w:r>
      <w:r w:rsidR="0010687A" w:rsidRPr="007B7381">
        <w:t xml:space="preserve">mejora de la capacidad de la TDRA para desempeñar sus funciones de gestión del espectro, </w:t>
      </w:r>
      <w:r w:rsidR="00872EC7">
        <w:t>en particular</w:t>
      </w:r>
      <w:r w:rsidR="0010687A" w:rsidRPr="007B7381">
        <w:t xml:space="preserve"> la capacidad de tramitar un mayor número de solicitudes en </w:t>
      </w:r>
      <w:r w:rsidR="00872EC7">
        <w:t>un plazo de tiempo más breve</w:t>
      </w:r>
      <w:r w:rsidR="0010687A" w:rsidRPr="007B7381">
        <w:t>.</w:t>
      </w:r>
    </w:p>
    <w:p w14:paraId="0A67A03C" w14:textId="77777777" w:rsidR="002344DB" w:rsidRPr="0001557F" w:rsidRDefault="002344DB" w:rsidP="00411C49">
      <w:pPr>
        <w:pStyle w:val="Reasons"/>
        <w:rPr>
          <w:lang w:val="es-ES"/>
        </w:rPr>
      </w:pPr>
    </w:p>
    <w:p w14:paraId="480A6249" w14:textId="5E22CE77" w:rsidR="002344DB" w:rsidRDefault="002344DB" w:rsidP="002344DB">
      <w:pPr>
        <w:jc w:val="center"/>
      </w:pPr>
      <w:r>
        <w:t>______________</w:t>
      </w:r>
    </w:p>
    <w:sectPr w:rsidR="002344DB" w:rsidSect="003D1421">
      <w:headerReference w:type="even" r:id="rId68"/>
      <w:footerReference w:type="default" r:id="rId69"/>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76F79" w14:textId="77777777" w:rsidR="00CD6470" w:rsidRDefault="00CD6470">
      <w:r>
        <w:separator/>
      </w:r>
    </w:p>
  </w:endnote>
  <w:endnote w:type="continuationSeparator" w:id="0">
    <w:p w14:paraId="4CB1E356" w14:textId="77777777" w:rsidR="00CD6470" w:rsidRDefault="00CD6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Tahoma">
    <w:panose1 w:val="020B0604030504040204"/>
    <w:charset w:val="CC"/>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126EA" w14:textId="77777777" w:rsidR="00094FBD" w:rsidRDefault="00094F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635F7" w14:textId="77777777" w:rsidR="00301DB3" w:rsidRDefault="00301DB3">
    <w:pPr>
      <w:pStyle w:val="Footer"/>
    </w:pPr>
    <w:r>
      <w:drawing>
        <wp:anchor distT="0" distB="0" distL="0" distR="0" simplePos="0" relativeHeight="251656192" behindDoc="0" locked="0" layoutInCell="1" allowOverlap="1" wp14:anchorId="0043DFD8" wp14:editId="46EF0788">
          <wp:simplePos x="0" y="0"/>
          <wp:positionH relativeFrom="page">
            <wp:posOffset>6346209</wp:posOffset>
          </wp:positionH>
          <wp:positionV relativeFrom="page">
            <wp:posOffset>9501505</wp:posOffset>
          </wp:positionV>
          <wp:extent cx="738000" cy="813600"/>
          <wp:effectExtent l="0" t="0" r="0" b="0"/>
          <wp:wrapNone/>
          <wp:docPr id="1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44AC" w14:textId="77777777" w:rsidR="00094FBD" w:rsidRDefault="00094F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5D068" w14:textId="77777777" w:rsidR="00C42BA1" w:rsidRDefault="00C42BA1" w:rsidP="00662890">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7B426" w14:textId="77777777" w:rsidR="00C42BA1" w:rsidRPr="00B40696" w:rsidRDefault="00C42BA1" w:rsidP="00B4069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998AB" w14:textId="77777777" w:rsidR="00C42BA1" w:rsidRPr="00B40696" w:rsidRDefault="00C42BA1" w:rsidP="00B4069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A753B" w14:textId="77777777" w:rsidR="00C42BA1" w:rsidRPr="00B40696" w:rsidRDefault="00C42BA1" w:rsidP="00B4069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A00B9"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8F720" w14:textId="77777777" w:rsidR="00CD6470" w:rsidRDefault="00CD6470">
      <w:r>
        <w:separator/>
      </w:r>
    </w:p>
  </w:footnote>
  <w:footnote w:type="continuationSeparator" w:id="0">
    <w:p w14:paraId="1AFA705A" w14:textId="77777777" w:rsidR="00CD6470" w:rsidRDefault="00CD6470">
      <w:r>
        <w:continuationSeparator/>
      </w:r>
    </w:p>
  </w:footnote>
  <w:footnote w:id="1">
    <w:p w14:paraId="15F7CD42" w14:textId="3EB669F2" w:rsidR="00193B55" w:rsidRPr="00332FF8" w:rsidRDefault="00193B55" w:rsidP="00193B55">
      <w:pPr>
        <w:pStyle w:val="FootnoteText"/>
      </w:pPr>
      <w:r>
        <w:rPr>
          <w:rStyle w:val="FootnoteReference"/>
        </w:rPr>
        <w:footnoteRef/>
      </w:r>
      <w:r>
        <w:tab/>
      </w:r>
      <w:r w:rsidRPr="00332FF8">
        <w:t xml:space="preserve">El Informe UIT-R </w:t>
      </w:r>
      <w:hyperlink r:id="rId1" w:history="1">
        <w:r w:rsidRPr="007A19AF">
          <w:rPr>
            <w:rStyle w:val="Hyperlink"/>
            <w:color w:val="auto"/>
            <w:u w:val="none"/>
          </w:rPr>
          <w:t>SM.2404</w:t>
        </w:r>
      </w:hyperlink>
      <w:r w:rsidR="006E6FBB">
        <w:rPr>
          <w:rStyle w:val="Hyperlink"/>
          <w:color w:val="auto"/>
          <w:u w:val="none"/>
        </w:rPr>
        <w:t>-0</w:t>
      </w:r>
      <w:r w:rsidRPr="00E81AE7">
        <w:t xml:space="preserve"> – </w:t>
      </w:r>
      <w:r w:rsidRPr="007378FA">
        <w:t>Instrumentos reglamentarios para dar soporte a la utilización compartida del espectro</w:t>
      </w:r>
      <w:r w:rsidRPr="00332FF8">
        <w:t>, contiene más información al respecto.</w:t>
      </w:r>
    </w:p>
  </w:footnote>
  <w:footnote w:id="2">
    <w:p w14:paraId="5E8A0E47" w14:textId="77777777" w:rsidR="00193B55" w:rsidRPr="00332FF8" w:rsidRDefault="00193B55" w:rsidP="00193B55">
      <w:pPr>
        <w:pStyle w:val="FootnoteText"/>
        <w:rPr>
          <w:lang w:val="en-US"/>
        </w:rPr>
      </w:pPr>
      <w:r>
        <w:rPr>
          <w:rStyle w:val="FootnoteReference"/>
        </w:rPr>
        <w:footnoteRef/>
      </w:r>
      <w:r w:rsidRPr="00332FF8">
        <w:rPr>
          <w:lang w:val="en-US"/>
        </w:rPr>
        <w:tab/>
        <w:t>U.S. National Spectrum Requirements: Projections and Trends, U.S. Department of Commerce, marzo de</w:t>
      </w:r>
      <w:r>
        <w:rPr>
          <w:lang w:val="en-US"/>
        </w:rPr>
        <w:t> </w:t>
      </w:r>
      <w:r w:rsidRPr="00332FF8">
        <w:rPr>
          <w:lang w:val="en-US"/>
        </w:rPr>
        <w:t>1995.</w:t>
      </w:r>
    </w:p>
  </w:footnote>
  <w:footnote w:id="3">
    <w:p w14:paraId="674A286B" w14:textId="3CB10FE2" w:rsidR="006E6FBB" w:rsidRPr="00BE184C" w:rsidRDefault="006E6FBB" w:rsidP="006E6FBB">
      <w:pPr>
        <w:pStyle w:val="FootnoteText"/>
      </w:pPr>
      <w:r w:rsidRPr="005D0D5B">
        <w:rPr>
          <w:rStyle w:val="FootnoteReference"/>
        </w:rPr>
        <w:footnoteRef/>
      </w:r>
      <w:r w:rsidRPr="00BE184C">
        <w:tab/>
      </w:r>
      <w:r w:rsidR="00C80CDA" w:rsidRPr="00BE184C">
        <w:t xml:space="preserve">La definición de </w:t>
      </w:r>
      <w:r w:rsidR="00AE456A">
        <w:t>«</w:t>
      </w:r>
      <w:r w:rsidR="00C80CDA" w:rsidRPr="00BE184C">
        <w:t>Gestión versátil del espectro</w:t>
      </w:r>
      <w:r w:rsidR="00AE456A">
        <w:t>»</w:t>
      </w:r>
      <w:r w:rsidR="00C80CDA" w:rsidRPr="00BE184C">
        <w:t xml:space="preserve"> figura </w:t>
      </w:r>
      <w:r w:rsidR="00C80CDA">
        <w:t>en el</w:t>
      </w:r>
      <w:r w:rsidRPr="00BE184C">
        <w:t xml:space="preserve"> § 4.2 </w:t>
      </w:r>
      <w:r w:rsidR="00C80CDA">
        <w:t>del Anexo 2 del Capítulo</w:t>
      </w:r>
      <w:r w:rsidRPr="00BE184C">
        <w:t xml:space="preserve"> 3.</w:t>
      </w:r>
    </w:p>
  </w:footnote>
  <w:footnote w:id="4">
    <w:p w14:paraId="4535EFD1" w14:textId="2724A017" w:rsidR="009B521F" w:rsidRPr="007435E8" w:rsidRDefault="009B521F" w:rsidP="009B521F">
      <w:pPr>
        <w:pStyle w:val="FootnoteText"/>
        <w:rPr>
          <w:lang w:val="en-GB"/>
        </w:rPr>
      </w:pPr>
      <w:r>
        <w:rPr>
          <w:rStyle w:val="FootnoteReference"/>
        </w:rPr>
        <w:footnoteRef/>
      </w:r>
      <w:r w:rsidRPr="007435E8">
        <w:rPr>
          <w:lang w:val="en-US"/>
        </w:rPr>
        <w:t xml:space="preserve"> </w:t>
      </w:r>
      <w:r w:rsidRPr="007435E8">
        <w:rPr>
          <w:lang w:val="en-US"/>
        </w:rPr>
        <w:tab/>
        <w:t xml:space="preserve">EAU, 2022. </w:t>
      </w:r>
      <w:r w:rsidR="00FB140E" w:rsidRPr="00BE184C">
        <w:rPr>
          <w:i/>
          <w:iCs/>
          <w:lang w:val="en-GB"/>
        </w:rPr>
        <w:t>The UAE Digital Government Strategy 2025</w:t>
      </w:r>
      <w:r w:rsidRPr="00BE184C">
        <w:rPr>
          <w:lang w:val="en-GB"/>
        </w:rPr>
        <w:t xml:space="preserve">. </w:t>
      </w:r>
      <w:r w:rsidRPr="007435E8">
        <w:rPr>
          <w:lang w:val="en-GB"/>
        </w:rPr>
        <w:t>Disponible en:</w:t>
      </w:r>
      <w:hyperlink r:id="rId2" w:history="1">
        <w:r w:rsidRPr="00D20E2A">
          <w:rPr>
            <w:rStyle w:val="Hyperlink"/>
            <w:u w:val="none"/>
            <w:lang w:val="en-GB"/>
          </w:rPr>
          <w:t xml:space="preserve"> </w:t>
        </w:r>
        <w:r w:rsidRPr="007435E8">
          <w:rPr>
            <w:rStyle w:val="Hyperlink"/>
            <w:lang w:val="en-GB"/>
          </w:rPr>
          <w:t>https://u.ae/en/about-the-uae/strategies-initiatives-and-awards/strategies-plans-and-visions/government-services-and-digital-transformation/uae-national-digital-government-strategy</w:t>
        </w:r>
      </w:hyperlink>
    </w:p>
  </w:footnote>
  <w:footnote w:id="5">
    <w:p w14:paraId="413E03A3" w14:textId="70DBBA9E" w:rsidR="009B521F" w:rsidRPr="007435E8" w:rsidRDefault="009B521F" w:rsidP="009B521F">
      <w:pPr>
        <w:pStyle w:val="FootnoteText"/>
        <w:rPr>
          <w:lang w:val="en-GB"/>
        </w:rPr>
      </w:pPr>
      <w:r w:rsidRPr="00362CFD">
        <w:rPr>
          <w:rStyle w:val="FootnoteReference"/>
        </w:rPr>
        <w:footnoteRef/>
      </w:r>
      <w:r w:rsidRPr="007435E8">
        <w:rPr>
          <w:lang w:val="en-GB"/>
        </w:rPr>
        <w:tab/>
        <w:t xml:space="preserve">EAU, 2020. </w:t>
      </w:r>
      <w:r w:rsidRPr="007435E8">
        <w:rPr>
          <w:i/>
          <w:iCs/>
          <w:lang w:val="en-GB"/>
        </w:rPr>
        <w:t xml:space="preserve">2020: </w:t>
      </w:r>
      <w:r w:rsidR="00FB140E" w:rsidRPr="007435E8">
        <w:rPr>
          <w:i/>
          <w:iCs/>
          <w:lang w:val="en-GB"/>
        </w:rPr>
        <w:t>Towards the next 50</w:t>
      </w:r>
      <w:r w:rsidRPr="007435E8">
        <w:rPr>
          <w:lang w:val="en-GB"/>
        </w:rPr>
        <w:t>. Disponible en:</w:t>
      </w:r>
      <w:r>
        <w:fldChar w:fldCharType="begin"/>
      </w:r>
      <w:r w:rsidRPr="00AF64EA">
        <w:rPr>
          <w:lang w:val="en-GB"/>
        </w:rPr>
        <w:instrText>HYPERLINK "https://eur03.safelinks.protection.outlook.com/?url=https%3A%2F%2Fu.ae%2Fen%2Fabout-the-uae%2Fuae-in-the-future%2Fdesigning-the-next-50&amp;data=05%7C02%7CPhilippe.Aubineau%40itu.int%7C165bfc6500f249c8000d08dd1e7fc537%7C23e464d704e64b87913c24bd89219fd3%7C0%7C0%7C638700256330718943%7CUnknown%7CTWFpbGZsb3d8eyJFbXB0eU1hcGkiOnRydWUsIlYiOiIwLjAuMDAwMCIsIlAiOiJXaW4zMiIsIkFOIjoiTWFpbCIsIldUIjoyfQ%3D%3D%7C0%7C%7C%7C&amp;sdata=J%2BgVRAa%2BHYXnDkf8jw5D3rKGgFaZp8Xx959gRBy%2FfoE%3D&amp;reserved=0"</w:instrText>
      </w:r>
      <w:r>
        <w:fldChar w:fldCharType="separate"/>
      </w:r>
      <w:r w:rsidRPr="007435E8">
        <w:rPr>
          <w:rStyle w:val="Hyperlink"/>
          <w:lang w:val="en-GB"/>
        </w:rPr>
        <w:t xml:space="preserve"> https://u.ae/en/about-the-uae/uae-in-the-future/designing-the-next-50</w:t>
      </w:r>
      <w:r>
        <w:fldChar w:fldCharType="end"/>
      </w:r>
    </w:p>
  </w:footnote>
  <w:footnote w:id="6">
    <w:p w14:paraId="031E4E79" w14:textId="05B2211D" w:rsidR="009B521F" w:rsidRPr="007435E8" w:rsidRDefault="009B521F" w:rsidP="009B521F">
      <w:pPr>
        <w:pStyle w:val="FootnoteText"/>
        <w:rPr>
          <w:rFonts w:ascii="Arial" w:hAnsi="Arial" w:cs="Arial"/>
          <w:lang w:val="fr-FR"/>
        </w:rPr>
      </w:pPr>
      <w:r w:rsidRPr="00362CFD">
        <w:rPr>
          <w:rStyle w:val="FootnoteReference"/>
        </w:rPr>
        <w:footnoteRef/>
      </w:r>
      <w:r w:rsidRPr="007435E8">
        <w:rPr>
          <w:lang w:val="fr-FR"/>
        </w:rPr>
        <w:tab/>
      </w:r>
      <w:r w:rsidRPr="007435E8">
        <w:rPr>
          <w:rFonts w:asciiTheme="majorBidi" w:hAnsiTheme="majorBidi" w:cstheme="majorBidi"/>
          <w:lang w:val="fr-FR"/>
        </w:rPr>
        <w:t xml:space="preserve">TDRA, 2022. </w:t>
      </w:r>
      <w:r w:rsidR="00FB140E" w:rsidRPr="007435E8">
        <w:rPr>
          <w:i/>
          <w:iCs/>
          <w:lang w:val="fr-FR"/>
        </w:rPr>
        <w:t>About</w:t>
      </w:r>
      <w:r w:rsidR="00FB140E" w:rsidRPr="007435E8">
        <w:rPr>
          <w:rFonts w:asciiTheme="majorBidi" w:hAnsiTheme="majorBidi" w:cstheme="majorBidi"/>
          <w:i/>
          <w:iCs/>
          <w:lang w:val="fr-FR"/>
        </w:rPr>
        <w:t xml:space="preserve"> TDRA</w:t>
      </w:r>
      <w:r w:rsidRPr="007435E8">
        <w:rPr>
          <w:rFonts w:asciiTheme="majorBidi" w:hAnsiTheme="majorBidi" w:cstheme="majorBidi"/>
          <w:lang w:val="fr-FR"/>
        </w:rPr>
        <w:t xml:space="preserve">. Disponible </w:t>
      </w:r>
      <w:proofErr w:type="gramStart"/>
      <w:r w:rsidRPr="007435E8">
        <w:rPr>
          <w:rFonts w:asciiTheme="majorBidi" w:hAnsiTheme="majorBidi" w:cstheme="majorBidi"/>
          <w:lang w:val="fr-FR"/>
        </w:rPr>
        <w:t>en:</w:t>
      </w:r>
      <w:r>
        <w:fldChar w:fldCharType="begin"/>
      </w:r>
      <w:r w:rsidRPr="0091678E">
        <w:rPr>
          <w:lang w:val="fr-FR"/>
        </w:rPr>
        <w:instrText>HYPERLINK "https://tdra.gov.ae/en/About"</w:instrText>
      </w:r>
      <w:r>
        <w:fldChar w:fldCharType="separate"/>
      </w:r>
      <w:r w:rsidRPr="007435E8">
        <w:rPr>
          <w:rStyle w:val="Hyperlink"/>
          <w:rFonts w:asciiTheme="majorBidi" w:hAnsiTheme="majorBidi" w:cstheme="majorBidi"/>
          <w:lang w:val="fr-FR"/>
        </w:rPr>
        <w:t xml:space="preserve"> https://tdra.gov.ae/en/About</w:t>
      </w:r>
      <w:r>
        <w:fldChar w:fldCharType="end"/>
      </w:r>
      <w:proofErr w:type="gramEnd"/>
    </w:p>
  </w:footnote>
  <w:footnote w:id="7">
    <w:p w14:paraId="3CB52BA8" w14:textId="3DD4C76C" w:rsidR="009B521F" w:rsidRPr="007435E8" w:rsidRDefault="009B521F" w:rsidP="009B521F">
      <w:pPr>
        <w:pStyle w:val="FootnoteText"/>
        <w:rPr>
          <w:rFonts w:asciiTheme="majorBidi" w:hAnsiTheme="majorBidi" w:cstheme="majorBidi"/>
          <w:lang w:val="fr-FR"/>
        </w:rPr>
      </w:pPr>
      <w:r w:rsidRPr="00362CFD">
        <w:rPr>
          <w:rStyle w:val="FootnoteReference"/>
        </w:rPr>
        <w:footnoteRef/>
      </w:r>
      <w:r w:rsidRPr="007435E8">
        <w:rPr>
          <w:lang w:val="fr-FR"/>
        </w:rPr>
        <w:tab/>
      </w:r>
      <w:r w:rsidRPr="007435E8">
        <w:rPr>
          <w:rFonts w:asciiTheme="majorBidi" w:hAnsiTheme="majorBidi" w:cstheme="majorBidi"/>
          <w:lang w:val="fr-FR"/>
        </w:rPr>
        <w:t xml:space="preserve">EAU, 2022. </w:t>
      </w:r>
      <w:r w:rsidR="00FB140E" w:rsidRPr="007435E8">
        <w:rPr>
          <w:i/>
          <w:iCs/>
          <w:lang w:val="fr-FR"/>
        </w:rPr>
        <w:t>UAE</w:t>
      </w:r>
      <w:r w:rsidR="00FB140E" w:rsidRPr="007435E8">
        <w:rPr>
          <w:rFonts w:asciiTheme="majorBidi" w:hAnsiTheme="majorBidi" w:cstheme="majorBidi"/>
          <w:i/>
          <w:iCs/>
          <w:lang w:val="fr-FR"/>
        </w:rPr>
        <w:t xml:space="preserve"> Centennial 2071</w:t>
      </w:r>
      <w:r w:rsidRPr="007435E8">
        <w:rPr>
          <w:rFonts w:asciiTheme="majorBidi" w:hAnsiTheme="majorBidi" w:cstheme="majorBidi"/>
          <w:lang w:val="fr-FR"/>
        </w:rPr>
        <w:t>. Disponible en:</w:t>
      </w:r>
      <w:r>
        <w:fldChar w:fldCharType="begin"/>
      </w:r>
      <w:r w:rsidRPr="00AF64EA">
        <w:rPr>
          <w:lang w:val="fr-FR"/>
        </w:rPr>
        <w:instrText>HYPERLINK "https://eur03.safelinks.protection.outlook.com/?url=https%3A%2F%2Fu.ae%2Fen%2Fabout-the-uae%2Fstrategies-initiatives-and-awards%2Fstrategies-plans-and-visions%2Finnovation-and-future-shaping%2Fuae-centennial-2071&amp;data=05%7C02%7CPhilippe.Aubineau%40itu.int%7C165bfc6500f249c8000d08dd1e7fc537%7C23e464d704e64b87913c24bd89219fd3%7C0%7C0%7C638700256330744855%7CUnknown%7CTWFpbGZsb3d8eyJFbXB0eU1hcGkiOnRydWUsIlYiOiIwLjAuMDAwMCIsIlAiOiJXaW4zMiIsIkFOIjoiTWFpbCIsIldUIjoyfQ%3D%3D%7C0%7C%7C%7C&amp;sdata=ar8aBUXORdhJPnB105df2ziQD4HT%2FqK85v1PN%2FQUlWU%3D&amp;reserved=0"</w:instrText>
      </w:r>
      <w:r>
        <w:fldChar w:fldCharType="separate"/>
      </w:r>
      <w:r w:rsidRPr="007435E8">
        <w:rPr>
          <w:rStyle w:val="Hyperlink"/>
          <w:rFonts w:asciiTheme="majorBidi" w:hAnsiTheme="majorBidi" w:cstheme="majorBidi"/>
          <w:lang w:val="fr-FR"/>
        </w:rPr>
        <w:t xml:space="preserve"> https://u.ae/en/about-the-uae/strategies-initiatives-and-awards/strategies-plans-and-visions/innovation-and-future-shaping/uae-centennial-2071</w:t>
      </w:r>
      <w:r>
        <w:fldChar w:fldCharType="end"/>
      </w:r>
    </w:p>
  </w:footnote>
  <w:footnote w:id="8">
    <w:p w14:paraId="0D58B29D" w14:textId="4DD7D14A" w:rsidR="009B521F" w:rsidRPr="00BE184C" w:rsidRDefault="009B521F" w:rsidP="009B521F">
      <w:pPr>
        <w:pStyle w:val="FootnoteText"/>
        <w:rPr>
          <w:rFonts w:asciiTheme="majorBidi" w:hAnsiTheme="majorBidi" w:cstheme="majorBidi"/>
          <w:color w:val="000000"/>
          <w:lang w:val="en-GB"/>
        </w:rPr>
      </w:pPr>
      <w:r w:rsidRPr="00362CFD">
        <w:rPr>
          <w:rStyle w:val="FootnoteReference"/>
        </w:rPr>
        <w:footnoteRef/>
      </w:r>
      <w:r w:rsidRPr="00BE184C">
        <w:rPr>
          <w:lang w:val="en-GB"/>
        </w:rPr>
        <w:tab/>
      </w:r>
      <w:r w:rsidRPr="00BE184C">
        <w:rPr>
          <w:rFonts w:asciiTheme="majorBidi" w:hAnsiTheme="majorBidi" w:cstheme="majorBidi"/>
          <w:lang w:val="en-GB"/>
        </w:rPr>
        <w:t xml:space="preserve">MOCA, 2019. </w:t>
      </w:r>
      <w:r w:rsidRPr="00BE184C">
        <w:rPr>
          <w:rFonts w:asciiTheme="majorBidi" w:hAnsiTheme="majorBidi" w:cstheme="majorBidi"/>
          <w:i/>
          <w:iCs/>
          <w:lang w:val="en-GB"/>
        </w:rPr>
        <w:t>Shaping the Future</w:t>
      </w:r>
      <w:r w:rsidRPr="00BE184C">
        <w:rPr>
          <w:rFonts w:asciiTheme="majorBidi" w:hAnsiTheme="majorBidi" w:cstheme="majorBidi"/>
          <w:lang w:val="en-GB"/>
        </w:rPr>
        <w:t>. Disponible en:</w:t>
      </w:r>
      <w:r>
        <w:fldChar w:fldCharType="begin"/>
      </w:r>
      <w:r w:rsidRPr="00AF64EA">
        <w:rPr>
          <w:lang w:val="en-GB"/>
        </w:rPr>
        <w:instrText>HYPERLINK "https://www.moca.gov.ae/en/area-of-focus/future-foresight"</w:instrText>
      </w:r>
      <w:r>
        <w:fldChar w:fldCharType="separate"/>
      </w:r>
      <w:r w:rsidRPr="00BE184C">
        <w:rPr>
          <w:rStyle w:val="Hyperlink"/>
          <w:rFonts w:asciiTheme="majorBidi" w:eastAsiaTheme="majorEastAsia" w:hAnsiTheme="majorBidi" w:cstheme="majorBidi"/>
          <w:lang w:val="en-GB"/>
        </w:rPr>
        <w:t xml:space="preserve"> https://www.moca.gov.ae/en/area-of-focus/future-foresight</w:t>
      </w:r>
      <w:r>
        <w:fldChar w:fldCharType="end"/>
      </w:r>
    </w:p>
  </w:footnote>
  <w:footnote w:id="9">
    <w:p w14:paraId="1EC8EEB4" w14:textId="297F8833" w:rsidR="009B521F" w:rsidRPr="007435E8" w:rsidRDefault="009B521F" w:rsidP="009B521F">
      <w:pPr>
        <w:pStyle w:val="FootnoteText"/>
        <w:rPr>
          <w:rFonts w:asciiTheme="majorBidi" w:hAnsiTheme="majorBidi" w:cstheme="majorBidi"/>
          <w:szCs w:val="24"/>
          <w:lang w:val="en-GB"/>
        </w:rPr>
      </w:pPr>
      <w:r w:rsidRPr="00362CFD">
        <w:rPr>
          <w:rStyle w:val="FootnoteReference"/>
        </w:rPr>
        <w:footnoteRef/>
      </w:r>
      <w:r w:rsidRPr="007435E8">
        <w:rPr>
          <w:lang w:val="en-GB"/>
        </w:rPr>
        <w:tab/>
      </w:r>
      <w:r w:rsidRPr="007435E8">
        <w:rPr>
          <w:rFonts w:asciiTheme="majorBidi" w:hAnsiTheme="majorBidi" w:cstheme="majorBidi"/>
          <w:color w:val="000000"/>
          <w:szCs w:val="24"/>
          <w:lang w:val="en-GB"/>
        </w:rPr>
        <w:t xml:space="preserve">MOCA. </w:t>
      </w:r>
      <w:r w:rsidR="00FB140E" w:rsidRPr="00BE184C">
        <w:rPr>
          <w:i/>
          <w:iCs/>
          <w:lang w:val="en-GB"/>
        </w:rPr>
        <w:t>Scenario</w:t>
      </w:r>
      <w:r w:rsidR="00FB140E" w:rsidRPr="00BE184C">
        <w:rPr>
          <w:rFonts w:asciiTheme="majorBidi" w:hAnsiTheme="majorBidi" w:cstheme="majorBidi"/>
          <w:i/>
          <w:iCs/>
          <w:color w:val="000000"/>
          <w:szCs w:val="24"/>
          <w:lang w:val="en-GB"/>
        </w:rPr>
        <w:t xml:space="preserve"> Planning Toolkit</w:t>
      </w:r>
      <w:r w:rsidRPr="007435E8">
        <w:rPr>
          <w:rFonts w:asciiTheme="majorBidi" w:hAnsiTheme="majorBidi" w:cstheme="majorBidi"/>
          <w:color w:val="000000"/>
          <w:szCs w:val="24"/>
          <w:lang w:val="en-GB"/>
        </w:rPr>
        <w:t>. Disponible en:</w:t>
      </w:r>
      <w:r>
        <w:fldChar w:fldCharType="begin"/>
      </w:r>
      <w:r w:rsidRPr="00AF64EA">
        <w:rPr>
          <w:lang w:val="en-GB"/>
        </w:rPr>
        <w:instrText>HYPERLINK "https://www.moca.gov.ae/docs/default-source/default-document-library/scenario-planning--toolkits/scenario-planning--toolkits.pdf?sfvrsn=2"</w:instrText>
      </w:r>
      <w:r>
        <w:fldChar w:fldCharType="separate"/>
      </w:r>
      <w:r w:rsidRPr="007435E8">
        <w:rPr>
          <w:rStyle w:val="Hyperlink"/>
          <w:rFonts w:asciiTheme="majorBidi" w:hAnsiTheme="majorBidi" w:cstheme="majorBidi"/>
          <w:szCs w:val="24"/>
          <w:lang w:val="en-GB"/>
        </w:rPr>
        <w:t xml:space="preserve"> https://www.moca.gov.ae/docs/default-source/default-document-library/scenario-planning--toolkits/scenario-planning--toolkits.pdf?sfvrsn=2</w:t>
      </w:r>
      <w:r>
        <w:fldChar w:fldCharType="end"/>
      </w:r>
    </w:p>
  </w:footnote>
  <w:footnote w:id="10">
    <w:p w14:paraId="1D7A35AD" w14:textId="074E6316" w:rsidR="009B521F" w:rsidRPr="007435E8" w:rsidRDefault="009B521F" w:rsidP="009B521F">
      <w:pPr>
        <w:pStyle w:val="FootnoteText"/>
        <w:rPr>
          <w:rFonts w:ascii="Arial" w:hAnsi="Arial" w:cs="Arial"/>
          <w:szCs w:val="24"/>
          <w:lang w:val="en-GB"/>
        </w:rPr>
      </w:pPr>
      <w:r w:rsidRPr="00362CFD">
        <w:rPr>
          <w:rStyle w:val="FootnoteReference"/>
        </w:rPr>
        <w:footnoteRef/>
      </w:r>
      <w:r w:rsidRPr="007435E8">
        <w:rPr>
          <w:lang w:val="en-US"/>
        </w:rPr>
        <w:tab/>
      </w:r>
      <w:r w:rsidRPr="007435E8">
        <w:rPr>
          <w:rFonts w:asciiTheme="majorBidi" w:hAnsiTheme="majorBidi" w:cstheme="majorBidi"/>
          <w:szCs w:val="24"/>
          <w:lang w:val="en-US"/>
        </w:rPr>
        <w:t xml:space="preserve">EAU, </w:t>
      </w:r>
      <w:r w:rsidRPr="007435E8">
        <w:rPr>
          <w:rFonts w:asciiTheme="majorBidi" w:hAnsiTheme="majorBidi" w:cstheme="majorBidi"/>
          <w:i/>
          <w:iCs/>
          <w:szCs w:val="24"/>
          <w:lang w:val="en-US"/>
        </w:rPr>
        <w:t xml:space="preserve">2022. </w:t>
      </w:r>
      <w:r w:rsidR="00FB140E" w:rsidRPr="00BE184C">
        <w:rPr>
          <w:rFonts w:asciiTheme="majorBidi" w:hAnsiTheme="majorBidi" w:cstheme="majorBidi"/>
          <w:i/>
          <w:iCs/>
          <w:szCs w:val="24"/>
          <w:lang w:val="en-GB"/>
        </w:rPr>
        <w:t>We the UAE 2031’ Vision</w:t>
      </w:r>
      <w:r w:rsidRPr="00BE184C">
        <w:rPr>
          <w:rFonts w:asciiTheme="majorBidi" w:hAnsiTheme="majorBidi" w:cstheme="majorBidi"/>
          <w:szCs w:val="24"/>
          <w:lang w:val="en-GB"/>
        </w:rPr>
        <w:t xml:space="preserve">. </w:t>
      </w:r>
      <w:r w:rsidRPr="007435E8">
        <w:rPr>
          <w:rFonts w:asciiTheme="majorBidi" w:hAnsiTheme="majorBidi" w:cstheme="majorBidi"/>
          <w:szCs w:val="24"/>
          <w:lang w:val="en-GB"/>
        </w:rPr>
        <w:t>Disponible en:</w:t>
      </w:r>
      <w:r>
        <w:fldChar w:fldCharType="begin"/>
      </w:r>
      <w:r w:rsidRPr="00AF64EA">
        <w:rPr>
          <w:lang w:val="en-GB"/>
        </w:rPr>
        <w:instrText>HYPERLINK "https://u.ae/en/about-the-uae/strategies-initiatives-and-awards/strategies-plans-and-visions/innovation-and-future-shaping/we-the-uae-2031-vision"</w:instrText>
      </w:r>
      <w:r>
        <w:fldChar w:fldCharType="separate"/>
      </w:r>
      <w:r w:rsidRPr="007435E8">
        <w:rPr>
          <w:rStyle w:val="Hyperlink"/>
          <w:rFonts w:asciiTheme="majorBidi" w:hAnsiTheme="majorBidi" w:cstheme="majorBidi"/>
          <w:szCs w:val="24"/>
          <w:lang w:val="en-GB"/>
        </w:rPr>
        <w:t xml:space="preserve"> https://u.ae/en/about-the-uae/strategies-initiatives-and-awards/strategies-plans-and-visions/innovation-and-future-shaping/we-the-uae-2031-vision</w:t>
      </w:r>
      <w:r>
        <w:fldChar w:fldCharType="end"/>
      </w:r>
    </w:p>
  </w:footnote>
  <w:footnote w:id="11">
    <w:p w14:paraId="7469EFDB" w14:textId="27BDDA26" w:rsidR="009B521F" w:rsidRPr="006C5BFC" w:rsidRDefault="009B521F" w:rsidP="009B521F">
      <w:pPr>
        <w:pStyle w:val="FootnoteText"/>
      </w:pPr>
      <w:r>
        <w:rPr>
          <w:rStyle w:val="FootnoteReference"/>
        </w:rPr>
        <w:footnoteRef/>
      </w:r>
      <w:r>
        <w:tab/>
      </w:r>
      <w:r w:rsidRPr="005E0419">
        <w:t>UIT, 2022. Marcos normativos y reglamentarios. Disponible en:</w:t>
      </w:r>
      <w:hyperlink r:id="rId3" w:history="1">
        <w:r w:rsidRPr="005E0419">
          <w:rPr>
            <w:rStyle w:val="Hyperlink"/>
          </w:rPr>
          <w:t xml:space="preserve"> https://www.itu.int/en/ITU-D/Regulatory-Market/Pages/Policy-&amp;-Regulatory-Frameworks.aspx</w:t>
        </w:r>
      </w:hyperlink>
    </w:p>
  </w:footnote>
  <w:footnote w:id="12">
    <w:p w14:paraId="1F23A5BD" w14:textId="78DA5D6C" w:rsidR="009B521F" w:rsidRPr="00BE184C" w:rsidRDefault="009B521F" w:rsidP="00BE184C">
      <w:pPr>
        <w:pStyle w:val="FootnoteText"/>
        <w:jc w:val="left"/>
      </w:pPr>
      <w:r>
        <w:rPr>
          <w:rStyle w:val="FootnoteReference"/>
        </w:rPr>
        <w:footnoteRef/>
      </w:r>
      <w:r>
        <w:tab/>
      </w:r>
      <w:r w:rsidR="007E6D54" w:rsidRPr="005E0419">
        <w:rPr>
          <w:szCs w:val="24"/>
        </w:rPr>
        <w:t xml:space="preserve">Publicaciones </w:t>
      </w:r>
      <w:r w:rsidR="007E6D54">
        <w:rPr>
          <w:szCs w:val="24"/>
        </w:rPr>
        <w:t xml:space="preserve">del </w:t>
      </w:r>
      <w:r w:rsidRPr="005E0419">
        <w:rPr>
          <w:szCs w:val="24"/>
        </w:rPr>
        <w:t xml:space="preserve">Ministerio </w:t>
      </w:r>
      <w:r w:rsidR="007E6D54">
        <w:rPr>
          <w:szCs w:val="24"/>
        </w:rPr>
        <w:t>de Asuntos Gubernamentales de</w:t>
      </w:r>
      <w:r w:rsidRPr="005E0419">
        <w:rPr>
          <w:szCs w:val="24"/>
        </w:rPr>
        <w:t xml:space="preserve"> EAU, 2020. Disponible en:</w:t>
      </w:r>
      <w:hyperlink r:id="rId4" w:history="1">
        <w:r w:rsidRPr="005E0419">
          <w:rPr>
            <w:rStyle w:val="Hyperlink"/>
            <w:szCs w:val="24"/>
          </w:rPr>
          <w:t xml:space="preserve"> https://www.moca.gov.ae/en/publications</w:t>
        </w:r>
      </w:hyperlink>
    </w:p>
  </w:footnote>
  <w:footnote w:id="13">
    <w:p w14:paraId="3599FCD5" w14:textId="2CB4519D" w:rsidR="009B521F" w:rsidRPr="006C5BFC" w:rsidRDefault="009B521F" w:rsidP="00BE184C">
      <w:pPr>
        <w:pStyle w:val="FootnoteText"/>
        <w:jc w:val="left"/>
      </w:pPr>
      <w:r>
        <w:rPr>
          <w:rStyle w:val="FootnoteReference"/>
        </w:rPr>
        <w:footnoteRef/>
      </w:r>
      <w:r>
        <w:tab/>
      </w:r>
      <w:r w:rsidRPr="005E0419">
        <w:rPr>
          <w:color w:val="000000"/>
        </w:rPr>
        <w:t xml:space="preserve">MOCA. </w:t>
      </w:r>
      <w:r w:rsidR="007E6D54">
        <w:rPr>
          <w:color w:val="000000"/>
        </w:rPr>
        <w:t>Conjunto</w:t>
      </w:r>
      <w:r w:rsidRPr="005E0419">
        <w:rPr>
          <w:color w:val="000000"/>
        </w:rPr>
        <w:t xml:space="preserve"> de herramientas para la planificación de </w:t>
      </w:r>
      <w:r w:rsidR="007E6D54">
        <w:rPr>
          <w:color w:val="000000"/>
        </w:rPr>
        <w:t>casos hipotéticos</w:t>
      </w:r>
      <w:r w:rsidRPr="005E0419">
        <w:rPr>
          <w:color w:val="000000"/>
        </w:rPr>
        <w:t>. Disponible en:</w:t>
      </w:r>
      <w:hyperlink r:id="rId5" w:history="1">
        <w:r w:rsidRPr="005E0419">
          <w:rPr>
            <w:rStyle w:val="Hyperlink"/>
          </w:rPr>
          <w:t xml:space="preserve"> https://www.moca.gov.ae/docs/default-source/default-document-library/scenario-planning--toolkits/scenario-planning--toolkits.pdf?sfvrsn=2</w:t>
        </w:r>
      </w:hyperlink>
    </w:p>
  </w:footnote>
  <w:footnote w:id="14">
    <w:p w14:paraId="6A4267E0" w14:textId="4EACF74F" w:rsidR="00F24AE9" w:rsidRPr="006C5BFC" w:rsidRDefault="00F24AE9" w:rsidP="00F24AE9">
      <w:pPr>
        <w:pStyle w:val="FootnoteText"/>
      </w:pPr>
      <w:r>
        <w:rPr>
          <w:rStyle w:val="FootnoteReference"/>
        </w:rPr>
        <w:footnoteRef/>
      </w:r>
      <w:r>
        <w:tab/>
      </w:r>
      <w:r w:rsidRPr="007247BE">
        <w:rPr>
          <w:rFonts w:asciiTheme="majorBidi" w:hAnsiTheme="majorBidi" w:cstheme="majorBidi"/>
        </w:rPr>
        <w:t xml:space="preserve">En virtud del </w:t>
      </w:r>
      <w:r w:rsidR="00AD5B64">
        <w:rPr>
          <w:rFonts w:asciiTheme="majorBidi" w:hAnsiTheme="majorBidi" w:cstheme="majorBidi"/>
        </w:rPr>
        <w:t>A</w:t>
      </w:r>
      <w:r w:rsidRPr="007247BE">
        <w:rPr>
          <w:rFonts w:asciiTheme="majorBidi" w:hAnsiTheme="majorBidi" w:cstheme="majorBidi"/>
        </w:rPr>
        <w:t xml:space="preserve">rtículo 50 de la Ley de Telecomunicaciones de EAU, </w:t>
      </w:r>
      <w:r w:rsidR="00AD5B64">
        <w:rPr>
          <w:rFonts w:asciiTheme="majorBidi" w:hAnsiTheme="majorBidi" w:cstheme="majorBidi"/>
        </w:rPr>
        <w:t>los prestatarios</w:t>
      </w:r>
      <w:r w:rsidRPr="007247BE">
        <w:rPr>
          <w:rFonts w:asciiTheme="majorBidi" w:hAnsiTheme="majorBidi" w:cstheme="majorBidi"/>
        </w:rPr>
        <w:t xml:space="preserve"> deben obtener una autorización directamente de la TDRA para poder utilizar el espectro.</w:t>
      </w:r>
    </w:p>
  </w:footnote>
  <w:footnote w:id="15">
    <w:p w14:paraId="014823B3" w14:textId="19A29C38" w:rsidR="00AD5B64" w:rsidRPr="007435E8" w:rsidRDefault="00AD5B64" w:rsidP="00AD5B64">
      <w:pPr>
        <w:pStyle w:val="FootnoteText"/>
      </w:pPr>
      <w:r>
        <w:rPr>
          <w:rStyle w:val="FootnoteReference"/>
        </w:rPr>
        <w:footnoteRef/>
      </w:r>
      <w:r>
        <w:tab/>
      </w:r>
      <w:r w:rsidRPr="007247BE">
        <w:rPr>
          <w:rFonts w:asciiTheme="majorBidi" w:hAnsiTheme="majorBidi" w:cstheme="majorBidi"/>
          <w:szCs w:val="24"/>
        </w:rPr>
        <w:t xml:space="preserve">COTS, productos </w:t>
      </w:r>
      <w:r w:rsidR="000F3EDB">
        <w:rPr>
          <w:rFonts w:asciiTheme="majorBidi" w:hAnsiTheme="majorBidi" w:cstheme="majorBidi"/>
          <w:szCs w:val="24"/>
        </w:rPr>
        <w:t>disponibles comercialmente</w:t>
      </w:r>
      <w:r>
        <w:rPr>
          <w:rFonts w:asciiTheme="majorBidi" w:hAnsiTheme="majorBidi" w:cstheme="majorBidi"/>
          <w:szCs w:val="24"/>
        </w:rPr>
        <w:t>.</w:t>
      </w:r>
    </w:p>
  </w:footnote>
  <w:footnote w:id="16">
    <w:p w14:paraId="478E2C92" w14:textId="77777777" w:rsidR="00AD5B64" w:rsidRPr="00BE184C" w:rsidRDefault="00AD5B64" w:rsidP="00AD5B64">
      <w:pPr>
        <w:pStyle w:val="FootnoteText"/>
      </w:pPr>
      <w:r>
        <w:rPr>
          <w:rStyle w:val="FootnoteReference"/>
        </w:rPr>
        <w:footnoteRef/>
      </w:r>
      <w:r>
        <w:tab/>
      </w:r>
      <w:r w:rsidRPr="007247BE">
        <w:rPr>
          <w:rFonts w:asciiTheme="majorBidi" w:hAnsiTheme="majorBidi" w:cstheme="majorBidi"/>
          <w:szCs w:val="24"/>
        </w:rPr>
        <w:t>RA, realidad aumentada</w:t>
      </w:r>
      <w:r>
        <w:rPr>
          <w:rFonts w:asciiTheme="majorBidi" w:hAnsiTheme="majorBidi" w:cstheme="majorBidi"/>
          <w:szCs w:val="24"/>
        </w:rPr>
        <w:t>.</w:t>
      </w:r>
    </w:p>
  </w:footnote>
  <w:footnote w:id="17">
    <w:p w14:paraId="28747C5C" w14:textId="7224727A" w:rsidR="0042295E" w:rsidRPr="007435E8" w:rsidRDefault="0042295E" w:rsidP="00BE184C">
      <w:pPr>
        <w:pStyle w:val="FootnoteText"/>
        <w:jc w:val="left"/>
        <w:rPr>
          <w:lang w:val="en-GB"/>
        </w:rPr>
      </w:pPr>
      <w:r>
        <w:rPr>
          <w:rStyle w:val="FootnoteReference"/>
        </w:rPr>
        <w:footnoteRef/>
      </w:r>
      <w:r w:rsidRPr="007435E8">
        <w:rPr>
          <w:lang w:val="en-US"/>
        </w:rPr>
        <w:tab/>
      </w:r>
      <w:r w:rsidRPr="007435E8">
        <w:rPr>
          <w:rFonts w:asciiTheme="majorBidi" w:hAnsiTheme="majorBidi" w:cstheme="majorBidi"/>
          <w:lang w:val="en-US"/>
        </w:rPr>
        <w:t xml:space="preserve">IEEE ComSoc, 2022. </w:t>
      </w:r>
      <w:r w:rsidR="005C5101" w:rsidRPr="00BE184C">
        <w:rPr>
          <w:rFonts w:asciiTheme="majorBidi" w:hAnsiTheme="majorBidi" w:cstheme="majorBidi"/>
          <w:i/>
          <w:iCs/>
          <w:lang w:val="en-GB"/>
        </w:rPr>
        <w:t>Excerpts of ITU-R preliminary draft new Report: Future technology trends of terrestrial IMT systems towards 2030 and beyond</w:t>
      </w:r>
      <w:r w:rsidRPr="00BE184C">
        <w:rPr>
          <w:rFonts w:asciiTheme="majorBidi" w:hAnsiTheme="majorBidi" w:cstheme="majorBidi"/>
          <w:lang w:val="en-GB"/>
        </w:rPr>
        <w:t xml:space="preserve">. </w:t>
      </w:r>
      <w:r w:rsidRPr="007435E8">
        <w:rPr>
          <w:rFonts w:asciiTheme="majorBidi" w:hAnsiTheme="majorBidi" w:cstheme="majorBidi"/>
          <w:lang w:val="en-GB"/>
        </w:rPr>
        <w:t>Disponible en:</w:t>
      </w:r>
      <w:r>
        <w:fldChar w:fldCharType="begin"/>
      </w:r>
      <w:r w:rsidRPr="00AF64EA">
        <w:rPr>
          <w:lang w:val="en-GB"/>
        </w:rPr>
        <w:instrText>HYPERLINK "https://techblog.comsoc.org/2022/02/27/excerpts-of-itu-r-preliminary-draft-new-report-future-technology-trends-of-terrestrial-imt-systems-towards-2030-and-beyond/" \h</w:instrText>
      </w:r>
      <w:r>
        <w:fldChar w:fldCharType="separate"/>
      </w:r>
      <w:r w:rsidRPr="007435E8">
        <w:rPr>
          <w:rFonts w:asciiTheme="majorBidi" w:hAnsiTheme="majorBidi" w:cstheme="majorBidi"/>
          <w:color w:val="1155CC"/>
          <w:u w:val="single"/>
          <w:lang w:val="en-GB"/>
        </w:rPr>
        <w:t xml:space="preserve"> https://techblog.comsoc.org/2022/02/27/excerpts-of-itu-r-preliminary-draft-new-report-future-technology-trends-of-terrestrial-imt-systems-towards-2030-and-beyond/</w:t>
      </w:r>
      <w:r>
        <w:fldChar w:fldCharType="end"/>
      </w:r>
    </w:p>
  </w:footnote>
  <w:footnote w:id="18">
    <w:p w14:paraId="17D3ADEA" w14:textId="65B0A157" w:rsidR="0042295E" w:rsidRPr="007435E8" w:rsidRDefault="0042295E" w:rsidP="00BE184C">
      <w:pPr>
        <w:pStyle w:val="FootnoteText"/>
        <w:jc w:val="left"/>
        <w:rPr>
          <w:lang w:val="fr-FR"/>
        </w:rPr>
      </w:pPr>
      <w:r>
        <w:rPr>
          <w:rStyle w:val="FootnoteReference"/>
        </w:rPr>
        <w:footnoteRef/>
      </w:r>
      <w:r w:rsidRPr="007435E8">
        <w:rPr>
          <w:lang w:val="en-US"/>
        </w:rPr>
        <w:tab/>
      </w:r>
      <w:r w:rsidRPr="007435E8">
        <w:rPr>
          <w:rFonts w:asciiTheme="majorBidi" w:hAnsiTheme="majorBidi" w:cstheme="majorBidi"/>
          <w:lang w:val="en-US"/>
        </w:rPr>
        <w:t xml:space="preserve">Nokia, 2021. </w:t>
      </w:r>
      <w:r w:rsidR="005C5101" w:rsidRPr="00BE184C">
        <w:rPr>
          <w:rFonts w:asciiTheme="majorBidi" w:hAnsiTheme="majorBidi" w:cstheme="majorBidi"/>
          <w:i/>
          <w:iCs/>
          <w:lang w:val="en-GB"/>
        </w:rPr>
        <w:t>Network evolution towards the 6G era</w:t>
      </w:r>
      <w:r w:rsidRPr="00BE184C">
        <w:rPr>
          <w:rFonts w:asciiTheme="majorBidi" w:hAnsiTheme="majorBidi" w:cstheme="majorBidi"/>
          <w:lang w:val="en-GB"/>
        </w:rPr>
        <w:t xml:space="preserve">. </w:t>
      </w:r>
      <w:r w:rsidRPr="007435E8">
        <w:rPr>
          <w:rFonts w:asciiTheme="majorBidi" w:hAnsiTheme="majorBidi" w:cstheme="majorBidi"/>
          <w:lang w:val="fr-FR"/>
        </w:rPr>
        <w:t xml:space="preserve">Disponible </w:t>
      </w:r>
      <w:proofErr w:type="gramStart"/>
      <w:r w:rsidRPr="007435E8">
        <w:rPr>
          <w:rFonts w:asciiTheme="majorBidi" w:hAnsiTheme="majorBidi" w:cstheme="majorBidi"/>
          <w:lang w:val="fr-FR"/>
        </w:rPr>
        <w:t>en:</w:t>
      </w:r>
      <w:r>
        <w:fldChar w:fldCharType="begin"/>
      </w:r>
      <w:r w:rsidRPr="0091678E">
        <w:rPr>
          <w:lang w:val="fr-FR"/>
        </w:rPr>
        <w:instrText>HYPERLINK "https://www.nokia.com/blog/network-evolution-towards-the-6g-era/" \h</w:instrText>
      </w:r>
      <w:r>
        <w:fldChar w:fldCharType="separate"/>
      </w:r>
      <w:r w:rsidRPr="007435E8">
        <w:rPr>
          <w:rFonts w:asciiTheme="majorBidi" w:hAnsiTheme="majorBidi" w:cstheme="majorBidi"/>
          <w:color w:val="1155CC"/>
          <w:u w:val="single"/>
          <w:lang w:val="fr-FR"/>
        </w:rPr>
        <w:t xml:space="preserve"> https://www.nokia.com/blog/network-evolution-towards-the-6g-era/</w:t>
      </w:r>
      <w:r>
        <w:fldChar w:fldCharType="end"/>
      </w:r>
      <w:proofErr w:type="gramEnd"/>
    </w:p>
  </w:footnote>
  <w:footnote w:id="19">
    <w:p w14:paraId="2EC3B157" w14:textId="58726A2C" w:rsidR="0042295E" w:rsidRPr="007435E8" w:rsidRDefault="0042295E" w:rsidP="00BE184C">
      <w:pPr>
        <w:pStyle w:val="FootnoteText"/>
        <w:jc w:val="left"/>
        <w:rPr>
          <w:lang w:val="fr-FR"/>
        </w:rPr>
      </w:pPr>
      <w:r>
        <w:rPr>
          <w:rStyle w:val="FootnoteReference"/>
        </w:rPr>
        <w:footnoteRef/>
      </w:r>
      <w:r w:rsidRPr="007435E8">
        <w:rPr>
          <w:lang w:val="fr-FR"/>
        </w:rPr>
        <w:tab/>
      </w:r>
      <w:r w:rsidRPr="007435E8">
        <w:rPr>
          <w:rFonts w:asciiTheme="majorBidi" w:hAnsiTheme="majorBidi" w:cstheme="majorBidi"/>
          <w:lang w:val="fr-FR"/>
        </w:rPr>
        <w:t xml:space="preserve">Ericsson, 2022. </w:t>
      </w:r>
      <w:proofErr w:type="gramStart"/>
      <w:r w:rsidR="005C5101" w:rsidRPr="007435E8">
        <w:rPr>
          <w:rFonts w:asciiTheme="majorBidi" w:hAnsiTheme="majorBidi" w:cstheme="majorBidi"/>
          <w:i/>
          <w:iCs/>
          <w:lang w:val="fr-FR"/>
        </w:rPr>
        <w:t>Future technologies</w:t>
      </w:r>
      <w:proofErr w:type="gramEnd"/>
      <w:r w:rsidR="005C5101" w:rsidRPr="007435E8">
        <w:rPr>
          <w:rFonts w:asciiTheme="majorBidi" w:hAnsiTheme="majorBidi" w:cstheme="majorBidi"/>
          <w:i/>
          <w:iCs/>
          <w:lang w:val="fr-FR"/>
        </w:rPr>
        <w:t xml:space="preserve"> for an intelligent society</w:t>
      </w:r>
      <w:r w:rsidRPr="007435E8">
        <w:rPr>
          <w:rFonts w:asciiTheme="majorBidi" w:hAnsiTheme="majorBidi" w:cstheme="majorBidi"/>
          <w:lang w:val="fr-FR"/>
        </w:rPr>
        <w:t xml:space="preserve">. Disponible </w:t>
      </w:r>
      <w:proofErr w:type="gramStart"/>
      <w:r w:rsidRPr="007435E8">
        <w:rPr>
          <w:rFonts w:asciiTheme="majorBidi" w:hAnsiTheme="majorBidi" w:cstheme="majorBidi"/>
          <w:lang w:val="fr-FR"/>
        </w:rPr>
        <w:t>en:</w:t>
      </w:r>
      <w:r>
        <w:fldChar w:fldCharType="begin"/>
      </w:r>
      <w:r w:rsidRPr="0091678E">
        <w:rPr>
          <w:lang w:val="fr-FR"/>
        </w:rPr>
        <w:instrText>HYPERLINK "https://www.ericsson.com/en/future-technologies" \h</w:instrText>
      </w:r>
      <w:r>
        <w:fldChar w:fldCharType="separate"/>
      </w:r>
      <w:r w:rsidRPr="007435E8">
        <w:rPr>
          <w:rFonts w:asciiTheme="majorBidi" w:hAnsiTheme="majorBidi" w:cstheme="majorBidi"/>
          <w:color w:val="1155CC"/>
          <w:u w:val="single"/>
          <w:lang w:val="fr-FR"/>
        </w:rPr>
        <w:t xml:space="preserve"> https://www.ericsson.com/en/future-technologies</w:t>
      </w:r>
      <w:r>
        <w:fldChar w:fldCharType="end"/>
      </w:r>
      <w:proofErr w:type="gramEnd"/>
    </w:p>
  </w:footnote>
  <w:footnote w:id="20">
    <w:p w14:paraId="24772D73" w14:textId="33490A0A" w:rsidR="0042295E" w:rsidRPr="007435E8" w:rsidRDefault="0042295E" w:rsidP="00BE184C">
      <w:pPr>
        <w:pStyle w:val="FootnoteText"/>
        <w:jc w:val="left"/>
        <w:rPr>
          <w:lang w:val="en-US"/>
        </w:rPr>
      </w:pPr>
      <w:r>
        <w:rPr>
          <w:rStyle w:val="FootnoteReference"/>
        </w:rPr>
        <w:footnoteRef/>
      </w:r>
      <w:r w:rsidRPr="007435E8">
        <w:rPr>
          <w:lang w:val="fr-FR"/>
        </w:rPr>
        <w:tab/>
      </w:r>
      <w:r w:rsidRPr="007435E8">
        <w:rPr>
          <w:rFonts w:asciiTheme="majorBidi" w:hAnsiTheme="majorBidi" w:cstheme="majorBidi"/>
          <w:lang w:val="fr-FR"/>
        </w:rPr>
        <w:t xml:space="preserve">Huawei, 2022. </w:t>
      </w:r>
      <w:r w:rsidR="005C5101" w:rsidRPr="007435E8">
        <w:rPr>
          <w:rFonts w:asciiTheme="majorBidi" w:hAnsiTheme="majorBidi" w:cstheme="majorBidi"/>
          <w:i/>
          <w:iCs/>
          <w:lang w:val="fr-FR"/>
        </w:rPr>
        <w:t>Communications Network 2030</w:t>
      </w:r>
      <w:r w:rsidRPr="007435E8">
        <w:rPr>
          <w:rFonts w:asciiTheme="majorBidi" w:hAnsiTheme="majorBidi" w:cstheme="majorBidi"/>
          <w:lang w:val="fr-FR"/>
        </w:rPr>
        <w:t xml:space="preserve">. </w:t>
      </w:r>
      <w:r w:rsidRPr="007435E8">
        <w:rPr>
          <w:rFonts w:asciiTheme="majorBidi" w:hAnsiTheme="majorBidi" w:cstheme="majorBidi"/>
          <w:lang w:val="en-US"/>
        </w:rPr>
        <w:t>Disponible en:</w:t>
      </w:r>
      <w:r>
        <w:fldChar w:fldCharType="begin"/>
      </w:r>
      <w:r w:rsidRPr="00AF64EA">
        <w:rPr>
          <w:lang w:val="en-GB"/>
        </w:rPr>
        <w:instrText>HYPERLINK "https://www.huawei.com/en/giv/communications-network-2030" \h</w:instrText>
      </w:r>
      <w:r>
        <w:fldChar w:fldCharType="separate"/>
      </w:r>
      <w:r w:rsidRPr="007435E8">
        <w:rPr>
          <w:rFonts w:asciiTheme="majorBidi" w:hAnsiTheme="majorBidi" w:cstheme="majorBidi"/>
          <w:color w:val="1155CC"/>
          <w:u w:val="single"/>
          <w:lang w:val="en-US"/>
        </w:rPr>
        <w:t xml:space="preserve"> https://www.huawei.com/en/giv/communications-network-2030</w:t>
      </w:r>
      <w:r>
        <w:fldChar w:fldCharType="end"/>
      </w:r>
    </w:p>
  </w:footnote>
  <w:footnote w:id="21">
    <w:p w14:paraId="0B175C43" w14:textId="0D99B808" w:rsidR="0042295E" w:rsidRPr="007435E8" w:rsidRDefault="0042295E" w:rsidP="0042295E">
      <w:pPr>
        <w:pStyle w:val="FootnoteText"/>
        <w:rPr>
          <w:lang w:val="en-US"/>
        </w:rPr>
      </w:pPr>
      <w:r>
        <w:rPr>
          <w:rStyle w:val="FootnoteReference"/>
        </w:rPr>
        <w:footnoteRef/>
      </w:r>
      <w:r w:rsidRPr="007435E8">
        <w:rPr>
          <w:lang w:val="en-US"/>
        </w:rPr>
        <w:tab/>
      </w:r>
      <w:r w:rsidRPr="007435E8">
        <w:rPr>
          <w:rFonts w:asciiTheme="majorBidi" w:hAnsiTheme="majorBidi" w:cstheme="majorBidi"/>
          <w:lang w:val="en-US"/>
        </w:rPr>
        <w:t xml:space="preserve">NSF, 2022. </w:t>
      </w:r>
      <w:r w:rsidR="005C5101" w:rsidRPr="00BE184C">
        <w:rPr>
          <w:rFonts w:asciiTheme="majorBidi" w:hAnsiTheme="majorBidi" w:cstheme="majorBidi"/>
          <w:i/>
          <w:iCs/>
          <w:lang w:val="en-GB"/>
        </w:rPr>
        <w:t>IEEE Next G Summit Plenary (An Overview of NSF’s Support for NextG Research) Alex Sprintson, NS</w:t>
      </w:r>
      <w:r w:rsidRPr="00BE184C">
        <w:rPr>
          <w:rFonts w:asciiTheme="majorBidi" w:hAnsiTheme="majorBidi" w:cstheme="majorBidi"/>
          <w:lang w:val="en-GB"/>
        </w:rPr>
        <w:t xml:space="preserve">. </w:t>
      </w:r>
      <w:r w:rsidRPr="007435E8">
        <w:rPr>
          <w:rFonts w:asciiTheme="majorBidi" w:hAnsiTheme="majorBidi" w:cstheme="majorBidi"/>
          <w:lang w:val="en-US"/>
        </w:rPr>
        <w:t>Disponible en:</w:t>
      </w:r>
      <w:r>
        <w:fldChar w:fldCharType="begin"/>
      </w:r>
      <w:r w:rsidRPr="00AF64EA">
        <w:rPr>
          <w:lang w:val="en-GB"/>
        </w:rPr>
        <w:instrText>HYPERLINK "https://www.youtube.com/watch?v=B6_ywxYHzAM" \h</w:instrText>
      </w:r>
      <w:r>
        <w:fldChar w:fldCharType="separate"/>
      </w:r>
      <w:r w:rsidRPr="007435E8">
        <w:rPr>
          <w:rFonts w:asciiTheme="majorBidi" w:hAnsiTheme="majorBidi" w:cstheme="majorBidi"/>
          <w:color w:val="1155CC"/>
          <w:u w:val="single"/>
          <w:lang w:val="en-US"/>
        </w:rPr>
        <w:t xml:space="preserve"> https://www.youtube.com/watch?v=B6_ywxYHzAM</w:t>
      </w:r>
      <w:r>
        <w:fldChar w:fldCharType="end"/>
      </w:r>
    </w:p>
  </w:footnote>
  <w:footnote w:id="22">
    <w:p w14:paraId="1A3B34C2" w14:textId="3DB0F7EA" w:rsidR="0042295E" w:rsidRPr="007435E8" w:rsidRDefault="0042295E" w:rsidP="0042295E">
      <w:pPr>
        <w:pStyle w:val="FootnoteText"/>
        <w:rPr>
          <w:b/>
          <w:bCs/>
          <w:lang w:val="en-GB"/>
        </w:rPr>
      </w:pPr>
      <w:r>
        <w:rPr>
          <w:rStyle w:val="FootnoteReference"/>
        </w:rPr>
        <w:footnoteRef/>
      </w:r>
      <w:r w:rsidRPr="007435E8">
        <w:rPr>
          <w:lang w:val="en-US"/>
        </w:rPr>
        <w:tab/>
      </w:r>
      <w:r w:rsidRPr="007435E8">
        <w:rPr>
          <w:rFonts w:asciiTheme="majorBidi" w:hAnsiTheme="majorBidi" w:cstheme="majorBidi"/>
          <w:lang w:val="en-US"/>
        </w:rPr>
        <w:t xml:space="preserve">HEXA-X, 2022. </w:t>
      </w:r>
      <w:r w:rsidR="005C5101" w:rsidRPr="00BE184C">
        <w:rPr>
          <w:rFonts w:asciiTheme="majorBidi" w:eastAsiaTheme="majorEastAsia" w:hAnsiTheme="majorBidi" w:cstheme="majorBidi"/>
          <w:i/>
          <w:iCs/>
          <w:color w:val="1E1E1E"/>
          <w:bdr w:val="none" w:sz="0" w:space="0" w:color="auto" w:frame="1"/>
          <w:lang w:val="en-US"/>
        </w:rPr>
        <w:t>A flagship for 6G vision and intelligent fabric of technology enablers connecting human, physical, and digital worlds</w:t>
      </w:r>
      <w:r w:rsidRPr="00BE184C">
        <w:rPr>
          <w:rFonts w:asciiTheme="majorBidi" w:eastAsiaTheme="majorEastAsia" w:hAnsiTheme="majorBidi" w:cstheme="majorBidi"/>
          <w:color w:val="1E1E1E"/>
          <w:bdr w:val="none" w:sz="0" w:space="0" w:color="auto" w:frame="1"/>
          <w:lang w:val="en-GB"/>
        </w:rPr>
        <w:t xml:space="preserve">. </w:t>
      </w:r>
      <w:r w:rsidRPr="007435E8">
        <w:rPr>
          <w:rFonts w:asciiTheme="majorBidi" w:eastAsiaTheme="majorEastAsia" w:hAnsiTheme="majorBidi" w:cstheme="majorBidi"/>
          <w:color w:val="1E1E1E"/>
          <w:bdr w:val="none" w:sz="0" w:space="0" w:color="auto" w:frame="1"/>
          <w:lang w:val="en-GB"/>
        </w:rPr>
        <w:t>Disponible en:</w:t>
      </w:r>
      <w:r>
        <w:fldChar w:fldCharType="begin"/>
      </w:r>
      <w:r w:rsidRPr="00AF64EA">
        <w:rPr>
          <w:lang w:val="en-GB"/>
        </w:rPr>
        <w:instrText>HYPERLINK "https://hexa-x.eu"</w:instrText>
      </w:r>
      <w:r>
        <w:fldChar w:fldCharType="separate"/>
      </w:r>
      <w:r w:rsidRPr="007435E8">
        <w:rPr>
          <w:rStyle w:val="Hyperlink"/>
          <w:rFonts w:asciiTheme="majorBidi" w:hAnsiTheme="majorBidi" w:cstheme="majorBidi"/>
          <w:lang w:val="en-GB"/>
        </w:rPr>
        <w:t xml:space="preserve"> https://hexa-x.eu</w:t>
      </w:r>
      <w:r>
        <w:fldChar w:fldCharType="end"/>
      </w:r>
    </w:p>
  </w:footnote>
  <w:footnote w:id="23">
    <w:p w14:paraId="6C63B5B7" w14:textId="25446F40" w:rsidR="0042295E" w:rsidRPr="007435E8" w:rsidRDefault="0042295E" w:rsidP="0042295E">
      <w:pPr>
        <w:pStyle w:val="FootnoteText"/>
        <w:rPr>
          <w:lang w:val="en-GB"/>
        </w:rPr>
      </w:pPr>
      <w:r>
        <w:rPr>
          <w:rStyle w:val="FootnoteReference"/>
        </w:rPr>
        <w:footnoteRef/>
      </w:r>
      <w:r w:rsidRPr="007435E8">
        <w:rPr>
          <w:lang w:val="en-GB"/>
        </w:rPr>
        <w:tab/>
      </w:r>
      <w:r w:rsidRPr="007435E8">
        <w:rPr>
          <w:rFonts w:asciiTheme="majorBidi" w:hAnsiTheme="majorBidi" w:cstheme="majorBidi"/>
          <w:lang w:val="en-GB"/>
        </w:rPr>
        <w:t xml:space="preserve">EAU, 2022. </w:t>
      </w:r>
      <w:r w:rsidR="003007B1" w:rsidRPr="00BE184C">
        <w:rPr>
          <w:rFonts w:asciiTheme="majorBidi" w:hAnsiTheme="majorBidi" w:cstheme="majorBidi"/>
          <w:i/>
          <w:iCs/>
          <w:lang w:val="en-GB"/>
        </w:rPr>
        <w:t>UAE Energy Strategy 2050</w:t>
      </w:r>
      <w:r w:rsidRPr="007435E8">
        <w:rPr>
          <w:rFonts w:asciiTheme="majorBidi" w:hAnsiTheme="majorBidi" w:cstheme="majorBidi"/>
          <w:lang w:val="en-GB"/>
        </w:rPr>
        <w:t>. Disponible en:</w:t>
      </w:r>
      <w:r>
        <w:fldChar w:fldCharType="begin"/>
      </w:r>
      <w:r w:rsidRPr="00AF64EA">
        <w:rPr>
          <w:lang w:val="en-GB"/>
        </w:rPr>
        <w:instrText>HYPERLINK "https://eur03.safelinks.protection.outlook.com/?url=https%3A%2F%2Fu.ae%2Fen%2Fabout-the-uae%2Fstrategies-initiatives-and-awards%2Fstrategies-plans-and-visions%2Fenvironment-and-energy%2Fuae-energy-strategy-2050&amp;data=05%7C02%7CPhilippe.Aubineau%40itu.int%7C165bfc6500f249c8000d08dd1e7fc537%7C23e464d704e64b87913c24bd89219fd3%7C0%7C0%7C638700256330770159%7CUnknown%7CTWFpbGZsb3d8eyJFbXB0eU1hcGkiOnRydWUsIlYiOiIwLjAuMDAwMCIsIlAiOiJXaW4zMiIsIkFOIjoiTWFpbCIsIldUIjoyfQ%3D%3D%7C0%7C%7C%7C&amp;sdata=5O4gNhE%2FrDtMxypZUbID6RRR0o39mfkhIoFHEJ4Amlg%3D&amp;reserved=0"</w:instrText>
      </w:r>
      <w:r>
        <w:fldChar w:fldCharType="separate"/>
      </w:r>
      <w:r w:rsidRPr="007435E8">
        <w:rPr>
          <w:rStyle w:val="Hyperlink"/>
          <w:rFonts w:asciiTheme="majorBidi" w:hAnsiTheme="majorBidi" w:cstheme="majorBidi"/>
          <w:lang w:val="en-GB"/>
        </w:rPr>
        <w:t xml:space="preserve"> https://u.ae/en/about-the-uae/strategies-initiatives-and-awards/strategies-plans-and-visions/environment-and-energy/uae-energy-strategy-2050</w:t>
      </w:r>
      <w:r>
        <w:fldChar w:fldCharType="end"/>
      </w:r>
    </w:p>
  </w:footnote>
  <w:footnote w:id="24">
    <w:p w14:paraId="483F1302" w14:textId="360EFC5C" w:rsidR="0042295E" w:rsidRPr="00BE184C" w:rsidRDefault="0042295E" w:rsidP="0042295E">
      <w:pPr>
        <w:pStyle w:val="FootnoteText"/>
      </w:pPr>
      <w:r>
        <w:rPr>
          <w:rStyle w:val="FootnoteReference"/>
        </w:rPr>
        <w:footnoteRef/>
      </w:r>
      <w:r w:rsidRPr="007435E8">
        <w:rPr>
          <w:lang w:val="en-US"/>
        </w:rPr>
        <w:tab/>
      </w:r>
      <w:r w:rsidRPr="007435E8">
        <w:rPr>
          <w:rFonts w:asciiTheme="majorBidi" w:hAnsiTheme="majorBidi" w:cstheme="majorBidi"/>
          <w:lang w:val="en-US"/>
        </w:rPr>
        <w:t xml:space="preserve">Hexa-X, 2020. </w:t>
      </w:r>
      <w:r w:rsidR="003007B1" w:rsidRPr="00BE184C">
        <w:rPr>
          <w:rFonts w:asciiTheme="majorBidi" w:hAnsiTheme="majorBidi" w:cstheme="majorBidi"/>
          <w:i/>
          <w:iCs/>
          <w:lang w:val="en-GB"/>
        </w:rPr>
        <w:t>Deliverable D1.2 Expanded 6G vision, use cases and societal values</w:t>
      </w:r>
      <w:r w:rsidRPr="00BE184C">
        <w:rPr>
          <w:rFonts w:asciiTheme="majorBidi" w:hAnsiTheme="majorBidi" w:cstheme="majorBidi"/>
          <w:lang w:val="en-GB"/>
        </w:rPr>
        <w:t xml:space="preserve">. </w:t>
      </w:r>
      <w:r w:rsidRPr="007247BE">
        <w:rPr>
          <w:rFonts w:asciiTheme="majorBidi" w:hAnsiTheme="majorBidi" w:cstheme="majorBidi"/>
        </w:rPr>
        <w:t>Disponible en:</w:t>
      </w:r>
      <w:hyperlink r:id="rId6">
        <w:r w:rsidRPr="008E3B25">
          <w:rPr>
            <w:rFonts w:asciiTheme="majorBidi" w:hAnsiTheme="majorBidi" w:cstheme="majorBidi"/>
            <w:color w:val="0000FF"/>
            <w:u w:val="single"/>
          </w:rPr>
          <w:t xml:space="preserve"> https://hexa-x.eu/wp-content/uploads/2022/04/Hexa-X_D1.2_Edited.pdf</w:t>
        </w:r>
      </w:hyperlink>
    </w:p>
  </w:footnote>
  <w:footnote w:id="25">
    <w:p w14:paraId="36C9125D" w14:textId="64544191" w:rsidR="0042295E" w:rsidRPr="007247BE" w:rsidRDefault="0042295E" w:rsidP="0042295E">
      <w:pPr>
        <w:pStyle w:val="FootnoteText"/>
        <w:rPr>
          <w:rFonts w:asciiTheme="majorBidi" w:hAnsiTheme="majorBidi" w:cstheme="majorBidi"/>
        </w:rPr>
      </w:pPr>
      <w:r w:rsidRPr="007247BE">
        <w:rPr>
          <w:rStyle w:val="FootnoteReference"/>
          <w:rFonts w:asciiTheme="majorBidi" w:hAnsiTheme="majorBidi" w:cstheme="majorBidi"/>
        </w:rPr>
        <w:footnoteRef/>
      </w:r>
      <w:r>
        <w:rPr>
          <w:rFonts w:asciiTheme="majorBidi" w:hAnsiTheme="majorBidi" w:cstheme="majorBidi"/>
        </w:rPr>
        <w:tab/>
      </w:r>
      <w:r w:rsidRPr="007247BE">
        <w:rPr>
          <w:rFonts w:asciiTheme="majorBidi" w:hAnsiTheme="majorBidi" w:cstheme="majorBidi"/>
        </w:rPr>
        <w:t xml:space="preserve">En esta sección, </w:t>
      </w:r>
      <w:r w:rsidR="007165A4">
        <w:rPr>
          <w:rFonts w:asciiTheme="majorBidi" w:hAnsiTheme="majorBidi" w:cstheme="majorBidi"/>
        </w:rPr>
        <w:t>al aludirse a</w:t>
      </w:r>
      <w:r w:rsidRPr="007247BE">
        <w:rPr>
          <w:rFonts w:asciiTheme="majorBidi" w:hAnsiTheme="majorBidi" w:cstheme="majorBidi"/>
        </w:rPr>
        <w:t xml:space="preserve"> prácticas internacionales habituales, los términos «licencia» y «autorización» se aplican de forma genérica e indiferente </w:t>
      </w:r>
      <w:r w:rsidR="007165A4">
        <w:rPr>
          <w:rFonts w:asciiTheme="majorBidi" w:hAnsiTheme="majorBidi" w:cstheme="majorBidi"/>
        </w:rPr>
        <w:t xml:space="preserve">con respecto </w:t>
      </w:r>
      <w:r w:rsidRPr="007247BE">
        <w:rPr>
          <w:rFonts w:asciiTheme="majorBidi" w:hAnsiTheme="majorBidi" w:cstheme="majorBidi"/>
        </w:rPr>
        <w:t>al espectro.</w:t>
      </w:r>
    </w:p>
  </w:footnote>
  <w:footnote w:id="26">
    <w:p w14:paraId="08A51214" w14:textId="243D962C" w:rsidR="007165A4" w:rsidRPr="005E0419" w:rsidRDefault="007165A4" w:rsidP="007165A4">
      <w:pPr>
        <w:pStyle w:val="FootnoteText"/>
        <w:rPr>
          <w:lang w:val="en-US"/>
        </w:rPr>
      </w:pPr>
      <w:r>
        <w:rPr>
          <w:rStyle w:val="FootnoteReference"/>
        </w:rPr>
        <w:footnoteRef/>
      </w:r>
      <w:r w:rsidRPr="007435E8">
        <w:rPr>
          <w:lang w:val="en-US"/>
        </w:rPr>
        <w:tab/>
      </w:r>
      <w:r w:rsidRPr="007435E8">
        <w:rPr>
          <w:rFonts w:asciiTheme="majorBidi" w:hAnsiTheme="majorBidi" w:cstheme="majorBidi"/>
          <w:lang w:val="en-US"/>
        </w:rPr>
        <w:t xml:space="preserve">NTIA, 2020. </w:t>
      </w:r>
      <w:r w:rsidR="00F713C1" w:rsidRPr="00BE184C">
        <w:rPr>
          <w:rFonts w:asciiTheme="majorBidi" w:hAnsiTheme="majorBidi" w:cstheme="majorBidi"/>
          <w:i/>
          <w:iCs/>
          <w:lang w:val="en-GB"/>
        </w:rPr>
        <w:t>Incumbent Informing Capability (IIC) For Time-Based Spectrum Sharing</w:t>
      </w:r>
      <w:r w:rsidRPr="00F713C1">
        <w:rPr>
          <w:rFonts w:asciiTheme="majorBidi" w:hAnsiTheme="majorBidi" w:cstheme="majorBidi"/>
          <w:lang w:val="en-GB"/>
        </w:rPr>
        <w:t>. Disponible en:</w:t>
      </w:r>
      <w:hyperlink r:id="rId7">
        <w:r w:rsidRPr="00F713C1">
          <w:rPr>
            <w:rFonts w:asciiTheme="majorBidi" w:hAnsiTheme="majorBidi" w:cstheme="majorBidi"/>
            <w:color w:val="0000FF"/>
            <w:u w:val="single"/>
            <w:lang w:val="en-GB"/>
          </w:rPr>
          <w:t xml:space="preserve"> https://www.ntia.doc.gov/files/ntia/publications/iic_for_time-based_spectrum_sharing.pdf</w:t>
        </w:r>
      </w:hyperlink>
    </w:p>
  </w:footnote>
  <w:footnote w:id="27">
    <w:p w14:paraId="017400DF" w14:textId="611CAC8B" w:rsidR="0027482E" w:rsidRPr="0027482E" w:rsidRDefault="0027482E" w:rsidP="006D2C34">
      <w:pPr>
        <w:pStyle w:val="FootnoteText"/>
        <w:jc w:val="left"/>
        <w:rPr>
          <w:rFonts w:asciiTheme="majorBidi" w:hAnsiTheme="majorBidi" w:cstheme="majorBidi"/>
          <w:color w:val="000000"/>
          <w:lang w:val="fr-FR"/>
        </w:rPr>
      </w:pPr>
      <w:r w:rsidRPr="00043BF5">
        <w:rPr>
          <w:rStyle w:val="FootnoteReference"/>
        </w:rPr>
        <w:footnoteRef/>
      </w:r>
      <w:r w:rsidRPr="007435E8">
        <w:rPr>
          <w:rFonts w:asciiTheme="majorBidi" w:hAnsiTheme="majorBidi" w:cstheme="majorBidi"/>
          <w:color w:val="000000"/>
          <w:lang w:val="en-GB"/>
        </w:rPr>
        <w:tab/>
        <w:t xml:space="preserve">UIT, 2022. </w:t>
      </w:r>
      <w:r w:rsidR="006D2C34" w:rsidRPr="006D2C34">
        <w:rPr>
          <w:rFonts w:asciiTheme="majorBidi" w:hAnsiTheme="majorBidi" w:cstheme="majorBidi"/>
          <w:i/>
          <w:iCs/>
          <w:color w:val="000000"/>
          <w:lang w:val="en-GB"/>
        </w:rPr>
        <w:t>AI will make radiocommunications smarter</w:t>
      </w:r>
      <w:r w:rsidRPr="006D2C34">
        <w:rPr>
          <w:rFonts w:asciiTheme="majorBidi" w:hAnsiTheme="majorBidi" w:cstheme="majorBidi"/>
          <w:color w:val="000000"/>
          <w:lang w:val="en-GB"/>
        </w:rPr>
        <w:t xml:space="preserve">. </w:t>
      </w:r>
      <w:r w:rsidRPr="0027482E">
        <w:rPr>
          <w:rFonts w:asciiTheme="majorBidi" w:hAnsiTheme="majorBidi" w:cstheme="majorBidi"/>
          <w:color w:val="000000"/>
          <w:lang w:val="fr-FR"/>
        </w:rPr>
        <w:t xml:space="preserve">Disponible </w:t>
      </w:r>
      <w:proofErr w:type="gramStart"/>
      <w:r w:rsidRPr="0027482E">
        <w:rPr>
          <w:rFonts w:asciiTheme="majorBidi" w:hAnsiTheme="majorBidi" w:cstheme="majorBidi"/>
          <w:color w:val="000000"/>
          <w:lang w:val="fr-FR"/>
        </w:rPr>
        <w:t>en:</w:t>
      </w:r>
      <w:r>
        <w:fldChar w:fldCharType="begin"/>
      </w:r>
      <w:r w:rsidRPr="000C0355">
        <w:rPr>
          <w:lang w:val="fr-FR"/>
        </w:rPr>
        <w:instrText>HYPERLINK "https://www.itu.int/en/action/ai/emerging-radio-technologies/Pages/default.aspx" \h</w:instrText>
      </w:r>
      <w:r>
        <w:fldChar w:fldCharType="separate"/>
      </w:r>
      <w:r w:rsidRPr="0027482E">
        <w:rPr>
          <w:rFonts w:asciiTheme="majorBidi" w:hAnsiTheme="majorBidi" w:cstheme="majorBidi"/>
          <w:color w:val="0000FF"/>
          <w:u w:val="single"/>
          <w:lang w:val="fr-FR"/>
        </w:rPr>
        <w:t xml:space="preserve"> https://www.itu.int/en/action/ai/emerging-radio-technologies/Pages/default.aspx</w:t>
      </w:r>
      <w:r>
        <w:fldChar w:fldCharType="end"/>
      </w:r>
      <w:proofErr w:type="gramEnd"/>
    </w:p>
  </w:footnote>
  <w:footnote w:id="28">
    <w:p w14:paraId="5A52206F" w14:textId="29FBFA05" w:rsidR="0027482E" w:rsidRPr="007435E8" w:rsidRDefault="0027482E" w:rsidP="00922052">
      <w:pPr>
        <w:pStyle w:val="FootnoteText"/>
        <w:jc w:val="left"/>
        <w:rPr>
          <w:rFonts w:asciiTheme="majorBidi" w:hAnsiTheme="majorBidi" w:cstheme="majorBidi"/>
          <w:color w:val="000000"/>
          <w:lang w:val="fr-FR"/>
        </w:rPr>
      </w:pPr>
      <w:r w:rsidRPr="00043BF5">
        <w:rPr>
          <w:rStyle w:val="FootnoteReference"/>
        </w:rPr>
        <w:footnoteRef/>
      </w:r>
      <w:r w:rsidRPr="0027482E">
        <w:rPr>
          <w:rFonts w:asciiTheme="majorBidi" w:hAnsiTheme="majorBidi" w:cstheme="majorBidi"/>
          <w:color w:val="000000"/>
          <w:lang w:val="fr-FR"/>
        </w:rPr>
        <w:tab/>
        <w:t xml:space="preserve">Y.-C. </w:t>
      </w:r>
      <w:r w:rsidRPr="0027482E">
        <w:rPr>
          <w:color w:val="000000"/>
          <w:lang w:val="fr-FR"/>
        </w:rPr>
        <w:t>Liang</w:t>
      </w:r>
      <w:r w:rsidRPr="0027482E">
        <w:rPr>
          <w:rFonts w:asciiTheme="majorBidi" w:hAnsiTheme="majorBidi" w:cstheme="majorBidi"/>
          <w:color w:val="000000"/>
          <w:lang w:val="fr-FR"/>
        </w:rPr>
        <w:t xml:space="preserve">, 2020. </w:t>
      </w:r>
      <w:r w:rsidR="00922052" w:rsidRPr="007435E8">
        <w:rPr>
          <w:rFonts w:asciiTheme="majorBidi" w:hAnsiTheme="majorBidi" w:cstheme="majorBidi"/>
          <w:i/>
          <w:iCs/>
          <w:color w:val="000000"/>
          <w:lang w:val="fr-FR"/>
        </w:rPr>
        <w:t>Dynamic Spectrum Management, Signals and Communication Technology</w:t>
      </w:r>
      <w:r w:rsidRPr="007435E8">
        <w:rPr>
          <w:rFonts w:asciiTheme="majorBidi" w:hAnsiTheme="majorBidi" w:cstheme="majorBidi"/>
          <w:color w:val="000000"/>
          <w:lang w:val="fr-FR"/>
        </w:rPr>
        <w:t>.</w:t>
      </w:r>
      <w:hyperlink r:id="rId8">
        <w:r w:rsidRPr="007435E8">
          <w:rPr>
            <w:rFonts w:asciiTheme="majorBidi" w:hAnsiTheme="majorBidi" w:cstheme="majorBidi"/>
            <w:color w:val="0000FF"/>
            <w:u w:val="single"/>
            <w:lang w:val="fr-FR"/>
          </w:rPr>
          <w:t xml:space="preserve"> https://doi.org/10.1007/978-981-15-0776-2_6</w:t>
        </w:r>
      </w:hyperlink>
    </w:p>
  </w:footnote>
  <w:footnote w:id="29">
    <w:p w14:paraId="1BB32FB9" w14:textId="7B87E9C0" w:rsidR="0027482E" w:rsidRPr="0027482E" w:rsidRDefault="0027482E" w:rsidP="00922052">
      <w:pPr>
        <w:pStyle w:val="FootnoteText"/>
        <w:jc w:val="left"/>
        <w:rPr>
          <w:rFonts w:ascii="Arial" w:hAnsi="Arial" w:cs="Arial"/>
          <w:color w:val="000000"/>
          <w:lang w:val="fr-FR"/>
        </w:rPr>
      </w:pPr>
      <w:r w:rsidRPr="00043BF5">
        <w:rPr>
          <w:rStyle w:val="FootnoteReference"/>
        </w:rPr>
        <w:footnoteRef/>
      </w:r>
      <w:r w:rsidRPr="0035402A">
        <w:rPr>
          <w:color w:val="000000"/>
        </w:rPr>
        <w:tab/>
        <w:t>Centro de Ingeniería de Telecomunicaciones, 2021.</w:t>
      </w:r>
      <w:r w:rsidR="00922052" w:rsidRPr="0035402A">
        <w:rPr>
          <w:color w:val="000000"/>
        </w:rPr>
        <w:t xml:space="preserve"> </w:t>
      </w:r>
      <w:r w:rsidR="00922052" w:rsidRPr="007435E8">
        <w:rPr>
          <w:i/>
          <w:iCs/>
          <w:color w:val="000000"/>
          <w:lang w:val="fr-FR"/>
        </w:rPr>
        <w:t>AI in Spectrum Management</w:t>
      </w:r>
      <w:r w:rsidRPr="007435E8">
        <w:rPr>
          <w:color w:val="000000"/>
          <w:lang w:val="fr-FR"/>
        </w:rPr>
        <w:t xml:space="preserve">. </w:t>
      </w:r>
      <w:r w:rsidRPr="0027482E">
        <w:rPr>
          <w:color w:val="000000"/>
          <w:lang w:val="fr-FR"/>
        </w:rPr>
        <w:t xml:space="preserve">Disponible </w:t>
      </w:r>
      <w:proofErr w:type="gramStart"/>
      <w:r w:rsidRPr="0027482E">
        <w:rPr>
          <w:color w:val="000000"/>
          <w:lang w:val="fr-FR"/>
        </w:rPr>
        <w:t>en:</w:t>
      </w:r>
      <w:proofErr w:type="gramEnd"/>
      <w:hyperlink r:id="rId9">
        <w:r w:rsidRPr="0027482E">
          <w:rPr>
            <w:color w:val="0000FF"/>
            <w:u w:val="single"/>
            <w:lang w:val="fr-FR"/>
          </w:rPr>
          <w:t xml:space="preserve"> https://www.tec.gov.in/pdf/Studypaper/AI_in_Spectrum_management.pdf</w:t>
        </w:r>
      </w:hyperlink>
    </w:p>
  </w:footnote>
  <w:footnote w:id="30">
    <w:p w14:paraId="443A92A4" w14:textId="7B0C9D13" w:rsidR="0027482E" w:rsidRPr="007247BE" w:rsidRDefault="0027482E" w:rsidP="00922052">
      <w:pPr>
        <w:pStyle w:val="FootnoteText"/>
        <w:jc w:val="left"/>
        <w:rPr>
          <w:rFonts w:asciiTheme="majorBidi" w:hAnsiTheme="majorBidi" w:cstheme="majorBidi"/>
          <w:color w:val="000000"/>
        </w:rPr>
      </w:pPr>
      <w:r w:rsidRPr="00043BF5">
        <w:rPr>
          <w:rStyle w:val="FootnoteReference"/>
        </w:rPr>
        <w:footnoteRef/>
      </w:r>
      <w:r w:rsidRPr="007435E8">
        <w:rPr>
          <w:rFonts w:asciiTheme="majorBidi" w:hAnsiTheme="majorBidi" w:cstheme="majorBidi"/>
          <w:color w:val="000000"/>
          <w:lang w:val="en-US"/>
        </w:rPr>
        <w:tab/>
        <w:t xml:space="preserve">Martin BH </w:t>
      </w:r>
      <w:r w:rsidRPr="007435E8">
        <w:rPr>
          <w:color w:val="000000"/>
          <w:lang w:val="en-US"/>
        </w:rPr>
        <w:t xml:space="preserve">Weiss </w:t>
      </w:r>
      <w:r w:rsidRPr="007435E8">
        <w:rPr>
          <w:rFonts w:asciiTheme="majorBidi" w:hAnsiTheme="majorBidi" w:cstheme="majorBidi"/>
          <w:color w:val="000000"/>
          <w:lang w:val="en-US"/>
        </w:rPr>
        <w:t xml:space="preserve">et al., 2019. </w:t>
      </w:r>
      <w:r w:rsidR="00922052" w:rsidRPr="00922052">
        <w:rPr>
          <w:rFonts w:asciiTheme="majorBidi" w:hAnsiTheme="majorBidi" w:cstheme="majorBidi"/>
          <w:i/>
          <w:iCs/>
          <w:color w:val="000000"/>
          <w:lang w:val="en-GB"/>
        </w:rPr>
        <w:t xml:space="preserve">On the Applications of Blockchain to Spectrum Management. </w:t>
      </w:r>
      <w:r w:rsidR="00922052" w:rsidRPr="00922052">
        <w:rPr>
          <w:rFonts w:asciiTheme="majorBidi" w:hAnsiTheme="majorBidi" w:cstheme="majorBidi"/>
          <w:i/>
          <w:iCs/>
          <w:color w:val="000000"/>
        </w:rPr>
        <w:t>IEEE Transactions on Cognitive Communications and Networking</w:t>
      </w:r>
      <w:r w:rsidRPr="007247BE">
        <w:rPr>
          <w:rFonts w:asciiTheme="majorBidi" w:hAnsiTheme="majorBidi" w:cstheme="majorBidi"/>
          <w:color w:val="000000"/>
        </w:rPr>
        <w:t>.</w:t>
      </w:r>
    </w:p>
  </w:footnote>
  <w:footnote w:id="31">
    <w:p w14:paraId="16186D88" w14:textId="5020E5B0" w:rsidR="0027482E" w:rsidRPr="007247BE" w:rsidRDefault="0027482E" w:rsidP="00A806BB">
      <w:pPr>
        <w:pStyle w:val="FootnoteText"/>
        <w:jc w:val="left"/>
        <w:rPr>
          <w:rFonts w:asciiTheme="majorBidi" w:hAnsiTheme="majorBidi" w:cstheme="majorBidi"/>
        </w:rPr>
      </w:pPr>
      <w:r w:rsidRPr="00043BF5">
        <w:rPr>
          <w:rStyle w:val="FootnoteReference"/>
          <w:rFonts w:asciiTheme="majorBidi" w:hAnsiTheme="majorBidi" w:cstheme="majorBidi"/>
        </w:rPr>
        <w:footnoteRef/>
      </w:r>
      <w:r w:rsidRPr="00043BF5">
        <w:rPr>
          <w:rStyle w:val="FootnoteReference"/>
        </w:rPr>
        <w:tab/>
      </w:r>
      <w:r w:rsidRPr="007247BE">
        <w:rPr>
          <w:rFonts w:asciiTheme="majorBidi" w:hAnsiTheme="majorBidi" w:cstheme="majorBidi"/>
        </w:rPr>
        <w:t>Ban</w:t>
      </w:r>
      <w:r w:rsidR="0084020E">
        <w:rPr>
          <w:rFonts w:asciiTheme="majorBidi" w:hAnsiTheme="majorBidi" w:cstheme="majorBidi"/>
        </w:rPr>
        <w:t>co</w:t>
      </w:r>
      <w:r w:rsidRPr="007247BE">
        <w:rPr>
          <w:rFonts w:asciiTheme="majorBidi" w:hAnsiTheme="majorBidi" w:cstheme="majorBidi"/>
        </w:rPr>
        <w:t xml:space="preserve"> Central de Emiratos Árabes Unidos, 2020. CBUAE y SAMA publica</w:t>
      </w:r>
      <w:r w:rsidR="0084020E">
        <w:rPr>
          <w:rFonts w:asciiTheme="majorBidi" w:hAnsiTheme="majorBidi" w:cstheme="majorBidi"/>
        </w:rPr>
        <w:t>ro</w:t>
      </w:r>
      <w:r w:rsidRPr="007247BE">
        <w:rPr>
          <w:rFonts w:asciiTheme="majorBidi" w:hAnsiTheme="majorBidi" w:cstheme="majorBidi"/>
        </w:rPr>
        <w:t xml:space="preserve">n un informe sobre los resultados del proyecto conjunto </w:t>
      </w:r>
      <w:r w:rsidR="0084020E">
        <w:rPr>
          <w:rFonts w:asciiTheme="majorBidi" w:hAnsiTheme="majorBidi" w:cstheme="majorBidi"/>
        </w:rPr>
        <w:t xml:space="preserve">sobre divisa </w:t>
      </w:r>
      <w:r w:rsidRPr="007247BE">
        <w:rPr>
          <w:rFonts w:asciiTheme="majorBidi" w:hAnsiTheme="majorBidi" w:cstheme="majorBidi"/>
        </w:rPr>
        <w:t>digital «Aber». Disponible en:</w:t>
      </w:r>
      <w:hyperlink r:id="rId10">
        <w:r w:rsidRPr="008E3B25">
          <w:rPr>
            <w:rFonts w:asciiTheme="majorBidi" w:hAnsiTheme="majorBidi" w:cstheme="majorBidi"/>
            <w:color w:val="0000FF"/>
            <w:u w:val="single"/>
          </w:rPr>
          <w:t xml:space="preserve"> https://www.centralbank.ae/media/nigd2put/cbuae-and-sama-issue-report-on-results-of-joint-digital-currency-project-aber_en.pdf</w:t>
        </w:r>
      </w:hyperlink>
    </w:p>
  </w:footnote>
  <w:footnote w:id="32">
    <w:p w14:paraId="422EA69D" w14:textId="6A448FF8" w:rsidR="0027482E" w:rsidRPr="007247BE" w:rsidRDefault="0027482E" w:rsidP="00A806BB">
      <w:pPr>
        <w:pStyle w:val="FootnoteText"/>
        <w:jc w:val="left"/>
      </w:pPr>
      <w:r w:rsidRPr="00043BF5">
        <w:rPr>
          <w:rStyle w:val="FootnoteReference"/>
          <w:rFonts w:asciiTheme="majorBidi" w:hAnsiTheme="majorBidi" w:cstheme="majorBidi"/>
        </w:rPr>
        <w:footnoteRef/>
      </w:r>
      <w:r w:rsidRPr="00A806BB">
        <w:rPr>
          <w:color w:val="000000"/>
          <w:lang w:val="en-GB"/>
        </w:rPr>
        <w:tab/>
      </w:r>
      <w:r w:rsidR="00A806BB" w:rsidRPr="00A806BB">
        <w:rPr>
          <w:i/>
          <w:iCs/>
          <w:lang w:val="en-GB"/>
        </w:rPr>
        <w:t>Atlantic Council, 2022. Central Bank Digital Currency Tracker</w:t>
      </w:r>
      <w:r w:rsidRPr="00A806BB">
        <w:rPr>
          <w:lang w:val="en-GB"/>
        </w:rPr>
        <w:t xml:space="preserve">. </w:t>
      </w:r>
      <w:r w:rsidRPr="007247BE">
        <w:t>Disponible en:</w:t>
      </w:r>
      <w:hyperlink r:id="rId11">
        <w:r w:rsidRPr="008E3B25">
          <w:rPr>
            <w:color w:val="0000FF"/>
            <w:u w:val="single"/>
          </w:rPr>
          <w:t xml:space="preserve"> https://www.atlanticcouncil.org/cbdctracker/</w:t>
        </w:r>
      </w:hyperlink>
    </w:p>
  </w:footnote>
  <w:footnote w:id="33">
    <w:p w14:paraId="1664A5D4" w14:textId="7876F874" w:rsidR="0010687A" w:rsidRPr="0010687A" w:rsidRDefault="0010687A" w:rsidP="0010687A">
      <w:pPr>
        <w:pStyle w:val="FootnoteText"/>
      </w:pPr>
      <w:r>
        <w:rPr>
          <w:rStyle w:val="FootnoteReference"/>
        </w:rPr>
        <w:footnoteRef/>
      </w:r>
      <w:r>
        <w:tab/>
      </w:r>
      <w:r w:rsidR="00166A6F">
        <w:rPr>
          <w:rFonts w:asciiTheme="majorBidi" w:hAnsiTheme="majorBidi" w:cstheme="majorBidi"/>
        </w:rPr>
        <w:t>Conjunto</w:t>
      </w:r>
      <w:r w:rsidRPr="007247BE">
        <w:rPr>
          <w:rFonts w:asciiTheme="majorBidi" w:hAnsiTheme="majorBidi" w:cstheme="majorBidi"/>
        </w:rPr>
        <w:t xml:space="preserve"> de herramientas </w:t>
      </w:r>
      <w:r w:rsidR="00166A6F">
        <w:rPr>
          <w:rFonts w:asciiTheme="majorBidi" w:hAnsiTheme="majorBidi" w:cstheme="majorBidi"/>
        </w:rPr>
        <w:t>sobre</w:t>
      </w:r>
      <w:r w:rsidRPr="007247BE">
        <w:rPr>
          <w:rFonts w:asciiTheme="majorBidi" w:hAnsiTheme="majorBidi" w:cstheme="majorBidi"/>
        </w:rPr>
        <w:t xml:space="preserve"> planificación de </w:t>
      </w:r>
      <w:r w:rsidR="00166A6F">
        <w:rPr>
          <w:rFonts w:asciiTheme="majorBidi" w:hAnsiTheme="majorBidi" w:cstheme="majorBidi"/>
        </w:rPr>
        <w:t>casos hipotéticos</w:t>
      </w:r>
      <w:r w:rsidRPr="007247BE">
        <w:rPr>
          <w:rFonts w:asciiTheme="majorBidi" w:hAnsiTheme="majorBidi" w:cstheme="majorBidi"/>
        </w:rPr>
        <w:t xml:space="preserve">, guía </w:t>
      </w:r>
      <w:r w:rsidR="00166A6F">
        <w:rPr>
          <w:rFonts w:asciiTheme="majorBidi" w:hAnsiTheme="majorBidi" w:cstheme="majorBidi"/>
        </w:rPr>
        <w:t>gubernamental de</w:t>
      </w:r>
      <w:r w:rsidRPr="007247BE">
        <w:rPr>
          <w:rFonts w:asciiTheme="majorBidi" w:hAnsiTheme="majorBidi" w:cstheme="majorBidi"/>
        </w:rPr>
        <w:t xml:space="preserve"> Emiratos Árabes Unidos, 2019</w:t>
      </w:r>
      <w:r w:rsidRPr="00240041">
        <w:rPr>
          <w:rFonts w:asciiTheme="majorBidi" w:hAnsiTheme="majorBidi" w:cstheme="majorBid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CD2E5" w14:textId="77777777" w:rsidR="001B164E" w:rsidRDefault="001B164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54933" w14:textId="11F84C56" w:rsidR="0014175B" w:rsidRPr="003D1421" w:rsidRDefault="0014175B" w:rsidP="0014175B">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6</w:t>
    </w:r>
    <w:r>
      <w:rPr>
        <w:rStyle w:val="PageNumber"/>
        <w:b/>
        <w:bCs/>
      </w:rPr>
      <w:fldChar w:fldCharType="end"/>
    </w:r>
    <w:r>
      <w:rPr>
        <w:lang w:val="en-US"/>
      </w:rPr>
      <w:tab/>
    </w:r>
    <w:r w:rsidRPr="00E575CD">
      <w:rPr>
        <w:b/>
        <w:bCs/>
        <w:lang w:val="en-US"/>
      </w:rPr>
      <w:t>Rep.</w:t>
    </w:r>
    <w:r>
      <w:rPr>
        <w:lang w:val="en-US"/>
      </w:rPr>
      <w:t xml:space="preserve"> </w:t>
    </w:r>
    <w:r>
      <w:rPr>
        <w:b/>
        <w:bCs/>
      </w:rPr>
      <w:fldChar w:fldCharType="begin"/>
    </w:r>
    <w:r>
      <w:rPr>
        <w:b/>
        <w:bCs/>
        <w:lang w:val="en-US"/>
      </w:rPr>
      <w:instrText>styleref href</w:instrText>
    </w:r>
    <w:r>
      <w:rPr>
        <w:b/>
        <w:bCs/>
      </w:rPr>
      <w:fldChar w:fldCharType="separate"/>
    </w:r>
    <w:r w:rsidR="00C31DA7">
      <w:rPr>
        <w:b/>
        <w:bCs/>
        <w:noProof/>
        <w:lang w:val="en-US"/>
      </w:rPr>
      <w:t>UIT-R  SM.2015-3</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3"/>
      <w:gridCol w:w="5937"/>
    </w:tblGrid>
    <w:tr w:rsidR="005B0371" w:rsidRPr="00A239D1" w14:paraId="0D4622D8" w14:textId="77777777" w:rsidTr="00EF01E2">
      <w:tc>
        <w:tcPr>
          <w:tcW w:w="4634" w:type="dxa"/>
          <w:vAlign w:val="center"/>
        </w:tcPr>
        <w:p w14:paraId="53134992"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25FA456D"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B20F3A">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B20F3A">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40743DB2" w14:textId="77777777" w:rsidTr="00EF01E2">
      <w:tc>
        <w:tcPr>
          <w:tcW w:w="4634" w:type="dxa"/>
          <w:vAlign w:val="center"/>
        </w:tcPr>
        <w:p w14:paraId="56B36D71" w14:textId="77777777" w:rsidR="00EE47C4" w:rsidRPr="00260B24" w:rsidRDefault="00EE47C4" w:rsidP="00744F8B">
          <w:pPr>
            <w:pStyle w:val="Header"/>
            <w:jc w:val="left"/>
            <w:rPr>
              <w:rFonts w:asciiTheme="minorBidi" w:hAnsiTheme="minorBidi"/>
              <w:spacing w:val="4"/>
              <w:sz w:val="21"/>
              <w:szCs w:val="21"/>
            </w:rPr>
          </w:pPr>
        </w:p>
      </w:tc>
      <w:tc>
        <w:tcPr>
          <w:tcW w:w="5998" w:type="dxa"/>
          <w:vAlign w:val="center"/>
        </w:tcPr>
        <w:p w14:paraId="3C7A7200"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466FAB62" w14:textId="77777777" w:rsidR="00282E86" w:rsidRDefault="00EF01E2"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0C3635D8" wp14:editId="16BC60CF">
          <wp:simplePos x="0" y="0"/>
          <wp:positionH relativeFrom="column">
            <wp:posOffset>-252095</wp:posOffset>
          </wp:positionH>
          <wp:positionV relativeFrom="paragraph">
            <wp:posOffset>-539115</wp:posOffset>
          </wp:positionV>
          <wp:extent cx="1781175" cy="383540"/>
          <wp:effectExtent l="0" t="0" r="0" b="0"/>
          <wp:wrapNone/>
          <wp:docPr id="10" name="Picture 10" descr="ITU Publicacio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 Publicacion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38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0EA0A6" w14:textId="77777777" w:rsidR="00EE47C4" w:rsidRDefault="00194A37" w:rsidP="004A6FEB">
    <w:pPr>
      <w:pStyle w:val="Header"/>
    </w:pPr>
    <w:r>
      <w:rPr>
        <w:noProof/>
      </w:rPr>
      <mc:AlternateContent>
        <mc:Choice Requires="wpg">
          <w:drawing>
            <wp:anchor distT="0" distB="0" distL="114300" distR="114300" simplePos="0" relativeHeight="251662336" behindDoc="0" locked="0" layoutInCell="1" allowOverlap="1" wp14:anchorId="53DAA7A9" wp14:editId="065EDCA8">
              <wp:simplePos x="0" y="0"/>
              <wp:positionH relativeFrom="page">
                <wp:posOffset>-13335</wp:posOffset>
              </wp:positionH>
              <wp:positionV relativeFrom="page">
                <wp:posOffset>1162050</wp:posOffset>
              </wp:positionV>
              <wp:extent cx="7560310" cy="236220"/>
              <wp:effectExtent l="0" t="0" r="2540" b="0"/>
              <wp:wrapNone/>
              <wp:docPr id="13" name="Group 13"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14"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9D5AB" id="Group 13" o:spid="_x0000_s1026" alt="Header separation line" style="position:absolute;margin-left:-1.05pt;margin-top:91.5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AB993" w14:textId="77777777" w:rsidR="00094FBD" w:rsidRDefault="00094F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9CB94" w14:textId="3239F1C0"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B20F3A">
      <w:rPr>
        <w:rStyle w:val="PageNumber"/>
        <w:b/>
        <w:bCs/>
        <w:lang w:val="en-GB"/>
      </w:rPr>
      <w:t>ii</w:t>
    </w:r>
    <w:r>
      <w:rPr>
        <w:rStyle w:val="PageNumber"/>
        <w:b/>
        <w:bCs/>
      </w:rPr>
      <w:fldChar w:fldCharType="end"/>
    </w:r>
    <w:r>
      <w:rPr>
        <w:lang w:val="en-US"/>
      </w:rPr>
      <w:tab/>
    </w:r>
    <w:r w:rsidR="00E575CD" w:rsidRPr="00E575CD">
      <w:rPr>
        <w:b/>
        <w:bCs/>
        <w:lang w:val="en-US"/>
      </w:rPr>
      <w:t>Rep.</w:t>
    </w:r>
    <w:r w:rsidR="00E575CD">
      <w:rPr>
        <w:lang w:val="en-US"/>
      </w:rPr>
      <w:t xml:space="preserve"> </w:t>
    </w:r>
    <w:r>
      <w:rPr>
        <w:b/>
        <w:bCs/>
      </w:rPr>
      <w:fldChar w:fldCharType="begin"/>
    </w:r>
    <w:r>
      <w:rPr>
        <w:b/>
        <w:bCs/>
        <w:lang w:val="en-US"/>
      </w:rPr>
      <w:instrText>styleref href</w:instrText>
    </w:r>
    <w:r>
      <w:rPr>
        <w:b/>
        <w:bCs/>
      </w:rPr>
      <w:fldChar w:fldCharType="separate"/>
    </w:r>
    <w:r w:rsidR="00C31DA7">
      <w:rPr>
        <w:b/>
        <w:bCs/>
        <w:noProof/>
        <w:lang w:val="en-US"/>
      </w:rPr>
      <w:t>UIT-R  SM.2015-3</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71B16" w14:textId="402832B5" w:rsidR="001B164E" w:rsidRDefault="001B164E">
    <w:pPr>
      <w:pStyle w:val="Header"/>
    </w:pPr>
    <w:r>
      <w:tab/>
    </w:r>
    <w:r w:rsidR="009F5368">
      <w:rPr>
        <w:b/>
        <w:bCs/>
      </w:rPr>
      <w:fldChar w:fldCharType="begin"/>
    </w:r>
    <w:r w:rsidR="009F5368">
      <w:rPr>
        <w:b/>
        <w:bCs/>
      </w:rPr>
      <w:instrText xml:space="preserve"> DOCPROPERTY  "Header 3"  \* MERGEFORMAT </w:instrText>
    </w:r>
    <w:r w:rsidR="009F5368">
      <w:rPr>
        <w:b/>
        <w:bCs/>
      </w:rPr>
      <w:fldChar w:fldCharType="separate"/>
    </w:r>
    <w:r w:rsidR="00C31DA7">
      <w:rPr>
        <w:b/>
        <w:bCs/>
      </w:rPr>
      <w:t xml:space="preserve">I. </w:t>
    </w:r>
    <w:r w:rsidR="009F5368">
      <w:rPr>
        <w:b/>
        <w:bCs/>
      </w:rPr>
      <w:fldChar w:fldCharType="end"/>
    </w:r>
    <w:r>
      <w:rPr>
        <w:b/>
        <w:bCs/>
      </w:rPr>
      <w:t xml:space="preserve"> </w:t>
    </w:r>
    <w:r w:rsidR="00193B55">
      <w:rPr>
        <w:b/>
        <w:bCs/>
      </w:rPr>
      <w:t>UIT-R 2015-32</w:t>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02BC3" w14:textId="6E9CF6B5" w:rsidR="00C42BA1" w:rsidRPr="00B40696" w:rsidRDefault="00C42BA1" w:rsidP="00B40696">
    <w:pPr>
      <w:pStyle w:val="Header"/>
      <w:jc w:val="left"/>
      <w:rPr>
        <w:lang w:val="en-US"/>
      </w:rPr>
    </w:pP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C31DA7">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C31DA7">
      <w:rPr>
        <w:b/>
        <w:bCs/>
        <w:noProof/>
        <w:lang w:val="en-US"/>
      </w:rPr>
      <w:t>UIT-R  SM.2015-3</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0A9C2" w14:textId="63EEDC05" w:rsidR="00094FBD" w:rsidRPr="00094FBD" w:rsidRDefault="00094FBD" w:rsidP="00094FBD">
    <w:pPr>
      <w:pStyle w:val="Header"/>
      <w:jc w:val="left"/>
      <w:rPr>
        <w:lang w:val="en-US"/>
      </w:rPr>
    </w:pP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C31DA7">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C31DA7">
      <w:rPr>
        <w:b/>
        <w:bCs/>
        <w:noProof/>
        <w:lang w:val="en-US"/>
      </w:rPr>
      <w:t>UIT-R  SM.2015-3</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C0662" w14:textId="2115545E" w:rsidR="00C42BA1" w:rsidRPr="003D1421" w:rsidRDefault="003D1421" w:rsidP="0014175B">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6</w:t>
    </w:r>
    <w:r>
      <w:rPr>
        <w:rStyle w:val="PageNumber"/>
        <w:b/>
        <w:bCs/>
      </w:rPr>
      <w:fldChar w:fldCharType="end"/>
    </w:r>
    <w:r>
      <w:rPr>
        <w:lang w:val="en-US"/>
      </w:rPr>
      <w:tab/>
    </w:r>
    <w:r w:rsidRPr="00E575CD">
      <w:rPr>
        <w:b/>
        <w:bCs/>
        <w:lang w:val="en-US"/>
      </w:rPr>
      <w:t>Rep.</w:t>
    </w:r>
    <w:r>
      <w:rPr>
        <w:lang w:val="en-US"/>
      </w:rPr>
      <w:t xml:space="preserve"> </w:t>
    </w:r>
    <w:r>
      <w:rPr>
        <w:b/>
        <w:bCs/>
      </w:rPr>
      <w:fldChar w:fldCharType="begin"/>
    </w:r>
    <w:r>
      <w:rPr>
        <w:b/>
        <w:bCs/>
        <w:lang w:val="en-US"/>
      </w:rPr>
      <w:instrText>styleref href</w:instrText>
    </w:r>
    <w:r>
      <w:rPr>
        <w:b/>
        <w:bCs/>
      </w:rPr>
      <w:fldChar w:fldCharType="separate"/>
    </w:r>
    <w:r w:rsidR="00C31DA7">
      <w:rPr>
        <w:b/>
        <w:bCs/>
        <w:noProof/>
        <w:lang w:val="en-US"/>
      </w:rPr>
      <w:t>UIT-R  SM.2015-3</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BD530" w14:textId="6A3305E2" w:rsidR="00C42BA1" w:rsidRPr="003D1421" w:rsidRDefault="003D1421" w:rsidP="003D1421">
    <w:pPr>
      <w:pStyle w:val="Header"/>
    </w:pP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C31DA7">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C31DA7">
      <w:rPr>
        <w:b/>
        <w:bCs/>
        <w:noProof/>
        <w:lang w:val="en-US"/>
      </w:rPr>
      <w:t>UIT-R  SM.2015-3</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F9638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0038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CE640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24871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10C8D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540735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E8289D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94E699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2DA4A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85841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B7550C"/>
    <w:multiLevelType w:val="hybridMultilevel"/>
    <w:tmpl w:val="983A8582"/>
    <w:lvl w:ilvl="0" w:tplc="EEE2D1E4">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A2D1365"/>
    <w:multiLevelType w:val="multilevel"/>
    <w:tmpl w:val="5554F51E"/>
    <w:lvl w:ilvl="0">
      <w:start w:val="2"/>
      <w:numFmt w:val="decimal"/>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B5749CB"/>
    <w:multiLevelType w:val="hybridMultilevel"/>
    <w:tmpl w:val="534601E2"/>
    <w:lvl w:ilvl="0" w:tplc="3B0E071E">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B73661B"/>
    <w:multiLevelType w:val="multilevel"/>
    <w:tmpl w:val="209099BE"/>
    <w:lvl w:ilvl="0">
      <w:start w:val="1"/>
      <w:numFmt w:val="decimal"/>
      <w:lvlText w:val="%1"/>
      <w:lvlJc w:val="left"/>
      <w:pPr>
        <w:tabs>
          <w:tab w:val="num" w:pos="720"/>
        </w:tabs>
        <w:ind w:left="720" w:hanging="360"/>
      </w:pPr>
      <w:rPr>
        <w:rFonts w:hint="default"/>
      </w:rPr>
    </w:lvl>
    <w:lvl w:ilvl="1">
      <w:start w:val="4"/>
      <w:numFmt w:val="decimal"/>
      <w:isLgl/>
      <w:lvlText w:val="%1.%2"/>
      <w:lvlJc w:val="left"/>
      <w:pPr>
        <w:tabs>
          <w:tab w:val="num" w:pos="840"/>
        </w:tabs>
        <w:ind w:left="840" w:hanging="48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89E0F19"/>
    <w:multiLevelType w:val="hybridMultilevel"/>
    <w:tmpl w:val="44EC9C82"/>
    <w:lvl w:ilvl="0" w:tplc="0128AC4A">
      <w:start w:val="2"/>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414E91"/>
    <w:multiLevelType w:val="hybridMultilevel"/>
    <w:tmpl w:val="A6DA83F8"/>
    <w:lvl w:ilvl="0" w:tplc="BC2A37F8">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E9B4F0B"/>
    <w:multiLevelType w:val="hybridMultilevel"/>
    <w:tmpl w:val="0E646BB0"/>
    <w:lvl w:ilvl="0" w:tplc="96DE42AC">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3B477D8"/>
    <w:multiLevelType w:val="multilevel"/>
    <w:tmpl w:val="E6E4469C"/>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296F3A43"/>
    <w:multiLevelType w:val="multilevel"/>
    <w:tmpl w:val="C0D89BF2"/>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D960DF8"/>
    <w:multiLevelType w:val="multilevel"/>
    <w:tmpl w:val="9DBE00B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1" w15:restartNumberingAfterBreak="0">
    <w:nsid w:val="2E150DDA"/>
    <w:multiLevelType w:val="hybridMultilevel"/>
    <w:tmpl w:val="4EFEBC54"/>
    <w:lvl w:ilvl="0" w:tplc="FAF66A10">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0B749E"/>
    <w:multiLevelType w:val="hybridMultilevel"/>
    <w:tmpl w:val="9E8E4EF2"/>
    <w:lvl w:ilvl="0" w:tplc="2FAE95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90A6AD7"/>
    <w:multiLevelType w:val="hybridMultilevel"/>
    <w:tmpl w:val="EAB00CFE"/>
    <w:lvl w:ilvl="0" w:tplc="9FCCE5EA">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54A59F2"/>
    <w:multiLevelType w:val="hybridMultilevel"/>
    <w:tmpl w:val="38F809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5A3457C"/>
    <w:multiLevelType w:val="hybridMultilevel"/>
    <w:tmpl w:val="C87A6A2C"/>
    <w:lvl w:ilvl="0" w:tplc="22D0D486">
      <w:start w:val="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92606B0"/>
    <w:multiLevelType w:val="multilevel"/>
    <w:tmpl w:val="855A3CFC"/>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EF003E7"/>
    <w:multiLevelType w:val="multilevel"/>
    <w:tmpl w:val="DD8CE2D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840"/>
        </w:tabs>
        <w:ind w:left="840" w:hanging="48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8" w15:restartNumberingAfterBreak="0">
    <w:nsid w:val="53A81FD4"/>
    <w:multiLevelType w:val="hybridMultilevel"/>
    <w:tmpl w:val="CED20BA6"/>
    <w:lvl w:ilvl="0" w:tplc="76B46F06">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72C6D82"/>
    <w:multiLevelType w:val="multilevel"/>
    <w:tmpl w:val="D464A73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0" w15:restartNumberingAfterBreak="0">
    <w:nsid w:val="58A324C6"/>
    <w:multiLevelType w:val="hybridMultilevel"/>
    <w:tmpl w:val="4BDCB4DE"/>
    <w:lvl w:ilvl="0" w:tplc="D5F48992">
      <w:start w:val="1"/>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622E8D"/>
    <w:multiLevelType w:val="hybridMultilevel"/>
    <w:tmpl w:val="89A296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EEC3BA0"/>
    <w:multiLevelType w:val="multilevel"/>
    <w:tmpl w:val="D7F6A944"/>
    <w:lvl w:ilvl="0">
      <w:start w:val="1"/>
      <w:numFmt w:val="decimal"/>
      <w:lvlText w:val="%1"/>
      <w:lvlJc w:val="left"/>
      <w:pPr>
        <w:ind w:left="1155" w:hanging="795"/>
      </w:pPr>
      <w:rPr>
        <w:rFonts w:hint="default"/>
      </w:rPr>
    </w:lvl>
    <w:lvl w:ilvl="1">
      <w:start w:val="1"/>
      <w:numFmt w:val="decimal"/>
      <w:isLgl/>
      <w:lvlText w:val="%1.%2"/>
      <w:lvlJc w:val="left"/>
      <w:pPr>
        <w:ind w:left="1155" w:hanging="795"/>
      </w:pPr>
      <w:rPr>
        <w:rFonts w:hint="default"/>
        <w:b/>
      </w:rPr>
    </w:lvl>
    <w:lvl w:ilvl="2">
      <w:start w:val="1"/>
      <w:numFmt w:val="decimal"/>
      <w:isLgl/>
      <w:lvlText w:val="%1.%2.%3"/>
      <w:lvlJc w:val="left"/>
      <w:pPr>
        <w:ind w:left="1155" w:hanging="795"/>
      </w:pPr>
      <w:rPr>
        <w:rFonts w:hint="default"/>
        <w:b/>
      </w:rPr>
    </w:lvl>
    <w:lvl w:ilvl="3">
      <w:start w:val="1"/>
      <w:numFmt w:val="decimal"/>
      <w:isLgl/>
      <w:lvlText w:val="%1.%2.%3.%4"/>
      <w:lvlJc w:val="left"/>
      <w:pPr>
        <w:ind w:left="1155" w:hanging="795"/>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3" w15:restartNumberingAfterBreak="0">
    <w:nsid w:val="60816D2B"/>
    <w:multiLevelType w:val="multilevel"/>
    <w:tmpl w:val="A9F0F2A2"/>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4" w15:restartNumberingAfterBreak="0">
    <w:nsid w:val="62616A25"/>
    <w:multiLevelType w:val="hybridMultilevel"/>
    <w:tmpl w:val="F708AE8C"/>
    <w:lvl w:ilvl="0" w:tplc="774E8BE2">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D577C82"/>
    <w:multiLevelType w:val="multilevel"/>
    <w:tmpl w:val="CB5AB13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6" w15:restartNumberingAfterBreak="0">
    <w:nsid w:val="7570114C"/>
    <w:multiLevelType w:val="multilevel"/>
    <w:tmpl w:val="707E0A8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7" w15:restartNumberingAfterBreak="0">
    <w:nsid w:val="7BC051AA"/>
    <w:multiLevelType w:val="hybridMultilevel"/>
    <w:tmpl w:val="5A305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4826637">
    <w:abstractNumId w:val="14"/>
  </w:num>
  <w:num w:numId="2" w16cid:durableId="1821143861">
    <w:abstractNumId w:val="22"/>
  </w:num>
  <w:num w:numId="3" w16cid:durableId="1895891206">
    <w:abstractNumId w:val="36"/>
  </w:num>
  <w:num w:numId="4" w16cid:durableId="1827044411">
    <w:abstractNumId w:val="33"/>
  </w:num>
  <w:num w:numId="5" w16cid:durableId="1318537638">
    <w:abstractNumId w:val="30"/>
  </w:num>
  <w:num w:numId="6" w16cid:durableId="18623975">
    <w:abstractNumId w:val="19"/>
  </w:num>
  <w:num w:numId="7" w16cid:durableId="1414164780">
    <w:abstractNumId w:val="20"/>
  </w:num>
  <w:num w:numId="8" w16cid:durableId="1703168998">
    <w:abstractNumId w:val="11"/>
  </w:num>
  <w:num w:numId="9" w16cid:durableId="665942692">
    <w:abstractNumId w:val="18"/>
  </w:num>
  <w:num w:numId="10" w16cid:durableId="2139300881">
    <w:abstractNumId w:val="26"/>
  </w:num>
  <w:num w:numId="11" w16cid:durableId="1168398505">
    <w:abstractNumId w:val="35"/>
  </w:num>
  <w:num w:numId="12" w16cid:durableId="1512336088">
    <w:abstractNumId w:val="31"/>
  </w:num>
  <w:num w:numId="13" w16cid:durableId="625355974">
    <w:abstractNumId w:val="34"/>
  </w:num>
  <w:num w:numId="14" w16cid:durableId="920259817">
    <w:abstractNumId w:val="29"/>
  </w:num>
  <w:num w:numId="15" w16cid:durableId="733547916">
    <w:abstractNumId w:val="27"/>
  </w:num>
  <w:num w:numId="16" w16cid:durableId="304437963">
    <w:abstractNumId w:val="13"/>
  </w:num>
  <w:num w:numId="17" w16cid:durableId="1861160934">
    <w:abstractNumId w:val="24"/>
  </w:num>
  <w:num w:numId="18" w16cid:durableId="1908370802">
    <w:abstractNumId w:val="32"/>
  </w:num>
  <w:num w:numId="19" w16cid:durableId="1135293938">
    <w:abstractNumId w:val="9"/>
  </w:num>
  <w:num w:numId="20" w16cid:durableId="346489628">
    <w:abstractNumId w:val="7"/>
  </w:num>
  <w:num w:numId="21" w16cid:durableId="1564441790">
    <w:abstractNumId w:val="6"/>
  </w:num>
  <w:num w:numId="22" w16cid:durableId="1683584732">
    <w:abstractNumId w:val="5"/>
  </w:num>
  <w:num w:numId="23" w16cid:durableId="351300234">
    <w:abstractNumId w:val="4"/>
  </w:num>
  <w:num w:numId="24" w16cid:durableId="48965444">
    <w:abstractNumId w:val="8"/>
  </w:num>
  <w:num w:numId="25" w16cid:durableId="1686470331">
    <w:abstractNumId w:val="3"/>
  </w:num>
  <w:num w:numId="26" w16cid:durableId="1629047704">
    <w:abstractNumId w:val="2"/>
  </w:num>
  <w:num w:numId="27" w16cid:durableId="2072579728">
    <w:abstractNumId w:val="1"/>
  </w:num>
  <w:num w:numId="28" w16cid:durableId="1622959808">
    <w:abstractNumId w:val="0"/>
  </w:num>
  <w:num w:numId="29" w16cid:durableId="901868968">
    <w:abstractNumId w:val="21"/>
  </w:num>
  <w:num w:numId="30" w16cid:durableId="869027109">
    <w:abstractNumId w:val="37"/>
  </w:num>
  <w:num w:numId="31" w16cid:durableId="1928031690">
    <w:abstractNumId w:val="28"/>
  </w:num>
  <w:num w:numId="32" w16cid:durableId="1110470654">
    <w:abstractNumId w:val="17"/>
  </w:num>
  <w:num w:numId="33" w16cid:durableId="73554381">
    <w:abstractNumId w:val="12"/>
  </w:num>
  <w:num w:numId="34" w16cid:durableId="2034265543">
    <w:abstractNumId w:val="16"/>
  </w:num>
  <w:num w:numId="35" w16cid:durableId="1905600560">
    <w:abstractNumId w:val="23"/>
  </w:num>
  <w:num w:numId="36" w16cid:durableId="2025595447">
    <w:abstractNumId w:val="10"/>
  </w:num>
  <w:num w:numId="37" w16cid:durableId="1608923031">
    <w:abstractNumId w:val="25"/>
  </w:num>
  <w:num w:numId="38" w16cid:durableId="7100384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4">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3E5"/>
    <w:rsid w:val="00004216"/>
    <w:rsid w:val="00007390"/>
    <w:rsid w:val="00013002"/>
    <w:rsid w:val="0001557F"/>
    <w:rsid w:val="00023804"/>
    <w:rsid w:val="00023A85"/>
    <w:rsid w:val="00036EE3"/>
    <w:rsid w:val="0003771A"/>
    <w:rsid w:val="00045FA7"/>
    <w:rsid w:val="00050353"/>
    <w:rsid w:val="00072484"/>
    <w:rsid w:val="00094FBD"/>
    <w:rsid w:val="00095530"/>
    <w:rsid w:val="00096612"/>
    <w:rsid w:val="000A4A32"/>
    <w:rsid w:val="000A58A3"/>
    <w:rsid w:val="000A6C38"/>
    <w:rsid w:val="000B1B2B"/>
    <w:rsid w:val="000B7683"/>
    <w:rsid w:val="000C0355"/>
    <w:rsid w:val="000C4F2D"/>
    <w:rsid w:val="000D0677"/>
    <w:rsid w:val="000D3A51"/>
    <w:rsid w:val="000E0548"/>
    <w:rsid w:val="000E6A6E"/>
    <w:rsid w:val="000F0675"/>
    <w:rsid w:val="000F1A96"/>
    <w:rsid w:val="000F2DFA"/>
    <w:rsid w:val="000F3EDB"/>
    <w:rsid w:val="000F6AED"/>
    <w:rsid w:val="00102934"/>
    <w:rsid w:val="0010687A"/>
    <w:rsid w:val="0014175B"/>
    <w:rsid w:val="00142484"/>
    <w:rsid w:val="00147110"/>
    <w:rsid w:val="001511A6"/>
    <w:rsid w:val="00157C60"/>
    <w:rsid w:val="00166A6F"/>
    <w:rsid w:val="00171C4D"/>
    <w:rsid w:val="0017562F"/>
    <w:rsid w:val="001776ED"/>
    <w:rsid w:val="0019307B"/>
    <w:rsid w:val="00193B55"/>
    <w:rsid w:val="0019446E"/>
    <w:rsid w:val="00194A37"/>
    <w:rsid w:val="00195656"/>
    <w:rsid w:val="001B0927"/>
    <w:rsid w:val="001B164E"/>
    <w:rsid w:val="001B7886"/>
    <w:rsid w:val="001C5C66"/>
    <w:rsid w:val="001E0E22"/>
    <w:rsid w:val="001E53E5"/>
    <w:rsid w:val="001F38BB"/>
    <w:rsid w:val="001F4BC3"/>
    <w:rsid w:val="001F4EDC"/>
    <w:rsid w:val="002058CE"/>
    <w:rsid w:val="002165F1"/>
    <w:rsid w:val="0022429A"/>
    <w:rsid w:val="00224A49"/>
    <w:rsid w:val="0023234F"/>
    <w:rsid w:val="00233211"/>
    <w:rsid w:val="002343F5"/>
    <w:rsid w:val="002344DB"/>
    <w:rsid w:val="00235D2A"/>
    <w:rsid w:val="00251FBA"/>
    <w:rsid w:val="00260B24"/>
    <w:rsid w:val="00267E1A"/>
    <w:rsid w:val="0027411A"/>
    <w:rsid w:val="0027482E"/>
    <w:rsid w:val="00276D21"/>
    <w:rsid w:val="00277178"/>
    <w:rsid w:val="00282DCF"/>
    <w:rsid w:val="00282E86"/>
    <w:rsid w:val="002830A3"/>
    <w:rsid w:val="00284BB5"/>
    <w:rsid w:val="00287B97"/>
    <w:rsid w:val="00296D7F"/>
    <w:rsid w:val="002A1D96"/>
    <w:rsid w:val="002A25C7"/>
    <w:rsid w:val="002A3BC7"/>
    <w:rsid w:val="002A5D45"/>
    <w:rsid w:val="002B3CF6"/>
    <w:rsid w:val="002B3E59"/>
    <w:rsid w:val="002C768A"/>
    <w:rsid w:val="002D0BD7"/>
    <w:rsid w:val="002D76C4"/>
    <w:rsid w:val="002F5199"/>
    <w:rsid w:val="003007B1"/>
    <w:rsid w:val="00301DB3"/>
    <w:rsid w:val="00301E59"/>
    <w:rsid w:val="00305119"/>
    <w:rsid w:val="00306884"/>
    <w:rsid w:val="00314477"/>
    <w:rsid w:val="003157F1"/>
    <w:rsid w:val="00321D5D"/>
    <w:rsid w:val="00346EC2"/>
    <w:rsid w:val="0035402A"/>
    <w:rsid w:val="00356B5D"/>
    <w:rsid w:val="00357707"/>
    <w:rsid w:val="0036627C"/>
    <w:rsid w:val="003A3F48"/>
    <w:rsid w:val="003A6338"/>
    <w:rsid w:val="003D1421"/>
    <w:rsid w:val="003D571A"/>
    <w:rsid w:val="003E5516"/>
    <w:rsid w:val="003F4B75"/>
    <w:rsid w:val="003F6127"/>
    <w:rsid w:val="00401E72"/>
    <w:rsid w:val="00420DFD"/>
    <w:rsid w:val="0042295E"/>
    <w:rsid w:val="00425BC7"/>
    <w:rsid w:val="00437A76"/>
    <w:rsid w:val="00454B5F"/>
    <w:rsid w:val="004604B2"/>
    <w:rsid w:val="00470E28"/>
    <w:rsid w:val="0047379B"/>
    <w:rsid w:val="00474170"/>
    <w:rsid w:val="00474A07"/>
    <w:rsid w:val="0047664D"/>
    <w:rsid w:val="00477729"/>
    <w:rsid w:val="00483D39"/>
    <w:rsid w:val="004842E2"/>
    <w:rsid w:val="00486EB3"/>
    <w:rsid w:val="00487AAF"/>
    <w:rsid w:val="004934C5"/>
    <w:rsid w:val="00493F97"/>
    <w:rsid w:val="004A6FEB"/>
    <w:rsid w:val="004B31A9"/>
    <w:rsid w:val="004C0DF8"/>
    <w:rsid w:val="004E61FF"/>
    <w:rsid w:val="00502D96"/>
    <w:rsid w:val="005226E5"/>
    <w:rsid w:val="00522B29"/>
    <w:rsid w:val="005373E0"/>
    <w:rsid w:val="00556548"/>
    <w:rsid w:val="00564C2D"/>
    <w:rsid w:val="00571B1C"/>
    <w:rsid w:val="00573BDD"/>
    <w:rsid w:val="00576D47"/>
    <w:rsid w:val="00586EF8"/>
    <w:rsid w:val="00593217"/>
    <w:rsid w:val="005B0371"/>
    <w:rsid w:val="005B0A81"/>
    <w:rsid w:val="005B12C0"/>
    <w:rsid w:val="005B49AB"/>
    <w:rsid w:val="005B50E7"/>
    <w:rsid w:val="005C4BAB"/>
    <w:rsid w:val="005C5101"/>
    <w:rsid w:val="005E12A5"/>
    <w:rsid w:val="005E69F0"/>
    <w:rsid w:val="005E7B4F"/>
    <w:rsid w:val="005F003B"/>
    <w:rsid w:val="005F2E73"/>
    <w:rsid w:val="00601882"/>
    <w:rsid w:val="00607D68"/>
    <w:rsid w:val="00610338"/>
    <w:rsid w:val="00613212"/>
    <w:rsid w:val="006149B1"/>
    <w:rsid w:val="00633AE0"/>
    <w:rsid w:val="00640332"/>
    <w:rsid w:val="00680D2B"/>
    <w:rsid w:val="00681B32"/>
    <w:rsid w:val="00682CDA"/>
    <w:rsid w:val="0069322D"/>
    <w:rsid w:val="00697887"/>
    <w:rsid w:val="006A02FB"/>
    <w:rsid w:val="006A1938"/>
    <w:rsid w:val="006B1D2B"/>
    <w:rsid w:val="006B1DD9"/>
    <w:rsid w:val="006C37D5"/>
    <w:rsid w:val="006C6A95"/>
    <w:rsid w:val="006D2C34"/>
    <w:rsid w:val="006E1131"/>
    <w:rsid w:val="006E2037"/>
    <w:rsid w:val="006E6199"/>
    <w:rsid w:val="006E6FBB"/>
    <w:rsid w:val="00712870"/>
    <w:rsid w:val="00714AC0"/>
    <w:rsid w:val="007165A4"/>
    <w:rsid w:val="00733484"/>
    <w:rsid w:val="00735486"/>
    <w:rsid w:val="00736002"/>
    <w:rsid w:val="0074147D"/>
    <w:rsid w:val="007435E8"/>
    <w:rsid w:val="00743D85"/>
    <w:rsid w:val="00744F8B"/>
    <w:rsid w:val="00747D6E"/>
    <w:rsid w:val="007529DF"/>
    <w:rsid w:val="00753CF4"/>
    <w:rsid w:val="00755F6F"/>
    <w:rsid w:val="007565CC"/>
    <w:rsid w:val="007617AF"/>
    <w:rsid w:val="007624B1"/>
    <w:rsid w:val="00763B9A"/>
    <w:rsid w:val="0078752B"/>
    <w:rsid w:val="007935B8"/>
    <w:rsid w:val="007A6AA8"/>
    <w:rsid w:val="007B1357"/>
    <w:rsid w:val="007B3343"/>
    <w:rsid w:val="007C342F"/>
    <w:rsid w:val="007C6292"/>
    <w:rsid w:val="007E199F"/>
    <w:rsid w:val="007E5D78"/>
    <w:rsid w:val="007E6D54"/>
    <w:rsid w:val="0080110E"/>
    <w:rsid w:val="008054E6"/>
    <w:rsid w:val="008310C9"/>
    <w:rsid w:val="0083140F"/>
    <w:rsid w:val="008323E3"/>
    <w:rsid w:val="008335F0"/>
    <w:rsid w:val="00834306"/>
    <w:rsid w:val="0084020E"/>
    <w:rsid w:val="00851ECB"/>
    <w:rsid w:val="00853CC5"/>
    <w:rsid w:val="00855608"/>
    <w:rsid w:val="008574F2"/>
    <w:rsid w:val="00866966"/>
    <w:rsid w:val="00872EC7"/>
    <w:rsid w:val="00877E6E"/>
    <w:rsid w:val="0089530B"/>
    <w:rsid w:val="00895C67"/>
    <w:rsid w:val="008B083A"/>
    <w:rsid w:val="008B22A9"/>
    <w:rsid w:val="008C344D"/>
    <w:rsid w:val="008C7848"/>
    <w:rsid w:val="008F0DCD"/>
    <w:rsid w:val="008F5EAD"/>
    <w:rsid w:val="008F7465"/>
    <w:rsid w:val="009015DB"/>
    <w:rsid w:val="00906589"/>
    <w:rsid w:val="00906AD6"/>
    <w:rsid w:val="0091678E"/>
    <w:rsid w:val="00917AF2"/>
    <w:rsid w:val="00922052"/>
    <w:rsid w:val="0092418A"/>
    <w:rsid w:val="0092713A"/>
    <w:rsid w:val="00930EED"/>
    <w:rsid w:val="00934ED7"/>
    <w:rsid w:val="00940D16"/>
    <w:rsid w:val="00944DF8"/>
    <w:rsid w:val="0094655F"/>
    <w:rsid w:val="009543C3"/>
    <w:rsid w:val="00966E1B"/>
    <w:rsid w:val="00972639"/>
    <w:rsid w:val="00972F51"/>
    <w:rsid w:val="00984A02"/>
    <w:rsid w:val="00987E7C"/>
    <w:rsid w:val="00990271"/>
    <w:rsid w:val="009947C0"/>
    <w:rsid w:val="009A137F"/>
    <w:rsid w:val="009A2A1F"/>
    <w:rsid w:val="009A4039"/>
    <w:rsid w:val="009A41F9"/>
    <w:rsid w:val="009B521F"/>
    <w:rsid w:val="009B6C11"/>
    <w:rsid w:val="009D4ABE"/>
    <w:rsid w:val="009D4BBD"/>
    <w:rsid w:val="009E01AC"/>
    <w:rsid w:val="009F2D2C"/>
    <w:rsid w:val="009F5368"/>
    <w:rsid w:val="009F5580"/>
    <w:rsid w:val="00A03C0E"/>
    <w:rsid w:val="00A03DAF"/>
    <w:rsid w:val="00A16BE1"/>
    <w:rsid w:val="00A239D1"/>
    <w:rsid w:val="00A23D52"/>
    <w:rsid w:val="00A25EE2"/>
    <w:rsid w:val="00A30D32"/>
    <w:rsid w:val="00A31928"/>
    <w:rsid w:val="00A357C3"/>
    <w:rsid w:val="00A35B27"/>
    <w:rsid w:val="00A507D4"/>
    <w:rsid w:val="00A5147A"/>
    <w:rsid w:val="00A62A14"/>
    <w:rsid w:val="00A6617B"/>
    <w:rsid w:val="00A669C2"/>
    <w:rsid w:val="00A66D4D"/>
    <w:rsid w:val="00A71FE5"/>
    <w:rsid w:val="00A7534B"/>
    <w:rsid w:val="00A76007"/>
    <w:rsid w:val="00A806BB"/>
    <w:rsid w:val="00A86DD2"/>
    <w:rsid w:val="00A936CB"/>
    <w:rsid w:val="00A971A1"/>
    <w:rsid w:val="00AA354F"/>
    <w:rsid w:val="00AA3AD8"/>
    <w:rsid w:val="00AB0DC8"/>
    <w:rsid w:val="00AB405C"/>
    <w:rsid w:val="00AC015D"/>
    <w:rsid w:val="00AC36A4"/>
    <w:rsid w:val="00AD0CEB"/>
    <w:rsid w:val="00AD186D"/>
    <w:rsid w:val="00AD5B64"/>
    <w:rsid w:val="00AE0024"/>
    <w:rsid w:val="00AE456A"/>
    <w:rsid w:val="00AE698D"/>
    <w:rsid w:val="00AF0286"/>
    <w:rsid w:val="00AF5326"/>
    <w:rsid w:val="00AF64EA"/>
    <w:rsid w:val="00B019A2"/>
    <w:rsid w:val="00B0286E"/>
    <w:rsid w:val="00B02E39"/>
    <w:rsid w:val="00B033C8"/>
    <w:rsid w:val="00B151C1"/>
    <w:rsid w:val="00B20F3A"/>
    <w:rsid w:val="00B33425"/>
    <w:rsid w:val="00B42334"/>
    <w:rsid w:val="00B44E24"/>
    <w:rsid w:val="00B54ECC"/>
    <w:rsid w:val="00B60AC0"/>
    <w:rsid w:val="00B714F3"/>
    <w:rsid w:val="00B75A52"/>
    <w:rsid w:val="00B874C6"/>
    <w:rsid w:val="00B87B6B"/>
    <w:rsid w:val="00B9169E"/>
    <w:rsid w:val="00B96572"/>
    <w:rsid w:val="00BA739E"/>
    <w:rsid w:val="00BB22CE"/>
    <w:rsid w:val="00BB7886"/>
    <w:rsid w:val="00BC0636"/>
    <w:rsid w:val="00BC14EC"/>
    <w:rsid w:val="00BC5D77"/>
    <w:rsid w:val="00BD4283"/>
    <w:rsid w:val="00BE184C"/>
    <w:rsid w:val="00BE3DE1"/>
    <w:rsid w:val="00BF487A"/>
    <w:rsid w:val="00BF5544"/>
    <w:rsid w:val="00C042CD"/>
    <w:rsid w:val="00C15F3E"/>
    <w:rsid w:val="00C31DA7"/>
    <w:rsid w:val="00C412C7"/>
    <w:rsid w:val="00C42BA1"/>
    <w:rsid w:val="00C46BD9"/>
    <w:rsid w:val="00C55258"/>
    <w:rsid w:val="00C61F09"/>
    <w:rsid w:val="00C73560"/>
    <w:rsid w:val="00C80CDA"/>
    <w:rsid w:val="00C83FDB"/>
    <w:rsid w:val="00C84DB7"/>
    <w:rsid w:val="00C87A35"/>
    <w:rsid w:val="00C926CC"/>
    <w:rsid w:val="00C94F04"/>
    <w:rsid w:val="00CA236C"/>
    <w:rsid w:val="00CA27FB"/>
    <w:rsid w:val="00CA7955"/>
    <w:rsid w:val="00CB0F14"/>
    <w:rsid w:val="00CC308F"/>
    <w:rsid w:val="00CC70E7"/>
    <w:rsid w:val="00CC7888"/>
    <w:rsid w:val="00CD6470"/>
    <w:rsid w:val="00CD659B"/>
    <w:rsid w:val="00CE0A43"/>
    <w:rsid w:val="00CF130D"/>
    <w:rsid w:val="00D00118"/>
    <w:rsid w:val="00D0483A"/>
    <w:rsid w:val="00D05AA9"/>
    <w:rsid w:val="00D06870"/>
    <w:rsid w:val="00D06AB7"/>
    <w:rsid w:val="00D1531F"/>
    <w:rsid w:val="00D16204"/>
    <w:rsid w:val="00D16749"/>
    <w:rsid w:val="00D20E2A"/>
    <w:rsid w:val="00D249D4"/>
    <w:rsid w:val="00D37DA2"/>
    <w:rsid w:val="00D41089"/>
    <w:rsid w:val="00D5024B"/>
    <w:rsid w:val="00D51788"/>
    <w:rsid w:val="00D61962"/>
    <w:rsid w:val="00D72623"/>
    <w:rsid w:val="00D83556"/>
    <w:rsid w:val="00DA2104"/>
    <w:rsid w:val="00DB45D3"/>
    <w:rsid w:val="00DE4093"/>
    <w:rsid w:val="00DE5556"/>
    <w:rsid w:val="00DF4176"/>
    <w:rsid w:val="00DF638A"/>
    <w:rsid w:val="00E0095C"/>
    <w:rsid w:val="00E10E90"/>
    <w:rsid w:val="00E17240"/>
    <w:rsid w:val="00E50A62"/>
    <w:rsid w:val="00E52F0D"/>
    <w:rsid w:val="00E575CD"/>
    <w:rsid w:val="00E72842"/>
    <w:rsid w:val="00E74595"/>
    <w:rsid w:val="00E77485"/>
    <w:rsid w:val="00E9253B"/>
    <w:rsid w:val="00E9604E"/>
    <w:rsid w:val="00EA5A79"/>
    <w:rsid w:val="00EB1CB6"/>
    <w:rsid w:val="00EB6B5A"/>
    <w:rsid w:val="00EB7C57"/>
    <w:rsid w:val="00ED2695"/>
    <w:rsid w:val="00ED3CA8"/>
    <w:rsid w:val="00EE04BA"/>
    <w:rsid w:val="00EE468C"/>
    <w:rsid w:val="00EE47C4"/>
    <w:rsid w:val="00EF01E2"/>
    <w:rsid w:val="00EF2D52"/>
    <w:rsid w:val="00F24AE9"/>
    <w:rsid w:val="00F2783F"/>
    <w:rsid w:val="00F304F2"/>
    <w:rsid w:val="00F30C9B"/>
    <w:rsid w:val="00F354B1"/>
    <w:rsid w:val="00F354D7"/>
    <w:rsid w:val="00F6343F"/>
    <w:rsid w:val="00F6600E"/>
    <w:rsid w:val="00F675BC"/>
    <w:rsid w:val="00F713C1"/>
    <w:rsid w:val="00F72776"/>
    <w:rsid w:val="00F73D75"/>
    <w:rsid w:val="00F77360"/>
    <w:rsid w:val="00F92A40"/>
    <w:rsid w:val="00FB0E4E"/>
    <w:rsid w:val="00FB140E"/>
    <w:rsid w:val="00FB6CAA"/>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colormru v:ext="edit" colors="#d62a47,#f8f8f8"/>
    </o:shapedefaults>
    <o:shapelayout v:ext="edit">
      <o:idmap v:ext="edit" data="2"/>
    </o:shapelayout>
  </w:shapeDefaults>
  <w:decimalSymbol w:val=","/>
  <w:listSeparator w:val=";"/>
  <w14:docId w14:val="4954ACD7"/>
  <w15:docId w15:val="{0BC916C6-1416-4742-ACEE-E13F8D8F4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5EA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link w:val="AnnexNoTitleChar"/>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uiPriority w:val="99"/>
    <w:rsid w:val="00A936CB"/>
    <w:pPr>
      <w:ind w:left="1191" w:hanging="397"/>
    </w:pPr>
  </w:style>
  <w:style w:type="paragraph" w:customStyle="1" w:styleId="enumlev1">
    <w:name w:val="enumlev1"/>
    <w:basedOn w:val="Normal"/>
    <w:link w:val="enumlev1Char"/>
    <w:qFormat/>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link w:val="NoteChar"/>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qFormat/>
    <w:rsid w:val="00A936CB"/>
    <w:pPr>
      <w:spacing w:before="0"/>
    </w:pPr>
    <w:rPr>
      <w:sz w:val="20"/>
      <w:lang w:val="en-GB"/>
    </w:rPr>
  </w:style>
  <w:style w:type="paragraph" w:customStyle="1" w:styleId="Tablehead">
    <w:name w:val="Table_head"/>
    <w:basedOn w:val="Normal"/>
    <w:next w:val="Normal"/>
    <w:link w:val="TableheadChar"/>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uiPriority w:val="99"/>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qFormat/>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link w:val="ArttitleCar"/>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uiPriority w:val="99"/>
    <w:rsid w:val="00A936CB"/>
    <w:rPr>
      <w:b/>
    </w:rPr>
  </w:style>
  <w:style w:type="paragraph" w:customStyle="1" w:styleId="Chaptitle">
    <w:name w:val="Chap_title"/>
    <w:basedOn w:val="Arttitle"/>
    <w:next w:val="Normalaftertitle"/>
    <w:rsid w:val="00A936CB"/>
  </w:style>
  <w:style w:type="character" w:styleId="FootnoteReference">
    <w:name w:val="footnote reference"/>
    <w:aliases w:val="Footnote Reference/,Appel note de bas de p,Footnote symbol,Style 12,(NECG) Footnote Reference,Style 124,Appel note de bas de p + 11 pt,Italic,Appel note de bas de p1,Appel note de bas de p2,Appel note de bas de p3,Footnote,o,fr,Style "/>
    <w:basedOn w:val="DefaultParagraphFont"/>
    <w:uiPriority w:val="99"/>
    <w:qFormat/>
    <w:rsid w:val="00A936CB"/>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footnote text,DN"/>
    <w:basedOn w:val="Normal"/>
    <w:link w:val="FootnoteTextChar"/>
    <w:uiPriority w:val="99"/>
    <w:qFormat/>
    <w:rsid w:val="00A936CB"/>
    <w:pPr>
      <w:keepLines/>
      <w:tabs>
        <w:tab w:val="left" w:pos="255"/>
      </w:tabs>
      <w:ind w:left="255" w:hanging="255"/>
    </w:pPr>
    <w:rPr>
      <w:sz w:val="22"/>
    </w:rPr>
  </w:style>
  <w:style w:type="paragraph" w:styleId="Index1">
    <w:name w:val="index 1"/>
    <w:basedOn w:val="Normal"/>
    <w:next w:val="Normal"/>
    <w:rsid w:val="00A936CB"/>
  </w:style>
  <w:style w:type="paragraph" w:styleId="Index2">
    <w:name w:val="index 2"/>
    <w:basedOn w:val="Normal"/>
    <w:next w:val="Normal"/>
    <w:rsid w:val="00A936CB"/>
    <w:pPr>
      <w:ind w:left="283"/>
    </w:pPr>
  </w:style>
  <w:style w:type="paragraph" w:styleId="Index3">
    <w:name w:val="index 3"/>
    <w:basedOn w:val="Normal"/>
    <w:next w:val="Normal"/>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uiPriority w:val="99"/>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uiPriority w:val="99"/>
    <w:rsid w:val="00A936CB"/>
  </w:style>
  <w:style w:type="paragraph" w:customStyle="1" w:styleId="Reptitle">
    <w:name w:val="Rep_title"/>
    <w:basedOn w:val="Rectitle"/>
    <w:next w:val="Repref"/>
    <w:uiPriority w:val="99"/>
    <w:rsid w:val="00A936CB"/>
  </w:style>
  <w:style w:type="paragraph" w:customStyle="1" w:styleId="Repref">
    <w:name w:val="Rep_ref"/>
    <w:basedOn w:val="Recref"/>
    <w:next w:val="Repdate"/>
    <w:uiPriority w:val="99"/>
    <w:rsid w:val="00A936CB"/>
  </w:style>
  <w:style w:type="paragraph" w:customStyle="1" w:styleId="Resdate">
    <w:name w:val="Res_date"/>
    <w:basedOn w:val="Recdate"/>
    <w:next w:val="Normalaftertitle"/>
    <w:rsid w:val="00A936CB"/>
  </w:style>
  <w:style w:type="paragraph" w:customStyle="1" w:styleId="ResNo">
    <w:name w:val="Res_No"/>
    <w:basedOn w:val="RecNo"/>
    <w:next w:val="Restitle"/>
    <w:link w:val="ResNoChar"/>
    <w:rsid w:val="00A936CB"/>
  </w:style>
  <w:style w:type="paragraph" w:customStyle="1" w:styleId="Restitle">
    <w:name w:val="Res_title"/>
    <w:basedOn w:val="Normal"/>
    <w:next w:val="Resref"/>
    <w:link w:val="RestitleChar"/>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uiPriority w:val="39"/>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rsid w:val="00A936CB"/>
  </w:style>
  <w:style w:type="paragraph" w:styleId="TOC7">
    <w:name w:val="toc 7"/>
    <w:basedOn w:val="TOC4"/>
    <w:rsid w:val="00A936CB"/>
  </w:style>
  <w:style w:type="paragraph" w:styleId="TOC8">
    <w:name w:val="toc 8"/>
    <w:basedOn w:val="TOC4"/>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A936CB"/>
    <w:pPr>
      <w:spacing w:after="480"/>
    </w:pPr>
    <w:rPr>
      <w:lang w:val="es-ES_tradnl"/>
    </w:rPr>
  </w:style>
  <w:style w:type="character" w:styleId="Hyperlink">
    <w:name w:val="Hyperlink"/>
    <w:aliases w:val="CEO_Hyperlink,超级链接"/>
    <w:basedOn w:val="DefaultParagraphFont"/>
    <w:uiPriority w:val="99"/>
    <w:qForma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EE47C4"/>
    <w:rPr>
      <w:sz w:val="24"/>
      <w:lang w:val="fr-FR"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styleId="Revision">
    <w:name w:val="Revision"/>
    <w:hidden/>
    <w:uiPriority w:val="99"/>
    <w:semiHidden/>
    <w:rsid w:val="00193B55"/>
    <w:rPr>
      <w:sz w:val="24"/>
      <w:lang w:val="es-ES" w:eastAsia="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footnote text Char"/>
    <w:basedOn w:val="DefaultParagraphFont"/>
    <w:link w:val="FootnoteText"/>
    <w:uiPriority w:val="99"/>
    <w:qFormat/>
    <w:rsid w:val="00193B55"/>
    <w:rPr>
      <w:sz w:val="22"/>
      <w:lang w:val="es-ES" w:eastAsia="en-US"/>
    </w:rPr>
  </w:style>
  <w:style w:type="character" w:customStyle="1" w:styleId="Heading1Char">
    <w:name w:val="Heading 1 Char"/>
    <w:basedOn w:val="DefaultParagraphFont"/>
    <w:link w:val="Heading1"/>
    <w:rsid w:val="00193B55"/>
    <w:rPr>
      <w:b/>
      <w:sz w:val="24"/>
      <w:lang w:val="es-ES" w:eastAsia="en-US"/>
    </w:rPr>
  </w:style>
  <w:style w:type="character" w:customStyle="1" w:styleId="FooterChar">
    <w:name w:val="Footer Char"/>
    <w:basedOn w:val="DefaultParagraphFont"/>
    <w:link w:val="Footer"/>
    <w:rsid w:val="00193B55"/>
    <w:rPr>
      <w:noProof/>
      <w:sz w:val="18"/>
      <w:lang w:val="es-ES" w:eastAsia="en-US"/>
    </w:rPr>
  </w:style>
  <w:style w:type="character" w:customStyle="1" w:styleId="Heading2Char">
    <w:name w:val="Heading 2 Char"/>
    <w:basedOn w:val="DefaultParagraphFont"/>
    <w:link w:val="Heading2"/>
    <w:rsid w:val="00193B55"/>
    <w:rPr>
      <w:b/>
      <w:sz w:val="24"/>
      <w:lang w:val="es-ES" w:eastAsia="en-US"/>
    </w:rPr>
  </w:style>
  <w:style w:type="character" w:customStyle="1" w:styleId="Heading3Char">
    <w:name w:val="Heading 3 Char"/>
    <w:basedOn w:val="DefaultParagraphFont"/>
    <w:link w:val="Heading3"/>
    <w:rsid w:val="00193B55"/>
    <w:rPr>
      <w:b/>
      <w:sz w:val="24"/>
      <w:lang w:val="es-ES" w:eastAsia="en-US"/>
    </w:rPr>
  </w:style>
  <w:style w:type="character" w:customStyle="1" w:styleId="Heading4Char">
    <w:name w:val="Heading 4 Char"/>
    <w:basedOn w:val="DefaultParagraphFont"/>
    <w:link w:val="Heading4"/>
    <w:rsid w:val="00193B55"/>
    <w:rPr>
      <w:b/>
      <w:sz w:val="24"/>
      <w:lang w:val="es-ES" w:eastAsia="en-US"/>
    </w:rPr>
  </w:style>
  <w:style w:type="character" w:customStyle="1" w:styleId="Heading5Char">
    <w:name w:val="Heading 5 Char"/>
    <w:basedOn w:val="DefaultParagraphFont"/>
    <w:link w:val="Heading5"/>
    <w:rsid w:val="00193B55"/>
    <w:rPr>
      <w:b/>
      <w:sz w:val="24"/>
      <w:lang w:val="es-ES" w:eastAsia="en-US"/>
    </w:rPr>
  </w:style>
  <w:style w:type="character" w:customStyle="1" w:styleId="Heading6Char">
    <w:name w:val="Heading 6 Char"/>
    <w:basedOn w:val="DefaultParagraphFont"/>
    <w:link w:val="Heading6"/>
    <w:rsid w:val="00193B55"/>
    <w:rPr>
      <w:b/>
      <w:sz w:val="24"/>
      <w:lang w:val="es-ES" w:eastAsia="en-US"/>
    </w:rPr>
  </w:style>
  <w:style w:type="character" w:customStyle="1" w:styleId="Heading7Char">
    <w:name w:val="Heading 7 Char"/>
    <w:basedOn w:val="DefaultParagraphFont"/>
    <w:link w:val="Heading7"/>
    <w:rsid w:val="00193B55"/>
    <w:rPr>
      <w:b/>
      <w:sz w:val="24"/>
      <w:lang w:val="es-ES" w:eastAsia="en-US"/>
    </w:rPr>
  </w:style>
  <w:style w:type="character" w:customStyle="1" w:styleId="Heading8Char">
    <w:name w:val="Heading 8 Char"/>
    <w:basedOn w:val="DefaultParagraphFont"/>
    <w:link w:val="Heading8"/>
    <w:rsid w:val="00193B55"/>
    <w:rPr>
      <w:b/>
      <w:sz w:val="24"/>
      <w:lang w:val="es-ES" w:eastAsia="en-US"/>
    </w:rPr>
  </w:style>
  <w:style w:type="character" w:customStyle="1" w:styleId="Heading9Char">
    <w:name w:val="Heading 9 Char"/>
    <w:basedOn w:val="DefaultParagraphFont"/>
    <w:link w:val="Heading9"/>
    <w:rsid w:val="00193B55"/>
    <w:rPr>
      <w:b/>
      <w:sz w:val="24"/>
      <w:lang w:val="es-ES" w:eastAsia="en-US"/>
    </w:rPr>
  </w:style>
  <w:style w:type="character" w:customStyle="1" w:styleId="NormalaftertitleChar">
    <w:name w:val="Normal_after_title Char"/>
    <w:basedOn w:val="DefaultParagraphFont"/>
    <w:link w:val="Normalaftertitle"/>
    <w:rsid w:val="00193B55"/>
    <w:rPr>
      <w:sz w:val="24"/>
      <w:lang w:val="es-ES" w:eastAsia="en-US"/>
    </w:rPr>
  </w:style>
  <w:style w:type="character" w:customStyle="1" w:styleId="TabletextChar">
    <w:name w:val="Table_text Char"/>
    <w:basedOn w:val="DefaultParagraphFont"/>
    <w:link w:val="Tabletext"/>
    <w:qFormat/>
    <w:rsid w:val="00193B55"/>
    <w:rPr>
      <w:sz w:val="22"/>
      <w:lang w:val="es-ES" w:eastAsia="en-US"/>
    </w:rPr>
  </w:style>
  <w:style w:type="character" w:customStyle="1" w:styleId="HeadingbChar">
    <w:name w:val="Heading_b Char"/>
    <w:basedOn w:val="DefaultParagraphFont"/>
    <w:link w:val="Headingb"/>
    <w:qFormat/>
    <w:locked/>
    <w:rsid w:val="00193B55"/>
    <w:rPr>
      <w:b/>
      <w:sz w:val="24"/>
      <w:lang w:val="es-ES" w:eastAsia="en-US"/>
    </w:rPr>
  </w:style>
  <w:style w:type="character" w:customStyle="1" w:styleId="AnnexNoTitleChar">
    <w:name w:val="Annex_NoTitle Char"/>
    <w:basedOn w:val="DefaultParagraphFont"/>
    <w:link w:val="AnnexNoTitle"/>
    <w:rsid w:val="00193B55"/>
    <w:rPr>
      <w:b/>
      <w:sz w:val="28"/>
      <w:lang w:val="es-ES" w:eastAsia="en-US"/>
    </w:rPr>
  </w:style>
  <w:style w:type="character" w:customStyle="1" w:styleId="enumlev1Char">
    <w:name w:val="enumlev1 Char"/>
    <w:basedOn w:val="DefaultParagraphFont"/>
    <w:link w:val="enumlev1"/>
    <w:rsid w:val="00193B55"/>
    <w:rPr>
      <w:sz w:val="24"/>
      <w:lang w:val="es-ES" w:eastAsia="en-US"/>
    </w:rPr>
  </w:style>
  <w:style w:type="character" w:customStyle="1" w:styleId="EquationChar">
    <w:name w:val="Equation Char"/>
    <w:basedOn w:val="DefaultParagraphFont"/>
    <w:link w:val="Equation"/>
    <w:uiPriority w:val="99"/>
    <w:rsid w:val="00193B55"/>
    <w:rPr>
      <w:sz w:val="24"/>
      <w:lang w:val="es-ES" w:eastAsia="en-US"/>
    </w:rPr>
  </w:style>
  <w:style w:type="character" w:customStyle="1" w:styleId="NoteChar">
    <w:name w:val="Note Char"/>
    <w:basedOn w:val="DefaultParagraphFont"/>
    <w:link w:val="Note"/>
    <w:rsid w:val="00193B55"/>
    <w:rPr>
      <w:sz w:val="22"/>
      <w:lang w:val="es-ES" w:eastAsia="en-US"/>
    </w:rPr>
  </w:style>
  <w:style w:type="character" w:customStyle="1" w:styleId="RectitleChar">
    <w:name w:val="Rec_title Char"/>
    <w:basedOn w:val="DefaultParagraphFont"/>
    <w:link w:val="Rectitle"/>
    <w:locked/>
    <w:rsid w:val="00193B55"/>
    <w:rPr>
      <w:b/>
      <w:sz w:val="28"/>
      <w:lang w:val="es-ES" w:eastAsia="en-US"/>
    </w:rPr>
  </w:style>
  <w:style w:type="character" w:customStyle="1" w:styleId="TableheadChar">
    <w:name w:val="Table_head Char"/>
    <w:basedOn w:val="DefaultParagraphFont"/>
    <w:link w:val="Tablehead"/>
    <w:qFormat/>
    <w:locked/>
    <w:rsid w:val="00193B55"/>
    <w:rPr>
      <w:b/>
      <w:sz w:val="22"/>
      <w:lang w:val="es-ES" w:eastAsia="en-US"/>
    </w:rPr>
  </w:style>
  <w:style w:type="character" w:customStyle="1" w:styleId="TablelegendChar">
    <w:name w:val="Table_legend Char"/>
    <w:basedOn w:val="DefaultParagraphFont"/>
    <w:link w:val="Tablelegend"/>
    <w:rsid w:val="00193B55"/>
    <w:rPr>
      <w:sz w:val="22"/>
      <w:lang w:val="es-ES" w:eastAsia="en-US"/>
    </w:rPr>
  </w:style>
  <w:style w:type="character" w:customStyle="1" w:styleId="TableNoChar">
    <w:name w:val="Table_No Char"/>
    <w:basedOn w:val="DefaultParagraphFont"/>
    <w:link w:val="TableNo"/>
    <w:qFormat/>
    <w:rsid w:val="00193B55"/>
    <w:rPr>
      <w:sz w:val="24"/>
      <w:lang w:val="es-ES" w:eastAsia="en-US"/>
    </w:rPr>
  </w:style>
  <w:style w:type="character" w:customStyle="1" w:styleId="FiguretitleChar">
    <w:name w:val="Figure_title Char"/>
    <w:basedOn w:val="TabletitleChar"/>
    <w:link w:val="Figuretitle"/>
    <w:rsid w:val="00193B55"/>
    <w:rPr>
      <w:rFonts w:ascii="Times New Roman Bold" w:hAnsi="Times New Roman Bold"/>
      <w:b/>
      <w:sz w:val="18"/>
      <w:lang w:val="es-ES" w:eastAsia="en-US"/>
    </w:rPr>
  </w:style>
  <w:style w:type="character" w:customStyle="1" w:styleId="TabletitleChar">
    <w:name w:val="Table_title Char"/>
    <w:basedOn w:val="DefaultParagraphFont"/>
    <w:link w:val="Tabletitle"/>
    <w:uiPriority w:val="99"/>
    <w:rsid w:val="00193B55"/>
    <w:rPr>
      <w:b/>
      <w:sz w:val="24"/>
      <w:lang w:val="es-ES" w:eastAsia="en-US"/>
    </w:rPr>
  </w:style>
  <w:style w:type="character" w:customStyle="1" w:styleId="FigureNoChar">
    <w:name w:val="Figure_No Char"/>
    <w:basedOn w:val="DefaultParagraphFont"/>
    <w:link w:val="FigureNo"/>
    <w:rsid w:val="00193B55"/>
    <w:rPr>
      <w:caps/>
      <w:sz w:val="18"/>
      <w:lang w:val="es-ES" w:eastAsia="en-US"/>
    </w:rPr>
  </w:style>
  <w:style w:type="character" w:customStyle="1" w:styleId="ArttitleCar">
    <w:name w:val="Art_title Car"/>
    <w:basedOn w:val="DefaultParagraphFont"/>
    <w:link w:val="Arttitle"/>
    <w:locked/>
    <w:rsid w:val="00193B55"/>
    <w:rPr>
      <w:b/>
      <w:sz w:val="28"/>
      <w:lang w:val="es-ES" w:eastAsia="en-US"/>
    </w:rPr>
  </w:style>
  <w:style w:type="character" w:customStyle="1" w:styleId="CallChar">
    <w:name w:val="Call Char"/>
    <w:basedOn w:val="DefaultParagraphFont"/>
    <w:link w:val="Call"/>
    <w:locked/>
    <w:rsid w:val="00193B55"/>
    <w:rPr>
      <w:i/>
      <w:sz w:val="24"/>
      <w:lang w:val="es-ES" w:eastAsia="en-US"/>
    </w:rPr>
  </w:style>
  <w:style w:type="character" w:customStyle="1" w:styleId="RestitleChar">
    <w:name w:val="Res_title Char"/>
    <w:basedOn w:val="DefaultParagraphFont"/>
    <w:link w:val="Restitle"/>
    <w:locked/>
    <w:rsid w:val="00193B55"/>
    <w:rPr>
      <w:b/>
      <w:sz w:val="28"/>
      <w:lang w:val="es-ES" w:eastAsia="en-US"/>
    </w:rPr>
  </w:style>
  <w:style w:type="character" w:customStyle="1" w:styleId="ResNoChar">
    <w:name w:val="Res_No Char"/>
    <w:basedOn w:val="DefaultParagraphFont"/>
    <w:link w:val="ResNo"/>
    <w:locked/>
    <w:rsid w:val="00193B55"/>
    <w:rPr>
      <w:sz w:val="28"/>
      <w:lang w:val="es-ES" w:eastAsia="en-US"/>
    </w:rPr>
  </w:style>
  <w:style w:type="paragraph" w:styleId="TOC9">
    <w:name w:val="toc 9"/>
    <w:basedOn w:val="Normal"/>
    <w:next w:val="Normal"/>
    <w:autoRedefine/>
    <w:unhideWhenUsed/>
    <w:rsid w:val="00193B55"/>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uiPriority w:val="99"/>
    <w:rsid w:val="00193B55"/>
    <w:rPr>
      <w:color w:val="800080" w:themeColor="followedHyperlink"/>
      <w:u w:val="single"/>
    </w:rPr>
  </w:style>
  <w:style w:type="paragraph" w:styleId="BalloonText">
    <w:name w:val="Balloon Text"/>
    <w:basedOn w:val="Normal"/>
    <w:link w:val="BalloonTextChar"/>
    <w:uiPriority w:val="99"/>
    <w:rsid w:val="00193B55"/>
    <w:pPr>
      <w:spacing w:before="0"/>
    </w:pPr>
    <w:rPr>
      <w:rFonts w:ascii="Tahoma" w:hAnsi="Tahoma" w:cs="Tahoma"/>
      <w:sz w:val="16"/>
      <w:szCs w:val="16"/>
      <w:lang w:val="fr-FR"/>
    </w:rPr>
  </w:style>
  <w:style w:type="character" w:customStyle="1" w:styleId="BalloonTextChar">
    <w:name w:val="Balloon Text Char"/>
    <w:basedOn w:val="DefaultParagraphFont"/>
    <w:link w:val="BalloonText"/>
    <w:uiPriority w:val="99"/>
    <w:rsid w:val="00193B55"/>
    <w:rPr>
      <w:rFonts w:ascii="Tahoma" w:hAnsi="Tahoma" w:cs="Tahoma"/>
      <w:sz w:val="16"/>
      <w:szCs w:val="16"/>
      <w:lang w:val="fr-FR" w:eastAsia="en-US"/>
    </w:rPr>
  </w:style>
  <w:style w:type="paragraph" w:customStyle="1" w:styleId="Reasons">
    <w:name w:val="Reasons"/>
    <w:basedOn w:val="Normal"/>
    <w:qFormat/>
    <w:rsid w:val="00193B55"/>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PlaceholderText">
    <w:name w:val="Placeholder Text"/>
    <w:basedOn w:val="DefaultParagraphFont"/>
    <w:uiPriority w:val="99"/>
    <w:semiHidden/>
    <w:rsid w:val="00193B55"/>
    <w:rPr>
      <w:color w:val="808080"/>
    </w:rPr>
  </w:style>
  <w:style w:type="character" w:styleId="CommentReference">
    <w:name w:val="annotation reference"/>
    <w:basedOn w:val="DefaultParagraphFont"/>
    <w:semiHidden/>
    <w:unhideWhenUsed/>
    <w:rsid w:val="00193B55"/>
    <w:rPr>
      <w:sz w:val="16"/>
      <w:szCs w:val="16"/>
    </w:rPr>
  </w:style>
  <w:style w:type="paragraph" w:styleId="CommentText">
    <w:name w:val="annotation text"/>
    <w:basedOn w:val="Normal"/>
    <w:link w:val="CommentTextChar"/>
    <w:semiHidden/>
    <w:unhideWhenUsed/>
    <w:rsid w:val="00193B55"/>
    <w:rPr>
      <w:sz w:val="20"/>
      <w:lang w:val="fr-FR"/>
    </w:rPr>
  </w:style>
  <w:style w:type="character" w:customStyle="1" w:styleId="CommentTextChar">
    <w:name w:val="Comment Text Char"/>
    <w:basedOn w:val="DefaultParagraphFont"/>
    <w:link w:val="CommentText"/>
    <w:semiHidden/>
    <w:rsid w:val="00193B55"/>
    <w:rPr>
      <w:lang w:val="fr-FR" w:eastAsia="en-US"/>
    </w:rPr>
  </w:style>
  <w:style w:type="paragraph" w:styleId="CommentSubject">
    <w:name w:val="annotation subject"/>
    <w:basedOn w:val="CommentText"/>
    <w:next w:val="CommentText"/>
    <w:link w:val="CommentSubjectChar"/>
    <w:semiHidden/>
    <w:unhideWhenUsed/>
    <w:rsid w:val="00193B55"/>
    <w:rPr>
      <w:b/>
      <w:bCs/>
    </w:rPr>
  </w:style>
  <w:style w:type="character" w:customStyle="1" w:styleId="CommentSubjectChar">
    <w:name w:val="Comment Subject Char"/>
    <w:basedOn w:val="CommentTextChar"/>
    <w:link w:val="CommentSubject"/>
    <w:semiHidden/>
    <w:rsid w:val="00193B55"/>
    <w:rPr>
      <w:b/>
      <w:bCs/>
      <w:lang w:val="fr-FR" w:eastAsia="en-US"/>
    </w:rPr>
  </w:style>
  <w:style w:type="paragraph" w:customStyle="1" w:styleId="Fintable">
    <w:name w:val="Fin table"/>
    <w:basedOn w:val="Normal"/>
    <w:rsid w:val="00193B55"/>
    <w:rPr>
      <w:lang w:val="es-ES_tradnl" w:eastAsia="ko-KR"/>
    </w:rPr>
  </w:style>
  <w:style w:type="paragraph" w:styleId="ListParagraph">
    <w:name w:val="List Paragraph"/>
    <w:basedOn w:val="Normal"/>
    <w:link w:val="ListParagraphChar"/>
    <w:uiPriority w:val="34"/>
    <w:qFormat/>
    <w:rsid w:val="00193B55"/>
    <w:pPr>
      <w:ind w:left="720"/>
      <w:contextualSpacing/>
    </w:pPr>
    <w:rPr>
      <w:lang w:val="fr-FR"/>
    </w:rPr>
  </w:style>
  <w:style w:type="character" w:customStyle="1" w:styleId="Artref">
    <w:name w:val="Art_ref"/>
    <w:basedOn w:val="DefaultParagraphFont"/>
    <w:rsid w:val="00193B55"/>
  </w:style>
  <w:style w:type="character" w:customStyle="1" w:styleId="FigureChar">
    <w:name w:val="Figure Char"/>
    <w:basedOn w:val="DefaultParagraphFont"/>
    <w:link w:val="Figure"/>
    <w:uiPriority w:val="99"/>
    <w:rsid w:val="00193B55"/>
    <w:rPr>
      <w:caps/>
      <w:sz w:val="18"/>
      <w:lang w:val="es-ES" w:eastAsia="en-US"/>
    </w:rPr>
  </w:style>
  <w:style w:type="character" w:customStyle="1" w:styleId="ListParagraphChar">
    <w:name w:val="List Paragraph Char"/>
    <w:link w:val="ListParagraph"/>
    <w:uiPriority w:val="34"/>
    <w:rsid w:val="00193B55"/>
    <w:rPr>
      <w:sz w:val="24"/>
      <w:lang w:val="fr-FR" w:eastAsia="en-US"/>
    </w:rPr>
  </w:style>
  <w:style w:type="paragraph" w:styleId="Index7">
    <w:name w:val="index 7"/>
    <w:basedOn w:val="Normal"/>
    <w:next w:val="Normal"/>
    <w:semiHidden/>
    <w:rsid w:val="00193B55"/>
    <w:pPr>
      <w:spacing w:before="136"/>
      <w:ind w:left="1698"/>
    </w:pPr>
    <w:rPr>
      <w:sz w:val="20"/>
      <w:lang w:val="en-GB" w:eastAsia="es-ES"/>
    </w:rPr>
  </w:style>
  <w:style w:type="paragraph" w:styleId="Index6">
    <w:name w:val="index 6"/>
    <w:basedOn w:val="Normal"/>
    <w:next w:val="Normal"/>
    <w:semiHidden/>
    <w:rsid w:val="00193B55"/>
    <w:pPr>
      <w:spacing w:before="136"/>
      <w:ind w:left="1415"/>
    </w:pPr>
    <w:rPr>
      <w:sz w:val="20"/>
      <w:lang w:val="en-GB" w:eastAsia="es-ES"/>
    </w:rPr>
  </w:style>
  <w:style w:type="paragraph" w:styleId="Index5">
    <w:name w:val="index 5"/>
    <w:basedOn w:val="Normal"/>
    <w:next w:val="Normal"/>
    <w:semiHidden/>
    <w:rsid w:val="00193B55"/>
    <w:pPr>
      <w:spacing w:before="136"/>
      <w:ind w:left="1132"/>
    </w:pPr>
    <w:rPr>
      <w:sz w:val="20"/>
      <w:lang w:val="en-GB" w:eastAsia="es-ES"/>
    </w:rPr>
  </w:style>
  <w:style w:type="paragraph" w:styleId="Index4">
    <w:name w:val="index 4"/>
    <w:basedOn w:val="Normal"/>
    <w:next w:val="Normal"/>
    <w:semiHidden/>
    <w:rsid w:val="00193B55"/>
    <w:pPr>
      <w:spacing w:before="136"/>
      <w:ind w:left="849"/>
    </w:pPr>
    <w:rPr>
      <w:sz w:val="20"/>
      <w:lang w:val="en-GB" w:eastAsia="es-ES"/>
    </w:rPr>
  </w:style>
  <w:style w:type="character" w:styleId="LineNumber">
    <w:name w:val="line number"/>
    <w:basedOn w:val="DefaultParagraphFont"/>
    <w:semiHidden/>
    <w:rsid w:val="00193B55"/>
  </w:style>
  <w:style w:type="paragraph" w:customStyle="1" w:styleId="TableLegend0">
    <w:name w:val="Table_Legend"/>
    <w:basedOn w:val="Normal"/>
    <w:next w:val="Normal"/>
    <w:rsid w:val="00193B55"/>
    <w:pPr>
      <w:keepNext/>
      <w:spacing w:before="86" w:line="199" w:lineRule="exact"/>
      <w:ind w:left="-85" w:right="-85"/>
    </w:pPr>
    <w:rPr>
      <w:sz w:val="18"/>
      <w:szCs w:val="18"/>
      <w:lang w:val="en-GB" w:eastAsia="es-ES"/>
    </w:rPr>
  </w:style>
  <w:style w:type="paragraph" w:customStyle="1" w:styleId="TableText0">
    <w:name w:val="Table_Text"/>
    <w:basedOn w:val="TableLegend0"/>
    <w:rsid w:val="00193B55"/>
    <w:pPr>
      <w:spacing w:before="100" w:after="100" w:line="190" w:lineRule="exact"/>
      <w:ind w:left="0" w:right="0"/>
    </w:pPr>
  </w:style>
  <w:style w:type="paragraph" w:customStyle="1" w:styleId="TableTitle0">
    <w:name w:val="Table_Title"/>
    <w:basedOn w:val="Table"/>
    <w:next w:val="Blanc"/>
    <w:rsid w:val="00193B55"/>
    <w:pPr>
      <w:spacing w:before="0"/>
    </w:pPr>
    <w:rPr>
      <w:b/>
      <w:bCs/>
    </w:rPr>
  </w:style>
  <w:style w:type="paragraph" w:customStyle="1" w:styleId="Table">
    <w:name w:val="Table_#"/>
    <w:basedOn w:val="Normal"/>
    <w:next w:val="TableTitle0"/>
    <w:rsid w:val="00193B55"/>
    <w:pPr>
      <w:keepNext/>
      <w:tabs>
        <w:tab w:val="clear" w:pos="794"/>
        <w:tab w:val="clear" w:pos="1191"/>
        <w:tab w:val="clear" w:pos="1588"/>
        <w:tab w:val="clear" w:pos="1985"/>
      </w:tabs>
      <w:spacing w:before="567" w:after="113"/>
      <w:jc w:val="center"/>
    </w:pPr>
    <w:rPr>
      <w:sz w:val="18"/>
      <w:szCs w:val="18"/>
      <w:lang w:val="en-GB" w:eastAsia="es-ES"/>
    </w:rPr>
  </w:style>
  <w:style w:type="paragraph" w:customStyle="1" w:styleId="TableHead0">
    <w:name w:val="Table_Head"/>
    <w:basedOn w:val="TableText0"/>
    <w:rsid w:val="00193B55"/>
    <w:pPr>
      <w:spacing w:before="80" w:after="80"/>
      <w:jc w:val="center"/>
    </w:pPr>
    <w:rPr>
      <w:b/>
      <w:bCs/>
      <w:sz w:val="22"/>
      <w:szCs w:val="22"/>
    </w:rPr>
  </w:style>
  <w:style w:type="paragraph" w:customStyle="1" w:styleId="FigureLegend0">
    <w:name w:val="Figure_Legend"/>
    <w:basedOn w:val="TableLegend0"/>
    <w:next w:val="FigureRemark"/>
    <w:rsid w:val="00193B55"/>
    <w:pPr>
      <w:jc w:val="left"/>
    </w:pPr>
  </w:style>
  <w:style w:type="paragraph" w:customStyle="1" w:styleId="Figure0">
    <w:name w:val="Figure_#"/>
    <w:basedOn w:val="Table"/>
    <w:next w:val="FigureTitle0"/>
    <w:rsid w:val="00193B55"/>
  </w:style>
  <w:style w:type="paragraph" w:customStyle="1" w:styleId="FigureTitle0">
    <w:name w:val="Figure_Title"/>
    <w:basedOn w:val="TableTitle0"/>
    <w:next w:val="FigureLegend0"/>
    <w:rsid w:val="00193B55"/>
    <w:pPr>
      <w:spacing w:after="240"/>
    </w:pPr>
  </w:style>
  <w:style w:type="paragraph" w:customStyle="1" w:styleId="Annex">
    <w:name w:val="Annex_#"/>
    <w:basedOn w:val="Normal"/>
    <w:next w:val="AnnexRef0"/>
    <w:rsid w:val="00193B55"/>
    <w:pPr>
      <w:tabs>
        <w:tab w:val="clear" w:pos="794"/>
        <w:tab w:val="clear" w:pos="1191"/>
        <w:tab w:val="clear" w:pos="1588"/>
        <w:tab w:val="clear" w:pos="1985"/>
        <w:tab w:val="center" w:pos="4849"/>
        <w:tab w:val="right" w:pos="9696"/>
      </w:tabs>
      <w:spacing w:before="720" w:after="68"/>
      <w:jc w:val="center"/>
    </w:pPr>
    <w:rPr>
      <w:sz w:val="20"/>
      <w:lang w:val="en-GB" w:eastAsia="es-ES"/>
    </w:rPr>
  </w:style>
  <w:style w:type="paragraph" w:customStyle="1" w:styleId="AnnexRef0">
    <w:name w:val="Annex_Ref"/>
    <w:basedOn w:val="Normal"/>
    <w:next w:val="AnnexTitle"/>
    <w:rsid w:val="00193B55"/>
    <w:pPr>
      <w:tabs>
        <w:tab w:val="clear" w:pos="794"/>
        <w:tab w:val="clear" w:pos="1191"/>
        <w:tab w:val="clear" w:pos="1588"/>
        <w:tab w:val="clear" w:pos="1985"/>
        <w:tab w:val="center" w:pos="4849"/>
        <w:tab w:val="right" w:pos="9696"/>
      </w:tabs>
      <w:spacing w:before="0"/>
      <w:jc w:val="center"/>
    </w:pPr>
    <w:rPr>
      <w:sz w:val="20"/>
      <w:lang w:val="en-GB" w:eastAsia="es-ES"/>
    </w:rPr>
  </w:style>
  <w:style w:type="paragraph" w:customStyle="1" w:styleId="AnnexTitle">
    <w:name w:val="Annex_Title"/>
    <w:basedOn w:val="Normal"/>
    <w:next w:val="Normalaftertitle0"/>
    <w:rsid w:val="00193B55"/>
    <w:pPr>
      <w:tabs>
        <w:tab w:val="clear" w:pos="794"/>
        <w:tab w:val="clear" w:pos="1191"/>
        <w:tab w:val="clear" w:pos="1588"/>
        <w:tab w:val="clear" w:pos="1985"/>
        <w:tab w:val="left" w:pos="4849"/>
        <w:tab w:val="right" w:pos="9696"/>
      </w:tabs>
      <w:spacing w:before="136" w:after="200"/>
      <w:jc w:val="center"/>
    </w:pPr>
    <w:rPr>
      <w:b/>
      <w:bCs/>
      <w:szCs w:val="24"/>
      <w:lang w:val="en-GB" w:eastAsia="es-ES"/>
    </w:rPr>
  </w:style>
  <w:style w:type="paragraph" w:customStyle="1" w:styleId="Appendix">
    <w:name w:val="Appendix_#"/>
    <w:basedOn w:val="Annex"/>
    <w:next w:val="AppendixRef0"/>
    <w:rsid w:val="00193B55"/>
  </w:style>
  <w:style w:type="paragraph" w:customStyle="1" w:styleId="AppendixRef0">
    <w:name w:val="Appendix_Ref"/>
    <w:basedOn w:val="AnnexRef0"/>
    <w:next w:val="AppendixTitle"/>
    <w:rsid w:val="00193B55"/>
  </w:style>
  <w:style w:type="paragraph" w:customStyle="1" w:styleId="AppendixTitle">
    <w:name w:val="Appendix_Title"/>
    <w:basedOn w:val="AnnexTitle"/>
    <w:next w:val="Normal"/>
    <w:rsid w:val="00193B55"/>
  </w:style>
  <w:style w:type="paragraph" w:customStyle="1" w:styleId="RefTitle0">
    <w:name w:val="Ref_Title"/>
    <w:basedOn w:val="Normal"/>
    <w:next w:val="RefText0"/>
    <w:rsid w:val="00193B55"/>
    <w:pPr>
      <w:keepNext/>
      <w:keepLines/>
      <w:tabs>
        <w:tab w:val="clear" w:pos="794"/>
        <w:tab w:val="clear" w:pos="1191"/>
        <w:tab w:val="clear" w:pos="1588"/>
        <w:tab w:val="clear" w:pos="1985"/>
      </w:tabs>
      <w:spacing w:before="600"/>
      <w:jc w:val="center"/>
    </w:pPr>
    <w:rPr>
      <w:sz w:val="18"/>
      <w:szCs w:val="18"/>
      <w:lang w:val="en-GB" w:eastAsia="es-ES"/>
    </w:rPr>
  </w:style>
  <w:style w:type="paragraph" w:customStyle="1" w:styleId="RefText0">
    <w:name w:val="Ref_Text"/>
    <w:basedOn w:val="Normal"/>
    <w:rsid w:val="00193B55"/>
    <w:pPr>
      <w:spacing w:before="136"/>
      <w:ind w:left="567" w:hanging="567"/>
    </w:pPr>
    <w:rPr>
      <w:sz w:val="18"/>
      <w:szCs w:val="18"/>
      <w:lang w:val="en-GB" w:eastAsia="es-ES"/>
    </w:rPr>
  </w:style>
  <w:style w:type="paragraph" w:customStyle="1" w:styleId="Head">
    <w:name w:val="Head"/>
    <w:basedOn w:val="Normal"/>
    <w:rsid w:val="00193B55"/>
    <w:pPr>
      <w:tabs>
        <w:tab w:val="clear" w:pos="794"/>
        <w:tab w:val="clear" w:pos="1191"/>
        <w:tab w:val="clear" w:pos="1588"/>
        <w:tab w:val="clear" w:pos="1985"/>
        <w:tab w:val="left" w:pos="6663"/>
      </w:tabs>
      <w:spacing w:before="0"/>
    </w:pPr>
    <w:rPr>
      <w:b/>
      <w:bCs/>
      <w:color w:val="FFFFFF"/>
      <w:sz w:val="8"/>
      <w:szCs w:val="8"/>
      <w:lang w:val="en-GB" w:eastAsia="es-ES"/>
    </w:rPr>
  </w:style>
  <w:style w:type="paragraph" w:customStyle="1" w:styleId="RecTitle0">
    <w:name w:val="Rec_Title"/>
    <w:basedOn w:val="Rec"/>
    <w:next w:val="RecTitleRef"/>
    <w:rsid w:val="00193B55"/>
    <w:pPr>
      <w:spacing w:before="180"/>
    </w:pPr>
    <w:rPr>
      <w:b/>
      <w:bCs/>
    </w:rPr>
  </w:style>
  <w:style w:type="paragraph" w:customStyle="1" w:styleId="Normalaftertitle0">
    <w:name w:val="Normal after title"/>
    <w:basedOn w:val="Normal"/>
    <w:next w:val="Normal"/>
    <w:rsid w:val="00193B55"/>
    <w:pPr>
      <w:spacing w:before="480"/>
    </w:pPr>
    <w:rPr>
      <w:sz w:val="20"/>
      <w:lang w:val="en-GB" w:eastAsia="es-ES"/>
    </w:rPr>
  </w:style>
  <w:style w:type="paragraph" w:customStyle="1" w:styleId="call0">
    <w:name w:val="call"/>
    <w:basedOn w:val="Normal"/>
    <w:next w:val="Normal"/>
    <w:rsid w:val="00193B55"/>
    <w:pPr>
      <w:keepNext/>
      <w:keepLines/>
      <w:tabs>
        <w:tab w:val="clear" w:pos="1191"/>
        <w:tab w:val="clear" w:pos="1588"/>
        <w:tab w:val="clear" w:pos="1985"/>
      </w:tabs>
      <w:spacing w:before="227"/>
      <w:ind w:left="794"/>
      <w:jc w:val="left"/>
    </w:pPr>
    <w:rPr>
      <w:i/>
      <w:iCs/>
      <w:sz w:val="20"/>
      <w:lang w:val="en-GB" w:eastAsia="es-ES"/>
    </w:rPr>
  </w:style>
  <w:style w:type="paragraph" w:customStyle="1" w:styleId="Rec">
    <w:name w:val="Rec_#"/>
    <w:basedOn w:val="Normal"/>
    <w:next w:val="RecTitle0"/>
    <w:rsid w:val="00193B55"/>
    <w:pPr>
      <w:keepNext/>
      <w:keepLines/>
      <w:tabs>
        <w:tab w:val="clear" w:pos="794"/>
        <w:tab w:val="clear" w:pos="1191"/>
        <w:tab w:val="clear" w:pos="1588"/>
        <w:tab w:val="clear" w:pos="1985"/>
        <w:tab w:val="center" w:pos="4849"/>
        <w:tab w:val="right" w:pos="9696"/>
      </w:tabs>
      <w:spacing w:before="720"/>
      <w:jc w:val="center"/>
    </w:pPr>
    <w:rPr>
      <w:sz w:val="20"/>
      <w:lang w:val="en-GB" w:eastAsia="es-ES"/>
    </w:rPr>
  </w:style>
  <w:style w:type="paragraph" w:styleId="List">
    <w:name w:val="List"/>
    <w:basedOn w:val="Normal"/>
    <w:rsid w:val="00193B55"/>
    <w:pPr>
      <w:tabs>
        <w:tab w:val="clear" w:pos="794"/>
        <w:tab w:val="clear" w:pos="1191"/>
        <w:tab w:val="clear" w:pos="1588"/>
        <w:tab w:val="clear" w:pos="1985"/>
        <w:tab w:val="left" w:pos="1701"/>
        <w:tab w:val="left" w:pos="2127"/>
      </w:tabs>
      <w:ind w:left="2127" w:hanging="2127"/>
    </w:pPr>
    <w:rPr>
      <w:sz w:val="20"/>
      <w:lang w:val="en-GB" w:eastAsia="es-ES"/>
    </w:rPr>
  </w:style>
  <w:style w:type="paragraph" w:customStyle="1" w:styleId="Infodoc">
    <w:name w:val="Infodoc"/>
    <w:basedOn w:val="Normal"/>
    <w:rsid w:val="00193B55"/>
    <w:pPr>
      <w:tabs>
        <w:tab w:val="clear" w:pos="794"/>
        <w:tab w:val="clear" w:pos="1191"/>
        <w:tab w:val="clear" w:pos="1588"/>
        <w:tab w:val="clear" w:pos="1985"/>
        <w:tab w:val="left" w:pos="1418"/>
      </w:tabs>
      <w:spacing w:before="0"/>
      <w:ind w:left="1418" w:hanging="1418"/>
    </w:pPr>
    <w:rPr>
      <w:sz w:val="20"/>
      <w:lang w:val="en-GB" w:eastAsia="es-ES"/>
    </w:rPr>
  </w:style>
  <w:style w:type="paragraph" w:customStyle="1" w:styleId="Part">
    <w:name w:val="Part"/>
    <w:basedOn w:val="Normal"/>
    <w:rsid w:val="00193B55"/>
    <w:pPr>
      <w:tabs>
        <w:tab w:val="clear" w:pos="794"/>
        <w:tab w:val="clear" w:pos="1191"/>
        <w:tab w:val="clear" w:pos="1588"/>
        <w:tab w:val="clear" w:pos="1985"/>
        <w:tab w:val="left" w:pos="1276"/>
        <w:tab w:val="left" w:pos="1701"/>
      </w:tabs>
      <w:spacing w:before="200"/>
      <w:ind w:left="1701" w:hanging="1701"/>
    </w:pPr>
    <w:rPr>
      <w:caps/>
      <w:sz w:val="20"/>
      <w:lang w:val="en-GB" w:eastAsia="es-ES"/>
    </w:rPr>
  </w:style>
  <w:style w:type="paragraph" w:customStyle="1" w:styleId="Address">
    <w:name w:val="Address"/>
    <w:basedOn w:val="Normal"/>
    <w:rsid w:val="00193B55"/>
    <w:pPr>
      <w:tabs>
        <w:tab w:val="clear" w:pos="794"/>
        <w:tab w:val="clear" w:pos="1191"/>
        <w:tab w:val="clear" w:pos="1588"/>
        <w:tab w:val="clear" w:pos="1985"/>
        <w:tab w:val="left" w:pos="4820"/>
        <w:tab w:val="left" w:pos="5529"/>
      </w:tabs>
      <w:ind w:left="794"/>
    </w:pPr>
    <w:rPr>
      <w:sz w:val="20"/>
      <w:lang w:val="en-GB" w:eastAsia="es-ES"/>
    </w:rPr>
  </w:style>
  <w:style w:type="paragraph" w:customStyle="1" w:styleId="Keywords">
    <w:name w:val="Keywords"/>
    <w:basedOn w:val="Normal"/>
    <w:rsid w:val="00193B55"/>
    <w:pPr>
      <w:tabs>
        <w:tab w:val="clear" w:pos="1191"/>
        <w:tab w:val="clear" w:pos="1588"/>
      </w:tabs>
      <w:ind w:left="794" w:hanging="794"/>
    </w:pPr>
    <w:rPr>
      <w:sz w:val="20"/>
      <w:lang w:val="en-GB" w:eastAsia="es-ES"/>
    </w:rPr>
  </w:style>
  <w:style w:type="paragraph" w:customStyle="1" w:styleId="EquationLegend0">
    <w:name w:val="Equation_Legend"/>
    <w:basedOn w:val="Normal"/>
    <w:rsid w:val="00193B55"/>
    <w:pPr>
      <w:tabs>
        <w:tab w:val="clear" w:pos="794"/>
        <w:tab w:val="clear" w:pos="1191"/>
        <w:tab w:val="clear" w:pos="1588"/>
        <w:tab w:val="clear" w:pos="1985"/>
        <w:tab w:val="right" w:pos="1531"/>
        <w:tab w:val="left" w:pos="1701"/>
      </w:tabs>
      <w:spacing w:before="80"/>
      <w:ind w:left="1701" w:hanging="1701"/>
    </w:pPr>
    <w:rPr>
      <w:sz w:val="20"/>
      <w:lang w:val="en-GB" w:eastAsia="es-ES"/>
    </w:rPr>
  </w:style>
  <w:style w:type="paragraph" w:customStyle="1" w:styleId="meeting">
    <w:name w:val="meeting"/>
    <w:basedOn w:val="Head"/>
    <w:next w:val="Head"/>
    <w:rsid w:val="00193B55"/>
    <w:pPr>
      <w:tabs>
        <w:tab w:val="left" w:pos="7371"/>
      </w:tabs>
      <w:spacing w:after="560"/>
    </w:pPr>
  </w:style>
  <w:style w:type="paragraph" w:customStyle="1" w:styleId="listitem">
    <w:name w:val="listitem"/>
    <w:basedOn w:val="Normal"/>
    <w:rsid w:val="00193B55"/>
    <w:pPr>
      <w:keepLines/>
      <w:spacing w:before="0"/>
      <w:jc w:val="left"/>
    </w:pPr>
    <w:rPr>
      <w:sz w:val="20"/>
      <w:lang w:val="en-GB" w:eastAsia="es-ES"/>
    </w:rPr>
  </w:style>
  <w:style w:type="paragraph" w:customStyle="1" w:styleId="Qlist">
    <w:name w:val="Qlist"/>
    <w:basedOn w:val="Normal"/>
    <w:rsid w:val="00193B55"/>
    <w:pPr>
      <w:tabs>
        <w:tab w:val="clear" w:pos="794"/>
        <w:tab w:val="clear" w:pos="1191"/>
        <w:tab w:val="clear" w:pos="1588"/>
        <w:tab w:val="clear" w:pos="1985"/>
        <w:tab w:val="left" w:pos="1843"/>
        <w:tab w:val="left" w:pos="2268"/>
      </w:tabs>
      <w:spacing w:before="136"/>
      <w:ind w:left="2268" w:hanging="2268"/>
    </w:pPr>
    <w:rPr>
      <w:b/>
      <w:bCs/>
      <w:sz w:val="20"/>
      <w:lang w:val="en-GB" w:eastAsia="es-ES"/>
    </w:rPr>
  </w:style>
  <w:style w:type="paragraph" w:customStyle="1" w:styleId="Subject">
    <w:name w:val="Subject"/>
    <w:basedOn w:val="Normal"/>
    <w:next w:val="Source"/>
    <w:rsid w:val="00193B55"/>
    <w:pPr>
      <w:tabs>
        <w:tab w:val="clear" w:pos="794"/>
        <w:tab w:val="clear" w:pos="1191"/>
        <w:tab w:val="clear" w:pos="1588"/>
        <w:tab w:val="clear" w:pos="1985"/>
        <w:tab w:val="left" w:pos="993"/>
      </w:tabs>
      <w:spacing w:before="0"/>
      <w:ind w:left="993" w:hanging="993"/>
    </w:pPr>
    <w:rPr>
      <w:sz w:val="20"/>
      <w:lang w:val="en-GB" w:eastAsia="es-ES"/>
    </w:rPr>
  </w:style>
  <w:style w:type="paragraph" w:customStyle="1" w:styleId="Source">
    <w:name w:val="Source"/>
    <w:basedOn w:val="Normal"/>
    <w:next w:val="Rec"/>
    <w:rsid w:val="00193B55"/>
    <w:pPr>
      <w:tabs>
        <w:tab w:val="clear" w:pos="794"/>
        <w:tab w:val="clear" w:pos="1191"/>
        <w:tab w:val="clear" w:pos="1588"/>
        <w:tab w:val="clear" w:pos="1985"/>
      </w:tabs>
      <w:spacing w:before="720"/>
      <w:jc w:val="center"/>
    </w:pPr>
    <w:rPr>
      <w:b/>
      <w:bCs/>
      <w:sz w:val="20"/>
      <w:lang w:val="en-GB" w:eastAsia="es-ES"/>
    </w:rPr>
  </w:style>
  <w:style w:type="paragraph" w:customStyle="1" w:styleId="Object">
    <w:name w:val="Object"/>
    <w:basedOn w:val="Subject"/>
    <w:next w:val="Subject"/>
    <w:rsid w:val="00193B55"/>
  </w:style>
  <w:style w:type="paragraph" w:customStyle="1" w:styleId="Data">
    <w:name w:val="Data"/>
    <w:basedOn w:val="Subject"/>
    <w:next w:val="Subject"/>
    <w:rsid w:val="00193B55"/>
  </w:style>
  <w:style w:type="paragraph" w:customStyle="1" w:styleId="Title2">
    <w:name w:val="Title 2"/>
    <w:basedOn w:val="Source"/>
    <w:next w:val="Title3"/>
    <w:rsid w:val="00193B55"/>
    <w:pPr>
      <w:spacing w:before="480"/>
    </w:pPr>
    <w:rPr>
      <w:b w:val="0"/>
      <w:bCs w:val="0"/>
    </w:rPr>
  </w:style>
  <w:style w:type="paragraph" w:customStyle="1" w:styleId="Title3">
    <w:name w:val="Title 3"/>
    <w:basedOn w:val="Title2"/>
    <w:next w:val="Title4"/>
    <w:rsid w:val="00193B55"/>
    <w:pPr>
      <w:spacing w:before="240"/>
    </w:pPr>
    <w:rPr>
      <w:b/>
      <w:bCs/>
    </w:rPr>
  </w:style>
  <w:style w:type="paragraph" w:customStyle="1" w:styleId="Title4">
    <w:name w:val="Title 4"/>
    <w:basedOn w:val="Title3"/>
    <w:next w:val="Heading1"/>
    <w:rsid w:val="00193B55"/>
    <w:rPr>
      <w:b w:val="0"/>
      <w:bCs w:val="0"/>
    </w:rPr>
  </w:style>
  <w:style w:type="paragraph" w:customStyle="1" w:styleId="FirstFooter">
    <w:name w:val="FirstFooter"/>
    <w:basedOn w:val="Footer"/>
    <w:rsid w:val="00193B55"/>
    <w:pPr>
      <w:tabs>
        <w:tab w:val="center" w:pos="4849"/>
        <w:tab w:val="right" w:pos="9696"/>
      </w:tabs>
      <w:spacing w:before="136"/>
      <w:jc w:val="left"/>
    </w:pPr>
    <w:rPr>
      <w:b/>
      <w:bCs/>
      <w:caps/>
      <w:noProof w:val="0"/>
      <w:sz w:val="20"/>
      <w:lang w:val="en-GB" w:eastAsia="es-ES"/>
    </w:rPr>
  </w:style>
  <w:style w:type="paragraph" w:customStyle="1" w:styleId="SpecialFooter">
    <w:name w:val="Special Footer"/>
    <w:basedOn w:val="Footer"/>
    <w:rsid w:val="00193B55"/>
    <w:pPr>
      <w:tabs>
        <w:tab w:val="center" w:pos="4849"/>
        <w:tab w:val="right" w:pos="9696"/>
      </w:tabs>
      <w:spacing w:before="136"/>
    </w:pPr>
    <w:rPr>
      <w:b/>
      <w:bCs/>
      <w:caps/>
      <w:noProof w:val="0"/>
      <w:sz w:val="20"/>
      <w:lang w:val="en-GB" w:eastAsia="es-ES"/>
    </w:rPr>
  </w:style>
  <w:style w:type="paragraph" w:customStyle="1" w:styleId="headingb0">
    <w:name w:val="heading_b"/>
    <w:basedOn w:val="Heading3"/>
    <w:next w:val="Normal"/>
    <w:rsid w:val="00193B55"/>
    <w:pPr>
      <w:tabs>
        <w:tab w:val="clear" w:pos="1191"/>
        <w:tab w:val="clear" w:pos="1588"/>
        <w:tab w:val="clear" w:pos="1985"/>
      </w:tabs>
      <w:spacing w:before="160"/>
      <w:ind w:left="0" w:firstLine="0"/>
      <w:outlineLvl w:val="9"/>
    </w:pPr>
    <w:rPr>
      <w:bCs/>
      <w:sz w:val="20"/>
      <w:lang w:val="en-GB" w:eastAsia="es-ES"/>
    </w:rPr>
  </w:style>
  <w:style w:type="paragraph" w:customStyle="1" w:styleId="headingi0">
    <w:name w:val="heading_i"/>
    <w:basedOn w:val="Heading3"/>
    <w:next w:val="Normal"/>
    <w:rsid w:val="00193B55"/>
    <w:pPr>
      <w:tabs>
        <w:tab w:val="clear" w:pos="1191"/>
        <w:tab w:val="clear" w:pos="1588"/>
        <w:tab w:val="clear" w:pos="1985"/>
      </w:tabs>
      <w:spacing w:before="160"/>
      <w:ind w:left="0" w:firstLine="0"/>
      <w:outlineLvl w:val="9"/>
    </w:pPr>
    <w:rPr>
      <w:b w:val="0"/>
      <w:i/>
      <w:iCs/>
      <w:sz w:val="20"/>
      <w:lang w:val="en-GB" w:eastAsia="es-ES"/>
    </w:rPr>
  </w:style>
  <w:style w:type="paragraph" w:customStyle="1" w:styleId="FigureRemark">
    <w:name w:val="Figure_Remark"/>
    <w:basedOn w:val="TableLegend0"/>
    <w:rsid w:val="00193B55"/>
    <w:pPr>
      <w:tabs>
        <w:tab w:val="clear" w:pos="794"/>
        <w:tab w:val="clear" w:pos="1191"/>
        <w:tab w:val="clear" w:pos="1588"/>
        <w:tab w:val="clear" w:pos="1985"/>
        <w:tab w:val="center" w:pos="284"/>
      </w:tabs>
      <w:spacing w:before="142"/>
    </w:pPr>
  </w:style>
  <w:style w:type="paragraph" w:customStyle="1" w:styleId="RecTitleRef">
    <w:name w:val="Rec_Title/Ref"/>
    <w:basedOn w:val="RecTitle0"/>
    <w:next w:val="RecTitleDate"/>
    <w:rsid w:val="00193B55"/>
    <w:pPr>
      <w:spacing w:before="136"/>
    </w:pPr>
    <w:rPr>
      <w:b w:val="0"/>
      <w:bCs w:val="0"/>
    </w:rPr>
  </w:style>
  <w:style w:type="paragraph" w:customStyle="1" w:styleId="RecTitleDate">
    <w:name w:val="Rec_Title/Date"/>
    <w:basedOn w:val="RecTitleRef"/>
    <w:next w:val="headfoot"/>
    <w:rsid w:val="00193B55"/>
    <w:pPr>
      <w:tabs>
        <w:tab w:val="clear" w:pos="4849"/>
      </w:tabs>
      <w:jc w:val="right"/>
    </w:pPr>
  </w:style>
  <w:style w:type="paragraph" w:customStyle="1" w:styleId="headfoot">
    <w:name w:val="head_foot"/>
    <w:basedOn w:val="Normal"/>
    <w:next w:val="Normalaftertitle0"/>
    <w:rsid w:val="00193B55"/>
    <w:pPr>
      <w:tabs>
        <w:tab w:val="clear" w:pos="794"/>
        <w:tab w:val="clear" w:pos="1191"/>
        <w:tab w:val="clear" w:pos="1588"/>
        <w:tab w:val="clear" w:pos="1985"/>
      </w:tabs>
      <w:spacing w:before="0"/>
    </w:pPr>
    <w:rPr>
      <w:b/>
      <w:bCs/>
      <w:color w:val="FFFFFF"/>
      <w:sz w:val="8"/>
      <w:szCs w:val="8"/>
      <w:lang w:val="en-GB" w:eastAsia="es-ES"/>
    </w:rPr>
  </w:style>
  <w:style w:type="paragraph" w:customStyle="1" w:styleId="deftitle">
    <w:name w:val="def title"/>
    <w:basedOn w:val="Heading2"/>
    <w:next w:val="deftexte"/>
    <w:rsid w:val="00193B55"/>
    <w:pPr>
      <w:tabs>
        <w:tab w:val="clear" w:pos="1191"/>
        <w:tab w:val="clear" w:pos="1588"/>
        <w:tab w:val="clear" w:pos="1985"/>
      </w:tabs>
      <w:spacing w:before="313"/>
      <w:outlineLvl w:val="9"/>
    </w:pPr>
    <w:rPr>
      <w:bCs/>
      <w:sz w:val="22"/>
      <w:szCs w:val="22"/>
      <w:lang w:val="en-GB" w:eastAsia="es-ES"/>
    </w:rPr>
  </w:style>
  <w:style w:type="paragraph" w:customStyle="1" w:styleId="deftexte">
    <w:name w:val="def texte"/>
    <w:basedOn w:val="Normal"/>
    <w:rsid w:val="00193B55"/>
    <w:pPr>
      <w:spacing w:before="136"/>
    </w:pPr>
    <w:rPr>
      <w:sz w:val="20"/>
      <w:lang w:val="en-GB" w:eastAsia="es-ES"/>
    </w:rPr>
  </w:style>
  <w:style w:type="paragraph" w:customStyle="1" w:styleId="Section">
    <w:name w:val="Section #"/>
    <w:basedOn w:val="Normal"/>
    <w:next w:val="Sectiontitle0"/>
    <w:rsid w:val="00193B55"/>
    <w:pPr>
      <w:keepNext/>
      <w:keepLines/>
      <w:pageBreakBefore/>
      <w:tabs>
        <w:tab w:val="clear" w:pos="794"/>
        <w:tab w:val="clear" w:pos="1191"/>
        <w:tab w:val="clear" w:pos="1588"/>
        <w:tab w:val="clear" w:pos="1985"/>
        <w:tab w:val="left" w:pos="1474"/>
      </w:tabs>
      <w:spacing w:before="0"/>
      <w:ind w:left="1474" w:hanging="1474"/>
      <w:jc w:val="left"/>
    </w:pPr>
    <w:rPr>
      <w:sz w:val="20"/>
      <w:lang w:val="en-GB" w:eastAsia="es-ES"/>
    </w:rPr>
  </w:style>
  <w:style w:type="paragraph" w:customStyle="1" w:styleId="Sectiontitle0">
    <w:name w:val="Section title"/>
    <w:basedOn w:val="Section"/>
    <w:next w:val="Rec"/>
    <w:rsid w:val="00193B55"/>
    <w:pPr>
      <w:pageBreakBefore w:val="0"/>
      <w:spacing w:before="240"/>
    </w:pPr>
    <w:rPr>
      <w:i/>
      <w:iCs/>
    </w:rPr>
  </w:style>
  <w:style w:type="paragraph" w:customStyle="1" w:styleId="heading">
    <w:name w:val="heading"/>
    <w:basedOn w:val="Heading2"/>
    <w:rsid w:val="00193B55"/>
    <w:pPr>
      <w:tabs>
        <w:tab w:val="clear" w:pos="1985"/>
      </w:tabs>
      <w:spacing w:before="313"/>
      <w:outlineLvl w:val="9"/>
    </w:pPr>
    <w:rPr>
      <w:bCs/>
      <w:sz w:val="22"/>
      <w:szCs w:val="22"/>
      <w:lang w:val="en-GB" w:eastAsia="es-ES"/>
    </w:rPr>
  </w:style>
  <w:style w:type="paragraph" w:customStyle="1" w:styleId="Line1">
    <w:name w:val="Line_1"/>
    <w:basedOn w:val="Normal"/>
    <w:next w:val="Normal"/>
    <w:rsid w:val="00193B55"/>
    <w:pPr>
      <w:pBdr>
        <w:top w:val="dashed" w:sz="6" w:space="1" w:color="auto"/>
      </w:pBdr>
      <w:tabs>
        <w:tab w:val="clear" w:pos="794"/>
        <w:tab w:val="clear" w:pos="1191"/>
        <w:tab w:val="clear" w:pos="1588"/>
        <w:tab w:val="clear" w:pos="1985"/>
      </w:tabs>
      <w:spacing w:before="240"/>
      <w:ind w:left="3997" w:right="3997"/>
      <w:jc w:val="center"/>
    </w:pPr>
    <w:rPr>
      <w:sz w:val="20"/>
      <w:lang w:val="en-GB" w:eastAsia="es-ES"/>
    </w:rPr>
  </w:style>
  <w:style w:type="paragraph" w:customStyle="1" w:styleId="Part0">
    <w:name w:val="Part_#"/>
    <w:basedOn w:val="Annex"/>
    <w:next w:val="PartRef0"/>
    <w:rsid w:val="00193B55"/>
  </w:style>
  <w:style w:type="paragraph" w:customStyle="1" w:styleId="PartRef0">
    <w:name w:val="Part_Ref"/>
    <w:basedOn w:val="AnnexRef0"/>
    <w:rsid w:val="00193B55"/>
  </w:style>
  <w:style w:type="paragraph" w:customStyle="1" w:styleId="PartTitle0">
    <w:name w:val="Part_Title"/>
    <w:basedOn w:val="AnnexTitle"/>
    <w:next w:val="Normalaftertitle0"/>
    <w:rsid w:val="00193B55"/>
  </w:style>
  <w:style w:type="paragraph" w:customStyle="1" w:styleId="Rep">
    <w:name w:val="Rep_#"/>
    <w:basedOn w:val="Rec"/>
    <w:next w:val="RepTitle0"/>
    <w:rsid w:val="00193B55"/>
  </w:style>
  <w:style w:type="paragraph" w:customStyle="1" w:styleId="RepTitle0">
    <w:name w:val="Rep_Title"/>
    <w:basedOn w:val="RecTitle0"/>
    <w:next w:val="RepTitleRef"/>
    <w:rsid w:val="00193B55"/>
  </w:style>
  <w:style w:type="paragraph" w:customStyle="1" w:styleId="RepTitleRef">
    <w:name w:val="Rep_Title/Ref"/>
    <w:basedOn w:val="RecTitleRef"/>
    <w:next w:val="RepTitleDate"/>
    <w:rsid w:val="00193B55"/>
  </w:style>
  <w:style w:type="paragraph" w:customStyle="1" w:styleId="RepTitleDate">
    <w:name w:val="Rep_Title/Date"/>
    <w:basedOn w:val="RecTitleDate"/>
    <w:next w:val="headfoot"/>
    <w:rsid w:val="00193B55"/>
  </w:style>
  <w:style w:type="paragraph" w:customStyle="1" w:styleId="RefDoc">
    <w:name w:val="Ref_Doc"/>
    <w:basedOn w:val="RefText0"/>
    <w:next w:val="RefText0"/>
    <w:rsid w:val="00193B55"/>
    <w:pPr>
      <w:spacing w:before="227"/>
    </w:pPr>
    <w:rPr>
      <w:i/>
      <w:iCs/>
    </w:rPr>
  </w:style>
  <w:style w:type="paragraph" w:customStyle="1" w:styleId="Question">
    <w:name w:val="Question_#"/>
    <w:basedOn w:val="Rec"/>
    <w:next w:val="QuestionTitle0"/>
    <w:rsid w:val="00193B55"/>
    <w:pPr>
      <w:spacing w:before="0"/>
    </w:pPr>
  </w:style>
  <w:style w:type="paragraph" w:customStyle="1" w:styleId="QuestionTitle0">
    <w:name w:val="Question_Title"/>
    <w:basedOn w:val="RecTitle0"/>
    <w:next w:val="QuestionTitleRef"/>
    <w:rsid w:val="00193B55"/>
  </w:style>
  <w:style w:type="paragraph" w:customStyle="1" w:styleId="QuestionTitleRef">
    <w:name w:val="Question_Title/Ref"/>
    <w:basedOn w:val="RecTitleRef"/>
    <w:next w:val="QuestionTitleDate"/>
    <w:rsid w:val="00193B55"/>
  </w:style>
  <w:style w:type="paragraph" w:customStyle="1" w:styleId="QuestionTitleDate">
    <w:name w:val="Question_Title/Date"/>
    <w:basedOn w:val="RecTitleDate"/>
    <w:next w:val="headfoot"/>
    <w:rsid w:val="00193B55"/>
  </w:style>
  <w:style w:type="paragraph" w:customStyle="1" w:styleId="Res">
    <w:name w:val="Res_#"/>
    <w:basedOn w:val="Rec"/>
    <w:next w:val="ResTitle0"/>
    <w:rsid w:val="00193B55"/>
  </w:style>
  <w:style w:type="paragraph" w:customStyle="1" w:styleId="ResTitle0">
    <w:name w:val="Res_Title"/>
    <w:basedOn w:val="RecTitle0"/>
    <w:next w:val="ResTitleRef"/>
    <w:rsid w:val="00193B55"/>
  </w:style>
  <w:style w:type="paragraph" w:customStyle="1" w:styleId="ResTitleRef">
    <w:name w:val="Res_Title/Ref"/>
    <w:basedOn w:val="RecTitleRef"/>
    <w:next w:val="ResTitleDate"/>
    <w:rsid w:val="00193B55"/>
  </w:style>
  <w:style w:type="paragraph" w:customStyle="1" w:styleId="ResTitleDate">
    <w:name w:val="Res_Title/Date"/>
    <w:basedOn w:val="RecTitleDate"/>
    <w:next w:val="headfoot"/>
    <w:rsid w:val="00193B55"/>
  </w:style>
  <w:style w:type="paragraph" w:customStyle="1" w:styleId="Style">
    <w:name w:val="Style"/>
    <w:basedOn w:val="Normal"/>
    <w:rsid w:val="00193B55"/>
    <w:pPr>
      <w:tabs>
        <w:tab w:val="center" w:pos="4196"/>
        <w:tab w:val="left" w:pos="9242"/>
        <w:tab w:val="center" w:pos="12587"/>
      </w:tabs>
      <w:spacing w:before="340" w:line="318" w:lineRule="atLeast"/>
      <w:ind w:right="618"/>
    </w:pPr>
    <w:rPr>
      <w:i/>
      <w:iCs/>
      <w:sz w:val="28"/>
      <w:szCs w:val="28"/>
      <w:lang w:val="en-GB" w:eastAsia="es-ES"/>
    </w:rPr>
  </w:style>
  <w:style w:type="paragraph" w:customStyle="1" w:styleId="Sectionsous">
    <w:name w:val="Section_sous"/>
    <w:basedOn w:val="Section"/>
    <w:next w:val="Rec"/>
    <w:rsid w:val="00193B55"/>
    <w:pPr>
      <w:pageBreakBefore w:val="0"/>
      <w:spacing w:before="240"/>
    </w:pPr>
  </w:style>
  <w:style w:type="paragraph" w:customStyle="1" w:styleId="CCI">
    <w:name w:val="CCI"/>
    <w:basedOn w:val="Normal"/>
    <w:next w:val="call0"/>
    <w:rsid w:val="00193B55"/>
    <w:pPr>
      <w:keepNext/>
      <w:keepLines/>
      <w:tabs>
        <w:tab w:val="clear" w:pos="794"/>
        <w:tab w:val="clear" w:pos="1191"/>
        <w:tab w:val="clear" w:pos="1588"/>
        <w:tab w:val="clear" w:pos="1985"/>
      </w:tabs>
      <w:spacing w:before="199"/>
    </w:pPr>
    <w:rPr>
      <w:sz w:val="20"/>
      <w:lang w:val="en-GB" w:eastAsia="es-ES"/>
    </w:rPr>
  </w:style>
  <w:style w:type="paragraph" w:customStyle="1" w:styleId="Fig">
    <w:name w:val="Fig"/>
    <w:basedOn w:val="Figure"/>
    <w:next w:val="Fig0"/>
    <w:rsid w:val="00193B55"/>
    <w:pPr>
      <w:keepLines w:val="0"/>
      <w:spacing w:before="136" w:after="0"/>
    </w:pPr>
    <w:rPr>
      <w:caps w:val="0"/>
      <w:sz w:val="20"/>
      <w:lang w:val="en-US" w:eastAsia="es-ES"/>
    </w:rPr>
  </w:style>
  <w:style w:type="paragraph" w:customStyle="1" w:styleId="Fig0">
    <w:name w:val="Fig_#"/>
    <w:basedOn w:val="Fig"/>
    <w:next w:val="Normal"/>
    <w:rsid w:val="00193B55"/>
    <w:pPr>
      <w:jc w:val="left"/>
    </w:pPr>
    <w:rPr>
      <w:color w:val="FFFFFF"/>
    </w:rPr>
  </w:style>
  <w:style w:type="paragraph" w:customStyle="1" w:styleId="heading13">
    <w:name w:val="heading 13"/>
    <w:basedOn w:val="Heading3"/>
    <w:rsid w:val="00193B55"/>
    <w:pPr>
      <w:tabs>
        <w:tab w:val="clear" w:pos="794"/>
        <w:tab w:val="clear" w:pos="1191"/>
        <w:tab w:val="clear" w:pos="1588"/>
        <w:tab w:val="clear" w:pos="1985"/>
        <w:tab w:val="left" w:pos="1077"/>
        <w:tab w:val="right" w:pos="9696"/>
      </w:tabs>
      <w:spacing w:before="240"/>
      <w:ind w:left="1077" w:hanging="1077"/>
      <w:outlineLvl w:val="9"/>
    </w:pPr>
    <w:rPr>
      <w:b w:val="0"/>
      <w:i/>
      <w:iCs/>
      <w:sz w:val="20"/>
      <w:lang w:val="en-GB" w:eastAsia="es-ES"/>
    </w:rPr>
  </w:style>
  <w:style w:type="paragraph" w:customStyle="1" w:styleId="foot">
    <w:name w:val="foot"/>
    <w:basedOn w:val="headfoot"/>
    <w:rsid w:val="00193B55"/>
  </w:style>
  <w:style w:type="paragraph" w:customStyle="1" w:styleId="ormalLoweredby12pt">
    <w:name w:val="ormal + Lowered by  12 pt"/>
    <w:basedOn w:val="Equation"/>
    <w:rsid w:val="00193B55"/>
    <w:rPr>
      <w:rFonts w:eastAsiaTheme="minorEastAsia"/>
      <w:lang w:val="en-GB"/>
    </w:rPr>
  </w:style>
  <w:style w:type="table" w:customStyle="1" w:styleId="TableGrid1">
    <w:name w:val="Table Grid1"/>
    <w:basedOn w:val="TableNormal"/>
    <w:rsid w:val="00193B55"/>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93B5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paragraph" w:styleId="TOCHeading">
    <w:name w:val="TOC Heading"/>
    <w:basedOn w:val="Heading1"/>
    <w:next w:val="Normal"/>
    <w:uiPriority w:val="39"/>
    <w:unhideWhenUsed/>
    <w:qFormat/>
    <w:rsid w:val="00193B55"/>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apple-converted-space">
    <w:name w:val="apple-converted-space"/>
    <w:basedOn w:val="DefaultParagraphFont"/>
    <w:rsid w:val="00C42B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image" Target="media/image4.png"/><Relationship Id="rId42" Type="http://schemas.openxmlformats.org/officeDocument/2006/relationships/oleObject" Target="embeddings/oleObject4.bin"/><Relationship Id="rId47" Type="http://schemas.openxmlformats.org/officeDocument/2006/relationships/hyperlink" Target="https://www.itu.int/rec/R-REC-M.1390/en" TargetMode="External"/><Relationship Id="rId63" Type="http://schemas.openxmlformats.org/officeDocument/2006/relationships/image" Target="media/image31.png"/><Relationship Id="rId68"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1.wmf"/><Relationship Id="rId11" Type="http://schemas.openxmlformats.org/officeDocument/2006/relationships/footer" Target="footer2.xml"/><Relationship Id="rId24" Type="http://schemas.openxmlformats.org/officeDocument/2006/relationships/oleObject" Target="embeddings/oleObject1.bin"/><Relationship Id="rId32" Type="http://schemas.openxmlformats.org/officeDocument/2006/relationships/image" Target="media/image14.wmf"/><Relationship Id="rId37" Type="http://schemas.openxmlformats.org/officeDocument/2006/relationships/image" Target="media/image18.wmf"/><Relationship Id="rId40" Type="http://schemas.openxmlformats.org/officeDocument/2006/relationships/image" Target="media/image20.wmf"/><Relationship Id="rId45" Type="http://schemas.openxmlformats.org/officeDocument/2006/relationships/image" Target="media/image24.wmf"/><Relationship Id="rId53" Type="http://schemas.openxmlformats.org/officeDocument/2006/relationships/image" Target="media/image29.png"/><Relationship Id="rId58" Type="http://schemas.openxmlformats.org/officeDocument/2006/relationships/header" Target="header7.xml"/><Relationship Id="rId66"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header" Target="header9.xml"/><Relationship Id="rId19" Type="http://schemas.openxmlformats.org/officeDocument/2006/relationships/hyperlink" Target="https://www.itu.int/pub/R-HDB-21" TargetMode="External"/><Relationship Id="rId14" Type="http://schemas.openxmlformats.org/officeDocument/2006/relationships/hyperlink" Target="http://www.itu.int/ITU-R/go/patents/es" TargetMode="External"/><Relationship Id="rId22" Type="http://schemas.openxmlformats.org/officeDocument/2006/relationships/image" Target="media/image5.png"/><Relationship Id="rId27" Type="http://schemas.openxmlformats.org/officeDocument/2006/relationships/image" Target="media/image9.wmf"/><Relationship Id="rId30" Type="http://schemas.openxmlformats.org/officeDocument/2006/relationships/image" Target="media/image12.wmf"/><Relationship Id="rId35" Type="http://schemas.openxmlformats.org/officeDocument/2006/relationships/image" Target="media/image16.wmf"/><Relationship Id="rId43" Type="http://schemas.openxmlformats.org/officeDocument/2006/relationships/image" Target="media/image22.wmf"/><Relationship Id="rId48" Type="http://schemas.openxmlformats.org/officeDocument/2006/relationships/hyperlink" Target="https://www.itu.int/rec/R-REC-M.1768/en" TargetMode="External"/><Relationship Id="rId56" Type="http://schemas.openxmlformats.org/officeDocument/2006/relationships/footer" Target="footer4.xml"/><Relationship Id="rId64" Type="http://schemas.openxmlformats.org/officeDocument/2006/relationships/image" Target="media/image32.png"/><Relationship Id="rId69" Type="http://schemas.openxmlformats.org/officeDocument/2006/relationships/footer" Target="footer8.xml"/><Relationship Id="rId8" Type="http://schemas.openxmlformats.org/officeDocument/2006/relationships/header" Target="header1.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3.bin"/><Relationship Id="rId46" Type="http://schemas.openxmlformats.org/officeDocument/2006/relationships/image" Target="media/image25.wmf"/><Relationship Id="rId59" Type="http://schemas.openxmlformats.org/officeDocument/2006/relationships/footer" Target="footer6.xml"/><Relationship Id="rId67" Type="http://schemas.openxmlformats.org/officeDocument/2006/relationships/image" Target="media/image35.png"/><Relationship Id="rId20" Type="http://schemas.openxmlformats.org/officeDocument/2006/relationships/image" Target="media/image3.png"/><Relationship Id="rId41" Type="http://schemas.openxmlformats.org/officeDocument/2006/relationships/image" Target="media/image21.wmf"/><Relationship Id="rId54" Type="http://schemas.openxmlformats.org/officeDocument/2006/relationships/image" Target="media/image30.png"/><Relationship Id="rId62" Type="http://schemas.openxmlformats.org/officeDocument/2006/relationships/footer" Target="footer7.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publ/R-REP/es" TargetMode="External"/><Relationship Id="rId23" Type="http://schemas.openxmlformats.org/officeDocument/2006/relationships/image" Target="media/image6.wmf"/><Relationship Id="rId28" Type="http://schemas.openxmlformats.org/officeDocument/2006/relationships/image" Target="media/image10.wmf"/><Relationship Id="rId36" Type="http://schemas.openxmlformats.org/officeDocument/2006/relationships/image" Target="media/image17.wmf"/><Relationship Id="rId49" Type="http://schemas.openxmlformats.org/officeDocument/2006/relationships/hyperlink" Target="https://www.itu.int/rec/R-REC-M.1651/en" TargetMode="External"/><Relationship Id="rId57" Type="http://schemas.openxmlformats.org/officeDocument/2006/relationships/footer" Target="footer5.xml"/><Relationship Id="rId10" Type="http://schemas.openxmlformats.org/officeDocument/2006/relationships/footer" Target="footer1.xml"/><Relationship Id="rId31" Type="http://schemas.openxmlformats.org/officeDocument/2006/relationships/image" Target="media/image13.wmf"/><Relationship Id="rId44" Type="http://schemas.openxmlformats.org/officeDocument/2006/relationships/image" Target="media/image23.wmf"/><Relationship Id="rId52" Type="http://schemas.openxmlformats.org/officeDocument/2006/relationships/image" Target="media/image28.png"/><Relationship Id="rId60" Type="http://schemas.openxmlformats.org/officeDocument/2006/relationships/header" Target="header8.xml"/><Relationship Id="rId65"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www.itu.int/rec/R-REC-SM.1047/es" TargetMode="External"/><Relationship Id="rId39" Type="http://schemas.openxmlformats.org/officeDocument/2006/relationships/image" Target="media/image19.wmf"/><Relationship Id="rId34" Type="http://schemas.openxmlformats.org/officeDocument/2006/relationships/oleObject" Target="embeddings/oleObject2.bin"/><Relationship Id="rId50" Type="http://schemas.openxmlformats.org/officeDocument/2006/relationships/image" Target="media/image26.png"/><Relationship Id="rId55"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doi.org/10.1007/978-981-15-0776-2_6" TargetMode="External"/><Relationship Id="rId3" Type="http://schemas.openxmlformats.org/officeDocument/2006/relationships/hyperlink" Target="https://www.itu.int/en/ITU-D/Regulatory-Market/Pages/Policy-&amp;-Regulatory-Frameworks.aspx" TargetMode="External"/><Relationship Id="rId7" Type="http://schemas.openxmlformats.org/officeDocument/2006/relationships/hyperlink" Target="https://www.ntia.doc.gov/files/ntia/publications/iic_for_time-based_spectrum_sharing.pdf" TargetMode="External"/><Relationship Id="rId2" Type="http://schemas.openxmlformats.org/officeDocument/2006/relationships/hyperlink" Target="https://eur03.safelinks.protection.outlook.com/?url=https%3A%2F%2Fu.ae%2Fen%2Fabout-the-uae%2Fstrategies-initiatives-and-awards%2Fstrategies-plans-and-visions%2Fgovernment-services-and-digital-transformation%2Fuae-national-digital-government-strategy&amp;data=05%7C02%7CPhilippe.Aubineau%40itu.int%7C165bfc6500f249c8000d08dd1e7fc537%7C23e464d704e64b87913c24bd89219fd3%7C0%7C0%7C638700256330688884%7CUnknown%7CTWFpbGZsb3d8eyJFbXB0eU1hcGkiOnRydWUsIlYiOiIwLjAuMDAwMCIsIlAiOiJXaW4zMiIsIkFOIjoiTWFpbCIsIldUIjoyfQ%3D%3D%7C0%7C%7C%7C&amp;sdata=mUMkcKpRNzX%2BhizpteExPg8LfExZksHYn2eWWM6aM%2F0%3D&amp;reserved=0" TargetMode="External"/><Relationship Id="rId1" Type="http://schemas.openxmlformats.org/officeDocument/2006/relationships/hyperlink" Target="https://www.itu.int/pub/R-REP-SM.2404/es" TargetMode="External"/><Relationship Id="rId6" Type="http://schemas.openxmlformats.org/officeDocument/2006/relationships/hyperlink" Target="https://hexa-x.eu/wp-content/uploads/2022/04/Hexa-X_D1.2_Edited.pdf" TargetMode="External"/><Relationship Id="rId11" Type="http://schemas.openxmlformats.org/officeDocument/2006/relationships/hyperlink" Target="https://www.atlanticcouncil.org/cbdctracker/" TargetMode="External"/><Relationship Id="rId5" Type="http://schemas.openxmlformats.org/officeDocument/2006/relationships/hyperlink" Target="https://www.moca.gov.ae/docs/default-source/default-document-library/scenario-planning--toolkits/scenario-planning--toolkits.pdf?sfvrsn=2" TargetMode="External"/><Relationship Id="rId10" Type="http://schemas.openxmlformats.org/officeDocument/2006/relationships/hyperlink" Target="https://www.centralbank.ae/media/nigd2put/cbuae-and-sama-issue-report-on-results-of-joint-digital-currency-project-aber_en.pdf" TargetMode="External"/><Relationship Id="rId4" Type="http://schemas.openxmlformats.org/officeDocument/2006/relationships/hyperlink" Target="https://www.moca.gov.ae/en/publications" TargetMode="External"/><Relationship Id="rId9" Type="http://schemas.openxmlformats.org/officeDocument/2006/relationships/hyperlink" Target="https://www.tec.gov.in/pdf/Studypaper/AI_in_Spectrum_management.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Tresorit\INTERNATIONAL%20ORGANIZATIONS\ITU\2025\Tom&#225;s_Dec_2025\2023-ITU-R-REP-SM-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DC71C-A1CB-413A-B890-1252C8549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2023-ITU-R-REP-SM-S.dotx</Template>
  <TotalTime>682</TotalTime>
  <Pages>64</Pages>
  <Words>24457</Words>
  <Characters>140957</Characters>
  <Application>Microsoft Office Word</Application>
  <DocSecurity>0</DocSecurity>
  <Lines>1174</Lines>
  <Paragraphs>330</Paragraphs>
  <ScaleCrop>false</ScaleCrop>
  <HeadingPairs>
    <vt:vector size="2" baseType="variant">
      <vt:variant>
        <vt:lpstr>Title</vt:lpstr>
      </vt:variant>
      <vt:variant>
        <vt:i4>1</vt:i4>
      </vt:variant>
    </vt:vector>
  </HeadingPairs>
  <TitlesOfParts>
    <vt:vector size="1" baseType="lpstr">
      <vt:lpstr>Informe UIT-R SM.2015-3 (06/2025) – Métodos para la determinación de «estrategias nacionales a largo plazo» para la utilización del espectro radioeléctrico en determinados países</vt:lpstr>
    </vt:vector>
  </TitlesOfParts>
  <Manager/>
  <Company>ITU</Company>
  <LinksUpToDate>false</LinksUpToDate>
  <CharactersWithSpaces>165084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UIT-R SM.2015-3 (06/2025) – Métodos para la determinación de «estrategias nacionales a largo plazo» para la utilización del espectro radioeléctrico en determinados países</dc:title>
  <dc:subject/>
  <dc:creator>Spanish</dc:creator>
  <cp:keywords/>
  <dc:description>2023-03-17 Version 1</dc:description>
  <cp:lastModifiedBy>Spanish1</cp:lastModifiedBy>
  <cp:revision>43</cp:revision>
  <cp:lastPrinted>2025-12-19T09:55:00Z</cp:lastPrinted>
  <dcterms:created xsi:type="dcterms:W3CDTF">2025-12-15T14:24:00Z</dcterms:created>
  <dcterms:modified xsi:type="dcterms:W3CDTF">2025-12-19T10:05:00Z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