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94C01" w14:textId="77777777" w:rsidR="00FE79FE" w:rsidRPr="008B7A21" w:rsidRDefault="00FE79FE">
      <w:pPr>
        <w:rPr>
          <w:lang w:val="es-ES_tradnl"/>
        </w:rPr>
      </w:pPr>
    </w:p>
    <w:p w14:paraId="3495CB42" w14:textId="77777777" w:rsidR="00013002" w:rsidRPr="008B7A21" w:rsidRDefault="00013002" w:rsidP="00DE5556">
      <w:pPr>
        <w:tabs>
          <w:tab w:val="clear" w:pos="794"/>
          <w:tab w:val="clear" w:pos="1191"/>
          <w:tab w:val="clear" w:pos="1588"/>
          <w:tab w:val="clear" w:pos="1985"/>
        </w:tabs>
        <w:rPr>
          <w:lang w:val="es-ES_tradnl"/>
        </w:rPr>
      </w:pPr>
    </w:p>
    <w:p w14:paraId="71A3776B" w14:textId="4496C17C" w:rsidR="00D5024B" w:rsidRPr="008B7A21" w:rsidRDefault="009F5368" w:rsidP="00D5024B">
      <w:pPr>
        <w:pStyle w:val="CoverNumber"/>
        <w:rPr>
          <w:lang w:val="es-ES_tradnl"/>
        </w:rPr>
      </w:pPr>
      <w:bookmarkStart w:id="0" w:name="_Toc215835309"/>
      <w:r w:rsidRPr="008B7A21">
        <w:rPr>
          <w:lang w:val="es-ES_tradnl"/>
        </w:rPr>
        <w:t>Informe UIT-R S</w:t>
      </w:r>
      <w:r w:rsidR="007529DF" w:rsidRPr="008B7A21">
        <w:rPr>
          <w:lang w:val="es-ES_tradnl"/>
        </w:rPr>
        <w:t>M</w:t>
      </w:r>
      <w:r w:rsidRPr="008B7A21">
        <w:rPr>
          <w:lang w:val="es-ES_tradnl"/>
        </w:rPr>
        <w:t>.</w:t>
      </w:r>
      <w:r w:rsidR="00F73D5B" w:rsidRPr="008B7A21">
        <w:rPr>
          <w:lang w:val="es-ES_tradnl"/>
        </w:rPr>
        <w:t>2012-7</w:t>
      </w:r>
      <w:bookmarkEnd w:id="0"/>
    </w:p>
    <w:p w14:paraId="272938E9" w14:textId="5FC3B1F1" w:rsidR="00D5024B" w:rsidRPr="008B7A21" w:rsidRDefault="00D5024B" w:rsidP="00D5024B">
      <w:pPr>
        <w:pStyle w:val="CoverDate"/>
        <w:rPr>
          <w:lang w:val="es-ES_tradnl"/>
        </w:rPr>
      </w:pPr>
      <w:r w:rsidRPr="008B7A21">
        <w:rPr>
          <w:lang w:val="es-ES_tradnl"/>
        </w:rPr>
        <w:t>(</w:t>
      </w:r>
      <w:r w:rsidR="00F73D5B" w:rsidRPr="008B7A21">
        <w:rPr>
          <w:lang w:val="es-ES_tradnl"/>
        </w:rPr>
        <w:t>06</w:t>
      </w:r>
      <w:r w:rsidRPr="008B7A21">
        <w:rPr>
          <w:lang w:val="es-ES_tradnl"/>
        </w:rPr>
        <w:t>/</w:t>
      </w:r>
      <w:r w:rsidR="00F73D5B" w:rsidRPr="008B7A21">
        <w:rPr>
          <w:lang w:val="es-ES_tradnl"/>
        </w:rPr>
        <w:t>2025</w:t>
      </w:r>
      <w:r w:rsidRPr="008B7A21">
        <w:rPr>
          <w:lang w:val="es-ES_tradnl"/>
        </w:rPr>
        <w:t>)</w:t>
      </w:r>
    </w:p>
    <w:p w14:paraId="737911FE" w14:textId="77777777" w:rsidR="00D5024B" w:rsidRPr="008B7A21" w:rsidRDefault="00A25EE2" w:rsidP="00D5024B">
      <w:pPr>
        <w:pStyle w:val="CoverSeries"/>
        <w:rPr>
          <w:lang w:val="es-ES_tradnl"/>
        </w:rPr>
      </w:pPr>
      <w:r w:rsidRPr="008B7A21">
        <w:rPr>
          <w:lang w:val="es-ES_tradnl"/>
        </w:rPr>
        <w:t>S</w:t>
      </w:r>
      <w:r w:rsidR="0069322D" w:rsidRPr="008B7A21">
        <w:rPr>
          <w:lang w:val="es-ES_tradnl"/>
        </w:rPr>
        <w:t>e</w:t>
      </w:r>
      <w:r w:rsidRPr="008B7A21">
        <w:rPr>
          <w:lang w:val="es-ES_tradnl"/>
        </w:rPr>
        <w:t xml:space="preserve">rie </w:t>
      </w:r>
      <w:r w:rsidR="00D5024B" w:rsidRPr="008B7A21">
        <w:rPr>
          <w:lang w:val="es-ES_tradnl"/>
        </w:rPr>
        <w:t>S</w:t>
      </w:r>
      <w:r w:rsidR="007529DF" w:rsidRPr="008B7A21">
        <w:rPr>
          <w:lang w:val="es-ES_tradnl"/>
        </w:rPr>
        <w:t>M</w:t>
      </w:r>
      <w:r w:rsidR="00D5024B" w:rsidRPr="008B7A21">
        <w:rPr>
          <w:lang w:val="es-ES_tradnl"/>
        </w:rPr>
        <w:t xml:space="preserve">: </w:t>
      </w:r>
      <w:r w:rsidR="007529DF" w:rsidRPr="008B7A21">
        <w:rPr>
          <w:lang w:val="es-ES_tradnl"/>
        </w:rPr>
        <w:t>Gestión del espectro</w:t>
      </w:r>
    </w:p>
    <w:p w14:paraId="06B424D4" w14:textId="786997E5" w:rsidR="00D5024B" w:rsidRPr="008B7A21" w:rsidRDefault="00F73D5B" w:rsidP="00D5024B">
      <w:pPr>
        <w:pStyle w:val="CoverTitle"/>
        <w:rPr>
          <w:lang w:val="es-ES_tradnl"/>
        </w:rPr>
      </w:pPr>
      <w:r w:rsidRPr="008B7A21">
        <w:rPr>
          <w:lang w:val="es-ES_tradnl"/>
        </w:rPr>
        <w:t>Enfoques económicos de la gestión del espectro</w:t>
      </w:r>
    </w:p>
    <w:p w14:paraId="47F58DB1" w14:textId="77777777" w:rsidR="00FE79FE" w:rsidRPr="008B7A21" w:rsidRDefault="00FE79FE" w:rsidP="005373E0">
      <w:pPr>
        <w:rPr>
          <w:lang w:val="es-ES_tradnl"/>
        </w:rPr>
      </w:pPr>
    </w:p>
    <w:p w14:paraId="32498D61" w14:textId="77777777" w:rsidR="00A71FE5" w:rsidRPr="008B7A21" w:rsidRDefault="00A71FE5" w:rsidP="005373E0">
      <w:pPr>
        <w:rPr>
          <w:lang w:val="es-ES_tradnl"/>
        </w:rPr>
      </w:pPr>
    </w:p>
    <w:p w14:paraId="4AC1800E" w14:textId="77777777" w:rsidR="00EE47C4" w:rsidRPr="008B7A21" w:rsidRDefault="00EE47C4" w:rsidP="005373E0">
      <w:pPr>
        <w:rPr>
          <w:lang w:val="es-ES_tradnl"/>
        </w:rPr>
        <w:sectPr w:rsidR="00EE47C4" w:rsidRPr="008B7A21" w:rsidSect="0027411A">
          <w:headerReference w:type="even" r:id="rId8"/>
          <w:headerReference w:type="default" r:id="rId9"/>
          <w:pgSz w:w="11907" w:h="16840" w:code="9"/>
          <w:pgMar w:top="1089" w:right="1089" w:bottom="284" w:left="1089" w:header="737" w:footer="284" w:gutter="0"/>
          <w:pgNumType w:start="1"/>
          <w:cols w:space="720"/>
          <w:docGrid w:linePitch="326"/>
        </w:sectPr>
      </w:pPr>
    </w:p>
    <w:p w14:paraId="7C5A6D4D" w14:textId="77777777" w:rsidR="009F5368" w:rsidRPr="008B7A21" w:rsidRDefault="009F5368" w:rsidP="009F53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8B7A21">
        <w:rPr>
          <w:bCs/>
          <w:sz w:val="24"/>
          <w:szCs w:val="24"/>
          <w:lang w:val="es-ES_tradnl"/>
        </w:rPr>
        <w:t>Prólogo</w:t>
      </w:r>
    </w:p>
    <w:p w14:paraId="34202978" w14:textId="77777777" w:rsidR="009F5368" w:rsidRPr="008B7A21" w:rsidRDefault="009F5368" w:rsidP="009F5368">
      <w:pPr>
        <w:spacing w:before="180"/>
        <w:rPr>
          <w:sz w:val="20"/>
          <w:lang w:val="es-ES_tradnl"/>
        </w:rPr>
      </w:pPr>
      <w:r w:rsidRPr="008B7A21">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50E3BC3B" w14:textId="77777777" w:rsidR="009F5368" w:rsidRPr="008B7A21" w:rsidRDefault="009F5368" w:rsidP="009F5368">
      <w:pPr>
        <w:rPr>
          <w:sz w:val="20"/>
          <w:lang w:val="es-ES_tradnl"/>
        </w:rPr>
      </w:pPr>
      <w:r w:rsidRPr="008B7A21">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4BB902E4" w14:textId="77777777" w:rsidR="009F5368" w:rsidRPr="008B7A21" w:rsidRDefault="009F5368" w:rsidP="009F5368">
      <w:pPr>
        <w:spacing w:before="0"/>
        <w:rPr>
          <w:sz w:val="20"/>
          <w:lang w:val="es-ES_tradnl"/>
        </w:rPr>
      </w:pPr>
    </w:p>
    <w:p w14:paraId="13B0CE68" w14:textId="77777777" w:rsidR="009F5368" w:rsidRPr="008B7A21" w:rsidRDefault="009F5368" w:rsidP="009F5368">
      <w:pPr>
        <w:spacing w:before="0"/>
        <w:rPr>
          <w:sz w:val="20"/>
          <w:lang w:val="es-ES_tradnl"/>
        </w:rPr>
      </w:pPr>
    </w:p>
    <w:p w14:paraId="00EB1CA4" w14:textId="77777777" w:rsidR="009F5368" w:rsidRPr="008B7A21" w:rsidRDefault="009F5368" w:rsidP="009F5368">
      <w:pPr>
        <w:pStyle w:val="Heading1"/>
        <w:spacing w:before="340"/>
        <w:jc w:val="center"/>
        <w:rPr>
          <w:szCs w:val="24"/>
          <w:lang w:val="es-ES_tradnl"/>
        </w:rPr>
      </w:pPr>
      <w:bookmarkStart w:id="2" w:name="_Toc215835310"/>
      <w:r w:rsidRPr="008B7A21">
        <w:rPr>
          <w:lang w:val="es-ES_tradnl"/>
        </w:rPr>
        <w:t>Política sobre Derechos de Propiedad Intelectual</w:t>
      </w:r>
      <w:r w:rsidRPr="008B7A21">
        <w:rPr>
          <w:szCs w:val="24"/>
          <w:lang w:val="es-ES_tradnl"/>
        </w:rPr>
        <w:t xml:space="preserve"> (IPR)</w:t>
      </w:r>
      <w:bookmarkEnd w:id="2"/>
    </w:p>
    <w:p w14:paraId="56B65D2C" w14:textId="3EB320AE" w:rsidR="009F5368" w:rsidRPr="008B7A21" w:rsidRDefault="009F5368" w:rsidP="009F5368">
      <w:pPr>
        <w:spacing w:before="180"/>
        <w:rPr>
          <w:sz w:val="20"/>
          <w:lang w:val="es-ES_tradnl"/>
        </w:rPr>
      </w:pPr>
      <w:r w:rsidRPr="008B7A21">
        <w:rPr>
          <w:sz w:val="20"/>
          <w:lang w:val="es-ES_tradnl"/>
        </w:rPr>
        <w:t>La política del UIT</w:t>
      </w:r>
      <w:r w:rsidRPr="008B7A21">
        <w:rPr>
          <w:sz w:val="20"/>
          <w:lang w:val="es-ES_tradnl"/>
        </w:rPr>
        <w:noBreakHyphen/>
        <w:t>R sobre Derechos de Propiedad Intelectual se describe en la Política Común de Patentes UIT</w:t>
      </w:r>
      <w:r w:rsidRPr="008B7A21">
        <w:rPr>
          <w:sz w:val="20"/>
          <w:lang w:val="es-ES_tradnl"/>
        </w:rPr>
        <w:noBreakHyphen/>
        <w:t>T/UIT</w:t>
      </w:r>
      <w:r w:rsidRPr="008B7A21">
        <w:rPr>
          <w:sz w:val="20"/>
          <w:lang w:val="es-ES_tradnl"/>
        </w:rPr>
        <w:noBreakHyphen/>
        <w:t>R/ISO/CEI a la que se hace referencia en la Resolución UIT</w:t>
      </w:r>
      <w:r w:rsidRPr="008B7A21">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007044BB" w:rsidRPr="00B74FA3">
          <w:rPr>
            <w:rStyle w:val="Hyperlink"/>
            <w:sz w:val="20"/>
            <w:lang w:val="es-ES_tradnl"/>
          </w:rPr>
          <w:t>https://www.itu.int/ITU-R/go/patents/es</w:t>
        </w:r>
      </w:hyperlink>
      <w:r w:rsidRPr="008B7A21">
        <w:rPr>
          <w:sz w:val="20"/>
          <w:lang w:val="es-ES_tradnl"/>
        </w:rPr>
        <w:t>, donde también aparecen las Directrices para la implementación de la Política Común de Patentes UIT</w:t>
      </w:r>
      <w:r w:rsidRPr="008B7A21">
        <w:rPr>
          <w:sz w:val="20"/>
          <w:lang w:val="es-ES_tradnl"/>
        </w:rPr>
        <w:noBreakHyphen/>
        <w:t>T/UIT</w:t>
      </w:r>
      <w:r w:rsidRPr="008B7A21">
        <w:rPr>
          <w:sz w:val="20"/>
          <w:lang w:val="es-ES_tradnl"/>
        </w:rPr>
        <w:noBreakHyphen/>
        <w:t>R/ISO/CEI y la base de datos sobre información de patentes del UIT</w:t>
      </w:r>
      <w:r w:rsidRPr="008B7A21">
        <w:rPr>
          <w:sz w:val="20"/>
          <w:lang w:val="es-ES_tradnl"/>
        </w:rPr>
        <w:noBreakHyphen/>
        <w:t>R sobre este asunto.</w:t>
      </w:r>
    </w:p>
    <w:p w14:paraId="2D215786" w14:textId="77777777" w:rsidR="009F5368" w:rsidRPr="008B7A21" w:rsidRDefault="009F5368" w:rsidP="009F5368">
      <w:pPr>
        <w:spacing w:before="0"/>
        <w:jc w:val="center"/>
        <w:rPr>
          <w:sz w:val="22"/>
          <w:lang w:val="es-ES_tradnl"/>
        </w:rPr>
      </w:pPr>
    </w:p>
    <w:p w14:paraId="73277C41" w14:textId="77777777" w:rsidR="009F5368" w:rsidRPr="008B7A21" w:rsidRDefault="009F5368" w:rsidP="009F5368">
      <w:pPr>
        <w:spacing w:before="0"/>
        <w:jc w:val="center"/>
        <w:rPr>
          <w:sz w:val="22"/>
          <w:lang w:val="es-ES_tradnl"/>
        </w:rPr>
      </w:pPr>
    </w:p>
    <w:p w14:paraId="4CD6BBE1" w14:textId="77777777" w:rsidR="009F5368" w:rsidRPr="008B7A21" w:rsidRDefault="009F5368" w:rsidP="009F5368">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9F5368" w:rsidRPr="008B7A21" w14:paraId="502198DC" w14:textId="77777777" w:rsidTr="009F5368">
        <w:tc>
          <w:tcPr>
            <w:tcW w:w="9360" w:type="dxa"/>
            <w:gridSpan w:val="2"/>
          </w:tcPr>
          <w:p w14:paraId="64F280BA" w14:textId="77777777" w:rsidR="009F5368" w:rsidRPr="008B7A21" w:rsidRDefault="009F5368" w:rsidP="002260CF">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8B7A21">
              <w:rPr>
                <w:sz w:val="22"/>
                <w:szCs w:val="22"/>
                <w:lang w:val="es-ES_tradnl"/>
              </w:rPr>
              <w:t xml:space="preserve">Series de los Informes UIT-R </w:t>
            </w:r>
          </w:p>
          <w:p w14:paraId="46413F2E" w14:textId="77777777" w:rsidR="009F5368" w:rsidRPr="008B7A21"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8B7A21">
              <w:rPr>
                <w:b w:val="0"/>
                <w:sz w:val="18"/>
                <w:szCs w:val="18"/>
                <w:lang w:val="es-ES_tradnl"/>
              </w:rPr>
              <w:t xml:space="preserve">(También disponible en línea en </w:t>
            </w:r>
            <w:hyperlink r:id="rId11" w:history="1">
              <w:r w:rsidRPr="008B7A21">
                <w:rPr>
                  <w:rStyle w:val="Hyperlink"/>
                  <w:b w:val="0"/>
                  <w:sz w:val="18"/>
                  <w:szCs w:val="18"/>
                  <w:lang w:val="es-ES_tradnl"/>
                </w:rPr>
                <w:t>https://www.itu.int/publ/R-REP/es</w:t>
              </w:r>
            </w:hyperlink>
            <w:r w:rsidRPr="008B7A21">
              <w:rPr>
                <w:b w:val="0"/>
                <w:bCs/>
                <w:sz w:val="18"/>
                <w:szCs w:val="18"/>
                <w:lang w:val="es-ES_tradnl"/>
              </w:rPr>
              <w:t>)</w:t>
            </w:r>
          </w:p>
        </w:tc>
      </w:tr>
      <w:tr w:rsidR="009F5368" w:rsidRPr="008B7A21" w14:paraId="71AE33D5" w14:textId="77777777" w:rsidTr="009F5368">
        <w:tc>
          <w:tcPr>
            <w:tcW w:w="1140" w:type="dxa"/>
            <w:tcBorders>
              <w:bottom w:val="nil"/>
            </w:tcBorders>
          </w:tcPr>
          <w:p w14:paraId="33F1FEE6" w14:textId="77777777" w:rsidR="009F5368" w:rsidRPr="008B7A21" w:rsidRDefault="009F5368" w:rsidP="002260CF">
            <w:pPr>
              <w:spacing w:before="180" w:after="100"/>
              <w:ind w:left="57"/>
              <w:rPr>
                <w:b/>
                <w:bCs/>
                <w:sz w:val="20"/>
                <w:lang w:val="es-ES_tradnl"/>
              </w:rPr>
            </w:pPr>
            <w:r w:rsidRPr="008B7A21">
              <w:rPr>
                <w:b/>
                <w:bCs/>
                <w:sz w:val="20"/>
                <w:lang w:val="es-ES_tradnl"/>
              </w:rPr>
              <w:t>Series</w:t>
            </w:r>
          </w:p>
        </w:tc>
        <w:tc>
          <w:tcPr>
            <w:tcW w:w="8220" w:type="dxa"/>
            <w:tcBorders>
              <w:bottom w:val="nil"/>
            </w:tcBorders>
          </w:tcPr>
          <w:p w14:paraId="65CC8243" w14:textId="77777777" w:rsidR="009F5368" w:rsidRPr="008B7A21"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8B7A21">
              <w:rPr>
                <w:bCs/>
                <w:sz w:val="20"/>
                <w:lang w:val="es-ES_tradnl"/>
              </w:rPr>
              <w:t>Título</w:t>
            </w:r>
          </w:p>
        </w:tc>
      </w:tr>
      <w:tr w:rsidR="009F5368" w:rsidRPr="008B7A21" w14:paraId="573B2CF8" w14:textId="77777777" w:rsidTr="009F5368">
        <w:tc>
          <w:tcPr>
            <w:tcW w:w="1140" w:type="dxa"/>
            <w:tcBorders>
              <w:top w:val="nil"/>
              <w:bottom w:val="nil"/>
            </w:tcBorders>
          </w:tcPr>
          <w:p w14:paraId="43075702" w14:textId="77777777" w:rsidR="009F5368" w:rsidRPr="008B7A21" w:rsidRDefault="009F5368" w:rsidP="002260CF">
            <w:pPr>
              <w:spacing w:before="30" w:after="30"/>
              <w:ind w:left="57"/>
              <w:jc w:val="left"/>
              <w:rPr>
                <w:b/>
                <w:bCs/>
                <w:sz w:val="20"/>
                <w:lang w:val="es-ES_tradnl"/>
              </w:rPr>
            </w:pPr>
            <w:r w:rsidRPr="008B7A21">
              <w:rPr>
                <w:b/>
                <w:bCs/>
                <w:sz w:val="20"/>
                <w:lang w:val="es-ES_tradnl"/>
              </w:rPr>
              <w:t>BO</w:t>
            </w:r>
          </w:p>
        </w:tc>
        <w:tc>
          <w:tcPr>
            <w:tcW w:w="8220" w:type="dxa"/>
            <w:tcBorders>
              <w:top w:val="nil"/>
              <w:bottom w:val="nil"/>
            </w:tcBorders>
          </w:tcPr>
          <w:p w14:paraId="0BA1BF79" w14:textId="77777777" w:rsidR="009F5368" w:rsidRPr="008B7A21"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8B7A21">
              <w:rPr>
                <w:b w:val="0"/>
                <w:sz w:val="20"/>
                <w:lang w:val="es-ES_tradnl"/>
              </w:rPr>
              <w:t>Distribución por satélite</w:t>
            </w:r>
          </w:p>
        </w:tc>
      </w:tr>
      <w:tr w:rsidR="009F5368" w:rsidRPr="008B7A21" w14:paraId="0D4D1EC0" w14:textId="77777777" w:rsidTr="009F5368">
        <w:tc>
          <w:tcPr>
            <w:tcW w:w="1140" w:type="dxa"/>
            <w:tcBorders>
              <w:top w:val="nil"/>
              <w:bottom w:val="nil"/>
            </w:tcBorders>
          </w:tcPr>
          <w:p w14:paraId="1438FFC9" w14:textId="77777777" w:rsidR="009F5368" w:rsidRPr="008B7A21" w:rsidRDefault="009F5368" w:rsidP="002260CF">
            <w:pPr>
              <w:spacing w:before="30" w:after="30"/>
              <w:ind w:left="57"/>
              <w:jc w:val="left"/>
              <w:rPr>
                <w:b/>
                <w:bCs/>
                <w:sz w:val="20"/>
                <w:lang w:val="es-ES_tradnl"/>
              </w:rPr>
            </w:pPr>
            <w:r w:rsidRPr="008B7A21">
              <w:rPr>
                <w:b/>
                <w:bCs/>
                <w:sz w:val="20"/>
                <w:lang w:val="es-ES_tradnl"/>
              </w:rPr>
              <w:t>BR</w:t>
            </w:r>
          </w:p>
        </w:tc>
        <w:tc>
          <w:tcPr>
            <w:tcW w:w="8220" w:type="dxa"/>
            <w:tcBorders>
              <w:top w:val="nil"/>
              <w:bottom w:val="nil"/>
            </w:tcBorders>
          </w:tcPr>
          <w:p w14:paraId="69B985C1" w14:textId="77777777" w:rsidR="009F5368" w:rsidRPr="008B7A21"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B7A21">
              <w:rPr>
                <w:b w:val="0"/>
                <w:bCs/>
                <w:sz w:val="20"/>
                <w:lang w:val="es-ES_tradnl"/>
              </w:rPr>
              <w:t>Registro para producción, archivo y reproducción; películas en televisión</w:t>
            </w:r>
          </w:p>
        </w:tc>
      </w:tr>
      <w:tr w:rsidR="009F5368" w:rsidRPr="008B7A21" w14:paraId="04B9E375" w14:textId="77777777" w:rsidTr="009F5368">
        <w:tc>
          <w:tcPr>
            <w:tcW w:w="1140" w:type="dxa"/>
            <w:tcBorders>
              <w:top w:val="nil"/>
              <w:bottom w:val="nil"/>
            </w:tcBorders>
          </w:tcPr>
          <w:p w14:paraId="62A152DC" w14:textId="77777777" w:rsidR="009F5368" w:rsidRPr="008B7A21" w:rsidRDefault="009F5368" w:rsidP="002260CF">
            <w:pPr>
              <w:spacing w:before="30" w:after="30"/>
              <w:ind w:left="57"/>
              <w:jc w:val="left"/>
              <w:rPr>
                <w:b/>
                <w:bCs/>
                <w:sz w:val="20"/>
                <w:lang w:val="es-ES_tradnl"/>
              </w:rPr>
            </w:pPr>
            <w:r w:rsidRPr="008B7A21">
              <w:rPr>
                <w:b/>
                <w:bCs/>
                <w:sz w:val="20"/>
                <w:lang w:val="es-ES_tradnl"/>
              </w:rPr>
              <w:t>BS</w:t>
            </w:r>
          </w:p>
        </w:tc>
        <w:tc>
          <w:tcPr>
            <w:tcW w:w="8220" w:type="dxa"/>
            <w:tcBorders>
              <w:top w:val="nil"/>
              <w:bottom w:val="nil"/>
            </w:tcBorders>
          </w:tcPr>
          <w:p w14:paraId="61F4BB14" w14:textId="77777777" w:rsidR="009F5368" w:rsidRPr="008B7A21"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8B7A21">
              <w:rPr>
                <w:b w:val="0"/>
                <w:sz w:val="20"/>
                <w:lang w:val="es-ES_tradnl"/>
              </w:rPr>
              <w:t xml:space="preserve">Servicio de radiodifusión </w:t>
            </w:r>
            <w:r w:rsidR="002A3BC7" w:rsidRPr="008B7A21">
              <w:rPr>
                <w:b w:val="0"/>
                <w:sz w:val="20"/>
                <w:lang w:val="es-ES_tradnl"/>
              </w:rPr>
              <w:t>(</w:t>
            </w:r>
            <w:r w:rsidRPr="008B7A21">
              <w:rPr>
                <w:b w:val="0"/>
                <w:sz w:val="20"/>
                <w:lang w:val="es-ES_tradnl"/>
              </w:rPr>
              <w:t>sonora</w:t>
            </w:r>
            <w:r w:rsidR="002A3BC7" w:rsidRPr="008B7A21">
              <w:rPr>
                <w:b w:val="0"/>
                <w:sz w:val="20"/>
                <w:lang w:val="es-ES_tradnl"/>
              </w:rPr>
              <w:t>)</w:t>
            </w:r>
          </w:p>
        </w:tc>
      </w:tr>
      <w:tr w:rsidR="009F5368" w:rsidRPr="008B7A21" w14:paraId="78329622" w14:textId="77777777" w:rsidTr="009F5368">
        <w:tc>
          <w:tcPr>
            <w:tcW w:w="1140" w:type="dxa"/>
            <w:tcBorders>
              <w:top w:val="nil"/>
              <w:bottom w:val="nil"/>
            </w:tcBorders>
          </w:tcPr>
          <w:p w14:paraId="6A57B646" w14:textId="77777777" w:rsidR="009F5368" w:rsidRPr="008B7A21" w:rsidRDefault="009F5368" w:rsidP="002260CF">
            <w:pPr>
              <w:spacing w:before="30" w:after="30"/>
              <w:ind w:left="57"/>
              <w:jc w:val="left"/>
              <w:rPr>
                <w:b/>
                <w:bCs/>
                <w:sz w:val="20"/>
                <w:lang w:val="es-ES_tradnl"/>
              </w:rPr>
            </w:pPr>
            <w:r w:rsidRPr="008B7A21">
              <w:rPr>
                <w:b/>
                <w:bCs/>
                <w:sz w:val="20"/>
                <w:lang w:val="es-ES_tradnl"/>
              </w:rPr>
              <w:t>BT</w:t>
            </w:r>
          </w:p>
        </w:tc>
        <w:tc>
          <w:tcPr>
            <w:tcW w:w="8220" w:type="dxa"/>
            <w:tcBorders>
              <w:top w:val="nil"/>
              <w:bottom w:val="nil"/>
            </w:tcBorders>
          </w:tcPr>
          <w:p w14:paraId="41F8932A" w14:textId="77777777" w:rsidR="009F5368" w:rsidRPr="008B7A21"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8B7A21">
              <w:rPr>
                <w:b w:val="0"/>
                <w:sz w:val="20"/>
                <w:lang w:val="es-ES_tradnl"/>
              </w:rPr>
              <w:t>Servicio de radiodifusión (televisión)</w:t>
            </w:r>
          </w:p>
        </w:tc>
      </w:tr>
      <w:tr w:rsidR="009F5368" w:rsidRPr="008B7A21" w14:paraId="0B2A7B43" w14:textId="77777777" w:rsidTr="009F5368">
        <w:tc>
          <w:tcPr>
            <w:tcW w:w="1140" w:type="dxa"/>
            <w:tcBorders>
              <w:top w:val="nil"/>
              <w:bottom w:val="nil"/>
            </w:tcBorders>
          </w:tcPr>
          <w:p w14:paraId="47B69B6D" w14:textId="77777777" w:rsidR="009F5368" w:rsidRPr="008B7A21" w:rsidRDefault="009F5368" w:rsidP="002260CF">
            <w:pPr>
              <w:spacing w:before="30" w:after="30"/>
              <w:ind w:left="57"/>
              <w:jc w:val="left"/>
              <w:rPr>
                <w:b/>
                <w:bCs/>
                <w:sz w:val="20"/>
                <w:lang w:val="es-ES_tradnl"/>
              </w:rPr>
            </w:pPr>
            <w:r w:rsidRPr="008B7A21">
              <w:rPr>
                <w:b/>
                <w:bCs/>
                <w:sz w:val="20"/>
                <w:lang w:val="es-ES_tradnl"/>
              </w:rPr>
              <w:t>F</w:t>
            </w:r>
          </w:p>
        </w:tc>
        <w:tc>
          <w:tcPr>
            <w:tcW w:w="8220" w:type="dxa"/>
            <w:tcBorders>
              <w:top w:val="nil"/>
              <w:bottom w:val="nil"/>
            </w:tcBorders>
          </w:tcPr>
          <w:p w14:paraId="43756EDA" w14:textId="77777777" w:rsidR="009F5368" w:rsidRPr="008B7A21" w:rsidRDefault="009F5368" w:rsidP="002260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8B7A21">
              <w:rPr>
                <w:sz w:val="20"/>
                <w:lang w:val="es-ES_tradnl"/>
              </w:rPr>
              <w:t>Servicio fijo</w:t>
            </w:r>
          </w:p>
        </w:tc>
      </w:tr>
      <w:tr w:rsidR="009F5368" w:rsidRPr="008B7A21" w14:paraId="1C709B63" w14:textId="77777777" w:rsidTr="009F5368">
        <w:tc>
          <w:tcPr>
            <w:tcW w:w="1140" w:type="dxa"/>
            <w:tcBorders>
              <w:top w:val="nil"/>
              <w:bottom w:val="nil"/>
            </w:tcBorders>
          </w:tcPr>
          <w:p w14:paraId="77C7798D" w14:textId="77777777" w:rsidR="009F5368" w:rsidRPr="008B7A21" w:rsidRDefault="009F5368" w:rsidP="002260CF">
            <w:pPr>
              <w:spacing w:before="30" w:after="30"/>
              <w:ind w:left="57"/>
              <w:jc w:val="left"/>
              <w:rPr>
                <w:b/>
                <w:bCs/>
                <w:sz w:val="20"/>
                <w:lang w:val="es-ES_tradnl"/>
              </w:rPr>
            </w:pPr>
            <w:r w:rsidRPr="008B7A21">
              <w:rPr>
                <w:b/>
                <w:bCs/>
                <w:sz w:val="20"/>
                <w:lang w:val="es-ES_tradnl"/>
              </w:rPr>
              <w:t>M</w:t>
            </w:r>
          </w:p>
        </w:tc>
        <w:tc>
          <w:tcPr>
            <w:tcW w:w="8220" w:type="dxa"/>
            <w:tcBorders>
              <w:top w:val="nil"/>
              <w:bottom w:val="nil"/>
            </w:tcBorders>
          </w:tcPr>
          <w:p w14:paraId="3A8F099D" w14:textId="77777777" w:rsidR="009F5368" w:rsidRPr="008B7A21"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8B7A21">
              <w:rPr>
                <w:b w:val="0"/>
                <w:sz w:val="20"/>
                <w:lang w:val="es-ES_tradnl"/>
              </w:rPr>
              <w:t>Servicios móviles, de radiodeterminación, de aficionados y otros servicios por satélite conexos</w:t>
            </w:r>
          </w:p>
        </w:tc>
      </w:tr>
      <w:tr w:rsidR="009F5368" w:rsidRPr="008B7A21" w14:paraId="4FDB9C96" w14:textId="77777777" w:rsidTr="009F5368">
        <w:tc>
          <w:tcPr>
            <w:tcW w:w="1140" w:type="dxa"/>
            <w:tcBorders>
              <w:top w:val="nil"/>
              <w:bottom w:val="nil"/>
            </w:tcBorders>
          </w:tcPr>
          <w:p w14:paraId="2705E628" w14:textId="77777777" w:rsidR="009F5368" w:rsidRPr="008B7A21" w:rsidRDefault="009F5368" w:rsidP="002260CF">
            <w:pPr>
              <w:spacing w:before="30" w:after="30"/>
              <w:ind w:left="57"/>
              <w:jc w:val="left"/>
              <w:rPr>
                <w:b/>
                <w:bCs/>
                <w:sz w:val="20"/>
                <w:lang w:val="es-ES_tradnl"/>
              </w:rPr>
            </w:pPr>
            <w:r w:rsidRPr="008B7A21">
              <w:rPr>
                <w:b/>
                <w:bCs/>
                <w:sz w:val="20"/>
                <w:lang w:val="es-ES_tradnl"/>
              </w:rPr>
              <w:t>P</w:t>
            </w:r>
          </w:p>
        </w:tc>
        <w:tc>
          <w:tcPr>
            <w:tcW w:w="8220" w:type="dxa"/>
            <w:tcBorders>
              <w:top w:val="nil"/>
              <w:bottom w:val="nil"/>
            </w:tcBorders>
          </w:tcPr>
          <w:p w14:paraId="285B410F" w14:textId="77777777" w:rsidR="009F5368" w:rsidRPr="008B7A21" w:rsidRDefault="009F5368" w:rsidP="002260CF">
            <w:pPr>
              <w:spacing w:before="30" w:after="30"/>
              <w:jc w:val="left"/>
              <w:rPr>
                <w:sz w:val="20"/>
                <w:lang w:val="es-ES_tradnl"/>
              </w:rPr>
            </w:pPr>
            <w:r w:rsidRPr="008B7A21">
              <w:rPr>
                <w:sz w:val="20"/>
                <w:lang w:val="es-ES_tradnl"/>
              </w:rPr>
              <w:t>Propagación de las ondas radioeléctricas</w:t>
            </w:r>
          </w:p>
        </w:tc>
      </w:tr>
      <w:tr w:rsidR="009F5368" w:rsidRPr="008B7A21" w14:paraId="57A0257F" w14:textId="77777777" w:rsidTr="009F5368">
        <w:tc>
          <w:tcPr>
            <w:tcW w:w="1140" w:type="dxa"/>
            <w:tcBorders>
              <w:top w:val="nil"/>
              <w:bottom w:val="nil"/>
            </w:tcBorders>
          </w:tcPr>
          <w:p w14:paraId="371312EA" w14:textId="77777777" w:rsidR="009F5368" w:rsidRPr="008B7A21" w:rsidRDefault="009F5368" w:rsidP="002260CF">
            <w:pPr>
              <w:spacing w:before="30" w:after="30"/>
              <w:ind w:left="57"/>
              <w:jc w:val="left"/>
              <w:rPr>
                <w:b/>
                <w:bCs/>
                <w:sz w:val="20"/>
                <w:lang w:val="es-ES_tradnl"/>
              </w:rPr>
            </w:pPr>
            <w:r w:rsidRPr="008B7A21">
              <w:rPr>
                <w:b/>
                <w:bCs/>
                <w:sz w:val="20"/>
                <w:lang w:val="es-ES_tradnl"/>
              </w:rPr>
              <w:t>RA</w:t>
            </w:r>
          </w:p>
        </w:tc>
        <w:tc>
          <w:tcPr>
            <w:tcW w:w="8220" w:type="dxa"/>
            <w:tcBorders>
              <w:top w:val="nil"/>
              <w:bottom w:val="nil"/>
            </w:tcBorders>
          </w:tcPr>
          <w:p w14:paraId="71C96E7A" w14:textId="77777777" w:rsidR="009F5368" w:rsidRPr="008B7A21" w:rsidRDefault="009F5368" w:rsidP="002260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8B7A21">
              <w:rPr>
                <w:sz w:val="20"/>
                <w:lang w:val="es-ES_tradnl"/>
              </w:rPr>
              <w:t>Radioastronomía</w:t>
            </w:r>
          </w:p>
        </w:tc>
      </w:tr>
      <w:tr w:rsidR="009F5368" w:rsidRPr="008B7A21" w14:paraId="2E4EEA63" w14:textId="77777777" w:rsidTr="009F5368">
        <w:tc>
          <w:tcPr>
            <w:tcW w:w="1140" w:type="dxa"/>
            <w:tcBorders>
              <w:top w:val="nil"/>
              <w:bottom w:val="nil"/>
            </w:tcBorders>
          </w:tcPr>
          <w:p w14:paraId="35CB579F" w14:textId="77777777" w:rsidR="009F5368" w:rsidRPr="008B7A21" w:rsidRDefault="009F5368" w:rsidP="002260CF">
            <w:pPr>
              <w:spacing w:before="30" w:after="30"/>
              <w:ind w:left="57"/>
              <w:jc w:val="left"/>
              <w:rPr>
                <w:b/>
                <w:bCs/>
                <w:sz w:val="20"/>
                <w:lang w:val="es-ES_tradnl"/>
              </w:rPr>
            </w:pPr>
            <w:r w:rsidRPr="008B7A21">
              <w:rPr>
                <w:b/>
                <w:bCs/>
                <w:sz w:val="20"/>
                <w:lang w:val="es-ES_tradnl"/>
              </w:rPr>
              <w:t>RS</w:t>
            </w:r>
          </w:p>
        </w:tc>
        <w:tc>
          <w:tcPr>
            <w:tcW w:w="8220" w:type="dxa"/>
            <w:tcBorders>
              <w:top w:val="nil"/>
              <w:bottom w:val="nil"/>
            </w:tcBorders>
          </w:tcPr>
          <w:p w14:paraId="54ED4A79" w14:textId="77777777" w:rsidR="009F5368" w:rsidRPr="008B7A21" w:rsidRDefault="009F5368" w:rsidP="002260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8B7A21">
              <w:rPr>
                <w:sz w:val="20"/>
                <w:lang w:val="es-ES_tradnl"/>
              </w:rPr>
              <w:t>Sistemas de detección a distancia</w:t>
            </w:r>
          </w:p>
        </w:tc>
      </w:tr>
      <w:tr w:rsidR="009F5368" w:rsidRPr="008B7A21" w14:paraId="643792A6" w14:textId="77777777" w:rsidTr="00AD0CEB">
        <w:tc>
          <w:tcPr>
            <w:tcW w:w="1140" w:type="dxa"/>
            <w:tcBorders>
              <w:top w:val="nil"/>
              <w:bottom w:val="nil"/>
            </w:tcBorders>
          </w:tcPr>
          <w:p w14:paraId="2482970E" w14:textId="77777777" w:rsidR="009F5368" w:rsidRPr="008B7A21" w:rsidRDefault="009F5368" w:rsidP="002260CF">
            <w:pPr>
              <w:spacing w:before="30" w:after="30"/>
              <w:ind w:left="57"/>
              <w:jc w:val="left"/>
              <w:rPr>
                <w:b/>
                <w:bCs/>
                <w:sz w:val="20"/>
                <w:lang w:val="es-ES_tradnl"/>
              </w:rPr>
            </w:pPr>
            <w:r w:rsidRPr="008B7A21">
              <w:rPr>
                <w:b/>
                <w:bCs/>
                <w:sz w:val="20"/>
                <w:lang w:val="es-ES_tradnl"/>
              </w:rPr>
              <w:t>S</w:t>
            </w:r>
          </w:p>
        </w:tc>
        <w:tc>
          <w:tcPr>
            <w:tcW w:w="8220" w:type="dxa"/>
            <w:tcBorders>
              <w:top w:val="nil"/>
              <w:bottom w:val="nil"/>
            </w:tcBorders>
          </w:tcPr>
          <w:p w14:paraId="40E9CBAD" w14:textId="77777777" w:rsidR="009F5368" w:rsidRPr="008B7A21" w:rsidRDefault="009F5368" w:rsidP="002260CF">
            <w:pPr>
              <w:spacing w:before="30" w:after="30"/>
              <w:jc w:val="left"/>
              <w:rPr>
                <w:sz w:val="20"/>
                <w:lang w:val="es-ES_tradnl"/>
              </w:rPr>
            </w:pPr>
            <w:r w:rsidRPr="008B7A21">
              <w:rPr>
                <w:sz w:val="20"/>
                <w:lang w:val="es-ES_tradnl"/>
              </w:rPr>
              <w:t>Servicio fijo por satélite</w:t>
            </w:r>
          </w:p>
        </w:tc>
      </w:tr>
      <w:tr w:rsidR="00AD0CEB" w:rsidRPr="008B7A21" w14:paraId="56568B1D" w14:textId="77777777" w:rsidTr="00AD0CEB">
        <w:tc>
          <w:tcPr>
            <w:tcW w:w="1140" w:type="dxa"/>
            <w:tcBorders>
              <w:top w:val="nil"/>
              <w:bottom w:val="nil"/>
            </w:tcBorders>
            <w:shd w:val="clear" w:color="auto" w:fill="FFFFFF" w:themeFill="background1"/>
          </w:tcPr>
          <w:p w14:paraId="4301CC3C" w14:textId="77777777" w:rsidR="009F5368" w:rsidRPr="008B7A21" w:rsidRDefault="009F5368" w:rsidP="002260CF">
            <w:pPr>
              <w:spacing w:before="30" w:after="30"/>
              <w:ind w:left="57"/>
              <w:jc w:val="left"/>
              <w:rPr>
                <w:b/>
                <w:bCs/>
                <w:sz w:val="20"/>
                <w:lang w:val="es-ES_tradnl"/>
              </w:rPr>
            </w:pPr>
            <w:r w:rsidRPr="008B7A21">
              <w:rPr>
                <w:b/>
                <w:bCs/>
                <w:sz w:val="20"/>
                <w:lang w:val="es-ES_tradnl"/>
              </w:rPr>
              <w:t>SA</w:t>
            </w:r>
          </w:p>
        </w:tc>
        <w:tc>
          <w:tcPr>
            <w:tcW w:w="8220" w:type="dxa"/>
            <w:tcBorders>
              <w:top w:val="nil"/>
              <w:bottom w:val="nil"/>
            </w:tcBorders>
            <w:shd w:val="clear" w:color="auto" w:fill="FFFFFF" w:themeFill="background1"/>
          </w:tcPr>
          <w:p w14:paraId="37050326" w14:textId="77777777" w:rsidR="009F5368" w:rsidRPr="008B7A21" w:rsidRDefault="009F5368" w:rsidP="002260CF">
            <w:pPr>
              <w:spacing w:before="30" w:after="30"/>
              <w:jc w:val="left"/>
              <w:rPr>
                <w:sz w:val="20"/>
                <w:lang w:val="es-ES_tradnl"/>
              </w:rPr>
            </w:pPr>
            <w:r w:rsidRPr="008B7A21">
              <w:rPr>
                <w:sz w:val="20"/>
                <w:lang w:val="es-ES_tradnl"/>
              </w:rPr>
              <w:t>Aplicaciones espaciales y meteorología</w:t>
            </w:r>
          </w:p>
        </w:tc>
      </w:tr>
      <w:tr w:rsidR="009F5368" w:rsidRPr="008B7A21" w14:paraId="7353F127" w14:textId="77777777" w:rsidTr="00AD0CEB">
        <w:tc>
          <w:tcPr>
            <w:tcW w:w="1140" w:type="dxa"/>
            <w:tcBorders>
              <w:top w:val="nil"/>
              <w:bottom w:val="nil"/>
            </w:tcBorders>
          </w:tcPr>
          <w:p w14:paraId="5123CE39" w14:textId="77777777" w:rsidR="009F5368" w:rsidRPr="008B7A21" w:rsidRDefault="009F5368" w:rsidP="002260CF">
            <w:pPr>
              <w:spacing w:before="30" w:after="30"/>
              <w:ind w:left="57"/>
              <w:jc w:val="left"/>
              <w:rPr>
                <w:b/>
                <w:bCs/>
                <w:sz w:val="20"/>
                <w:lang w:val="es-ES_tradnl"/>
              </w:rPr>
            </w:pPr>
            <w:r w:rsidRPr="008B7A21">
              <w:rPr>
                <w:b/>
                <w:bCs/>
                <w:sz w:val="20"/>
                <w:lang w:val="es-ES_tradnl"/>
              </w:rPr>
              <w:t>SF</w:t>
            </w:r>
          </w:p>
        </w:tc>
        <w:tc>
          <w:tcPr>
            <w:tcW w:w="8220" w:type="dxa"/>
            <w:tcBorders>
              <w:top w:val="nil"/>
              <w:bottom w:val="nil"/>
            </w:tcBorders>
          </w:tcPr>
          <w:p w14:paraId="65AB2FC1" w14:textId="77777777" w:rsidR="009F5368" w:rsidRPr="008B7A21" w:rsidRDefault="009F5368" w:rsidP="002260CF">
            <w:pPr>
              <w:spacing w:before="30" w:after="30"/>
              <w:jc w:val="left"/>
              <w:rPr>
                <w:bCs/>
                <w:sz w:val="20"/>
                <w:lang w:val="es-ES_tradnl"/>
              </w:rPr>
            </w:pPr>
            <w:r w:rsidRPr="008B7A21">
              <w:rPr>
                <w:bCs/>
                <w:sz w:val="20"/>
                <w:lang w:val="es-ES_tradnl"/>
              </w:rPr>
              <w:t>Compartición de frecuencias y coordinación entre los sistemas del servicio fijo por satélite y del servicio fijo</w:t>
            </w:r>
          </w:p>
        </w:tc>
      </w:tr>
      <w:tr w:rsidR="00AD0CEB" w:rsidRPr="008B7A21" w14:paraId="02B729CF" w14:textId="77777777" w:rsidTr="00AD0CEB">
        <w:tc>
          <w:tcPr>
            <w:tcW w:w="1140" w:type="dxa"/>
            <w:tcBorders>
              <w:top w:val="nil"/>
              <w:bottom w:val="nil"/>
            </w:tcBorders>
            <w:shd w:val="clear" w:color="auto" w:fill="F2F2F2" w:themeFill="background1" w:themeFillShade="F2"/>
          </w:tcPr>
          <w:p w14:paraId="7657508A" w14:textId="77777777" w:rsidR="009F5368" w:rsidRPr="008B7A21" w:rsidRDefault="009F5368" w:rsidP="002260CF">
            <w:pPr>
              <w:spacing w:before="30" w:after="30"/>
              <w:ind w:left="57"/>
              <w:jc w:val="left"/>
              <w:rPr>
                <w:b/>
                <w:bCs/>
                <w:color w:val="000080"/>
                <w:sz w:val="20"/>
                <w:lang w:val="es-ES_tradnl"/>
              </w:rPr>
            </w:pPr>
            <w:r w:rsidRPr="008B7A21">
              <w:rPr>
                <w:b/>
                <w:bCs/>
                <w:color w:val="000080"/>
                <w:sz w:val="20"/>
                <w:lang w:val="es-ES_tradnl"/>
              </w:rPr>
              <w:t>SM</w:t>
            </w:r>
          </w:p>
        </w:tc>
        <w:tc>
          <w:tcPr>
            <w:tcW w:w="8220" w:type="dxa"/>
            <w:tcBorders>
              <w:top w:val="nil"/>
              <w:bottom w:val="nil"/>
            </w:tcBorders>
            <w:shd w:val="clear" w:color="auto" w:fill="F2F2F2" w:themeFill="background1" w:themeFillShade="F2"/>
          </w:tcPr>
          <w:p w14:paraId="0EB9A337" w14:textId="77777777" w:rsidR="009F5368" w:rsidRPr="008B7A21" w:rsidRDefault="009F5368" w:rsidP="002260CF">
            <w:pPr>
              <w:spacing w:before="30"/>
              <w:jc w:val="left"/>
              <w:rPr>
                <w:b/>
                <w:bCs/>
                <w:color w:val="000080"/>
                <w:sz w:val="20"/>
                <w:lang w:val="es-ES_tradnl"/>
              </w:rPr>
            </w:pPr>
            <w:r w:rsidRPr="008B7A21">
              <w:rPr>
                <w:b/>
                <w:bCs/>
                <w:color w:val="000080"/>
                <w:sz w:val="20"/>
                <w:lang w:val="es-ES_tradnl"/>
              </w:rPr>
              <w:t>Gestión del espectro</w:t>
            </w:r>
          </w:p>
        </w:tc>
      </w:tr>
      <w:tr w:rsidR="009F5368" w:rsidRPr="008B7A21" w14:paraId="0B29288B" w14:textId="77777777" w:rsidTr="00AD0CEB">
        <w:tc>
          <w:tcPr>
            <w:tcW w:w="1140" w:type="dxa"/>
            <w:tcBorders>
              <w:top w:val="nil"/>
            </w:tcBorders>
          </w:tcPr>
          <w:p w14:paraId="47CB9FD9" w14:textId="77777777" w:rsidR="009F5368" w:rsidRPr="008B7A21" w:rsidRDefault="00851ECB" w:rsidP="002260CF">
            <w:pPr>
              <w:spacing w:before="0" w:after="30"/>
              <w:ind w:left="57"/>
              <w:jc w:val="left"/>
              <w:rPr>
                <w:b/>
                <w:bCs/>
                <w:sz w:val="20"/>
                <w:lang w:val="es-ES_tradnl"/>
              </w:rPr>
            </w:pPr>
            <w:r w:rsidRPr="008B7A21">
              <w:rPr>
                <w:b/>
                <w:bCs/>
                <w:sz w:val="20"/>
                <w:lang w:val="es-ES_tradnl"/>
              </w:rPr>
              <w:t>TF</w:t>
            </w:r>
          </w:p>
        </w:tc>
        <w:tc>
          <w:tcPr>
            <w:tcW w:w="8220" w:type="dxa"/>
            <w:tcBorders>
              <w:top w:val="nil"/>
            </w:tcBorders>
          </w:tcPr>
          <w:p w14:paraId="69C023C5" w14:textId="77777777" w:rsidR="009F5368" w:rsidRPr="008B7A21" w:rsidRDefault="00851ECB" w:rsidP="002260CF">
            <w:pPr>
              <w:spacing w:before="0"/>
              <w:jc w:val="left"/>
              <w:rPr>
                <w:sz w:val="20"/>
                <w:lang w:val="es-ES_tradnl"/>
              </w:rPr>
            </w:pPr>
            <w:r w:rsidRPr="008B7A21">
              <w:rPr>
                <w:sz w:val="20"/>
                <w:lang w:val="es-ES_tradnl"/>
              </w:rPr>
              <w:t>Emisiones de frecuencias patrón y señales horarias</w:t>
            </w:r>
          </w:p>
        </w:tc>
      </w:tr>
    </w:tbl>
    <w:p w14:paraId="45050628" w14:textId="77777777" w:rsidR="009F5368" w:rsidRPr="008B7A21" w:rsidRDefault="009F5368" w:rsidP="009F5368">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9F5368" w:rsidRPr="008B7A21" w14:paraId="1D57BCB4" w14:textId="77777777" w:rsidTr="002260CF">
        <w:tc>
          <w:tcPr>
            <w:tcW w:w="720" w:type="dxa"/>
          </w:tcPr>
          <w:p w14:paraId="6CCA0611" w14:textId="77777777" w:rsidR="009F5368" w:rsidRPr="008B7A21" w:rsidRDefault="009F5368" w:rsidP="002260CF">
            <w:pPr>
              <w:spacing w:before="0"/>
              <w:jc w:val="center"/>
              <w:rPr>
                <w:sz w:val="22"/>
                <w:lang w:val="es-ES_tradnl"/>
              </w:rPr>
            </w:pPr>
          </w:p>
        </w:tc>
      </w:tr>
    </w:tbl>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9F5368" w:rsidRPr="008B7A21" w14:paraId="723B1262" w14:textId="77777777" w:rsidTr="009F5368">
        <w:tc>
          <w:tcPr>
            <w:tcW w:w="9360" w:type="dxa"/>
          </w:tcPr>
          <w:p w14:paraId="49EF090D" w14:textId="77777777" w:rsidR="009F5368" w:rsidRPr="008B7A21" w:rsidRDefault="009F5368" w:rsidP="002260CF">
            <w:pPr>
              <w:spacing w:before="92" w:after="92"/>
              <w:jc w:val="left"/>
              <w:rPr>
                <w:i/>
                <w:iCs/>
                <w:sz w:val="20"/>
                <w:lang w:val="es-ES_tradnl"/>
              </w:rPr>
            </w:pPr>
            <w:r w:rsidRPr="008B7A21">
              <w:rPr>
                <w:b/>
                <w:bCs/>
                <w:i/>
                <w:iCs/>
                <w:sz w:val="20"/>
                <w:lang w:val="es-ES_tradnl"/>
              </w:rPr>
              <w:t>Nota</w:t>
            </w:r>
            <w:r w:rsidRPr="008B7A21">
              <w:rPr>
                <w:i/>
                <w:iCs/>
                <w:sz w:val="20"/>
                <w:lang w:val="es-ES_tradnl"/>
              </w:rPr>
              <w:t>: Este Informe UIT-R fue aprobado en inglés por la Comisión de Estudio conforme al procedimiento detallado en la Resolución UIT-R 1.</w:t>
            </w:r>
          </w:p>
        </w:tc>
      </w:tr>
    </w:tbl>
    <w:p w14:paraId="5F3D318F" w14:textId="77777777" w:rsidR="009F5368" w:rsidRPr="008B7A21" w:rsidRDefault="009F5368" w:rsidP="009F5368">
      <w:pPr>
        <w:spacing w:before="0"/>
        <w:jc w:val="center"/>
        <w:rPr>
          <w:sz w:val="22"/>
          <w:lang w:val="es-ES_tradnl"/>
        </w:rPr>
      </w:pPr>
    </w:p>
    <w:p w14:paraId="49A333CF" w14:textId="77777777" w:rsidR="009F5368" w:rsidRPr="008B7A21" w:rsidRDefault="009F5368" w:rsidP="009F5368">
      <w:pPr>
        <w:spacing w:before="60"/>
        <w:jc w:val="right"/>
        <w:rPr>
          <w:i/>
          <w:iCs/>
          <w:sz w:val="20"/>
          <w:lang w:val="es-ES_tradnl"/>
        </w:rPr>
      </w:pPr>
      <w:r w:rsidRPr="008B7A21">
        <w:rPr>
          <w:i/>
          <w:iCs/>
          <w:sz w:val="20"/>
          <w:lang w:val="es-ES_tradnl"/>
        </w:rPr>
        <w:t>Publicación electrónica</w:t>
      </w:r>
    </w:p>
    <w:p w14:paraId="15076584" w14:textId="3883FAD9" w:rsidR="009F5368" w:rsidRPr="008B7A21" w:rsidRDefault="009F5368" w:rsidP="009F5368">
      <w:pPr>
        <w:spacing w:before="0" w:after="40"/>
        <w:jc w:val="right"/>
        <w:rPr>
          <w:sz w:val="20"/>
          <w:lang w:val="es-ES_tradnl"/>
        </w:rPr>
      </w:pPr>
      <w:r w:rsidRPr="008B7A21">
        <w:rPr>
          <w:sz w:val="20"/>
          <w:lang w:val="es-ES_tradnl"/>
        </w:rPr>
        <w:t>Ginebra, 202</w:t>
      </w:r>
      <w:r w:rsidR="00F73D5B" w:rsidRPr="008B7A21">
        <w:rPr>
          <w:sz w:val="20"/>
          <w:lang w:val="es-ES_tradnl"/>
        </w:rPr>
        <w:t>5</w:t>
      </w:r>
    </w:p>
    <w:p w14:paraId="57CE4035" w14:textId="77777777" w:rsidR="009F5368" w:rsidRPr="008B7A21" w:rsidRDefault="009F5368" w:rsidP="009F5368">
      <w:pPr>
        <w:spacing w:before="0"/>
        <w:jc w:val="center"/>
        <w:rPr>
          <w:sz w:val="22"/>
          <w:lang w:val="es-ES_tradnl"/>
        </w:rPr>
      </w:pPr>
    </w:p>
    <w:p w14:paraId="1E82277E" w14:textId="45BCD1F9" w:rsidR="009F5368" w:rsidRPr="008B7A21" w:rsidRDefault="009F5368" w:rsidP="009F5368">
      <w:pPr>
        <w:spacing w:before="0"/>
        <w:jc w:val="center"/>
        <w:rPr>
          <w:sz w:val="20"/>
          <w:lang w:val="es-ES_tradnl"/>
        </w:rPr>
      </w:pPr>
      <w:r w:rsidRPr="008B7A21">
        <w:rPr>
          <w:sz w:val="20"/>
          <w:lang w:val="es-ES_tradnl"/>
        </w:rPr>
        <w:sym w:font="Symbol" w:char="F0E3"/>
      </w:r>
      <w:r w:rsidRPr="008B7A21">
        <w:rPr>
          <w:sz w:val="20"/>
          <w:lang w:val="es-ES_tradnl"/>
        </w:rPr>
        <w:t xml:space="preserve"> UIT 202</w:t>
      </w:r>
      <w:r w:rsidR="00F73D5B" w:rsidRPr="008B7A21">
        <w:rPr>
          <w:sz w:val="20"/>
          <w:lang w:val="es-ES_tradnl"/>
        </w:rPr>
        <w:t>5</w:t>
      </w:r>
    </w:p>
    <w:p w14:paraId="0231D861" w14:textId="77777777" w:rsidR="00D5024B" w:rsidRPr="008B7A21" w:rsidRDefault="009F5368" w:rsidP="009F5368">
      <w:pPr>
        <w:rPr>
          <w:sz w:val="18"/>
          <w:szCs w:val="18"/>
          <w:lang w:val="es-ES_tradnl"/>
        </w:rPr>
      </w:pPr>
      <w:r w:rsidRPr="008B7A21">
        <w:rPr>
          <w:sz w:val="18"/>
          <w:szCs w:val="18"/>
          <w:lang w:val="es-ES_tradnl"/>
        </w:rPr>
        <w:t>Reservados todos los derechos. Ninguna parte de esta publicación puede reproducirse por ningún procedimiento sin previa autorización escrita por parte de la UIT.</w:t>
      </w:r>
    </w:p>
    <w:p w14:paraId="4D46BF47" w14:textId="77777777" w:rsidR="007565CC" w:rsidRPr="008B7A21" w:rsidRDefault="007565CC" w:rsidP="00A971A1">
      <w:pPr>
        <w:spacing w:before="160"/>
        <w:rPr>
          <w:i/>
          <w:sz w:val="20"/>
          <w:lang w:val="es-ES_tradnl"/>
        </w:rPr>
        <w:sectPr w:rsidR="007565CC" w:rsidRPr="008B7A21"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396E9817" w14:textId="30568094" w:rsidR="00F73D5B" w:rsidRPr="008B7A21" w:rsidRDefault="00F73D5B" w:rsidP="00F73D5B">
      <w:pPr>
        <w:pStyle w:val="RepNo"/>
        <w:spacing w:before="0"/>
        <w:rPr>
          <w:lang w:val="es-ES_tradnl"/>
        </w:rPr>
      </w:pPr>
      <w:bookmarkStart w:id="3" w:name="irecnoe"/>
      <w:bookmarkEnd w:id="3"/>
      <w:r w:rsidRPr="008B7A21">
        <w:rPr>
          <w:lang w:val="es-ES_tradnl"/>
        </w:rPr>
        <w:t xml:space="preserve">INFORME  </w:t>
      </w:r>
      <w:r w:rsidRPr="008B7A21">
        <w:rPr>
          <w:rStyle w:val="href"/>
          <w:lang w:val="es-ES_tradnl"/>
        </w:rPr>
        <w:t>UIT-R  SM.2012-</w:t>
      </w:r>
      <w:r w:rsidR="007044BB">
        <w:rPr>
          <w:rStyle w:val="href"/>
          <w:lang w:val="es-ES_tradnl"/>
        </w:rPr>
        <w:t>7</w:t>
      </w:r>
    </w:p>
    <w:p w14:paraId="62CD8F35" w14:textId="77777777" w:rsidR="00F73D5B" w:rsidRPr="008B7A21" w:rsidRDefault="00F73D5B" w:rsidP="00F73D5B">
      <w:pPr>
        <w:pStyle w:val="Reptitle"/>
        <w:rPr>
          <w:lang w:val="es-ES_tradnl"/>
        </w:rPr>
      </w:pPr>
      <w:r w:rsidRPr="008B7A21">
        <w:rPr>
          <w:lang w:val="es-ES_tradnl"/>
        </w:rPr>
        <w:t>Enfoques económicos de la gestión del espectro</w:t>
      </w:r>
    </w:p>
    <w:p w14:paraId="10DB5358" w14:textId="77777777" w:rsidR="00E34F9D" w:rsidRPr="008B7A21" w:rsidRDefault="00E34F9D" w:rsidP="00E34F9D">
      <w:pPr>
        <w:pStyle w:val="Repref"/>
        <w:rPr>
          <w:lang w:val="es-ES_tradnl" w:eastAsia="zh-CN"/>
        </w:rPr>
      </w:pPr>
      <w:r w:rsidRPr="008B7A21">
        <w:rPr>
          <w:lang w:val="es-ES_tradnl"/>
        </w:rPr>
        <w:t>Cuestión UIT-R 240/1</w:t>
      </w:r>
    </w:p>
    <w:p w14:paraId="5D2AB73A" w14:textId="77777777" w:rsidR="007044BB" w:rsidRPr="008B7A21" w:rsidRDefault="007044BB" w:rsidP="007044BB">
      <w:pPr>
        <w:pStyle w:val="Repdate"/>
        <w:rPr>
          <w:lang w:val="es-ES_tradnl"/>
        </w:rPr>
      </w:pPr>
      <w:r w:rsidRPr="008B7A21">
        <w:rPr>
          <w:lang w:val="es-ES_tradnl"/>
        </w:rPr>
        <w:t>(1997-2000-2004-2010-2014-2016-2018-2025)</w:t>
      </w:r>
    </w:p>
    <w:p w14:paraId="17E91BC4" w14:textId="4D7DC9B4" w:rsidR="00F73D5B" w:rsidRPr="007044BB" w:rsidRDefault="00F73D5B" w:rsidP="007044BB">
      <w:pPr>
        <w:overflowPunct/>
        <w:autoSpaceDE/>
        <w:autoSpaceDN/>
        <w:adjustRightInd/>
        <w:spacing w:before="480"/>
        <w:jc w:val="center"/>
        <w:textAlignment w:val="auto"/>
        <w:rPr>
          <w:sz w:val="28"/>
          <w:lang w:val="en-GB"/>
        </w:rPr>
      </w:pPr>
      <w:r w:rsidRPr="007044BB">
        <w:rPr>
          <w:sz w:val="28"/>
          <w:lang w:val="en-GB"/>
        </w:rPr>
        <w:t>ÍNDICE</w:t>
      </w:r>
    </w:p>
    <w:p w14:paraId="64DAF2D6" w14:textId="34EBD166" w:rsidR="00F73D5B" w:rsidRPr="008B7A21" w:rsidRDefault="00F73D5B" w:rsidP="00F73D5B">
      <w:pPr>
        <w:pStyle w:val="toc0"/>
        <w:tabs>
          <w:tab w:val="clear" w:pos="9611"/>
        </w:tabs>
        <w:ind w:right="2"/>
        <w:jc w:val="right"/>
        <w:rPr>
          <w:lang w:val="es-ES_tradnl"/>
        </w:rPr>
      </w:pPr>
      <w:r w:rsidRPr="008B7A21">
        <w:rPr>
          <w:lang w:val="es-ES_tradnl"/>
        </w:rPr>
        <w:tab/>
        <w:t>P</w:t>
      </w:r>
      <w:r w:rsidR="00350DAD" w:rsidRPr="008B7A21">
        <w:rPr>
          <w:lang w:val="es-ES_tradnl"/>
        </w:rPr>
        <w:t>ágina</w:t>
      </w:r>
    </w:p>
    <w:p w14:paraId="598C60DB" w14:textId="73CA81F4" w:rsidR="00281613" w:rsidRPr="008B7A21" w:rsidRDefault="00281613">
      <w:pPr>
        <w:pStyle w:val="TOC1"/>
        <w:rPr>
          <w:rFonts w:asciiTheme="minorHAnsi" w:eastAsiaTheme="minorEastAsia" w:hAnsiTheme="minorHAnsi" w:cstheme="minorBidi"/>
          <w:noProof/>
          <w:kern w:val="2"/>
          <w:szCs w:val="24"/>
          <w:lang w:val="es-ES_tradnl" w:eastAsia="en-GB"/>
          <w14:ligatures w14:val="standardContextual"/>
        </w:rPr>
      </w:pPr>
      <w:r w:rsidRPr="008B7A21">
        <w:rPr>
          <w:lang w:val="es-ES_tradnl"/>
        </w:rPr>
        <w:fldChar w:fldCharType="begin"/>
      </w:r>
      <w:r w:rsidRPr="008B7A21">
        <w:rPr>
          <w:lang w:val="es-ES_tradnl"/>
        </w:rPr>
        <w:instrText xml:space="preserve"> TOC \o "1-3" \h \z \t "Chap_No;1" </w:instrText>
      </w:r>
      <w:r w:rsidRPr="008B7A21">
        <w:rPr>
          <w:lang w:val="es-ES_tradnl"/>
        </w:rPr>
        <w:fldChar w:fldCharType="separate"/>
      </w:r>
      <w:hyperlink w:anchor="_Toc215835312" w:history="1">
        <w:r w:rsidRPr="008B7A21">
          <w:rPr>
            <w:rStyle w:val="Hyperlink"/>
            <w:noProof/>
            <w:lang w:val="es-ES_tradnl"/>
          </w:rPr>
          <w:t>CAPÍTULO 1</w:t>
        </w:r>
        <w:r w:rsidRPr="008B7A21">
          <w:rPr>
            <w:noProof/>
            <w:webHidden/>
            <w:lang w:val="es-ES_tradnl"/>
          </w:rPr>
          <w:tab/>
        </w:r>
        <w:r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_Toc215835312 \h </w:instrText>
        </w:r>
        <w:r w:rsidRPr="008B7A21">
          <w:rPr>
            <w:noProof/>
            <w:webHidden/>
            <w:lang w:val="es-ES_tradnl"/>
          </w:rPr>
        </w:r>
        <w:r w:rsidRPr="008B7A21">
          <w:rPr>
            <w:noProof/>
            <w:webHidden/>
            <w:lang w:val="es-ES_tradnl"/>
          </w:rPr>
          <w:fldChar w:fldCharType="separate"/>
        </w:r>
        <w:r w:rsidR="00D34AF0">
          <w:rPr>
            <w:noProof/>
            <w:webHidden/>
            <w:lang w:val="es-ES_tradnl"/>
          </w:rPr>
          <w:t>4</w:t>
        </w:r>
        <w:r w:rsidRPr="008B7A21">
          <w:rPr>
            <w:noProof/>
            <w:webHidden/>
            <w:lang w:val="es-ES_tradnl"/>
          </w:rPr>
          <w:fldChar w:fldCharType="end"/>
        </w:r>
      </w:hyperlink>
    </w:p>
    <w:p w14:paraId="796CA804" w14:textId="335B6DEB" w:rsidR="00281613" w:rsidRPr="008B7A21" w:rsidRDefault="00281613">
      <w:pPr>
        <w:pStyle w:val="TOC2"/>
        <w:rPr>
          <w:rFonts w:asciiTheme="minorHAnsi" w:eastAsiaTheme="minorEastAsia" w:hAnsiTheme="minorHAnsi" w:cstheme="minorBidi"/>
          <w:noProof/>
          <w:kern w:val="2"/>
          <w:szCs w:val="24"/>
          <w:lang w:val="es-ES_tradnl" w:eastAsia="en-GB"/>
          <w14:ligatures w14:val="standardContextual"/>
        </w:rPr>
      </w:pPr>
      <w:hyperlink w:anchor="_Toc215835313" w:history="1">
        <w:r w:rsidRPr="008B7A21">
          <w:rPr>
            <w:rStyle w:val="Hyperlink"/>
            <w:noProof/>
            <w:lang w:val="es-ES_tradnl"/>
          </w:rPr>
          <w:t>1.1</w:t>
        </w:r>
        <w:r w:rsidRPr="008B7A21">
          <w:rPr>
            <w:rFonts w:asciiTheme="minorHAnsi" w:eastAsiaTheme="minorEastAsia" w:hAnsiTheme="minorHAnsi" w:cstheme="minorBidi"/>
            <w:noProof/>
            <w:kern w:val="2"/>
            <w:szCs w:val="24"/>
            <w:lang w:val="es-ES_tradnl" w:eastAsia="en-GB"/>
            <w14:ligatures w14:val="standardContextual"/>
          </w:rPr>
          <w:tab/>
        </w:r>
        <w:r w:rsidRPr="008B7A21">
          <w:rPr>
            <w:rStyle w:val="Hyperlink"/>
            <w:noProof/>
            <w:lang w:val="es-ES_tradnl"/>
          </w:rPr>
          <w:t>Necesidad de abordar el espectro con un enfoque económico</w:t>
        </w:r>
        <w:r w:rsidRPr="008B7A21">
          <w:rPr>
            <w:noProof/>
            <w:webHidden/>
            <w:lang w:val="es-ES_tradnl"/>
          </w:rPr>
          <w:tab/>
        </w:r>
        <w:r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_Toc215835313 \h </w:instrText>
        </w:r>
        <w:r w:rsidRPr="008B7A21">
          <w:rPr>
            <w:noProof/>
            <w:webHidden/>
            <w:lang w:val="es-ES_tradnl"/>
          </w:rPr>
        </w:r>
        <w:r w:rsidRPr="008B7A21">
          <w:rPr>
            <w:noProof/>
            <w:webHidden/>
            <w:lang w:val="es-ES_tradnl"/>
          </w:rPr>
          <w:fldChar w:fldCharType="separate"/>
        </w:r>
        <w:r w:rsidR="00D34AF0">
          <w:rPr>
            <w:noProof/>
            <w:webHidden/>
            <w:lang w:val="es-ES_tradnl"/>
          </w:rPr>
          <w:t>4</w:t>
        </w:r>
        <w:r w:rsidRPr="008B7A21">
          <w:rPr>
            <w:noProof/>
            <w:webHidden/>
            <w:lang w:val="es-ES_tradnl"/>
          </w:rPr>
          <w:fldChar w:fldCharType="end"/>
        </w:r>
      </w:hyperlink>
    </w:p>
    <w:p w14:paraId="5876A853" w14:textId="4044CE77" w:rsidR="00281613" w:rsidRPr="008B7A21" w:rsidRDefault="00281613">
      <w:pPr>
        <w:pStyle w:val="TOC2"/>
        <w:rPr>
          <w:rFonts w:asciiTheme="minorHAnsi" w:eastAsiaTheme="minorEastAsia" w:hAnsiTheme="minorHAnsi" w:cstheme="minorBidi"/>
          <w:noProof/>
          <w:kern w:val="2"/>
          <w:szCs w:val="24"/>
          <w:lang w:val="es-ES_tradnl" w:eastAsia="en-GB"/>
          <w14:ligatures w14:val="standardContextual"/>
        </w:rPr>
      </w:pPr>
      <w:hyperlink w:anchor="_Toc215835314" w:history="1">
        <w:r w:rsidRPr="008B7A21">
          <w:rPr>
            <w:rStyle w:val="Hyperlink"/>
            <w:noProof/>
            <w:lang w:val="es-ES_tradnl"/>
          </w:rPr>
          <w:t>1.2</w:t>
        </w:r>
        <w:r w:rsidRPr="008B7A21">
          <w:rPr>
            <w:rFonts w:asciiTheme="minorHAnsi" w:eastAsiaTheme="minorEastAsia" w:hAnsiTheme="minorHAnsi" w:cstheme="minorBidi"/>
            <w:noProof/>
            <w:kern w:val="2"/>
            <w:szCs w:val="24"/>
            <w:lang w:val="es-ES_tradnl" w:eastAsia="en-GB"/>
            <w14:ligatures w14:val="standardContextual"/>
          </w:rPr>
          <w:tab/>
        </w:r>
        <w:r w:rsidRPr="008B7A21">
          <w:rPr>
            <w:rStyle w:val="Hyperlink"/>
            <w:noProof/>
            <w:lang w:val="es-ES_tradnl"/>
          </w:rPr>
          <w:t>Condiciones que debe reunir la gestión del espectro</w:t>
        </w:r>
        <w:r w:rsidRPr="008B7A21">
          <w:rPr>
            <w:noProof/>
            <w:webHidden/>
            <w:lang w:val="es-ES_tradnl"/>
          </w:rPr>
          <w:tab/>
        </w:r>
        <w:r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_Toc215835314 \h </w:instrText>
        </w:r>
        <w:r w:rsidRPr="008B7A21">
          <w:rPr>
            <w:noProof/>
            <w:webHidden/>
            <w:lang w:val="es-ES_tradnl"/>
          </w:rPr>
        </w:r>
        <w:r w:rsidRPr="008B7A21">
          <w:rPr>
            <w:noProof/>
            <w:webHidden/>
            <w:lang w:val="es-ES_tradnl"/>
          </w:rPr>
          <w:fldChar w:fldCharType="separate"/>
        </w:r>
        <w:r w:rsidR="00D34AF0">
          <w:rPr>
            <w:noProof/>
            <w:webHidden/>
            <w:lang w:val="es-ES_tradnl"/>
          </w:rPr>
          <w:t>4</w:t>
        </w:r>
        <w:r w:rsidRPr="008B7A21">
          <w:rPr>
            <w:noProof/>
            <w:webHidden/>
            <w:lang w:val="es-ES_tradnl"/>
          </w:rPr>
          <w:fldChar w:fldCharType="end"/>
        </w:r>
      </w:hyperlink>
    </w:p>
    <w:p w14:paraId="01C985EF" w14:textId="787B8780" w:rsidR="00281613" w:rsidRPr="008B7A21" w:rsidRDefault="00281613" w:rsidP="00DC60ED">
      <w:pPr>
        <w:pStyle w:val="TOC2"/>
        <w:rPr>
          <w:rFonts w:asciiTheme="minorHAnsi" w:eastAsiaTheme="minorEastAsia" w:hAnsiTheme="minorHAnsi" w:cstheme="minorBidi"/>
          <w:noProof/>
          <w:kern w:val="2"/>
          <w:szCs w:val="24"/>
          <w:lang w:val="es-ES_tradnl" w:eastAsia="en-GB"/>
          <w14:ligatures w14:val="standardContextual"/>
        </w:rPr>
      </w:pPr>
      <w:hyperlink w:anchor="_Toc215835315" w:history="1">
        <w:r w:rsidRPr="008B7A21">
          <w:rPr>
            <w:rStyle w:val="Hyperlink"/>
            <w:noProof/>
            <w:lang w:val="es-ES_tradnl"/>
          </w:rPr>
          <w:t>1.3</w:t>
        </w:r>
        <w:r w:rsidRPr="008B7A21">
          <w:rPr>
            <w:rFonts w:asciiTheme="minorHAnsi" w:eastAsiaTheme="minorEastAsia" w:hAnsiTheme="minorHAnsi" w:cstheme="minorBidi"/>
            <w:noProof/>
            <w:kern w:val="2"/>
            <w:szCs w:val="24"/>
            <w:lang w:val="es-ES_tradnl" w:eastAsia="en-GB"/>
            <w14:ligatures w14:val="standardContextual"/>
          </w:rPr>
          <w:tab/>
        </w:r>
        <w:r w:rsidRPr="008B7A21">
          <w:rPr>
            <w:rStyle w:val="Hyperlink"/>
            <w:noProof/>
            <w:lang w:val="es-ES_tradnl"/>
          </w:rPr>
          <w:t>Metas y objetivos</w:t>
        </w:r>
        <w:r w:rsidRPr="008B7A21">
          <w:rPr>
            <w:noProof/>
            <w:webHidden/>
            <w:lang w:val="es-ES_tradnl"/>
          </w:rPr>
          <w:tab/>
        </w:r>
        <w:r w:rsidR="00DC60ED"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_Toc215835315 \h </w:instrText>
        </w:r>
        <w:r w:rsidRPr="008B7A21">
          <w:rPr>
            <w:noProof/>
            <w:webHidden/>
            <w:lang w:val="es-ES_tradnl"/>
          </w:rPr>
        </w:r>
        <w:r w:rsidRPr="008B7A21">
          <w:rPr>
            <w:noProof/>
            <w:webHidden/>
            <w:lang w:val="es-ES_tradnl"/>
          </w:rPr>
          <w:fldChar w:fldCharType="separate"/>
        </w:r>
        <w:r w:rsidR="00D34AF0">
          <w:rPr>
            <w:noProof/>
            <w:webHidden/>
            <w:lang w:val="es-ES_tradnl"/>
          </w:rPr>
          <w:t>5</w:t>
        </w:r>
        <w:r w:rsidRPr="008B7A21">
          <w:rPr>
            <w:noProof/>
            <w:webHidden/>
            <w:lang w:val="es-ES_tradnl"/>
          </w:rPr>
          <w:fldChar w:fldCharType="end"/>
        </w:r>
      </w:hyperlink>
    </w:p>
    <w:p w14:paraId="2B23C0B2" w14:textId="3F0A1A85" w:rsidR="00281613" w:rsidRPr="008B7A21" w:rsidRDefault="00281613">
      <w:pPr>
        <w:pStyle w:val="TOC2"/>
        <w:rPr>
          <w:rFonts w:asciiTheme="minorHAnsi" w:eastAsiaTheme="minorEastAsia" w:hAnsiTheme="minorHAnsi" w:cstheme="minorBidi"/>
          <w:noProof/>
          <w:kern w:val="2"/>
          <w:szCs w:val="24"/>
          <w:lang w:val="es-ES_tradnl" w:eastAsia="en-GB"/>
          <w14:ligatures w14:val="standardContextual"/>
        </w:rPr>
      </w:pPr>
      <w:hyperlink w:anchor="_Toc215835318" w:history="1">
        <w:r w:rsidRPr="008B7A21">
          <w:rPr>
            <w:rStyle w:val="Hyperlink"/>
            <w:noProof/>
            <w:lang w:val="es-ES_tradnl"/>
          </w:rPr>
          <w:t>1.4</w:t>
        </w:r>
        <w:r w:rsidRPr="008B7A21">
          <w:rPr>
            <w:rFonts w:asciiTheme="minorHAnsi" w:eastAsiaTheme="minorEastAsia" w:hAnsiTheme="minorHAnsi" w:cstheme="minorBidi"/>
            <w:noProof/>
            <w:kern w:val="2"/>
            <w:szCs w:val="24"/>
            <w:lang w:val="es-ES_tradnl" w:eastAsia="en-GB"/>
            <w14:ligatures w14:val="standardContextual"/>
          </w:rPr>
          <w:tab/>
        </w:r>
        <w:r w:rsidRPr="008B7A21">
          <w:rPr>
            <w:rStyle w:val="Hyperlink"/>
            <w:noProof/>
            <w:lang w:val="es-ES_tradnl"/>
          </w:rPr>
          <w:t>Estructura y coordinación</w:t>
        </w:r>
        <w:r w:rsidRPr="008B7A21">
          <w:rPr>
            <w:noProof/>
            <w:webHidden/>
            <w:lang w:val="es-ES_tradnl"/>
          </w:rPr>
          <w:tab/>
        </w:r>
        <w:r w:rsidR="00DC60ED"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_Toc215835318 \h </w:instrText>
        </w:r>
        <w:r w:rsidRPr="008B7A21">
          <w:rPr>
            <w:noProof/>
            <w:webHidden/>
            <w:lang w:val="es-ES_tradnl"/>
          </w:rPr>
        </w:r>
        <w:r w:rsidRPr="008B7A21">
          <w:rPr>
            <w:noProof/>
            <w:webHidden/>
            <w:lang w:val="es-ES_tradnl"/>
          </w:rPr>
          <w:fldChar w:fldCharType="separate"/>
        </w:r>
        <w:r w:rsidR="00D34AF0">
          <w:rPr>
            <w:noProof/>
            <w:webHidden/>
            <w:lang w:val="es-ES_tradnl"/>
          </w:rPr>
          <w:t>5</w:t>
        </w:r>
        <w:r w:rsidRPr="008B7A21">
          <w:rPr>
            <w:noProof/>
            <w:webHidden/>
            <w:lang w:val="es-ES_tradnl"/>
          </w:rPr>
          <w:fldChar w:fldCharType="end"/>
        </w:r>
      </w:hyperlink>
    </w:p>
    <w:p w14:paraId="1F04A9E4" w14:textId="2E477CA5" w:rsidR="00281613" w:rsidRPr="008B7A21" w:rsidRDefault="00281613" w:rsidP="00DC60ED">
      <w:pPr>
        <w:pStyle w:val="TOC2"/>
        <w:rPr>
          <w:rFonts w:asciiTheme="minorHAnsi" w:eastAsiaTheme="minorEastAsia" w:hAnsiTheme="minorHAnsi" w:cstheme="minorBidi"/>
          <w:noProof/>
          <w:kern w:val="2"/>
          <w:szCs w:val="24"/>
          <w:lang w:val="es-ES_tradnl" w:eastAsia="en-GB"/>
          <w14:ligatures w14:val="standardContextual"/>
        </w:rPr>
      </w:pPr>
      <w:hyperlink w:anchor="_Toc215835319" w:history="1">
        <w:r w:rsidRPr="008B7A21">
          <w:rPr>
            <w:rStyle w:val="Hyperlink"/>
            <w:noProof/>
            <w:lang w:val="es-ES_tradnl"/>
          </w:rPr>
          <w:t>1.5</w:t>
        </w:r>
        <w:r w:rsidRPr="008B7A21">
          <w:rPr>
            <w:rFonts w:asciiTheme="minorHAnsi" w:eastAsiaTheme="minorEastAsia" w:hAnsiTheme="minorHAnsi" w:cstheme="minorBidi"/>
            <w:noProof/>
            <w:kern w:val="2"/>
            <w:szCs w:val="24"/>
            <w:lang w:val="es-ES_tradnl" w:eastAsia="en-GB"/>
            <w14:ligatures w14:val="standardContextual"/>
          </w:rPr>
          <w:tab/>
        </w:r>
        <w:r w:rsidRPr="008B7A21">
          <w:rPr>
            <w:rStyle w:val="Hyperlink"/>
            <w:noProof/>
            <w:lang w:val="es-ES_tradnl"/>
          </w:rPr>
          <w:t>Responsabilidades funcionales</w:t>
        </w:r>
        <w:r w:rsidRPr="008B7A21">
          <w:rPr>
            <w:noProof/>
            <w:webHidden/>
            <w:lang w:val="es-ES_tradnl"/>
          </w:rPr>
          <w:tab/>
        </w:r>
        <w:r w:rsidR="00DC60ED"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_Toc215835319 \h </w:instrText>
        </w:r>
        <w:r w:rsidRPr="008B7A21">
          <w:rPr>
            <w:noProof/>
            <w:webHidden/>
            <w:lang w:val="es-ES_tradnl"/>
          </w:rPr>
        </w:r>
        <w:r w:rsidRPr="008B7A21">
          <w:rPr>
            <w:noProof/>
            <w:webHidden/>
            <w:lang w:val="es-ES_tradnl"/>
          </w:rPr>
          <w:fldChar w:fldCharType="separate"/>
        </w:r>
        <w:r w:rsidR="00D34AF0">
          <w:rPr>
            <w:noProof/>
            <w:webHidden/>
            <w:lang w:val="es-ES_tradnl"/>
          </w:rPr>
          <w:t>5</w:t>
        </w:r>
        <w:r w:rsidRPr="008B7A21">
          <w:rPr>
            <w:noProof/>
            <w:webHidden/>
            <w:lang w:val="es-ES_tradnl"/>
          </w:rPr>
          <w:fldChar w:fldCharType="end"/>
        </w:r>
      </w:hyperlink>
    </w:p>
    <w:p w14:paraId="10F64AA6" w14:textId="28AF229B" w:rsidR="00281613" w:rsidRPr="008B7A21" w:rsidRDefault="00281613">
      <w:pPr>
        <w:pStyle w:val="TOC2"/>
        <w:rPr>
          <w:rFonts w:asciiTheme="minorHAnsi" w:eastAsiaTheme="minorEastAsia" w:hAnsiTheme="minorHAnsi" w:cstheme="minorBidi"/>
          <w:noProof/>
          <w:kern w:val="2"/>
          <w:szCs w:val="24"/>
          <w:lang w:val="es-ES_tradnl" w:eastAsia="en-GB"/>
          <w14:ligatures w14:val="standardContextual"/>
        </w:rPr>
      </w:pPr>
      <w:hyperlink w:anchor="_Toc215835326" w:history="1">
        <w:r w:rsidRPr="008B7A21">
          <w:rPr>
            <w:rStyle w:val="Hyperlink"/>
            <w:noProof/>
            <w:lang w:val="es-ES_tradnl"/>
          </w:rPr>
          <w:t>1.6</w:t>
        </w:r>
        <w:r w:rsidRPr="008B7A21">
          <w:rPr>
            <w:rFonts w:asciiTheme="minorHAnsi" w:eastAsiaTheme="minorEastAsia" w:hAnsiTheme="minorHAnsi" w:cstheme="minorBidi"/>
            <w:noProof/>
            <w:kern w:val="2"/>
            <w:szCs w:val="24"/>
            <w:lang w:val="es-ES_tradnl" w:eastAsia="en-GB"/>
            <w14:ligatures w14:val="standardContextual"/>
          </w:rPr>
          <w:tab/>
        </w:r>
        <w:r w:rsidRPr="008B7A21">
          <w:rPr>
            <w:rStyle w:val="Hyperlink"/>
            <w:noProof/>
            <w:lang w:val="es-ES_tradnl"/>
          </w:rPr>
          <w:t>Características de las funciones de gestión del espectro</w:t>
        </w:r>
        <w:r w:rsidRPr="008B7A21">
          <w:rPr>
            <w:noProof/>
            <w:webHidden/>
            <w:lang w:val="es-ES_tradnl"/>
          </w:rPr>
          <w:tab/>
        </w:r>
        <w:r w:rsidR="00DC60ED"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_Toc215835326 \h </w:instrText>
        </w:r>
        <w:r w:rsidRPr="008B7A21">
          <w:rPr>
            <w:noProof/>
            <w:webHidden/>
            <w:lang w:val="es-ES_tradnl"/>
          </w:rPr>
        </w:r>
        <w:r w:rsidRPr="008B7A21">
          <w:rPr>
            <w:noProof/>
            <w:webHidden/>
            <w:lang w:val="es-ES_tradnl"/>
          </w:rPr>
          <w:fldChar w:fldCharType="separate"/>
        </w:r>
        <w:r w:rsidR="00D34AF0">
          <w:rPr>
            <w:noProof/>
            <w:webHidden/>
            <w:lang w:val="es-ES_tradnl"/>
          </w:rPr>
          <w:t>7</w:t>
        </w:r>
        <w:r w:rsidRPr="008B7A21">
          <w:rPr>
            <w:noProof/>
            <w:webHidden/>
            <w:lang w:val="es-ES_tradnl"/>
          </w:rPr>
          <w:fldChar w:fldCharType="end"/>
        </w:r>
      </w:hyperlink>
    </w:p>
    <w:p w14:paraId="539A8C55" w14:textId="6864E73A" w:rsidR="00281613" w:rsidRPr="008B7A21" w:rsidRDefault="00281613">
      <w:pPr>
        <w:pStyle w:val="TOC1"/>
        <w:rPr>
          <w:rFonts w:asciiTheme="minorHAnsi" w:eastAsiaTheme="minorEastAsia" w:hAnsiTheme="minorHAnsi" w:cstheme="minorBidi"/>
          <w:noProof/>
          <w:kern w:val="2"/>
          <w:szCs w:val="24"/>
          <w:lang w:val="es-ES_tradnl" w:eastAsia="en-GB"/>
          <w14:ligatures w14:val="standardContextual"/>
        </w:rPr>
      </w:pPr>
      <w:hyperlink w:anchor="_Toc215835327" w:history="1">
        <w:r w:rsidRPr="008B7A21">
          <w:rPr>
            <w:rStyle w:val="Hyperlink"/>
            <w:noProof/>
            <w:lang w:val="es-ES_tradnl"/>
          </w:rPr>
          <w:t>CAPÍTULO 2</w:t>
        </w:r>
        <w:r w:rsidRPr="008B7A21">
          <w:rPr>
            <w:noProof/>
            <w:webHidden/>
            <w:lang w:val="es-ES_tradnl"/>
          </w:rPr>
          <w:tab/>
        </w:r>
        <w:r w:rsidR="00DC60ED"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_Toc215835327 \h </w:instrText>
        </w:r>
        <w:r w:rsidRPr="008B7A21">
          <w:rPr>
            <w:noProof/>
            <w:webHidden/>
            <w:lang w:val="es-ES_tradnl"/>
          </w:rPr>
        </w:r>
        <w:r w:rsidRPr="008B7A21">
          <w:rPr>
            <w:noProof/>
            <w:webHidden/>
            <w:lang w:val="es-ES_tradnl"/>
          </w:rPr>
          <w:fldChar w:fldCharType="separate"/>
        </w:r>
        <w:r w:rsidR="00D34AF0">
          <w:rPr>
            <w:noProof/>
            <w:webHidden/>
            <w:lang w:val="es-ES_tradnl"/>
          </w:rPr>
          <w:t>7</w:t>
        </w:r>
        <w:r w:rsidRPr="008B7A21">
          <w:rPr>
            <w:noProof/>
            <w:webHidden/>
            <w:lang w:val="es-ES_tradnl"/>
          </w:rPr>
          <w:fldChar w:fldCharType="end"/>
        </w:r>
      </w:hyperlink>
    </w:p>
    <w:p w14:paraId="6B068466" w14:textId="77C3E974" w:rsidR="00281613" w:rsidRPr="008B7A21" w:rsidRDefault="00281613">
      <w:pPr>
        <w:pStyle w:val="TOC2"/>
        <w:rPr>
          <w:rFonts w:asciiTheme="minorHAnsi" w:eastAsiaTheme="minorEastAsia" w:hAnsiTheme="minorHAnsi" w:cstheme="minorBidi"/>
          <w:noProof/>
          <w:kern w:val="2"/>
          <w:szCs w:val="24"/>
          <w:lang w:val="es-ES_tradnl" w:eastAsia="en-GB"/>
          <w14:ligatures w14:val="standardContextual"/>
        </w:rPr>
      </w:pPr>
      <w:hyperlink w:anchor="_Toc215835328" w:history="1">
        <w:r w:rsidRPr="008B7A21">
          <w:rPr>
            <w:rStyle w:val="Hyperlink"/>
            <w:noProof/>
            <w:lang w:val="es-ES_tradnl"/>
          </w:rPr>
          <w:t>2.1</w:t>
        </w:r>
        <w:r w:rsidRPr="008B7A21">
          <w:rPr>
            <w:rFonts w:asciiTheme="minorHAnsi" w:eastAsiaTheme="minorEastAsia" w:hAnsiTheme="minorHAnsi" w:cstheme="minorBidi"/>
            <w:noProof/>
            <w:kern w:val="2"/>
            <w:szCs w:val="24"/>
            <w:lang w:val="es-ES_tradnl" w:eastAsia="en-GB"/>
            <w14:ligatures w14:val="standardContextual"/>
          </w:rPr>
          <w:tab/>
        </w:r>
        <w:r w:rsidRPr="008B7A21">
          <w:rPr>
            <w:rStyle w:val="Hyperlink"/>
            <w:noProof/>
            <w:lang w:val="es-ES_tradnl"/>
          </w:rPr>
          <w:t>Antecedentes</w:t>
        </w:r>
        <w:r w:rsidRPr="008B7A21">
          <w:rPr>
            <w:noProof/>
            <w:webHidden/>
            <w:lang w:val="es-ES_tradnl"/>
          </w:rPr>
          <w:tab/>
        </w:r>
        <w:r w:rsidR="00DC60ED"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_Toc215835328 \h </w:instrText>
        </w:r>
        <w:r w:rsidRPr="008B7A21">
          <w:rPr>
            <w:noProof/>
            <w:webHidden/>
            <w:lang w:val="es-ES_tradnl"/>
          </w:rPr>
        </w:r>
        <w:r w:rsidRPr="008B7A21">
          <w:rPr>
            <w:noProof/>
            <w:webHidden/>
            <w:lang w:val="es-ES_tradnl"/>
          </w:rPr>
          <w:fldChar w:fldCharType="separate"/>
        </w:r>
        <w:r w:rsidR="00D34AF0">
          <w:rPr>
            <w:noProof/>
            <w:webHidden/>
            <w:lang w:val="es-ES_tradnl"/>
          </w:rPr>
          <w:t>7</w:t>
        </w:r>
        <w:r w:rsidRPr="008B7A21">
          <w:rPr>
            <w:noProof/>
            <w:webHidden/>
            <w:lang w:val="es-ES_tradnl"/>
          </w:rPr>
          <w:fldChar w:fldCharType="end"/>
        </w:r>
      </w:hyperlink>
    </w:p>
    <w:p w14:paraId="74122FFE" w14:textId="7A054989" w:rsidR="00281613" w:rsidRPr="008B7A21" w:rsidRDefault="00281613">
      <w:pPr>
        <w:pStyle w:val="TOC2"/>
        <w:rPr>
          <w:rFonts w:asciiTheme="minorHAnsi" w:eastAsiaTheme="minorEastAsia" w:hAnsiTheme="minorHAnsi" w:cstheme="minorBidi"/>
          <w:noProof/>
          <w:kern w:val="2"/>
          <w:szCs w:val="24"/>
          <w:lang w:val="es-ES_tradnl" w:eastAsia="en-GB"/>
          <w14:ligatures w14:val="standardContextual"/>
        </w:rPr>
      </w:pPr>
      <w:hyperlink w:anchor="_Toc215835329" w:history="1">
        <w:r w:rsidRPr="008B7A21">
          <w:rPr>
            <w:rStyle w:val="Hyperlink"/>
            <w:noProof/>
            <w:lang w:val="es-ES_tradnl"/>
          </w:rPr>
          <w:t>2.2</w:t>
        </w:r>
        <w:r w:rsidRPr="008B7A21">
          <w:rPr>
            <w:rFonts w:asciiTheme="minorHAnsi" w:eastAsiaTheme="minorEastAsia" w:hAnsiTheme="minorHAnsi" w:cstheme="minorBidi"/>
            <w:noProof/>
            <w:kern w:val="2"/>
            <w:szCs w:val="24"/>
            <w:lang w:val="es-ES_tradnl" w:eastAsia="en-GB"/>
            <w14:ligatures w14:val="standardContextual"/>
          </w:rPr>
          <w:tab/>
        </w:r>
        <w:r w:rsidRPr="008B7A21">
          <w:rPr>
            <w:rStyle w:val="Hyperlink"/>
            <w:noProof/>
            <w:lang w:val="es-ES_tradnl"/>
          </w:rPr>
          <w:t>Principios básicos para la financiación de la gestión nacional del espectro</w:t>
        </w:r>
        <w:r w:rsidRPr="008B7A21">
          <w:rPr>
            <w:noProof/>
            <w:webHidden/>
            <w:lang w:val="es-ES_tradnl"/>
          </w:rPr>
          <w:tab/>
        </w:r>
        <w:r w:rsidR="00DC60ED"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_Toc215835329 \h </w:instrText>
        </w:r>
        <w:r w:rsidRPr="008B7A21">
          <w:rPr>
            <w:noProof/>
            <w:webHidden/>
            <w:lang w:val="es-ES_tradnl"/>
          </w:rPr>
        </w:r>
        <w:r w:rsidRPr="008B7A21">
          <w:rPr>
            <w:noProof/>
            <w:webHidden/>
            <w:lang w:val="es-ES_tradnl"/>
          </w:rPr>
          <w:fldChar w:fldCharType="separate"/>
        </w:r>
        <w:r w:rsidR="00D34AF0">
          <w:rPr>
            <w:noProof/>
            <w:webHidden/>
            <w:lang w:val="es-ES_tradnl"/>
          </w:rPr>
          <w:t>7</w:t>
        </w:r>
        <w:r w:rsidRPr="008B7A21">
          <w:rPr>
            <w:noProof/>
            <w:webHidden/>
            <w:lang w:val="es-ES_tradnl"/>
          </w:rPr>
          <w:fldChar w:fldCharType="end"/>
        </w:r>
      </w:hyperlink>
    </w:p>
    <w:p w14:paraId="400B75BD" w14:textId="1B1F6D85" w:rsidR="00281613" w:rsidRPr="008B7A21" w:rsidRDefault="00281613">
      <w:pPr>
        <w:pStyle w:val="TOC2"/>
        <w:rPr>
          <w:rFonts w:asciiTheme="minorHAnsi" w:eastAsiaTheme="minorEastAsia" w:hAnsiTheme="minorHAnsi" w:cstheme="minorBidi"/>
          <w:noProof/>
          <w:kern w:val="2"/>
          <w:szCs w:val="24"/>
          <w:lang w:val="es-ES_tradnl" w:eastAsia="en-GB"/>
          <w14:ligatures w14:val="standardContextual"/>
        </w:rPr>
      </w:pPr>
      <w:hyperlink w:anchor="_Toc215835335" w:history="1">
        <w:r w:rsidRPr="008B7A21">
          <w:rPr>
            <w:rStyle w:val="Hyperlink"/>
            <w:noProof/>
            <w:lang w:val="es-ES_tradnl"/>
          </w:rPr>
          <w:t>2.3</w:t>
        </w:r>
        <w:r w:rsidRPr="008B7A21">
          <w:rPr>
            <w:rFonts w:asciiTheme="minorHAnsi" w:eastAsiaTheme="minorEastAsia" w:hAnsiTheme="minorHAnsi" w:cstheme="minorBidi"/>
            <w:noProof/>
            <w:kern w:val="2"/>
            <w:szCs w:val="24"/>
            <w:lang w:val="es-ES_tradnl" w:eastAsia="en-GB"/>
            <w14:ligatures w14:val="standardContextual"/>
          </w:rPr>
          <w:tab/>
        </w:r>
        <w:r w:rsidRPr="008B7A21">
          <w:rPr>
            <w:rStyle w:val="Hyperlink"/>
            <w:noProof/>
            <w:lang w:val="es-ES_tradnl"/>
          </w:rPr>
          <w:t>Enfoques económicos utilizados para promover una gestión nacional eficaz del espectro</w:t>
        </w:r>
        <w:r w:rsidRPr="008B7A21">
          <w:rPr>
            <w:noProof/>
            <w:webHidden/>
            <w:lang w:val="es-ES_tradnl"/>
          </w:rPr>
          <w:tab/>
        </w:r>
        <w:r w:rsidR="00DC60ED"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_Toc215835335 \h </w:instrText>
        </w:r>
        <w:r w:rsidRPr="008B7A21">
          <w:rPr>
            <w:noProof/>
            <w:webHidden/>
            <w:lang w:val="es-ES_tradnl"/>
          </w:rPr>
        </w:r>
        <w:r w:rsidRPr="008B7A21">
          <w:rPr>
            <w:noProof/>
            <w:webHidden/>
            <w:lang w:val="es-ES_tradnl"/>
          </w:rPr>
          <w:fldChar w:fldCharType="separate"/>
        </w:r>
        <w:r w:rsidR="00D34AF0">
          <w:rPr>
            <w:noProof/>
            <w:webHidden/>
            <w:lang w:val="es-ES_tradnl"/>
          </w:rPr>
          <w:t>10</w:t>
        </w:r>
        <w:r w:rsidRPr="008B7A21">
          <w:rPr>
            <w:noProof/>
            <w:webHidden/>
            <w:lang w:val="es-ES_tradnl"/>
          </w:rPr>
          <w:fldChar w:fldCharType="end"/>
        </w:r>
      </w:hyperlink>
    </w:p>
    <w:p w14:paraId="1F751517" w14:textId="2480BC56" w:rsidR="00281613" w:rsidRPr="008B7A21" w:rsidRDefault="00281613">
      <w:pPr>
        <w:pStyle w:val="TOC2"/>
        <w:rPr>
          <w:rFonts w:asciiTheme="minorHAnsi" w:eastAsiaTheme="minorEastAsia" w:hAnsiTheme="minorHAnsi" w:cstheme="minorBidi"/>
          <w:noProof/>
          <w:kern w:val="2"/>
          <w:szCs w:val="24"/>
          <w:lang w:val="es-ES_tradnl" w:eastAsia="en-GB"/>
          <w14:ligatures w14:val="standardContextual"/>
        </w:rPr>
      </w:pPr>
      <w:hyperlink w:anchor="_Toc215835341" w:history="1">
        <w:r w:rsidRPr="008B7A21">
          <w:rPr>
            <w:rStyle w:val="Hyperlink"/>
            <w:noProof/>
            <w:lang w:val="es-ES_tradnl"/>
          </w:rPr>
          <w:t>2.4</w:t>
        </w:r>
        <w:r w:rsidRPr="008B7A21">
          <w:rPr>
            <w:rFonts w:asciiTheme="minorHAnsi" w:eastAsiaTheme="minorEastAsia" w:hAnsiTheme="minorHAnsi" w:cstheme="minorBidi"/>
            <w:noProof/>
            <w:kern w:val="2"/>
            <w:szCs w:val="24"/>
            <w:lang w:val="es-ES_tradnl" w:eastAsia="en-GB"/>
            <w14:ligatures w14:val="standardContextual"/>
          </w:rPr>
          <w:tab/>
        </w:r>
        <w:r w:rsidRPr="008B7A21">
          <w:rPr>
            <w:rStyle w:val="Hyperlink"/>
            <w:noProof/>
            <w:lang w:val="es-ES_tradnl"/>
          </w:rPr>
          <w:t>Factores que pueden afectar a los diversos enfoques económicos</w:t>
        </w:r>
        <w:r w:rsidRPr="008B7A21">
          <w:rPr>
            <w:noProof/>
            <w:webHidden/>
            <w:lang w:val="es-ES_tradnl"/>
          </w:rPr>
          <w:tab/>
        </w:r>
        <w:r w:rsidR="00DC60ED"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_Toc215835341 \h </w:instrText>
        </w:r>
        <w:r w:rsidRPr="008B7A21">
          <w:rPr>
            <w:noProof/>
            <w:webHidden/>
            <w:lang w:val="es-ES_tradnl"/>
          </w:rPr>
        </w:r>
        <w:r w:rsidRPr="008B7A21">
          <w:rPr>
            <w:noProof/>
            <w:webHidden/>
            <w:lang w:val="es-ES_tradnl"/>
          </w:rPr>
          <w:fldChar w:fldCharType="separate"/>
        </w:r>
        <w:r w:rsidR="00D34AF0">
          <w:rPr>
            <w:noProof/>
            <w:webHidden/>
            <w:lang w:val="es-ES_tradnl"/>
          </w:rPr>
          <w:t>22</w:t>
        </w:r>
        <w:r w:rsidRPr="008B7A21">
          <w:rPr>
            <w:noProof/>
            <w:webHidden/>
            <w:lang w:val="es-ES_tradnl"/>
          </w:rPr>
          <w:fldChar w:fldCharType="end"/>
        </w:r>
      </w:hyperlink>
    </w:p>
    <w:p w14:paraId="79035395" w14:textId="3ACAB9A9" w:rsidR="00281613" w:rsidRPr="008B7A21" w:rsidRDefault="00281613">
      <w:pPr>
        <w:pStyle w:val="TOC2"/>
        <w:rPr>
          <w:rFonts w:asciiTheme="minorHAnsi" w:eastAsiaTheme="minorEastAsia" w:hAnsiTheme="minorHAnsi" w:cstheme="minorBidi"/>
          <w:noProof/>
          <w:kern w:val="2"/>
          <w:szCs w:val="24"/>
          <w:lang w:val="es-ES_tradnl" w:eastAsia="en-GB"/>
          <w14:ligatures w14:val="standardContextual"/>
        </w:rPr>
      </w:pPr>
      <w:hyperlink w:anchor="_Toc215835345" w:history="1">
        <w:r w:rsidRPr="008B7A21">
          <w:rPr>
            <w:rStyle w:val="Hyperlink"/>
            <w:noProof/>
            <w:lang w:val="es-ES_tradnl"/>
          </w:rPr>
          <w:t>2.5</w:t>
        </w:r>
        <w:r w:rsidRPr="008B7A21">
          <w:rPr>
            <w:rFonts w:asciiTheme="minorHAnsi" w:eastAsiaTheme="minorEastAsia" w:hAnsiTheme="minorHAnsi" w:cstheme="minorBidi"/>
            <w:noProof/>
            <w:kern w:val="2"/>
            <w:szCs w:val="24"/>
            <w:lang w:val="es-ES_tradnl" w:eastAsia="en-GB"/>
            <w14:ligatures w14:val="standardContextual"/>
          </w:rPr>
          <w:tab/>
        </w:r>
        <w:r w:rsidRPr="008B7A21">
          <w:rPr>
            <w:rStyle w:val="Hyperlink"/>
            <w:noProof/>
            <w:lang w:val="es-ES_tradnl"/>
          </w:rPr>
          <w:t>Gestión de cambios en la financiación de la gestión del espectro</w:t>
        </w:r>
        <w:r w:rsidRPr="008B7A21">
          <w:rPr>
            <w:noProof/>
            <w:webHidden/>
            <w:lang w:val="es-ES_tradnl"/>
          </w:rPr>
          <w:tab/>
        </w:r>
        <w:r w:rsidR="00DC60ED"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_Toc215835345 \h </w:instrText>
        </w:r>
        <w:r w:rsidRPr="008B7A21">
          <w:rPr>
            <w:noProof/>
            <w:webHidden/>
            <w:lang w:val="es-ES_tradnl"/>
          </w:rPr>
        </w:r>
        <w:r w:rsidRPr="008B7A21">
          <w:rPr>
            <w:noProof/>
            <w:webHidden/>
            <w:lang w:val="es-ES_tradnl"/>
          </w:rPr>
          <w:fldChar w:fldCharType="separate"/>
        </w:r>
        <w:r w:rsidR="00D34AF0">
          <w:rPr>
            <w:noProof/>
            <w:webHidden/>
            <w:lang w:val="es-ES_tradnl"/>
          </w:rPr>
          <w:t>25</w:t>
        </w:r>
        <w:r w:rsidRPr="008B7A21">
          <w:rPr>
            <w:noProof/>
            <w:webHidden/>
            <w:lang w:val="es-ES_tradnl"/>
          </w:rPr>
          <w:fldChar w:fldCharType="end"/>
        </w:r>
      </w:hyperlink>
    </w:p>
    <w:p w14:paraId="26E74A64" w14:textId="79CA92DA" w:rsidR="00281613" w:rsidRPr="008B7A21" w:rsidRDefault="00281613">
      <w:pPr>
        <w:pStyle w:val="TOC2"/>
        <w:rPr>
          <w:rFonts w:asciiTheme="minorHAnsi" w:eastAsiaTheme="minorEastAsia" w:hAnsiTheme="minorHAnsi" w:cstheme="minorBidi"/>
          <w:noProof/>
          <w:kern w:val="2"/>
          <w:szCs w:val="24"/>
          <w:lang w:val="es-ES_tradnl" w:eastAsia="en-GB"/>
          <w14:ligatures w14:val="standardContextual"/>
        </w:rPr>
      </w:pPr>
      <w:hyperlink w:anchor="_Toc215835349" w:history="1">
        <w:r w:rsidRPr="008B7A21">
          <w:rPr>
            <w:rStyle w:val="Hyperlink"/>
            <w:noProof/>
            <w:lang w:val="es-ES_tradnl"/>
          </w:rPr>
          <w:t>2.6</w:t>
        </w:r>
        <w:r w:rsidRPr="008B7A21">
          <w:rPr>
            <w:rFonts w:asciiTheme="minorHAnsi" w:eastAsiaTheme="minorEastAsia" w:hAnsiTheme="minorHAnsi" w:cstheme="minorBidi"/>
            <w:noProof/>
            <w:kern w:val="2"/>
            <w:szCs w:val="24"/>
            <w:lang w:val="es-ES_tradnl" w:eastAsia="en-GB"/>
            <w14:ligatures w14:val="standardContextual"/>
          </w:rPr>
          <w:tab/>
        </w:r>
        <w:r w:rsidRPr="008B7A21">
          <w:rPr>
            <w:rStyle w:val="Hyperlink"/>
            <w:noProof/>
            <w:lang w:val="es-ES_tradnl"/>
          </w:rPr>
          <w:t>Resumen</w:t>
        </w:r>
        <w:r w:rsidRPr="008B7A21">
          <w:rPr>
            <w:noProof/>
            <w:webHidden/>
            <w:lang w:val="es-ES_tradnl"/>
          </w:rPr>
          <w:tab/>
        </w:r>
        <w:r w:rsidR="00DC60ED"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_Toc215835349 \h </w:instrText>
        </w:r>
        <w:r w:rsidRPr="008B7A21">
          <w:rPr>
            <w:noProof/>
            <w:webHidden/>
            <w:lang w:val="es-ES_tradnl"/>
          </w:rPr>
        </w:r>
        <w:r w:rsidRPr="008B7A21">
          <w:rPr>
            <w:noProof/>
            <w:webHidden/>
            <w:lang w:val="es-ES_tradnl"/>
          </w:rPr>
          <w:fldChar w:fldCharType="separate"/>
        </w:r>
        <w:r w:rsidR="00D34AF0">
          <w:rPr>
            <w:noProof/>
            <w:webHidden/>
            <w:lang w:val="es-ES_tradnl"/>
          </w:rPr>
          <w:t>26</w:t>
        </w:r>
        <w:r w:rsidRPr="008B7A21">
          <w:rPr>
            <w:noProof/>
            <w:webHidden/>
            <w:lang w:val="es-ES_tradnl"/>
          </w:rPr>
          <w:fldChar w:fldCharType="end"/>
        </w:r>
      </w:hyperlink>
    </w:p>
    <w:p w14:paraId="121DB6E6" w14:textId="5A42C5F6" w:rsidR="00281613" w:rsidRPr="008B7A21" w:rsidRDefault="00281613">
      <w:pPr>
        <w:pStyle w:val="TOC1"/>
        <w:rPr>
          <w:rFonts w:asciiTheme="minorHAnsi" w:eastAsiaTheme="minorEastAsia" w:hAnsiTheme="minorHAnsi" w:cstheme="minorBidi"/>
          <w:noProof/>
          <w:kern w:val="2"/>
          <w:szCs w:val="24"/>
          <w:lang w:val="es-ES_tradnl" w:eastAsia="en-GB"/>
          <w14:ligatures w14:val="standardContextual"/>
        </w:rPr>
      </w:pPr>
      <w:hyperlink w:anchor="_Toc215835350" w:history="1">
        <w:r w:rsidRPr="008B7A21">
          <w:rPr>
            <w:rStyle w:val="Hyperlink"/>
            <w:noProof/>
            <w:lang w:val="es-ES_tradnl"/>
          </w:rPr>
          <w:t>CAPÍTULO 3</w:t>
        </w:r>
        <w:r w:rsidRPr="008B7A21">
          <w:rPr>
            <w:noProof/>
            <w:webHidden/>
            <w:lang w:val="es-ES_tradnl"/>
          </w:rPr>
          <w:tab/>
        </w:r>
        <w:r w:rsidR="00DC60ED"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_Toc215835350 \h </w:instrText>
        </w:r>
        <w:r w:rsidRPr="008B7A21">
          <w:rPr>
            <w:noProof/>
            <w:webHidden/>
            <w:lang w:val="es-ES_tradnl"/>
          </w:rPr>
        </w:r>
        <w:r w:rsidRPr="008B7A21">
          <w:rPr>
            <w:noProof/>
            <w:webHidden/>
            <w:lang w:val="es-ES_tradnl"/>
          </w:rPr>
          <w:fldChar w:fldCharType="separate"/>
        </w:r>
        <w:r w:rsidR="00D34AF0">
          <w:rPr>
            <w:noProof/>
            <w:webHidden/>
            <w:lang w:val="es-ES_tradnl"/>
          </w:rPr>
          <w:t>26</w:t>
        </w:r>
        <w:r w:rsidRPr="008B7A21">
          <w:rPr>
            <w:noProof/>
            <w:webHidden/>
            <w:lang w:val="es-ES_tradnl"/>
          </w:rPr>
          <w:fldChar w:fldCharType="end"/>
        </w:r>
      </w:hyperlink>
    </w:p>
    <w:p w14:paraId="18FE3D7F" w14:textId="03459E41" w:rsidR="00281613" w:rsidRPr="008B7A21" w:rsidRDefault="00281613">
      <w:pPr>
        <w:pStyle w:val="TOC2"/>
        <w:rPr>
          <w:rFonts w:asciiTheme="minorHAnsi" w:eastAsiaTheme="minorEastAsia" w:hAnsiTheme="minorHAnsi" w:cstheme="minorBidi"/>
          <w:noProof/>
          <w:kern w:val="2"/>
          <w:szCs w:val="24"/>
          <w:lang w:val="es-ES_tradnl" w:eastAsia="en-GB"/>
          <w14:ligatures w14:val="standardContextual"/>
        </w:rPr>
      </w:pPr>
      <w:hyperlink w:anchor="_Toc215835351" w:history="1">
        <w:r w:rsidRPr="008B7A21">
          <w:rPr>
            <w:rStyle w:val="Hyperlink"/>
            <w:noProof/>
            <w:lang w:val="es-ES_tradnl"/>
          </w:rPr>
          <w:t>3.1</w:t>
        </w:r>
        <w:r w:rsidRPr="008B7A21">
          <w:rPr>
            <w:rFonts w:asciiTheme="minorHAnsi" w:eastAsiaTheme="minorEastAsia" w:hAnsiTheme="minorHAnsi" w:cstheme="minorBidi"/>
            <w:noProof/>
            <w:kern w:val="2"/>
            <w:szCs w:val="24"/>
            <w:lang w:val="es-ES_tradnl" w:eastAsia="en-GB"/>
            <w14:ligatures w14:val="standardContextual"/>
          </w:rPr>
          <w:tab/>
        </w:r>
        <w:r w:rsidRPr="008B7A21">
          <w:rPr>
            <w:rStyle w:val="Hyperlink"/>
            <w:noProof/>
            <w:lang w:val="es-ES_tradnl"/>
          </w:rPr>
          <w:t>Antecedentes</w:t>
        </w:r>
        <w:r w:rsidRPr="008B7A21">
          <w:rPr>
            <w:noProof/>
            <w:webHidden/>
            <w:lang w:val="es-ES_tradnl"/>
          </w:rPr>
          <w:tab/>
        </w:r>
        <w:r w:rsidR="00DC60ED"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_Toc215835351 \h </w:instrText>
        </w:r>
        <w:r w:rsidRPr="008B7A21">
          <w:rPr>
            <w:noProof/>
            <w:webHidden/>
            <w:lang w:val="es-ES_tradnl"/>
          </w:rPr>
        </w:r>
        <w:r w:rsidRPr="008B7A21">
          <w:rPr>
            <w:noProof/>
            <w:webHidden/>
            <w:lang w:val="es-ES_tradnl"/>
          </w:rPr>
          <w:fldChar w:fldCharType="separate"/>
        </w:r>
        <w:r w:rsidR="00D34AF0">
          <w:rPr>
            <w:noProof/>
            <w:webHidden/>
            <w:lang w:val="es-ES_tradnl"/>
          </w:rPr>
          <w:t>26</w:t>
        </w:r>
        <w:r w:rsidRPr="008B7A21">
          <w:rPr>
            <w:noProof/>
            <w:webHidden/>
            <w:lang w:val="es-ES_tradnl"/>
          </w:rPr>
          <w:fldChar w:fldCharType="end"/>
        </w:r>
      </w:hyperlink>
    </w:p>
    <w:p w14:paraId="6C89DD7E" w14:textId="22F2C083" w:rsidR="00281613" w:rsidRPr="008B7A21" w:rsidRDefault="00281613">
      <w:pPr>
        <w:pStyle w:val="TOC2"/>
        <w:rPr>
          <w:rFonts w:asciiTheme="minorHAnsi" w:eastAsiaTheme="minorEastAsia" w:hAnsiTheme="minorHAnsi" w:cstheme="minorBidi"/>
          <w:noProof/>
          <w:kern w:val="2"/>
          <w:szCs w:val="24"/>
          <w:lang w:val="es-ES_tradnl" w:eastAsia="en-GB"/>
          <w14:ligatures w14:val="standardContextual"/>
        </w:rPr>
      </w:pPr>
      <w:hyperlink w:anchor="_Toc215835352" w:history="1">
        <w:r w:rsidRPr="008B7A21">
          <w:rPr>
            <w:rStyle w:val="Hyperlink"/>
            <w:noProof/>
            <w:lang w:val="es-ES_tradnl"/>
          </w:rPr>
          <w:t>3.2</w:t>
        </w:r>
        <w:r w:rsidRPr="008B7A21">
          <w:rPr>
            <w:rFonts w:asciiTheme="minorHAnsi" w:eastAsiaTheme="minorEastAsia" w:hAnsiTheme="minorHAnsi" w:cstheme="minorBidi"/>
            <w:noProof/>
            <w:kern w:val="2"/>
            <w:szCs w:val="24"/>
            <w:lang w:val="es-ES_tradnl" w:eastAsia="en-GB"/>
            <w14:ligatures w14:val="standardContextual"/>
          </w:rPr>
          <w:tab/>
        </w:r>
        <w:r w:rsidRPr="008B7A21">
          <w:rPr>
            <w:rStyle w:val="Hyperlink"/>
            <w:noProof/>
            <w:lang w:val="es-ES_tradnl"/>
          </w:rPr>
          <w:t>Métodos de evaluación de los beneficios económicos del espectro</w:t>
        </w:r>
        <w:r w:rsidRPr="008B7A21">
          <w:rPr>
            <w:noProof/>
            <w:webHidden/>
            <w:lang w:val="es-ES_tradnl"/>
          </w:rPr>
          <w:tab/>
        </w:r>
        <w:r w:rsidR="00DC60ED"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_Toc215835352 \h </w:instrText>
        </w:r>
        <w:r w:rsidRPr="008B7A21">
          <w:rPr>
            <w:noProof/>
            <w:webHidden/>
            <w:lang w:val="es-ES_tradnl"/>
          </w:rPr>
        </w:r>
        <w:r w:rsidRPr="008B7A21">
          <w:rPr>
            <w:noProof/>
            <w:webHidden/>
            <w:lang w:val="es-ES_tradnl"/>
          </w:rPr>
          <w:fldChar w:fldCharType="separate"/>
        </w:r>
        <w:r w:rsidR="00D34AF0">
          <w:rPr>
            <w:noProof/>
            <w:webHidden/>
            <w:lang w:val="es-ES_tradnl"/>
          </w:rPr>
          <w:t>27</w:t>
        </w:r>
        <w:r w:rsidRPr="008B7A21">
          <w:rPr>
            <w:noProof/>
            <w:webHidden/>
            <w:lang w:val="es-ES_tradnl"/>
          </w:rPr>
          <w:fldChar w:fldCharType="end"/>
        </w:r>
      </w:hyperlink>
    </w:p>
    <w:p w14:paraId="0409BA8D" w14:textId="2C20CF33" w:rsidR="00281613" w:rsidRPr="008B7A21" w:rsidRDefault="00281613">
      <w:pPr>
        <w:pStyle w:val="TOC2"/>
        <w:rPr>
          <w:rFonts w:asciiTheme="minorHAnsi" w:eastAsiaTheme="minorEastAsia" w:hAnsiTheme="minorHAnsi" w:cstheme="minorBidi"/>
          <w:noProof/>
          <w:kern w:val="2"/>
          <w:szCs w:val="24"/>
          <w:lang w:val="es-ES_tradnl" w:eastAsia="en-GB"/>
          <w14:ligatures w14:val="standardContextual"/>
        </w:rPr>
      </w:pPr>
      <w:hyperlink w:anchor="_Toc215835357" w:history="1">
        <w:r w:rsidRPr="008B7A21">
          <w:rPr>
            <w:rStyle w:val="Hyperlink"/>
            <w:noProof/>
            <w:lang w:val="es-ES_tradnl"/>
          </w:rPr>
          <w:t>3.3</w:t>
        </w:r>
        <w:r w:rsidRPr="008B7A21">
          <w:rPr>
            <w:rFonts w:asciiTheme="minorHAnsi" w:eastAsiaTheme="minorEastAsia" w:hAnsiTheme="minorHAnsi" w:cstheme="minorBidi"/>
            <w:noProof/>
            <w:kern w:val="2"/>
            <w:szCs w:val="24"/>
            <w:lang w:val="es-ES_tradnl" w:eastAsia="en-GB"/>
            <w14:ligatures w14:val="standardContextual"/>
          </w:rPr>
          <w:tab/>
        </w:r>
        <w:r w:rsidRPr="008B7A21">
          <w:rPr>
            <w:rStyle w:val="Hyperlink"/>
            <w:noProof/>
            <w:lang w:val="es-ES_tradnl"/>
          </w:rPr>
          <w:t>Aplicaciones posibles para la evaluación económica</w:t>
        </w:r>
        <w:r w:rsidRPr="008B7A21">
          <w:rPr>
            <w:noProof/>
            <w:webHidden/>
            <w:lang w:val="es-ES_tradnl"/>
          </w:rPr>
          <w:tab/>
        </w:r>
        <w:r w:rsidR="00DC60ED"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_Toc215835357 \h </w:instrText>
        </w:r>
        <w:r w:rsidRPr="008B7A21">
          <w:rPr>
            <w:noProof/>
            <w:webHidden/>
            <w:lang w:val="es-ES_tradnl"/>
          </w:rPr>
        </w:r>
        <w:r w:rsidRPr="008B7A21">
          <w:rPr>
            <w:noProof/>
            <w:webHidden/>
            <w:lang w:val="es-ES_tradnl"/>
          </w:rPr>
          <w:fldChar w:fldCharType="separate"/>
        </w:r>
        <w:r w:rsidR="00D34AF0">
          <w:rPr>
            <w:noProof/>
            <w:webHidden/>
            <w:lang w:val="es-ES_tradnl"/>
          </w:rPr>
          <w:t>33</w:t>
        </w:r>
        <w:r w:rsidRPr="008B7A21">
          <w:rPr>
            <w:noProof/>
            <w:webHidden/>
            <w:lang w:val="es-ES_tradnl"/>
          </w:rPr>
          <w:fldChar w:fldCharType="end"/>
        </w:r>
      </w:hyperlink>
    </w:p>
    <w:p w14:paraId="192B146E" w14:textId="4BC7D577" w:rsidR="00281613" w:rsidRPr="008B7A21" w:rsidRDefault="00281613">
      <w:pPr>
        <w:pStyle w:val="TOC2"/>
        <w:rPr>
          <w:rFonts w:asciiTheme="minorHAnsi" w:eastAsiaTheme="minorEastAsia" w:hAnsiTheme="minorHAnsi" w:cstheme="minorBidi"/>
          <w:noProof/>
          <w:kern w:val="2"/>
          <w:szCs w:val="24"/>
          <w:lang w:val="es-ES_tradnl" w:eastAsia="en-GB"/>
          <w14:ligatures w14:val="standardContextual"/>
        </w:rPr>
      </w:pPr>
      <w:hyperlink w:anchor="_Toc215835363" w:history="1">
        <w:r w:rsidRPr="008B7A21">
          <w:rPr>
            <w:rStyle w:val="Hyperlink"/>
            <w:noProof/>
            <w:lang w:val="es-ES_tradnl"/>
          </w:rPr>
          <w:t>3.4</w:t>
        </w:r>
        <w:r w:rsidRPr="008B7A21">
          <w:rPr>
            <w:rFonts w:asciiTheme="minorHAnsi" w:eastAsiaTheme="minorEastAsia" w:hAnsiTheme="minorHAnsi" w:cstheme="minorBidi"/>
            <w:noProof/>
            <w:kern w:val="2"/>
            <w:szCs w:val="24"/>
            <w:lang w:val="es-ES_tradnl" w:eastAsia="en-GB"/>
            <w14:ligatures w14:val="standardContextual"/>
          </w:rPr>
          <w:tab/>
        </w:r>
        <w:r w:rsidRPr="008B7A21">
          <w:rPr>
            <w:rStyle w:val="Hyperlink"/>
            <w:noProof/>
            <w:lang w:val="es-ES_tradnl"/>
          </w:rPr>
          <w:t>Factores que influyen en los beneficios</w:t>
        </w:r>
        <w:r w:rsidRPr="008B7A21">
          <w:rPr>
            <w:noProof/>
            <w:webHidden/>
            <w:lang w:val="es-ES_tradnl"/>
          </w:rPr>
          <w:tab/>
        </w:r>
        <w:r w:rsidR="00DC60ED"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_Toc215835363 \h </w:instrText>
        </w:r>
        <w:r w:rsidRPr="008B7A21">
          <w:rPr>
            <w:noProof/>
            <w:webHidden/>
            <w:lang w:val="es-ES_tradnl"/>
          </w:rPr>
        </w:r>
        <w:r w:rsidRPr="008B7A21">
          <w:rPr>
            <w:noProof/>
            <w:webHidden/>
            <w:lang w:val="es-ES_tradnl"/>
          </w:rPr>
          <w:fldChar w:fldCharType="separate"/>
        </w:r>
        <w:r w:rsidR="00D34AF0">
          <w:rPr>
            <w:noProof/>
            <w:webHidden/>
            <w:lang w:val="es-ES_tradnl"/>
          </w:rPr>
          <w:t>35</w:t>
        </w:r>
        <w:r w:rsidRPr="008B7A21">
          <w:rPr>
            <w:noProof/>
            <w:webHidden/>
            <w:lang w:val="es-ES_tradnl"/>
          </w:rPr>
          <w:fldChar w:fldCharType="end"/>
        </w:r>
      </w:hyperlink>
    </w:p>
    <w:p w14:paraId="59FF09FB" w14:textId="795BA86C" w:rsidR="00281613" w:rsidRPr="008B7A21" w:rsidRDefault="00281613">
      <w:pPr>
        <w:pStyle w:val="TOC2"/>
        <w:rPr>
          <w:rFonts w:asciiTheme="minorHAnsi" w:eastAsiaTheme="minorEastAsia" w:hAnsiTheme="minorHAnsi" w:cstheme="minorBidi"/>
          <w:noProof/>
          <w:kern w:val="2"/>
          <w:szCs w:val="24"/>
          <w:lang w:val="es-ES_tradnl" w:eastAsia="en-GB"/>
          <w14:ligatures w14:val="standardContextual"/>
        </w:rPr>
      </w:pPr>
      <w:hyperlink w:anchor="_Toc215835369" w:history="1">
        <w:r w:rsidRPr="008B7A21">
          <w:rPr>
            <w:rStyle w:val="Hyperlink"/>
            <w:noProof/>
            <w:lang w:val="es-ES_tradnl"/>
          </w:rPr>
          <w:t>3.5</w:t>
        </w:r>
        <w:r w:rsidRPr="008B7A21">
          <w:rPr>
            <w:rFonts w:asciiTheme="minorHAnsi" w:eastAsiaTheme="minorEastAsia" w:hAnsiTheme="minorHAnsi" w:cstheme="minorBidi"/>
            <w:noProof/>
            <w:kern w:val="2"/>
            <w:szCs w:val="24"/>
            <w:lang w:val="es-ES_tradnl" w:eastAsia="en-GB"/>
            <w14:ligatures w14:val="standardContextual"/>
          </w:rPr>
          <w:tab/>
        </w:r>
        <w:r w:rsidRPr="008B7A21">
          <w:rPr>
            <w:rStyle w:val="Hyperlink"/>
            <w:noProof/>
            <w:lang w:val="es-ES_tradnl"/>
          </w:rPr>
          <w:t>Resumen</w:t>
        </w:r>
        <w:r w:rsidRPr="008B7A21">
          <w:rPr>
            <w:noProof/>
            <w:webHidden/>
            <w:lang w:val="es-ES_tradnl"/>
          </w:rPr>
          <w:tab/>
        </w:r>
        <w:r w:rsidR="00DC60ED"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_Toc215835369 \h </w:instrText>
        </w:r>
        <w:r w:rsidRPr="008B7A21">
          <w:rPr>
            <w:noProof/>
            <w:webHidden/>
            <w:lang w:val="es-ES_tradnl"/>
          </w:rPr>
        </w:r>
        <w:r w:rsidRPr="008B7A21">
          <w:rPr>
            <w:noProof/>
            <w:webHidden/>
            <w:lang w:val="es-ES_tradnl"/>
          </w:rPr>
          <w:fldChar w:fldCharType="separate"/>
        </w:r>
        <w:r w:rsidR="00D34AF0">
          <w:rPr>
            <w:noProof/>
            <w:webHidden/>
            <w:lang w:val="es-ES_tradnl"/>
          </w:rPr>
          <w:t>42</w:t>
        </w:r>
        <w:r w:rsidRPr="008B7A21">
          <w:rPr>
            <w:noProof/>
            <w:webHidden/>
            <w:lang w:val="es-ES_tradnl"/>
          </w:rPr>
          <w:fldChar w:fldCharType="end"/>
        </w:r>
      </w:hyperlink>
    </w:p>
    <w:p w14:paraId="282EC77D" w14:textId="14DBDF02" w:rsidR="00281613" w:rsidRPr="008B7A21" w:rsidRDefault="00281613">
      <w:pPr>
        <w:pStyle w:val="TOC1"/>
        <w:rPr>
          <w:rFonts w:asciiTheme="minorHAnsi" w:eastAsiaTheme="minorEastAsia" w:hAnsiTheme="minorHAnsi" w:cstheme="minorBidi"/>
          <w:noProof/>
          <w:kern w:val="2"/>
          <w:szCs w:val="24"/>
          <w:lang w:val="es-ES_tradnl" w:eastAsia="en-GB"/>
          <w14:ligatures w14:val="standardContextual"/>
        </w:rPr>
      </w:pPr>
      <w:hyperlink w:anchor="_Toc215835370" w:history="1">
        <w:r w:rsidRPr="008B7A21">
          <w:rPr>
            <w:rStyle w:val="Hyperlink"/>
            <w:noProof/>
            <w:lang w:val="es-ES_tradnl"/>
          </w:rPr>
          <w:t>CAPÍTULO 4</w:t>
        </w:r>
        <w:r w:rsidRPr="008B7A21">
          <w:rPr>
            <w:noProof/>
            <w:webHidden/>
            <w:lang w:val="es-ES_tradnl"/>
          </w:rPr>
          <w:tab/>
        </w:r>
        <w:r w:rsidR="00DC60ED"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_Toc215835370 \h </w:instrText>
        </w:r>
        <w:r w:rsidRPr="008B7A21">
          <w:rPr>
            <w:noProof/>
            <w:webHidden/>
            <w:lang w:val="es-ES_tradnl"/>
          </w:rPr>
        </w:r>
        <w:r w:rsidRPr="008B7A21">
          <w:rPr>
            <w:noProof/>
            <w:webHidden/>
            <w:lang w:val="es-ES_tradnl"/>
          </w:rPr>
          <w:fldChar w:fldCharType="separate"/>
        </w:r>
        <w:r w:rsidR="00D34AF0">
          <w:rPr>
            <w:noProof/>
            <w:webHidden/>
            <w:lang w:val="es-ES_tradnl"/>
          </w:rPr>
          <w:t>42</w:t>
        </w:r>
        <w:r w:rsidRPr="008B7A21">
          <w:rPr>
            <w:noProof/>
            <w:webHidden/>
            <w:lang w:val="es-ES_tradnl"/>
          </w:rPr>
          <w:fldChar w:fldCharType="end"/>
        </w:r>
      </w:hyperlink>
    </w:p>
    <w:p w14:paraId="25A7D011" w14:textId="72C20BAC" w:rsidR="00281613" w:rsidRPr="008B7A21" w:rsidRDefault="00281613">
      <w:pPr>
        <w:pStyle w:val="TOC2"/>
        <w:rPr>
          <w:rFonts w:asciiTheme="minorHAnsi" w:eastAsiaTheme="minorEastAsia" w:hAnsiTheme="minorHAnsi" w:cstheme="minorBidi"/>
          <w:noProof/>
          <w:kern w:val="2"/>
          <w:szCs w:val="24"/>
          <w:lang w:val="es-ES_tradnl" w:eastAsia="en-GB"/>
          <w14:ligatures w14:val="standardContextual"/>
        </w:rPr>
      </w:pPr>
      <w:hyperlink w:anchor="_Toc215835371" w:history="1">
        <w:r w:rsidRPr="008B7A21">
          <w:rPr>
            <w:rStyle w:val="Hyperlink"/>
            <w:noProof/>
            <w:lang w:val="es-ES_tradnl"/>
          </w:rPr>
          <w:t>4.1</w:t>
        </w:r>
        <w:r w:rsidRPr="008B7A21">
          <w:rPr>
            <w:rFonts w:asciiTheme="minorHAnsi" w:eastAsiaTheme="minorEastAsia" w:hAnsiTheme="minorHAnsi" w:cstheme="minorBidi"/>
            <w:noProof/>
            <w:kern w:val="2"/>
            <w:szCs w:val="24"/>
            <w:lang w:val="es-ES_tradnl" w:eastAsia="en-GB"/>
            <w14:ligatures w14:val="standardContextual"/>
          </w:rPr>
          <w:tab/>
        </w:r>
        <w:r w:rsidRPr="008B7A21">
          <w:rPr>
            <w:rStyle w:val="Hyperlink"/>
            <w:noProof/>
            <w:lang w:val="es-ES_tradnl"/>
          </w:rPr>
          <w:t>Concepción de fórmulas</w:t>
        </w:r>
        <w:r w:rsidRPr="008B7A21">
          <w:rPr>
            <w:noProof/>
            <w:webHidden/>
            <w:lang w:val="es-ES_tradnl"/>
          </w:rPr>
          <w:tab/>
        </w:r>
        <w:r w:rsidR="00DC60ED"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_Toc215835371 \h </w:instrText>
        </w:r>
        <w:r w:rsidRPr="008B7A21">
          <w:rPr>
            <w:noProof/>
            <w:webHidden/>
            <w:lang w:val="es-ES_tradnl"/>
          </w:rPr>
        </w:r>
        <w:r w:rsidRPr="008B7A21">
          <w:rPr>
            <w:noProof/>
            <w:webHidden/>
            <w:lang w:val="es-ES_tradnl"/>
          </w:rPr>
          <w:fldChar w:fldCharType="separate"/>
        </w:r>
        <w:r w:rsidR="00D34AF0">
          <w:rPr>
            <w:noProof/>
            <w:webHidden/>
            <w:lang w:val="es-ES_tradnl"/>
          </w:rPr>
          <w:t>42</w:t>
        </w:r>
        <w:r w:rsidRPr="008B7A21">
          <w:rPr>
            <w:noProof/>
            <w:webHidden/>
            <w:lang w:val="es-ES_tradnl"/>
          </w:rPr>
          <w:fldChar w:fldCharType="end"/>
        </w:r>
      </w:hyperlink>
    </w:p>
    <w:p w14:paraId="31E5E4DB" w14:textId="47DC0822" w:rsidR="00281613" w:rsidRPr="008B7A21" w:rsidRDefault="00281613">
      <w:pPr>
        <w:pStyle w:val="TOC2"/>
        <w:rPr>
          <w:rFonts w:asciiTheme="minorHAnsi" w:eastAsiaTheme="minorEastAsia" w:hAnsiTheme="minorHAnsi" w:cstheme="minorBidi"/>
          <w:noProof/>
          <w:kern w:val="2"/>
          <w:szCs w:val="24"/>
          <w:lang w:val="es-ES_tradnl" w:eastAsia="en-GB"/>
          <w14:ligatures w14:val="standardContextual"/>
        </w:rPr>
      </w:pPr>
      <w:hyperlink w:anchor="_Toc215835372" w:history="1">
        <w:r w:rsidRPr="008B7A21">
          <w:rPr>
            <w:rStyle w:val="Hyperlink"/>
            <w:noProof/>
            <w:lang w:val="es-ES_tradnl"/>
          </w:rPr>
          <w:t>4.2</w:t>
        </w:r>
        <w:r w:rsidRPr="008B7A21">
          <w:rPr>
            <w:rFonts w:asciiTheme="minorHAnsi" w:eastAsiaTheme="minorEastAsia" w:hAnsiTheme="minorHAnsi" w:cstheme="minorBidi"/>
            <w:noProof/>
            <w:kern w:val="2"/>
            <w:szCs w:val="24"/>
            <w:lang w:val="es-ES_tradnl" w:eastAsia="en-GB"/>
            <w14:ligatures w14:val="standardContextual"/>
          </w:rPr>
          <w:tab/>
        </w:r>
        <w:r w:rsidRPr="008B7A21">
          <w:rPr>
            <w:rStyle w:val="Hyperlink"/>
            <w:noProof/>
            <w:lang w:val="es-ES_tradnl"/>
          </w:rPr>
          <w:t>Directrices para determinar cánones administrativos (o tasas administrativas)</w:t>
        </w:r>
        <w:r w:rsidR="00DC60ED" w:rsidRPr="008B7A21">
          <w:rPr>
            <w:noProof/>
            <w:webHidden/>
            <w:lang w:val="es-ES_tradnl"/>
          </w:rPr>
          <w:tab/>
        </w:r>
        <w:r w:rsidR="00DC60ED"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_Toc215835372 \h </w:instrText>
        </w:r>
        <w:r w:rsidRPr="008B7A21">
          <w:rPr>
            <w:noProof/>
            <w:webHidden/>
            <w:lang w:val="es-ES_tradnl"/>
          </w:rPr>
        </w:r>
        <w:r w:rsidRPr="008B7A21">
          <w:rPr>
            <w:noProof/>
            <w:webHidden/>
            <w:lang w:val="es-ES_tradnl"/>
          </w:rPr>
          <w:fldChar w:fldCharType="separate"/>
        </w:r>
        <w:r w:rsidR="00D34AF0">
          <w:rPr>
            <w:noProof/>
            <w:webHidden/>
            <w:lang w:val="es-ES_tradnl"/>
          </w:rPr>
          <w:t>42</w:t>
        </w:r>
        <w:r w:rsidRPr="008B7A21">
          <w:rPr>
            <w:noProof/>
            <w:webHidden/>
            <w:lang w:val="es-ES_tradnl"/>
          </w:rPr>
          <w:fldChar w:fldCharType="end"/>
        </w:r>
      </w:hyperlink>
    </w:p>
    <w:p w14:paraId="08499A80" w14:textId="7276E137" w:rsidR="00281613" w:rsidRPr="008B7A21" w:rsidRDefault="00281613" w:rsidP="00DC60ED">
      <w:pPr>
        <w:pStyle w:val="TOC2"/>
        <w:rPr>
          <w:rFonts w:asciiTheme="minorHAnsi" w:eastAsiaTheme="minorEastAsia" w:hAnsiTheme="minorHAnsi" w:cstheme="minorBidi"/>
          <w:noProof/>
          <w:kern w:val="2"/>
          <w:szCs w:val="24"/>
          <w:lang w:val="es-ES_tradnl" w:eastAsia="en-GB"/>
          <w14:ligatures w14:val="standardContextual"/>
        </w:rPr>
      </w:pPr>
      <w:hyperlink w:anchor="_Toc215835376" w:history="1">
        <w:r w:rsidRPr="008B7A21">
          <w:rPr>
            <w:rStyle w:val="Hyperlink"/>
            <w:noProof/>
            <w:lang w:val="es-ES_tradnl"/>
          </w:rPr>
          <w:t>4.3</w:t>
        </w:r>
        <w:r w:rsidRPr="008B7A21">
          <w:rPr>
            <w:rFonts w:asciiTheme="minorHAnsi" w:eastAsiaTheme="minorEastAsia" w:hAnsiTheme="minorHAnsi" w:cstheme="minorBidi"/>
            <w:noProof/>
            <w:kern w:val="2"/>
            <w:szCs w:val="24"/>
            <w:lang w:val="es-ES_tradnl" w:eastAsia="en-GB"/>
            <w14:ligatures w14:val="standardContextual"/>
          </w:rPr>
          <w:tab/>
        </w:r>
        <w:r w:rsidRPr="008B7A21">
          <w:rPr>
            <w:rStyle w:val="Hyperlink"/>
            <w:noProof/>
            <w:lang w:val="es-ES_tradnl"/>
          </w:rPr>
          <w:t>Directrices para el establecimiento de cánones del espectro</w:t>
        </w:r>
        <w:r w:rsidRPr="008B7A21">
          <w:rPr>
            <w:noProof/>
            <w:webHidden/>
            <w:lang w:val="es-ES_tradnl"/>
          </w:rPr>
          <w:tab/>
        </w:r>
        <w:r w:rsidR="00DC60ED"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_Toc215835376 \h </w:instrText>
        </w:r>
        <w:r w:rsidRPr="008B7A21">
          <w:rPr>
            <w:noProof/>
            <w:webHidden/>
            <w:lang w:val="es-ES_tradnl"/>
          </w:rPr>
        </w:r>
        <w:r w:rsidRPr="008B7A21">
          <w:rPr>
            <w:noProof/>
            <w:webHidden/>
            <w:lang w:val="es-ES_tradnl"/>
          </w:rPr>
          <w:fldChar w:fldCharType="separate"/>
        </w:r>
        <w:r w:rsidR="00D34AF0">
          <w:rPr>
            <w:noProof/>
            <w:webHidden/>
            <w:lang w:val="es-ES_tradnl"/>
          </w:rPr>
          <w:t>44</w:t>
        </w:r>
        <w:r w:rsidRPr="008B7A21">
          <w:rPr>
            <w:noProof/>
            <w:webHidden/>
            <w:lang w:val="es-ES_tradnl"/>
          </w:rPr>
          <w:fldChar w:fldCharType="end"/>
        </w:r>
      </w:hyperlink>
    </w:p>
    <w:p w14:paraId="5C602EBC" w14:textId="1C7E5FB9" w:rsidR="00281613" w:rsidRPr="008B7A21" w:rsidRDefault="00281613" w:rsidP="00DC60ED">
      <w:pPr>
        <w:pStyle w:val="TOC2"/>
        <w:rPr>
          <w:rFonts w:asciiTheme="minorHAnsi" w:eastAsiaTheme="minorEastAsia" w:hAnsiTheme="minorHAnsi" w:cstheme="minorBidi"/>
          <w:noProof/>
          <w:kern w:val="2"/>
          <w:szCs w:val="24"/>
          <w:lang w:val="es-ES_tradnl" w:eastAsia="en-GB"/>
          <w14:ligatures w14:val="standardContextual"/>
        </w:rPr>
      </w:pPr>
      <w:hyperlink w:anchor="_Toc215835382" w:history="1">
        <w:r w:rsidRPr="008B7A21">
          <w:rPr>
            <w:rStyle w:val="Hyperlink"/>
            <w:noProof/>
            <w:lang w:val="es-ES_tradnl"/>
          </w:rPr>
          <w:t>4.4</w:t>
        </w:r>
        <w:r w:rsidRPr="008B7A21">
          <w:rPr>
            <w:rFonts w:asciiTheme="minorHAnsi" w:eastAsiaTheme="minorEastAsia" w:hAnsiTheme="minorHAnsi" w:cstheme="minorBidi"/>
            <w:noProof/>
            <w:kern w:val="2"/>
            <w:szCs w:val="24"/>
            <w:lang w:val="es-ES_tradnl" w:eastAsia="en-GB"/>
            <w14:ligatures w14:val="standardContextual"/>
          </w:rPr>
          <w:tab/>
        </w:r>
        <w:r w:rsidRPr="008B7A21">
          <w:rPr>
            <w:rStyle w:val="Hyperlink"/>
            <w:noProof/>
            <w:lang w:val="es-ES_tradnl"/>
          </w:rPr>
          <w:t>Ejemplos de fórmulas para el cálculo del canon</w:t>
        </w:r>
        <w:r w:rsidRPr="008B7A21">
          <w:rPr>
            <w:noProof/>
            <w:webHidden/>
            <w:lang w:val="es-ES_tradnl"/>
          </w:rPr>
          <w:tab/>
        </w:r>
        <w:r w:rsidR="00DC60ED"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_Toc215835382 \h </w:instrText>
        </w:r>
        <w:r w:rsidRPr="008B7A21">
          <w:rPr>
            <w:noProof/>
            <w:webHidden/>
            <w:lang w:val="es-ES_tradnl"/>
          </w:rPr>
        </w:r>
        <w:r w:rsidRPr="008B7A21">
          <w:rPr>
            <w:noProof/>
            <w:webHidden/>
            <w:lang w:val="es-ES_tradnl"/>
          </w:rPr>
          <w:fldChar w:fldCharType="separate"/>
        </w:r>
        <w:r w:rsidR="00D34AF0">
          <w:rPr>
            <w:noProof/>
            <w:webHidden/>
            <w:lang w:val="es-ES_tradnl"/>
          </w:rPr>
          <w:t>45</w:t>
        </w:r>
        <w:r w:rsidRPr="008B7A21">
          <w:rPr>
            <w:noProof/>
            <w:webHidden/>
            <w:lang w:val="es-ES_tradnl"/>
          </w:rPr>
          <w:fldChar w:fldCharType="end"/>
        </w:r>
      </w:hyperlink>
    </w:p>
    <w:p w14:paraId="70EDDA1B" w14:textId="0536FE61" w:rsidR="00281613" w:rsidRPr="008B7A21" w:rsidRDefault="00281613">
      <w:pPr>
        <w:pStyle w:val="TOC2"/>
        <w:rPr>
          <w:rFonts w:asciiTheme="minorHAnsi" w:eastAsiaTheme="minorEastAsia" w:hAnsiTheme="minorHAnsi" w:cstheme="minorBidi"/>
          <w:noProof/>
          <w:kern w:val="2"/>
          <w:szCs w:val="24"/>
          <w:lang w:val="es-ES_tradnl" w:eastAsia="en-GB"/>
          <w14:ligatures w14:val="standardContextual"/>
        </w:rPr>
      </w:pPr>
      <w:hyperlink w:anchor="_Toc215835391" w:history="1">
        <w:r w:rsidRPr="008B7A21">
          <w:rPr>
            <w:rStyle w:val="Hyperlink"/>
            <w:noProof/>
            <w:lang w:val="es-ES_tradnl"/>
          </w:rPr>
          <w:t>4.5</w:t>
        </w:r>
        <w:r w:rsidRPr="008B7A21">
          <w:rPr>
            <w:rFonts w:asciiTheme="minorHAnsi" w:eastAsiaTheme="minorEastAsia" w:hAnsiTheme="minorHAnsi" w:cstheme="minorBidi"/>
            <w:noProof/>
            <w:kern w:val="2"/>
            <w:szCs w:val="24"/>
            <w:lang w:val="es-ES_tradnl" w:eastAsia="en-GB"/>
            <w14:ligatures w14:val="standardContextual"/>
          </w:rPr>
          <w:tab/>
        </w:r>
        <w:r w:rsidRPr="008B7A21">
          <w:rPr>
            <w:rStyle w:val="Hyperlink"/>
            <w:noProof/>
            <w:lang w:val="es-ES_tradnl"/>
          </w:rPr>
          <w:t>Cánones del espectro relativos a las frecuencias utilizadas para ofrecer o comercializar servicios destinados a un mercado de usuarios</w:t>
        </w:r>
        <w:r w:rsidRPr="008B7A21">
          <w:rPr>
            <w:noProof/>
            <w:webHidden/>
            <w:lang w:val="es-ES_tradnl"/>
          </w:rPr>
          <w:tab/>
        </w:r>
        <w:r w:rsidR="00DC60ED"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_Toc215835391 \h </w:instrText>
        </w:r>
        <w:r w:rsidRPr="008B7A21">
          <w:rPr>
            <w:noProof/>
            <w:webHidden/>
            <w:lang w:val="es-ES_tradnl"/>
          </w:rPr>
        </w:r>
        <w:r w:rsidRPr="008B7A21">
          <w:rPr>
            <w:noProof/>
            <w:webHidden/>
            <w:lang w:val="es-ES_tradnl"/>
          </w:rPr>
          <w:fldChar w:fldCharType="separate"/>
        </w:r>
        <w:r w:rsidR="00D34AF0">
          <w:rPr>
            <w:noProof/>
            <w:webHidden/>
            <w:lang w:val="es-ES_tradnl"/>
          </w:rPr>
          <w:t>46</w:t>
        </w:r>
        <w:r w:rsidRPr="008B7A21">
          <w:rPr>
            <w:noProof/>
            <w:webHidden/>
            <w:lang w:val="es-ES_tradnl"/>
          </w:rPr>
          <w:fldChar w:fldCharType="end"/>
        </w:r>
      </w:hyperlink>
    </w:p>
    <w:p w14:paraId="5F101463" w14:textId="333551D1" w:rsidR="00281613" w:rsidRPr="008B7A21" w:rsidRDefault="00281613">
      <w:pPr>
        <w:pStyle w:val="TOC2"/>
        <w:rPr>
          <w:rFonts w:asciiTheme="minorHAnsi" w:eastAsiaTheme="minorEastAsia" w:hAnsiTheme="minorHAnsi" w:cstheme="minorBidi"/>
          <w:noProof/>
          <w:kern w:val="2"/>
          <w:szCs w:val="24"/>
          <w:lang w:val="es-ES_tradnl" w:eastAsia="en-GB"/>
          <w14:ligatures w14:val="standardContextual"/>
        </w:rPr>
      </w:pPr>
      <w:hyperlink w:anchor="_Toc215835397" w:history="1">
        <w:r w:rsidRPr="008B7A21">
          <w:rPr>
            <w:rStyle w:val="Hyperlink"/>
            <w:noProof/>
            <w:lang w:val="es-ES_tradnl"/>
          </w:rPr>
          <w:t>4.6</w:t>
        </w:r>
        <w:r w:rsidRPr="008B7A21">
          <w:rPr>
            <w:rFonts w:asciiTheme="minorHAnsi" w:eastAsiaTheme="minorEastAsia" w:hAnsiTheme="minorHAnsi" w:cstheme="minorBidi"/>
            <w:noProof/>
            <w:kern w:val="2"/>
            <w:szCs w:val="24"/>
            <w:lang w:val="es-ES_tradnl" w:eastAsia="en-GB"/>
            <w14:ligatures w14:val="standardContextual"/>
          </w:rPr>
          <w:tab/>
        </w:r>
        <w:r w:rsidRPr="008B7A21">
          <w:rPr>
            <w:rStyle w:val="Hyperlink"/>
            <w:noProof/>
            <w:lang w:val="es-ES_tradnl"/>
          </w:rPr>
          <w:t>Modelo analítico para calcular cánones de licencia basándose en incentivos especificados destinados a promover el uso eficiente del espectro</w:t>
        </w:r>
        <w:r w:rsidRPr="008B7A21">
          <w:rPr>
            <w:noProof/>
            <w:webHidden/>
            <w:lang w:val="es-ES_tradnl"/>
          </w:rPr>
          <w:tab/>
        </w:r>
        <w:r w:rsidR="00DC60ED"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_Toc215835397 \h </w:instrText>
        </w:r>
        <w:r w:rsidRPr="008B7A21">
          <w:rPr>
            <w:noProof/>
            <w:webHidden/>
            <w:lang w:val="es-ES_tradnl"/>
          </w:rPr>
        </w:r>
        <w:r w:rsidRPr="008B7A21">
          <w:rPr>
            <w:noProof/>
            <w:webHidden/>
            <w:lang w:val="es-ES_tradnl"/>
          </w:rPr>
          <w:fldChar w:fldCharType="separate"/>
        </w:r>
        <w:r w:rsidR="00D34AF0">
          <w:rPr>
            <w:noProof/>
            <w:webHidden/>
            <w:lang w:val="es-ES_tradnl"/>
          </w:rPr>
          <w:t>48</w:t>
        </w:r>
        <w:r w:rsidRPr="008B7A21">
          <w:rPr>
            <w:noProof/>
            <w:webHidden/>
            <w:lang w:val="es-ES_tradnl"/>
          </w:rPr>
          <w:fldChar w:fldCharType="end"/>
        </w:r>
      </w:hyperlink>
    </w:p>
    <w:p w14:paraId="638BB95E" w14:textId="07AC1B1D" w:rsidR="00281613" w:rsidRPr="008B7A21" w:rsidRDefault="00281613">
      <w:pPr>
        <w:pStyle w:val="TOC2"/>
        <w:rPr>
          <w:rFonts w:asciiTheme="minorHAnsi" w:eastAsiaTheme="minorEastAsia" w:hAnsiTheme="minorHAnsi" w:cstheme="minorBidi"/>
          <w:noProof/>
          <w:kern w:val="2"/>
          <w:szCs w:val="24"/>
          <w:lang w:val="es-ES_tradnl" w:eastAsia="en-GB"/>
          <w14:ligatures w14:val="standardContextual"/>
        </w:rPr>
      </w:pPr>
      <w:hyperlink w:anchor="_Toc215835410" w:history="1">
        <w:r w:rsidRPr="008B7A21">
          <w:rPr>
            <w:rStyle w:val="Hyperlink"/>
            <w:noProof/>
            <w:lang w:val="es-ES_tradnl"/>
          </w:rPr>
          <w:t>4.7</w:t>
        </w:r>
        <w:r w:rsidRPr="008B7A21">
          <w:rPr>
            <w:rFonts w:asciiTheme="minorHAnsi" w:eastAsiaTheme="minorEastAsia" w:hAnsiTheme="minorHAnsi" w:cstheme="minorBidi"/>
            <w:noProof/>
            <w:kern w:val="2"/>
            <w:szCs w:val="24"/>
            <w:lang w:val="es-ES_tradnl" w:eastAsia="en-GB"/>
            <w14:ligatures w14:val="standardContextual"/>
          </w:rPr>
          <w:tab/>
        </w:r>
        <w:r w:rsidRPr="008B7A21">
          <w:rPr>
            <w:rStyle w:val="Hyperlink"/>
            <w:noProof/>
            <w:lang w:val="es-ES_tradnl"/>
          </w:rPr>
          <w:t>Procedimientos y ejemplos de cálculo del espectro utilizado por diversos servicios de radiocomunicaciones</w:t>
        </w:r>
        <w:r w:rsidRPr="008B7A21">
          <w:rPr>
            <w:noProof/>
            <w:webHidden/>
            <w:lang w:val="es-ES_tradnl"/>
          </w:rPr>
          <w:tab/>
        </w:r>
        <w:r w:rsidR="00DC60ED"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_Toc215835410 \h </w:instrText>
        </w:r>
        <w:r w:rsidRPr="008B7A21">
          <w:rPr>
            <w:noProof/>
            <w:webHidden/>
            <w:lang w:val="es-ES_tradnl"/>
          </w:rPr>
        </w:r>
        <w:r w:rsidRPr="008B7A21">
          <w:rPr>
            <w:noProof/>
            <w:webHidden/>
            <w:lang w:val="es-ES_tradnl"/>
          </w:rPr>
          <w:fldChar w:fldCharType="separate"/>
        </w:r>
        <w:r w:rsidR="00D34AF0">
          <w:rPr>
            <w:noProof/>
            <w:webHidden/>
            <w:lang w:val="es-ES_tradnl"/>
          </w:rPr>
          <w:t>57</w:t>
        </w:r>
        <w:r w:rsidRPr="008B7A21">
          <w:rPr>
            <w:noProof/>
            <w:webHidden/>
            <w:lang w:val="es-ES_tradnl"/>
          </w:rPr>
          <w:fldChar w:fldCharType="end"/>
        </w:r>
      </w:hyperlink>
    </w:p>
    <w:p w14:paraId="503DE49C" w14:textId="33DD2AD7" w:rsidR="00281613" w:rsidRPr="008B7A21" w:rsidRDefault="00281613">
      <w:pPr>
        <w:pStyle w:val="TOC2"/>
        <w:rPr>
          <w:rFonts w:asciiTheme="minorHAnsi" w:eastAsiaTheme="minorEastAsia" w:hAnsiTheme="minorHAnsi" w:cstheme="minorBidi"/>
          <w:noProof/>
          <w:kern w:val="2"/>
          <w:szCs w:val="24"/>
          <w:lang w:val="es-ES_tradnl" w:eastAsia="en-GB"/>
          <w14:ligatures w14:val="standardContextual"/>
        </w:rPr>
      </w:pPr>
      <w:hyperlink w:anchor="_Toc215835419" w:history="1">
        <w:r w:rsidRPr="008B7A21">
          <w:rPr>
            <w:rStyle w:val="Hyperlink"/>
            <w:noProof/>
            <w:lang w:val="es-ES_tradnl"/>
          </w:rPr>
          <w:t>4.8</w:t>
        </w:r>
        <w:r w:rsidRPr="008B7A21">
          <w:rPr>
            <w:rFonts w:asciiTheme="minorHAnsi" w:eastAsiaTheme="minorEastAsia" w:hAnsiTheme="minorHAnsi" w:cstheme="minorBidi"/>
            <w:noProof/>
            <w:kern w:val="2"/>
            <w:szCs w:val="24"/>
            <w:lang w:val="es-ES_tradnl" w:eastAsia="en-GB"/>
            <w14:ligatures w14:val="standardContextual"/>
          </w:rPr>
          <w:tab/>
        </w:r>
        <w:r w:rsidRPr="008B7A21">
          <w:rPr>
            <w:rStyle w:val="Hyperlink"/>
            <w:noProof/>
            <w:lang w:val="es-ES_tradnl"/>
          </w:rPr>
          <w:t>Coste de oportunidad y fijación de precios incentivos administrativos: ecuaciones lineales, funcionales y sencillas</w:t>
        </w:r>
        <w:r w:rsidRPr="008B7A21">
          <w:rPr>
            <w:noProof/>
            <w:webHidden/>
            <w:lang w:val="es-ES_tradnl"/>
          </w:rPr>
          <w:tab/>
        </w:r>
        <w:r w:rsidR="00DC60ED"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_Toc215835419 \h </w:instrText>
        </w:r>
        <w:r w:rsidRPr="008B7A21">
          <w:rPr>
            <w:noProof/>
            <w:webHidden/>
            <w:lang w:val="es-ES_tradnl"/>
          </w:rPr>
        </w:r>
        <w:r w:rsidRPr="008B7A21">
          <w:rPr>
            <w:noProof/>
            <w:webHidden/>
            <w:lang w:val="es-ES_tradnl"/>
          </w:rPr>
          <w:fldChar w:fldCharType="separate"/>
        </w:r>
        <w:r w:rsidR="00D34AF0">
          <w:rPr>
            <w:noProof/>
            <w:webHidden/>
            <w:lang w:val="es-ES_tradnl"/>
          </w:rPr>
          <w:t>85</w:t>
        </w:r>
        <w:r w:rsidRPr="008B7A21">
          <w:rPr>
            <w:noProof/>
            <w:webHidden/>
            <w:lang w:val="es-ES_tradnl"/>
          </w:rPr>
          <w:fldChar w:fldCharType="end"/>
        </w:r>
      </w:hyperlink>
    </w:p>
    <w:p w14:paraId="78C61A4D" w14:textId="7F515884" w:rsidR="00281613" w:rsidRPr="008B7A21" w:rsidRDefault="00281613">
      <w:pPr>
        <w:pStyle w:val="TOC2"/>
        <w:rPr>
          <w:rFonts w:asciiTheme="minorHAnsi" w:eastAsiaTheme="minorEastAsia" w:hAnsiTheme="minorHAnsi" w:cstheme="minorBidi"/>
          <w:noProof/>
          <w:kern w:val="2"/>
          <w:szCs w:val="24"/>
          <w:lang w:val="es-ES_tradnl" w:eastAsia="en-GB"/>
          <w14:ligatures w14:val="standardContextual"/>
        </w:rPr>
      </w:pPr>
      <w:hyperlink w:anchor="_Toc215835425" w:history="1">
        <w:r w:rsidRPr="008B7A21">
          <w:rPr>
            <w:rStyle w:val="Hyperlink"/>
            <w:noProof/>
            <w:lang w:val="es-ES_tradnl"/>
          </w:rPr>
          <w:t>4.9</w:t>
        </w:r>
        <w:r w:rsidRPr="008B7A21">
          <w:rPr>
            <w:rFonts w:asciiTheme="minorHAnsi" w:eastAsiaTheme="minorEastAsia" w:hAnsiTheme="minorHAnsi" w:cstheme="minorBidi"/>
            <w:noProof/>
            <w:kern w:val="2"/>
            <w:szCs w:val="24"/>
            <w:lang w:val="es-ES_tradnl" w:eastAsia="en-GB"/>
            <w14:ligatures w14:val="standardContextual"/>
          </w:rPr>
          <w:tab/>
        </w:r>
        <w:r w:rsidRPr="008B7A21">
          <w:rPr>
            <w:rStyle w:val="Hyperlink"/>
            <w:noProof/>
            <w:lang w:val="es-ES_tradnl"/>
          </w:rPr>
          <w:t>Directrices al introducir nuevos sistemas de cánones</w:t>
        </w:r>
        <w:r w:rsidRPr="008B7A21">
          <w:rPr>
            <w:noProof/>
            <w:webHidden/>
            <w:lang w:val="es-ES_tradnl"/>
          </w:rPr>
          <w:tab/>
        </w:r>
        <w:r w:rsidR="00DC60ED"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_Toc215835425 \h </w:instrText>
        </w:r>
        <w:r w:rsidRPr="008B7A21">
          <w:rPr>
            <w:noProof/>
            <w:webHidden/>
            <w:lang w:val="es-ES_tradnl"/>
          </w:rPr>
        </w:r>
        <w:r w:rsidRPr="008B7A21">
          <w:rPr>
            <w:noProof/>
            <w:webHidden/>
            <w:lang w:val="es-ES_tradnl"/>
          </w:rPr>
          <w:fldChar w:fldCharType="separate"/>
        </w:r>
        <w:r w:rsidR="00D34AF0">
          <w:rPr>
            <w:noProof/>
            <w:webHidden/>
            <w:lang w:val="es-ES_tradnl"/>
          </w:rPr>
          <w:t>90</w:t>
        </w:r>
        <w:r w:rsidRPr="008B7A21">
          <w:rPr>
            <w:noProof/>
            <w:webHidden/>
            <w:lang w:val="es-ES_tradnl"/>
          </w:rPr>
          <w:fldChar w:fldCharType="end"/>
        </w:r>
      </w:hyperlink>
    </w:p>
    <w:p w14:paraId="62EBE53F" w14:textId="019B439C" w:rsidR="00281613" w:rsidRPr="008B7A21" w:rsidRDefault="00281613">
      <w:pPr>
        <w:pStyle w:val="TOC1"/>
        <w:rPr>
          <w:rFonts w:asciiTheme="minorHAnsi" w:eastAsiaTheme="minorEastAsia" w:hAnsiTheme="minorHAnsi" w:cstheme="minorBidi"/>
          <w:noProof/>
          <w:kern w:val="2"/>
          <w:szCs w:val="24"/>
          <w:lang w:val="es-ES_tradnl" w:eastAsia="en-GB"/>
          <w14:ligatures w14:val="standardContextual"/>
        </w:rPr>
      </w:pPr>
      <w:hyperlink w:anchor="_Toc215835426" w:history="1">
        <w:r w:rsidRPr="008B7A21">
          <w:rPr>
            <w:rStyle w:val="Hyperlink"/>
            <w:noProof/>
            <w:lang w:val="es-ES_tradnl"/>
          </w:rPr>
          <w:t>CAPÍTULO 5</w:t>
        </w:r>
        <w:r w:rsidRPr="008B7A21">
          <w:rPr>
            <w:noProof/>
            <w:webHidden/>
            <w:lang w:val="es-ES_tradnl"/>
          </w:rPr>
          <w:tab/>
        </w:r>
        <w:r w:rsidR="00DC60ED"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_Toc215835426 \h </w:instrText>
        </w:r>
        <w:r w:rsidRPr="008B7A21">
          <w:rPr>
            <w:noProof/>
            <w:webHidden/>
            <w:lang w:val="es-ES_tradnl"/>
          </w:rPr>
        </w:r>
        <w:r w:rsidRPr="008B7A21">
          <w:rPr>
            <w:noProof/>
            <w:webHidden/>
            <w:lang w:val="es-ES_tradnl"/>
          </w:rPr>
          <w:fldChar w:fldCharType="separate"/>
        </w:r>
        <w:r w:rsidR="00D34AF0">
          <w:rPr>
            <w:noProof/>
            <w:webHidden/>
            <w:lang w:val="es-ES_tradnl"/>
          </w:rPr>
          <w:t>91</w:t>
        </w:r>
        <w:r w:rsidRPr="008B7A21">
          <w:rPr>
            <w:noProof/>
            <w:webHidden/>
            <w:lang w:val="es-ES_tradnl"/>
          </w:rPr>
          <w:fldChar w:fldCharType="end"/>
        </w:r>
      </w:hyperlink>
    </w:p>
    <w:p w14:paraId="46401FB3" w14:textId="30793A04" w:rsidR="00281613" w:rsidRPr="008B7A21" w:rsidRDefault="00281613">
      <w:pPr>
        <w:pStyle w:val="TOC2"/>
        <w:rPr>
          <w:rFonts w:asciiTheme="minorHAnsi" w:eastAsiaTheme="minorEastAsia" w:hAnsiTheme="minorHAnsi" w:cstheme="minorBidi"/>
          <w:noProof/>
          <w:kern w:val="2"/>
          <w:szCs w:val="24"/>
          <w:lang w:val="es-ES_tradnl" w:eastAsia="en-GB"/>
          <w14:ligatures w14:val="standardContextual"/>
        </w:rPr>
      </w:pPr>
      <w:hyperlink w:anchor="_Toc215835427" w:history="1">
        <w:r w:rsidRPr="008B7A21">
          <w:rPr>
            <w:rStyle w:val="Hyperlink"/>
            <w:noProof/>
            <w:lang w:val="es-ES_tradnl"/>
          </w:rPr>
          <w:t>5.1</w:t>
        </w:r>
        <w:r w:rsidRPr="008B7A21">
          <w:rPr>
            <w:rFonts w:asciiTheme="minorHAnsi" w:eastAsiaTheme="minorEastAsia" w:hAnsiTheme="minorHAnsi" w:cstheme="minorBidi"/>
            <w:noProof/>
            <w:kern w:val="2"/>
            <w:szCs w:val="24"/>
            <w:lang w:val="es-ES_tradnl" w:eastAsia="en-GB"/>
            <w14:ligatures w14:val="standardContextual"/>
          </w:rPr>
          <w:tab/>
        </w:r>
        <w:r w:rsidRPr="008B7A21">
          <w:rPr>
            <w:rStyle w:val="Hyperlink"/>
            <w:noProof/>
            <w:lang w:val="es-ES_tradnl"/>
          </w:rPr>
          <w:t>Experiencia en cuanto a subastas y derechos de propiedad transferibles</w:t>
        </w:r>
        <w:r w:rsidRPr="008B7A21">
          <w:rPr>
            <w:noProof/>
            <w:webHidden/>
            <w:lang w:val="es-ES_tradnl"/>
          </w:rPr>
          <w:tab/>
        </w:r>
        <w:r w:rsidR="00DC60ED"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_Toc215835427 \h </w:instrText>
        </w:r>
        <w:r w:rsidRPr="008B7A21">
          <w:rPr>
            <w:noProof/>
            <w:webHidden/>
            <w:lang w:val="es-ES_tradnl"/>
          </w:rPr>
        </w:r>
        <w:r w:rsidRPr="008B7A21">
          <w:rPr>
            <w:noProof/>
            <w:webHidden/>
            <w:lang w:val="es-ES_tradnl"/>
          </w:rPr>
          <w:fldChar w:fldCharType="separate"/>
        </w:r>
        <w:r w:rsidR="00D34AF0">
          <w:rPr>
            <w:noProof/>
            <w:webHidden/>
            <w:lang w:val="es-ES_tradnl"/>
          </w:rPr>
          <w:t>91</w:t>
        </w:r>
        <w:r w:rsidRPr="008B7A21">
          <w:rPr>
            <w:noProof/>
            <w:webHidden/>
            <w:lang w:val="es-ES_tradnl"/>
          </w:rPr>
          <w:fldChar w:fldCharType="end"/>
        </w:r>
      </w:hyperlink>
    </w:p>
    <w:p w14:paraId="250CF4AA" w14:textId="421ECAA7" w:rsidR="00281613" w:rsidRPr="008B7A21" w:rsidRDefault="00281613">
      <w:pPr>
        <w:pStyle w:val="TOC2"/>
        <w:rPr>
          <w:rFonts w:asciiTheme="minorHAnsi" w:eastAsiaTheme="minorEastAsia" w:hAnsiTheme="minorHAnsi" w:cstheme="minorBidi"/>
          <w:noProof/>
          <w:kern w:val="2"/>
          <w:szCs w:val="24"/>
          <w:lang w:val="es-ES_tradnl" w:eastAsia="en-GB"/>
          <w14:ligatures w14:val="standardContextual"/>
        </w:rPr>
      </w:pPr>
      <w:hyperlink w:anchor="_Toc215835438" w:history="1">
        <w:r w:rsidRPr="008B7A21">
          <w:rPr>
            <w:rStyle w:val="Hyperlink"/>
            <w:noProof/>
            <w:lang w:val="es-ES_tradnl"/>
          </w:rPr>
          <w:t>5.2</w:t>
        </w:r>
        <w:r w:rsidRPr="008B7A21">
          <w:rPr>
            <w:rFonts w:asciiTheme="minorHAnsi" w:eastAsiaTheme="minorEastAsia" w:hAnsiTheme="minorHAnsi" w:cstheme="minorBidi"/>
            <w:noProof/>
            <w:kern w:val="2"/>
            <w:szCs w:val="24"/>
            <w:lang w:val="es-ES_tradnl" w:eastAsia="en-GB"/>
            <w14:ligatures w14:val="standardContextual"/>
          </w:rPr>
          <w:tab/>
        </w:r>
        <w:r w:rsidRPr="008B7A21">
          <w:rPr>
            <w:rStyle w:val="Hyperlink"/>
            <w:noProof/>
            <w:lang w:val="es-ES_tradnl"/>
          </w:rPr>
          <w:t>Experiencia con los cánones de licencia</w:t>
        </w:r>
        <w:r w:rsidRPr="008B7A21">
          <w:rPr>
            <w:noProof/>
            <w:webHidden/>
            <w:lang w:val="es-ES_tradnl"/>
          </w:rPr>
          <w:tab/>
        </w:r>
        <w:r w:rsidR="00E962D7"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_Toc215835438 \h </w:instrText>
        </w:r>
        <w:r w:rsidRPr="008B7A21">
          <w:rPr>
            <w:noProof/>
            <w:webHidden/>
            <w:lang w:val="es-ES_tradnl"/>
          </w:rPr>
        </w:r>
        <w:r w:rsidRPr="008B7A21">
          <w:rPr>
            <w:noProof/>
            <w:webHidden/>
            <w:lang w:val="es-ES_tradnl"/>
          </w:rPr>
          <w:fldChar w:fldCharType="separate"/>
        </w:r>
        <w:r w:rsidR="00D34AF0">
          <w:rPr>
            <w:noProof/>
            <w:webHidden/>
            <w:lang w:val="es-ES_tradnl"/>
          </w:rPr>
          <w:t>117</w:t>
        </w:r>
        <w:r w:rsidRPr="008B7A21">
          <w:rPr>
            <w:noProof/>
            <w:webHidden/>
            <w:lang w:val="es-ES_tradnl"/>
          </w:rPr>
          <w:fldChar w:fldCharType="end"/>
        </w:r>
      </w:hyperlink>
    </w:p>
    <w:p w14:paraId="6EF5BB19" w14:textId="71E46D3C" w:rsidR="00281613" w:rsidRPr="008B7A21" w:rsidRDefault="00281613" w:rsidP="00E962D7">
      <w:pPr>
        <w:pStyle w:val="TOC2"/>
        <w:rPr>
          <w:rFonts w:asciiTheme="minorHAnsi" w:eastAsiaTheme="minorEastAsia" w:hAnsiTheme="minorHAnsi" w:cstheme="minorBidi"/>
          <w:noProof/>
          <w:kern w:val="2"/>
          <w:szCs w:val="24"/>
          <w:lang w:val="es-ES_tradnl" w:eastAsia="en-GB"/>
          <w14:ligatures w14:val="standardContextual"/>
        </w:rPr>
      </w:pPr>
      <w:hyperlink w:anchor="_Toc215835454" w:history="1">
        <w:r w:rsidRPr="008B7A21">
          <w:rPr>
            <w:rStyle w:val="Hyperlink"/>
            <w:noProof/>
            <w:lang w:val="es-ES_tradnl"/>
          </w:rPr>
          <w:t>5.3</w:t>
        </w:r>
        <w:r w:rsidRPr="008B7A21">
          <w:rPr>
            <w:rFonts w:asciiTheme="minorHAnsi" w:eastAsiaTheme="minorEastAsia" w:hAnsiTheme="minorHAnsi" w:cstheme="minorBidi"/>
            <w:noProof/>
            <w:kern w:val="2"/>
            <w:szCs w:val="24"/>
            <w:lang w:val="es-ES_tradnl" w:eastAsia="en-GB"/>
            <w14:ligatures w14:val="standardContextual"/>
          </w:rPr>
          <w:tab/>
        </w:r>
        <w:r w:rsidRPr="008B7A21">
          <w:rPr>
            <w:rStyle w:val="Hyperlink"/>
            <w:noProof/>
            <w:lang w:val="es-ES_tradnl"/>
          </w:rPr>
          <w:t>Experiencia adquirida con la utilización de recursos alternativos</w:t>
        </w:r>
        <w:r w:rsidRPr="008B7A21">
          <w:rPr>
            <w:noProof/>
            <w:webHidden/>
            <w:lang w:val="es-ES_tradnl"/>
          </w:rPr>
          <w:tab/>
        </w:r>
        <w:r w:rsidR="00E962D7"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_Toc215835454 \h </w:instrText>
        </w:r>
        <w:r w:rsidRPr="008B7A21">
          <w:rPr>
            <w:noProof/>
            <w:webHidden/>
            <w:lang w:val="es-ES_tradnl"/>
          </w:rPr>
        </w:r>
        <w:r w:rsidRPr="008B7A21">
          <w:rPr>
            <w:noProof/>
            <w:webHidden/>
            <w:lang w:val="es-ES_tradnl"/>
          </w:rPr>
          <w:fldChar w:fldCharType="separate"/>
        </w:r>
        <w:r w:rsidR="00D34AF0">
          <w:rPr>
            <w:noProof/>
            <w:webHidden/>
            <w:lang w:val="es-ES_tradnl"/>
          </w:rPr>
          <w:t>166</w:t>
        </w:r>
        <w:r w:rsidRPr="008B7A21">
          <w:rPr>
            <w:noProof/>
            <w:webHidden/>
            <w:lang w:val="es-ES_tradnl"/>
          </w:rPr>
          <w:fldChar w:fldCharType="end"/>
        </w:r>
      </w:hyperlink>
    </w:p>
    <w:p w14:paraId="641790D6" w14:textId="1543BE35" w:rsidR="00281613" w:rsidRPr="008B7A21" w:rsidRDefault="00281613">
      <w:pPr>
        <w:pStyle w:val="TOC2"/>
        <w:rPr>
          <w:rStyle w:val="Hyperlink"/>
          <w:noProof/>
          <w:color w:val="auto"/>
          <w:lang w:val="es-ES_tradnl"/>
        </w:rPr>
      </w:pPr>
      <w:hyperlink w:anchor="_Toc215835461" w:history="1">
        <w:r w:rsidRPr="008B7A21">
          <w:rPr>
            <w:rStyle w:val="Hyperlink"/>
            <w:noProof/>
            <w:lang w:val="es-ES_tradnl"/>
          </w:rPr>
          <w:t>5.4</w:t>
        </w:r>
        <w:r w:rsidRPr="008B7A21">
          <w:rPr>
            <w:rFonts w:asciiTheme="minorHAnsi" w:eastAsiaTheme="minorEastAsia" w:hAnsiTheme="minorHAnsi" w:cstheme="minorBidi"/>
            <w:noProof/>
            <w:kern w:val="2"/>
            <w:szCs w:val="24"/>
            <w:lang w:val="es-ES_tradnl" w:eastAsia="en-GB"/>
            <w14:ligatures w14:val="standardContextual"/>
          </w:rPr>
          <w:tab/>
        </w:r>
        <w:r w:rsidRPr="008B7A21">
          <w:rPr>
            <w:rStyle w:val="Hyperlink"/>
            <w:noProof/>
            <w:lang w:val="es-ES_tradnl"/>
          </w:rPr>
          <w:t xml:space="preserve">Otras </w:t>
        </w:r>
        <w:r w:rsidRPr="008B7A21">
          <w:rPr>
            <w:rStyle w:val="Hyperlink"/>
            <w:noProof/>
            <w:lang w:val="es-ES_tradnl"/>
          </w:rPr>
          <w:t>e</w:t>
        </w:r>
        <w:r w:rsidRPr="008B7A21">
          <w:rPr>
            <w:rStyle w:val="Hyperlink"/>
            <w:noProof/>
            <w:lang w:val="es-ES_tradnl"/>
          </w:rPr>
          <w:t>xp</w:t>
        </w:r>
        <w:r w:rsidRPr="008B7A21">
          <w:rPr>
            <w:rStyle w:val="Hyperlink"/>
            <w:noProof/>
            <w:lang w:val="es-ES_tradnl"/>
          </w:rPr>
          <w:t>e</w:t>
        </w:r>
        <w:r w:rsidRPr="008B7A21">
          <w:rPr>
            <w:rStyle w:val="Hyperlink"/>
            <w:noProof/>
            <w:lang w:val="es-ES_tradnl"/>
          </w:rPr>
          <w:t>riencias</w:t>
        </w:r>
        <w:r w:rsidRPr="008B7A21">
          <w:rPr>
            <w:noProof/>
            <w:webHidden/>
            <w:lang w:val="es-ES_tradnl"/>
          </w:rPr>
          <w:tab/>
        </w:r>
        <w:r w:rsidR="00E962D7" w:rsidRPr="008B7A21">
          <w:rPr>
            <w:noProof/>
            <w:webHidden/>
            <w:lang w:val="es-ES_tradnl"/>
          </w:rPr>
          <w:tab/>
        </w:r>
        <w:r w:rsidRPr="008B7A21">
          <w:rPr>
            <w:noProof/>
            <w:webHidden/>
            <w:lang w:val="es-ES_tradnl"/>
          </w:rPr>
          <w:fldChar w:fldCharType="begin"/>
        </w:r>
        <w:r w:rsidRPr="008B7A21">
          <w:rPr>
            <w:noProof/>
            <w:webHidden/>
            <w:lang w:val="es-ES_tradnl"/>
          </w:rPr>
          <w:instrText xml:space="preserve"> PAGEREF _Toc215835461 \h </w:instrText>
        </w:r>
        <w:r w:rsidRPr="008B7A21">
          <w:rPr>
            <w:noProof/>
            <w:webHidden/>
            <w:lang w:val="es-ES_tradnl"/>
          </w:rPr>
        </w:r>
        <w:r w:rsidRPr="008B7A21">
          <w:rPr>
            <w:noProof/>
            <w:webHidden/>
            <w:lang w:val="es-ES_tradnl"/>
          </w:rPr>
          <w:fldChar w:fldCharType="separate"/>
        </w:r>
        <w:r w:rsidR="00D34AF0">
          <w:rPr>
            <w:noProof/>
            <w:webHidden/>
            <w:lang w:val="es-ES_tradnl"/>
          </w:rPr>
          <w:t>171</w:t>
        </w:r>
        <w:r w:rsidRPr="008B7A21">
          <w:rPr>
            <w:noProof/>
            <w:webHidden/>
            <w:lang w:val="es-ES_tradnl"/>
          </w:rPr>
          <w:fldChar w:fldCharType="end"/>
        </w:r>
      </w:hyperlink>
    </w:p>
    <w:p w14:paraId="177A0A61" w14:textId="106F9D4D" w:rsidR="00F73D5B" w:rsidRPr="008B7A21" w:rsidRDefault="00281613" w:rsidP="00E962D7">
      <w:pPr>
        <w:pStyle w:val="TOC1"/>
        <w:rPr>
          <w:lang w:val="es-ES_tradnl"/>
        </w:rPr>
      </w:pPr>
      <w:r w:rsidRPr="008B7A21">
        <w:rPr>
          <w:lang w:val="es-ES_tradnl"/>
        </w:rPr>
        <w:fldChar w:fldCharType="end"/>
      </w:r>
      <w:r w:rsidR="00E962D7" w:rsidRPr="007A4381">
        <w:rPr>
          <w:noProof/>
          <w:lang w:val="es-ES_tradnl"/>
        </w:rPr>
        <w:t>Anex</w:t>
      </w:r>
      <w:r w:rsidR="00E962D7" w:rsidRPr="007A4381">
        <w:rPr>
          <w:noProof/>
          <w:lang w:val="es-ES_tradnl"/>
        </w:rPr>
        <w:t>o</w:t>
      </w:r>
      <w:r w:rsidR="00E962D7" w:rsidRPr="007A4381">
        <w:rPr>
          <w:noProof/>
          <w:lang w:val="es-ES_tradnl"/>
        </w:rPr>
        <w:t xml:space="preserve"> 1</w:t>
      </w:r>
      <w:r w:rsidR="00E962D7" w:rsidRPr="008B7A21">
        <w:rPr>
          <w:noProof/>
          <w:webHidden/>
          <w:lang w:val="es-ES_tradnl"/>
        </w:rPr>
        <w:tab/>
      </w:r>
      <w:r w:rsidR="00E962D7" w:rsidRPr="008B7A21">
        <w:rPr>
          <w:noProof/>
          <w:webHidden/>
          <w:lang w:val="es-ES_tradnl"/>
        </w:rPr>
        <w:tab/>
      </w:r>
      <w:r w:rsidR="007A4381" w:rsidRPr="007A4381">
        <w:rPr>
          <w:noProof/>
          <w:webHidden/>
        </w:rPr>
        <w:t>176</w:t>
      </w:r>
    </w:p>
    <w:p w14:paraId="3FECF917" w14:textId="77777777" w:rsidR="00F73D5B" w:rsidRDefault="00F73D5B" w:rsidP="00F73D5B">
      <w:pPr>
        <w:rPr>
          <w:lang w:val="es-ES_tradnl"/>
        </w:rPr>
      </w:pPr>
    </w:p>
    <w:p w14:paraId="142441CD" w14:textId="77777777" w:rsidR="007044BB" w:rsidRPr="008B7A21" w:rsidRDefault="007044BB" w:rsidP="00F73D5B">
      <w:pPr>
        <w:rPr>
          <w:lang w:val="es-ES_tradnl"/>
        </w:rPr>
      </w:pPr>
    </w:p>
    <w:p w14:paraId="64EA53B3" w14:textId="77777777" w:rsidR="00F73D5B" w:rsidRPr="008B7A21" w:rsidRDefault="00F73D5B" w:rsidP="00F94A6C">
      <w:pPr>
        <w:pStyle w:val="Headingb"/>
        <w:rPr>
          <w:lang w:val="es-ES_tradnl"/>
        </w:rPr>
      </w:pPr>
      <w:bookmarkStart w:id="4" w:name="_Hlk215815993"/>
      <w:r w:rsidRPr="008B7A21">
        <w:rPr>
          <w:lang w:val="es-ES_tradnl"/>
        </w:rPr>
        <w:t>Introducción</w:t>
      </w:r>
    </w:p>
    <w:bookmarkEnd w:id="4"/>
    <w:p w14:paraId="0C99F7C3" w14:textId="0E185423" w:rsidR="00F73D5B" w:rsidRPr="008B7A21" w:rsidRDefault="00F73D5B" w:rsidP="00F73D5B">
      <w:pPr>
        <w:rPr>
          <w:lang w:val="es-ES_tradnl"/>
        </w:rPr>
      </w:pPr>
      <w:r w:rsidRPr="008B7A21">
        <w:rPr>
          <w:lang w:val="es-ES_tradnl"/>
        </w:rPr>
        <w:t>Este Informe es una referencia para las administraciones a la hora de elaborar estrategias en relación con los aspectos económicos de la gestión nacional del espectro y a financiar esa labor. Además, el presente Informe presenta un análisis sobre las ventajas que ofrecen el desarrollo estratégico y los métodos técnicos de apoyo a la gestión nacional del espectro. Estos aspectos pueden promover la eficacia económica de esta así como su eficiencia técnica y administrativa.</w:t>
      </w:r>
    </w:p>
    <w:p w14:paraId="09C29F60" w14:textId="26EF86BD" w:rsidR="00F73D5B" w:rsidRPr="008B7A21" w:rsidRDefault="00F73D5B" w:rsidP="00F94A6C">
      <w:pPr>
        <w:pStyle w:val="Note"/>
        <w:rPr>
          <w:lang w:val="es-ES_tradnl"/>
        </w:rPr>
      </w:pPr>
      <w:r w:rsidRPr="008B7A21">
        <w:rPr>
          <w:lang w:val="es-ES_tradnl"/>
        </w:rPr>
        <w:t>NOTA</w:t>
      </w:r>
      <w:r w:rsidR="00540C72">
        <w:rPr>
          <w:lang w:val="es-ES_tradnl"/>
        </w:rPr>
        <w:t> </w:t>
      </w:r>
      <w:r w:rsidRPr="008B7A21">
        <w:rPr>
          <w:lang w:val="es-ES_tradnl"/>
        </w:rPr>
        <w:t>1</w:t>
      </w:r>
      <w:r w:rsidR="00540C72">
        <w:rPr>
          <w:lang w:val="es-ES_tradnl"/>
        </w:rPr>
        <w:t xml:space="preserve"> </w:t>
      </w:r>
      <w:r w:rsidR="00540C72" w:rsidRPr="00540C72">
        <w:rPr>
          <w:lang w:val="es-ES_tradnl"/>
        </w:rPr>
        <w:t>–</w:t>
      </w:r>
      <w:r w:rsidRPr="008B7A21">
        <w:rPr>
          <w:lang w:val="es-ES_tradnl"/>
        </w:rPr>
        <w:t xml:space="preserve"> Las experiencias nacionales proporcionadas en este Informe solo representan las opiniones de las respectivas administraciones. Solo tienen una función informativa y no implica que otros miembros confirmen esas experiencias.</w:t>
      </w:r>
    </w:p>
    <w:p w14:paraId="0A68EDCF" w14:textId="7281DF82" w:rsidR="00F73D5B" w:rsidRPr="008B7A21" w:rsidRDefault="00F73D5B" w:rsidP="00F94A6C">
      <w:pPr>
        <w:pStyle w:val="Note"/>
        <w:rPr>
          <w:szCs w:val="22"/>
          <w:lang w:val="es-ES_tradnl"/>
        </w:rPr>
      </w:pPr>
      <w:r w:rsidRPr="008B7A21">
        <w:rPr>
          <w:szCs w:val="22"/>
          <w:lang w:val="es-ES_tradnl"/>
        </w:rPr>
        <w:t>NOTA</w:t>
      </w:r>
      <w:r w:rsidR="00540C72">
        <w:rPr>
          <w:szCs w:val="22"/>
          <w:lang w:val="es-ES_tradnl"/>
        </w:rPr>
        <w:t> </w:t>
      </w:r>
      <w:r w:rsidRPr="008B7A21">
        <w:rPr>
          <w:szCs w:val="22"/>
          <w:lang w:val="es-ES_tradnl"/>
        </w:rPr>
        <w:t>2</w:t>
      </w:r>
      <w:r w:rsidR="00540C72">
        <w:rPr>
          <w:szCs w:val="22"/>
          <w:lang w:val="es-ES_tradnl"/>
        </w:rPr>
        <w:t xml:space="preserve"> </w:t>
      </w:r>
      <w:r w:rsidR="00540C72" w:rsidRPr="00540C72">
        <w:rPr>
          <w:lang w:val="es-ES_tradnl"/>
        </w:rPr>
        <w:t>–</w:t>
      </w:r>
      <w:r w:rsidRPr="008B7A21">
        <w:rPr>
          <w:szCs w:val="22"/>
          <w:lang w:val="es-ES_tradnl"/>
        </w:rPr>
        <w:t xml:space="preserve"> Cuando las </w:t>
      </w:r>
      <w:r w:rsidRPr="008B7A21">
        <w:rPr>
          <w:lang w:val="es-ES_tradnl"/>
        </w:rPr>
        <w:t>referencias</w:t>
      </w:r>
      <w:r w:rsidRPr="008B7A21">
        <w:rPr>
          <w:szCs w:val="22"/>
          <w:lang w:val="es-ES_tradnl"/>
        </w:rPr>
        <w:t xml:space="preserve"> a las Recomendaciones del UIT-R o a los Informes del UIT-R se realizan sin especificar la versión de la publicación, se entenderá que es la </w:t>
      </w:r>
      <w:r w:rsidR="00877B7A" w:rsidRPr="008B7A21">
        <w:rPr>
          <w:szCs w:val="22"/>
          <w:lang w:val="es-ES_tradnl"/>
        </w:rPr>
        <w:t>versión más reciente</w:t>
      </w:r>
      <w:r w:rsidRPr="008B7A21">
        <w:rPr>
          <w:szCs w:val="22"/>
          <w:lang w:val="es-ES_tradnl"/>
        </w:rPr>
        <w:t>.</w:t>
      </w:r>
    </w:p>
    <w:p w14:paraId="7677E00F" w14:textId="7E5449E9" w:rsidR="00F73D5B" w:rsidRPr="008B7A21" w:rsidRDefault="00F73D5B" w:rsidP="00F94A6C">
      <w:pPr>
        <w:pStyle w:val="Note"/>
        <w:rPr>
          <w:szCs w:val="22"/>
          <w:lang w:val="es-ES_tradnl"/>
        </w:rPr>
      </w:pPr>
      <w:r w:rsidRPr="008B7A21">
        <w:rPr>
          <w:szCs w:val="22"/>
          <w:lang w:val="es-ES_tradnl"/>
        </w:rPr>
        <w:t>NOTA</w:t>
      </w:r>
      <w:r w:rsidR="00540C72">
        <w:rPr>
          <w:szCs w:val="22"/>
          <w:lang w:val="es-ES_tradnl"/>
        </w:rPr>
        <w:t> </w:t>
      </w:r>
      <w:r w:rsidRPr="008B7A21">
        <w:rPr>
          <w:szCs w:val="22"/>
          <w:lang w:val="es-ES_tradnl"/>
        </w:rPr>
        <w:t>3</w:t>
      </w:r>
      <w:r w:rsidR="00540C72">
        <w:rPr>
          <w:szCs w:val="22"/>
          <w:lang w:val="es-ES_tradnl"/>
        </w:rPr>
        <w:t xml:space="preserve"> </w:t>
      </w:r>
      <w:r w:rsidR="00540C72" w:rsidRPr="00540C72">
        <w:rPr>
          <w:lang w:val="es-ES_tradnl"/>
        </w:rPr>
        <w:t>–</w:t>
      </w:r>
      <w:r w:rsidRPr="008B7A21">
        <w:rPr>
          <w:szCs w:val="22"/>
          <w:lang w:val="es-ES_tradnl"/>
        </w:rPr>
        <w:t xml:space="preserve"> Los ejemplos </w:t>
      </w:r>
      <w:r w:rsidRPr="008B7A21">
        <w:rPr>
          <w:lang w:val="es-ES_tradnl"/>
        </w:rPr>
        <w:t>en</w:t>
      </w:r>
      <w:r w:rsidRPr="008B7A21">
        <w:rPr>
          <w:szCs w:val="22"/>
          <w:lang w:val="es-ES_tradnl"/>
        </w:rPr>
        <w:t xml:space="preserve"> este Informe que se han elaborado a partir de una versión en particular de una publicación puede que tengan que estudiarse más detenidamente si se utiliza la versión más reciente de esa publicación.</w:t>
      </w:r>
    </w:p>
    <w:p w14:paraId="046A4A77" w14:textId="77777777" w:rsidR="00F73D5B" w:rsidRPr="008B7A21" w:rsidRDefault="00F73D5B" w:rsidP="00F73D5B">
      <w:pPr>
        <w:rPr>
          <w:szCs w:val="24"/>
          <w:lang w:val="es-ES_tradnl"/>
        </w:rPr>
      </w:pPr>
      <w:r w:rsidRPr="008B7A21">
        <w:rPr>
          <w:szCs w:val="24"/>
          <w:lang w:val="es-ES_tradnl"/>
        </w:rPr>
        <w:t>El mandato para este estudio económico es responder a los siguientes asuntos que se dividen en tres categorías:</w:t>
      </w:r>
    </w:p>
    <w:p w14:paraId="7CB757D2" w14:textId="2CA9AB01" w:rsidR="00F73D5B" w:rsidRPr="008B7A21" w:rsidRDefault="00F73D5B" w:rsidP="00F73D5B">
      <w:pPr>
        <w:rPr>
          <w:szCs w:val="24"/>
          <w:lang w:val="es-ES_tradnl"/>
        </w:rPr>
      </w:pPr>
      <w:r w:rsidRPr="008B7A21">
        <w:rPr>
          <w:b/>
          <w:bCs/>
          <w:i/>
          <w:iCs/>
          <w:szCs w:val="24"/>
          <w:lang w:val="es-ES_tradnl"/>
        </w:rPr>
        <w:t>Categoría 1</w:t>
      </w:r>
      <w:r w:rsidRPr="008B7A21">
        <w:rPr>
          <w:szCs w:val="24"/>
          <w:lang w:val="es-ES_tradnl"/>
        </w:rPr>
        <w:t>: Estrategias para el enfoque económico de la gestión nacional del espectro y su financiación</w:t>
      </w:r>
    </w:p>
    <w:p w14:paraId="20B11405" w14:textId="77777777" w:rsidR="00F73D5B" w:rsidRPr="008B7A21" w:rsidRDefault="00F73D5B" w:rsidP="00F73D5B">
      <w:pPr>
        <w:pStyle w:val="enumlev1"/>
        <w:rPr>
          <w:szCs w:val="24"/>
          <w:lang w:val="es-ES_tradnl"/>
        </w:rPr>
      </w:pPr>
      <w:r w:rsidRPr="008B7A21">
        <w:rPr>
          <w:szCs w:val="24"/>
          <w:lang w:val="es-ES_tradnl"/>
        </w:rPr>
        <w:t>1.</w:t>
      </w:r>
      <w:r w:rsidRPr="008B7A21">
        <w:rPr>
          <w:szCs w:val="24"/>
          <w:lang w:val="es-ES_tradnl"/>
        </w:rPr>
        <w:tab/>
        <w:t>¿Qué principios subyacentes han tomado en consideración las diferentes administraciones en sus enfoques para financiar el mantenimiento y el desarrollo de la gestión nacional del espectro?</w:t>
      </w:r>
    </w:p>
    <w:p w14:paraId="4459B9B1" w14:textId="77777777" w:rsidR="00F73D5B" w:rsidRPr="008B7A21" w:rsidRDefault="00F73D5B" w:rsidP="00F73D5B">
      <w:pPr>
        <w:pStyle w:val="enumlev1"/>
        <w:rPr>
          <w:szCs w:val="24"/>
          <w:lang w:val="es-ES_tradnl"/>
        </w:rPr>
      </w:pPr>
      <w:r w:rsidRPr="008B7A21">
        <w:rPr>
          <w:szCs w:val="24"/>
          <w:lang w:val="es-ES_tradnl"/>
        </w:rPr>
        <w:t>2.</w:t>
      </w:r>
      <w:r w:rsidRPr="008B7A21">
        <w:rPr>
          <w:szCs w:val="24"/>
          <w:lang w:val="es-ES_tradnl"/>
        </w:rPr>
        <w:tab/>
        <w:t>¿Qué enfoques económicos han utilizado o se tiene la intención de utilizar para promover una gestión del espectro eficaz en las diferentes bandas de frecuencias?</w:t>
      </w:r>
    </w:p>
    <w:p w14:paraId="413585C8" w14:textId="77777777" w:rsidR="00F73D5B" w:rsidRPr="008B7A21" w:rsidRDefault="00F73D5B" w:rsidP="00F73D5B">
      <w:pPr>
        <w:pStyle w:val="enumlev1"/>
        <w:rPr>
          <w:szCs w:val="24"/>
          <w:lang w:val="es-ES_tradnl"/>
        </w:rPr>
      </w:pPr>
      <w:r w:rsidRPr="008B7A21">
        <w:rPr>
          <w:szCs w:val="24"/>
          <w:lang w:val="es-ES_tradnl"/>
        </w:rPr>
        <w:t>3.</w:t>
      </w:r>
      <w:r w:rsidRPr="008B7A21">
        <w:rPr>
          <w:szCs w:val="24"/>
          <w:lang w:val="es-ES_tradnl"/>
        </w:rPr>
        <w:tab/>
        <w:t>¿Cuáles son las ventajas e inconvenientes de estos diversos enfoques económicos en relación con la gestión nacional del espectro?</w:t>
      </w:r>
    </w:p>
    <w:p w14:paraId="3D5A1243" w14:textId="77777777" w:rsidR="00F73D5B" w:rsidRPr="008B7A21" w:rsidRDefault="00F73D5B" w:rsidP="00F73D5B">
      <w:pPr>
        <w:pStyle w:val="enumlev1"/>
        <w:rPr>
          <w:szCs w:val="24"/>
          <w:lang w:val="es-ES_tradnl"/>
        </w:rPr>
      </w:pPr>
      <w:r w:rsidRPr="008B7A21">
        <w:rPr>
          <w:szCs w:val="24"/>
          <w:lang w:val="es-ES_tradnl"/>
        </w:rPr>
        <w:t>4.</w:t>
      </w:r>
      <w:r w:rsidRPr="008B7A21">
        <w:rPr>
          <w:szCs w:val="24"/>
          <w:lang w:val="es-ES_tradnl"/>
        </w:rPr>
        <w:tab/>
        <w:t>¿Cuáles son los factores (por ejemplo, geográficos, topográficos, infraestructurales, sociales y jurídicos) que podrían incidir en estos enfoques y de qué forma se modificarían en función de la utilización de las radiocomunicaciones en un país y del nivel de desarrollo de dicho país?</w:t>
      </w:r>
    </w:p>
    <w:p w14:paraId="437B6E8E" w14:textId="08CA1A4F" w:rsidR="00F73D5B" w:rsidRPr="008B7A21" w:rsidRDefault="00F73D5B" w:rsidP="00F73D5B">
      <w:pPr>
        <w:rPr>
          <w:szCs w:val="24"/>
          <w:lang w:val="es-ES_tradnl"/>
        </w:rPr>
      </w:pPr>
      <w:r w:rsidRPr="008B7A21">
        <w:rPr>
          <w:b/>
          <w:bCs/>
          <w:i/>
          <w:iCs/>
          <w:szCs w:val="24"/>
          <w:lang w:val="es-ES_tradnl"/>
        </w:rPr>
        <w:t>Categoría 2</w:t>
      </w:r>
      <w:r w:rsidRPr="008B7A21">
        <w:rPr>
          <w:szCs w:val="24"/>
          <w:lang w:val="es-ES_tradnl"/>
        </w:rPr>
        <w:t>: Evaluación de los beneficios derivados de la utilización del espectro de frecuencias radioeléctricas a los efectos de su planificación y de la formulación de estrategias de gestión</w:t>
      </w:r>
    </w:p>
    <w:p w14:paraId="714D0BBC" w14:textId="77777777" w:rsidR="00F73D5B" w:rsidRPr="008B7A21" w:rsidRDefault="00F73D5B" w:rsidP="00F73D5B">
      <w:pPr>
        <w:pStyle w:val="enumlev1"/>
        <w:rPr>
          <w:szCs w:val="24"/>
          <w:lang w:val="es-ES_tradnl"/>
        </w:rPr>
      </w:pPr>
      <w:r w:rsidRPr="008B7A21">
        <w:rPr>
          <w:szCs w:val="24"/>
          <w:lang w:val="es-ES_tradnl"/>
        </w:rPr>
        <w:t>1.</w:t>
      </w:r>
      <w:r w:rsidRPr="008B7A21">
        <w:rPr>
          <w:szCs w:val="24"/>
          <w:lang w:val="es-ES_tradnl"/>
        </w:rPr>
        <w:tab/>
        <w:t>¿Cuáles son las ventajas dimanantes para una administración de la utilización de las radiocomunicaciones en su país y de qué forma pueden cuantificarse, procediendo su representación económica con el fin de hacer posible una comparación de las ventajas y los costes de determinadas opciones de gestión del espectro (por ejemplo, en términos de empleo o producto interior bruto)?</w:t>
      </w:r>
    </w:p>
    <w:p w14:paraId="33C81672" w14:textId="77777777" w:rsidR="00F73D5B" w:rsidRPr="008B7A21" w:rsidRDefault="00F73D5B" w:rsidP="00F73D5B">
      <w:pPr>
        <w:pStyle w:val="enumlev1"/>
        <w:rPr>
          <w:szCs w:val="24"/>
          <w:lang w:val="es-ES_tradnl"/>
        </w:rPr>
      </w:pPr>
      <w:r w:rsidRPr="008B7A21">
        <w:rPr>
          <w:szCs w:val="24"/>
          <w:lang w:val="es-ES_tradnl"/>
        </w:rPr>
        <w:t>2.</w:t>
      </w:r>
      <w:r w:rsidRPr="008B7A21">
        <w:rPr>
          <w:szCs w:val="24"/>
          <w:lang w:val="es-ES_tradnl"/>
        </w:rPr>
        <w:tab/>
        <w:t>¿Qué modelos pueden utilizarse al representar dichas ventajas de forma económica y de qué forma pueden validarse dichos modelos?</w:t>
      </w:r>
    </w:p>
    <w:p w14:paraId="1E11E3AA" w14:textId="77777777" w:rsidR="00F73D5B" w:rsidRPr="008B7A21" w:rsidRDefault="00F73D5B" w:rsidP="00F73D5B">
      <w:pPr>
        <w:pStyle w:val="enumlev1"/>
        <w:rPr>
          <w:szCs w:val="24"/>
          <w:lang w:val="es-ES_tradnl"/>
        </w:rPr>
      </w:pPr>
      <w:r w:rsidRPr="008B7A21">
        <w:rPr>
          <w:szCs w:val="24"/>
          <w:lang w:val="es-ES_tradnl"/>
        </w:rPr>
        <w:t>3.</w:t>
      </w:r>
      <w:r w:rsidRPr="008B7A21">
        <w:rPr>
          <w:szCs w:val="24"/>
          <w:lang w:val="es-ES_tradnl"/>
        </w:rPr>
        <w:tab/>
        <w:t>¿Qué factores podrían incidir en las ventajas dimanantes para una administración de la utilización del espectro de radiofrecuencias, incluso por los servicios nacionales de seguridad?</w:t>
      </w:r>
    </w:p>
    <w:p w14:paraId="2F57B8D7" w14:textId="77777777" w:rsidR="00F73D5B" w:rsidRPr="008B7A21" w:rsidRDefault="00F73D5B" w:rsidP="00F73D5B">
      <w:pPr>
        <w:pStyle w:val="enumlev1"/>
        <w:rPr>
          <w:szCs w:val="24"/>
          <w:lang w:val="es-ES_tradnl"/>
        </w:rPr>
      </w:pPr>
      <w:r w:rsidRPr="008B7A21">
        <w:rPr>
          <w:szCs w:val="24"/>
          <w:lang w:val="es-ES_tradnl"/>
        </w:rPr>
        <w:t>4.</w:t>
      </w:r>
      <w:r w:rsidRPr="008B7A21">
        <w:rPr>
          <w:szCs w:val="24"/>
          <w:lang w:val="es-ES_tradnl"/>
        </w:rPr>
        <w:tab/>
        <w:t>¿Cuáles son entre los factores del § 3 los que varían de un país a otro?</w:t>
      </w:r>
    </w:p>
    <w:p w14:paraId="535ADFE7" w14:textId="00AA02EE" w:rsidR="00F73D5B" w:rsidRPr="008B7A21" w:rsidRDefault="00F73D5B" w:rsidP="00F73D5B">
      <w:pPr>
        <w:pStyle w:val="Headingi"/>
        <w:rPr>
          <w:szCs w:val="24"/>
          <w:lang w:val="es-ES_tradnl"/>
        </w:rPr>
      </w:pPr>
      <w:bookmarkStart w:id="5" w:name="_Toc526166708"/>
      <w:bookmarkStart w:id="6" w:name="_Toc215835311"/>
      <w:r w:rsidRPr="008B7A21">
        <w:rPr>
          <w:b/>
          <w:bCs/>
          <w:iCs/>
          <w:szCs w:val="24"/>
          <w:lang w:val="es-ES_tradnl"/>
        </w:rPr>
        <w:t>Categoría 3</w:t>
      </w:r>
      <w:r w:rsidRPr="008B7A21">
        <w:rPr>
          <w:szCs w:val="24"/>
          <w:lang w:val="es-ES_tradnl"/>
        </w:rPr>
        <w:t>: </w:t>
      </w:r>
      <w:r w:rsidRPr="008B7A21">
        <w:rPr>
          <w:i w:val="0"/>
          <w:iCs/>
          <w:szCs w:val="24"/>
          <w:lang w:val="es-ES_tradnl"/>
        </w:rPr>
        <w:t>Métodos alternativos de gestión nacional del espectro</w:t>
      </w:r>
      <w:bookmarkEnd w:id="5"/>
      <w:bookmarkEnd w:id="6"/>
    </w:p>
    <w:p w14:paraId="604C8BEA" w14:textId="77777777" w:rsidR="00F73D5B" w:rsidRPr="008B7A21" w:rsidRDefault="00F73D5B" w:rsidP="00F73D5B">
      <w:pPr>
        <w:pStyle w:val="enumlev1"/>
        <w:rPr>
          <w:szCs w:val="24"/>
          <w:lang w:val="es-ES_tradnl"/>
        </w:rPr>
      </w:pPr>
      <w:r w:rsidRPr="008B7A21">
        <w:rPr>
          <w:szCs w:val="24"/>
          <w:lang w:val="es-ES_tradnl"/>
        </w:rPr>
        <w:t>1.</w:t>
      </w:r>
      <w:r w:rsidRPr="008B7A21">
        <w:rPr>
          <w:szCs w:val="24"/>
          <w:lang w:val="es-ES_tradnl"/>
        </w:rPr>
        <w:tab/>
        <w:t>¿Cuáles son los enfoques alternativos con respecto a la gestión del espectro, lo que incluye la utilización del mismo por grupos de usuarios sin fines lucrativos y organizaciones privadas de gestión del espectro?</w:t>
      </w:r>
    </w:p>
    <w:p w14:paraId="73A07888" w14:textId="77777777" w:rsidR="00F73D5B" w:rsidRPr="008B7A21" w:rsidRDefault="00F73D5B" w:rsidP="00F73D5B">
      <w:pPr>
        <w:pStyle w:val="enumlev1"/>
        <w:rPr>
          <w:szCs w:val="24"/>
          <w:lang w:val="es-ES_tradnl"/>
        </w:rPr>
      </w:pPr>
      <w:r w:rsidRPr="008B7A21">
        <w:rPr>
          <w:szCs w:val="24"/>
          <w:lang w:val="es-ES_tradnl"/>
        </w:rPr>
        <w:t>2.</w:t>
      </w:r>
      <w:r w:rsidRPr="008B7A21">
        <w:rPr>
          <w:szCs w:val="24"/>
          <w:lang w:val="es-ES_tradnl"/>
        </w:rPr>
        <w:tab/>
        <w:t>¿De qué forma podrían agruparse estos enfoques?</w:t>
      </w:r>
    </w:p>
    <w:p w14:paraId="6E3CE227" w14:textId="77777777" w:rsidR="00F73D5B" w:rsidRPr="008B7A21" w:rsidRDefault="00F73D5B" w:rsidP="00F73D5B">
      <w:pPr>
        <w:pStyle w:val="enumlev1"/>
        <w:rPr>
          <w:szCs w:val="24"/>
          <w:lang w:val="es-ES_tradnl"/>
        </w:rPr>
      </w:pPr>
      <w:r w:rsidRPr="008B7A21">
        <w:rPr>
          <w:szCs w:val="24"/>
          <w:lang w:val="es-ES_tradnl"/>
        </w:rPr>
        <w:t>3.</w:t>
      </w:r>
      <w:r w:rsidRPr="008B7A21">
        <w:rPr>
          <w:szCs w:val="24"/>
          <w:lang w:val="es-ES_tradnl"/>
        </w:rPr>
        <w:tab/>
        <w:t>¿De dichos enfoques alternativos sobre la gestión del espectro cuáles responderían a las necesidades de los países en desarrollo, así como de los menos adelantados?</w:t>
      </w:r>
    </w:p>
    <w:p w14:paraId="30BCEFF9" w14:textId="77777777" w:rsidR="00F73D5B" w:rsidRPr="008B7A21" w:rsidRDefault="00F73D5B" w:rsidP="00F73D5B">
      <w:pPr>
        <w:pStyle w:val="enumlev1"/>
        <w:rPr>
          <w:szCs w:val="24"/>
          <w:lang w:val="es-ES_tradnl"/>
        </w:rPr>
      </w:pPr>
      <w:r w:rsidRPr="008B7A21">
        <w:rPr>
          <w:szCs w:val="24"/>
          <w:lang w:val="es-ES_tradnl"/>
        </w:rPr>
        <w:t>4.</w:t>
      </w:r>
      <w:r w:rsidRPr="008B7A21">
        <w:rPr>
          <w:szCs w:val="24"/>
          <w:lang w:val="es-ES_tradnl"/>
        </w:rPr>
        <w:tab/>
        <w:t>¿Qué medidas de tipo técnico, de explotación y reglamentarias tendría que considerar una administración con miras a su aplicación, al adoptar uno o más de estos enfoques de gestión del espectro en el contexto de:</w:t>
      </w:r>
    </w:p>
    <w:p w14:paraId="5B4EFC65" w14:textId="77777777" w:rsidR="00F73D5B" w:rsidRPr="008B7A21" w:rsidRDefault="00F73D5B" w:rsidP="00F73D5B">
      <w:pPr>
        <w:pStyle w:val="enumlev2"/>
        <w:rPr>
          <w:szCs w:val="24"/>
          <w:lang w:val="es-ES_tradnl"/>
        </w:rPr>
      </w:pPr>
      <w:r w:rsidRPr="008B7A21">
        <w:rPr>
          <w:szCs w:val="24"/>
          <w:lang w:val="es-ES_tradnl"/>
        </w:rPr>
        <w:t>–</w:t>
      </w:r>
      <w:r w:rsidRPr="008B7A21">
        <w:rPr>
          <w:szCs w:val="24"/>
          <w:lang w:val="es-ES_tradnl"/>
        </w:rPr>
        <w:tab/>
        <w:t>la infraestructura del país;</w:t>
      </w:r>
    </w:p>
    <w:p w14:paraId="00359FD6" w14:textId="77777777" w:rsidR="00F73D5B" w:rsidRPr="008B7A21" w:rsidRDefault="00F73D5B" w:rsidP="00F73D5B">
      <w:pPr>
        <w:pStyle w:val="enumlev2"/>
        <w:rPr>
          <w:szCs w:val="24"/>
          <w:lang w:val="es-ES_tradnl"/>
        </w:rPr>
      </w:pPr>
      <w:r w:rsidRPr="008B7A21">
        <w:rPr>
          <w:szCs w:val="24"/>
          <w:lang w:val="es-ES_tradnl"/>
        </w:rPr>
        <w:t>–</w:t>
      </w:r>
      <w:r w:rsidRPr="008B7A21">
        <w:rPr>
          <w:szCs w:val="24"/>
          <w:lang w:val="es-ES_tradnl"/>
        </w:rPr>
        <w:tab/>
        <w:t>la gestión nacional del espectro;</w:t>
      </w:r>
    </w:p>
    <w:p w14:paraId="244192DC" w14:textId="77777777" w:rsidR="00F73D5B" w:rsidRPr="008B7A21" w:rsidRDefault="00F73D5B" w:rsidP="00F73D5B">
      <w:pPr>
        <w:pStyle w:val="enumlev2"/>
        <w:rPr>
          <w:szCs w:val="24"/>
          <w:lang w:val="es-ES_tradnl"/>
        </w:rPr>
      </w:pPr>
      <w:r w:rsidRPr="008B7A21">
        <w:rPr>
          <w:szCs w:val="24"/>
          <w:lang w:val="es-ES_tradnl"/>
        </w:rPr>
        <w:t>–</w:t>
      </w:r>
      <w:r w:rsidRPr="008B7A21">
        <w:rPr>
          <w:szCs w:val="24"/>
          <w:lang w:val="es-ES_tradnl"/>
        </w:rPr>
        <w:tab/>
        <w:t>los aspectos regionales e internacionales (por ejemplo, notificación, coordinación y comprobación técnica de las emisiones)?</w:t>
      </w:r>
    </w:p>
    <w:p w14:paraId="02ABCBA8" w14:textId="77777777" w:rsidR="00F73D5B" w:rsidRPr="008B7A21" w:rsidRDefault="00F73D5B" w:rsidP="00F73D5B">
      <w:pPr>
        <w:rPr>
          <w:szCs w:val="24"/>
          <w:lang w:val="es-ES_tradnl"/>
        </w:rPr>
      </w:pPr>
      <w:r w:rsidRPr="008B7A21">
        <w:rPr>
          <w:szCs w:val="24"/>
          <w:lang w:val="es-ES_tradnl"/>
        </w:rPr>
        <w:t>Es probable que se presente información adicional pertinente para este Informe y que dicha información se incluya, en su caso, en futuras revisiones.</w:t>
      </w:r>
    </w:p>
    <w:p w14:paraId="13B0A3B5" w14:textId="77777777" w:rsidR="00F73D5B" w:rsidRPr="008B7A21" w:rsidRDefault="00F73D5B" w:rsidP="007044BB">
      <w:pPr>
        <w:rPr>
          <w:sz w:val="28"/>
          <w:lang w:val="es-ES_tradnl"/>
        </w:rPr>
      </w:pPr>
      <w:bookmarkStart w:id="7" w:name="_Toc459746613"/>
      <w:bookmarkStart w:id="8" w:name="_Toc459792541"/>
      <w:bookmarkStart w:id="9" w:name="_Toc459793712"/>
      <w:bookmarkStart w:id="10" w:name="_Toc459793854"/>
      <w:bookmarkStart w:id="11" w:name="_Toc459970352"/>
      <w:bookmarkStart w:id="12" w:name="_Toc306276768"/>
      <w:r w:rsidRPr="008B7A21">
        <w:rPr>
          <w:lang w:val="es-ES_tradnl"/>
        </w:rPr>
        <w:br w:type="page"/>
      </w:r>
    </w:p>
    <w:p w14:paraId="7A8508A8" w14:textId="77777777" w:rsidR="00F73D5B" w:rsidRPr="008B7A21" w:rsidRDefault="00F73D5B" w:rsidP="00F73D5B">
      <w:pPr>
        <w:pStyle w:val="ChapNo"/>
        <w:rPr>
          <w:lang w:val="es-ES_tradnl"/>
        </w:rPr>
      </w:pPr>
      <w:bookmarkStart w:id="13" w:name="_Toc307993888"/>
      <w:bookmarkStart w:id="14" w:name="_Toc307995155"/>
      <w:bookmarkStart w:id="15" w:name="_Toc307996294"/>
      <w:bookmarkStart w:id="16" w:name="_Toc308010274"/>
      <w:bookmarkStart w:id="17" w:name="_Toc499562932"/>
      <w:bookmarkStart w:id="18" w:name="_Toc215835312"/>
      <w:r w:rsidRPr="008B7A21">
        <w:rPr>
          <w:lang w:val="es-ES_tradnl"/>
        </w:rPr>
        <w:t>CAPÍTULO 1</w:t>
      </w:r>
      <w:bookmarkEnd w:id="7"/>
      <w:bookmarkEnd w:id="8"/>
      <w:bookmarkEnd w:id="9"/>
      <w:bookmarkEnd w:id="10"/>
      <w:bookmarkEnd w:id="11"/>
      <w:bookmarkEnd w:id="12"/>
      <w:bookmarkEnd w:id="13"/>
      <w:bookmarkEnd w:id="14"/>
      <w:bookmarkEnd w:id="15"/>
      <w:bookmarkEnd w:id="16"/>
      <w:bookmarkEnd w:id="17"/>
      <w:bookmarkEnd w:id="18"/>
    </w:p>
    <w:p w14:paraId="5CAA04D3" w14:textId="77777777" w:rsidR="00F73D5B" w:rsidRPr="008B7A21" w:rsidRDefault="00F73D5B" w:rsidP="00F73D5B">
      <w:pPr>
        <w:pStyle w:val="Chaptitle"/>
        <w:rPr>
          <w:lang w:val="es-ES_tradnl"/>
        </w:rPr>
      </w:pPr>
      <w:bookmarkStart w:id="19" w:name="_Toc459746614"/>
      <w:bookmarkStart w:id="20" w:name="_Toc459792542"/>
      <w:bookmarkStart w:id="21" w:name="_Toc459793713"/>
      <w:bookmarkStart w:id="22" w:name="_Toc459793855"/>
      <w:bookmarkStart w:id="23" w:name="_Toc459970353"/>
      <w:bookmarkStart w:id="24" w:name="_Toc306276769"/>
      <w:bookmarkStart w:id="25" w:name="_Toc307993889"/>
      <w:bookmarkStart w:id="26" w:name="_Toc307995156"/>
      <w:bookmarkStart w:id="27" w:name="_Toc307996295"/>
      <w:bookmarkStart w:id="28" w:name="_Toc308010275"/>
      <w:bookmarkStart w:id="29" w:name="_Toc499562933"/>
      <w:r w:rsidRPr="008B7A21">
        <w:rPr>
          <w:lang w:val="es-ES_tradnl"/>
        </w:rPr>
        <w:t>Introducción</w:t>
      </w:r>
      <w:bookmarkEnd w:id="19"/>
      <w:bookmarkEnd w:id="20"/>
      <w:bookmarkEnd w:id="21"/>
      <w:bookmarkEnd w:id="22"/>
      <w:bookmarkEnd w:id="23"/>
      <w:r w:rsidRPr="008B7A21">
        <w:rPr>
          <w:lang w:val="es-ES_tradnl"/>
        </w:rPr>
        <w:t xml:space="preserve"> a las consideraciones económicas</w:t>
      </w:r>
      <w:bookmarkEnd w:id="24"/>
      <w:bookmarkEnd w:id="25"/>
      <w:bookmarkEnd w:id="26"/>
      <w:bookmarkEnd w:id="27"/>
      <w:bookmarkEnd w:id="28"/>
      <w:bookmarkEnd w:id="29"/>
    </w:p>
    <w:p w14:paraId="0187ECCC" w14:textId="77777777" w:rsidR="00F73D5B" w:rsidRPr="008B7A21" w:rsidRDefault="00F73D5B" w:rsidP="00F73D5B">
      <w:pPr>
        <w:pStyle w:val="Heading2"/>
        <w:rPr>
          <w:b w:val="0"/>
          <w:lang w:val="es-ES_tradnl"/>
        </w:rPr>
      </w:pPr>
      <w:bookmarkStart w:id="30" w:name="_Toc394385955"/>
      <w:bookmarkStart w:id="31" w:name="_Toc394386042"/>
      <w:bookmarkStart w:id="32" w:name="_Toc395503146"/>
      <w:bookmarkStart w:id="33" w:name="_Toc459746615"/>
      <w:bookmarkStart w:id="34" w:name="_Toc459792543"/>
      <w:bookmarkStart w:id="35" w:name="_Toc459793714"/>
      <w:bookmarkStart w:id="36" w:name="_Toc459793856"/>
      <w:bookmarkStart w:id="37" w:name="_Toc459970354"/>
      <w:bookmarkStart w:id="38" w:name="_Toc476537764"/>
      <w:bookmarkStart w:id="39" w:name="_Toc306276770"/>
      <w:bookmarkStart w:id="40" w:name="_Toc307921451"/>
      <w:bookmarkStart w:id="41" w:name="_Toc307922018"/>
      <w:bookmarkStart w:id="42" w:name="_Toc307922514"/>
      <w:bookmarkStart w:id="43" w:name="_Toc307991863"/>
      <w:bookmarkStart w:id="44" w:name="_Toc307993890"/>
      <w:bookmarkStart w:id="45" w:name="_Toc307995157"/>
      <w:bookmarkStart w:id="46" w:name="_Toc307996296"/>
      <w:bookmarkStart w:id="47" w:name="_Toc308010276"/>
      <w:bookmarkStart w:id="48" w:name="_Toc499562934"/>
      <w:bookmarkStart w:id="49" w:name="_Toc215835313"/>
      <w:r w:rsidRPr="008B7A21">
        <w:rPr>
          <w:lang w:val="es-ES_tradnl"/>
        </w:rPr>
        <w:t>1.1</w:t>
      </w:r>
      <w:r w:rsidRPr="008B7A21">
        <w:rPr>
          <w:lang w:val="es-ES_tradnl"/>
        </w:rPr>
        <w:tab/>
      </w:r>
      <w:bookmarkEnd w:id="30"/>
      <w:bookmarkEnd w:id="31"/>
      <w:bookmarkEnd w:id="32"/>
      <w:bookmarkEnd w:id="33"/>
      <w:bookmarkEnd w:id="34"/>
      <w:bookmarkEnd w:id="35"/>
      <w:bookmarkEnd w:id="36"/>
      <w:bookmarkEnd w:id="37"/>
      <w:bookmarkEnd w:id="38"/>
      <w:r w:rsidRPr="008B7A21">
        <w:rPr>
          <w:lang w:val="es-ES_tradnl"/>
        </w:rPr>
        <w:t>Necesidad de abordar el espectro con un enfoque económico</w:t>
      </w:r>
      <w:bookmarkEnd w:id="39"/>
      <w:bookmarkEnd w:id="40"/>
      <w:bookmarkEnd w:id="41"/>
      <w:bookmarkEnd w:id="42"/>
      <w:bookmarkEnd w:id="43"/>
      <w:bookmarkEnd w:id="44"/>
      <w:bookmarkEnd w:id="45"/>
      <w:bookmarkEnd w:id="46"/>
      <w:bookmarkEnd w:id="47"/>
      <w:bookmarkEnd w:id="48"/>
      <w:bookmarkEnd w:id="49"/>
    </w:p>
    <w:p w14:paraId="5693EEED" w14:textId="77777777" w:rsidR="00F73D5B" w:rsidRPr="008B7A21" w:rsidRDefault="00F73D5B" w:rsidP="00F73D5B">
      <w:pPr>
        <w:rPr>
          <w:lang w:val="es-ES_tradnl"/>
        </w:rPr>
      </w:pPr>
      <w:r w:rsidRPr="008B7A21">
        <w:rPr>
          <w:lang w:val="es-ES_tradnl"/>
        </w:rPr>
        <w:t>La utilización cada vez mayor de nuevas tecnologías ha creado enormes oportunidades para mejorar la infraestructura de las comunicaciones de un país, así como su economía. Además, el actual desarrollo tecnológico ha dado paso a una variedad de nuevas aplicaciones del espectro. Con frecuencia, este desarrollo ha hecho más eficaz la utilización del espectro, pero al mismo tiempo ha suscitado mayor interés y demanda en lo que respecta al recurso limitado que representa el espectro. En consecuencia, la gestión eficaz del espectro se hace cada vez más compleja, aunque es crucial para aprovechar al máximo las posibilidades que brinda este recurso. El mejoramiento de las capacidades de tratamiento de datos y de los métodos de análisis técnico es un factor esencial para responder a la gran cantidad y variedad de usuarios que intentan obtener acceso al espectro. Para utilizar eficazmente este recurso, su utilización debe coordinarse entre los usuarios con arreglo a las disposiciones de la reglamentación de casa país dentro de las fronteras nacionales, así como del Reglamento de Radiocomunicaciones (RR) de la Unión Internacional de Telecomunicaciones (UIT) en lo que concierne a su utilización internacional. La posibilidad que tiene cada país de aprovechar plenamente el recurso del espectro dependerá en gran medida de que los servicios de gestión de éste faciliten la realización de sistemas radioeléctricos y garanticen la compatibilidad de su funcionamiento. Además, el desequilibrio entre la demanda de frecuencias radioeléctricas y la disponibilidad del espectro sigue intensificándose, especialmente en las zonas urbanas. Con arreglo a la teoría económica, habría que implementar un sistema de precios cuando la demanda exceda a la oferta. Dado que el espectro de frecuencias es un recurso escaso, en las decisiones relativas a la gestión del espectro habría que considerar también el punto de vista económico. Así, pues, habrá que recurrir a todos los métodos disponibles, incluidos los económicos, para mejorar la gestión nacional del espectro.</w:t>
      </w:r>
    </w:p>
    <w:p w14:paraId="0441E95F" w14:textId="77777777" w:rsidR="00F73D5B" w:rsidRPr="008B7A21" w:rsidRDefault="00F73D5B" w:rsidP="00F73D5B">
      <w:pPr>
        <w:rPr>
          <w:lang w:val="es-ES_tradnl"/>
        </w:rPr>
      </w:pPr>
      <w:r w:rsidRPr="008B7A21">
        <w:rPr>
          <w:lang w:val="es-ES_tradnl"/>
        </w:rPr>
        <w:t>Este Informe se ha preparado para ayudar a las administraciones en el desarrollo de las estrategias sobre los métodos económicos relativos a la gestión nacional del espectro y su financiación sobre bases económicas. Asimismo, el Informe examina las ventajas de planificar la utilización y el desarrollo estratégico del espectro radioeléctrico y los métodos de apoyo técnico a la gestión nacional del espectro. Estos métodos no sólo promueven la eficacia económica, sino también la eficiencia técnica y administrativa.</w:t>
      </w:r>
    </w:p>
    <w:p w14:paraId="6FA29655" w14:textId="77777777" w:rsidR="00F73D5B" w:rsidRPr="008B7A21" w:rsidRDefault="00F73D5B" w:rsidP="00F73D5B">
      <w:pPr>
        <w:rPr>
          <w:lang w:val="es-ES_tradnl"/>
        </w:rPr>
      </w:pPr>
      <w:r w:rsidRPr="008B7A21">
        <w:rPr>
          <w:lang w:val="es-ES_tradnl"/>
        </w:rPr>
        <w:t>Antes de que puedan estudiarse los enfoques económicos es necesario considerar en primer lugar qué es un sistema de gestión del espectro eficaz y qué áreas de gestión del espectro pueden soportarse adecuadamente por otros medios.</w:t>
      </w:r>
    </w:p>
    <w:p w14:paraId="4B6E3D41" w14:textId="77777777" w:rsidR="00F73D5B" w:rsidRPr="008B7A21" w:rsidRDefault="00F73D5B" w:rsidP="00F73D5B">
      <w:pPr>
        <w:pStyle w:val="Heading2"/>
        <w:rPr>
          <w:lang w:val="es-ES_tradnl"/>
        </w:rPr>
      </w:pPr>
      <w:bookmarkStart w:id="50" w:name="_Toc396187367"/>
      <w:bookmarkStart w:id="51" w:name="_Toc306276771"/>
      <w:bookmarkStart w:id="52" w:name="_Toc307921452"/>
      <w:bookmarkStart w:id="53" w:name="_Toc307922019"/>
      <w:bookmarkStart w:id="54" w:name="_Toc307922515"/>
      <w:bookmarkStart w:id="55" w:name="_Toc307991864"/>
      <w:bookmarkStart w:id="56" w:name="_Toc307993891"/>
      <w:bookmarkStart w:id="57" w:name="_Toc307995158"/>
      <w:bookmarkStart w:id="58" w:name="_Toc307996297"/>
      <w:bookmarkStart w:id="59" w:name="_Toc308010277"/>
      <w:bookmarkStart w:id="60" w:name="_Toc499562935"/>
      <w:bookmarkStart w:id="61" w:name="_Toc215835314"/>
      <w:r w:rsidRPr="008B7A21">
        <w:rPr>
          <w:lang w:val="es-ES_tradnl"/>
        </w:rPr>
        <w:t>1.2</w:t>
      </w:r>
      <w:r w:rsidRPr="008B7A21">
        <w:rPr>
          <w:lang w:val="es-ES_tradnl"/>
        </w:rPr>
        <w:tab/>
        <w:t>Condiciones que debe reunir la gestión del espectro</w:t>
      </w:r>
      <w:bookmarkEnd w:id="50"/>
      <w:bookmarkEnd w:id="51"/>
      <w:bookmarkEnd w:id="52"/>
      <w:bookmarkEnd w:id="53"/>
      <w:bookmarkEnd w:id="54"/>
      <w:bookmarkEnd w:id="55"/>
      <w:bookmarkEnd w:id="56"/>
      <w:bookmarkEnd w:id="57"/>
      <w:bookmarkEnd w:id="58"/>
      <w:bookmarkEnd w:id="59"/>
      <w:bookmarkEnd w:id="60"/>
      <w:bookmarkEnd w:id="61"/>
    </w:p>
    <w:p w14:paraId="5F30C28C" w14:textId="77777777" w:rsidR="00F73D5B" w:rsidRPr="008B7A21" w:rsidRDefault="00F73D5B" w:rsidP="00F73D5B">
      <w:pPr>
        <w:rPr>
          <w:lang w:val="es-ES_tradnl"/>
        </w:rPr>
      </w:pPr>
      <w:r w:rsidRPr="008B7A21">
        <w:rPr>
          <w:lang w:val="es-ES_tradnl"/>
        </w:rPr>
        <w:t>La gestión eficaz del espectro depende de unos cuantos elementos fundamentales. Aunque no hay dos administraciones que gestionen de forma idéntica el espectro y la importancia relativa de estos elementos fundamentales puede depender del uso que haga una administración del espectro, estos elementos son esenciales para todas las soluciones. Para una mayor información sobre las funciones de la gestión del espectro debe consultarse el Manual sobre Gestión nacional del espectro de la UIT.</w:t>
      </w:r>
    </w:p>
    <w:p w14:paraId="6CA47030" w14:textId="77777777" w:rsidR="00F73D5B" w:rsidRPr="008B7A21" w:rsidRDefault="00F73D5B" w:rsidP="00F73D5B">
      <w:pPr>
        <w:pStyle w:val="Heading2"/>
        <w:rPr>
          <w:lang w:val="es-ES_tradnl"/>
        </w:rPr>
      </w:pPr>
      <w:bookmarkStart w:id="62" w:name="_Toc396187368"/>
      <w:bookmarkStart w:id="63" w:name="_Toc306276772"/>
      <w:bookmarkStart w:id="64" w:name="_Toc307921453"/>
      <w:bookmarkStart w:id="65" w:name="_Toc307922020"/>
      <w:bookmarkStart w:id="66" w:name="_Toc307922516"/>
      <w:bookmarkStart w:id="67" w:name="_Toc307991865"/>
      <w:bookmarkStart w:id="68" w:name="_Toc307993892"/>
      <w:bookmarkStart w:id="69" w:name="_Toc307995159"/>
      <w:bookmarkStart w:id="70" w:name="_Toc307996298"/>
      <w:bookmarkStart w:id="71" w:name="_Toc308010278"/>
      <w:bookmarkStart w:id="72" w:name="_Toc499562936"/>
      <w:bookmarkStart w:id="73" w:name="_Toc215835315"/>
      <w:r w:rsidRPr="008B7A21">
        <w:rPr>
          <w:lang w:val="es-ES_tradnl"/>
        </w:rPr>
        <w:t>1.3</w:t>
      </w:r>
      <w:r w:rsidRPr="008B7A21">
        <w:rPr>
          <w:lang w:val="es-ES_tradnl"/>
        </w:rPr>
        <w:tab/>
        <w:t>Metas y objetivos</w:t>
      </w:r>
      <w:bookmarkEnd w:id="62"/>
      <w:bookmarkEnd w:id="63"/>
      <w:bookmarkEnd w:id="64"/>
      <w:bookmarkEnd w:id="65"/>
      <w:bookmarkEnd w:id="66"/>
      <w:bookmarkEnd w:id="67"/>
      <w:bookmarkEnd w:id="68"/>
      <w:bookmarkEnd w:id="69"/>
      <w:bookmarkEnd w:id="70"/>
      <w:bookmarkEnd w:id="71"/>
      <w:bookmarkEnd w:id="72"/>
      <w:bookmarkEnd w:id="73"/>
    </w:p>
    <w:p w14:paraId="7B70E0E3" w14:textId="77777777" w:rsidR="00F73D5B" w:rsidRPr="008B7A21" w:rsidRDefault="00F73D5B" w:rsidP="00F73D5B">
      <w:pPr>
        <w:keepNext/>
        <w:keepLines/>
        <w:rPr>
          <w:lang w:val="es-ES_tradnl"/>
        </w:rPr>
      </w:pPr>
      <w:r w:rsidRPr="008B7A21">
        <w:rPr>
          <w:lang w:val="es-ES_tradnl"/>
        </w:rPr>
        <w:t>Por norma general, las metas y objetivos de un sistema de gestión del espectro son la de facilitar la utilización del espectro radioeléctrico que figura en el Reglamento de Radiocomunicaciones de la UIT y el interés nacional. El sistema de gestión del espectro debe asegurar que se proporciona el espectro adecuado a corto y largo plazo para que las organizaciones de servicios públicos puedan desempeñar su misión, para la correspondencia pública, para las comunicaciones comerciales del sector privado y para la radiodifusión de información al público. Asimismo muchas administraciones dan prioridad al espectro para las actividades de investigación y de aficionados.</w:t>
      </w:r>
    </w:p>
    <w:p w14:paraId="3470639F" w14:textId="77777777" w:rsidR="00F73D5B" w:rsidRPr="008B7A21" w:rsidRDefault="00F73D5B" w:rsidP="00F73D5B">
      <w:pPr>
        <w:rPr>
          <w:lang w:val="es-ES_tradnl"/>
        </w:rPr>
      </w:pPr>
      <w:r w:rsidRPr="008B7A21">
        <w:rPr>
          <w:lang w:val="es-ES_tradnl"/>
        </w:rPr>
        <w:t>Para lograr estos objetivos, el sistema de gestión del espectro debe suministrar un método ordenado de atribución de bandas de frecuencias, autorizando y registrando la utilización de las mismas, estableciendo reglamentos y normas para controlar el uso del espectro, resolviendo conflictos sobre el mismo y representando los intereses nacionales en el ámbito internacional.</w:t>
      </w:r>
    </w:p>
    <w:p w14:paraId="56AA87AD" w14:textId="77777777" w:rsidR="00F73D5B" w:rsidRPr="008B7A21" w:rsidRDefault="00F73D5B" w:rsidP="00F73D5B">
      <w:pPr>
        <w:pStyle w:val="Heading3"/>
        <w:rPr>
          <w:lang w:val="es-ES_tradnl"/>
        </w:rPr>
      </w:pPr>
      <w:bookmarkStart w:id="74" w:name="_Toc396187369"/>
      <w:bookmarkStart w:id="75" w:name="_Toc306276773"/>
      <w:bookmarkStart w:id="76" w:name="_Toc307921454"/>
      <w:bookmarkStart w:id="77" w:name="_Toc307922021"/>
      <w:bookmarkStart w:id="78" w:name="_Toc307922517"/>
      <w:bookmarkStart w:id="79" w:name="_Toc307991866"/>
      <w:bookmarkStart w:id="80" w:name="_Toc307993893"/>
      <w:bookmarkStart w:id="81" w:name="_Toc307995160"/>
      <w:bookmarkStart w:id="82" w:name="_Toc307996299"/>
      <w:bookmarkStart w:id="83" w:name="_Toc308010279"/>
      <w:bookmarkStart w:id="84" w:name="_Toc499562937"/>
      <w:bookmarkStart w:id="85" w:name="_Toc215835316"/>
      <w:r w:rsidRPr="008B7A21">
        <w:rPr>
          <w:lang w:val="es-ES_tradnl"/>
        </w:rPr>
        <w:t>1.3.1</w:t>
      </w:r>
      <w:r w:rsidRPr="008B7A21">
        <w:rPr>
          <w:lang w:val="es-ES_tradnl"/>
        </w:rPr>
        <w:tab/>
        <w:t>El derecho de las radiocomunicaciones</w:t>
      </w:r>
      <w:bookmarkEnd w:id="74"/>
      <w:bookmarkEnd w:id="75"/>
      <w:bookmarkEnd w:id="76"/>
      <w:bookmarkEnd w:id="77"/>
      <w:bookmarkEnd w:id="78"/>
      <w:bookmarkEnd w:id="79"/>
      <w:bookmarkEnd w:id="80"/>
      <w:bookmarkEnd w:id="81"/>
      <w:bookmarkEnd w:id="82"/>
      <w:bookmarkEnd w:id="83"/>
      <w:bookmarkEnd w:id="84"/>
      <w:bookmarkEnd w:id="85"/>
    </w:p>
    <w:p w14:paraId="6723EB89" w14:textId="77777777" w:rsidR="00F73D5B" w:rsidRPr="008B7A21" w:rsidRDefault="00F73D5B" w:rsidP="00F73D5B">
      <w:pPr>
        <w:rPr>
          <w:lang w:val="es-ES_tradnl"/>
        </w:rPr>
      </w:pPr>
      <w:r w:rsidRPr="008B7A21">
        <w:rPr>
          <w:lang w:val="es-ES_tradnl"/>
        </w:rPr>
        <w:t>La utilización y reglamentación de las radiocomunicaciones debe formar parte de la normativa de cada país. En las zonas donde no hay un uso generalizado de las radiocomunicaciones y donde la necesidad de gestión del espectro aún no es crucial, los estados deben prever el aumento de la utilización de las radiocomunicaciones y asegurar la existencia de la estructura jurídica adecuada.</w:t>
      </w:r>
    </w:p>
    <w:p w14:paraId="680FD1FD" w14:textId="77777777" w:rsidR="00F73D5B" w:rsidRPr="008B7A21" w:rsidRDefault="00F73D5B" w:rsidP="00F73D5B">
      <w:pPr>
        <w:pStyle w:val="Heading3"/>
        <w:rPr>
          <w:lang w:val="es-ES_tradnl"/>
        </w:rPr>
      </w:pPr>
      <w:bookmarkStart w:id="86" w:name="_Toc396187370"/>
      <w:bookmarkStart w:id="87" w:name="_Toc306276774"/>
      <w:bookmarkStart w:id="88" w:name="_Toc307921455"/>
      <w:bookmarkStart w:id="89" w:name="_Toc307922022"/>
      <w:bookmarkStart w:id="90" w:name="_Toc307922518"/>
      <w:bookmarkStart w:id="91" w:name="_Toc307991867"/>
      <w:bookmarkStart w:id="92" w:name="_Toc307993894"/>
      <w:bookmarkStart w:id="93" w:name="_Toc307995161"/>
      <w:bookmarkStart w:id="94" w:name="_Toc307996300"/>
      <w:bookmarkStart w:id="95" w:name="_Toc308010280"/>
      <w:bookmarkStart w:id="96" w:name="_Toc499562938"/>
      <w:bookmarkStart w:id="97" w:name="_Toc215835317"/>
      <w:r w:rsidRPr="008B7A21">
        <w:rPr>
          <w:lang w:val="es-ES_tradnl"/>
        </w:rPr>
        <w:t>1.3.2</w:t>
      </w:r>
      <w:r w:rsidRPr="008B7A21">
        <w:rPr>
          <w:lang w:val="es-ES_tradnl"/>
        </w:rPr>
        <w:tab/>
        <w:t>Cuadros nacionales de atribución de frecuencias</w:t>
      </w:r>
      <w:bookmarkEnd w:id="86"/>
      <w:bookmarkEnd w:id="87"/>
      <w:bookmarkEnd w:id="88"/>
      <w:bookmarkEnd w:id="89"/>
      <w:bookmarkEnd w:id="90"/>
      <w:bookmarkEnd w:id="91"/>
      <w:bookmarkEnd w:id="92"/>
      <w:bookmarkEnd w:id="93"/>
      <w:bookmarkEnd w:id="94"/>
      <w:bookmarkEnd w:id="95"/>
      <w:bookmarkEnd w:id="96"/>
      <w:bookmarkEnd w:id="97"/>
    </w:p>
    <w:p w14:paraId="41F7D457" w14:textId="77777777" w:rsidR="00F73D5B" w:rsidRPr="008B7A21" w:rsidRDefault="00F73D5B" w:rsidP="00F73D5B">
      <w:pPr>
        <w:rPr>
          <w:lang w:val="es-ES_tradnl"/>
        </w:rPr>
      </w:pPr>
      <w:r w:rsidRPr="008B7A21">
        <w:rPr>
          <w:lang w:val="es-ES_tradnl"/>
        </w:rPr>
        <w:t>Un Cuadro nacional de atribución de frecuencias es la base para un proceso eficaz de gestión del espectro. Proporciona un plan general para la utilización del espectro y la estructura básica para asegurar un empleo eficiente del espectro e impedir las interferencias de radiofrecuencia nacionales e internacionales entre servicios.</w:t>
      </w:r>
    </w:p>
    <w:p w14:paraId="5B99E9FE" w14:textId="77777777" w:rsidR="00F73D5B" w:rsidRPr="008B7A21" w:rsidRDefault="00F73D5B" w:rsidP="00F73D5B">
      <w:pPr>
        <w:pStyle w:val="Heading2"/>
        <w:rPr>
          <w:lang w:val="es-ES_tradnl"/>
        </w:rPr>
      </w:pPr>
      <w:bookmarkStart w:id="98" w:name="_Toc396187371"/>
      <w:bookmarkStart w:id="99" w:name="_Toc306276775"/>
      <w:bookmarkStart w:id="100" w:name="_Toc307921456"/>
      <w:bookmarkStart w:id="101" w:name="_Toc307922023"/>
      <w:bookmarkStart w:id="102" w:name="_Toc307922519"/>
      <w:bookmarkStart w:id="103" w:name="_Toc307991868"/>
      <w:bookmarkStart w:id="104" w:name="_Toc307993895"/>
      <w:bookmarkStart w:id="105" w:name="_Toc307995162"/>
      <w:bookmarkStart w:id="106" w:name="_Toc307996301"/>
      <w:bookmarkStart w:id="107" w:name="_Toc308010281"/>
      <w:bookmarkStart w:id="108" w:name="_Toc499562939"/>
      <w:bookmarkStart w:id="109" w:name="_Toc215835318"/>
      <w:r w:rsidRPr="008B7A21">
        <w:rPr>
          <w:lang w:val="es-ES_tradnl"/>
        </w:rPr>
        <w:t>1.4</w:t>
      </w:r>
      <w:r w:rsidRPr="008B7A21">
        <w:rPr>
          <w:lang w:val="es-ES_tradnl"/>
        </w:rPr>
        <w:tab/>
        <w:t>Estructura y coordinación</w:t>
      </w:r>
      <w:bookmarkEnd w:id="98"/>
      <w:bookmarkEnd w:id="99"/>
      <w:bookmarkEnd w:id="100"/>
      <w:bookmarkEnd w:id="101"/>
      <w:bookmarkEnd w:id="102"/>
      <w:bookmarkEnd w:id="103"/>
      <w:bookmarkEnd w:id="104"/>
      <w:bookmarkEnd w:id="105"/>
      <w:bookmarkEnd w:id="106"/>
      <w:bookmarkEnd w:id="107"/>
      <w:bookmarkEnd w:id="108"/>
      <w:bookmarkEnd w:id="109"/>
    </w:p>
    <w:p w14:paraId="3AB28DB1" w14:textId="77777777" w:rsidR="00F73D5B" w:rsidRPr="008B7A21" w:rsidRDefault="00F73D5B" w:rsidP="00F73D5B">
      <w:pPr>
        <w:rPr>
          <w:lang w:val="es-ES_tradnl"/>
        </w:rPr>
      </w:pPr>
      <w:r w:rsidRPr="008B7A21">
        <w:rPr>
          <w:lang w:val="es-ES_tradnl"/>
        </w:rPr>
        <w:t>Las actividades de gestión del espectro han de llevarlas a cabo un organismo gubernamental o una combinación de organismos gubernamentales y organizaciones del sector privado. ¿Qué organismo gubernamental u organizaciones van a encargarse de la gestión del espectro? es un tema que dependerá de la estructura del propio gobierno nacional y variará de un país a otro.</w:t>
      </w:r>
    </w:p>
    <w:p w14:paraId="6EF27FA9" w14:textId="77777777" w:rsidR="00F73D5B" w:rsidRPr="008B7A21" w:rsidRDefault="00F73D5B" w:rsidP="00F73D5B">
      <w:pPr>
        <w:pStyle w:val="Heading2"/>
        <w:rPr>
          <w:lang w:val="es-ES_tradnl"/>
        </w:rPr>
      </w:pPr>
      <w:bookmarkStart w:id="110" w:name="_Toc396187373"/>
      <w:bookmarkStart w:id="111" w:name="_Toc306276776"/>
      <w:bookmarkStart w:id="112" w:name="_Toc307921457"/>
      <w:bookmarkStart w:id="113" w:name="_Toc307922024"/>
      <w:bookmarkStart w:id="114" w:name="_Toc307922520"/>
      <w:bookmarkStart w:id="115" w:name="_Toc307991869"/>
      <w:bookmarkStart w:id="116" w:name="_Toc307993896"/>
      <w:bookmarkStart w:id="117" w:name="_Toc307995163"/>
      <w:bookmarkStart w:id="118" w:name="_Toc307996302"/>
      <w:bookmarkStart w:id="119" w:name="_Toc308010282"/>
      <w:bookmarkStart w:id="120" w:name="_Toc499562940"/>
      <w:bookmarkStart w:id="121" w:name="_Toc215835319"/>
      <w:r w:rsidRPr="008B7A21">
        <w:rPr>
          <w:lang w:val="es-ES_tradnl"/>
        </w:rPr>
        <w:t>1.5</w:t>
      </w:r>
      <w:r w:rsidRPr="008B7A21">
        <w:rPr>
          <w:lang w:val="es-ES_tradnl"/>
        </w:rPr>
        <w:tab/>
        <w:t>Responsabilidades funcionales</w:t>
      </w:r>
      <w:bookmarkEnd w:id="110"/>
      <w:bookmarkEnd w:id="111"/>
      <w:bookmarkEnd w:id="112"/>
      <w:bookmarkEnd w:id="113"/>
      <w:bookmarkEnd w:id="114"/>
      <w:bookmarkEnd w:id="115"/>
      <w:bookmarkEnd w:id="116"/>
      <w:bookmarkEnd w:id="117"/>
      <w:bookmarkEnd w:id="118"/>
      <w:bookmarkEnd w:id="119"/>
      <w:bookmarkEnd w:id="120"/>
      <w:bookmarkEnd w:id="121"/>
    </w:p>
    <w:p w14:paraId="681877B8" w14:textId="77777777" w:rsidR="00F73D5B" w:rsidRPr="008B7A21" w:rsidRDefault="00F73D5B" w:rsidP="00F73D5B">
      <w:pPr>
        <w:rPr>
          <w:lang w:val="es-ES_tradnl"/>
        </w:rPr>
      </w:pPr>
      <w:r w:rsidRPr="008B7A21">
        <w:rPr>
          <w:lang w:val="es-ES_tradnl"/>
        </w:rPr>
        <w:t>La estructura de gestión del espectro se articula lógicamente en torno a las funciones que debe llevar a cabo. Las funciones básicas son:</w:t>
      </w:r>
    </w:p>
    <w:p w14:paraId="0DB5BB78" w14:textId="77777777" w:rsidR="00F73D5B" w:rsidRPr="008B7A21" w:rsidRDefault="00F73D5B" w:rsidP="00F73D5B">
      <w:pPr>
        <w:pStyle w:val="enumlev1"/>
        <w:rPr>
          <w:lang w:val="es-ES_tradnl"/>
        </w:rPr>
      </w:pPr>
      <w:r w:rsidRPr="008B7A21">
        <w:rPr>
          <w:lang w:val="es-ES_tradnl"/>
        </w:rPr>
        <w:t>–</w:t>
      </w:r>
      <w:r w:rsidRPr="008B7A21">
        <w:rPr>
          <w:lang w:val="es-ES_tradnl"/>
        </w:rPr>
        <w:tab/>
        <w:t>política de gestión del espectro y planificación/atribución del espectro;</w:t>
      </w:r>
    </w:p>
    <w:p w14:paraId="0FE5941B" w14:textId="77777777" w:rsidR="00F73D5B" w:rsidRPr="008B7A21" w:rsidRDefault="00F73D5B" w:rsidP="00F73D5B">
      <w:pPr>
        <w:pStyle w:val="enumlev1"/>
        <w:rPr>
          <w:lang w:val="es-ES_tradnl"/>
        </w:rPr>
      </w:pPr>
      <w:r w:rsidRPr="008B7A21">
        <w:rPr>
          <w:lang w:val="es-ES_tradnl"/>
        </w:rPr>
        <w:t>–</w:t>
      </w:r>
      <w:r w:rsidRPr="008B7A21">
        <w:rPr>
          <w:lang w:val="es-ES_tradnl"/>
        </w:rPr>
        <w:tab/>
        <w:t>asignación de frecuencias y licencias;</w:t>
      </w:r>
    </w:p>
    <w:p w14:paraId="756F9B69" w14:textId="77777777" w:rsidR="00F73D5B" w:rsidRPr="008B7A21" w:rsidRDefault="00F73D5B" w:rsidP="00F73D5B">
      <w:pPr>
        <w:pStyle w:val="enumlev1"/>
        <w:rPr>
          <w:lang w:val="es-ES_tradnl"/>
        </w:rPr>
      </w:pPr>
      <w:r w:rsidRPr="008B7A21">
        <w:rPr>
          <w:lang w:val="es-ES_tradnl"/>
        </w:rPr>
        <w:t>–</w:t>
      </w:r>
      <w:r w:rsidRPr="008B7A21">
        <w:rPr>
          <w:lang w:val="es-ES_tradnl"/>
        </w:rPr>
        <w:tab/>
        <w:t>normas, especificaciones y autorización de equipos;</w:t>
      </w:r>
    </w:p>
    <w:p w14:paraId="55A9EF8C" w14:textId="77777777" w:rsidR="00F73D5B" w:rsidRPr="008B7A21" w:rsidRDefault="00F73D5B" w:rsidP="00F73D5B">
      <w:pPr>
        <w:pStyle w:val="enumlev1"/>
        <w:rPr>
          <w:lang w:val="es-ES_tradnl"/>
        </w:rPr>
      </w:pPr>
      <w:r w:rsidRPr="008B7A21">
        <w:rPr>
          <w:lang w:val="es-ES_tradnl"/>
        </w:rPr>
        <w:t>–</w:t>
      </w:r>
      <w:r w:rsidRPr="008B7A21">
        <w:rPr>
          <w:lang w:val="es-ES_tradnl"/>
        </w:rPr>
        <w:tab/>
        <w:t>control del espectro (inspección y comprobación técnica);</w:t>
      </w:r>
    </w:p>
    <w:p w14:paraId="7357B6FB" w14:textId="77777777" w:rsidR="00F73D5B" w:rsidRPr="008B7A21" w:rsidRDefault="00F73D5B" w:rsidP="00F73D5B">
      <w:pPr>
        <w:pStyle w:val="enumlev1"/>
        <w:rPr>
          <w:lang w:val="es-ES_tradnl"/>
        </w:rPr>
      </w:pPr>
      <w:r w:rsidRPr="008B7A21">
        <w:rPr>
          <w:lang w:val="es-ES_tradnl"/>
        </w:rPr>
        <w:t>–</w:t>
      </w:r>
      <w:r w:rsidRPr="008B7A21">
        <w:rPr>
          <w:lang w:val="es-ES_tradnl"/>
        </w:rPr>
        <w:tab/>
        <w:t>cooperación internacional;</w:t>
      </w:r>
    </w:p>
    <w:p w14:paraId="0713B552" w14:textId="77777777" w:rsidR="00F73D5B" w:rsidRPr="008B7A21" w:rsidRDefault="00F73D5B" w:rsidP="00F73D5B">
      <w:pPr>
        <w:pStyle w:val="enumlev1"/>
        <w:rPr>
          <w:lang w:val="es-ES_tradnl"/>
        </w:rPr>
      </w:pPr>
      <w:r w:rsidRPr="008B7A21">
        <w:rPr>
          <w:lang w:val="es-ES_tradnl"/>
        </w:rPr>
        <w:t>–</w:t>
      </w:r>
      <w:r w:rsidRPr="008B7A21">
        <w:rPr>
          <w:lang w:val="es-ES_tradnl"/>
        </w:rPr>
        <w:tab/>
        <w:t>coordinación y consulta;</w:t>
      </w:r>
    </w:p>
    <w:p w14:paraId="1A1FC144" w14:textId="77777777" w:rsidR="00F73D5B" w:rsidRPr="008B7A21" w:rsidRDefault="00F73D5B" w:rsidP="00F73D5B">
      <w:pPr>
        <w:pStyle w:val="enumlev1"/>
        <w:rPr>
          <w:lang w:val="es-ES_tradnl"/>
        </w:rPr>
      </w:pPr>
      <w:r w:rsidRPr="008B7A21">
        <w:rPr>
          <w:lang w:val="es-ES_tradnl"/>
        </w:rPr>
        <w:t>–</w:t>
      </w:r>
      <w:r w:rsidRPr="008B7A21">
        <w:rPr>
          <w:lang w:val="es-ES_tradnl"/>
        </w:rPr>
        <w:tab/>
        <w:t>apoyo técnico;</w:t>
      </w:r>
    </w:p>
    <w:p w14:paraId="4F460334" w14:textId="77777777" w:rsidR="00F73D5B" w:rsidRPr="008B7A21" w:rsidRDefault="00F73D5B" w:rsidP="00F73D5B">
      <w:pPr>
        <w:pStyle w:val="enumlev1"/>
        <w:rPr>
          <w:lang w:val="es-ES_tradnl"/>
        </w:rPr>
      </w:pPr>
      <w:r w:rsidRPr="008B7A21">
        <w:rPr>
          <w:lang w:val="es-ES_tradnl"/>
        </w:rPr>
        <w:t>–</w:t>
      </w:r>
      <w:r w:rsidRPr="008B7A21">
        <w:rPr>
          <w:lang w:val="es-ES_tradnl"/>
        </w:rPr>
        <w:tab/>
        <w:t>apoyo informático;</w:t>
      </w:r>
    </w:p>
    <w:p w14:paraId="4BF5AFE4" w14:textId="77777777" w:rsidR="00F73D5B" w:rsidRPr="008B7A21" w:rsidRDefault="00F73D5B" w:rsidP="00F73D5B">
      <w:pPr>
        <w:pStyle w:val="enumlev1"/>
        <w:rPr>
          <w:lang w:val="es-ES_tradnl"/>
        </w:rPr>
      </w:pPr>
      <w:r w:rsidRPr="008B7A21">
        <w:rPr>
          <w:lang w:val="es-ES_tradnl"/>
        </w:rPr>
        <w:t>–</w:t>
      </w:r>
      <w:r w:rsidRPr="008B7A21">
        <w:rPr>
          <w:lang w:val="es-ES_tradnl"/>
        </w:rPr>
        <w:tab/>
        <w:t>apoyo administrativo y jurídico.</w:t>
      </w:r>
    </w:p>
    <w:p w14:paraId="2B699B0A" w14:textId="77777777" w:rsidR="00F73D5B" w:rsidRPr="008B7A21" w:rsidRDefault="00F73D5B" w:rsidP="00F73D5B">
      <w:pPr>
        <w:rPr>
          <w:lang w:val="es-ES_tradnl"/>
        </w:rPr>
      </w:pPr>
      <w:r w:rsidRPr="008B7A21">
        <w:rPr>
          <w:lang w:val="es-ES_tradnl"/>
        </w:rPr>
        <w:t>Las funciones de apoyo administrativo y jurídico deberán formar parte de la organización gestora del espectro, pero, al ser comunes a todas las organizaciones, no es necesario examinarlas en relación con la gestión del espectro.</w:t>
      </w:r>
    </w:p>
    <w:p w14:paraId="0D6DA6FA" w14:textId="77777777" w:rsidR="00F73D5B" w:rsidRPr="008B7A21" w:rsidRDefault="00F73D5B" w:rsidP="00F73D5B">
      <w:pPr>
        <w:pStyle w:val="Heading3"/>
        <w:rPr>
          <w:lang w:val="es-ES_tradnl"/>
        </w:rPr>
      </w:pPr>
      <w:bookmarkStart w:id="122" w:name="_Toc396187374"/>
      <w:bookmarkStart w:id="123" w:name="_Toc306276777"/>
      <w:bookmarkStart w:id="124" w:name="_Toc307921458"/>
      <w:bookmarkStart w:id="125" w:name="_Toc307922025"/>
      <w:bookmarkStart w:id="126" w:name="_Toc307922521"/>
      <w:bookmarkStart w:id="127" w:name="_Toc307991870"/>
      <w:bookmarkStart w:id="128" w:name="_Toc307993897"/>
      <w:bookmarkStart w:id="129" w:name="_Toc307995164"/>
      <w:bookmarkStart w:id="130" w:name="_Toc307996303"/>
      <w:bookmarkStart w:id="131" w:name="_Toc308010283"/>
      <w:bookmarkStart w:id="132" w:name="_Toc499562941"/>
      <w:bookmarkStart w:id="133" w:name="_Toc526166718"/>
      <w:bookmarkStart w:id="134" w:name="_Toc215835320"/>
      <w:r w:rsidRPr="008B7A21">
        <w:rPr>
          <w:lang w:val="es-ES_tradnl"/>
        </w:rPr>
        <w:t>1.5.1</w:t>
      </w:r>
      <w:r w:rsidRPr="008B7A21">
        <w:rPr>
          <w:lang w:val="es-ES_tradnl"/>
        </w:rPr>
        <w:tab/>
        <w:t>Política de gestión del espectro y planificación/atribución del espectro</w:t>
      </w:r>
      <w:bookmarkEnd w:id="122"/>
      <w:bookmarkEnd w:id="123"/>
      <w:bookmarkEnd w:id="124"/>
      <w:bookmarkEnd w:id="125"/>
      <w:bookmarkEnd w:id="126"/>
      <w:bookmarkEnd w:id="127"/>
      <w:bookmarkEnd w:id="128"/>
      <w:bookmarkEnd w:id="129"/>
      <w:bookmarkEnd w:id="130"/>
      <w:bookmarkEnd w:id="131"/>
      <w:bookmarkEnd w:id="132"/>
      <w:bookmarkEnd w:id="133"/>
      <w:bookmarkEnd w:id="134"/>
    </w:p>
    <w:p w14:paraId="42AB7E37" w14:textId="77777777" w:rsidR="00F73D5B" w:rsidRPr="008B7A21" w:rsidRDefault="00F73D5B" w:rsidP="00F73D5B">
      <w:pPr>
        <w:rPr>
          <w:lang w:val="es-ES_tradnl"/>
        </w:rPr>
      </w:pPr>
      <w:r w:rsidRPr="008B7A21">
        <w:rPr>
          <w:lang w:val="es-ES_tradnl"/>
        </w:rPr>
        <w:t>La organización nacional de gestión del espectro debe crear y aplicar políticas y planes de utilización del espectro radioeléctrico, teniendo en cuenta tanto los adelantos tecnológicos como la realidad social, económica y política. La política nacional de radiocomunicaciones se asocia normalmente con la elaboración de reglamentos, porque éstos suelen ser la consecuencia de la adopción de políticas y planes. En consecuencia, una de las funciones primordiales de la unidad de política y planificación suele ser el estudio de las necesidades del país, actuales y futuras, en materia de radiocomunicaciones, así como la adopción de políticas que garanticen la mejor combinación posible de sistemas de radiocomunicaciones y de comunicaciones inalámbricas para satisfacer dichas necesidades.</w:t>
      </w:r>
    </w:p>
    <w:p w14:paraId="4815E310" w14:textId="77777777" w:rsidR="00F73D5B" w:rsidRPr="008B7A21" w:rsidRDefault="00F73D5B" w:rsidP="00F73D5B">
      <w:pPr>
        <w:rPr>
          <w:lang w:val="es-ES_tradnl"/>
        </w:rPr>
      </w:pPr>
      <w:r w:rsidRPr="008B7A21">
        <w:rPr>
          <w:lang w:val="es-ES_tradnl"/>
        </w:rPr>
        <w:t>El principal resultado de la actividad planificadora y política es la atribución de bandas de frecuencias a los diferentes servicios de radiocomunicaciones. Asociar bandas de frecuencia a usos específicos constituye el primer paso para promover la utilización del espectro. Hay otras consideraciones que derivan de las decisiones de atribución tales como las normas, los criterios de compartición, los planes de disposición de canales, etc.</w:t>
      </w:r>
    </w:p>
    <w:p w14:paraId="0AB4C9E9" w14:textId="77777777" w:rsidR="00F73D5B" w:rsidRPr="008B7A21" w:rsidRDefault="00F73D5B" w:rsidP="00F73D5B">
      <w:pPr>
        <w:pStyle w:val="Heading3"/>
        <w:rPr>
          <w:lang w:val="es-ES_tradnl"/>
        </w:rPr>
      </w:pPr>
      <w:bookmarkStart w:id="135" w:name="_Toc396187375"/>
      <w:bookmarkStart w:id="136" w:name="_Toc306276778"/>
      <w:bookmarkStart w:id="137" w:name="_Toc307921459"/>
      <w:bookmarkStart w:id="138" w:name="_Toc307922026"/>
      <w:bookmarkStart w:id="139" w:name="_Toc307922522"/>
      <w:bookmarkStart w:id="140" w:name="_Toc307991871"/>
      <w:bookmarkStart w:id="141" w:name="_Toc307993898"/>
      <w:bookmarkStart w:id="142" w:name="_Toc307995165"/>
      <w:bookmarkStart w:id="143" w:name="_Toc307996304"/>
      <w:bookmarkStart w:id="144" w:name="_Toc308010284"/>
      <w:bookmarkStart w:id="145" w:name="_Toc499562942"/>
      <w:bookmarkStart w:id="146" w:name="_Toc526166719"/>
      <w:bookmarkStart w:id="147" w:name="_Toc215835321"/>
      <w:r w:rsidRPr="008B7A21">
        <w:rPr>
          <w:lang w:val="es-ES_tradnl"/>
        </w:rPr>
        <w:t>1.5.2</w:t>
      </w:r>
      <w:r w:rsidRPr="008B7A21">
        <w:rPr>
          <w:lang w:val="es-ES_tradnl"/>
        </w:rPr>
        <w:tab/>
        <w:t>Asignación de frecuencias y licencias</w:t>
      </w:r>
      <w:bookmarkEnd w:id="135"/>
      <w:bookmarkEnd w:id="136"/>
      <w:bookmarkEnd w:id="137"/>
      <w:bookmarkEnd w:id="138"/>
      <w:bookmarkEnd w:id="139"/>
      <w:bookmarkEnd w:id="140"/>
      <w:bookmarkEnd w:id="141"/>
      <w:bookmarkEnd w:id="142"/>
      <w:bookmarkEnd w:id="143"/>
      <w:bookmarkEnd w:id="144"/>
      <w:bookmarkEnd w:id="145"/>
      <w:bookmarkEnd w:id="146"/>
      <w:bookmarkEnd w:id="147"/>
    </w:p>
    <w:p w14:paraId="54B2B51A" w14:textId="77777777" w:rsidR="00F73D5B" w:rsidRPr="008B7A21" w:rsidRDefault="00F73D5B" w:rsidP="00F73D5B">
      <w:pPr>
        <w:rPr>
          <w:lang w:val="es-ES_tradnl"/>
        </w:rPr>
      </w:pPr>
      <w:r w:rsidRPr="008B7A21">
        <w:rPr>
          <w:lang w:val="es-ES_tradnl"/>
        </w:rPr>
        <w:t>Facilitar o asignar frecuencias representa el eje de la actividad diaria de la organización de gestión del espectro. La unidad de asignación de frecuencias lleva a cabo o coordina la ejecución de los análisis necesarios para escoger las frecuencias más adecuadas para los sistemas de radiocomunicaciones. También coordina todas las asignaciones proyectadas con relación a las existentes.</w:t>
      </w:r>
    </w:p>
    <w:p w14:paraId="66DA8EE5" w14:textId="77777777" w:rsidR="00F73D5B" w:rsidRPr="008B7A21" w:rsidRDefault="00F73D5B" w:rsidP="00F73D5B">
      <w:pPr>
        <w:pStyle w:val="Heading3"/>
        <w:rPr>
          <w:lang w:val="es-ES_tradnl"/>
        </w:rPr>
      </w:pPr>
      <w:bookmarkStart w:id="148" w:name="_Toc396187378"/>
      <w:bookmarkStart w:id="149" w:name="_Toc306276779"/>
      <w:bookmarkStart w:id="150" w:name="_Toc307921460"/>
      <w:bookmarkStart w:id="151" w:name="_Toc307922027"/>
      <w:bookmarkStart w:id="152" w:name="_Toc307922523"/>
      <w:bookmarkStart w:id="153" w:name="_Toc307991872"/>
      <w:bookmarkStart w:id="154" w:name="_Toc307993899"/>
      <w:bookmarkStart w:id="155" w:name="_Toc307995166"/>
      <w:bookmarkStart w:id="156" w:name="_Toc307996305"/>
      <w:bookmarkStart w:id="157" w:name="_Toc308010285"/>
      <w:bookmarkStart w:id="158" w:name="_Toc499562943"/>
      <w:bookmarkStart w:id="159" w:name="_Toc215835322"/>
      <w:r w:rsidRPr="008B7A21">
        <w:rPr>
          <w:lang w:val="es-ES_tradnl"/>
        </w:rPr>
        <w:t>1.5.3</w:t>
      </w:r>
      <w:r w:rsidRPr="008B7A21">
        <w:rPr>
          <w:lang w:val="es-ES_tradnl"/>
        </w:rPr>
        <w:tab/>
        <w:t>Cooperación internacional</w:t>
      </w:r>
      <w:bookmarkEnd w:id="148"/>
      <w:bookmarkEnd w:id="149"/>
      <w:bookmarkEnd w:id="150"/>
      <w:bookmarkEnd w:id="151"/>
      <w:bookmarkEnd w:id="152"/>
      <w:bookmarkEnd w:id="153"/>
      <w:bookmarkEnd w:id="154"/>
      <w:bookmarkEnd w:id="155"/>
      <w:bookmarkEnd w:id="156"/>
      <w:bookmarkEnd w:id="157"/>
      <w:bookmarkEnd w:id="158"/>
      <w:bookmarkEnd w:id="159"/>
    </w:p>
    <w:p w14:paraId="69A8C8F8" w14:textId="77777777" w:rsidR="00F73D5B" w:rsidRPr="008B7A21" w:rsidRDefault="00F73D5B" w:rsidP="00F73D5B">
      <w:pPr>
        <w:rPr>
          <w:lang w:val="es-ES_tradnl"/>
        </w:rPr>
      </w:pPr>
      <w:r w:rsidRPr="008B7A21">
        <w:rPr>
          <w:lang w:val="es-ES_tradnl"/>
        </w:rPr>
        <w:t>La importancia de las radiocomunicaciones trasciende las fronteras nacionales. Los equipos de navegación están normalizados para permitir el desplazamiento por todo el mundo. Los sistemas por satélite facilitan las comunicaciones mundiales. Las fronteras políticas no constituyen un obstáculo para la propagación de las ondas radioeléctricas. Los fabricantes de sistemas de telecomunicaciones producen equipos para muchos mercados y, cuantos más mercados fomenten características comunes, más sencillo y económico será el proceso de producción. Por todas estas razones, es importante que el gestor nacional del espectro pueda participar en foros internacionales. Las actividades internacionales comprenden las realizadas en la UIT, en otros organismos internacionales y las discusiones bilaterales entre países vecinos relacionadas con lo dispuesto en el Reglamento de Radiocomunicaciones de la UIT.</w:t>
      </w:r>
    </w:p>
    <w:p w14:paraId="0B32D3E0" w14:textId="77777777" w:rsidR="00F73D5B" w:rsidRPr="008B7A21" w:rsidRDefault="00F73D5B" w:rsidP="00F73D5B">
      <w:pPr>
        <w:pStyle w:val="Heading3"/>
        <w:rPr>
          <w:lang w:val="es-ES_tradnl"/>
        </w:rPr>
      </w:pPr>
      <w:bookmarkStart w:id="160" w:name="_Toc396187379"/>
      <w:bookmarkStart w:id="161" w:name="_Toc306276780"/>
      <w:bookmarkStart w:id="162" w:name="_Toc307921461"/>
      <w:bookmarkStart w:id="163" w:name="_Toc307922028"/>
      <w:bookmarkStart w:id="164" w:name="_Toc307922524"/>
      <w:bookmarkStart w:id="165" w:name="_Toc307991873"/>
      <w:bookmarkStart w:id="166" w:name="_Toc307993900"/>
      <w:bookmarkStart w:id="167" w:name="_Toc307995167"/>
      <w:bookmarkStart w:id="168" w:name="_Toc307996306"/>
      <w:bookmarkStart w:id="169" w:name="_Toc308010286"/>
      <w:bookmarkStart w:id="170" w:name="_Toc499562944"/>
      <w:bookmarkStart w:id="171" w:name="_Toc215835323"/>
      <w:r w:rsidRPr="008B7A21">
        <w:rPr>
          <w:lang w:val="es-ES_tradnl"/>
        </w:rPr>
        <w:t>1.5.4</w:t>
      </w:r>
      <w:r w:rsidRPr="008B7A21">
        <w:rPr>
          <w:lang w:val="es-ES_tradnl"/>
        </w:rPr>
        <w:tab/>
        <w:t>Coordinación y consulta</w:t>
      </w:r>
      <w:bookmarkEnd w:id="160"/>
      <w:bookmarkEnd w:id="161"/>
      <w:bookmarkEnd w:id="162"/>
      <w:bookmarkEnd w:id="163"/>
      <w:bookmarkEnd w:id="164"/>
      <w:bookmarkEnd w:id="165"/>
      <w:bookmarkEnd w:id="166"/>
      <w:bookmarkEnd w:id="167"/>
      <w:bookmarkEnd w:id="168"/>
      <w:bookmarkEnd w:id="169"/>
      <w:bookmarkEnd w:id="170"/>
      <w:bookmarkEnd w:id="171"/>
    </w:p>
    <w:p w14:paraId="37F6DC91" w14:textId="77777777" w:rsidR="00F73D5B" w:rsidRPr="008B7A21" w:rsidRDefault="00F73D5B" w:rsidP="00F73D5B">
      <w:pPr>
        <w:rPr>
          <w:lang w:val="es-ES_tradnl"/>
        </w:rPr>
      </w:pPr>
      <w:r w:rsidRPr="008B7A21">
        <w:rPr>
          <w:lang w:val="es-ES_tradnl"/>
        </w:rPr>
        <w:t>Para ser eficaz, la organización gestora del espectro debe comunicarse y consultar con su entorno natural, es decir, los usuarios de las radiocomunicaciones integrados por las empresas, la industria de las comunicaciones, los usuarios gubernamentales y el público en general. Debe difundir la información sobre políticas, reglas y prácticas de la administración y facilitar mecanismos de reacción que permitan evaluar los resultados de las mismas.</w:t>
      </w:r>
    </w:p>
    <w:p w14:paraId="14787641" w14:textId="77777777" w:rsidR="00F73D5B" w:rsidRPr="008B7A21" w:rsidRDefault="00F73D5B" w:rsidP="00F73D5B">
      <w:pPr>
        <w:pStyle w:val="Heading3"/>
        <w:keepNext w:val="0"/>
        <w:keepLines w:val="0"/>
        <w:rPr>
          <w:lang w:val="es-ES_tradnl"/>
        </w:rPr>
      </w:pPr>
      <w:bookmarkStart w:id="172" w:name="_Toc396187380"/>
      <w:bookmarkStart w:id="173" w:name="_Toc306276781"/>
      <w:bookmarkStart w:id="174" w:name="_Toc307921462"/>
      <w:bookmarkStart w:id="175" w:name="_Toc307922029"/>
      <w:bookmarkStart w:id="176" w:name="_Toc307922525"/>
      <w:bookmarkStart w:id="177" w:name="_Toc307991874"/>
      <w:bookmarkStart w:id="178" w:name="_Toc307993901"/>
      <w:bookmarkStart w:id="179" w:name="_Toc307995168"/>
      <w:bookmarkStart w:id="180" w:name="_Toc307996307"/>
      <w:bookmarkStart w:id="181" w:name="_Toc308010287"/>
      <w:bookmarkStart w:id="182" w:name="_Toc499562945"/>
      <w:bookmarkStart w:id="183" w:name="_Toc215835324"/>
      <w:r w:rsidRPr="008B7A21">
        <w:rPr>
          <w:lang w:val="es-ES_tradnl"/>
        </w:rPr>
        <w:t>1.5.5</w:t>
      </w:r>
      <w:r w:rsidRPr="008B7A21">
        <w:rPr>
          <w:lang w:val="es-ES_tradnl"/>
        </w:rPr>
        <w:tab/>
        <w:t>Apoyo técnico</w:t>
      </w:r>
      <w:bookmarkEnd w:id="172"/>
      <w:bookmarkEnd w:id="173"/>
      <w:bookmarkEnd w:id="174"/>
      <w:bookmarkEnd w:id="175"/>
      <w:bookmarkEnd w:id="176"/>
      <w:bookmarkEnd w:id="177"/>
      <w:bookmarkEnd w:id="178"/>
      <w:bookmarkEnd w:id="179"/>
      <w:bookmarkEnd w:id="180"/>
      <w:bookmarkEnd w:id="181"/>
      <w:bookmarkEnd w:id="182"/>
      <w:bookmarkEnd w:id="183"/>
    </w:p>
    <w:p w14:paraId="6C5D4B57" w14:textId="77777777" w:rsidR="00F73D5B" w:rsidRPr="008B7A21" w:rsidRDefault="00F73D5B" w:rsidP="00F73D5B">
      <w:pPr>
        <w:rPr>
          <w:lang w:val="es-ES_tradnl"/>
        </w:rPr>
      </w:pPr>
      <w:r w:rsidRPr="008B7A21">
        <w:rPr>
          <w:lang w:val="es-ES_tradnl"/>
        </w:rPr>
        <w:t>Puesto que la gestión del espectro comporta la adopción de decisiones en el ámbito de la tecnología, se necesita apoyo técnico para evaluar adecuadamente la información, las capacidades y las opciones involucradas. El apoyo técnico puede ayudar al gestor del espectro de muchas maneras. Por ejemplo, las situaciones de interferencia pueden a menudo evitarse o resolverse por medio del análisis técnico, pueden determinarse las especificaciones de los equipos y las normas necesarias para la compatibilidad entre los sistemas o pueden asignarse las frecuencias utilizando modelos o métodos ideados por los servicios de ingeniería. Asimismo, la resolución de muchos temas relativos a la atribución del espectro puede facilitarse por medio del análisis de la utilización del espectro y de las necesidades futuras.</w:t>
      </w:r>
    </w:p>
    <w:p w14:paraId="52203D7E" w14:textId="77777777" w:rsidR="00F73D5B" w:rsidRPr="008B7A21" w:rsidRDefault="00F73D5B" w:rsidP="00F73D5B">
      <w:pPr>
        <w:pStyle w:val="Heading3"/>
        <w:rPr>
          <w:lang w:val="es-ES_tradnl"/>
        </w:rPr>
      </w:pPr>
      <w:bookmarkStart w:id="184" w:name="_Toc396187381"/>
      <w:bookmarkStart w:id="185" w:name="_Toc306276782"/>
      <w:bookmarkStart w:id="186" w:name="_Toc307921463"/>
      <w:bookmarkStart w:id="187" w:name="_Toc307922030"/>
      <w:bookmarkStart w:id="188" w:name="_Toc307922526"/>
      <w:bookmarkStart w:id="189" w:name="_Toc307991875"/>
      <w:bookmarkStart w:id="190" w:name="_Toc307993902"/>
      <w:bookmarkStart w:id="191" w:name="_Toc307995169"/>
      <w:bookmarkStart w:id="192" w:name="_Toc307996308"/>
      <w:bookmarkStart w:id="193" w:name="_Toc308010288"/>
      <w:bookmarkStart w:id="194" w:name="_Toc499562946"/>
      <w:bookmarkStart w:id="195" w:name="_Toc215835325"/>
      <w:r w:rsidRPr="008B7A21">
        <w:rPr>
          <w:lang w:val="es-ES_tradnl"/>
        </w:rPr>
        <w:t>1.5.6</w:t>
      </w:r>
      <w:r w:rsidRPr="008B7A21">
        <w:rPr>
          <w:lang w:val="es-ES_tradnl"/>
        </w:rPr>
        <w:tab/>
        <w:t>Apoyo informático</w:t>
      </w:r>
      <w:bookmarkEnd w:id="184"/>
      <w:bookmarkEnd w:id="185"/>
      <w:bookmarkEnd w:id="186"/>
      <w:bookmarkEnd w:id="187"/>
      <w:bookmarkEnd w:id="188"/>
      <w:bookmarkEnd w:id="189"/>
      <w:bookmarkEnd w:id="190"/>
      <w:bookmarkEnd w:id="191"/>
      <w:bookmarkEnd w:id="192"/>
      <w:bookmarkEnd w:id="193"/>
      <w:bookmarkEnd w:id="194"/>
      <w:bookmarkEnd w:id="195"/>
    </w:p>
    <w:p w14:paraId="39E3F266" w14:textId="77777777" w:rsidR="00F73D5B" w:rsidRPr="008B7A21" w:rsidRDefault="00F73D5B" w:rsidP="00F73D5B">
      <w:pPr>
        <w:rPr>
          <w:lang w:val="es-ES_tradnl"/>
        </w:rPr>
      </w:pPr>
      <w:r w:rsidRPr="008B7A21">
        <w:rPr>
          <w:lang w:val="es-ES_tradnl"/>
        </w:rPr>
        <w:t>El grado en el que los dispositivos de apoyo informático están disponibles para su utilización y son realmente utilizados por la autoridad de gestión del espectro depende de los recursos, prioridades y requisitos particulares del país en concreto. El apoyo informático puede ir desde los registros de licencias hasta cálculos de ingeniería complejos y puede incluir el desarrollo, puesta en servicio y mantenimiento de dispositivos de apoyo para casi todas las actividades de gestión del espectro, incluyendo las propias tareas de registro, la elaboración de previsiones y la gestión financiera asociada a la concesión de licencias.</w:t>
      </w:r>
    </w:p>
    <w:p w14:paraId="78D714E8" w14:textId="77777777" w:rsidR="00F73D5B" w:rsidRPr="008B7A21" w:rsidRDefault="00F73D5B" w:rsidP="00F73D5B">
      <w:pPr>
        <w:pStyle w:val="Heading2"/>
        <w:rPr>
          <w:lang w:val="es-ES_tradnl"/>
        </w:rPr>
      </w:pPr>
      <w:bookmarkStart w:id="196" w:name="_Toc396187382"/>
      <w:bookmarkStart w:id="197" w:name="_Toc306276783"/>
      <w:bookmarkStart w:id="198" w:name="_Toc307921464"/>
      <w:bookmarkStart w:id="199" w:name="_Toc307922031"/>
      <w:bookmarkStart w:id="200" w:name="_Toc307922527"/>
      <w:bookmarkStart w:id="201" w:name="_Toc307991876"/>
      <w:bookmarkStart w:id="202" w:name="_Toc307993903"/>
      <w:bookmarkStart w:id="203" w:name="_Toc307995170"/>
      <w:bookmarkStart w:id="204" w:name="_Toc307996309"/>
      <w:bookmarkStart w:id="205" w:name="_Toc308010289"/>
      <w:bookmarkStart w:id="206" w:name="_Toc499562947"/>
      <w:bookmarkStart w:id="207" w:name="_Toc215835326"/>
      <w:r w:rsidRPr="008B7A21">
        <w:rPr>
          <w:lang w:val="es-ES_tradnl"/>
        </w:rPr>
        <w:t>1.6</w:t>
      </w:r>
      <w:r w:rsidRPr="008B7A21">
        <w:rPr>
          <w:lang w:val="es-ES_tradnl"/>
        </w:rPr>
        <w:tab/>
        <w:t>Características de las funciones de gestión del espectro</w:t>
      </w:r>
      <w:bookmarkEnd w:id="196"/>
      <w:bookmarkEnd w:id="197"/>
      <w:bookmarkEnd w:id="198"/>
      <w:bookmarkEnd w:id="199"/>
      <w:bookmarkEnd w:id="200"/>
      <w:bookmarkEnd w:id="201"/>
      <w:bookmarkEnd w:id="202"/>
      <w:bookmarkEnd w:id="203"/>
      <w:bookmarkEnd w:id="204"/>
      <w:bookmarkEnd w:id="205"/>
      <w:bookmarkEnd w:id="206"/>
      <w:bookmarkEnd w:id="207"/>
    </w:p>
    <w:p w14:paraId="6E4A1106" w14:textId="77777777" w:rsidR="00F73D5B" w:rsidRPr="008B7A21" w:rsidRDefault="00F73D5B" w:rsidP="00F73D5B">
      <w:pPr>
        <w:rPr>
          <w:lang w:val="es-ES_tradnl"/>
        </w:rPr>
      </w:pPr>
      <w:r w:rsidRPr="008B7A21">
        <w:rPr>
          <w:lang w:val="es-ES_tradnl"/>
        </w:rPr>
        <w:t>Las funciones de gestión del espectro antes descritas deben establecerse para crear un sistema eficaz de gestión del espectro. Sin embargo, no todos los aspectos de cada una de las funciones debe llevarlos a cabo la organización de gestión nacional del espectro. La autoridad política debe, sin embargo, controlar la organización de la gestión nacional del espectro. En los siguientes Capítulos se describen los medios en los que puede basarse la gestión del espectro y los métodos mediante los cuales diversos enfoques económicos pueden mejorar la eficacia en su utilización, los métodos para evaluar los beneficios de utilización del espectro y el empleo de otras organizaciones para apoyar y/o proporcionar parte o todas las funciones específicas de gestión del espectro.</w:t>
      </w:r>
    </w:p>
    <w:p w14:paraId="2A7C000D" w14:textId="77777777" w:rsidR="00F73D5B" w:rsidRPr="008B7A21" w:rsidRDefault="00F73D5B" w:rsidP="00F73D5B">
      <w:pPr>
        <w:rPr>
          <w:lang w:val="es-ES_tradnl"/>
        </w:rPr>
      </w:pPr>
    </w:p>
    <w:p w14:paraId="721AC9B6" w14:textId="77777777" w:rsidR="00F73D5B" w:rsidRPr="008B7A21" w:rsidRDefault="00F73D5B" w:rsidP="00F73D5B">
      <w:pPr>
        <w:rPr>
          <w:lang w:val="es-ES_tradnl"/>
        </w:rPr>
      </w:pPr>
    </w:p>
    <w:p w14:paraId="08B946E7" w14:textId="77777777" w:rsidR="00F73D5B" w:rsidRPr="008B7A21" w:rsidRDefault="00F73D5B" w:rsidP="00F73D5B">
      <w:pPr>
        <w:pStyle w:val="ChapNo"/>
        <w:rPr>
          <w:lang w:val="es-ES_tradnl"/>
        </w:rPr>
      </w:pPr>
      <w:bookmarkStart w:id="208" w:name="_Toc306276784"/>
      <w:bookmarkStart w:id="209" w:name="_Toc307993904"/>
      <w:bookmarkStart w:id="210" w:name="_Toc307995171"/>
      <w:bookmarkStart w:id="211" w:name="_Toc307996310"/>
      <w:bookmarkStart w:id="212" w:name="_Toc308010290"/>
      <w:bookmarkStart w:id="213" w:name="_Toc499562948"/>
      <w:bookmarkStart w:id="214" w:name="_Toc215835327"/>
      <w:r w:rsidRPr="008B7A21">
        <w:rPr>
          <w:lang w:val="es-ES_tradnl"/>
        </w:rPr>
        <w:t>CAPÍTULO 2</w:t>
      </w:r>
      <w:bookmarkEnd w:id="208"/>
      <w:bookmarkEnd w:id="209"/>
      <w:bookmarkEnd w:id="210"/>
      <w:bookmarkEnd w:id="211"/>
      <w:bookmarkEnd w:id="212"/>
      <w:bookmarkEnd w:id="213"/>
      <w:bookmarkEnd w:id="214"/>
    </w:p>
    <w:p w14:paraId="46E1C217" w14:textId="77777777" w:rsidR="00F73D5B" w:rsidRPr="008B7A21" w:rsidRDefault="00F73D5B" w:rsidP="00F73D5B">
      <w:pPr>
        <w:pStyle w:val="Chaptitle"/>
        <w:rPr>
          <w:lang w:val="es-ES_tradnl"/>
        </w:rPr>
      </w:pPr>
      <w:bookmarkStart w:id="215" w:name="_Toc306276785"/>
      <w:bookmarkStart w:id="216" w:name="_Toc307993905"/>
      <w:bookmarkStart w:id="217" w:name="_Toc307995172"/>
      <w:bookmarkStart w:id="218" w:name="_Toc307996311"/>
      <w:bookmarkStart w:id="219" w:name="_Toc308010291"/>
      <w:bookmarkStart w:id="220" w:name="_Toc499562949"/>
      <w:bookmarkStart w:id="221" w:name="_Toc526166726"/>
      <w:r w:rsidRPr="008B7A21">
        <w:rPr>
          <w:lang w:val="es-ES_tradnl"/>
        </w:rPr>
        <w:t>Estrategias relativas a los mecanismos de financiación del espectro</w:t>
      </w:r>
      <w:bookmarkEnd w:id="215"/>
      <w:bookmarkEnd w:id="216"/>
      <w:bookmarkEnd w:id="217"/>
      <w:bookmarkEnd w:id="218"/>
      <w:bookmarkEnd w:id="219"/>
      <w:bookmarkEnd w:id="220"/>
      <w:bookmarkEnd w:id="221"/>
    </w:p>
    <w:p w14:paraId="5DDFD2B5" w14:textId="77777777" w:rsidR="00F73D5B" w:rsidRPr="008B7A21" w:rsidRDefault="00F73D5B" w:rsidP="00F73D5B">
      <w:pPr>
        <w:pStyle w:val="Heading2"/>
        <w:rPr>
          <w:lang w:val="es-ES_tradnl"/>
        </w:rPr>
      </w:pPr>
      <w:bookmarkStart w:id="222" w:name="_Toc396187384"/>
      <w:bookmarkStart w:id="223" w:name="_Toc306276786"/>
      <w:bookmarkStart w:id="224" w:name="_Toc307921465"/>
      <w:bookmarkStart w:id="225" w:name="_Toc307922032"/>
      <w:bookmarkStart w:id="226" w:name="_Toc307922528"/>
      <w:bookmarkStart w:id="227" w:name="_Toc307991877"/>
      <w:bookmarkStart w:id="228" w:name="_Toc307993906"/>
      <w:bookmarkStart w:id="229" w:name="_Toc307995173"/>
      <w:bookmarkStart w:id="230" w:name="_Toc307996312"/>
      <w:bookmarkStart w:id="231" w:name="_Toc308010292"/>
      <w:bookmarkStart w:id="232" w:name="_Toc499562950"/>
      <w:bookmarkStart w:id="233" w:name="_Toc215835328"/>
      <w:r w:rsidRPr="008B7A21">
        <w:rPr>
          <w:lang w:val="es-ES_tradnl"/>
        </w:rPr>
        <w:t>2.1</w:t>
      </w:r>
      <w:r w:rsidRPr="008B7A21">
        <w:rPr>
          <w:lang w:val="es-ES_tradnl"/>
        </w:rPr>
        <w:tab/>
        <w:t>Antecedentes</w:t>
      </w:r>
      <w:bookmarkEnd w:id="222"/>
      <w:bookmarkEnd w:id="223"/>
      <w:bookmarkEnd w:id="224"/>
      <w:bookmarkEnd w:id="225"/>
      <w:bookmarkEnd w:id="226"/>
      <w:bookmarkEnd w:id="227"/>
      <w:bookmarkEnd w:id="228"/>
      <w:bookmarkEnd w:id="229"/>
      <w:bookmarkEnd w:id="230"/>
      <w:bookmarkEnd w:id="231"/>
      <w:bookmarkEnd w:id="232"/>
      <w:bookmarkEnd w:id="233"/>
    </w:p>
    <w:p w14:paraId="6EA3483C" w14:textId="77777777" w:rsidR="00F73D5B" w:rsidRPr="008B7A21" w:rsidRDefault="00F73D5B" w:rsidP="00F73D5B">
      <w:pPr>
        <w:rPr>
          <w:lang w:val="es-ES_tradnl"/>
        </w:rPr>
      </w:pPr>
      <w:r w:rsidRPr="008B7A21">
        <w:rPr>
          <w:lang w:val="es-ES_tradnl"/>
        </w:rPr>
        <w:t xml:space="preserve">Hay un interés creciente por los enfoques económicos de la gestión nacional del espectro. Este Capítulo del Informe examina los aspectos relativos a los principios sobre la financiación de un programa de gestión nacional del espectro y a las estrategias. El objetivo de los enfoques económicos debe ser acorde con las metas y objetivos de la gestión del espectro por una administración. Una utilización y gestión del espectro eficaz y eficiente debería ser una prioridad esencial a la hora de aplicar un enfoque económico. </w:t>
      </w:r>
    </w:p>
    <w:p w14:paraId="091727E0" w14:textId="77777777" w:rsidR="00F73D5B" w:rsidRPr="008B7A21" w:rsidRDefault="00F73D5B" w:rsidP="00F73D5B">
      <w:pPr>
        <w:pStyle w:val="Heading2"/>
        <w:rPr>
          <w:lang w:val="es-ES_tradnl"/>
        </w:rPr>
      </w:pPr>
      <w:bookmarkStart w:id="234" w:name="_Toc306276787"/>
      <w:bookmarkStart w:id="235" w:name="_Toc307921466"/>
      <w:bookmarkStart w:id="236" w:name="_Toc307922033"/>
      <w:bookmarkStart w:id="237" w:name="_Toc307922529"/>
      <w:bookmarkStart w:id="238" w:name="_Toc307991878"/>
      <w:bookmarkStart w:id="239" w:name="_Toc307993907"/>
      <w:bookmarkStart w:id="240" w:name="_Toc307995174"/>
      <w:bookmarkStart w:id="241" w:name="_Toc307996313"/>
      <w:bookmarkStart w:id="242" w:name="_Toc308010293"/>
      <w:bookmarkStart w:id="243" w:name="_Toc499562951"/>
      <w:bookmarkStart w:id="244" w:name="_Toc215835329"/>
      <w:r w:rsidRPr="008B7A21">
        <w:rPr>
          <w:lang w:val="es-ES_tradnl"/>
        </w:rPr>
        <w:t>2.2</w:t>
      </w:r>
      <w:r w:rsidRPr="008B7A21">
        <w:rPr>
          <w:lang w:val="es-ES_tradnl"/>
        </w:rPr>
        <w:tab/>
        <w:t>Principios básicos para la financiación de la gestión nacional del espectro</w:t>
      </w:r>
      <w:bookmarkEnd w:id="234"/>
      <w:bookmarkEnd w:id="235"/>
      <w:bookmarkEnd w:id="236"/>
      <w:bookmarkEnd w:id="237"/>
      <w:bookmarkEnd w:id="238"/>
      <w:bookmarkEnd w:id="239"/>
      <w:bookmarkEnd w:id="240"/>
      <w:bookmarkEnd w:id="241"/>
      <w:bookmarkEnd w:id="242"/>
      <w:bookmarkEnd w:id="243"/>
      <w:bookmarkEnd w:id="244"/>
    </w:p>
    <w:p w14:paraId="58617C70" w14:textId="77777777" w:rsidR="00F73D5B" w:rsidRPr="008B7A21" w:rsidRDefault="00F73D5B" w:rsidP="00F73D5B">
      <w:pPr>
        <w:rPr>
          <w:lang w:val="es-ES_tradnl"/>
        </w:rPr>
      </w:pPr>
      <w:r w:rsidRPr="008B7A21">
        <w:rPr>
          <w:lang w:val="es-ES_tradnl"/>
        </w:rPr>
        <w:t>En el establecimiento de un sistema de cánones, deberían seguirse los siguientes principios.</w:t>
      </w:r>
    </w:p>
    <w:p w14:paraId="2EEFBA24" w14:textId="77777777" w:rsidR="00F73D5B" w:rsidRPr="008B7A21" w:rsidRDefault="00F73D5B" w:rsidP="00F73D5B">
      <w:pPr>
        <w:pStyle w:val="Heading3"/>
        <w:rPr>
          <w:lang w:val="es-ES_tradnl"/>
        </w:rPr>
      </w:pPr>
      <w:bookmarkStart w:id="245" w:name="_Toc208727497"/>
      <w:bookmarkStart w:id="246" w:name="_Toc208739188"/>
      <w:bookmarkStart w:id="247" w:name="_Toc248048810"/>
      <w:bookmarkStart w:id="248" w:name="_Toc277598624"/>
      <w:bookmarkStart w:id="249" w:name="_Toc284499152"/>
      <w:bookmarkStart w:id="250" w:name="_Toc287523306"/>
      <w:bookmarkStart w:id="251" w:name="_Toc306276788"/>
      <w:bookmarkStart w:id="252" w:name="_Toc307921467"/>
      <w:bookmarkStart w:id="253" w:name="_Toc307922034"/>
      <w:bookmarkStart w:id="254" w:name="_Toc307922530"/>
      <w:bookmarkStart w:id="255" w:name="_Toc307991879"/>
      <w:bookmarkStart w:id="256" w:name="_Toc307993908"/>
      <w:bookmarkStart w:id="257" w:name="_Toc307995175"/>
      <w:bookmarkStart w:id="258" w:name="_Toc307996314"/>
      <w:bookmarkStart w:id="259" w:name="_Toc308010294"/>
      <w:bookmarkStart w:id="260" w:name="_Toc499562952"/>
      <w:bookmarkStart w:id="261" w:name="_Toc215835330"/>
      <w:r w:rsidRPr="008B7A21">
        <w:rPr>
          <w:lang w:val="es-ES_tradnl"/>
        </w:rPr>
        <w:t>2.2.1</w:t>
      </w:r>
      <w:r w:rsidRPr="008B7A21">
        <w:rPr>
          <w:lang w:val="es-ES_tradnl"/>
        </w:rPr>
        <w:tab/>
        <w:t>Principios jurídicos</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3DC4CEAB" w14:textId="77777777" w:rsidR="00F73D5B" w:rsidRPr="008B7A21" w:rsidRDefault="00F73D5B" w:rsidP="00F73D5B">
      <w:pPr>
        <w:pStyle w:val="enumlev1"/>
        <w:rPr>
          <w:lang w:val="es-ES_tradnl"/>
        </w:rPr>
      </w:pPr>
      <w:r w:rsidRPr="008B7A21">
        <w:rPr>
          <w:lang w:val="es-ES_tradnl"/>
        </w:rPr>
        <w:t>a)</w:t>
      </w:r>
      <w:r w:rsidRPr="008B7A21">
        <w:rPr>
          <w:lang w:val="es-ES_tradnl"/>
        </w:rPr>
        <w:tab/>
        <w:t>El espectro radioeléctrico pertenece al Estado y, por lo tanto, su ocupación para llevar a cabo actividades no gubernamentales se considera una ocupación a título privado.</w:t>
      </w:r>
    </w:p>
    <w:p w14:paraId="42395CEC" w14:textId="77777777" w:rsidR="00F73D5B" w:rsidRPr="008B7A21" w:rsidRDefault="00F73D5B" w:rsidP="00F73D5B">
      <w:pPr>
        <w:pStyle w:val="enumlev1"/>
        <w:rPr>
          <w:lang w:val="es-ES_tradnl"/>
        </w:rPr>
      </w:pPr>
      <w:r w:rsidRPr="008B7A21">
        <w:rPr>
          <w:lang w:val="es-ES_tradnl"/>
        </w:rPr>
        <w:t>b)</w:t>
      </w:r>
      <w:r w:rsidRPr="008B7A21">
        <w:rPr>
          <w:lang w:val="es-ES_tradnl"/>
        </w:rPr>
        <w:tab/>
        <w:t>Dado que es de dominio público del Estado, la gestión del espectro debe responder a los intereses de la colectividad nacional en su conjunto.</w:t>
      </w:r>
    </w:p>
    <w:p w14:paraId="2DAEABAB" w14:textId="77777777" w:rsidR="00F73D5B" w:rsidRPr="008B7A21" w:rsidRDefault="00F73D5B" w:rsidP="00F73D5B">
      <w:pPr>
        <w:pStyle w:val="enumlev1"/>
        <w:keepNext/>
        <w:keepLines/>
        <w:rPr>
          <w:lang w:val="es-ES_tradnl"/>
        </w:rPr>
      </w:pPr>
      <w:r w:rsidRPr="008B7A21">
        <w:rPr>
          <w:lang w:val="es-ES_tradnl"/>
        </w:rPr>
        <w:t>c)</w:t>
      </w:r>
      <w:r w:rsidRPr="008B7A21">
        <w:rPr>
          <w:lang w:val="es-ES_tradnl"/>
        </w:rPr>
        <w:tab/>
        <w:t xml:space="preserve">En su calidad de propietario del espectro, el Estado tiene legitimidad para exigir a los ocupantes a título privado del espectro el pago de </w:t>
      </w:r>
      <w:r w:rsidRPr="008B7A21">
        <w:rPr>
          <w:i/>
          <w:u w:val="single"/>
          <w:lang w:val="es-ES_tradnl"/>
        </w:rPr>
        <w:t>cánones del espectro</w:t>
      </w:r>
      <w:r w:rsidRPr="008B7A21">
        <w:rPr>
          <w:lang w:val="es-ES_tradnl"/>
        </w:rPr>
        <w:t xml:space="preserve"> (llamados también </w:t>
      </w:r>
      <w:r w:rsidRPr="008B7A21">
        <w:rPr>
          <w:i/>
          <w:lang w:val="es-ES_tradnl"/>
        </w:rPr>
        <w:t>cánones de ocupación del espectro</w:t>
      </w:r>
      <w:r w:rsidRPr="008B7A21">
        <w:rPr>
          <w:lang w:val="es-ES_tradnl"/>
        </w:rPr>
        <w:t xml:space="preserve">, o </w:t>
      </w:r>
      <w:r w:rsidRPr="008B7A21">
        <w:rPr>
          <w:i/>
          <w:lang w:val="es-ES_tradnl"/>
        </w:rPr>
        <w:t>cánones de disponibilidad de frecuencias</w:t>
      </w:r>
      <w:r w:rsidRPr="008B7A21">
        <w:rPr>
          <w:lang w:val="es-ES_tradnl"/>
        </w:rPr>
        <w:t xml:space="preserve"> o incluso </w:t>
      </w:r>
      <w:r w:rsidRPr="008B7A21">
        <w:rPr>
          <w:i/>
          <w:lang w:val="es-ES_tradnl"/>
        </w:rPr>
        <w:t>cánones de utilización de frecuencias</w:t>
      </w:r>
      <w:r w:rsidRPr="008B7A21">
        <w:rPr>
          <w:iCs/>
          <w:lang w:val="es-ES_tradnl"/>
        </w:rPr>
        <w:t xml:space="preserve"> o simplemente </w:t>
      </w:r>
      <w:r w:rsidRPr="008B7A21">
        <w:rPr>
          <w:i/>
          <w:lang w:val="es-ES_tradnl"/>
        </w:rPr>
        <w:t>cánones</w:t>
      </w:r>
      <w:r w:rsidRPr="008B7A21">
        <w:rPr>
          <w:iCs/>
          <w:lang w:val="es-ES_tradnl"/>
        </w:rPr>
        <w:t xml:space="preserve"> cuando no haya ambigüedad</w:t>
      </w:r>
      <w:r w:rsidRPr="008B7A21">
        <w:rPr>
          <w:lang w:val="es-ES_tradnl"/>
        </w:rPr>
        <w:t>).</w:t>
      </w:r>
    </w:p>
    <w:p w14:paraId="20FC821C" w14:textId="77777777" w:rsidR="00F73D5B" w:rsidRPr="008B7A21" w:rsidRDefault="00F73D5B" w:rsidP="00F73D5B">
      <w:pPr>
        <w:pStyle w:val="enumlev1"/>
        <w:rPr>
          <w:lang w:val="es-ES_tradnl"/>
        </w:rPr>
      </w:pPr>
      <w:r w:rsidRPr="008B7A21">
        <w:rPr>
          <w:lang w:val="es-ES_tradnl"/>
        </w:rPr>
        <w:t>d)</w:t>
      </w:r>
      <w:r w:rsidRPr="008B7A21">
        <w:rPr>
          <w:lang w:val="es-ES_tradnl"/>
        </w:rPr>
        <w:tab/>
        <w:t>La planificación, la gestión y el control del espectro están garantizados por el Estado o por organismos que hayan recibido del Estado una delegación de competencias al respecto. Esas actividades, así como los equipos e inversiones correspondientes, son indispensables para una utilización del espectro en condiciones satisfactorias.</w:t>
      </w:r>
    </w:p>
    <w:p w14:paraId="12182E7D" w14:textId="77777777" w:rsidR="00F73D5B" w:rsidRPr="008B7A21" w:rsidRDefault="00F73D5B" w:rsidP="00F73D5B">
      <w:pPr>
        <w:pStyle w:val="enumlev1"/>
        <w:rPr>
          <w:lang w:val="es-ES_tradnl"/>
        </w:rPr>
      </w:pPr>
      <w:r w:rsidRPr="008B7A21">
        <w:rPr>
          <w:lang w:val="es-ES_tradnl"/>
        </w:rPr>
        <w:t>e)</w:t>
      </w:r>
      <w:r w:rsidRPr="008B7A21">
        <w:rPr>
          <w:lang w:val="es-ES_tradnl"/>
        </w:rPr>
        <w:tab/>
        <w:t xml:space="preserve">Por este motivo, es legítimo que los poderes públicos exijan además, a los ocupantes a título privado del espectro, el pago de </w:t>
      </w:r>
      <w:r w:rsidRPr="008B7A21">
        <w:rPr>
          <w:i/>
          <w:u w:val="single"/>
          <w:lang w:val="es-ES_tradnl"/>
        </w:rPr>
        <w:t>cánones administrativos</w:t>
      </w:r>
      <w:r w:rsidRPr="008B7A21">
        <w:rPr>
          <w:lang w:val="es-ES_tradnl"/>
        </w:rPr>
        <w:t xml:space="preserve"> (llamados también </w:t>
      </w:r>
      <w:r w:rsidRPr="008B7A21">
        <w:rPr>
          <w:i/>
          <w:lang w:val="es-ES_tradnl"/>
        </w:rPr>
        <w:t xml:space="preserve">cánones de gestión de frecuencias </w:t>
      </w:r>
      <w:r w:rsidRPr="008B7A21">
        <w:rPr>
          <w:lang w:val="es-ES_tradnl"/>
        </w:rPr>
        <w:t xml:space="preserve">o incluso </w:t>
      </w:r>
      <w:r w:rsidRPr="008B7A21">
        <w:rPr>
          <w:i/>
          <w:lang w:val="es-ES_tradnl"/>
        </w:rPr>
        <w:t>cánones por el servicio prestado</w:t>
      </w:r>
      <w:r w:rsidRPr="008B7A21">
        <w:rPr>
          <w:iCs/>
          <w:lang w:val="es-ES_tradnl"/>
        </w:rPr>
        <w:t xml:space="preserve"> o bien </w:t>
      </w:r>
      <w:r w:rsidRPr="008B7A21">
        <w:rPr>
          <w:i/>
          <w:lang w:val="es-ES_tradnl"/>
        </w:rPr>
        <w:t xml:space="preserve">tasas administrativas </w:t>
      </w:r>
      <w:r w:rsidRPr="008B7A21">
        <w:rPr>
          <w:iCs/>
          <w:lang w:val="es-ES_tradnl"/>
        </w:rPr>
        <w:t xml:space="preserve">o sencillamente </w:t>
      </w:r>
      <w:r w:rsidRPr="008B7A21">
        <w:rPr>
          <w:i/>
          <w:lang w:val="es-ES_tradnl"/>
        </w:rPr>
        <w:t xml:space="preserve">tasas </w:t>
      </w:r>
      <w:r w:rsidRPr="008B7A21">
        <w:rPr>
          <w:iCs/>
          <w:lang w:val="es-ES_tradnl"/>
        </w:rPr>
        <w:t>cuando no haya ambigüedad</w:t>
      </w:r>
      <w:r w:rsidRPr="008B7A21">
        <w:rPr>
          <w:lang w:val="es-ES_tradnl"/>
        </w:rPr>
        <w:t>) para cubrir todos los costos derivados de las actividades de planificación, gestión y control del espectro.</w:t>
      </w:r>
    </w:p>
    <w:p w14:paraId="44BC1B5F" w14:textId="77777777" w:rsidR="00F73D5B" w:rsidRPr="008B7A21" w:rsidRDefault="00F73D5B" w:rsidP="00F73D5B">
      <w:pPr>
        <w:pStyle w:val="enumlev1"/>
        <w:rPr>
          <w:lang w:val="es-ES_tradnl"/>
        </w:rPr>
      </w:pPr>
      <w:r w:rsidRPr="008B7A21">
        <w:rPr>
          <w:lang w:val="es-ES_tradnl"/>
        </w:rPr>
        <w:t>f)</w:t>
      </w:r>
      <w:r w:rsidRPr="008B7A21">
        <w:rPr>
          <w:lang w:val="es-ES_tradnl"/>
        </w:rPr>
        <w:tab/>
        <w:t>Los cánones del espectro y los cánones administrativos deben establecerse cumpliendo las normas de transparencia, objetividad, proporcionalidad y no discriminación. En particular, la transparencia exige ante todo que las reglas para establecer esos cánones sean simples y de comprensión fácil para todos.</w:t>
      </w:r>
    </w:p>
    <w:p w14:paraId="7F72DA8F" w14:textId="77777777" w:rsidR="00F73D5B" w:rsidRPr="008B7A21" w:rsidRDefault="00F73D5B" w:rsidP="00F73D5B">
      <w:pPr>
        <w:pStyle w:val="enumlev1"/>
        <w:rPr>
          <w:lang w:val="es-ES_tradnl"/>
        </w:rPr>
      </w:pPr>
      <w:r w:rsidRPr="008B7A21">
        <w:rPr>
          <w:lang w:val="es-ES_tradnl"/>
        </w:rPr>
        <w:t>g)</w:t>
      </w:r>
      <w:r w:rsidRPr="008B7A21">
        <w:rPr>
          <w:lang w:val="es-ES_tradnl"/>
        </w:rPr>
        <w:tab/>
        <w:t>Las reglas aplicadas al establecimiento de cánones deben ser relativamente estables a lo largo del tiempo con miras a ofrecer a los ocupantes del espectro la visibilidad y seguridad jurídica necesarias.</w:t>
      </w:r>
    </w:p>
    <w:p w14:paraId="743791FD" w14:textId="77777777" w:rsidR="00F73D5B" w:rsidRPr="008B7A21" w:rsidRDefault="00F73D5B" w:rsidP="00F73D5B">
      <w:pPr>
        <w:pStyle w:val="enumlev1"/>
        <w:rPr>
          <w:lang w:val="es-ES_tradnl"/>
        </w:rPr>
      </w:pPr>
      <w:r w:rsidRPr="008B7A21">
        <w:rPr>
          <w:lang w:val="es-ES_tradnl"/>
        </w:rPr>
        <w:t>h)</w:t>
      </w:r>
      <w:r w:rsidRPr="008B7A21">
        <w:rPr>
          <w:lang w:val="es-ES_tradnl"/>
        </w:rPr>
        <w:tab/>
        <w:t>En contrapartida, un usuario de frecuencias asignadas o adjudicadas se beneficia de una protección, según las disposiciones de la reglamentación en vigor. En cambio, un usuario de frecuencias de acceso libre (ejemplos de utilización: equipos de corto alcance y baja potencia, Wi-Fi, Bluetooth, servicio de radioaficionados y otros) no recibe protección y, por lo tanto, no estará obligado al pago de un canon. A ese principio jurídico se suma un principio de realidad para no aplicar cánones a las frecuencias de acceso libre.</w:t>
      </w:r>
    </w:p>
    <w:p w14:paraId="12E8826F" w14:textId="77777777" w:rsidR="00F73D5B" w:rsidRPr="008B7A21" w:rsidRDefault="00F73D5B" w:rsidP="00F73D5B">
      <w:pPr>
        <w:pStyle w:val="Heading3"/>
        <w:rPr>
          <w:lang w:val="es-ES_tradnl"/>
        </w:rPr>
      </w:pPr>
      <w:bookmarkStart w:id="262" w:name="_Toc208727498"/>
      <w:bookmarkStart w:id="263" w:name="_Toc208739189"/>
      <w:bookmarkStart w:id="264" w:name="_Toc248048811"/>
      <w:bookmarkStart w:id="265" w:name="_Toc277598625"/>
      <w:bookmarkStart w:id="266" w:name="_Toc284499153"/>
      <w:bookmarkStart w:id="267" w:name="_Toc287523307"/>
      <w:bookmarkStart w:id="268" w:name="_Toc306276789"/>
      <w:bookmarkStart w:id="269" w:name="_Toc307921468"/>
      <w:bookmarkStart w:id="270" w:name="_Toc307922035"/>
      <w:bookmarkStart w:id="271" w:name="_Toc307922531"/>
      <w:bookmarkStart w:id="272" w:name="_Toc307991880"/>
      <w:bookmarkStart w:id="273" w:name="_Toc307993909"/>
      <w:bookmarkStart w:id="274" w:name="_Toc307995176"/>
      <w:bookmarkStart w:id="275" w:name="_Toc307996315"/>
      <w:bookmarkStart w:id="276" w:name="_Toc308010295"/>
      <w:bookmarkStart w:id="277" w:name="_Toc499562953"/>
      <w:bookmarkStart w:id="278" w:name="_Toc215835331"/>
      <w:r w:rsidRPr="008B7A21">
        <w:rPr>
          <w:lang w:val="es-ES_tradnl"/>
        </w:rPr>
        <w:t>2.2.2</w:t>
      </w:r>
      <w:r w:rsidRPr="008B7A21">
        <w:rPr>
          <w:lang w:val="es-ES_tradnl"/>
        </w:rPr>
        <w:tab/>
        <w:t>Principios económicos</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7CE0A8F9" w14:textId="77777777" w:rsidR="00F73D5B" w:rsidRPr="008B7A21" w:rsidRDefault="00F73D5B" w:rsidP="00F73D5B">
      <w:pPr>
        <w:pStyle w:val="enumlev1"/>
        <w:rPr>
          <w:lang w:val="es-ES_tradnl"/>
        </w:rPr>
      </w:pPr>
      <w:r w:rsidRPr="008B7A21">
        <w:rPr>
          <w:lang w:val="es-ES_tradnl"/>
        </w:rPr>
        <w:t>a)</w:t>
      </w:r>
      <w:r w:rsidRPr="008B7A21">
        <w:rPr>
          <w:lang w:val="es-ES_tradnl"/>
        </w:rPr>
        <w:tab/>
        <w:t>El espectro radioeléctrico es un recurso limitado y, en un cierto número de casos, escaso. El objetivo principal del administrador del espectro es obtener a la vez una ocupación óptima del espectro y una buena utilización de sus frecuencias.</w:t>
      </w:r>
    </w:p>
    <w:p w14:paraId="51BF51B1" w14:textId="77777777" w:rsidR="00F73D5B" w:rsidRPr="008B7A21" w:rsidRDefault="00F73D5B" w:rsidP="00F73D5B">
      <w:pPr>
        <w:pStyle w:val="enumlev1"/>
        <w:rPr>
          <w:lang w:val="es-ES_tradnl"/>
        </w:rPr>
      </w:pPr>
      <w:r w:rsidRPr="008B7A21">
        <w:rPr>
          <w:lang w:val="es-ES_tradnl"/>
        </w:rPr>
        <w:t>b)</w:t>
      </w:r>
      <w:r w:rsidRPr="008B7A21">
        <w:rPr>
          <w:lang w:val="es-ES_tradnl"/>
        </w:rPr>
        <w:tab/>
        <w:t xml:space="preserve">Dado que los fundamentos y finalidades de los cánones del espectro y de los cánones administrativos son diferentes, se deben definir dos modalidades distintas para establecer cada tipo de canon. </w:t>
      </w:r>
    </w:p>
    <w:p w14:paraId="33ADC93F" w14:textId="77777777" w:rsidR="00F73D5B" w:rsidRPr="008B7A21" w:rsidRDefault="00F73D5B" w:rsidP="00F73D5B">
      <w:pPr>
        <w:pStyle w:val="enumlev1"/>
        <w:rPr>
          <w:lang w:val="es-ES_tradnl"/>
        </w:rPr>
      </w:pPr>
      <w:r w:rsidRPr="008B7A21">
        <w:rPr>
          <w:lang w:val="es-ES_tradnl"/>
        </w:rPr>
        <w:t>c)</w:t>
      </w:r>
      <w:r w:rsidRPr="008B7A21">
        <w:rPr>
          <w:lang w:val="es-ES_tradnl"/>
        </w:rPr>
        <w:tab/>
        <w:t>Los cánones administrativos deberían aplicarse exclusivamente al pago del servicio prestado por los poderes públicos.</w:t>
      </w:r>
    </w:p>
    <w:p w14:paraId="2D0E367A" w14:textId="77777777" w:rsidR="00F73D5B" w:rsidRPr="008B7A21" w:rsidRDefault="00F73D5B" w:rsidP="00F73D5B">
      <w:pPr>
        <w:pStyle w:val="enumlev1"/>
        <w:keepNext/>
        <w:keepLines/>
        <w:rPr>
          <w:lang w:val="es-ES_tradnl"/>
        </w:rPr>
      </w:pPr>
      <w:r w:rsidRPr="008B7A21">
        <w:rPr>
          <w:lang w:val="es-ES_tradnl"/>
        </w:rPr>
        <w:t>d)</w:t>
      </w:r>
      <w:r w:rsidRPr="008B7A21">
        <w:rPr>
          <w:lang w:val="es-ES_tradnl"/>
        </w:rPr>
        <w:tab/>
        <w:t>En cambio, la finalidad de los cánones del espectro tiene varios factores ya que deberían a la vez:</w:t>
      </w:r>
    </w:p>
    <w:p w14:paraId="154CAFD4" w14:textId="77777777" w:rsidR="00F73D5B" w:rsidRPr="008B7A21" w:rsidRDefault="00F73D5B" w:rsidP="00F73D5B">
      <w:pPr>
        <w:pStyle w:val="enumlev2"/>
        <w:rPr>
          <w:lang w:val="es-ES_tradnl"/>
        </w:rPr>
      </w:pPr>
      <w:r w:rsidRPr="008B7A21">
        <w:rPr>
          <w:lang w:val="es-ES_tradnl"/>
        </w:rPr>
        <w:t>–</w:t>
      </w:r>
      <w:r w:rsidRPr="008B7A21">
        <w:rPr>
          <w:lang w:val="es-ES_tradnl"/>
        </w:rPr>
        <w:tab/>
        <w:t>permitir el cumplimiento del objetivo presupuestario fijado por los poderes públicos;</w:t>
      </w:r>
    </w:p>
    <w:p w14:paraId="3A0212C3" w14:textId="77777777" w:rsidR="00F73D5B" w:rsidRPr="008B7A21" w:rsidRDefault="00F73D5B" w:rsidP="00F73D5B">
      <w:pPr>
        <w:pStyle w:val="enumlev2"/>
        <w:rPr>
          <w:lang w:val="es-ES_tradnl"/>
        </w:rPr>
      </w:pPr>
      <w:r w:rsidRPr="008B7A21">
        <w:rPr>
          <w:lang w:val="es-ES_tradnl"/>
        </w:rPr>
        <w:t>–</w:t>
      </w:r>
      <w:r w:rsidRPr="008B7A21">
        <w:rPr>
          <w:lang w:val="es-ES_tradnl"/>
        </w:rPr>
        <w:tab/>
        <w:t>no perjudicar los objetivos económicos de los poderes públicos relativos al desarrollo del país y de nuevos servicios;</w:t>
      </w:r>
    </w:p>
    <w:p w14:paraId="7C9685E6" w14:textId="77777777" w:rsidR="00F73D5B" w:rsidRPr="008B7A21" w:rsidRDefault="00F73D5B" w:rsidP="00F73D5B">
      <w:pPr>
        <w:pStyle w:val="enumlev2"/>
        <w:rPr>
          <w:lang w:val="es-ES_tradnl"/>
        </w:rPr>
      </w:pPr>
      <w:r w:rsidRPr="008B7A21">
        <w:rPr>
          <w:lang w:val="es-ES_tradnl"/>
        </w:rPr>
        <w:t>–</w:t>
      </w:r>
      <w:r w:rsidRPr="008B7A21">
        <w:rPr>
          <w:lang w:val="es-ES_tradnl"/>
        </w:rPr>
        <w:tab/>
        <w:t>tener en cuenta todas las ventajas que los ocupantes del espectro obtienen de su utilización;</w:t>
      </w:r>
    </w:p>
    <w:p w14:paraId="359BB833" w14:textId="77777777" w:rsidR="00F73D5B" w:rsidRPr="008B7A21" w:rsidRDefault="00F73D5B" w:rsidP="00F73D5B">
      <w:pPr>
        <w:pStyle w:val="enumlev2"/>
        <w:rPr>
          <w:lang w:val="es-ES_tradnl"/>
        </w:rPr>
      </w:pPr>
      <w:r w:rsidRPr="008B7A21">
        <w:rPr>
          <w:lang w:val="es-ES_tradnl"/>
        </w:rPr>
        <w:t>–</w:t>
      </w:r>
      <w:r w:rsidRPr="008B7A21">
        <w:rPr>
          <w:lang w:val="es-ES_tradnl"/>
        </w:rPr>
        <w:tab/>
        <w:t>constituir una herramienta de gestión del espectro.</w:t>
      </w:r>
    </w:p>
    <w:p w14:paraId="31F648E1" w14:textId="77777777" w:rsidR="00F73D5B" w:rsidRPr="008B7A21" w:rsidRDefault="00F73D5B" w:rsidP="00F73D5B">
      <w:pPr>
        <w:pStyle w:val="enumlev1"/>
        <w:rPr>
          <w:lang w:val="es-ES_tradnl"/>
        </w:rPr>
      </w:pPr>
      <w:r w:rsidRPr="008B7A21">
        <w:rPr>
          <w:lang w:val="es-ES_tradnl"/>
        </w:rPr>
        <w:t>e)</w:t>
      </w:r>
      <w:r w:rsidRPr="008B7A21">
        <w:rPr>
          <w:lang w:val="es-ES_tradnl"/>
        </w:rPr>
        <w:tab/>
        <w:t>Los cánones constituyen recursos financieros para el Estado y para el administrador del espectro, y sus importes deben adaptarse automáticamente a la inflación o a la evolución del presupuesto del administrador.</w:t>
      </w:r>
    </w:p>
    <w:p w14:paraId="5056BD19" w14:textId="77777777" w:rsidR="00F73D5B" w:rsidRPr="008B7A21" w:rsidRDefault="00F73D5B" w:rsidP="00F73D5B">
      <w:pPr>
        <w:pStyle w:val="Heading3"/>
        <w:rPr>
          <w:lang w:val="es-ES_tradnl"/>
        </w:rPr>
      </w:pPr>
      <w:bookmarkStart w:id="279" w:name="_Toc208727499"/>
      <w:bookmarkStart w:id="280" w:name="_Toc208739190"/>
      <w:bookmarkStart w:id="281" w:name="_Toc248048812"/>
      <w:bookmarkStart w:id="282" w:name="_Toc277598626"/>
      <w:bookmarkStart w:id="283" w:name="_Toc284499154"/>
      <w:bookmarkStart w:id="284" w:name="_Toc287523308"/>
      <w:bookmarkStart w:id="285" w:name="_Toc306276790"/>
      <w:bookmarkStart w:id="286" w:name="_Toc307921469"/>
      <w:bookmarkStart w:id="287" w:name="_Toc307922036"/>
      <w:bookmarkStart w:id="288" w:name="_Toc307922532"/>
      <w:bookmarkStart w:id="289" w:name="_Toc307991881"/>
      <w:bookmarkStart w:id="290" w:name="_Toc307993910"/>
      <w:bookmarkStart w:id="291" w:name="_Toc307995177"/>
      <w:bookmarkStart w:id="292" w:name="_Toc307996316"/>
      <w:bookmarkStart w:id="293" w:name="_Toc308010296"/>
      <w:bookmarkStart w:id="294" w:name="_Toc499562954"/>
      <w:bookmarkStart w:id="295" w:name="_Toc215835332"/>
      <w:r w:rsidRPr="008B7A21">
        <w:rPr>
          <w:lang w:val="es-ES_tradnl"/>
        </w:rPr>
        <w:t>2.2.3</w:t>
      </w:r>
      <w:r w:rsidRPr="008B7A21">
        <w:rPr>
          <w:lang w:val="es-ES_tradnl"/>
        </w:rPr>
        <w:tab/>
        <w:t>Principios de realidad</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2AA14E5C" w14:textId="77777777" w:rsidR="00F73D5B" w:rsidRPr="008B7A21" w:rsidRDefault="00F73D5B" w:rsidP="00F73D5B">
      <w:pPr>
        <w:pStyle w:val="enumlev1"/>
        <w:rPr>
          <w:lang w:val="es-ES_tradnl"/>
        </w:rPr>
      </w:pPr>
      <w:r w:rsidRPr="008B7A21">
        <w:rPr>
          <w:lang w:val="es-ES_tradnl"/>
        </w:rPr>
        <w:t>a)</w:t>
      </w:r>
      <w:r w:rsidRPr="008B7A21">
        <w:rPr>
          <w:lang w:val="es-ES_tradnl"/>
        </w:rPr>
        <w:tab/>
        <w:t>Habría que evitar la creación de cánones en los que sea difícil identificar a quienes deben pagarlos, como ocurre con los usuarios de frecuencias de acceso libre, dado que su cobro será incierto y probablemente muy parcial.</w:t>
      </w:r>
    </w:p>
    <w:p w14:paraId="0947F6F1" w14:textId="77777777" w:rsidR="00F73D5B" w:rsidRPr="008B7A21" w:rsidRDefault="00F73D5B" w:rsidP="00F73D5B">
      <w:pPr>
        <w:pStyle w:val="enumlev1"/>
        <w:rPr>
          <w:lang w:val="es-ES_tradnl"/>
        </w:rPr>
      </w:pPr>
      <w:r w:rsidRPr="008B7A21">
        <w:rPr>
          <w:lang w:val="es-ES_tradnl"/>
        </w:rPr>
        <w:t>b)</w:t>
      </w:r>
      <w:r w:rsidRPr="008B7A21">
        <w:rPr>
          <w:lang w:val="es-ES_tradnl"/>
        </w:rPr>
        <w:tab/>
        <w:t>Con respecto a los parámetros que intervienen en el cálculo de los cánones, convendría no tener en cuenta parámetros para los cuales es difícil o imposible, en la práctica, verificar los valores declarados en comparación con el conjunto de usuarios sujetos a dichos cánones (por ejemplo, la altura de la antena de una estación o el número de estaciones móviles de una red privada). De esta forma, se evitarán declaraciones inexactas que disminuirán el importe de lo1s cánones que deben pagarse.</w:t>
      </w:r>
    </w:p>
    <w:p w14:paraId="28D93506" w14:textId="77777777" w:rsidR="00F73D5B" w:rsidRPr="008B7A21" w:rsidRDefault="00F73D5B" w:rsidP="00F73D5B">
      <w:pPr>
        <w:pStyle w:val="enumlev1"/>
        <w:rPr>
          <w:lang w:val="es-ES_tradnl"/>
        </w:rPr>
      </w:pPr>
      <w:r w:rsidRPr="008B7A21">
        <w:rPr>
          <w:lang w:val="es-ES_tradnl"/>
        </w:rPr>
        <w:t>c)</w:t>
      </w:r>
      <w:r w:rsidRPr="008B7A21">
        <w:rPr>
          <w:lang w:val="es-ES_tradnl"/>
        </w:rPr>
        <w:tab/>
        <w:t xml:space="preserve">El establecimiento de un sistema de cánones debe lograr el consenso de todos los actores interesados, lo que permitirá obtener un buen nivel de percepción de los cánones fijados. </w:t>
      </w:r>
    </w:p>
    <w:p w14:paraId="2FD3E6DF" w14:textId="77777777" w:rsidR="00F73D5B" w:rsidRPr="008B7A21" w:rsidRDefault="00F73D5B" w:rsidP="00F73D5B">
      <w:pPr>
        <w:pStyle w:val="Heading3"/>
        <w:rPr>
          <w:lang w:val="es-ES_tradnl"/>
        </w:rPr>
      </w:pPr>
      <w:bookmarkStart w:id="296" w:name="_Toc396187386"/>
      <w:bookmarkStart w:id="297" w:name="_Toc306276791"/>
      <w:bookmarkStart w:id="298" w:name="_Toc307921470"/>
      <w:bookmarkStart w:id="299" w:name="_Toc307922037"/>
      <w:bookmarkStart w:id="300" w:name="_Toc307922533"/>
      <w:bookmarkStart w:id="301" w:name="_Toc307991882"/>
      <w:bookmarkStart w:id="302" w:name="_Toc307993911"/>
      <w:bookmarkStart w:id="303" w:name="_Toc307995178"/>
      <w:bookmarkStart w:id="304" w:name="_Toc307996317"/>
      <w:bookmarkStart w:id="305" w:name="_Toc308010297"/>
      <w:bookmarkStart w:id="306" w:name="_Toc499562955"/>
      <w:bookmarkStart w:id="307" w:name="_Toc215835333"/>
      <w:r w:rsidRPr="008B7A21">
        <w:rPr>
          <w:lang w:val="es-ES_tradnl"/>
        </w:rPr>
        <w:t>2.2.4</w:t>
      </w:r>
      <w:r w:rsidRPr="008B7A21">
        <w:rPr>
          <w:lang w:val="es-ES_tradnl"/>
        </w:rPr>
        <w:tab/>
        <w:t>Enfoques</w:t>
      </w:r>
      <w:bookmarkEnd w:id="296"/>
      <w:r w:rsidRPr="008B7A21">
        <w:rPr>
          <w:lang w:val="es-ES_tradnl"/>
        </w:rPr>
        <w:t xml:space="preserve"> de diferentes administraciones</w:t>
      </w:r>
      <w:bookmarkEnd w:id="297"/>
      <w:bookmarkEnd w:id="298"/>
      <w:bookmarkEnd w:id="299"/>
      <w:bookmarkEnd w:id="300"/>
      <w:bookmarkEnd w:id="301"/>
      <w:bookmarkEnd w:id="302"/>
      <w:bookmarkEnd w:id="303"/>
      <w:bookmarkEnd w:id="304"/>
      <w:bookmarkEnd w:id="305"/>
      <w:bookmarkEnd w:id="306"/>
      <w:bookmarkEnd w:id="307"/>
    </w:p>
    <w:p w14:paraId="6F4CBB9F" w14:textId="77777777" w:rsidR="00F73D5B" w:rsidRPr="008B7A21" w:rsidRDefault="00F73D5B" w:rsidP="00F73D5B">
      <w:pPr>
        <w:pStyle w:val="Heading4"/>
        <w:rPr>
          <w:lang w:val="es-ES_tradnl"/>
        </w:rPr>
      </w:pPr>
      <w:r w:rsidRPr="008B7A21">
        <w:rPr>
          <w:lang w:val="es-ES_tradnl"/>
        </w:rPr>
        <w:t>2.2.4.1</w:t>
      </w:r>
      <w:r w:rsidRPr="008B7A21">
        <w:rPr>
          <w:lang w:val="es-ES_tradnl"/>
        </w:rPr>
        <w:tab/>
        <w:t>Financiación tradicional mediante el presupuesto nacional</w:t>
      </w:r>
    </w:p>
    <w:p w14:paraId="6DC6AEF5" w14:textId="77777777" w:rsidR="00F73D5B" w:rsidRPr="008B7A21" w:rsidRDefault="00F73D5B" w:rsidP="00F73D5B">
      <w:pPr>
        <w:rPr>
          <w:lang w:val="es-ES_tradnl"/>
        </w:rPr>
      </w:pPr>
      <w:r w:rsidRPr="008B7A21">
        <w:rPr>
          <w:lang w:val="es-ES_tradnl"/>
        </w:rPr>
        <w:t>Hasta hace poco, prácticamente todos los países financiaban sus programas de gestión del espectro mediante un proceso centralizado en el presupuesto nacional. Este enfoque implica sencillamente la atribución de una parte del presupuesto anual de la administración a la gestión del espectro. Por lo general, las sumas previstas dependen de las prioridades del gobierno nacional. En muchos casos, la gestión nacional del espectro ofrece estimaciones de sus necesidades de financiación. Empero, la respuesta del gobierno viene limitada por sus recursos fiscales totales.</w:t>
      </w:r>
    </w:p>
    <w:p w14:paraId="7A32D1EE" w14:textId="77777777" w:rsidR="00F73D5B" w:rsidRPr="008B7A21" w:rsidRDefault="00F73D5B" w:rsidP="00F73D5B">
      <w:pPr>
        <w:pStyle w:val="Heading4"/>
        <w:rPr>
          <w:lang w:val="es-ES_tradnl"/>
        </w:rPr>
      </w:pPr>
      <w:r w:rsidRPr="008B7A21">
        <w:rPr>
          <w:lang w:val="es-ES_tradnl"/>
        </w:rPr>
        <w:t>2.2.4.2</w:t>
      </w:r>
      <w:r w:rsidRPr="008B7A21">
        <w:rPr>
          <w:lang w:val="es-ES_tradnl"/>
        </w:rPr>
        <w:tab/>
        <w:t>Cánones por utilización del espectro</w:t>
      </w:r>
    </w:p>
    <w:p w14:paraId="0AAC8B14" w14:textId="77777777" w:rsidR="00F73D5B" w:rsidRPr="008B7A21" w:rsidRDefault="00F73D5B" w:rsidP="00F73D5B">
      <w:pPr>
        <w:rPr>
          <w:lang w:val="es-ES_tradnl"/>
        </w:rPr>
      </w:pPr>
      <w:r w:rsidRPr="008B7A21">
        <w:rPr>
          <w:lang w:val="es-ES_tradnl"/>
        </w:rPr>
        <w:t>Este método consiste en tasar a algunos o a todos los beneficiarios de licencias por su utilización del espectro. Algunos países financian actualmente sus programas de gestión del espectro total o parcialmente mediante cánones. En algunos casos esto incluye la financiación de una implementación por fases de un programa de gestión nacional del espectro. Estos cánones se basan directamente en la utilización del espectro o indirectamente mediante tasas de tipo general administrativo o reglamentario. Los cánones pueden establecerse sobre diversas bases y fórmulas de cálculo que pueden ir desde las más simples hasta las más complejas.</w:t>
      </w:r>
    </w:p>
    <w:p w14:paraId="18603C3C" w14:textId="77777777" w:rsidR="00F73D5B" w:rsidRPr="008B7A21" w:rsidRDefault="00F73D5B" w:rsidP="00F73D5B">
      <w:pPr>
        <w:pStyle w:val="Heading4"/>
        <w:rPr>
          <w:lang w:val="es-ES_tradnl"/>
        </w:rPr>
      </w:pPr>
      <w:r w:rsidRPr="008B7A21">
        <w:rPr>
          <w:lang w:val="es-ES_tradnl"/>
        </w:rPr>
        <w:t>2.2.4.3</w:t>
      </w:r>
      <w:r w:rsidRPr="008B7A21">
        <w:rPr>
          <w:lang w:val="es-ES_tradnl"/>
        </w:rPr>
        <w:tab/>
        <w:t>Subastas</w:t>
      </w:r>
    </w:p>
    <w:p w14:paraId="3EF38597" w14:textId="77777777" w:rsidR="00F73D5B" w:rsidRPr="008B7A21" w:rsidRDefault="00F73D5B" w:rsidP="00F73D5B">
      <w:pPr>
        <w:rPr>
          <w:lang w:val="es-ES_tradnl"/>
        </w:rPr>
      </w:pPr>
      <w:r w:rsidRPr="008B7A21">
        <w:rPr>
          <w:lang w:val="es-ES_tradnl"/>
        </w:rPr>
        <w:t>Otra forma de financiar la gestión del espectro consiste en utilizar una parte de los fondos obtenidos mediante subastas. Aunque no hay ningún país que financie directamente la gestión del espectro exclusivamente mediante los ingresos de las subastas, en algunos países dichos ingresos han superado ampliamente los costes de la gestión del espectro.</w:t>
      </w:r>
    </w:p>
    <w:p w14:paraId="1F58C9C0" w14:textId="77777777" w:rsidR="00F73D5B" w:rsidRPr="008B7A21" w:rsidRDefault="00F73D5B" w:rsidP="00F73D5B">
      <w:pPr>
        <w:pStyle w:val="Heading3"/>
        <w:rPr>
          <w:lang w:val="es-ES_tradnl"/>
        </w:rPr>
      </w:pPr>
      <w:bookmarkStart w:id="308" w:name="_Toc396187387"/>
      <w:bookmarkStart w:id="309" w:name="_Toc306276792"/>
      <w:bookmarkStart w:id="310" w:name="_Toc307921471"/>
      <w:bookmarkStart w:id="311" w:name="_Toc307922038"/>
      <w:bookmarkStart w:id="312" w:name="_Toc307922534"/>
      <w:bookmarkStart w:id="313" w:name="_Toc307991883"/>
      <w:bookmarkStart w:id="314" w:name="_Toc307993912"/>
      <w:bookmarkStart w:id="315" w:name="_Toc307995179"/>
      <w:bookmarkStart w:id="316" w:name="_Toc307996318"/>
      <w:bookmarkStart w:id="317" w:name="_Toc308010298"/>
      <w:bookmarkStart w:id="318" w:name="_Toc499562956"/>
      <w:bookmarkStart w:id="319" w:name="_Toc215835334"/>
      <w:r w:rsidRPr="008B7A21">
        <w:rPr>
          <w:lang w:val="es-ES_tradnl"/>
        </w:rPr>
        <w:t>2.2.5</w:t>
      </w:r>
      <w:r w:rsidRPr="008B7A21">
        <w:rPr>
          <w:lang w:val="es-ES_tradnl"/>
        </w:rPr>
        <w:tab/>
        <w:t>Ventajas e inconvenientes de estos enfoques</w:t>
      </w:r>
      <w:bookmarkEnd w:id="308"/>
      <w:bookmarkEnd w:id="309"/>
      <w:bookmarkEnd w:id="310"/>
      <w:bookmarkEnd w:id="311"/>
      <w:bookmarkEnd w:id="312"/>
      <w:bookmarkEnd w:id="313"/>
      <w:bookmarkEnd w:id="314"/>
      <w:bookmarkEnd w:id="315"/>
      <w:bookmarkEnd w:id="316"/>
      <w:bookmarkEnd w:id="317"/>
      <w:bookmarkEnd w:id="318"/>
      <w:bookmarkEnd w:id="319"/>
    </w:p>
    <w:p w14:paraId="2C4080B3" w14:textId="77777777" w:rsidR="00F73D5B" w:rsidRPr="008B7A21" w:rsidRDefault="00F73D5B" w:rsidP="00F73D5B">
      <w:pPr>
        <w:rPr>
          <w:lang w:val="es-ES_tradnl"/>
        </w:rPr>
      </w:pPr>
      <w:r w:rsidRPr="008B7A21">
        <w:rPr>
          <w:lang w:val="es-ES_tradnl"/>
        </w:rPr>
        <w:t>El método de financiación mediante el presupuesto nacional se ha utilizado satisfactoriamente en algunos países en desarrollo durante una serie de años. No obstante, el método depende básicamente del reconocimiento por la administración de la importancia de las radiocomunicaciones y de la gestión del espectro. Las entidades gubernamentales nacionales que tratan todo un abanico de problemas nacionales no suelen estar familiarizadas con los temas del espectro o con la repercusión de la red de comunicaciones en la economía nacional. Además, el método de financiación mediante el presupuesto nacional no imputa ningún coste inmediato a los que aprovechan directamente la utilización del espectro, sino que grava con un impuesto indirecto a todos los ciudadanos. La financiación de la gestión del espectro según este enfoque ha planteado frecuentemente dificultades a los países desarrollados, pero puede constituir un problema particular para los países en desarrollo que cuentan con recursos presupuestarios limitados y en los que la importancia de los servicios que consumen espectro para la economía puede no ser tan patente como en los países industrializados.</w:t>
      </w:r>
    </w:p>
    <w:p w14:paraId="4196247A" w14:textId="77777777" w:rsidR="00F73D5B" w:rsidRPr="008B7A21" w:rsidRDefault="00F73D5B" w:rsidP="00F73D5B">
      <w:pPr>
        <w:rPr>
          <w:lang w:val="es-ES_tradnl"/>
        </w:rPr>
      </w:pPr>
      <w:r w:rsidRPr="008B7A21">
        <w:rPr>
          <w:lang w:val="es-ES_tradnl"/>
        </w:rPr>
        <w:t>También se ha utilizado satisfactoriamente el enfoque de los cánones en una serie de países, con las ventajas de permitir determinar previamente los ingresos que han de dedicarse a la gestión del espectro y de poder imputar los costes a cierto número de entidades que aprovechan la utilización del espectro. No obstante, como los importes de los cánones pueden basarse en diversas consideraciones, tales como las de la dirección política o las del pago de los costes administrativos, la determinación de los importes de cada tipo de utilización radioeléctrica puede representar un ejercicio complejo. Además, la utilización de cánones para cubrir los costes del proceso administrativo puede resultar insuficiente por sí misma para compensar el coste de un programa adecuado de gestión del espectro. Sin embargo, pueden desarrollarse métodos basados en los cánones que satisfagan los costes adicionales de reglamentación del espectro para poder financiar plenamente la gestión del espectro. Debe señalarse que además de los cánones cargados a los usuarios del espectro, pueden recaudarse cánones de solicitud por el derecho a participar en procesos comparativos, sorteos o subastas.</w:t>
      </w:r>
    </w:p>
    <w:p w14:paraId="380220CE" w14:textId="77777777" w:rsidR="00F73D5B" w:rsidRPr="008B7A21" w:rsidRDefault="00F73D5B" w:rsidP="00F73D5B">
      <w:pPr>
        <w:rPr>
          <w:lang w:val="es-ES_tradnl"/>
        </w:rPr>
      </w:pPr>
      <w:r w:rsidRPr="008B7A21">
        <w:rPr>
          <w:lang w:val="es-ES_tradnl"/>
        </w:rPr>
        <w:t>Las ventajas del método de la subasta son que refleja de la forma más precisa el valor del espectro y de que imputa los costes a los que se benefician directamente de su utilización. No obstante, la organización de subastas puede ser considerada como una desviación significativa de las prácticas habituales. Además, un inconveniente de este enfoque es que los ingresos son inciertos y que pueden exceder o no alcanzar lo necesario para financiar adecuadamente la gestión del espectro. Si los ingresos rebasan lo necesario, un porcentaje de éstos puede devolverse a la hacienda pública que tendría que determinar su distribución; mientras que si los ingresos se quedan cortos, habría que utilizar un suplemento del presupuesto nacional o una financiación mediante cánones de licencia para mantener todas las funciones necesarias de la gestión del espectro. Los gestores del espectro pueden tratar de asegurarse de que los ingresos sean suficientes estableciendo unas pujas mínimas; no obstante, si se establece que estas cantidades sean demasiado altas, puede no recibirse ofertas. Las subastas pueden no ser adecuadas en ciertas circunstancias y puede ser necesario complementarlas con otros medios. Por ejemplo, las subastas no serán apropiadas si no hay competencia entre solicitantes, si no puede definirse adecuadamente un derecho al espectro o si los costes previstos de la subasta exceden de los ingresos que se espera obtener.</w:t>
      </w:r>
      <w:bookmarkStart w:id="320" w:name="_Toc396187388"/>
    </w:p>
    <w:p w14:paraId="44B1596D" w14:textId="77777777" w:rsidR="00F73D5B" w:rsidRPr="008B7A21" w:rsidRDefault="00F73D5B" w:rsidP="00F73D5B">
      <w:pPr>
        <w:pStyle w:val="Heading2"/>
        <w:rPr>
          <w:lang w:val="es-ES_tradnl"/>
        </w:rPr>
      </w:pPr>
      <w:bookmarkStart w:id="321" w:name="_Toc306276793"/>
      <w:bookmarkStart w:id="322" w:name="_Toc307921472"/>
      <w:bookmarkStart w:id="323" w:name="_Toc307922039"/>
      <w:bookmarkStart w:id="324" w:name="_Toc307922535"/>
      <w:bookmarkStart w:id="325" w:name="_Toc307991884"/>
      <w:bookmarkStart w:id="326" w:name="_Toc307993913"/>
      <w:bookmarkStart w:id="327" w:name="_Toc307995180"/>
      <w:bookmarkStart w:id="328" w:name="_Toc307996319"/>
      <w:bookmarkStart w:id="329" w:name="_Toc308010299"/>
      <w:bookmarkStart w:id="330" w:name="_Toc499562957"/>
      <w:bookmarkStart w:id="331" w:name="_Toc215835335"/>
      <w:r w:rsidRPr="008B7A21">
        <w:rPr>
          <w:lang w:val="es-ES_tradnl"/>
        </w:rPr>
        <w:t>2.3</w:t>
      </w:r>
      <w:r w:rsidRPr="008B7A21">
        <w:rPr>
          <w:lang w:val="es-ES_tradnl"/>
        </w:rPr>
        <w:tab/>
        <w:t>Enfoques económicos utilizados para promover una gestión nacional eficaz del espectro</w:t>
      </w:r>
      <w:bookmarkEnd w:id="320"/>
      <w:bookmarkEnd w:id="321"/>
      <w:bookmarkEnd w:id="322"/>
      <w:bookmarkEnd w:id="323"/>
      <w:bookmarkEnd w:id="324"/>
      <w:bookmarkEnd w:id="325"/>
      <w:bookmarkEnd w:id="326"/>
      <w:bookmarkEnd w:id="327"/>
      <w:bookmarkEnd w:id="328"/>
      <w:bookmarkEnd w:id="329"/>
      <w:bookmarkEnd w:id="330"/>
      <w:bookmarkEnd w:id="331"/>
    </w:p>
    <w:p w14:paraId="62C07539" w14:textId="77777777" w:rsidR="00F73D5B" w:rsidRPr="008B7A21" w:rsidRDefault="00F73D5B" w:rsidP="00F73D5B">
      <w:pPr>
        <w:rPr>
          <w:lang w:val="es-ES_tradnl"/>
        </w:rPr>
      </w:pPr>
      <w:r w:rsidRPr="008B7A21">
        <w:rPr>
          <w:lang w:val="es-ES_tradnl"/>
        </w:rPr>
        <w:t>Pueden utilizarse principios económicos basados en el mercado para mejorar de diversas maneras la gestión nacional del espectro. Como indica el enunciado, estos principios fomentan la eficacia económica y promueven también la eficiencia técnica y administrativa.</w:t>
      </w:r>
    </w:p>
    <w:p w14:paraId="0C5E089E" w14:textId="77777777" w:rsidR="00F73D5B" w:rsidRPr="008B7A21" w:rsidRDefault="00F73D5B" w:rsidP="00F73D5B">
      <w:pPr>
        <w:rPr>
          <w:lang w:val="es-ES_tradnl"/>
        </w:rPr>
      </w:pPr>
      <w:r w:rsidRPr="008B7A21">
        <w:rPr>
          <w:lang w:val="es-ES_tradnl"/>
        </w:rPr>
        <w:t>En todo recurso, incluido el espectro, el objetivo económico primario es el de maximizar los beneficios netos para la sociedad que pueden obtenerse de dicho recurso; esto es lo que los economistas denominan una distribución económicamente eficaz del recurso. Se dice que los recursos se distribuyen eficazmente y que sus beneficios totales para la sociedad se hacen máximos cuando es imposible redistribuirlos de forma que mejore al menos un individuo sin que otro empeore. Se dice que dicha distribución de los recursos obedece al «Criterio del Óptimo de Pareto» en honor de su descubridor, el economista italiano Vilfredo Pareto (1848</w:t>
      </w:r>
      <w:r w:rsidRPr="008B7A21">
        <w:rPr>
          <w:lang w:val="es-ES_tradnl"/>
        </w:rPr>
        <w:noBreakHyphen/>
        <w:t>1923). No obstante, el cumplimiento estricto de este criterio en la adopción de decisiones limita considerablemente las alternativas disponibles para los gestores del espectro, porque siempre habrá al menos una persona que empeora por cualquier decisión, de ahí que resulte más factible el «Criterio del Óptimo Potencial de Pareto» que es menos restrictivo. Según este criterio, una redistribución de los recursos conduce a un aumento del bienestar social general y por tanto debe tener lugar, si los que han mejorado como consecuencia de dicha redistribución, podrían, en principio, compensar plenamente los que han empeorado y continuar obteniendo beneficios superiores a los del caso anterior a la redistribución.</w:t>
      </w:r>
    </w:p>
    <w:p w14:paraId="0E7D4103" w14:textId="77777777" w:rsidR="00F73D5B" w:rsidRPr="008B7A21" w:rsidRDefault="00F73D5B" w:rsidP="00F73D5B">
      <w:pPr>
        <w:rPr>
          <w:lang w:val="es-ES_tradnl"/>
        </w:rPr>
      </w:pPr>
      <w:r w:rsidRPr="008B7A21">
        <w:rPr>
          <w:lang w:val="es-ES_tradnl"/>
        </w:rPr>
        <w:t>Un segundo objetivo económico que atañe a la gestión del espectro es la apropiación de la renta del recurso. Los economistas consideran el valor de un recurso – ya sea el espectro, el petróleo o la madera-como «renta». Los derechos o privilegios para la extracción de crudo de la tierra tienen un valor para las compañías que pueden venderlo a los consumidores o utilizarlo como carburante de sus vehículos, al igual que lo tiene el derecho o el privilegio de utilización del espectro radioeléctrico para el usuario de dicho espectro que puede venderlo en forma de servicios inalámbricos (por ejemplo, una compañía de radiobúsqueda) o utilizar tecnologías de radiocomunicación para la provisión de otros bienes o servicios (por ejemplo una compañía de taxis). La renta devengada por un recurso, incluyendo una licencia de espectro, puede cuantificarse mediante el precio que dicho recurso alcanzaría en un mercado abierto. Si un beneficiario de licencia de espectro recibe gratuitamente una licencia que conlleva un valor económico, el beneficiario se apropia de la renta devengada por dicha licencia.</w:t>
      </w:r>
    </w:p>
    <w:p w14:paraId="7633B8A0" w14:textId="77777777" w:rsidR="00F73D5B" w:rsidRPr="008B7A21" w:rsidRDefault="00F73D5B" w:rsidP="00F73D5B">
      <w:pPr>
        <w:rPr>
          <w:lang w:val="es-ES_tradnl"/>
        </w:rPr>
      </w:pPr>
      <w:r w:rsidRPr="008B7A21">
        <w:rPr>
          <w:lang w:val="es-ES_tradnl"/>
        </w:rPr>
        <w:t>El valor del espectro queda reflejado en dos rentas inherentes, a saber, la renta de escasez y la renta diferencial. La renta de escasez se produce cuando la demanda de espectro, al menos en ciertas bandas y en determinados momentos, supera a la oferta a un precio cero. La renta diferencial se registra cuando cada banda de frecuencias posee características específicas de propagación que la hacen idónea para determinados servicios. La posibilidad de tener acceso a la banda de frecuencias más adecuada podría reducir a un mínimo el coste de implementación y optimizar la calidad de funcionamiento de un sistema de radiocomunicación. Las bandas que se adecuan a un gran número de distintos servicios que utilizan equipo poco oneroso son más valiosas que las bandas que se ajustan a un solo tipo de servicio que utiliza equipo costoso. No obstante, incluso en el caso de las primeras de estas bandas, su utilización exclusiva en una determinada zona geográfica puede reducir radicalmente su valor. Aunque cierto uso compartido del espectro puede ser eficaz, cuando los transmisores se explotan al mismo tiempo y en la misma zona pueden ocasionarse mutua interferencia perjudicial, lo que reduce el valor de la banda en dicha zona y momento.</w:t>
      </w:r>
    </w:p>
    <w:p w14:paraId="393EB63B" w14:textId="77777777" w:rsidR="00F73D5B" w:rsidRPr="008B7A21" w:rsidRDefault="00F73D5B" w:rsidP="00F73D5B">
      <w:pPr>
        <w:rPr>
          <w:lang w:val="es-ES_tradnl"/>
        </w:rPr>
      </w:pPr>
      <w:r w:rsidRPr="008B7A21">
        <w:rPr>
          <w:lang w:val="es-ES_tradnl"/>
        </w:rPr>
        <w:t>En teoría, puede apuntarse a los objetivos del Óptimo de Pareto y de la apropiación de la renta del recurso creando un mercado libre en cuanto al espectro. En un mercado de este tipo, todas las asignaciones de espectro consistirían en derechos legales de posesión claramente definidos que podrían transferirse, acumularse y dividirse, y ser utilizados para cualquier fin que el propietario juzgue conveniente, en tanto que su utilización no interfiera con los derechos de posesión de otros usuarios del espectro. No obstante, la prevención de la interferencia entre servicios técnicamente distintos (por ejemplo, la radiodifusión, los móviles, los fijos y los de satélite) en un mercado de espectro exigiría análisis de ingeniería extremadamente complejos y podría desembocar en litigios entre usuarios del espectro. Además, la mayoría de los gestores del espectro consideran que hay otras razones para imponer ciertas limitaciones en un mercado de espectro, entre las que cabe citar:</w:t>
      </w:r>
    </w:p>
    <w:p w14:paraId="35E1C2B0" w14:textId="77777777" w:rsidR="00F73D5B" w:rsidRPr="008B7A21" w:rsidRDefault="00F73D5B" w:rsidP="00F73D5B">
      <w:pPr>
        <w:pStyle w:val="enumlev1"/>
        <w:rPr>
          <w:lang w:val="es-ES_tradnl"/>
        </w:rPr>
      </w:pPr>
      <w:r w:rsidRPr="008B7A21">
        <w:rPr>
          <w:lang w:val="es-ES_tradnl"/>
        </w:rPr>
        <w:t>–</w:t>
      </w:r>
      <w:r w:rsidRPr="008B7A21">
        <w:rPr>
          <w:lang w:val="es-ES_tradnl"/>
        </w:rPr>
        <w:tab/>
        <w:t>Puede no atenderse adecuadamente tanto a la investigación científica gubernamental como a otros requisitos socialmente deseables.</w:t>
      </w:r>
    </w:p>
    <w:p w14:paraId="30F697D4" w14:textId="77777777" w:rsidR="00F73D5B" w:rsidRPr="008B7A21" w:rsidRDefault="00F73D5B" w:rsidP="00F73D5B">
      <w:pPr>
        <w:pStyle w:val="enumlev1"/>
        <w:rPr>
          <w:lang w:val="es-ES_tradnl"/>
        </w:rPr>
      </w:pPr>
      <w:r w:rsidRPr="008B7A21">
        <w:rPr>
          <w:lang w:val="es-ES_tradnl"/>
        </w:rPr>
        <w:t>–</w:t>
      </w:r>
      <w:r w:rsidRPr="008B7A21">
        <w:rPr>
          <w:lang w:val="es-ES_tradnl"/>
        </w:rPr>
        <w:tab/>
        <w:t>Puede ser conveniente establecer límites a una acumulación del espectro en usuarios individuales para evitar un dominio anticompetencia del mercado por parte de los usuarios ricos.</w:t>
      </w:r>
    </w:p>
    <w:p w14:paraId="7F2B7B33" w14:textId="77777777" w:rsidR="00F73D5B" w:rsidRPr="008B7A21" w:rsidRDefault="00F73D5B" w:rsidP="00F73D5B">
      <w:pPr>
        <w:pStyle w:val="enumlev1"/>
        <w:rPr>
          <w:lang w:val="es-ES_tradnl"/>
        </w:rPr>
      </w:pPr>
      <w:r w:rsidRPr="008B7A21">
        <w:rPr>
          <w:lang w:val="es-ES_tradnl"/>
        </w:rPr>
        <w:t>–</w:t>
      </w:r>
      <w:r w:rsidRPr="008B7A21">
        <w:rPr>
          <w:lang w:val="es-ES_tradnl"/>
        </w:rPr>
        <w:tab/>
        <w:t>Puede facilitarse la creación de economías de escala en la producción de equipos, atribuyendo ciertas bandas a determinados usuarios sobre una base unilateral y nacional o multilateral e internacional.</w:t>
      </w:r>
    </w:p>
    <w:p w14:paraId="422255E7" w14:textId="77777777" w:rsidR="00F73D5B" w:rsidRPr="008B7A21" w:rsidRDefault="00F73D5B" w:rsidP="00F73D5B">
      <w:pPr>
        <w:pStyle w:val="enumlev1"/>
        <w:rPr>
          <w:lang w:val="es-ES_tradnl"/>
        </w:rPr>
      </w:pPr>
      <w:r w:rsidRPr="008B7A21">
        <w:rPr>
          <w:lang w:val="es-ES_tradnl"/>
        </w:rPr>
        <w:t>–</w:t>
      </w:r>
      <w:r w:rsidRPr="008B7A21">
        <w:rPr>
          <w:lang w:val="es-ES_tradnl"/>
        </w:rPr>
        <w:tab/>
        <w:t>La atribución a nivel internacional de bandas para usuarios del espectro con movilidad mundial, tales como los usuarios móviles a bordo de embarcaciones y de aeronaves contribuye a evitar la necesidad de montar a bordo transmisores y receptores múltiples para la misma función de comunicaciones.</w:t>
      </w:r>
    </w:p>
    <w:p w14:paraId="3A465ADB" w14:textId="77777777" w:rsidR="00F73D5B" w:rsidRPr="008B7A21" w:rsidRDefault="00F73D5B" w:rsidP="00F73D5B">
      <w:pPr>
        <w:keepNext/>
        <w:keepLines/>
        <w:rPr>
          <w:lang w:val="es-ES_tradnl"/>
        </w:rPr>
      </w:pPr>
      <w:r w:rsidRPr="008B7A21">
        <w:rPr>
          <w:lang w:val="es-ES_tradnl"/>
        </w:rPr>
        <w:t>En consecuencia, los gestores nacionales del espectro de todo el mundo han optado generalmente por renunciar a un mercado de espectro plenamente liberalizado y han atribuido bandas de frecuencias a usuarios particulares con restricciones técnicas diversas. Sin embargo, en ausencia de un sistema de derechos de propiedad, los gestores del espectro tal vez, traten de considerar las valoraciones que otorgan al espectro los grupos antagónicos de usuarios – por ejemplo, entidades de radiodifusión y proveedores del servicio de telecomunicaciones móviles. A falta de un mercado del espectro, dichas valoraciones podrán solamente obtenerse de forma imperfecta, aunque el empleo de representaciones del mercado tales como la estimación de los ingresos del servicio y la repercusión del servicio en el producto interior bruto y en el empleo pueden ser útiles para obtener datos acerca de la utilización al adoptar decisiones sobre la atribución y sobre otros aspectos de la gestión del espectro.</w:t>
      </w:r>
    </w:p>
    <w:p w14:paraId="38185887" w14:textId="77777777" w:rsidR="00F73D5B" w:rsidRPr="008B7A21" w:rsidRDefault="00F73D5B" w:rsidP="00F73D5B">
      <w:pPr>
        <w:pStyle w:val="Heading3"/>
        <w:rPr>
          <w:lang w:val="es-ES_tradnl"/>
        </w:rPr>
      </w:pPr>
      <w:bookmarkStart w:id="332" w:name="_Toc396187389"/>
      <w:bookmarkStart w:id="333" w:name="_Toc306276794"/>
      <w:bookmarkStart w:id="334" w:name="_Toc307921473"/>
      <w:bookmarkStart w:id="335" w:name="_Toc307922040"/>
      <w:bookmarkStart w:id="336" w:name="_Toc307922536"/>
      <w:bookmarkStart w:id="337" w:name="_Toc307991885"/>
      <w:bookmarkStart w:id="338" w:name="_Toc307993914"/>
      <w:bookmarkStart w:id="339" w:name="_Toc307995181"/>
      <w:bookmarkStart w:id="340" w:name="_Toc307996320"/>
      <w:bookmarkStart w:id="341" w:name="_Toc308010300"/>
      <w:bookmarkStart w:id="342" w:name="_Toc499562958"/>
      <w:bookmarkStart w:id="343" w:name="_Toc215835336"/>
      <w:r w:rsidRPr="008B7A21">
        <w:rPr>
          <w:lang w:val="es-ES_tradnl"/>
        </w:rPr>
        <w:t>2.3.1</w:t>
      </w:r>
      <w:r w:rsidRPr="008B7A21">
        <w:rPr>
          <w:lang w:val="es-ES_tradnl"/>
        </w:rPr>
        <w:tab/>
        <w:t>Métodos de asignación del espectro</w:t>
      </w:r>
      <w:bookmarkEnd w:id="332"/>
      <w:bookmarkEnd w:id="333"/>
      <w:bookmarkEnd w:id="334"/>
      <w:bookmarkEnd w:id="335"/>
      <w:bookmarkEnd w:id="336"/>
      <w:bookmarkEnd w:id="337"/>
      <w:bookmarkEnd w:id="338"/>
      <w:bookmarkEnd w:id="339"/>
      <w:bookmarkEnd w:id="340"/>
      <w:bookmarkEnd w:id="341"/>
      <w:bookmarkEnd w:id="342"/>
      <w:bookmarkEnd w:id="343"/>
    </w:p>
    <w:p w14:paraId="19090C23" w14:textId="77777777" w:rsidR="00F73D5B" w:rsidRPr="008B7A21" w:rsidRDefault="00F73D5B" w:rsidP="00F73D5B">
      <w:pPr>
        <w:rPr>
          <w:lang w:val="es-ES_tradnl"/>
        </w:rPr>
      </w:pPr>
      <w:r w:rsidRPr="008B7A21">
        <w:rPr>
          <w:lang w:val="es-ES_tradnl"/>
        </w:rPr>
        <w:t>Tras atribuir el espectro a una aplicación particular, debe asignarse a usuarios individuales. Si la demanda de una banda precisa de frecuencias en una zona geográfica particular es limitada, no habrá necesidad de resolver decisiones mutuamente excluyentes (en competencia) para dicha banda. En consecuencia, pueden asignarse simplemente las licencias a los postulantes que lo soliciten, siempre que éstos respeten ciertas normas y reglamentos técnicos. Sin embargo, si existen peticiones de espectro mutuamente excluyentes, debe utilizarse un método de asignación para elegir entre los solicitantes en competencia. Tres formas de hacerlo son los procesos comparativos (tales como las audiencias comparativas), los sorteos y las subastas.</w:t>
      </w:r>
    </w:p>
    <w:p w14:paraId="0B234D12" w14:textId="77777777" w:rsidR="00F73D5B" w:rsidRPr="008B7A21" w:rsidRDefault="00F73D5B" w:rsidP="00F73D5B">
      <w:pPr>
        <w:pStyle w:val="Heading4"/>
        <w:rPr>
          <w:lang w:val="es-ES_tradnl"/>
        </w:rPr>
      </w:pPr>
      <w:r w:rsidRPr="008B7A21">
        <w:rPr>
          <w:lang w:val="es-ES_tradnl"/>
        </w:rPr>
        <w:t>2.3.1.1</w:t>
      </w:r>
      <w:r w:rsidRPr="008B7A21">
        <w:rPr>
          <w:lang w:val="es-ES_tradnl"/>
        </w:rPr>
        <w:tab/>
        <w:t>Métodos de asignación no basados en el mercado: procesos comparativos y sorteos</w:t>
      </w:r>
    </w:p>
    <w:p w14:paraId="64506169" w14:textId="77777777" w:rsidR="00F73D5B" w:rsidRPr="008B7A21" w:rsidRDefault="00F73D5B" w:rsidP="00F73D5B">
      <w:pPr>
        <w:rPr>
          <w:lang w:val="es-ES_tradnl"/>
        </w:rPr>
      </w:pPr>
      <w:r w:rsidRPr="008B7A21">
        <w:rPr>
          <w:lang w:val="es-ES_tradnl"/>
        </w:rPr>
        <w:t>En un proceso comparativo, se comparan formalmente las calificaciones de cada solicitante de espectro en competencia sobre una base de criterios establecidos y publicados a nivel nacional. (Generalmente, estos criterios pueden incluir la población a la que se atenderá, la calidad del servicio y la celeridad en la implantación de éste.) La autoridad de gestión del espectro determina el solicitante más calificado para utilizar el espectro y concede la licencia. No obstante, los procesos comparativos pueden ser muy arduos y consumir grandes recursos, pueden no asignar el espectro a aquellos que más lo valoran y pueden no generar ingreso alguno a menos que se cobren cánones de licencia y/o de solicitud. Además, los procesos comparativos suelen decidirse sobre la base de diferencias mínimas entre solicitantes y puede ocurrir que los solicitantes perdedores impugnen las decisiones.</w:t>
      </w:r>
    </w:p>
    <w:p w14:paraId="7AB5E9FC" w14:textId="77777777" w:rsidR="00F73D5B" w:rsidRPr="008B7A21" w:rsidRDefault="00F73D5B" w:rsidP="00F73D5B">
      <w:pPr>
        <w:rPr>
          <w:lang w:val="es-ES_tradnl"/>
        </w:rPr>
      </w:pPr>
      <w:r w:rsidRPr="008B7A21">
        <w:rPr>
          <w:lang w:val="es-ES_tradnl"/>
        </w:rPr>
        <w:t>En un sorteo, se selecciona a los beneficiarios de licencia de forma aleatoria entre todos los solicitantes en competencia del espectro. Los sorteos pueden reducir algunos aspectos de la carga administrativa que conllevan las audiencias comparativas, tales como los gastos jurídicos, pero pueden crear un tipo distinto de fardo administrativo, alentando la presentación de más solicitudes. Además, los sorteos no asignan el espectro a los que más lo valoran, excepto por casualidad, conducen a costes de transacción significativos y tampoco en este caso generan ingresos, a menos que se asocien cánones a la licencia asignada por sorteo o se cobre un canon de acceso por participar en el sorteo. Por otra parte, los ganadores del sorteo transfieren en muchos casos sus derechos al espectro a terceras partes, guardando para ellos mismos las rentas del espectro. Los sorteos que no conlleven cánones de solicitud significativos u otras medidas que garanticen la intención de los solicitantes de la prestación de los servicios radioeléctricos tienden a fomentar la especulación.</w:t>
      </w:r>
    </w:p>
    <w:p w14:paraId="2FDE5784" w14:textId="77777777" w:rsidR="00F73D5B" w:rsidRPr="008B7A21" w:rsidRDefault="00F73D5B" w:rsidP="00F73D5B">
      <w:pPr>
        <w:rPr>
          <w:lang w:val="es-ES_tradnl"/>
        </w:rPr>
      </w:pPr>
      <w:r w:rsidRPr="008B7A21">
        <w:rPr>
          <w:lang w:val="es-ES_tradnl"/>
        </w:rPr>
        <w:t>Aunque los procesos comparativos y los sorteos no son métodos de asignación basados en el mercado, pueden hacer actuar las fuerzas de la competencia tras la asignación del espectro mediante la creación de un mercado secundario (véase el § 2.3.2).</w:t>
      </w:r>
    </w:p>
    <w:p w14:paraId="7FD03D3D" w14:textId="77777777" w:rsidR="00F73D5B" w:rsidRPr="008B7A21" w:rsidRDefault="00F73D5B" w:rsidP="00F73D5B">
      <w:pPr>
        <w:pStyle w:val="Heading4"/>
        <w:rPr>
          <w:lang w:val="es-ES_tradnl"/>
        </w:rPr>
      </w:pPr>
      <w:r w:rsidRPr="008B7A21">
        <w:rPr>
          <w:lang w:val="es-ES_tradnl"/>
        </w:rPr>
        <w:t>2.3.1.2</w:t>
      </w:r>
      <w:r w:rsidRPr="008B7A21">
        <w:rPr>
          <w:lang w:val="es-ES_tradnl"/>
        </w:rPr>
        <w:tab/>
        <w:t>Enfoque basado en el mercado: subastas</w:t>
      </w:r>
    </w:p>
    <w:p w14:paraId="72CA48A4" w14:textId="77777777" w:rsidR="00F73D5B" w:rsidRPr="008B7A21" w:rsidRDefault="00F73D5B" w:rsidP="00F73D5B">
      <w:pPr>
        <w:rPr>
          <w:lang w:val="es-ES_tradnl"/>
        </w:rPr>
      </w:pPr>
      <w:r w:rsidRPr="008B7A21">
        <w:rPr>
          <w:lang w:val="es-ES_tradnl"/>
        </w:rPr>
        <w:t>En una subasta, las licencias se conceden con arreglo a las ofertas de los competidores solicitantes de espectro. En las subastas se conceden las licencias a los que les otorgan el valor más alto, generando simultáneamente ingresos para la autoridad del espectro. No obstante, como ocurre en un mercado de espectro no restringido, las subastas pueden suscitar inquietudes de tipo competitivo si no se combinan con una política de competencia activa y se fijan límites en cuanto al tramo máximo de espectro que una entidad puede adquirir. Las fuerzas del mercado no garantizan la eficacia económica o el máximo del bienestar del consumidor en mercados que no sean competitivos, porque un proveedor del servicio o grupo de ellos dominante puede detentar el poder del mercado. Además, las subastas pueden no servir para ofrecer adecuadamente ciertos servicios deseables socialmente o para distribuir las licencias entre ciertos grupos, tales como pequeñas empresas (si es ello el objetivo). Sin embargo, mediante las «ofertas con crédito» (descuentos) y los pagos aplazados para determinadas entidades se pueden paliar estos problemas. De hecho, las entidades que tengan pocas probabilidades de ganar en un proceso comparativo o en un sorteo pueden tener éxito en una subasta si las ofertas con crédito son significativas y si el aplazamiento de los pagos permite pagar los costes de la licencia a lo largo de una serie de años.</w:t>
      </w:r>
    </w:p>
    <w:p w14:paraId="5551A29B" w14:textId="77777777" w:rsidR="00F73D5B" w:rsidRPr="008B7A21" w:rsidRDefault="00F73D5B" w:rsidP="00F73D5B">
      <w:pPr>
        <w:rPr>
          <w:lang w:val="es-ES_tradnl"/>
        </w:rPr>
      </w:pPr>
      <w:r w:rsidRPr="008B7A21">
        <w:rPr>
          <w:lang w:val="es-ES_tradnl"/>
        </w:rPr>
        <w:t>Las subastas y los sorteos pueden disminuir significativamente los costes administrativos y el tiempo asociado al proceso de asignación del espectro, con lo que mejoran la eficacia administrativa total, al contrario de lo que ocurre en el proceso comparativo.</w:t>
      </w:r>
    </w:p>
    <w:p w14:paraId="37D7E4DB" w14:textId="77777777" w:rsidR="00F73D5B" w:rsidRPr="008B7A21" w:rsidRDefault="00F73D5B" w:rsidP="00F73D5B">
      <w:pPr>
        <w:pStyle w:val="Heading3"/>
        <w:rPr>
          <w:lang w:val="es-ES_tradnl"/>
        </w:rPr>
      </w:pPr>
      <w:bookmarkStart w:id="344" w:name="_Toc396187390"/>
      <w:bookmarkStart w:id="345" w:name="_Toc306276795"/>
      <w:bookmarkStart w:id="346" w:name="_Toc307921474"/>
      <w:bookmarkStart w:id="347" w:name="_Toc307922041"/>
      <w:bookmarkStart w:id="348" w:name="_Toc307922537"/>
      <w:bookmarkStart w:id="349" w:name="_Toc307991886"/>
      <w:bookmarkStart w:id="350" w:name="_Toc307993915"/>
      <w:bookmarkStart w:id="351" w:name="_Toc307995182"/>
      <w:bookmarkStart w:id="352" w:name="_Toc307996321"/>
      <w:bookmarkStart w:id="353" w:name="_Toc308010301"/>
      <w:bookmarkStart w:id="354" w:name="_Toc499562959"/>
      <w:bookmarkStart w:id="355" w:name="_Toc215835337"/>
      <w:r w:rsidRPr="008B7A21">
        <w:rPr>
          <w:lang w:val="es-ES_tradnl"/>
        </w:rPr>
        <w:t>2.3.2</w:t>
      </w:r>
      <w:r w:rsidRPr="008B7A21">
        <w:rPr>
          <w:lang w:val="es-ES_tradnl"/>
        </w:rPr>
        <w:tab/>
        <w:t>Derechos de espectro transferibles y flexibles</w:t>
      </w:r>
      <w:bookmarkEnd w:id="344"/>
      <w:bookmarkEnd w:id="345"/>
      <w:bookmarkEnd w:id="346"/>
      <w:bookmarkEnd w:id="347"/>
      <w:bookmarkEnd w:id="348"/>
      <w:bookmarkEnd w:id="349"/>
      <w:bookmarkEnd w:id="350"/>
      <w:bookmarkEnd w:id="351"/>
      <w:bookmarkEnd w:id="352"/>
      <w:bookmarkEnd w:id="353"/>
      <w:bookmarkEnd w:id="354"/>
      <w:bookmarkEnd w:id="355"/>
    </w:p>
    <w:p w14:paraId="70738983" w14:textId="77777777" w:rsidR="00F73D5B" w:rsidRPr="008B7A21" w:rsidRDefault="00F73D5B" w:rsidP="00F73D5B">
      <w:pPr>
        <w:rPr>
          <w:lang w:val="es-ES_tradnl"/>
        </w:rPr>
      </w:pPr>
      <w:r w:rsidRPr="008B7A21">
        <w:rPr>
          <w:lang w:val="es-ES_tradnl"/>
        </w:rPr>
        <w:t>Mientras que las subastas son el mecanismo de asignación más adaptado para conseguir una distribución inicial económicamente eficiente del recurso del espectro, no aseguran que dicho espectro continuará utilizándose de manera económicamente eficiente en el futuro. Al igual que con otros recursos, los economistas recomiendan que se permita a los usuarios del espectro transferir sus derechos a éste (tanto si se ha asignado mediante subasta como por otros mecanismos de asignación) y que los usuarios del espectro cuenten con un alto grado de flexibilidad en la elección de los servicios que ofrecerán al consumidor con su espectro.</w:t>
      </w:r>
    </w:p>
    <w:p w14:paraId="1B6F4C45" w14:textId="77777777" w:rsidR="00F73D5B" w:rsidRPr="008B7A21" w:rsidRDefault="00F73D5B" w:rsidP="00F73D5B">
      <w:pPr>
        <w:rPr>
          <w:lang w:val="es-ES_tradnl"/>
        </w:rPr>
      </w:pPr>
      <w:r w:rsidRPr="008B7A21">
        <w:rPr>
          <w:lang w:val="es-ES_tradnl"/>
        </w:rPr>
        <w:t>La modalidad menos restrictiva de derechos de propiedad transferibles ofrece una flexibilidad técnica ilimitada, independiente de la estructura de una atribución, siempre que no se cause interferencia perjudicial fuera de la banda asignada. Este sistema, si se aplica a todas las bandas de frecuencias, dará lugar a un mercado de espectro liberalizado. No obstante, tal como se examina en el § 2.3, ningún país ha aplicado un enfoque de mercado de espectro totalmente libre.</w:t>
      </w:r>
    </w:p>
    <w:p w14:paraId="17CDB947" w14:textId="77777777" w:rsidR="00F73D5B" w:rsidRPr="008B7A21" w:rsidRDefault="00F73D5B" w:rsidP="00F73D5B">
      <w:pPr>
        <w:rPr>
          <w:lang w:val="es-ES_tradnl"/>
        </w:rPr>
      </w:pPr>
      <w:r w:rsidRPr="008B7A21">
        <w:rPr>
          <w:lang w:val="es-ES_tradnl"/>
        </w:rPr>
        <w:t>La modalidad más restrictiva de derechos de propiedad permite la transferencia únicamente dentro de los confines de una atribución determinada y solamente ajustándose a parámetros técnicos estrictamente definidos. Este sistema ofrece la ventaja de asegurar que la entidad de un servicio atribuido que da más valor a una asignación particular de frecuencia estará en condiciones de usar dicha asignación, minimizando al tiempo la posibilidad de interferencias. Sin embargo, restringiendo la flexibilidad técnica para asegurar el control de la interferencia, puede reducirse también de forma significativa la eficacia económica. Además, si los derechos de propiedad se ceden sin más a los beneficiarios de licencias, toda renta del recurso que surja de una asignación de frecuencia particular será apropiada por el interesado, en vez de por la autoridad de gestión del espectro, a menos que las rentas hayan sido apropiadas inicialmente a través de una subasta o mediante cánones de licencia.</w:t>
      </w:r>
    </w:p>
    <w:p w14:paraId="4A4993D6" w14:textId="77777777" w:rsidR="00F73D5B" w:rsidRPr="008B7A21" w:rsidRDefault="00F73D5B" w:rsidP="00F73D5B">
      <w:pPr>
        <w:rPr>
          <w:lang w:val="es-ES_tradnl"/>
        </w:rPr>
      </w:pPr>
      <w:r w:rsidRPr="008B7A21">
        <w:rPr>
          <w:lang w:val="es-ES_tradnl"/>
        </w:rPr>
        <w:t>El punto medio en relación con los derechos de propiedad y el enfoque utilizado en algunas bandas por Nueva Zelandia, Estados Unidos de América y Australia consiste en especificar derechos de emisión dentro de una atribución determinada, que puede definirse ampliamente, por ejemplo, la radiodifusión o las radiocomunicaciones móviles. Este enfoque puede dar lugar a un incremento de la eficacia económica porque se permite a los beneficiarios de licencias ajustar la utilización de los componentes conforme a los costes y a las consideraciones sobre la demanda, por ejemplo, en el caso de un suministrador de radiocomunicaciones móviles que pueda atender al aumento de la demanda utilizando una técnica de modulación distinta, y porque los beneficiarios de licencias pueden transferir libremente sus derechos de frecuencia total o parcialmente a entidades que valoren más los mencionados derechos. Así pues, un sistema de derechos de espectro comercializables ofrece a los beneficiarios de licencias todos los incentivos para utilizar su espectro en una forma técnicamente eficaz. Sin embargo, un inconveniente de este enfoque es que puede hacer aumentar el potencial de interferencia perjudicial entre beneficiarios, porque no se especifican los componentes técnicos. La especificación de los derechos de emisión de los beneficiarios de licencias en lugar de la especificación de los componentes que deben utilizar les plantea un mayor problema de control de la interferencia. No obstante, se puede permitir a los beneficiarios de licencias que negocien sus derechos de emisión; por ejemplo, un beneficiario puede estar de acuerdo en aceptar interferencia adicional a cambio de una compensación monetaria. Dependiendo de la frecuencia con que puedan surgir disputas que exijan la resolución por la autoridad de la gestión del espectro o de los tribunales, la autorización de dichas negociaciones puede resultar ventajosa o plantear inconvenientes.</w:t>
      </w:r>
    </w:p>
    <w:p w14:paraId="03B957AE" w14:textId="77777777" w:rsidR="00F73D5B" w:rsidRPr="008B7A21" w:rsidRDefault="00F73D5B" w:rsidP="00F73D5B">
      <w:pPr>
        <w:pStyle w:val="Heading3"/>
        <w:rPr>
          <w:lang w:val="es-ES_tradnl"/>
        </w:rPr>
      </w:pPr>
      <w:bookmarkStart w:id="356" w:name="_Toc396187391"/>
      <w:bookmarkStart w:id="357" w:name="_Toc306276796"/>
      <w:bookmarkStart w:id="358" w:name="_Toc307921475"/>
      <w:bookmarkStart w:id="359" w:name="_Toc307922042"/>
      <w:bookmarkStart w:id="360" w:name="_Toc307922538"/>
      <w:bookmarkStart w:id="361" w:name="_Toc307991887"/>
      <w:bookmarkStart w:id="362" w:name="_Toc307993916"/>
      <w:bookmarkStart w:id="363" w:name="_Toc307995183"/>
      <w:bookmarkStart w:id="364" w:name="_Toc307996322"/>
      <w:bookmarkStart w:id="365" w:name="_Toc308010302"/>
      <w:bookmarkStart w:id="366" w:name="_Toc499562960"/>
      <w:bookmarkStart w:id="367" w:name="_Toc215835338"/>
      <w:r w:rsidRPr="008B7A21">
        <w:rPr>
          <w:lang w:val="es-ES_tradnl"/>
        </w:rPr>
        <w:t>2.3.3</w:t>
      </w:r>
      <w:r w:rsidRPr="008B7A21">
        <w:rPr>
          <w:lang w:val="es-ES_tradnl"/>
        </w:rPr>
        <w:tab/>
        <w:t>Ventajas e inconvenientes de las subastas y de los derechos de espectro transferibles</w:t>
      </w:r>
      <w:bookmarkEnd w:id="356"/>
      <w:bookmarkEnd w:id="357"/>
      <w:bookmarkEnd w:id="358"/>
      <w:bookmarkEnd w:id="359"/>
      <w:bookmarkEnd w:id="360"/>
      <w:bookmarkEnd w:id="361"/>
      <w:bookmarkEnd w:id="362"/>
      <w:bookmarkEnd w:id="363"/>
      <w:bookmarkEnd w:id="364"/>
      <w:bookmarkEnd w:id="365"/>
      <w:bookmarkEnd w:id="366"/>
      <w:bookmarkEnd w:id="367"/>
    </w:p>
    <w:p w14:paraId="78656701" w14:textId="77777777" w:rsidR="00F73D5B" w:rsidRPr="008B7A21" w:rsidRDefault="00F73D5B" w:rsidP="00F73D5B">
      <w:pPr>
        <w:rPr>
          <w:lang w:val="es-ES_tradnl"/>
        </w:rPr>
      </w:pPr>
      <w:r w:rsidRPr="008B7A21">
        <w:rPr>
          <w:lang w:val="es-ES_tradnl"/>
        </w:rPr>
        <w:t>Las subastas ofrecen las ventajas de conceder la licencia a aquellos que más la valoran y generar simultáneamente ingresos. Cuando se utilizan las subastas para asignar las licencias en una estructura de atribución determinada, dichas licencias se concederán a los que más las valoran, únicamente en los confines de la estructura de atribución. Por ejemplo, si las entidades de radiodifusión son las que más valoran un bloque particular de espectro en una zona determinada, pero éste se atribuye a las radiocomunicaciones móviles, los ingresos y beneficios generados por dicho espectro serán inferiores a los del caso en que se permitiese a las entidades de radiodifusión participar en la subasta. La ampliación de la gama de utilizaciones que se autorice en una concesión por subasta permite también utilizar el espectro para los servicios que más se demandan. Sin embargo, la definición amplia de servicios tiene el posible inconveniente de aumentar los costes de la coordinación de la interferencia entre los beneficiarios de licencias de tramos de espectro y zonas adyacentes. Estos argumentos respecto a la estructura de atribución se aplican igualmente a un sistema de derechos de espectro transferibles tras la asignación inicial del espectro.</w:t>
      </w:r>
    </w:p>
    <w:p w14:paraId="652D856D" w14:textId="77777777" w:rsidR="00F73D5B" w:rsidRPr="008B7A21" w:rsidRDefault="00F73D5B" w:rsidP="00F73D5B">
      <w:pPr>
        <w:rPr>
          <w:lang w:val="es-ES_tradnl"/>
        </w:rPr>
      </w:pPr>
      <w:r w:rsidRPr="008B7A21">
        <w:rPr>
          <w:lang w:val="es-ES_tradnl"/>
        </w:rPr>
        <w:t>Otras ventajas previstas asociadas a las subastas son la equidad, la transparencia, la objetividad y la celeridad con que se otorgan las licencias. Con las subastas se puede reducir las oportunidades de favoritismos y de corrupción en la competencia por el espectro, promover la inversión y fomentar el avance tecnológico.</w:t>
      </w:r>
    </w:p>
    <w:p w14:paraId="1E648E60" w14:textId="77777777" w:rsidR="00F73D5B" w:rsidRPr="008B7A21" w:rsidRDefault="00F73D5B" w:rsidP="00F73D5B">
      <w:pPr>
        <w:rPr>
          <w:lang w:val="es-ES_tradnl"/>
        </w:rPr>
      </w:pPr>
      <w:r w:rsidRPr="008B7A21">
        <w:rPr>
          <w:lang w:val="es-ES_tradnl"/>
        </w:rPr>
        <w:t>No obstante, para promover la competencia, puede ser necesario imponer salvaguardias adicionales en los servicios subastados. Por ejemplo, en ciertas situaciones, todos los ofertantes potenciales o parte de ellos pueden ser suministradores dominantes del servicio que tratan de reforzar sus posiciones monopolistas u oligopolistas (número limitado de competidores). Las restricciones en las condiciones de participación o los límites en el ancho de espectro que una entidad puede obtener aliviarían este problema, aunque así se puede limitar el número de participantes.</w:t>
      </w:r>
    </w:p>
    <w:p w14:paraId="12B6C24F" w14:textId="77777777" w:rsidR="00F73D5B" w:rsidRPr="008B7A21" w:rsidRDefault="00F73D5B" w:rsidP="00F73D5B">
      <w:pPr>
        <w:rPr>
          <w:lang w:val="es-ES_tradnl"/>
        </w:rPr>
      </w:pPr>
      <w:r w:rsidRPr="008B7A21">
        <w:rPr>
          <w:lang w:val="es-ES_tradnl"/>
        </w:rPr>
        <w:t>Por último, las subastas pueden ser ineficaces nada prácticas en determinados servicios o situaciones. Un caso es el de la ausencia de competencia en el espectro. Ello puede ocurrir con los sistemas de microondas fijos en los que existen múltiples enlaces individuales con anchuras de haz muy estrechas y emplazamientos muy precisos. Un segundo caso es el de los proveedores de servicios de espectro socialmente deseables, tales como el de la defensa nacional o el de la investigación científica que pueden tropezar con dificultades para otorgar un valor financiero al espectro, lo que podría conducir a una subprestación de dichos servicios a la sociedad, si todos los proveedores de los servicios que utilizan el espectro tuviesen que acudir a subastas. Aunque teóricamente estos servicios podrían reunirse para participar en subastas de espectro, parecen muy lejanas las perspectivas de que esto suceda en país alguno en un próximo futuro. Por último, si las subastas para la concesión de licencias de sistemas de satélites mundiales o regionales, se celebrasen en muchos países, probablemente los proveedores potenciales del servicio tendrían que gastar recursos significativos solamente por participar en dichas subastas y un proceso costoso de este tipo podría dar lugar a demoras en la implantación de los servicios nuevos y avanzados. Además, las subastas sucesivas crearían una incertidumbre significativa entre los posibles proveedores del servicio porque no tendrían la seguridad de ganar las subastas en todos los países en los que deseasen dar el servicio. Si dicha incertidumbre fuese suficientemente grave, podría impedir la prestación del servicio y el desarrollo sistemas internacionales por satélite conforme a lo dispuesto en el actual Reglamento de Radiocomunicaciones de la UIT.</w:t>
      </w:r>
      <w:bookmarkStart w:id="368" w:name="asunto"/>
      <w:bookmarkEnd w:id="368"/>
    </w:p>
    <w:p w14:paraId="0849047A" w14:textId="77777777" w:rsidR="00F73D5B" w:rsidRPr="008B7A21" w:rsidRDefault="00F73D5B" w:rsidP="00F73D5B">
      <w:pPr>
        <w:pStyle w:val="Heading3"/>
        <w:rPr>
          <w:lang w:val="es-ES_tradnl"/>
        </w:rPr>
      </w:pPr>
      <w:bookmarkStart w:id="369" w:name="_Toc396187393"/>
      <w:bookmarkStart w:id="370" w:name="_Toc306276797"/>
      <w:bookmarkStart w:id="371" w:name="_Toc307921476"/>
      <w:bookmarkStart w:id="372" w:name="_Toc307922043"/>
      <w:bookmarkStart w:id="373" w:name="_Toc307922539"/>
      <w:bookmarkStart w:id="374" w:name="_Toc307991888"/>
      <w:bookmarkStart w:id="375" w:name="_Toc307993917"/>
      <w:bookmarkStart w:id="376" w:name="_Toc307995184"/>
      <w:bookmarkStart w:id="377" w:name="_Toc307996323"/>
      <w:bookmarkStart w:id="378" w:name="_Toc308010303"/>
      <w:bookmarkStart w:id="379" w:name="_Toc499562961"/>
      <w:bookmarkStart w:id="380" w:name="_Toc215835339"/>
      <w:r w:rsidRPr="008B7A21">
        <w:rPr>
          <w:lang w:val="es-ES_tradnl"/>
        </w:rPr>
        <w:t>2.3.4</w:t>
      </w:r>
      <w:r w:rsidRPr="008B7A21">
        <w:rPr>
          <w:lang w:val="es-ES_tradnl"/>
        </w:rPr>
        <w:tab/>
        <w:t>Cánones de licencia</w:t>
      </w:r>
      <w:bookmarkEnd w:id="369"/>
      <w:bookmarkEnd w:id="370"/>
      <w:bookmarkEnd w:id="371"/>
      <w:bookmarkEnd w:id="372"/>
      <w:bookmarkEnd w:id="373"/>
      <w:bookmarkEnd w:id="374"/>
      <w:bookmarkEnd w:id="375"/>
      <w:bookmarkEnd w:id="376"/>
      <w:bookmarkEnd w:id="377"/>
      <w:bookmarkEnd w:id="378"/>
      <w:bookmarkEnd w:id="379"/>
      <w:bookmarkEnd w:id="380"/>
    </w:p>
    <w:p w14:paraId="743D8380" w14:textId="77777777" w:rsidR="00F73D5B" w:rsidRPr="008B7A21" w:rsidRDefault="00F73D5B" w:rsidP="00F73D5B">
      <w:pPr>
        <w:rPr>
          <w:lang w:val="es-ES_tradnl"/>
        </w:rPr>
      </w:pPr>
      <w:r w:rsidRPr="008B7A21">
        <w:rPr>
          <w:lang w:val="es-ES_tradnl"/>
        </w:rPr>
        <w:t>Los cánones de licencia representan otro instrumento que puede utilizarse para lograr algunas de las metas y objetivos de los gestores del espectro.</w:t>
      </w:r>
    </w:p>
    <w:p w14:paraId="76EAB4C4" w14:textId="77777777" w:rsidR="00F73D5B" w:rsidRPr="008B7A21" w:rsidRDefault="00F73D5B" w:rsidP="00F73D5B">
      <w:pPr>
        <w:rPr>
          <w:lang w:val="es-ES_tradnl"/>
        </w:rPr>
      </w:pPr>
      <w:r w:rsidRPr="008B7A21">
        <w:rPr>
          <w:lang w:val="es-ES_tradnl"/>
        </w:rPr>
        <w:t>Pueden generarse ingresos y recuperarse al menos parte de las posibles rentas por recursos existentes por la utilización de una determinada banda de frecuencias en una zona concreta estableciendo cánones de licencias. (En algunas administraciones los cánones pueden aplicarse a concesiones, autorizaciones o permisos.) Además, una estructura de canon sencilla, como el cobro de los costes directos del procesamiento de las solicitudes de licencias o por el volumen de espectro utilizado, puede recibir el apoyo del público en general, ya que parece una solución equitativa. Aparte de las subastas, los cánones de licencia pueden también alentar a los usuarios de radiocomunicaciones a hacer elecciones racionales desde el punto de vista económico en relación con el uso del espectro.</w:t>
      </w:r>
    </w:p>
    <w:p w14:paraId="2525B95E" w14:textId="77777777" w:rsidR="00F73D5B" w:rsidRPr="008B7A21" w:rsidRDefault="00F73D5B" w:rsidP="00F73D5B">
      <w:pPr>
        <w:rPr>
          <w:lang w:val="es-ES_tradnl"/>
        </w:rPr>
      </w:pPr>
      <w:r w:rsidRPr="008B7A21">
        <w:rPr>
          <w:lang w:val="es-ES_tradnl"/>
        </w:rPr>
        <w:t>La complejidad de los cánones de licencia va desde un cuadro simple por servicio a una tasa por frecuencia y por estación para cada servicio, o incluso a fórmulas complejas en las que interviene una serie de variables. La mayoría de los países no cobran a las entidades estatales por la utilización del espectro y muchos tampoco cobran otras utilizaciones de interés público, tales como las de las organizaciones sin fines de lucro; no obstante, Australia, Canadá y Reino Unido, entre otros países, cobran a las entidades estatales.</w:t>
      </w:r>
    </w:p>
    <w:p w14:paraId="33450FDC" w14:textId="77777777" w:rsidR="00F73D5B" w:rsidRPr="008B7A21" w:rsidRDefault="00F73D5B" w:rsidP="00F73D5B">
      <w:pPr>
        <w:keepNext/>
        <w:keepLines/>
        <w:rPr>
          <w:lang w:val="es-ES_tradnl"/>
        </w:rPr>
      </w:pPr>
      <w:r w:rsidRPr="008B7A21">
        <w:rPr>
          <w:lang w:val="es-ES_tradnl"/>
        </w:rPr>
        <w:t>Los cánones de licencia pueden aplicarse eficazmente con arreglo a los siguientes principios:</w:t>
      </w:r>
    </w:p>
    <w:p w14:paraId="7B7E340C" w14:textId="77777777" w:rsidR="00F73D5B" w:rsidRPr="008B7A21" w:rsidRDefault="00F73D5B" w:rsidP="00F73D5B">
      <w:pPr>
        <w:pStyle w:val="enumlev1"/>
        <w:rPr>
          <w:lang w:val="es-ES_tradnl"/>
        </w:rPr>
      </w:pPr>
      <w:r w:rsidRPr="008B7A21">
        <w:rPr>
          <w:lang w:val="es-ES_tradnl"/>
        </w:rPr>
        <w:t>–</w:t>
      </w:r>
      <w:r w:rsidRPr="008B7A21">
        <w:rPr>
          <w:lang w:val="es-ES_tradnl"/>
        </w:rPr>
        <w:tab/>
        <w:t>Habría que tomar decisiones e introducir cambios en materia de recaudación de cánones, de forma democrática o recurriendo a la consulta con los usuarios y la industria.</w:t>
      </w:r>
    </w:p>
    <w:p w14:paraId="339FBB5A" w14:textId="77777777" w:rsidR="00F73D5B" w:rsidRPr="008B7A21" w:rsidRDefault="00F73D5B" w:rsidP="00F73D5B">
      <w:pPr>
        <w:pStyle w:val="enumlev1"/>
        <w:rPr>
          <w:lang w:val="es-ES_tradnl"/>
        </w:rPr>
      </w:pPr>
      <w:r w:rsidRPr="008B7A21">
        <w:rPr>
          <w:lang w:val="es-ES_tradnl"/>
        </w:rPr>
        <w:t>–</w:t>
      </w:r>
      <w:r w:rsidRPr="008B7A21">
        <w:rPr>
          <w:lang w:val="es-ES_tradnl"/>
        </w:rPr>
        <w:tab/>
        <w:t>En la fijación de cánones habría que tener en cuenta en la mayor medida posible el valor del espectro.</w:t>
      </w:r>
    </w:p>
    <w:p w14:paraId="11E34371" w14:textId="77777777" w:rsidR="00F73D5B" w:rsidRPr="008B7A21" w:rsidRDefault="00F73D5B" w:rsidP="00F73D5B">
      <w:pPr>
        <w:pStyle w:val="enumlev1"/>
        <w:rPr>
          <w:lang w:val="es-ES_tradnl"/>
        </w:rPr>
      </w:pPr>
      <w:r w:rsidRPr="008B7A21">
        <w:rPr>
          <w:lang w:val="es-ES_tradnl"/>
        </w:rPr>
        <w:t>–</w:t>
      </w:r>
      <w:r w:rsidRPr="008B7A21">
        <w:rPr>
          <w:lang w:val="es-ES_tradnl"/>
        </w:rPr>
        <w:tab/>
        <w:t>Los mecanismos de imposición de cánones deberían ser fáciles de entender y aplicar.</w:t>
      </w:r>
    </w:p>
    <w:p w14:paraId="569EEE10" w14:textId="77777777" w:rsidR="00F73D5B" w:rsidRPr="008B7A21" w:rsidRDefault="00F73D5B" w:rsidP="00F73D5B">
      <w:pPr>
        <w:pStyle w:val="enumlev1"/>
        <w:rPr>
          <w:lang w:val="es-ES_tradnl"/>
        </w:rPr>
      </w:pPr>
      <w:r w:rsidRPr="008B7A21">
        <w:rPr>
          <w:lang w:val="es-ES_tradnl"/>
        </w:rPr>
        <w:t>–</w:t>
      </w:r>
      <w:r w:rsidRPr="008B7A21">
        <w:rPr>
          <w:lang w:val="es-ES_tradnl"/>
        </w:rPr>
        <w:tab/>
        <w:t>Los cánones no deberían ser un obstáculo contra la innovación y la utilización de las nuevas tecnologías de radiocomunicaciones, o con respecto a la competencia.</w:t>
      </w:r>
    </w:p>
    <w:p w14:paraId="2A1FB581" w14:textId="77777777" w:rsidR="00F73D5B" w:rsidRPr="008B7A21" w:rsidRDefault="00F73D5B" w:rsidP="00F73D5B">
      <w:pPr>
        <w:pStyle w:val="enumlev1"/>
        <w:rPr>
          <w:lang w:val="es-ES_tradnl"/>
        </w:rPr>
      </w:pPr>
      <w:r w:rsidRPr="008B7A21">
        <w:rPr>
          <w:lang w:val="es-ES_tradnl"/>
        </w:rPr>
        <w:t>–</w:t>
      </w:r>
      <w:r w:rsidRPr="008B7A21">
        <w:rPr>
          <w:lang w:val="es-ES_tradnl"/>
        </w:rPr>
        <w:tab/>
        <w:t>Los cánones deberían contribuir a la consecución de las metas y objetivos nacionales de los gestores del espectro.</w:t>
      </w:r>
    </w:p>
    <w:p w14:paraId="1D82D99A" w14:textId="77777777" w:rsidR="00F73D5B" w:rsidRPr="008B7A21" w:rsidRDefault="00F73D5B" w:rsidP="00F73D5B">
      <w:pPr>
        <w:rPr>
          <w:lang w:val="es-ES_tradnl"/>
        </w:rPr>
      </w:pPr>
      <w:r w:rsidRPr="008B7A21">
        <w:rPr>
          <w:lang w:val="es-ES_tradnl"/>
        </w:rPr>
        <w:t>Los tipos básicos de cánones son los que se basan en los costes del procesamiento de las solicitudes de licencia, en los ingresos derivados de la utilización del espectro de frecuencias y en fórmulas de canon con incentivo. Los cánones aplicables a la gestión del espectro se basan en los costes directos que han de cubrir los gestores del espectro al tramitar aplicaciones y pueden reflejar también los costes indirectos de gestión del espectro; por ejemplo, costes generales. A los efectos de la gestión nacional del espectro se requieren recursos para desempeñar todas las funciones de gestión del espectro (véase el Capítulo 1). Como se señaló en el § 2.2.4.2, los cánones pueden ser la fuente de esta financiación. Con esto en mente, podrían vincularse los cánones a la actividad de la gestión del espectro realizada, las necesidades anuales de financiación u otros objetivos de gestión del espectro. Estos cánones pueden imponerse cuando se trate de una solicitud inicial o de volver a presentarla con miras a su renovación. También pueden imponerse anualmente para mantener las actividades de gestión del espectro, ya que los usuarios del espectro seguirán beneficiando de dichas actividades, ya sean de comprobación técnica, mantenimiento de bases de datos, representación en la UIT, o de otro tipo incluso después de que se hayan aprobado sus solicitudes. Los diferentes titulares de la licencia se agrupan generalmente en una serie de categorías de licencias a los efectos de fijar los correspondientes cánones. Los cánones basados en los ingresos brutos son proporcionales a los que obtienen los beneficiarios de la licencia por la utilización del espectro. En las fórmulas de canon con incentivo se tiene en cuenta el valor del espectro.</w:t>
      </w:r>
    </w:p>
    <w:p w14:paraId="3FE2A437" w14:textId="77777777" w:rsidR="00F73D5B" w:rsidRPr="008B7A21" w:rsidRDefault="00F73D5B" w:rsidP="00F73D5B">
      <w:pPr>
        <w:rPr>
          <w:lang w:val="es-ES_tradnl"/>
        </w:rPr>
      </w:pPr>
      <w:r w:rsidRPr="008B7A21">
        <w:rPr>
          <w:lang w:val="es-ES_tradnl"/>
        </w:rPr>
        <w:t>Otra opción consiste en cobrar cánones basados en el «coste de oportunidad» de la utilización del espectro. En una subasta, ganará el ofertante que demuestre la máxima disponibilidad a pagar, con una oferta que sea inmediatamente superior a la valoración del ofertante situado en segunda posición en cuanto a disponibilidad de pago. Esta segunda valoración máxima representa la utilización alternativa óptima, o coste de oportunidad, del elemento subastado. Por tanto, en una situación en la que la autoridad de gestión del espectro deba establecer administrativamente cánones de espectro, puede asegurarse una distribución económicamente eficiente si se equipara el canon a este coste de oportunidad o valor del mercado. No obstante, para calcular de forma precisa el coste de oportunidad, debe simularse un mercado en que se determine la disponibilidad de los usuarios del espectro a pagar. Realizar dicha simulación con absoluta precisión es sumamente difícil, pero puede obtenerse un modelo aproximado que pueda hacer de dicha simulación una opción práctica.</w:t>
      </w:r>
    </w:p>
    <w:p w14:paraId="74C29F74" w14:textId="77777777" w:rsidR="00F73D5B" w:rsidRPr="008B7A21" w:rsidRDefault="00F73D5B" w:rsidP="00F73D5B">
      <w:pPr>
        <w:rPr>
          <w:lang w:val="es-ES_tradnl"/>
        </w:rPr>
      </w:pPr>
      <w:r w:rsidRPr="008B7A21">
        <w:rPr>
          <w:lang w:val="es-ES_tradnl"/>
        </w:rPr>
        <w:t>También debe señalarse que en algunos casos las administraciones pueden cobrar cánones sobre la base de equipos o frecuencias individuales, mientras que en otros casos se cobrará un canon único por la utilización de un bloque de frecuencias. Este último método puede aportar mejoras en cuanto a eficacia administrativa.</w:t>
      </w:r>
    </w:p>
    <w:p w14:paraId="696C1E4C" w14:textId="77777777" w:rsidR="00F73D5B" w:rsidRPr="008B7A21" w:rsidRDefault="00F73D5B" w:rsidP="00F73D5B">
      <w:pPr>
        <w:pStyle w:val="Heading4"/>
        <w:rPr>
          <w:lang w:val="es-ES_tradnl"/>
        </w:rPr>
      </w:pPr>
      <w:bookmarkStart w:id="381" w:name="_Toc456491667"/>
      <w:bookmarkStart w:id="382" w:name="_Toc456492111"/>
      <w:bookmarkStart w:id="383" w:name="_Toc456492151"/>
      <w:bookmarkStart w:id="384" w:name="_Toc458355735"/>
      <w:bookmarkStart w:id="385" w:name="_Toc459746651"/>
      <w:bookmarkStart w:id="386" w:name="_Toc459792579"/>
      <w:bookmarkStart w:id="387" w:name="_Toc459793750"/>
      <w:bookmarkStart w:id="388" w:name="_Toc459793892"/>
      <w:bookmarkStart w:id="389" w:name="_Toc476537797"/>
      <w:r w:rsidRPr="008B7A21">
        <w:rPr>
          <w:lang w:val="es-ES_tradnl"/>
        </w:rPr>
        <w:t>2.3.4.1</w:t>
      </w:r>
      <w:r w:rsidRPr="008B7A21">
        <w:rPr>
          <w:lang w:val="es-ES_tradnl"/>
        </w:rPr>
        <w:tab/>
      </w:r>
      <w:bookmarkEnd w:id="381"/>
      <w:bookmarkEnd w:id="382"/>
      <w:bookmarkEnd w:id="383"/>
      <w:bookmarkEnd w:id="384"/>
      <w:bookmarkEnd w:id="385"/>
      <w:bookmarkEnd w:id="386"/>
      <w:bookmarkEnd w:id="387"/>
      <w:bookmarkEnd w:id="388"/>
      <w:bookmarkEnd w:id="389"/>
      <w:r w:rsidRPr="008B7A21">
        <w:rPr>
          <w:lang w:val="es-ES_tradnl"/>
        </w:rPr>
        <w:t>Cánones basados en los costes de gestión del espectro</w:t>
      </w:r>
    </w:p>
    <w:p w14:paraId="73D33EDF" w14:textId="77777777" w:rsidR="00F73D5B" w:rsidRPr="008B7A21" w:rsidRDefault="00F73D5B" w:rsidP="00F73D5B">
      <w:pPr>
        <w:rPr>
          <w:lang w:val="es-ES_tradnl"/>
        </w:rPr>
      </w:pPr>
      <w:r w:rsidRPr="008B7A21">
        <w:rPr>
          <w:lang w:val="es-ES_tradnl"/>
        </w:rPr>
        <w:t>Los cánones basados en los costes de gestión del espectro dependen de dos elementos independientes, a saber, la medida en que las funciones de la autoridad gestora del espectro se incluyen en los costes globales y del método utilizado para determinar los cánones aplicables a cada titular de licencia. Los costes de la autoridad gestora del espectro pueden dividirse en sentido lato en gastos directos e indirectos. Las funciones específicas de gestión del espectro relacionadas con cada uno de estos tipos de costes pueden variar según sea la administración considerada.</w:t>
      </w:r>
    </w:p>
    <w:p w14:paraId="0A1FD51F" w14:textId="77777777" w:rsidR="00F73D5B" w:rsidRPr="008B7A21" w:rsidRDefault="00F73D5B" w:rsidP="00F73D5B">
      <w:pPr>
        <w:pStyle w:val="Heading5"/>
        <w:rPr>
          <w:lang w:val="es-ES_tradnl"/>
        </w:rPr>
      </w:pPr>
      <w:r w:rsidRPr="008B7A21">
        <w:rPr>
          <w:lang w:val="es-ES_tradnl"/>
        </w:rPr>
        <w:t>2.3.4.1.1</w:t>
      </w:r>
      <w:r w:rsidRPr="008B7A21">
        <w:rPr>
          <w:lang w:val="es-ES_tradnl"/>
        </w:rPr>
        <w:tab/>
        <w:t>Costes directos</w:t>
      </w:r>
    </w:p>
    <w:p w14:paraId="023FAD27" w14:textId="77777777" w:rsidR="00F73D5B" w:rsidRPr="008B7A21" w:rsidRDefault="00F73D5B" w:rsidP="00F73D5B">
      <w:pPr>
        <w:rPr>
          <w:lang w:val="es-ES_tradnl"/>
        </w:rPr>
      </w:pPr>
      <w:r w:rsidRPr="008B7A21">
        <w:rPr>
          <w:lang w:val="es-ES_tradnl"/>
        </w:rPr>
        <w:t>Se trata los costes inmediatos e identificables que deben cubrirse por la concesión de licencias en favor de aplicaciones específicas, e incluyen, por ejemplo, el coste del tiempo del personal asignado al proceso de asignación de frecuencia, la autorización de ubicaciones, el análisis de interferencia, cuando éste esté directamente relacionado con una determinada clase de servicio, el mantenimiento sin interferencias de los canales de noticias y entretenimiento, y la consultas a nivel regional, internacional y con la UIT que correspondan a grupos identificables de usuarios. En ciertas bandas de frecuencias y para ciertos servicios, por ejemplo, en el caso de que el equipo se encuentre ubicado a proximidad de países vecinos, los costes directos incluirán los gastos inherentes a la correspondiente consulta internacional.</w:t>
      </w:r>
    </w:p>
    <w:p w14:paraId="5FE26F0F" w14:textId="77777777" w:rsidR="00F73D5B" w:rsidRPr="008B7A21" w:rsidRDefault="00F73D5B" w:rsidP="00F73D5B">
      <w:pPr>
        <w:pStyle w:val="Heading5"/>
        <w:rPr>
          <w:lang w:val="es-ES_tradnl"/>
        </w:rPr>
      </w:pPr>
      <w:r w:rsidRPr="008B7A21">
        <w:rPr>
          <w:lang w:val="es-ES_tradnl"/>
        </w:rPr>
        <w:t>2.3.4.1.2</w:t>
      </w:r>
      <w:r w:rsidRPr="008B7A21">
        <w:rPr>
          <w:lang w:val="es-ES_tradnl"/>
        </w:rPr>
        <w:tab/>
        <w:t>Costes indirectos</w:t>
      </w:r>
    </w:p>
    <w:p w14:paraId="0CCB6DA5" w14:textId="77777777" w:rsidR="00F73D5B" w:rsidRPr="008B7A21" w:rsidRDefault="00F73D5B" w:rsidP="00F73D5B">
      <w:pPr>
        <w:rPr>
          <w:lang w:val="es-ES_tradnl"/>
        </w:rPr>
      </w:pPr>
      <w:r w:rsidRPr="008B7A21">
        <w:rPr>
          <w:lang w:val="es-ES_tradnl"/>
        </w:rPr>
        <w:t>Se trata los costes de las funciones (véase la Nota 1) de gestión del espectro ejecutadas para apoyar el proceso de asignación de frecuencias de una administración y de los gastos generales inherentes a la aplicación de los procedimientos de gestión del espectro de dicha administración. Estos costes representan gastos que no pueden definirse como atribuibles a servicios o a titulares de licencia específicos, por ejemplo, los dimanantes de las consultas internacionales generales, entre otras entidades, con la UIT y los grupos regionales, la investigación sobre propagación en lo que concierne a un gran número de bandas de frecuencias y servicios, la comprobación técnica general del espectro, las investigaciones sobre la interferencia resultantes de las peticiones de usuarios autorizados, así como los costes del personal de apoyo y el equipo.</w:t>
      </w:r>
    </w:p>
    <w:p w14:paraId="7339F93A" w14:textId="77777777" w:rsidR="00F73D5B" w:rsidRPr="008B7A21" w:rsidRDefault="00F73D5B" w:rsidP="00F73D5B">
      <w:pPr>
        <w:rPr>
          <w:lang w:val="es-ES_tradnl"/>
        </w:rPr>
      </w:pPr>
      <w:r w:rsidRPr="008B7A21">
        <w:rPr>
          <w:lang w:val="es-ES_tradnl"/>
        </w:rPr>
        <w:t>Algunas administraciones definen los costes directos de manera muy restrictiva, ya que los circunscriben a los gastos en que se incurre para tramitar las peticiones de licencia. Puede darse el caso de que algunas administraciones no impongan suma alguna en concepto de costes indirectos.</w:t>
      </w:r>
    </w:p>
    <w:p w14:paraId="121B1F4F" w14:textId="77777777" w:rsidR="00F73D5B" w:rsidRPr="008B7A21" w:rsidRDefault="00F73D5B" w:rsidP="00F73D5B">
      <w:pPr>
        <w:rPr>
          <w:lang w:val="es-ES_tradnl"/>
        </w:rPr>
      </w:pPr>
      <w:r w:rsidRPr="008B7A21">
        <w:rPr>
          <w:lang w:val="es-ES_tradnl"/>
        </w:rPr>
        <w:t>Los métodos utilizados para determinar los cánones basándose en los costes de gestión del espectro van al enfoque simplista consistente en dividir los costes totales por el número de titulares de licencias al más complejo de «recuperación de los costes». La recuperación de costes se utiliza para asignar los gastos derivados de las funciones de gestión del espectro a los titulares de licencias con arreglo a los costes que se han debido cubrir para conceder las licencias y los correspondientes al procedimiento conexo de asignación de frecuencias (por ejemplo: asignación de frecuencias, autorización de ubicaciones, coordinación), lo que incluye cualquier otra función o gestión del espectro que resulte necesaria. Normalmente, los cánones de licencia se determinan a partir del principio de la recuperación de los costes directa e indirectamente atribuibles a una determinada categoría de licencias. En ciertos países un auditor nacional interviene las cuentas para cerciorarse que los costes en que se basan los cánones de las licencias sean adecuados y justificables.</w:t>
      </w:r>
    </w:p>
    <w:p w14:paraId="358CC948" w14:textId="77777777" w:rsidR="00F73D5B" w:rsidRPr="008B7A21" w:rsidRDefault="00F73D5B" w:rsidP="00F73D5B">
      <w:pPr>
        <w:rPr>
          <w:lang w:val="es-ES_tradnl"/>
        </w:rPr>
      </w:pPr>
      <w:r w:rsidRPr="008B7A21">
        <w:rPr>
          <w:lang w:val="es-ES_tradnl"/>
        </w:rPr>
        <w:t>La definición exacta y la aplicación del concepto de «recuperación de costes» varía con arreglo a la gestión nacional del espectro y a los requisitos legislativos y constitucionales de cada país. Estos requisitos pueden incidir en la recuperación de los costes en los diferentes países y a afectar la forma de justificar los costes y los cánones. Estas diferencias obedecen a diversas razones:</w:t>
      </w:r>
    </w:p>
    <w:p w14:paraId="75128FBE" w14:textId="77777777" w:rsidR="00F73D5B" w:rsidRPr="008B7A21" w:rsidRDefault="00F73D5B" w:rsidP="00F73D5B">
      <w:pPr>
        <w:pStyle w:val="enumlev1"/>
        <w:rPr>
          <w:lang w:val="es-ES_tradnl"/>
        </w:rPr>
      </w:pPr>
      <w:r w:rsidRPr="008B7A21">
        <w:rPr>
          <w:lang w:val="es-ES_tradnl"/>
        </w:rPr>
        <w:t>a)</w:t>
      </w:r>
      <w:r w:rsidRPr="008B7A21">
        <w:rPr>
          <w:lang w:val="es-ES_tradnl"/>
        </w:rPr>
        <w:tab/>
        <w:t>En algunos países se distingue entre el hecho de que los costes de la administración sean iguales a sus ingresos totales o de que constituyan simplemente una suma aproximada. En el primero de estos casos no se permite a la administración subvencionar o imponer cánones excesivos a los titulares de las licencias, de modo tal que cualquier diferencia deberá devolverse a éstos. En el segundo caso se reconoce que los cánones se basan en una estimación de los costes previstos y, en consecuencia, los ingresos de una administración pueden superar o no los gastos en que haya incurrido. Hay que señalar que en los países que han optado por este último sistema, también pueden intervenirse las cuentas de forma estricta.</w:t>
      </w:r>
    </w:p>
    <w:p w14:paraId="64215BE4" w14:textId="77777777" w:rsidR="00F73D5B" w:rsidRPr="008B7A21" w:rsidRDefault="00F73D5B" w:rsidP="00F73D5B">
      <w:pPr>
        <w:pStyle w:val="enumlev1"/>
        <w:rPr>
          <w:lang w:val="es-ES_tradnl"/>
        </w:rPr>
      </w:pPr>
      <w:r w:rsidRPr="008B7A21">
        <w:rPr>
          <w:lang w:val="es-ES_tradnl"/>
        </w:rPr>
        <w:t>b)</w:t>
      </w:r>
      <w:r w:rsidRPr="008B7A21">
        <w:rPr>
          <w:lang w:val="es-ES_tradnl"/>
        </w:rPr>
        <w:tab/>
        <w:t>Los cánones fijados para recuperar los costes pueden basarse en el trabajo a que da lugar cada licencia o en la media del trabajo que genera una categoría de licencias.</w:t>
      </w:r>
    </w:p>
    <w:p w14:paraId="6ECF1B02" w14:textId="77777777" w:rsidR="00F73D5B" w:rsidRPr="008B7A21" w:rsidRDefault="00F73D5B" w:rsidP="00F73D5B">
      <w:pPr>
        <w:pStyle w:val="enumlev1"/>
        <w:rPr>
          <w:lang w:val="es-ES_tradnl"/>
        </w:rPr>
      </w:pPr>
      <w:r w:rsidRPr="008B7A21">
        <w:rPr>
          <w:lang w:val="es-ES_tradnl"/>
        </w:rPr>
        <w:t>c)</w:t>
      </w:r>
      <w:r w:rsidRPr="008B7A21">
        <w:rPr>
          <w:lang w:val="es-ES_tradnl"/>
        </w:rPr>
        <w:tab/>
        <w:t>La complejidad del proceso de asignación de frecuencias y el número de funciones de gestión del espectro que requieren realizarse para conceder una licencia puede variar debido a:</w:t>
      </w:r>
    </w:p>
    <w:p w14:paraId="1A4C0C1F" w14:textId="77777777" w:rsidR="00F73D5B" w:rsidRPr="008B7A21" w:rsidRDefault="00F73D5B" w:rsidP="00F73D5B">
      <w:pPr>
        <w:pStyle w:val="enumlev2"/>
        <w:rPr>
          <w:lang w:val="es-ES_tradnl"/>
        </w:rPr>
      </w:pPr>
      <w:r w:rsidRPr="008B7A21">
        <w:rPr>
          <w:lang w:val="es-ES_tradnl"/>
        </w:rPr>
        <w:t>–</w:t>
      </w:r>
      <w:r w:rsidRPr="008B7A21">
        <w:rPr>
          <w:lang w:val="es-ES_tradnl"/>
        </w:rPr>
        <w:tab/>
        <w:t>las características nacionales – por ejemplo, el número de usuarios y el hecho de que las condiciones geográficas requieran utilizar una base de datos topográfica detallada;</w:t>
      </w:r>
    </w:p>
    <w:p w14:paraId="7279C66B" w14:textId="77777777" w:rsidR="00F73D5B" w:rsidRPr="008B7A21" w:rsidRDefault="00F73D5B" w:rsidP="00F73D5B">
      <w:pPr>
        <w:pStyle w:val="enumlev2"/>
        <w:rPr>
          <w:lang w:val="es-ES_tradnl"/>
        </w:rPr>
      </w:pPr>
      <w:r w:rsidRPr="008B7A21">
        <w:rPr>
          <w:lang w:val="es-ES_tradnl"/>
        </w:rPr>
        <w:t>–</w:t>
      </w:r>
      <w:r w:rsidRPr="008B7A21">
        <w:rPr>
          <w:lang w:val="es-ES_tradnl"/>
        </w:rPr>
        <w:tab/>
        <w:t>los requisitos internacionales – por ejemplo, tratados bilaterales o multilaterales y notas en el Reglamento de Radiocomunicaciones.</w:t>
      </w:r>
    </w:p>
    <w:p w14:paraId="44BDE9D0" w14:textId="77777777" w:rsidR="00F73D5B" w:rsidRPr="008B7A21" w:rsidRDefault="00F73D5B" w:rsidP="00F73D5B">
      <w:pPr>
        <w:pStyle w:val="enumlev1"/>
        <w:keepNext/>
        <w:keepLines/>
        <w:rPr>
          <w:lang w:val="es-ES_tradnl"/>
        </w:rPr>
      </w:pPr>
      <w:r w:rsidRPr="008B7A21">
        <w:rPr>
          <w:lang w:val="es-ES_tradnl"/>
        </w:rPr>
        <w:t>d)</w:t>
      </w:r>
      <w:r w:rsidRPr="008B7A21">
        <w:rPr>
          <w:lang w:val="es-ES_tradnl"/>
        </w:rPr>
        <w:tab/>
        <w:t>La forma en que los costes correspondientes a cada una de las funciones de gestión del espectro se atribuyan a una determinada categoría de licencias puede ser distinta debido a:</w:t>
      </w:r>
    </w:p>
    <w:p w14:paraId="44BF9C9D" w14:textId="77777777" w:rsidR="00F73D5B" w:rsidRPr="008B7A21" w:rsidRDefault="00F73D5B" w:rsidP="00F73D5B">
      <w:pPr>
        <w:pStyle w:val="enumlev2"/>
        <w:rPr>
          <w:lang w:val="es-ES_tradnl"/>
        </w:rPr>
      </w:pPr>
      <w:r w:rsidRPr="008B7A21">
        <w:rPr>
          <w:lang w:val="es-ES_tradnl"/>
        </w:rPr>
        <w:t>–</w:t>
      </w:r>
      <w:r w:rsidRPr="008B7A21">
        <w:rPr>
          <w:lang w:val="es-ES_tradnl"/>
        </w:rPr>
        <w:tab/>
        <w:t>el hecho de que el gobierno entienda que dichos costes deben correr a cargo de los titulares de las licencias, cubrirse con cánones fijos o ser responsabilidad del Estado (presupuesto nacional) – por ejemplo, ciertas administraciones consideran que la comprobación técnica de emisiones es una función pública;</w:t>
      </w:r>
    </w:p>
    <w:p w14:paraId="05E81AE4" w14:textId="77777777" w:rsidR="00F73D5B" w:rsidRPr="008B7A21" w:rsidRDefault="00F73D5B" w:rsidP="00F73D5B">
      <w:pPr>
        <w:pStyle w:val="enumlev2"/>
        <w:rPr>
          <w:lang w:val="es-ES_tradnl"/>
        </w:rPr>
      </w:pPr>
      <w:r w:rsidRPr="008B7A21">
        <w:rPr>
          <w:lang w:val="es-ES_tradnl"/>
        </w:rPr>
        <w:t>–</w:t>
      </w:r>
      <w:r w:rsidRPr="008B7A21">
        <w:rPr>
          <w:lang w:val="es-ES_tradnl"/>
        </w:rPr>
        <w:tab/>
        <w:t>su división entre costes directos e indirectos.</w:t>
      </w:r>
    </w:p>
    <w:p w14:paraId="345C46DD" w14:textId="77777777" w:rsidR="00F73D5B" w:rsidRPr="008B7A21" w:rsidRDefault="00F73D5B" w:rsidP="00F73D5B">
      <w:pPr>
        <w:rPr>
          <w:lang w:val="es-ES_tradnl"/>
        </w:rPr>
      </w:pPr>
      <w:r w:rsidRPr="008B7A21">
        <w:rPr>
          <w:lang w:val="es-ES_tradnl"/>
        </w:rPr>
        <w:t>Todos estos factores repercutirán en la estructura de los cánones de licencia y los mecanismos creados por las administraciones para supervisar sus ingresos y costes.</w:t>
      </w:r>
    </w:p>
    <w:p w14:paraId="5317624D" w14:textId="77777777" w:rsidR="00F73D5B" w:rsidRPr="008B7A21" w:rsidRDefault="00F73D5B" w:rsidP="00F73D5B">
      <w:pPr>
        <w:pStyle w:val="Note"/>
        <w:rPr>
          <w:lang w:val="es-ES_tradnl"/>
        </w:rPr>
      </w:pPr>
      <w:bookmarkStart w:id="390" w:name="_Toc456491668"/>
      <w:bookmarkStart w:id="391" w:name="_Toc456492112"/>
      <w:bookmarkStart w:id="392" w:name="_Toc456492152"/>
      <w:bookmarkStart w:id="393" w:name="_Toc458355736"/>
      <w:bookmarkStart w:id="394" w:name="_Toc459746652"/>
      <w:bookmarkStart w:id="395" w:name="_Toc459792580"/>
      <w:bookmarkStart w:id="396" w:name="_Toc459793751"/>
      <w:bookmarkStart w:id="397" w:name="_Toc459793893"/>
      <w:bookmarkStart w:id="398" w:name="_Toc476537798"/>
      <w:r w:rsidRPr="008B7A21">
        <w:rPr>
          <w:lang w:val="es-ES_tradnl"/>
        </w:rPr>
        <w:t>NOTA 1 – Existen actividades asociadas con la gestión del espectro que ciertas administraciones consideran independientes de sus costes de concesión de licencias. Estas actividades guardan normalmente relación con los procedimientos de aprobación no directamente relacionados con la asignación de frecuencias. En estos casos, las administraciones suelen fijar una tasa separada, basándose por regla general en un canon simple que no permite recuperar el coste de la correspondiente función. Estos cánones misceláneos de gestión del espectro pueden incluir una homologación, acreditación de prueba de laboratorio, cánones y tasas de comprobaciones de compatibilidad electromagnética, inspección de las instalaciones y examen de los certificados (radioaficionados, exámenes marítimos, etc.).</w:t>
      </w:r>
    </w:p>
    <w:p w14:paraId="432311E5" w14:textId="77777777" w:rsidR="00F73D5B" w:rsidRPr="008B7A21" w:rsidRDefault="00F73D5B" w:rsidP="00F73D5B">
      <w:pPr>
        <w:pStyle w:val="Heading4"/>
        <w:rPr>
          <w:lang w:val="es-ES_tradnl"/>
        </w:rPr>
      </w:pPr>
      <w:r w:rsidRPr="008B7A21">
        <w:rPr>
          <w:lang w:val="es-ES_tradnl"/>
        </w:rPr>
        <w:t>2.3.4.2</w:t>
      </w:r>
      <w:r w:rsidRPr="008B7A21">
        <w:rPr>
          <w:lang w:val="es-ES_tradnl"/>
        </w:rPr>
        <w:tab/>
      </w:r>
      <w:bookmarkEnd w:id="390"/>
      <w:bookmarkEnd w:id="391"/>
      <w:bookmarkEnd w:id="392"/>
      <w:bookmarkEnd w:id="393"/>
      <w:bookmarkEnd w:id="394"/>
      <w:bookmarkEnd w:id="395"/>
      <w:bookmarkEnd w:id="396"/>
      <w:bookmarkEnd w:id="397"/>
      <w:bookmarkEnd w:id="398"/>
      <w:r w:rsidRPr="008B7A21">
        <w:rPr>
          <w:lang w:val="es-ES_tradnl"/>
        </w:rPr>
        <w:t>Cánones basados en el ingreso bruto de los usuarios</w:t>
      </w:r>
    </w:p>
    <w:p w14:paraId="33724393" w14:textId="77777777" w:rsidR="00F73D5B" w:rsidRPr="008B7A21" w:rsidRDefault="00F73D5B" w:rsidP="00F73D5B">
      <w:pPr>
        <w:rPr>
          <w:lang w:val="es-ES_tradnl"/>
        </w:rPr>
      </w:pPr>
      <w:r w:rsidRPr="008B7A21">
        <w:rPr>
          <w:lang w:val="es-ES_tradnl"/>
        </w:rPr>
        <w:t>Cabe la posibilidad de fijar un canon basándose en un determinado porcentaje del ingreso bruto de una empresa. El valor del ingreso bruto utilizado para calcular el correspondiente canon puede guardar relación indirecta con la utilización del espectro por parte de la compañía, lo que permite soslayar las dificultades que suscitan los procedimientos de contabilidad y auditoría de cuentas.</w:t>
      </w:r>
    </w:p>
    <w:p w14:paraId="41973FE2" w14:textId="77777777" w:rsidR="00F73D5B" w:rsidRPr="008B7A21" w:rsidRDefault="00F73D5B" w:rsidP="00F73D5B">
      <w:pPr>
        <w:pStyle w:val="Heading4"/>
        <w:rPr>
          <w:lang w:val="es-ES_tradnl"/>
        </w:rPr>
      </w:pPr>
      <w:bookmarkStart w:id="399" w:name="_Toc456491669"/>
      <w:bookmarkStart w:id="400" w:name="_Toc456492113"/>
      <w:bookmarkStart w:id="401" w:name="_Toc456492153"/>
      <w:bookmarkStart w:id="402" w:name="_Toc458355737"/>
      <w:bookmarkStart w:id="403" w:name="_Toc459746653"/>
      <w:bookmarkStart w:id="404" w:name="_Toc459792581"/>
      <w:bookmarkStart w:id="405" w:name="_Toc459793752"/>
      <w:bookmarkStart w:id="406" w:name="_Toc459793894"/>
      <w:bookmarkStart w:id="407" w:name="_Toc476537799"/>
      <w:r w:rsidRPr="008B7A21">
        <w:rPr>
          <w:lang w:val="es-ES_tradnl"/>
        </w:rPr>
        <w:t>2.3.4.3</w:t>
      </w:r>
      <w:r w:rsidRPr="008B7A21">
        <w:rPr>
          <w:lang w:val="es-ES_tradnl"/>
        </w:rPr>
        <w:tab/>
      </w:r>
      <w:bookmarkEnd w:id="399"/>
      <w:bookmarkEnd w:id="400"/>
      <w:bookmarkEnd w:id="401"/>
      <w:bookmarkEnd w:id="402"/>
      <w:bookmarkEnd w:id="403"/>
      <w:bookmarkEnd w:id="404"/>
      <w:bookmarkEnd w:id="405"/>
      <w:bookmarkEnd w:id="406"/>
      <w:bookmarkEnd w:id="407"/>
      <w:r w:rsidRPr="008B7A21">
        <w:rPr>
          <w:lang w:val="es-ES_tradnl"/>
        </w:rPr>
        <w:t>Cánones con incentivo</w:t>
      </w:r>
    </w:p>
    <w:p w14:paraId="627AA701" w14:textId="77777777" w:rsidR="00F73D5B" w:rsidRPr="008B7A21" w:rsidRDefault="00F73D5B" w:rsidP="00F73D5B">
      <w:pPr>
        <w:rPr>
          <w:lang w:val="es-ES_tradnl"/>
        </w:rPr>
      </w:pPr>
      <w:r w:rsidRPr="008B7A21">
        <w:rPr>
          <w:lang w:val="es-ES_tradnl"/>
        </w:rPr>
        <w:t>La idea es utilizar este tipo de cánones para lograr los objetivos de gestión del espectro, por lo cual habrá que conceder ciertos incentivos para utilizar éste de forma eficaz. Pueden tomarse en consideración varios elementos de la utilización del espectro para establecer un método o una fórmula (basada por ejemplo en la densidad demográfica, la anchura de banda, la banda de frecuencias, la zona de cobertura, la exclusividad o la potencia) y cabe la posibilidad de que deban aplicarse distintas fórmulas para diferentes bandas de frecuencias y servicios. Definir una fórmula con respecto a los cánones con incentivo puede no ser una tarea fácil, si el objetivo es que refleje las variaciones en la utilización del espectro en todo un país. Los cánones con incentivo pueden no ajustarse a todos los servicios.</w:t>
      </w:r>
    </w:p>
    <w:p w14:paraId="1665AC67" w14:textId="77777777" w:rsidR="00F73D5B" w:rsidRPr="008B7A21" w:rsidRDefault="00F73D5B" w:rsidP="00F73D5B">
      <w:pPr>
        <w:pStyle w:val="Heading4"/>
        <w:rPr>
          <w:lang w:val="es-ES_tradnl"/>
        </w:rPr>
      </w:pPr>
      <w:bookmarkStart w:id="408" w:name="_Toc456491670"/>
      <w:bookmarkStart w:id="409" w:name="_Toc456492114"/>
      <w:bookmarkStart w:id="410" w:name="_Toc456492154"/>
      <w:bookmarkStart w:id="411" w:name="_Toc458355738"/>
      <w:bookmarkStart w:id="412" w:name="_Toc459746654"/>
      <w:bookmarkStart w:id="413" w:name="_Toc459792582"/>
      <w:bookmarkStart w:id="414" w:name="_Toc459793753"/>
      <w:bookmarkStart w:id="415" w:name="_Toc459793895"/>
      <w:bookmarkStart w:id="416" w:name="_Toc476537800"/>
      <w:r w:rsidRPr="008B7A21">
        <w:rPr>
          <w:lang w:val="es-ES_tradnl"/>
        </w:rPr>
        <w:t>2.3.4.4</w:t>
      </w:r>
      <w:r w:rsidRPr="008B7A21">
        <w:rPr>
          <w:lang w:val="es-ES_tradnl"/>
        </w:rPr>
        <w:tab/>
      </w:r>
      <w:bookmarkEnd w:id="408"/>
      <w:bookmarkEnd w:id="409"/>
      <w:bookmarkEnd w:id="410"/>
      <w:bookmarkEnd w:id="411"/>
      <w:bookmarkEnd w:id="412"/>
      <w:bookmarkEnd w:id="413"/>
      <w:bookmarkEnd w:id="414"/>
      <w:bookmarkEnd w:id="415"/>
      <w:bookmarkEnd w:id="416"/>
      <w:r w:rsidRPr="008B7A21">
        <w:rPr>
          <w:lang w:val="es-ES_tradnl"/>
        </w:rPr>
        <w:t>Cánones basados en el coste de oportunidad</w:t>
      </w:r>
    </w:p>
    <w:p w14:paraId="5593B97E" w14:textId="77777777" w:rsidR="00F73D5B" w:rsidRPr="008B7A21" w:rsidRDefault="00F73D5B" w:rsidP="00F73D5B">
      <w:pPr>
        <w:rPr>
          <w:lang w:val="es-ES_tradnl"/>
        </w:rPr>
      </w:pPr>
      <w:r w:rsidRPr="008B7A21">
        <w:rPr>
          <w:lang w:val="es-ES_tradnl"/>
        </w:rPr>
        <w:t>Se define como coste de oportunidad el valor de algo cuando se usa en la alternativa más favorable. En el caso del espectro, implica el valor alternativo al que se renuncia cuando se asigna una porción del espectro radioeléctrico a un determinado uso. El objetivo de estos cánones es simular el valor de mercado del espectro, lo que puede exigir la realización de análisis financieros, estimaciones de la demanda y estudios de mercado para obtener dicho valor, así como un nivel apreciable de conocimientos técnicos.</w:t>
      </w:r>
    </w:p>
    <w:p w14:paraId="1F3FFAF4" w14:textId="77777777" w:rsidR="00F73D5B" w:rsidRPr="008B7A21" w:rsidRDefault="00F73D5B" w:rsidP="00F73D5B">
      <w:pPr>
        <w:pStyle w:val="Heading4"/>
        <w:rPr>
          <w:lang w:val="es-ES_tradnl"/>
        </w:rPr>
      </w:pPr>
      <w:r w:rsidRPr="008B7A21">
        <w:rPr>
          <w:lang w:val="es-ES_tradnl"/>
        </w:rPr>
        <w:t>2.3.4.5</w:t>
      </w:r>
      <w:r w:rsidRPr="008B7A21">
        <w:rPr>
          <w:lang w:val="es-ES_tradnl"/>
        </w:rPr>
        <w:tab/>
        <w:t>Ejemplos de cálculo de canon</w:t>
      </w:r>
    </w:p>
    <w:p w14:paraId="748B36DB" w14:textId="77777777" w:rsidR="00F73D5B" w:rsidRPr="008B7A21" w:rsidRDefault="00F73D5B" w:rsidP="00F73D5B">
      <w:pPr>
        <w:rPr>
          <w:lang w:val="es-ES_tradnl"/>
        </w:rPr>
      </w:pPr>
      <w:r w:rsidRPr="008B7A21">
        <w:rPr>
          <w:lang w:val="es-ES_tradnl"/>
        </w:rPr>
        <w:t>Los cánones basados en los costes de gestión del espectro pueden representarse por la función general:</w:t>
      </w:r>
    </w:p>
    <w:p w14:paraId="1BC4760F" w14:textId="01393000" w:rsidR="00F73D5B" w:rsidRPr="008B7A21" w:rsidRDefault="00F73D5B" w:rsidP="00F73D5B">
      <w:pPr>
        <w:pStyle w:val="Equation"/>
        <w:rPr>
          <w:lang w:val="es-ES_tradnl"/>
        </w:rPr>
      </w:pPr>
      <w:r w:rsidRPr="008B7A21">
        <w:rPr>
          <w:lang w:val="es-ES_tradnl"/>
        </w:rPr>
        <w:tab/>
      </w:r>
      <w:r w:rsidRPr="008B7A21">
        <w:rPr>
          <w:lang w:val="es-ES_tradnl"/>
        </w:rPr>
        <w:tab/>
      </w:r>
      <w:r w:rsidRPr="008B7A21">
        <w:rPr>
          <w:i/>
          <w:lang w:val="es-ES_tradnl"/>
        </w:rPr>
        <w:t xml:space="preserve">F </w:t>
      </w:r>
      <w:r w:rsidRPr="008B7A21">
        <w:rPr>
          <w:lang w:val="es-ES_tradnl"/>
        </w:rPr>
        <w:t xml:space="preserve"> </w:t>
      </w:r>
      <w:r w:rsidR="00386EEF">
        <w:rPr>
          <w:lang w:val="es-ES_tradnl"/>
        </w:rPr>
        <w:t>=</w:t>
      </w:r>
      <w:r w:rsidRPr="008B7A21">
        <w:rPr>
          <w:lang w:val="es-ES_tradnl"/>
        </w:rPr>
        <w:t xml:space="preserve">  </w:t>
      </w:r>
      <w:r w:rsidRPr="008B7A21">
        <w:rPr>
          <w:i/>
          <w:lang w:val="es-ES_tradnl"/>
        </w:rPr>
        <w:t>Di</w:t>
      </w:r>
      <w:r w:rsidRPr="008B7A21">
        <w:rPr>
          <w:lang w:val="es-ES_tradnl"/>
        </w:rPr>
        <w:tab/>
        <w:t>(1)</w:t>
      </w:r>
    </w:p>
    <w:p w14:paraId="5AF1D2B9" w14:textId="0C9EDFD4" w:rsidR="00F73D5B" w:rsidRPr="008B7A21" w:rsidRDefault="00F73D5B" w:rsidP="00F73D5B">
      <w:pPr>
        <w:pStyle w:val="Equation"/>
        <w:rPr>
          <w:lang w:val="es-ES_tradnl"/>
        </w:rPr>
      </w:pPr>
      <w:r w:rsidRPr="008B7A21">
        <w:rPr>
          <w:lang w:val="es-ES_tradnl"/>
        </w:rPr>
        <w:tab/>
      </w:r>
      <w:r w:rsidRPr="008B7A21">
        <w:rPr>
          <w:lang w:val="es-ES_tradnl"/>
        </w:rPr>
        <w:tab/>
      </w:r>
      <w:r w:rsidRPr="008B7A21">
        <w:rPr>
          <w:i/>
          <w:lang w:val="es-ES_tradnl"/>
        </w:rPr>
        <w:t>F</w:t>
      </w:r>
      <w:r w:rsidRPr="008B7A21">
        <w:rPr>
          <w:lang w:val="es-ES_tradnl"/>
        </w:rPr>
        <w:t xml:space="preserve">  </w:t>
      </w:r>
      <w:r w:rsidR="00386EEF">
        <w:rPr>
          <w:lang w:val="es-ES_tradnl"/>
        </w:rPr>
        <w:t>=</w:t>
      </w:r>
      <w:r w:rsidRPr="008B7A21">
        <w:rPr>
          <w:lang w:val="es-ES_tradnl"/>
        </w:rPr>
        <w:t xml:space="preserve">  </w:t>
      </w:r>
      <w:r w:rsidRPr="008B7A21">
        <w:rPr>
          <w:i/>
          <w:lang w:val="es-ES_tradnl"/>
        </w:rPr>
        <w:t>f</w:t>
      </w:r>
      <w:r w:rsidRPr="008B7A21">
        <w:rPr>
          <w:i/>
          <w:sz w:val="8"/>
          <w:szCs w:val="8"/>
          <w:lang w:val="es-ES_tradnl"/>
        </w:rPr>
        <w:t> </w:t>
      </w:r>
      <w:r w:rsidRPr="008B7A21">
        <w:rPr>
          <w:lang w:val="es-ES_tradnl"/>
        </w:rPr>
        <w:t>(</w:t>
      </w:r>
      <w:r w:rsidRPr="008B7A21">
        <w:rPr>
          <w:i/>
          <w:lang w:val="es-ES_tradnl"/>
        </w:rPr>
        <w:t>Di</w:t>
      </w:r>
      <w:r w:rsidRPr="008B7A21">
        <w:rPr>
          <w:lang w:val="es-ES_tradnl"/>
        </w:rPr>
        <w:t xml:space="preserve">, </w:t>
      </w:r>
      <w:r w:rsidRPr="008B7A21">
        <w:rPr>
          <w:i/>
          <w:lang w:val="es-ES_tradnl"/>
        </w:rPr>
        <w:t>LiI</w:t>
      </w:r>
      <w:r w:rsidRPr="008B7A21">
        <w:rPr>
          <w:lang w:val="es-ES_tradnl"/>
        </w:rPr>
        <w:t>)</w:t>
      </w:r>
      <w:r w:rsidRPr="008B7A21">
        <w:rPr>
          <w:lang w:val="es-ES_tradnl"/>
        </w:rPr>
        <w:tab/>
        <w:t>(2)</w:t>
      </w:r>
    </w:p>
    <w:p w14:paraId="0A2DE2AB" w14:textId="77777777" w:rsidR="00F73D5B" w:rsidRPr="008B7A21" w:rsidRDefault="00F73D5B" w:rsidP="00F73D5B">
      <w:pPr>
        <w:keepNext/>
        <w:keepLines/>
        <w:rPr>
          <w:lang w:val="es-ES_tradnl"/>
        </w:rPr>
      </w:pPr>
      <w:r w:rsidRPr="008B7A21">
        <w:rPr>
          <w:lang w:val="es-ES_tradnl"/>
        </w:rPr>
        <w:t>siendo:</w:t>
      </w:r>
    </w:p>
    <w:p w14:paraId="1D5D7D56" w14:textId="77777777" w:rsidR="00F73D5B" w:rsidRPr="008B7A21" w:rsidRDefault="00F73D5B" w:rsidP="00F73D5B">
      <w:pPr>
        <w:pStyle w:val="Equationlegend"/>
        <w:rPr>
          <w:lang w:val="es-ES_tradnl"/>
        </w:rPr>
      </w:pPr>
      <w:r w:rsidRPr="008B7A21">
        <w:rPr>
          <w:lang w:val="es-ES_tradnl"/>
        </w:rPr>
        <w:tab/>
      </w:r>
      <w:r w:rsidRPr="008B7A21">
        <w:rPr>
          <w:i/>
          <w:iCs/>
          <w:lang w:val="es-ES_tradnl"/>
        </w:rPr>
        <w:t>F</w:t>
      </w:r>
      <w:r w:rsidRPr="008B7A21">
        <w:rPr>
          <w:rFonts w:ascii="Tms Rmn" w:hAnsi="Tms Rmn"/>
          <w:lang w:val="es-ES_tradnl"/>
        </w:rPr>
        <w:t>:</w:t>
      </w:r>
      <w:r w:rsidRPr="008B7A21">
        <w:rPr>
          <w:lang w:val="es-ES_tradnl"/>
        </w:rPr>
        <w:tab/>
        <w:t>canon de licencia</w:t>
      </w:r>
    </w:p>
    <w:p w14:paraId="269DFD19" w14:textId="77777777" w:rsidR="00F73D5B" w:rsidRPr="008B7A21" w:rsidRDefault="00F73D5B" w:rsidP="00F73D5B">
      <w:pPr>
        <w:pStyle w:val="Equationlegend"/>
        <w:rPr>
          <w:lang w:val="es-ES_tradnl"/>
        </w:rPr>
      </w:pPr>
      <w:r w:rsidRPr="008B7A21">
        <w:rPr>
          <w:lang w:val="es-ES_tradnl"/>
        </w:rPr>
        <w:tab/>
      </w:r>
      <w:r w:rsidRPr="008B7A21">
        <w:rPr>
          <w:i/>
          <w:iCs/>
          <w:lang w:val="es-ES_tradnl"/>
        </w:rPr>
        <w:t>Di</w:t>
      </w:r>
      <w:r w:rsidRPr="008B7A21">
        <w:rPr>
          <w:rFonts w:ascii="Tms Rmn" w:hAnsi="Tms Rmn"/>
          <w:lang w:val="es-ES_tradnl"/>
        </w:rPr>
        <w:t>:</w:t>
      </w:r>
      <w:r w:rsidRPr="008B7A21">
        <w:rPr>
          <w:lang w:val="es-ES_tradnl"/>
        </w:rPr>
        <w:tab/>
        <w:t>costes administrativos directos por el tratamiento de la solicitud</w:t>
      </w:r>
    </w:p>
    <w:p w14:paraId="16036C0B" w14:textId="77777777" w:rsidR="00F73D5B" w:rsidRPr="008B7A21" w:rsidRDefault="00F73D5B" w:rsidP="00F73D5B">
      <w:pPr>
        <w:pStyle w:val="Equationlegend"/>
        <w:rPr>
          <w:lang w:val="es-ES_tradnl"/>
        </w:rPr>
      </w:pPr>
      <w:r w:rsidRPr="008B7A21">
        <w:rPr>
          <w:lang w:val="es-ES_tradnl"/>
        </w:rPr>
        <w:tab/>
      </w:r>
      <w:r w:rsidRPr="008B7A21">
        <w:rPr>
          <w:i/>
          <w:iCs/>
          <w:lang w:val="es-ES_tradnl"/>
        </w:rPr>
        <w:t>Li</w:t>
      </w:r>
      <w:r w:rsidRPr="008B7A21">
        <w:rPr>
          <w:rFonts w:ascii="Tms Rmn" w:hAnsi="Tms Rmn"/>
          <w:lang w:val="es-ES_tradnl"/>
        </w:rPr>
        <w:t>:</w:t>
      </w:r>
      <w:r w:rsidRPr="008B7A21">
        <w:rPr>
          <w:lang w:val="es-ES_tradnl"/>
        </w:rPr>
        <w:tab/>
        <w:t>proporción correspondiente a la licencia de los costes administrativos indirectos</w:t>
      </w:r>
    </w:p>
    <w:p w14:paraId="1C54B22C" w14:textId="77777777" w:rsidR="00F73D5B" w:rsidRPr="008B7A21" w:rsidRDefault="00F73D5B" w:rsidP="00F73D5B">
      <w:pPr>
        <w:pStyle w:val="Equationlegend"/>
        <w:rPr>
          <w:lang w:val="es-ES_tradnl"/>
        </w:rPr>
      </w:pPr>
      <w:r w:rsidRPr="008B7A21">
        <w:rPr>
          <w:lang w:val="es-ES_tradnl"/>
        </w:rPr>
        <w:tab/>
      </w:r>
      <w:r w:rsidRPr="008B7A21">
        <w:rPr>
          <w:i/>
          <w:iCs/>
          <w:lang w:val="es-ES_tradnl"/>
        </w:rPr>
        <w:t>I</w:t>
      </w:r>
      <w:r w:rsidRPr="008B7A21">
        <w:rPr>
          <w:rFonts w:ascii="Tms Rmn" w:hAnsi="Tms Rmn"/>
          <w:lang w:val="es-ES_tradnl"/>
        </w:rPr>
        <w:t>:</w:t>
      </w:r>
      <w:r w:rsidRPr="008B7A21">
        <w:rPr>
          <w:lang w:val="es-ES_tradnl"/>
        </w:rPr>
        <w:tab/>
        <w:t>costes indirectos administrativos totales.</w:t>
      </w:r>
    </w:p>
    <w:p w14:paraId="78440318" w14:textId="77777777" w:rsidR="00F73D5B" w:rsidRPr="008B7A21" w:rsidRDefault="00F73D5B" w:rsidP="00F73D5B">
      <w:pPr>
        <w:rPr>
          <w:lang w:val="es-ES_tradnl"/>
        </w:rPr>
      </w:pPr>
      <w:r w:rsidRPr="008B7A21">
        <w:rPr>
          <w:lang w:val="es-ES_tradnl"/>
        </w:rPr>
        <w:t>Los cánones basados en los ingresos del usuario pueden representarse por la función general:</w:t>
      </w:r>
    </w:p>
    <w:p w14:paraId="6437AA00" w14:textId="09EDD4B1" w:rsidR="00F73D5B" w:rsidRPr="008B7A21" w:rsidRDefault="00F73D5B" w:rsidP="00F73D5B">
      <w:pPr>
        <w:pStyle w:val="Equation"/>
        <w:rPr>
          <w:lang w:val="es-ES_tradnl"/>
        </w:rPr>
      </w:pPr>
      <w:r w:rsidRPr="008B7A21">
        <w:rPr>
          <w:lang w:val="es-ES_tradnl"/>
        </w:rPr>
        <w:tab/>
      </w:r>
      <w:r w:rsidRPr="008B7A21">
        <w:rPr>
          <w:lang w:val="es-ES_tradnl"/>
        </w:rPr>
        <w:tab/>
      </w:r>
      <w:r w:rsidRPr="008B7A21">
        <w:rPr>
          <w:i/>
          <w:lang w:val="es-ES_tradnl"/>
        </w:rPr>
        <w:t>F</w:t>
      </w:r>
      <w:r w:rsidRPr="008B7A21">
        <w:rPr>
          <w:lang w:val="es-ES_tradnl"/>
        </w:rPr>
        <w:t xml:space="preserve">  </w:t>
      </w:r>
      <w:r w:rsidR="00386EEF">
        <w:rPr>
          <w:lang w:val="es-ES_tradnl"/>
        </w:rPr>
        <w:t>=</w:t>
      </w:r>
      <w:r w:rsidRPr="008B7A21">
        <w:rPr>
          <w:lang w:val="es-ES_tradnl"/>
        </w:rPr>
        <w:t xml:space="preserve">  </w:t>
      </w:r>
      <w:r w:rsidRPr="008B7A21">
        <w:rPr>
          <w:i/>
          <w:lang w:val="es-ES_tradnl"/>
        </w:rPr>
        <w:t>f</w:t>
      </w:r>
      <w:r w:rsidRPr="008B7A21">
        <w:rPr>
          <w:i/>
          <w:sz w:val="8"/>
          <w:szCs w:val="8"/>
          <w:lang w:val="es-ES_tradnl"/>
        </w:rPr>
        <w:t> </w:t>
      </w:r>
      <w:r w:rsidRPr="008B7A21">
        <w:rPr>
          <w:lang w:val="es-ES_tradnl"/>
        </w:rPr>
        <w:t>(</w:t>
      </w:r>
      <w:r w:rsidRPr="008B7A21">
        <w:rPr>
          <w:i/>
          <w:lang w:val="es-ES_tradnl"/>
        </w:rPr>
        <w:t>a</w:t>
      </w:r>
      <w:r w:rsidRPr="008B7A21">
        <w:rPr>
          <w:lang w:val="es-ES_tradnl"/>
        </w:rPr>
        <w:t xml:space="preserve">, </w:t>
      </w:r>
      <w:r w:rsidRPr="008B7A21">
        <w:rPr>
          <w:i/>
          <w:lang w:val="es-ES_tradnl"/>
        </w:rPr>
        <w:t>G</w:t>
      </w:r>
      <w:r w:rsidRPr="008B7A21">
        <w:rPr>
          <w:lang w:val="es-ES_tradnl"/>
        </w:rPr>
        <w:t>)</w:t>
      </w:r>
      <w:r w:rsidRPr="008B7A21">
        <w:rPr>
          <w:lang w:val="es-ES_tradnl"/>
        </w:rPr>
        <w:tab/>
        <w:t>(3)</w:t>
      </w:r>
    </w:p>
    <w:p w14:paraId="4681AC9F" w14:textId="77777777" w:rsidR="00F73D5B" w:rsidRPr="008B7A21" w:rsidRDefault="00F73D5B" w:rsidP="00F73D5B">
      <w:pPr>
        <w:rPr>
          <w:lang w:val="es-ES_tradnl"/>
        </w:rPr>
      </w:pPr>
      <w:r w:rsidRPr="008B7A21">
        <w:rPr>
          <w:lang w:val="es-ES_tradnl"/>
        </w:rPr>
        <w:t>siendo:</w:t>
      </w:r>
    </w:p>
    <w:p w14:paraId="77C83BCE" w14:textId="77777777" w:rsidR="00F73D5B" w:rsidRPr="008B7A21" w:rsidRDefault="00F73D5B" w:rsidP="00F73D5B">
      <w:pPr>
        <w:pStyle w:val="Equationlegend"/>
        <w:rPr>
          <w:lang w:val="es-ES_tradnl"/>
        </w:rPr>
      </w:pPr>
      <w:r w:rsidRPr="008B7A21">
        <w:rPr>
          <w:lang w:val="es-ES_tradnl"/>
        </w:rPr>
        <w:tab/>
      </w:r>
      <w:r w:rsidRPr="008B7A21">
        <w:rPr>
          <w:i/>
          <w:iCs/>
          <w:lang w:val="es-ES_tradnl"/>
        </w:rPr>
        <w:t>F</w:t>
      </w:r>
      <w:r w:rsidRPr="008B7A21">
        <w:rPr>
          <w:rFonts w:ascii="Tms Rmn" w:hAnsi="Tms Rmn"/>
          <w:lang w:val="es-ES_tradnl"/>
        </w:rPr>
        <w:t>:</w:t>
      </w:r>
      <w:r w:rsidRPr="008B7A21">
        <w:rPr>
          <w:lang w:val="es-ES_tradnl"/>
        </w:rPr>
        <w:tab/>
        <w:t>canon cobrado al usuario</w:t>
      </w:r>
    </w:p>
    <w:p w14:paraId="57AB4B31" w14:textId="77777777" w:rsidR="00F73D5B" w:rsidRPr="008B7A21" w:rsidRDefault="00F73D5B" w:rsidP="00F73D5B">
      <w:pPr>
        <w:pStyle w:val="Equationlegend"/>
        <w:rPr>
          <w:lang w:val="es-ES_tradnl"/>
        </w:rPr>
      </w:pPr>
      <w:r w:rsidRPr="008B7A21">
        <w:rPr>
          <w:lang w:val="es-ES_tradnl"/>
        </w:rPr>
        <w:tab/>
      </w:r>
      <w:r w:rsidRPr="008B7A21">
        <w:rPr>
          <w:i/>
          <w:iCs/>
          <w:lang w:val="es-ES_tradnl"/>
        </w:rPr>
        <w:t>a</w:t>
      </w:r>
      <w:r w:rsidRPr="008B7A21">
        <w:rPr>
          <w:rFonts w:ascii="Tms Rmn" w:hAnsi="Tms Rmn"/>
          <w:lang w:val="es-ES_tradnl"/>
        </w:rPr>
        <w:t>:</w:t>
      </w:r>
      <w:r w:rsidRPr="008B7A21">
        <w:rPr>
          <w:lang w:val="es-ES_tradnl"/>
        </w:rPr>
        <w:tab/>
        <w:t>factor de proporcionalidad que establece la entidad reguladora</w:t>
      </w:r>
    </w:p>
    <w:p w14:paraId="61706C4B" w14:textId="77777777" w:rsidR="00F73D5B" w:rsidRPr="008B7A21" w:rsidRDefault="00F73D5B" w:rsidP="00F73D5B">
      <w:pPr>
        <w:pStyle w:val="Equationlegend"/>
        <w:rPr>
          <w:lang w:val="es-ES_tradnl"/>
        </w:rPr>
      </w:pPr>
      <w:r w:rsidRPr="008B7A21">
        <w:rPr>
          <w:lang w:val="es-ES_tradnl"/>
        </w:rPr>
        <w:tab/>
      </w:r>
      <w:r w:rsidRPr="008B7A21">
        <w:rPr>
          <w:i/>
          <w:iCs/>
          <w:lang w:val="es-ES_tradnl"/>
        </w:rPr>
        <w:t>G</w:t>
      </w:r>
      <w:r w:rsidRPr="008B7A21">
        <w:rPr>
          <w:rFonts w:ascii="Tms Rmn" w:hAnsi="Tms Rmn"/>
          <w:lang w:val="es-ES_tradnl"/>
        </w:rPr>
        <w:t>:</w:t>
      </w:r>
      <w:r w:rsidRPr="008B7A21">
        <w:rPr>
          <w:lang w:val="es-ES_tradnl"/>
        </w:rPr>
        <w:tab/>
        <w:t>ingreso bruto del usuario.</w:t>
      </w:r>
    </w:p>
    <w:p w14:paraId="30F75CC1" w14:textId="77777777" w:rsidR="00F73D5B" w:rsidRPr="008B7A21" w:rsidRDefault="00F73D5B" w:rsidP="00F73D5B">
      <w:pPr>
        <w:keepNext/>
        <w:keepLines/>
        <w:rPr>
          <w:lang w:val="es-ES_tradnl"/>
        </w:rPr>
      </w:pPr>
      <w:r w:rsidRPr="008B7A21">
        <w:rPr>
          <w:lang w:val="es-ES_tradnl"/>
        </w:rPr>
        <w:t>Las fórmulas de canon con incentivo pueden representarse por la función general:</w:t>
      </w:r>
    </w:p>
    <w:p w14:paraId="1CAE13FC" w14:textId="0BB83CEE" w:rsidR="00F73D5B" w:rsidRPr="008B7A21" w:rsidRDefault="00F73D5B" w:rsidP="00F73D5B">
      <w:pPr>
        <w:pStyle w:val="Equation"/>
        <w:rPr>
          <w:lang w:val="es-ES_tradnl"/>
        </w:rPr>
      </w:pPr>
      <w:r w:rsidRPr="008B7A21">
        <w:rPr>
          <w:lang w:val="es-ES_tradnl"/>
        </w:rPr>
        <w:tab/>
      </w:r>
      <w:r w:rsidRPr="008B7A21">
        <w:rPr>
          <w:lang w:val="es-ES_tradnl"/>
        </w:rPr>
        <w:tab/>
      </w:r>
      <w:r w:rsidRPr="008B7A21">
        <w:rPr>
          <w:i/>
          <w:lang w:val="es-ES_tradnl"/>
        </w:rPr>
        <w:t>F</w:t>
      </w:r>
      <w:r w:rsidRPr="008B7A21">
        <w:rPr>
          <w:lang w:val="es-ES_tradnl"/>
        </w:rPr>
        <w:t xml:space="preserve">  </w:t>
      </w:r>
      <w:r w:rsidR="00386EEF">
        <w:rPr>
          <w:lang w:val="es-ES_tradnl"/>
        </w:rPr>
        <w:t>=</w:t>
      </w:r>
      <w:r w:rsidRPr="008B7A21">
        <w:rPr>
          <w:lang w:val="es-ES_tradnl"/>
        </w:rPr>
        <w:t xml:space="preserve">  </w:t>
      </w:r>
      <w:r w:rsidRPr="008B7A21">
        <w:rPr>
          <w:i/>
          <w:lang w:val="es-ES_tradnl"/>
        </w:rPr>
        <w:t>f</w:t>
      </w:r>
      <w:r w:rsidRPr="008B7A21">
        <w:rPr>
          <w:i/>
          <w:sz w:val="8"/>
          <w:szCs w:val="8"/>
          <w:lang w:val="es-ES_tradnl"/>
        </w:rPr>
        <w:t> </w:t>
      </w:r>
      <w:r w:rsidRPr="008B7A21">
        <w:rPr>
          <w:lang w:val="es-ES_tradnl"/>
        </w:rPr>
        <w:t>(</w:t>
      </w:r>
      <w:r w:rsidRPr="008B7A21">
        <w:rPr>
          <w:i/>
          <w:lang w:val="es-ES_tradnl"/>
        </w:rPr>
        <w:t>B, C, S, E,</w:t>
      </w:r>
      <w:r w:rsidRPr="008B7A21">
        <w:rPr>
          <w:lang w:val="es-ES_tradnl"/>
        </w:rPr>
        <w:t xml:space="preserve"> </w:t>
      </w:r>
      <w:r w:rsidRPr="008B7A21">
        <w:rPr>
          <w:i/>
          <w:lang w:val="es-ES_tradnl"/>
        </w:rPr>
        <w:t>F</w:t>
      </w:r>
      <w:r w:rsidRPr="008B7A21">
        <w:rPr>
          <w:i/>
          <w:vertAlign w:val="subscript"/>
          <w:lang w:val="es-ES_tradnl"/>
        </w:rPr>
        <w:t>R</w:t>
      </w:r>
      <w:r w:rsidRPr="008B7A21">
        <w:rPr>
          <w:lang w:val="es-ES_tradnl"/>
        </w:rPr>
        <w:t xml:space="preserve">, </w:t>
      </w:r>
      <w:r w:rsidRPr="008B7A21">
        <w:rPr>
          <w:i/>
          <w:lang w:val="es-ES_tradnl"/>
        </w:rPr>
        <w:t>F</w:t>
      </w:r>
      <w:r w:rsidRPr="008B7A21">
        <w:rPr>
          <w:i/>
          <w:vertAlign w:val="subscript"/>
          <w:lang w:val="es-ES_tradnl"/>
        </w:rPr>
        <w:t>C</w:t>
      </w:r>
      <w:r w:rsidRPr="008B7A21">
        <w:rPr>
          <w:lang w:val="es-ES_tradnl"/>
        </w:rPr>
        <w:t>)</w:t>
      </w:r>
      <w:r w:rsidRPr="008B7A21">
        <w:rPr>
          <w:lang w:val="es-ES_tradnl"/>
        </w:rPr>
        <w:tab/>
        <w:t>(4)</w:t>
      </w:r>
    </w:p>
    <w:p w14:paraId="5D41630B" w14:textId="77777777" w:rsidR="00F73D5B" w:rsidRPr="008B7A21" w:rsidRDefault="00F73D5B" w:rsidP="00F73D5B">
      <w:pPr>
        <w:rPr>
          <w:lang w:val="es-ES_tradnl"/>
        </w:rPr>
      </w:pPr>
      <w:r w:rsidRPr="008B7A21">
        <w:rPr>
          <w:lang w:val="es-ES_tradnl"/>
        </w:rPr>
        <w:t>siendo:</w:t>
      </w:r>
    </w:p>
    <w:p w14:paraId="30817530" w14:textId="77777777" w:rsidR="00F73D5B" w:rsidRPr="008B7A21" w:rsidRDefault="00F73D5B" w:rsidP="00F73D5B">
      <w:pPr>
        <w:pStyle w:val="Equationlegend"/>
        <w:rPr>
          <w:lang w:val="es-ES_tradnl"/>
        </w:rPr>
      </w:pPr>
      <w:r w:rsidRPr="008B7A21">
        <w:rPr>
          <w:lang w:val="es-ES_tradnl"/>
        </w:rPr>
        <w:tab/>
      </w:r>
      <w:r w:rsidRPr="008B7A21">
        <w:rPr>
          <w:i/>
          <w:iCs/>
          <w:lang w:val="es-ES_tradnl"/>
        </w:rPr>
        <w:t>F</w:t>
      </w:r>
      <w:r w:rsidRPr="008B7A21">
        <w:rPr>
          <w:rFonts w:ascii="Tms Rmn" w:hAnsi="Tms Rmn"/>
          <w:lang w:val="es-ES_tradnl"/>
        </w:rPr>
        <w:t>:</w:t>
      </w:r>
      <w:r w:rsidRPr="008B7A21">
        <w:rPr>
          <w:lang w:val="es-ES_tradnl"/>
        </w:rPr>
        <w:tab/>
        <w:t>canon cobrado al beneficiario</w:t>
      </w:r>
    </w:p>
    <w:p w14:paraId="71798442" w14:textId="77777777" w:rsidR="00F73D5B" w:rsidRPr="008B7A21" w:rsidRDefault="00F73D5B" w:rsidP="00F73D5B">
      <w:pPr>
        <w:pStyle w:val="Equationlegend"/>
        <w:rPr>
          <w:lang w:val="es-ES_tradnl"/>
        </w:rPr>
      </w:pPr>
      <w:r w:rsidRPr="008B7A21">
        <w:rPr>
          <w:lang w:val="es-ES_tradnl"/>
        </w:rPr>
        <w:tab/>
      </w:r>
      <w:r w:rsidRPr="008B7A21">
        <w:rPr>
          <w:i/>
          <w:iCs/>
          <w:lang w:val="es-ES_tradnl"/>
        </w:rPr>
        <w:t>B</w:t>
      </w:r>
      <w:r w:rsidRPr="008B7A21">
        <w:rPr>
          <w:rFonts w:ascii="Tms Rmn" w:hAnsi="Tms Rmn"/>
          <w:lang w:val="es-ES_tradnl"/>
        </w:rPr>
        <w:t>:</w:t>
      </w:r>
      <w:r w:rsidRPr="008B7A21">
        <w:rPr>
          <w:lang w:val="es-ES_tradnl"/>
        </w:rPr>
        <w:tab/>
        <w:t>anchura de banda</w:t>
      </w:r>
    </w:p>
    <w:p w14:paraId="5DD3BF4D" w14:textId="77777777" w:rsidR="00F73D5B" w:rsidRPr="008B7A21" w:rsidRDefault="00F73D5B" w:rsidP="00F73D5B">
      <w:pPr>
        <w:pStyle w:val="Equationlegend"/>
        <w:rPr>
          <w:lang w:val="es-ES_tradnl"/>
        </w:rPr>
      </w:pPr>
      <w:r w:rsidRPr="008B7A21">
        <w:rPr>
          <w:lang w:val="es-ES_tradnl"/>
        </w:rPr>
        <w:tab/>
      </w:r>
      <w:r w:rsidRPr="008B7A21">
        <w:rPr>
          <w:i/>
          <w:iCs/>
          <w:lang w:val="es-ES_tradnl"/>
        </w:rPr>
        <w:t>C</w:t>
      </w:r>
      <w:r w:rsidRPr="008B7A21">
        <w:rPr>
          <w:rFonts w:ascii="Tms Rmn" w:hAnsi="Tms Rmn"/>
          <w:lang w:val="es-ES_tradnl"/>
        </w:rPr>
        <w:t>:</w:t>
      </w:r>
      <w:r w:rsidRPr="008B7A21">
        <w:rPr>
          <w:lang w:val="es-ES_tradnl"/>
        </w:rPr>
        <w:tab/>
        <w:t>zona de cobertura</w:t>
      </w:r>
    </w:p>
    <w:p w14:paraId="1F5ED965" w14:textId="77777777" w:rsidR="00F73D5B" w:rsidRPr="008B7A21" w:rsidRDefault="00F73D5B" w:rsidP="00F73D5B">
      <w:pPr>
        <w:pStyle w:val="Equationlegend"/>
        <w:rPr>
          <w:lang w:val="es-ES_tradnl"/>
        </w:rPr>
      </w:pPr>
      <w:r w:rsidRPr="008B7A21">
        <w:rPr>
          <w:lang w:val="es-ES_tradnl"/>
        </w:rPr>
        <w:tab/>
      </w:r>
      <w:r w:rsidRPr="008B7A21">
        <w:rPr>
          <w:i/>
          <w:iCs/>
          <w:lang w:val="es-ES_tradnl"/>
        </w:rPr>
        <w:t>S</w:t>
      </w:r>
      <w:r w:rsidRPr="008B7A21">
        <w:rPr>
          <w:rFonts w:ascii="Tms Rmn" w:hAnsi="Tms Rmn"/>
          <w:lang w:val="es-ES_tradnl"/>
        </w:rPr>
        <w:t>:</w:t>
      </w:r>
      <w:r w:rsidRPr="008B7A21">
        <w:rPr>
          <w:lang w:val="es-ES_tradnl"/>
        </w:rPr>
        <w:tab/>
        <w:t>ubicación</w:t>
      </w:r>
    </w:p>
    <w:p w14:paraId="14C6CB2A" w14:textId="77777777" w:rsidR="00F73D5B" w:rsidRPr="008B7A21" w:rsidRDefault="00F73D5B" w:rsidP="00F73D5B">
      <w:pPr>
        <w:pStyle w:val="Equationlegend"/>
        <w:rPr>
          <w:lang w:val="es-ES_tradnl"/>
        </w:rPr>
      </w:pPr>
      <w:r w:rsidRPr="008B7A21">
        <w:rPr>
          <w:lang w:val="es-ES_tradnl"/>
        </w:rPr>
        <w:tab/>
      </w:r>
      <w:r w:rsidRPr="008B7A21">
        <w:rPr>
          <w:i/>
          <w:iCs/>
          <w:lang w:val="es-ES_tradnl"/>
        </w:rPr>
        <w:t>E</w:t>
      </w:r>
      <w:r w:rsidRPr="008B7A21">
        <w:rPr>
          <w:rFonts w:ascii="Tms Rmn" w:hAnsi="Tms Rmn"/>
          <w:lang w:val="es-ES_tradnl"/>
        </w:rPr>
        <w:t>:</w:t>
      </w:r>
      <w:r w:rsidRPr="008B7A21">
        <w:rPr>
          <w:lang w:val="es-ES_tradnl"/>
        </w:rPr>
        <w:tab/>
        <w:t>exclusividad de utilización</w:t>
      </w:r>
    </w:p>
    <w:p w14:paraId="296CCB13" w14:textId="77777777" w:rsidR="00F73D5B" w:rsidRPr="008B7A21" w:rsidRDefault="00F73D5B" w:rsidP="00F73D5B">
      <w:pPr>
        <w:pStyle w:val="Equationlegend"/>
        <w:rPr>
          <w:lang w:val="es-ES_tradnl"/>
        </w:rPr>
      </w:pPr>
      <w:r w:rsidRPr="008B7A21">
        <w:rPr>
          <w:lang w:val="es-ES_tradnl"/>
        </w:rPr>
        <w:tab/>
      </w:r>
      <w:r w:rsidRPr="008B7A21">
        <w:rPr>
          <w:i/>
          <w:iCs/>
          <w:lang w:val="es-ES_tradnl"/>
        </w:rPr>
        <w:t>F</w:t>
      </w:r>
      <w:r w:rsidRPr="008B7A21">
        <w:rPr>
          <w:i/>
          <w:iCs/>
          <w:vertAlign w:val="subscript"/>
          <w:lang w:val="es-ES_tradnl"/>
        </w:rPr>
        <w:t>R</w:t>
      </w:r>
      <w:r w:rsidRPr="008B7A21">
        <w:rPr>
          <w:rFonts w:ascii="Tms Rmn" w:hAnsi="Tms Rmn"/>
          <w:lang w:val="es-ES_tradnl"/>
        </w:rPr>
        <w:t>:</w:t>
      </w:r>
      <w:r w:rsidRPr="008B7A21">
        <w:rPr>
          <w:lang w:val="es-ES_tradnl"/>
        </w:rPr>
        <w:tab/>
        <w:t>frecuencia</w:t>
      </w:r>
    </w:p>
    <w:p w14:paraId="4DB74FF3" w14:textId="77777777" w:rsidR="00F73D5B" w:rsidRPr="008B7A21" w:rsidRDefault="00F73D5B" w:rsidP="00F73D5B">
      <w:pPr>
        <w:pStyle w:val="Equationlegend"/>
        <w:rPr>
          <w:lang w:val="es-ES_tradnl"/>
        </w:rPr>
      </w:pPr>
      <w:r w:rsidRPr="008B7A21">
        <w:rPr>
          <w:lang w:val="es-ES_tradnl"/>
        </w:rPr>
        <w:tab/>
      </w:r>
      <w:r w:rsidRPr="008B7A21">
        <w:rPr>
          <w:i/>
          <w:iCs/>
          <w:lang w:val="es-ES_tradnl"/>
        </w:rPr>
        <w:t>F</w:t>
      </w:r>
      <w:r w:rsidRPr="008B7A21">
        <w:rPr>
          <w:i/>
          <w:iCs/>
          <w:vertAlign w:val="subscript"/>
          <w:lang w:val="es-ES_tradnl"/>
        </w:rPr>
        <w:t>C</w:t>
      </w:r>
      <w:r w:rsidRPr="008B7A21">
        <w:rPr>
          <w:rFonts w:ascii="Tms Rmn" w:hAnsi="Tms Rmn"/>
          <w:lang w:val="es-ES_tradnl"/>
        </w:rPr>
        <w:t>:</w:t>
      </w:r>
      <w:r w:rsidRPr="008B7A21">
        <w:rPr>
          <w:lang w:val="es-ES_tradnl"/>
        </w:rPr>
        <w:tab/>
        <w:t>coeficiente financiero de la administración.</w:t>
      </w:r>
    </w:p>
    <w:p w14:paraId="0C82F206" w14:textId="77777777" w:rsidR="00F73D5B" w:rsidRPr="008B7A21" w:rsidRDefault="00F73D5B" w:rsidP="00F73D5B">
      <w:pPr>
        <w:rPr>
          <w:lang w:val="es-ES_tradnl"/>
        </w:rPr>
      </w:pPr>
      <w:r w:rsidRPr="008B7A21">
        <w:rPr>
          <w:lang w:val="es-ES_tradnl"/>
        </w:rPr>
        <w:t>También pueden utilizarse fórmulas basadas en el coste de oportunidad que se asemejan a las de los cánones con incentivo. No obstante, en este caso se fijará el coeficiente financiero de la administración (</w:t>
      </w:r>
      <w:r w:rsidRPr="008B7A21">
        <w:rPr>
          <w:i/>
          <w:iCs/>
          <w:lang w:val="es-ES_tradnl"/>
        </w:rPr>
        <w:t>F</w:t>
      </w:r>
      <w:r w:rsidRPr="008B7A21">
        <w:rPr>
          <w:i/>
          <w:iCs/>
          <w:vertAlign w:val="subscript"/>
          <w:lang w:val="es-ES_tradnl"/>
        </w:rPr>
        <w:t>C</w:t>
      </w:r>
      <w:r w:rsidRPr="008B7A21">
        <w:rPr>
          <w:rFonts w:ascii="Tms Rmn" w:hAnsi="Tms Rmn"/>
          <w:position w:val="-4"/>
          <w:sz w:val="6"/>
          <w:lang w:val="es-ES_tradnl"/>
        </w:rPr>
        <w:t> </w:t>
      </w:r>
      <w:r w:rsidRPr="008B7A21">
        <w:rPr>
          <w:lang w:val="es-ES_tradnl"/>
        </w:rPr>
        <w:t>) para aproximar el canon al valor de mercado del espectro.</w:t>
      </w:r>
    </w:p>
    <w:p w14:paraId="168B945E" w14:textId="77777777" w:rsidR="00F73D5B" w:rsidRPr="008B7A21" w:rsidRDefault="00F73D5B" w:rsidP="00F73D5B">
      <w:pPr>
        <w:rPr>
          <w:lang w:val="es-ES_tradnl"/>
        </w:rPr>
      </w:pPr>
      <w:r w:rsidRPr="008B7A21">
        <w:rPr>
          <w:lang w:val="es-ES_tradnl"/>
        </w:rPr>
        <w:t>Algunas de las fórmulas anteriores y las que figuran en otros textos de la UIT llevan un factor arbitrario que establece la administración. La utilización de dicho factor significa que el canon resultante es de por sí arbitrario. Algunos países han aplicado o están considerando la aplicación de modelos de cánones basados en las diversas funciones generales descritas. En los países que se elaboran modelos de cánones con incentivo o de cánones sobre el coste de oportunidad, se ha reconocido que se trata de una tarea compleja y algunas administraciones efectúan encuestas públicas antes de la implantación.</w:t>
      </w:r>
    </w:p>
    <w:p w14:paraId="03C798DE" w14:textId="77777777" w:rsidR="00F73D5B" w:rsidRPr="008B7A21" w:rsidRDefault="00F73D5B" w:rsidP="00F73D5B">
      <w:pPr>
        <w:pStyle w:val="Heading3"/>
        <w:rPr>
          <w:lang w:val="es-ES_tradnl"/>
        </w:rPr>
      </w:pPr>
      <w:bookmarkStart w:id="417" w:name="_Toc396187394"/>
      <w:bookmarkStart w:id="418" w:name="_Toc306276798"/>
      <w:bookmarkStart w:id="419" w:name="_Toc307921477"/>
      <w:bookmarkStart w:id="420" w:name="_Toc307922044"/>
      <w:bookmarkStart w:id="421" w:name="_Toc307922540"/>
      <w:bookmarkStart w:id="422" w:name="_Toc307991889"/>
      <w:bookmarkStart w:id="423" w:name="_Toc307993918"/>
      <w:bookmarkStart w:id="424" w:name="_Toc307995185"/>
      <w:bookmarkStart w:id="425" w:name="_Toc307996324"/>
      <w:bookmarkStart w:id="426" w:name="_Toc308010304"/>
      <w:bookmarkStart w:id="427" w:name="_Toc499562962"/>
      <w:bookmarkStart w:id="428" w:name="_Toc215835340"/>
      <w:bookmarkStart w:id="429" w:name="_Toc396187395"/>
      <w:r w:rsidRPr="008B7A21">
        <w:rPr>
          <w:lang w:val="es-ES_tradnl"/>
        </w:rPr>
        <w:t>2.3.5</w:t>
      </w:r>
      <w:r w:rsidRPr="008B7A21">
        <w:rPr>
          <w:lang w:val="es-ES_tradnl"/>
        </w:rPr>
        <w:tab/>
        <w:t>Ventajas e inconvenientes de los métodos de canon</w:t>
      </w:r>
      <w:bookmarkEnd w:id="417"/>
      <w:bookmarkEnd w:id="418"/>
      <w:bookmarkEnd w:id="419"/>
      <w:bookmarkEnd w:id="420"/>
      <w:bookmarkEnd w:id="421"/>
      <w:bookmarkEnd w:id="422"/>
      <w:bookmarkEnd w:id="423"/>
      <w:bookmarkEnd w:id="424"/>
      <w:bookmarkEnd w:id="425"/>
      <w:bookmarkEnd w:id="426"/>
      <w:bookmarkEnd w:id="427"/>
      <w:bookmarkEnd w:id="428"/>
    </w:p>
    <w:p w14:paraId="1B403167" w14:textId="77777777" w:rsidR="00F73D5B" w:rsidRPr="008B7A21" w:rsidRDefault="00F73D5B" w:rsidP="00F73D5B">
      <w:pPr>
        <w:rPr>
          <w:lang w:val="es-ES_tradnl"/>
        </w:rPr>
      </w:pPr>
      <w:r w:rsidRPr="008B7A21">
        <w:rPr>
          <w:lang w:val="es-ES_tradnl"/>
        </w:rPr>
        <w:t>En términos de sus efectos en la eficacia económica, los cánones de espectro constituyen una mejora respecto a la concesión de licencias sin cargo, siempre que los cánones no se fijen por encima del valor del mercado. Si son superiores, el espectro no se utilizará plenamente. De hecho, si se establecen cánones superiores a la disponibilidad a pagar de todos los usuarios potenciales, el espectro no será utilizado y no dará beneficios a la sociedad. Por otro lado, si los cánones se fijan por debajo del valor del mercado, la eficacia económica mejorará aun cuando siga habiendo un exceso de demanda del espectro, y los ingresos para la autoridad de gestión del espectro serán inferiores a los que determine el mercado. Las consecuencias adversas del establecimiento de cánones demasiado bajos son que el espectro podría potencialmente desperdiciarse y que la congestión del espectro podría aumentar.</w:t>
      </w:r>
      <w:bookmarkEnd w:id="429"/>
    </w:p>
    <w:p w14:paraId="08B3EB1A" w14:textId="77777777" w:rsidR="00F73D5B" w:rsidRPr="008B7A21" w:rsidRDefault="00F73D5B" w:rsidP="00F73D5B">
      <w:pPr>
        <w:rPr>
          <w:lang w:val="es-ES_tradnl"/>
        </w:rPr>
      </w:pPr>
      <w:r w:rsidRPr="008B7A21">
        <w:rPr>
          <w:lang w:val="es-ES_tradnl"/>
        </w:rPr>
        <w:t>Por ejemplo, supóngase que hay un proveedor del servicio que utiliza dos bloques de espectro y paga un canon con valor inferior al del mercado de 100 $ por bloque o 200 $ en total. Supóngase también que adquiriendo un equipo más eficaz espectralmente por 150 $, podría darse el mismo servicio utilizando únicamente un bloque de espectro. El proveedor de servicio racional comprobará que la segunda alternativa tiene un coste total superior, de 250 $ (150 $ por el nuevo equipo y 100 $ por el bloque único de espectro) y, por tanto, no optará por ella. No obstante, si se cobra el valor real del mercado del espectro de, por ejemplo, 175 $ por bloque, el proveedor del servicio preferirá comprar el nuevo equipo y retener un bloque de espectro por un coste total de 325 $, en lugar de un coste total de 350 $ si mantiene el equipo antiguo y ambos bloques de espectro. Una vez que este bloque de espectro haya quedado libre, puede ser utilizado por otro, lo que significa que el público recibe entonces los beneficios de dos servicios a través del mismo tramo de espectro que se utilizaría para dar únicamente un servicio.</w:t>
      </w:r>
    </w:p>
    <w:p w14:paraId="794EFE23" w14:textId="77777777" w:rsidR="00F73D5B" w:rsidRPr="008B7A21" w:rsidRDefault="00F73D5B" w:rsidP="00F73D5B">
      <w:pPr>
        <w:rPr>
          <w:lang w:val="es-ES_tradnl"/>
        </w:rPr>
      </w:pPr>
      <w:r w:rsidRPr="008B7A21">
        <w:rPr>
          <w:lang w:val="es-ES_tradnl"/>
        </w:rPr>
        <w:t>Un problema similar creado por los cánones inferiores al valor del mercado es la posibilidad de que los servicios desperdicien el espectro. Por ejemplo, algunos servicios, tales como el de distribución de programación de televisión, pueden darse por medios alámbricos o inalámbricos. Otros servicios, tales como el de telefonía móvil, pueden darse únicamente por medio del espectro radioeléctrico. Cuando se fijan los precios de todos los recursos (espectro, cable de fibra óptica, hilo de cobre, etc.) a las tasas del mercado, los proveedores del servicio optarán por la combinación de estos componentes que sea congruente con una distribución eficaz desde el punto de vista económico. Sin embargo, si el precio del espectro se fija a un nivel inferior a su valor de mercado, los proveedores del servicio (tales como los distribuidores de programación de televisión) que tengan la opción de utilizar infraestructuras alámbricas o inalámbricas en sus actividades, estarán inclinados a utilizar más espectro y menos de las diversas alternativas a éste disponibles. Cuando más espectro se utilice en la televisión menos quedará para otros servicios, tales como el de telefonía móvil, lo que significa que el número total de servicios disponibles para el público habrá disminuido – obviamente, dando un resultado ineficaz.</w:t>
      </w:r>
    </w:p>
    <w:p w14:paraId="66787FAC" w14:textId="77777777" w:rsidR="00F73D5B" w:rsidRPr="008B7A21" w:rsidRDefault="00F73D5B" w:rsidP="00F73D5B">
      <w:pPr>
        <w:rPr>
          <w:lang w:val="es-ES_tradnl"/>
        </w:rPr>
      </w:pPr>
      <w:r w:rsidRPr="008B7A21">
        <w:rPr>
          <w:lang w:val="es-ES_tradnl"/>
        </w:rPr>
        <w:t>Aunque la determinación de fórmulas puede ser útil para establecer cánones de licencia, dichas fórmulas deberían ajustarse concretamente a las circunstancias prevalecientes en cada país. La definición de fórmulas requiere un considerable esfuerzo por parte de la administración y los usuarios del espectro. Para poder aplicarse correctamente, una fórmula debe diseñarse con el fin de lograr un objetivo concreto en el marco de un conjunto explícito de condiciones de explotación. Estas condiciones dependerán de una serie de aspectos del país considerado, incluida su estructura geográfica (por ejemplo, orografía, tamaño, latitud), infraestructura de radiocomunicaciones, y demanda potencial de servicios, así como el grado de coordinación requerido con los países vecinos. De ahí que la aplicabilidad de cualquier fórmula, salvo de las más básicas, suele circunscribirse a una determinada administración, o servicio específico o incluso a un número limitado de bandas de frecuencias. Las fórmulas existentes podrían volverse a utilizar, pero requerirán necesariamente modificaciones. Este proceso exige comprender el propósito y las condiciones que inspiraron determinación de la fórmula de que se trate, así como los detalles de su aplicación propuesta.</w:t>
      </w:r>
    </w:p>
    <w:p w14:paraId="37C6C62C" w14:textId="77777777" w:rsidR="00F73D5B" w:rsidRPr="008B7A21" w:rsidRDefault="00F73D5B" w:rsidP="00F73D5B">
      <w:pPr>
        <w:pStyle w:val="Heading4"/>
        <w:rPr>
          <w:lang w:val="es-ES_tradnl"/>
        </w:rPr>
      </w:pPr>
      <w:r w:rsidRPr="008B7A21">
        <w:rPr>
          <w:lang w:val="es-ES_tradnl"/>
        </w:rPr>
        <w:t>2.3.5.1</w:t>
      </w:r>
      <w:r w:rsidRPr="008B7A21">
        <w:rPr>
          <w:lang w:val="es-ES_tradnl"/>
        </w:rPr>
        <w:tab/>
        <w:t>Cánones basados en los costes de gestión del espectro</w:t>
      </w:r>
    </w:p>
    <w:p w14:paraId="5FAD53E8" w14:textId="77777777" w:rsidR="00F73D5B" w:rsidRPr="008B7A21" w:rsidRDefault="00F73D5B" w:rsidP="00F73D5B">
      <w:pPr>
        <w:rPr>
          <w:lang w:val="es-ES_tradnl"/>
        </w:rPr>
      </w:pPr>
      <w:r w:rsidRPr="008B7A21">
        <w:rPr>
          <w:lang w:val="es-ES_tradnl"/>
        </w:rPr>
        <w:t>Este enfoque presenta las ventajas de producir ingresos para la autoridad de gestión del espectro y asegurar que los beneficiarios pagarán al menos alguna cantidad nominal por su utilización del espectro, eliminando al tiempo los posibles beneficiarios que otorguen un valor insuficiente a su utilización y no deseen pagar incluso estos cánones nominales. No obstante, un inconveniente importante de este enfoque es que hay una desconexión entre el nivel del canon y el valor del espectro utilizado. Por ejemplo, un beneficiario puede utilizar una banda de espectro en una zona relativamente poco poblada y pagar el mismo canon que un segundo usuario que utilice una banda idéntica en una zona muy poblada, aun cuando esta última banda tenga un valor muy superior. Debido a esta desconexión entre los cánones administrativos y el valor del espectro, dichos cánones no contribuyen a mejorar la eficacia de utilización del espectro. En algunas zonas y bandas de frecuencias en las que el espectro tiene poco valor, los cánones pueden impedir toda utilización del espectro, produciendo un resultado ineficaz. No obstante, lo que suele suceder es que los cánones basados en los costes son muy inferiores al valor del espectro, y de esta manera sólo contribuyen a la utilización eficaz del espectro en mínima medida. Si los cánones son reducidos, pueden constituir un problema particular en los países que tengan una gran tasa de inflación porque los cánones se suelen actualizar únicamente en periodos de varios años y pueden por tanto quedar a la zaga del nivel general de precios. No obstante, este problema puede aliviarse si la autoridad política confiere a los gestores del espectro la capacidad de actualizar los cánones con la periodicidad necesaria para reflejar las tendencias generales de los precios de la economía.</w:t>
      </w:r>
    </w:p>
    <w:p w14:paraId="1778E7E4" w14:textId="77777777" w:rsidR="00F73D5B" w:rsidRPr="008B7A21" w:rsidRDefault="00F73D5B" w:rsidP="00F73D5B">
      <w:pPr>
        <w:rPr>
          <w:lang w:val="es-ES_tradnl"/>
        </w:rPr>
      </w:pPr>
      <w:r w:rsidRPr="008B7A21">
        <w:rPr>
          <w:lang w:val="es-ES_tradnl"/>
        </w:rPr>
        <w:t>Este enfoque se podría utilizar a largo plazo si se reduce progresivamente la escasez de espectro. En ese caso, se pueden usar los cánones para cubrir los gastos de administración de la gestión del espectro y garantizar la protección ante interferencias</w:t>
      </w:r>
      <w:r w:rsidRPr="008B7A21">
        <w:rPr>
          <w:rStyle w:val="FootnoteReference"/>
          <w:lang w:val="es-ES_tradnl"/>
        </w:rPr>
        <w:footnoteReference w:id="1"/>
      </w:r>
      <w:r w:rsidRPr="008B7A21">
        <w:rPr>
          <w:lang w:val="es-ES_tradnl"/>
        </w:rPr>
        <w:t>.</w:t>
      </w:r>
    </w:p>
    <w:p w14:paraId="1464CBEE" w14:textId="77777777" w:rsidR="00F73D5B" w:rsidRPr="008B7A21" w:rsidRDefault="00F73D5B" w:rsidP="00F73D5B">
      <w:pPr>
        <w:pStyle w:val="Heading4"/>
        <w:rPr>
          <w:lang w:val="es-ES_tradnl"/>
        </w:rPr>
      </w:pPr>
      <w:r w:rsidRPr="008B7A21">
        <w:rPr>
          <w:lang w:val="es-ES_tradnl"/>
        </w:rPr>
        <w:t>2.3.5.2</w:t>
      </w:r>
      <w:r w:rsidRPr="008B7A21">
        <w:rPr>
          <w:lang w:val="es-ES_tradnl"/>
        </w:rPr>
        <w:tab/>
        <w:t>Cánones basados en el ingreso bruto de los usuarios</w:t>
      </w:r>
    </w:p>
    <w:p w14:paraId="79F0227A" w14:textId="77777777" w:rsidR="00F73D5B" w:rsidRPr="008B7A21" w:rsidRDefault="00F73D5B" w:rsidP="00F73D5B">
      <w:pPr>
        <w:rPr>
          <w:lang w:val="es-ES_tradnl"/>
        </w:rPr>
      </w:pPr>
      <w:r w:rsidRPr="008B7A21">
        <w:rPr>
          <w:lang w:val="es-ES_tradnl"/>
        </w:rPr>
        <w:t>El establecimiento de un canon basado en un cierto porcentaje de los ingresos brutos correspondientes a la utilización del espectro puede reportar ingresos significativos a la autoridad de gestión del espectro, en ciertos servicios. Por ejemplo, una entidad de radiodifusión de televisión con ingresos anuales de 500 millones de dólares pagaría un canon anual de 500 000 $ si el canon fuera sólo del 0,1% de los ingresos. Además, este tipo de canon produce más ingresos para la autoridad de gestión del espectro a medida que aumentan el ingreso bruto del beneficiario de la licencia, lo que puede ser considerado como eficaz y equitativo. No obstante, hay tres problemas principales con este tipo de canon.</w:t>
      </w:r>
    </w:p>
    <w:p w14:paraId="0C67AB4B" w14:textId="77777777" w:rsidR="00F73D5B" w:rsidRPr="008B7A21" w:rsidRDefault="00F73D5B" w:rsidP="00F73D5B">
      <w:pPr>
        <w:rPr>
          <w:lang w:val="es-ES_tradnl"/>
        </w:rPr>
      </w:pPr>
      <w:r w:rsidRPr="008B7A21">
        <w:rPr>
          <w:lang w:val="es-ES_tradnl"/>
        </w:rPr>
        <w:t>En primer lugar, puede aplicarse únicamente a usuarios que obtengan un ingreso bruto vinculado directamente a la utilización del espectro y no a los usuarios cuyos ingresos brutos proceden sólo indirectamente de la explotación del espectro, ya que calcular los ingresos brutos puede ser difícil debido a la complejidad de la contabilidad de las empresas y, por otra parte, es prácticamente imposible determinar qué parte de tales ingresos guarda relación directa con la utilización del espectro, por ejemplo, qué proporción del ingreso bruto en las empresas de servicio público o las compañías telefónicas puede atribuirse a su utilización de enlaces de microondas en ciertas partes de sus redes fijas.</w:t>
      </w:r>
    </w:p>
    <w:p w14:paraId="0023113A" w14:textId="77777777" w:rsidR="00F73D5B" w:rsidRPr="008B7A21" w:rsidRDefault="00F73D5B" w:rsidP="00F73D5B">
      <w:pPr>
        <w:rPr>
          <w:lang w:val="es-ES_tradnl"/>
        </w:rPr>
      </w:pPr>
      <w:r w:rsidRPr="008B7A21">
        <w:rPr>
          <w:lang w:val="es-ES_tradnl"/>
        </w:rPr>
        <w:t>En segundo lugar, este tipo de canon no fomenta necesariamente la utilización eficaz del espectro, cuando el ingreso bruto del usuario esté directamente relacionado con el valor del espectro. Por ejemplo, dos entidades de radiodifusión pueden tener ingresos brutos idénticos, pero una puede obtener beneficios sustanciales, mientras que la segunda puede no obtenerlos, e incluso puede funcionar con pérdidas.</w:t>
      </w:r>
    </w:p>
    <w:p w14:paraId="5C587B4A" w14:textId="77777777" w:rsidR="00F73D5B" w:rsidRPr="008B7A21" w:rsidRDefault="00F73D5B" w:rsidP="00F73D5B">
      <w:pPr>
        <w:rPr>
          <w:lang w:val="es-ES_tradnl"/>
        </w:rPr>
      </w:pPr>
      <w:r w:rsidRPr="008B7A21">
        <w:rPr>
          <w:lang w:val="es-ES_tradnl"/>
        </w:rPr>
        <w:t>En tercer lugar, estos cánones pueden suprimir la utilización del espectro, reducir el crecimiento de los servicios, menoscabar la innovación y la eficiencia del aprovechamiento del espectro y afectar adversamente la capacidad para competir en el plano internacional.</w:t>
      </w:r>
    </w:p>
    <w:p w14:paraId="497EBFF1" w14:textId="77777777" w:rsidR="00F73D5B" w:rsidRPr="008B7A21" w:rsidRDefault="00F73D5B" w:rsidP="00F73D5B">
      <w:pPr>
        <w:pStyle w:val="Heading4"/>
        <w:rPr>
          <w:lang w:val="es-ES_tradnl"/>
        </w:rPr>
      </w:pPr>
      <w:r w:rsidRPr="008B7A21">
        <w:rPr>
          <w:lang w:val="es-ES_tradnl"/>
        </w:rPr>
        <w:t>2.3.5.3</w:t>
      </w:r>
      <w:r w:rsidRPr="008B7A21">
        <w:rPr>
          <w:lang w:val="es-ES_tradnl"/>
        </w:rPr>
        <w:tab/>
        <w:t>Fórmulas de canon con incentivo</w:t>
      </w:r>
    </w:p>
    <w:p w14:paraId="1E9664A8" w14:textId="77777777" w:rsidR="00F73D5B" w:rsidRPr="008B7A21" w:rsidRDefault="00F73D5B" w:rsidP="00F73D5B">
      <w:pPr>
        <w:rPr>
          <w:lang w:val="es-ES_tradnl"/>
        </w:rPr>
      </w:pPr>
      <w:r w:rsidRPr="008B7A21">
        <w:rPr>
          <w:lang w:val="es-ES_tradnl"/>
        </w:rPr>
        <w:t>Las fórmulas de canon con incentivo ofrecen la ventaja de representar en cierta medida la escasez del espectro y las rentas diferenciales a que da lugar. Teniendo en cuenta factores tales como la población, la zona, la anchura de banda utilizada y la banda de frecuencias utilizada, dichas fórmulas pueden reflejar aproximadamente los valores de mercado. Sin embargo, el inconveniente de dichos cánones es que no hay ninguna fórmula, aunque sea compleja, que pueda tener en cuenta todas las variaciones del mercado. Esto requiere adjudicar una atención considerable al establecimiento de los cánones de licencia para evitar una gran discrepancia entre el canon y el valor de mercado. Por esta razón, para utilizar eficazmente una fórmula de canon con incentivo podría plantearse la necesidad de vincularla a la valoración del mercado.</w:t>
      </w:r>
    </w:p>
    <w:p w14:paraId="0AA04E49" w14:textId="77777777" w:rsidR="00F73D5B" w:rsidRPr="008B7A21" w:rsidRDefault="00F73D5B" w:rsidP="00F73D5B">
      <w:pPr>
        <w:rPr>
          <w:lang w:val="es-ES_tradnl"/>
        </w:rPr>
      </w:pPr>
      <w:r w:rsidRPr="008B7A21">
        <w:rPr>
          <w:lang w:val="es-ES_tradnl"/>
        </w:rPr>
        <w:t>Para algunos servicios, los factores técnicos impiden una reducción de la anchura de banda y por tanto, los cánones con incentivo basados en la anchura de banda serían inadecuados, por ejemplo, en el caso de los servicios de radar.</w:t>
      </w:r>
    </w:p>
    <w:p w14:paraId="42E80469" w14:textId="77777777" w:rsidR="00F73D5B" w:rsidRPr="008B7A21" w:rsidRDefault="00F73D5B" w:rsidP="00F73D5B">
      <w:pPr>
        <w:pStyle w:val="Heading4"/>
        <w:rPr>
          <w:lang w:val="es-ES_tradnl"/>
        </w:rPr>
      </w:pPr>
      <w:r w:rsidRPr="008B7A21">
        <w:rPr>
          <w:lang w:val="es-ES_tradnl"/>
        </w:rPr>
        <w:t>2.3.5.4</w:t>
      </w:r>
      <w:r w:rsidRPr="008B7A21">
        <w:rPr>
          <w:lang w:val="es-ES_tradnl"/>
        </w:rPr>
        <w:tab/>
        <w:t>Fórmulas de canon sobre el coste de oportunidad</w:t>
      </w:r>
    </w:p>
    <w:p w14:paraId="59FE0B55" w14:textId="0362C7D1" w:rsidR="00F73D5B" w:rsidRPr="008B7A21" w:rsidRDefault="00F73D5B" w:rsidP="00F73D5B">
      <w:pPr>
        <w:rPr>
          <w:lang w:val="es-ES_tradnl"/>
        </w:rPr>
      </w:pPr>
      <w:r w:rsidRPr="008B7A21">
        <w:rPr>
          <w:lang w:val="es-ES_tradnl"/>
        </w:rPr>
        <w:t xml:space="preserve">Las fórmulas de canon sobre el coste de oportunidad tienen la ventaja de apuntar directamente al objetivo deseable de simulación del valor de mercado, lo que alentaría el examen de los medios alternativos de comunicación y la devolución de excedente de espectro por parte de los actuales usuarios. No obstante, al igual que es extremadamente difícil establecer una fórmula de canon con incentivo que tenga en cuenta todas las variables pertinentes que influyen en el precio del espectro en un emplazamiento particular, también es extremadamente difícil simular de forma precisa una subasta y el esfuerzo requerido para realizar el análisis puede sobrepasar los costes de una subasta. Dicha simulación depende de la evaluación de las decisiones del consumidor individual y de la integración en alguna manera de dicha información en un modelo utilizable. Los estudios financieros o las extrapolaciones basadas en transacciones anteriores del mercado secundario pueden ser útiles en cierta medida, pero </w:t>
      </w:r>
      <w:r w:rsidR="00877B7A" w:rsidRPr="008B7A21">
        <w:rPr>
          <w:lang w:val="es-ES_tradnl"/>
        </w:rPr>
        <w:t>la simulación</w:t>
      </w:r>
      <w:r w:rsidRPr="008B7A21">
        <w:rPr>
          <w:lang w:val="es-ES_tradnl"/>
        </w:rPr>
        <w:t xml:space="preserve"> del mercado seguirá siempre siendo un ejercicio muy imperfecto; por ejemplo, las tres subastas de PCS de banda ancha de Estados Unidos de América produjeron resultados notablemente distintos de los que se había previsto en casi todos los análisis. Sin embargo dichos métodos pueden ser más útiles que las alternativas basadas en costes en cuanto a la gestión del espectro, para equilibrar la oferta y la demanda y maximizar el bienestar económico, en los casos en que resulte poco práctico o ilegal organizar una subasta.</w:t>
      </w:r>
    </w:p>
    <w:p w14:paraId="020597E5" w14:textId="77777777" w:rsidR="00F73D5B" w:rsidRPr="008B7A21" w:rsidRDefault="00F73D5B" w:rsidP="00F73D5B">
      <w:pPr>
        <w:pStyle w:val="Heading2"/>
        <w:rPr>
          <w:lang w:val="es-ES_tradnl"/>
        </w:rPr>
      </w:pPr>
      <w:bookmarkStart w:id="430" w:name="_Toc396187396"/>
      <w:bookmarkStart w:id="431" w:name="_Toc306276799"/>
      <w:bookmarkStart w:id="432" w:name="_Toc307921478"/>
      <w:bookmarkStart w:id="433" w:name="_Toc307922045"/>
      <w:bookmarkStart w:id="434" w:name="_Toc307922541"/>
      <w:bookmarkStart w:id="435" w:name="_Toc307991890"/>
      <w:bookmarkStart w:id="436" w:name="_Toc307993919"/>
      <w:bookmarkStart w:id="437" w:name="_Toc307995186"/>
      <w:bookmarkStart w:id="438" w:name="_Toc307996325"/>
      <w:bookmarkStart w:id="439" w:name="_Toc308010305"/>
      <w:bookmarkStart w:id="440" w:name="_Toc499562963"/>
      <w:bookmarkStart w:id="441" w:name="_Toc215835341"/>
      <w:r w:rsidRPr="008B7A21">
        <w:rPr>
          <w:lang w:val="es-ES_tradnl"/>
        </w:rPr>
        <w:t>2.4</w:t>
      </w:r>
      <w:r w:rsidRPr="008B7A21">
        <w:rPr>
          <w:lang w:val="es-ES_tradnl"/>
        </w:rPr>
        <w:tab/>
        <w:t>Factores que pueden afectar a los diversos enfoques económicos</w:t>
      </w:r>
      <w:bookmarkEnd w:id="430"/>
      <w:bookmarkEnd w:id="431"/>
      <w:bookmarkEnd w:id="432"/>
      <w:bookmarkEnd w:id="433"/>
      <w:bookmarkEnd w:id="434"/>
      <w:bookmarkEnd w:id="435"/>
      <w:bookmarkEnd w:id="436"/>
      <w:bookmarkEnd w:id="437"/>
      <w:bookmarkEnd w:id="438"/>
      <w:bookmarkEnd w:id="439"/>
      <w:bookmarkEnd w:id="440"/>
      <w:bookmarkEnd w:id="441"/>
    </w:p>
    <w:p w14:paraId="2BA0E1C4" w14:textId="77777777" w:rsidR="00F73D5B" w:rsidRPr="008B7A21" w:rsidRDefault="00F73D5B" w:rsidP="00F73D5B">
      <w:pPr>
        <w:rPr>
          <w:lang w:val="es-ES_tradnl"/>
        </w:rPr>
      </w:pPr>
      <w:r w:rsidRPr="008B7A21">
        <w:rPr>
          <w:lang w:val="es-ES_tradnl"/>
        </w:rPr>
        <w:t>Hay una serie de factores que pueden afectar a la necesidad de las distintas administraciones de los enfoques económicos de la gestión del espectro examinados anteriormente, y a su capacidad para aplicarlos. Las diversas consideraciones de tipo jurídico, socioeconómico y de infraestructura técnica repercutirán en las subastas de espectro, en los derechos de propiedad transferibles y en los regímenes de canon de licencia.</w:t>
      </w:r>
    </w:p>
    <w:p w14:paraId="5601F12C" w14:textId="77777777" w:rsidR="00F73D5B" w:rsidRPr="008B7A21" w:rsidRDefault="00F73D5B" w:rsidP="00F73D5B">
      <w:pPr>
        <w:pStyle w:val="Heading3"/>
        <w:rPr>
          <w:lang w:val="es-ES_tradnl"/>
        </w:rPr>
      </w:pPr>
      <w:bookmarkStart w:id="442" w:name="_Toc396187397"/>
      <w:bookmarkStart w:id="443" w:name="_Toc306276800"/>
      <w:bookmarkStart w:id="444" w:name="_Toc307921479"/>
      <w:bookmarkStart w:id="445" w:name="_Toc307922046"/>
      <w:bookmarkStart w:id="446" w:name="_Toc307922542"/>
      <w:bookmarkStart w:id="447" w:name="_Toc307991891"/>
      <w:bookmarkStart w:id="448" w:name="_Toc307993920"/>
      <w:bookmarkStart w:id="449" w:name="_Toc307995187"/>
      <w:bookmarkStart w:id="450" w:name="_Toc307996326"/>
      <w:bookmarkStart w:id="451" w:name="_Toc308010306"/>
      <w:bookmarkStart w:id="452" w:name="_Toc499562964"/>
      <w:bookmarkStart w:id="453" w:name="_Toc215835342"/>
      <w:r w:rsidRPr="008B7A21">
        <w:rPr>
          <w:lang w:val="es-ES_tradnl"/>
        </w:rPr>
        <w:t>2.4.1</w:t>
      </w:r>
      <w:r w:rsidRPr="008B7A21">
        <w:rPr>
          <w:lang w:val="es-ES_tradnl"/>
        </w:rPr>
        <w:tab/>
        <w:t>Subastas</w:t>
      </w:r>
      <w:bookmarkEnd w:id="442"/>
      <w:bookmarkEnd w:id="443"/>
      <w:bookmarkEnd w:id="444"/>
      <w:bookmarkEnd w:id="445"/>
      <w:bookmarkEnd w:id="446"/>
      <w:bookmarkEnd w:id="447"/>
      <w:bookmarkEnd w:id="448"/>
      <w:bookmarkEnd w:id="449"/>
      <w:bookmarkEnd w:id="450"/>
      <w:bookmarkEnd w:id="451"/>
      <w:bookmarkEnd w:id="452"/>
      <w:bookmarkEnd w:id="453"/>
    </w:p>
    <w:p w14:paraId="238E1514" w14:textId="77777777" w:rsidR="00F73D5B" w:rsidRPr="008B7A21" w:rsidRDefault="00F73D5B" w:rsidP="00F73D5B">
      <w:pPr>
        <w:pStyle w:val="Heading4"/>
        <w:rPr>
          <w:lang w:val="es-ES_tradnl"/>
        </w:rPr>
      </w:pPr>
      <w:r w:rsidRPr="008B7A21">
        <w:rPr>
          <w:lang w:val="es-ES_tradnl"/>
        </w:rPr>
        <w:t>2.4.1.1</w:t>
      </w:r>
      <w:r w:rsidRPr="008B7A21">
        <w:rPr>
          <w:lang w:val="es-ES_tradnl"/>
        </w:rPr>
        <w:tab/>
        <w:t>Aplicabilidad de las subastas</w:t>
      </w:r>
    </w:p>
    <w:p w14:paraId="1CCB6FEB" w14:textId="77777777" w:rsidR="00F73D5B" w:rsidRPr="008B7A21" w:rsidRDefault="00F73D5B" w:rsidP="00F73D5B">
      <w:pPr>
        <w:rPr>
          <w:lang w:val="es-ES_tradnl"/>
        </w:rPr>
      </w:pPr>
      <w:r w:rsidRPr="008B7A21">
        <w:rPr>
          <w:lang w:val="es-ES_tradnl"/>
        </w:rPr>
        <w:t>Tal como se indicó anteriormente, la utilización de subastas como método de asignación del espectro ofrece diversas ventajas posibles. No obstante, es probable que los distintos países persigan también una serie de objetivos en cuanto a gestión del espectro que las subastas por sí mismas no puedan alcanzar adecuadamente. A menudo, dichos objetivos pueden cumplirse utilizando otros instrumentos de política (reglamentos, condiciones de licencia, normas, etc.) que sean plenamente compatibles con las subastas de espectro, pero cada administración tendrá que considerar sus prioridades y decidir la idoneidad total de las subastas, a la luz de los diversos objetivos que desea lograr. Si una administración desea utilizar subastas, debe ser consciente de que, por lo general, cuanto mayor sea el número de reglamentos, condiciones o restricciones aplicables a la utilización del espectro que se subaste, menores serán los ingresos de las subastas, por lo que las administraciones pueden preferir considerar las ventajas e inconvenientes inherentes, dependiendo de sus prioridades. Por razones similares, las administraciones pueden optar por restringir la oferta de espectro, lo que generalmente daría lugar a mayores ingresos de las subastas. No obstante, hay que establecer también en este caso un compromiso, porque una oferta restringida de espectro dará lugar a una gama inferior de servicios de consumo, unos precios superiores para el consumidor y una disminución general de la eficacia económica.</w:t>
      </w:r>
    </w:p>
    <w:p w14:paraId="43914112" w14:textId="77777777" w:rsidR="00F73D5B" w:rsidRPr="008B7A21" w:rsidRDefault="00F73D5B" w:rsidP="00F73D5B">
      <w:pPr>
        <w:rPr>
          <w:lang w:val="es-ES_tradnl"/>
        </w:rPr>
      </w:pPr>
      <w:r w:rsidRPr="008B7A21">
        <w:rPr>
          <w:lang w:val="es-ES_tradnl"/>
        </w:rPr>
        <w:t>Aunque pueda parecer obvio, también conviene señalar que las subastas son aplicables por definición únicamente en las circunstancias en que la demanda de espectro rebasa la oferta disponible. Dependiendo del nivel de avance económico del país en particular, del nivel de desarrollo de su infraestructura de telecomunicaciones, de su clima de inversión y de cualquier restricción a la propiedad extranjera o comercial que pueda imponer respecto a la prestación de servicios basados en el espectro (entre otros factores), existe la posibilidad de que una administración no tenga suficiente interés en organizar una subasta que se necesita para cierto espectro.</w:t>
      </w:r>
    </w:p>
    <w:p w14:paraId="367A19F2" w14:textId="77777777" w:rsidR="00F73D5B" w:rsidRPr="008B7A21" w:rsidRDefault="00F73D5B" w:rsidP="00F73D5B">
      <w:pPr>
        <w:rPr>
          <w:lang w:val="es-ES_tradnl"/>
        </w:rPr>
      </w:pPr>
      <w:r w:rsidRPr="008B7A21">
        <w:rPr>
          <w:lang w:val="es-ES_tradnl"/>
        </w:rPr>
        <w:t>En términos generales, cuanto mayor sea el nivel de desarrollo de la infraestructura económica y de comunicaciones, más favorable será el clima de inversión y menores las barreras a la propiedad extranjera y comerciales, así como mayor la demanda de acceso al espectro, lo que lleva a una competencia más intensa en una subasta y posiblemente a ingresos superiores para el Gobierno.</w:t>
      </w:r>
    </w:p>
    <w:p w14:paraId="05421A8E" w14:textId="77777777" w:rsidR="00F73D5B" w:rsidRPr="008B7A21" w:rsidRDefault="00F73D5B" w:rsidP="00F73D5B">
      <w:pPr>
        <w:rPr>
          <w:lang w:val="es-ES_tradnl"/>
        </w:rPr>
      </w:pPr>
      <w:r w:rsidRPr="008B7A21">
        <w:rPr>
          <w:lang w:val="es-ES_tradnl"/>
        </w:rPr>
        <w:t>Las subastas son un mecanismo basado en el mercado, y un requisito fundamental para el funcionamiento adecuado de todo mercado es el de unos cimientos jurídicos sólidos. Ello significa, en primer lugar, que la autoridad política debe permitir la autorización de subastas para servicios específicos. En segundo lugar, para que una subasta funcione en forma óptima, debe especificarse de la manera más precisa posible el carácter del derecho que se subasta (cobertura geográfica, anchura de banda disponible, derecho de licencia, etc.), así como las responsabilidades correspondientes (condiciones de la licencia, restricciones del servicio, normas del equipo, etc.). Asimismo, debe haber certeza de que el gobierno tiene la disponibilidad y la capacidad para actuar en la forma necesaria que asegure a los beneficiarios de la licencia el ejercicio de los derechos o privilegios que se les concede, al tiempo que cumplen las responsabilidades que se les exige. Toda incertidumbre respecto a dichos factores como en cuanto a la duración de la validez de la licencia que se subasta creará confusión y puede traducirse en ofertas inferiores.</w:t>
      </w:r>
    </w:p>
    <w:p w14:paraId="5401718E" w14:textId="77777777" w:rsidR="00F73D5B" w:rsidRPr="008B7A21" w:rsidRDefault="00F73D5B" w:rsidP="00F73D5B">
      <w:pPr>
        <w:rPr>
          <w:lang w:val="es-ES_tradnl"/>
        </w:rPr>
      </w:pPr>
      <w:r w:rsidRPr="008B7A21">
        <w:rPr>
          <w:lang w:val="es-ES_tradnl"/>
        </w:rPr>
        <w:t>Antes de acudir a una subasta de espectro, los ofertantes desearán, por ejemplo, conocer el grado de protección contra interferencias perjudiciales que pueden esperar con el espectro que se subasta, así como las medidas que deberán previsiblemente adoptar para no causar interferencia perjudicial a terceros. También desearán contar con la seguridad de que el gobierno hará cumplir este régimen de protección contra una interferencia.</w:t>
      </w:r>
    </w:p>
    <w:p w14:paraId="566E48B9" w14:textId="37C9910A" w:rsidR="00F73D5B" w:rsidRPr="008B7A21" w:rsidRDefault="00F73D5B" w:rsidP="00F73D5B">
      <w:pPr>
        <w:rPr>
          <w:lang w:val="es-ES_tradnl"/>
        </w:rPr>
      </w:pPr>
      <w:r w:rsidRPr="008B7A21">
        <w:rPr>
          <w:lang w:val="es-ES_tradnl"/>
        </w:rPr>
        <w:t xml:space="preserve">La amplitud de la base de datos sobre licencias y beneficiarios de una administración, su capacidad de comprobación técnica del espectro y sus posibilidades para imponer penalizaciones significativas a los que causen </w:t>
      </w:r>
      <w:r w:rsidR="00877B7A" w:rsidRPr="008B7A21">
        <w:rPr>
          <w:lang w:val="es-ES_tradnl"/>
        </w:rPr>
        <w:t>interferencias perjudiciales</w:t>
      </w:r>
      <w:r w:rsidRPr="008B7A21">
        <w:rPr>
          <w:lang w:val="es-ES_tradnl"/>
        </w:rPr>
        <w:t xml:space="preserve"> a terceros repercutirán en la capacidad del gobierno para proteger los derechos o privilegios de los usuarios del espectro y de esta manera, repercutirán en la capacidad para efectuar subastas de espectro fructíferas.</w:t>
      </w:r>
    </w:p>
    <w:p w14:paraId="5FE8CFE0" w14:textId="77777777" w:rsidR="00F73D5B" w:rsidRPr="008B7A21" w:rsidRDefault="00F73D5B" w:rsidP="00F73D5B">
      <w:pPr>
        <w:pStyle w:val="Heading4"/>
        <w:rPr>
          <w:lang w:val="es-ES_tradnl"/>
        </w:rPr>
      </w:pPr>
      <w:r w:rsidRPr="008B7A21">
        <w:rPr>
          <w:lang w:val="es-ES_tradnl"/>
        </w:rPr>
        <w:t>2.4.1.2</w:t>
      </w:r>
      <w:r w:rsidRPr="008B7A21">
        <w:rPr>
          <w:lang w:val="es-ES_tradnl"/>
        </w:rPr>
        <w:tab/>
        <w:t>Requisitos previos a la subasta</w:t>
      </w:r>
    </w:p>
    <w:p w14:paraId="017BA915" w14:textId="77777777" w:rsidR="00F73D5B" w:rsidRPr="008B7A21" w:rsidRDefault="00F73D5B" w:rsidP="00F73D5B">
      <w:pPr>
        <w:rPr>
          <w:lang w:val="es-ES_tradnl"/>
        </w:rPr>
      </w:pPr>
      <w:r w:rsidRPr="008B7A21">
        <w:rPr>
          <w:lang w:val="es-ES_tradnl"/>
        </w:rPr>
        <w:t>Conviene que todos los derechos y responsabilidades asociados al espectro que se subasta se especifiquen antes de la subasta, pues de otra manera, los ofertantes harán frente a un alto grado de incertidumbre que comprometerá significativamente su capacidad de ofertar de manera racional, aumentando considerablemente las posibilidades de que la subasta fracase. Esto significa, evidentemente, que las administraciones que deseen utilizar las subastas deben estar en condiciones, jurídica y políticamente, de establecer definiciones, términos, condiciones y políticas de las licencias, antes de saber quiénes serán los beneficiarios.</w:t>
      </w:r>
    </w:p>
    <w:p w14:paraId="001242E7" w14:textId="77777777" w:rsidR="00F73D5B" w:rsidRPr="008B7A21" w:rsidRDefault="00F73D5B" w:rsidP="00F73D5B">
      <w:pPr>
        <w:rPr>
          <w:lang w:val="es-ES_tradnl"/>
        </w:rPr>
      </w:pPr>
      <w:r w:rsidRPr="008B7A21">
        <w:rPr>
          <w:lang w:val="es-ES_tradnl"/>
        </w:rPr>
        <w:t>De forma similar, todos los participantes deben conocer y comprender claramente las reglas y procedimientos de una subasta antes de que comience ésta. Durante los últimos años se han producido grandes avances en la teoría de las subastas y en su aplicación práctica. Toda administración que planifique la organización de subastas de espectro debe asesorarse consultando la masa creciente de textos sobre este particular y pasando revista a las experiencias de los «pioneros» de las subastas de espectro tales como Nueva Zelandia, Estados Unidos de América y Australia, a fin de aprender de sus éxitos y de algunos de los problemas con los que han tropezado en relación con la concepción y la realización de la subasta.</w:t>
      </w:r>
    </w:p>
    <w:p w14:paraId="579D5B34" w14:textId="77777777" w:rsidR="00F73D5B" w:rsidRPr="008B7A21" w:rsidRDefault="00F73D5B" w:rsidP="00F73D5B">
      <w:pPr>
        <w:rPr>
          <w:lang w:val="es-ES_tradnl"/>
        </w:rPr>
      </w:pPr>
      <w:r w:rsidRPr="008B7A21">
        <w:rPr>
          <w:lang w:val="es-ES_tradnl"/>
        </w:rPr>
        <w:t>Dependiendo de la complejidad de la subasta en cuestión, puede ser conveniente establecer un sistema de subasta automatizado. Por tanto, puede ser preciso contar con una cierta infraestructura técnica para celebrar una subasta. De la misma manera, puede ser necesario enseñar y capacitar a los gestores del espectro y a los ofertantes potenciales para asegurar un nivel suficiente de «conocimientos de subasta».</w:t>
      </w:r>
    </w:p>
    <w:p w14:paraId="4AC0C393" w14:textId="77777777" w:rsidR="00F73D5B" w:rsidRPr="008B7A21" w:rsidRDefault="00F73D5B" w:rsidP="00F73D5B">
      <w:pPr>
        <w:pStyle w:val="Heading4"/>
        <w:rPr>
          <w:lang w:val="es-ES_tradnl"/>
        </w:rPr>
      </w:pPr>
      <w:r w:rsidRPr="008B7A21">
        <w:rPr>
          <w:lang w:val="es-ES_tradnl"/>
        </w:rPr>
        <w:t>2.4.1.3</w:t>
      </w:r>
      <w:r w:rsidRPr="008B7A21">
        <w:rPr>
          <w:lang w:val="es-ES_tradnl"/>
        </w:rPr>
        <w:tab/>
        <w:t>Política de competencia</w:t>
      </w:r>
    </w:p>
    <w:p w14:paraId="601BBE62" w14:textId="77777777" w:rsidR="00F73D5B" w:rsidRPr="008B7A21" w:rsidRDefault="00F73D5B" w:rsidP="00F73D5B">
      <w:pPr>
        <w:rPr>
          <w:lang w:val="es-ES_tradnl"/>
        </w:rPr>
      </w:pPr>
      <w:r w:rsidRPr="008B7A21">
        <w:rPr>
          <w:lang w:val="es-ES_tradnl"/>
        </w:rPr>
        <w:t>Dependiendo de la posición de una administración determinada respecto a la competencia en los servicios que utilizan espectro, puede ser especialmente importante que se considere la posibilidad de que se produzca un predominio del mercado. Deben reexaminarse las actuales políticas de competencia, así como las condiciones propuestas de la licencia y las reglas de procedimiento de la subasta para evitar que de ella salga un resultado inaceptable.</w:t>
      </w:r>
    </w:p>
    <w:p w14:paraId="2363A998" w14:textId="77777777" w:rsidR="00F73D5B" w:rsidRPr="008B7A21" w:rsidRDefault="00F73D5B" w:rsidP="00F73D5B">
      <w:pPr>
        <w:pStyle w:val="Heading3"/>
        <w:rPr>
          <w:lang w:val="es-ES_tradnl"/>
        </w:rPr>
      </w:pPr>
      <w:bookmarkStart w:id="454" w:name="_Toc396187398"/>
      <w:bookmarkStart w:id="455" w:name="_Toc306276801"/>
      <w:bookmarkStart w:id="456" w:name="_Toc307921480"/>
      <w:bookmarkStart w:id="457" w:name="_Toc307922047"/>
      <w:bookmarkStart w:id="458" w:name="_Toc307922543"/>
      <w:bookmarkStart w:id="459" w:name="_Toc307991892"/>
      <w:bookmarkStart w:id="460" w:name="_Toc307993921"/>
      <w:bookmarkStart w:id="461" w:name="_Toc307995188"/>
      <w:bookmarkStart w:id="462" w:name="_Toc307996327"/>
      <w:bookmarkStart w:id="463" w:name="_Toc308010307"/>
      <w:bookmarkStart w:id="464" w:name="_Toc499562965"/>
      <w:bookmarkStart w:id="465" w:name="_Toc215835343"/>
      <w:r w:rsidRPr="008B7A21">
        <w:rPr>
          <w:lang w:val="es-ES_tradnl"/>
        </w:rPr>
        <w:t>2.4.2</w:t>
      </w:r>
      <w:r w:rsidRPr="008B7A21">
        <w:rPr>
          <w:lang w:val="es-ES_tradnl"/>
        </w:rPr>
        <w:tab/>
        <w:t>Derechos de propiedad transferibles</w:t>
      </w:r>
      <w:bookmarkEnd w:id="454"/>
      <w:bookmarkEnd w:id="455"/>
      <w:bookmarkEnd w:id="456"/>
      <w:bookmarkEnd w:id="457"/>
      <w:bookmarkEnd w:id="458"/>
      <w:bookmarkEnd w:id="459"/>
      <w:bookmarkEnd w:id="460"/>
      <w:bookmarkEnd w:id="461"/>
      <w:bookmarkEnd w:id="462"/>
      <w:bookmarkEnd w:id="463"/>
      <w:bookmarkEnd w:id="464"/>
      <w:bookmarkEnd w:id="465"/>
    </w:p>
    <w:p w14:paraId="416DE697" w14:textId="77777777" w:rsidR="00F73D5B" w:rsidRPr="008B7A21" w:rsidRDefault="00F73D5B" w:rsidP="00F73D5B">
      <w:pPr>
        <w:rPr>
          <w:lang w:val="es-ES_tradnl"/>
        </w:rPr>
      </w:pPr>
      <w:r w:rsidRPr="008B7A21">
        <w:rPr>
          <w:lang w:val="es-ES_tradnl"/>
        </w:rPr>
        <w:t>Al igual que con las subastas de espectro, el marco jurídico que subyace a la capacidad de los mercados para funcionar de forma eficaz, la especificación clara por los gestores del espectro de las reglas y políticas y la posición jurídica y política respecto a la competencia son cruciales para el funcionamiento de un régimen de derechos transferibles de propiedad del espectro.</w:t>
      </w:r>
    </w:p>
    <w:p w14:paraId="3033F570" w14:textId="77777777" w:rsidR="00F73D5B" w:rsidRPr="008B7A21" w:rsidRDefault="00F73D5B" w:rsidP="00F73D5B">
      <w:pPr>
        <w:rPr>
          <w:lang w:val="es-ES_tradnl"/>
        </w:rPr>
      </w:pPr>
      <w:r w:rsidRPr="008B7A21">
        <w:rPr>
          <w:lang w:val="es-ES_tradnl"/>
        </w:rPr>
        <w:t>Una administración que considere la implantación de un régimen de este tipo deseará verificar que cuenta con los medios para continuar sosteniendo las condiciones, normas y reglamentos aplicables a la licencia, una vez que el espectro se haya transferido de un beneficiario de licencia original a un tercero. A este respecto, es importante la capacidad de una administración para mantener un banco de datos preciso sobre licencias y sus beneficiarios, como será necesario contar con un cierto grado de infraestructura administrativa y/o técnica para la implementación satisfactoria de un régimen de derechos de propiedad transferibles. Todo ello tendrá que ampliarse si la administración pretende autorizar a los beneficiarios a transferir sus licencias, no sólo en la totalidad sino también parcialmente, lo que significa la divisibilidad de las licencias.</w:t>
      </w:r>
    </w:p>
    <w:p w14:paraId="545BA792" w14:textId="77777777" w:rsidR="00F73D5B" w:rsidRPr="008B7A21" w:rsidRDefault="00F73D5B" w:rsidP="00F73D5B">
      <w:pPr>
        <w:pStyle w:val="Heading3"/>
        <w:rPr>
          <w:lang w:val="es-ES_tradnl"/>
        </w:rPr>
      </w:pPr>
      <w:bookmarkStart w:id="466" w:name="_Toc396187399"/>
      <w:bookmarkStart w:id="467" w:name="_Toc306276802"/>
      <w:bookmarkStart w:id="468" w:name="_Toc307921481"/>
      <w:bookmarkStart w:id="469" w:name="_Toc307922048"/>
      <w:bookmarkStart w:id="470" w:name="_Toc307922544"/>
      <w:bookmarkStart w:id="471" w:name="_Toc307991893"/>
      <w:bookmarkStart w:id="472" w:name="_Toc307993922"/>
      <w:bookmarkStart w:id="473" w:name="_Toc307995189"/>
      <w:bookmarkStart w:id="474" w:name="_Toc307996328"/>
      <w:bookmarkStart w:id="475" w:name="_Toc308010308"/>
      <w:bookmarkStart w:id="476" w:name="_Toc499562966"/>
      <w:bookmarkStart w:id="477" w:name="_Toc215835344"/>
      <w:r w:rsidRPr="008B7A21">
        <w:rPr>
          <w:lang w:val="es-ES_tradnl"/>
        </w:rPr>
        <w:t>2.4.3</w:t>
      </w:r>
      <w:r w:rsidRPr="008B7A21">
        <w:rPr>
          <w:lang w:val="es-ES_tradnl"/>
        </w:rPr>
        <w:tab/>
        <w:t>Cánones de licencia</w:t>
      </w:r>
      <w:bookmarkEnd w:id="466"/>
      <w:bookmarkEnd w:id="467"/>
      <w:bookmarkEnd w:id="468"/>
      <w:bookmarkEnd w:id="469"/>
      <w:bookmarkEnd w:id="470"/>
      <w:bookmarkEnd w:id="471"/>
      <w:bookmarkEnd w:id="472"/>
      <w:bookmarkEnd w:id="473"/>
      <w:bookmarkEnd w:id="474"/>
      <w:bookmarkEnd w:id="475"/>
      <w:bookmarkEnd w:id="476"/>
      <w:bookmarkEnd w:id="477"/>
    </w:p>
    <w:p w14:paraId="5B387CBB" w14:textId="77777777" w:rsidR="00F73D5B" w:rsidRPr="008B7A21" w:rsidRDefault="00F73D5B" w:rsidP="00F73D5B">
      <w:pPr>
        <w:rPr>
          <w:lang w:val="es-ES_tradnl"/>
        </w:rPr>
      </w:pPr>
      <w:r w:rsidRPr="008B7A21">
        <w:rPr>
          <w:lang w:val="es-ES_tradnl"/>
        </w:rPr>
        <w:t>La aplicabilidad en los diversos regímenes de cánones de licencia puede variar entre los distintos países. Los países con economías e infraestructuras de comunicaciones más desarrolladas, pueden, por ejemplo, sentirse más inclinados hacia la consecución de objetivos tales como:</w:t>
      </w:r>
    </w:p>
    <w:p w14:paraId="2115F2F8" w14:textId="77777777" w:rsidR="00F73D5B" w:rsidRPr="008B7A21" w:rsidRDefault="00F73D5B" w:rsidP="00F73D5B">
      <w:pPr>
        <w:pStyle w:val="enumlev1"/>
        <w:rPr>
          <w:lang w:val="es-ES_tradnl"/>
        </w:rPr>
      </w:pPr>
      <w:r w:rsidRPr="008B7A21">
        <w:rPr>
          <w:lang w:val="es-ES_tradnl"/>
        </w:rPr>
        <w:t>–</w:t>
      </w:r>
      <w:r w:rsidRPr="008B7A21">
        <w:rPr>
          <w:lang w:val="es-ES_tradnl"/>
        </w:rPr>
        <w:tab/>
        <w:t>garantizar que los pagos totales efectuados por los usuarios del espectro mediante cánones y/o recaudación de subastas, sean superiores o iguales a los costes totales de la gestión del espectro, a fin de evitar las subvenciones a los usuarios del espectro procedentes de la hacienda pública;</w:t>
      </w:r>
    </w:p>
    <w:p w14:paraId="6216D02F" w14:textId="77777777" w:rsidR="00F73D5B" w:rsidRPr="008B7A21" w:rsidRDefault="00F73D5B" w:rsidP="00F73D5B">
      <w:pPr>
        <w:pStyle w:val="enumlev1"/>
        <w:rPr>
          <w:lang w:val="es-ES_tradnl"/>
        </w:rPr>
      </w:pPr>
      <w:r w:rsidRPr="008B7A21">
        <w:rPr>
          <w:lang w:val="es-ES_tradnl"/>
        </w:rPr>
        <w:t>–</w:t>
      </w:r>
      <w:r w:rsidRPr="008B7A21">
        <w:rPr>
          <w:lang w:val="es-ES_tradnl"/>
        </w:rPr>
        <w:tab/>
        <w:t>aproximar los cánones al valor de mercado del recurso de espectro para promover la utilización eficaz de éste; y/o,</w:t>
      </w:r>
    </w:p>
    <w:p w14:paraId="203D8ED7" w14:textId="77777777" w:rsidR="00F73D5B" w:rsidRPr="008B7A21" w:rsidRDefault="00F73D5B" w:rsidP="00F73D5B">
      <w:pPr>
        <w:pStyle w:val="enumlev1"/>
        <w:rPr>
          <w:lang w:val="es-ES_tradnl"/>
        </w:rPr>
      </w:pPr>
      <w:r w:rsidRPr="008B7A21">
        <w:rPr>
          <w:lang w:val="es-ES_tradnl"/>
        </w:rPr>
        <w:t>–</w:t>
      </w:r>
      <w:r w:rsidRPr="008B7A21">
        <w:rPr>
          <w:lang w:val="es-ES_tradnl"/>
        </w:rPr>
        <w:tab/>
        <w:t>recaudar todas las rentas económicas que el recurso espectro pueda generar.</w:t>
      </w:r>
    </w:p>
    <w:p w14:paraId="749D99EE" w14:textId="77777777" w:rsidR="00F73D5B" w:rsidRPr="008B7A21" w:rsidRDefault="00F73D5B" w:rsidP="00F73D5B">
      <w:pPr>
        <w:rPr>
          <w:lang w:val="es-ES_tradnl"/>
        </w:rPr>
      </w:pPr>
      <w:r w:rsidRPr="008B7A21">
        <w:rPr>
          <w:lang w:val="es-ES_tradnl"/>
        </w:rPr>
        <w:t>Los países con economías menos desarrolladas pueden optar por la consecución de los mismos objetivos o por el contrario, pueden considerar adecuado subvencionar implícitamente a los usuarios del espectro mediante cánones de licencia reducidos, si piensan que con ello se favorecen otros objetivos políticos.</w:t>
      </w:r>
    </w:p>
    <w:p w14:paraId="5D2738C5" w14:textId="77777777" w:rsidR="00F73D5B" w:rsidRPr="008B7A21" w:rsidRDefault="00F73D5B" w:rsidP="00F73D5B">
      <w:pPr>
        <w:rPr>
          <w:lang w:val="es-ES_tradnl"/>
        </w:rPr>
      </w:pPr>
      <w:r w:rsidRPr="008B7A21">
        <w:rPr>
          <w:lang w:val="es-ES_tradnl"/>
        </w:rPr>
        <w:t>Con relación a los distintos tipos de regímenes de canon de licencia examinados anteriormente, los cánones basados en incentivos y/o el coste de oportunidad plantean ciertas exigencias para una realización fructífera. Estos tipos de cánones suelen basarse en nociones tales como «espectro consumido» o «valor económico del espectro», que no son siempre fáciles de definir o estimar prácticamente. Para realizar los cálculos que conlleva el modelo de canon puede ser necesario contar con bancos de datos fiables automatizados sobre licencias y sus beneficiarios, así como con otros instrumentos informáticos tales como programas sobre información geográfica. Las administraciones que deseen reflejar los valores del mercado en sus cánones de licencia tendrán que considerar la medida en que las licencias que otorgan se asemejan a «propiedades del mercado». Toda tentativa de recaudar cánones que en su momento superen el valor del espectro correspondiente puede tener consecuencias económicas negativas tales como la contracción de la inversión, la limitación de la penetración del servicio o el aumento de los precios al consumidor.</w:t>
      </w:r>
    </w:p>
    <w:p w14:paraId="44B9BA67" w14:textId="77777777" w:rsidR="00F73D5B" w:rsidRPr="008B7A21" w:rsidRDefault="00F73D5B" w:rsidP="00F73D5B">
      <w:pPr>
        <w:rPr>
          <w:lang w:val="es-ES_tradnl"/>
        </w:rPr>
      </w:pPr>
      <w:r w:rsidRPr="008B7A21">
        <w:rPr>
          <w:lang w:val="es-ES_tradnl"/>
        </w:rPr>
        <w:t>Por último, en los países que anteriormente no cobraban cánones, es fundamental que los gestores del espectro cuenten con la autoridad jurídica según su ley de comunicaciones para cobrar por la utilización del espectro.</w:t>
      </w:r>
    </w:p>
    <w:p w14:paraId="2430DD48" w14:textId="77777777" w:rsidR="00F73D5B" w:rsidRPr="008B7A21" w:rsidRDefault="00F73D5B" w:rsidP="00F73D5B">
      <w:pPr>
        <w:pStyle w:val="Heading2"/>
        <w:rPr>
          <w:lang w:val="es-ES_tradnl"/>
        </w:rPr>
      </w:pPr>
      <w:bookmarkStart w:id="478" w:name="_Toc400523524"/>
      <w:bookmarkStart w:id="479" w:name="_Toc403126962"/>
      <w:bookmarkStart w:id="480" w:name="_Toc403127174"/>
      <w:bookmarkStart w:id="481" w:name="_Toc403794338"/>
      <w:bookmarkStart w:id="482" w:name="_Toc403794756"/>
      <w:bookmarkStart w:id="483" w:name="_Toc405043911"/>
      <w:bookmarkStart w:id="484" w:name="_Toc405044148"/>
      <w:bookmarkStart w:id="485" w:name="_Toc405175978"/>
      <w:bookmarkStart w:id="486" w:name="_Toc409770190"/>
      <w:bookmarkStart w:id="487" w:name="_Toc423234793"/>
      <w:bookmarkStart w:id="488" w:name="_Toc423240978"/>
      <w:bookmarkStart w:id="489" w:name="_Toc423241806"/>
      <w:bookmarkStart w:id="490" w:name="_Toc423242114"/>
      <w:bookmarkStart w:id="491" w:name="_Toc423242254"/>
      <w:bookmarkStart w:id="492" w:name="_Toc423938026"/>
      <w:bookmarkStart w:id="493" w:name="_Toc425918239"/>
      <w:bookmarkStart w:id="494" w:name="_Toc456491512"/>
      <w:bookmarkStart w:id="495" w:name="_Toc456491685"/>
      <w:bookmarkStart w:id="496" w:name="_Toc456492129"/>
      <w:bookmarkStart w:id="497" w:name="_Toc456492170"/>
      <w:bookmarkStart w:id="498" w:name="_Toc458355754"/>
      <w:bookmarkStart w:id="499" w:name="_Toc459792596"/>
      <w:bookmarkStart w:id="500" w:name="_Toc459793767"/>
      <w:bookmarkStart w:id="501" w:name="_Toc459793909"/>
      <w:bookmarkStart w:id="502" w:name="_Toc459970388"/>
      <w:bookmarkStart w:id="503" w:name="_Toc476537814"/>
      <w:bookmarkStart w:id="504" w:name="_Toc306276803"/>
      <w:bookmarkStart w:id="505" w:name="_Toc307921482"/>
      <w:bookmarkStart w:id="506" w:name="_Toc307922049"/>
      <w:bookmarkStart w:id="507" w:name="_Toc307922545"/>
      <w:bookmarkStart w:id="508" w:name="_Toc307991894"/>
      <w:bookmarkStart w:id="509" w:name="_Toc307993923"/>
      <w:bookmarkStart w:id="510" w:name="_Toc307995190"/>
      <w:bookmarkStart w:id="511" w:name="_Toc307996329"/>
      <w:bookmarkStart w:id="512" w:name="_Toc308010309"/>
      <w:bookmarkStart w:id="513" w:name="_Toc499562967"/>
      <w:bookmarkStart w:id="514" w:name="_Toc215835345"/>
      <w:r w:rsidRPr="008B7A21">
        <w:rPr>
          <w:lang w:val="es-ES_tradnl"/>
        </w:rPr>
        <w:t>2.5</w:t>
      </w:r>
      <w:r w:rsidRPr="008B7A21">
        <w:rPr>
          <w:lang w:val="es-ES_tradnl"/>
        </w:rPr>
        <w:tab/>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r w:rsidRPr="008B7A21">
        <w:rPr>
          <w:lang w:val="es-ES_tradnl"/>
        </w:rPr>
        <w:t>Gestión de cambios en la financiación de la gestión del espectro</w:t>
      </w:r>
      <w:bookmarkEnd w:id="504"/>
      <w:bookmarkEnd w:id="505"/>
      <w:bookmarkEnd w:id="506"/>
      <w:bookmarkEnd w:id="507"/>
      <w:bookmarkEnd w:id="508"/>
      <w:bookmarkEnd w:id="509"/>
      <w:bookmarkEnd w:id="510"/>
      <w:bookmarkEnd w:id="511"/>
      <w:bookmarkEnd w:id="512"/>
      <w:bookmarkEnd w:id="513"/>
      <w:bookmarkEnd w:id="514"/>
    </w:p>
    <w:p w14:paraId="01A5E129" w14:textId="77777777" w:rsidR="00F73D5B" w:rsidRPr="008B7A21" w:rsidRDefault="00F73D5B" w:rsidP="00F73D5B">
      <w:pPr>
        <w:rPr>
          <w:lang w:val="es-ES_tradnl"/>
        </w:rPr>
      </w:pPr>
      <w:r w:rsidRPr="008B7A21">
        <w:rPr>
          <w:lang w:val="es-ES_tradnl"/>
        </w:rPr>
        <w:t>Se ha visto que la utilización de las radiocomunicaciones redunda en una serie de ventajas (véase el Capítulo 3). El hecho de que el nivel de los beneficios económicos derivados de la utilización de las radiocomunicaciones aumente o disminuya dependerá de que el espectro se utilice eficazmente y sea objeto de gestión. Como la fijación de un sistema de precios o el establecimiento de derechos en relación con el espectro, puede afectar de manera significativa el proceso de su gestión, convendría administrar los correspondientes cambios, habida cuenta de sus posibles repercusiones para la economía, el proceso de concesión de licencias, la industria y los usuarios de radiocomunicaciones.</w:t>
      </w:r>
    </w:p>
    <w:p w14:paraId="53BB98BE" w14:textId="77777777" w:rsidR="00F73D5B" w:rsidRPr="008B7A21" w:rsidRDefault="00F73D5B" w:rsidP="00F73D5B">
      <w:pPr>
        <w:rPr>
          <w:lang w:val="es-ES_tradnl"/>
        </w:rPr>
      </w:pPr>
      <w:r w:rsidRPr="008B7A21">
        <w:rPr>
          <w:lang w:val="es-ES_tradnl"/>
        </w:rPr>
        <w:t>Es probable que los aspectos que deba considerar una autoridad reguladora del espectro en relación con dichos cambios varíen de una administración a otra y los procedimientos para establecer sistema de precios al espectro diferirán seguramente, pero pueden agruparse en un pequeño número de categorías.</w:t>
      </w:r>
    </w:p>
    <w:p w14:paraId="5EDF895D" w14:textId="77777777" w:rsidR="00F73D5B" w:rsidRPr="008B7A21" w:rsidRDefault="00F73D5B" w:rsidP="00F73D5B">
      <w:pPr>
        <w:pStyle w:val="Heading3"/>
        <w:rPr>
          <w:lang w:val="es-ES_tradnl"/>
        </w:rPr>
      </w:pPr>
      <w:bookmarkStart w:id="515" w:name="_Toc405043914"/>
      <w:bookmarkStart w:id="516" w:name="_Toc405044151"/>
      <w:bookmarkStart w:id="517" w:name="_Toc405175981"/>
      <w:bookmarkStart w:id="518" w:name="_Toc409770193"/>
      <w:bookmarkStart w:id="519" w:name="_Toc423234796"/>
      <w:bookmarkStart w:id="520" w:name="_Toc423240981"/>
      <w:bookmarkStart w:id="521" w:name="_Toc423241809"/>
      <w:bookmarkStart w:id="522" w:name="_Toc423242117"/>
      <w:bookmarkStart w:id="523" w:name="_Toc423242257"/>
      <w:bookmarkStart w:id="524" w:name="_Toc423938029"/>
      <w:bookmarkStart w:id="525" w:name="_Toc425918242"/>
      <w:bookmarkStart w:id="526" w:name="_Toc456491514"/>
      <w:bookmarkStart w:id="527" w:name="_Toc456491687"/>
      <w:bookmarkStart w:id="528" w:name="_Toc456492131"/>
      <w:bookmarkStart w:id="529" w:name="_Toc456492172"/>
      <w:bookmarkStart w:id="530" w:name="_Toc458355756"/>
      <w:bookmarkStart w:id="531" w:name="_Toc459792597"/>
      <w:bookmarkStart w:id="532" w:name="_Toc476537815"/>
      <w:bookmarkStart w:id="533" w:name="_Toc306276804"/>
      <w:bookmarkStart w:id="534" w:name="_Toc307921483"/>
      <w:bookmarkStart w:id="535" w:name="_Toc307922050"/>
      <w:bookmarkStart w:id="536" w:name="_Toc307922546"/>
      <w:bookmarkStart w:id="537" w:name="_Toc307991895"/>
      <w:bookmarkStart w:id="538" w:name="_Toc307993924"/>
      <w:bookmarkStart w:id="539" w:name="_Toc307995191"/>
      <w:bookmarkStart w:id="540" w:name="_Toc307996330"/>
      <w:bookmarkStart w:id="541" w:name="_Toc308010310"/>
      <w:bookmarkStart w:id="542" w:name="_Toc499562968"/>
      <w:bookmarkStart w:id="543" w:name="_Toc215835346"/>
      <w:r w:rsidRPr="008B7A21">
        <w:rPr>
          <w:lang w:val="es-ES_tradnl"/>
        </w:rPr>
        <w:t>2.5.1</w:t>
      </w:r>
      <w:r w:rsidRPr="008B7A21">
        <w:rPr>
          <w:lang w:val="es-ES_tradnl"/>
        </w:rPr>
        <w:tab/>
        <w:t>Aspectos jurídicos</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40A5A002" w14:textId="77777777" w:rsidR="00F73D5B" w:rsidRPr="008B7A21" w:rsidRDefault="00F73D5B" w:rsidP="00F73D5B">
      <w:pPr>
        <w:rPr>
          <w:b/>
          <w:lang w:val="es-ES_tradnl"/>
        </w:rPr>
      </w:pPr>
      <w:bookmarkStart w:id="544" w:name="_Toc405175982"/>
      <w:bookmarkStart w:id="545" w:name="_Toc409770194"/>
      <w:bookmarkStart w:id="546" w:name="_Toc423234797"/>
      <w:bookmarkStart w:id="547" w:name="_Toc423240982"/>
      <w:bookmarkStart w:id="548" w:name="_Toc423241810"/>
      <w:bookmarkStart w:id="549" w:name="_Toc423242118"/>
      <w:bookmarkStart w:id="550" w:name="_Toc423242258"/>
      <w:bookmarkStart w:id="551" w:name="_Toc423938030"/>
      <w:bookmarkStart w:id="552" w:name="_Toc425918243"/>
      <w:bookmarkStart w:id="553" w:name="_Toc456491515"/>
      <w:bookmarkStart w:id="554" w:name="_Toc456491688"/>
      <w:bookmarkStart w:id="555" w:name="_Toc456492132"/>
      <w:bookmarkStart w:id="556" w:name="_Toc456492173"/>
      <w:bookmarkStart w:id="557" w:name="_Toc458355757"/>
      <w:bookmarkStart w:id="558" w:name="_Toc459792598"/>
      <w:r w:rsidRPr="008B7A21">
        <w:rPr>
          <w:lang w:val="es-ES_tradnl"/>
        </w:rPr>
        <w:t>Con independencia de que una administración deba formular nueva legislación para implantar un sistema de precios para el espectro, es esencial que dicha administración garantice la traducción a la práctica de su legislación vigente. Si la administración tiene previsto introducir subastas, derechos de espectro transferibles o un mercado secundario, es también fundamental que la administración disponga de una legislación apropiada en materia de competencia. La ausencia de legislación sobre competencia o de organizaciones competentes para darle aplicación en el momento de establecer un sistema de precios en relación con el espectro, podría dificultar sus actuaciones.</w:t>
      </w:r>
    </w:p>
    <w:p w14:paraId="2CF843CB" w14:textId="77777777" w:rsidR="00F73D5B" w:rsidRPr="008B7A21" w:rsidRDefault="00F73D5B" w:rsidP="00F73D5B">
      <w:pPr>
        <w:pStyle w:val="Heading3"/>
        <w:rPr>
          <w:lang w:val="es-ES_tradnl"/>
        </w:rPr>
      </w:pPr>
      <w:bookmarkStart w:id="559" w:name="_Toc476537816"/>
      <w:bookmarkStart w:id="560" w:name="_Toc306276805"/>
      <w:bookmarkStart w:id="561" w:name="_Toc307921484"/>
      <w:bookmarkStart w:id="562" w:name="_Toc307922051"/>
      <w:bookmarkStart w:id="563" w:name="_Toc307922547"/>
      <w:bookmarkStart w:id="564" w:name="_Toc307991896"/>
      <w:bookmarkStart w:id="565" w:name="_Toc307993925"/>
      <w:bookmarkStart w:id="566" w:name="_Toc307995192"/>
      <w:bookmarkStart w:id="567" w:name="_Toc307996331"/>
      <w:bookmarkStart w:id="568" w:name="_Toc308010311"/>
      <w:bookmarkStart w:id="569" w:name="_Toc499562969"/>
      <w:bookmarkStart w:id="570" w:name="_Toc215835347"/>
      <w:r w:rsidRPr="008B7A21">
        <w:rPr>
          <w:lang w:val="es-ES_tradnl"/>
        </w:rPr>
        <w:t>2.5.2</w:t>
      </w:r>
      <w:r w:rsidRPr="008B7A21">
        <w:rPr>
          <w:lang w:val="es-ES_tradnl"/>
        </w:rPr>
        <w:tab/>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rsidRPr="008B7A21">
        <w:rPr>
          <w:lang w:val="es-ES_tradnl"/>
        </w:rPr>
        <w:t>Obligaciones internacionales</w:t>
      </w:r>
      <w:bookmarkEnd w:id="560"/>
      <w:bookmarkEnd w:id="561"/>
      <w:bookmarkEnd w:id="562"/>
      <w:bookmarkEnd w:id="563"/>
      <w:bookmarkEnd w:id="564"/>
      <w:bookmarkEnd w:id="565"/>
      <w:bookmarkEnd w:id="566"/>
      <w:bookmarkEnd w:id="567"/>
      <w:bookmarkEnd w:id="568"/>
      <w:bookmarkEnd w:id="569"/>
      <w:bookmarkEnd w:id="570"/>
    </w:p>
    <w:p w14:paraId="4B4D9F22" w14:textId="77777777" w:rsidR="00F73D5B" w:rsidRPr="008B7A21" w:rsidRDefault="00F73D5B" w:rsidP="00F73D5B">
      <w:pPr>
        <w:rPr>
          <w:b/>
          <w:lang w:val="es-ES_tradnl"/>
        </w:rPr>
      </w:pPr>
      <w:bookmarkStart w:id="571" w:name="_Toc405043915"/>
      <w:bookmarkStart w:id="572" w:name="_Toc405044152"/>
      <w:bookmarkStart w:id="573" w:name="_Toc405175983"/>
      <w:bookmarkStart w:id="574" w:name="_Toc409770195"/>
      <w:bookmarkStart w:id="575" w:name="_Toc423234798"/>
      <w:bookmarkStart w:id="576" w:name="_Toc423240983"/>
      <w:bookmarkStart w:id="577" w:name="_Toc423241811"/>
      <w:bookmarkStart w:id="578" w:name="_Toc423242119"/>
      <w:bookmarkStart w:id="579" w:name="_Toc423242259"/>
      <w:bookmarkStart w:id="580" w:name="_Toc423938031"/>
      <w:bookmarkStart w:id="581" w:name="_Toc425918244"/>
      <w:bookmarkStart w:id="582" w:name="_Toc456491516"/>
      <w:bookmarkStart w:id="583" w:name="_Toc456491689"/>
      <w:bookmarkStart w:id="584" w:name="_Toc456492133"/>
      <w:bookmarkStart w:id="585" w:name="_Toc456492174"/>
      <w:bookmarkStart w:id="586" w:name="_Toc458355758"/>
      <w:bookmarkStart w:id="587" w:name="_Toc459792599"/>
      <w:r w:rsidRPr="008B7A21">
        <w:rPr>
          <w:lang w:val="es-ES_tradnl"/>
        </w:rPr>
        <w:t>Cuando una administración desee establecer un sistema de precios para el espectro e implementar derechos de espectro particularmente transferibles, resulta importante que siga asumiendo las obligaciones internacionales del país. No obstante, es posible que dicha administración no deba considerar la posibilidad de establecer un mecanismo para representar las opiniones de los usuarios en los correspondientes foros internacionales, en particular, si se permite que el usuario adquiera en relación con su espectro cualesquiera de las funciones de gestión que normalmente corresponden a la administración (véase el Capítulo 4). Es posible que en la mayoría de los países existan ya estos mecanismos, aunque la necesidad de modificarlos para reflejar los diferentes niveles de responsabilidad en cuanto a la gestión del espectro por parte de los usuarios pueda depender de la estructura y organización del proceso de gestión nacional del espectro.</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7BDEB3C3" w14:textId="77777777" w:rsidR="00F73D5B" w:rsidRPr="008B7A21" w:rsidRDefault="00F73D5B" w:rsidP="00F73D5B">
      <w:pPr>
        <w:pStyle w:val="Heading3"/>
        <w:rPr>
          <w:lang w:val="es-ES_tradnl"/>
        </w:rPr>
      </w:pPr>
      <w:bookmarkStart w:id="588" w:name="_Toc405043916"/>
      <w:bookmarkStart w:id="589" w:name="_Toc405044153"/>
      <w:bookmarkStart w:id="590" w:name="_Toc405175984"/>
      <w:bookmarkStart w:id="591" w:name="_Toc409770196"/>
      <w:bookmarkStart w:id="592" w:name="_Toc423234799"/>
      <w:bookmarkStart w:id="593" w:name="_Toc423240984"/>
      <w:bookmarkStart w:id="594" w:name="_Toc423241812"/>
      <w:bookmarkStart w:id="595" w:name="_Toc423242120"/>
      <w:bookmarkStart w:id="596" w:name="_Toc423242260"/>
      <w:bookmarkStart w:id="597" w:name="_Toc423938032"/>
      <w:bookmarkStart w:id="598" w:name="_Toc425918245"/>
      <w:bookmarkStart w:id="599" w:name="_Toc456491517"/>
      <w:bookmarkStart w:id="600" w:name="_Toc456491690"/>
      <w:bookmarkStart w:id="601" w:name="_Toc456492134"/>
      <w:bookmarkStart w:id="602" w:name="_Toc456492175"/>
      <w:bookmarkStart w:id="603" w:name="_Toc458355759"/>
      <w:bookmarkStart w:id="604" w:name="_Toc459792600"/>
      <w:bookmarkStart w:id="605" w:name="_Toc476537818"/>
      <w:bookmarkStart w:id="606" w:name="_Toc306276806"/>
      <w:bookmarkStart w:id="607" w:name="_Toc307921485"/>
      <w:bookmarkStart w:id="608" w:name="_Toc307922052"/>
      <w:bookmarkStart w:id="609" w:name="_Toc307922548"/>
      <w:bookmarkStart w:id="610" w:name="_Toc307991897"/>
      <w:bookmarkStart w:id="611" w:name="_Toc307993926"/>
      <w:bookmarkStart w:id="612" w:name="_Toc307995193"/>
      <w:bookmarkStart w:id="613" w:name="_Toc307996332"/>
      <w:bookmarkStart w:id="614" w:name="_Toc308010312"/>
      <w:bookmarkStart w:id="615" w:name="_Toc499562970"/>
      <w:bookmarkStart w:id="616" w:name="_Toc215835348"/>
      <w:r w:rsidRPr="008B7A21">
        <w:rPr>
          <w:lang w:val="es-ES_tradnl"/>
        </w:rPr>
        <w:t>2.5.3</w:t>
      </w:r>
      <w:r w:rsidRPr="008B7A21">
        <w:rPr>
          <w:lang w:val="es-ES_tradnl"/>
        </w:rPr>
        <w:tab/>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r w:rsidRPr="008B7A21">
        <w:rPr>
          <w:lang w:val="es-ES_tradnl"/>
        </w:rPr>
        <w:t>Repercusiones financieras</w:t>
      </w:r>
      <w:bookmarkEnd w:id="606"/>
      <w:bookmarkEnd w:id="607"/>
      <w:bookmarkEnd w:id="608"/>
      <w:bookmarkEnd w:id="609"/>
      <w:bookmarkEnd w:id="610"/>
      <w:bookmarkEnd w:id="611"/>
      <w:bookmarkEnd w:id="612"/>
      <w:bookmarkEnd w:id="613"/>
      <w:bookmarkEnd w:id="614"/>
      <w:bookmarkEnd w:id="615"/>
      <w:bookmarkEnd w:id="616"/>
    </w:p>
    <w:p w14:paraId="29A34CEE" w14:textId="77777777" w:rsidR="00F73D5B" w:rsidRPr="008B7A21" w:rsidRDefault="00F73D5B" w:rsidP="00F73D5B">
      <w:pPr>
        <w:rPr>
          <w:lang w:val="es-ES_tradnl"/>
        </w:rPr>
      </w:pPr>
      <w:r w:rsidRPr="008B7A21">
        <w:rPr>
          <w:lang w:val="es-ES_tradnl"/>
        </w:rPr>
        <w:t>Las administraciones que hayan administrado anteriormente un sistema de «recuperación de costes» o recurrido a cánones para financiar sus actividades de gestión del espectro deberán considerar las repercusiones que entrañan para los ingresos totales los cambios en los mecanismos de financiación de la gestión del espectro, por ejemplo:</w:t>
      </w:r>
    </w:p>
    <w:p w14:paraId="78CB217F" w14:textId="77777777" w:rsidR="00F73D5B" w:rsidRPr="008B7A21" w:rsidRDefault="00F73D5B" w:rsidP="00F73D5B">
      <w:pPr>
        <w:pStyle w:val="enumlev1"/>
        <w:rPr>
          <w:lang w:val="es-ES_tradnl"/>
        </w:rPr>
      </w:pPr>
      <w:r w:rsidRPr="008B7A21">
        <w:rPr>
          <w:lang w:val="es-ES_tradnl"/>
        </w:rPr>
        <w:t>–</w:t>
      </w:r>
      <w:r w:rsidRPr="008B7A21">
        <w:rPr>
          <w:lang w:val="es-ES_tradnl"/>
        </w:rPr>
        <w:tab/>
        <w:t>que las subastas se celebran sólo periódicamente, debido que en ciertas ocasiones pueda no ser conveniente subastar el espectro;</w:t>
      </w:r>
    </w:p>
    <w:p w14:paraId="23D0F994" w14:textId="77777777" w:rsidR="00F73D5B" w:rsidRPr="008B7A21" w:rsidRDefault="00F73D5B" w:rsidP="00F73D5B">
      <w:pPr>
        <w:pStyle w:val="enumlev1"/>
        <w:rPr>
          <w:lang w:val="es-ES_tradnl"/>
        </w:rPr>
      </w:pPr>
      <w:r w:rsidRPr="008B7A21">
        <w:rPr>
          <w:lang w:val="es-ES_tradnl"/>
        </w:rPr>
        <w:t>–</w:t>
      </w:r>
      <w:r w:rsidRPr="008B7A21">
        <w:rPr>
          <w:lang w:val="es-ES_tradnl"/>
        </w:rPr>
        <w:tab/>
        <w:t>que se fijen precios con incentivo para atenuar la congestión y no así para aumentar los fondos de la administración.</w:t>
      </w:r>
    </w:p>
    <w:p w14:paraId="230360BC" w14:textId="77777777" w:rsidR="00F73D5B" w:rsidRPr="008B7A21" w:rsidRDefault="00F73D5B" w:rsidP="00F73D5B">
      <w:pPr>
        <w:rPr>
          <w:lang w:val="es-ES_tradnl"/>
        </w:rPr>
      </w:pPr>
      <w:r w:rsidRPr="008B7A21">
        <w:rPr>
          <w:lang w:val="es-ES_tradnl"/>
        </w:rPr>
        <w:t>A corto plazo, los niveles de financiación pueden aumentar, pero una vez que se apliquen los mecanismos de fijación de precios para el espectro, esos niveles fluctuarían con el tiempo y habría que ajustar la oferta y la demanda.</w:t>
      </w:r>
    </w:p>
    <w:p w14:paraId="53A2C817" w14:textId="77777777" w:rsidR="00F73D5B" w:rsidRPr="008B7A21" w:rsidRDefault="00F73D5B" w:rsidP="00F73D5B">
      <w:pPr>
        <w:pStyle w:val="Heading2"/>
        <w:rPr>
          <w:lang w:val="es-ES_tradnl"/>
        </w:rPr>
      </w:pPr>
      <w:bookmarkStart w:id="617" w:name="_Toc396187400"/>
      <w:bookmarkStart w:id="618" w:name="_Toc306276807"/>
      <w:bookmarkStart w:id="619" w:name="_Toc307921486"/>
      <w:bookmarkStart w:id="620" w:name="_Toc307922053"/>
      <w:bookmarkStart w:id="621" w:name="_Toc307922549"/>
      <w:bookmarkStart w:id="622" w:name="_Toc307991898"/>
      <w:bookmarkStart w:id="623" w:name="_Toc307993927"/>
      <w:bookmarkStart w:id="624" w:name="_Toc307995194"/>
      <w:bookmarkStart w:id="625" w:name="_Toc307996333"/>
      <w:bookmarkStart w:id="626" w:name="_Toc308010313"/>
      <w:bookmarkStart w:id="627" w:name="_Toc499562971"/>
      <w:bookmarkStart w:id="628" w:name="_Toc215835349"/>
      <w:r w:rsidRPr="008B7A21">
        <w:rPr>
          <w:lang w:val="es-ES_tradnl"/>
        </w:rPr>
        <w:t>2.6</w:t>
      </w:r>
      <w:r w:rsidRPr="008B7A21">
        <w:rPr>
          <w:lang w:val="es-ES_tradnl"/>
        </w:rPr>
        <w:tab/>
        <w:t>Resumen</w:t>
      </w:r>
      <w:bookmarkEnd w:id="617"/>
      <w:bookmarkEnd w:id="618"/>
      <w:bookmarkEnd w:id="619"/>
      <w:bookmarkEnd w:id="620"/>
      <w:bookmarkEnd w:id="621"/>
      <w:bookmarkEnd w:id="622"/>
      <w:bookmarkEnd w:id="623"/>
      <w:bookmarkEnd w:id="624"/>
      <w:bookmarkEnd w:id="625"/>
      <w:bookmarkEnd w:id="626"/>
      <w:bookmarkEnd w:id="627"/>
      <w:bookmarkEnd w:id="628"/>
    </w:p>
    <w:p w14:paraId="26E2F240" w14:textId="77777777" w:rsidR="00F73D5B" w:rsidRPr="008B7A21" w:rsidRDefault="00F73D5B" w:rsidP="00F73D5B">
      <w:pPr>
        <w:rPr>
          <w:lang w:val="es-ES_tradnl"/>
        </w:rPr>
      </w:pPr>
      <w:r w:rsidRPr="008B7A21">
        <w:rPr>
          <w:lang w:val="es-ES_tradnl"/>
        </w:rPr>
        <w:t>Dada la demanda creciente a nivel mundial de servicios radioeléctricos, los enfoques económicos de la gestión nacional del espectro resultan fundamentales. Estos enfoques promueven la eficacia económica, técnica y administrativa y también pueden contribuir a consolidar los programas de gestión nacional del espectro que aseguren el funcionamiento de los servicios radioeléctricos sin interferencias. Aunque un sistema de libre mercado en el espectro no parece factible debido a consideraciones de índole técnica, económica y social, mediante subastas, derechos de espectro transferibles y flexibles y cánones bien concebidos se puede obtener una serie de ventajas del enfoque de mercado. Las subastas parecen las más adecuadas para fomentar la utilización eficaz del espectro cuando haya solicitantes en competencia de la misma asignación de frecuencia, y los derechos de espectro transferibles y flexibles aseguran que una asignación continuará utilizándose de forma eficaz después de la subasta. No obstante, las subastas pueden no ser adecuadas para servicios en los que hay una competencia limitada por las asignaciones del espectro, en los servicios socialmente convenientes, tales como el de la defensa nacional y en los servicios internacionales tales como los de satélite. Para algunos de estos servicios, los cánones pueden ser adecuados. Los cánones pueden fomentar la utilización eficaz del espectro, siempre que incorporen los incentivos económicos adecuados y que no se establezcan a un nivel tan bajo que resulte despreciable a ojos de los usuarios del espectro o tan elevado que rebase lo que el mercado establecería, en cuyo caso el espectro permanecerá inutilizado y no generará beneficios.</w:t>
      </w:r>
    </w:p>
    <w:p w14:paraId="6B743732" w14:textId="77777777" w:rsidR="00F73D5B" w:rsidRPr="008B7A21" w:rsidRDefault="00F73D5B" w:rsidP="00F73D5B">
      <w:pPr>
        <w:rPr>
          <w:lang w:val="es-ES_tradnl"/>
        </w:rPr>
      </w:pPr>
      <w:r w:rsidRPr="008B7A21">
        <w:rPr>
          <w:lang w:val="es-ES_tradnl"/>
        </w:rPr>
        <w:t>Mediante la fijación de precios para el espectro los gestores nacionales del espectro pueden idear con una serie de instrumentos económicos para promover una utilización más eficaz del espectro. Si se aplican adecuadamente, estos instrumentos pueden contribuir a fomentar la inversión en servicios radioeléctricos, lo que dará lugar a un crecimiento del sector de telecomunicaciones, en beneficio de toda la economía.</w:t>
      </w:r>
    </w:p>
    <w:p w14:paraId="647670F9" w14:textId="77777777" w:rsidR="00F73D5B" w:rsidRDefault="00F73D5B" w:rsidP="007044BB">
      <w:pPr>
        <w:rPr>
          <w:lang w:val="es-ES_tradnl"/>
        </w:rPr>
      </w:pPr>
    </w:p>
    <w:p w14:paraId="4302E3F6" w14:textId="77777777" w:rsidR="007044BB" w:rsidRPr="008B7A21" w:rsidRDefault="007044BB" w:rsidP="007044BB">
      <w:pPr>
        <w:rPr>
          <w:lang w:val="es-ES_tradnl"/>
        </w:rPr>
      </w:pPr>
    </w:p>
    <w:p w14:paraId="2ED8EB62" w14:textId="77777777" w:rsidR="00F73D5B" w:rsidRPr="008B7A21" w:rsidRDefault="00F73D5B" w:rsidP="00F73D5B">
      <w:pPr>
        <w:pStyle w:val="ChapNo"/>
        <w:rPr>
          <w:lang w:val="es-ES_tradnl"/>
        </w:rPr>
      </w:pPr>
      <w:bookmarkStart w:id="629" w:name="_Toc306276808"/>
      <w:bookmarkStart w:id="630" w:name="_Toc307993928"/>
      <w:bookmarkStart w:id="631" w:name="_Toc307995195"/>
      <w:bookmarkStart w:id="632" w:name="_Toc307996334"/>
      <w:bookmarkStart w:id="633" w:name="_Toc308010314"/>
      <w:bookmarkStart w:id="634" w:name="_Toc499562972"/>
      <w:bookmarkStart w:id="635" w:name="_Toc215835350"/>
      <w:r w:rsidRPr="008B7A21">
        <w:rPr>
          <w:lang w:val="es-ES_tradnl"/>
        </w:rPr>
        <w:t>CAPÍTULO 3</w:t>
      </w:r>
      <w:bookmarkEnd w:id="629"/>
      <w:bookmarkEnd w:id="630"/>
      <w:bookmarkEnd w:id="631"/>
      <w:bookmarkEnd w:id="632"/>
      <w:bookmarkEnd w:id="633"/>
      <w:bookmarkEnd w:id="634"/>
      <w:bookmarkEnd w:id="635"/>
    </w:p>
    <w:p w14:paraId="52CAC9CB" w14:textId="77777777" w:rsidR="00F73D5B" w:rsidRPr="008B7A21" w:rsidRDefault="00F73D5B" w:rsidP="00F73D5B">
      <w:pPr>
        <w:pStyle w:val="Chaptitle"/>
        <w:rPr>
          <w:lang w:val="es-ES_tradnl"/>
        </w:rPr>
      </w:pPr>
      <w:bookmarkStart w:id="636" w:name="_Toc306276809"/>
      <w:bookmarkStart w:id="637" w:name="_Toc307993929"/>
      <w:bookmarkStart w:id="638" w:name="_Toc307995196"/>
      <w:bookmarkStart w:id="639" w:name="_Toc307996335"/>
      <w:bookmarkStart w:id="640" w:name="_Toc308010315"/>
      <w:bookmarkStart w:id="641" w:name="_Toc499562973"/>
      <w:bookmarkStart w:id="642" w:name="_Toc526166750"/>
      <w:r w:rsidRPr="008B7A21">
        <w:rPr>
          <w:lang w:val="es-ES_tradnl"/>
        </w:rPr>
        <w:t>Evaluación de los beneficios de la utilización del espectro radioeléctrico</w:t>
      </w:r>
      <w:bookmarkEnd w:id="636"/>
      <w:bookmarkEnd w:id="637"/>
      <w:bookmarkEnd w:id="638"/>
      <w:bookmarkEnd w:id="639"/>
      <w:bookmarkEnd w:id="640"/>
      <w:bookmarkEnd w:id="641"/>
      <w:bookmarkEnd w:id="642"/>
    </w:p>
    <w:p w14:paraId="48AC5D9E" w14:textId="77777777" w:rsidR="00F73D5B" w:rsidRPr="008B7A21" w:rsidRDefault="00F73D5B" w:rsidP="00F73D5B">
      <w:pPr>
        <w:pStyle w:val="Heading2"/>
        <w:rPr>
          <w:lang w:val="es-ES_tradnl"/>
        </w:rPr>
      </w:pPr>
      <w:bookmarkStart w:id="643" w:name="_Toc396187401"/>
      <w:bookmarkStart w:id="644" w:name="_Toc306276810"/>
      <w:bookmarkStart w:id="645" w:name="_Toc307921487"/>
      <w:bookmarkStart w:id="646" w:name="_Toc307922054"/>
      <w:bookmarkStart w:id="647" w:name="_Toc307922550"/>
      <w:bookmarkStart w:id="648" w:name="_Toc307991899"/>
      <w:bookmarkStart w:id="649" w:name="_Toc307993930"/>
      <w:bookmarkStart w:id="650" w:name="_Toc307995197"/>
      <w:bookmarkStart w:id="651" w:name="_Toc307996336"/>
      <w:bookmarkStart w:id="652" w:name="_Toc308010316"/>
      <w:bookmarkStart w:id="653" w:name="_Toc499562974"/>
      <w:bookmarkStart w:id="654" w:name="_Toc215835351"/>
      <w:r w:rsidRPr="008B7A21">
        <w:rPr>
          <w:lang w:val="es-ES_tradnl"/>
        </w:rPr>
        <w:t>3.1</w:t>
      </w:r>
      <w:r w:rsidRPr="008B7A21">
        <w:rPr>
          <w:lang w:val="es-ES_tradnl"/>
        </w:rPr>
        <w:tab/>
        <w:t>Antecedentes</w:t>
      </w:r>
      <w:bookmarkEnd w:id="643"/>
      <w:bookmarkEnd w:id="644"/>
      <w:bookmarkEnd w:id="645"/>
      <w:bookmarkEnd w:id="646"/>
      <w:bookmarkEnd w:id="647"/>
      <w:bookmarkEnd w:id="648"/>
      <w:bookmarkEnd w:id="649"/>
      <w:bookmarkEnd w:id="650"/>
      <w:bookmarkEnd w:id="651"/>
      <w:bookmarkEnd w:id="652"/>
      <w:bookmarkEnd w:id="653"/>
      <w:bookmarkEnd w:id="654"/>
    </w:p>
    <w:p w14:paraId="17904D51" w14:textId="77777777" w:rsidR="00F73D5B" w:rsidRPr="008B7A21" w:rsidRDefault="00F73D5B" w:rsidP="00F73D5B">
      <w:pPr>
        <w:rPr>
          <w:lang w:val="es-ES_tradnl"/>
        </w:rPr>
      </w:pPr>
      <w:r w:rsidRPr="008B7A21">
        <w:rPr>
          <w:lang w:val="es-ES_tradnl"/>
        </w:rPr>
        <w:t>Es preciso gestionar eficazmente el espectro radioeléctrico a fin de asegurar el acceso a éste de nuevos servicios (véase la Nota 1) y tecnologías, el crecimiento de los servicios actuales y la ausencia de interferencia entre usuarios. La financiación de esta tarea estará en función de las peticiones respectivas de cada una de las actividades públicas. El ámbito de utilización de las radiocomunicaciones dentro de un país influirá en las funciones específicas efectuadas por el organismo de gestión del espectro. A medida que aumenta la utilización de las radiocomunicaciones, también es más necesaria la gestión del espectro. La evaluación de los beneficios económicos (véase la Nota 2) resultantes de la utilización del espectro resulta útil para adoptar decisiones de planificación del espectro. Si se necesita una cuantificación de esos beneficios para la planificación del espectro y el desarrollo estratégico, deberán establecerse metodologías adecuadas. En el presente Capítulo, basado en un Informe del Reino Unido, se hace un análisis comparativo de dos métodos a fin de evaluar los beneficios económicos y examinar los factores que pueden afectar a este valor.</w:t>
      </w:r>
    </w:p>
    <w:p w14:paraId="15F2EAE1" w14:textId="77777777" w:rsidR="00F73D5B" w:rsidRPr="008B7A21" w:rsidRDefault="00F73D5B" w:rsidP="00F73D5B">
      <w:pPr>
        <w:pStyle w:val="Note"/>
        <w:rPr>
          <w:lang w:val="es-ES_tradnl"/>
        </w:rPr>
      </w:pPr>
      <w:bookmarkStart w:id="655" w:name="_Toc396187402"/>
      <w:r w:rsidRPr="008B7A21">
        <w:rPr>
          <w:lang w:val="es-ES_tradnl"/>
        </w:rPr>
        <w:t>NOTA 1 – En este Informe, la utilización de la palabra «servicio» con «s» minúscula se refiere a un servicio de usuario final (por ejemplo, la radiotelefonía celular) y no a un Servicio de Radiocomunicaciones.</w:t>
      </w:r>
    </w:p>
    <w:p w14:paraId="23297409" w14:textId="77777777" w:rsidR="00F73D5B" w:rsidRPr="008B7A21" w:rsidRDefault="00F73D5B" w:rsidP="00F73D5B">
      <w:pPr>
        <w:pStyle w:val="Note"/>
        <w:rPr>
          <w:lang w:val="es-ES_tradnl"/>
        </w:rPr>
      </w:pPr>
      <w:r w:rsidRPr="008B7A21">
        <w:rPr>
          <w:lang w:val="es-ES_tradnl"/>
        </w:rPr>
        <w:t>NOTA 2 – En este caso, el término «beneficios» no se utiliza en el sentido económico habitual.</w:t>
      </w:r>
    </w:p>
    <w:p w14:paraId="08553CE3" w14:textId="77777777" w:rsidR="00F73D5B" w:rsidRPr="008B7A21" w:rsidRDefault="00F73D5B" w:rsidP="00F73D5B">
      <w:pPr>
        <w:pStyle w:val="Heading2"/>
        <w:rPr>
          <w:lang w:val="es-ES_tradnl"/>
        </w:rPr>
      </w:pPr>
      <w:bookmarkStart w:id="656" w:name="_Toc306276811"/>
      <w:bookmarkStart w:id="657" w:name="_Toc307921488"/>
      <w:bookmarkStart w:id="658" w:name="_Toc307922055"/>
      <w:bookmarkStart w:id="659" w:name="_Toc307922551"/>
      <w:bookmarkStart w:id="660" w:name="_Toc307991900"/>
      <w:bookmarkStart w:id="661" w:name="_Toc307993931"/>
      <w:bookmarkStart w:id="662" w:name="_Toc307995198"/>
      <w:bookmarkStart w:id="663" w:name="_Toc307996337"/>
      <w:bookmarkStart w:id="664" w:name="_Toc308010317"/>
      <w:bookmarkStart w:id="665" w:name="_Toc499562975"/>
      <w:bookmarkStart w:id="666" w:name="_Toc215835352"/>
      <w:r w:rsidRPr="008B7A21">
        <w:rPr>
          <w:lang w:val="es-ES_tradnl"/>
        </w:rPr>
        <w:t>3.2</w:t>
      </w:r>
      <w:r w:rsidRPr="008B7A21">
        <w:rPr>
          <w:lang w:val="es-ES_tradnl"/>
        </w:rPr>
        <w:tab/>
        <w:t>Métodos de evaluación de los beneficios económicos del espectro</w:t>
      </w:r>
      <w:bookmarkEnd w:id="655"/>
      <w:bookmarkEnd w:id="656"/>
      <w:bookmarkEnd w:id="657"/>
      <w:bookmarkEnd w:id="658"/>
      <w:bookmarkEnd w:id="659"/>
      <w:bookmarkEnd w:id="660"/>
      <w:bookmarkEnd w:id="661"/>
      <w:bookmarkEnd w:id="662"/>
      <w:bookmarkEnd w:id="663"/>
      <w:bookmarkEnd w:id="664"/>
      <w:bookmarkEnd w:id="665"/>
      <w:bookmarkEnd w:id="666"/>
    </w:p>
    <w:p w14:paraId="490D8C1C" w14:textId="77777777" w:rsidR="00F73D5B" w:rsidRPr="008B7A21" w:rsidRDefault="00F73D5B" w:rsidP="00F73D5B">
      <w:pPr>
        <w:rPr>
          <w:lang w:val="es-ES_tradnl"/>
        </w:rPr>
      </w:pPr>
      <w:r w:rsidRPr="008B7A21">
        <w:rPr>
          <w:lang w:val="es-ES_tradnl"/>
        </w:rPr>
        <w:t>Es un hecho generalmente reconocido que la expansión de la capacidad de fabricación, o la creación de nuevas industrias y servicios de radiocomunicaciones, generan beneficios económicos. Éstos proceden asimismo del efecto que los servicios de radiocomunicaciones tengan en la introducción de mejoras en la explotación de una empresa. Entre esas mejoras cabe citar: el aumento de la productividad, el incremento de las exportaciones, el descenso de los costes de funcionamiento y el aumento del empleo. La mejora de las prestaciones de una empresa no se registra únicamente en los casos en que las radiocomunicaciones forman parte de su actividad principal (por ejemplo, un proveedor de servicios de telecomunicaciones, un fabricante de equipo de radiocomunicaciones), sino también cuando se utilizan como un instrumento de apoyo de la actividad principal (por ejemplo, una empresa de abastecimiento de agua que utiliza la telemedida y el telemando para depósitos situados en lugares distantes, una empresa de taxis que utiliza las radiotelecomunicaciones móviles para transmitir datos sobre pasajeros a los taxis).</w:t>
      </w:r>
    </w:p>
    <w:p w14:paraId="27C4D821" w14:textId="77777777" w:rsidR="00F73D5B" w:rsidRPr="008B7A21" w:rsidRDefault="00F73D5B" w:rsidP="00F73D5B">
      <w:pPr>
        <w:rPr>
          <w:lang w:val="es-ES_tradnl"/>
        </w:rPr>
      </w:pPr>
      <w:r w:rsidRPr="008B7A21">
        <w:rPr>
          <w:lang w:val="es-ES_tradnl"/>
        </w:rPr>
        <w:t>En el Informe «Las repercusiones económicas de la utilización de las radiocomunicaciones en el Reino Unido»</w:t>
      </w:r>
      <w:r w:rsidRPr="008B7A21">
        <w:rPr>
          <w:rStyle w:val="FootnoteReference"/>
          <w:lang w:val="es-ES_tradnl"/>
        </w:rPr>
        <w:footnoteReference w:id="2"/>
      </w:r>
      <w:r w:rsidRPr="008B7A21">
        <w:rPr>
          <w:lang w:val="es-ES_tradnl"/>
        </w:rPr>
        <w:t xml:space="preserve"> publicado en 1995 y actualizado en varias ocasiones hasta su última versión de marzo de 2006, se exponen los dos métodos utilizados para cuantificar los beneficios económicos. Los métodos permiten calcular la contribución de la utilización de las radiocomunicaciones a la economía mediante:</w:t>
      </w:r>
    </w:p>
    <w:p w14:paraId="45A4282E" w14:textId="77777777" w:rsidR="00F73D5B" w:rsidRPr="008B7A21" w:rsidRDefault="00F73D5B" w:rsidP="00F73D5B">
      <w:pPr>
        <w:pStyle w:val="enumlev1"/>
        <w:rPr>
          <w:lang w:val="es-ES_tradnl"/>
        </w:rPr>
      </w:pPr>
      <w:r w:rsidRPr="008B7A21">
        <w:rPr>
          <w:lang w:val="es-ES_tradnl"/>
        </w:rPr>
        <w:t>–</w:t>
      </w:r>
      <w:r w:rsidRPr="008B7A21">
        <w:rPr>
          <w:lang w:val="es-ES_tradnl"/>
        </w:rPr>
        <w:tab/>
        <w:t>el producto interior bruto (PIB) y el empleo;</w:t>
      </w:r>
    </w:p>
    <w:p w14:paraId="45A63D69" w14:textId="77777777" w:rsidR="00F73D5B" w:rsidRPr="008B7A21" w:rsidRDefault="00F73D5B" w:rsidP="00F73D5B">
      <w:pPr>
        <w:pStyle w:val="enumlev1"/>
        <w:rPr>
          <w:lang w:val="es-ES_tradnl"/>
        </w:rPr>
      </w:pPr>
      <w:r w:rsidRPr="008B7A21">
        <w:rPr>
          <w:lang w:val="es-ES_tradnl"/>
        </w:rPr>
        <w:t>–</w:t>
      </w:r>
      <w:r w:rsidRPr="008B7A21">
        <w:rPr>
          <w:lang w:val="es-ES_tradnl"/>
        </w:rPr>
        <w:tab/>
        <w:t>el excedente del consumidor y el del productor.</w:t>
      </w:r>
    </w:p>
    <w:p w14:paraId="158EB0AD" w14:textId="77777777" w:rsidR="00F73D5B" w:rsidRPr="008B7A21" w:rsidRDefault="00F73D5B" w:rsidP="00F73D5B">
      <w:pPr>
        <w:rPr>
          <w:lang w:val="es-ES_tradnl"/>
        </w:rPr>
      </w:pPr>
      <w:r w:rsidRPr="008B7A21">
        <w:rPr>
          <w:lang w:val="es-ES_tradnl"/>
        </w:rPr>
        <w:t>Estos métodos pueden utilizarse para calcular los beneficios económicos derivados del suministro de un único servicio para el usuario final, o pueden sumarse los beneficios económicos de cada servicio a fin de obtener los beneficios totales económicos producidos por las radiotelecomunicaciones en un determinado país. Ambos métodos, así como sus ventajas relativas, se exponen en los apartados siguientes. Si bien en el presente Informe el cálculo del empleo está vinculado al del PIB, se trata en realidad de una medición complementaria que podría aplicarse por igual a la medición del excedente del consumidor.</w:t>
      </w:r>
    </w:p>
    <w:p w14:paraId="1E1C93EC" w14:textId="77777777" w:rsidR="00F73D5B" w:rsidRPr="008B7A21" w:rsidRDefault="00F73D5B" w:rsidP="00F73D5B">
      <w:pPr>
        <w:pStyle w:val="Heading3"/>
        <w:rPr>
          <w:lang w:val="es-ES_tradnl"/>
        </w:rPr>
      </w:pPr>
      <w:bookmarkStart w:id="667" w:name="_Toc396187403"/>
      <w:bookmarkStart w:id="668" w:name="_Toc306276812"/>
      <w:bookmarkStart w:id="669" w:name="_Toc307921489"/>
      <w:bookmarkStart w:id="670" w:name="_Toc307922056"/>
      <w:bookmarkStart w:id="671" w:name="_Toc307922552"/>
      <w:bookmarkStart w:id="672" w:name="_Toc307991901"/>
      <w:bookmarkStart w:id="673" w:name="_Toc307993932"/>
      <w:bookmarkStart w:id="674" w:name="_Toc307995199"/>
      <w:bookmarkStart w:id="675" w:name="_Toc307996338"/>
      <w:bookmarkStart w:id="676" w:name="_Toc308010318"/>
      <w:bookmarkStart w:id="677" w:name="_Toc499562976"/>
      <w:bookmarkStart w:id="678" w:name="_Toc215835353"/>
      <w:r w:rsidRPr="008B7A21">
        <w:rPr>
          <w:lang w:val="es-ES_tradnl"/>
        </w:rPr>
        <w:t>3.2.1</w:t>
      </w:r>
      <w:r w:rsidRPr="008B7A21">
        <w:rPr>
          <w:lang w:val="es-ES_tradnl"/>
        </w:rPr>
        <w:tab/>
        <w:t>PIB y empleo</w:t>
      </w:r>
      <w:bookmarkEnd w:id="667"/>
      <w:bookmarkEnd w:id="668"/>
      <w:bookmarkEnd w:id="669"/>
      <w:bookmarkEnd w:id="670"/>
      <w:bookmarkEnd w:id="671"/>
      <w:bookmarkEnd w:id="672"/>
      <w:bookmarkEnd w:id="673"/>
      <w:bookmarkEnd w:id="674"/>
      <w:bookmarkEnd w:id="675"/>
      <w:bookmarkEnd w:id="676"/>
      <w:bookmarkEnd w:id="677"/>
      <w:bookmarkEnd w:id="678"/>
    </w:p>
    <w:p w14:paraId="49638B9E" w14:textId="77777777" w:rsidR="00F73D5B" w:rsidRPr="008B7A21" w:rsidRDefault="00F73D5B" w:rsidP="00F73D5B">
      <w:pPr>
        <w:rPr>
          <w:lang w:val="es-ES_tradnl"/>
        </w:rPr>
      </w:pPr>
      <w:r w:rsidRPr="008B7A21">
        <w:rPr>
          <w:lang w:val="es-ES_tradnl"/>
        </w:rPr>
        <w:t>El uso de métodos relacionados con el PIB para evaluar los beneficios económicos se basa en la contribución que las radiocomunicaciones efectúan a todas las actividades comerciales en un país. La contribución al PIB equivaldrá al producto del precio de un bien o servicio por el número de unidades vendidas. Los gastos en concepto de sueldos y los beneficios constituyen un nuevo incremento (efectos multiplicadores, véase el § 2.1.1) en el PIB y el empleo, que puede añadirse a esas cifras.</w:t>
      </w:r>
    </w:p>
    <w:p w14:paraId="0AEFFFCC" w14:textId="77777777" w:rsidR="00F73D5B" w:rsidRPr="008B7A21" w:rsidRDefault="00F73D5B" w:rsidP="00F73D5B">
      <w:pPr>
        <w:rPr>
          <w:lang w:val="es-ES_tradnl"/>
        </w:rPr>
      </w:pPr>
      <w:r w:rsidRPr="008B7A21">
        <w:rPr>
          <w:lang w:val="es-ES_tradnl"/>
        </w:rPr>
        <w:t>En la práctica, las contribuciones al PIB y al empleo pueden formar parte de la economía en diversos puntos determinados por el funcionamiento del servicio específico. Por lo general, cuando se trata de un servicio vendido a un usuario final (por ejemplo, la radiodifusión), las contribuciones tienen lugar en:</w:t>
      </w:r>
    </w:p>
    <w:p w14:paraId="3434EEF4" w14:textId="77777777" w:rsidR="00F73D5B" w:rsidRPr="008B7A21" w:rsidRDefault="00F73D5B" w:rsidP="00F73D5B">
      <w:pPr>
        <w:pStyle w:val="enumlev1"/>
        <w:rPr>
          <w:lang w:val="es-ES_tradnl"/>
        </w:rPr>
      </w:pPr>
      <w:r w:rsidRPr="008B7A21">
        <w:rPr>
          <w:lang w:val="es-ES_tradnl"/>
        </w:rPr>
        <w:t>–</w:t>
      </w:r>
      <w:r w:rsidRPr="008B7A21">
        <w:rPr>
          <w:lang w:val="es-ES_tradnl"/>
        </w:rPr>
        <w:tab/>
        <w:t>la empresa que proporciona el servicio de radiocomunicaciones (empresa A). Esta contribución a la economía se dice que es el efecto directo de la utilización de las radiocomunicaciones. Cuando toda la actividad comercial de la «empresa A» se basa en el servicio de radiocomunicaciones (por ejemplo, la radiodifusión), la determinación de la información necesaria es relativamente simple. En los casos en que el servicio de radiocomunicaciones proporciona sólo parte de la actividad comercial (por ejemplo, las radiocomunicaciones móviles privadas (PMR)) esto puede resultar más difícil;</w:t>
      </w:r>
    </w:p>
    <w:p w14:paraId="6DBFE92B" w14:textId="77777777" w:rsidR="00F73D5B" w:rsidRPr="008B7A21" w:rsidRDefault="00F73D5B" w:rsidP="00F73D5B">
      <w:pPr>
        <w:pStyle w:val="enumlev1"/>
        <w:rPr>
          <w:lang w:val="es-ES_tradnl"/>
        </w:rPr>
      </w:pPr>
      <w:r w:rsidRPr="008B7A21">
        <w:rPr>
          <w:lang w:val="es-ES_tradnl"/>
        </w:rPr>
        <w:t>–</w:t>
      </w:r>
      <w:r w:rsidRPr="008B7A21">
        <w:rPr>
          <w:lang w:val="es-ES_tradnl"/>
        </w:rPr>
        <w:tab/>
        <w:t>las empresas que fabrican equipo adquirido por la «empresa A», o que proporcionan otros servicios (por ejemplo, servicios de limpieza, servicios de contratación, ayuda en tecnología de la información, investigación de mercado) en apoyo de las actividades de la «empresa A»; esas contribuciones indirectas a la economía se denominan vínculos en sentido inverso;</w:t>
      </w:r>
    </w:p>
    <w:p w14:paraId="7661115A" w14:textId="77777777" w:rsidR="00F73D5B" w:rsidRPr="008B7A21" w:rsidRDefault="00F73D5B" w:rsidP="00F73D5B">
      <w:pPr>
        <w:pStyle w:val="enumlev1"/>
        <w:rPr>
          <w:lang w:val="es-ES_tradnl"/>
        </w:rPr>
      </w:pPr>
      <w:r w:rsidRPr="008B7A21">
        <w:rPr>
          <w:lang w:val="es-ES_tradnl"/>
        </w:rPr>
        <w:t>–</w:t>
      </w:r>
      <w:r w:rsidRPr="008B7A21">
        <w:rPr>
          <w:lang w:val="es-ES_tradnl"/>
        </w:rPr>
        <w:tab/>
        <w:t>las empresas que fabrican equipos para usuarios de los servicios de la «empresa A», o que se utilizan para la distribución y venta al por menor de servicios de la «empresa A»; estas contribuciones indirectas a la economía se denominan vínculos en sentido directo. Esos servicios no están relacionados necesariamente con las radiocomunicaciones, por ejemplo, las líneas aéreas utilizan servicios aeronáuticos móviles pero sus servicios al por menor hacen relación al tráfico de pasajeros y de carga.</w:t>
      </w:r>
    </w:p>
    <w:p w14:paraId="04E397EB" w14:textId="77777777" w:rsidR="00F73D5B" w:rsidRPr="008B7A21" w:rsidRDefault="00F73D5B" w:rsidP="00F73D5B">
      <w:pPr>
        <w:rPr>
          <w:lang w:val="es-ES_tradnl"/>
        </w:rPr>
      </w:pPr>
      <w:r w:rsidRPr="008B7A21">
        <w:rPr>
          <w:lang w:val="es-ES_tradnl"/>
        </w:rPr>
        <w:t>En el caso de un servicio de radiocomunicaciones proporcionado por el usuario final, como es el caso de las PMR, el efecto directo y el vínculo inverso serían el mismo. Sin embargo, no existe vínculo directo porque los elementos integrantes están incorporados en el efecto directo.</w:t>
      </w:r>
    </w:p>
    <w:p w14:paraId="2A47CD57" w14:textId="77777777" w:rsidR="00F73D5B" w:rsidRPr="008B7A21" w:rsidRDefault="00F73D5B" w:rsidP="00F73D5B">
      <w:pPr>
        <w:rPr>
          <w:lang w:val="es-ES_tradnl"/>
        </w:rPr>
      </w:pPr>
      <w:r w:rsidRPr="008B7A21">
        <w:rPr>
          <w:lang w:val="es-ES_tradnl"/>
        </w:rPr>
        <w:t>La contribución del servicio o los servicios prestados al PIB y al empleo será equivalente a la suma del efecto directo, de los vínculos directos y de los inversos. Este valor dependerá del volumen de bienes de capital y de materiales generados en un país, y del nivel de beneficios obtenidos en éste. En la práctica, todos los países importarán parte de los bienes de equipo y materiales utilizados, reduciéndose así la contribución al PIB. No obstante, aun en el peor escenario posible, en el cual se importen todos los bienes de equipo y materiales (algo poco probable por la dificultad de importar todas las materias primas y el incremento de los gastos generales), todavía existirá una contribución positiva al PIB y al empleo en concepto de salarios, suministros a los usuarios del equipo, distribución y ventas al por menor.</w:t>
      </w:r>
    </w:p>
    <w:p w14:paraId="1F9D5A93" w14:textId="77777777" w:rsidR="00F73D5B" w:rsidRPr="008B7A21" w:rsidRDefault="00F73D5B" w:rsidP="00F73D5B">
      <w:pPr>
        <w:pStyle w:val="Heading4"/>
        <w:rPr>
          <w:lang w:val="es-ES_tradnl"/>
        </w:rPr>
      </w:pPr>
      <w:r w:rsidRPr="008B7A21">
        <w:rPr>
          <w:lang w:val="es-ES_tradnl"/>
        </w:rPr>
        <w:t>3.2.1.1</w:t>
      </w:r>
      <w:r w:rsidRPr="008B7A21">
        <w:rPr>
          <w:lang w:val="es-ES_tradnl"/>
        </w:rPr>
        <w:tab/>
        <w:t>Factores que modifican los valores conjuntos del PIB y el empleo</w:t>
      </w:r>
    </w:p>
    <w:p w14:paraId="72A87651" w14:textId="77777777" w:rsidR="00F73D5B" w:rsidRPr="008B7A21" w:rsidRDefault="00F73D5B" w:rsidP="00F73D5B">
      <w:pPr>
        <w:rPr>
          <w:lang w:val="es-ES_tradnl"/>
        </w:rPr>
      </w:pPr>
      <w:r w:rsidRPr="008B7A21">
        <w:rPr>
          <w:lang w:val="es-ES_tradnl"/>
        </w:rPr>
        <w:t>En todos los casos, las cifras combinadas de PIB y empleo resultantes de la contribución de las radiocomunicaciones a la economía deben revisarse a la baja debido a la repercusión de los «efectos de desplazamiento». Éstos se basan en el principio de que siempre existirá una alternativa a la utilización existente, a saber, si no existen aeronaves, se producirá una expansión de las industrias navieras y de ferrocarriles. Esos efectos permiten trazar los escenarios siguientes:</w:t>
      </w:r>
    </w:p>
    <w:p w14:paraId="43CFF51D" w14:textId="77777777" w:rsidR="00F73D5B" w:rsidRPr="008B7A21" w:rsidRDefault="00F73D5B" w:rsidP="00F73D5B">
      <w:pPr>
        <w:pStyle w:val="enumlev1"/>
        <w:rPr>
          <w:lang w:val="es-ES_tradnl"/>
        </w:rPr>
      </w:pPr>
      <w:r w:rsidRPr="008B7A21">
        <w:rPr>
          <w:lang w:val="es-ES_tradnl"/>
        </w:rPr>
        <w:t>–</w:t>
      </w:r>
      <w:r w:rsidRPr="008B7A21">
        <w:rPr>
          <w:lang w:val="es-ES_tradnl"/>
        </w:rPr>
        <w:tab/>
        <w:t>las radiocomunicaciones pueden ser un sustituto de otro servicio distinto de éstas, tal como el cable;</w:t>
      </w:r>
    </w:p>
    <w:p w14:paraId="1BFB44C3" w14:textId="77777777" w:rsidR="00F73D5B" w:rsidRPr="008B7A21" w:rsidRDefault="00F73D5B" w:rsidP="00F73D5B">
      <w:pPr>
        <w:pStyle w:val="enumlev1"/>
        <w:rPr>
          <w:lang w:val="es-ES_tradnl"/>
        </w:rPr>
      </w:pPr>
      <w:r w:rsidRPr="008B7A21">
        <w:rPr>
          <w:lang w:val="es-ES_tradnl"/>
        </w:rPr>
        <w:t>–</w:t>
      </w:r>
      <w:r w:rsidRPr="008B7A21">
        <w:rPr>
          <w:lang w:val="es-ES_tradnl"/>
        </w:rPr>
        <w:tab/>
        <w:t>si las radiocomunicaciones no existiesen, los recursos utilizados en su desarrollo se emplearían en otros sectores de la economía.</w:t>
      </w:r>
    </w:p>
    <w:p w14:paraId="11899D8C" w14:textId="77777777" w:rsidR="00F73D5B" w:rsidRPr="008B7A21" w:rsidRDefault="00F73D5B" w:rsidP="00F73D5B">
      <w:pPr>
        <w:rPr>
          <w:lang w:val="es-ES_tradnl"/>
        </w:rPr>
      </w:pPr>
      <w:r w:rsidRPr="008B7A21">
        <w:rPr>
          <w:lang w:val="es-ES_tradnl"/>
        </w:rPr>
        <w:t>En los cálculos puede contemplarse el efecto de los cambios relativos en el PIB y el empleo que produciría un servicio sustitutivo. No obstante, el último caso de un desplazamiento económico más amplio es más problemático. Si bien tiene cierta validez la teoría de que todos los recursos son completamente móviles, existe desacuerdo en cuanto a los límites de esta teoría y la validación se enfrenta a la dificultad de una falta de información pertinente.</w:t>
      </w:r>
    </w:p>
    <w:p w14:paraId="676DB9E1" w14:textId="77777777" w:rsidR="00F73D5B" w:rsidRPr="008B7A21" w:rsidRDefault="00F73D5B" w:rsidP="00F73D5B">
      <w:pPr>
        <w:rPr>
          <w:lang w:val="es-ES_tradnl"/>
        </w:rPr>
      </w:pPr>
      <w:r w:rsidRPr="008B7A21">
        <w:rPr>
          <w:lang w:val="es-ES_tradnl"/>
        </w:rPr>
        <w:t>Una vez que se hayan ajustado las cifras correspondientes al PIB y al empleo a fin de tomar en consideración los efectos del desplazamiento, podrá estudiarse la repercusión de los «efectos multiplicadores». Estos tienen su origen en el efecto de los salarios y de los beneficios, generados en todas las empresas relacionadas con la utilización de las radiocomunicaciones, puesto que éstos se expanden a través del resto de la economía de un país y, en el proceso, generan nueva renta y empleo. Estos son una función de la estructura económica del país y pueden tener diferentes valores para la evaluación del PIB y el empleo. En el Reino Unido, el informe – Las repercusiones económicas de la utilización de las radiocomunicaciones en el Reino Unido, estimaba que el «efecto multiplicador» de las importaciones era de aproximadamente 1,4 veces para la renta y ligeramente superior para el empleo.</w:t>
      </w:r>
    </w:p>
    <w:p w14:paraId="7780EB84" w14:textId="77777777" w:rsidR="00F73D5B" w:rsidRPr="008B7A21" w:rsidRDefault="00F73D5B" w:rsidP="00F73D5B">
      <w:pPr>
        <w:rPr>
          <w:lang w:val="es-ES_tradnl"/>
        </w:rPr>
      </w:pPr>
      <w:r w:rsidRPr="008B7A21">
        <w:rPr>
          <w:lang w:val="es-ES_tradnl"/>
        </w:rPr>
        <w:t>De aquí que la contribución total al PIB y al empleo para un servicio sea la siguiente:</w:t>
      </w:r>
    </w:p>
    <w:p w14:paraId="27D80DAE" w14:textId="09B87AA7" w:rsidR="00F73D5B" w:rsidRPr="008B7A21" w:rsidRDefault="00F73D5B" w:rsidP="00F73D5B">
      <w:pPr>
        <w:pStyle w:val="Equation"/>
        <w:rPr>
          <w:lang w:val="es-ES_tradnl"/>
        </w:rPr>
      </w:pPr>
      <w:r w:rsidRPr="008B7A21">
        <w:rPr>
          <w:lang w:val="es-ES_tradnl"/>
        </w:rPr>
        <w:tab/>
      </w:r>
      <w:r w:rsidRPr="008B7A21">
        <w:rPr>
          <w:lang w:val="es-ES_tradnl"/>
        </w:rPr>
        <w:tab/>
        <w:t>(DE </w:t>
      </w:r>
      <w:r w:rsidR="00386EEF" w:rsidRPr="00386EEF">
        <w:sym w:font="Symbol" w:char="F02B"/>
      </w:r>
      <w:r w:rsidRPr="008B7A21">
        <w:rPr>
          <w:lang w:val="es-ES_tradnl"/>
        </w:rPr>
        <w:t> FL </w:t>
      </w:r>
      <w:r w:rsidR="00386EEF" w:rsidRPr="00386EEF">
        <w:sym w:font="Symbol" w:char="F02B"/>
      </w:r>
      <w:r w:rsidRPr="008B7A21">
        <w:rPr>
          <w:lang w:val="es-ES_tradnl"/>
        </w:rPr>
        <w:t xml:space="preserve"> BL – DPE) </w:t>
      </w:r>
      <w:r w:rsidR="00386EEF">
        <w:rPr>
          <w:lang w:val="es-ES_tradnl"/>
        </w:rPr>
        <w:t>×</w:t>
      </w:r>
      <w:r w:rsidRPr="008B7A21">
        <w:rPr>
          <w:lang w:val="es-ES_tradnl"/>
        </w:rPr>
        <w:t> MPE</w:t>
      </w:r>
      <w:r w:rsidRPr="008B7A21">
        <w:rPr>
          <w:lang w:val="es-ES_tradnl"/>
        </w:rPr>
        <w:tab/>
        <w:t>(5)</w:t>
      </w:r>
    </w:p>
    <w:p w14:paraId="2691A740" w14:textId="09D9AEB2" w:rsidR="00F73D5B" w:rsidRPr="008B7A21" w:rsidRDefault="00F73D5B" w:rsidP="00F73D5B">
      <w:pPr>
        <w:rPr>
          <w:lang w:val="es-ES_tradnl"/>
        </w:rPr>
      </w:pPr>
      <w:r w:rsidRPr="008B7A21">
        <w:rPr>
          <w:lang w:val="es-ES_tradnl"/>
        </w:rPr>
        <w:t>donde: DE </w:t>
      </w:r>
      <w:r w:rsidR="00386EEF">
        <w:rPr>
          <w:lang w:val="es-ES_tradnl"/>
        </w:rPr>
        <w:t>=</w:t>
      </w:r>
      <w:r w:rsidRPr="008B7A21">
        <w:rPr>
          <w:lang w:val="es-ES_tradnl"/>
        </w:rPr>
        <w:t> efecto directo; FL </w:t>
      </w:r>
      <w:r w:rsidR="00386EEF">
        <w:rPr>
          <w:lang w:val="es-ES_tradnl"/>
        </w:rPr>
        <w:t>=</w:t>
      </w:r>
      <w:r w:rsidRPr="008B7A21">
        <w:rPr>
          <w:lang w:val="es-ES_tradnl"/>
        </w:rPr>
        <w:t> vínculo directo; BL </w:t>
      </w:r>
      <w:r w:rsidR="00386EEF">
        <w:rPr>
          <w:lang w:val="es-ES_tradnl"/>
        </w:rPr>
        <w:t>=</w:t>
      </w:r>
      <w:r w:rsidRPr="008B7A21">
        <w:rPr>
          <w:lang w:val="es-ES_tradnl"/>
        </w:rPr>
        <w:t> vínculo inverso; DPE </w:t>
      </w:r>
      <w:r w:rsidR="00386EEF">
        <w:rPr>
          <w:lang w:val="es-ES_tradnl"/>
        </w:rPr>
        <w:t>=</w:t>
      </w:r>
      <w:r w:rsidRPr="008B7A21">
        <w:rPr>
          <w:lang w:val="es-ES_tradnl"/>
        </w:rPr>
        <w:t xml:space="preserve"> efectos de desplazamiento; MPE </w:t>
      </w:r>
      <w:r w:rsidR="00386EEF">
        <w:rPr>
          <w:lang w:val="es-ES_tradnl"/>
        </w:rPr>
        <w:t>=</w:t>
      </w:r>
      <w:r w:rsidRPr="008B7A21">
        <w:rPr>
          <w:lang w:val="es-ES_tradnl"/>
        </w:rPr>
        <w:t xml:space="preserve"> efectos multiplicadores.</w:t>
      </w:r>
    </w:p>
    <w:p w14:paraId="3CCA1053" w14:textId="77777777" w:rsidR="00F73D5B" w:rsidRPr="008B7A21" w:rsidRDefault="00F73D5B" w:rsidP="00F73D5B">
      <w:pPr>
        <w:rPr>
          <w:lang w:val="es-ES_tradnl"/>
        </w:rPr>
      </w:pPr>
      <w:r w:rsidRPr="008B7A21">
        <w:rPr>
          <w:lang w:val="es-ES_tradnl"/>
        </w:rPr>
        <w:t>El informe del Reino Unido de 2006 utiliza datos del volumen de negocios de la empresa para calcular los efectos directos y, a continuación, las tablas de insumo-producto para calcular los efectos multiplicadores. Otra alternativa podría ser calcular el valor añadido por esas empresas en lugar de utilizar sus volúmenes de negocios. Sin embargo, es preferible usar el volumen de negocios, puesto que se adapta mejor al cálculo de los efectos multiplicadores y es coherente con el estudio anterior (1995) que estimaba el efecto de la utilización del espectro radioeléctrico en el PIB. En el cálculo de los efectos directos en el PIB y el empleo es preciso identificar las empresas en las que el espectro radioeléctrico contribuye de forma importante en el volumen de negocios, ya que no se incluyen aquellas empresas que son usuarios minoritarios del espectro. Ello se debe a que resulta muy difícil determinar para cada empresa qué parte del volumen de negocios y del empleo se debe al uso del espectro frente a otros factores. Los beneficios económicos totales provenientes del espectro radioeléctrico en un país serán iguales a la suma de todas las contribuciones totales provenientes de cada servicio.</w:t>
      </w:r>
    </w:p>
    <w:p w14:paraId="2EE12455" w14:textId="77777777" w:rsidR="00F73D5B" w:rsidRPr="008B7A21" w:rsidRDefault="00F73D5B" w:rsidP="00F73D5B">
      <w:pPr>
        <w:rPr>
          <w:lang w:val="es-ES_tradnl"/>
        </w:rPr>
      </w:pPr>
      <w:r w:rsidRPr="008B7A21">
        <w:rPr>
          <w:lang w:val="es-ES_tradnl"/>
        </w:rPr>
        <w:t xml:space="preserve">El empleo directo y el volumen de negocios generan dos tipos de efectos en el PIB y el empleo: efectos vinculantes y efectos inducidos. Los efectos vinculantes se refieren a los puestos de trabajo generados en la cadena de suministros o de distribución. Un ejemplo pueden ser los empleos generados en una empresa de fabricación de teléfonos móviles que suministra equipos a proveedores de telefonía celular. Los puestos de trabajo de los empleados en la empresa de fabricación se verán directamente afectados si se produce un cambio en la demanda del proveedor de teléfonos celulares. El segundo efecto es el empleo inducido o el efecto multiplicador sobre los ingresos debido a los gastos salariales de los empleados en el sector que utiliza el espectro radioeléctrico. Estos gastos adicionales generan más puestos de trabajo ya que el dinero se gasta en bienes y servicios. El método que se considera más adecuado para evaluar el grado de cambio del sector consiste en utilizar multiplicadores derivados de las tablas de insumo-producto. Estas tablas proporcionan una visión completa de los flujos de productos y servicios de una economía para </w:t>
      </w:r>
      <w:r w:rsidRPr="008B7A21">
        <w:rPr>
          <w:i/>
          <w:lang w:val="es-ES_tradnl"/>
        </w:rPr>
        <w:t>todos</w:t>
      </w:r>
      <w:r w:rsidRPr="008B7A21">
        <w:rPr>
          <w:lang w:val="es-ES_tradnl"/>
        </w:rPr>
        <w:t xml:space="preserve"> sus sectores. En particular, las tablas especifican los flujos entre diversas industrias, así como entre industrias y el sector final de la demanda. Estos vínculos se pueden utilizar posteriormente para evaluar hasta qué punto cada industria contribuye a los sectores finales de la demanda. El principal concepto que subyace en el multiplicador es el reconocimiento de que los diversos sectores que constituyen una economía son independientes. Se pueden manipular las tablas de insumo-producto para evaluar diferentes tipos de multiplicadores en función de si el interés está en los efectos del producto, del empleo o de los ingresos. El componente constitutivo de los multiplicadores es la matriz inversa de Leontief que se deriva de la matriz simétrica de uso por industrias y muestra cuántos productos se requieren para cada industria, en términos de necesidades, para generar una unidad de un determinado producto. El producto </w:t>
      </w:r>
      <w:r w:rsidRPr="008B7A21">
        <w:rPr>
          <w:i/>
          <w:lang w:val="es-ES_tradnl"/>
        </w:rPr>
        <w:t>efectos en el PIB</w:t>
      </w:r>
      <w:r w:rsidRPr="008B7A21">
        <w:rPr>
          <w:lang w:val="es-ES_tradnl"/>
        </w:rPr>
        <w:t xml:space="preserve"> se puede obtener de las tablas inversas de Leontief y luego se pueden usar tasas de producto/empleo finales para determinar los efectos en el empleo. Las estimaciones relativas al empleo y a los ingresos obtenidas de esta manera son para empleo bruto en lugar de nuevo empleo, es decir, estas cifras están sobredimensionadas puesto que no se ajustan para factores de producción que podrían verse sustituidas por otros usos productivos. Existen diversas opiniones sobre los efectos de desplazamiento, siendo la opinión del Tesoro que no existen efectos netos para el empleo en la economía ni para los productos de una única empresa o proyecto. Esta opinión surge de la idea de que, si una determinada empresa no existía, a largo plazo habrán surgido otras empresas en su lugar. A pesar de todo, otros estudios han intentado medir efectos de desplazamiento específicos a corto plazo que se pueden utilizar para obtener cifras de referencia.</w:t>
      </w:r>
    </w:p>
    <w:p w14:paraId="0E3BA51A" w14:textId="77777777" w:rsidR="00F73D5B" w:rsidRPr="008B7A21" w:rsidRDefault="00F73D5B" w:rsidP="00F73D5B">
      <w:pPr>
        <w:pStyle w:val="Heading3"/>
        <w:rPr>
          <w:lang w:val="es-ES_tradnl"/>
        </w:rPr>
      </w:pPr>
      <w:bookmarkStart w:id="679" w:name="_Toc396187404"/>
      <w:bookmarkStart w:id="680" w:name="_Toc306276813"/>
      <w:bookmarkStart w:id="681" w:name="_Toc307921490"/>
      <w:bookmarkStart w:id="682" w:name="_Toc307922057"/>
      <w:bookmarkStart w:id="683" w:name="_Toc307922553"/>
      <w:bookmarkStart w:id="684" w:name="_Toc307991902"/>
      <w:bookmarkStart w:id="685" w:name="_Toc307993933"/>
      <w:bookmarkStart w:id="686" w:name="_Toc307995200"/>
      <w:bookmarkStart w:id="687" w:name="_Toc307996339"/>
      <w:bookmarkStart w:id="688" w:name="_Toc308010319"/>
      <w:bookmarkStart w:id="689" w:name="_Toc499562977"/>
      <w:bookmarkStart w:id="690" w:name="_Toc215835354"/>
      <w:r w:rsidRPr="008B7A21">
        <w:rPr>
          <w:lang w:val="es-ES_tradnl"/>
        </w:rPr>
        <w:t>3.2.2</w:t>
      </w:r>
      <w:r w:rsidRPr="008B7A21">
        <w:rPr>
          <w:lang w:val="es-ES_tradnl"/>
        </w:rPr>
        <w:tab/>
        <w:t>Excedente del consumidor y del productor</w:t>
      </w:r>
      <w:bookmarkEnd w:id="679"/>
      <w:bookmarkEnd w:id="680"/>
      <w:bookmarkEnd w:id="681"/>
      <w:bookmarkEnd w:id="682"/>
      <w:bookmarkEnd w:id="683"/>
      <w:bookmarkEnd w:id="684"/>
      <w:bookmarkEnd w:id="685"/>
      <w:bookmarkEnd w:id="686"/>
      <w:bookmarkEnd w:id="687"/>
      <w:bookmarkEnd w:id="688"/>
      <w:bookmarkEnd w:id="689"/>
      <w:bookmarkEnd w:id="690"/>
    </w:p>
    <w:p w14:paraId="21399038" w14:textId="77777777" w:rsidR="00F73D5B" w:rsidRPr="008B7A21" w:rsidRDefault="00F73D5B" w:rsidP="00F73D5B">
      <w:pPr>
        <w:rPr>
          <w:lang w:val="es-ES_tradnl"/>
        </w:rPr>
      </w:pPr>
      <w:r w:rsidRPr="008B7A21">
        <w:rPr>
          <w:lang w:val="es-ES_tradnl"/>
        </w:rPr>
        <w:t xml:space="preserve">Se entiende por excedente del consumidor la diferencia entre lo que el consumidor está dispuesto a pagar y el precio real del producto. El excedente del consumidor fue explicado formalmente por Alfred Marshall en sus Principios de Economía. Se puede definir como el excedente sobre el precio pagado realmente. Según Marshall: «el precio que una persona paga por una cosa nunca puede exceder y rara vez alcanza al precio que estaría dispuesta a pagar antes que quedarse sin ella: de esta forma la satisfacción que obtiene de esa compra normalmente supera a la que pierde al pagar por ella y logra una mayor satisfacción de esa compra. El excedente del precio que estaría dispuesta a pagar antes que renunciar a esa cosa, respecto del precio que en realidad ha pagado, es la medida económica de su excedente de satisfacción». </w:t>
      </w:r>
    </w:p>
    <w:p w14:paraId="385E698B" w14:textId="77777777" w:rsidR="00F73D5B" w:rsidRPr="008B7A21" w:rsidRDefault="00F73D5B" w:rsidP="00F73D5B">
      <w:pPr>
        <w:rPr>
          <w:lang w:val="es-ES_tradnl"/>
        </w:rPr>
      </w:pPr>
      <w:r w:rsidRPr="008B7A21">
        <w:rPr>
          <w:lang w:val="es-ES_tradnl"/>
        </w:rPr>
        <w:t>A fin de determinar el excedente del consumidor por un servicio es necesario estimar su curva de demanda – representación del precio del producto (eje y) respecto a la cantidad vendida (eje x). El excedente del consumidor equivaldrá pues a la zona entre una línea horizontal del precio del artículo desde cero hasta la cantidad adquirida y la curva de demanda. Para calcular la curva de demanda es importante disponer de información sobre antecedentes del servicio, que abarque varios años, información que no siempre está disponible. Si el servicio es nuevo, no existirá información de antecedentes. Si no se dispone de datos suficientes, será extremadamente difícil estimar la curva de demanda y si ésta no puede estimarse, tampoco se podrá calcular el excedente del consumidor.</w:t>
      </w:r>
    </w:p>
    <w:p w14:paraId="1903D1FD" w14:textId="77777777" w:rsidR="00F73D5B" w:rsidRPr="008B7A21" w:rsidRDefault="00F73D5B" w:rsidP="00F73D5B">
      <w:pPr>
        <w:rPr>
          <w:lang w:val="es-ES_tradnl"/>
        </w:rPr>
      </w:pPr>
      <w:r w:rsidRPr="008B7A21">
        <w:rPr>
          <w:lang w:val="es-ES_tradnl"/>
        </w:rPr>
        <w:t>Se entiende por excedente del productor la diferencia entre lo que un productor gana realmente y la cantidad que necesita ganar para continuar su actividad comercial. El excedente del productor está relacionado con el excedente del consumidor. Se puede definir como la relación entre los ingresos recibidos por un suministrador de cualquier bien o servicio y la cantidad que estaba dispuesto a aceptar para mantener el mismo nivel de oferta. A fin de determinar el valor adecuado del excedente del productor, deberá supervisarse el comportamiento de la empresa durante una parte importante de su periodo de vida. En la práctica, ello es difícil de lograr puesto que se ha de disponer de registros de datos coherentes en el caso de empresas establecidas y de estimaciones exactas sobre su comportamiento futuro en el caso de nuevas empresas.</w:t>
      </w:r>
    </w:p>
    <w:p w14:paraId="429B9E3E" w14:textId="77777777" w:rsidR="00F73D5B" w:rsidRPr="008B7A21" w:rsidRDefault="00F73D5B" w:rsidP="00F73D5B">
      <w:pPr>
        <w:rPr>
          <w:lang w:val="es-ES_tradnl"/>
        </w:rPr>
      </w:pPr>
      <w:r w:rsidRPr="008B7A21">
        <w:rPr>
          <w:lang w:val="es-ES_tradnl"/>
        </w:rPr>
        <w:t>Los excedentes totales procedentes de la utilización de las radiocomunicaciones equivaldrán a la suma de los excedentes del consumidor y del productor para cada servicio.</w:t>
      </w:r>
    </w:p>
    <w:p w14:paraId="6712875D" w14:textId="77777777" w:rsidR="00F73D5B" w:rsidRPr="008B7A21" w:rsidRDefault="00F73D5B" w:rsidP="00F73D5B">
      <w:pPr>
        <w:rPr>
          <w:lang w:val="es-ES_tradnl"/>
        </w:rPr>
      </w:pPr>
      <w:r w:rsidRPr="008B7A21">
        <w:rPr>
          <w:lang w:val="es-ES_tradnl"/>
        </w:rPr>
        <w:t>En la Fig. 1 se representan gráficamente los excedentes del consumidor y del productor. El precio del producto (p</w:t>
      </w:r>
      <w:r w:rsidRPr="008B7A21">
        <w:rPr>
          <w:vertAlign w:val="subscript"/>
          <w:lang w:val="es-ES_tradnl"/>
        </w:rPr>
        <w:t>x</w:t>
      </w:r>
      <w:r w:rsidRPr="008B7A21">
        <w:rPr>
          <w:lang w:val="es-ES_tradnl"/>
        </w:rPr>
        <w:t>) y la cantidad (q</w:t>
      </w:r>
      <w:r w:rsidRPr="008B7A21">
        <w:rPr>
          <w:vertAlign w:val="subscript"/>
          <w:lang w:val="es-ES_tradnl"/>
        </w:rPr>
        <w:t>x</w:t>
      </w:r>
      <w:r w:rsidRPr="008B7A21">
        <w:rPr>
          <w:lang w:val="es-ES_tradnl"/>
        </w:rPr>
        <w:t>) del producto vendida al precio p</w:t>
      </w:r>
      <w:r w:rsidRPr="008B7A21">
        <w:rPr>
          <w:position w:val="-4"/>
          <w:sz w:val="16"/>
          <w:lang w:val="es-ES_tradnl"/>
        </w:rPr>
        <w:t>x</w:t>
      </w:r>
      <w:r w:rsidRPr="008B7A21">
        <w:rPr>
          <w:lang w:val="es-ES_tradnl"/>
        </w:rPr>
        <w:t xml:space="preserve"> figuran en sus ejes respectivos. El excedente del consumidor (CS) es la superficie situada entre la curva de demanda y el nivel de precio (triángulo p</w:t>
      </w:r>
      <w:r w:rsidRPr="008B7A21">
        <w:rPr>
          <w:vertAlign w:val="subscript"/>
          <w:lang w:val="es-ES_tradnl"/>
        </w:rPr>
        <w:t>x</w:t>
      </w:r>
      <w:r w:rsidRPr="008B7A21">
        <w:rPr>
          <w:lang w:val="es-ES_tradnl"/>
        </w:rPr>
        <w:t>-x-d</w:t>
      </w:r>
      <w:r w:rsidRPr="008B7A21">
        <w:rPr>
          <w:vertAlign w:val="subscript"/>
          <w:lang w:val="es-ES_tradnl"/>
        </w:rPr>
        <w:t>i</w:t>
      </w:r>
      <w:r w:rsidRPr="008B7A21">
        <w:rPr>
          <w:lang w:val="es-ES_tradnl"/>
        </w:rPr>
        <w:t>). El excedente del productor (PS) es la superficie situada entre la curva de oferta y el nivel de precio (triángulo p</w:t>
      </w:r>
      <w:r w:rsidRPr="008B7A21">
        <w:rPr>
          <w:vertAlign w:val="subscript"/>
          <w:lang w:val="es-ES_tradnl"/>
        </w:rPr>
        <w:t>x</w:t>
      </w:r>
      <w:r w:rsidRPr="008B7A21">
        <w:rPr>
          <w:lang w:val="es-ES_tradnl"/>
        </w:rPr>
        <w:t>-x-s</w:t>
      </w:r>
      <w:r w:rsidRPr="008B7A21">
        <w:rPr>
          <w:vertAlign w:val="subscript"/>
          <w:lang w:val="es-ES_tradnl"/>
        </w:rPr>
        <w:t>i</w:t>
      </w:r>
      <w:r w:rsidRPr="008B7A21">
        <w:rPr>
          <w:lang w:val="es-ES_tradnl"/>
        </w:rPr>
        <w:t>).</w:t>
      </w:r>
    </w:p>
    <w:p w14:paraId="4CDFE8A1" w14:textId="77777777" w:rsidR="00F73D5B" w:rsidRPr="008B7A21" w:rsidRDefault="00F73D5B" w:rsidP="00F73D5B">
      <w:pPr>
        <w:pStyle w:val="FigureNo"/>
        <w:rPr>
          <w:lang w:val="es-ES_tradnl"/>
        </w:rPr>
      </w:pPr>
      <w:r w:rsidRPr="008B7A21">
        <w:rPr>
          <w:lang w:val="es-ES_tradnl"/>
        </w:rPr>
        <w:t>FIGURA 1</w:t>
      </w:r>
    </w:p>
    <w:p w14:paraId="44EC4D44" w14:textId="77777777" w:rsidR="00F73D5B" w:rsidRPr="008B7A21" w:rsidRDefault="00F73D5B" w:rsidP="00F73D5B">
      <w:pPr>
        <w:pStyle w:val="Figuretitle"/>
        <w:rPr>
          <w:lang w:val="es-ES_tradnl"/>
        </w:rPr>
      </w:pPr>
      <w:r w:rsidRPr="008B7A21">
        <w:rPr>
          <w:lang w:val="es-ES_tradnl"/>
        </w:rPr>
        <w:t>Excedente del consumidor y del productor</w:t>
      </w:r>
    </w:p>
    <w:p w14:paraId="385D0F4F" w14:textId="5A7728A6" w:rsidR="00F73D5B" w:rsidRPr="008B7A21" w:rsidRDefault="002A1F3D" w:rsidP="00F73D5B">
      <w:pPr>
        <w:pStyle w:val="Figure"/>
        <w:rPr>
          <w:lang w:val="es-ES_tradnl"/>
        </w:rPr>
      </w:pPr>
      <w:r w:rsidRPr="008B7A21">
        <w:rPr>
          <w:lang w:val="es-ES_tradnl"/>
        </w:rPr>
        <w:object w:dxaOrig="7341" w:dyaOrig="8097" w14:anchorId="7AAAA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58" type="#_x0000_t75" alt="La Figura 1 muestra el excedente del consumidor y del productor&#10;" style="width:344.95pt;height:382.6pt" o:ole="">
            <v:imagedata r:id="rId14" o:title=""/>
          </v:shape>
          <o:OLEObject Type="Embed" ProgID="CorelDRAW.Graphic.14" ShapeID="_x0000_i1658" DrawAspect="Content" ObjectID="_1826705866" r:id="rId15"/>
        </w:object>
      </w:r>
    </w:p>
    <w:p w14:paraId="652108DD" w14:textId="77777777" w:rsidR="00F73D5B" w:rsidRPr="008B7A21" w:rsidRDefault="00F73D5B" w:rsidP="00F73D5B">
      <w:pPr>
        <w:pStyle w:val="Heading3"/>
        <w:rPr>
          <w:lang w:val="es-ES_tradnl"/>
        </w:rPr>
      </w:pPr>
      <w:bookmarkStart w:id="691" w:name="_Toc396187405"/>
      <w:bookmarkStart w:id="692" w:name="_Toc306276814"/>
      <w:bookmarkStart w:id="693" w:name="_Toc307921491"/>
      <w:bookmarkStart w:id="694" w:name="_Toc307922058"/>
      <w:bookmarkStart w:id="695" w:name="_Toc307922554"/>
      <w:bookmarkStart w:id="696" w:name="_Toc307991903"/>
      <w:bookmarkStart w:id="697" w:name="_Toc307993934"/>
      <w:bookmarkStart w:id="698" w:name="_Toc307995201"/>
      <w:bookmarkStart w:id="699" w:name="_Toc307996340"/>
      <w:bookmarkStart w:id="700" w:name="_Toc308010320"/>
      <w:bookmarkStart w:id="701" w:name="_Toc499562978"/>
      <w:bookmarkStart w:id="702" w:name="_Toc215835355"/>
      <w:r w:rsidRPr="008B7A21">
        <w:rPr>
          <w:lang w:val="es-ES_tradnl"/>
        </w:rPr>
        <w:t>3.2.3</w:t>
      </w:r>
      <w:r w:rsidRPr="008B7A21">
        <w:rPr>
          <w:lang w:val="es-ES_tradnl"/>
        </w:rPr>
        <w:tab/>
        <w:t>Vínculo entre los beneficios económicos y sociales</w:t>
      </w:r>
      <w:bookmarkEnd w:id="691"/>
      <w:bookmarkEnd w:id="692"/>
      <w:bookmarkEnd w:id="693"/>
      <w:bookmarkEnd w:id="694"/>
      <w:bookmarkEnd w:id="695"/>
      <w:bookmarkEnd w:id="696"/>
      <w:bookmarkEnd w:id="697"/>
      <w:bookmarkEnd w:id="698"/>
      <w:bookmarkEnd w:id="699"/>
      <w:bookmarkEnd w:id="700"/>
      <w:bookmarkEnd w:id="701"/>
      <w:bookmarkEnd w:id="702"/>
    </w:p>
    <w:p w14:paraId="3F5DE4D8" w14:textId="77777777" w:rsidR="00F73D5B" w:rsidRPr="008B7A21" w:rsidRDefault="00F73D5B" w:rsidP="00F73D5B">
      <w:pPr>
        <w:keepNext/>
        <w:keepLines/>
        <w:rPr>
          <w:lang w:val="es-ES_tradnl"/>
        </w:rPr>
      </w:pPr>
      <w:r w:rsidRPr="008B7A21">
        <w:rPr>
          <w:lang w:val="es-ES_tradnl"/>
        </w:rPr>
        <w:t>Determinadas utilizaciones del espectro de radiocomunicaciones generan beneficios económicos pero no generan directamente ingresos. Por otra parte, los beneficios económicos que genera la utilización del espectro en esas actividades no son por lo general manifiestos. No existen por lo general valores financieros claros o fácilmente mensurables que permitan cuantificar directamente la magnitud de esos beneficios. Por ello, puede suponerse que el análisis económico no es capaz de dar cuenta de esos beneficios sociales y puede reflejar únicamente a factores tales como los ingresos y los beneficios obtenidos por las empresas, lo que no es el caso. Un análisis económico adecuado considerará los beneficios que no generan directamente ingresos.</w:t>
      </w:r>
    </w:p>
    <w:p w14:paraId="10211527" w14:textId="77777777" w:rsidR="00F73D5B" w:rsidRPr="008B7A21" w:rsidRDefault="00F73D5B" w:rsidP="00F73D5B">
      <w:pPr>
        <w:rPr>
          <w:lang w:val="es-ES_tradnl"/>
        </w:rPr>
      </w:pPr>
      <w:r w:rsidRPr="008B7A21">
        <w:rPr>
          <w:lang w:val="es-ES_tradnl"/>
        </w:rPr>
        <w:t>Entre los ejemplos de servicios que proporcionan beneficios sociales cabe citar:</w:t>
      </w:r>
    </w:p>
    <w:p w14:paraId="6035351C" w14:textId="77777777" w:rsidR="00F73D5B" w:rsidRPr="008B7A21" w:rsidRDefault="00F73D5B" w:rsidP="00F73D5B">
      <w:pPr>
        <w:pStyle w:val="enumlev1"/>
        <w:rPr>
          <w:lang w:val="es-ES_tradnl"/>
        </w:rPr>
      </w:pPr>
      <w:r w:rsidRPr="008B7A21">
        <w:rPr>
          <w:lang w:val="es-ES_tradnl"/>
        </w:rPr>
        <w:t>–</w:t>
      </w:r>
      <w:r w:rsidRPr="008B7A21">
        <w:rPr>
          <w:lang w:val="es-ES_tradnl"/>
        </w:rPr>
        <w:tab/>
        <w:t>la radiodifusión, que proporciona instrucción, capacitación, noticias y esparcimiento;</w:t>
      </w:r>
    </w:p>
    <w:p w14:paraId="744358FF" w14:textId="77777777" w:rsidR="00F73D5B" w:rsidRPr="008B7A21" w:rsidRDefault="00F73D5B" w:rsidP="00F73D5B">
      <w:pPr>
        <w:pStyle w:val="enumlev1"/>
        <w:rPr>
          <w:lang w:val="es-ES_tradnl"/>
        </w:rPr>
      </w:pPr>
      <w:r w:rsidRPr="008B7A21">
        <w:rPr>
          <w:lang w:val="es-ES_tradnl"/>
        </w:rPr>
        <w:t>–</w:t>
      </w:r>
      <w:r w:rsidRPr="008B7A21">
        <w:rPr>
          <w:lang w:val="es-ES_tradnl"/>
        </w:rPr>
        <w:tab/>
        <w:t>los servicios de emergencia, que permiten establecer una conexión con la policía, con servicios para casos de accidente y de rescate, especialmente los medios de control de catástrofes;</w:t>
      </w:r>
    </w:p>
    <w:p w14:paraId="56BA2912" w14:textId="77777777" w:rsidR="00F73D5B" w:rsidRPr="008B7A21" w:rsidRDefault="00F73D5B" w:rsidP="00F73D5B">
      <w:pPr>
        <w:pStyle w:val="enumlev1"/>
        <w:rPr>
          <w:lang w:val="es-ES_tradnl"/>
        </w:rPr>
      </w:pPr>
      <w:r w:rsidRPr="008B7A21">
        <w:rPr>
          <w:lang w:val="es-ES_tradnl"/>
        </w:rPr>
        <w:t>–</w:t>
      </w:r>
      <w:r w:rsidRPr="008B7A21">
        <w:rPr>
          <w:lang w:val="es-ES_tradnl"/>
        </w:rPr>
        <w:tab/>
        <w:t>los servicios personales, a saber, la asistencia sanitaria y cuidados a domicilios, la seguridad en el hogar para las personas de edad;</w:t>
      </w:r>
    </w:p>
    <w:p w14:paraId="3EC669E3" w14:textId="77777777" w:rsidR="00F73D5B" w:rsidRPr="008B7A21" w:rsidRDefault="00F73D5B" w:rsidP="00F73D5B">
      <w:pPr>
        <w:pStyle w:val="enumlev1"/>
        <w:rPr>
          <w:lang w:val="es-ES_tradnl"/>
        </w:rPr>
      </w:pPr>
      <w:r w:rsidRPr="008B7A21">
        <w:rPr>
          <w:lang w:val="es-ES_tradnl"/>
        </w:rPr>
        <w:t>–</w:t>
      </w:r>
      <w:r w:rsidRPr="008B7A21">
        <w:rPr>
          <w:lang w:val="es-ES_tradnl"/>
        </w:rPr>
        <w:tab/>
        <w:t>la investigación, es decir, la meteorología, la radioastronomía.</w:t>
      </w:r>
    </w:p>
    <w:p w14:paraId="5CD8F4D7" w14:textId="77777777" w:rsidR="00F73D5B" w:rsidRPr="008B7A21" w:rsidRDefault="00F73D5B" w:rsidP="00F73D5B">
      <w:pPr>
        <w:pStyle w:val="Heading3"/>
        <w:rPr>
          <w:lang w:val="es-ES_tradnl"/>
        </w:rPr>
      </w:pPr>
      <w:bookmarkStart w:id="703" w:name="_Toc396187406"/>
      <w:bookmarkStart w:id="704" w:name="_Toc306276815"/>
      <w:bookmarkStart w:id="705" w:name="_Toc307921492"/>
      <w:bookmarkStart w:id="706" w:name="_Toc307922059"/>
      <w:bookmarkStart w:id="707" w:name="_Toc307922555"/>
      <w:bookmarkStart w:id="708" w:name="_Toc307991904"/>
      <w:bookmarkStart w:id="709" w:name="_Toc307993935"/>
      <w:bookmarkStart w:id="710" w:name="_Toc307995202"/>
      <w:bookmarkStart w:id="711" w:name="_Toc307996341"/>
      <w:bookmarkStart w:id="712" w:name="_Toc308010321"/>
      <w:bookmarkStart w:id="713" w:name="_Toc499562979"/>
      <w:bookmarkStart w:id="714" w:name="_Toc215835356"/>
      <w:r w:rsidRPr="008B7A21">
        <w:rPr>
          <w:lang w:val="es-ES_tradnl"/>
        </w:rPr>
        <w:t>3.2.4</w:t>
      </w:r>
      <w:r w:rsidRPr="008B7A21">
        <w:rPr>
          <w:lang w:val="es-ES_tradnl"/>
        </w:rPr>
        <w:tab/>
        <w:t>Comparación de los métodos para cuantificar los beneficios económicos</w:t>
      </w:r>
      <w:bookmarkEnd w:id="703"/>
      <w:bookmarkEnd w:id="704"/>
      <w:bookmarkEnd w:id="705"/>
      <w:bookmarkEnd w:id="706"/>
      <w:bookmarkEnd w:id="707"/>
      <w:bookmarkEnd w:id="708"/>
      <w:bookmarkEnd w:id="709"/>
      <w:bookmarkEnd w:id="710"/>
      <w:bookmarkEnd w:id="711"/>
      <w:bookmarkEnd w:id="712"/>
      <w:bookmarkEnd w:id="713"/>
      <w:bookmarkEnd w:id="714"/>
    </w:p>
    <w:p w14:paraId="0A35D1F9" w14:textId="77777777" w:rsidR="00F73D5B" w:rsidRPr="008B7A21" w:rsidRDefault="00F73D5B" w:rsidP="00F73D5B">
      <w:pPr>
        <w:rPr>
          <w:lang w:val="es-ES_tradnl"/>
        </w:rPr>
      </w:pPr>
      <w:r w:rsidRPr="008B7A21">
        <w:rPr>
          <w:lang w:val="es-ES_tradnl"/>
        </w:rPr>
        <w:t>Ambos métodos constituyen una estimación de la contribución de las radiocomunicaciones a la economía de un país, pero se basan en diferentes hipótesis para abordar el desplazamiento económico general. El PIB y el empleo no toman en consideración ese desplazamiento económico general. Los excedentes del consumidor y del productor sí toman plenamente en cuenta el mencionado desplazamiento. Además, los dos métodos permiten evaluar diferentes aspectos del efecto de la utilización de las radiocomunicaciones en la economía de un país. El PIB permite cuantificar lo que se ha pagado y el excedente del consumidor sirve para calcular lo que los consumidores estarían dispuestos a pagar. Ambos métodos incluyen el excedente del productor, por lo que los resultados no pueden sumarse.</w:t>
      </w:r>
    </w:p>
    <w:p w14:paraId="4DC4E638" w14:textId="77777777" w:rsidR="00F73D5B" w:rsidRPr="008B7A21" w:rsidRDefault="00F73D5B" w:rsidP="00F73D5B">
      <w:pPr>
        <w:rPr>
          <w:lang w:val="es-ES_tradnl"/>
        </w:rPr>
      </w:pPr>
      <w:r w:rsidRPr="008B7A21">
        <w:rPr>
          <w:lang w:val="es-ES_tradnl"/>
        </w:rPr>
        <w:t>Si bien es posible utilizar ambos métodos, como es el caso del Reino Unido, a fin de mostrar el valor general del espectro para un país, tal vez sea adecuado seleccionar un método que esté basado en la aplicación. El PIB constituye un baremo más adecuado para calcular el valor de las utilizaciones múltiples de las radiocomunicaciones en un país, o para comparar los usos/servicios individuales, mientras que el excedente del consumidor proporciona información más detallada que puede utilizarse, por ejemplo, para determinar los cánones de licencia o los precios de reserva en subasta. La comparación de los métodos se centra habitualmente en la validez teórica de los argumentos e hipótesis en los que se fundamenta la metodología específica. No obstante, tal vez sea más realista examinar los métodos basándose en la dificultad de la obtención de los datos para su análisis y en la facilidad de comparación de los resultados con otros datos económicos.</w:t>
      </w:r>
    </w:p>
    <w:p w14:paraId="15C0C4FE" w14:textId="77777777" w:rsidR="00F73D5B" w:rsidRPr="008B7A21" w:rsidRDefault="00F73D5B" w:rsidP="00F73D5B">
      <w:pPr>
        <w:pStyle w:val="Heading4"/>
        <w:rPr>
          <w:lang w:val="es-ES_tradnl"/>
        </w:rPr>
      </w:pPr>
      <w:r w:rsidRPr="008B7A21">
        <w:rPr>
          <w:lang w:val="es-ES_tradnl"/>
        </w:rPr>
        <w:t>3.2.4.1</w:t>
      </w:r>
      <w:r w:rsidRPr="008B7A21">
        <w:rPr>
          <w:lang w:val="es-ES_tradnl"/>
        </w:rPr>
        <w:tab/>
        <w:t>Ventajas e inconvenientes del método del PIB</w:t>
      </w:r>
    </w:p>
    <w:p w14:paraId="1F52052A" w14:textId="77777777" w:rsidR="00F73D5B" w:rsidRPr="008B7A21" w:rsidRDefault="00F73D5B" w:rsidP="00F73D5B">
      <w:pPr>
        <w:rPr>
          <w:lang w:val="es-ES_tradnl"/>
        </w:rPr>
      </w:pPr>
      <w:r w:rsidRPr="008B7A21">
        <w:rPr>
          <w:lang w:val="es-ES_tradnl"/>
        </w:rPr>
        <w:t>La ventaja del método del PIB es que muestra la repercusión acumulada de los integrantes del sector usuario de las radiocomunicaciones y el suministro de bienes intermedios a ese sector. La información necesaria para efectuar los cálculos puede obtenerse en los Informes financieros de las empresas y resulta de fácil comprensión y comparación con otras esferas de la economía, que están representadas de la misma forma. Ello permite comparar las decisiones sobre financiación (o inversiones) utilizando los mismos parámetros.</w:t>
      </w:r>
    </w:p>
    <w:p w14:paraId="289CDB46" w14:textId="77777777" w:rsidR="00F73D5B" w:rsidRPr="008B7A21" w:rsidRDefault="00F73D5B" w:rsidP="00F73D5B">
      <w:pPr>
        <w:rPr>
          <w:lang w:val="es-ES_tradnl"/>
        </w:rPr>
      </w:pPr>
      <w:r w:rsidRPr="008B7A21">
        <w:rPr>
          <w:lang w:val="es-ES_tradnl"/>
        </w:rPr>
        <w:t>La desventaja del método del PIB es que no toma debidamente en cuenta los efectos de desplazamiento general y éstos pueden ser considerables en una economía diversificada y flexible. En último extremo, si se toman en cuenta todos los efectos del desplazamiento, el beneficio neto para la economía de la utilización de las radiocomunicaciones equivaldrá meramente a la mejora de la eficacia que éstas proporcionan. Sin embargo, este enfoque supone que los recursos actualmente asignados a las radiocomunicaciones pueden ser fácilmente desviados hacia otras esferas de la economía. Esto no es necesariamente cierto. Además, la contribución estimada en concepto de PIB y empleo tal vez no incluye las mejoras consiguientes operadas en empresas conexas como resultado de su mayor eficacia (por ejemplo, la mejora en el acceso a sus empresas y clientes de los usuarios de teléfonos celulares) y ello puede dar lugar en consecuencia a una estimación más prudente del PIB. El grado en que esto ocurra dependerá de la relación entre la utilización de las radiocomunicaciones y la empresa original (a saber, si se trata de un fabricante de equipo de radiocomunicaciones, un proveedor de servicios, una empresa usuaria de radiocomunicaciones) y del tipo de servicio (por ejemplo, radiodifusión, enlaces fijos, PMR).</w:t>
      </w:r>
    </w:p>
    <w:p w14:paraId="2494DD0E" w14:textId="77777777" w:rsidR="00F73D5B" w:rsidRPr="008B7A21" w:rsidRDefault="00F73D5B" w:rsidP="00F73D5B">
      <w:pPr>
        <w:pStyle w:val="Heading4"/>
        <w:rPr>
          <w:lang w:val="es-ES_tradnl"/>
        </w:rPr>
      </w:pPr>
      <w:r w:rsidRPr="008B7A21">
        <w:rPr>
          <w:lang w:val="es-ES_tradnl"/>
        </w:rPr>
        <w:t>3.2.4.2</w:t>
      </w:r>
      <w:r w:rsidRPr="008B7A21">
        <w:rPr>
          <w:lang w:val="es-ES_tradnl"/>
        </w:rPr>
        <w:tab/>
        <w:t>Ventajas e inconvenientes del método de los excedentes del consumidor y del productor</w:t>
      </w:r>
    </w:p>
    <w:p w14:paraId="7DF126A4" w14:textId="77777777" w:rsidR="00F73D5B" w:rsidRPr="008B7A21" w:rsidRDefault="00F73D5B" w:rsidP="00F73D5B">
      <w:pPr>
        <w:rPr>
          <w:lang w:val="es-ES_tradnl"/>
        </w:rPr>
      </w:pPr>
      <w:r w:rsidRPr="008B7A21">
        <w:rPr>
          <w:lang w:val="es-ES_tradnl"/>
        </w:rPr>
        <w:t>La ventaja del método de los excedentes del consumidor y del productor es que tiene en cuenta las repercusiones de los efectos del desplazamiento general, lo que permite comparar los beneficios que produce la prestación de un servicio por radiocomunicaciones en relación con la solución óptima de un servicio por otros medios distintos de las radiocomunicaciones. Además, las curvas de la demanda y de la oferta pueden ser útiles para percibir los costes y beneficios de una aplicación específica de las radiocomunicaciones.</w:t>
      </w:r>
    </w:p>
    <w:p w14:paraId="27646980" w14:textId="77777777" w:rsidR="00F73D5B" w:rsidRPr="008B7A21" w:rsidRDefault="00F73D5B" w:rsidP="00F73D5B">
      <w:pPr>
        <w:rPr>
          <w:lang w:val="es-ES_tradnl"/>
        </w:rPr>
      </w:pPr>
      <w:r w:rsidRPr="008B7A21">
        <w:rPr>
          <w:lang w:val="es-ES_tradnl"/>
        </w:rPr>
        <w:t>Los inconvenientes del método de los excedentes del consumidor y del productor residen en que la determinación de la curva de la demanda puede ser difícil y ardua. En ese caso, se debería elaborar una curva de demanda por separado para cada servicio estudiado, lo que resultaría oneroso si el objetivo es medir los excedentes del consumidor y del productor respecto a todos los servicios de radiocomunicaciones en el conjunto de la economía. Si no se puede elaborar una curva de demanda, se deberán utilizar otros métodos basados en diferentes hipótesis, lo que puede distorsionar los resultados. Por último, el excedente del consumidor no es fácilmente comparable con el PIB.</w:t>
      </w:r>
    </w:p>
    <w:p w14:paraId="52301A28" w14:textId="77777777" w:rsidR="00F73D5B" w:rsidRPr="008B7A21" w:rsidRDefault="00F73D5B" w:rsidP="00F73D5B">
      <w:pPr>
        <w:pStyle w:val="Heading2"/>
        <w:rPr>
          <w:lang w:val="es-ES_tradnl"/>
        </w:rPr>
      </w:pPr>
      <w:bookmarkStart w:id="715" w:name="_Toc396187407"/>
      <w:bookmarkStart w:id="716" w:name="_Toc306276816"/>
      <w:bookmarkStart w:id="717" w:name="_Toc307921493"/>
      <w:bookmarkStart w:id="718" w:name="_Toc307922060"/>
      <w:bookmarkStart w:id="719" w:name="_Toc307922556"/>
      <w:bookmarkStart w:id="720" w:name="_Toc307991905"/>
      <w:bookmarkStart w:id="721" w:name="_Toc307993936"/>
      <w:bookmarkStart w:id="722" w:name="_Toc307995203"/>
      <w:bookmarkStart w:id="723" w:name="_Toc307996342"/>
      <w:bookmarkStart w:id="724" w:name="_Toc308010322"/>
      <w:bookmarkStart w:id="725" w:name="_Toc499562980"/>
      <w:bookmarkStart w:id="726" w:name="_Toc215835357"/>
      <w:r w:rsidRPr="008B7A21">
        <w:rPr>
          <w:lang w:val="es-ES_tradnl"/>
        </w:rPr>
        <w:t>3.3</w:t>
      </w:r>
      <w:r w:rsidRPr="008B7A21">
        <w:rPr>
          <w:lang w:val="es-ES_tradnl"/>
        </w:rPr>
        <w:tab/>
        <w:t>Aplicaciones posibles para la evaluación económica</w:t>
      </w:r>
      <w:bookmarkEnd w:id="715"/>
      <w:bookmarkEnd w:id="716"/>
      <w:bookmarkEnd w:id="717"/>
      <w:bookmarkEnd w:id="718"/>
      <w:bookmarkEnd w:id="719"/>
      <w:bookmarkEnd w:id="720"/>
      <w:bookmarkEnd w:id="721"/>
      <w:bookmarkEnd w:id="722"/>
      <w:bookmarkEnd w:id="723"/>
      <w:bookmarkEnd w:id="724"/>
      <w:bookmarkEnd w:id="725"/>
      <w:bookmarkEnd w:id="726"/>
    </w:p>
    <w:p w14:paraId="1A685563" w14:textId="77777777" w:rsidR="00F73D5B" w:rsidRPr="008B7A21" w:rsidRDefault="00F73D5B" w:rsidP="00F73D5B">
      <w:pPr>
        <w:rPr>
          <w:lang w:val="es-ES_tradnl"/>
        </w:rPr>
      </w:pPr>
      <w:r w:rsidRPr="008B7A21">
        <w:rPr>
          <w:lang w:val="es-ES_tradnl"/>
        </w:rPr>
        <w:t>En los últimos años, la evolución de la tecnología de radiocomunicaciones y la tendencia creciente hacia una reducción de los ciclos de desarrollo, han empujado cada vez más a órganos de gestión del espectro para que aceleren sus decisiones sobre quién debe tener acceso al espectro, y utilizando qué tecnología. Además de la evolución de la tecnología de las radiocomunicaciones, la liberalización de éstas se ha unido a la presión, lo que se ha reflejado en un incremento de la demanda de acceso al espectro radioeléctrico. El aumento de la demanda de acceso al espectro, junto a la dificultad de los órganos de gestión del espectro para predecir cuál de las diversas tecnologías y aplicaciones concurrentes dará buenos resultados y debe tener por ende acceso al espectro son factores que hacen de la gestión del espectro un proceso cada vez más complicado y arduo. Ello puede desalentar las inversiones, lo cual es especialmente grave en los casos en que la demora en la obtención de acceso al espectro es determinante para el éxito o el fracaso de un nuevo servicio. Por otra parte, puesto que la demanda se ha incrementado, cada vez son más difíciles de resolver en diversos países las cuestiones recurrentes de gestión del espectro, a saber, una utilización eficaz de éste y la disponibilidad de espectro para los nuevos servicios que necesita la sociedad. Al mismo tiempo, la sensibilización de los gobiernos sobre la carga general en la economía que representa el aumento del gasto público, ha reforzado el control sobre la financiación de todas las actividades públicas.</w:t>
      </w:r>
    </w:p>
    <w:p w14:paraId="2FA07D2D" w14:textId="77777777" w:rsidR="00F73D5B" w:rsidRPr="008B7A21" w:rsidRDefault="00F73D5B" w:rsidP="00F73D5B">
      <w:pPr>
        <w:rPr>
          <w:lang w:val="es-ES_tradnl"/>
        </w:rPr>
      </w:pPr>
      <w:r w:rsidRPr="008B7A21">
        <w:rPr>
          <w:lang w:val="es-ES_tradnl"/>
        </w:rPr>
        <w:t>La gestión del espectro radioeléctrico ha estado basada tradicionalmente en la reglamentación de este recurso finito. No obstante, debido a las presiones a que está sujeta la gestión del espectro, y en particular cuando la dificultad para ofrecer suficiente espectro limita o distorsiona la competencia, o frena el desarrollo de los recursos del espectro radioeléctrico, varias administraciones han substituido el enfoque reglamentario estricto y están utilizando, o considerando la posibilidad de utilizar, factores económicos en su enfoque de la gestión del espectro.</w:t>
      </w:r>
    </w:p>
    <w:p w14:paraId="3AEEE264" w14:textId="77777777" w:rsidR="00F73D5B" w:rsidRPr="008B7A21" w:rsidRDefault="00F73D5B" w:rsidP="00F73D5B">
      <w:pPr>
        <w:pStyle w:val="Heading3"/>
        <w:rPr>
          <w:lang w:val="es-ES_tradnl"/>
        </w:rPr>
      </w:pPr>
      <w:bookmarkStart w:id="727" w:name="_Toc396187408"/>
      <w:bookmarkStart w:id="728" w:name="_Toc306276817"/>
      <w:bookmarkStart w:id="729" w:name="_Toc307921494"/>
      <w:bookmarkStart w:id="730" w:name="_Toc307922061"/>
      <w:bookmarkStart w:id="731" w:name="_Toc307922557"/>
      <w:bookmarkStart w:id="732" w:name="_Toc307991906"/>
      <w:bookmarkStart w:id="733" w:name="_Toc307993937"/>
      <w:bookmarkStart w:id="734" w:name="_Toc307995204"/>
      <w:bookmarkStart w:id="735" w:name="_Toc307996343"/>
      <w:bookmarkStart w:id="736" w:name="_Toc308010323"/>
      <w:bookmarkStart w:id="737" w:name="_Toc499562981"/>
      <w:bookmarkStart w:id="738" w:name="_Toc215835358"/>
      <w:r w:rsidRPr="008B7A21">
        <w:rPr>
          <w:lang w:val="es-ES_tradnl"/>
        </w:rPr>
        <w:t>3.3.1</w:t>
      </w:r>
      <w:r w:rsidRPr="008B7A21">
        <w:rPr>
          <w:lang w:val="es-ES_tradnl"/>
        </w:rPr>
        <w:tab/>
        <w:t>Solicitudes de financiación de actividades de gestión del espectro</w:t>
      </w:r>
      <w:bookmarkEnd w:id="727"/>
      <w:bookmarkEnd w:id="728"/>
      <w:bookmarkEnd w:id="729"/>
      <w:bookmarkEnd w:id="730"/>
      <w:bookmarkEnd w:id="731"/>
      <w:bookmarkEnd w:id="732"/>
      <w:bookmarkEnd w:id="733"/>
      <w:bookmarkEnd w:id="734"/>
      <w:bookmarkEnd w:id="735"/>
      <w:bookmarkEnd w:id="736"/>
      <w:bookmarkEnd w:id="737"/>
      <w:bookmarkEnd w:id="738"/>
    </w:p>
    <w:p w14:paraId="796FF542" w14:textId="77777777" w:rsidR="00F73D5B" w:rsidRPr="008B7A21" w:rsidRDefault="00F73D5B" w:rsidP="00F73D5B">
      <w:pPr>
        <w:rPr>
          <w:lang w:val="es-ES_tradnl"/>
        </w:rPr>
      </w:pPr>
      <w:r w:rsidRPr="008B7A21">
        <w:rPr>
          <w:lang w:val="es-ES_tradnl"/>
        </w:rPr>
        <w:t>La evaluación de los beneficios económicos procedentes de la utilización de las radiocomunicaciones permite a los gestores del espectro demostrar al gobierno que las radiocomunicaciones no constituyen una industria compartimentada, sino entrelazada con otras esferas de la economía del país. La representación en términos económicos permite situar la contribución de las radiocomunicaciones a la economía en el contexto de otras esferas de ésta. Contribuye asimismo a mostrar la conexión existente entre la gestión del espectro y los beneficios de las radiocomunicaciones para la economía.</w:t>
      </w:r>
    </w:p>
    <w:p w14:paraId="5720EA7F" w14:textId="77777777" w:rsidR="00F73D5B" w:rsidRPr="008B7A21" w:rsidRDefault="00F73D5B" w:rsidP="00F73D5B">
      <w:pPr>
        <w:pStyle w:val="Heading3"/>
        <w:rPr>
          <w:lang w:val="es-ES_tradnl"/>
        </w:rPr>
      </w:pPr>
      <w:bookmarkStart w:id="739" w:name="_Toc396187409"/>
      <w:bookmarkStart w:id="740" w:name="_Toc306276818"/>
      <w:bookmarkStart w:id="741" w:name="_Toc307921495"/>
      <w:bookmarkStart w:id="742" w:name="_Toc307922062"/>
      <w:bookmarkStart w:id="743" w:name="_Toc307922558"/>
      <w:bookmarkStart w:id="744" w:name="_Toc307991907"/>
      <w:bookmarkStart w:id="745" w:name="_Toc307993938"/>
      <w:bookmarkStart w:id="746" w:name="_Toc307995205"/>
      <w:bookmarkStart w:id="747" w:name="_Toc307996344"/>
      <w:bookmarkStart w:id="748" w:name="_Toc308010324"/>
      <w:bookmarkStart w:id="749" w:name="_Toc499562982"/>
      <w:bookmarkStart w:id="750" w:name="_Toc215835359"/>
      <w:r w:rsidRPr="008B7A21">
        <w:rPr>
          <w:lang w:val="es-ES_tradnl"/>
        </w:rPr>
        <w:t>3.3.2</w:t>
      </w:r>
      <w:r w:rsidRPr="008B7A21">
        <w:rPr>
          <w:lang w:val="es-ES_tradnl"/>
        </w:rPr>
        <w:tab/>
        <w:t>Decisiones nacionales relativas a la asignación de frecuencias</w:t>
      </w:r>
      <w:bookmarkEnd w:id="739"/>
      <w:bookmarkEnd w:id="740"/>
      <w:bookmarkEnd w:id="741"/>
      <w:bookmarkEnd w:id="742"/>
      <w:bookmarkEnd w:id="743"/>
      <w:bookmarkEnd w:id="744"/>
      <w:bookmarkEnd w:id="745"/>
      <w:bookmarkEnd w:id="746"/>
      <w:bookmarkEnd w:id="747"/>
      <w:bookmarkEnd w:id="748"/>
      <w:bookmarkEnd w:id="749"/>
      <w:bookmarkEnd w:id="750"/>
    </w:p>
    <w:p w14:paraId="24D0FE5A" w14:textId="77777777" w:rsidR="00F73D5B" w:rsidRPr="008B7A21" w:rsidRDefault="00F73D5B" w:rsidP="00F73D5B">
      <w:pPr>
        <w:rPr>
          <w:lang w:val="es-ES_tradnl"/>
        </w:rPr>
      </w:pPr>
      <w:r w:rsidRPr="008B7A21">
        <w:rPr>
          <w:lang w:val="es-ES_tradnl"/>
        </w:rPr>
        <w:t>El conocimiento de los beneficios económicos y sociales que ofrecen las aplicaciones competitivas, así como la manera en que se ofrecen, proporciona a los gestores del espectro, además de las evaluaciones operacionales y técnicas normalizadas, información que puede ser utilizada para adoptar decisiones de asignación y maximizar los beneficios económicos derivados de la utilización del espectro radioeléctrico.</w:t>
      </w:r>
    </w:p>
    <w:p w14:paraId="00BA91F9" w14:textId="77777777" w:rsidR="00F73D5B" w:rsidRPr="008B7A21" w:rsidRDefault="00F73D5B" w:rsidP="00F73D5B">
      <w:pPr>
        <w:rPr>
          <w:lang w:val="es-ES_tradnl"/>
        </w:rPr>
      </w:pPr>
      <w:r w:rsidRPr="008B7A21">
        <w:rPr>
          <w:lang w:val="es-ES_tradnl"/>
        </w:rPr>
        <w:t>El análisis de los beneficios económicos puede utilizarse de diversas formas; puede poner de manifiesto la repercusión de las demoras en la introducción de un nuevo servicio, los beneficios relativos de diferentes tipos de servicio, los beneficios económicos de la introducción de tecnología más eficaz desde el punto de vista espectral, así como los beneficios derivados de la reasignación de una banda de frecuencias a un nuevo servicio o tecnología.</w:t>
      </w:r>
    </w:p>
    <w:p w14:paraId="107EB7AE" w14:textId="77777777" w:rsidR="00F73D5B" w:rsidRPr="008B7A21" w:rsidRDefault="00F73D5B" w:rsidP="00F73D5B">
      <w:pPr>
        <w:rPr>
          <w:lang w:val="es-ES_tradnl"/>
        </w:rPr>
      </w:pPr>
      <w:r w:rsidRPr="008B7A21">
        <w:rPr>
          <w:lang w:val="es-ES_tradnl"/>
        </w:rPr>
        <w:t xml:space="preserve">Los factores técnicos y operacionales son obviamente fundamentales en toda decisión sobre asignación, porque si no se hace una aplicación eficiente del espectro, no podrán mejorarse los beneficios económicos. En determinadas decisiones de asignación, los aspectos culturales y sociales pueden representar otro factor. Sin embargo, el análisis de los beneficios económicos también tiene un cometido que desempeñar en la determinación de las decisiones sobre la asignación, puesto que si no se ponderan debidamente los beneficios económicos en las decisiones sobre la gestión del espectro, pueden producirse costes considerables en la economía. </w:t>
      </w:r>
    </w:p>
    <w:p w14:paraId="685946DB" w14:textId="77777777" w:rsidR="00F73D5B" w:rsidRPr="008B7A21" w:rsidRDefault="00F73D5B" w:rsidP="00F73D5B">
      <w:pPr>
        <w:rPr>
          <w:lang w:val="es-ES_tradnl"/>
        </w:rPr>
      </w:pPr>
      <w:r w:rsidRPr="008B7A21">
        <w:rPr>
          <w:lang w:val="es-ES_tradnl"/>
        </w:rPr>
        <w:t>Por tanto, la principal ventaja de la aplicación de un análisis de beneficios económicos a las decisiones sobre asignación, bien a escala nacional o tal vez internacional, es que proporciona un instrumento analítico para optimizar la contribución económica aportada por las radiocomunicaciones. Actualmente, las percepciones de las dificultades metodológicas tal vez han inducido a hacer menos hincapié del que merece en el análisis de beneficios. Como se muestra en este Informe, en la actualidad se dispone de técnicas para calcular los beneficios económicos, de forma que éstos puedan ser tomados en consideración.</w:t>
      </w:r>
    </w:p>
    <w:p w14:paraId="44003130" w14:textId="77777777" w:rsidR="00F73D5B" w:rsidRPr="008B7A21" w:rsidRDefault="00F73D5B" w:rsidP="00F73D5B">
      <w:pPr>
        <w:pStyle w:val="Heading3"/>
        <w:rPr>
          <w:lang w:val="es-ES_tradnl"/>
        </w:rPr>
      </w:pPr>
      <w:bookmarkStart w:id="751" w:name="_Toc396187410"/>
      <w:bookmarkStart w:id="752" w:name="_Toc306276819"/>
      <w:bookmarkStart w:id="753" w:name="_Toc307921496"/>
      <w:bookmarkStart w:id="754" w:name="_Toc307922063"/>
      <w:bookmarkStart w:id="755" w:name="_Toc307922559"/>
      <w:bookmarkStart w:id="756" w:name="_Toc307991908"/>
      <w:bookmarkStart w:id="757" w:name="_Toc307993939"/>
      <w:bookmarkStart w:id="758" w:name="_Toc307995206"/>
      <w:bookmarkStart w:id="759" w:name="_Toc307996345"/>
      <w:bookmarkStart w:id="760" w:name="_Toc308010325"/>
      <w:bookmarkStart w:id="761" w:name="_Toc499562983"/>
      <w:bookmarkStart w:id="762" w:name="_Toc215835360"/>
      <w:r w:rsidRPr="008B7A21">
        <w:rPr>
          <w:lang w:val="es-ES_tradnl"/>
        </w:rPr>
        <w:t>3.3.3</w:t>
      </w:r>
      <w:r w:rsidRPr="008B7A21">
        <w:rPr>
          <w:lang w:val="es-ES_tradnl"/>
        </w:rPr>
        <w:tab/>
        <w:t>Cambios en la legislación nacional de gestión del espectro</w:t>
      </w:r>
      <w:bookmarkEnd w:id="751"/>
      <w:bookmarkEnd w:id="752"/>
      <w:bookmarkEnd w:id="753"/>
      <w:bookmarkEnd w:id="754"/>
      <w:bookmarkEnd w:id="755"/>
      <w:bookmarkEnd w:id="756"/>
      <w:bookmarkEnd w:id="757"/>
      <w:bookmarkEnd w:id="758"/>
      <w:bookmarkEnd w:id="759"/>
      <w:bookmarkEnd w:id="760"/>
      <w:bookmarkEnd w:id="761"/>
      <w:bookmarkEnd w:id="762"/>
    </w:p>
    <w:p w14:paraId="566BD6B4" w14:textId="77777777" w:rsidR="00F73D5B" w:rsidRPr="008B7A21" w:rsidRDefault="00F73D5B" w:rsidP="00F73D5B">
      <w:pPr>
        <w:rPr>
          <w:lang w:val="es-ES_tradnl"/>
        </w:rPr>
      </w:pPr>
      <w:r w:rsidRPr="008B7A21">
        <w:rPr>
          <w:lang w:val="es-ES_tradnl"/>
        </w:rPr>
        <w:t>En la mayoría de las administraciones, la gestión del espectro se define en la legislación, lo que puede limitar los cambios en la forma de gestionar el espectro, la manera en que se otorgan las licencias y el tipo de ayuda que el organismo de gestión del espectro puede recibir de organizaciones no gubernamentales. Para justificar ante los gobiernos un cambio en la legislación hay que efectuar frecuentemente una evaluación del coste de la ejecución y de los beneficios que obtendrán los usuarios y el gobierno.</w:t>
      </w:r>
    </w:p>
    <w:p w14:paraId="0218902F" w14:textId="77777777" w:rsidR="00F73D5B" w:rsidRPr="008B7A21" w:rsidRDefault="00F73D5B" w:rsidP="00F73D5B">
      <w:pPr>
        <w:rPr>
          <w:lang w:val="es-ES_tradnl"/>
        </w:rPr>
      </w:pPr>
      <w:r w:rsidRPr="008B7A21">
        <w:rPr>
          <w:lang w:val="es-ES_tradnl"/>
        </w:rPr>
        <w:t>El análisis económico permite situar en contexto con otras esferas de la economía los beneficios derivados de la utilización de las radiocomunicaciones e incluso estimar los cambios consiguientes que la modificación propuesta de la legislación producirá en los beneficios económicos. Esta información puede aportar a los gobiernos más datos sobre los efectos de la legislación propuesta y sobre la importancia de los cambios legislativos en relación con la gestión del espectro y con las condiciones económicas generales. Así pues, el análisis puede utilizarse para determinar las etapas de la introducción de los cambios propuestos en la legislatura.</w:t>
      </w:r>
    </w:p>
    <w:p w14:paraId="036017EC" w14:textId="77777777" w:rsidR="00F73D5B" w:rsidRPr="008B7A21" w:rsidRDefault="00F73D5B" w:rsidP="00F73D5B">
      <w:pPr>
        <w:pStyle w:val="Heading3"/>
        <w:rPr>
          <w:lang w:val="es-ES_tradnl"/>
        </w:rPr>
      </w:pPr>
      <w:bookmarkStart w:id="763" w:name="_Toc396187411"/>
      <w:bookmarkStart w:id="764" w:name="_Toc306276820"/>
      <w:bookmarkStart w:id="765" w:name="_Toc307921497"/>
      <w:bookmarkStart w:id="766" w:name="_Toc307922064"/>
      <w:bookmarkStart w:id="767" w:name="_Toc307922560"/>
      <w:bookmarkStart w:id="768" w:name="_Toc307991909"/>
      <w:bookmarkStart w:id="769" w:name="_Toc307993940"/>
      <w:bookmarkStart w:id="770" w:name="_Toc307995207"/>
      <w:bookmarkStart w:id="771" w:name="_Toc307996346"/>
      <w:bookmarkStart w:id="772" w:name="_Toc308010326"/>
      <w:bookmarkStart w:id="773" w:name="_Toc499562984"/>
      <w:bookmarkStart w:id="774" w:name="_Toc215835361"/>
      <w:r w:rsidRPr="008B7A21">
        <w:rPr>
          <w:lang w:val="es-ES_tradnl"/>
        </w:rPr>
        <w:t>3.3.4</w:t>
      </w:r>
      <w:r w:rsidRPr="008B7A21">
        <w:rPr>
          <w:lang w:val="es-ES_tradnl"/>
        </w:rPr>
        <w:tab/>
        <w:t>Apoyo al órgano de gestión del espectro en la realización de subastas</w:t>
      </w:r>
      <w:bookmarkEnd w:id="763"/>
      <w:bookmarkEnd w:id="764"/>
      <w:bookmarkEnd w:id="765"/>
      <w:bookmarkEnd w:id="766"/>
      <w:bookmarkEnd w:id="767"/>
      <w:bookmarkEnd w:id="768"/>
      <w:bookmarkEnd w:id="769"/>
      <w:bookmarkEnd w:id="770"/>
      <w:bookmarkEnd w:id="771"/>
      <w:bookmarkEnd w:id="772"/>
      <w:bookmarkEnd w:id="773"/>
      <w:bookmarkEnd w:id="774"/>
    </w:p>
    <w:p w14:paraId="188258BC" w14:textId="77777777" w:rsidR="00F73D5B" w:rsidRPr="008B7A21" w:rsidRDefault="00F73D5B" w:rsidP="00F73D5B">
      <w:pPr>
        <w:rPr>
          <w:lang w:val="es-ES_tradnl"/>
        </w:rPr>
      </w:pPr>
      <w:r w:rsidRPr="008B7A21">
        <w:rPr>
          <w:lang w:val="es-ES_tradnl"/>
        </w:rPr>
        <w:t>Es bien sabido que las subastas son el mejor método de determinar el valor del espectro para la explicación completa de las subastas (véase el Capítulo 2). No obstante, el éxito de éstas puede verse afectado por una serie de parámetros distintos, pudiendo citarse entre ellos las limitaciones administrativas a las subastas, las limitaciones administrativas al funcionamiento del nuevo servicio o asignación de frecuencia y las limitaciones técnicas impuestas a uno o a otra. En este último caso, puede haber aspectos de interferencia procedente de otras fuentes radioeléctricas nacionales o internacionales, de zona de cobertura, etc.</w:t>
      </w:r>
    </w:p>
    <w:p w14:paraId="5B92DDE8" w14:textId="77777777" w:rsidR="00F73D5B" w:rsidRPr="008B7A21" w:rsidRDefault="00F73D5B" w:rsidP="00F73D5B">
      <w:pPr>
        <w:rPr>
          <w:lang w:val="es-ES_tradnl"/>
        </w:rPr>
      </w:pPr>
      <w:r w:rsidRPr="008B7A21">
        <w:rPr>
          <w:lang w:val="es-ES_tradnl"/>
        </w:rPr>
        <w:t>El análisis económico puede utilizarse para proporcionar una evaluación inicial del valor de la asignación de frecuencia. Se puede utilizar a fin de determinar si habrá suficiente competencia por la asignación del espectro, para apoyar a los órganos gestores del espectro en su evaluación de los planes comerciales de los licitadores, o para establecer un precio de reserva de la subasta.</w:t>
      </w:r>
    </w:p>
    <w:p w14:paraId="2C57F206" w14:textId="77777777" w:rsidR="00F73D5B" w:rsidRPr="008B7A21" w:rsidRDefault="00F73D5B" w:rsidP="00F73D5B">
      <w:pPr>
        <w:rPr>
          <w:lang w:val="es-ES_tradnl"/>
        </w:rPr>
      </w:pPr>
      <w:r w:rsidRPr="008B7A21">
        <w:rPr>
          <w:lang w:val="es-ES_tradnl"/>
        </w:rPr>
        <w:t>El precio de reserva es un valor mínimo asignado a un bien que, si no se sobrepasa durante la subasta, impide que el licitador que haya ofrecido el precio más alto se adjudique la mercancía sin el consentimiento del propietario. El precio de reserva se basa habitualmente en un porcentaje de la valoración del producto y lo asigna la casa subastadora o un experto en la materia. Los precios de reserva se utilizan habitualmente en muchos tipos de subastas, especialmente en las de antigüedades y de arte.</w:t>
      </w:r>
    </w:p>
    <w:p w14:paraId="44EC9F27" w14:textId="77777777" w:rsidR="00F73D5B" w:rsidRPr="008B7A21" w:rsidRDefault="00F73D5B" w:rsidP="00F73D5B">
      <w:pPr>
        <w:pStyle w:val="Heading3"/>
        <w:rPr>
          <w:lang w:val="es-ES_tradnl"/>
        </w:rPr>
      </w:pPr>
      <w:bookmarkStart w:id="775" w:name="_Toc396187412"/>
      <w:bookmarkStart w:id="776" w:name="_Toc306276821"/>
      <w:bookmarkStart w:id="777" w:name="_Toc307921498"/>
      <w:bookmarkStart w:id="778" w:name="_Toc307922065"/>
      <w:bookmarkStart w:id="779" w:name="_Toc307922561"/>
      <w:bookmarkStart w:id="780" w:name="_Toc307991910"/>
      <w:bookmarkStart w:id="781" w:name="_Toc307993941"/>
      <w:bookmarkStart w:id="782" w:name="_Toc307995208"/>
      <w:bookmarkStart w:id="783" w:name="_Toc307996347"/>
      <w:bookmarkStart w:id="784" w:name="_Toc308010327"/>
      <w:bookmarkStart w:id="785" w:name="_Toc499562985"/>
      <w:bookmarkStart w:id="786" w:name="_Toc215835362"/>
      <w:r w:rsidRPr="008B7A21">
        <w:rPr>
          <w:lang w:val="es-ES_tradnl"/>
        </w:rPr>
        <w:t>3.3.5</w:t>
      </w:r>
      <w:r w:rsidRPr="008B7A21">
        <w:rPr>
          <w:lang w:val="es-ES_tradnl"/>
        </w:rPr>
        <w:tab/>
        <w:t>Utilización de la evaluación económica para vigilar los resultados económicos a lo largo del tiempo</w:t>
      </w:r>
      <w:bookmarkEnd w:id="775"/>
      <w:bookmarkEnd w:id="776"/>
      <w:bookmarkEnd w:id="777"/>
      <w:bookmarkEnd w:id="778"/>
      <w:bookmarkEnd w:id="779"/>
      <w:bookmarkEnd w:id="780"/>
      <w:bookmarkEnd w:id="781"/>
      <w:bookmarkEnd w:id="782"/>
      <w:bookmarkEnd w:id="783"/>
      <w:bookmarkEnd w:id="784"/>
      <w:bookmarkEnd w:id="785"/>
      <w:bookmarkEnd w:id="786"/>
    </w:p>
    <w:p w14:paraId="44A2863E" w14:textId="77777777" w:rsidR="00F73D5B" w:rsidRPr="008B7A21" w:rsidRDefault="00F73D5B" w:rsidP="00F73D5B">
      <w:pPr>
        <w:rPr>
          <w:lang w:val="es-ES_tradnl"/>
        </w:rPr>
      </w:pPr>
      <w:r w:rsidRPr="008B7A21">
        <w:rPr>
          <w:lang w:val="es-ES_tradnl"/>
        </w:rPr>
        <w:t>La evaluación a intervalos periódicos de los beneficios económicos de la aplicación de las radiocomunicaciones puede servir para obtener información sobre los resultados económicos de la utilización de las radiocomunicaciones durante un tiempo. Supervisando estos resultados se obtiene un mejor panorama de la condición del espectro de radiofrecuencia que por la evaluación simple y junto con datos sobre licencias se muestran las tendencias y la evolución de la utilización del espectro. Esta información puede asociarse a las decisiones sobre la gestión del espectro (tales como las de asignaciones de frecuencia, de cambios en las condiciones de las licencias, de introducción de nuevos servicios) de forma que pueda evaluarse el efecto de dichas decisiones y modificarse su aplicación en la medida necesaria. Así se puede rectificar todo efecto perjudicial para los usuarios, y revisar o anular las decisiones ineficaces.</w:t>
      </w:r>
    </w:p>
    <w:p w14:paraId="2A04C1A8" w14:textId="77777777" w:rsidR="00F73D5B" w:rsidRPr="008B7A21" w:rsidRDefault="00F73D5B" w:rsidP="00F73D5B">
      <w:pPr>
        <w:rPr>
          <w:lang w:val="es-ES_tradnl"/>
        </w:rPr>
      </w:pPr>
      <w:r w:rsidRPr="008B7A21">
        <w:rPr>
          <w:lang w:val="es-ES_tradnl"/>
        </w:rPr>
        <w:t>Por ejemplo, en el Reino Unido, un estudio posterior al Informe económico realizado en 1993</w:t>
      </w:r>
      <w:r w:rsidRPr="008B7A21">
        <w:rPr>
          <w:lang w:val="es-ES_tradnl"/>
        </w:rPr>
        <w:noBreakHyphen/>
        <w:t>1994 ha mostrado que la contribución de las radiocomunicaciones al PIB se ha incrementado en el 11% anual, comparado con el 3%, para el resto de los sectores económicos y que el empleo aumentó durante ese periodo de dos años en 1 000 puestos de trabajo semanales. La creación de empleo (véase la Nota 1) por la utilización de las radiocomunicaciones aumentó en 110 000 personas, alcanzando las 410 000, lo que significa un aumento aproximado del 36%. Si bien este aumento tal vez es exagerado al estimarse a la baja las cifras de empleo del estudio anterior, comparativamente su saldo es favorable, al registrarse un incremento de 485 000 puestos de trabajo en la economía total durante el mismo periodo. Este estudio de los resultados económicos se repetirá en el futuro de forma semestral.</w:t>
      </w:r>
    </w:p>
    <w:p w14:paraId="1386084D" w14:textId="77777777" w:rsidR="00F73D5B" w:rsidRPr="008B7A21" w:rsidRDefault="00F73D5B" w:rsidP="00F73D5B">
      <w:pPr>
        <w:pStyle w:val="Note"/>
        <w:rPr>
          <w:lang w:val="es-ES_tradnl"/>
        </w:rPr>
      </w:pPr>
      <w:bookmarkStart w:id="787" w:name="_Toc396187413"/>
      <w:r w:rsidRPr="008B7A21">
        <w:rPr>
          <w:lang w:val="es-ES_tradnl"/>
        </w:rPr>
        <w:t>NOTA 1 – La creación de empleo debido a la utilización de las radiocomunicaciones incluye las industrias o servicios que emplean las radiocomunicaciones pero en las que dichas radiocomunicaciones no son el producto primario; por ejemplo, las compañías de taxis.</w:t>
      </w:r>
    </w:p>
    <w:p w14:paraId="17F92347" w14:textId="77777777" w:rsidR="00F73D5B" w:rsidRPr="008B7A21" w:rsidRDefault="00F73D5B" w:rsidP="00F73D5B">
      <w:pPr>
        <w:pStyle w:val="Heading2"/>
        <w:rPr>
          <w:lang w:val="es-ES_tradnl"/>
        </w:rPr>
      </w:pPr>
      <w:bookmarkStart w:id="788" w:name="_Toc306276822"/>
      <w:bookmarkStart w:id="789" w:name="_Toc307921499"/>
      <w:bookmarkStart w:id="790" w:name="_Toc307922066"/>
      <w:bookmarkStart w:id="791" w:name="_Toc307922562"/>
      <w:bookmarkStart w:id="792" w:name="_Toc307991911"/>
      <w:bookmarkStart w:id="793" w:name="_Toc307993942"/>
      <w:bookmarkStart w:id="794" w:name="_Toc307995209"/>
      <w:bookmarkStart w:id="795" w:name="_Toc307996348"/>
      <w:bookmarkStart w:id="796" w:name="_Toc308010328"/>
      <w:bookmarkStart w:id="797" w:name="_Toc499562986"/>
      <w:bookmarkStart w:id="798" w:name="_Toc215835363"/>
      <w:r w:rsidRPr="008B7A21">
        <w:rPr>
          <w:lang w:val="es-ES_tradnl"/>
        </w:rPr>
        <w:t>3.4</w:t>
      </w:r>
      <w:r w:rsidRPr="008B7A21">
        <w:rPr>
          <w:lang w:val="es-ES_tradnl"/>
        </w:rPr>
        <w:tab/>
        <w:t>Factores que influyen en los beneficios</w:t>
      </w:r>
      <w:bookmarkEnd w:id="787"/>
      <w:bookmarkEnd w:id="788"/>
      <w:bookmarkEnd w:id="789"/>
      <w:bookmarkEnd w:id="790"/>
      <w:bookmarkEnd w:id="791"/>
      <w:bookmarkEnd w:id="792"/>
      <w:bookmarkEnd w:id="793"/>
      <w:bookmarkEnd w:id="794"/>
      <w:bookmarkEnd w:id="795"/>
      <w:bookmarkEnd w:id="796"/>
      <w:bookmarkEnd w:id="797"/>
      <w:bookmarkEnd w:id="798"/>
    </w:p>
    <w:p w14:paraId="4BCB2233" w14:textId="77777777" w:rsidR="00F73D5B" w:rsidRPr="008B7A21" w:rsidRDefault="00F73D5B" w:rsidP="00F73D5B">
      <w:pPr>
        <w:rPr>
          <w:lang w:val="es-ES_tradnl"/>
        </w:rPr>
      </w:pPr>
      <w:r w:rsidRPr="008B7A21">
        <w:rPr>
          <w:lang w:val="es-ES_tradnl"/>
        </w:rPr>
        <w:t>En este apartado se examinan una serie de factores que afectan a los beneficios económicos derivados de la aplicación de las radiocomunicaciones. No se trata de cuantificar su efecto, sino de explicar la forma en que esos factores inciden en la infraestructura nacional de radiocomunicaciones, lo que a su vez afecta al valor de los beneficios económicos.</w:t>
      </w:r>
    </w:p>
    <w:p w14:paraId="4AEBDC56" w14:textId="77777777" w:rsidR="00F73D5B" w:rsidRPr="008B7A21" w:rsidRDefault="00F73D5B" w:rsidP="00F73D5B">
      <w:pPr>
        <w:rPr>
          <w:lang w:val="es-ES_tradnl"/>
        </w:rPr>
      </w:pPr>
      <w:r w:rsidRPr="008B7A21">
        <w:rPr>
          <w:lang w:val="es-ES_tradnl"/>
        </w:rPr>
        <w:t>La infraestructura de radiocomunicaciones es la combinación de todos los sistemas de radiocomunicaciones que actúan en un país, las asignaciones de frecuencia, las asignaciones individuales de frecuencia, todo acuerdo de coordinación necesario y la capacidad no utilizada del espectro que pueda ser utilizada por la tecnología actual de radiocomunicaciones.</w:t>
      </w:r>
    </w:p>
    <w:p w14:paraId="5570B8F7" w14:textId="77777777" w:rsidR="00F73D5B" w:rsidRPr="008B7A21" w:rsidRDefault="00F73D5B" w:rsidP="00F73D5B">
      <w:pPr>
        <w:rPr>
          <w:lang w:val="es-ES_tradnl"/>
        </w:rPr>
      </w:pPr>
      <w:r w:rsidRPr="008B7A21">
        <w:rPr>
          <w:lang w:val="es-ES_tradnl"/>
        </w:rPr>
        <w:t>Los beneficios derivados de la utilización de las radiocomunicaciones aumentan a medida que lo hace el nivel de inversión, se incrementa su utilización y se introducen nuevos servicios y tecnologías. No obstante, a medida que aumentan las inversiones y se desarrolla el espectro, disminuye la flexibilidad para la introducción de nuevos servicios en la misma banda. El establecimiento de un equilibrio entre los requisitos contradictorios de aumento de la utilización del espectro y conservación de espectro suficiente para atender la demanda futura constituye un problema cada vez más difícil de resolver, especialmente en las bandas de frecuencias más bajas, y dicha dificultad aumenta con la demanda de acceso al espectro. En los apartados siguientes se examina parte de la información que caracteriza a la infraestructura. Conviene señalar que todo ello se aplica por igual al conjunto del país y a sus regiones.</w:t>
      </w:r>
    </w:p>
    <w:p w14:paraId="6074C0E2" w14:textId="77777777" w:rsidR="00F73D5B" w:rsidRPr="008B7A21" w:rsidRDefault="00F73D5B" w:rsidP="00F73D5B">
      <w:pPr>
        <w:pStyle w:val="Heading3"/>
        <w:rPr>
          <w:lang w:val="es-ES_tradnl"/>
        </w:rPr>
      </w:pPr>
      <w:bookmarkStart w:id="799" w:name="_Toc396187414"/>
      <w:bookmarkStart w:id="800" w:name="_Toc306276823"/>
      <w:bookmarkStart w:id="801" w:name="_Toc307921500"/>
      <w:bookmarkStart w:id="802" w:name="_Toc307922067"/>
      <w:bookmarkStart w:id="803" w:name="_Toc307922563"/>
      <w:bookmarkStart w:id="804" w:name="_Toc307991912"/>
      <w:bookmarkStart w:id="805" w:name="_Toc307993943"/>
      <w:bookmarkStart w:id="806" w:name="_Toc307995210"/>
      <w:bookmarkStart w:id="807" w:name="_Toc307996349"/>
      <w:bookmarkStart w:id="808" w:name="_Toc308010329"/>
      <w:bookmarkStart w:id="809" w:name="_Toc499562987"/>
      <w:bookmarkStart w:id="810" w:name="_Toc215835364"/>
      <w:r w:rsidRPr="008B7A21">
        <w:rPr>
          <w:lang w:val="es-ES_tradnl"/>
        </w:rPr>
        <w:t>3.4.1</w:t>
      </w:r>
      <w:r w:rsidRPr="008B7A21">
        <w:rPr>
          <w:lang w:val="es-ES_tradnl"/>
        </w:rPr>
        <w:tab/>
        <w:t>Disponibilidad de frecuencias</w:t>
      </w:r>
      <w:bookmarkEnd w:id="799"/>
      <w:bookmarkEnd w:id="800"/>
      <w:bookmarkEnd w:id="801"/>
      <w:bookmarkEnd w:id="802"/>
      <w:bookmarkEnd w:id="803"/>
      <w:bookmarkEnd w:id="804"/>
      <w:bookmarkEnd w:id="805"/>
      <w:bookmarkEnd w:id="806"/>
      <w:bookmarkEnd w:id="807"/>
      <w:bookmarkEnd w:id="808"/>
      <w:bookmarkEnd w:id="809"/>
      <w:bookmarkEnd w:id="810"/>
    </w:p>
    <w:p w14:paraId="7A18802E" w14:textId="77777777" w:rsidR="00F73D5B" w:rsidRPr="008B7A21" w:rsidRDefault="00F73D5B" w:rsidP="00F73D5B">
      <w:pPr>
        <w:rPr>
          <w:lang w:val="es-ES_tradnl"/>
        </w:rPr>
      </w:pPr>
      <w:r w:rsidRPr="008B7A21">
        <w:rPr>
          <w:lang w:val="es-ES_tradnl"/>
        </w:rPr>
        <w:t>La capacidad de las administraciones para dejar frecuencias disponibles para su utilización, es un factor fundamental a la hora de determinar los beneficios económicos que pueden lograr. La disponibilidad de frecuencias o de bandas de frecuencias específicas puede afectar los costes de implantación de nuevos sistemas de radiocomunicaciones, la viabilidad de dichos sistemas y el número de usuarios al que pueden dar servicios. Cuantos más usuarios pueda acomodar una frecuencia dentro de los límites de calidad de funcionamiento acordados, mayor serán los posibles beneficios económicos.</w:t>
      </w:r>
    </w:p>
    <w:p w14:paraId="18FA5C00" w14:textId="77777777" w:rsidR="00F73D5B" w:rsidRPr="008B7A21" w:rsidRDefault="00F73D5B" w:rsidP="00F73D5B">
      <w:pPr>
        <w:rPr>
          <w:lang w:val="es-ES_tradnl"/>
        </w:rPr>
      </w:pPr>
      <w:r w:rsidRPr="008B7A21">
        <w:rPr>
          <w:lang w:val="es-ES_tradnl"/>
        </w:rPr>
        <w:t>La disponibilidad de frecuencias está estrechamente vinculada a la zona de cobertura y a la anchura de banda necesaria. Cuanto mayor sea la zona de cobertura, menor será la reutilización de la frecuencia en una zona determinada y cuanto mayor sea la anchura de banda de canal necesaria, menor será el número de canales que puedan adaptarse a una banda de frecuencias específica, y menor será el espectro disponible para otros usuarios o aplicaciones. La zona de cobertura está determinada por muchos factores, tales como la potencia del transmisor y la altura y el diagrama de radiación de la antena. Si se reduce la zona de cobertura, mejorando los diagramas de radiación de la antena o aprovechando mejor el efecto de pantalla del terreno, se podrá aumentar la disponibilidad de frecuencia. Al reducirse la zona de cobertura, se reduce asimismo la superficie que otros usuarios no pueden utilizar con esas transmisiones.</w:t>
      </w:r>
    </w:p>
    <w:p w14:paraId="57A82611" w14:textId="77777777" w:rsidR="00F73D5B" w:rsidRPr="008B7A21" w:rsidRDefault="00F73D5B" w:rsidP="00F73D5B">
      <w:pPr>
        <w:pStyle w:val="Note"/>
        <w:rPr>
          <w:lang w:val="es-ES_tradnl"/>
        </w:rPr>
      </w:pPr>
      <w:r w:rsidRPr="008B7A21">
        <w:rPr>
          <w:lang w:val="es-ES_tradnl"/>
        </w:rPr>
        <w:t>NOTA 1 – Conviene señalar que la superficie no disponible para otros usuarios es habitualmente mayor que la zona de cobertura.</w:t>
      </w:r>
    </w:p>
    <w:p w14:paraId="68C9519C" w14:textId="77777777" w:rsidR="00F73D5B" w:rsidRPr="008B7A21" w:rsidRDefault="00F73D5B" w:rsidP="00F73D5B">
      <w:pPr>
        <w:pStyle w:val="Heading4"/>
        <w:rPr>
          <w:lang w:val="es-ES_tradnl"/>
        </w:rPr>
      </w:pPr>
      <w:r w:rsidRPr="008B7A21">
        <w:rPr>
          <w:lang w:val="es-ES_tradnl"/>
        </w:rPr>
        <w:t>3.4.1.1</w:t>
      </w:r>
      <w:r w:rsidRPr="008B7A21">
        <w:rPr>
          <w:lang w:val="es-ES_tradnl"/>
        </w:rPr>
        <w:tab/>
        <w:t>Idoneidad</w:t>
      </w:r>
    </w:p>
    <w:p w14:paraId="0E4CBC0B" w14:textId="77777777" w:rsidR="00F73D5B" w:rsidRPr="008B7A21" w:rsidRDefault="00F73D5B" w:rsidP="00F73D5B">
      <w:pPr>
        <w:rPr>
          <w:b/>
          <w:lang w:val="es-ES_tradnl"/>
        </w:rPr>
      </w:pPr>
      <w:r w:rsidRPr="008B7A21">
        <w:rPr>
          <w:lang w:val="es-ES_tradnl"/>
        </w:rPr>
        <w:t>La atribución de espectro a un nuevo servicio no se limita necesariamente a la búsqueda de un bloque vacante de frecuencias. Además de las diferencias en el coste del equipo entre diferentes bandas de frecuencias, y a la influencia de las consideraciones de propagación que entre ambas pueden determinar si es viable económicamente la explotación de un determinado servicio, existen ciertos servicios y aplicaciones que necesitan una banda de frecuencias específica. Por ejemplo, la determinación de perfiles de temperatura y las observaciones climáticas, necesitan específicamente comprobar las rayas de absorción del oxígeno próximas a 60 GHz, mientras que la radiodifusión internacional requiere las ondas decamétricas; ninguno de esos servicios podría utilizar las frecuencias utilizadas por otros. Además, la banda de frecuencias seleccionada para un servicio puede afectar a la estructura del sistema, al coste de puesta en servicio y a su explotación. La selección de la banda adecuada de frecuencias determinará en consecuencia la viabilidad del nuevo servicio y los beneficios que pueden derivarse de éste.</w:t>
      </w:r>
      <w:bookmarkStart w:id="811" w:name="_Toc396187415"/>
      <w:bookmarkStart w:id="812" w:name="_Toc306276824"/>
      <w:bookmarkStart w:id="813" w:name="_Toc307921501"/>
      <w:bookmarkStart w:id="814" w:name="_Toc307922068"/>
      <w:bookmarkStart w:id="815" w:name="_Toc307922564"/>
      <w:bookmarkStart w:id="816" w:name="_Toc307991913"/>
      <w:bookmarkStart w:id="817" w:name="_Toc307993944"/>
      <w:bookmarkStart w:id="818" w:name="_Toc307995211"/>
      <w:bookmarkStart w:id="819" w:name="_Toc307996350"/>
      <w:bookmarkStart w:id="820" w:name="_Toc308010330"/>
    </w:p>
    <w:p w14:paraId="30D6BAD4" w14:textId="77777777" w:rsidR="00F73D5B" w:rsidRPr="008B7A21" w:rsidRDefault="00F73D5B" w:rsidP="00F73D5B">
      <w:pPr>
        <w:pStyle w:val="Heading3"/>
        <w:rPr>
          <w:lang w:val="es-ES_tradnl"/>
        </w:rPr>
      </w:pPr>
      <w:bookmarkStart w:id="821" w:name="_Toc499562988"/>
      <w:bookmarkStart w:id="822" w:name="_Toc215835365"/>
      <w:r w:rsidRPr="008B7A21">
        <w:rPr>
          <w:lang w:val="es-ES_tradnl"/>
        </w:rPr>
        <w:t>3.4.2</w:t>
      </w:r>
      <w:r w:rsidRPr="008B7A21">
        <w:rPr>
          <w:lang w:val="es-ES_tradnl"/>
        </w:rPr>
        <w:tab/>
        <w:t>Demanda</w:t>
      </w:r>
      <w:bookmarkEnd w:id="811"/>
      <w:bookmarkEnd w:id="812"/>
      <w:bookmarkEnd w:id="813"/>
      <w:bookmarkEnd w:id="814"/>
      <w:bookmarkEnd w:id="815"/>
      <w:bookmarkEnd w:id="816"/>
      <w:bookmarkEnd w:id="817"/>
      <w:bookmarkEnd w:id="818"/>
      <w:bookmarkEnd w:id="819"/>
      <w:bookmarkEnd w:id="820"/>
      <w:bookmarkEnd w:id="821"/>
      <w:bookmarkEnd w:id="822"/>
    </w:p>
    <w:p w14:paraId="38CA1FC6" w14:textId="77777777" w:rsidR="00F73D5B" w:rsidRPr="008B7A21" w:rsidRDefault="00F73D5B" w:rsidP="00F73D5B">
      <w:pPr>
        <w:rPr>
          <w:lang w:val="es-ES_tradnl"/>
        </w:rPr>
      </w:pPr>
      <w:r w:rsidRPr="008B7A21">
        <w:rPr>
          <w:lang w:val="es-ES_tradnl"/>
        </w:rPr>
        <w:t>La población y la industria de un país crean la demanda de servicios de radiocomunicaciones. La viabilidad de la introducción de servicios sobre una base comercial (es decir, no financiados por el Estado) en todo un país estará en función del nivel de esa demanda, a menos que el proveedor de servicios deba satisfacer requisitos específicos (por ejemplo, en el Reino Unido, algunos órganos de radiodifusión y suministradores del servicio telefónico deben dar cobertura universal en el caso de determinados servicios). El nivel de la demanda en un país es pues posiblemente el elemento más importante para determinar la utilización de las radiocomunicaciones y, junto con la geografía del país, para determinar la configuración de la infraestructura de radiocomunicaciones.</w:t>
      </w:r>
    </w:p>
    <w:p w14:paraId="3D31B0B8" w14:textId="77777777" w:rsidR="00F73D5B" w:rsidRPr="008B7A21" w:rsidRDefault="00F73D5B" w:rsidP="00F73D5B">
      <w:pPr>
        <w:rPr>
          <w:lang w:val="es-ES_tradnl"/>
        </w:rPr>
      </w:pPr>
      <w:r w:rsidRPr="008B7A21">
        <w:rPr>
          <w:lang w:val="es-ES_tradnl"/>
        </w:rPr>
        <w:t>Una población numerosa creará normalmente una demanda para la introducción de una gran variedad de servicios de radiocomunicaciones pero no asegurará su viabilidad. Si bien el grueso de la demanda de comunicaciones se sitúa en aglomeraciones de población, o en zonas de empleo, esa demanda puede también existir en zonas relativamente deshabitadas; por ejemplo, las principales rutas de transporte no están situadas necesariamente en importantes centros de población. No obstante, puede suponerse por lo general que la mayor demanda se producirá en zonas con una gran densidad de población o con un elevado nivel de actividad económica. A la inversa, cuanto menor sea la densidad de población, menor será el nivel de la demanda, y menor será la competencia que se establezca en el mercado. Ello puede dar lugar a una menor variedad y, por consiguiente a un aumento de los costes de un determinado servicio.</w:t>
      </w:r>
    </w:p>
    <w:p w14:paraId="365548C1" w14:textId="77777777" w:rsidR="00F73D5B" w:rsidRPr="008B7A21" w:rsidRDefault="00F73D5B" w:rsidP="00F73D5B">
      <w:pPr>
        <w:pStyle w:val="Heading3"/>
        <w:rPr>
          <w:lang w:val="es-ES_tradnl"/>
        </w:rPr>
      </w:pPr>
      <w:bookmarkStart w:id="823" w:name="_Toc396187416"/>
      <w:bookmarkStart w:id="824" w:name="_Toc306276825"/>
      <w:bookmarkStart w:id="825" w:name="_Toc307921502"/>
      <w:bookmarkStart w:id="826" w:name="_Toc307922069"/>
      <w:bookmarkStart w:id="827" w:name="_Toc307922565"/>
      <w:bookmarkStart w:id="828" w:name="_Toc307991914"/>
      <w:bookmarkStart w:id="829" w:name="_Toc307993945"/>
      <w:bookmarkStart w:id="830" w:name="_Toc307995212"/>
      <w:bookmarkStart w:id="831" w:name="_Toc307996351"/>
      <w:bookmarkStart w:id="832" w:name="_Toc308010331"/>
      <w:bookmarkStart w:id="833" w:name="_Toc499562989"/>
      <w:bookmarkStart w:id="834" w:name="_Toc215835366"/>
      <w:r w:rsidRPr="008B7A21">
        <w:rPr>
          <w:lang w:val="es-ES_tradnl"/>
        </w:rPr>
        <w:t>3.4.3</w:t>
      </w:r>
      <w:r w:rsidRPr="008B7A21">
        <w:rPr>
          <w:lang w:val="es-ES_tradnl"/>
        </w:rPr>
        <w:tab/>
        <w:t>La geografía del país</w:t>
      </w:r>
      <w:bookmarkEnd w:id="823"/>
      <w:bookmarkEnd w:id="824"/>
      <w:bookmarkEnd w:id="825"/>
      <w:bookmarkEnd w:id="826"/>
      <w:bookmarkEnd w:id="827"/>
      <w:bookmarkEnd w:id="828"/>
      <w:bookmarkEnd w:id="829"/>
      <w:bookmarkEnd w:id="830"/>
      <w:bookmarkEnd w:id="831"/>
      <w:bookmarkEnd w:id="832"/>
      <w:bookmarkEnd w:id="833"/>
      <w:bookmarkEnd w:id="834"/>
    </w:p>
    <w:p w14:paraId="00D4D9A7" w14:textId="77777777" w:rsidR="00F73D5B" w:rsidRPr="008B7A21" w:rsidRDefault="00F73D5B" w:rsidP="00F73D5B">
      <w:pPr>
        <w:rPr>
          <w:lang w:val="es-ES_tradnl"/>
        </w:rPr>
      </w:pPr>
      <w:r w:rsidRPr="008B7A21">
        <w:rPr>
          <w:lang w:val="es-ES_tradnl"/>
        </w:rPr>
        <w:t>La geografía del país comprende diversos factores distintos que pueden afectar a los beneficios derivados de la utilización de las radiocomunicaciones. Entre éstos cabe citar el tamaño del país, su configuración geográfica, la estructura del terreno, el número de países dentro de una distancia de coordinación y su infraestructura de radiocomunicaciones.</w:t>
      </w:r>
    </w:p>
    <w:p w14:paraId="00AE7E5D" w14:textId="77777777" w:rsidR="00F73D5B" w:rsidRPr="008B7A21" w:rsidRDefault="00F73D5B" w:rsidP="00F73D5B">
      <w:pPr>
        <w:rPr>
          <w:lang w:val="es-ES_tradnl"/>
        </w:rPr>
      </w:pPr>
      <w:r w:rsidRPr="008B7A21">
        <w:rPr>
          <w:lang w:val="es-ES_tradnl"/>
        </w:rPr>
        <w:t>En términos generales, ello se traduce en que los países con muchos vecinos próximos tendrán más probablemente que coordinar la mayoría de sus sistemas de radiocomunicaciones y, por consiguiente, que adaptar su infraestructura de radiocomunicaciones a la de los países vecinos. Cuanto más desarrollada sea la infraestructura de esos países vecinos, mayor será probablemente su dificultad para introducir nuevos servicios. Ello tal vez no constituya un problema de envergadura puesto que los países con baja densidad de población por lo general tienen poblaciones menores y, por ende, piden menos asignaciones de espectro. En el otro extremo de la escala, los grandes países tienen más libertad para planificar los servicios por encima de determinadas bandas de frecuencias sin necesidad de recurrir a la coordinación. Esta libertad es mayor si tienen pocos países vecinos. Los países que no tengan vecinos dentro de la distancia de coordinación de una frecuencia específica se benefician del hecho de que tienen un acceso ilimitado a esta frecuencia en cualquier punto dentro de sus fronteras.</w:t>
      </w:r>
    </w:p>
    <w:p w14:paraId="41326D15" w14:textId="77777777" w:rsidR="00F73D5B" w:rsidRPr="008B7A21" w:rsidRDefault="00F73D5B" w:rsidP="00F73D5B">
      <w:pPr>
        <w:rPr>
          <w:lang w:val="es-ES_tradnl"/>
        </w:rPr>
      </w:pPr>
      <w:r w:rsidRPr="008B7A21">
        <w:rPr>
          <w:lang w:val="es-ES_tradnl"/>
        </w:rPr>
        <w:t>A los efectos del presente Informe, la estructura del terreno comprende las regiones montañosas, los bosques densos y las zonas desérticas. En combinación con los otros elementos de la geografía del país y con las características de la población, la estructura del terreno ayuda a determinar qué bandas de frecuencias pueden ser las más adecuadas para un servicio específico.</w:t>
      </w:r>
    </w:p>
    <w:p w14:paraId="468FA5EA" w14:textId="77777777" w:rsidR="00F73D5B" w:rsidRPr="008B7A21" w:rsidRDefault="00F73D5B" w:rsidP="00F73D5B">
      <w:pPr>
        <w:pStyle w:val="Heading4"/>
        <w:rPr>
          <w:lang w:val="es-ES_tradnl"/>
        </w:rPr>
      </w:pPr>
      <w:r w:rsidRPr="008B7A21">
        <w:rPr>
          <w:lang w:val="es-ES_tradnl"/>
        </w:rPr>
        <w:t>3.4.3.1</w:t>
      </w:r>
      <w:r w:rsidRPr="008B7A21">
        <w:rPr>
          <w:lang w:val="es-ES_tradnl"/>
        </w:rPr>
        <w:tab/>
        <w:t>Variaciones regionales y congestión del espectro</w:t>
      </w:r>
    </w:p>
    <w:p w14:paraId="0FDCE717" w14:textId="77777777" w:rsidR="00F73D5B" w:rsidRPr="008B7A21" w:rsidRDefault="00F73D5B" w:rsidP="00F73D5B">
      <w:pPr>
        <w:rPr>
          <w:lang w:val="es-ES_tradnl"/>
        </w:rPr>
      </w:pPr>
      <w:r w:rsidRPr="008B7A21">
        <w:rPr>
          <w:lang w:val="es-ES_tradnl"/>
        </w:rPr>
        <w:t>La geografía de un país y la distribución de la demanda pueden combinarse para obtener una variación del nivel de disponibilidad de las frecuencias a lo largo de dicho país. La distribución por igual de la población en todo el país es altamente improbable y existe una tendencia a la concentración de la población en diversos centros de población de distintos tamaños. En la práctica, esta agrupación conviene a la prestación de servicios de radiocomunicaciones, si bien llega un momento en que el nivel de la demanda puede ser desproporcionado con respecto a la zona en la que ésta tiene su origen y ello puede dar lugar a problemas de disponibilidad de frecuencia y, finalmente, de congestión del espectro. Esta congestión plantea un grave problema para los órganos de gestión del espectro y muchas administraciones la consideran como uno de los principales factores al considerar la adopción de una estructura de fijación de precios del espectro. El ejemplo siguiente muestra el efecto de las variaciones regionales en la demanda de espectro.</w:t>
      </w:r>
    </w:p>
    <w:p w14:paraId="289A121B" w14:textId="77777777" w:rsidR="00F73D5B" w:rsidRPr="008B7A21" w:rsidRDefault="00F73D5B" w:rsidP="00F73D5B">
      <w:pPr>
        <w:rPr>
          <w:lang w:val="es-ES_tradnl"/>
        </w:rPr>
      </w:pPr>
      <w:r w:rsidRPr="008B7A21">
        <w:rPr>
          <w:lang w:val="es-ES_tradnl"/>
        </w:rPr>
        <w:t>En el Reino Unido, cerca del 25% de la población vive en, aproximadamente, el 7% de la superficie terrestre total, superficie que abarca dos de los aeropuertos de mayor tráfico mundial y que está rodeada por la ruta marítima de mayor tráfico del mundo. Esta concentración de población e industria origina una gran demanda de todos los tipos de servicios (a saber, móviles, fijos, de radiodifusión, por satélite, de radionavegación), al tiempo que limita considerablemente la reutilización de frecuencias debido a la corta separación existente. Además, a pesar de ser una isla, la proximidad del Reino Unido a países vecinos requiere la coordinación en muchas bandas de frecuencias y representa otra limitación a la disponibilidad de frecuencias. Los servicios de telefonía pública móvil han experimentado un espectacular aumento, registrándose una competencia cada vez mayor entre los nuevos operadores de telecomunicaciones, pero el despliegue de los servicios se basa en los principales centros de población y en los principales enlaces por carretera y ferrocarril que permiten su conexión. En consecuencia, existe una escasez de espectro en determinadas partes del Reino Unido, mientras que en otras zonas ello no constituye un problema. En el Sudeste de Inglaterra, por ejemplo, existe congestión en muchas bandas así como una escasez general de espectro disponible por debajo de 25 GHz. En especial, por debajo de 3 GHz hay un problema de disponibilidad de espectro para los servicios móviles. El Reino Unido está realizando pues una labor considerable para abrir las bandas de frecuencias por encima de 30 GHz.</w:t>
      </w:r>
    </w:p>
    <w:p w14:paraId="39B56ADA" w14:textId="77777777" w:rsidR="00F73D5B" w:rsidRPr="008B7A21" w:rsidRDefault="00F73D5B" w:rsidP="00F73D5B">
      <w:pPr>
        <w:pStyle w:val="Heading3"/>
        <w:rPr>
          <w:lang w:val="es-ES_tradnl"/>
        </w:rPr>
      </w:pPr>
      <w:bookmarkStart w:id="835" w:name="_Toc396187417"/>
      <w:bookmarkStart w:id="836" w:name="_Toc306276826"/>
      <w:bookmarkStart w:id="837" w:name="_Toc307921503"/>
      <w:bookmarkStart w:id="838" w:name="_Toc307922070"/>
      <w:bookmarkStart w:id="839" w:name="_Toc307922566"/>
      <w:bookmarkStart w:id="840" w:name="_Toc307991915"/>
      <w:bookmarkStart w:id="841" w:name="_Toc307993946"/>
      <w:bookmarkStart w:id="842" w:name="_Toc307995213"/>
      <w:bookmarkStart w:id="843" w:name="_Toc307996352"/>
      <w:bookmarkStart w:id="844" w:name="_Toc308010332"/>
      <w:bookmarkStart w:id="845" w:name="_Toc499562990"/>
      <w:bookmarkStart w:id="846" w:name="_Toc215835367"/>
      <w:r w:rsidRPr="008B7A21">
        <w:rPr>
          <w:lang w:val="es-ES_tradnl"/>
        </w:rPr>
        <w:t>3.4.4</w:t>
      </w:r>
      <w:r w:rsidRPr="008B7A21">
        <w:rPr>
          <w:lang w:val="es-ES_tradnl"/>
        </w:rPr>
        <w:tab/>
        <w:t>Variaciones entre países</w:t>
      </w:r>
      <w:bookmarkEnd w:id="835"/>
      <w:bookmarkEnd w:id="836"/>
      <w:bookmarkEnd w:id="837"/>
      <w:bookmarkEnd w:id="838"/>
      <w:bookmarkEnd w:id="839"/>
      <w:bookmarkEnd w:id="840"/>
      <w:bookmarkEnd w:id="841"/>
      <w:bookmarkEnd w:id="842"/>
      <w:bookmarkEnd w:id="843"/>
      <w:bookmarkEnd w:id="844"/>
      <w:bookmarkEnd w:id="845"/>
      <w:bookmarkEnd w:id="846"/>
    </w:p>
    <w:p w14:paraId="7FD10D40" w14:textId="77777777" w:rsidR="00F73D5B" w:rsidRPr="008B7A21" w:rsidRDefault="00F73D5B" w:rsidP="00F73D5B">
      <w:pPr>
        <w:rPr>
          <w:lang w:val="es-ES_tradnl"/>
        </w:rPr>
      </w:pPr>
      <w:r w:rsidRPr="008B7A21">
        <w:rPr>
          <w:lang w:val="es-ES_tradnl"/>
        </w:rPr>
        <w:t>La variación entre países es similar a la variación dentro de un país excepto en que se produce por lo general a mayor escala pero con ciertas modificaciones y factores adicionales.</w:t>
      </w:r>
    </w:p>
    <w:p w14:paraId="11F64B36" w14:textId="77777777" w:rsidR="00F73D5B" w:rsidRPr="008B7A21" w:rsidRDefault="00F73D5B" w:rsidP="00F73D5B">
      <w:pPr>
        <w:pStyle w:val="Heading4"/>
        <w:rPr>
          <w:lang w:val="es-ES_tradnl"/>
        </w:rPr>
      </w:pPr>
      <w:r w:rsidRPr="008B7A21">
        <w:rPr>
          <w:lang w:val="es-ES_tradnl"/>
        </w:rPr>
        <w:t>3.4.4.1</w:t>
      </w:r>
      <w:r w:rsidRPr="008B7A21">
        <w:rPr>
          <w:lang w:val="es-ES_tradnl"/>
        </w:rPr>
        <w:tab/>
        <w:t>Atribución de frecuencias</w:t>
      </w:r>
    </w:p>
    <w:p w14:paraId="30B00CF1" w14:textId="77777777" w:rsidR="00F73D5B" w:rsidRPr="008B7A21" w:rsidRDefault="00F73D5B" w:rsidP="00F73D5B">
      <w:pPr>
        <w:rPr>
          <w:lang w:val="es-ES_tradnl"/>
        </w:rPr>
      </w:pPr>
      <w:r w:rsidRPr="008B7A21">
        <w:rPr>
          <w:lang w:val="es-ES_tradnl"/>
        </w:rPr>
        <w:t>Probablemente, la diferencia más importante entre países se refiere a la asignación de frecuencias a los servicios. Ello puede obedecer a las diferentes atribuciones a países entre Regiones de la UIT, a las notas al Artículo 5 del RR y a las diferencias individuales respecto a dicho Artículo 5 del RR en la coordinación entre los países. Esas diferencias entre países pueden afectar a las atribuciones a título primario y secundario. Esos cambios afectarán principalmente a la disponibilidad de frecuencias y estarán sujetos a acuerdos de coordinación entre países específicos.</w:t>
      </w:r>
    </w:p>
    <w:p w14:paraId="6CED4779" w14:textId="77777777" w:rsidR="00F73D5B" w:rsidRPr="008B7A21" w:rsidRDefault="00F73D5B" w:rsidP="00F73D5B">
      <w:pPr>
        <w:pStyle w:val="Heading4"/>
        <w:rPr>
          <w:lang w:val="es-ES_tradnl"/>
        </w:rPr>
      </w:pPr>
      <w:r w:rsidRPr="008B7A21">
        <w:rPr>
          <w:lang w:val="es-ES_tradnl"/>
        </w:rPr>
        <w:t>3.4.4.2</w:t>
      </w:r>
      <w:r w:rsidRPr="008B7A21">
        <w:rPr>
          <w:lang w:val="es-ES_tradnl"/>
        </w:rPr>
        <w:tab/>
        <w:t>Enfoque reglamentario y criterios de planificación</w:t>
      </w:r>
    </w:p>
    <w:p w14:paraId="65DBE990" w14:textId="77777777" w:rsidR="00F73D5B" w:rsidRPr="008B7A21" w:rsidRDefault="00F73D5B" w:rsidP="00F73D5B">
      <w:pPr>
        <w:rPr>
          <w:lang w:val="es-ES_tradnl"/>
        </w:rPr>
      </w:pPr>
      <w:r w:rsidRPr="008B7A21">
        <w:rPr>
          <w:lang w:val="es-ES_tradnl"/>
        </w:rPr>
        <w:t>Las autoridades de gestión del espectro pueden verse sujetas a diferentes requisitos legislativos y, como consecuencia, adoptar un enfoque reglamentario distinto. Además, que cabe esperar normalmente que ciertos factores varíen entre países. Estos factores son los objetivos de gestión del espectro, los fines perseguidos, los criterios de planificación de frecuencia y los requisitos de explotación.</w:t>
      </w:r>
    </w:p>
    <w:p w14:paraId="409C15D9" w14:textId="77777777" w:rsidR="00F73D5B" w:rsidRPr="008B7A21" w:rsidRDefault="00F73D5B" w:rsidP="00F73D5B">
      <w:pPr>
        <w:pStyle w:val="Heading3"/>
        <w:rPr>
          <w:szCs w:val="24"/>
          <w:lang w:val="es-ES_tradnl"/>
        </w:rPr>
      </w:pPr>
      <w:bookmarkStart w:id="847" w:name="_Toc306276827"/>
      <w:bookmarkStart w:id="848" w:name="_Toc307921504"/>
      <w:bookmarkStart w:id="849" w:name="_Toc307922071"/>
      <w:bookmarkStart w:id="850" w:name="_Toc307922567"/>
      <w:bookmarkStart w:id="851" w:name="_Toc307991916"/>
      <w:bookmarkStart w:id="852" w:name="_Toc307993947"/>
      <w:bookmarkStart w:id="853" w:name="_Toc307995214"/>
      <w:bookmarkStart w:id="854" w:name="_Toc307996353"/>
      <w:bookmarkStart w:id="855" w:name="_Toc308010333"/>
      <w:bookmarkStart w:id="856" w:name="_Toc499562991"/>
      <w:bookmarkStart w:id="857" w:name="_Toc215835368"/>
      <w:r w:rsidRPr="008B7A21">
        <w:rPr>
          <w:lang w:val="es-ES_tradnl"/>
        </w:rPr>
        <w:t>3.4.5</w:t>
      </w:r>
      <w:r w:rsidRPr="008B7A21">
        <w:rPr>
          <w:lang w:val="es-ES_tradnl"/>
        </w:rPr>
        <w:tab/>
      </w:r>
      <w:r w:rsidRPr="008B7A21">
        <w:rPr>
          <w:szCs w:val="24"/>
          <w:lang w:val="es-ES_tradnl"/>
        </w:rPr>
        <w:t>Elementos que pueden tenerse en cuenta para efectuar una comparación internacional de los importes de los cánones</w:t>
      </w:r>
      <w:bookmarkEnd w:id="847"/>
      <w:bookmarkEnd w:id="848"/>
      <w:bookmarkEnd w:id="849"/>
      <w:bookmarkEnd w:id="850"/>
      <w:bookmarkEnd w:id="851"/>
      <w:bookmarkEnd w:id="852"/>
      <w:bookmarkEnd w:id="853"/>
      <w:bookmarkEnd w:id="854"/>
      <w:bookmarkEnd w:id="855"/>
      <w:bookmarkEnd w:id="856"/>
      <w:bookmarkEnd w:id="857"/>
    </w:p>
    <w:p w14:paraId="3EFF0C2F" w14:textId="77777777" w:rsidR="00F73D5B" w:rsidRPr="008B7A21" w:rsidRDefault="00F73D5B" w:rsidP="00F73D5B">
      <w:pPr>
        <w:rPr>
          <w:bCs/>
          <w:szCs w:val="24"/>
          <w:lang w:val="es-ES_tradnl"/>
        </w:rPr>
      </w:pPr>
      <w:r w:rsidRPr="008B7A21">
        <w:rPr>
          <w:bCs/>
          <w:szCs w:val="24"/>
          <w:lang w:val="es-ES_tradnl"/>
        </w:rPr>
        <w:t xml:space="preserve">En la base de datos </w:t>
      </w:r>
      <w:r w:rsidRPr="008B7A21">
        <w:rPr>
          <w:bCs/>
          <w:i/>
          <w:iCs/>
          <w:szCs w:val="24"/>
          <w:lang w:val="es-ES_tradnl"/>
        </w:rPr>
        <w:t>Spectrum Fees</w:t>
      </w:r>
      <w:r w:rsidRPr="008B7A21">
        <w:rPr>
          <w:bCs/>
          <w:szCs w:val="24"/>
          <w:lang w:val="es-ES_tradnl"/>
        </w:rPr>
        <w:t xml:space="preserve"> se encuentran los importes de los cánones aplicados en varios países y, por lo tanto, se plantea la pregunta siguiente: ¿qué importes se han de adoptar, y pueden utilizarse directamente sin modificarlos o se ha de efectuar, sin modificar los demás parámetros, una adaptación de esos importes antes de aplicarlos?</w:t>
      </w:r>
    </w:p>
    <w:p w14:paraId="5983458F" w14:textId="77777777" w:rsidR="00F73D5B" w:rsidRPr="008B7A21" w:rsidRDefault="00F73D5B" w:rsidP="00F73D5B">
      <w:pPr>
        <w:rPr>
          <w:szCs w:val="24"/>
          <w:lang w:val="es-ES_tradnl"/>
        </w:rPr>
      </w:pPr>
      <w:r w:rsidRPr="008B7A21">
        <w:rPr>
          <w:szCs w:val="24"/>
          <w:lang w:val="es-ES_tradnl"/>
        </w:rPr>
        <w:t>Para responder a esta pregunta, se propone demostrar que se han de analizar las condiciones económicas de explotación de las licencias y, a partir de ese análisis, establecer una lista (no exhaustiva) de elementos que podrían tenerse en cuenta al adaptar los importes de los cánones aplicados por uno de los países indicados en la base de datos a otro país.</w:t>
      </w:r>
    </w:p>
    <w:p w14:paraId="1C105AAA" w14:textId="77777777" w:rsidR="00F73D5B" w:rsidRPr="008B7A21" w:rsidRDefault="00F73D5B" w:rsidP="00F73D5B">
      <w:pPr>
        <w:rPr>
          <w:szCs w:val="24"/>
          <w:lang w:val="es-ES_tradnl"/>
        </w:rPr>
      </w:pPr>
      <w:r w:rsidRPr="008B7A21">
        <w:rPr>
          <w:szCs w:val="24"/>
          <w:lang w:val="es-ES_tradnl"/>
        </w:rPr>
        <w:t>Sólo se examinará el caso de los cánones fijados administrativamente y aplicables a los operadores de telecomunicaciones que han recibido una autorización de utilización de las frecuencias (licencias).</w:t>
      </w:r>
    </w:p>
    <w:p w14:paraId="3A72EBD2" w14:textId="77777777" w:rsidR="00F73D5B" w:rsidRPr="008B7A21" w:rsidRDefault="00F73D5B" w:rsidP="00F73D5B">
      <w:pPr>
        <w:rPr>
          <w:lang w:val="es-ES_tradnl"/>
        </w:rPr>
      </w:pPr>
      <w:r w:rsidRPr="008B7A21">
        <w:rPr>
          <w:szCs w:val="24"/>
          <w:lang w:val="es-ES_tradnl"/>
        </w:rPr>
        <w:t>Algunos de los elementos mencionados podrán conservarse como criterios para comparar las condiciones económicas de explotación de las licencias en los países en cuestión. Esa comparación debería permitir a las administraciones interesadas definir modalidades de adaptación sobre una base económica.</w:t>
      </w:r>
    </w:p>
    <w:p w14:paraId="65CDBCBD" w14:textId="77777777" w:rsidR="00F73D5B" w:rsidRPr="008B7A21" w:rsidRDefault="00F73D5B" w:rsidP="00F73D5B">
      <w:pPr>
        <w:pStyle w:val="Heading4"/>
        <w:rPr>
          <w:szCs w:val="24"/>
          <w:lang w:val="es-ES_tradnl"/>
        </w:rPr>
      </w:pPr>
      <w:r w:rsidRPr="008B7A21">
        <w:rPr>
          <w:lang w:val="es-ES_tradnl"/>
        </w:rPr>
        <w:t>3.4.5.1</w:t>
      </w:r>
      <w:r w:rsidRPr="008B7A21">
        <w:rPr>
          <w:lang w:val="es-ES_tradnl"/>
        </w:rPr>
        <w:tab/>
      </w:r>
      <w:r w:rsidRPr="008B7A21">
        <w:rPr>
          <w:szCs w:val="24"/>
          <w:lang w:val="es-ES_tradnl"/>
        </w:rPr>
        <w:t>Fundamento e impacto económico de los cánones</w:t>
      </w:r>
    </w:p>
    <w:p w14:paraId="20CE9C9E" w14:textId="77777777" w:rsidR="00F73D5B" w:rsidRPr="008B7A21" w:rsidRDefault="00F73D5B" w:rsidP="00F73D5B">
      <w:pPr>
        <w:rPr>
          <w:szCs w:val="24"/>
          <w:lang w:val="es-ES_tradnl"/>
        </w:rPr>
      </w:pPr>
      <w:r w:rsidRPr="008B7A21">
        <w:rPr>
          <w:szCs w:val="24"/>
          <w:lang w:val="es-ES_tradnl"/>
        </w:rPr>
        <w:t>En la mayoría de los países, el espectro radioeléctrico pertenece al dominio público del Estado y su utilización para fines comerciales constituye una utilización privada de ese dominio.</w:t>
      </w:r>
    </w:p>
    <w:p w14:paraId="315B19D7" w14:textId="77777777" w:rsidR="00F73D5B" w:rsidRPr="008B7A21" w:rsidRDefault="00F73D5B" w:rsidP="00F73D5B">
      <w:pPr>
        <w:keepNext/>
        <w:keepLines/>
        <w:rPr>
          <w:szCs w:val="24"/>
          <w:lang w:val="es-ES_tradnl"/>
        </w:rPr>
      </w:pPr>
      <w:r w:rsidRPr="008B7A21">
        <w:rPr>
          <w:szCs w:val="24"/>
          <w:lang w:val="es-ES_tradnl"/>
        </w:rPr>
        <w:t>Esta ocupación está, pues, normalmente sujeta al pago:</w:t>
      </w:r>
    </w:p>
    <w:p w14:paraId="0EFB08AD" w14:textId="77777777" w:rsidR="00F73D5B" w:rsidRPr="008B7A21" w:rsidRDefault="00F73D5B" w:rsidP="00F73D5B">
      <w:pPr>
        <w:pStyle w:val="enumlev1"/>
        <w:rPr>
          <w:szCs w:val="24"/>
          <w:lang w:val="es-ES_tradnl"/>
        </w:rPr>
      </w:pPr>
      <w:r w:rsidRPr="008B7A21">
        <w:rPr>
          <w:szCs w:val="24"/>
          <w:lang w:val="es-ES_tradnl"/>
        </w:rPr>
        <w:t>–</w:t>
      </w:r>
      <w:r w:rsidRPr="008B7A21">
        <w:rPr>
          <w:szCs w:val="24"/>
          <w:lang w:val="es-ES_tradnl"/>
        </w:rPr>
        <w:tab/>
        <w:t>por una parte, de un canon de gestión, que debe permitir cubrir los costes administrativos de gestión del espectro (en el sentido amplio de la expresión, es decir, planificación, gestión nacional y control);</w:t>
      </w:r>
    </w:p>
    <w:p w14:paraId="4F8897D5" w14:textId="77777777" w:rsidR="00F73D5B" w:rsidRPr="008B7A21" w:rsidRDefault="00F73D5B" w:rsidP="00F73D5B">
      <w:pPr>
        <w:pStyle w:val="enumlev1"/>
        <w:rPr>
          <w:szCs w:val="24"/>
          <w:lang w:val="es-ES_tradnl"/>
        </w:rPr>
      </w:pPr>
      <w:r w:rsidRPr="008B7A21">
        <w:rPr>
          <w:szCs w:val="24"/>
          <w:lang w:val="es-ES_tradnl"/>
        </w:rPr>
        <w:t>–</w:t>
      </w:r>
      <w:r w:rsidRPr="008B7A21">
        <w:rPr>
          <w:szCs w:val="24"/>
          <w:lang w:val="es-ES_tradnl"/>
        </w:rPr>
        <w:tab/>
        <w:t>por otra, de un canon de utilización de las frecuencias que debe ser proporcional a todas las ventajas que obtiene el beneficiario.</w:t>
      </w:r>
    </w:p>
    <w:p w14:paraId="4635AF0E" w14:textId="77777777" w:rsidR="00F73D5B" w:rsidRPr="008B7A21" w:rsidRDefault="00F73D5B" w:rsidP="00F73D5B">
      <w:pPr>
        <w:rPr>
          <w:szCs w:val="24"/>
          <w:lang w:val="es-ES_tradnl"/>
        </w:rPr>
      </w:pPr>
      <w:r w:rsidRPr="008B7A21">
        <w:rPr>
          <w:szCs w:val="24"/>
          <w:lang w:val="es-ES_tradnl"/>
        </w:rPr>
        <w:t>Las ventajas que obtiene un operador de telecomunicaciones por la ocupación del espectro pueden evaluarse considerando en particular el beneficio neto de explotación. Por lo tanto, los cánones relacionados con la utilización de las frecuencias y aplicados a un operador deberían guardar relación con el beneficio neto de explotación.</w:t>
      </w:r>
    </w:p>
    <w:p w14:paraId="14897C69" w14:textId="77777777" w:rsidR="00F73D5B" w:rsidRPr="008B7A21" w:rsidRDefault="00F73D5B" w:rsidP="00F73D5B">
      <w:pPr>
        <w:rPr>
          <w:szCs w:val="24"/>
          <w:lang w:val="es-ES_tradnl"/>
        </w:rPr>
      </w:pPr>
      <w:r w:rsidRPr="008B7A21">
        <w:rPr>
          <w:szCs w:val="24"/>
          <w:lang w:val="es-ES_tradnl"/>
        </w:rPr>
        <w:t>Desde un punto de vista económico y contable, los cánones de utilización de las frecuencias constituyen una inmovilización y/o una carga de explotación para los operadores y reducen proporcionalmente su beneficio neto de explotación.</w:t>
      </w:r>
    </w:p>
    <w:p w14:paraId="79769731" w14:textId="77777777" w:rsidR="00F73D5B" w:rsidRPr="008B7A21" w:rsidRDefault="00F73D5B" w:rsidP="00F73D5B">
      <w:pPr>
        <w:rPr>
          <w:szCs w:val="24"/>
          <w:lang w:val="es-ES_tradnl"/>
        </w:rPr>
      </w:pPr>
      <w:r w:rsidRPr="008B7A21">
        <w:rPr>
          <w:szCs w:val="24"/>
          <w:lang w:val="es-ES_tradnl"/>
        </w:rPr>
        <w:t>Por este motivo, si bien la aplicación de los cánones de utilización de las frecuencias es legítima, los importes no deben ser demasiado elevados a fin de propiciar las iniciativas y no frenar el desarrollo de nuevos servicios. En cualquier caso, el importe de los cánones no puede rebasar la propensión de los operadores a pagar.</w:t>
      </w:r>
    </w:p>
    <w:p w14:paraId="559324D7" w14:textId="77777777" w:rsidR="00F73D5B" w:rsidRPr="008B7A21" w:rsidRDefault="00F73D5B" w:rsidP="00F73D5B">
      <w:pPr>
        <w:pStyle w:val="Heading4"/>
        <w:rPr>
          <w:szCs w:val="24"/>
          <w:lang w:val="es-ES_tradnl"/>
        </w:rPr>
      </w:pPr>
      <w:r w:rsidRPr="008B7A21">
        <w:rPr>
          <w:lang w:val="es-ES_tradnl"/>
        </w:rPr>
        <w:t>3.4.5.2</w:t>
      </w:r>
      <w:r w:rsidRPr="008B7A21">
        <w:rPr>
          <w:lang w:val="es-ES_tradnl"/>
        </w:rPr>
        <w:tab/>
      </w:r>
      <w:r w:rsidRPr="008B7A21">
        <w:rPr>
          <w:szCs w:val="24"/>
          <w:lang w:val="es-ES_tradnl"/>
        </w:rPr>
        <w:t>Condiciones económicas de explotación de las licencias</w:t>
      </w:r>
    </w:p>
    <w:p w14:paraId="08F937A2" w14:textId="77777777" w:rsidR="00F73D5B" w:rsidRPr="008B7A21" w:rsidRDefault="00F73D5B" w:rsidP="00F73D5B">
      <w:pPr>
        <w:rPr>
          <w:szCs w:val="24"/>
          <w:lang w:val="es-ES_tradnl"/>
        </w:rPr>
      </w:pPr>
      <w:r w:rsidRPr="008B7A21">
        <w:rPr>
          <w:szCs w:val="24"/>
          <w:lang w:val="es-ES_tradnl"/>
        </w:rPr>
        <w:t>El beneficio neto de explotación de un operador está constituido por la diferencia entre el precio de venta total de los bienes y servicios comercializados (volumen de negocios) y el costo total de la adquisición de esos bienes y servicios (gastos de explotación).</w:t>
      </w:r>
    </w:p>
    <w:p w14:paraId="5BD7E810" w14:textId="77777777" w:rsidR="00F73D5B" w:rsidRPr="008B7A21" w:rsidRDefault="00F73D5B" w:rsidP="00F73D5B">
      <w:pPr>
        <w:rPr>
          <w:lang w:val="es-ES_tradnl"/>
        </w:rPr>
      </w:pPr>
      <w:r w:rsidRPr="008B7A21">
        <w:rPr>
          <w:lang w:val="es-ES_tradnl"/>
        </w:rPr>
        <w:t>Por supuesto, las condiciones económicas de explotación de las licencias repercuten en el volumen de negocios y en los gastos de explotación de los operadores, y de ellas depende, por consiguiente, el beneficio neto de explotación.</w:t>
      </w:r>
    </w:p>
    <w:p w14:paraId="04EEA015" w14:textId="77777777" w:rsidR="00F73D5B" w:rsidRPr="008B7A21" w:rsidRDefault="00F73D5B" w:rsidP="00F73D5B">
      <w:pPr>
        <w:rPr>
          <w:szCs w:val="24"/>
          <w:lang w:val="es-ES_tradnl"/>
        </w:rPr>
      </w:pPr>
      <w:r w:rsidRPr="008B7A21">
        <w:rPr>
          <w:szCs w:val="24"/>
          <w:lang w:val="es-ES_tradnl"/>
        </w:rPr>
        <w:t>Así pues, cuanto más favorables son las condiciones de explotación para los operadores, más propensos son a pagar cánones, y viceversa.</w:t>
      </w:r>
    </w:p>
    <w:p w14:paraId="517FF92E" w14:textId="77777777" w:rsidR="00F73D5B" w:rsidRPr="008B7A21" w:rsidRDefault="00F73D5B" w:rsidP="00F73D5B">
      <w:pPr>
        <w:rPr>
          <w:szCs w:val="24"/>
          <w:lang w:val="es-ES_tradnl"/>
        </w:rPr>
      </w:pPr>
      <w:r w:rsidRPr="008B7A21">
        <w:rPr>
          <w:szCs w:val="24"/>
          <w:lang w:val="es-ES_tradnl"/>
        </w:rPr>
        <w:t>Por consiguiente, se han de analizar y comparar las condiciones económicas de explotación de las licencias relativas a los países estudiados.</w:t>
      </w:r>
    </w:p>
    <w:p w14:paraId="3587325A" w14:textId="77777777" w:rsidR="00F73D5B" w:rsidRPr="008B7A21" w:rsidRDefault="00F73D5B" w:rsidP="00F73D5B">
      <w:pPr>
        <w:rPr>
          <w:szCs w:val="24"/>
          <w:lang w:val="es-ES_tradnl"/>
        </w:rPr>
      </w:pPr>
      <w:r w:rsidRPr="008B7A21">
        <w:rPr>
          <w:szCs w:val="24"/>
          <w:lang w:val="es-ES_tradnl"/>
        </w:rPr>
        <w:t>Estas condiciones se determinan, en particular, por medio de los elementos siguientes:</w:t>
      </w:r>
    </w:p>
    <w:p w14:paraId="1EA37BF7" w14:textId="77777777" w:rsidR="00F73D5B" w:rsidRPr="008B7A21" w:rsidRDefault="00F73D5B" w:rsidP="00F73D5B">
      <w:pPr>
        <w:pStyle w:val="Headingb"/>
        <w:rPr>
          <w:szCs w:val="24"/>
          <w:lang w:val="es-ES_tradnl"/>
        </w:rPr>
      </w:pPr>
      <w:bookmarkStart w:id="858" w:name="_Toc307922568"/>
      <w:bookmarkStart w:id="859" w:name="_Toc307991917"/>
      <w:bookmarkStart w:id="860" w:name="_Toc307993948"/>
      <w:bookmarkStart w:id="861" w:name="_Toc307996354"/>
      <w:bookmarkStart w:id="862" w:name="_Toc499562992"/>
      <w:r w:rsidRPr="008B7A21">
        <w:rPr>
          <w:lang w:val="es-ES_tradnl"/>
        </w:rPr>
        <w:t>a)</w:t>
      </w:r>
      <w:r w:rsidRPr="008B7A21">
        <w:rPr>
          <w:lang w:val="es-ES_tradnl"/>
        </w:rPr>
        <w:tab/>
      </w:r>
      <w:r w:rsidRPr="008B7A21">
        <w:rPr>
          <w:szCs w:val="24"/>
          <w:lang w:val="es-ES_tradnl"/>
        </w:rPr>
        <w:t>Elementos socioeconómicos de los países estudiados</w:t>
      </w:r>
      <w:bookmarkEnd w:id="858"/>
      <w:bookmarkEnd w:id="859"/>
      <w:bookmarkEnd w:id="860"/>
      <w:bookmarkEnd w:id="861"/>
      <w:bookmarkEnd w:id="862"/>
    </w:p>
    <w:p w14:paraId="00D78156" w14:textId="77777777" w:rsidR="00F73D5B" w:rsidRPr="008B7A21" w:rsidRDefault="00F73D5B" w:rsidP="00F73D5B">
      <w:pPr>
        <w:rPr>
          <w:szCs w:val="24"/>
          <w:lang w:val="es-ES_tradnl"/>
        </w:rPr>
      </w:pPr>
      <w:r w:rsidRPr="008B7A21">
        <w:rPr>
          <w:szCs w:val="24"/>
          <w:lang w:val="es-ES_tradnl"/>
        </w:rPr>
        <w:t>Los elementos que se han de tener en cuenta en el análisis pueden ser:</w:t>
      </w:r>
    </w:p>
    <w:p w14:paraId="6689621C" w14:textId="77777777" w:rsidR="00F73D5B" w:rsidRPr="008B7A21" w:rsidRDefault="00F73D5B" w:rsidP="00F73D5B">
      <w:pPr>
        <w:pStyle w:val="enumlev1"/>
        <w:rPr>
          <w:szCs w:val="24"/>
          <w:lang w:val="es-ES_tradnl"/>
        </w:rPr>
      </w:pPr>
      <w:r w:rsidRPr="008B7A21">
        <w:rPr>
          <w:szCs w:val="24"/>
          <w:lang w:val="es-ES_tradnl"/>
        </w:rPr>
        <w:t>–</w:t>
      </w:r>
      <w:r w:rsidRPr="008B7A21">
        <w:rPr>
          <w:szCs w:val="24"/>
          <w:lang w:val="es-ES_tradnl"/>
        </w:rPr>
        <w:tab/>
        <w:t>el PIB o el PIB/habitante;</w:t>
      </w:r>
    </w:p>
    <w:p w14:paraId="3F85A9E9" w14:textId="77777777" w:rsidR="00F73D5B" w:rsidRPr="008B7A21" w:rsidRDefault="00F73D5B" w:rsidP="00F73D5B">
      <w:pPr>
        <w:pStyle w:val="enumlev1"/>
        <w:rPr>
          <w:szCs w:val="24"/>
          <w:lang w:val="es-ES_tradnl"/>
        </w:rPr>
      </w:pPr>
      <w:r w:rsidRPr="008B7A21">
        <w:rPr>
          <w:szCs w:val="24"/>
          <w:lang w:val="es-ES_tradnl"/>
        </w:rPr>
        <w:t>–</w:t>
      </w:r>
      <w:r w:rsidRPr="008B7A21">
        <w:rPr>
          <w:szCs w:val="24"/>
          <w:lang w:val="es-ES_tradnl"/>
        </w:rPr>
        <w:tab/>
        <w:t>la población total o la densidad de población;</w:t>
      </w:r>
    </w:p>
    <w:p w14:paraId="05D41781" w14:textId="77777777" w:rsidR="00F73D5B" w:rsidRPr="008B7A21" w:rsidRDefault="00F73D5B" w:rsidP="00F73D5B">
      <w:pPr>
        <w:pStyle w:val="enumlev1"/>
        <w:rPr>
          <w:szCs w:val="24"/>
          <w:lang w:val="es-ES_tradnl"/>
        </w:rPr>
      </w:pPr>
      <w:r w:rsidRPr="008B7A21">
        <w:rPr>
          <w:szCs w:val="24"/>
          <w:lang w:val="es-ES_tradnl"/>
        </w:rPr>
        <w:t>–</w:t>
      </w:r>
      <w:r w:rsidRPr="008B7A21">
        <w:rPr>
          <w:szCs w:val="24"/>
          <w:lang w:val="es-ES_tradnl"/>
        </w:rPr>
        <w:tab/>
        <w:t>la distribución geográfica de la población (concentrada en algunas zonas, dispersa ...);</w:t>
      </w:r>
    </w:p>
    <w:p w14:paraId="34966AC2" w14:textId="77777777" w:rsidR="00F73D5B" w:rsidRPr="008B7A21" w:rsidRDefault="00F73D5B" w:rsidP="00F73D5B">
      <w:pPr>
        <w:pStyle w:val="enumlev1"/>
        <w:rPr>
          <w:szCs w:val="24"/>
          <w:lang w:val="es-ES_tradnl"/>
        </w:rPr>
      </w:pPr>
      <w:r w:rsidRPr="008B7A21">
        <w:rPr>
          <w:szCs w:val="24"/>
          <w:lang w:val="es-ES_tradnl"/>
        </w:rPr>
        <w:t>–</w:t>
      </w:r>
      <w:r w:rsidRPr="008B7A21">
        <w:rPr>
          <w:szCs w:val="24"/>
          <w:lang w:val="es-ES_tradnl"/>
        </w:rPr>
        <w:tab/>
        <w:t>las dimensiones, el relieve (llanos, montañas ...) y el carácter insular de los países.</w:t>
      </w:r>
    </w:p>
    <w:p w14:paraId="098A657A" w14:textId="77777777" w:rsidR="00F73D5B" w:rsidRPr="008B7A21" w:rsidRDefault="00F73D5B" w:rsidP="00F73D5B">
      <w:pPr>
        <w:pStyle w:val="Headingb"/>
        <w:rPr>
          <w:lang w:val="es-ES_tradnl"/>
        </w:rPr>
      </w:pPr>
      <w:bookmarkStart w:id="863" w:name="_Toc307922569"/>
      <w:bookmarkStart w:id="864" w:name="_Toc307991918"/>
      <w:bookmarkStart w:id="865" w:name="_Toc307993949"/>
      <w:bookmarkStart w:id="866" w:name="_Toc307996355"/>
      <w:bookmarkStart w:id="867" w:name="_Toc499562993"/>
      <w:r w:rsidRPr="008B7A21">
        <w:rPr>
          <w:lang w:val="es-ES_tradnl"/>
        </w:rPr>
        <w:t>b)</w:t>
      </w:r>
      <w:r w:rsidRPr="008B7A21">
        <w:rPr>
          <w:lang w:val="es-ES_tradnl"/>
        </w:rPr>
        <w:tab/>
        <w:t>Características de las autorizaciones o licencias atribuidas</w:t>
      </w:r>
      <w:bookmarkEnd w:id="863"/>
      <w:bookmarkEnd w:id="864"/>
      <w:bookmarkEnd w:id="865"/>
      <w:bookmarkEnd w:id="866"/>
      <w:bookmarkEnd w:id="867"/>
    </w:p>
    <w:p w14:paraId="1D63BA5C" w14:textId="77777777" w:rsidR="00F73D5B" w:rsidRPr="008B7A21" w:rsidRDefault="00F73D5B" w:rsidP="00F73D5B">
      <w:pPr>
        <w:rPr>
          <w:szCs w:val="24"/>
          <w:lang w:val="es-ES_tradnl"/>
        </w:rPr>
      </w:pPr>
      <w:r w:rsidRPr="008B7A21">
        <w:rPr>
          <w:szCs w:val="24"/>
          <w:lang w:val="es-ES_tradnl"/>
        </w:rPr>
        <w:t>Puede considerarse en particular:</w:t>
      </w:r>
    </w:p>
    <w:p w14:paraId="15F12860" w14:textId="77777777" w:rsidR="00F73D5B" w:rsidRPr="008B7A21" w:rsidRDefault="00F73D5B" w:rsidP="00F73D5B">
      <w:pPr>
        <w:pStyle w:val="enumlev1"/>
        <w:rPr>
          <w:szCs w:val="24"/>
          <w:lang w:val="es-ES_tradnl"/>
        </w:rPr>
      </w:pPr>
      <w:r w:rsidRPr="008B7A21">
        <w:rPr>
          <w:szCs w:val="24"/>
          <w:lang w:val="es-ES_tradnl"/>
        </w:rPr>
        <w:t>–</w:t>
      </w:r>
      <w:r w:rsidRPr="008B7A21">
        <w:rPr>
          <w:szCs w:val="24"/>
          <w:lang w:val="es-ES_tradnl"/>
        </w:rPr>
        <w:tab/>
        <w:t>la duración de las licencias;</w:t>
      </w:r>
    </w:p>
    <w:p w14:paraId="5FA6B341" w14:textId="77777777" w:rsidR="00F73D5B" w:rsidRPr="008B7A21" w:rsidRDefault="00F73D5B" w:rsidP="00F73D5B">
      <w:pPr>
        <w:pStyle w:val="enumlev1"/>
        <w:rPr>
          <w:szCs w:val="24"/>
          <w:lang w:val="es-ES_tradnl"/>
        </w:rPr>
      </w:pPr>
      <w:r w:rsidRPr="008B7A21">
        <w:rPr>
          <w:szCs w:val="24"/>
          <w:lang w:val="es-ES_tradnl"/>
        </w:rPr>
        <w:t>–</w:t>
      </w:r>
      <w:r w:rsidRPr="008B7A21">
        <w:rPr>
          <w:szCs w:val="24"/>
          <w:lang w:val="es-ES_tradnl"/>
        </w:rPr>
        <w:tab/>
        <w:t>la estabilidad de las condiciones de explotación;</w:t>
      </w:r>
    </w:p>
    <w:p w14:paraId="1937B04A" w14:textId="77777777" w:rsidR="00F73D5B" w:rsidRPr="008B7A21" w:rsidRDefault="00F73D5B" w:rsidP="00F73D5B">
      <w:pPr>
        <w:pStyle w:val="enumlev1"/>
        <w:rPr>
          <w:szCs w:val="24"/>
          <w:lang w:val="es-ES_tradnl"/>
        </w:rPr>
      </w:pPr>
      <w:r w:rsidRPr="008B7A21">
        <w:rPr>
          <w:szCs w:val="24"/>
          <w:lang w:val="es-ES_tradnl"/>
        </w:rPr>
        <w:t>–</w:t>
      </w:r>
      <w:r w:rsidRPr="008B7A21">
        <w:rPr>
          <w:szCs w:val="24"/>
          <w:lang w:val="es-ES_tradnl"/>
        </w:rPr>
        <w:tab/>
        <w:t>el carácter renovable de las licencias.</w:t>
      </w:r>
    </w:p>
    <w:p w14:paraId="0872BB09" w14:textId="77777777" w:rsidR="00F73D5B" w:rsidRPr="008B7A21" w:rsidRDefault="00F73D5B" w:rsidP="00F73D5B">
      <w:pPr>
        <w:pStyle w:val="Headingb"/>
        <w:rPr>
          <w:lang w:val="es-ES_tradnl"/>
        </w:rPr>
      </w:pPr>
      <w:bookmarkStart w:id="868" w:name="_Toc208727519"/>
      <w:bookmarkStart w:id="869" w:name="_Toc208739210"/>
      <w:bookmarkStart w:id="870" w:name="_Toc248048843"/>
      <w:bookmarkStart w:id="871" w:name="_Toc277598661"/>
      <w:bookmarkStart w:id="872" w:name="_Toc284499179"/>
      <w:bookmarkStart w:id="873" w:name="_Toc287523333"/>
      <w:bookmarkStart w:id="874" w:name="_Toc307922570"/>
      <w:bookmarkStart w:id="875" w:name="_Toc307991919"/>
      <w:bookmarkStart w:id="876" w:name="_Toc307993950"/>
      <w:bookmarkStart w:id="877" w:name="_Toc307996356"/>
      <w:bookmarkStart w:id="878" w:name="_Toc499562994"/>
      <w:r w:rsidRPr="008B7A21">
        <w:rPr>
          <w:lang w:val="es-ES_tradnl"/>
        </w:rPr>
        <w:t>c)</w:t>
      </w:r>
      <w:r w:rsidRPr="008B7A21">
        <w:rPr>
          <w:lang w:val="es-ES_tradnl"/>
        </w:rPr>
        <w:tab/>
        <w:t>Contenido de los pliegos de condiciones de los operadores autorizados</w:t>
      </w:r>
      <w:bookmarkEnd w:id="868"/>
      <w:bookmarkEnd w:id="869"/>
      <w:bookmarkEnd w:id="870"/>
      <w:bookmarkEnd w:id="871"/>
      <w:bookmarkEnd w:id="872"/>
      <w:bookmarkEnd w:id="873"/>
      <w:bookmarkEnd w:id="874"/>
      <w:bookmarkEnd w:id="875"/>
      <w:bookmarkEnd w:id="876"/>
      <w:bookmarkEnd w:id="877"/>
      <w:bookmarkEnd w:id="878"/>
    </w:p>
    <w:p w14:paraId="347E0BEE" w14:textId="77777777" w:rsidR="00F73D5B" w:rsidRPr="008B7A21" w:rsidRDefault="00F73D5B" w:rsidP="00F73D5B">
      <w:pPr>
        <w:rPr>
          <w:szCs w:val="24"/>
          <w:lang w:val="es-ES_tradnl"/>
        </w:rPr>
      </w:pPr>
      <w:r w:rsidRPr="008B7A21">
        <w:rPr>
          <w:szCs w:val="24"/>
          <w:lang w:val="es-ES_tradnl"/>
        </w:rPr>
        <w:t>Las obligaciones impuestas a los operadores en los pliegos de condiciones y que aumentan sus gastos de explotación pueden ser:</w:t>
      </w:r>
    </w:p>
    <w:p w14:paraId="629C841F" w14:textId="77777777" w:rsidR="00F73D5B" w:rsidRPr="008B7A21" w:rsidRDefault="00F73D5B" w:rsidP="00F73D5B">
      <w:pPr>
        <w:pStyle w:val="enumlev1"/>
        <w:rPr>
          <w:szCs w:val="24"/>
          <w:lang w:val="es-ES_tradnl"/>
        </w:rPr>
      </w:pPr>
      <w:r w:rsidRPr="008B7A21">
        <w:rPr>
          <w:szCs w:val="24"/>
          <w:lang w:val="es-ES_tradnl"/>
        </w:rPr>
        <w:t>–</w:t>
      </w:r>
      <w:r w:rsidRPr="008B7A21">
        <w:rPr>
          <w:szCs w:val="24"/>
          <w:lang w:val="es-ES_tradnl"/>
        </w:rPr>
        <w:tab/>
        <w:t>la cobertura del territorio;</w:t>
      </w:r>
    </w:p>
    <w:p w14:paraId="29859139" w14:textId="77777777" w:rsidR="00F73D5B" w:rsidRPr="008B7A21" w:rsidRDefault="00F73D5B" w:rsidP="00F73D5B">
      <w:pPr>
        <w:pStyle w:val="enumlev1"/>
        <w:rPr>
          <w:szCs w:val="24"/>
          <w:lang w:val="es-ES_tradnl"/>
        </w:rPr>
      </w:pPr>
      <w:r w:rsidRPr="008B7A21">
        <w:rPr>
          <w:szCs w:val="24"/>
          <w:lang w:val="es-ES_tradnl"/>
        </w:rPr>
        <w:t>–</w:t>
      </w:r>
      <w:r w:rsidRPr="008B7A21">
        <w:rPr>
          <w:szCs w:val="24"/>
          <w:lang w:val="es-ES_tradnl"/>
        </w:rPr>
        <w:tab/>
        <w:t>la calidad de servicio;</w:t>
      </w:r>
    </w:p>
    <w:p w14:paraId="04210A22" w14:textId="77777777" w:rsidR="00F73D5B" w:rsidRPr="008B7A21" w:rsidRDefault="00F73D5B" w:rsidP="00F73D5B">
      <w:pPr>
        <w:pStyle w:val="enumlev1"/>
        <w:rPr>
          <w:szCs w:val="24"/>
          <w:lang w:val="es-ES_tradnl"/>
        </w:rPr>
      </w:pPr>
      <w:r w:rsidRPr="008B7A21">
        <w:rPr>
          <w:szCs w:val="24"/>
          <w:lang w:val="es-ES_tradnl"/>
        </w:rPr>
        <w:t>–</w:t>
      </w:r>
      <w:r w:rsidRPr="008B7A21">
        <w:rPr>
          <w:szCs w:val="24"/>
          <w:lang w:val="es-ES_tradnl"/>
        </w:rPr>
        <w:tab/>
        <w:t>la participación en el servicio universal;</w:t>
      </w:r>
    </w:p>
    <w:p w14:paraId="028E6657" w14:textId="77777777" w:rsidR="00F73D5B" w:rsidRPr="008B7A21" w:rsidRDefault="00F73D5B" w:rsidP="00F73D5B">
      <w:pPr>
        <w:pStyle w:val="enumlev1"/>
        <w:rPr>
          <w:szCs w:val="24"/>
          <w:lang w:val="es-ES_tradnl"/>
        </w:rPr>
      </w:pPr>
      <w:r w:rsidRPr="008B7A21">
        <w:rPr>
          <w:szCs w:val="24"/>
          <w:lang w:val="es-ES_tradnl"/>
        </w:rPr>
        <w:t>–</w:t>
      </w:r>
      <w:r w:rsidRPr="008B7A21">
        <w:rPr>
          <w:szCs w:val="24"/>
          <w:lang w:val="es-ES_tradnl"/>
        </w:rPr>
        <w:tab/>
        <w:t>la participación en las actividades de investigación y desarrollo en el ámbito de las telecomunicaciones;</w:t>
      </w:r>
    </w:p>
    <w:p w14:paraId="2BF8BC9F" w14:textId="77777777" w:rsidR="00F73D5B" w:rsidRPr="008B7A21" w:rsidRDefault="00F73D5B" w:rsidP="00F73D5B">
      <w:pPr>
        <w:pStyle w:val="enumlev1"/>
        <w:rPr>
          <w:bCs/>
          <w:szCs w:val="24"/>
          <w:lang w:val="es-ES_tradnl"/>
        </w:rPr>
      </w:pPr>
      <w:r w:rsidRPr="008B7A21">
        <w:rPr>
          <w:szCs w:val="24"/>
          <w:lang w:val="es-ES_tradnl"/>
        </w:rPr>
        <w:t>–</w:t>
      </w:r>
      <w:r w:rsidRPr="008B7A21">
        <w:rPr>
          <w:szCs w:val="24"/>
          <w:lang w:val="es-ES_tradnl"/>
        </w:rPr>
        <w:tab/>
        <w:t>obligaciones adicionales (llamada gratuita hacia determinados números, portabilidad de los números).</w:t>
      </w:r>
    </w:p>
    <w:p w14:paraId="0068EF44" w14:textId="77777777" w:rsidR="00F73D5B" w:rsidRPr="008B7A21" w:rsidRDefault="00F73D5B" w:rsidP="00F73D5B">
      <w:pPr>
        <w:pStyle w:val="Headingb"/>
        <w:rPr>
          <w:lang w:val="es-ES_tradnl"/>
        </w:rPr>
      </w:pPr>
      <w:bookmarkStart w:id="879" w:name="_Toc208727520"/>
      <w:bookmarkStart w:id="880" w:name="_Toc208739211"/>
      <w:bookmarkStart w:id="881" w:name="_Toc248048844"/>
      <w:bookmarkStart w:id="882" w:name="_Toc277598662"/>
      <w:bookmarkStart w:id="883" w:name="_Toc284499180"/>
      <w:bookmarkStart w:id="884" w:name="_Toc287523334"/>
      <w:bookmarkStart w:id="885" w:name="_Toc307922571"/>
      <w:bookmarkStart w:id="886" w:name="_Toc307991920"/>
      <w:bookmarkStart w:id="887" w:name="_Toc307993951"/>
      <w:bookmarkStart w:id="888" w:name="_Toc307996357"/>
      <w:bookmarkStart w:id="889" w:name="_Toc499562995"/>
      <w:r w:rsidRPr="008B7A21">
        <w:rPr>
          <w:lang w:val="es-ES_tradnl"/>
        </w:rPr>
        <w:t>d)</w:t>
      </w:r>
      <w:r w:rsidRPr="008B7A21">
        <w:rPr>
          <w:lang w:val="es-ES_tradnl"/>
        </w:rPr>
        <w:tab/>
        <w:t>Comparación/adaptación de los importes de los cánones</w:t>
      </w:r>
      <w:bookmarkEnd w:id="879"/>
      <w:bookmarkEnd w:id="880"/>
      <w:bookmarkEnd w:id="881"/>
      <w:bookmarkEnd w:id="882"/>
      <w:bookmarkEnd w:id="883"/>
      <w:bookmarkEnd w:id="884"/>
      <w:bookmarkEnd w:id="885"/>
      <w:bookmarkEnd w:id="886"/>
      <w:bookmarkEnd w:id="887"/>
      <w:bookmarkEnd w:id="888"/>
      <w:bookmarkEnd w:id="889"/>
    </w:p>
    <w:p w14:paraId="54AFC377" w14:textId="77777777" w:rsidR="00F73D5B" w:rsidRPr="008B7A21" w:rsidRDefault="00F73D5B" w:rsidP="00F73D5B">
      <w:pPr>
        <w:rPr>
          <w:szCs w:val="24"/>
          <w:lang w:val="es-ES_tradnl"/>
        </w:rPr>
      </w:pPr>
      <w:r w:rsidRPr="008B7A21">
        <w:rPr>
          <w:szCs w:val="24"/>
          <w:lang w:val="es-ES_tradnl"/>
        </w:rPr>
        <w:t>En el cuadro siguiente se describe la influencia de las condiciones económicas de explotación de las licencias en la propensión de los operadores a pagar cánones.</w:t>
      </w:r>
    </w:p>
    <w:p w14:paraId="75EA9C2C" w14:textId="77777777" w:rsidR="00F73D5B" w:rsidRPr="008B7A21" w:rsidRDefault="00F73D5B" w:rsidP="00F73D5B">
      <w:pPr>
        <w:rPr>
          <w:szCs w:val="24"/>
          <w:lang w:val="es-ES_tradnl"/>
        </w:rPr>
      </w:pPr>
      <w:r w:rsidRPr="008B7A21">
        <w:rPr>
          <w:szCs w:val="24"/>
          <w:lang w:val="es-ES_tradnl"/>
        </w:rPr>
        <w:t>Lógicamente, los elementos que contribuyen al volumen de negocios entrañan un aumento de esa propensión. Por el contrario, las condiciones que tienden a generar gastos de explotación entrañan una disminución de esa propensión.</w:t>
      </w:r>
    </w:p>
    <w:p w14:paraId="44763A72" w14:textId="77777777" w:rsidR="00F73D5B" w:rsidRPr="008B7A21" w:rsidRDefault="00F73D5B" w:rsidP="00F73D5B">
      <w:pPr>
        <w:keepNext/>
        <w:keepLines/>
        <w:rPr>
          <w:lang w:val="es-ES_tradnl"/>
        </w:rPr>
      </w:pPr>
    </w:p>
    <w:p w14:paraId="06AD0800" w14:textId="77777777" w:rsidR="00F73D5B" w:rsidRPr="008B7A21" w:rsidRDefault="00F73D5B" w:rsidP="00F73D5B">
      <w:pPr>
        <w:rPr>
          <w:b/>
          <w:bCs/>
          <w:szCs w:val="24"/>
          <w:lang w:val="es-ES_tradnl"/>
        </w:rPr>
        <w:sectPr w:rsidR="00F73D5B" w:rsidRPr="008B7A21" w:rsidSect="00F73D5B">
          <w:headerReference w:type="even" r:id="rId16"/>
          <w:headerReference w:type="default" r:id="rId17"/>
          <w:headerReference w:type="first" r:id="rId18"/>
          <w:pgSz w:w="11909" w:h="16834" w:code="9"/>
          <w:pgMar w:top="1418" w:right="1134" w:bottom="1134" w:left="1134" w:header="720" w:footer="482" w:gutter="0"/>
          <w:paperSrc w:first="15" w:other="15"/>
          <w:pgNumType w:start="1"/>
          <w:cols w:space="720"/>
        </w:sectPr>
      </w:pPr>
    </w:p>
    <w:p w14:paraId="3718A0A6" w14:textId="77777777" w:rsidR="00F73D5B" w:rsidRPr="008B7A21" w:rsidRDefault="00F73D5B" w:rsidP="007044BB">
      <w:pPr>
        <w:pStyle w:val="TableNo"/>
        <w:spacing w:before="0"/>
        <w:rPr>
          <w:lang w:val="es-ES_tradnl"/>
        </w:rPr>
      </w:pPr>
      <w:r w:rsidRPr="008B7A21">
        <w:rPr>
          <w:lang w:val="es-ES_tradnl"/>
        </w:rPr>
        <w:t>CUADRO 1</w:t>
      </w:r>
    </w:p>
    <w:p w14:paraId="46D7C012" w14:textId="77777777" w:rsidR="00F73D5B" w:rsidRPr="008B7A21" w:rsidRDefault="00F73D5B" w:rsidP="00F73D5B">
      <w:pPr>
        <w:pStyle w:val="Tabletitle"/>
        <w:rPr>
          <w:lang w:val="es-ES_tradnl"/>
        </w:rPr>
      </w:pPr>
      <w:r w:rsidRPr="008B7A21">
        <w:rPr>
          <w:lang w:val="es-ES_tradnl"/>
        </w:rPr>
        <w:t>Elementos que pueden tenerse en cuenta para comparar o adaptar los importes de los cánones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6294"/>
        <w:gridCol w:w="8165"/>
      </w:tblGrid>
      <w:tr w:rsidR="00F73D5B" w:rsidRPr="008B7A21" w14:paraId="67935FC2" w14:textId="77777777" w:rsidTr="007044BB">
        <w:trPr>
          <w:jc w:val="center"/>
        </w:trPr>
        <w:tc>
          <w:tcPr>
            <w:tcW w:w="6293" w:type="dxa"/>
            <w:vAlign w:val="center"/>
          </w:tcPr>
          <w:p w14:paraId="5DF03C1E" w14:textId="77777777" w:rsidR="00F73D5B" w:rsidRPr="008B7A21" w:rsidRDefault="00F73D5B" w:rsidP="00767A6A">
            <w:pPr>
              <w:pStyle w:val="Tablehead"/>
              <w:rPr>
                <w:lang w:val="es-ES_tradnl"/>
              </w:rPr>
            </w:pPr>
            <w:r w:rsidRPr="008B7A21">
              <w:rPr>
                <w:lang w:val="es-ES_tradnl"/>
              </w:rPr>
              <w:t>Elementos socioeconómicos de los países estudiados</w:t>
            </w:r>
          </w:p>
        </w:tc>
        <w:tc>
          <w:tcPr>
            <w:tcW w:w="8164" w:type="dxa"/>
            <w:vAlign w:val="center"/>
          </w:tcPr>
          <w:p w14:paraId="643F32F9" w14:textId="77777777" w:rsidR="00F73D5B" w:rsidRPr="008B7A21" w:rsidRDefault="00F73D5B" w:rsidP="00767A6A">
            <w:pPr>
              <w:pStyle w:val="Tablehead"/>
              <w:rPr>
                <w:lang w:val="es-ES_tradnl"/>
              </w:rPr>
            </w:pPr>
            <w:r w:rsidRPr="008B7A21">
              <w:rPr>
                <w:lang w:val="es-ES_tradnl"/>
              </w:rPr>
              <w:t>Comentarios</w:t>
            </w:r>
          </w:p>
        </w:tc>
      </w:tr>
      <w:tr w:rsidR="00F73D5B" w:rsidRPr="008B7A21" w14:paraId="3C276C34" w14:textId="77777777" w:rsidTr="007044BB">
        <w:trPr>
          <w:jc w:val="center"/>
        </w:trPr>
        <w:tc>
          <w:tcPr>
            <w:tcW w:w="6293" w:type="dxa"/>
          </w:tcPr>
          <w:p w14:paraId="1BCD857F" w14:textId="77777777" w:rsidR="00F73D5B" w:rsidRPr="008B7A21" w:rsidRDefault="00F73D5B" w:rsidP="00767A6A">
            <w:pPr>
              <w:pStyle w:val="Tabletext"/>
              <w:rPr>
                <w:lang w:val="es-ES_tradnl"/>
              </w:rPr>
            </w:pPr>
            <w:r w:rsidRPr="008B7A21">
              <w:rPr>
                <w:lang w:val="es-ES_tradnl"/>
              </w:rPr>
              <w:t>PIB o PIB/habitante</w:t>
            </w:r>
          </w:p>
        </w:tc>
        <w:tc>
          <w:tcPr>
            <w:tcW w:w="8164" w:type="dxa"/>
          </w:tcPr>
          <w:p w14:paraId="368721D1" w14:textId="77777777" w:rsidR="00F73D5B" w:rsidRPr="008B7A21" w:rsidRDefault="00F73D5B" w:rsidP="00767A6A">
            <w:pPr>
              <w:pStyle w:val="Tabletext"/>
              <w:jc w:val="left"/>
              <w:rPr>
                <w:lang w:val="es-ES_tradnl"/>
              </w:rPr>
            </w:pPr>
            <w:r w:rsidRPr="008B7A21">
              <w:rPr>
                <w:lang w:val="es-ES_tradnl"/>
              </w:rPr>
              <w:t>La propensión de los operadores a pagar cánones aumenta con el PIB porque el volumen de negocios potencial aumenta con el PIB.</w:t>
            </w:r>
          </w:p>
          <w:p w14:paraId="7929301B" w14:textId="77777777" w:rsidR="00F73D5B" w:rsidRPr="008B7A21" w:rsidRDefault="00F73D5B" w:rsidP="00767A6A">
            <w:pPr>
              <w:pStyle w:val="Tabletext"/>
              <w:jc w:val="left"/>
              <w:rPr>
                <w:lang w:val="es-ES_tradnl"/>
              </w:rPr>
            </w:pPr>
            <w:r w:rsidRPr="008B7A21">
              <w:rPr>
                <w:lang w:val="es-ES_tradnl"/>
              </w:rPr>
              <w:t>Observación: La existencia de un sistema de trueque puede conducir a un PIB calculado inferior al PIB real.</w:t>
            </w:r>
          </w:p>
        </w:tc>
      </w:tr>
      <w:tr w:rsidR="00F73D5B" w:rsidRPr="008B7A21" w14:paraId="7E67E4DF" w14:textId="77777777" w:rsidTr="007044BB">
        <w:trPr>
          <w:jc w:val="center"/>
        </w:trPr>
        <w:tc>
          <w:tcPr>
            <w:tcW w:w="6293" w:type="dxa"/>
          </w:tcPr>
          <w:p w14:paraId="4F6ECC0C" w14:textId="77777777" w:rsidR="00F73D5B" w:rsidRPr="008B7A21" w:rsidRDefault="00F73D5B" w:rsidP="00767A6A">
            <w:pPr>
              <w:pStyle w:val="Tabletext"/>
              <w:rPr>
                <w:lang w:val="es-ES_tradnl"/>
              </w:rPr>
            </w:pPr>
            <w:r w:rsidRPr="008B7A21">
              <w:rPr>
                <w:lang w:val="es-ES_tradnl"/>
              </w:rPr>
              <w:t>Población total; densidad de población</w:t>
            </w:r>
          </w:p>
        </w:tc>
        <w:tc>
          <w:tcPr>
            <w:tcW w:w="8164" w:type="dxa"/>
          </w:tcPr>
          <w:p w14:paraId="6896DB4C" w14:textId="77777777" w:rsidR="00F73D5B" w:rsidRPr="008B7A21" w:rsidRDefault="00F73D5B" w:rsidP="00767A6A">
            <w:pPr>
              <w:pStyle w:val="Tabletext"/>
              <w:jc w:val="left"/>
              <w:rPr>
                <w:lang w:val="es-ES_tradnl"/>
              </w:rPr>
            </w:pPr>
            <w:r w:rsidRPr="008B7A21">
              <w:rPr>
                <w:lang w:val="es-ES_tradnl"/>
              </w:rPr>
              <w:t>La propensión de los operadores a pagar cánones aumenta con la población porque, en general, el volumen de negocios potencial aumenta con la población.</w:t>
            </w:r>
          </w:p>
        </w:tc>
      </w:tr>
      <w:tr w:rsidR="00F73D5B" w:rsidRPr="008B7A21" w14:paraId="7FE53405" w14:textId="77777777" w:rsidTr="007044BB">
        <w:trPr>
          <w:jc w:val="center"/>
        </w:trPr>
        <w:tc>
          <w:tcPr>
            <w:tcW w:w="6293" w:type="dxa"/>
          </w:tcPr>
          <w:p w14:paraId="72C43F49" w14:textId="77777777" w:rsidR="00F73D5B" w:rsidRPr="008B7A21" w:rsidRDefault="00F73D5B" w:rsidP="00767A6A">
            <w:pPr>
              <w:pStyle w:val="Tabletext"/>
              <w:jc w:val="left"/>
              <w:rPr>
                <w:lang w:val="es-ES_tradnl"/>
              </w:rPr>
            </w:pPr>
            <w:r w:rsidRPr="008B7A21">
              <w:rPr>
                <w:lang w:val="es-ES_tradnl"/>
              </w:rPr>
              <w:t>Distribución geográfica de la población (concentrada en algunas zonas, dispersa ...)</w:t>
            </w:r>
          </w:p>
        </w:tc>
        <w:tc>
          <w:tcPr>
            <w:tcW w:w="8164" w:type="dxa"/>
          </w:tcPr>
          <w:p w14:paraId="6DBCD285" w14:textId="77777777" w:rsidR="00F73D5B" w:rsidRPr="008B7A21" w:rsidRDefault="00F73D5B" w:rsidP="00767A6A">
            <w:pPr>
              <w:pStyle w:val="Tabletext"/>
              <w:ind w:right="-113"/>
              <w:jc w:val="left"/>
              <w:rPr>
                <w:lang w:val="es-ES_tradnl"/>
              </w:rPr>
            </w:pPr>
            <w:r w:rsidRPr="008B7A21">
              <w:rPr>
                <w:lang w:val="es-ES_tradnl"/>
              </w:rPr>
              <w:t>La propensión de los operadores a pagar cánones aumenta con la concentración porque, en general, el costo de instalación de las redes disminuye con la concentración.</w:t>
            </w:r>
          </w:p>
        </w:tc>
      </w:tr>
      <w:tr w:rsidR="00F73D5B" w:rsidRPr="008B7A21" w14:paraId="63D4BBCB" w14:textId="77777777" w:rsidTr="007044BB">
        <w:trPr>
          <w:jc w:val="center"/>
        </w:trPr>
        <w:tc>
          <w:tcPr>
            <w:tcW w:w="6293" w:type="dxa"/>
            <w:tcBorders>
              <w:bottom w:val="single" w:sz="4" w:space="0" w:color="auto"/>
            </w:tcBorders>
          </w:tcPr>
          <w:p w14:paraId="17099FD3" w14:textId="77777777" w:rsidR="00F73D5B" w:rsidRPr="008B7A21" w:rsidRDefault="00F73D5B" w:rsidP="00767A6A">
            <w:pPr>
              <w:pStyle w:val="Tabletext"/>
              <w:rPr>
                <w:lang w:val="es-ES_tradnl"/>
              </w:rPr>
            </w:pPr>
            <w:r w:rsidRPr="008B7A21">
              <w:rPr>
                <w:lang w:val="es-ES_tradnl"/>
              </w:rPr>
              <w:t>Dimensiones, relieve y carácter insular del país</w:t>
            </w:r>
          </w:p>
        </w:tc>
        <w:tc>
          <w:tcPr>
            <w:tcW w:w="8164" w:type="dxa"/>
            <w:tcBorders>
              <w:bottom w:val="single" w:sz="4" w:space="0" w:color="auto"/>
            </w:tcBorders>
          </w:tcPr>
          <w:p w14:paraId="67452CCE" w14:textId="77777777" w:rsidR="00F73D5B" w:rsidRPr="008B7A21" w:rsidRDefault="00F73D5B" w:rsidP="00767A6A">
            <w:pPr>
              <w:pStyle w:val="Tabletext"/>
              <w:jc w:val="left"/>
              <w:rPr>
                <w:lang w:val="es-ES_tradnl"/>
              </w:rPr>
            </w:pPr>
            <w:r w:rsidRPr="008B7A21">
              <w:rPr>
                <w:lang w:val="es-ES_tradnl"/>
              </w:rPr>
              <w:t>La propensión de los operadores a pagar cánones disminuye con las dimensiones y el relieve del país porque, en general, el coste de instalación de las redes aumenta con esos parámetros.</w:t>
            </w:r>
          </w:p>
        </w:tc>
      </w:tr>
      <w:tr w:rsidR="00F73D5B" w:rsidRPr="008B7A21" w14:paraId="3664AE3E" w14:textId="77777777" w:rsidTr="007044BB">
        <w:trPr>
          <w:jc w:val="center"/>
        </w:trPr>
        <w:tc>
          <w:tcPr>
            <w:tcW w:w="6293" w:type="dxa"/>
          </w:tcPr>
          <w:p w14:paraId="7335363B" w14:textId="77777777" w:rsidR="00F73D5B" w:rsidRPr="008B7A21" w:rsidRDefault="00F73D5B" w:rsidP="00767A6A">
            <w:pPr>
              <w:pStyle w:val="Tabletext"/>
              <w:jc w:val="center"/>
              <w:rPr>
                <w:b/>
                <w:bCs/>
                <w:lang w:val="es-ES_tradnl"/>
              </w:rPr>
            </w:pPr>
            <w:r w:rsidRPr="008B7A21">
              <w:rPr>
                <w:b/>
                <w:bCs/>
                <w:lang w:val="es-ES_tradnl"/>
              </w:rPr>
              <w:t>Características de las autorizaciones o licencias</w:t>
            </w:r>
          </w:p>
        </w:tc>
        <w:tc>
          <w:tcPr>
            <w:tcW w:w="8164" w:type="dxa"/>
          </w:tcPr>
          <w:p w14:paraId="5B6E6D51" w14:textId="77777777" w:rsidR="00F73D5B" w:rsidRPr="008B7A21" w:rsidRDefault="00F73D5B" w:rsidP="00767A6A">
            <w:pPr>
              <w:pStyle w:val="Tabletext"/>
              <w:jc w:val="left"/>
              <w:rPr>
                <w:lang w:val="es-ES_tradnl"/>
              </w:rPr>
            </w:pPr>
          </w:p>
        </w:tc>
      </w:tr>
      <w:tr w:rsidR="00F73D5B" w:rsidRPr="008B7A21" w14:paraId="24F98BD1" w14:textId="77777777" w:rsidTr="007044BB">
        <w:trPr>
          <w:jc w:val="center"/>
        </w:trPr>
        <w:tc>
          <w:tcPr>
            <w:tcW w:w="6293" w:type="dxa"/>
          </w:tcPr>
          <w:p w14:paraId="4F7D56FD" w14:textId="77777777" w:rsidR="00F73D5B" w:rsidRPr="008B7A21" w:rsidRDefault="00F73D5B" w:rsidP="00767A6A">
            <w:pPr>
              <w:pStyle w:val="Tabletext"/>
              <w:rPr>
                <w:lang w:val="es-ES_tradnl"/>
              </w:rPr>
            </w:pPr>
            <w:r w:rsidRPr="008B7A21">
              <w:rPr>
                <w:lang w:val="es-ES_tradnl"/>
              </w:rPr>
              <w:t>Duración de las autorizaciones</w:t>
            </w:r>
          </w:p>
        </w:tc>
        <w:tc>
          <w:tcPr>
            <w:tcW w:w="8164" w:type="dxa"/>
          </w:tcPr>
          <w:p w14:paraId="167F1948" w14:textId="77777777" w:rsidR="00F73D5B" w:rsidRPr="008B7A21" w:rsidRDefault="00F73D5B" w:rsidP="00767A6A">
            <w:pPr>
              <w:pStyle w:val="Tabletext"/>
              <w:jc w:val="left"/>
              <w:rPr>
                <w:lang w:val="es-ES_tradnl"/>
              </w:rPr>
            </w:pPr>
            <w:r w:rsidRPr="008B7A21">
              <w:rPr>
                <w:lang w:val="es-ES_tradnl"/>
              </w:rPr>
              <w:t>La propensión de los operadores a pagar cánones aumenta con la duración porque la amortización de los equipos es más fácil y los últimos años de explotación suelen ser mucho más rentables que los primeros.</w:t>
            </w:r>
          </w:p>
        </w:tc>
      </w:tr>
      <w:tr w:rsidR="00F73D5B" w:rsidRPr="008B7A21" w14:paraId="51012650" w14:textId="77777777" w:rsidTr="007044BB">
        <w:trPr>
          <w:jc w:val="center"/>
        </w:trPr>
        <w:tc>
          <w:tcPr>
            <w:tcW w:w="6293" w:type="dxa"/>
          </w:tcPr>
          <w:p w14:paraId="14758E4C" w14:textId="77777777" w:rsidR="00F73D5B" w:rsidRPr="008B7A21" w:rsidRDefault="00F73D5B" w:rsidP="00767A6A">
            <w:pPr>
              <w:pStyle w:val="Tabletext"/>
              <w:rPr>
                <w:lang w:val="es-ES_tradnl"/>
              </w:rPr>
            </w:pPr>
            <w:r w:rsidRPr="008B7A21">
              <w:rPr>
                <w:lang w:val="es-ES_tradnl"/>
              </w:rPr>
              <w:t>Estabilidad de las condiciones de explotación</w:t>
            </w:r>
          </w:p>
        </w:tc>
        <w:tc>
          <w:tcPr>
            <w:tcW w:w="8164" w:type="dxa"/>
          </w:tcPr>
          <w:p w14:paraId="7CE0A404" w14:textId="77777777" w:rsidR="00F73D5B" w:rsidRPr="008B7A21" w:rsidRDefault="00F73D5B" w:rsidP="00767A6A">
            <w:pPr>
              <w:pStyle w:val="Tabletext"/>
              <w:jc w:val="left"/>
              <w:rPr>
                <w:lang w:val="es-ES_tradnl"/>
              </w:rPr>
            </w:pPr>
            <w:r w:rsidRPr="008B7A21">
              <w:rPr>
                <w:lang w:val="es-ES_tradnl"/>
              </w:rPr>
              <w:t>La propensión de los operadores a pagar cánones aumenta con la estabilidad porque la inestabilidad conduce a los operadores a asegurarse contra los riesgos correspondientes.</w:t>
            </w:r>
          </w:p>
        </w:tc>
      </w:tr>
      <w:tr w:rsidR="00F73D5B" w:rsidRPr="008B7A21" w14:paraId="036615E8" w14:textId="77777777" w:rsidTr="007044BB">
        <w:trPr>
          <w:jc w:val="center"/>
        </w:trPr>
        <w:tc>
          <w:tcPr>
            <w:tcW w:w="6293" w:type="dxa"/>
          </w:tcPr>
          <w:p w14:paraId="3427A474" w14:textId="77777777" w:rsidR="00F73D5B" w:rsidRPr="008B7A21" w:rsidRDefault="00F73D5B" w:rsidP="00767A6A">
            <w:pPr>
              <w:pStyle w:val="Tabletext"/>
              <w:rPr>
                <w:lang w:val="es-ES_tradnl"/>
              </w:rPr>
            </w:pPr>
            <w:r w:rsidRPr="008B7A21">
              <w:rPr>
                <w:lang w:val="es-ES_tradnl"/>
              </w:rPr>
              <w:t>Carácter renovable de las autorizaciones</w:t>
            </w:r>
          </w:p>
        </w:tc>
        <w:tc>
          <w:tcPr>
            <w:tcW w:w="8164" w:type="dxa"/>
          </w:tcPr>
          <w:p w14:paraId="6FDCC45D" w14:textId="77777777" w:rsidR="00F73D5B" w:rsidRPr="008B7A21" w:rsidRDefault="00F73D5B" w:rsidP="00767A6A">
            <w:pPr>
              <w:pStyle w:val="Tabletext"/>
              <w:jc w:val="left"/>
              <w:rPr>
                <w:lang w:val="es-ES_tradnl"/>
              </w:rPr>
            </w:pPr>
            <w:r w:rsidRPr="008B7A21">
              <w:rPr>
                <w:lang w:val="es-ES_tradnl"/>
              </w:rPr>
              <w:t>La influencia de ese elemento es similar a la de la duración de las autorizaciones.</w:t>
            </w:r>
          </w:p>
        </w:tc>
      </w:tr>
      <w:tr w:rsidR="00F73D5B" w:rsidRPr="008B7A21" w14:paraId="3B0C1B76" w14:textId="77777777" w:rsidTr="007044BB">
        <w:trPr>
          <w:jc w:val="center"/>
        </w:trPr>
        <w:tc>
          <w:tcPr>
            <w:tcW w:w="6293" w:type="dxa"/>
          </w:tcPr>
          <w:p w14:paraId="7E630AF7" w14:textId="77777777" w:rsidR="00F73D5B" w:rsidRPr="008B7A21" w:rsidRDefault="00F73D5B" w:rsidP="00767A6A">
            <w:pPr>
              <w:pStyle w:val="Tabletext"/>
              <w:jc w:val="center"/>
              <w:rPr>
                <w:lang w:val="es-ES_tradnl"/>
              </w:rPr>
            </w:pPr>
            <w:r w:rsidRPr="008B7A21">
              <w:rPr>
                <w:b/>
                <w:bCs/>
                <w:lang w:val="es-ES_tradnl"/>
              </w:rPr>
              <w:t>Contenido de los pliegos de condiciones</w:t>
            </w:r>
            <w:r w:rsidRPr="008B7A21">
              <w:rPr>
                <w:b/>
                <w:bCs/>
                <w:lang w:val="es-ES_tradnl"/>
              </w:rPr>
              <w:br/>
              <w:t>de los operadores autorizados</w:t>
            </w:r>
          </w:p>
        </w:tc>
        <w:tc>
          <w:tcPr>
            <w:tcW w:w="8164" w:type="dxa"/>
          </w:tcPr>
          <w:p w14:paraId="38A8B3F2" w14:textId="77777777" w:rsidR="00F73D5B" w:rsidRPr="008B7A21" w:rsidRDefault="00F73D5B" w:rsidP="00767A6A">
            <w:pPr>
              <w:pStyle w:val="Tabletext"/>
              <w:jc w:val="left"/>
              <w:rPr>
                <w:lang w:val="es-ES_tradnl"/>
              </w:rPr>
            </w:pPr>
          </w:p>
        </w:tc>
      </w:tr>
      <w:tr w:rsidR="00F73D5B" w:rsidRPr="008B7A21" w14:paraId="14175BF2" w14:textId="77777777" w:rsidTr="007044BB">
        <w:trPr>
          <w:jc w:val="center"/>
        </w:trPr>
        <w:tc>
          <w:tcPr>
            <w:tcW w:w="6293" w:type="dxa"/>
          </w:tcPr>
          <w:p w14:paraId="5A8661D2" w14:textId="77777777" w:rsidR="00F73D5B" w:rsidRPr="008B7A21" w:rsidRDefault="00F73D5B" w:rsidP="00767A6A">
            <w:pPr>
              <w:pStyle w:val="Tabletext"/>
              <w:rPr>
                <w:lang w:val="es-ES_tradnl"/>
              </w:rPr>
            </w:pPr>
            <w:r w:rsidRPr="008B7A21">
              <w:rPr>
                <w:lang w:val="es-ES_tradnl"/>
              </w:rPr>
              <w:t>Cobertura del territorio</w:t>
            </w:r>
          </w:p>
        </w:tc>
        <w:tc>
          <w:tcPr>
            <w:tcW w:w="8164" w:type="dxa"/>
            <w:vMerge w:val="restart"/>
          </w:tcPr>
          <w:p w14:paraId="70639AF7" w14:textId="77777777" w:rsidR="00F73D5B" w:rsidRPr="008B7A21" w:rsidRDefault="00F73D5B" w:rsidP="00767A6A">
            <w:pPr>
              <w:pStyle w:val="Tabletext"/>
              <w:jc w:val="left"/>
              <w:rPr>
                <w:lang w:val="es-ES_tradnl"/>
              </w:rPr>
            </w:pPr>
            <w:r w:rsidRPr="008B7A21">
              <w:rPr>
                <w:lang w:val="es-ES_tradnl"/>
              </w:rPr>
              <w:t>La presencia de esas obligaciones en el pliego de condiciones aumenta los gastos de explotación proporcionalmente a su grado de exigencia y reduce en la misma proporción la propensión a pagar de los operadores.</w:t>
            </w:r>
          </w:p>
          <w:p w14:paraId="383CE23A" w14:textId="77777777" w:rsidR="00F73D5B" w:rsidRPr="008B7A21" w:rsidRDefault="00F73D5B" w:rsidP="00767A6A">
            <w:pPr>
              <w:pStyle w:val="Tabletext"/>
              <w:jc w:val="left"/>
              <w:rPr>
                <w:lang w:val="es-ES_tradnl"/>
              </w:rPr>
            </w:pPr>
            <w:r w:rsidRPr="008B7A21">
              <w:rPr>
                <w:lang w:val="es-ES_tradnl"/>
              </w:rPr>
              <w:t>Para efectuar una comparación pormenorizada, convendría analizar el grado de exigencia relativo a cada una de esas obligaciones teniendo en cuenta en particular:</w:t>
            </w:r>
          </w:p>
          <w:p w14:paraId="12BFA583" w14:textId="77777777" w:rsidR="00F73D5B" w:rsidRPr="008B7A21" w:rsidRDefault="00F73D5B" w:rsidP="00767A6A">
            <w:pPr>
              <w:pStyle w:val="Tabletext"/>
              <w:ind w:left="284" w:hanging="284"/>
              <w:jc w:val="left"/>
              <w:rPr>
                <w:lang w:val="es-ES_tradnl"/>
              </w:rPr>
            </w:pPr>
            <w:r w:rsidRPr="008B7A21">
              <w:rPr>
                <w:lang w:val="es-ES_tradnl"/>
              </w:rPr>
              <w:t>–</w:t>
            </w:r>
            <w:r w:rsidRPr="008B7A21">
              <w:rPr>
                <w:lang w:val="es-ES_tradnl"/>
              </w:rPr>
              <w:tab/>
              <w:t>las condiciones de acceso al servicio internacional que pueden influir en la calidad del servicio;</w:t>
            </w:r>
          </w:p>
          <w:p w14:paraId="5D3D4F48" w14:textId="77777777" w:rsidR="00F73D5B" w:rsidRPr="008B7A21" w:rsidRDefault="00F73D5B" w:rsidP="00767A6A">
            <w:pPr>
              <w:pStyle w:val="Tabletext"/>
              <w:ind w:left="284" w:hanging="284"/>
              <w:rPr>
                <w:lang w:val="es-ES_tradnl"/>
              </w:rPr>
            </w:pPr>
            <w:r w:rsidRPr="008B7A21">
              <w:rPr>
                <w:lang w:val="es-ES_tradnl"/>
              </w:rPr>
              <w:t>–</w:t>
            </w:r>
            <w:r w:rsidRPr="008B7A21">
              <w:rPr>
                <w:lang w:val="es-ES_tradnl"/>
              </w:rPr>
              <w:tab/>
              <w:t>la existencia de prácticas o costumbres locales tales como la gratuidad para ciertos usuarios, que disminuye el beneficio de explotación.</w:t>
            </w:r>
          </w:p>
        </w:tc>
      </w:tr>
      <w:tr w:rsidR="00F73D5B" w:rsidRPr="008B7A21" w14:paraId="7872D3F6" w14:textId="77777777" w:rsidTr="007044BB">
        <w:trPr>
          <w:jc w:val="center"/>
        </w:trPr>
        <w:tc>
          <w:tcPr>
            <w:tcW w:w="6293" w:type="dxa"/>
          </w:tcPr>
          <w:p w14:paraId="5F2EFDC5" w14:textId="77777777" w:rsidR="00F73D5B" w:rsidRPr="008B7A21" w:rsidRDefault="00F73D5B" w:rsidP="00767A6A">
            <w:pPr>
              <w:pStyle w:val="Tabletext"/>
              <w:rPr>
                <w:lang w:val="es-ES_tradnl"/>
              </w:rPr>
            </w:pPr>
            <w:r w:rsidRPr="008B7A21">
              <w:rPr>
                <w:lang w:val="es-ES_tradnl"/>
              </w:rPr>
              <w:t>Calidad de servicio</w:t>
            </w:r>
          </w:p>
        </w:tc>
        <w:tc>
          <w:tcPr>
            <w:tcW w:w="8164" w:type="dxa"/>
            <w:vMerge/>
          </w:tcPr>
          <w:p w14:paraId="28CA6AE0" w14:textId="77777777" w:rsidR="00F73D5B" w:rsidRPr="008B7A21" w:rsidRDefault="00F73D5B" w:rsidP="00767A6A">
            <w:pPr>
              <w:pStyle w:val="Tabletext"/>
              <w:rPr>
                <w:lang w:val="es-ES_tradnl"/>
              </w:rPr>
            </w:pPr>
          </w:p>
        </w:tc>
      </w:tr>
      <w:tr w:rsidR="00F73D5B" w:rsidRPr="008B7A21" w14:paraId="3AA12137" w14:textId="77777777" w:rsidTr="007044BB">
        <w:trPr>
          <w:jc w:val="center"/>
        </w:trPr>
        <w:tc>
          <w:tcPr>
            <w:tcW w:w="6293" w:type="dxa"/>
          </w:tcPr>
          <w:p w14:paraId="683A743C" w14:textId="77777777" w:rsidR="00F73D5B" w:rsidRPr="008B7A21" w:rsidRDefault="00F73D5B" w:rsidP="00767A6A">
            <w:pPr>
              <w:pStyle w:val="Tabletext"/>
              <w:jc w:val="left"/>
              <w:rPr>
                <w:lang w:val="es-ES_tradnl"/>
              </w:rPr>
            </w:pPr>
            <w:r w:rsidRPr="008B7A21">
              <w:rPr>
                <w:lang w:val="es-ES_tradnl"/>
              </w:rPr>
              <w:t>Participación en el servicio universal</w:t>
            </w:r>
          </w:p>
        </w:tc>
        <w:tc>
          <w:tcPr>
            <w:tcW w:w="8164" w:type="dxa"/>
            <w:vMerge/>
          </w:tcPr>
          <w:p w14:paraId="258A02FB" w14:textId="77777777" w:rsidR="00F73D5B" w:rsidRPr="008B7A21" w:rsidRDefault="00F73D5B" w:rsidP="00767A6A">
            <w:pPr>
              <w:pStyle w:val="Tabletext"/>
              <w:rPr>
                <w:lang w:val="es-ES_tradnl"/>
              </w:rPr>
            </w:pPr>
          </w:p>
        </w:tc>
      </w:tr>
      <w:tr w:rsidR="00F73D5B" w:rsidRPr="008B7A21" w14:paraId="61ABC5EF" w14:textId="77777777" w:rsidTr="007044BB">
        <w:trPr>
          <w:jc w:val="center"/>
        </w:trPr>
        <w:tc>
          <w:tcPr>
            <w:tcW w:w="6293" w:type="dxa"/>
          </w:tcPr>
          <w:p w14:paraId="52840023" w14:textId="77777777" w:rsidR="00F73D5B" w:rsidRPr="008B7A21" w:rsidRDefault="00F73D5B" w:rsidP="00767A6A">
            <w:pPr>
              <w:pStyle w:val="Tabletext"/>
              <w:jc w:val="left"/>
              <w:rPr>
                <w:lang w:val="es-ES_tradnl"/>
              </w:rPr>
            </w:pPr>
            <w:r w:rsidRPr="008B7A21">
              <w:rPr>
                <w:lang w:val="es-ES_tradnl"/>
              </w:rPr>
              <w:t>Participación en las actividades de investigación y desarrollo en el ámbito de las telecomunicaciones</w:t>
            </w:r>
          </w:p>
        </w:tc>
        <w:tc>
          <w:tcPr>
            <w:tcW w:w="8164" w:type="dxa"/>
            <w:vMerge/>
          </w:tcPr>
          <w:p w14:paraId="2D0631A8" w14:textId="77777777" w:rsidR="00F73D5B" w:rsidRPr="008B7A21" w:rsidRDefault="00F73D5B" w:rsidP="00767A6A">
            <w:pPr>
              <w:pStyle w:val="Tabletext"/>
              <w:rPr>
                <w:lang w:val="es-ES_tradnl"/>
              </w:rPr>
            </w:pPr>
          </w:p>
        </w:tc>
      </w:tr>
      <w:tr w:rsidR="00F73D5B" w:rsidRPr="008B7A21" w14:paraId="2B69513E" w14:textId="77777777" w:rsidTr="007044BB">
        <w:trPr>
          <w:jc w:val="center"/>
        </w:trPr>
        <w:tc>
          <w:tcPr>
            <w:tcW w:w="6293" w:type="dxa"/>
          </w:tcPr>
          <w:p w14:paraId="15D53BBE" w14:textId="77777777" w:rsidR="00F73D5B" w:rsidRPr="008B7A21" w:rsidRDefault="00F73D5B" w:rsidP="00767A6A">
            <w:pPr>
              <w:pStyle w:val="Tabletext"/>
              <w:jc w:val="left"/>
              <w:rPr>
                <w:lang w:val="es-ES_tradnl"/>
              </w:rPr>
            </w:pPr>
            <w:r w:rsidRPr="008B7A21">
              <w:rPr>
                <w:lang w:val="es-ES_tradnl"/>
              </w:rPr>
              <w:t>Otras obligaciones (llamada gratuita hacia determinados números, portabilidad de los números ...)</w:t>
            </w:r>
          </w:p>
        </w:tc>
        <w:tc>
          <w:tcPr>
            <w:tcW w:w="8164" w:type="dxa"/>
            <w:vMerge/>
          </w:tcPr>
          <w:p w14:paraId="30619A4D" w14:textId="77777777" w:rsidR="00F73D5B" w:rsidRPr="008B7A21" w:rsidRDefault="00F73D5B" w:rsidP="00767A6A">
            <w:pPr>
              <w:pStyle w:val="Tabletext"/>
              <w:rPr>
                <w:lang w:val="es-ES_tradnl"/>
              </w:rPr>
            </w:pPr>
          </w:p>
        </w:tc>
      </w:tr>
    </w:tbl>
    <w:p w14:paraId="025E8621" w14:textId="77777777" w:rsidR="00F73D5B" w:rsidRPr="008B7A21" w:rsidRDefault="00F73D5B" w:rsidP="00F73D5B">
      <w:pPr>
        <w:rPr>
          <w:lang w:val="es-ES_tradnl"/>
        </w:rPr>
        <w:sectPr w:rsidR="00F73D5B" w:rsidRPr="008B7A21" w:rsidSect="00F73D5B">
          <w:headerReference w:type="first" r:id="rId19"/>
          <w:footnotePr>
            <w:pos w:val="beneathText"/>
          </w:footnotePr>
          <w:pgSz w:w="16834" w:h="11909" w:orient="landscape" w:code="9"/>
          <w:pgMar w:top="1134" w:right="1418" w:bottom="1134" w:left="1134" w:header="720" w:footer="482" w:gutter="0"/>
          <w:paperSrc w:first="15" w:other="15"/>
          <w:cols w:space="720"/>
          <w:titlePg/>
          <w:docGrid w:linePitch="326"/>
        </w:sectPr>
      </w:pPr>
    </w:p>
    <w:p w14:paraId="7F4C41DA" w14:textId="77777777" w:rsidR="00F73D5B" w:rsidRPr="008B7A21" w:rsidRDefault="00F73D5B" w:rsidP="00F73D5B">
      <w:pPr>
        <w:pStyle w:val="Heading2"/>
        <w:spacing w:before="0"/>
        <w:rPr>
          <w:lang w:val="es-ES_tradnl"/>
        </w:rPr>
      </w:pPr>
      <w:bookmarkStart w:id="890" w:name="_Toc499562996"/>
      <w:bookmarkStart w:id="891" w:name="_Toc215835369"/>
      <w:bookmarkStart w:id="892" w:name="_Toc396187418"/>
      <w:bookmarkStart w:id="893" w:name="_Toc306276828"/>
      <w:r w:rsidRPr="008B7A21">
        <w:rPr>
          <w:lang w:val="es-ES_tradnl"/>
        </w:rPr>
        <w:t>3.5</w:t>
      </w:r>
      <w:r w:rsidRPr="008B7A21">
        <w:rPr>
          <w:lang w:val="es-ES_tradnl"/>
        </w:rPr>
        <w:tab/>
        <w:t>Resumen</w:t>
      </w:r>
      <w:bookmarkEnd w:id="890"/>
      <w:bookmarkEnd w:id="891"/>
    </w:p>
    <w:p w14:paraId="2B874C4C" w14:textId="77777777" w:rsidR="00F73D5B" w:rsidRPr="008B7A21" w:rsidRDefault="00F73D5B" w:rsidP="00F73D5B">
      <w:pPr>
        <w:rPr>
          <w:lang w:val="es-ES_tradnl"/>
        </w:rPr>
      </w:pPr>
      <w:r w:rsidRPr="008B7A21">
        <w:rPr>
          <w:lang w:val="es-ES_tradnl"/>
        </w:rPr>
        <w:t>El valor que la utilización de las telecomunicaciones y el desarrollo de nuevos servicios puede proporcionar a la economía de un país que se expresa mediante los beneficios económicos expuestos en los dos estudios del Reino Unido. En el pasado, la falta de reconocimiento de la contribución económica de las radiocomunicaciones a un país, unido tal vez a la incertidumbre sobre la metodología, ha podido explicar que el análisis de los beneficios no se considerase como una información pertinente para la gestión del espectro. Como este Informe muestra, actualmente se dispone de métodos para cuantificar los beneficios económicos, y que dichos métodos permiten obtener información, a la que antes no tenían acceso los órganos de gestión del espectro, información que puede tenerse en cuenta para adoptar decisiones sobre asignaciones de frecuencia y evaluar la eficacia de las decisiones sobre gestión del espectro. Además, el análisis de los beneficios económicos puede utilizarse para justificar la financiación de la gestión del espectro. Una gestión eficaz del espectro es fundamental para el mantenimiento del acceso al espectro radioeléctrico, y, de ahí, de los beneficios que las radiocomunicaciones pueden proporcionar a un país.</w:t>
      </w:r>
    </w:p>
    <w:p w14:paraId="0086D302" w14:textId="77777777" w:rsidR="00F73D5B" w:rsidRDefault="00F73D5B" w:rsidP="00F73D5B">
      <w:pPr>
        <w:rPr>
          <w:lang w:val="es-ES_tradnl"/>
        </w:rPr>
      </w:pPr>
    </w:p>
    <w:p w14:paraId="4F59AD92" w14:textId="77777777" w:rsidR="00F73D5B" w:rsidRPr="008B7A21" w:rsidRDefault="00F73D5B" w:rsidP="00F73D5B">
      <w:pPr>
        <w:pStyle w:val="ChapNo"/>
        <w:rPr>
          <w:lang w:val="es-ES_tradnl"/>
        </w:rPr>
      </w:pPr>
      <w:bookmarkStart w:id="894" w:name="_Toc306276829"/>
      <w:bookmarkStart w:id="895" w:name="_Toc307993953"/>
      <w:bookmarkStart w:id="896" w:name="_Toc307995216"/>
      <w:bookmarkStart w:id="897" w:name="_Toc307996359"/>
      <w:bookmarkStart w:id="898" w:name="_Toc308010335"/>
      <w:bookmarkStart w:id="899" w:name="_Toc499562997"/>
      <w:bookmarkStart w:id="900" w:name="_Toc215835370"/>
      <w:bookmarkEnd w:id="892"/>
      <w:bookmarkEnd w:id="893"/>
      <w:r w:rsidRPr="008B7A21">
        <w:rPr>
          <w:lang w:val="es-ES_tradnl"/>
        </w:rPr>
        <w:t>CAPÍTULO 4</w:t>
      </w:r>
      <w:bookmarkEnd w:id="894"/>
      <w:bookmarkEnd w:id="895"/>
      <w:bookmarkEnd w:id="896"/>
      <w:bookmarkEnd w:id="897"/>
      <w:bookmarkEnd w:id="898"/>
      <w:bookmarkEnd w:id="899"/>
      <w:bookmarkEnd w:id="900"/>
    </w:p>
    <w:p w14:paraId="3E649C92" w14:textId="77777777" w:rsidR="00F73D5B" w:rsidRPr="008B7A21" w:rsidRDefault="00F73D5B" w:rsidP="00F73D5B">
      <w:pPr>
        <w:pStyle w:val="Chaptitle"/>
        <w:rPr>
          <w:lang w:val="es-ES_tradnl"/>
        </w:rPr>
      </w:pPr>
      <w:bookmarkStart w:id="901" w:name="_Toc306276830"/>
      <w:bookmarkStart w:id="902" w:name="_Toc307993954"/>
      <w:bookmarkStart w:id="903" w:name="_Toc307995217"/>
      <w:bookmarkStart w:id="904" w:name="_Toc307996360"/>
      <w:bookmarkStart w:id="905" w:name="_Toc308010336"/>
      <w:bookmarkStart w:id="906" w:name="_Toc499562998"/>
      <w:bookmarkStart w:id="907" w:name="_Toc526166771"/>
      <w:r w:rsidRPr="008B7A21">
        <w:rPr>
          <w:lang w:val="es-ES_tradnl"/>
        </w:rPr>
        <w:t>Directrices sobre metodologías para determinar las fórmulas</w:t>
      </w:r>
      <w:r w:rsidRPr="008B7A21">
        <w:rPr>
          <w:lang w:val="es-ES_tradnl"/>
        </w:rPr>
        <w:br/>
        <w:t>y el sistema de cánones del espectro</w:t>
      </w:r>
      <w:bookmarkEnd w:id="901"/>
      <w:bookmarkEnd w:id="902"/>
      <w:bookmarkEnd w:id="903"/>
      <w:bookmarkEnd w:id="904"/>
      <w:bookmarkEnd w:id="905"/>
      <w:bookmarkEnd w:id="906"/>
      <w:bookmarkEnd w:id="907"/>
    </w:p>
    <w:p w14:paraId="34D76CE0" w14:textId="77777777" w:rsidR="00F73D5B" w:rsidRPr="008B7A21" w:rsidRDefault="00F73D5B" w:rsidP="00F73D5B">
      <w:pPr>
        <w:pStyle w:val="Heading2"/>
        <w:rPr>
          <w:lang w:val="es-ES_tradnl"/>
        </w:rPr>
      </w:pPr>
      <w:bookmarkStart w:id="908" w:name="_Toc306276831"/>
      <w:bookmarkStart w:id="909" w:name="_Toc307921506"/>
      <w:bookmarkStart w:id="910" w:name="_Toc307922073"/>
      <w:bookmarkStart w:id="911" w:name="_Toc307922573"/>
      <w:bookmarkStart w:id="912" w:name="_Toc307991922"/>
      <w:bookmarkStart w:id="913" w:name="_Toc307993955"/>
      <w:bookmarkStart w:id="914" w:name="_Toc307995218"/>
      <w:bookmarkStart w:id="915" w:name="_Toc307996361"/>
      <w:bookmarkStart w:id="916" w:name="_Toc308010337"/>
      <w:bookmarkStart w:id="917" w:name="_Toc499562999"/>
      <w:bookmarkStart w:id="918" w:name="_Toc215835371"/>
      <w:r w:rsidRPr="008B7A21">
        <w:rPr>
          <w:lang w:val="es-ES_tradnl"/>
        </w:rPr>
        <w:t>4.1</w:t>
      </w:r>
      <w:r w:rsidRPr="008B7A21">
        <w:rPr>
          <w:lang w:val="es-ES_tradnl"/>
        </w:rPr>
        <w:tab/>
        <w:t>Concepción de fórmulas</w:t>
      </w:r>
      <w:bookmarkStart w:id="919" w:name="_Toc396187419"/>
      <w:bookmarkEnd w:id="908"/>
      <w:bookmarkEnd w:id="909"/>
      <w:bookmarkEnd w:id="910"/>
      <w:bookmarkEnd w:id="911"/>
      <w:bookmarkEnd w:id="912"/>
      <w:bookmarkEnd w:id="913"/>
      <w:bookmarkEnd w:id="914"/>
      <w:bookmarkEnd w:id="915"/>
      <w:bookmarkEnd w:id="916"/>
      <w:bookmarkEnd w:id="917"/>
      <w:bookmarkEnd w:id="918"/>
    </w:p>
    <w:p w14:paraId="47788D10" w14:textId="77777777" w:rsidR="00F73D5B" w:rsidRPr="008B7A21" w:rsidRDefault="00F73D5B" w:rsidP="00F73D5B">
      <w:pPr>
        <w:rPr>
          <w:lang w:val="es-ES_tradnl"/>
        </w:rPr>
      </w:pPr>
      <w:r w:rsidRPr="008B7A21">
        <w:rPr>
          <w:lang w:val="es-ES_tradnl"/>
        </w:rPr>
        <w:t>Una fijación de precios eficaz requiere idear las correspondientes fórmulas. Para ello, convendría que la administración consultase a la industria de radiocomunicaciones acerca de los correspondientes parámetros técnicos y la definición de los criterios que deban utilizarse; por ejemplo, zonas geográficas y bandas de frecuencias muy congestionadas. Es preciso que las fórmulas para fijar precios de espectro sean equitativas, objetivas, transparentes y simples. La simplicidad es importante, ya que de otro modo podría resultar difícil aplicar y mantener las fórmulas. Por otra parte, celebrar consultas podría contribuir a garantizar que los parámetros se adecuen a los servicios y resolver cualquier divergencia que suscite la definición de zonas de elevada utilización. Asimismo, el proceso de consulta es importante para los usuarios ya que da transparencia a los procedimientos de fijación de precios para el espectro.</w:t>
      </w:r>
    </w:p>
    <w:p w14:paraId="76C887C9" w14:textId="77777777" w:rsidR="00F73D5B" w:rsidRPr="008B7A21" w:rsidRDefault="00F73D5B" w:rsidP="00F73D5B">
      <w:pPr>
        <w:rPr>
          <w:lang w:val="es-ES_tradnl"/>
        </w:rPr>
      </w:pPr>
      <w:r w:rsidRPr="008B7A21">
        <w:rPr>
          <w:lang w:val="es-ES_tradnl"/>
        </w:rPr>
        <w:t>La introducción de un sistema de precios para el espectro exige desarrollar nuevos programas informáticos que puede ser necesario probar, así como contar con personal capacitado para utilizarlos. Esto reviste particular importancia, si la administración no ha impuesto hasta el momento ningún canon para la concesión de licencias de espectro. El establecimiento de la cuantía de los cánones es fundamental para el funcionamiento de un sistema de precios de espectro y es necesario establecer una graduación entre tales cánones, atendiendo al hecho de que en la zona considerada los niveles de utilización del espectro sean elevados o bajos.</w:t>
      </w:r>
    </w:p>
    <w:p w14:paraId="060E1638" w14:textId="77777777" w:rsidR="00F73D5B" w:rsidRPr="008B7A21" w:rsidRDefault="00F73D5B" w:rsidP="00F73D5B">
      <w:pPr>
        <w:pStyle w:val="Heading2"/>
        <w:rPr>
          <w:lang w:val="es-ES_tradnl"/>
        </w:rPr>
      </w:pPr>
      <w:bookmarkStart w:id="920" w:name="_Toc396187420"/>
      <w:bookmarkStart w:id="921" w:name="_Toc306276832"/>
      <w:bookmarkStart w:id="922" w:name="_Toc307921507"/>
      <w:bookmarkStart w:id="923" w:name="_Toc307922074"/>
      <w:bookmarkStart w:id="924" w:name="_Toc307922574"/>
      <w:bookmarkStart w:id="925" w:name="_Toc307991923"/>
      <w:bookmarkStart w:id="926" w:name="_Toc307993956"/>
      <w:bookmarkStart w:id="927" w:name="_Toc307995219"/>
      <w:bookmarkStart w:id="928" w:name="_Toc307996362"/>
      <w:bookmarkStart w:id="929" w:name="_Toc308010338"/>
      <w:bookmarkStart w:id="930" w:name="_Toc499563000"/>
      <w:bookmarkStart w:id="931" w:name="_Toc215835372"/>
      <w:bookmarkEnd w:id="919"/>
      <w:r w:rsidRPr="008B7A21">
        <w:rPr>
          <w:lang w:val="es-ES_tradnl"/>
        </w:rPr>
        <w:t>4.2</w:t>
      </w:r>
      <w:r w:rsidRPr="008B7A21">
        <w:rPr>
          <w:lang w:val="es-ES_tradnl"/>
        </w:rPr>
        <w:tab/>
        <w:t>Directrices para determinar cánones administrativos (o tasas administrativas)</w:t>
      </w:r>
      <w:bookmarkEnd w:id="920"/>
      <w:bookmarkEnd w:id="921"/>
      <w:bookmarkEnd w:id="922"/>
      <w:bookmarkEnd w:id="923"/>
      <w:bookmarkEnd w:id="924"/>
      <w:bookmarkEnd w:id="925"/>
      <w:bookmarkEnd w:id="926"/>
      <w:bookmarkEnd w:id="927"/>
      <w:bookmarkEnd w:id="928"/>
      <w:bookmarkEnd w:id="929"/>
      <w:bookmarkEnd w:id="930"/>
      <w:bookmarkEnd w:id="931"/>
    </w:p>
    <w:p w14:paraId="657720E8" w14:textId="77777777" w:rsidR="00F73D5B" w:rsidRPr="008B7A21" w:rsidRDefault="00F73D5B" w:rsidP="00F73D5B">
      <w:pPr>
        <w:pStyle w:val="Heading3"/>
        <w:rPr>
          <w:lang w:val="es-ES_tradnl"/>
        </w:rPr>
      </w:pPr>
      <w:bookmarkStart w:id="932" w:name="_Toc396187421"/>
      <w:bookmarkStart w:id="933" w:name="_Toc306276833"/>
      <w:bookmarkStart w:id="934" w:name="_Toc307921508"/>
      <w:bookmarkStart w:id="935" w:name="_Toc307922075"/>
      <w:bookmarkStart w:id="936" w:name="_Toc307922575"/>
      <w:bookmarkStart w:id="937" w:name="_Toc307991924"/>
      <w:bookmarkStart w:id="938" w:name="_Toc307993957"/>
      <w:bookmarkStart w:id="939" w:name="_Toc307995220"/>
      <w:bookmarkStart w:id="940" w:name="_Toc307996363"/>
      <w:bookmarkStart w:id="941" w:name="_Toc308010339"/>
      <w:bookmarkStart w:id="942" w:name="_Toc499563001"/>
      <w:bookmarkStart w:id="943" w:name="_Toc215835373"/>
      <w:r w:rsidRPr="008B7A21">
        <w:rPr>
          <w:lang w:val="es-ES_tradnl"/>
        </w:rPr>
        <w:t>4.2.1</w:t>
      </w:r>
      <w:r w:rsidRPr="008B7A21">
        <w:rPr>
          <w:lang w:val="es-ES_tradnl"/>
        </w:rPr>
        <w:tab/>
      </w:r>
      <w:bookmarkEnd w:id="932"/>
      <w:r w:rsidRPr="008B7A21">
        <w:rPr>
          <w:lang w:val="es-ES_tradnl"/>
        </w:rPr>
        <w:t>Observaciones y planteamiento general</w:t>
      </w:r>
      <w:bookmarkEnd w:id="933"/>
      <w:bookmarkEnd w:id="934"/>
      <w:bookmarkEnd w:id="935"/>
      <w:bookmarkEnd w:id="936"/>
      <w:bookmarkEnd w:id="937"/>
      <w:bookmarkEnd w:id="938"/>
      <w:bookmarkEnd w:id="939"/>
      <w:bookmarkEnd w:id="940"/>
      <w:bookmarkEnd w:id="941"/>
      <w:bookmarkEnd w:id="942"/>
      <w:bookmarkEnd w:id="943"/>
    </w:p>
    <w:p w14:paraId="263657D3" w14:textId="77777777" w:rsidR="00F73D5B" w:rsidRPr="008B7A21" w:rsidRDefault="00F73D5B" w:rsidP="00F73D5B">
      <w:pPr>
        <w:rPr>
          <w:lang w:val="es-ES_tradnl"/>
        </w:rPr>
      </w:pPr>
      <w:r w:rsidRPr="008B7A21">
        <w:rPr>
          <w:lang w:val="es-ES_tradnl"/>
        </w:rPr>
        <w:t xml:space="preserve">Los cánones administrativos pretenden incluir todos los costes de las actividades: </w:t>
      </w:r>
    </w:p>
    <w:p w14:paraId="0DD3F094" w14:textId="77777777" w:rsidR="00F73D5B" w:rsidRPr="008B7A21" w:rsidRDefault="00F73D5B" w:rsidP="00F73D5B">
      <w:pPr>
        <w:pStyle w:val="enumlev1"/>
        <w:rPr>
          <w:lang w:val="es-ES_tradnl"/>
        </w:rPr>
      </w:pPr>
      <w:r w:rsidRPr="008B7A21">
        <w:rPr>
          <w:lang w:val="es-ES_tradnl"/>
        </w:rPr>
        <w:t>–</w:t>
      </w:r>
      <w:r w:rsidRPr="008B7A21">
        <w:rPr>
          <w:lang w:val="es-ES_tradnl"/>
        </w:rPr>
        <w:tab/>
        <w:t>relativas a la planificación, la gestión y el control del espectro;</w:t>
      </w:r>
    </w:p>
    <w:p w14:paraId="16C116B7" w14:textId="77777777" w:rsidR="00F73D5B" w:rsidRPr="008B7A21" w:rsidRDefault="00F73D5B" w:rsidP="00F73D5B">
      <w:pPr>
        <w:pStyle w:val="enumlev1"/>
        <w:rPr>
          <w:lang w:val="es-ES_tradnl"/>
        </w:rPr>
      </w:pPr>
      <w:r w:rsidRPr="008B7A21">
        <w:rPr>
          <w:lang w:val="es-ES_tradnl"/>
        </w:rPr>
        <w:t>–</w:t>
      </w:r>
      <w:r w:rsidRPr="008B7A21">
        <w:rPr>
          <w:lang w:val="es-ES_tradnl"/>
        </w:rPr>
        <w:tab/>
        <w:t xml:space="preserve">realizadas por los poderes públicos u organismos delegados en relación con el espectro; </w:t>
      </w:r>
    </w:p>
    <w:p w14:paraId="08911FC2" w14:textId="16F57A51" w:rsidR="00F73D5B" w:rsidRPr="008B7A21" w:rsidRDefault="00F73D5B" w:rsidP="00F73D5B">
      <w:pPr>
        <w:pStyle w:val="enumlev1"/>
        <w:rPr>
          <w:lang w:val="es-ES_tradnl"/>
        </w:rPr>
      </w:pPr>
      <w:r w:rsidRPr="008B7A21">
        <w:rPr>
          <w:lang w:val="es-ES_tradnl"/>
        </w:rPr>
        <w:t>–</w:t>
      </w:r>
      <w:r w:rsidRPr="008B7A21">
        <w:rPr>
          <w:lang w:val="es-ES_tradnl"/>
        </w:rPr>
        <w:tab/>
        <w:t>relativas exclusivamente a la ocupación del espectro a título privado.</w:t>
      </w:r>
    </w:p>
    <w:p w14:paraId="427C0E92" w14:textId="77777777" w:rsidR="00F73D5B" w:rsidRPr="008B7A21" w:rsidRDefault="00F73D5B" w:rsidP="00F73D5B">
      <w:pPr>
        <w:rPr>
          <w:szCs w:val="24"/>
          <w:lang w:val="es-ES_tradnl"/>
        </w:rPr>
      </w:pPr>
      <w:r w:rsidRPr="008B7A21">
        <w:rPr>
          <w:lang w:val="es-ES_tradnl"/>
        </w:rPr>
        <w:t xml:space="preserve">En lo sucesivo, estos costes se denominarán «costes administrativos». </w:t>
      </w:r>
      <w:r w:rsidRPr="008B7A21">
        <w:rPr>
          <w:szCs w:val="24"/>
          <w:lang w:val="es-ES_tradnl"/>
        </w:rPr>
        <w:t>La gestión comprende en especial las actividades vinculadas a la entrega de licencias y autorizaciones de utilización de frecuencias así como al establecimiento y a la percepción de cánones</w:t>
      </w:r>
      <w:r w:rsidRPr="008B7A21">
        <w:rPr>
          <w:lang w:val="es-ES_tradnl"/>
        </w:rPr>
        <w:t xml:space="preserve">. </w:t>
      </w:r>
      <w:r w:rsidRPr="008B7A21">
        <w:rPr>
          <w:szCs w:val="24"/>
          <w:lang w:val="es-ES_tradnl"/>
        </w:rPr>
        <w:t>Los gastos administrativos comprenden los gastos de personal, los gastos de funcionamiento y los gastos (amortización) de los edificios y equipos correspondientes a las actividades citadas</w:t>
      </w:r>
      <w:r w:rsidRPr="008B7A21">
        <w:rPr>
          <w:lang w:val="es-ES_tradnl"/>
        </w:rPr>
        <w:t xml:space="preserve">. </w:t>
      </w:r>
      <w:r w:rsidRPr="008B7A21">
        <w:rPr>
          <w:szCs w:val="24"/>
          <w:lang w:val="es-ES_tradnl"/>
        </w:rPr>
        <w:t>A título de ejemplo, los organismos que se mencionan a continuación pueden desempeñar una parte más o menos importante de sus actividades en relación con el espectro, situación que habría que tener en cuenta en la determinación de los gastos administrativos: administrador del espectro, regulador del mercado de las telecomunicaciones, organismo encargado de las telecomunicaciones, ministerio o secretaría de estado de telecomunicaciones y ministerio de asuntos exteriores.</w:t>
      </w:r>
      <w:r w:rsidRPr="008B7A21">
        <w:rPr>
          <w:lang w:val="es-ES_tradnl"/>
        </w:rPr>
        <w:t xml:space="preserve"> </w:t>
      </w:r>
      <w:r w:rsidRPr="008B7A21">
        <w:rPr>
          <w:szCs w:val="24"/>
          <w:lang w:val="es-ES_tradnl"/>
        </w:rPr>
        <w:t xml:space="preserve">Habitualmente, el importe de los cánones se establece durante un año. Cuando el periodo de utilización de las frecuencias es inferior a un año, los importes correspondientes se determinan </w:t>
      </w:r>
      <w:r w:rsidRPr="008B7A21">
        <w:rPr>
          <w:i/>
          <w:szCs w:val="24"/>
          <w:lang w:val="es-ES_tradnl"/>
        </w:rPr>
        <w:t>prorata temporis</w:t>
      </w:r>
      <w:r w:rsidRPr="008B7A21">
        <w:rPr>
          <w:szCs w:val="24"/>
          <w:lang w:val="es-ES_tradnl"/>
        </w:rPr>
        <w:t>. Si esos importes son inferiores al mínimo de percepción, se aplica ese mínimo (el importe mínimo de percepción corresponde a un umbral por debajo del cual el costo del cobro de un canon será superior al propio canon).</w:t>
      </w:r>
      <w:r w:rsidRPr="008B7A21">
        <w:rPr>
          <w:lang w:val="es-ES_tradnl"/>
        </w:rPr>
        <w:t xml:space="preserve"> </w:t>
      </w:r>
      <w:r w:rsidRPr="008B7A21">
        <w:rPr>
          <w:szCs w:val="24"/>
          <w:lang w:val="es-ES_tradnl"/>
        </w:rPr>
        <w:t>El importe total anual de los cánones administrativos impuestos debe ser el más próximo posible al importe total anual de los gastos administrativos. Por lo tanto, es conveniente evaluar los gastos administrativos anuales con el fin de distribuirlos entre todos los usuarios de frecuencias asignadas o adjudicadas</w:t>
      </w:r>
      <w:r w:rsidRPr="008B7A21">
        <w:rPr>
          <w:lang w:val="es-ES_tradnl"/>
        </w:rPr>
        <w:t>. La aplicación de un sistema de contabilidad analítica adaptado permite determinar con relativa exactitud los gastos administrativos. Al final del año civil o fiscal y si se constata realmente una diferencia considerable entre el importe de los cánones impuestos y el importe de los gastos administrativos, se recomienda proceder a una regularización con objeto de reabsorber esa diferencia. Para distribuir el importe de los gastos administrativos entre los contribuyentes del canon administrativo, se recomienda aplicar una regla de distribución simple que, en la medida de lo posible, sea representativa del trabajo administrativo consagrado respectivamente a cada uno de los contribuyentes.</w:t>
      </w:r>
    </w:p>
    <w:p w14:paraId="2C47E09D" w14:textId="77777777" w:rsidR="00F73D5B" w:rsidRPr="008B7A21" w:rsidRDefault="00F73D5B" w:rsidP="00F73D5B">
      <w:pPr>
        <w:pStyle w:val="Heading3"/>
        <w:rPr>
          <w:lang w:val="es-ES_tradnl"/>
        </w:rPr>
      </w:pPr>
      <w:bookmarkStart w:id="944" w:name="_Toc396187422"/>
      <w:bookmarkStart w:id="945" w:name="_Toc306276834"/>
      <w:bookmarkStart w:id="946" w:name="_Toc307921509"/>
      <w:bookmarkStart w:id="947" w:name="_Toc307922076"/>
      <w:bookmarkStart w:id="948" w:name="_Toc307922576"/>
      <w:bookmarkStart w:id="949" w:name="_Toc307991925"/>
      <w:bookmarkStart w:id="950" w:name="_Toc307993958"/>
      <w:bookmarkStart w:id="951" w:name="_Toc307995221"/>
      <w:bookmarkStart w:id="952" w:name="_Toc307996364"/>
      <w:bookmarkStart w:id="953" w:name="_Toc308010340"/>
      <w:bookmarkStart w:id="954" w:name="_Toc499563002"/>
      <w:bookmarkStart w:id="955" w:name="_Toc215835374"/>
      <w:r w:rsidRPr="008B7A21">
        <w:rPr>
          <w:lang w:val="es-ES_tradnl"/>
        </w:rPr>
        <w:t>4.2.2</w:t>
      </w:r>
      <w:r w:rsidRPr="008B7A21">
        <w:rPr>
          <w:lang w:val="es-ES_tradnl"/>
        </w:rPr>
        <w:tab/>
      </w:r>
      <w:bookmarkEnd w:id="944"/>
      <w:r w:rsidRPr="008B7A21">
        <w:rPr>
          <w:lang w:val="es-ES_tradnl"/>
        </w:rPr>
        <w:t>Regla de distribución de los gastos administrativos – Ejemplo 1</w:t>
      </w:r>
      <w:bookmarkEnd w:id="945"/>
      <w:bookmarkEnd w:id="946"/>
      <w:bookmarkEnd w:id="947"/>
      <w:bookmarkEnd w:id="948"/>
      <w:bookmarkEnd w:id="949"/>
      <w:bookmarkEnd w:id="950"/>
      <w:bookmarkEnd w:id="951"/>
      <w:bookmarkEnd w:id="952"/>
      <w:bookmarkEnd w:id="953"/>
      <w:bookmarkEnd w:id="954"/>
      <w:bookmarkEnd w:id="955"/>
    </w:p>
    <w:p w14:paraId="5C80BE40" w14:textId="77777777" w:rsidR="00F73D5B" w:rsidRPr="008B7A21" w:rsidRDefault="00F73D5B" w:rsidP="00F73D5B">
      <w:pPr>
        <w:rPr>
          <w:lang w:val="es-ES_tradnl"/>
        </w:rPr>
      </w:pPr>
      <w:r w:rsidRPr="008B7A21">
        <w:rPr>
          <w:lang w:val="es-ES_tradnl"/>
        </w:rPr>
        <w:t>Los gastos administrativos anuales se distribuyen entre todos los contribuyentes del canon de gestión y proporcionalmente a su respectivo volumen de negocios.</w:t>
      </w:r>
    </w:p>
    <w:p w14:paraId="520F8793" w14:textId="77777777" w:rsidR="00F73D5B" w:rsidRPr="008B7A21" w:rsidRDefault="00F73D5B" w:rsidP="00F73D5B">
      <w:pPr>
        <w:rPr>
          <w:lang w:val="es-ES_tradnl"/>
        </w:rPr>
      </w:pPr>
      <w:r w:rsidRPr="008B7A21">
        <w:rPr>
          <w:lang w:val="es-ES_tradnl"/>
        </w:rPr>
        <w:t xml:space="preserve">De esta forma, para un contribuyente cuyo volumen de negocios es igual a </w:t>
      </w:r>
      <w:r w:rsidRPr="008B7A21">
        <w:rPr>
          <w:i/>
          <w:lang w:val="es-ES_tradnl"/>
        </w:rPr>
        <w:t>CA</w:t>
      </w:r>
      <w:r w:rsidRPr="008B7A21">
        <w:rPr>
          <w:lang w:val="es-ES_tradnl"/>
        </w:rPr>
        <w:t xml:space="preserve">, el importe anual del canon administrativo </w:t>
      </w:r>
      <w:r w:rsidRPr="008B7A21">
        <w:rPr>
          <w:i/>
          <w:lang w:val="es-ES_tradnl"/>
        </w:rPr>
        <w:t>Ra</w:t>
      </w:r>
      <w:r w:rsidRPr="008B7A21">
        <w:rPr>
          <w:lang w:val="es-ES_tradnl"/>
        </w:rPr>
        <w:t xml:space="preserve"> para el año considerado será igual al producto entre los costes administrativos para el año en cuestión y la suma de los volúmenes de negocios de cada uno de los contribuyentes a los cánones de ese año.</w:t>
      </w:r>
    </w:p>
    <w:p w14:paraId="38D0E294" w14:textId="77777777" w:rsidR="00F73D5B" w:rsidRPr="008B7A21" w:rsidRDefault="00F73D5B" w:rsidP="00F73D5B">
      <w:pPr>
        <w:rPr>
          <w:lang w:val="es-ES_tradnl"/>
        </w:rPr>
      </w:pPr>
      <w:r w:rsidRPr="008B7A21">
        <w:rPr>
          <w:lang w:val="es-ES_tradnl"/>
        </w:rPr>
        <w:t>Esta regla, pese a la ventaja de ser sencilla, puede penalizar particularmente a los contribuyentes que explotan solo una red de radio privada y cuya actividad industrial o comercial es importante pero no guarda relación con el dominio de las frecuencias, ya que podrían estar obligados a pagar un canon muy superior al costo del servicio prestado.</w:t>
      </w:r>
    </w:p>
    <w:p w14:paraId="409108E1" w14:textId="77777777" w:rsidR="00F73D5B" w:rsidRPr="008B7A21" w:rsidRDefault="00F73D5B" w:rsidP="00F73D5B">
      <w:pPr>
        <w:rPr>
          <w:lang w:val="es-ES_tradnl"/>
        </w:rPr>
      </w:pPr>
      <w:r w:rsidRPr="008B7A21">
        <w:rPr>
          <w:lang w:val="es-ES_tradnl"/>
        </w:rPr>
        <w:t>Esta regla se podría utilizar en aquellos casos en los que no es posible implantar la regla descrita en el § 4.3.</w:t>
      </w:r>
    </w:p>
    <w:p w14:paraId="170E73A9" w14:textId="77777777" w:rsidR="00F73D5B" w:rsidRPr="008B7A21" w:rsidRDefault="00F73D5B" w:rsidP="00F73D5B">
      <w:pPr>
        <w:pStyle w:val="Heading3"/>
        <w:rPr>
          <w:lang w:val="es-ES_tradnl"/>
        </w:rPr>
      </w:pPr>
      <w:bookmarkStart w:id="956" w:name="_Toc396187423"/>
      <w:bookmarkStart w:id="957" w:name="_Toc306276835"/>
      <w:bookmarkStart w:id="958" w:name="_Toc307921510"/>
      <w:bookmarkStart w:id="959" w:name="_Toc307922077"/>
      <w:bookmarkStart w:id="960" w:name="_Toc307922577"/>
      <w:bookmarkStart w:id="961" w:name="_Toc307991926"/>
      <w:bookmarkStart w:id="962" w:name="_Toc307993959"/>
      <w:bookmarkStart w:id="963" w:name="_Toc307995222"/>
      <w:bookmarkStart w:id="964" w:name="_Toc307996365"/>
      <w:bookmarkStart w:id="965" w:name="_Toc308010341"/>
      <w:bookmarkStart w:id="966" w:name="_Toc499563003"/>
      <w:bookmarkStart w:id="967" w:name="_Toc215835375"/>
      <w:r w:rsidRPr="008B7A21">
        <w:rPr>
          <w:lang w:val="es-ES_tradnl"/>
        </w:rPr>
        <w:t>4.2.3</w:t>
      </w:r>
      <w:r w:rsidRPr="008B7A21">
        <w:rPr>
          <w:lang w:val="es-ES_tradnl"/>
        </w:rPr>
        <w:tab/>
      </w:r>
      <w:bookmarkEnd w:id="956"/>
      <w:r w:rsidRPr="008B7A21">
        <w:rPr>
          <w:lang w:val="es-ES_tradnl"/>
        </w:rPr>
        <w:t>Regla de distribución de los gastos administrativos – Ejemplo 2</w:t>
      </w:r>
      <w:bookmarkEnd w:id="957"/>
      <w:bookmarkEnd w:id="958"/>
      <w:bookmarkEnd w:id="959"/>
      <w:bookmarkEnd w:id="960"/>
      <w:bookmarkEnd w:id="961"/>
      <w:bookmarkEnd w:id="962"/>
      <w:bookmarkEnd w:id="963"/>
      <w:bookmarkEnd w:id="964"/>
      <w:bookmarkEnd w:id="965"/>
      <w:bookmarkEnd w:id="966"/>
      <w:bookmarkEnd w:id="967"/>
    </w:p>
    <w:p w14:paraId="2077DEA8" w14:textId="77777777" w:rsidR="00F73D5B" w:rsidRDefault="00F73D5B" w:rsidP="00F73D5B">
      <w:pPr>
        <w:rPr>
          <w:lang w:val="es-ES_tradnl"/>
        </w:rPr>
      </w:pPr>
      <w:r w:rsidRPr="008B7A21">
        <w:rPr>
          <w:lang w:val="es-ES_tradnl"/>
        </w:rPr>
        <w:t xml:space="preserve">Los gastos administrativos se distribuyen tras efectuar un prorrateo con el número de asignaciones y adjudicaciones atribuidas respectivamente a cada uno de los contribuyentes del canon de gestión. En la práctica, se determinan dos valores monetarios de referencia que corresponden respectivamente al importe del canon administrativo para una frecuencia asignada (G) y al importe del canon administrativo para una banda de frecuencias atribuidas de 1 MHz (G'). La determinación de los valores </w:t>
      </w:r>
      <w:proofErr w:type="gramStart"/>
      <w:r w:rsidRPr="008B7A21">
        <w:rPr>
          <w:lang w:val="es-ES_tradnl"/>
        </w:rPr>
        <w:t>G y G</w:t>
      </w:r>
      <w:proofErr w:type="gramEnd"/>
      <w:r w:rsidRPr="008B7A21">
        <w:rPr>
          <w:lang w:val="es-ES_tradnl"/>
        </w:rPr>
        <w:t>' debería permitir realizar de la mejor manera posible el siguiente cálculo para el año considerado:</w:t>
      </w:r>
    </w:p>
    <w:p w14:paraId="4EC2DA7F" w14:textId="6213E4E9" w:rsidR="007044BB" w:rsidRPr="007044BB" w:rsidRDefault="007044BB" w:rsidP="007044BB">
      <w:pPr>
        <w:tabs>
          <w:tab w:val="clear" w:pos="1191"/>
          <w:tab w:val="clear" w:pos="1588"/>
          <w:tab w:val="clear" w:pos="1985"/>
          <w:tab w:val="center" w:pos="4820"/>
          <w:tab w:val="right" w:pos="9639"/>
        </w:tabs>
        <w:jc w:val="center"/>
        <w:textAlignment w:val="auto"/>
        <w:rPr>
          <w:lang w:val="en-GB"/>
        </w:rPr>
      </w:pPr>
      <w:r w:rsidRPr="007044BB">
        <w:rPr>
          <w:lang w:val="en-GB"/>
        </w:rPr>
        <w:t>Gastos administrativos = número total de frecuencias asignadas en el conjunto del</w:t>
      </w:r>
      <w:r w:rsidRPr="007044BB">
        <w:rPr>
          <w:lang w:val="en-GB"/>
        </w:rPr>
        <w:t xml:space="preserve"> </w:t>
      </w:r>
      <w:r w:rsidRPr="007044BB">
        <w:rPr>
          <w:lang w:val="en-GB"/>
        </w:rPr>
        <w:t>territorio * G</w:t>
      </w:r>
      <w:r w:rsidRPr="007044BB">
        <w:rPr>
          <w:lang w:val="en-GB"/>
        </w:rPr>
        <w:br/>
      </w:r>
      <w:r w:rsidRPr="007044BB">
        <w:rPr>
          <w:lang w:val="en-GB"/>
        </w:rPr>
        <w:tab/>
        <w:t>+ número total de MHz atribuidos en el conjunto del territorio * G’</w:t>
      </w:r>
      <w:r w:rsidRPr="007044BB">
        <w:rPr>
          <w:lang w:val="en-GB"/>
        </w:rPr>
        <w:tab/>
        <w:t>(5</w:t>
      </w:r>
      <w:r w:rsidRPr="007044BB">
        <w:rPr>
          <w:i/>
          <w:iCs/>
          <w:lang w:val="en-GB"/>
        </w:rPr>
        <w:t>bis</w:t>
      </w:r>
      <w:r w:rsidRPr="007044BB">
        <w:rPr>
          <w:lang w:val="en-GB"/>
        </w:rPr>
        <w:t>)</w:t>
      </w:r>
    </w:p>
    <w:p w14:paraId="36148D6A" w14:textId="77777777" w:rsidR="00F73D5B" w:rsidRPr="008B7A21" w:rsidRDefault="00F73D5B" w:rsidP="00F73D5B">
      <w:pPr>
        <w:keepNext/>
        <w:keepLines/>
        <w:rPr>
          <w:lang w:val="es-ES_tradnl"/>
        </w:rPr>
      </w:pPr>
      <w:r w:rsidRPr="008B7A21">
        <w:rPr>
          <w:lang w:val="es-ES_tradnl"/>
        </w:rPr>
        <w:t xml:space="preserve">A título de ejemplo, un contribuyente, que se beneficia de 50 frecuencias asignadas y de 20 MHz atribuidos, paga un canon administrativo anual </w:t>
      </w:r>
      <w:r w:rsidRPr="008B7A21">
        <w:rPr>
          <w:i/>
          <w:iCs/>
          <w:lang w:val="es-ES_tradnl"/>
        </w:rPr>
        <w:t>Ra</w:t>
      </w:r>
      <w:r w:rsidRPr="008B7A21">
        <w:rPr>
          <w:lang w:val="es-ES_tradnl"/>
        </w:rPr>
        <w:t xml:space="preserve"> igual a:</w:t>
      </w:r>
    </w:p>
    <w:p w14:paraId="4D81DB7F" w14:textId="77777777" w:rsidR="00F73D5B" w:rsidRPr="008B7A21" w:rsidRDefault="00F73D5B" w:rsidP="00F73D5B">
      <w:pPr>
        <w:pStyle w:val="Blanc"/>
        <w:rPr>
          <w:lang w:val="es-ES_tradnl"/>
        </w:rPr>
      </w:pPr>
    </w:p>
    <w:p w14:paraId="09CE75A0"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i/>
          <w:iCs/>
          <w:lang w:val="es-ES_tradnl"/>
        </w:rPr>
        <w:t xml:space="preserve">Ra </w:t>
      </w:r>
      <w:r w:rsidRPr="008B7A21">
        <w:rPr>
          <w:lang w:val="es-ES_tradnl"/>
        </w:rPr>
        <w:t>= 50 * G + 20 * G'</w:t>
      </w:r>
      <w:r w:rsidRPr="008B7A21">
        <w:rPr>
          <w:lang w:val="es-ES_tradnl"/>
        </w:rPr>
        <w:tab/>
        <w:t>(6)</w:t>
      </w:r>
    </w:p>
    <w:p w14:paraId="50833079" w14:textId="77777777" w:rsidR="00F73D5B" w:rsidRPr="008B7A21" w:rsidRDefault="00F73D5B" w:rsidP="00F73D5B">
      <w:pPr>
        <w:pStyle w:val="Blanc"/>
        <w:keepNext w:val="0"/>
        <w:keepLines w:val="0"/>
        <w:rPr>
          <w:lang w:val="es-ES_tradnl"/>
        </w:rPr>
      </w:pPr>
    </w:p>
    <w:p w14:paraId="53E77862" w14:textId="77777777" w:rsidR="00F73D5B" w:rsidRPr="008B7A21" w:rsidRDefault="00F73D5B" w:rsidP="00F73D5B">
      <w:pPr>
        <w:rPr>
          <w:lang w:val="es-ES_tradnl"/>
        </w:rPr>
      </w:pPr>
      <w:r w:rsidRPr="008B7A21">
        <w:rPr>
          <w:lang w:val="es-ES_tradnl"/>
        </w:rPr>
        <w:t xml:space="preserve">Con frecuencia, el trabajo administrativo relativo a una adjudicación es superior al de una asignación. Por lo tanto, se recomienda tenerlo en cuenta atribuyendo mayor peso a las adjudicaciones en el desglose de los gastos administrativos, es decir, cuando se determinan los valores de </w:t>
      </w:r>
      <w:proofErr w:type="gramStart"/>
      <w:r w:rsidRPr="008B7A21">
        <w:rPr>
          <w:lang w:val="es-ES_tradnl"/>
        </w:rPr>
        <w:t>G y G</w:t>
      </w:r>
      <w:proofErr w:type="gramEnd"/>
      <w:r w:rsidRPr="008B7A21">
        <w:rPr>
          <w:lang w:val="es-ES_tradnl"/>
        </w:rPr>
        <w:t>'.</w:t>
      </w:r>
    </w:p>
    <w:p w14:paraId="72022D0D" w14:textId="77777777" w:rsidR="00F73D5B" w:rsidRPr="008B7A21" w:rsidRDefault="00F73D5B" w:rsidP="00F73D5B">
      <w:pPr>
        <w:rPr>
          <w:lang w:val="es-ES_tradnl"/>
        </w:rPr>
      </w:pPr>
      <w:r w:rsidRPr="008B7A21">
        <w:rPr>
          <w:lang w:val="es-ES_tradnl"/>
        </w:rPr>
        <w:t xml:space="preserve">Un sistema de contabilidad analítica adaptada permite determinar con facilidad los valores de </w:t>
      </w:r>
      <w:proofErr w:type="gramStart"/>
      <w:r w:rsidRPr="008B7A21">
        <w:rPr>
          <w:lang w:val="es-ES_tradnl"/>
        </w:rPr>
        <w:t>G y G</w:t>
      </w:r>
      <w:proofErr w:type="gramEnd"/>
      <w:r w:rsidRPr="008B7A21">
        <w:rPr>
          <w:lang w:val="es-ES_tradnl"/>
        </w:rPr>
        <w:t>'. Esta regla de distribución de los gastos administrativos tiene la ventaja de reflejar de manera adecuada el servicio prestado dado que el trabajo administrativo realizado aumenta con el número de frecuencias asignadas y el número de MHz adjudicados que se atribuyen a un mismo</w:t>
      </w:r>
      <w:r w:rsidRPr="008B7A21">
        <w:rPr>
          <w:szCs w:val="24"/>
          <w:lang w:val="es-ES_tradnl"/>
        </w:rPr>
        <w:t xml:space="preserve"> contribuyente</w:t>
      </w:r>
      <w:r w:rsidRPr="008B7A21">
        <w:rPr>
          <w:lang w:val="es-ES_tradnl"/>
        </w:rPr>
        <w:t>.</w:t>
      </w:r>
    </w:p>
    <w:p w14:paraId="588749AD" w14:textId="77777777" w:rsidR="00F73D5B" w:rsidRPr="008B7A21" w:rsidRDefault="00F73D5B" w:rsidP="00F73D5B">
      <w:pPr>
        <w:pStyle w:val="Heading2"/>
        <w:rPr>
          <w:lang w:val="es-ES_tradnl"/>
        </w:rPr>
      </w:pPr>
      <w:bookmarkStart w:id="968" w:name="_Toc396187428"/>
      <w:bookmarkStart w:id="969" w:name="_Toc306276836"/>
      <w:bookmarkStart w:id="970" w:name="_Toc307921511"/>
      <w:bookmarkStart w:id="971" w:name="_Toc307922078"/>
      <w:bookmarkStart w:id="972" w:name="_Toc307922578"/>
      <w:bookmarkStart w:id="973" w:name="_Toc307991927"/>
      <w:bookmarkStart w:id="974" w:name="_Toc307993960"/>
      <w:bookmarkStart w:id="975" w:name="_Toc307995223"/>
      <w:bookmarkStart w:id="976" w:name="_Toc307996366"/>
      <w:bookmarkStart w:id="977" w:name="_Toc308010342"/>
      <w:bookmarkStart w:id="978" w:name="_Toc499563004"/>
      <w:bookmarkStart w:id="979" w:name="_Toc215835376"/>
      <w:r w:rsidRPr="008B7A21">
        <w:rPr>
          <w:lang w:val="es-ES_tradnl"/>
        </w:rPr>
        <w:t>4.3</w:t>
      </w:r>
      <w:r w:rsidRPr="008B7A21">
        <w:rPr>
          <w:lang w:val="es-ES_tradnl"/>
        </w:rPr>
        <w:tab/>
      </w:r>
      <w:bookmarkEnd w:id="968"/>
      <w:r w:rsidRPr="008B7A21">
        <w:rPr>
          <w:lang w:val="es-ES_tradnl"/>
        </w:rPr>
        <w:t>Directrices para el establecimiento de cánones del espectro</w:t>
      </w:r>
      <w:bookmarkEnd w:id="969"/>
      <w:bookmarkEnd w:id="970"/>
      <w:bookmarkEnd w:id="971"/>
      <w:bookmarkEnd w:id="972"/>
      <w:bookmarkEnd w:id="973"/>
      <w:bookmarkEnd w:id="974"/>
      <w:bookmarkEnd w:id="975"/>
      <w:bookmarkEnd w:id="976"/>
      <w:bookmarkEnd w:id="977"/>
      <w:bookmarkEnd w:id="978"/>
      <w:bookmarkEnd w:id="979"/>
    </w:p>
    <w:p w14:paraId="592258B9" w14:textId="77777777" w:rsidR="00F73D5B" w:rsidRPr="008B7A21" w:rsidRDefault="00F73D5B" w:rsidP="00F73D5B">
      <w:pPr>
        <w:rPr>
          <w:lang w:val="es-ES_tradnl"/>
        </w:rPr>
      </w:pPr>
      <w:r w:rsidRPr="008B7A21">
        <w:rPr>
          <w:lang w:val="es-ES_tradnl"/>
        </w:rPr>
        <w:t>Para calcular los cánones del espectro</w:t>
      </w:r>
      <w:r w:rsidRPr="008B7A21">
        <w:rPr>
          <w:rStyle w:val="FootnoteReference"/>
          <w:lang w:val="es-ES_tradnl"/>
        </w:rPr>
        <w:footnoteReference w:id="3"/>
      </w:r>
      <w:r w:rsidRPr="008B7A21">
        <w:rPr>
          <w:lang w:val="es-ES_tradnl"/>
        </w:rPr>
        <w:t xml:space="preserve"> conviene seguir cinco etapas generales.</w:t>
      </w:r>
    </w:p>
    <w:p w14:paraId="15B29A1C" w14:textId="77777777" w:rsidR="00F73D5B" w:rsidRPr="008B7A21" w:rsidRDefault="00F73D5B" w:rsidP="00F73D5B">
      <w:pPr>
        <w:pStyle w:val="Heading3"/>
        <w:rPr>
          <w:lang w:val="es-ES_tradnl"/>
        </w:rPr>
      </w:pPr>
      <w:bookmarkStart w:id="980" w:name="_Toc306276837"/>
      <w:bookmarkStart w:id="981" w:name="_Toc307921512"/>
      <w:bookmarkStart w:id="982" w:name="_Toc307922079"/>
      <w:bookmarkStart w:id="983" w:name="_Toc307922579"/>
      <w:bookmarkStart w:id="984" w:name="_Toc307991928"/>
      <w:bookmarkStart w:id="985" w:name="_Toc307993961"/>
      <w:bookmarkStart w:id="986" w:name="_Toc307995224"/>
      <w:bookmarkStart w:id="987" w:name="_Toc307996367"/>
      <w:bookmarkStart w:id="988" w:name="_Toc308010343"/>
      <w:bookmarkStart w:id="989" w:name="_Toc499563005"/>
      <w:bookmarkStart w:id="990" w:name="_Toc215835377"/>
      <w:r w:rsidRPr="008B7A21">
        <w:rPr>
          <w:lang w:val="es-ES_tradnl"/>
        </w:rPr>
        <w:t>4.3.1</w:t>
      </w:r>
      <w:r w:rsidRPr="008B7A21">
        <w:rPr>
          <w:lang w:val="es-ES_tradnl"/>
        </w:rPr>
        <w:tab/>
        <w:t>Definición de los fines de los cánones del espectro</w:t>
      </w:r>
      <w:bookmarkEnd w:id="980"/>
      <w:bookmarkEnd w:id="981"/>
      <w:bookmarkEnd w:id="982"/>
      <w:bookmarkEnd w:id="983"/>
      <w:bookmarkEnd w:id="984"/>
      <w:bookmarkEnd w:id="985"/>
      <w:bookmarkEnd w:id="986"/>
      <w:bookmarkEnd w:id="987"/>
      <w:bookmarkEnd w:id="988"/>
      <w:bookmarkEnd w:id="989"/>
      <w:bookmarkEnd w:id="990"/>
    </w:p>
    <w:p w14:paraId="7FCEE308" w14:textId="77777777" w:rsidR="00F73D5B" w:rsidRPr="008B7A21" w:rsidRDefault="00F73D5B" w:rsidP="00F73D5B">
      <w:pPr>
        <w:pStyle w:val="Heading4"/>
        <w:rPr>
          <w:lang w:val="es-ES_tradnl"/>
        </w:rPr>
      </w:pPr>
      <w:r w:rsidRPr="008B7A21">
        <w:rPr>
          <w:lang w:val="es-ES_tradnl"/>
        </w:rPr>
        <w:t>4.3.1.1</w:t>
      </w:r>
      <w:r w:rsidRPr="008B7A21">
        <w:rPr>
          <w:lang w:val="es-ES_tradnl"/>
        </w:rPr>
        <w:tab/>
        <w:t>Observaciones y planteamiento general</w:t>
      </w:r>
    </w:p>
    <w:p w14:paraId="3EE8B952" w14:textId="77777777" w:rsidR="00F73D5B" w:rsidRPr="008B7A21" w:rsidRDefault="00F73D5B" w:rsidP="00F73D5B">
      <w:pPr>
        <w:rPr>
          <w:lang w:val="es-ES_tradnl"/>
        </w:rPr>
      </w:pPr>
      <w:r w:rsidRPr="008B7A21">
        <w:rPr>
          <w:lang w:val="es-ES_tradnl"/>
        </w:rPr>
        <w:t>El sistema de cánones del espectro debe respetar, entre otras cosas, los principios económicos descritos anteriormente. Debe, además, tener en cuenta también los principios de realidad cuando se identifica el conjunto de parámetros que han de utilizarse para calcular el canon.</w:t>
      </w:r>
    </w:p>
    <w:p w14:paraId="011A4BBF" w14:textId="77777777" w:rsidR="00F73D5B" w:rsidRPr="008B7A21" w:rsidRDefault="00F73D5B" w:rsidP="00F73D5B">
      <w:pPr>
        <w:pStyle w:val="Heading4"/>
        <w:rPr>
          <w:lang w:val="es-ES_tradnl"/>
        </w:rPr>
      </w:pPr>
      <w:r w:rsidRPr="008B7A21">
        <w:rPr>
          <w:lang w:val="es-ES_tradnl"/>
        </w:rPr>
        <w:t>4.3.1.2</w:t>
      </w:r>
      <w:r w:rsidRPr="008B7A21">
        <w:rPr>
          <w:lang w:val="es-ES_tradnl"/>
        </w:rPr>
        <w:tab/>
        <w:t>Objetivo presupuestario de los poderes públicos</w:t>
      </w:r>
    </w:p>
    <w:p w14:paraId="68D88067" w14:textId="77777777" w:rsidR="00F73D5B" w:rsidRPr="008B7A21" w:rsidRDefault="00F73D5B" w:rsidP="00F73D5B">
      <w:pPr>
        <w:rPr>
          <w:lang w:val="es-ES_tradnl"/>
        </w:rPr>
      </w:pPr>
      <w:r w:rsidRPr="008B7A21">
        <w:rPr>
          <w:lang w:val="es-ES_tradnl"/>
        </w:rPr>
        <w:t>En general, el objetivo presupuestario se expresa mediante un importe global de los ingresos que los cánones deben representar para el Estado. Ateniéndose al importe global de ingresos fijado por los poderes públicos, se recomienda adaptar el importe de los cánones según las aplicaciones con objeto de respetar mejor las otras tres funciones de los cánones del espectro.</w:t>
      </w:r>
    </w:p>
    <w:p w14:paraId="54C2DB17" w14:textId="77777777" w:rsidR="00F73D5B" w:rsidRPr="008B7A21" w:rsidRDefault="00F73D5B" w:rsidP="00F73D5B">
      <w:pPr>
        <w:pStyle w:val="Heading4"/>
        <w:rPr>
          <w:lang w:val="es-ES_tradnl"/>
        </w:rPr>
      </w:pPr>
      <w:r w:rsidRPr="008B7A21">
        <w:rPr>
          <w:lang w:val="es-ES_tradnl"/>
        </w:rPr>
        <w:t>4.3.1.3</w:t>
      </w:r>
      <w:r w:rsidRPr="008B7A21">
        <w:rPr>
          <w:lang w:val="es-ES_tradnl"/>
        </w:rPr>
        <w:tab/>
        <w:t>Cánones del espectro relativos a frecuencias destinadas a necesidades propias de los usuarios</w:t>
      </w:r>
    </w:p>
    <w:p w14:paraId="525BE755" w14:textId="77777777" w:rsidR="00F73D5B" w:rsidRPr="008B7A21" w:rsidRDefault="00F73D5B" w:rsidP="00F73D5B">
      <w:pPr>
        <w:pStyle w:val="Headingb"/>
        <w:rPr>
          <w:lang w:val="es-ES_tradnl"/>
        </w:rPr>
      </w:pPr>
      <w:bookmarkStart w:id="991" w:name="_Toc307922580"/>
      <w:bookmarkStart w:id="992" w:name="_Toc307991929"/>
      <w:bookmarkStart w:id="993" w:name="_Toc307993962"/>
      <w:bookmarkStart w:id="994" w:name="_Toc307996368"/>
      <w:bookmarkStart w:id="995" w:name="_Toc499563006"/>
      <w:r w:rsidRPr="008B7A21">
        <w:rPr>
          <w:lang w:val="es-ES_tradnl"/>
        </w:rPr>
        <w:t>Observaciones y planteamiento general</w:t>
      </w:r>
      <w:bookmarkEnd w:id="991"/>
      <w:bookmarkEnd w:id="992"/>
      <w:bookmarkEnd w:id="993"/>
      <w:bookmarkEnd w:id="994"/>
      <w:bookmarkEnd w:id="995"/>
    </w:p>
    <w:p w14:paraId="2AC689E3" w14:textId="77777777" w:rsidR="00F73D5B" w:rsidRPr="008B7A21" w:rsidRDefault="00F73D5B" w:rsidP="00F73D5B">
      <w:pPr>
        <w:rPr>
          <w:lang w:val="es-ES_tradnl"/>
        </w:rPr>
      </w:pPr>
      <w:r w:rsidRPr="008B7A21">
        <w:rPr>
          <w:lang w:val="es-ES_tradnl"/>
        </w:rPr>
        <w:t xml:space="preserve">La determinación de las modalidades de establecimiento de cánones debería tener principalmente en cuenta los elementos expresados anteriormente. Para establecer la base del cálculo de los cánones, se recomienda tomar sólo en consideración el mínimo de elementos necesarios para alcanzar los objetivos de buena gestión del espectro y correcta utilización de sus frecuencias. Se recomienda el uso de una fórmula de cálculo sencilla. La multiplicación resulta una fórmula muy bien adaptada para determinar el importe de los cánones a partir de elementos elegidos para constituir la base del cálculo. Para ajustar los importes de los cánones según las aplicaciones, se recomienda determinar, para cada aplicación considerada, un </w:t>
      </w:r>
      <w:r w:rsidRPr="008B7A21">
        <w:rPr>
          <w:iCs/>
          <w:lang w:val="es-ES_tradnl"/>
        </w:rPr>
        <w:t>valor monetario de referencia</w:t>
      </w:r>
      <w:r w:rsidRPr="008B7A21">
        <w:rPr>
          <w:lang w:val="es-ES_tradnl"/>
        </w:rPr>
        <w:t xml:space="preserve"> «</w:t>
      </w:r>
      <w:r w:rsidRPr="008B7A21">
        <w:rPr>
          <w:iCs/>
          <w:lang w:val="es-ES_tradnl"/>
        </w:rPr>
        <w:t>k</w:t>
      </w:r>
      <w:r w:rsidRPr="008B7A21">
        <w:rPr>
          <w:lang w:val="es-ES_tradnl"/>
        </w:rPr>
        <w:t>»</w:t>
      </w:r>
      <w:r w:rsidRPr="008B7A21">
        <w:rPr>
          <w:i/>
          <w:iCs/>
          <w:lang w:val="es-ES_tradnl"/>
        </w:rPr>
        <w:t xml:space="preserve"> </w:t>
      </w:r>
      <w:r w:rsidRPr="008B7A21">
        <w:rPr>
          <w:lang w:val="es-ES_tradnl"/>
        </w:rPr>
        <w:t>expresado en la moneda en uso. «</w:t>
      </w:r>
      <w:r w:rsidRPr="008B7A21">
        <w:rPr>
          <w:iCs/>
          <w:lang w:val="es-ES_tradnl"/>
        </w:rPr>
        <w:t>k</w:t>
      </w:r>
      <w:r w:rsidRPr="008B7A21">
        <w:rPr>
          <w:lang w:val="es-ES_tradnl"/>
        </w:rPr>
        <w:t>» será uno de los factores de la multiplicación indicada.</w:t>
      </w:r>
    </w:p>
    <w:p w14:paraId="1DA4936C" w14:textId="77777777" w:rsidR="00F73D5B" w:rsidRPr="008B7A21" w:rsidRDefault="00F73D5B" w:rsidP="00F73D5B">
      <w:pPr>
        <w:pStyle w:val="Heading3"/>
        <w:rPr>
          <w:lang w:val="es-ES_tradnl"/>
        </w:rPr>
      </w:pPr>
      <w:bookmarkStart w:id="996" w:name="_Toc306276838"/>
      <w:bookmarkStart w:id="997" w:name="_Toc307921513"/>
      <w:bookmarkStart w:id="998" w:name="_Toc307922080"/>
      <w:bookmarkStart w:id="999" w:name="_Toc307922581"/>
      <w:bookmarkStart w:id="1000" w:name="_Toc307991930"/>
      <w:bookmarkStart w:id="1001" w:name="_Toc307993963"/>
      <w:bookmarkStart w:id="1002" w:name="_Toc307995225"/>
      <w:bookmarkStart w:id="1003" w:name="_Toc307996369"/>
      <w:bookmarkStart w:id="1004" w:name="_Toc308010344"/>
      <w:bookmarkStart w:id="1005" w:name="_Toc499563007"/>
      <w:bookmarkStart w:id="1006" w:name="_Toc215835378"/>
      <w:r w:rsidRPr="008B7A21">
        <w:rPr>
          <w:lang w:val="es-ES_tradnl"/>
        </w:rPr>
        <w:t>4.3.2</w:t>
      </w:r>
      <w:r w:rsidRPr="008B7A21">
        <w:rPr>
          <w:lang w:val="es-ES_tradnl"/>
        </w:rPr>
        <w:tab/>
        <w:t>Estimación de la demanda de espectro</w:t>
      </w:r>
      <w:bookmarkEnd w:id="996"/>
      <w:bookmarkEnd w:id="997"/>
      <w:bookmarkEnd w:id="998"/>
      <w:bookmarkEnd w:id="999"/>
      <w:bookmarkEnd w:id="1000"/>
      <w:bookmarkEnd w:id="1001"/>
      <w:bookmarkEnd w:id="1002"/>
      <w:bookmarkEnd w:id="1003"/>
      <w:bookmarkEnd w:id="1004"/>
      <w:bookmarkEnd w:id="1005"/>
      <w:bookmarkEnd w:id="1006"/>
    </w:p>
    <w:p w14:paraId="4DB8546D" w14:textId="77777777" w:rsidR="00F73D5B" w:rsidRPr="008B7A21" w:rsidRDefault="00F73D5B" w:rsidP="00F73D5B">
      <w:pPr>
        <w:rPr>
          <w:lang w:val="es-ES_tradnl"/>
        </w:rPr>
      </w:pPr>
      <w:r w:rsidRPr="008B7A21">
        <w:rPr>
          <w:lang w:val="es-ES_tradnl"/>
        </w:rPr>
        <w:t>En esta etapa, se comprueba la demanda para cada servicio con el fin de determinar si existe un exceso de demanda de espectro en algún servicio.</w:t>
      </w:r>
    </w:p>
    <w:p w14:paraId="338BAA4C" w14:textId="77777777" w:rsidR="00F73D5B" w:rsidRPr="008B7A21" w:rsidRDefault="00F73D5B" w:rsidP="00F73D5B">
      <w:pPr>
        <w:pStyle w:val="Heading3"/>
        <w:rPr>
          <w:lang w:val="es-ES_tradnl"/>
        </w:rPr>
      </w:pPr>
      <w:bookmarkStart w:id="1007" w:name="_Toc306276839"/>
      <w:bookmarkStart w:id="1008" w:name="_Toc307921514"/>
      <w:bookmarkStart w:id="1009" w:name="_Toc307922081"/>
      <w:bookmarkStart w:id="1010" w:name="_Toc307922582"/>
      <w:bookmarkStart w:id="1011" w:name="_Toc307991931"/>
      <w:bookmarkStart w:id="1012" w:name="_Toc307993964"/>
      <w:bookmarkStart w:id="1013" w:name="_Toc307995226"/>
      <w:bookmarkStart w:id="1014" w:name="_Toc307996370"/>
      <w:bookmarkStart w:id="1015" w:name="_Toc308010345"/>
      <w:bookmarkStart w:id="1016" w:name="_Toc499563008"/>
      <w:bookmarkStart w:id="1017" w:name="_Toc215835379"/>
      <w:r w:rsidRPr="008B7A21">
        <w:rPr>
          <w:lang w:val="es-ES_tradnl"/>
        </w:rPr>
        <w:t>4.3.3</w:t>
      </w:r>
      <w:r w:rsidRPr="008B7A21">
        <w:rPr>
          <w:lang w:val="es-ES_tradnl"/>
        </w:rPr>
        <w:tab/>
        <w:t>Estimación del coste del espectro</w:t>
      </w:r>
      <w:bookmarkEnd w:id="1007"/>
      <w:bookmarkEnd w:id="1008"/>
      <w:bookmarkEnd w:id="1009"/>
      <w:bookmarkEnd w:id="1010"/>
      <w:bookmarkEnd w:id="1011"/>
      <w:bookmarkEnd w:id="1012"/>
      <w:bookmarkEnd w:id="1013"/>
      <w:bookmarkEnd w:id="1014"/>
      <w:bookmarkEnd w:id="1015"/>
      <w:bookmarkEnd w:id="1016"/>
      <w:bookmarkEnd w:id="1017"/>
    </w:p>
    <w:p w14:paraId="1010F124" w14:textId="77777777" w:rsidR="00F73D5B" w:rsidRPr="008B7A21" w:rsidRDefault="00F73D5B" w:rsidP="00F73D5B">
      <w:pPr>
        <w:rPr>
          <w:lang w:val="es-ES_tradnl"/>
        </w:rPr>
      </w:pPr>
      <w:r w:rsidRPr="008B7A21">
        <w:rPr>
          <w:lang w:val="es-ES_tradnl"/>
        </w:rPr>
        <w:t>El coste del espectro se podría considerar como el coste de la gestión el espectro que podría incluir la asignación de frecuencias, la preparación del emplazamiento, la coordinación y otros asuntos relativos al tipo de servicio.</w:t>
      </w:r>
    </w:p>
    <w:p w14:paraId="74FFA926" w14:textId="77777777" w:rsidR="00F73D5B" w:rsidRPr="008B7A21" w:rsidRDefault="00F73D5B" w:rsidP="00F73D5B">
      <w:pPr>
        <w:pStyle w:val="Heading3"/>
        <w:rPr>
          <w:lang w:val="es-ES_tradnl"/>
        </w:rPr>
      </w:pPr>
      <w:bookmarkStart w:id="1018" w:name="_Toc306276840"/>
      <w:bookmarkStart w:id="1019" w:name="_Toc307921515"/>
      <w:bookmarkStart w:id="1020" w:name="_Toc307922082"/>
      <w:bookmarkStart w:id="1021" w:name="_Toc307922583"/>
      <w:bookmarkStart w:id="1022" w:name="_Toc307991932"/>
      <w:bookmarkStart w:id="1023" w:name="_Toc307993965"/>
      <w:bookmarkStart w:id="1024" w:name="_Toc307995227"/>
      <w:bookmarkStart w:id="1025" w:name="_Toc307996371"/>
      <w:bookmarkStart w:id="1026" w:name="_Toc308010346"/>
      <w:bookmarkStart w:id="1027" w:name="_Toc499563009"/>
      <w:bookmarkStart w:id="1028" w:name="_Toc215835380"/>
      <w:r w:rsidRPr="008B7A21">
        <w:rPr>
          <w:lang w:val="es-ES_tradnl"/>
        </w:rPr>
        <w:t>4.3.4</w:t>
      </w:r>
      <w:r w:rsidRPr="008B7A21">
        <w:rPr>
          <w:lang w:val="es-ES_tradnl"/>
        </w:rPr>
        <w:tab/>
        <w:t>Elección del enfoque de los cánones</w:t>
      </w:r>
      <w:bookmarkEnd w:id="1018"/>
      <w:bookmarkEnd w:id="1019"/>
      <w:bookmarkEnd w:id="1020"/>
      <w:bookmarkEnd w:id="1021"/>
      <w:bookmarkEnd w:id="1022"/>
      <w:bookmarkEnd w:id="1023"/>
      <w:bookmarkEnd w:id="1024"/>
      <w:bookmarkEnd w:id="1025"/>
      <w:bookmarkEnd w:id="1026"/>
      <w:bookmarkEnd w:id="1027"/>
      <w:bookmarkEnd w:id="1028"/>
    </w:p>
    <w:p w14:paraId="0F09040E" w14:textId="77777777" w:rsidR="00F73D5B" w:rsidRPr="008B7A21" w:rsidRDefault="00F73D5B" w:rsidP="00F73D5B">
      <w:pPr>
        <w:rPr>
          <w:lang w:val="es-ES_tradnl"/>
        </w:rPr>
      </w:pPr>
      <w:r w:rsidRPr="008B7A21">
        <w:rPr>
          <w:lang w:val="es-ES_tradnl"/>
        </w:rPr>
        <w:t>El enfoque para calcular los cánones se puede adoptar a partir del § 2.3.4.</w:t>
      </w:r>
    </w:p>
    <w:p w14:paraId="67ED3A44" w14:textId="77777777" w:rsidR="00F73D5B" w:rsidRPr="008B7A21" w:rsidRDefault="00F73D5B" w:rsidP="00F73D5B">
      <w:pPr>
        <w:pStyle w:val="Heading3"/>
        <w:rPr>
          <w:lang w:val="es-ES_tradnl"/>
        </w:rPr>
      </w:pPr>
      <w:bookmarkStart w:id="1029" w:name="_Toc306276841"/>
      <w:bookmarkStart w:id="1030" w:name="_Toc307921516"/>
      <w:bookmarkStart w:id="1031" w:name="_Toc307922083"/>
      <w:bookmarkStart w:id="1032" w:name="_Toc307922584"/>
      <w:bookmarkStart w:id="1033" w:name="_Toc307991933"/>
      <w:bookmarkStart w:id="1034" w:name="_Toc307993966"/>
      <w:bookmarkStart w:id="1035" w:name="_Toc307995228"/>
      <w:bookmarkStart w:id="1036" w:name="_Toc307996372"/>
      <w:bookmarkStart w:id="1037" w:name="_Toc308010347"/>
      <w:bookmarkStart w:id="1038" w:name="_Toc499563010"/>
      <w:bookmarkStart w:id="1039" w:name="_Toc215835381"/>
      <w:r w:rsidRPr="008B7A21">
        <w:rPr>
          <w:lang w:val="es-ES_tradnl"/>
        </w:rPr>
        <w:t>4.3.5</w:t>
      </w:r>
      <w:r w:rsidRPr="008B7A21">
        <w:rPr>
          <w:lang w:val="es-ES_tradnl"/>
        </w:rPr>
        <w:tab/>
        <w:t>Determinación de los cánones</w:t>
      </w:r>
      <w:bookmarkEnd w:id="1029"/>
      <w:bookmarkEnd w:id="1030"/>
      <w:bookmarkEnd w:id="1031"/>
      <w:bookmarkEnd w:id="1032"/>
      <w:bookmarkEnd w:id="1033"/>
      <w:bookmarkEnd w:id="1034"/>
      <w:bookmarkEnd w:id="1035"/>
      <w:bookmarkEnd w:id="1036"/>
      <w:bookmarkEnd w:id="1037"/>
      <w:bookmarkEnd w:id="1038"/>
      <w:bookmarkEnd w:id="1039"/>
    </w:p>
    <w:p w14:paraId="12E130DA" w14:textId="77777777" w:rsidR="00F73D5B" w:rsidRPr="008B7A21" w:rsidRDefault="00F73D5B" w:rsidP="00F73D5B">
      <w:pPr>
        <w:rPr>
          <w:lang w:val="es-ES_tradnl"/>
        </w:rPr>
      </w:pPr>
      <w:r w:rsidRPr="008B7A21">
        <w:rPr>
          <w:lang w:val="es-ES_tradnl"/>
        </w:rPr>
        <w:t>Las administraciones deberían considerar esta fase caso por caso en función de los diferentes factores económicos y políticos.</w:t>
      </w:r>
    </w:p>
    <w:p w14:paraId="641BCF1E" w14:textId="77777777" w:rsidR="00F73D5B" w:rsidRPr="008B7A21" w:rsidRDefault="00F73D5B" w:rsidP="00F73D5B">
      <w:pPr>
        <w:pStyle w:val="Heading2"/>
        <w:rPr>
          <w:lang w:val="es-ES_tradnl"/>
        </w:rPr>
      </w:pPr>
      <w:bookmarkStart w:id="1040" w:name="_Toc396187429"/>
      <w:bookmarkStart w:id="1041" w:name="_Toc306276842"/>
      <w:bookmarkStart w:id="1042" w:name="_Toc307921517"/>
      <w:bookmarkStart w:id="1043" w:name="_Toc307922084"/>
      <w:bookmarkStart w:id="1044" w:name="_Toc307922585"/>
      <w:bookmarkStart w:id="1045" w:name="_Toc307991934"/>
      <w:bookmarkStart w:id="1046" w:name="_Toc307993967"/>
      <w:bookmarkStart w:id="1047" w:name="_Toc307995229"/>
      <w:bookmarkStart w:id="1048" w:name="_Toc307996373"/>
      <w:bookmarkStart w:id="1049" w:name="_Toc308010348"/>
      <w:bookmarkStart w:id="1050" w:name="_Toc499563011"/>
      <w:bookmarkStart w:id="1051" w:name="_Toc215835382"/>
      <w:r w:rsidRPr="008B7A21">
        <w:rPr>
          <w:lang w:val="es-ES_tradnl"/>
        </w:rPr>
        <w:t>4.4</w:t>
      </w:r>
      <w:r w:rsidRPr="008B7A21">
        <w:rPr>
          <w:lang w:val="es-ES_tradnl"/>
        </w:rPr>
        <w:tab/>
        <w:t>Ejemplos de fórmulas para el cálculo del canon</w:t>
      </w:r>
      <w:bookmarkEnd w:id="1040"/>
      <w:bookmarkEnd w:id="1041"/>
      <w:bookmarkEnd w:id="1042"/>
      <w:bookmarkEnd w:id="1043"/>
      <w:bookmarkEnd w:id="1044"/>
      <w:bookmarkEnd w:id="1045"/>
      <w:bookmarkEnd w:id="1046"/>
      <w:bookmarkEnd w:id="1047"/>
      <w:bookmarkEnd w:id="1048"/>
      <w:bookmarkEnd w:id="1049"/>
      <w:bookmarkEnd w:id="1050"/>
      <w:bookmarkEnd w:id="1051"/>
    </w:p>
    <w:p w14:paraId="19E5AD62" w14:textId="77777777" w:rsidR="00F73D5B" w:rsidRPr="008B7A21" w:rsidRDefault="00F73D5B" w:rsidP="00F73D5B">
      <w:pPr>
        <w:pStyle w:val="Heading3"/>
        <w:rPr>
          <w:lang w:val="es-ES_tradnl"/>
        </w:rPr>
      </w:pPr>
      <w:bookmarkStart w:id="1052" w:name="_Toc306276843"/>
      <w:bookmarkStart w:id="1053" w:name="_Toc307921518"/>
      <w:bookmarkStart w:id="1054" w:name="_Toc307922085"/>
      <w:bookmarkStart w:id="1055" w:name="_Toc307922586"/>
      <w:bookmarkStart w:id="1056" w:name="_Toc307991935"/>
      <w:bookmarkStart w:id="1057" w:name="_Toc307993968"/>
      <w:bookmarkStart w:id="1058" w:name="_Toc307995230"/>
      <w:bookmarkStart w:id="1059" w:name="_Toc307996374"/>
      <w:bookmarkStart w:id="1060" w:name="_Toc308010349"/>
      <w:bookmarkStart w:id="1061" w:name="_Toc499563012"/>
      <w:bookmarkStart w:id="1062" w:name="_Toc215835383"/>
      <w:r w:rsidRPr="008B7A21">
        <w:rPr>
          <w:lang w:val="es-ES_tradnl"/>
        </w:rPr>
        <w:t>4.4.1</w:t>
      </w:r>
      <w:r w:rsidRPr="008B7A21">
        <w:rPr>
          <w:lang w:val="es-ES_tradnl"/>
        </w:rPr>
        <w:tab/>
        <w:t>Notaciones y definiciones de coeficientes</w:t>
      </w:r>
      <w:bookmarkEnd w:id="1052"/>
      <w:bookmarkEnd w:id="1053"/>
      <w:bookmarkEnd w:id="1054"/>
      <w:bookmarkEnd w:id="1055"/>
      <w:bookmarkEnd w:id="1056"/>
      <w:bookmarkEnd w:id="1057"/>
      <w:bookmarkEnd w:id="1058"/>
      <w:bookmarkEnd w:id="1059"/>
      <w:bookmarkEnd w:id="1060"/>
      <w:bookmarkEnd w:id="1061"/>
      <w:bookmarkEnd w:id="1062"/>
    </w:p>
    <w:p w14:paraId="1B394944" w14:textId="77777777" w:rsidR="00F73D5B" w:rsidRPr="008B7A21" w:rsidRDefault="00F73D5B" w:rsidP="00F73D5B">
      <w:pPr>
        <w:rPr>
          <w:lang w:val="es-ES_tradnl"/>
        </w:rPr>
      </w:pPr>
      <w:r w:rsidRPr="008B7A21">
        <w:rPr>
          <w:lang w:val="es-ES_tradnl"/>
        </w:rPr>
        <w:t>Los coeficientes definidos a continuación se utilizan en los ejemplos de fórmulas para el cálculo de los importes de los cánones.</w:t>
      </w:r>
    </w:p>
    <w:p w14:paraId="7FBC862C" w14:textId="77777777" w:rsidR="00F73D5B" w:rsidRPr="008B7A21" w:rsidRDefault="00F73D5B" w:rsidP="00F73D5B">
      <w:pPr>
        <w:pStyle w:val="enumlev1"/>
        <w:rPr>
          <w:lang w:val="es-ES_tradnl"/>
        </w:rPr>
      </w:pPr>
      <w:r w:rsidRPr="008B7A21">
        <w:rPr>
          <w:lang w:val="es-ES_tradnl"/>
        </w:rPr>
        <w:t>–</w:t>
      </w:r>
      <w:r w:rsidRPr="008B7A21">
        <w:rPr>
          <w:lang w:val="es-ES_tradnl"/>
        </w:rPr>
        <w:tab/>
        <w:t>El coeficiente «L» representa la anchura de banda atribuida.</w:t>
      </w:r>
    </w:p>
    <w:p w14:paraId="7E744955" w14:textId="77777777" w:rsidR="00F73D5B" w:rsidRPr="008B7A21" w:rsidRDefault="00F73D5B" w:rsidP="00F73D5B">
      <w:pPr>
        <w:pStyle w:val="enumlev1"/>
        <w:rPr>
          <w:lang w:val="es-ES_tradnl"/>
        </w:rPr>
      </w:pPr>
      <w:r w:rsidRPr="008B7A21">
        <w:rPr>
          <w:lang w:val="es-ES_tradnl"/>
        </w:rPr>
        <w:t>–</w:t>
      </w:r>
      <w:r w:rsidRPr="008B7A21">
        <w:rPr>
          <w:lang w:val="es-ES_tradnl"/>
        </w:rPr>
        <w:tab/>
        <w:t>El coeficiente «bf» indica la posición en el espectro radioeléctrico de la frecuencia o de la banda de frecuencias atribuida. En la práctica, para cada bloque de frecuencias considerado, se prepara un cuadro en el que figura el valor del coeficiente «bf» correspondiente.</w:t>
      </w:r>
    </w:p>
    <w:p w14:paraId="4E2E2BC1" w14:textId="77777777" w:rsidR="00F73D5B" w:rsidRPr="008B7A21" w:rsidRDefault="00F73D5B" w:rsidP="00F73D5B">
      <w:pPr>
        <w:pStyle w:val="enumlev1"/>
        <w:rPr>
          <w:lang w:val="es-ES_tradnl"/>
        </w:rPr>
      </w:pPr>
      <w:r w:rsidRPr="008B7A21">
        <w:rPr>
          <w:lang w:val="es-ES_tradnl"/>
        </w:rPr>
        <w:t>–</w:t>
      </w:r>
      <w:r w:rsidRPr="008B7A21">
        <w:rPr>
          <w:lang w:val="es-ES_tradnl"/>
        </w:rPr>
        <w:tab/>
        <w:t>El coeficiente «a» expresa las autorizaciones de uso de frecuencias mediante atribución.</w:t>
      </w:r>
    </w:p>
    <w:p w14:paraId="5C5157EA" w14:textId="77777777" w:rsidR="00F73D5B" w:rsidRPr="008B7A21" w:rsidRDefault="00F73D5B" w:rsidP="00F73D5B">
      <w:pPr>
        <w:pStyle w:val="enumlev1"/>
        <w:rPr>
          <w:lang w:val="es-ES_tradnl"/>
        </w:rPr>
      </w:pPr>
      <w:r w:rsidRPr="008B7A21">
        <w:rPr>
          <w:lang w:val="es-ES_tradnl"/>
        </w:rPr>
        <w:t>–</w:t>
      </w:r>
      <w:r w:rsidRPr="008B7A21">
        <w:rPr>
          <w:lang w:val="es-ES_tradnl"/>
        </w:rPr>
        <w:tab/>
        <w:t>El coeficiente «c» expresa el área de la superficie que abarca la autorización de utilización de frecuencias. En términos generales, la superficie sobre la cual se atribuye una asignación está limitada por un círculo con la estación en cuestión en el centro y cuyo radio es igual a la distancia máxima en la que se puede utilizar la frecuencia asignada cuando la antena de la estación sea omnidireccional, o un sector de dicho círculo que corresponde a la anchura angular de la antena cuando sea directiva. En la práctica se prepara un cuadro en el que figure el valor del coeficiente «c» correspondiente a los valores de las superficies consideradas. Este tipo de cuadro tiene la ventaja de corregir la gran dispersión de los importes de los cánones que se habrían obtenido si se hubiera considerado directamente el área de la superficie de atribución.</w:t>
      </w:r>
    </w:p>
    <w:p w14:paraId="37A68CD1" w14:textId="77777777" w:rsidR="00F73D5B" w:rsidRPr="008B7A21" w:rsidRDefault="00F73D5B" w:rsidP="00F73D5B">
      <w:pPr>
        <w:pStyle w:val="enumlev1"/>
        <w:rPr>
          <w:lang w:val="es-ES_tradnl"/>
        </w:rPr>
      </w:pPr>
      <w:r w:rsidRPr="008B7A21">
        <w:rPr>
          <w:lang w:val="es-ES_tradnl"/>
        </w:rPr>
        <w:t>–</w:t>
      </w:r>
      <w:r w:rsidRPr="008B7A21">
        <w:rPr>
          <w:lang w:val="es-ES_tradnl"/>
        </w:rPr>
        <w:tab/>
        <w:t>Los coeficientes «k1», «k2», «k3» y «k4» son valores monetarios de referencia específicos de las aplicaciones consideradas. Cuando se determinan estos valores, se deben fijar prioridades para lograr el objetivo presupuestario establecido por los poderes públicos y se deben evitar conflictos con los objetivos económicos de las autoridades en lo que respecta al desarrollo nacional y a la implantación de nuevos servicios.</w:t>
      </w:r>
    </w:p>
    <w:p w14:paraId="0B74FB7B" w14:textId="77777777" w:rsidR="00F73D5B" w:rsidRPr="008B7A21" w:rsidRDefault="00F73D5B" w:rsidP="00F73D5B">
      <w:pPr>
        <w:pStyle w:val="Heading3"/>
        <w:rPr>
          <w:lang w:val="es-ES_tradnl"/>
        </w:rPr>
      </w:pPr>
      <w:bookmarkStart w:id="1063" w:name="_Toc306276844"/>
      <w:bookmarkStart w:id="1064" w:name="_Toc307921519"/>
      <w:bookmarkStart w:id="1065" w:name="_Toc307922086"/>
      <w:bookmarkStart w:id="1066" w:name="_Toc307922587"/>
      <w:bookmarkStart w:id="1067" w:name="_Toc307991936"/>
      <w:bookmarkStart w:id="1068" w:name="_Toc307993969"/>
      <w:bookmarkStart w:id="1069" w:name="_Toc307995231"/>
      <w:bookmarkStart w:id="1070" w:name="_Toc307996375"/>
      <w:bookmarkStart w:id="1071" w:name="_Toc308010350"/>
      <w:bookmarkStart w:id="1072" w:name="_Toc499563013"/>
      <w:bookmarkStart w:id="1073" w:name="_Toc215835384"/>
      <w:r w:rsidRPr="008B7A21">
        <w:rPr>
          <w:lang w:val="es-ES_tradnl"/>
        </w:rPr>
        <w:t>4.4.2</w:t>
      </w:r>
      <w:r w:rsidRPr="008B7A21">
        <w:rPr>
          <w:lang w:val="es-ES_tradnl"/>
        </w:rPr>
        <w:tab/>
        <w:t>Canon aplicado a una asignación del servicio fijo punto a punto</w:t>
      </w:r>
      <w:bookmarkEnd w:id="1063"/>
      <w:bookmarkEnd w:id="1064"/>
      <w:bookmarkEnd w:id="1065"/>
      <w:bookmarkEnd w:id="1066"/>
      <w:bookmarkEnd w:id="1067"/>
      <w:bookmarkEnd w:id="1068"/>
      <w:bookmarkEnd w:id="1069"/>
      <w:bookmarkEnd w:id="1070"/>
      <w:bookmarkEnd w:id="1071"/>
      <w:bookmarkEnd w:id="1072"/>
      <w:bookmarkEnd w:id="1073"/>
    </w:p>
    <w:p w14:paraId="21E05116" w14:textId="77777777" w:rsidR="00F73D5B" w:rsidRPr="008B7A21" w:rsidRDefault="00F73D5B" w:rsidP="00F73D5B">
      <w:pPr>
        <w:rPr>
          <w:lang w:val="es-ES_tradnl"/>
        </w:rPr>
      </w:pPr>
      <w:r w:rsidRPr="008B7A21">
        <w:rPr>
          <w:lang w:val="es-ES_tradnl"/>
        </w:rPr>
        <w:t xml:space="preserve">La determinación del importe anual </w:t>
      </w:r>
      <w:r w:rsidRPr="008B7A21">
        <w:rPr>
          <w:i/>
          <w:iCs/>
          <w:lang w:val="es-ES_tradnl"/>
        </w:rPr>
        <w:t>Rs</w:t>
      </w:r>
      <w:r w:rsidRPr="008B7A21">
        <w:rPr>
          <w:lang w:val="es-ES_tradnl"/>
        </w:rPr>
        <w:t xml:space="preserve"> del canon del espectro podría utilizar la siguiente fórmula:</w:t>
      </w:r>
    </w:p>
    <w:p w14:paraId="359383B2" w14:textId="77777777" w:rsidR="00F73D5B" w:rsidRPr="008B7A21" w:rsidRDefault="00F73D5B" w:rsidP="00F73D5B">
      <w:pPr>
        <w:pStyle w:val="Equation"/>
        <w:rPr>
          <w:lang w:val="es-ES_tradnl"/>
        </w:rPr>
      </w:pPr>
      <w:r w:rsidRPr="008B7A21">
        <w:rPr>
          <w:lang w:val="es-ES_tradnl"/>
        </w:rPr>
        <w:tab/>
      </w:r>
      <w:r w:rsidRPr="008B7A21">
        <w:rPr>
          <w:lang w:val="es-ES_tradnl"/>
        </w:rPr>
        <w:tab/>
        <w:t>Rs = L * bf * k1</w:t>
      </w:r>
      <w:r w:rsidRPr="008B7A21">
        <w:rPr>
          <w:lang w:val="es-ES_tradnl"/>
        </w:rPr>
        <w:tab/>
        <w:t>(7)</w:t>
      </w:r>
    </w:p>
    <w:p w14:paraId="7730212C" w14:textId="77777777" w:rsidR="00F73D5B" w:rsidRPr="008B7A21" w:rsidRDefault="00F73D5B" w:rsidP="00F73D5B">
      <w:pPr>
        <w:pStyle w:val="Heading3"/>
        <w:rPr>
          <w:lang w:val="es-ES_tradnl"/>
        </w:rPr>
      </w:pPr>
      <w:bookmarkStart w:id="1074" w:name="_Toc306276845"/>
      <w:bookmarkStart w:id="1075" w:name="_Toc307921520"/>
      <w:bookmarkStart w:id="1076" w:name="_Toc307922087"/>
      <w:bookmarkStart w:id="1077" w:name="_Toc307922588"/>
      <w:bookmarkStart w:id="1078" w:name="_Toc307991937"/>
      <w:bookmarkStart w:id="1079" w:name="_Toc307993970"/>
      <w:bookmarkStart w:id="1080" w:name="_Toc307995232"/>
      <w:bookmarkStart w:id="1081" w:name="_Toc307996376"/>
      <w:bookmarkStart w:id="1082" w:name="_Toc308010351"/>
      <w:bookmarkStart w:id="1083" w:name="_Toc499563014"/>
      <w:bookmarkStart w:id="1084" w:name="_Toc215835385"/>
      <w:r w:rsidRPr="008B7A21">
        <w:rPr>
          <w:lang w:val="es-ES_tradnl"/>
        </w:rPr>
        <w:t>4.4.3</w:t>
      </w:r>
      <w:r w:rsidRPr="008B7A21">
        <w:rPr>
          <w:lang w:val="es-ES_tradnl"/>
        </w:rPr>
        <w:tab/>
        <w:t>Canon aplicado a una atribución del servicio fijo punto a punto</w:t>
      </w:r>
      <w:bookmarkEnd w:id="1074"/>
      <w:bookmarkEnd w:id="1075"/>
      <w:bookmarkEnd w:id="1076"/>
      <w:bookmarkEnd w:id="1077"/>
      <w:bookmarkEnd w:id="1078"/>
      <w:bookmarkEnd w:id="1079"/>
      <w:bookmarkEnd w:id="1080"/>
      <w:bookmarkEnd w:id="1081"/>
      <w:bookmarkEnd w:id="1082"/>
      <w:bookmarkEnd w:id="1083"/>
      <w:bookmarkEnd w:id="1084"/>
    </w:p>
    <w:p w14:paraId="0C758934" w14:textId="77777777" w:rsidR="00F73D5B" w:rsidRPr="008B7A21" w:rsidRDefault="00F73D5B" w:rsidP="00F73D5B">
      <w:pPr>
        <w:keepNext/>
        <w:keepLines/>
        <w:rPr>
          <w:lang w:val="es-ES_tradnl"/>
        </w:rPr>
      </w:pPr>
      <w:r w:rsidRPr="008B7A21">
        <w:rPr>
          <w:lang w:val="es-ES_tradnl"/>
        </w:rPr>
        <w:t xml:space="preserve">La determinación del importe anual </w:t>
      </w:r>
      <w:r w:rsidRPr="008B7A21">
        <w:rPr>
          <w:i/>
          <w:iCs/>
          <w:lang w:val="es-ES_tradnl"/>
        </w:rPr>
        <w:t>Rs</w:t>
      </w:r>
      <w:r w:rsidRPr="008B7A21">
        <w:rPr>
          <w:lang w:val="es-ES_tradnl"/>
        </w:rPr>
        <w:t xml:space="preserve"> del canon del espectro podría utilizar la siguiente fórmula:</w:t>
      </w:r>
    </w:p>
    <w:p w14:paraId="141D38E1" w14:textId="77777777" w:rsidR="00F73D5B" w:rsidRPr="008B7A21" w:rsidRDefault="00F73D5B" w:rsidP="00F73D5B">
      <w:pPr>
        <w:pStyle w:val="Equation"/>
        <w:rPr>
          <w:lang w:val="es-ES_tradnl"/>
        </w:rPr>
      </w:pPr>
      <w:r w:rsidRPr="008B7A21">
        <w:rPr>
          <w:lang w:val="es-ES_tradnl"/>
        </w:rPr>
        <w:tab/>
      </w:r>
      <w:r w:rsidRPr="008B7A21">
        <w:rPr>
          <w:lang w:val="es-ES_tradnl"/>
        </w:rPr>
        <w:tab/>
        <w:t>Rs = L * bf * a * c * k1</w:t>
      </w:r>
      <w:r w:rsidRPr="008B7A21">
        <w:rPr>
          <w:lang w:val="es-ES_tradnl"/>
        </w:rPr>
        <w:tab/>
        <w:t>(8)</w:t>
      </w:r>
    </w:p>
    <w:p w14:paraId="401BD0ED" w14:textId="77777777" w:rsidR="00F73D5B" w:rsidRPr="008B7A21" w:rsidRDefault="00F73D5B" w:rsidP="00F73D5B">
      <w:pPr>
        <w:rPr>
          <w:lang w:val="es-ES_tradnl"/>
        </w:rPr>
      </w:pPr>
      <w:r w:rsidRPr="008B7A21">
        <w:rPr>
          <w:lang w:val="es-ES_tradnl"/>
        </w:rPr>
        <w:t>siendo «c» la relación entre el área de la superficie que abarca la atribución y el área total del territorio nacional.</w:t>
      </w:r>
    </w:p>
    <w:p w14:paraId="062AEEFD" w14:textId="77777777" w:rsidR="00F73D5B" w:rsidRPr="008B7A21" w:rsidRDefault="00F73D5B" w:rsidP="00F73D5B">
      <w:pPr>
        <w:pStyle w:val="Heading3"/>
        <w:rPr>
          <w:lang w:val="es-ES_tradnl"/>
        </w:rPr>
      </w:pPr>
      <w:bookmarkStart w:id="1085" w:name="_Toc306276846"/>
      <w:bookmarkStart w:id="1086" w:name="_Toc307921521"/>
      <w:bookmarkStart w:id="1087" w:name="_Toc307922088"/>
      <w:bookmarkStart w:id="1088" w:name="_Toc307922589"/>
      <w:bookmarkStart w:id="1089" w:name="_Toc307991938"/>
      <w:bookmarkStart w:id="1090" w:name="_Toc307993971"/>
      <w:bookmarkStart w:id="1091" w:name="_Toc307995233"/>
      <w:bookmarkStart w:id="1092" w:name="_Toc307996377"/>
      <w:bookmarkStart w:id="1093" w:name="_Toc308010352"/>
      <w:bookmarkStart w:id="1094" w:name="_Toc499563015"/>
      <w:bookmarkStart w:id="1095" w:name="_Toc215835386"/>
      <w:r w:rsidRPr="008B7A21">
        <w:rPr>
          <w:lang w:val="es-ES_tradnl"/>
        </w:rPr>
        <w:t>4.4.4</w:t>
      </w:r>
      <w:r w:rsidRPr="008B7A21">
        <w:rPr>
          <w:lang w:val="es-ES_tradnl"/>
        </w:rPr>
        <w:tab/>
        <w:t>Canon aplicado a una adjudicación del servicio fijo del bucle local radioeléctrico</w:t>
      </w:r>
      <w:bookmarkEnd w:id="1085"/>
      <w:bookmarkEnd w:id="1086"/>
      <w:bookmarkEnd w:id="1087"/>
      <w:bookmarkEnd w:id="1088"/>
      <w:bookmarkEnd w:id="1089"/>
      <w:bookmarkEnd w:id="1090"/>
      <w:bookmarkEnd w:id="1091"/>
      <w:bookmarkEnd w:id="1092"/>
      <w:bookmarkEnd w:id="1093"/>
      <w:bookmarkEnd w:id="1094"/>
      <w:bookmarkEnd w:id="1095"/>
    </w:p>
    <w:p w14:paraId="381F200D" w14:textId="77777777" w:rsidR="00F73D5B" w:rsidRPr="008B7A21" w:rsidRDefault="00F73D5B" w:rsidP="00F73D5B">
      <w:pPr>
        <w:rPr>
          <w:lang w:val="es-ES_tradnl"/>
        </w:rPr>
      </w:pPr>
      <w:r w:rsidRPr="008B7A21">
        <w:rPr>
          <w:lang w:val="es-ES_tradnl"/>
        </w:rPr>
        <w:t xml:space="preserve">La determinación del importe anual </w:t>
      </w:r>
      <w:r w:rsidRPr="008B7A21">
        <w:rPr>
          <w:i/>
          <w:iCs/>
          <w:lang w:val="es-ES_tradnl"/>
        </w:rPr>
        <w:t>Rs</w:t>
      </w:r>
      <w:r w:rsidRPr="008B7A21">
        <w:rPr>
          <w:lang w:val="es-ES_tradnl"/>
        </w:rPr>
        <w:t xml:space="preserve"> del canon del espectro podría utilizar la siguiente fórmula:</w:t>
      </w:r>
    </w:p>
    <w:p w14:paraId="1D1D58C8" w14:textId="77777777" w:rsidR="00F73D5B" w:rsidRPr="008B7A21" w:rsidRDefault="00F73D5B" w:rsidP="00F73D5B">
      <w:pPr>
        <w:pStyle w:val="Equation"/>
        <w:rPr>
          <w:lang w:val="es-ES_tradnl"/>
        </w:rPr>
      </w:pPr>
      <w:r w:rsidRPr="008B7A21">
        <w:rPr>
          <w:lang w:val="es-ES_tradnl"/>
        </w:rPr>
        <w:tab/>
      </w:r>
      <w:r w:rsidRPr="008B7A21">
        <w:rPr>
          <w:lang w:val="es-ES_tradnl"/>
        </w:rPr>
        <w:tab/>
        <w:t>Rs = L * bf * a * c * k2</w:t>
      </w:r>
      <w:r w:rsidRPr="008B7A21">
        <w:rPr>
          <w:lang w:val="es-ES_tradnl"/>
        </w:rPr>
        <w:tab/>
        <w:t>(9)</w:t>
      </w:r>
    </w:p>
    <w:p w14:paraId="09E3C421" w14:textId="77777777" w:rsidR="00F73D5B" w:rsidRPr="008B7A21" w:rsidRDefault="00F73D5B" w:rsidP="00F73D5B">
      <w:pPr>
        <w:rPr>
          <w:lang w:val="es-ES_tradnl"/>
        </w:rPr>
      </w:pPr>
      <w:r w:rsidRPr="008B7A21">
        <w:rPr>
          <w:lang w:val="es-ES_tradnl"/>
        </w:rPr>
        <w:t>siendo «c» la relación entre el área de la superficie que abarca la atribución y el área total del territorio nacional.</w:t>
      </w:r>
    </w:p>
    <w:p w14:paraId="01E7E6CE" w14:textId="77777777" w:rsidR="00F73D5B" w:rsidRPr="008B7A21" w:rsidRDefault="00F73D5B" w:rsidP="00F73D5B">
      <w:pPr>
        <w:pStyle w:val="Heading3"/>
        <w:rPr>
          <w:lang w:val="es-ES_tradnl"/>
        </w:rPr>
      </w:pPr>
      <w:bookmarkStart w:id="1096" w:name="_Toc306276847"/>
      <w:bookmarkStart w:id="1097" w:name="_Toc307921522"/>
      <w:bookmarkStart w:id="1098" w:name="_Toc307922089"/>
      <w:bookmarkStart w:id="1099" w:name="_Toc307922590"/>
      <w:bookmarkStart w:id="1100" w:name="_Toc307991939"/>
      <w:bookmarkStart w:id="1101" w:name="_Toc307993972"/>
      <w:bookmarkStart w:id="1102" w:name="_Toc307995234"/>
      <w:bookmarkStart w:id="1103" w:name="_Toc307996378"/>
      <w:bookmarkStart w:id="1104" w:name="_Toc308010353"/>
      <w:bookmarkStart w:id="1105" w:name="_Toc499563016"/>
      <w:bookmarkStart w:id="1106" w:name="_Toc215835387"/>
      <w:r w:rsidRPr="008B7A21">
        <w:rPr>
          <w:lang w:val="es-ES_tradnl"/>
        </w:rPr>
        <w:t>4.4.5</w:t>
      </w:r>
      <w:r w:rsidRPr="008B7A21">
        <w:rPr>
          <w:lang w:val="es-ES_tradnl"/>
        </w:rPr>
        <w:tab/>
        <w:t>Canon aplicado a una asignación a estaciones terrenas del servicio fijo o móvil por satélite</w:t>
      </w:r>
      <w:bookmarkEnd w:id="1096"/>
      <w:bookmarkEnd w:id="1097"/>
      <w:bookmarkEnd w:id="1098"/>
      <w:bookmarkEnd w:id="1099"/>
      <w:bookmarkEnd w:id="1100"/>
      <w:bookmarkEnd w:id="1101"/>
      <w:bookmarkEnd w:id="1102"/>
      <w:bookmarkEnd w:id="1103"/>
      <w:bookmarkEnd w:id="1104"/>
      <w:bookmarkEnd w:id="1105"/>
      <w:bookmarkEnd w:id="1106"/>
    </w:p>
    <w:p w14:paraId="388E24E2" w14:textId="77777777" w:rsidR="00F73D5B" w:rsidRPr="008B7A21" w:rsidRDefault="00F73D5B" w:rsidP="00F73D5B">
      <w:pPr>
        <w:rPr>
          <w:lang w:val="es-ES_tradnl"/>
        </w:rPr>
      </w:pPr>
      <w:r w:rsidRPr="008B7A21">
        <w:rPr>
          <w:lang w:val="es-ES_tradnl"/>
        </w:rPr>
        <w:t xml:space="preserve">La determinación del importe anual </w:t>
      </w:r>
      <w:r w:rsidRPr="008B7A21">
        <w:rPr>
          <w:i/>
          <w:iCs/>
          <w:lang w:val="es-ES_tradnl"/>
        </w:rPr>
        <w:t>Rs</w:t>
      </w:r>
      <w:r w:rsidRPr="008B7A21">
        <w:rPr>
          <w:lang w:val="es-ES_tradnl"/>
        </w:rPr>
        <w:t xml:space="preserve"> del canon del espectro podría utilizar la siguiente fórmula:</w:t>
      </w:r>
    </w:p>
    <w:p w14:paraId="4029C6D9" w14:textId="77777777" w:rsidR="00F73D5B" w:rsidRPr="008B7A21" w:rsidRDefault="00F73D5B" w:rsidP="00F73D5B">
      <w:pPr>
        <w:pStyle w:val="Equation"/>
        <w:rPr>
          <w:lang w:val="es-ES_tradnl"/>
        </w:rPr>
      </w:pPr>
      <w:r w:rsidRPr="008B7A21">
        <w:rPr>
          <w:lang w:val="es-ES_tradnl"/>
        </w:rPr>
        <w:tab/>
      </w:r>
      <w:r w:rsidRPr="008B7A21">
        <w:rPr>
          <w:lang w:val="es-ES_tradnl"/>
        </w:rPr>
        <w:tab/>
        <w:t>Rs = L * bf * k3</w:t>
      </w:r>
      <w:r w:rsidRPr="008B7A21">
        <w:rPr>
          <w:lang w:val="es-ES_tradnl"/>
        </w:rPr>
        <w:tab/>
        <w:t>(10)</w:t>
      </w:r>
    </w:p>
    <w:p w14:paraId="1DBE4E06" w14:textId="77777777" w:rsidR="00F73D5B" w:rsidRPr="008B7A21" w:rsidRDefault="00F73D5B" w:rsidP="00F73D5B">
      <w:pPr>
        <w:pStyle w:val="Heading3"/>
        <w:rPr>
          <w:lang w:val="es-ES_tradnl"/>
        </w:rPr>
      </w:pPr>
      <w:bookmarkStart w:id="1107" w:name="_Toc306276848"/>
      <w:bookmarkStart w:id="1108" w:name="_Toc307921523"/>
      <w:bookmarkStart w:id="1109" w:name="_Toc307922090"/>
      <w:bookmarkStart w:id="1110" w:name="_Toc307922591"/>
      <w:bookmarkStart w:id="1111" w:name="_Toc307991940"/>
      <w:bookmarkStart w:id="1112" w:name="_Toc307993973"/>
      <w:bookmarkStart w:id="1113" w:name="_Toc307995235"/>
      <w:bookmarkStart w:id="1114" w:name="_Toc307996379"/>
      <w:bookmarkStart w:id="1115" w:name="_Toc308010354"/>
      <w:bookmarkStart w:id="1116" w:name="_Toc499563017"/>
      <w:bookmarkStart w:id="1117" w:name="_Toc215835388"/>
      <w:r w:rsidRPr="008B7A21">
        <w:rPr>
          <w:lang w:val="es-ES_tradnl"/>
        </w:rPr>
        <w:t>4.4.6</w:t>
      </w:r>
      <w:r w:rsidRPr="008B7A21">
        <w:rPr>
          <w:lang w:val="es-ES_tradnl"/>
        </w:rPr>
        <w:tab/>
        <w:t>Canon aplicado a una adjudicación del servicio fijo o móvil por satélite</w:t>
      </w:r>
      <w:bookmarkEnd w:id="1107"/>
      <w:bookmarkEnd w:id="1108"/>
      <w:bookmarkEnd w:id="1109"/>
      <w:bookmarkEnd w:id="1110"/>
      <w:bookmarkEnd w:id="1111"/>
      <w:bookmarkEnd w:id="1112"/>
      <w:bookmarkEnd w:id="1113"/>
      <w:bookmarkEnd w:id="1114"/>
      <w:bookmarkEnd w:id="1115"/>
      <w:bookmarkEnd w:id="1116"/>
      <w:bookmarkEnd w:id="1117"/>
    </w:p>
    <w:p w14:paraId="28C3F1D5" w14:textId="77777777" w:rsidR="00F73D5B" w:rsidRPr="008B7A21" w:rsidRDefault="00F73D5B" w:rsidP="00F73D5B">
      <w:pPr>
        <w:rPr>
          <w:lang w:val="es-ES_tradnl"/>
        </w:rPr>
      </w:pPr>
      <w:r w:rsidRPr="008B7A21">
        <w:rPr>
          <w:lang w:val="es-ES_tradnl"/>
        </w:rPr>
        <w:t xml:space="preserve">La determinación del importe anual </w:t>
      </w:r>
      <w:r w:rsidRPr="008B7A21">
        <w:rPr>
          <w:i/>
          <w:iCs/>
          <w:lang w:val="es-ES_tradnl"/>
        </w:rPr>
        <w:t>Rs</w:t>
      </w:r>
      <w:r w:rsidRPr="008B7A21">
        <w:rPr>
          <w:lang w:val="es-ES_tradnl"/>
        </w:rPr>
        <w:t xml:space="preserve"> del canon del espectro podría utilizar la siguiente fórmula:</w:t>
      </w:r>
    </w:p>
    <w:p w14:paraId="00212DF5" w14:textId="77777777" w:rsidR="00F73D5B" w:rsidRPr="008B7A21" w:rsidRDefault="00F73D5B" w:rsidP="00F73D5B">
      <w:pPr>
        <w:pStyle w:val="Equation"/>
        <w:rPr>
          <w:lang w:val="es-ES_tradnl"/>
        </w:rPr>
      </w:pPr>
      <w:r w:rsidRPr="008B7A21">
        <w:rPr>
          <w:lang w:val="es-ES_tradnl"/>
        </w:rPr>
        <w:tab/>
      </w:r>
      <w:r w:rsidRPr="008B7A21">
        <w:rPr>
          <w:lang w:val="es-ES_tradnl"/>
        </w:rPr>
        <w:tab/>
        <w:t>Rs = L * bf * k3 * a</w:t>
      </w:r>
      <w:r w:rsidRPr="008B7A21">
        <w:rPr>
          <w:lang w:val="es-ES_tradnl"/>
        </w:rPr>
        <w:tab/>
        <w:t>(11)</w:t>
      </w:r>
    </w:p>
    <w:p w14:paraId="13ECBE9D" w14:textId="77777777" w:rsidR="00F73D5B" w:rsidRPr="008B7A21" w:rsidRDefault="00F73D5B" w:rsidP="00F73D5B">
      <w:pPr>
        <w:pStyle w:val="Heading3"/>
        <w:rPr>
          <w:lang w:val="es-ES_tradnl"/>
        </w:rPr>
      </w:pPr>
      <w:bookmarkStart w:id="1118" w:name="_Toc306276849"/>
      <w:bookmarkStart w:id="1119" w:name="_Toc307921524"/>
      <w:bookmarkStart w:id="1120" w:name="_Toc307922091"/>
      <w:bookmarkStart w:id="1121" w:name="_Toc307922592"/>
      <w:bookmarkStart w:id="1122" w:name="_Toc307991941"/>
      <w:bookmarkStart w:id="1123" w:name="_Toc307993974"/>
      <w:bookmarkStart w:id="1124" w:name="_Toc307995236"/>
      <w:bookmarkStart w:id="1125" w:name="_Toc307996380"/>
      <w:bookmarkStart w:id="1126" w:name="_Toc308010355"/>
      <w:bookmarkStart w:id="1127" w:name="_Toc499563018"/>
      <w:bookmarkStart w:id="1128" w:name="_Toc215835389"/>
      <w:r w:rsidRPr="008B7A21">
        <w:rPr>
          <w:lang w:val="es-ES_tradnl"/>
        </w:rPr>
        <w:t>4.4.7</w:t>
      </w:r>
      <w:r w:rsidRPr="008B7A21">
        <w:rPr>
          <w:lang w:val="es-ES_tradnl"/>
        </w:rPr>
        <w:tab/>
        <w:t>Canon aplicado a una asignación del servicio móvil de redes privadas</w:t>
      </w:r>
      <w:bookmarkEnd w:id="1118"/>
      <w:bookmarkEnd w:id="1119"/>
      <w:bookmarkEnd w:id="1120"/>
      <w:bookmarkEnd w:id="1121"/>
      <w:bookmarkEnd w:id="1122"/>
      <w:bookmarkEnd w:id="1123"/>
      <w:bookmarkEnd w:id="1124"/>
      <w:bookmarkEnd w:id="1125"/>
      <w:bookmarkEnd w:id="1126"/>
      <w:bookmarkEnd w:id="1127"/>
      <w:bookmarkEnd w:id="1128"/>
    </w:p>
    <w:p w14:paraId="7C593FC2" w14:textId="77777777" w:rsidR="00F73D5B" w:rsidRPr="008B7A21" w:rsidRDefault="00F73D5B" w:rsidP="00F73D5B">
      <w:pPr>
        <w:rPr>
          <w:lang w:val="es-ES_tradnl"/>
        </w:rPr>
      </w:pPr>
      <w:r w:rsidRPr="008B7A21">
        <w:rPr>
          <w:lang w:val="es-ES_tradnl"/>
        </w:rPr>
        <w:t xml:space="preserve">La determinación del importe anual </w:t>
      </w:r>
      <w:r w:rsidRPr="008B7A21">
        <w:rPr>
          <w:i/>
          <w:iCs/>
          <w:lang w:val="es-ES_tradnl"/>
        </w:rPr>
        <w:t>Rs</w:t>
      </w:r>
      <w:r w:rsidRPr="008B7A21">
        <w:rPr>
          <w:lang w:val="es-ES_tradnl"/>
        </w:rPr>
        <w:t xml:space="preserve"> del canon del espectro podría utilizar la siguiente fórmula:</w:t>
      </w:r>
    </w:p>
    <w:p w14:paraId="06F002ED" w14:textId="77777777" w:rsidR="00F73D5B" w:rsidRPr="008B7A21" w:rsidRDefault="00F73D5B" w:rsidP="00F73D5B">
      <w:pPr>
        <w:pStyle w:val="Equation"/>
        <w:rPr>
          <w:lang w:val="es-ES_tradnl"/>
        </w:rPr>
      </w:pPr>
      <w:r w:rsidRPr="008B7A21">
        <w:rPr>
          <w:lang w:val="es-ES_tradnl"/>
        </w:rPr>
        <w:tab/>
      </w:r>
      <w:r w:rsidRPr="008B7A21">
        <w:rPr>
          <w:lang w:val="es-ES_tradnl"/>
        </w:rPr>
        <w:tab/>
        <w:t>Rs = L * bf * c * k4</w:t>
      </w:r>
      <w:r w:rsidRPr="008B7A21">
        <w:rPr>
          <w:lang w:val="es-ES_tradnl"/>
        </w:rPr>
        <w:tab/>
        <w:t>(12)</w:t>
      </w:r>
    </w:p>
    <w:p w14:paraId="40ACF71E" w14:textId="77777777" w:rsidR="00F73D5B" w:rsidRPr="008B7A21" w:rsidRDefault="00F73D5B" w:rsidP="00F73D5B">
      <w:pPr>
        <w:pStyle w:val="Heading3"/>
        <w:rPr>
          <w:lang w:val="es-ES_tradnl"/>
        </w:rPr>
      </w:pPr>
      <w:bookmarkStart w:id="1129" w:name="_Toc215835390"/>
      <w:r w:rsidRPr="008B7A21">
        <w:rPr>
          <w:lang w:val="es-ES_tradnl"/>
        </w:rPr>
        <w:t>4.4.8</w:t>
      </w:r>
      <w:r w:rsidRPr="008B7A21">
        <w:rPr>
          <w:lang w:val="es-ES_tradnl"/>
        </w:rPr>
        <w:tab/>
        <w:t>Ejemplo práctico de fórmula para calcular el canon de la República de Colombia</w:t>
      </w:r>
      <w:bookmarkEnd w:id="1129"/>
    </w:p>
    <w:p w14:paraId="46911C81" w14:textId="77777777" w:rsidR="00F73D5B" w:rsidRPr="008B7A21" w:rsidRDefault="00F73D5B" w:rsidP="00F73D5B">
      <w:pPr>
        <w:rPr>
          <w:lang w:val="es-ES_tradnl"/>
        </w:rPr>
      </w:pPr>
      <w:r w:rsidRPr="008B7A21">
        <w:rPr>
          <w:lang w:val="es-ES_tradnl"/>
        </w:rPr>
        <w:t>Véase el § 5.2.13.</w:t>
      </w:r>
    </w:p>
    <w:p w14:paraId="47FF5C33" w14:textId="77777777" w:rsidR="00F73D5B" w:rsidRPr="008B7A21" w:rsidRDefault="00F73D5B" w:rsidP="00F73D5B">
      <w:pPr>
        <w:pStyle w:val="Heading2"/>
        <w:rPr>
          <w:lang w:val="es-ES_tradnl"/>
        </w:rPr>
      </w:pPr>
      <w:bookmarkStart w:id="1130" w:name="_Toc306276850"/>
      <w:bookmarkStart w:id="1131" w:name="_Toc307921525"/>
      <w:bookmarkStart w:id="1132" w:name="_Toc307922092"/>
      <w:bookmarkStart w:id="1133" w:name="_Toc307922593"/>
      <w:bookmarkStart w:id="1134" w:name="_Toc307991942"/>
      <w:bookmarkStart w:id="1135" w:name="_Toc307993975"/>
      <w:bookmarkStart w:id="1136" w:name="_Toc307995237"/>
      <w:bookmarkStart w:id="1137" w:name="_Toc307996381"/>
      <w:bookmarkStart w:id="1138" w:name="_Toc308010356"/>
      <w:bookmarkStart w:id="1139" w:name="_Toc499563019"/>
      <w:bookmarkStart w:id="1140" w:name="_Toc215835391"/>
      <w:r w:rsidRPr="008B7A21">
        <w:rPr>
          <w:lang w:val="es-ES_tradnl"/>
        </w:rPr>
        <w:t>4.5</w:t>
      </w:r>
      <w:r w:rsidRPr="008B7A21">
        <w:rPr>
          <w:lang w:val="es-ES_tradnl"/>
        </w:rPr>
        <w:tab/>
        <w:t>Cánones del espectro relativos a las frecuencias utilizadas para ofrecer o comercializar servicios destinados a un mercado de usuarios</w:t>
      </w:r>
      <w:bookmarkEnd w:id="1130"/>
      <w:bookmarkEnd w:id="1131"/>
      <w:bookmarkEnd w:id="1132"/>
      <w:bookmarkEnd w:id="1133"/>
      <w:bookmarkEnd w:id="1134"/>
      <w:bookmarkEnd w:id="1135"/>
      <w:bookmarkEnd w:id="1136"/>
      <w:bookmarkEnd w:id="1137"/>
      <w:bookmarkEnd w:id="1138"/>
      <w:bookmarkEnd w:id="1139"/>
      <w:bookmarkEnd w:id="1140"/>
    </w:p>
    <w:p w14:paraId="2A80FA7A" w14:textId="77777777" w:rsidR="00F73D5B" w:rsidRPr="008B7A21" w:rsidRDefault="00F73D5B" w:rsidP="00F73D5B">
      <w:pPr>
        <w:pStyle w:val="Heading3"/>
        <w:rPr>
          <w:lang w:val="es-ES_tradnl"/>
        </w:rPr>
      </w:pPr>
      <w:bookmarkStart w:id="1141" w:name="_Toc306276851"/>
      <w:bookmarkStart w:id="1142" w:name="_Toc307921526"/>
      <w:bookmarkStart w:id="1143" w:name="_Toc307922093"/>
      <w:bookmarkStart w:id="1144" w:name="_Toc307922594"/>
      <w:bookmarkStart w:id="1145" w:name="_Toc307991943"/>
      <w:bookmarkStart w:id="1146" w:name="_Toc307993976"/>
      <w:bookmarkStart w:id="1147" w:name="_Toc307995238"/>
      <w:bookmarkStart w:id="1148" w:name="_Toc307996382"/>
      <w:bookmarkStart w:id="1149" w:name="_Toc308010357"/>
      <w:bookmarkStart w:id="1150" w:name="_Toc499563020"/>
      <w:bookmarkStart w:id="1151" w:name="_Toc215835392"/>
      <w:r w:rsidRPr="008B7A21">
        <w:rPr>
          <w:lang w:val="es-ES_tradnl"/>
        </w:rPr>
        <w:t>4.5.1</w:t>
      </w:r>
      <w:r w:rsidRPr="008B7A21">
        <w:rPr>
          <w:lang w:val="es-ES_tradnl"/>
        </w:rPr>
        <w:tab/>
        <w:t>Observaciones y planteamiento general</w:t>
      </w:r>
      <w:bookmarkEnd w:id="1141"/>
      <w:bookmarkEnd w:id="1142"/>
      <w:bookmarkEnd w:id="1143"/>
      <w:bookmarkEnd w:id="1144"/>
      <w:bookmarkEnd w:id="1145"/>
      <w:bookmarkEnd w:id="1146"/>
      <w:bookmarkEnd w:id="1147"/>
      <w:bookmarkEnd w:id="1148"/>
      <w:bookmarkEnd w:id="1149"/>
      <w:bookmarkEnd w:id="1150"/>
      <w:bookmarkEnd w:id="1151"/>
    </w:p>
    <w:p w14:paraId="3115EE04" w14:textId="77777777" w:rsidR="00F73D5B" w:rsidRPr="008B7A21" w:rsidRDefault="00F73D5B" w:rsidP="00F73D5B">
      <w:pPr>
        <w:rPr>
          <w:lang w:val="es-ES_tradnl"/>
        </w:rPr>
      </w:pPr>
      <w:r w:rsidRPr="008B7A21">
        <w:rPr>
          <w:lang w:val="es-ES_tradnl"/>
        </w:rPr>
        <w:t>En general, los cánones aplicados a esas frecuencias representan la parte más importante de los ingresos presupuestarios del Estado que provienen de los cánones relativos al espectro radioeléctrico. Para reflejar los beneficios de la renta de situación pueden tenerse en cuenta diversos elementos como, por ejemplo, la población a la que da cobertura la licencia, la parte del territorio que abarca la licencia o el volumen de negocios logrado por la oferta o la comercialización de los servicios. El volumen de negocios aparece habitualmente como el elemento más representativo de la renta de situación. Si el volumen de negocios se tiene en cuenta para establecer la base de los cánones, se recomienda definir con precisión sus límites y su contenido.</w:t>
      </w:r>
    </w:p>
    <w:p w14:paraId="3158E52C" w14:textId="77777777" w:rsidR="00F73D5B" w:rsidRPr="008B7A21" w:rsidRDefault="00F73D5B" w:rsidP="00F73D5B">
      <w:pPr>
        <w:pStyle w:val="Heading3"/>
        <w:rPr>
          <w:lang w:val="es-ES_tradnl"/>
        </w:rPr>
      </w:pPr>
      <w:bookmarkStart w:id="1152" w:name="_Toc306276852"/>
      <w:bookmarkStart w:id="1153" w:name="_Toc307921527"/>
      <w:bookmarkStart w:id="1154" w:name="_Toc307922094"/>
      <w:bookmarkStart w:id="1155" w:name="_Toc307922595"/>
      <w:bookmarkStart w:id="1156" w:name="_Toc307991944"/>
      <w:bookmarkStart w:id="1157" w:name="_Toc307993977"/>
      <w:bookmarkStart w:id="1158" w:name="_Toc307995239"/>
      <w:bookmarkStart w:id="1159" w:name="_Toc307996383"/>
      <w:bookmarkStart w:id="1160" w:name="_Toc308010358"/>
      <w:bookmarkStart w:id="1161" w:name="_Toc499563021"/>
      <w:bookmarkStart w:id="1162" w:name="_Toc215835393"/>
      <w:r w:rsidRPr="008B7A21">
        <w:rPr>
          <w:lang w:val="es-ES_tradnl"/>
        </w:rPr>
        <w:t>4.5.2</w:t>
      </w:r>
      <w:r w:rsidRPr="008B7A21">
        <w:rPr>
          <w:lang w:val="es-ES_tradnl"/>
        </w:rPr>
        <w:tab/>
        <w:t>Ejemplo de canon aplicado al servicio móvil 2G</w:t>
      </w:r>
      <w:bookmarkEnd w:id="1152"/>
      <w:bookmarkEnd w:id="1153"/>
      <w:bookmarkEnd w:id="1154"/>
      <w:bookmarkEnd w:id="1155"/>
      <w:bookmarkEnd w:id="1156"/>
      <w:bookmarkEnd w:id="1157"/>
      <w:bookmarkEnd w:id="1158"/>
      <w:bookmarkEnd w:id="1159"/>
      <w:bookmarkEnd w:id="1160"/>
      <w:bookmarkEnd w:id="1161"/>
      <w:bookmarkEnd w:id="1162"/>
    </w:p>
    <w:p w14:paraId="3A5C9B08" w14:textId="77777777" w:rsidR="00F73D5B" w:rsidRPr="008B7A21" w:rsidRDefault="00F73D5B" w:rsidP="00F73D5B">
      <w:pPr>
        <w:rPr>
          <w:lang w:val="es-ES_tradnl"/>
        </w:rPr>
      </w:pPr>
      <w:r w:rsidRPr="008B7A21">
        <w:rPr>
          <w:lang w:val="es-ES_tradnl"/>
        </w:rPr>
        <w:t xml:space="preserve">La determinación del importe anual </w:t>
      </w:r>
      <w:r w:rsidRPr="008B7A21">
        <w:rPr>
          <w:i/>
          <w:iCs/>
          <w:lang w:val="es-ES_tradnl"/>
        </w:rPr>
        <w:t>Rs</w:t>
      </w:r>
      <w:r w:rsidRPr="008B7A21">
        <w:rPr>
          <w:lang w:val="es-ES_tradnl"/>
        </w:rPr>
        <w:t xml:space="preserve"> del canon del espectro podría utilizar la siguiente fórmula:</w:t>
      </w:r>
    </w:p>
    <w:p w14:paraId="0DB457C7" w14:textId="77777777" w:rsidR="00F73D5B" w:rsidRPr="008B7A21" w:rsidRDefault="00F73D5B" w:rsidP="00F73D5B">
      <w:pPr>
        <w:pStyle w:val="Equation"/>
        <w:rPr>
          <w:lang w:val="es-ES_tradnl"/>
        </w:rPr>
      </w:pPr>
      <w:r w:rsidRPr="008B7A21">
        <w:rPr>
          <w:lang w:val="es-ES_tradnl"/>
        </w:rPr>
        <w:tab/>
      </w:r>
      <w:r w:rsidRPr="008B7A21">
        <w:rPr>
          <w:lang w:val="es-ES_tradnl"/>
        </w:rPr>
        <w:tab/>
        <w:t>Rs = F + t% * CA</w:t>
      </w:r>
      <w:r w:rsidRPr="008B7A21">
        <w:rPr>
          <w:lang w:val="es-ES_tradnl"/>
        </w:rPr>
        <w:tab/>
        <w:t>(13)</w:t>
      </w:r>
    </w:p>
    <w:p w14:paraId="5A9826E9" w14:textId="77777777" w:rsidR="00F73D5B" w:rsidRPr="008B7A21" w:rsidRDefault="00F73D5B" w:rsidP="00F73D5B">
      <w:pPr>
        <w:rPr>
          <w:lang w:val="es-ES_tradnl"/>
        </w:rPr>
      </w:pPr>
      <w:r w:rsidRPr="008B7A21">
        <w:rPr>
          <w:lang w:val="es-ES_tradnl"/>
        </w:rPr>
        <w:t>en la cual:</w:t>
      </w:r>
    </w:p>
    <w:p w14:paraId="1A19ACA3" w14:textId="77777777" w:rsidR="00F73D5B" w:rsidRPr="008B7A21" w:rsidRDefault="00F73D5B" w:rsidP="00F73D5B">
      <w:pPr>
        <w:pStyle w:val="Equationlegend"/>
        <w:rPr>
          <w:lang w:val="es-ES_tradnl"/>
        </w:rPr>
      </w:pPr>
      <w:r w:rsidRPr="008B7A21">
        <w:rPr>
          <w:lang w:val="es-ES_tradnl"/>
        </w:rPr>
        <w:tab/>
        <w:t>F:</w:t>
      </w:r>
      <w:r w:rsidRPr="008B7A21">
        <w:rPr>
          <w:lang w:val="es-ES_tradnl"/>
        </w:rPr>
        <w:tab/>
        <w:t>representa un importe fijo que debe pagarse cada año. Ese importe puede ser proporcional a la anchura de la banda total atribuida para el servicio 2G al operador de que se trate</w:t>
      </w:r>
    </w:p>
    <w:p w14:paraId="6600A395" w14:textId="77777777" w:rsidR="00F73D5B" w:rsidRPr="008B7A21" w:rsidRDefault="00F73D5B" w:rsidP="00F73D5B">
      <w:pPr>
        <w:pStyle w:val="Equationlegend"/>
        <w:rPr>
          <w:lang w:val="es-ES_tradnl"/>
        </w:rPr>
      </w:pPr>
      <w:r w:rsidRPr="008B7A21">
        <w:rPr>
          <w:lang w:val="es-ES_tradnl"/>
        </w:rPr>
        <w:tab/>
        <w:t>CA:</w:t>
      </w:r>
      <w:r w:rsidRPr="008B7A21">
        <w:rPr>
          <w:lang w:val="es-ES_tradnl"/>
        </w:rPr>
        <w:tab/>
        <w:t>representa el volumen de negocios del operador relativo a las frecuencias del servicio móvil 2G para el año correspondiente</w:t>
      </w:r>
    </w:p>
    <w:p w14:paraId="41907813" w14:textId="77777777" w:rsidR="00F73D5B" w:rsidRPr="008B7A21" w:rsidRDefault="00F73D5B" w:rsidP="00F73D5B">
      <w:pPr>
        <w:pStyle w:val="Equationlegend"/>
        <w:rPr>
          <w:lang w:val="es-ES_tradnl"/>
        </w:rPr>
      </w:pPr>
      <w:r w:rsidRPr="008B7A21">
        <w:rPr>
          <w:lang w:val="es-ES_tradnl"/>
        </w:rPr>
        <w:tab/>
        <w:t>t%:</w:t>
      </w:r>
      <w:r w:rsidRPr="008B7A21">
        <w:rPr>
          <w:lang w:val="es-ES_tradnl"/>
        </w:rPr>
        <w:tab/>
        <w:t>representa el porcentaje que se quiere deducir del volumen de negocios del operador. En general, el valor de t% aplicado por las administraciones es del 1% aproximadamente.</w:t>
      </w:r>
    </w:p>
    <w:p w14:paraId="5E5B4EC9" w14:textId="77777777" w:rsidR="00F73D5B" w:rsidRPr="008B7A21" w:rsidRDefault="00F73D5B" w:rsidP="00F73D5B">
      <w:pPr>
        <w:pStyle w:val="Heading3"/>
        <w:rPr>
          <w:lang w:val="es-ES_tradnl"/>
        </w:rPr>
      </w:pPr>
      <w:bookmarkStart w:id="1163" w:name="_Toc306276853"/>
      <w:bookmarkStart w:id="1164" w:name="_Toc307921528"/>
      <w:bookmarkStart w:id="1165" w:name="_Toc307922095"/>
      <w:bookmarkStart w:id="1166" w:name="_Toc307922596"/>
      <w:bookmarkStart w:id="1167" w:name="_Toc307991945"/>
      <w:bookmarkStart w:id="1168" w:name="_Toc307993978"/>
      <w:bookmarkStart w:id="1169" w:name="_Toc307995240"/>
      <w:bookmarkStart w:id="1170" w:name="_Toc307996384"/>
      <w:bookmarkStart w:id="1171" w:name="_Toc308010359"/>
      <w:bookmarkStart w:id="1172" w:name="_Toc499563022"/>
      <w:bookmarkStart w:id="1173" w:name="_Toc215835394"/>
      <w:r w:rsidRPr="008B7A21">
        <w:rPr>
          <w:lang w:val="es-ES_tradnl"/>
        </w:rPr>
        <w:t>4.5.3</w:t>
      </w:r>
      <w:r w:rsidRPr="008B7A21">
        <w:rPr>
          <w:lang w:val="es-ES_tradnl"/>
        </w:rPr>
        <w:tab/>
        <w:t>Ejemplo de canon aplicado al servicio móvil 3G</w:t>
      </w:r>
      <w:bookmarkEnd w:id="1163"/>
      <w:bookmarkEnd w:id="1164"/>
      <w:bookmarkEnd w:id="1165"/>
      <w:bookmarkEnd w:id="1166"/>
      <w:bookmarkEnd w:id="1167"/>
      <w:bookmarkEnd w:id="1168"/>
      <w:bookmarkEnd w:id="1169"/>
      <w:bookmarkEnd w:id="1170"/>
      <w:bookmarkEnd w:id="1171"/>
      <w:bookmarkEnd w:id="1172"/>
      <w:bookmarkEnd w:id="1173"/>
    </w:p>
    <w:p w14:paraId="6FEA65B6" w14:textId="77777777" w:rsidR="00F73D5B" w:rsidRPr="008B7A21" w:rsidRDefault="00F73D5B" w:rsidP="00F73D5B">
      <w:pPr>
        <w:rPr>
          <w:lang w:val="es-ES_tradnl"/>
        </w:rPr>
      </w:pPr>
      <w:r w:rsidRPr="008B7A21">
        <w:rPr>
          <w:lang w:val="es-ES_tradnl"/>
        </w:rPr>
        <w:t xml:space="preserve">La determinación del importe anual </w:t>
      </w:r>
      <w:r w:rsidRPr="008B7A21">
        <w:rPr>
          <w:i/>
          <w:iCs/>
          <w:lang w:val="es-ES_tradnl"/>
        </w:rPr>
        <w:t>Rs</w:t>
      </w:r>
      <w:r w:rsidRPr="008B7A21">
        <w:rPr>
          <w:lang w:val="es-ES_tradnl"/>
        </w:rPr>
        <w:t xml:space="preserve"> del canon del espectro podría utilizar la siguiente fórmula:</w:t>
      </w:r>
    </w:p>
    <w:p w14:paraId="0E4CD827" w14:textId="77777777" w:rsidR="00F73D5B" w:rsidRPr="008B7A21" w:rsidRDefault="00F73D5B" w:rsidP="00F73D5B">
      <w:pPr>
        <w:pStyle w:val="Equation"/>
        <w:rPr>
          <w:lang w:val="es-ES_tradnl"/>
        </w:rPr>
      </w:pPr>
      <w:r w:rsidRPr="008B7A21">
        <w:rPr>
          <w:lang w:val="es-ES_tradnl"/>
        </w:rPr>
        <w:tab/>
      </w:r>
      <w:r w:rsidRPr="008B7A21">
        <w:rPr>
          <w:lang w:val="es-ES_tradnl"/>
        </w:rPr>
        <w:tab/>
        <w:t>Rs = t% * CA</w:t>
      </w:r>
      <w:r w:rsidRPr="008B7A21">
        <w:rPr>
          <w:lang w:val="es-ES_tradnl"/>
        </w:rPr>
        <w:tab/>
        <w:t>(14)</w:t>
      </w:r>
    </w:p>
    <w:p w14:paraId="350D0C56" w14:textId="77777777" w:rsidR="00F73D5B" w:rsidRPr="008B7A21" w:rsidRDefault="00F73D5B" w:rsidP="00F73D5B">
      <w:pPr>
        <w:rPr>
          <w:lang w:val="es-ES_tradnl"/>
        </w:rPr>
      </w:pPr>
      <w:r w:rsidRPr="008B7A21">
        <w:rPr>
          <w:lang w:val="es-ES_tradnl"/>
        </w:rPr>
        <w:t>en la cual:</w:t>
      </w:r>
    </w:p>
    <w:p w14:paraId="509F139C" w14:textId="77777777" w:rsidR="00F73D5B" w:rsidRPr="008B7A21" w:rsidRDefault="00F73D5B" w:rsidP="00F73D5B">
      <w:pPr>
        <w:pStyle w:val="Equationlegend"/>
        <w:rPr>
          <w:lang w:val="es-ES_tradnl"/>
        </w:rPr>
      </w:pPr>
      <w:r w:rsidRPr="008B7A21">
        <w:rPr>
          <w:lang w:val="es-ES_tradnl"/>
        </w:rPr>
        <w:tab/>
        <w:t>CA:</w:t>
      </w:r>
      <w:r w:rsidRPr="008B7A21">
        <w:rPr>
          <w:lang w:val="es-ES_tradnl"/>
        </w:rPr>
        <w:tab/>
        <w:t>representa el volumen de negocios del operador relativo a las frecuencias del servicio móvil 3G para el año correspondiente</w:t>
      </w:r>
    </w:p>
    <w:p w14:paraId="01C035BF" w14:textId="77777777" w:rsidR="00F73D5B" w:rsidRPr="008B7A21" w:rsidRDefault="00F73D5B" w:rsidP="00F73D5B">
      <w:pPr>
        <w:pStyle w:val="Equationlegend"/>
        <w:rPr>
          <w:lang w:val="es-ES_tradnl"/>
        </w:rPr>
      </w:pPr>
      <w:r w:rsidRPr="008B7A21">
        <w:rPr>
          <w:lang w:val="es-ES_tradnl"/>
        </w:rPr>
        <w:tab/>
        <w:t>t%:</w:t>
      </w:r>
      <w:r w:rsidRPr="008B7A21">
        <w:rPr>
          <w:lang w:val="es-ES_tradnl"/>
        </w:rPr>
        <w:tab/>
        <w:t xml:space="preserve">representa el porcentaje que se quiere deducir del volumen de negocios del operador. </w:t>
      </w:r>
    </w:p>
    <w:p w14:paraId="45DA8D58" w14:textId="77777777" w:rsidR="00F73D5B" w:rsidRPr="008B7A21" w:rsidRDefault="00F73D5B" w:rsidP="00F73D5B">
      <w:pPr>
        <w:rPr>
          <w:lang w:val="es-ES_tradnl"/>
        </w:rPr>
      </w:pPr>
      <w:r w:rsidRPr="008B7A21">
        <w:rPr>
          <w:lang w:val="es-ES_tradnl"/>
        </w:rPr>
        <w:t>Este canon anual se completa con un «derecho de entrada», que se paga en el momento de la atribución de la licencia. El importe del derecho de entrada, que puede ser proporcional a la anchura de banda adjudicada, se debería fijar teniendo en cuenta especialmente el § [23] para que, llegado el caso, no obstaculice la implantación de las redes de los nuevos operadores.</w:t>
      </w:r>
    </w:p>
    <w:p w14:paraId="6C6D4235" w14:textId="77777777" w:rsidR="00F73D5B" w:rsidRPr="008B7A21" w:rsidRDefault="00F73D5B" w:rsidP="00F73D5B">
      <w:pPr>
        <w:pStyle w:val="Heading3"/>
        <w:rPr>
          <w:lang w:val="es-ES_tradnl"/>
        </w:rPr>
      </w:pPr>
      <w:bookmarkStart w:id="1174" w:name="_Toc306276854"/>
      <w:bookmarkStart w:id="1175" w:name="_Toc307921529"/>
      <w:bookmarkStart w:id="1176" w:name="_Toc307922096"/>
      <w:bookmarkStart w:id="1177" w:name="_Toc307922597"/>
      <w:bookmarkStart w:id="1178" w:name="_Toc307991946"/>
      <w:bookmarkStart w:id="1179" w:name="_Toc307993979"/>
      <w:bookmarkStart w:id="1180" w:name="_Toc307995241"/>
      <w:bookmarkStart w:id="1181" w:name="_Toc307996385"/>
      <w:bookmarkStart w:id="1182" w:name="_Toc308010360"/>
      <w:bookmarkStart w:id="1183" w:name="_Toc499563023"/>
      <w:bookmarkStart w:id="1184" w:name="_Toc215835395"/>
      <w:r w:rsidRPr="008B7A21">
        <w:rPr>
          <w:lang w:val="es-ES_tradnl"/>
        </w:rPr>
        <w:t>4.5.4</w:t>
      </w:r>
      <w:r w:rsidRPr="008B7A21">
        <w:rPr>
          <w:lang w:val="es-ES_tradnl"/>
        </w:rPr>
        <w:tab/>
        <w:t>Otro ejemplo de canon aplicado al servicio fijo del bucle local radioeléctrico</w:t>
      </w:r>
      <w:bookmarkEnd w:id="1174"/>
      <w:bookmarkEnd w:id="1175"/>
      <w:bookmarkEnd w:id="1176"/>
      <w:bookmarkEnd w:id="1177"/>
      <w:bookmarkEnd w:id="1178"/>
      <w:bookmarkEnd w:id="1179"/>
      <w:bookmarkEnd w:id="1180"/>
      <w:bookmarkEnd w:id="1181"/>
      <w:bookmarkEnd w:id="1182"/>
      <w:bookmarkEnd w:id="1183"/>
      <w:bookmarkEnd w:id="1184"/>
    </w:p>
    <w:p w14:paraId="3691E8E9" w14:textId="77777777" w:rsidR="00F73D5B" w:rsidRPr="008B7A21" w:rsidRDefault="00F73D5B" w:rsidP="00F73D5B">
      <w:pPr>
        <w:rPr>
          <w:lang w:val="es-ES_tradnl"/>
        </w:rPr>
      </w:pPr>
      <w:r w:rsidRPr="008B7A21">
        <w:rPr>
          <w:lang w:val="es-ES_tradnl"/>
        </w:rPr>
        <w:t xml:space="preserve">La determinación del importe anual </w:t>
      </w:r>
      <w:r w:rsidRPr="008B7A21">
        <w:rPr>
          <w:i/>
          <w:iCs/>
          <w:lang w:val="es-ES_tradnl"/>
        </w:rPr>
        <w:t>Rs</w:t>
      </w:r>
      <w:r w:rsidRPr="008B7A21">
        <w:rPr>
          <w:lang w:val="es-ES_tradnl"/>
        </w:rPr>
        <w:t xml:space="preserve"> del canon del espectro podría utilizar la siguiente fórmula:</w:t>
      </w:r>
    </w:p>
    <w:p w14:paraId="16A0FDA7" w14:textId="77777777" w:rsidR="00F73D5B" w:rsidRPr="008B7A21" w:rsidRDefault="00F73D5B" w:rsidP="00F73D5B">
      <w:pPr>
        <w:pStyle w:val="Equation"/>
        <w:rPr>
          <w:lang w:val="es-ES_tradnl"/>
        </w:rPr>
      </w:pPr>
      <w:r w:rsidRPr="008B7A21">
        <w:rPr>
          <w:lang w:val="es-ES_tradnl"/>
        </w:rPr>
        <w:tab/>
      </w:r>
      <w:r w:rsidRPr="008B7A21">
        <w:rPr>
          <w:lang w:val="es-ES_tradnl"/>
        </w:rPr>
        <w:tab/>
        <w:t>Rs = t% * CA</w:t>
      </w:r>
      <w:r w:rsidRPr="008B7A21">
        <w:rPr>
          <w:lang w:val="es-ES_tradnl"/>
        </w:rPr>
        <w:tab/>
        <w:t>(15)</w:t>
      </w:r>
    </w:p>
    <w:p w14:paraId="392F9C53" w14:textId="77777777" w:rsidR="00F73D5B" w:rsidRPr="008B7A21" w:rsidRDefault="00F73D5B" w:rsidP="00F73D5B">
      <w:pPr>
        <w:rPr>
          <w:lang w:val="es-ES_tradnl"/>
        </w:rPr>
      </w:pPr>
      <w:r w:rsidRPr="008B7A21">
        <w:rPr>
          <w:lang w:val="es-ES_tradnl"/>
        </w:rPr>
        <w:t>en la cual:</w:t>
      </w:r>
    </w:p>
    <w:p w14:paraId="728CFFE1" w14:textId="77777777" w:rsidR="00F73D5B" w:rsidRPr="008B7A21" w:rsidRDefault="00F73D5B" w:rsidP="00F73D5B">
      <w:pPr>
        <w:pStyle w:val="Equationlegend"/>
        <w:rPr>
          <w:lang w:val="es-ES_tradnl"/>
        </w:rPr>
      </w:pPr>
      <w:r w:rsidRPr="008B7A21">
        <w:rPr>
          <w:lang w:val="es-ES_tradnl"/>
        </w:rPr>
        <w:tab/>
        <w:t>CA:</w:t>
      </w:r>
      <w:r w:rsidRPr="008B7A21">
        <w:rPr>
          <w:lang w:val="es-ES_tradnl"/>
        </w:rPr>
        <w:tab/>
        <w:t>representa el volumen de negocios del operador relativo a las frecuencias del servicio fijo del bucle local radioeléctrico para el año correspondiente</w:t>
      </w:r>
    </w:p>
    <w:p w14:paraId="264151E0" w14:textId="77777777" w:rsidR="00F73D5B" w:rsidRPr="008B7A21" w:rsidRDefault="00F73D5B" w:rsidP="00F73D5B">
      <w:pPr>
        <w:pStyle w:val="Equationlegend"/>
        <w:rPr>
          <w:lang w:val="es-ES_tradnl"/>
        </w:rPr>
      </w:pPr>
      <w:r w:rsidRPr="008B7A21">
        <w:rPr>
          <w:lang w:val="es-ES_tradnl"/>
        </w:rPr>
        <w:tab/>
        <w:t>t%:</w:t>
      </w:r>
      <w:r w:rsidRPr="008B7A21">
        <w:rPr>
          <w:lang w:val="es-ES_tradnl"/>
        </w:rPr>
        <w:tab/>
        <w:t xml:space="preserve">representa el porcentaje que se quiere deducir del volumen de negocios del operador. </w:t>
      </w:r>
    </w:p>
    <w:p w14:paraId="32EED106" w14:textId="77777777" w:rsidR="00F73D5B" w:rsidRPr="008B7A21" w:rsidRDefault="00F73D5B" w:rsidP="00F73D5B">
      <w:pPr>
        <w:rPr>
          <w:lang w:val="es-ES_tradnl"/>
        </w:rPr>
      </w:pPr>
      <w:r w:rsidRPr="008B7A21">
        <w:rPr>
          <w:lang w:val="es-ES_tradnl"/>
        </w:rPr>
        <w:t>Este canon anual se completa con un «derecho de entrada», que se paga en el momento de la atribución de la licencia. El importe del derecho de entrada, que puede ser proporcional a la anchura de banda adjudicada, se debería fijar teniendo en cuenta especialmente el § [23] para que, llegado el caso, no obstaculice la implantación de las redes de los nuevos operadores.</w:t>
      </w:r>
    </w:p>
    <w:p w14:paraId="0ED59412" w14:textId="77777777" w:rsidR="00F73D5B" w:rsidRPr="008B7A21" w:rsidRDefault="00F73D5B" w:rsidP="00F73D5B">
      <w:pPr>
        <w:pStyle w:val="Heading3"/>
        <w:rPr>
          <w:lang w:val="es-ES_tradnl"/>
        </w:rPr>
      </w:pPr>
      <w:bookmarkStart w:id="1185" w:name="_Toc306276855"/>
      <w:bookmarkStart w:id="1186" w:name="_Toc307921530"/>
      <w:bookmarkStart w:id="1187" w:name="_Toc307922097"/>
      <w:bookmarkStart w:id="1188" w:name="_Toc307922598"/>
      <w:bookmarkStart w:id="1189" w:name="_Toc307991947"/>
      <w:bookmarkStart w:id="1190" w:name="_Toc307993980"/>
      <w:bookmarkStart w:id="1191" w:name="_Toc307995242"/>
      <w:bookmarkStart w:id="1192" w:name="_Toc307996386"/>
      <w:bookmarkStart w:id="1193" w:name="_Toc308010361"/>
      <w:bookmarkStart w:id="1194" w:name="_Toc499563024"/>
      <w:bookmarkStart w:id="1195" w:name="_Toc215835396"/>
      <w:r w:rsidRPr="008B7A21">
        <w:rPr>
          <w:lang w:val="es-ES_tradnl"/>
        </w:rPr>
        <w:t>4.5.5</w:t>
      </w:r>
      <w:r w:rsidRPr="008B7A21">
        <w:rPr>
          <w:lang w:val="es-ES_tradnl"/>
        </w:rPr>
        <w:tab/>
        <w:t>Ejemplo de canon aplicado a un productor de programas de televisión</w:t>
      </w:r>
      <w:bookmarkEnd w:id="1185"/>
      <w:bookmarkEnd w:id="1186"/>
      <w:bookmarkEnd w:id="1187"/>
      <w:bookmarkEnd w:id="1188"/>
      <w:bookmarkEnd w:id="1189"/>
      <w:bookmarkEnd w:id="1190"/>
      <w:bookmarkEnd w:id="1191"/>
      <w:bookmarkEnd w:id="1192"/>
      <w:bookmarkEnd w:id="1193"/>
      <w:bookmarkEnd w:id="1194"/>
      <w:bookmarkEnd w:id="1195"/>
    </w:p>
    <w:p w14:paraId="329E358E" w14:textId="77777777" w:rsidR="00F73D5B" w:rsidRPr="008B7A21" w:rsidRDefault="00F73D5B" w:rsidP="00F73D5B">
      <w:pPr>
        <w:rPr>
          <w:lang w:val="es-ES_tradnl"/>
        </w:rPr>
      </w:pPr>
      <w:r w:rsidRPr="008B7A21">
        <w:rPr>
          <w:lang w:val="es-ES_tradnl"/>
        </w:rPr>
        <w:t xml:space="preserve">La determinación del importe anual </w:t>
      </w:r>
      <w:r w:rsidRPr="008B7A21">
        <w:rPr>
          <w:i/>
          <w:iCs/>
          <w:lang w:val="es-ES_tradnl"/>
        </w:rPr>
        <w:t>Rs</w:t>
      </w:r>
      <w:r w:rsidRPr="008B7A21">
        <w:rPr>
          <w:lang w:val="es-ES_tradnl"/>
        </w:rPr>
        <w:t xml:space="preserve"> del canon del espectro podría utilizar la siguiente fórmula:</w:t>
      </w:r>
    </w:p>
    <w:p w14:paraId="7A795935" w14:textId="77777777" w:rsidR="00F73D5B" w:rsidRPr="008B7A21" w:rsidRDefault="00F73D5B" w:rsidP="00F73D5B">
      <w:pPr>
        <w:pStyle w:val="Equation"/>
        <w:rPr>
          <w:lang w:val="es-ES_tradnl"/>
        </w:rPr>
      </w:pPr>
      <w:r w:rsidRPr="008B7A21">
        <w:rPr>
          <w:lang w:val="es-ES_tradnl"/>
        </w:rPr>
        <w:tab/>
      </w:r>
      <w:r w:rsidRPr="008B7A21">
        <w:rPr>
          <w:lang w:val="es-ES_tradnl"/>
        </w:rPr>
        <w:tab/>
        <w:t>Rs = F + t% * CA</w:t>
      </w:r>
      <w:r w:rsidRPr="008B7A21">
        <w:rPr>
          <w:lang w:val="es-ES_tradnl"/>
        </w:rPr>
        <w:tab/>
        <w:t>(16)</w:t>
      </w:r>
    </w:p>
    <w:p w14:paraId="1C60312E" w14:textId="77777777" w:rsidR="00F73D5B" w:rsidRPr="008B7A21" w:rsidRDefault="00F73D5B" w:rsidP="00F73D5B">
      <w:pPr>
        <w:rPr>
          <w:lang w:val="es-ES_tradnl"/>
        </w:rPr>
      </w:pPr>
      <w:r w:rsidRPr="008B7A21">
        <w:rPr>
          <w:lang w:val="es-ES_tradnl"/>
        </w:rPr>
        <w:t>en la cual:</w:t>
      </w:r>
    </w:p>
    <w:p w14:paraId="314B6CFB" w14:textId="77777777" w:rsidR="00F73D5B" w:rsidRPr="008B7A21" w:rsidRDefault="00F73D5B" w:rsidP="00F73D5B">
      <w:pPr>
        <w:pStyle w:val="Equationlegend"/>
        <w:rPr>
          <w:lang w:val="es-ES_tradnl"/>
        </w:rPr>
      </w:pPr>
      <w:r w:rsidRPr="008B7A21">
        <w:rPr>
          <w:lang w:val="es-ES_tradnl"/>
        </w:rPr>
        <w:tab/>
        <w:t>F:</w:t>
      </w:r>
      <w:r w:rsidRPr="008B7A21">
        <w:rPr>
          <w:lang w:val="es-ES_tradnl"/>
        </w:rPr>
        <w:tab/>
        <w:t>representa un importe fijo que debe pagarse cada año. Este importe puede ser proporcional a la anchura de la banda total atribuida para el servicio de radiodifusión al operador de que se trate</w:t>
      </w:r>
    </w:p>
    <w:p w14:paraId="35A0A6A9" w14:textId="77777777" w:rsidR="00F73D5B" w:rsidRPr="008B7A21" w:rsidRDefault="00F73D5B" w:rsidP="00F73D5B">
      <w:pPr>
        <w:pStyle w:val="Equationlegend"/>
        <w:rPr>
          <w:lang w:val="es-ES_tradnl"/>
        </w:rPr>
      </w:pPr>
      <w:r w:rsidRPr="008B7A21">
        <w:rPr>
          <w:lang w:val="es-ES_tradnl"/>
        </w:rPr>
        <w:tab/>
        <w:t>CA:</w:t>
      </w:r>
      <w:r w:rsidRPr="008B7A21">
        <w:rPr>
          <w:lang w:val="es-ES_tradnl"/>
        </w:rPr>
        <w:tab/>
        <w:t>representa el volumen de negocios del operador para el año correspondiente que proviene de los ingresos obtenidos por la publicidad, a los que se añaden, llegado el caso, los ingresos provenientes de los abonos y los pagos por visión</w:t>
      </w:r>
    </w:p>
    <w:p w14:paraId="6F267430" w14:textId="77777777" w:rsidR="00F73D5B" w:rsidRPr="008B7A21" w:rsidRDefault="00F73D5B" w:rsidP="00F73D5B">
      <w:pPr>
        <w:pStyle w:val="Equationlegend"/>
        <w:rPr>
          <w:lang w:val="es-ES_tradnl"/>
        </w:rPr>
      </w:pPr>
      <w:r w:rsidRPr="008B7A21">
        <w:rPr>
          <w:lang w:val="es-ES_tradnl"/>
        </w:rPr>
        <w:tab/>
        <w:t>t%:</w:t>
      </w:r>
      <w:r w:rsidRPr="008B7A21">
        <w:rPr>
          <w:lang w:val="es-ES_tradnl"/>
        </w:rPr>
        <w:tab/>
        <w:t>representa el porcentaje que se quiere deducir del volumen de negocios del operador.</w:t>
      </w:r>
    </w:p>
    <w:p w14:paraId="31444AA0" w14:textId="77777777" w:rsidR="00F73D5B" w:rsidRPr="008B7A21" w:rsidRDefault="00F73D5B" w:rsidP="00F73D5B">
      <w:pPr>
        <w:pStyle w:val="Heading2"/>
        <w:rPr>
          <w:lang w:val="es-ES_tradnl"/>
        </w:rPr>
      </w:pPr>
      <w:bookmarkStart w:id="1196" w:name="_Toc306276856"/>
      <w:bookmarkStart w:id="1197" w:name="_Toc307921531"/>
      <w:bookmarkStart w:id="1198" w:name="_Toc307922098"/>
      <w:bookmarkStart w:id="1199" w:name="_Toc307922599"/>
      <w:bookmarkStart w:id="1200" w:name="_Toc307991948"/>
      <w:bookmarkStart w:id="1201" w:name="_Toc307993981"/>
      <w:bookmarkStart w:id="1202" w:name="_Toc307995243"/>
      <w:bookmarkStart w:id="1203" w:name="_Toc307996387"/>
      <w:bookmarkStart w:id="1204" w:name="_Toc308010362"/>
      <w:bookmarkStart w:id="1205" w:name="_Toc499563025"/>
      <w:bookmarkStart w:id="1206" w:name="_Toc215835397"/>
      <w:r w:rsidRPr="008B7A21">
        <w:rPr>
          <w:lang w:val="es-ES_tradnl"/>
        </w:rPr>
        <w:t>4.6</w:t>
      </w:r>
      <w:r w:rsidRPr="008B7A21">
        <w:rPr>
          <w:lang w:val="es-ES_tradnl"/>
        </w:rPr>
        <w:tab/>
        <w:t>Modelo analítico para calcular cánones de licencia basándose en incentivos especificados destinados a promover el uso eficiente del espectro</w:t>
      </w:r>
      <w:bookmarkEnd w:id="1196"/>
      <w:bookmarkEnd w:id="1197"/>
      <w:bookmarkEnd w:id="1198"/>
      <w:bookmarkEnd w:id="1199"/>
      <w:bookmarkEnd w:id="1200"/>
      <w:bookmarkEnd w:id="1201"/>
      <w:bookmarkEnd w:id="1202"/>
      <w:bookmarkEnd w:id="1203"/>
      <w:bookmarkEnd w:id="1204"/>
      <w:bookmarkEnd w:id="1205"/>
      <w:bookmarkEnd w:id="1206"/>
    </w:p>
    <w:p w14:paraId="23EFB943" w14:textId="77777777" w:rsidR="00F73D5B" w:rsidRPr="008B7A21" w:rsidRDefault="00F73D5B" w:rsidP="00F73D5B">
      <w:pPr>
        <w:rPr>
          <w:lang w:val="es-ES_tradnl"/>
        </w:rPr>
      </w:pPr>
      <w:r w:rsidRPr="008B7A21">
        <w:rPr>
          <w:lang w:val="es-ES_tradnl"/>
        </w:rPr>
        <w:t>Este modelo fue elaborado en el marco del proyecto Asia</w:t>
      </w:r>
      <w:r w:rsidRPr="008B7A21">
        <w:rPr>
          <w:lang w:val="es-ES_tradnl"/>
        </w:rPr>
        <w:noBreakHyphen/>
        <w:t xml:space="preserve">Pacífico de la BDT sobre validación y concesión de licencias para la utilización del espectro, Bangkok, 2000. El estudio se centra en un método específico de cálculo de canon del espectro. El modelo se obtuvo a partir de la base conceptual de que hay una clara necesidad de establecer unos precios para el espectro y de que el sistema de fijación de precios para el recurso espectro radioeléctrico debe reflejar algo más que las conveniencias administrativas. Esto se ha visto reforzado por las opiniones de las administraciones que han participado en la recopilación de datos y examen de políticas de los países del Sureste asiático bajo el anterior proyecto. En la siguiente dirección web de la UIT aparece información más detallada al respecto: </w:t>
      </w:r>
      <w:hyperlink r:id="rId20" w:history="1">
        <w:r w:rsidRPr="008B7A21">
          <w:rPr>
            <w:rStyle w:val="Hyperlink"/>
            <w:lang w:val="es-ES_tradnl"/>
          </w:rPr>
          <w:t>http://www.itu.int/ITU-D/tech/spectrum_management/docs/MODEL_FULL.pdf</w:t>
        </w:r>
      </w:hyperlink>
      <w:r w:rsidRPr="008B7A21">
        <w:rPr>
          <w:lang w:val="es-ES_tradnl"/>
        </w:rPr>
        <w:t>.</w:t>
      </w:r>
    </w:p>
    <w:p w14:paraId="3EA310B6" w14:textId="77777777" w:rsidR="00F73D5B" w:rsidRPr="008B7A21" w:rsidRDefault="00F73D5B" w:rsidP="00F73D5B">
      <w:pPr>
        <w:rPr>
          <w:lang w:val="es-ES_tradnl"/>
        </w:rPr>
      </w:pPr>
      <w:r w:rsidRPr="008B7A21">
        <w:rPr>
          <w:lang w:val="es-ES_tradnl"/>
        </w:rPr>
        <w:t>La importancia del modelo radica en que proporciona a las administraciones una herramienta funcional que puede emplearse para calcular los cánones del espectro a partir de criterios tangibles. De hecho, entra en la categoría de los sistemas de fijación de precios administrativos con incentivo. Al igual que sucede en los métodos con incentivos administrativos más usuales, permite variaciones no sólo en los criterios utilizados como datos de partida para el establecimiento de precios, sino que permite una ponderación de los criterios para reflejar la importancia de ciertas variables en la utilización del espectro. Esto puede utilizarse también para variar el sistema de fijación de precios entre los distintos usuarios del espectro siempre que deba considerarse la escasez permanente de este recurso.</w:t>
      </w:r>
    </w:p>
    <w:p w14:paraId="10C4FA00" w14:textId="77777777" w:rsidR="00F73D5B" w:rsidRPr="008B7A21" w:rsidRDefault="00F73D5B" w:rsidP="00F73D5B">
      <w:pPr>
        <w:rPr>
          <w:lang w:val="es-ES_tradnl"/>
        </w:rPr>
      </w:pPr>
      <w:r w:rsidRPr="008B7A21">
        <w:rPr>
          <w:lang w:val="es-ES_tradnl"/>
        </w:rPr>
        <w:t xml:space="preserve">El modelo, aunque es bastante complicado a la hora de efectuar cálculos manuales, es muy eficaz para su aplicación en los sistemas nacionales de gestión del espectro automatizados. El soporte lógico pertinente puede personalizarse de conformidad con el modelo y el resto de </w:t>
      </w:r>
      <w:proofErr w:type="gramStart"/>
      <w:r w:rsidRPr="008B7A21">
        <w:rPr>
          <w:lang w:val="es-ES_tradnl"/>
        </w:rPr>
        <w:t>cálculos</w:t>
      </w:r>
      <w:proofErr w:type="gramEnd"/>
      <w:r w:rsidRPr="008B7A21">
        <w:rPr>
          <w:lang w:val="es-ES_tradnl"/>
        </w:rPr>
        <w:t xml:space="preserve"> se realizarán en forma automática sin que intervengan los operadores del sistema. La Administración de la República Kirguisa describe una experiencia similar en el § 5.2.6.</w:t>
      </w:r>
    </w:p>
    <w:p w14:paraId="6FB78A58" w14:textId="77777777" w:rsidR="00F73D5B" w:rsidRPr="008B7A21" w:rsidRDefault="00F73D5B" w:rsidP="00F73D5B">
      <w:pPr>
        <w:pStyle w:val="Heading3"/>
        <w:rPr>
          <w:lang w:val="es-ES_tradnl"/>
        </w:rPr>
      </w:pPr>
      <w:bookmarkStart w:id="1207" w:name="_Toc306276857"/>
      <w:bookmarkStart w:id="1208" w:name="_Toc307921532"/>
      <w:bookmarkStart w:id="1209" w:name="_Toc307922099"/>
      <w:bookmarkStart w:id="1210" w:name="_Toc307922600"/>
      <w:bookmarkStart w:id="1211" w:name="_Toc307991949"/>
      <w:bookmarkStart w:id="1212" w:name="_Toc307993982"/>
      <w:bookmarkStart w:id="1213" w:name="_Toc307995244"/>
      <w:bookmarkStart w:id="1214" w:name="_Toc307996388"/>
      <w:bookmarkStart w:id="1215" w:name="_Toc308010363"/>
      <w:bookmarkStart w:id="1216" w:name="_Toc499563026"/>
      <w:bookmarkStart w:id="1217" w:name="_Toc215835398"/>
      <w:r w:rsidRPr="008B7A21">
        <w:rPr>
          <w:lang w:val="es-ES_tradnl"/>
        </w:rPr>
        <w:t>4.6.1</w:t>
      </w:r>
      <w:r w:rsidRPr="008B7A21">
        <w:rPr>
          <w:lang w:val="es-ES_tradnl"/>
        </w:rPr>
        <w:tab/>
        <w:t>Propósito general del modelo</w:t>
      </w:r>
      <w:bookmarkEnd w:id="1207"/>
      <w:bookmarkEnd w:id="1208"/>
      <w:bookmarkEnd w:id="1209"/>
      <w:bookmarkEnd w:id="1210"/>
      <w:bookmarkEnd w:id="1211"/>
      <w:bookmarkEnd w:id="1212"/>
      <w:bookmarkEnd w:id="1213"/>
      <w:bookmarkEnd w:id="1214"/>
      <w:bookmarkEnd w:id="1215"/>
      <w:bookmarkEnd w:id="1216"/>
      <w:bookmarkEnd w:id="1217"/>
    </w:p>
    <w:p w14:paraId="6F434295" w14:textId="77777777" w:rsidR="00F73D5B" w:rsidRPr="008B7A21" w:rsidRDefault="00F73D5B" w:rsidP="00F73D5B">
      <w:pPr>
        <w:rPr>
          <w:lang w:val="es-ES_tradnl"/>
        </w:rPr>
      </w:pPr>
      <w:r w:rsidRPr="008B7A21">
        <w:rPr>
          <w:lang w:val="es-ES_tradnl"/>
        </w:rPr>
        <w:t>El objetivo de este modelo es aumentar la eficacia en la utilización del espectro. Está diseñado para facilitar un acceso no discriminatorio al espectro a diversas categorías de usuarios, estimular el empleo de las bandas de frecuencias menos congestionadas (especialmente las más elevadas), estimular igualmente el desarrollo armonizado de los servicios de radiocomunicación en todo el país y cubrir los costes de la gestión del espectro. Incluye la consideración del desarrollo paulatino y el mantenimiento de las instalaciones de comprobación técnica y de gestión del espectro y el reembolso de los gastos de una administración nacional de telecomunicaciones, incluidas sus actividades internacionales en el seno de la UIT.</w:t>
      </w:r>
    </w:p>
    <w:p w14:paraId="025E4EA3" w14:textId="77777777" w:rsidR="00F73D5B" w:rsidRPr="008B7A21" w:rsidRDefault="00F73D5B" w:rsidP="00F73D5B">
      <w:pPr>
        <w:rPr>
          <w:lang w:val="es-ES_tradnl"/>
        </w:rPr>
      </w:pPr>
      <w:r w:rsidRPr="008B7A21">
        <w:rPr>
          <w:lang w:val="es-ES_tradnl"/>
        </w:rPr>
        <w:t>El modelo determina el valor de los pagos anuales que deben realizarse por la utilización que hacen del espectro cada una de las estaciones radioeléctricas transmisoras utilizando una fórmula para fijación de precios basada en los siguientes elementos fundamentales:</w:t>
      </w:r>
    </w:p>
    <w:p w14:paraId="76FB641B" w14:textId="77777777" w:rsidR="00F73D5B" w:rsidRPr="008B7A21" w:rsidRDefault="00F73D5B" w:rsidP="00F73D5B">
      <w:pPr>
        <w:pStyle w:val="enumlev1"/>
        <w:rPr>
          <w:lang w:val="es-ES_tradnl"/>
        </w:rPr>
      </w:pPr>
      <w:r w:rsidRPr="008B7A21">
        <w:rPr>
          <w:lang w:val="es-ES_tradnl"/>
        </w:rPr>
        <w:t>–</w:t>
      </w:r>
      <w:r w:rsidRPr="008B7A21">
        <w:rPr>
          <w:lang w:val="es-ES_tradnl"/>
        </w:rPr>
        <w:tab/>
        <w:t>Recurso tridimensional de radiofrecuencias</w:t>
      </w:r>
      <w:r w:rsidRPr="008B7A21">
        <w:rPr>
          <w:lang w:val="es-ES_tradnl"/>
        </w:rPr>
        <w:noBreakHyphen/>
        <w:t>espacial</w:t>
      </w:r>
      <w:r w:rsidRPr="008B7A21">
        <w:rPr>
          <w:szCs w:val="24"/>
          <w:lang w:val="es-ES_tradnl"/>
        </w:rPr>
        <w:t>-</w:t>
      </w:r>
      <w:r w:rsidRPr="008B7A21">
        <w:rPr>
          <w:lang w:val="es-ES_tradnl"/>
        </w:rPr>
        <w:t xml:space="preserve">temporal, (ver Nota 1) denominado </w:t>
      </w:r>
      <w:r w:rsidRPr="008B7A21">
        <w:rPr>
          <w:i/>
          <w:iCs/>
          <w:lang w:val="es-ES_tradnl"/>
        </w:rPr>
        <w:t>recurso espectral</w:t>
      </w:r>
      <w:r w:rsidRPr="008B7A21">
        <w:rPr>
          <w:lang w:val="es-ES_tradnl"/>
        </w:rPr>
        <w:t>, utilizado en el país y que representa el valor espectral común aplicable a todas las asignaciones de frecuencias almacenadas en la base de datos nacional de gestión del espectro y que se calcula anualmente.</w:t>
      </w:r>
    </w:p>
    <w:p w14:paraId="253C560D" w14:textId="77777777" w:rsidR="00F73D5B" w:rsidRPr="008B7A21" w:rsidRDefault="00F73D5B" w:rsidP="00F73D5B">
      <w:pPr>
        <w:pStyle w:val="enumlev1"/>
        <w:rPr>
          <w:lang w:val="es-ES_tradnl"/>
        </w:rPr>
      </w:pPr>
      <w:r w:rsidRPr="008B7A21">
        <w:rPr>
          <w:lang w:val="es-ES_tradnl"/>
        </w:rPr>
        <w:t>–</w:t>
      </w:r>
      <w:r w:rsidRPr="008B7A21">
        <w:rPr>
          <w:lang w:val="es-ES_tradnl"/>
        </w:rPr>
        <w:tab/>
        <w:t>Para cada asignación de frecuencia el valor espectral se determina mediante la banda de frecuencias ocupada por la emisión, multiplicada por una superficie, ocupada por la emisión (que se determina mediante la potencia del transmisor, la altura y dirección de la antena, etc.) y multiplicada por la fracción de tiempo durante la cual el transmisor funciona con dicha emisión, de conformidad con lo dispuesto en la licencia pertinente. En el § 4.6.5 se presentan las hipótesis y criterios correspondientes.</w:t>
      </w:r>
    </w:p>
    <w:p w14:paraId="16BDED0B" w14:textId="77777777" w:rsidR="00F73D5B" w:rsidRPr="008B7A21" w:rsidRDefault="00F73D5B" w:rsidP="00F73D5B">
      <w:pPr>
        <w:pStyle w:val="enumlev1"/>
        <w:rPr>
          <w:lang w:val="es-ES_tradnl"/>
        </w:rPr>
      </w:pPr>
      <w:r w:rsidRPr="008B7A21">
        <w:rPr>
          <w:lang w:val="es-ES_tradnl"/>
        </w:rPr>
        <w:t>–</w:t>
      </w:r>
      <w:r w:rsidRPr="008B7A21">
        <w:rPr>
          <w:lang w:val="es-ES_tradnl"/>
        </w:rPr>
        <w:tab/>
        <w:t>El coste de la administración anual de la gestión del espectro, incluidos el desarrollo paulatino y el mantenimiento de las instalaciones de comprobación técnica y de gestión del espectro y el reembolso de los gastos de una administración nacional de telecomunicaciones.</w:t>
      </w:r>
    </w:p>
    <w:p w14:paraId="0F3B7AF1" w14:textId="77777777" w:rsidR="00F73D5B" w:rsidRPr="008B7A21" w:rsidRDefault="00F73D5B" w:rsidP="00F73D5B">
      <w:pPr>
        <w:pStyle w:val="enumlev1"/>
        <w:rPr>
          <w:lang w:val="es-ES_tradnl"/>
        </w:rPr>
      </w:pPr>
      <w:r w:rsidRPr="008B7A21">
        <w:rPr>
          <w:lang w:val="es-ES_tradnl"/>
        </w:rPr>
        <w:t>–</w:t>
      </w:r>
      <w:r w:rsidRPr="008B7A21">
        <w:rPr>
          <w:lang w:val="es-ES_tradnl"/>
        </w:rPr>
        <w:tab/>
        <w:t>El precio medio de la unidad de recurso espectral determinado a partir de los valores anteriores.</w:t>
      </w:r>
    </w:p>
    <w:p w14:paraId="77E82F03" w14:textId="77777777" w:rsidR="00F73D5B" w:rsidRPr="008B7A21" w:rsidRDefault="00F73D5B" w:rsidP="00F73D5B">
      <w:pPr>
        <w:pStyle w:val="enumlev1"/>
        <w:rPr>
          <w:lang w:val="es-ES_tradnl"/>
        </w:rPr>
      </w:pPr>
      <w:r w:rsidRPr="008B7A21">
        <w:rPr>
          <w:lang w:val="es-ES_tradnl"/>
        </w:rPr>
        <w:t>–</w:t>
      </w:r>
      <w:r w:rsidRPr="008B7A21">
        <w:rPr>
          <w:lang w:val="es-ES_tradnl"/>
        </w:rPr>
        <w:tab/>
        <w:t>El pago anual realizado por un usuario específico determinado a partir del valor real del recurso espectral utilizado.</w:t>
      </w:r>
    </w:p>
    <w:p w14:paraId="21608086" w14:textId="77777777" w:rsidR="00F73D5B" w:rsidRPr="008B7A21" w:rsidRDefault="00F73D5B" w:rsidP="00F73D5B">
      <w:pPr>
        <w:pStyle w:val="Note"/>
        <w:rPr>
          <w:lang w:val="es-ES_tradnl"/>
        </w:rPr>
      </w:pPr>
      <w:r w:rsidRPr="008B7A21">
        <w:rPr>
          <w:lang w:val="es-ES_tradnl"/>
        </w:rPr>
        <w:t>NOTA 1 – Para mayor sencillez y teniendo en cuenta que habitualmente las condiciones de compartición del espectro se basan únicamente en la separación territorial de las estaciones, a efectos de este modelo un recurso espacial (tridimensional) se representa mediante uno territorial (bidimensional).</w:t>
      </w:r>
    </w:p>
    <w:p w14:paraId="0E2F6707" w14:textId="77777777" w:rsidR="00F73D5B" w:rsidRPr="008B7A21" w:rsidRDefault="00F73D5B" w:rsidP="00F73D5B">
      <w:pPr>
        <w:rPr>
          <w:lang w:val="es-ES_tradnl"/>
        </w:rPr>
      </w:pPr>
      <w:r w:rsidRPr="008B7A21">
        <w:rPr>
          <w:lang w:val="es-ES_tradnl"/>
        </w:rPr>
        <w:t>En la fórmula intervienen cierto número de factores de ponderación de incentivo. De esa forma, el precio o canon del espectro dependerá no sólo de la anchura de banda ocupada pertinente y de la zona de cobertura sino también de las condiciones de compartición en el tiempo, del emplazamiento geográfico de la estación, del nivel de desarrollo económico o de la densidad de población en la zona de cobertura, de factores sociales, de la exclusividad, del tipo de servicio radioeléctrico y de la utilización del espectro así como de algunos factores operativos tales como la complejidad de la comprobación técnica de las emisiones radioeléctricas, la imposición de sanciones, etc.</w:t>
      </w:r>
    </w:p>
    <w:p w14:paraId="4B9042EC" w14:textId="77777777" w:rsidR="00F73D5B" w:rsidRPr="008B7A21" w:rsidRDefault="00F73D5B" w:rsidP="00F73D5B">
      <w:pPr>
        <w:rPr>
          <w:lang w:val="es-ES_tradnl"/>
        </w:rPr>
      </w:pPr>
      <w:r w:rsidRPr="008B7A21">
        <w:rPr>
          <w:lang w:val="es-ES_tradnl"/>
        </w:rPr>
        <w:t>El modelo propuesto permite al usuario determinar en todo momento el valor de su pago anual por el espectro y por ello lo hace transparente y accesible a todos los usuarios. Por consiguiente, si el usuario utiliza una mayor anchura de banda y zona de servicio, actúa en una zona geográfica más poblada o la zona está más desarrollada económicamente y funciona a tiempo completo en bandas de frecuencias más congestionadas, mayor será el pago que deba efectuar.</w:t>
      </w:r>
    </w:p>
    <w:p w14:paraId="7864273B" w14:textId="77777777" w:rsidR="00F73D5B" w:rsidRPr="008B7A21" w:rsidRDefault="00F73D5B" w:rsidP="00F73D5B">
      <w:pPr>
        <w:rPr>
          <w:lang w:val="es-ES_tradnl"/>
        </w:rPr>
      </w:pPr>
      <w:r w:rsidRPr="008B7A21">
        <w:rPr>
          <w:lang w:val="es-ES_tradnl"/>
        </w:rPr>
        <w:t>El método fomenta de esta manera una utilización más eficiente del espectro y constituye un incentivo para que el usuario emplee los equipos más modernos y explote las nuevas bandas de frecuencias más elevadas. También debe alentar la utilización si es posible del régimen de tiempo compartido con otros usuarios evitando utilizar márgenes redundantes para la potencia de un transmisor y altura de antena etc., y considerar la expansión de su cobertura a zonas rurales y distantes.</w:t>
      </w:r>
    </w:p>
    <w:p w14:paraId="3541F7EC" w14:textId="77777777" w:rsidR="00F73D5B" w:rsidRPr="008B7A21" w:rsidRDefault="00F73D5B" w:rsidP="00F73D5B">
      <w:pPr>
        <w:pStyle w:val="Heading3"/>
        <w:rPr>
          <w:lang w:val="es-ES_tradnl"/>
        </w:rPr>
      </w:pPr>
      <w:bookmarkStart w:id="1218" w:name="_Toc306276858"/>
      <w:bookmarkStart w:id="1219" w:name="_Toc307921533"/>
      <w:bookmarkStart w:id="1220" w:name="_Toc307922100"/>
      <w:bookmarkStart w:id="1221" w:name="_Toc307922601"/>
      <w:bookmarkStart w:id="1222" w:name="_Toc307991950"/>
      <w:bookmarkStart w:id="1223" w:name="_Toc307993983"/>
      <w:bookmarkStart w:id="1224" w:name="_Toc307995245"/>
      <w:bookmarkStart w:id="1225" w:name="_Toc307996389"/>
      <w:bookmarkStart w:id="1226" w:name="_Toc308010364"/>
      <w:bookmarkStart w:id="1227" w:name="_Toc499563027"/>
      <w:bookmarkStart w:id="1228" w:name="_Toc215835399"/>
      <w:r w:rsidRPr="008B7A21">
        <w:rPr>
          <w:lang w:val="es-ES_tradnl"/>
        </w:rPr>
        <w:t>4.6.2</w:t>
      </w:r>
      <w:r w:rsidRPr="008B7A21">
        <w:rPr>
          <w:lang w:val="es-ES_tradnl"/>
        </w:rPr>
        <w:tab/>
        <w:t>Etapas en la formulación del modelo</w:t>
      </w:r>
      <w:bookmarkEnd w:id="1218"/>
      <w:bookmarkEnd w:id="1219"/>
      <w:bookmarkEnd w:id="1220"/>
      <w:bookmarkEnd w:id="1221"/>
      <w:bookmarkEnd w:id="1222"/>
      <w:bookmarkEnd w:id="1223"/>
      <w:bookmarkEnd w:id="1224"/>
      <w:bookmarkEnd w:id="1225"/>
      <w:bookmarkEnd w:id="1226"/>
      <w:bookmarkEnd w:id="1227"/>
      <w:bookmarkEnd w:id="1228"/>
    </w:p>
    <w:p w14:paraId="3ED0EB61" w14:textId="77777777" w:rsidR="00F73D5B" w:rsidRPr="008B7A21" w:rsidRDefault="00F73D5B" w:rsidP="00F73D5B">
      <w:pPr>
        <w:rPr>
          <w:lang w:val="es-ES_tradnl"/>
        </w:rPr>
      </w:pPr>
      <w:r w:rsidRPr="008B7A21">
        <w:rPr>
          <w:lang w:val="es-ES_tradnl"/>
        </w:rPr>
        <w:t>El algoritmo de pago del espectro propuesto incluye las siguientes etapas:</w:t>
      </w:r>
    </w:p>
    <w:p w14:paraId="6FE2CF7D" w14:textId="77777777" w:rsidR="00F73D5B" w:rsidRPr="008B7A21" w:rsidRDefault="00F73D5B" w:rsidP="00F73D5B">
      <w:pPr>
        <w:pStyle w:val="enumlev1"/>
        <w:rPr>
          <w:lang w:val="es-ES_tradnl"/>
        </w:rPr>
      </w:pPr>
      <w:r w:rsidRPr="008B7A21">
        <w:rPr>
          <w:lang w:val="es-ES_tradnl"/>
        </w:rPr>
        <w:t>–</w:t>
      </w:r>
      <w:r w:rsidRPr="008B7A21">
        <w:rPr>
          <w:lang w:val="es-ES_tradnl"/>
        </w:rPr>
        <w:tab/>
        <w:t>Determinación de los gastos anuales en que incurre el Estado por la gestión del recurso espectral realmente utilizado y determinación del valor total de los pagos anuales correspondientes a todo el espectro utilizado.</w:t>
      </w:r>
    </w:p>
    <w:p w14:paraId="6B3ED3C9" w14:textId="77777777" w:rsidR="00F73D5B" w:rsidRPr="008B7A21" w:rsidRDefault="00F73D5B" w:rsidP="00F73D5B">
      <w:pPr>
        <w:pStyle w:val="enumlev1"/>
        <w:rPr>
          <w:lang w:val="es-ES_tradnl"/>
        </w:rPr>
      </w:pPr>
      <w:r w:rsidRPr="008B7A21">
        <w:rPr>
          <w:lang w:val="es-ES_tradnl"/>
        </w:rPr>
        <w:t>–</w:t>
      </w:r>
      <w:r w:rsidRPr="008B7A21">
        <w:rPr>
          <w:lang w:val="es-ES_tradnl"/>
        </w:rPr>
        <w:tab/>
        <w:t>Determinación del valor del espectro utilizado por cada estación radioeléctrica y, mediante suma, por todas las estaciones inscritas en una base nacional de gestión del espectro.</w:t>
      </w:r>
    </w:p>
    <w:p w14:paraId="644FBD14" w14:textId="77777777" w:rsidR="00F73D5B" w:rsidRPr="008B7A21" w:rsidRDefault="00F73D5B" w:rsidP="00F73D5B">
      <w:pPr>
        <w:pStyle w:val="enumlev1"/>
        <w:rPr>
          <w:lang w:val="es-ES_tradnl"/>
        </w:rPr>
      </w:pPr>
      <w:r w:rsidRPr="008B7A21">
        <w:rPr>
          <w:lang w:val="es-ES_tradnl"/>
        </w:rPr>
        <w:t>–</w:t>
      </w:r>
      <w:r w:rsidRPr="008B7A21">
        <w:rPr>
          <w:lang w:val="es-ES_tradnl"/>
        </w:rPr>
        <w:tab/>
        <w:t>Determinación del precio por unidad de espectro.</w:t>
      </w:r>
    </w:p>
    <w:p w14:paraId="62159A3B" w14:textId="77777777" w:rsidR="00F73D5B" w:rsidRPr="008B7A21" w:rsidRDefault="00F73D5B" w:rsidP="00F73D5B">
      <w:pPr>
        <w:pStyle w:val="enumlev1"/>
        <w:rPr>
          <w:lang w:val="es-ES_tradnl"/>
        </w:rPr>
      </w:pPr>
      <w:r w:rsidRPr="008B7A21">
        <w:rPr>
          <w:lang w:val="es-ES_tradnl"/>
        </w:rPr>
        <w:t>–</w:t>
      </w:r>
      <w:r w:rsidRPr="008B7A21">
        <w:rPr>
          <w:lang w:val="es-ES_tradnl"/>
        </w:rPr>
        <w:tab/>
        <w:t>Determinación del pago anual que debe realizar un usuario específico de forma diferencial y no discriminatoria, pago que se basa en el valor real del espectro utilizado.</w:t>
      </w:r>
    </w:p>
    <w:p w14:paraId="71CAADD6" w14:textId="77777777" w:rsidR="00F73D5B" w:rsidRPr="008B7A21" w:rsidRDefault="00F73D5B" w:rsidP="00F73D5B">
      <w:pPr>
        <w:rPr>
          <w:lang w:val="es-ES_tradnl"/>
        </w:rPr>
      </w:pPr>
      <w:r w:rsidRPr="008B7A21">
        <w:rPr>
          <w:lang w:val="es-ES_tradnl"/>
        </w:rPr>
        <w:t>Cada una de estas etapas se describe con detalle a continuación.</w:t>
      </w:r>
    </w:p>
    <w:p w14:paraId="077BD3DF" w14:textId="77777777" w:rsidR="00F73D5B" w:rsidRPr="008B7A21" w:rsidRDefault="00F73D5B" w:rsidP="00F73D5B">
      <w:pPr>
        <w:pStyle w:val="Heading3"/>
        <w:rPr>
          <w:lang w:val="es-ES_tradnl"/>
        </w:rPr>
      </w:pPr>
      <w:bookmarkStart w:id="1229" w:name="_Toc306276859"/>
      <w:bookmarkStart w:id="1230" w:name="_Toc307921534"/>
      <w:bookmarkStart w:id="1231" w:name="_Toc307922101"/>
      <w:bookmarkStart w:id="1232" w:name="_Toc307922602"/>
      <w:bookmarkStart w:id="1233" w:name="_Toc307991951"/>
      <w:bookmarkStart w:id="1234" w:name="_Toc307993984"/>
      <w:bookmarkStart w:id="1235" w:name="_Toc307995246"/>
      <w:bookmarkStart w:id="1236" w:name="_Toc307996390"/>
      <w:bookmarkStart w:id="1237" w:name="_Toc308010365"/>
      <w:bookmarkStart w:id="1238" w:name="_Toc499563028"/>
      <w:bookmarkStart w:id="1239" w:name="_Toc215835400"/>
      <w:r w:rsidRPr="008B7A21">
        <w:rPr>
          <w:lang w:val="es-ES_tradnl"/>
        </w:rPr>
        <w:t>4.6.3</w:t>
      </w:r>
      <w:r w:rsidRPr="008B7A21">
        <w:rPr>
          <w:lang w:val="es-ES_tradnl"/>
        </w:rPr>
        <w:tab/>
        <w:t>Principios generales para el desarrollo del modelo</w:t>
      </w:r>
      <w:bookmarkEnd w:id="1229"/>
      <w:bookmarkEnd w:id="1230"/>
      <w:bookmarkEnd w:id="1231"/>
      <w:bookmarkEnd w:id="1232"/>
      <w:bookmarkEnd w:id="1233"/>
      <w:bookmarkEnd w:id="1234"/>
      <w:bookmarkEnd w:id="1235"/>
      <w:bookmarkEnd w:id="1236"/>
      <w:bookmarkEnd w:id="1237"/>
      <w:bookmarkEnd w:id="1238"/>
      <w:bookmarkEnd w:id="1239"/>
    </w:p>
    <w:p w14:paraId="347BBF7F" w14:textId="77777777" w:rsidR="00F73D5B" w:rsidRPr="008B7A21" w:rsidRDefault="00F73D5B" w:rsidP="00F73D5B">
      <w:pPr>
        <w:rPr>
          <w:lang w:val="es-ES_tradnl"/>
        </w:rPr>
      </w:pPr>
      <w:r w:rsidRPr="008B7A21">
        <w:rPr>
          <w:lang w:val="es-ES_tradnl"/>
        </w:rPr>
        <w:t>Es necesario destacar que el número y valores de todos los coeficientes en particular que aparecen más adelante se indican sólo a título ilustrativo. Se basan en los datos disponibles y en las estimaciones realizadas por los expertos aplicándolas a los países del Sureste asiático. Cada administración nacional de telecomunicaciones puede elegir otros valores y añadir otros coeficientes que reflejen sus necesidades y experiencias particulares. Todos los valores de los coeficientes, a menos que se indique específicamente otra cosa, pueden ser números enteros o números fraccionarios.</w:t>
      </w:r>
    </w:p>
    <w:p w14:paraId="0A6E286F" w14:textId="77777777" w:rsidR="00F73D5B" w:rsidRPr="008B7A21" w:rsidRDefault="00F73D5B" w:rsidP="00F73D5B">
      <w:pPr>
        <w:rPr>
          <w:lang w:val="es-ES_tradnl"/>
        </w:rPr>
      </w:pPr>
      <w:r w:rsidRPr="008B7A21">
        <w:rPr>
          <w:lang w:val="es-ES_tradnl"/>
        </w:rPr>
        <w:t>El modelo tiene por objeto cubrir los casos (que son la gran mayoría de las asignaciones de frecuencia) en los cuales pueden utilizarse métodos de cálculo simplificados de algunos parámetros importantes (principalmente zonas de servicio o zonas ocupadas).</w:t>
      </w:r>
    </w:p>
    <w:p w14:paraId="3F11CDC4" w14:textId="77777777" w:rsidR="00F73D5B" w:rsidRPr="008B7A21" w:rsidRDefault="00F73D5B" w:rsidP="00F73D5B">
      <w:pPr>
        <w:rPr>
          <w:lang w:val="es-ES_tradnl"/>
        </w:rPr>
      </w:pPr>
      <w:r w:rsidRPr="008B7A21">
        <w:rPr>
          <w:lang w:val="es-ES_tradnl"/>
        </w:rPr>
        <w:t>Este método se ha elegido también en el entendido de que, a efectos de determinar los cánones, es mucho más importante establecer procedimientos universales para garantizar la igualdad de condiciones a todos los usuarios pertenecientes a un grupo (según el servicio de radiocomunicaciones o su aplicación particular) que obtener una alta precisión en los cálculos de los parámetros técnicos.</w:t>
      </w:r>
    </w:p>
    <w:p w14:paraId="290FAED2" w14:textId="77777777" w:rsidR="00F73D5B" w:rsidRPr="008B7A21" w:rsidRDefault="00F73D5B" w:rsidP="00F73D5B">
      <w:pPr>
        <w:rPr>
          <w:lang w:val="es-ES_tradnl"/>
        </w:rPr>
      </w:pPr>
      <w:r w:rsidRPr="008B7A21">
        <w:rPr>
          <w:lang w:val="es-ES_tradnl"/>
        </w:rPr>
        <w:t>Basándose en el principio general de que no sólo los transmisores sino también los receptores ocupan parte del espectro, impidiendo así el funcionamiento a otros transmisores (distintos a aquel con el que se está comunicando) en una banda de frecuencias en particular dentro de los límites de un territorio concreto (Recomendación UIT-R SM.1046-2), el modelo puede utilizarse a fin de calcular los cánones para los receptores, también en el caso en que un usuario requiere protección de un receptor contra interferencias estando inscrito en una base de datos nacional de asignación de frecuencias.</w:t>
      </w:r>
    </w:p>
    <w:p w14:paraId="59B2873A" w14:textId="77777777" w:rsidR="00F73D5B" w:rsidRPr="008B7A21" w:rsidRDefault="00F73D5B" w:rsidP="00F73D5B">
      <w:pPr>
        <w:rPr>
          <w:lang w:val="es-ES_tradnl"/>
        </w:rPr>
      </w:pPr>
      <w:r w:rsidRPr="008B7A21">
        <w:rPr>
          <w:lang w:val="es-ES_tradnl"/>
        </w:rPr>
        <w:t>El Anexo 1 a la Recomendación UIT-R SM.1046-2 también presenta algunas opciones a las administraciones sobre la simplificación de los procedimientos de cálculo, que suponen una disminución en la precisión del cálculo o cierta complicación para aumentar la precisión del cálculo.</w:t>
      </w:r>
    </w:p>
    <w:p w14:paraId="30FAAD37" w14:textId="77777777" w:rsidR="00F73D5B" w:rsidRPr="008B7A21" w:rsidRDefault="00F73D5B" w:rsidP="00F73D5B">
      <w:pPr>
        <w:rPr>
          <w:lang w:val="es-ES_tradnl"/>
        </w:rPr>
      </w:pPr>
      <w:r w:rsidRPr="008B7A21">
        <w:rPr>
          <w:lang w:val="es-ES_tradnl"/>
        </w:rPr>
        <w:t>En algunos nuevos sistemas de radiocomunicaciones en los que los cálculos de la zona de servicio o de la banda de frecuencias ocupada son muy complicados y no han sido definitivamente estipulados (sistemas de espectro ensanchado, comunicaciones móviles por satélite que utilizan órbitas medias o bajas, etc.) pueden posponerse los cálculos y seguir utilizándose cánones de licencia fijos.</w:t>
      </w:r>
    </w:p>
    <w:p w14:paraId="1BD3D519" w14:textId="77777777" w:rsidR="00F73D5B" w:rsidRPr="008B7A21" w:rsidRDefault="00F73D5B" w:rsidP="00F73D5B">
      <w:pPr>
        <w:pStyle w:val="Heading3"/>
        <w:rPr>
          <w:lang w:val="es-ES_tradnl"/>
        </w:rPr>
      </w:pPr>
      <w:bookmarkStart w:id="1240" w:name="_Toc306276860"/>
      <w:bookmarkStart w:id="1241" w:name="_Toc307921535"/>
      <w:bookmarkStart w:id="1242" w:name="_Toc307922102"/>
      <w:bookmarkStart w:id="1243" w:name="_Toc307922603"/>
      <w:bookmarkStart w:id="1244" w:name="_Toc307991952"/>
      <w:bookmarkStart w:id="1245" w:name="_Toc307993985"/>
      <w:bookmarkStart w:id="1246" w:name="_Toc307995247"/>
      <w:bookmarkStart w:id="1247" w:name="_Toc307996391"/>
      <w:bookmarkStart w:id="1248" w:name="_Toc308010366"/>
      <w:bookmarkStart w:id="1249" w:name="_Toc499563029"/>
      <w:bookmarkStart w:id="1250" w:name="_Toc215835401"/>
      <w:r w:rsidRPr="008B7A21">
        <w:rPr>
          <w:lang w:val="es-ES_tradnl"/>
        </w:rPr>
        <w:t>4.6.4</w:t>
      </w:r>
      <w:r w:rsidRPr="008B7A21">
        <w:rPr>
          <w:lang w:val="es-ES_tradnl"/>
        </w:rPr>
        <w:tab/>
        <w:t>Gastos e ingresos del Estado derivados de la gestión del espectro</w:t>
      </w:r>
      <w:bookmarkEnd w:id="1240"/>
      <w:bookmarkEnd w:id="1241"/>
      <w:bookmarkEnd w:id="1242"/>
      <w:bookmarkEnd w:id="1243"/>
      <w:bookmarkEnd w:id="1244"/>
      <w:bookmarkEnd w:id="1245"/>
      <w:bookmarkEnd w:id="1246"/>
      <w:bookmarkEnd w:id="1247"/>
      <w:bookmarkEnd w:id="1248"/>
      <w:bookmarkEnd w:id="1249"/>
      <w:bookmarkEnd w:id="1250"/>
    </w:p>
    <w:p w14:paraId="28A2E9D0" w14:textId="77777777" w:rsidR="00F73D5B" w:rsidRPr="008B7A21" w:rsidRDefault="00F73D5B" w:rsidP="00F73D5B">
      <w:pPr>
        <w:rPr>
          <w:lang w:val="es-ES_tradnl"/>
        </w:rPr>
      </w:pPr>
      <w:r w:rsidRPr="008B7A21">
        <w:rPr>
          <w:lang w:val="es-ES_tradnl"/>
        </w:rPr>
        <w:t>Este punto presenta el marco bajo el que pueden considerarse los costes en que incurre el Estado o la administración relativos a la gestión del espectro.</w:t>
      </w:r>
    </w:p>
    <w:p w14:paraId="0CF0A037" w14:textId="77777777" w:rsidR="00F73D5B" w:rsidRPr="008B7A21" w:rsidRDefault="00F73D5B" w:rsidP="00F73D5B">
      <w:pPr>
        <w:rPr>
          <w:lang w:val="es-ES_tradnl"/>
        </w:rPr>
      </w:pPr>
      <w:r w:rsidRPr="008B7A21">
        <w:rPr>
          <w:lang w:val="es-ES_tradnl"/>
        </w:rPr>
        <w:t xml:space="preserve">El total de los pagos anuales por utilización del espectro </w:t>
      </w:r>
      <w:r w:rsidRPr="008B7A21">
        <w:rPr>
          <w:i/>
          <w:lang w:val="es-ES_tradnl"/>
        </w:rPr>
        <w:t>C</w:t>
      </w:r>
      <w:r w:rsidRPr="008B7A21">
        <w:rPr>
          <w:i/>
          <w:vertAlign w:val="subscript"/>
          <w:lang w:val="es-ES_tradnl"/>
        </w:rPr>
        <w:t>an</w:t>
      </w:r>
      <w:r w:rsidRPr="008B7A21">
        <w:rPr>
          <w:lang w:val="es-ES_tradnl"/>
        </w:rPr>
        <w:t>, recaudados de todos los usuarios, puede calcularse de la forma siguiente:</w:t>
      </w:r>
    </w:p>
    <w:p w14:paraId="063F14AF" w14:textId="77777777" w:rsidR="00F73D5B" w:rsidRPr="008B7A21" w:rsidRDefault="00F73D5B" w:rsidP="00F73D5B">
      <w:pPr>
        <w:pStyle w:val="Blanc"/>
        <w:rPr>
          <w:lang w:val="es-ES_tradnl"/>
        </w:rPr>
      </w:pPr>
    </w:p>
    <w:p w14:paraId="3D09219E" w14:textId="147CE6C3" w:rsidR="00F73D5B" w:rsidRPr="008B7A21" w:rsidRDefault="00F73D5B" w:rsidP="00F73D5B">
      <w:pPr>
        <w:pStyle w:val="Equation"/>
        <w:rPr>
          <w:lang w:val="es-ES_tradnl"/>
        </w:rPr>
      </w:pPr>
      <w:r w:rsidRPr="008B7A21">
        <w:rPr>
          <w:lang w:val="es-ES_tradnl"/>
        </w:rPr>
        <w:tab/>
      </w:r>
      <w:r w:rsidRPr="008B7A21">
        <w:rPr>
          <w:lang w:val="es-ES_tradnl"/>
        </w:rPr>
        <w:tab/>
      </w:r>
      <w:r w:rsidRPr="008B7A21">
        <w:rPr>
          <w:i/>
          <w:iCs/>
          <w:lang w:val="es-ES_tradnl"/>
        </w:rPr>
        <w:t>C</w:t>
      </w:r>
      <w:r w:rsidRPr="008B7A21">
        <w:rPr>
          <w:i/>
          <w:iCs/>
          <w:vertAlign w:val="subscript"/>
          <w:lang w:val="es-ES_tradnl"/>
        </w:rPr>
        <w:t>an</w:t>
      </w:r>
      <w:r w:rsidRPr="008B7A21">
        <w:rPr>
          <w:lang w:val="es-ES_tradnl"/>
        </w:rPr>
        <w:t xml:space="preserve"> </w:t>
      </w:r>
      <w:r w:rsidR="00386EEF">
        <w:rPr>
          <w:lang w:val="es-ES_tradnl"/>
        </w:rPr>
        <w:t>=</w:t>
      </w:r>
      <w:r w:rsidRPr="008B7A21">
        <w:rPr>
          <w:lang w:val="es-ES_tradnl"/>
        </w:rPr>
        <w:t xml:space="preserve"> </w:t>
      </w:r>
      <w:r w:rsidRPr="008B7A21">
        <w:rPr>
          <w:i/>
          <w:iCs/>
          <w:lang w:val="es-ES_tradnl"/>
        </w:rPr>
        <w:t>C</w:t>
      </w:r>
      <w:r w:rsidRPr="008B7A21">
        <w:rPr>
          <w:vertAlign w:val="subscript"/>
          <w:lang w:val="es-ES_tradnl"/>
        </w:rPr>
        <w:t>1</w:t>
      </w:r>
      <w:r w:rsidRPr="008B7A21">
        <w:rPr>
          <w:lang w:val="es-ES_tradnl"/>
        </w:rPr>
        <w:t xml:space="preserve"> </w:t>
      </w:r>
      <w:r w:rsidR="00386EEF" w:rsidRPr="00386EEF">
        <w:sym w:font="Symbol" w:char="F02B"/>
      </w:r>
      <w:r w:rsidRPr="008B7A21">
        <w:rPr>
          <w:lang w:val="es-ES_tradnl"/>
        </w:rPr>
        <w:t xml:space="preserve"> </w:t>
      </w:r>
      <w:r w:rsidRPr="008B7A21">
        <w:rPr>
          <w:i/>
          <w:iCs/>
          <w:lang w:val="es-ES_tradnl"/>
        </w:rPr>
        <w:t>C</w:t>
      </w:r>
      <w:r w:rsidRPr="008B7A21">
        <w:rPr>
          <w:vertAlign w:val="subscript"/>
          <w:lang w:val="es-ES_tradnl"/>
        </w:rPr>
        <w:t>2</w:t>
      </w:r>
      <w:r w:rsidRPr="008B7A21">
        <w:rPr>
          <w:lang w:val="es-ES_tradnl"/>
        </w:rPr>
        <w:t xml:space="preserve"> – </w:t>
      </w:r>
      <w:r w:rsidRPr="008B7A21">
        <w:rPr>
          <w:i/>
          <w:iCs/>
          <w:lang w:val="es-ES_tradnl"/>
        </w:rPr>
        <w:t>I</w:t>
      </w:r>
      <w:r w:rsidRPr="008B7A21">
        <w:rPr>
          <w:i/>
          <w:iCs/>
          <w:vertAlign w:val="subscript"/>
          <w:lang w:val="es-ES_tradnl"/>
        </w:rPr>
        <w:t>an</w:t>
      </w:r>
      <w:r w:rsidRPr="008B7A21">
        <w:rPr>
          <w:lang w:val="es-ES_tradnl"/>
        </w:rPr>
        <w:t>     (unidades de una divisa nacional)</w:t>
      </w:r>
      <w:r w:rsidRPr="008B7A21">
        <w:rPr>
          <w:lang w:val="es-ES_tradnl"/>
        </w:rPr>
        <w:tab/>
        <w:t>(17)</w:t>
      </w:r>
    </w:p>
    <w:p w14:paraId="225B6C0A" w14:textId="77777777" w:rsidR="00F73D5B" w:rsidRPr="008B7A21" w:rsidRDefault="00F73D5B" w:rsidP="00F73D5B">
      <w:pPr>
        <w:pStyle w:val="Blanc"/>
        <w:rPr>
          <w:lang w:val="es-ES_tradnl"/>
        </w:rPr>
      </w:pPr>
    </w:p>
    <w:p w14:paraId="284C739B" w14:textId="77777777" w:rsidR="00F73D5B" w:rsidRPr="008B7A21" w:rsidRDefault="00F73D5B" w:rsidP="00F73D5B">
      <w:pPr>
        <w:rPr>
          <w:lang w:val="es-ES_tradnl"/>
        </w:rPr>
      </w:pPr>
      <w:r w:rsidRPr="008B7A21">
        <w:rPr>
          <w:lang w:val="es-ES_tradnl"/>
        </w:rPr>
        <w:t>donde:</w:t>
      </w:r>
    </w:p>
    <w:p w14:paraId="17FBCF16" w14:textId="77777777" w:rsidR="00F73D5B" w:rsidRPr="008B7A21" w:rsidRDefault="00F73D5B" w:rsidP="00F73D5B">
      <w:pPr>
        <w:pStyle w:val="Equationlegend"/>
        <w:rPr>
          <w:lang w:val="es-ES_tradnl"/>
        </w:rPr>
      </w:pPr>
      <w:r w:rsidRPr="008B7A21">
        <w:rPr>
          <w:i/>
          <w:lang w:val="es-ES_tradnl"/>
        </w:rPr>
        <w:tab/>
        <w:t>C</w:t>
      </w:r>
      <w:r w:rsidRPr="008B7A21">
        <w:rPr>
          <w:vertAlign w:val="subscript"/>
          <w:lang w:val="es-ES_tradnl"/>
        </w:rPr>
        <w:t>1</w:t>
      </w:r>
      <w:r w:rsidRPr="008B7A21">
        <w:rPr>
          <w:iCs/>
          <w:lang w:val="es-ES_tradnl"/>
        </w:rPr>
        <w:t>:</w:t>
      </w:r>
      <w:r w:rsidRPr="008B7A21">
        <w:rPr>
          <w:i/>
          <w:lang w:val="es-ES_tradnl"/>
        </w:rPr>
        <w:tab/>
      </w:r>
      <w:r w:rsidRPr="008B7A21">
        <w:rPr>
          <w:lang w:val="es-ES_tradnl"/>
        </w:rPr>
        <w:t>parte de la suma necesaria para cubrir los gastos del Estado relativos a todas las actividades de gestión del espectro nacional e internacional</w:t>
      </w:r>
    </w:p>
    <w:p w14:paraId="3244474D" w14:textId="77777777" w:rsidR="00F73D5B" w:rsidRPr="008B7A21" w:rsidRDefault="00F73D5B" w:rsidP="00F73D5B">
      <w:pPr>
        <w:pStyle w:val="Equationlegend"/>
        <w:rPr>
          <w:lang w:val="es-ES_tradnl"/>
        </w:rPr>
      </w:pPr>
      <w:r w:rsidRPr="008B7A21">
        <w:rPr>
          <w:i/>
          <w:lang w:val="es-ES_tradnl"/>
        </w:rPr>
        <w:tab/>
        <w:t>C</w:t>
      </w:r>
      <w:r w:rsidRPr="008B7A21">
        <w:rPr>
          <w:vertAlign w:val="subscript"/>
          <w:lang w:val="es-ES_tradnl"/>
        </w:rPr>
        <w:t>2</w:t>
      </w:r>
      <w:r w:rsidRPr="008B7A21">
        <w:rPr>
          <w:iCs/>
          <w:lang w:val="es-ES_tradnl"/>
        </w:rPr>
        <w:t>:</w:t>
      </w:r>
      <w:r w:rsidRPr="008B7A21">
        <w:rPr>
          <w:i/>
          <w:lang w:val="es-ES_tradnl"/>
        </w:rPr>
        <w:tab/>
      </w:r>
      <w:r w:rsidRPr="008B7A21">
        <w:rPr>
          <w:lang w:val="es-ES_tradnl"/>
        </w:rPr>
        <w:t>ingresos netos del Estado, si ha lugar</w:t>
      </w:r>
    </w:p>
    <w:p w14:paraId="00701351" w14:textId="77777777" w:rsidR="00F73D5B" w:rsidRPr="008B7A21" w:rsidRDefault="00F73D5B" w:rsidP="00F73D5B">
      <w:pPr>
        <w:pStyle w:val="Equationlegend"/>
        <w:rPr>
          <w:lang w:val="es-ES_tradnl"/>
        </w:rPr>
      </w:pPr>
      <w:r w:rsidRPr="008B7A21">
        <w:rPr>
          <w:i/>
          <w:lang w:val="es-ES_tradnl"/>
        </w:rPr>
        <w:tab/>
        <w:t>I</w:t>
      </w:r>
      <w:r w:rsidRPr="008B7A21">
        <w:rPr>
          <w:i/>
          <w:iCs/>
          <w:vertAlign w:val="subscript"/>
          <w:lang w:val="es-ES_tradnl"/>
        </w:rPr>
        <w:t>an</w:t>
      </w:r>
      <w:r w:rsidRPr="008B7A21">
        <w:rPr>
          <w:iCs/>
          <w:lang w:val="es-ES_tradnl"/>
        </w:rPr>
        <w:t>:</w:t>
      </w:r>
      <w:r w:rsidRPr="008B7A21">
        <w:rPr>
          <w:i/>
          <w:lang w:val="es-ES_tradnl"/>
        </w:rPr>
        <w:tab/>
      </w:r>
      <w:r w:rsidRPr="008B7A21">
        <w:rPr>
          <w:iCs/>
          <w:lang w:val="es-ES_tradnl"/>
        </w:rPr>
        <w:t>cantidad t</w:t>
      </w:r>
      <w:r w:rsidRPr="008B7A21">
        <w:rPr>
          <w:lang w:val="es-ES_tradnl"/>
        </w:rPr>
        <w:t>otal de las tasas de inspección de las radiocomunicaciones, si ha lugar.</w:t>
      </w:r>
    </w:p>
    <w:p w14:paraId="66A1C2B2" w14:textId="77777777" w:rsidR="00F73D5B" w:rsidRPr="008B7A21" w:rsidRDefault="00F73D5B" w:rsidP="00F73D5B">
      <w:pPr>
        <w:rPr>
          <w:lang w:val="es-ES_tradnl"/>
        </w:rPr>
      </w:pPr>
      <w:r w:rsidRPr="008B7A21">
        <w:rPr>
          <w:lang w:val="es-ES_tradnl"/>
        </w:rPr>
        <w:t>El último término se aplica si una administración utiliza tarifas adicionales por separado para las actividades de inspección y tramitación (tramitación del formulario de solicitud de asignaciones de frecuencias, inspección de las estaciones radioeléctricas tras su instalación antes de que entren en funcionamiento, inspección sistemática de las instalaciones radioeléctricas para verificar su conformidad con los términos de la licencia, etc.). Este valor se puede valorar para cada año basándose en los datos obtenidos en años anteriores.</w:t>
      </w:r>
    </w:p>
    <w:p w14:paraId="66B71050" w14:textId="77777777" w:rsidR="00F73D5B" w:rsidRPr="008B7A21" w:rsidRDefault="00F73D5B" w:rsidP="00F73D5B">
      <w:pPr>
        <w:rPr>
          <w:lang w:val="es-ES_tradnl"/>
        </w:rPr>
      </w:pPr>
      <w:r w:rsidRPr="008B7A21">
        <w:rPr>
          <w:lang w:val="es-ES_tradnl"/>
        </w:rPr>
        <w:t xml:space="preserve">Los términos </w:t>
      </w:r>
      <w:r w:rsidRPr="008B7A21">
        <w:rPr>
          <w:i/>
          <w:lang w:val="es-ES_tradnl"/>
        </w:rPr>
        <w:t>C</w:t>
      </w:r>
      <w:r w:rsidRPr="008B7A21">
        <w:rPr>
          <w:vertAlign w:val="subscript"/>
          <w:lang w:val="es-ES_tradnl"/>
        </w:rPr>
        <w:t>1</w:t>
      </w:r>
      <w:r w:rsidRPr="008B7A21">
        <w:rPr>
          <w:lang w:val="es-ES_tradnl"/>
        </w:rPr>
        <w:t xml:space="preserve"> y </w:t>
      </w:r>
      <w:r w:rsidRPr="008B7A21">
        <w:rPr>
          <w:i/>
          <w:lang w:val="es-ES_tradnl"/>
        </w:rPr>
        <w:t>C</w:t>
      </w:r>
      <w:r w:rsidRPr="008B7A21">
        <w:rPr>
          <w:vertAlign w:val="subscript"/>
          <w:lang w:val="es-ES_tradnl"/>
        </w:rPr>
        <w:t>2</w:t>
      </w:r>
      <w:r w:rsidRPr="008B7A21">
        <w:rPr>
          <w:lang w:val="es-ES_tradnl"/>
        </w:rPr>
        <w:t xml:space="preserve"> se pueden desglosar en distintos componentes:</w:t>
      </w:r>
    </w:p>
    <w:p w14:paraId="17F9B6B7" w14:textId="77777777" w:rsidR="00F73D5B" w:rsidRPr="008B7A21" w:rsidRDefault="00F73D5B" w:rsidP="00F73D5B">
      <w:pPr>
        <w:pStyle w:val="Blanc"/>
        <w:rPr>
          <w:lang w:val="es-ES_tradnl"/>
        </w:rPr>
      </w:pPr>
    </w:p>
    <w:p w14:paraId="61E3424D" w14:textId="0A8F9FC0" w:rsidR="00F73D5B" w:rsidRPr="008B7A21" w:rsidRDefault="00F73D5B" w:rsidP="00F73D5B">
      <w:pPr>
        <w:pStyle w:val="Equation"/>
        <w:rPr>
          <w:lang w:val="es-ES_tradnl"/>
        </w:rPr>
      </w:pPr>
      <w:r w:rsidRPr="008B7A21">
        <w:rPr>
          <w:lang w:val="es-ES_tradnl"/>
        </w:rPr>
        <w:tab/>
      </w:r>
      <w:r w:rsidRPr="008B7A21">
        <w:rPr>
          <w:lang w:val="es-ES_tradnl"/>
        </w:rPr>
        <w:tab/>
      </w:r>
      <w:r w:rsidRPr="008B7A21">
        <w:rPr>
          <w:i/>
          <w:iCs/>
          <w:lang w:val="es-ES_tradnl"/>
        </w:rPr>
        <w:t>C</w:t>
      </w:r>
      <w:r w:rsidRPr="008B7A21">
        <w:rPr>
          <w:vertAlign w:val="subscript"/>
          <w:lang w:val="es-ES_tradnl"/>
        </w:rPr>
        <w:t>1</w:t>
      </w:r>
      <w:r w:rsidRPr="008B7A21">
        <w:rPr>
          <w:lang w:val="es-ES_tradnl"/>
        </w:rPr>
        <w:t xml:space="preserve"> </w:t>
      </w:r>
      <w:r w:rsidR="00386EEF">
        <w:rPr>
          <w:lang w:val="es-ES_tradnl"/>
        </w:rPr>
        <w:t>=</w:t>
      </w:r>
      <w:r w:rsidRPr="008B7A21">
        <w:rPr>
          <w:lang w:val="es-ES_tradnl"/>
        </w:rPr>
        <w:t xml:space="preserve"> </w:t>
      </w:r>
      <w:r w:rsidRPr="008B7A21">
        <w:rPr>
          <w:i/>
          <w:iCs/>
          <w:lang w:val="es-ES_tradnl"/>
        </w:rPr>
        <w:t>C</w:t>
      </w:r>
      <w:r w:rsidRPr="008B7A21">
        <w:rPr>
          <w:vertAlign w:val="subscript"/>
          <w:lang w:val="es-ES_tradnl"/>
        </w:rPr>
        <w:t>11</w:t>
      </w:r>
      <w:r w:rsidRPr="008B7A21">
        <w:rPr>
          <w:lang w:val="es-ES_tradnl"/>
        </w:rPr>
        <w:t xml:space="preserve"> </w:t>
      </w:r>
      <w:r w:rsidR="00386EEF" w:rsidRPr="00386EEF">
        <w:sym w:font="Symbol" w:char="F02B"/>
      </w:r>
      <w:r w:rsidRPr="008B7A21">
        <w:rPr>
          <w:lang w:val="es-ES_tradnl"/>
        </w:rPr>
        <w:t xml:space="preserve"> </w:t>
      </w:r>
      <w:r w:rsidRPr="008B7A21">
        <w:rPr>
          <w:i/>
          <w:iCs/>
          <w:lang w:val="es-ES_tradnl"/>
        </w:rPr>
        <w:t>C</w:t>
      </w:r>
      <w:r w:rsidRPr="008B7A21">
        <w:rPr>
          <w:vertAlign w:val="subscript"/>
          <w:lang w:val="es-ES_tradnl"/>
        </w:rPr>
        <w:t>12</w:t>
      </w:r>
      <w:r w:rsidRPr="008B7A21">
        <w:rPr>
          <w:lang w:val="es-ES_tradnl"/>
        </w:rPr>
        <w:t xml:space="preserve"> </w:t>
      </w:r>
      <w:r w:rsidR="00386EEF" w:rsidRPr="00386EEF">
        <w:sym w:font="Symbol" w:char="F02B"/>
      </w:r>
      <w:r w:rsidRPr="008B7A21">
        <w:rPr>
          <w:lang w:val="es-ES_tradnl"/>
        </w:rPr>
        <w:t xml:space="preserve"> </w:t>
      </w:r>
      <w:r w:rsidRPr="008B7A21">
        <w:rPr>
          <w:i/>
          <w:iCs/>
          <w:lang w:val="es-ES_tradnl"/>
        </w:rPr>
        <w:t>C</w:t>
      </w:r>
      <w:r w:rsidRPr="008B7A21">
        <w:rPr>
          <w:vertAlign w:val="subscript"/>
          <w:lang w:val="es-ES_tradnl"/>
        </w:rPr>
        <w:t>13</w:t>
      </w:r>
      <w:r w:rsidRPr="008B7A21">
        <w:rPr>
          <w:lang w:val="es-ES_tradnl"/>
        </w:rPr>
        <w:t xml:space="preserve"> </w:t>
      </w:r>
      <w:r w:rsidR="00386EEF" w:rsidRPr="00386EEF">
        <w:sym w:font="Symbol" w:char="F02B"/>
      </w:r>
      <w:r w:rsidRPr="008B7A21">
        <w:rPr>
          <w:lang w:val="es-ES_tradnl"/>
        </w:rPr>
        <w:t xml:space="preserve"> </w:t>
      </w:r>
      <w:r w:rsidRPr="008B7A21">
        <w:rPr>
          <w:i/>
          <w:iCs/>
          <w:lang w:val="es-ES_tradnl"/>
        </w:rPr>
        <w:t>C</w:t>
      </w:r>
      <w:r w:rsidRPr="008B7A21">
        <w:rPr>
          <w:vertAlign w:val="subscript"/>
          <w:lang w:val="es-ES_tradnl"/>
        </w:rPr>
        <w:t>14</w:t>
      </w:r>
      <w:r w:rsidRPr="008B7A21">
        <w:rPr>
          <w:lang w:val="es-ES_tradnl"/>
        </w:rPr>
        <w:tab/>
        <w:t>(18)</w:t>
      </w:r>
    </w:p>
    <w:p w14:paraId="66736A2C" w14:textId="77777777" w:rsidR="00F73D5B" w:rsidRPr="008B7A21" w:rsidRDefault="00F73D5B" w:rsidP="00F73D5B">
      <w:pPr>
        <w:keepNext/>
        <w:keepLines/>
        <w:spacing w:before="80"/>
        <w:ind w:left="1985" w:hanging="1985"/>
        <w:rPr>
          <w:lang w:val="es-ES_tradnl"/>
        </w:rPr>
      </w:pPr>
      <w:r w:rsidRPr="008B7A21">
        <w:rPr>
          <w:lang w:val="es-ES_tradnl"/>
        </w:rPr>
        <w:t>donde:</w:t>
      </w:r>
    </w:p>
    <w:p w14:paraId="74BD10E5" w14:textId="77777777" w:rsidR="00F73D5B" w:rsidRPr="008B7A21" w:rsidRDefault="00F73D5B" w:rsidP="00F73D5B">
      <w:pPr>
        <w:pStyle w:val="Equationlegend"/>
        <w:keepNext/>
        <w:keepLines/>
        <w:rPr>
          <w:lang w:val="es-ES_tradnl"/>
        </w:rPr>
      </w:pPr>
      <w:r w:rsidRPr="008B7A21">
        <w:rPr>
          <w:lang w:val="es-ES_tradnl"/>
        </w:rPr>
        <w:tab/>
      </w:r>
      <w:r w:rsidRPr="008B7A21">
        <w:rPr>
          <w:i/>
          <w:iCs/>
          <w:lang w:val="es-ES_tradnl"/>
        </w:rPr>
        <w:t>C</w:t>
      </w:r>
      <w:r w:rsidRPr="008B7A21">
        <w:rPr>
          <w:vertAlign w:val="subscript"/>
          <w:lang w:val="es-ES_tradnl"/>
        </w:rPr>
        <w:t>11</w:t>
      </w:r>
      <w:r w:rsidRPr="008B7A21">
        <w:rPr>
          <w:lang w:val="es-ES_tradnl"/>
        </w:rPr>
        <w:t>:</w:t>
      </w:r>
      <w:r w:rsidRPr="008B7A21">
        <w:rPr>
          <w:lang w:val="es-ES_tradnl"/>
        </w:rPr>
        <w:tab/>
        <w:t>son los fondos necesarios para la adquisición y la explotación eficaz, utilizando instalaciones y equipos del sistema de gestión del espectro, incluidos los equipos de las estaciones de comprobación técnica radioeléctrica, los radiogoniómetros, los ordenadores y los programas informáticos para las estaciones de comprobación técnica y, en el caso de una base de datos nacional de gestión del espectro, equipos de inspección, materiales, amortización de edificios, construcciones, vehículos de transporte, etc.</w:t>
      </w:r>
    </w:p>
    <w:p w14:paraId="143E0526" w14:textId="77777777" w:rsidR="00F73D5B" w:rsidRPr="008B7A21" w:rsidRDefault="00F73D5B" w:rsidP="00F73D5B">
      <w:pPr>
        <w:pStyle w:val="Equationlegend"/>
        <w:rPr>
          <w:lang w:val="es-ES_tradnl"/>
        </w:rPr>
      </w:pPr>
      <w:r w:rsidRPr="008B7A21">
        <w:rPr>
          <w:i/>
          <w:lang w:val="es-ES_tradnl"/>
        </w:rPr>
        <w:tab/>
        <w:t>C</w:t>
      </w:r>
      <w:r w:rsidRPr="008B7A21">
        <w:rPr>
          <w:vertAlign w:val="subscript"/>
          <w:lang w:val="es-ES_tradnl"/>
        </w:rPr>
        <w:t>12</w:t>
      </w:r>
      <w:r w:rsidRPr="008B7A21">
        <w:rPr>
          <w:lang w:val="es-ES_tradnl"/>
        </w:rPr>
        <w:t>:</w:t>
      </w:r>
      <w:r w:rsidRPr="008B7A21">
        <w:rPr>
          <w:lang w:val="es-ES_tradnl"/>
        </w:rPr>
        <w:tab/>
        <w:t>son los fondos necesarios para la investigación científica y para adquirir publicaciones científicas y relativas a la explotación, normas y recomendaciones internacionales, para llevar a cabo estudios de compatibilidad electromagnética para ejecutar los procesos de asignación de frecuencias, etc.</w:t>
      </w:r>
    </w:p>
    <w:p w14:paraId="2A584245" w14:textId="77777777" w:rsidR="00F73D5B" w:rsidRPr="008B7A21" w:rsidRDefault="00F73D5B" w:rsidP="00F73D5B">
      <w:pPr>
        <w:pStyle w:val="Equationlegend"/>
        <w:keepNext/>
        <w:keepLines/>
        <w:rPr>
          <w:lang w:val="es-ES_tradnl"/>
        </w:rPr>
      </w:pPr>
      <w:r w:rsidRPr="008B7A21">
        <w:rPr>
          <w:i/>
          <w:lang w:val="es-ES_tradnl"/>
        </w:rPr>
        <w:tab/>
        <w:t>C</w:t>
      </w:r>
      <w:r w:rsidRPr="008B7A21">
        <w:rPr>
          <w:vertAlign w:val="subscript"/>
          <w:lang w:val="es-ES_tradnl"/>
        </w:rPr>
        <w:t>13</w:t>
      </w:r>
      <w:r w:rsidRPr="008B7A21">
        <w:rPr>
          <w:lang w:val="es-ES_tradnl"/>
        </w:rPr>
        <w:t>:</w:t>
      </w:r>
      <w:r w:rsidRPr="008B7A21">
        <w:rPr>
          <w:lang w:val="es-ES_tradnl"/>
        </w:rPr>
        <w:tab/>
        <w:t>son los fondos necesarios para que una administración nacional de telecomunicaciones desempeñe actividades eficaces en el seno del UIT</w:t>
      </w:r>
      <w:r w:rsidRPr="008B7A21">
        <w:rPr>
          <w:lang w:val="es-ES_tradnl"/>
        </w:rPr>
        <w:noBreakHyphen/>
        <w:t>R y para satisfacer las obligaciones de coordinación de frecuencias bilaterales y multilaterales relativas a los servicios de radiocomunicaciones terrenales y por satélite, etc.</w:t>
      </w:r>
    </w:p>
    <w:p w14:paraId="16F32524" w14:textId="77777777" w:rsidR="00F73D5B" w:rsidRPr="008B7A21" w:rsidRDefault="00F73D5B" w:rsidP="00F73D5B">
      <w:pPr>
        <w:pStyle w:val="Equationlegend"/>
        <w:rPr>
          <w:lang w:val="es-ES_tradnl"/>
        </w:rPr>
      </w:pPr>
      <w:r w:rsidRPr="008B7A21">
        <w:rPr>
          <w:i/>
          <w:lang w:val="es-ES_tradnl"/>
        </w:rPr>
        <w:tab/>
        <w:t>C</w:t>
      </w:r>
      <w:r w:rsidRPr="008B7A21">
        <w:rPr>
          <w:vertAlign w:val="subscript"/>
          <w:lang w:val="es-ES_tradnl"/>
        </w:rPr>
        <w:t>14</w:t>
      </w:r>
      <w:r w:rsidRPr="008B7A21">
        <w:rPr>
          <w:lang w:val="es-ES_tradnl"/>
        </w:rPr>
        <w:t>:</w:t>
      </w:r>
      <w:r w:rsidRPr="008B7A21">
        <w:rPr>
          <w:lang w:val="es-ES_tradnl"/>
        </w:rPr>
        <w:tab/>
        <w:t>representa los sueldos del personal asignado a la gestión del espectro.</w:t>
      </w:r>
    </w:p>
    <w:p w14:paraId="08E481EA" w14:textId="77777777" w:rsidR="00F73D5B" w:rsidRPr="008B7A21" w:rsidRDefault="00F73D5B" w:rsidP="00F73D5B">
      <w:pPr>
        <w:rPr>
          <w:lang w:val="es-ES_tradnl"/>
        </w:rPr>
      </w:pPr>
      <w:r w:rsidRPr="008B7A21">
        <w:rPr>
          <w:lang w:val="es-ES_tradnl"/>
        </w:rPr>
        <w:t xml:space="preserve">En </w:t>
      </w:r>
      <w:r w:rsidRPr="008B7A21">
        <w:rPr>
          <w:i/>
          <w:iCs/>
          <w:lang w:val="es-ES_tradnl"/>
        </w:rPr>
        <w:t>C</w:t>
      </w:r>
      <w:r w:rsidRPr="008B7A21">
        <w:rPr>
          <w:vertAlign w:val="subscript"/>
          <w:lang w:val="es-ES_tradnl"/>
        </w:rPr>
        <w:t>11</w:t>
      </w:r>
      <w:r w:rsidRPr="008B7A21">
        <w:rPr>
          <w:lang w:val="es-ES_tradnl"/>
        </w:rPr>
        <w:t xml:space="preserve"> – </w:t>
      </w:r>
      <w:r w:rsidRPr="008B7A21">
        <w:rPr>
          <w:i/>
          <w:iCs/>
          <w:lang w:val="es-ES_tradnl"/>
        </w:rPr>
        <w:t>C</w:t>
      </w:r>
      <w:r w:rsidRPr="008B7A21">
        <w:rPr>
          <w:vertAlign w:val="subscript"/>
          <w:lang w:val="es-ES_tradnl"/>
        </w:rPr>
        <w:t>14</w:t>
      </w:r>
      <w:r w:rsidRPr="008B7A21">
        <w:rPr>
          <w:lang w:val="es-ES_tradnl"/>
        </w:rPr>
        <w:t xml:space="preserve"> no se incluyen los impuestos.</w:t>
      </w:r>
    </w:p>
    <w:p w14:paraId="4158AB73" w14:textId="77777777" w:rsidR="00F73D5B" w:rsidRPr="008B7A21" w:rsidRDefault="00F73D5B" w:rsidP="00F73D5B">
      <w:pPr>
        <w:rPr>
          <w:lang w:val="es-ES_tradnl"/>
        </w:rPr>
      </w:pPr>
      <w:r w:rsidRPr="008B7A21">
        <w:rPr>
          <w:lang w:val="es-ES_tradnl"/>
        </w:rPr>
        <w:t xml:space="preserve">El coeficiente </w:t>
      </w:r>
      <w:r w:rsidRPr="008B7A21">
        <w:rPr>
          <w:i/>
          <w:iCs/>
          <w:lang w:val="es-ES_tradnl"/>
        </w:rPr>
        <w:t>C</w:t>
      </w:r>
      <w:r w:rsidRPr="008B7A21">
        <w:rPr>
          <w:vertAlign w:val="subscript"/>
          <w:lang w:val="es-ES_tradnl"/>
        </w:rPr>
        <w:t>2</w:t>
      </w:r>
      <w:r w:rsidRPr="008B7A21">
        <w:rPr>
          <w:lang w:val="es-ES_tradnl"/>
        </w:rPr>
        <w:t xml:space="preserve"> se puede desglosar en los siguientes componentes:</w:t>
      </w:r>
    </w:p>
    <w:p w14:paraId="01B63286" w14:textId="77777777" w:rsidR="00F73D5B" w:rsidRPr="008B7A21" w:rsidRDefault="00F73D5B" w:rsidP="00F73D5B">
      <w:pPr>
        <w:pStyle w:val="Blanc"/>
        <w:rPr>
          <w:lang w:val="es-ES_tradnl"/>
        </w:rPr>
      </w:pPr>
    </w:p>
    <w:p w14:paraId="45BCE6B1" w14:textId="04B1689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i/>
          <w:iCs/>
          <w:lang w:val="es-ES_tradnl"/>
        </w:rPr>
        <w:t>C</w:t>
      </w:r>
      <w:r w:rsidRPr="008B7A21">
        <w:rPr>
          <w:vertAlign w:val="subscript"/>
          <w:lang w:val="es-ES_tradnl"/>
        </w:rPr>
        <w:t>2</w:t>
      </w:r>
      <w:r w:rsidRPr="008B7A21">
        <w:rPr>
          <w:lang w:val="es-ES_tradnl"/>
        </w:rPr>
        <w:t xml:space="preserve"> </w:t>
      </w:r>
      <w:r w:rsidR="00386EEF">
        <w:rPr>
          <w:lang w:val="es-ES_tradnl"/>
        </w:rPr>
        <w:t>=</w:t>
      </w:r>
      <w:r w:rsidRPr="008B7A21">
        <w:rPr>
          <w:lang w:val="es-ES_tradnl"/>
        </w:rPr>
        <w:t xml:space="preserve"> </w:t>
      </w:r>
      <w:r w:rsidRPr="008B7A21">
        <w:rPr>
          <w:i/>
          <w:iCs/>
          <w:lang w:val="es-ES_tradnl"/>
        </w:rPr>
        <w:t>C</w:t>
      </w:r>
      <w:r w:rsidRPr="008B7A21">
        <w:rPr>
          <w:vertAlign w:val="subscript"/>
          <w:lang w:val="es-ES_tradnl"/>
        </w:rPr>
        <w:t>21</w:t>
      </w:r>
      <w:r w:rsidRPr="008B7A21">
        <w:rPr>
          <w:lang w:val="es-ES_tradnl"/>
        </w:rPr>
        <w:t xml:space="preserve"> </w:t>
      </w:r>
      <w:r w:rsidR="00386EEF" w:rsidRPr="00386EEF">
        <w:sym w:font="Symbol" w:char="F02B"/>
      </w:r>
      <w:r w:rsidRPr="008B7A21">
        <w:rPr>
          <w:lang w:val="es-ES_tradnl"/>
        </w:rPr>
        <w:t xml:space="preserve"> </w:t>
      </w:r>
      <w:r w:rsidRPr="008B7A21">
        <w:rPr>
          <w:i/>
          <w:iCs/>
          <w:lang w:val="es-ES_tradnl"/>
        </w:rPr>
        <w:t>C</w:t>
      </w:r>
      <w:r w:rsidRPr="008B7A21">
        <w:rPr>
          <w:vertAlign w:val="subscript"/>
          <w:lang w:val="es-ES_tradnl"/>
        </w:rPr>
        <w:t>22</w:t>
      </w:r>
      <w:r w:rsidRPr="008B7A21">
        <w:rPr>
          <w:lang w:val="es-ES_tradnl"/>
        </w:rPr>
        <w:tab/>
        <w:t>(19)</w:t>
      </w:r>
    </w:p>
    <w:p w14:paraId="7AEAEDFD" w14:textId="77777777" w:rsidR="00F73D5B" w:rsidRPr="008B7A21" w:rsidRDefault="00F73D5B" w:rsidP="00F73D5B">
      <w:pPr>
        <w:rPr>
          <w:rFonts w:eastAsia="SimSun"/>
          <w:lang w:val="es-ES_tradnl" w:eastAsia="zh-CN"/>
        </w:rPr>
      </w:pPr>
      <w:r w:rsidRPr="008B7A21">
        <w:rPr>
          <w:rFonts w:eastAsia="SimSun"/>
          <w:lang w:val="es-ES_tradnl" w:eastAsia="zh-CN"/>
        </w:rPr>
        <w:t>donde:</w:t>
      </w:r>
    </w:p>
    <w:p w14:paraId="21B90404" w14:textId="77777777" w:rsidR="00F73D5B" w:rsidRPr="008B7A21" w:rsidRDefault="00F73D5B" w:rsidP="00F73D5B">
      <w:pPr>
        <w:pStyle w:val="Equationlegend"/>
        <w:rPr>
          <w:lang w:val="es-ES_tradnl"/>
        </w:rPr>
      </w:pPr>
      <w:r w:rsidRPr="008B7A21">
        <w:rPr>
          <w:lang w:val="es-ES_tradnl"/>
        </w:rPr>
        <w:tab/>
      </w:r>
      <w:r w:rsidRPr="008B7A21">
        <w:rPr>
          <w:i/>
          <w:iCs/>
          <w:lang w:val="es-ES_tradnl"/>
        </w:rPr>
        <w:t>C</w:t>
      </w:r>
      <w:r w:rsidRPr="008B7A21">
        <w:rPr>
          <w:vertAlign w:val="subscript"/>
          <w:lang w:val="es-ES_tradnl"/>
        </w:rPr>
        <w:t>21</w:t>
      </w:r>
      <w:r w:rsidRPr="008B7A21">
        <w:rPr>
          <w:lang w:val="es-ES_tradnl"/>
        </w:rPr>
        <w:t>:</w:t>
      </w:r>
      <w:r w:rsidRPr="008B7A21">
        <w:rPr>
          <w:lang w:val="es-ES_tradnl"/>
        </w:rPr>
        <w:tab/>
        <w:t>representa los impuestos sobre los ingresos del organismo de gestión nacional del espectro y los impuestos incluidos en el coste de los equipos, programas informáticos, materiales, etc., adquiridos por este organismo en el mercado</w:t>
      </w:r>
    </w:p>
    <w:p w14:paraId="51DBBFBB" w14:textId="77777777" w:rsidR="00F73D5B" w:rsidRPr="008B7A21" w:rsidRDefault="00F73D5B" w:rsidP="00F73D5B">
      <w:pPr>
        <w:pStyle w:val="Equationlegend"/>
        <w:rPr>
          <w:lang w:val="es-ES_tradnl"/>
        </w:rPr>
      </w:pPr>
      <w:r w:rsidRPr="008B7A21">
        <w:rPr>
          <w:lang w:val="es-ES_tradnl"/>
        </w:rPr>
        <w:tab/>
      </w:r>
      <w:r w:rsidRPr="008B7A21">
        <w:rPr>
          <w:i/>
          <w:iCs/>
          <w:lang w:val="es-ES_tradnl"/>
        </w:rPr>
        <w:t>C</w:t>
      </w:r>
      <w:r w:rsidRPr="008B7A21">
        <w:rPr>
          <w:vertAlign w:val="subscript"/>
          <w:lang w:val="es-ES_tradnl"/>
        </w:rPr>
        <w:t>22</w:t>
      </w:r>
      <w:r w:rsidRPr="008B7A21">
        <w:rPr>
          <w:lang w:val="es-ES_tradnl"/>
        </w:rPr>
        <w:t>:</w:t>
      </w:r>
      <w:r w:rsidRPr="008B7A21">
        <w:rPr>
          <w:lang w:val="es-ES_tradnl"/>
        </w:rPr>
        <w:tab/>
        <w:t>corresponde a los pagos adicionales efectuados por la utilización del espectro, destinados directamente a los presupuestos del Estado.</w:t>
      </w:r>
    </w:p>
    <w:p w14:paraId="76573E33" w14:textId="77777777" w:rsidR="00F73D5B" w:rsidRPr="008B7A21" w:rsidRDefault="00F73D5B" w:rsidP="00F73D5B">
      <w:pPr>
        <w:rPr>
          <w:lang w:val="es-ES_tradnl"/>
        </w:rPr>
      </w:pPr>
      <w:r w:rsidRPr="008B7A21">
        <w:rPr>
          <w:lang w:val="es-ES_tradnl"/>
        </w:rPr>
        <w:t xml:space="preserve">Para fomentar un rápido desarrollo de los servicios de radiocomunicaciones e impulsar el desarrollo económico, algunos países no aplican tales tasas adicionales. En las ecuaciones (17) y (19) no se tienen en cuenta los ingresos indirectos obtenidos por el Estado procedentes de la utilización del espectro en forma de impuestos sobre los ingresos de los operadores de telecomunicaciones cuya actividad está relacionada con el empleo del espectro (por ejemplo, los impuestos sobre los ingresos de los operadores de comunicaciones celulares). Normalmente se recauda esta componente de los ingresos del Estado y frecuentemente rebasa los valores razonables de </w:t>
      </w:r>
      <w:r w:rsidRPr="008B7A21">
        <w:rPr>
          <w:i/>
          <w:lang w:val="es-ES_tradnl"/>
        </w:rPr>
        <w:t>C</w:t>
      </w:r>
      <w:r w:rsidRPr="008B7A21">
        <w:rPr>
          <w:vertAlign w:val="subscript"/>
          <w:lang w:val="es-ES_tradnl"/>
        </w:rPr>
        <w:t>22</w:t>
      </w:r>
      <w:r w:rsidRPr="008B7A21">
        <w:rPr>
          <w:lang w:val="es-ES_tradnl"/>
        </w:rPr>
        <w:t>. Al mismo tiempo, estos impuestos suponen ingresos del Estado, aunque indirectos, procedentes de la utilización del espectro.</w:t>
      </w:r>
    </w:p>
    <w:p w14:paraId="0BFA1F7E" w14:textId="77777777" w:rsidR="00F73D5B" w:rsidRPr="008B7A21" w:rsidRDefault="00F73D5B" w:rsidP="00F73D5B">
      <w:pPr>
        <w:rPr>
          <w:lang w:val="es-ES_tradnl"/>
        </w:rPr>
      </w:pPr>
      <w:r w:rsidRPr="008B7A21">
        <w:rPr>
          <w:lang w:val="es-ES_tradnl"/>
        </w:rPr>
        <w:t xml:space="preserve">En resumen, </w:t>
      </w:r>
      <w:r w:rsidRPr="008B7A21">
        <w:rPr>
          <w:i/>
          <w:iCs/>
          <w:lang w:val="es-ES_tradnl"/>
        </w:rPr>
        <w:t>C</w:t>
      </w:r>
      <w:r w:rsidRPr="008B7A21">
        <w:rPr>
          <w:vertAlign w:val="subscript"/>
          <w:lang w:val="es-ES_tradnl"/>
        </w:rPr>
        <w:t>22</w:t>
      </w:r>
      <w:r w:rsidRPr="008B7A21">
        <w:rPr>
          <w:lang w:val="es-ES_tradnl"/>
        </w:rPr>
        <w:t xml:space="preserve"> es una especie de pago por anticipado al Estado por el espectro que va a utilizarse y muchos operadores de telecomunicaciones, especialmente en los países en desarrollo, no podrán realizar inmediatamente estos pagos considerables y ello constituiría un obstáculo al desarrollo.</w:t>
      </w:r>
    </w:p>
    <w:p w14:paraId="1596ED15" w14:textId="77777777" w:rsidR="00F73D5B" w:rsidRPr="008B7A21" w:rsidRDefault="00F73D5B" w:rsidP="00F73D5B">
      <w:pPr>
        <w:rPr>
          <w:lang w:val="es-ES_tradnl"/>
        </w:rPr>
      </w:pPr>
      <w:r w:rsidRPr="008B7A21">
        <w:rPr>
          <w:lang w:val="es-ES_tradnl"/>
        </w:rPr>
        <w:t xml:space="preserve">Una buena medida para crear un incentivo económico al respecto consiste en reducir al mínimo la componente </w:t>
      </w:r>
      <w:r w:rsidRPr="008B7A21">
        <w:rPr>
          <w:i/>
          <w:iCs/>
          <w:lang w:val="es-ES_tradnl"/>
        </w:rPr>
        <w:t>C</w:t>
      </w:r>
      <w:r w:rsidRPr="008B7A21">
        <w:rPr>
          <w:vertAlign w:val="subscript"/>
          <w:lang w:val="es-ES_tradnl"/>
        </w:rPr>
        <w:t>22</w:t>
      </w:r>
      <w:r w:rsidRPr="008B7A21">
        <w:rPr>
          <w:lang w:val="es-ES_tradnl"/>
        </w:rPr>
        <w:t xml:space="preserve"> de manera que el operador de telecomunicaciones pueda comenzar a proporcionar servicio lo más rápidamente posible. El Estado puede compensar fácilmente la pérdida de </w:t>
      </w:r>
      <w:r w:rsidRPr="008B7A21">
        <w:rPr>
          <w:i/>
          <w:iCs/>
          <w:lang w:val="es-ES_tradnl"/>
        </w:rPr>
        <w:t>C</w:t>
      </w:r>
      <w:r w:rsidRPr="008B7A21">
        <w:rPr>
          <w:vertAlign w:val="subscript"/>
          <w:lang w:val="es-ES_tradnl"/>
        </w:rPr>
        <w:t>22</w:t>
      </w:r>
      <w:r w:rsidRPr="008B7A21">
        <w:rPr>
          <w:lang w:val="es-ES_tradnl"/>
        </w:rPr>
        <w:t xml:space="preserve"> mediante los impuestos aplicados a las actividades del operador de telecomunicaciones. </w:t>
      </w:r>
    </w:p>
    <w:p w14:paraId="5A11FCF8" w14:textId="77777777" w:rsidR="00F73D5B" w:rsidRPr="008B7A21" w:rsidRDefault="00F73D5B" w:rsidP="00F73D5B">
      <w:pPr>
        <w:rPr>
          <w:lang w:val="es-ES_tradnl"/>
        </w:rPr>
      </w:pPr>
      <w:r w:rsidRPr="008B7A21">
        <w:rPr>
          <w:lang w:val="es-ES_tradnl"/>
        </w:rPr>
        <w:t>Por consiguiente, a fin de lograr un rápido desarrollo de los servicios de telecomunicaciones y de la información en un país y crear incentivos económicos para los operadores de telecomunicaciones, es fundamental mantener los pagos por la utilización del espectro al mínimo necesario para cubrir los costes de un sistema nacional de gestión del espectro. Las administraciones pueden obtener ingresos adicionales de las licencias para aplicaciones de utilización del espectro y además los impuestos sobre los ingresos del operador compensarán los ingresos no obtenidos. Éste será el caso especialmente cuando los cánones del espectro y la concesión de licencias se consideran por separado.</w:t>
      </w:r>
    </w:p>
    <w:p w14:paraId="7F2294BA" w14:textId="77777777" w:rsidR="00F73D5B" w:rsidRPr="008B7A21" w:rsidRDefault="00F73D5B" w:rsidP="00F73D5B">
      <w:pPr>
        <w:pStyle w:val="Heading3"/>
        <w:rPr>
          <w:lang w:val="es-ES_tradnl"/>
        </w:rPr>
      </w:pPr>
      <w:bookmarkStart w:id="1251" w:name="_Toc306276861"/>
      <w:bookmarkStart w:id="1252" w:name="_Toc307921536"/>
      <w:bookmarkStart w:id="1253" w:name="_Toc307922103"/>
      <w:bookmarkStart w:id="1254" w:name="_Toc307922604"/>
      <w:bookmarkStart w:id="1255" w:name="_Toc307991953"/>
      <w:bookmarkStart w:id="1256" w:name="_Toc307993986"/>
      <w:bookmarkStart w:id="1257" w:name="_Toc307995248"/>
      <w:bookmarkStart w:id="1258" w:name="_Toc307996392"/>
      <w:bookmarkStart w:id="1259" w:name="_Toc308010367"/>
      <w:bookmarkStart w:id="1260" w:name="_Toc499563030"/>
      <w:bookmarkStart w:id="1261" w:name="_Toc215835402"/>
      <w:r w:rsidRPr="008B7A21">
        <w:rPr>
          <w:lang w:val="es-ES_tradnl"/>
        </w:rPr>
        <w:t>4.6.5</w:t>
      </w:r>
      <w:r w:rsidRPr="008B7A21">
        <w:rPr>
          <w:lang w:val="es-ES_tradnl"/>
        </w:rPr>
        <w:tab/>
        <w:t>Determinación del valor del espectro radioeléctrico utilizado</w:t>
      </w:r>
      <w:bookmarkEnd w:id="1251"/>
      <w:bookmarkEnd w:id="1252"/>
      <w:bookmarkEnd w:id="1253"/>
      <w:bookmarkEnd w:id="1254"/>
      <w:bookmarkEnd w:id="1255"/>
      <w:bookmarkEnd w:id="1256"/>
      <w:bookmarkEnd w:id="1257"/>
      <w:bookmarkEnd w:id="1258"/>
      <w:bookmarkEnd w:id="1259"/>
      <w:bookmarkEnd w:id="1260"/>
      <w:bookmarkEnd w:id="1261"/>
    </w:p>
    <w:p w14:paraId="6CB08D38" w14:textId="77777777" w:rsidR="00F73D5B" w:rsidRPr="008B7A21" w:rsidRDefault="00F73D5B" w:rsidP="00F73D5B">
      <w:pPr>
        <w:rPr>
          <w:lang w:val="es-ES_tradnl"/>
        </w:rPr>
      </w:pPr>
      <w:r w:rsidRPr="008B7A21">
        <w:rPr>
          <w:lang w:val="es-ES_tradnl"/>
        </w:rPr>
        <w:t xml:space="preserve">A partir de las ecuaciones (17)-(19) es posible determinar </w:t>
      </w:r>
      <w:r w:rsidRPr="008B7A21">
        <w:rPr>
          <w:i/>
          <w:lang w:val="es-ES_tradnl"/>
        </w:rPr>
        <w:t>C</w:t>
      </w:r>
      <w:r w:rsidRPr="008B7A21">
        <w:rPr>
          <w:i/>
          <w:iCs/>
          <w:vertAlign w:val="subscript"/>
          <w:lang w:val="es-ES_tradnl"/>
        </w:rPr>
        <w:t>an</w:t>
      </w:r>
      <w:r w:rsidRPr="008B7A21">
        <w:rPr>
          <w:lang w:val="es-ES_tradnl"/>
        </w:rPr>
        <w:t>, que representa los gastos anuales acumulativos y los ingresos por pago de todo el espectro utilizados en el país. El segundo paso consiste en determinar el valor del espectro utilizado por cada usuario y, a continuación, por todos los usuarios. Estos parámetros se calculan basándose en los datos relativos a cada asignación de frecuencia contenida en una base de datos nacional de gestión del espectro.</w:t>
      </w:r>
    </w:p>
    <w:p w14:paraId="4C267BAE" w14:textId="77777777" w:rsidR="00F73D5B" w:rsidRPr="008B7A21" w:rsidRDefault="00F73D5B" w:rsidP="00F73D5B">
      <w:pPr>
        <w:rPr>
          <w:lang w:val="es-ES_tradnl"/>
        </w:rPr>
      </w:pPr>
      <w:r w:rsidRPr="008B7A21">
        <w:rPr>
          <w:lang w:val="es-ES_tradnl"/>
        </w:rPr>
        <w:t>El método propuesto es el siguiente.</w:t>
      </w:r>
    </w:p>
    <w:p w14:paraId="7B63900F" w14:textId="77777777" w:rsidR="00F73D5B" w:rsidRPr="008B7A21" w:rsidRDefault="00F73D5B" w:rsidP="00F73D5B">
      <w:pPr>
        <w:rPr>
          <w:lang w:val="es-ES_tradnl"/>
        </w:rPr>
      </w:pPr>
      <w:r w:rsidRPr="008B7A21">
        <w:rPr>
          <w:lang w:val="es-ES_tradnl"/>
        </w:rPr>
        <w:t xml:space="preserve">Para la </w:t>
      </w:r>
      <w:r w:rsidRPr="008B7A21">
        <w:rPr>
          <w:i/>
          <w:iCs/>
          <w:lang w:val="es-ES_tradnl"/>
        </w:rPr>
        <w:t>i</w:t>
      </w:r>
      <w:r w:rsidRPr="008B7A21">
        <w:rPr>
          <w:i/>
          <w:iCs/>
          <w:lang w:val="es-ES_tradnl"/>
        </w:rPr>
        <w:noBreakHyphen/>
      </w:r>
      <w:r w:rsidRPr="008B7A21">
        <w:rPr>
          <w:lang w:val="es-ES_tradnl"/>
        </w:rPr>
        <w:t xml:space="preserve">ésima asignación de frecuencia (de la cantidad total </w:t>
      </w:r>
      <w:r w:rsidRPr="008B7A21">
        <w:rPr>
          <w:i/>
          <w:iCs/>
          <w:lang w:val="es-ES_tradnl"/>
        </w:rPr>
        <w:t>n</w:t>
      </w:r>
      <w:r w:rsidRPr="008B7A21">
        <w:rPr>
          <w:lang w:val="es-ES_tradnl"/>
        </w:rPr>
        <w:t xml:space="preserve"> incorporada en la base de datos nacional) debe determinarse el valor tridimensional del espectro, denominado </w:t>
      </w:r>
      <w:r w:rsidRPr="008B7A21">
        <w:rPr>
          <w:i/>
          <w:lang w:val="es-ES_tradnl"/>
        </w:rPr>
        <w:t>W</w:t>
      </w:r>
      <w:r w:rsidRPr="008B7A21">
        <w:rPr>
          <w:i/>
          <w:vertAlign w:val="subscript"/>
          <w:lang w:val="es-ES_tradnl"/>
        </w:rPr>
        <w:t>i</w:t>
      </w:r>
      <w:r w:rsidRPr="008B7A21">
        <w:rPr>
          <w:lang w:val="es-ES_tradnl"/>
        </w:rPr>
        <w:t>, de la forma siguiente:</w:t>
      </w:r>
    </w:p>
    <w:p w14:paraId="359A8516" w14:textId="77777777" w:rsidR="00F73D5B" w:rsidRPr="008B7A21" w:rsidRDefault="00F73D5B" w:rsidP="00F73D5B">
      <w:pPr>
        <w:pStyle w:val="Blanc"/>
        <w:rPr>
          <w:lang w:val="es-ES_tradnl"/>
        </w:rPr>
      </w:pPr>
    </w:p>
    <w:p w14:paraId="03F07DBB"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i/>
          <w:iCs/>
          <w:lang w:val="es-ES_tradnl"/>
        </w:rPr>
        <w:t>W</w:t>
      </w:r>
      <w:r w:rsidRPr="008B7A21">
        <w:rPr>
          <w:i/>
          <w:iCs/>
          <w:vertAlign w:val="subscript"/>
          <w:lang w:val="es-ES_tradnl"/>
        </w:rPr>
        <w:t>i</w:t>
      </w:r>
      <w:r w:rsidRPr="008B7A21">
        <w:rPr>
          <w:lang w:val="es-ES_tradnl"/>
        </w:rPr>
        <w:t xml:space="preserve"> = </w:t>
      </w:r>
      <w:r w:rsidRPr="008B7A21">
        <w:rPr>
          <w:lang w:val="es-ES_tradnl"/>
        </w:rPr>
        <w:sym w:font="Symbol" w:char="F061"/>
      </w:r>
      <w:r w:rsidRPr="008B7A21">
        <w:rPr>
          <w:lang w:val="es-ES_tradnl"/>
        </w:rPr>
        <w:t xml:space="preserve"> </w:t>
      </w:r>
      <w:r w:rsidRPr="008B7A21">
        <w:rPr>
          <w:lang w:val="es-ES_tradnl"/>
        </w:rPr>
        <w:sym w:font="Symbol" w:char="F0D7"/>
      </w:r>
      <w:r w:rsidRPr="008B7A21">
        <w:rPr>
          <w:lang w:val="es-ES_tradnl"/>
        </w:rPr>
        <w:t xml:space="preserve"> </w:t>
      </w:r>
      <w:r w:rsidRPr="008B7A21">
        <w:rPr>
          <w:lang w:val="es-ES_tradnl"/>
        </w:rPr>
        <w:sym w:font="Symbol" w:char="F062"/>
      </w:r>
      <w:r w:rsidRPr="008B7A21">
        <w:rPr>
          <w:lang w:val="es-ES_tradnl"/>
        </w:rPr>
        <w:t xml:space="preserve"> </w:t>
      </w:r>
      <w:r w:rsidRPr="008B7A21">
        <w:rPr>
          <w:lang w:val="es-ES_tradnl"/>
        </w:rPr>
        <w:sym w:font="Symbol" w:char="F0D7"/>
      </w:r>
      <w:r w:rsidRPr="008B7A21">
        <w:rPr>
          <w:lang w:val="es-ES_tradnl"/>
        </w:rPr>
        <w:t xml:space="preserve"> (</w:t>
      </w:r>
      <w:r w:rsidRPr="008B7A21">
        <w:rPr>
          <w:i/>
          <w:iCs/>
          <w:lang w:val="es-ES_tradnl"/>
        </w:rPr>
        <w:t>F</w:t>
      </w:r>
      <w:r w:rsidRPr="008B7A21">
        <w:rPr>
          <w:i/>
          <w:iCs/>
          <w:vertAlign w:val="subscript"/>
          <w:lang w:val="es-ES_tradnl"/>
        </w:rPr>
        <w:t>i</w:t>
      </w:r>
      <w:r w:rsidRPr="008B7A21">
        <w:rPr>
          <w:lang w:val="es-ES_tradnl"/>
        </w:rPr>
        <w:t xml:space="preserve"> </w:t>
      </w:r>
      <w:r w:rsidRPr="008B7A21">
        <w:rPr>
          <w:lang w:val="es-ES_tradnl"/>
        </w:rPr>
        <w:sym w:font="Symbol" w:char="F0D7"/>
      </w:r>
      <w:r w:rsidRPr="008B7A21">
        <w:rPr>
          <w:lang w:val="es-ES_tradnl"/>
        </w:rPr>
        <w:t xml:space="preserve"> </w:t>
      </w:r>
      <w:r w:rsidRPr="008B7A21">
        <w:rPr>
          <w:i/>
          <w:iCs/>
          <w:lang w:val="es-ES_tradnl"/>
        </w:rPr>
        <w:t>S</w:t>
      </w:r>
      <w:r w:rsidRPr="008B7A21">
        <w:rPr>
          <w:i/>
          <w:iCs/>
          <w:vertAlign w:val="subscript"/>
          <w:lang w:val="es-ES_tradnl"/>
        </w:rPr>
        <w:t>i</w:t>
      </w:r>
      <w:r w:rsidRPr="008B7A21">
        <w:rPr>
          <w:lang w:val="es-ES_tradnl"/>
        </w:rPr>
        <w:t xml:space="preserve"> </w:t>
      </w:r>
      <w:r w:rsidRPr="008B7A21">
        <w:rPr>
          <w:lang w:val="es-ES_tradnl"/>
        </w:rPr>
        <w:sym w:font="Symbol" w:char="F0D7"/>
      </w:r>
      <w:r w:rsidRPr="008B7A21">
        <w:rPr>
          <w:lang w:val="es-ES_tradnl"/>
        </w:rPr>
        <w:t xml:space="preserve"> </w:t>
      </w:r>
      <w:r w:rsidRPr="008B7A21">
        <w:rPr>
          <w:i/>
          <w:iCs/>
          <w:lang w:val="es-ES_tradnl"/>
        </w:rPr>
        <w:t>T</w:t>
      </w:r>
      <w:r w:rsidRPr="008B7A21">
        <w:rPr>
          <w:i/>
          <w:iCs/>
          <w:vertAlign w:val="subscript"/>
          <w:lang w:val="es-ES_tradnl"/>
        </w:rPr>
        <w:t>i</w:t>
      </w:r>
      <w:r w:rsidRPr="008B7A21">
        <w:rPr>
          <w:lang w:val="es-ES_tradnl"/>
        </w:rPr>
        <w:t>)</w:t>
      </w:r>
      <w:r w:rsidRPr="008B7A21">
        <w:rPr>
          <w:lang w:val="es-ES_tradnl"/>
        </w:rPr>
        <w:tab/>
        <w:t>(20)</w:t>
      </w:r>
    </w:p>
    <w:p w14:paraId="3C140F27" w14:textId="77777777" w:rsidR="00F73D5B" w:rsidRPr="008B7A21" w:rsidRDefault="00F73D5B" w:rsidP="00F73D5B">
      <w:pPr>
        <w:pStyle w:val="Blanc"/>
        <w:rPr>
          <w:lang w:val="es-ES_tradnl"/>
        </w:rPr>
      </w:pPr>
    </w:p>
    <w:p w14:paraId="6896290D" w14:textId="77777777" w:rsidR="00F73D5B" w:rsidRPr="008B7A21" w:rsidRDefault="00F73D5B" w:rsidP="00F73D5B">
      <w:pPr>
        <w:rPr>
          <w:bCs/>
          <w:lang w:val="es-ES_tradnl"/>
        </w:rPr>
      </w:pPr>
      <w:r w:rsidRPr="008B7A21">
        <w:rPr>
          <w:bCs/>
          <w:lang w:val="es-ES_tradnl"/>
        </w:rPr>
        <w:t xml:space="preserve">donde para la </w:t>
      </w:r>
      <w:r w:rsidRPr="008B7A21">
        <w:rPr>
          <w:bCs/>
          <w:i/>
          <w:lang w:val="es-ES_tradnl"/>
        </w:rPr>
        <w:t>i</w:t>
      </w:r>
      <w:r w:rsidRPr="008B7A21">
        <w:rPr>
          <w:bCs/>
          <w:lang w:val="es-ES_tradnl"/>
        </w:rPr>
        <w:t>-ésima asignación de frecuencia:</w:t>
      </w:r>
    </w:p>
    <w:p w14:paraId="63B1C86A" w14:textId="77777777" w:rsidR="00F73D5B" w:rsidRPr="008B7A21" w:rsidRDefault="00F73D5B" w:rsidP="00F73D5B">
      <w:pPr>
        <w:pStyle w:val="Equationlegend"/>
        <w:rPr>
          <w:lang w:val="es-ES_tradnl"/>
        </w:rPr>
      </w:pPr>
      <w:r w:rsidRPr="008B7A21">
        <w:rPr>
          <w:lang w:val="es-ES_tradnl"/>
        </w:rPr>
        <w:tab/>
      </w:r>
      <w:r w:rsidRPr="008B7A21">
        <w:rPr>
          <w:i/>
          <w:iCs/>
          <w:lang w:val="es-ES_tradnl"/>
        </w:rPr>
        <w:t>F</w:t>
      </w:r>
      <w:r w:rsidRPr="008B7A21">
        <w:rPr>
          <w:i/>
          <w:iCs/>
          <w:vertAlign w:val="subscript"/>
          <w:lang w:val="es-ES_tradnl"/>
        </w:rPr>
        <w:t>i</w:t>
      </w:r>
      <w:r w:rsidRPr="008B7A21">
        <w:rPr>
          <w:lang w:val="es-ES_tradnl"/>
        </w:rPr>
        <w:t>:</w:t>
      </w:r>
      <w:r w:rsidRPr="008B7A21">
        <w:rPr>
          <w:lang w:val="es-ES_tradnl"/>
        </w:rPr>
        <w:tab/>
        <w:t>recurso de frecuencia</w:t>
      </w:r>
    </w:p>
    <w:p w14:paraId="36626B8A" w14:textId="77777777" w:rsidR="00F73D5B" w:rsidRPr="008B7A21" w:rsidRDefault="00F73D5B" w:rsidP="00F73D5B">
      <w:pPr>
        <w:pStyle w:val="Equationlegend"/>
        <w:rPr>
          <w:lang w:val="es-ES_tradnl"/>
        </w:rPr>
      </w:pPr>
      <w:r w:rsidRPr="008B7A21">
        <w:rPr>
          <w:lang w:val="es-ES_tradnl"/>
        </w:rPr>
        <w:tab/>
      </w:r>
      <w:r w:rsidRPr="008B7A21">
        <w:rPr>
          <w:i/>
          <w:iCs/>
          <w:lang w:val="es-ES_tradnl"/>
        </w:rPr>
        <w:t>S</w:t>
      </w:r>
      <w:r w:rsidRPr="008B7A21">
        <w:rPr>
          <w:i/>
          <w:iCs/>
          <w:vertAlign w:val="subscript"/>
          <w:lang w:val="es-ES_tradnl"/>
        </w:rPr>
        <w:t>i</w:t>
      </w:r>
      <w:r w:rsidRPr="008B7A21">
        <w:rPr>
          <w:lang w:val="es-ES_tradnl"/>
        </w:rPr>
        <w:t>:</w:t>
      </w:r>
      <w:r w:rsidRPr="008B7A21">
        <w:rPr>
          <w:lang w:val="es-ES_tradnl"/>
        </w:rPr>
        <w:tab/>
        <w:t>recurso territorial</w:t>
      </w:r>
    </w:p>
    <w:p w14:paraId="78C46F96" w14:textId="77777777" w:rsidR="00F73D5B" w:rsidRPr="008B7A21" w:rsidRDefault="00F73D5B" w:rsidP="00F73D5B">
      <w:pPr>
        <w:pStyle w:val="Equationlegend"/>
        <w:rPr>
          <w:lang w:val="es-ES_tradnl"/>
        </w:rPr>
      </w:pPr>
      <w:r w:rsidRPr="008B7A21">
        <w:rPr>
          <w:lang w:val="es-ES_tradnl"/>
        </w:rPr>
        <w:tab/>
      </w:r>
      <w:r w:rsidRPr="008B7A21">
        <w:rPr>
          <w:i/>
          <w:iCs/>
          <w:lang w:val="es-ES_tradnl"/>
        </w:rPr>
        <w:t>T</w:t>
      </w:r>
      <w:r w:rsidRPr="008B7A21">
        <w:rPr>
          <w:i/>
          <w:iCs/>
          <w:vertAlign w:val="subscript"/>
          <w:lang w:val="es-ES_tradnl"/>
        </w:rPr>
        <w:t>i</w:t>
      </w:r>
      <w:r w:rsidRPr="008B7A21">
        <w:rPr>
          <w:lang w:val="es-ES_tradnl"/>
        </w:rPr>
        <w:t>:</w:t>
      </w:r>
      <w:r w:rsidRPr="008B7A21">
        <w:rPr>
          <w:lang w:val="es-ES_tradnl"/>
        </w:rPr>
        <w:tab/>
        <w:t>recurso de tiempo</w:t>
      </w:r>
    </w:p>
    <w:p w14:paraId="22F9C142" w14:textId="408A2A01" w:rsidR="00F73D5B" w:rsidRPr="008B7A21" w:rsidRDefault="00F73D5B" w:rsidP="00F73D5B">
      <w:pPr>
        <w:pStyle w:val="Equationlegend"/>
        <w:rPr>
          <w:lang w:val="es-ES_tradnl"/>
        </w:rPr>
      </w:pPr>
      <w:r w:rsidRPr="008B7A21">
        <w:rPr>
          <w:lang w:val="es-ES_tradnl"/>
        </w:rPr>
        <w:tab/>
      </w:r>
      <w:r w:rsidR="00386EEF" w:rsidRPr="00386EEF">
        <w:sym w:font="Symbol" w:char="F061"/>
      </w:r>
      <w:r w:rsidRPr="008B7A21">
        <w:rPr>
          <w:i/>
          <w:iCs/>
          <w:vertAlign w:val="subscript"/>
          <w:lang w:val="es-ES_tradnl"/>
        </w:rPr>
        <w:t>i</w:t>
      </w:r>
      <w:r w:rsidRPr="008B7A21">
        <w:rPr>
          <w:lang w:val="es-ES_tradnl"/>
        </w:rPr>
        <w:t>:</w:t>
      </w:r>
      <w:r w:rsidRPr="008B7A21">
        <w:rPr>
          <w:lang w:val="es-ES_tradnl"/>
        </w:rPr>
        <w:tab/>
        <w:t>coeficiente combinado que tiene en cuenta un cierto número de factores de ponderación, tales como los de carácter comercial, social y operativo indicados más adelante</w:t>
      </w:r>
    </w:p>
    <w:p w14:paraId="6277CCE1" w14:textId="482EF8E6" w:rsidR="00F73D5B" w:rsidRPr="008B7A21" w:rsidRDefault="00F73D5B" w:rsidP="00F73D5B">
      <w:pPr>
        <w:pStyle w:val="Equationlegend"/>
        <w:rPr>
          <w:lang w:val="es-ES_tradnl"/>
        </w:rPr>
      </w:pPr>
      <w:r w:rsidRPr="008B7A21">
        <w:rPr>
          <w:lang w:val="es-ES_tradnl"/>
        </w:rPr>
        <w:tab/>
      </w:r>
      <w:r w:rsidR="00386EEF">
        <w:rPr>
          <w:lang w:val="es-ES_tradnl"/>
        </w:rPr>
        <w:t>β</w:t>
      </w:r>
      <w:r w:rsidRPr="008B7A21">
        <w:rPr>
          <w:i/>
          <w:iCs/>
          <w:vertAlign w:val="subscript"/>
          <w:lang w:val="es-ES_tradnl"/>
        </w:rPr>
        <w:t>i</w:t>
      </w:r>
      <w:r w:rsidRPr="008B7A21">
        <w:rPr>
          <w:lang w:val="es-ES_tradnl"/>
        </w:rPr>
        <w:t>:</w:t>
      </w:r>
      <w:r w:rsidRPr="008B7A21">
        <w:rPr>
          <w:lang w:val="es-ES_tradnl"/>
        </w:rPr>
        <w:tab/>
        <w:t>coeficiente de ponderación que determina la exclusividad de la asignación de frecuencia como se indica más adelante.</w:t>
      </w:r>
    </w:p>
    <w:p w14:paraId="28FBADA7" w14:textId="77777777" w:rsidR="00F73D5B" w:rsidRPr="008B7A21" w:rsidRDefault="00F73D5B" w:rsidP="00F73D5B">
      <w:pPr>
        <w:rPr>
          <w:rFonts w:eastAsia="SimSun"/>
          <w:lang w:val="es-ES_tradnl" w:eastAsia="zh-CN"/>
        </w:rPr>
      </w:pPr>
      <w:r w:rsidRPr="008B7A21">
        <w:rPr>
          <w:rFonts w:eastAsia="SimSun"/>
          <w:lang w:val="es-ES_tradnl" w:eastAsia="zh-CN"/>
        </w:rPr>
        <w:t>Consideremos los términos de la ecuación (20) en orden inverso.</w:t>
      </w:r>
    </w:p>
    <w:p w14:paraId="5A41B84F" w14:textId="77777777" w:rsidR="00F73D5B" w:rsidRPr="008B7A21" w:rsidRDefault="00F73D5B" w:rsidP="00F73D5B">
      <w:pPr>
        <w:pStyle w:val="Heading3"/>
        <w:rPr>
          <w:lang w:val="es-ES_tradnl"/>
        </w:rPr>
      </w:pPr>
      <w:bookmarkStart w:id="1262" w:name="_Toc306276862"/>
      <w:bookmarkStart w:id="1263" w:name="_Toc307921537"/>
      <w:bookmarkStart w:id="1264" w:name="_Toc307922104"/>
      <w:bookmarkStart w:id="1265" w:name="_Toc307922605"/>
      <w:bookmarkStart w:id="1266" w:name="_Toc307991954"/>
      <w:bookmarkStart w:id="1267" w:name="_Toc307993987"/>
      <w:bookmarkStart w:id="1268" w:name="_Toc307995249"/>
      <w:bookmarkStart w:id="1269" w:name="_Toc307996393"/>
      <w:bookmarkStart w:id="1270" w:name="_Toc308010368"/>
      <w:bookmarkStart w:id="1271" w:name="_Toc499563031"/>
      <w:bookmarkStart w:id="1272" w:name="_Toc215835403"/>
      <w:r w:rsidRPr="008B7A21">
        <w:rPr>
          <w:lang w:val="es-ES_tradnl"/>
        </w:rPr>
        <w:t>4.6.6</w:t>
      </w:r>
      <w:r w:rsidRPr="008B7A21">
        <w:rPr>
          <w:lang w:val="es-ES_tradnl"/>
        </w:rPr>
        <w:tab/>
        <w:t>Determinación de un recurso de tiempo utilizado por una emisión</w:t>
      </w:r>
      <w:bookmarkEnd w:id="1262"/>
      <w:bookmarkEnd w:id="1263"/>
      <w:bookmarkEnd w:id="1264"/>
      <w:bookmarkEnd w:id="1265"/>
      <w:bookmarkEnd w:id="1266"/>
      <w:bookmarkEnd w:id="1267"/>
      <w:bookmarkEnd w:id="1268"/>
      <w:bookmarkEnd w:id="1269"/>
      <w:bookmarkEnd w:id="1270"/>
      <w:bookmarkEnd w:id="1271"/>
      <w:bookmarkEnd w:id="1272"/>
    </w:p>
    <w:p w14:paraId="264883F8" w14:textId="77777777" w:rsidR="00F73D5B" w:rsidRPr="008B7A21" w:rsidRDefault="00F73D5B" w:rsidP="00F73D5B">
      <w:pPr>
        <w:rPr>
          <w:lang w:val="es-ES_tradnl"/>
        </w:rPr>
      </w:pPr>
      <w:r w:rsidRPr="008B7A21">
        <w:rPr>
          <w:lang w:val="es-ES_tradnl"/>
        </w:rPr>
        <w:t xml:space="preserve">Un recurso de tiempo </w:t>
      </w:r>
      <w:r w:rsidRPr="008B7A21">
        <w:rPr>
          <w:i/>
          <w:lang w:val="es-ES_tradnl"/>
        </w:rPr>
        <w:t>T</w:t>
      </w:r>
      <w:r w:rsidRPr="008B7A21">
        <w:rPr>
          <w:i/>
          <w:iCs/>
          <w:vertAlign w:val="subscript"/>
          <w:lang w:val="es-ES_tradnl"/>
        </w:rPr>
        <w:t>i</w:t>
      </w:r>
      <w:r w:rsidRPr="008B7A21">
        <w:rPr>
          <w:lang w:val="es-ES_tradnl"/>
        </w:rPr>
        <w:t xml:space="preserve"> utilizado por la </w:t>
      </w:r>
      <w:r w:rsidRPr="008B7A21">
        <w:rPr>
          <w:i/>
          <w:iCs/>
          <w:lang w:val="es-ES_tradnl"/>
        </w:rPr>
        <w:t>i</w:t>
      </w:r>
      <w:r w:rsidRPr="008B7A21">
        <w:rPr>
          <w:i/>
          <w:iCs/>
          <w:lang w:val="es-ES_tradnl"/>
        </w:rPr>
        <w:noBreakHyphen/>
      </w:r>
      <w:r w:rsidRPr="008B7A21">
        <w:rPr>
          <w:lang w:val="es-ES_tradnl"/>
        </w:rPr>
        <w:t>ésima emisión se determina de la forma siguiente:</w:t>
      </w:r>
    </w:p>
    <w:p w14:paraId="46FB8FB2" w14:textId="77777777" w:rsidR="00F73D5B" w:rsidRPr="008B7A21" w:rsidRDefault="00F73D5B" w:rsidP="00F73D5B">
      <w:pPr>
        <w:pStyle w:val="Blanc"/>
        <w:rPr>
          <w:lang w:val="es-ES_tradnl"/>
        </w:rPr>
      </w:pPr>
    </w:p>
    <w:p w14:paraId="3BC467E5" w14:textId="16DD8910" w:rsidR="00F73D5B" w:rsidRPr="008B7A21" w:rsidRDefault="00F73D5B" w:rsidP="00F73D5B">
      <w:pPr>
        <w:pStyle w:val="Equation"/>
        <w:rPr>
          <w:lang w:val="es-ES_tradnl"/>
        </w:rPr>
      </w:pPr>
      <w:r w:rsidRPr="008B7A21">
        <w:rPr>
          <w:lang w:val="es-ES_tradnl"/>
        </w:rPr>
        <w:tab/>
      </w:r>
      <w:r w:rsidRPr="008B7A21">
        <w:rPr>
          <w:lang w:val="es-ES_tradnl"/>
        </w:rPr>
        <w:tab/>
      </w:r>
      <w:r w:rsidRPr="008B7A21">
        <w:rPr>
          <w:i/>
          <w:iCs/>
          <w:lang w:val="es-ES_tradnl"/>
        </w:rPr>
        <w:t>T</w:t>
      </w:r>
      <w:r w:rsidRPr="008B7A21">
        <w:rPr>
          <w:i/>
          <w:iCs/>
          <w:vertAlign w:val="subscript"/>
          <w:lang w:val="es-ES_tradnl"/>
        </w:rPr>
        <w:t>i</w:t>
      </w:r>
      <w:r w:rsidRPr="008B7A21">
        <w:rPr>
          <w:position w:val="-5"/>
          <w:vertAlign w:val="subscript"/>
          <w:lang w:val="es-ES_tradnl"/>
        </w:rPr>
        <w:t> </w:t>
      </w:r>
      <w:r w:rsidRPr="008B7A21">
        <w:rPr>
          <w:lang w:val="es-ES_tradnl"/>
        </w:rPr>
        <w:t xml:space="preserve"> </w:t>
      </w:r>
      <w:r w:rsidR="00386EEF">
        <w:rPr>
          <w:lang w:val="es-ES_tradnl"/>
        </w:rPr>
        <w:t>≤</w:t>
      </w:r>
      <w:r w:rsidRPr="008B7A21">
        <w:rPr>
          <w:lang w:val="es-ES_tradnl"/>
        </w:rPr>
        <w:t xml:space="preserve"> 1 (año)</w:t>
      </w:r>
      <w:r w:rsidRPr="008B7A21">
        <w:rPr>
          <w:lang w:val="es-ES_tradnl"/>
        </w:rPr>
        <w:tab/>
        <w:t>(21)</w:t>
      </w:r>
    </w:p>
    <w:p w14:paraId="78D299EC" w14:textId="77777777" w:rsidR="00F73D5B" w:rsidRPr="008B7A21" w:rsidRDefault="00F73D5B" w:rsidP="00F73D5B">
      <w:pPr>
        <w:pStyle w:val="Blanc"/>
        <w:rPr>
          <w:lang w:val="es-ES_tradnl"/>
        </w:rPr>
      </w:pPr>
    </w:p>
    <w:p w14:paraId="4267FBDA" w14:textId="77777777" w:rsidR="00F73D5B" w:rsidRPr="008B7A21" w:rsidRDefault="00F73D5B" w:rsidP="00F73D5B">
      <w:pPr>
        <w:rPr>
          <w:lang w:val="es-ES_tradnl"/>
        </w:rPr>
      </w:pPr>
      <w:r w:rsidRPr="008B7A21">
        <w:rPr>
          <w:lang w:val="es-ES_tradnl"/>
        </w:rPr>
        <w:t>y para cada asignación de frecuencia representa una fracción del tiempo relativa a un año, determinada de esa o de otra forma, durante la cual el transmisor radioeléctrico funciona de conformidad con los términos establecidos en una licencia correspondiente. Puede ser una fracción de un día, en el caso del servicio de radiodifusión o PMR, o una fracción de un año, en el caso de operaciones estacionales tales como expediciones científicas, actividades agrícolas, etc.</w:t>
      </w:r>
    </w:p>
    <w:p w14:paraId="2A35C39F" w14:textId="6832A1D1" w:rsidR="00F73D5B" w:rsidRPr="008B7A21" w:rsidRDefault="00F73D5B" w:rsidP="00F73D5B">
      <w:pPr>
        <w:rPr>
          <w:lang w:val="es-ES_tradnl"/>
        </w:rPr>
      </w:pPr>
      <w:r w:rsidRPr="008B7A21">
        <w:rPr>
          <w:lang w:val="es-ES_tradnl"/>
        </w:rPr>
        <w:t xml:space="preserve">Por ejemplo, si un transmisor de TV en particular de conformidad con los términos de su licencia funciona únicamente 16 horas al día durante todo el año, entonces: </w:t>
      </w:r>
      <w:r w:rsidRPr="008B7A21">
        <w:rPr>
          <w:i/>
          <w:lang w:val="es-ES_tradnl"/>
        </w:rPr>
        <w:t>T</w:t>
      </w:r>
      <w:r w:rsidRPr="008B7A21">
        <w:rPr>
          <w:i/>
          <w:iCs/>
          <w:vertAlign w:val="subscript"/>
          <w:lang w:val="es-ES_tradnl"/>
        </w:rPr>
        <w:t>i</w:t>
      </w:r>
      <w:r w:rsidRPr="008B7A21">
        <w:rPr>
          <w:lang w:val="es-ES_tradnl"/>
        </w:rPr>
        <w:t> </w:t>
      </w:r>
      <w:r w:rsidR="00386EEF">
        <w:rPr>
          <w:lang w:val="es-ES_tradnl"/>
        </w:rPr>
        <w:t>=</w:t>
      </w:r>
      <w:r w:rsidRPr="008B7A21">
        <w:rPr>
          <w:lang w:val="es-ES_tradnl"/>
        </w:rPr>
        <w:t> 16/24 </w:t>
      </w:r>
      <w:r w:rsidR="00386EEF">
        <w:rPr>
          <w:lang w:val="es-ES_tradnl"/>
        </w:rPr>
        <w:t>=</w:t>
      </w:r>
      <w:r w:rsidRPr="008B7A21">
        <w:rPr>
          <w:lang w:val="es-ES_tradnl"/>
        </w:rPr>
        <w:t xml:space="preserve"> 0,67 años. Si otro transmisor (por ejemplo un transmisor de ondas decamétricas utilizado en una expedición geológica), de conformidad con los términos de su licencia puede funcionar plenamente sólo 3 meses al año, entonces: </w:t>
      </w:r>
      <w:r w:rsidRPr="008B7A21">
        <w:rPr>
          <w:i/>
          <w:lang w:val="es-ES_tradnl"/>
        </w:rPr>
        <w:t>T</w:t>
      </w:r>
      <w:r w:rsidRPr="008B7A21">
        <w:rPr>
          <w:i/>
          <w:iCs/>
          <w:vertAlign w:val="subscript"/>
          <w:lang w:val="es-ES_tradnl"/>
        </w:rPr>
        <w:t>i</w:t>
      </w:r>
      <w:r w:rsidRPr="008B7A21">
        <w:rPr>
          <w:lang w:val="es-ES_tradnl"/>
        </w:rPr>
        <w:t> </w:t>
      </w:r>
      <w:r w:rsidR="00386EEF">
        <w:rPr>
          <w:lang w:val="es-ES_tradnl"/>
        </w:rPr>
        <w:t>=</w:t>
      </w:r>
      <w:r w:rsidRPr="008B7A21">
        <w:rPr>
          <w:lang w:val="es-ES_tradnl"/>
        </w:rPr>
        <w:t> 3/12 </w:t>
      </w:r>
      <w:r w:rsidR="00386EEF">
        <w:rPr>
          <w:lang w:val="es-ES_tradnl"/>
        </w:rPr>
        <w:t>=</w:t>
      </w:r>
      <w:r w:rsidRPr="008B7A21">
        <w:rPr>
          <w:lang w:val="es-ES_tradnl"/>
        </w:rPr>
        <w:t> 0,35 años.</w:t>
      </w:r>
    </w:p>
    <w:p w14:paraId="6B9E740A" w14:textId="1C2E1480" w:rsidR="00F73D5B" w:rsidRPr="008B7A21" w:rsidRDefault="00F73D5B" w:rsidP="00F73D5B">
      <w:pPr>
        <w:rPr>
          <w:lang w:val="es-ES_tradnl"/>
        </w:rPr>
      </w:pPr>
      <w:r w:rsidRPr="008B7A21">
        <w:rPr>
          <w:lang w:val="es-ES_tradnl"/>
        </w:rPr>
        <w:t xml:space="preserve">Es evidente que en el caso de un transmisor que funcione permanentemente, por ejemplo un transmisor de microondas (RRL) (las breves interrupciones para realizar el mantenimiento no se tienen normalmente en cuenta si no se indica específicamente en la licencia), </w:t>
      </w:r>
      <w:r w:rsidRPr="008B7A21">
        <w:rPr>
          <w:i/>
          <w:iCs/>
          <w:lang w:val="es-ES_tradnl"/>
        </w:rPr>
        <w:t>T</w:t>
      </w:r>
      <w:r w:rsidRPr="008B7A21">
        <w:rPr>
          <w:i/>
          <w:iCs/>
          <w:vertAlign w:val="subscript"/>
          <w:lang w:val="es-ES_tradnl"/>
        </w:rPr>
        <w:t>i</w:t>
      </w:r>
      <w:r w:rsidRPr="008B7A21">
        <w:rPr>
          <w:lang w:val="es-ES_tradnl"/>
        </w:rPr>
        <w:t> </w:t>
      </w:r>
      <w:r w:rsidR="00386EEF">
        <w:rPr>
          <w:lang w:val="es-ES_tradnl"/>
        </w:rPr>
        <w:t>=</w:t>
      </w:r>
      <w:r w:rsidRPr="008B7A21">
        <w:rPr>
          <w:lang w:val="es-ES_tradnl"/>
        </w:rPr>
        <w:t> 1 año. Esta última situación generalmente es la típica para la mayoría de las asignaciones de frecuencias indicadas en la base de datos nacional de gestión del espectro. Este régimen es el que se solicita más a menudo y para el que se conceden más licencias.</w:t>
      </w:r>
    </w:p>
    <w:p w14:paraId="38D69633" w14:textId="77777777" w:rsidR="00F73D5B" w:rsidRPr="008B7A21" w:rsidRDefault="00F73D5B" w:rsidP="00F73D5B">
      <w:pPr>
        <w:pStyle w:val="Heading3"/>
        <w:rPr>
          <w:lang w:val="es-ES_tradnl"/>
        </w:rPr>
      </w:pPr>
      <w:bookmarkStart w:id="1273" w:name="_Toc306276863"/>
      <w:bookmarkStart w:id="1274" w:name="_Toc307921538"/>
      <w:bookmarkStart w:id="1275" w:name="_Toc307922105"/>
      <w:bookmarkStart w:id="1276" w:name="_Toc307922606"/>
      <w:bookmarkStart w:id="1277" w:name="_Toc307991955"/>
      <w:bookmarkStart w:id="1278" w:name="_Toc307993988"/>
      <w:bookmarkStart w:id="1279" w:name="_Toc307995250"/>
      <w:bookmarkStart w:id="1280" w:name="_Toc307996394"/>
      <w:bookmarkStart w:id="1281" w:name="_Toc308010369"/>
      <w:bookmarkStart w:id="1282" w:name="_Toc499563032"/>
      <w:bookmarkStart w:id="1283" w:name="_Toc215835404"/>
      <w:r w:rsidRPr="008B7A21">
        <w:rPr>
          <w:lang w:val="es-ES_tradnl"/>
        </w:rPr>
        <w:t>4.6.7</w:t>
      </w:r>
      <w:r w:rsidRPr="008B7A21">
        <w:rPr>
          <w:lang w:val="es-ES_tradnl"/>
        </w:rPr>
        <w:tab/>
        <w:t>Determinación de un recurso territorial utilizado por una emisión</w:t>
      </w:r>
      <w:bookmarkEnd w:id="1273"/>
      <w:bookmarkEnd w:id="1274"/>
      <w:bookmarkEnd w:id="1275"/>
      <w:bookmarkEnd w:id="1276"/>
      <w:bookmarkEnd w:id="1277"/>
      <w:bookmarkEnd w:id="1278"/>
      <w:bookmarkEnd w:id="1279"/>
      <w:bookmarkEnd w:id="1280"/>
      <w:bookmarkEnd w:id="1281"/>
      <w:bookmarkEnd w:id="1282"/>
      <w:bookmarkEnd w:id="1283"/>
    </w:p>
    <w:p w14:paraId="1B4CF207" w14:textId="77777777" w:rsidR="00F73D5B" w:rsidRPr="008B7A21" w:rsidRDefault="00F73D5B" w:rsidP="00F73D5B">
      <w:pPr>
        <w:rPr>
          <w:lang w:val="es-ES_tradnl"/>
        </w:rPr>
      </w:pPr>
      <w:r w:rsidRPr="008B7A21">
        <w:rPr>
          <w:lang w:val="es-ES_tradnl"/>
        </w:rPr>
        <w:t xml:space="preserve">Un recurso territorial </w:t>
      </w:r>
      <w:r w:rsidRPr="008B7A21">
        <w:rPr>
          <w:i/>
          <w:iCs/>
          <w:lang w:val="es-ES_tradnl"/>
        </w:rPr>
        <w:t>S</w:t>
      </w:r>
      <w:r w:rsidRPr="008B7A21">
        <w:rPr>
          <w:i/>
          <w:iCs/>
          <w:vertAlign w:val="subscript"/>
          <w:lang w:val="es-ES_tradnl"/>
        </w:rPr>
        <w:t>i</w:t>
      </w:r>
      <w:r w:rsidRPr="008B7A21">
        <w:rPr>
          <w:lang w:val="es-ES_tradnl"/>
        </w:rPr>
        <w:t xml:space="preserve"> utilizado por la</w:t>
      </w:r>
      <w:r w:rsidRPr="008B7A21">
        <w:rPr>
          <w:iCs/>
          <w:lang w:val="es-ES_tradnl"/>
        </w:rPr>
        <w:t xml:space="preserve"> </w:t>
      </w:r>
      <w:r w:rsidRPr="008B7A21">
        <w:rPr>
          <w:i/>
          <w:lang w:val="es-ES_tradnl"/>
        </w:rPr>
        <w:t>i</w:t>
      </w:r>
      <w:r w:rsidRPr="008B7A21">
        <w:rPr>
          <w:i/>
          <w:lang w:val="es-ES_tradnl"/>
        </w:rPr>
        <w:noBreakHyphen/>
      </w:r>
      <w:r w:rsidRPr="008B7A21">
        <w:rPr>
          <w:iCs/>
          <w:lang w:val="es-ES_tradnl"/>
        </w:rPr>
        <w:t>ésima emisión se determina de la forma siguiente</w:t>
      </w:r>
      <w:r w:rsidRPr="008B7A21">
        <w:rPr>
          <w:lang w:val="es-ES_tradnl"/>
        </w:rPr>
        <w:t>:</w:t>
      </w:r>
    </w:p>
    <w:p w14:paraId="71EDC5AA" w14:textId="77777777" w:rsidR="00F73D5B" w:rsidRPr="008B7A21" w:rsidRDefault="00F73D5B" w:rsidP="00F73D5B">
      <w:pPr>
        <w:pStyle w:val="Blanc"/>
        <w:rPr>
          <w:sz w:val="10"/>
          <w:szCs w:val="10"/>
          <w:lang w:val="es-ES_tradnl"/>
        </w:rPr>
      </w:pPr>
    </w:p>
    <w:p w14:paraId="49C503C4" w14:textId="055CFAEC" w:rsidR="00F73D5B" w:rsidRPr="008B7A21" w:rsidRDefault="00F73D5B" w:rsidP="00F73D5B">
      <w:pPr>
        <w:pStyle w:val="Equation"/>
        <w:rPr>
          <w:lang w:val="es-ES_tradnl"/>
        </w:rPr>
      </w:pPr>
      <w:r w:rsidRPr="008B7A21">
        <w:rPr>
          <w:lang w:val="es-ES_tradnl"/>
        </w:rPr>
        <w:tab/>
      </w:r>
      <w:r w:rsidRPr="008B7A21">
        <w:rPr>
          <w:lang w:val="es-ES_tradnl"/>
        </w:rPr>
        <w:tab/>
      </w:r>
      <w:r w:rsidRPr="008B7A21">
        <w:rPr>
          <w:i/>
          <w:iCs/>
          <w:lang w:val="es-ES_tradnl"/>
        </w:rPr>
        <w:t>S</w:t>
      </w:r>
      <w:r w:rsidRPr="008B7A21">
        <w:rPr>
          <w:i/>
          <w:iCs/>
          <w:vertAlign w:val="subscript"/>
          <w:lang w:val="es-ES_tradnl"/>
        </w:rPr>
        <w:t>i</w:t>
      </w:r>
      <w:r w:rsidRPr="008B7A21">
        <w:rPr>
          <w:position w:val="-5"/>
          <w:lang w:val="es-ES_tradnl"/>
        </w:rPr>
        <w:t xml:space="preserve"> </w:t>
      </w:r>
      <w:r w:rsidR="00386EEF">
        <w:rPr>
          <w:lang w:val="es-ES_tradnl"/>
        </w:rPr>
        <w:t>=</w:t>
      </w:r>
      <w:r w:rsidRPr="008B7A21">
        <w:rPr>
          <w:lang w:val="es-ES_tradnl"/>
        </w:rPr>
        <w:t xml:space="preserve"> </w:t>
      </w:r>
      <w:r w:rsidRPr="008B7A21">
        <w:rPr>
          <w:i/>
          <w:iCs/>
          <w:lang w:val="es-ES_tradnl"/>
        </w:rPr>
        <w:t>b</w:t>
      </w:r>
      <w:r w:rsidRPr="008B7A21">
        <w:rPr>
          <w:i/>
          <w:iCs/>
          <w:vertAlign w:val="subscript"/>
          <w:lang w:val="es-ES_tradnl"/>
        </w:rPr>
        <w:t>ij</w:t>
      </w:r>
      <w:r w:rsidRPr="008B7A21">
        <w:rPr>
          <w:lang w:val="es-ES_tradnl"/>
        </w:rPr>
        <w:t xml:space="preserve"> </w:t>
      </w:r>
      <w:r w:rsidRPr="008B7A21">
        <w:rPr>
          <w:lang w:val="es-ES_tradnl"/>
        </w:rPr>
        <w:fldChar w:fldCharType="begin"/>
      </w:r>
      <w:r w:rsidRPr="008B7A21">
        <w:rPr>
          <w:lang w:val="es-ES_tradnl"/>
        </w:rPr>
        <w:instrText>SYMBOL 215 \f "Symbol" \s 14</w:instrText>
      </w:r>
      <w:r w:rsidRPr="008B7A21">
        <w:rPr>
          <w:lang w:val="es-ES_tradnl"/>
        </w:rPr>
        <w:fldChar w:fldCharType="separate"/>
      </w:r>
      <w:r w:rsidRPr="008B7A21">
        <w:rPr>
          <w:lang w:val="es-ES_tradnl"/>
        </w:rPr>
        <w:t>×</w:t>
      </w:r>
      <w:r w:rsidRPr="008B7A21">
        <w:rPr>
          <w:lang w:val="es-ES_tradnl"/>
        </w:rPr>
        <w:fldChar w:fldCharType="end"/>
      </w:r>
      <w:r w:rsidRPr="008B7A21">
        <w:rPr>
          <w:lang w:val="es-ES_tradnl"/>
        </w:rPr>
        <w:t xml:space="preserve"> </w:t>
      </w:r>
      <w:r w:rsidRPr="008B7A21">
        <w:rPr>
          <w:i/>
          <w:iCs/>
          <w:lang w:val="es-ES_tradnl"/>
        </w:rPr>
        <w:t>s</w:t>
      </w:r>
      <w:r w:rsidRPr="008B7A21">
        <w:rPr>
          <w:i/>
          <w:iCs/>
          <w:vertAlign w:val="subscript"/>
          <w:lang w:val="es-ES_tradnl"/>
        </w:rPr>
        <w:t>i</w:t>
      </w:r>
      <w:r w:rsidRPr="008B7A21">
        <w:rPr>
          <w:lang w:val="es-ES_tradnl"/>
        </w:rPr>
        <w:t xml:space="preserve">    (km</w:t>
      </w:r>
      <w:r w:rsidRPr="008B7A21">
        <w:rPr>
          <w:vertAlign w:val="superscript"/>
          <w:lang w:val="es-ES_tradnl"/>
        </w:rPr>
        <w:t>2</w:t>
      </w:r>
      <w:r w:rsidRPr="008B7A21">
        <w:rPr>
          <w:lang w:val="es-ES_tradnl"/>
        </w:rPr>
        <w:t xml:space="preserve">)        1 </w:t>
      </w:r>
      <w:r w:rsidR="00386EEF">
        <w:rPr>
          <w:lang w:val="es-ES_tradnl"/>
        </w:rPr>
        <w:t>≤</w:t>
      </w:r>
      <w:r w:rsidRPr="008B7A21">
        <w:rPr>
          <w:lang w:val="es-ES_tradnl"/>
        </w:rPr>
        <w:t xml:space="preserve"> </w:t>
      </w:r>
      <w:r w:rsidRPr="008B7A21">
        <w:rPr>
          <w:i/>
          <w:iCs/>
          <w:lang w:val="es-ES_tradnl"/>
        </w:rPr>
        <w:t>j</w:t>
      </w:r>
      <w:r w:rsidRPr="008B7A21">
        <w:rPr>
          <w:lang w:val="es-ES_tradnl"/>
        </w:rPr>
        <w:t xml:space="preserve"> </w:t>
      </w:r>
      <w:r w:rsidR="00386EEF">
        <w:rPr>
          <w:lang w:val="es-ES_tradnl"/>
        </w:rPr>
        <w:t>≤</w:t>
      </w:r>
      <w:r w:rsidRPr="008B7A21">
        <w:rPr>
          <w:lang w:val="es-ES_tradnl"/>
        </w:rPr>
        <w:t xml:space="preserve"> </w:t>
      </w:r>
      <w:r w:rsidRPr="008B7A21">
        <w:rPr>
          <w:i/>
          <w:iCs/>
          <w:lang w:val="es-ES_tradnl"/>
        </w:rPr>
        <w:t>m</w:t>
      </w:r>
      <w:r w:rsidRPr="008B7A21">
        <w:rPr>
          <w:lang w:val="es-ES_tradnl"/>
        </w:rPr>
        <w:tab/>
        <w:t>(22)</w:t>
      </w:r>
    </w:p>
    <w:p w14:paraId="262E5D88" w14:textId="77777777" w:rsidR="00F73D5B" w:rsidRPr="008B7A21" w:rsidRDefault="00F73D5B" w:rsidP="00F73D5B">
      <w:pPr>
        <w:pStyle w:val="Blanc"/>
        <w:rPr>
          <w:sz w:val="10"/>
          <w:szCs w:val="10"/>
          <w:lang w:val="es-ES_tradnl"/>
        </w:rPr>
      </w:pPr>
    </w:p>
    <w:p w14:paraId="5BC6F063" w14:textId="77777777" w:rsidR="00F73D5B" w:rsidRPr="008B7A21" w:rsidRDefault="00F73D5B" w:rsidP="00F73D5B">
      <w:pPr>
        <w:keepNext/>
        <w:keepLines/>
        <w:rPr>
          <w:lang w:val="es-ES_tradnl"/>
        </w:rPr>
      </w:pPr>
      <w:r w:rsidRPr="008B7A21">
        <w:rPr>
          <w:lang w:val="es-ES_tradnl"/>
        </w:rPr>
        <w:t>siendo:</w:t>
      </w:r>
    </w:p>
    <w:p w14:paraId="7A00F8D4" w14:textId="77777777" w:rsidR="00F73D5B" w:rsidRPr="008B7A21" w:rsidRDefault="00F73D5B" w:rsidP="00F73D5B">
      <w:pPr>
        <w:pStyle w:val="Equationlegend"/>
        <w:keepNext/>
        <w:keepLines/>
        <w:rPr>
          <w:lang w:val="es-ES_tradnl"/>
        </w:rPr>
      </w:pPr>
      <w:r w:rsidRPr="008B7A21">
        <w:rPr>
          <w:i/>
          <w:lang w:val="es-ES_tradnl"/>
        </w:rPr>
        <w:tab/>
        <w:t>S</w:t>
      </w:r>
      <w:r w:rsidRPr="008B7A21">
        <w:rPr>
          <w:i/>
          <w:iCs/>
          <w:vertAlign w:val="subscript"/>
          <w:lang w:val="es-ES_tradnl"/>
        </w:rPr>
        <w:t>i</w:t>
      </w:r>
      <w:r w:rsidRPr="008B7A21">
        <w:rPr>
          <w:iCs/>
          <w:lang w:val="es-ES_tradnl"/>
        </w:rPr>
        <w:t>:</w:t>
      </w:r>
      <w:r w:rsidRPr="008B7A21">
        <w:rPr>
          <w:iCs/>
          <w:lang w:val="es-ES_tradnl"/>
        </w:rPr>
        <w:tab/>
      </w:r>
      <w:r w:rsidRPr="008B7A21">
        <w:rPr>
          <w:lang w:val="es-ES_tradnl"/>
        </w:rPr>
        <w:t>territorio realmente ocupado (cubierto) por la emisión de conformidad con ciertos criterios (km</w:t>
      </w:r>
      <w:r w:rsidRPr="008B7A21">
        <w:rPr>
          <w:vertAlign w:val="superscript"/>
          <w:lang w:val="es-ES_tradnl"/>
        </w:rPr>
        <w:t>2</w:t>
      </w:r>
      <w:r w:rsidRPr="008B7A21">
        <w:rPr>
          <w:sz w:val="20"/>
          <w:lang w:val="es-ES_tradnl"/>
        </w:rPr>
        <w:t>)</w:t>
      </w:r>
    </w:p>
    <w:p w14:paraId="1256C851" w14:textId="77777777" w:rsidR="00F73D5B" w:rsidRPr="008B7A21" w:rsidRDefault="00F73D5B" w:rsidP="00F73D5B">
      <w:pPr>
        <w:pStyle w:val="Equationlegend"/>
        <w:rPr>
          <w:lang w:val="es-ES_tradnl"/>
        </w:rPr>
      </w:pPr>
      <w:r w:rsidRPr="008B7A21">
        <w:rPr>
          <w:i/>
          <w:lang w:val="es-ES_tradnl"/>
        </w:rPr>
        <w:tab/>
        <w:t>b</w:t>
      </w:r>
      <w:r w:rsidRPr="008B7A21">
        <w:rPr>
          <w:i/>
          <w:iCs/>
          <w:vertAlign w:val="subscript"/>
          <w:lang w:val="es-ES_tradnl"/>
        </w:rPr>
        <w:t>ij</w:t>
      </w:r>
      <w:r w:rsidRPr="008B7A21">
        <w:rPr>
          <w:iCs/>
          <w:lang w:val="es-ES_tradnl"/>
        </w:rPr>
        <w:t>:</w:t>
      </w:r>
      <w:r w:rsidRPr="008B7A21">
        <w:rPr>
          <w:lang w:val="es-ES_tradnl"/>
        </w:rPr>
        <w:tab/>
        <w:t xml:space="preserve">coeficiente de ponderación que depende de la </w:t>
      </w:r>
      <w:r w:rsidRPr="008B7A21">
        <w:rPr>
          <w:i/>
          <w:iCs/>
          <w:lang w:val="es-ES_tradnl"/>
        </w:rPr>
        <w:t>j-</w:t>
      </w:r>
      <w:r w:rsidRPr="008B7A21">
        <w:rPr>
          <w:lang w:val="es-ES_tradnl"/>
        </w:rPr>
        <w:t>ésima categoría del territorio realmente ocupado por la emisión</w:t>
      </w:r>
    </w:p>
    <w:p w14:paraId="264F8319" w14:textId="77777777" w:rsidR="00F73D5B" w:rsidRPr="008B7A21" w:rsidRDefault="00F73D5B" w:rsidP="00F73D5B">
      <w:pPr>
        <w:pStyle w:val="Equationlegend"/>
        <w:rPr>
          <w:lang w:val="es-ES_tradnl"/>
        </w:rPr>
      </w:pPr>
      <w:r w:rsidRPr="008B7A21">
        <w:rPr>
          <w:iCs/>
          <w:lang w:val="es-ES_tradnl"/>
        </w:rPr>
        <w:tab/>
      </w:r>
      <w:r w:rsidRPr="008B7A21">
        <w:rPr>
          <w:i/>
          <w:lang w:val="es-ES_tradnl"/>
        </w:rPr>
        <w:t>m</w:t>
      </w:r>
      <w:r w:rsidRPr="008B7A21">
        <w:rPr>
          <w:iCs/>
          <w:lang w:val="es-ES_tradnl"/>
        </w:rPr>
        <w:t>:</w:t>
      </w:r>
      <w:r w:rsidRPr="008B7A21">
        <w:rPr>
          <w:iCs/>
          <w:lang w:val="es-ES_tradnl"/>
        </w:rPr>
        <w:tab/>
        <w:t>número de categorías</w:t>
      </w:r>
      <w:r w:rsidRPr="008B7A21">
        <w:rPr>
          <w:lang w:val="es-ES_tradnl"/>
        </w:rPr>
        <w:t>.</w:t>
      </w:r>
    </w:p>
    <w:p w14:paraId="53652E59" w14:textId="77777777" w:rsidR="00F73D5B" w:rsidRPr="008B7A21" w:rsidRDefault="00F73D5B" w:rsidP="00F73D5B">
      <w:pPr>
        <w:rPr>
          <w:lang w:val="es-ES_tradnl"/>
        </w:rPr>
      </w:pPr>
      <w:r w:rsidRPr="008B7A21">
        <w:rPr>
          <w:lang w:val="es-ES_tradnl"/>
        </w:rPr>
        <w:t xml:space="preserve">El número de categorías </w:t>
      </w:r>
      <w:r w:rsidRPr="008B7A21">
        <w:rPr>
          <w:i/>
          <w:iCs/>
          <w:lang w:val="es-ES_tradnl"/>
        </w:rPr>
        <w:t>m</w:t>
      </w:r>
      <w:r w:rsidRPr="008B7A21">
        <w:rPr>
          <w:lang w:val="es-ES_tradnl"/>
        </w:rPr>
        <w:t xml:space="preserve"> y los valores pertinentes de los coeficientes de ponderación </w:t>
      </w:r>
      <w:r w:rsidRPr="008B7A21">
        <w:rPr>
          <w:i/>
          <w:lang w:val="es-ES_tradnl"/>
        </w:rPr>
        <w:t>b</w:t>
      </w:r>
      <w:r w:rsidRPr="008B7A21">
        <w:rPr>
          <w:i/>
          <w:iCs/>
          <w:vertAlign w:val="subscript"/>
          <w:lang w:val="es-ES_tradnl"/>
        </w:rPr>
        <w:t>j</w:t>
      </w:r>
      <w:r w:rsidRPr="008B7A21">
        <w:rPr>
          <w:lang w:val="es-ES_tradnl"/>
        </w:rPr>
        <w:t xml:space="preserve"> debe establecerlos la administración nacional de telecomunicaciones. Estas categorías pueden tener en cuenta la densidad de población y el nivel de desarrollo económico (industrial y/o agrícola) de varias regiones de un país. Representa una medida del interés que puede tener la zona para los operadores de radiocomunicaciones y de radiodifusión. Las categorías también pueden dividirse en zonas urbanas y rurales, zonas de interior y costeras y zonas continentales e islas. Adicionalmente también puede incluirse el tipo de asentamiento y el número de habitantes permanentes o circunstanciales.</w:t>
      </w:r>
    </w:p>
    <w:p w14:paraId="6BAFE51F" w14:textId="4EABE49A" w:rsidR="00F73D5B" w:rsidRPr="008B7A21" w:rsidRDefault="00F73D5B" w:rsidP="00F73D5B">
      <w:pPr>
        <w:rPr>
          <w:lang w:val="es-ES_tradnl"/>
        </w:rPr>
      </w:pPr>
      <w:r w:rsidRPr="008B7A21">
        <w:rPr>
          <w:lang w:val="es-ES_tradnl"/>
        </w:rPr>
        <w:t>En el Cuadro 2 figuran algunos ejemplos ilustrativos.</w:t>
      </w:r>
    </w:p>
    <w:p w14:paraId="55F5B977" w14:textId="50466E9A" w:rsidR="00F73D5B" w:rsidRPr="008B7A21" w:rsidRDefault="00F73D5B" w:rsidP="00F73D5B">
      <w:pPr>
        <w:pStyle w:val="TableNo"/>
        <w:rPr>
          <w:lang w:val="es-ES_tradnl"/>
        </w:rPr>
      </w:pPr>
      <w:r w:rsidRPr="008B7A21">
        <w:rPr>
          <w:lang w:val="es-ES_tradnl"/>
        </w:rPr>
        <w:t>CUADRO 2</w:t>
      </w:r>
    </w:p>
    <w:p w14:paraId="4ED8F6F3" w14:textId="77777777" w:rsidR="00F73D5B" w:rsidRPr="008B7A21" w:rsidRDefault="00F73D5B" w:rsidP="00F73D5B">
      <w:pPr>
        <w:pStyle w:val="Tabletitle"/>
        <w:rPr>
          <w:lang w:val="es-ES_tradnl"/>
        </w:rPr>
      </w:pPr>
      <w:r w:rsidRPr="008B7A21">
        <w:rPr>
          <w:lang w:val="es-ES_tradnl"/>
        </w:rPr>
        <w:t>Ejemplos de coeficientes de ponderación teniendo en cuenta</w:t>
      </w:r>
      <w:r w:rsidRPr="008B7A21">
        <w:rPr>
          <w:lang w:val="es-ES_tradnl"/>
        </w:rPr>
        <w:br/>
        <w:t>una densidad de población (nivel de desarrollo económico)</w:t>
      </w:r>
      <w:r w:rsidRPr="008B7A21">
        <w:rPr>
          <w:lang w:val="es-ES_tradnl"/>
        </w:rPr>
        <w:br/>
        <w:t>en varias regiones de un país</w:t>
      </w:r>
    </w:p>
    <w:tbl>
      <w:tblPr>
        <w:tblW w:w="0" w:type="auto"/>
        <w:jc w:val="center"/>
        <w:tblBorders>
          <w:top w:val="single" w:sz="2" w:space="0" w:color="auto"/>
          <w:left w:val="single" w:sz="6" w:space="0" w:color="auto"/>
          <w:bottom w:val="single" w:sz="6" w:space="0" w:color="auto"/>
          <w:right w:val="single" w:sz="6" w:space="0" w:color="auto"/>
          <w:insideH w:val="single" w:sz="2" w:space="0" w:color="auto"/>
          <w:insideV w:val="double" w:sz="4" w:space="0" w:color="auto"/>
        </w:tblBorders>
        <w:tblLayout w:type="fixed"/>
        <w:tblLook w:val="0000" w:firstRow="0" w:lastRow="0" w:firstColumn="0" w:lastColumn="0" w:noHBand="0" w:noVBand="0"/>
      </w:tblPr>
      <w:tblGrid>
        <w:gridCol w:w="1134"/>
        <w:gridCol w:w="7200"/>
        <w:gridCol w:w="1134"/>
      </w:tblGrid>
      <w:tr w:rsidR="00F73D5B" w:rsidRPr="008B7A21" w14:paraId="04C0A054" w14:textId="77777777" w:rsidTr="00767A6A">
        <w:trPr>
          <w:cantSplit/>
          <w:jc w:val="center"/>
        </w:trPr>
        <w:tc>
          <w:tcPr>
            <w:tcW w:w="1134" w:type="dxa"/>
            <w:tcBorders>
              <w:bottom w:val="single" w:sz="2" w:space="0" w:color="auto"/>
              <w:right w:val="single" w:sz="2" w:space="0" w:color="auto"/>
            </w:tcBorders>
            <w:vAlign w:val="center"/>
          </w:tcPr>
          <w:p w14:paraId="7486B79E" w14:textId="77777777" w:rsidR="00F73D5B" w:rsidRPr="008B7A21" w:rsidRDefault="00F73D5B" w:rsidP="00767A6A">
            <w:pPr>
              <w:pStyle w:val="Tablehead"/>
              <w:rPr>
                <w:lang w:val="es-ES_tradnl"/>
              </w:rPr>
            </w:pPr>
          </w:p>
        </w:tc>
        <w:tc>
          <w:tcPr>
            <w:tcW w:w="7200" w:type="dxa"/>
            <w:tcBorders>
              <w:left w:val="single" w:sz="2" w:space="0" w:color="auto"/>
              <w:bottom w:val="single" w:sz="2" w:space="0" w:color="auto"/>
              <w:right w:val="single" w:sz="2" w:space="0" w:color="auto"/>
            </w:tcBorders>
          </w:tcPr>
          <w:p w14:paraId="6F3F2574" w14:textId="77777777" w:rsidR="00F73D5B" w:rsidRPr="008B7A21" w:rsidRDefault="00F73D5B" w:rsidP="00767A6A">
            <w:pPr>
              <w:pStyle w:val="Tablehead"/>
              <w:rPr>
                <w:lang w:val="es-ES_tradnl"/>
              </w:rPr>
            </w:pPr>
            <w:r w:rsidRPr="008B7A21">
              <w:rPr>
                <w:lang w:val="es-ES_tradnl"/>
              </w:rPr>
              <w:t>Denominación</w:t>
            </w:r>
          </w:p>
        </w:tc>
        <w:tc>
          <w:tcPr>
            <w:tcW w:w="1134" w:type="dxa"/>
            <w:tcBorders>
              <w:left w:val="single" w:sz="2" w:space="0" w:color="auto"/>
            </w:tcBorders>
            <w:vAlign w:val="center"/>
          </w:tcPr>
          <w:p w14:paraId="648CB31F" w14:textId="77777777" w:rsidR="00F73D5B" w:rsidRPr="008B7A21" w:rsidRDefault="00F73D5B" w:rsidP="00767A6A">
            <w:pPr>
              <w:pStyle w:val="Tablehead"/>
              <w:rPr>
                <w:i/>
                <w:iCs/>
                <w:lang w:val="es-ES_tradnl"/>
              </w:rPr>
            </w:pPr>
            <w:r w:rsidRPr="008B7A21">
              <w:rPr>
                <w:i/>
                <w:iCs/>
                <w:lang w:val="es-ES_tradnl"/>
              </w:rPr>
              <w:t>b</w:t>
            </w:r>
            <w:r w:rsidRPr="008B7A21">
              <w:rPr>
                <w:i/>
                <w:iCs/>
                <w:vertAlign w:val="subscript"/>
                <w:lang w:val="es-ES_tradnl"/>
              </w:rPr>
              <w:t>j</w:t>
            </w:r>
          </w:p>
        </w:tc>
      </w:tr>
      <w:tr w:rsidR="00F73D5B" w:rsidRPr="008B7A21" w14:paraId="479F92F2" w14:textId="77777777" w:rsidTr="00767A6A">
        <w:tblPrEx>
          <w:tblBorders>
            <w:left w:val="single" w:sz="2" w:space="0" w:color="auto"/>
            <w:bottom w:val="single" w:sz="2" w:space="0" w:color="auto"/>
            <w:right w:val="single" w:sz="2" w:space="0" w:color="auto"/>
            <w:insideV w:val="single" w:sz="2" w:space="0" w:color="auto"/>
          </w:tblBorders>
        </w:tblPrEx>
        <w:trPr>
          <w:cantSplit/>
          <w:jc w:val="center"/>
        </w:trPr>
        <w:tc>
          <w:tcPr>
            <w:tcW w:w="1134" w:type="dxa"/>
            <w:vAlign w:val="center"/>
          </w:tcPr>
          <w:p w14:paraId="6CD377DA" w14:textId="77777777" w:rsidR="00F73D5B" w:rsidRPr="008B7A21" w:rsidRDefault="00F73D5B" w:rsidP="00767A6A">
            <w:pPr>
              <w:pStyle w:val="Tabletext"/>
              <w:jc w:val="center"/>
              <w:rPr>
                <w:lang w:val="es-ES_tradnl"/>
              </w:rPr>
            </w:pPr>
            <w:r w:rsidRPr="008B7A21">
              <w:rPr>
                <w:lang w:val="es-ES_tradnl"/>
              </w:rPr>
              <w:t>1</w:t>
            </w:r>
          </w:p>
        </w:tc>
        <w:tc>
          <w:tcPr>
            <w:tcW w:w="7200" w:type="dxa"/>
          </w:tcPr>
          <w:p w14:paraId="07A9CF06" w14:textId="77777777" w:rsidR="00F73D5B" w:rsidRPr="008B7A21" w:rsidRDefault="00F73D5B" w:rsidP="00767A6A">
            <w:pPr>
              <w:pStyle w:val="Tabletext"/>
              <w:jc w:val="left"/>
              <w:rPr>
                <w:lang w:val="es-ES_tradnl"/>
              </w:rPr>
            </w:pPr>
            <w:r w:rsidRPr="008B7A21">
              <w:rPr>
                <w:lang w:val="es-ES_tradnl"/>
              </w:rPr>
              <w:t>Regiones menos pobladas y/o menos desarrolladas económicamente (desiertos, zonas de montañas elevadas, selva, etc.) que normalmente son menos interesantes para los operadores de radiocomunicaciones y de radiodifusión</w:t>
            </w:r>
          </w:p>
        </w:tc>
        <w:tc>
          <w:tcPr>
            <w:tcW w:w="1134" w:type="dxa"/>
            <w:vAlign w:val="center"/>
          </w:tcPr>
          <w:p w14:paraId="1877D127" w14:textId="77777777" w:rsidR="00F73D5B" w:rsidRPr="008B7A21" w:rsidRDefault="00F73D5B" w:rsidP="00767A6A">
            <w:pPr>
              <w:pStyle w:val="Tabletext"/>
              <w:jc w:val="center"/>
              <w:rPr>
                <w:lang w:val="es-ES_tradnl"/>
              </w:rPr>
            </w:pPr>
            <w:r w:rsidRPr="008B7A21">
              <w:rPr>
                <w:lang w:val="es-ES_tradnl"/>
              </w:rPr>
              <w:t>0,1</w:t>
            </w:r>
          </w:p>
        </w:tc>
      </w:tr>
      <w:tr w:rsidR="00F73D5B" w:rsidRPr="008B7A21" w14:paraId="38B77AEC" w14:textId="77777777" w:rsidTr="00767A6A">
        <w:tblPrEx>
          <w:tblBorders>
            <w:left w:val="single" w:sz="2" w:space="0" w:color="auto"/>
            <w:bottom w:val="single" w:sz="2" w:space="0" w:color="auto"/>
            <w:right w:val="single" w:sz="2" w:space="0" w:color="auto"/>
            <w:insideV w:val="single" w:sz="2" w:space="0" w:color="auto"/>
          </w:tblBorders>
        </w:tblPrEx>
        <w:trPr>
          <w:cantSplit/>
          <w:jc w:val="center"/>
        </w:trPr>
        <w:tc>
          <w:tcPr>
            <w:tcW w:w="1134" w:type="dxa"/>
            <w:vAlign w:val="center"/>
          </w:tcPr>
          <w:p w14:paraId="4FD51638" w14:textId="77777777" w:rsidR="00F73D5B" w:rsidRPr="008B7A21" w:rsidRDefault="00F73D5B" w:rsidP="00767A6A">
            <w:pPr>
              <w:pStyle w:val="Tabletext"/>
              <w:jc w:val="center"/>
              <w:rPr>
                <w:lang w:val="es-ES_tradnl"/>
              </w:rPr>
            </w:pPr>
            <w:r w:rsidRPr="008B7A21">
              <w:rPr>
                <w:lang w:val="es-ES_tradnl"/>
              </w:rPr>
              <w:t xml:space="preserve">2 – </w:t>
            </w:r>
            <w:r w:rsidRPr="008B7A21">
              <w:rPr>
                <w:i/>
                <w:iCs/>
                <w:lang w:val="es-ES_tradnl"/>
              </w:rPr>
              <w:t>j</w:t>
            </w:r>
            <w:r w:rsidRPr="008B7A21">
              <w:rPr>
                <w:lang w:val="es-ES_tradnl"/>
              </w:rPr>
              <w:t> – ...</w:t>
            </w:r>
          </w:p>
        </w:tc>
        <w:tc>
          <w:tcPr>
            <w:tcW w:w="7200" w:type="dxa"/>
          </w:tcPr>
          <w:p w14:paraId="3CC2470C" w14:textId="77777777" w:rsidR="00F73D5B" w:rsidRPr="008B7A21" w:rsidRDefault="00F73D5B" w:rsidP="00767A6A">
            <w:pPr>
              <w:pStyle w:val="Tabletext"/>
              <w:jc w:val="left"/>
              <w:rPr>
                <w:lang w:val="es-ES_tradnl"/>
              </w:rPr>
            </w:pPr>
            <w:r w:rsidRPr="008B7A21">
              <w:rPr>
                <w:lang w:val="es-ES_tradnl"/>
              </w:rPr>
              <w:t>Regiones con varios niveles intermedios y crecientes en densidad de población y/o indicadores de desarrollo económico</w:t>
            </w:r>
          </w:p>
        </w:tc>
        <w:tc>
          <w:tcPr>
            <w:tcW w:w="1134" w:type="dxa"/>
            <w:vAlign w:val="center"/>
          </w:tcPr>
          <w:p w14:paraId="042C75FF" w14:textId="77777777" w:rsidR="00F73D5B" w:rsidRPr="008B7A21" w:rsidRDefault="00F73D5B" w:rsidP="00767A6A">
            <w:pPr>
              <w:pStyle w:val="Tabletext"/>
              <w:jc w:val="center"/>
              <w:rPr>
                <w:lang w:val="es-ES_tradnl"/>
              </w:rPr>
            </w:pPr>
            <w:r w:rsidRPr="008B7A21">
              <w:rPr>
                <w:lang w:val="es-ES_tradnl"/>
              </w:rPr>
              <w:t>0,2-0,9</w:t>
            </w:r>
          </w:p>
        </w:tc>
      </w:tr>
      <w:tr w:rsidR="00F73D5B" w:rsidRPr="008B7A21" w14:paraId="5ADCEF3B" w14:textId="77777777" w:rsidTr="00767A6A">
        <w:tblPrEx>
          <w:tblBorders>
            <w:left w:val="single" w:sz="2" w:space="0" w:color="auto"/>
            <w:bottom w:val="single" w:sz="2" w:space="0" w:color="auto"/>
            <w:right w:val="single" w:sz="2" w:space="0" w:color="auto"/>
            <w:insideV w:val="single" w:sz="2" w:space="0" w:color="auto"/>
          </w:tblBorders>
        </w:tblPrEx>
        <w:trPr>
          <w:cantSplit/>
          <w:jc w:val="center"/>
        </w:trPr>
        <w:tc>
          <w:tcPr>
            <w:tcW w:w="1134" w:type="dxa"/>
            <w:vAlign w:val="center"/>
          </w:tcPr>
          <w:p w14:paraId="71F38DEB" w14:textId="77777777" w:rsidR="00F73D5B" w:rsidRPr="008B7A21" w:rsidRDefault="00F73D5B" w:rsidP="00767A6A">
            <w:pPr>
              <w:pStyle w:val="Tabletext"/>
              <w:jc w:val="center"/>
              <w:rPr>
                <w:lang w:val="es-ES_tradnl"/>
              </w:rPr>
            </w:pPr>
            <w:r w:rsidRPr="008B7A21">
              <w:rPr>
                <w:lang w:val="es-ES_tradnl"/>
              </w:rPr>
              <w:t>...</w:t>
            </w:r>
          </w:p>
        </w:tc>
        <w:tc>
          <w:tcPr>
            <w:tcW w:w="7200" w:type="dxa"/>
          </w:tcPr>
          <w:p w14:paraId="27985693" w14:textId="77777777" w:rsidR="00F73D5B" w:rsidRPr="008B7A21" w:rsidRDefault="00F73D5B" w:rsidP="00767A6A">
            <w:pPr>
              <w:pStyle w:val="Tabletext"/>
              <w:jc w:val="left"/>
              <w:rPr>
                <w:lang w:val="es-ES_tradnl"/>
              </w:rPr>
            </w:pPr>
            <w:r w:rsidRPr="008B7A21">
              <w:rPr>
                <w:lang w:val="es-ES_tradnl"/>
              </w:rPr>
              <w:t>Regiones más pobladas y/o más desarrolladas económicamente (región de la capital, principales zonas industriales y/o agrícolas, etc.) que son las más atractivas para los operadores de radiocomunicaciones y de radiodifusión</w:t>
            </w:r>
          </w:p>
        </w:tc>
        <w:tc>
          <w:tcPr>
            <w:tcW w:w="1134" w:type="dxa"/>
            <w:vAlign w:val="center"/>
          </w:tcPr>
          <w:p w14:paraId="1A3E15F4" w14:textId="77777777" w:rsidR="00F73D5B" w:rsidRPr="008B7A21" w:rsidRDefault="00F73D5B" w:rsidP="00767A6A">
            <w:pPr>
              <w:pStyle w:val="Tabletext"/>
              <w:jc w:val="center"/>
              <w:rPr>
                <w:lang w:val="es-ES_tradnl"/>
              </w:rPr>
            </w:pPr>
            <w:r w:rsidRPr="008B7A21">
              <w:rPr>
                <w:lang w:val="es-ES_tradnl"/>
              </w:rPr>
              <w:t>1</w:t>
            </w:r>
          </w:p>
        </w:tc>
      </w:tr>
      <w:tr w:rsidR="00F73D5B" w:rsidRPr="008B7A21" w14:paraId="306C0115" w14:textId="77777777" w:rsidTr="00767A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4" w:type="dxa"/>
            <w:vAlign w:val="center"/>
          </w:tcPr>
          <w:p w14:paraId="68D2901C" w14:textId="77777777" w:rsidR="00F73D5B" w:rsidRPr="008B7A21" w:rsidRDefault="00F73D5B" w:rsidP="00767A6A">
            <w:pPr>
              <w:pStyle w:val="Tabletext"/>
              <w:jc w:val="center"/>
              <w:rPr>
                <w:sz w:val="20"/>
                <w:lang w:val="es-ES_tradnl"/>
              </w:rPr>
            </w:pPr>
          </w:p>
        </w:tc>
        <w:tc>
          <w:tcPr>
            <w:tcW w:w="7200" w:type="dxa"/>
          </w:tcPr>
          <w:p w14:paraId="70EF6EAA" w14:textId="77777777" w:rsidR="00F73D5B" w:rsidRPr="008B7A21" w:rsidRDefault="00F73D5B" w:rsidP="00767A6A">
            <w:pPr>
              <w:pStyle w:val="Tabletext"/>
              <w:rPr>
                <w:sz w:val="20"/>
                <w:lang w:val="es-ES_tradnl"/>
              </w:rPr>
            </w:pPr>
          </w:p>
        </w:tc>
        <w:tc>
          <w:tcPr>
            <w:tcW w:w="1134" w:type="dxa"/>
            <w:vAlign w:val="center"/>
          </w:tcPr>
          <w:p w14:paraId="2C757090" w14:textId="77777777" w:rsidR="00F73D5B" w:rsidRPr="008B7A21" w:rsidRDefault="00F73D5B" w:rsidP="00767A6A">
            <w:pPr>
              <w:pStyle w:val="Tabletext"/>
              <w:jc w:val="center"/>
              <w:rPr>
                <w:sz w:val="20"/>
                <w:lang w:val="es-ES_tradnl"/>
              </w:rPr>
            </w:pPr>
          </w:p>
        </w:tc>
      </w:tr>
      <w:tr w:rsidR="00F73D5B" w:rsidRPr="008B7A21" w14:paraId="4C5B86EB" w14:textId="77777777" w:rsidTr="00767A6A">
        <w:trPr>
          <w:cantSplit/>
          <w:jc w:val="center"/>
        </w:trPr>
        <w:tc>
          <w:tcPr>
            <w:tcW w:w="9468" w:type="dxa"/>
            <w:gridSpan w:val="3"/>
          </w:tcPr>
          <w:p w14:paraId="3A724205" w14:textId="77777777" w:rsidR="00F73D5B" w:rsidRPr="008B7A21" w:rsidRDefault="00F73D5B" w:rsidP="00767A6A">
            <w:pPr>
              <w:pStyle w:val="Tablehead"/>
              <w:rPr>
                <w:lang w:val="es-ES_tradnl"/>
              </w:rPr>
            </w:pPr>
            <w:r w:rsidRPr="008B7A21">
              <w:rPr>
                <w:lang w:val="es-ES_tradnl"/>
              </w:rPr>
              <w:t>Ciudades y asentamientos de tipo urbano</w:t>
            </w:r>
          </w:p>
        </w:tc>
      </w:tr>
      <w:tr w:rsidR="00F73D5B" w:rsidRPr="008B7A21" w14:paraId="71B44DFE" w14:textId="77777777" w:rsidTr="00767A6A">
        <w:trPr>
          <w:cantSplit/>
          <w:jc w:val="center"/>
        </w:trPr>
        <w:tc>
          <w:tcPr>
            <w:tcW w:w="1134" w:type="dxa"/>
            <w:tcBorders>
              <w:bottom w:val="single" w:sz="2" w:space="0" w:color="auto"/>
              <w:right w:val="single" w:sz="2" w:space="0" w:color="auto"/>
            </w:tcBorders>
            <w:vAlign w:val="center"/>
          </w:tcPr>
          <w:p w14:paraId="6E53BBB0" w14:textId="77777777" w:rsidR="00F73D5B" w:rsidRPr="008B7A21" w:rsidRDefault="00F73D5B" w:rsidP="00767A6A">
            <w:pPr>
              <w:pStyle w:val="Tabletext"/>
              <w:jc w:val="center"/>
              <w:rPr>
                <w:lang w:val="es-ES_tradnl"/>
              </w:rPr>
            </w:pPr>
            <w:r w:rsidRPr="008B7A21">
              <w:rPr>
                <w:lang w:val="es-ES_tradnl"/>
              </w:rPr>
              <w:t>...</w:t>
            </w:r>
          </w:p>
        </w:tc>
        <w:tc>
          <w:tcPr>
            <w:tcW w:w="7200" w:type="dxa"/>
            <w:tcBorders>
              <w:left w:val="single" w:sz="2" w:space="0" w:color="auto"/>
              <w:bottom w:val="single" w:sz="2" w:space="0" w:color="auto"/>
              <w:right w:val="single" w:sz="2" w:space="0" w:color="auto"/>
            </w:tcBorders>
          </w:tcPr>
          <w:p w14:paraId="1D54325F" w14:textId="77777777" w:rsidR="00F73D5B" w:rsidRPr="008B7A21" w:rsidRDefault="00F73D5B" w:rsidP="00767A6A">
            <w:pPr>
              <w:pStyle w:val="Tabletext"/>
              <w:rPr>
                <w:lang w:val="es-ES_tradnl"/>
              </w:rPr>
            </w:pPr>
            <w:r w:rsidRPr="008B7A21">
              <w:rPr>
                <w:lang w:val="es-ES_tradnl"/>
              </w:rPr>
              <w:t>Con una población entre 10 000 y 50 000 habitantes</w:t>
            </w:r>
          </w:p>
        </w:tc>
        <w:tc>
          <w:tcPr>
            <w:tcW w:w="1134" w:type="dxa"/>
            <w:tcBorders>
              <w:left w:val="single" w:sz="2" w:space="0" w:color="auto"/>
            </w:tcBorders>
            <w:vAlign w:val="center"/>
          </w:tcPr>
          <w:p w14:paraId="421D1B7C" w14:textId="77777777" w:rsidR="00F73D5B" w:rsidRPr="008B7A21" w:rsidRDefault="00F73D5B" w:rsidP="00767A6A">
            <w:pPr>
              <w:pStyle w:val="Tabletext"/>
              <w:jc w:val="center"/>
              <w:rPr>
                <w:lang w:val="es-ES_tradnl"/>
              </w:rPr>
            </w:pPr>
            <w:r w:rsidRPr="008B7A21">
              <w:rPr>
                <w:lang w:val="es-ES_tradnl"/>
              </w:rPr>
              <w:t>1,2</w:t>
            </w:r>
          </w:p>
        </w:tc>
      </w:tr>
      <w:tr w:rsidR="00F73D5B" w:rsidRPr="008B7A21" w14:paraId="6E9C743F" w14:textId="77777777" w:rsidTr="00767A6A">
        <w:trPr>
          <w:cantSplit/>
          <w:jc w:val="center"/>
        </w:trPr>
        <w:tc>
          <w:tcPr>
            <w:tcW w:w="1134" w:type="dxa"/>
            <w:tcBorders>
              <w:bottom w:val="single" w:sz="2" w:space="0" w:color="auto"/>
              <w:right w:val="single" w:sz="2" w:space="0" w:color="auto"/>
            </w:tcBorders>
            <w:vAlign w:val="center"/>
          </w:tcPr>
          <w:p w14:paraId="2D210355" w14:textId="77777777" w:rsidR="00F73D5B" w:rsidRPr="008B7A21" w:rsidRDefault="00F73D5B" w:rsidP="00767A6A">
            <w:pPr>
              <w:pStyle w:val="Tabletext"/>
              <w:jc w:val="center"/>
              <w:rPr>
                <w:lang w:val="es-ES_tradnl"/>
              </w:rPr>
            </w:pPr>
            <w:r w:rsidRPr="008B7A21">
              <w:rPr>
                <w:lang w:val="es-ES_tradnl"/>
              </w:rPr>
              <w:t>...</w:t>
            </w:r>
          </w:p>
        </w:tc>
        <w:tc>
          <w:tcPr>
            <w:tcW w:w="7200" w:type="dxa"/>
            <w:tcBorders>
              <w:left w:val="single" w:sz="2" w:space="0" w:color="auto"/>
              <w:bottom w:val="single" w:sz="2" w:space="0" w:color="auto"/>
              <w:right w:val="single" w:sz="2" w:space="0" w:color="auto"/>
            </w:tcBorders>
          </w:tcPr>
          <w:p w14:paraId="6689A9AB" w14:textId="77777777" w:rsidR="00F73D5B" w:rsidRPr="008B7A21" w:rsidRDefault="00F73D5B" w:rsidP="00767A6A">
            <w:pPr>
              <w:pStyle w:val="Tabletext"/>
              <w:rPr>
                <w:lang w:val="es-ES_tradnl"/>
              </w:rPr>
            </w:pPr>
            <w:r w:rsidRPr="008B7A21">
              <w:rPr>
                <w:lang w:val="es-ES_tradnl"/>
              </w:rPr>
              <w:t>Con una población entre 50 000 y 100 000 habitantes</w:t>
            </w:r>
          </w:p>
        </w:tc>
        <w:tc>
          <w:tcPr>
            <w:tcW w:w="1134" w:type="dxa"/>
            <w:tcBorders>
              <w:left w:val="single" w:sz="2" w:space="0" w:color="auto"/>
            </w:tcBorders>
            <w:vAlign w:val="center"/>
          </w:tcPr>
          <w:p w14:paraId="4A3F0480" w14:textId="77777777" w:rsidR="00F73D5B" w:rsidRPr="008B7A21" w:rsidRDefault="00F73D5B" w:rsidP="00767A6A">
            <w:pPr>
              <w:pStyle w:val="Tabletext"/>
              <w:jc w:val="center"/>
              <w:rPr>
                <w:lang w:val="es-ES_tradnl"/>
              </w:rPr>
            </w:pPr>
            <w:r w:rsidRPr="008B7A21">
              <w:rPr>
                <w:lang w:val="es-ES_tradnl"/>
              </w:rPr>
              <w:t>1,5</w:t>
            </w:r>
          </w:p>
        </w:tc>
      </w:tr>
      <w:tr w:rsidR="00F73D5B" w:rsidRPr="008B7A21" w14:paraId="532EE1A8" w14:textId="77777777" w:rsidTr="00767A6A">
        <w:trPr>
          <w:cantSplit/>
          <w:jc w:val="center"/>
        </w:trPr>
        <w:tc>
          <w:tcPr>
            <w:tcW w:w="1134" w:type="dxa"/>
            <w:tcBorders>
              <w:bottom w:val="single" w:sz="2" w:space="0" w:color="auto"/>
              <w:right w:val="single" w:sz="2" w:space="0" w:color="auto"/>
            </w:tcBorders>
            <w:vAlign w:val="center"/>
          </w:tcPr>
          <w:p w14:paraId="03247540" w14:textId="77777777" w:rsidR="00F73D5B" w:rsidRPr="008B7A21" w:rsidRDefault="00F73D5B" w:rsidP="00767A6A">
            <w:pPr>
              <w:pStyle w:val="Tabletext"/>
              <w:jc w:val="center"/>
              <w:rPr>
                <w:lang w:val="es-ES_tradnl"/>
              </w:rPr>
            </w:pPr>
            <w:r w:rsidRPr="008B7A21">
              <w:rPr>
                <w:i/>
                <w:iCs/>
                <w:lang w:val="es-ES_tradnl"/>
              </w:rPr>
              <w:t>m</w:t>
            </w:r>
            <w:r w:rsidRPr="008B7A21">
              <w:rPr>
                <w:lang w:val="es-ES_tradnl"/>
              </w:rPr>
              <w:t xml:space="preserve"> – 2</w:t>
            </w:r>
          </w:p>
        </w:tc>
        <w:tc>
          <w:tcPr>
            <w:tcW w:w="7200" w:type="dxa"/>
            <w:tcBorders>
              <w:left w:val="single" w:sz="2" w:space="0" w:color="auto"/>
              <w:bottom w:val="single" w:sz="2" w:space="0" w:color="auto"/>
              <w:right w:val="single" w:sz="2" w:space="0" w:color="auto"/>
            </w:tcBorders>
          </w:tcPr>
          <w:p w14:paraId="28B2BC24" w14:textId="77777777" w:rsidR="00F73D5B" w:rsidRPr="008B7A21" w:rsidRDefault="00F73D5B" w:rsidP="00767A6A">
            <w:pPr>
              <w:pStyle w:val="Tabletext"/>
              <w:rPr>
                <w:lang w:val="es-ES_tradnl"/>
              </w:rPr>
            </w:pPr>
            <w:r w:rsidRPr="008B7A21">
              <w:rPr>
                <w:lang w:val="es-ES_tradnl"/>
              </w:rPr>
              <w:t>Con una población entre 100 000 y 500 000 habitantes</w:t>
            </w:r>
          </w:p>
        </w:tc>
        <w:tc>
          <w:tcPr>
            <w:tcW w:w="1134" w:type="dxa"/>
            <w:tcBorders>
              <w:left w:val="single" w:sz="2" w:space="0" w:color="auto"/>
            </w:tcBorders>
            <w:vAlign w:val="center"/>
          </w:tcPr>
          <w:p w14:paraId="6BE88B24" w14:textId="77777777" w:rsidR="00F73D5B" w:rsidRPr="008B7A21" w:rsidRDefault="00F73D5B" w:rsidP="00767A6A">
            <w:pPr>
              <w:pStyle w:val="Tabletext"/>
              <w:jc w:val="center"/>
              <w:rPr>
                <w:lang w:val="es-ES_tradnl"/>
              </w:rPr>
            </w:pPr>
            <w:r w:rsidRPr="008B7A21">
              <w:rPr>
                <w:lang w:val="es-ES_tradnl"/>
              </w:rPr>
              <w:t>2,0</w:t>
            </w:r>
          </w:p>
        </w:tc>
      </w:tr>
      <w:tr w:rsidR="00F73D5B" w:rsidRPr="008B7A21" w14:paraId="6C783390" w14:textId="77777777" w:rsidTr="00767A6A">
        <w:trPr>
          <w:cantSplit/>
          <w:jc w:val="center"/>
        </w:trPr>
        <w:tc>
          <w:tcPr>
            <w:tcW w:w="1134" w:type="dxa"/>
            <w:tcBorders>
              <w:bottom w:val="single" w:sz="2" w:space="0" w:color="auto"/>
              <w:right w:val="single" w:sz="2" w:space="0" w:color="auto"/>
            </w:tcBorders>
            <w:vAlign w:val="center"/>
          </w:tcPr>
          <w:p w14:paraId="4893D45B" w14:textId="77777777" w:rsidR="00F73D5B" w:rsidRPr="008B7A21" w:rsidRDefault="00F73D5B" w:rsidP="00767A6A">
            <w:pPr>
              <w:pStyle w:val="Tabletext"/>
              <w:jc w:val="center"/>
              <w:rPr>
                <w:lang w:val="es-ES_tradnl"/>
              </w:rPr>
            </w:pPr>
            <w:r w:rsidRPr="008B7A21">
              <w:rPr>
                <w:i/>
                <w:iCs/>
                <w:lang w:val="es-ES_tradnl"/>
              </w:rPr>
              <w:t>m</w:t>
            </w:r>
            <w:r w:rsidRPr="008B7A21">
              <w:rPr>
                <w:lang w:val="es-ES_tradnl"/>
              </w:rPr>
              <w:t xml:space="preserve"> – 1</w:t>
            </w:r>
          </w:p>
        </w:tc>
        <w:tc>
          <w:tcPr>
            <w:tcW w:w="7200" w:type="dxa"/>
            <w:tcBorders>
              <w:left w:val="single" w:sz="2" w:space="0" w:color="auto"/>
              <w:bottom w:val="single" w:sz="2" w:space="0" w:color="auto"/>
              <w:right w:val="single" w:sz="2" w:space="0" w:color="auto"/>
            </w:tcBorders>
          </w:tcPr>
          <w:p w14:paraId="6A46773B" w14:textId="77777777" w:rsidR="00F73D5B" w:rsidRPr="008B7A21" w:rsidRDefault="00F73D5B" w:rsidP="00767A6A">
            <w:pPr>
              <w:pStyle w:val="Tabletext"/>
              <w:rPr>
                <w:lang w:val="es-ES_tradnl"/>
              </w:rPr>
            </w:pPr>
            <w:r w:rsidRPr="008B7A21">
              <w:rPr>
                <w:lang w:val="es-ES_tradnl"/>
              </w:rPr>
              <w:t>Con una población entre 500 000 y 1 000 000 de habitantes</w:t>
            </w:r>
          </w:p>
        </w:tc>
        <w:tc>
          <w:tcPr>
            <w:tcW w:w="1134" w:type="dxa"/>
            <w:tcBorders>
              <w:left w:val="single" w:sz="2" w:space="0" w:color="auto"/>
            </w:tcBorders>
            <w:vAlign w:val="center"/>
          </w:tcPr>
          <w:p w14:paraId="2C58F9E9" w14:textId="77777777" w:rsidR="00F73D5B" w:rsidRPr="008B7A21" w:rsidRDefault="00F73D5B" w:rsidP="00767A6A">
            <w:pPr>
              <w:pStyle w:val="Tabletext"/>
              <w:jc w:val="center"/>
              <w:rPr>
                <w:lang w:val="es-ES_tradnl"/>
              </w:rPr>
            </w:pPr>
            <w:r w:rsidRPr="008B7A21">
              <w:rPr>
                <w:lang w:val="es-ES_tradnl"/>
              </w:rPr>
              <w:t>3,0</w:t>
            </w:r>
          </w:p>
        </w:tc>
      </w:tr>
      <w:tr w:rsidR="00F73D5B" w:rsidRPr="008B7A21" w14:paraId="7DC014AB" w14:textId="77777777" w:rsidTr="00767A6A">
        <w:trPr>
          <w:cantSplit/>
          <w:jc w:val="center"/>
        </w:trPr>
        <w:tc>
          <w:tcPr>
            <w:tcW w:w="1134" w:type="dxa"/>
            <w:tcBorders>
              <w:bottom w:val="single" w:sz="6" w:space="0" w:color="auto"/>
              <w:right w:val="single" w:sz="2" w:space="0" w:color="auto"/>
            </w:tcBorders>
            <w:vAlign w:val="center"/>
          </w:tcPr>
          <w:p w14:paraId="5A5F05EF" w14:textId="77777777" w:rsidR="00F73D5B" w:rsidRPr="008B7A21" w:rsidRDefault="00F73D5B" w:rsidP="00767A6A">
            <w:pPr>
              <w:pStyle w:val="Tabletext"/>
              <w:jc w:val="center"/>
              <w:rPr>
                <w:i/>
                <w:iCs/>
                <w:lang w:val="es-ES_tradnl"/>
              </w:rPr>
            </w:pPr>
            <w:r w:rsidRPr="008B7A21">
              <w:rPr>
                <w:i/>
                <w:iCs/>
                <w:lang w:val="es-ES_tradnl"/>
              </w:rPr>
              <w:t>m</w:t>
            </w:r>
          </w:p>
        </w:tc>
        <w:tc>
          <w:tcPr>
            <w:tcW w:w="7200" w:type="dxa"/>
            <w:tcBorders>
              <w:left w:val="single" w:sz="2" w:space="0" w:color="auto"/>
              <w:bottom w:val="single" w:sz="6" w:space="0" w:color="auto"/>
              <w:right w:val="single" w:sz="2" w:space="0" w:color="auto"/>
            </w:tcBorders>
          </w:tcPr>
          <w:p w14:paraId="0A738DF3" w14:textId="77777777" w:rsidR="00F73D5B" w:rsidRPr="008B7A21" w:rsidRDefault="00F73D5B" w:rsidP="00767A6A">
            <w:pPr>
              <w:pStyle w:val="Tabletext"/>
              <w:rPr>
                <w:lang w:val="es-ES_tradnl"/>
              </w:rPr>
            </w:pPr>
            <w:r w:rsidRPr="008B7A21">
              <w:rPr>
                <w:lang w:val="es-ES_tradnl"/>
              </w:rPr>
              <w:t>Con una población superior al 1 000 000 de habitantes</w:t>
            </w:r>
          </w:p>
        </w:tc>
        <w:tc>
          <w:tcPr>
            <w:tcW w:w="1134" w:type="dxa"/>
            <w:tcBorders>
              <w:left w:val="single" w:sz="2" w:space="0" w:color="auto"/>
            </w:tcBorders>
            <w:vAlign w:val="center"/>
          </w:tcPr>
          <w:p w14:paraId="0E195AE1" w14:textId="77777777" w:rsidR="00F73D5B" w:rsidRPr="008B7A21" w:rsidRDefault="00F73D5B" w:rsidP="00767A6A">
            <w:pPr>
              <w:pStyle w:val="Tabletext"/>
              <w:jc w:val="center"/>
              <w:rPr>
                <w:lang w:val="es-ES_tradnl"/>
              </w:rPr>
            </w:pPr>
            <w:r w:rsidRPr="008B7A21">
              <w:rPr>
                <w:lang w:val="es-ES_tradnl"/>
              </w:rPr>
              <w:t>4,0</w:t>
            </w:r>
          </w:p>
        </w:tc>
      </w:tr>
    </w:tbl>
    <w:p w14:paraId="4CE5E765" w14:textId="77777777" w:rsidR="00F73D5B" w:rsidRPr="008B7A21" w:rsidRDefault="00F73D5B" w:rsidP="00F73D5B">
      <w:pPr>
        <w:pStyle w:val="Tablefin"/>
        <w:rPr>
          <w:sz w:val="12"/>
          <w:szCs w:val="12"/>
          <w:lang w:val="es-ES_tradnl"/>
        </w:rPr>
      </w:pPr>
    </w:p>
    <w:p w14:paraId="2AEAF086" w14:textId="3132A28D" w:rsidR="00F73D5B" w:rsidRPr="008B7A21" w:rsidRDefault="00F73D5B" w:rsidP="00F73D5B">
      <w:pPr>
        <w:rPr>
          <w:lang w:val="es-ES_tradnl"/>
        </w:rPr>
      </w:pPr>
      <w:r w:rsidRPr="008B7A21">
        <w:rPr>
          <w:lang w:val="es-ES_tradnl"/>
        </w:rPr>
        <w:t xml:space="preserve">El territorio realmente ocupado por la emisión </w:t>
      </w:r>
      <w:r w:rsidRPr="008B7A21">
        <w:rPr>
          <w:i/>
          <w:lang w:val="es-ES_tradnl"/>
        </w:rPr>
        <w:t>s</w:t>
      </w:r>
      <w:r w:rsidRPr="008B7A21">
        <w:rPr>
          <w:i/>
          <w:vertAlign w:val="subscript"/>
          <w:lang w:val="es-ES_tradnl"/>
        </w:rPr>
        <w:t>i</w:t>
      </w:r>
      <w:r w:rsidRPr="008B7A21">
        <w:rPr>
          <w:i/>
          <w:lang w:val="es-ES_tradnl"/>
        </w:rPr>
        <w:t xml:space="preserve"> </w:t>
      </w:r>
      <w:r w:rsidRPr="008B7A21">
        <w:rPr>
          <w:lang w:val="es-ES_tradnl"/>
        </w:rPr>
        <w:t xml:space="preserve">se calcula individualmente para cada </w:t>
      </w:r>
      <w:r w:rsidRPr="008B7A21">
        <w:rPr>
          <w:i/>
          <w:iCs/>
          <w:lang w:val="es-ES_tradnl"/>
        </w:rPr>
        <w:t>i</w:t>
      </w:r>
      <w:r w:rsidRPr="008B7A21">
        <w:rPr>
          <w:i/>
          <w:iCs/>
          <w:lang w:val="es-ES_tradnl"/>
        </w:rPr>
        <w:noBreakHyphen/>
      </w:r>
      <w:r w:rsidRPr="008B7A21">
        <w:rPr>
          <w:lang w:val="es-ES_tradnl"/>
        </w:rPr>
        <w:t xml:space="preserve">ésima emisión basándose en el concepto de zona de servicio pertinente (y su equivalente para comunicaciones punto a punto) por el criterio de la intensidad de campo nominal utilizable </w:t>
      </w:r>
      <w:r w:rsidRPr="008B7A21">
        <w:rPr>
          <w:i/>
          <w:lang w:val="es-ES_tradnl"/>
        </w:rPr>
        <w:t>E</w:t>
      </w:r>
      <w:r w:rsidRPr="008B7A21">
        <w:rPr>
          <w:i/>
          <w:iCs/>
          <w:vertAlign w:val="subscript"/>
          <w:lang w:val="es-ES_tradnl"/>
        </w:rPr>
        <w:t>n</w:t>
      </w:r>
      <w:r w:rsidRPr="008B7A21">
        <w:rPr>
          <w:lang w:val="es-ES_tradnl"/>
        </w:rPr>
        <w:t xml:space="preserve"> sus fronteras. Si el territorio realmente ocupado por la </w:t>
      </w:r>
      <w:r w:rsidRPr="008B7A21">
        <w:rPr>
          <w:i/>
          <w:iCs/>
          <w:lang w:val="es-ES_tradnl"/>
        </w:rPr>
        <w:t>i</w:t>
      </w:r>
      <w:r w:rsidRPr="008B7A21">
        <w:rPr>
          <w:i/>
          <w:iCs/>
          <w:lang w:val="es-ES_tradnl"/>
        </w:rPr>
        <w:noBreakHyphen/>
      </w:r>
      <w:r w:rsidRPr="008B7A21">
        <w:rPr>
          <w:lang w:val="es-ES_tradnl"/>
        </w:rPr>
        <w:t xml:space="preserve">ésima emisión incluye </w:t>
      </w:r>
      <w:r w:rsidRPr="008B7A21">
        <w:rPr>
          <w:i/>
          <w:iCs/>
          <w:lang w:val="es-ES_tradnl"/>
        </w:rPr>
        <w:t>K</w:t>
      </w:r>
      <w:r w:rsidRPr="008B7A21">
        <w:rPr>
          <w:lang w:val="es-ES_tradnl"/>
        </w:rPr>
        <w:t xml:space="preserve"> regiones pertenecientes a las distintas categorías antes indicadas, el recurso territorial correspondiente </w:t>
      </w:r>
      <w:r w:rsidR="00386EEF" w:rsidRPr="00386EEF">
        <w:sym w:font="Symbol" w:char="F053"/>
      </w:r>
      <w:r w:rsidRPr="008B7A21">
        <w:rPr>
          <w:i/>
          <w:lang w:val="es-ES_tradnl"/>
        </w:rPr>
        <w:t>S</w:t>
      </w:r>
      <w:r w:rsidRPr="008B7A21">
        <w:rPr>
          <w:i/>
          <w:iCs/>
          <w:vertAlign w:val="subscript"/>
          <w:lang w:val="es-ES_tradnl"/>
        </w:rPr>
        <w:t>i</w:t>
      </w:r>
      <w:r w:rsidRPr="008B7A21">
        <w:rPr>
          <w:lang w:val="es-ES_tradnl"/>
        </w:rPr>
        <w:t xml:space="preserve"> puede determinarse de la forma siguiente:</w:t>
      </w:r>
    </w:p>
    <w:p w14:paraId="121A0E90" w14:textId="77777777" w:rsidR="00F73D5B" w:rsidRPr="008B7A21" w:rsidRDefault="00F73D5B" w:rsidP="00F73D5B">
      <w:pPr>
        <w:pStyle w:val="Blanc"/>
        <w:rPr>
          <w:lang w:val="es-ES_tradnl"/>
        </w:rPr>
      </w:pPr>
    </w:p>
    <w:p w14:paraId="0CAD618A"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32"/>
          <w:lang w:val="es-ES_tradnl"/>
        </w:rPr>
        <w:object w:dxaOrig="1740" w:dyaOrig="760" w14:anchorId="00C4DE32">
          <v:shape id="_x0000_i1659" type="#_x0000_t75" style="width:86.25pt;height:35.15pt" o:ole="" fillcolor="window">
            <v:imagedata r:id="rId21" o:title=""/>
          </v:shape>
          <o:OLEObject Type="Embed" ProgID="Equation.3" ShapeID="_x0000_i1659" DrawAspect="Content" ObjectID="_1826705867" r:id="rId22"/>
        </w:object>
      </w:r>
      <w:r w:rsidRPr="008B7A21">
        <w:rPr>
          <w:lang w:val="es-ES_tradnl"/>
        </w:rPr>
        <w:tab/>
        <w:t>(23)</w:t>
      </w:r>
    </w:p>
    <w:p w14:paraId="72839996" w14:textId="77777777" w:rsidR="00F73D5B" w:rsidRPr="008B7A21" w:rsidRDefault="00F73D5B" w:rsidP="00F73D5B">
      <w:pPr>
        <w:keepNext/>
        <w:keepLines/>
        <w:rPr>
          <w:lang w:val="es-ES_tradnl"/>
        </w:rPr>
      </w:pPr>
      <w:r w:rsidRPr="008B7A21">
        <w:rPr>
          <w:lang w:val="es-ES_tradnl"/>
        </w:rPr>
        <w:t>siendo:</w:t>
      </w:r>
    </w:p>
    <w:p w14:paraId="3DA80102" w14:textId="77777777" w:rsidR="00F73D5B" w:rsidRPr="008B7A21" w:rsidRDefault="00F73D5B" w:rsidP="00F73D5B">
      <w:pPr>
        <w:pStyle w:val="Equationlegend"/>
        <w:keepNext/>
        <w:keepLines/>
        <w:rPr>
          <w:lang w:val="es-ES_tradnl"/>
        </w:rPr>
      </w:pPr>
      <w:r w:rsidRPr="008B7A21">
        <w:rPr>
          <w:i/>
          <w:lang w:val="es-ES_tradnl"/>
        </w:rPr>
        <w:tab/>
        <w:t>b</w:t>
      </w:r>
      <w:r w:rsidRPr="008B7A21">
        <w:rPr>
          <w:i/>
          <w:iCs/>
          <w:vertAlign w:val="subscript"/>
          <w:lang w:val="es-ES_tradnl"/>
        </w:rPr>
        <w:t>ik</w:t>
      </w:r>
      <w:r w:rsidRPr="008B7A21">
        <w:rPr>
          <w:iCs/>
          <w:lang w:val="es-ES_tradnl"/>
        </w:rPr>
        <w:t>:</w:t>
      </w:r>
      <w:r w:rsidRPr="008B7A21">
        <w:rPr>
          <w:iCs/>
          <w:lang w:val="es-ES_tradnl"/>
        </w:rPr>
        <w:tab/>
        <w:t>coeficiente de ponderación pertinente para la</w:t>
      </w:r>
      <w:r w:rsidRPr="008B7A21">
        <w:rPr>
          <w:lang w:val="es-ES_tradnl"/>
        </w:rPr>
        <w:t xml:space="preserve"> </w:t>
      </w:r>
      <w:r w:rsidRPr="008B7A21">
        <w:rPr>
          <w:i/>
          <w:lang w:val="es-ES_tradnl"/>
        </w:rPr>
        <w:t>q</w:t>
      </w:r>
      <w:r w:rsidRPr="008B7A21">
        <w:rPr>
          <w:lang w:val="es-ES_tradnl"/>
        </w:rPr>
        <w:t>-ésima categoría de zona</w:t>
      </w:r>
    </w:p>
    <w:p w14:paraId="713B8AC2" w14:textId="77777777" w:rsidR="00F73D5B" w:rsidRPr="008B7A21" w:rsidRDefault="00F73D5B" w:rsidP="00F73D5B">
      <w:pPr>
        <w:pStyle w:val="Equationlegend"/>
        <w:rPr>
          <w:lang w:val="es-ES_tradnl"/>
        </w:rPr>
      </w:pPr>
      <w:r w:rsidRPr="008B7A21">
        <w:rPr>
          <w:i/>
          <w:lang w:val="es-ES_tradnl"/>
        </w:rPr>
        <w:tab/>
        <w:t>s</w:t>
      </w:r>
      <w:r w:rsidRPr="008B7A21">
        <w:rPr>
          <w:i/>
          <w:iCs/>
          <w:vertAlign w:val="subscript"/>
          <w:lang w:val="es-ES_tradnl"/>
        </w:rPr>
        <w:t>ik</w:t>
      </w:r>
      <w:r w:rsidRPr="008B7A21">
        <w:rPr>
          <w:lang w:val="es-ES_tradnl"/>
        </w:rPr>
        <w:t>:</w:t>
      </w:r>
      <w:r w:rsidRPr="008B7A21">
        <w:rPr>
          <w:lang w:val="es-ES_tradnl"/>
        </w:rPr>
        <w:tab/>
        <w:t xml:space="preserve">proporción pertinente de toda la región ocupada </w:t>
      </w:r>
      <w:r w:rsidRPr="008B7A21">
        <w:rPr>
          <w:i/>
          <w:iCs/>
          <w:lang w:val="es-ES_tradnl"/>
        </w:rPr>
        <w:t>s</w:t>
      </w:r>
      <w:r w:rsidRPr="008B7A21">
        <w:rPr>
          <w:i/>
          <w:iCs/>
          <w:vertAlign w:val="subscript"/>
          <w:lang w:val="es-ES_tradnl"/>
        </w:rPr>
        <w:t>i</w:t>
      </w:r>
      <w:r w:rsidRPr="008B7A21">
        <w:rPr>
          <w:lang w:val="es-ES_tradnl"/>
        </w:rPr>
        <w:t>;</w:t>
      </w:r>
    </w:p>
    <w:p w14:paraId="144716EF" w14:textId="77777777" w:rsidR="00F73D5B" w:rsidRPr="008B7A21" w:rsidRDefault="00F73D5B" w:rsidP="00F73D5B">
      <w:pPr>
        <w:rPr>
          <w:lang w:val="es-ES_tradnl"/>
        </w:rPr>
      </w:pPr>
      <w:r w:rsidRPr="008B7A21">
        <w:rPr>
          <w:lang w:val="es-ES_tradnl"/>
        </w:rPr>
        <w:t>es decir:</w:t>
      </w:r>
    </w:p>
    <w:p w14:paraId="06479C61" w14:textId="56293A79" w:rsidR="00F73D5B" w:rsidRPr="008B7A21" w:rsidRDefault="00F73D5B" w:rsidP="00F73D5B">
      <w:pPr>
        <w:pStyle w:val="Equation"/>
        <w:rPr>
          <w:lang w:val="es-ES_tradnl"/>
        </w:rPr>
      </w:pPr>
      <w:r w:rsidRPr="008B7A21">
        <w:rPr>
          <w:i/>
          <w:lang w:val="es-ES_tradnl"/>
        </w:rPr>
        <w:tab/>
      </w:r>
      <w:r w:rsidRPr="008B7A21">
        <w:rPr>
          <w:i/>
          <w:lang w:val="es-ES_tradnl"/>
        </w:rPr>
        <w:tab/>
      </w:r>
      <w:r w:rsidRPr="008B7A21">
        <w:rPr>
          <w:i/>
          <w:position w:val="-32"/>
          <w:lang w:val="es-ES_tradnl"/>
        </w:rPr>
        <w:object w:dxaOrig="1180" w:dyaOrig="760" w14:anchorId="1B8CE056">
          <v:shape id="_x0000_i1660" type="#_x0000_t75" style="width:57.75pt;height:35.15pt" o:ole="" fillcolor="window">
            <v:imagedata r:id="rId23" o:title=""/>
          </v:shape>
          <o:OLEObject Type="Embed" ProgID="Equation.3" ShapeID="_x0000_i1660" DrawAspect="Content" ObjectID="_1826705868" r:id="rId24"/>
        </w:object>
      </w:r>
      <w:r w:rsidRPr="008B7A21">
        <w:rPr>
          <w:lang w:val="es-ES_tradnl"/>
        </w:rPr>
        <w:t xml:space="preserve">       1 </w:t>
      </w:r>
      <w:r w:rsidR="00386EEF">
        <w:rPr>
          <w:lang w:val="es-ES_tradnl"/>
        </w:rPr>
        <w:t>≤</w:t>
      </w:r>
      <w:r w:rsidRPr="008B7A21">
        <w:rPr>
          <w:lang w:val="es-ES_tradnl"/>
        </w:rPr>
        <w:t xml:space="preserve"> </w:t>
      </w:r>
      <w:r w:rsidRPr="008B7A21">
        <w:rPr>
          <w:i/>
          <w:iCs/>
          <w:lang w:val="es-ES_tradnl"/>
        </w:rPr>
        <w:t>k</w:t>
      </w:r>
      <w:r w:rsidRPr="008B7A21">
        <w:rPr>
          <w:lang w:val="es-ES_tradnl"/>
        </w:rPr>
        <w:t xml:space="preserve"> </w:t>
      </w:r>
      <w:r w:rsidR="00386EEF">
        <w:rPr>
          <w:lang w:val="es-ES_tradnl"/>
        </w:rPr>
        <w:t>≤</w:t>
      </w:r>
      <w:r w:rsidRPr="008B7A21">
        <w:rPr>
          <w:lang w:val="es-ES_tradnl"/>
        </w:rPr>
        <w:t xml:space="preserve"> 3 (normalmente)</w:t>
      </w:r>
    </w:p>
    <w:p w14:paraId="0446E8A5" w14:textId="2F788356" w:rsidR="00F73D5B" w:rsidRPr="008B7A21" w:rsidRDefault="00F73D5B" w:rsidP="00F73D5B">
      <w:pPr>
        <w:rPr>
          <w:lang w:val="es-ES_tradnl"/>
        </w:rPr>
      </w:pPr>
      <w:r w:rsidRPr="008B7A21">
        <w:rPr>
          <w:lang w:val="es-ES_tradnl"/>
        </w:rPr>
        <w:t xml:space="preserve">También se presentan ejemplos de cálculo de los valores proporcionales </w:t>
      </w:r>
      <w:r w:rsidRPr="008B7A21">
        <w:rPr>
          <w:i/>
          <w:lang w:val="es-ES_tradnl"/>
        </w:rPr>
        <w:t>s</w:t>
      </w:r>
      <w:r w:rsidRPr="008B7A21">
        <w:rPr>
          <w:i/>
          <w:iCs/>
          <w:vertAlign w:val="subscript"/>
          <w:lang w:val="es-ES_tradnl"/>
        </w:rPr>
        <w:t>ik</w:t>
      </w:r>
      <w:r w:rsidRPr="008B7A21">
        <w:rPr>
          <w:lang w:val="es-ES_tradnl"/>
        </w:rPr>
        <w:t xml:space="preserve"> para distintos casos. Si una administración cuenta con una base de datos digital del terreno administrativo relacionada con el programa informático correspondiente de asignación de frecuencias, los cálculos de </w:t>
      </w:r>
      <w:r w:rsidR="00386EEF" w:rsidRPr="00386EEF">
        <w:sym w:font="Symbol" w:char="F053"/>
      </w:r>
      <w:r w:rsidRPr="008B7A21">
        <w:rPr>
          <w:i/>
          <w:lang w:val="es-ES_tradnl"/>
        </w:rPr>
        <w:t>S</w:t>
      </w:r>
      <w:r w:rsidRPr="008B7A21">
        <w:rPr>
          <w:i/>
          <w:iCs/>
          <w:vertAlign w:val="subscript"/>
          <w:lang w:val="es-ES_tradnl"/>
        </w:rPr>
        <w:t>i</w:t>
      </w:r>
      <w:r w:rsidRPr="008B7A21">
        <w:rPr>
          <w:lang w:val="es-ES_tradnl"/>
        </w:rPr>
        <w:t xml:space="preserve"> pueden realizarse automáticamente.</w:t>
      </w:r>
    </w:p>
    <w:p w14:paraId="2F57A648" w14:textId="77777777" w:rsidR="00F73D5B" w:rsidRPr="008B7A21" w:rsidRDefault="00F73D5B" w:rsidP="00F73D5B">
      <w:pPr>
        <w:pStyle w:val="Heading3"/>
        <w:rPr>
          <w:lang w:val="es-ES_tradnl"/>
        </w:rPr>
      </w:pPr>
      <w:bookmarkStart w:id="1284" w:name="_Toc306276864"/>
      <w:bookmarkStart w:id="1285" w:name="_Toc307921539"/>
      <w:bookmarkStart w:id="1286" w:name="_Toc307922106"/>
      <w:bookmarkStart w:id="1287" w:name="_Toc307922607"/>
      <w:bookmarkStart w:id="1288" w:name="_Toc307991956"/>
      <w:bookmarkStart w:id="1289" w:name="_Toc307993989"/>
      <w:bookmarkStart w:id="1290" w:name="_Toc307995251"/>
      <w:bookmarkStart w:id="1291" w:name="_Toc307996395"/>
      <w:bookmarkStart w:id="1292" w:name="_Toc308010370"/>
      <w:bookmarkStart w:id="1293" w:name="_Toc499563033"/>
      <w:bookmarkStart w:id="1294" w:name="_Toc215835405"/>
      <w:r w:rsidRPr="008B7A21">
        <w:rPr>
          <w:lang w:val="es-ES_tradnl"/>
        </w:rPr>
        <w:t>4.6.8</w:t>
      </w:r>
      <w:r w:rsidRPr="008B7A21">
        <w:rPr>
          <w:lang w:val="es-ES_tradnl"/>
        </w:rPr>
        <w:tab/>
        <w:t>Determinación de un recurso de frecuencia utilizado por una emisión</w:t>
      </w:r>
      <w:bookmarkEnd w:id="1284"/>
      <w:bookmarkEnd w:id="1285"/>
      <w:bookmarkEnd w:id="1286"/>
      <w:bookmarkEnd w:id="1287"/>
      <w:bookmarkEnd w:id="1288"/>
      <w:bookmarkEnd w:id="1289"/>
      <w:bookmarkEnd w:id="1290"/>
      <w:bookmarkEnd w:id="1291"/>
      <w:bookmarkEnd w:id="1292"/>
      <w:bookmarkEnd w:id="1293"/>
      <w:bookmarkEnd w:id="1294"/>
    </w:p>
    <w:p w14:paraId="5092F5AB" w14:textId="77777777" w:rsidR="00F73D5B" w:rsidRPr="008B7A21" w:rsidRDefault="00F73D5B" w:rsidP="00F73D5B">
      <w:pPr>
        <w:rPr>
          <w:lang w:val="es-ES_tradnl"/>
        </w:rPr>
      </w:pPr>
      <w:r w:rsidRPr="008B7A21">
        <w:rPr>
          <w:lang w:val="es-ES_tradnl"/>
        </w:rPr>
        <w:t xml:space="preserve">Un recurso de frecuencia </w:t>
      </w:r>
      <w:r w:rsidRPr="008B7A21">
        <w:rPr>
          <w:i/>
          <w:lang w:val="es-ES_tradnl"/>
        </w:rPr>
        <w:t>F</w:t>
      </w:r>
      <w:r w:rsidRPr="008B7A21">
        <w:rPr>
          <w:i/>
          <w:iCs/>
          <w:vertAlign w:val="subscript"/>
          <w:lang w:val="es-ES_tradnl"/>
        </w:rPr>
        <w:t>i</w:t>
      </w:r>
      <w:r w:rsidRPr="008B7A21">
        <w:rPr>
          <w:lang w:val="es-ES_tradnl"/>
        </w:rPr>
        <w:t xml:space="preserve"> utilizado por la </w:t>
      </w:r>
      <w:r w:rsidRPr="008B7A21">
        <w:rPr>
          <w:i/>
          <w:iCs/>
          <w:lang w:val="es-ES_tradnl"/>
        </w:rPr>
        <w:t>i</w:t>
      </w:r>
      <w:r w:rsidRPr="008B7A21">
        <w:rPr>
          <w:i/>
          <w:iCs/>
          <w:lang w:val="es-ES_tradnl"/>
        </w:rPr>
        <w:noBreakHyphen/>
      </w:r>
      <w:r w:rsidRPr="008B7A21">
        <w:rPr>
          <w:lang w:val="es-ES_tradnl"/>
        </w:rPr>
        <w:t>ésima emisión se determina de la forma siguiente:</w:t>
      </w:r>
    </w:p>
    <w:p w14:paraId="30E76EF9" w14:textId="77777777" w:rsidR="00F73D5B" w:rsidRPr="008B7A21" w:rsidRDefault="00F73D5B" w:rsidP="00F73D5B">
      <w:pPr>
        <w:pStyle w:val="Blanc"/>
        <w:rPr>
          <w:lang w:val="es-ES_tradnl"/>
        </w:rPr>
      </w:pPr>
    </w:p>
    <w:p w14:paraId="399915BB"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2"/>
          <w:lang w:val="es-ES_tradnl"/>
        </w:rPr>
        <w:object w:dxaOrig="2220" w:dyaOrig="360" w14:anchorId="0686F141">
          <v:shape id="_x0000_i1661" type="#_x0000_t75" style="width:98.8pt;height:18.4pt" o:ole="">
            <v:imagedata r:id="rId25" o:title=""/>
          </v:shape>
          <o:OLEObject Type="Embed" ProgID="Equation.3" ShapeID="_x0000_i1661" DrawAspect="Content" ObjectID="_1826705869" r:id="rId26"/>
        </w:object>
      </w:r>
      <w:r w:rsidRPr="008B7A21">
        <w:rPr>
          <w:lang w:val="es-ES_tradnl"/>
        </w:rPr>
        <w:tab/>
        <w:t>(24)</w:t>
      </w:r>
    </w:p>
    <w:p w14:paraId="40E38784" w14:textId="77777777" w:rsidR="00F73D5B" w:rsidRPr="008B7A21" w:rsidRDefault="00F73D5B" w:rsidP="00F73D5B">
      <w:pPr>
        <w:rPr>
          <w:bCs/>
          <w:lang w:val="es-ES_tradnl"/>
        </w:rPr>
      </w:pPr>
      <w:r w:rsidRPr="008B7A21">
        <w:rPr>
          <w:bCs/>
          <w:lang w:val="es-ES_tradnl"/>
        </w:rPr>
        <w:t>siendo:</w:t>
      </w:r>
    </w:p>
    <w:p w14:paraId="73D2B1F6" w14:textId="77777777" w:rsidR="00F73D5B" w:rsidRPr="008B7A21" w:rsidRDefault="00F73D5B" w:rsidP="00F73D5B">
      <w:pPr>
        <w:pStyle w:val="Equationlegend"/>
        <w:rPr>
          <w:lang w:val="es-ES_tradnl"/>
        </w:rPr>
      </w:pPr>
      <w:r w:rsidRPr="008B7A21">
        <w:rPr>
          <w:i/>
          <w:lang w:val="es-ES_tradnl"/>
        </w:rPr>
        <w:tab/>
        <w:t>B</w:t>
      </w:r>
      <w:r w:rsidRPr="008B7A21">
        <w:rPr>
          <w:i/>
          <w:iCs/>
          <w:vertAlign w:val="subscript"/>
          <w:lang w:val="es-ES_tradnl"/>
        </w:rPr>
        <w:t>ni</w:t>
      </w:r>
      <w:r w:rsidRPr="008B7A21">
        <w:rPr>
          <w:lang w:val="es-ES_tradnl"/>
        </w:rPr>
        <w:t>:</w:t>
      </w:r>
      <w:r w:rsidRPr="008B7A21">
        <w:rPr>
          <w:iCs/>
          <w:lang w:val="es-ES_tradnl"/>
        </w:rPr>
        <w:tab/>
      </w:r>
      <w:r w:rsidRPr="008B7A21">
        <w:rPr>
          <w:lang w:val="es-ES_tradnl"/>
        </w:rPr>
        <w:t>anchura de banda necesaria de la emisión (MHz) calculada de conformidad con la Recomendación UIT</w:t>
      </w:r>
      <w:r w:rsidRPr="008B7A21">
        <w:rPr>
          <w:lang w:val="es-ES_tradnl"/>
        </w:rPr>
        <w:noBreakHyphen/>
        <w:t>R SM.1138-2, teniendo en cuenta que una anchura de banda ocupada de una emisión debe ser igual a su anchura de banda necesaria (Recomendación UIT</w:t>
      </w:r>
      <w:r w:rsidRPr="008B7A21">
        <w:rPr>
          <w:lang w:val="es-ES_tradnl"/>
        </w:rPr>
        <w:noBreakHyphen/>
        <w:t>R SM.328-11)</w:t>
      </w:r>
    </w:p>
    <w:p w14:paraId="7502107E" w14:textId="2BA328DB" w:rsidR="00F73D5B" w:rsidRPr="008B7A21" w:rsidRDefault="00F73D5B" w:rsidP="00F73D5B">
      <w:pPr>
        <w:pStyle w:val="Equationlegend"/>
        <w:rPr>
          <w:lang w:val="es-ES_tradnl"/>
        </w:rPr>
      </w:pPr>
      <w:r w:rsidRPr="008B7A21">
        <w:rPr>
          <w:i/>
          <w:lang w:val="es-ES_tradnl"/>
        </w:rPr>
        <w:tab/>
      </w:r>
      <w:r w:rsidRPr="008B7A21">
        <w:rPr>
          <w:iCs/>
          <w:lang w:val="es-ES_tradnl"/>
        </w:rPr>
        <w:sym w:font="Symbol" w:char="F063"/>
      </w:r>
      <w:r w:rsidRPr="008B7A21">
        <w:rPr>
          <w:lang w:val="es-ES_tradnl"/>
        </w:rPr>
        <w:t>:</w:t>
      </w:r>
      <w:r w:rsidRPr="008B7A21">
        <w:rPr>
          <w:iCs/>
          <w:lang w:val="es-ES_tradnl"/>
        </w:rPr>
        <w:tab/>
      </w:r>
      <w:r w:rsidRPr="008B7A21">
        <w:rPr>
          <w:lang w:val="es-ES_tradnl"/>
        </w:rPr>
        <w:t xml:space="preserve">factor de ajuste </w:t>
      </w:r>
      <w:r w:rsidR="002E47E2">
        <w:rPr>
          <w:position w:val="-10"/>
          <w:lang w:val="en-GB"/>
        </w:rPr>
        <w:object w:dxaOrig="1035" w:dyaOrig="285" w14:anchorId="3D698DE4">
          <v:shape id="_x0000_i1762" type="#_x0000_t75" style="width:51.9pt;height:14.25pt" o:ole="">
            <v:imagedata r:id="rId27" o:title=""/>
          </v:shape>
          <o:OLEObject Type="Embed" ProgID="Equation.DSMT4" ShapeID="_x0000_i1762" DrawAspect="Content" ObjectID="_1826705870" r:id="rId28"/>
        </w:object>
      </w:r>
      <w:r w:rsidR="002E47E2">
        <w:rPr>
          <w:lang w:val="en-GB"/>
        </w:rPr>
        <w:t xml:space="preserve"> </w:t>
      </w:r>
      <w:r w:rsidRPr="008B7A21">
        <w:rPr>
          <w:lang w:val="es-ES_tradnl"/>
        </w:rPr>
        <w:t>que puede utilizarse en algunos casos, por ejemplo, para disminuir en cierta medida una diferencia demasiado elevada en los cánones entre la radiodifusión sonora y de televisión para la misma potencia del transmisor, debido a la importante diferencia en las anchuras de banda necesarias. También puede utilizarse en casos de aplicaciones de radar (véase el ejemplo de cálculo más adelante), etc.</w:t>
      </w:r>
    </w:p>
    <w:p w14:paraId="6B3FA1CA" w14:textId="77777777" w:rsidR="00F73D5B" w:rsidRPr="008B7A21" w:rsidRDefault="00F73D5B" w:rsidP="00F73D5B">
      <w:pPr>
        <w:pStyle w:val="Heading3"/>
        <w:rPr>
          <w:lang w:val="es-ES_tradnl"/>
        </w:rPr>
      </w:pPr>
      <w:bookmarkStart w:id="1295" w:name="_Toc306276865"/>
      <w:bookmarkStart w:id="1296" w:name="_Toc307921540"/>
      <w:bookmarkStart w:id="1297" w:name="_Toc307922107"/>
      <w:bookmarkStart w:id="1298" w:name="_Toc307922608"/>
      <w:bookmarkStart w:id="1299" w:name="_Toc307991957"/>
      <w:bookmarkStart w:id="1300" w:name="_Toc307993990"/>
      <w:bookmarkStart w:id="1301" w:name="_Toc307995252"/>
      <w:bookmarkStart w:id="1302" w:name="_Toc307996396"/>
      <w:bookmarkStart w:id="1303" w:name="_Toc308010371"/>
      <w:bookmarkStart w:id="1304" w:name="_Toc499563034"/>
      <w:bookmarkStart w:id="1305" w:name="_Toc215835406"/>
      <w:r w:rsidRPr="008B7A21">
        <w:rPr>
          <w:lang w:val="es-ES_tradnl"/>
        </w:rPr>
        <w:t>4.6.9</w:t>
      </w:r>
      <w:r w:rsidRPr="008B7A21">
        <w:rPr>
          <w:lang w:val="es-ES_tradnl"/>
        </w:rPr>
        <w:tab/>
        <w:t>Determinación de los coeficientes de ponderación</w:t>
      </w:r>
      <w:bookmarkEnd w:id="1295"/>
      <w:bookmarkEnd w:id="1296"/>
      <w:bookmarkEnd w:id="1297"/>
      <w:bookmarkEnd w:id="1298"/>
      <w:bookmarkEnd w:id="1299"/>
      <w:bookmarkEnd w:id="1300"/>
      <w:bookmarkEnd w:id="1301"/>
      <w:bookmarkEnd w:id="1302"/>
      <w:bookmarkEnd w:id="1303"/>
      <w:bookmarkEnd w:id="1304"/>
      <w:bookmarkEnd w:id="1305"/>
    </w:p>
    <w:p w14:paraId="032EB181" w14:textId="77777777" w:rsidR="00F73D5B" w:rsidRPr="008B7A21" w:rsidRDefault="00F73D5B" w:rsidP="00F73D5B">
      <w:pPr>
        <w:rPr>
          <w:lang w:val="es-ES_tradnl"/>
        </w:rPr>
      </w:pPr>
      <w:r w:rsidRPr="008B7A21">
        <w:rPr>
          <w:lang w:val="es-ES_tradnl"/>
        </w:rPr>
        <w:t xml:space="preserve">El coeficiente de ponderación general </w:t>
      </w:r>
      <w:r w:rsidRPr="008B7A21">
        <w:rPr>
          <w:lang w:val="es-ES_tradnl"/>
        </w:rPr>
        <w:sym w:font="Symbol" w:char="F061"/>
      </w:r>
      <w:r w:rsidRPr="008B7A21">
        <w:rPr>
          <w:i/>
          <w:iCs/>
          <w:vertAlign w:val="subscript"/>
          <w:lang w:val="es-ES_tradnl"/>
        </w:rPr>
        <w:t>i</w:t>
      </w:r>
      <w:r w:rsidRPr="008B7A21">
        <w:rPr>
          <w:lang w:val="es-ES_tradnl"/>
        </w:rPr>
        <w:t xml:space="preserve"> en la ecuación (20) puede presentarse como un producto de los siguientes coeficientes fraccionarios:</w:t>
      </w:r>
    </w:p>
    <w:p w14:paraId="315C63BA" w14:textId="6929A88B" w:rsidR="00F73D5B" w:rsidRPr="008B7A21" w:rsidRDefault="00F73D5B" w:rsidP="00F73D5B">
      <w:pPr>
        <w:pStyle w:val="Equation"/>
        <w:rPr>
          <w:lang w:val="es-ES_tradnl"/>
        </w:rPr>
      </w:pPr>
      <w:r w:rsidRPr="008B7A21">
        <w:rPr>
          <w:lang w:val="es-ES_tradnl"/>
        </w:rPr>
        <w:tab/>
      </w:r>
      <w:r w:rsidRPr="008B7A21">
        <w:rPr>
          <w:lang w:val="es-ES_tradnl"/>
        </w:rPr>
        <w:tab/>
      </w:r>
      <w:r w:rsidRPr="008B7A21">
        <w:rPr>
          <w:lang w:val="es-ES_tradnl"/>
        </w:rPr>
        <w:sym w:font="Symbol" w:char="F061"/>
      </w:r>
      <w:r w:rsidRPr="008B7A21">
        <w:rPr>
          <w:i/>
          <w:iCs/>
          <w:vertAlign w:val="subscript"/>
          <w:lang w:val="es-ES_tradnl"/>
        </w:rPr>
        <w:t>i</w:t>
      </w:r>
      <w:r w:rsidRPr="008B7A21">
        <w:rPr>
          <w:lang w:val="es-ES_tradnl"/>
        </w:rPr>
        <w:t xml:space="preserve"> = </w:t>
      </w:r>
      <w:r w:rsidRPr="008B7A21">
        <w:rPr>
          <w:lang w:val="es-ES_tradnl"/>
        </w:rPr>
        <w:sym w:font="Symbol" w:char="F061"/>
      </w:r>
      <w:r w:rsidR="00386EEF" w:rsidRPr="00386EEF">
        <w:rPr>
          <w:vertAlign w:val="subscript"/>
          <w:lang w:val="es-ES_tradnl"/>
        </w:rPr>
        <w:t>1</w:t>
      </w:r>
      <w:r w:rsidRPr="008B7A21">
        <w:rPr>
          <w:lang w:val="es-ES_tradnl"/>
        </w:rPr>
        <w:t xml:space="preserve"> </w:t>
      </w:r>
      <w:r w:rsidRPr="008B7A21">
        <w:rPr>
          <w:lang w:val="es-ES_tradnl"/>
        </w:rPr>
        <w:sym w:font="Symbol" w:char="F0D7"/>
      </w:r>
      <w:r w:rsidRPr="008B7A21">
        <w:rPr>
          <w:lang w:val="es-ES_tradnl"/>
        </w:rPr>
        <w:t xml:space="preserve"> </w:t>
      </w:r>
      <w:r w:rsidRPr="008B7A21">
        <w:rPr>
          <w:lang w:val="es-ES_tradnl"/>
        </w:rPr>
        <w:sym w:font="Symbol" w:char="F061"/>
      </w:r>
      <w:r w:rsidR="00386EEF" w:rsidRPr="00386EEF">
        <w:rPr>
          <w:vertAlign w:val="subscript"/>
          <w:lang w:val="es-ES_tradnl"/>
        </w:rPr>
        <w:t>2</w:t>
      </w:r>
      <w:r w:rsidRPr="008B7A21">
        <w:rPr>
          <w:lang w:val="es-ES_tradnl"/>
        </w:rPr>
        <w:t xml:space="preserve"> </w:t>
      </w:r>
      <w:r w:rsidRPr="008B7A21">
        <w:rPr>
          <w:lang w:val="es-ES_tradnl"/>
        </w:rPr>
        <w:sym w:font="Symbol" w:char="F0D7"/>
      </w:r>
      <w:r w:rsidRPr="008B7A21">
        <w:rPr>
          <w:lang w:val="es-ES_tradnl"/>
        </w:rPr>
        <w:t xml:space="preserve"> </w:t>
      </w:r>
      <w:r w:rsidRPr="008B7A21">
        <w:rPr>
          <w:lang w:val="es-ES_tradnl"/>
        </w:rPr>
        <w:sym w:font="Symbol" w:char="F061"/>
      </w:r>
      <w:r w:rsidR="00386EEF">
        <w:rPr>
          <w:vertAlign w:val="subscript"/>
          <w:lang w:val="es-ES_tradnl"/>
        </w:rPr>
        <w:t>3</w:t>
      </w:r>
      <w:r w:rsidRPr="008B7A21">
        <w:rPr>
          <w:lang w:val="es-ES_tradnl"/>
        </w:rPr>
        <w:t xml:space="preserve"> </w:t>
      </w:r>
      <w:r w:rsidRPr="008B7A21">
        <w:rPr>
          <w:lang w:val="es-ES_tradnl"/>
        </w:rPr>
        <w:sym w:font="Symbol" w:char="F0D7"/>
      </w:r>
      <w:r w:rsidRPr="008B7A21">
        <w:rPr>
          <w:lang w:val="es-ES_tradnl"/>
        </w:rPr>
        <w:t xml:space="preserve"> </w:t>
      </w:r>
      <w:r w:rsidRPr="008B7A21">
        <w:rPr>
          <w:lang w:val="es-ES_tradnl"/>
        </w:rPr>
        <w:sym w:font="Symbol" w:char="F061"/>
      </w:r>
      <w:r w:rsidR="00386EEF">
        <w:rPr>
          <w:vertAlign w:val="subscript"/>
          <w:lang w:val="es-ES_tradnl"/>
        </w:rPr>
        <w:t>4</w:t>
      </w:r>
      <w:r w:rsidRPr="008B7A21">
        <w:rPr>
          <w:lang w:val="es-ES_tradnl"/>
        </w:rPr>
        <w:t xml:space="preserve"> </w:t>
      </w:r>
      <w:r w:rsidRPr="008B7A21">
        <w:rPr>
          <w:lang w:val="es-ES_tradnl"/>
        </w:rPr>
        <w:sym w:font="Symbol" w:char="F0D7"/>
      </w:r>
      <w:r w:rsidRPr="008B7A21">
        <w:rPr>
          <w:lang w:val="es-ES_tradnl"/>
        </w:rPr>
        <w:t xml:space="preserve"> </w:t>
      </w:r>
      <w:r w:rsidRPr="008B7A21">
        <w:rPr>
          <w:lang w:val="es-ES_tradnl"/>
        </w:rPr>
        <w:sym w:font="Symbol" w:char="F061"/>
      </w:r>
      <w:r w:rsidR="00386EEF">
        <w:rPr>
          <w:vertAlign w:val="subscript"/>
          <w:lang w:val="es-ES_tradnl"/>
        </w:rPr>
        <w:t>5</w:t>
      </w:r>
      <w:r w:rsidRPr="008B7A21">
        <w:rPr>
          <w:lang w:val="es-ES_tradnl"/>
        </w:rPr>
        <w:tab/>
        <w:t>(25)</w:t>
      </w:r>
    </w:p>
    <w:p w14:paraId="406AA373" w14:textId="77777777" w:rsidR="00F73D5B" w:rsidRPr="008B7A21" w:rsidRDefault="00F73D5B" w:rsidP="00F73D5B">
      <w:pPr>
        <w:rPr>
          <w:lang w:val="es-ES_tradnl"/>
        </w:rPr>
      </w:pPr>
      <w:r w:rsidRPr="008B7A21">
        <w:rPr>
          <w:lang w:val="es-ES_tradnl"/>
        </w:rPr>
        <w:t>donde:</w:t>
      </w:r>
    </w:p>
    <w:p w14:paraId="560D4B31" w14:textId="77777777" w:rsidR="00F73D5B" w:rsidRPr="008B7A21" w:rsidRDefault="00F73D5B" w:rsidP="00F73D5B">
      <w:pPr>
        <w:pStyle w:val="Equationlegend"/>
        <w:rPr>
          <w:lang w:val="es-ES_tradnl"/>
        </w:rPr>
      </w:pPr>
      <w:r w:rsidRPr="008B7A21">
        <w:rPr>
          <w:lang w:val="es-ES_tradnl"/>
        </w:rPr>
        <w:tab/>
      </w:r>
      <w:r w:rsidRPr="008B7A21">
        <w:rPr>
          <w:lang w:val="es-ES_tradnl"/>
        </w:rPr>
        <w:sym w:font="Symbol" w:char="F061"/>
      </w:r>
      <w:r w:rsidRPr="008B7A21">
        <w:rPr>
          <w:vertAlign w:val="subscript"/>
          <w:lang w:val="es-ES_tradnl"/>
        </w:rPr>
        <w:t>1</w:t>
      </w:r>
      <w:r w:rsidRPr="008B7A21">
        <w:rPr>
          <w:lang w:val="es-ES_tradnl"/>
        </w:rPr>
        <w:t>:</w:t>
      </w:r>
      <w:r w:rsidRPr="008B7A21">
        <w:rPr>
          <w:lang w:val="es-ES_tradnl"/>
        </w:rPr>
        <w:tab/>
        <w:t>tiene en cuenta el valor comercial del tramo de espectro utilizado</w:t>
      </w:r>
    </w:p>
    <w:p w14:paraId="570A7D87" w14:textId="77777777" w:rsidR="00F73D5B" w:rsidRPr="008B7A21" w:rsidRDefault="00F73D5B" w:rsidP="00F73D5B">
      <w:pPr>
        <w:pStyle w:val="Equationlegend"/>
        <w:rPr>
          <w:lang w:val="es-ES_tradnl"/>
        </w:rPr>
      </w:pPr>
      <w:r w:rsidRPr="008B7A21">
        <w:rPr>
          <w:lang w:val="es-ES_tradnl"/>
        </w:rPr>
        <w:tab/>
      </w:r>
      <w:r w:rsidRPr="008B7A21">
        <w:rPr>
          <w:lang w:val="es-ES_tradnl"/>
        </w:rPr>
        <w:sym w:font="Symbol" w:char="F061"/>
      </w:r>
      <w:r w:rsidRPr="008B7A21">
        <w:rPr>
          <w:vertAlign w:val="subscript"/>
          <w:lang w:val="es-ES_tradnl"/>
        </w:rPr>
        <w:t>2</w:t>
      </w:r>
      <w:r w:rsidRPr="008B7A21">
        <w:rPr>
          <w:lang w:val="es-ES_tradnl"/>
        </w:rPr>
        <w:t>:</w:t>
      </w:r>
      <w:r w:rsidRPr="008B7A21">
        <w:rPr>
          <w:lang w:val="es-ES_tradnl"/>
        </w:rPr>
        <w:tab/>
        <w:t>tiene en cuenta el factor social</w:t>
      </w:r>
    </w:p>
    <w:p w14:paraId="487E7F01" w14:textId="77777777" w:rsidR="00F73D5B" w:rsidRPr="008B7A21" w:rsidRDefault="00F73D5B" w:rsidP="00F73D5B">
      <w:pPr>
        <w:pStyle w:val="Equationlegend"/>
        <w:rPr>
          <w:lang w:val="es-ES_tradnl"/>
        </w:rPr>
      </w:pPr>
      <w:r w:rsidRPr="008B7A21">
        <w:rPr>
          <w:lang w:val="es-ES_tradnl"/>
        </w:rPr>
        <w:tab/>
      </w:r>
      <w:r w:rsidRPr="008B7A21">
        <w:rPr>
          <w:lang w:val="es-ES_tradnl"/>
        </w:rPr>
        <w:sym w:font="Symbol" w:char="F061"/>
      </w:r>
      <w:r w:rsidRPr="008B7A21">
        <w:rPr>
          <w:vertAlign w:val="subscript"/>
          <w:lang w:val="es-ES_tradnl"/>
        </w:rPr>
        <w:t>3</w:t>
      </w:r>
      <w:r w:rsidRPr="008B7A21">
        <w:rPr>
          <w:lang w:val="es-ES_tradnl"/>
        </w:rPr>
        <w:t>:</w:t>
      </w:r>
      <w:r w:rsidRPr="008B7A21">
        <w:rPr>
          <w:lang w:val="es-ES_tradnl"/>
        </w:rPr>
        <w:tab/>
        <w:t>tiene en cuenta las características del emplazamiento del transmisor</w:t>
      </w:r>
    </w:p>
    <w:p w14:paraId="37DB36D6" w14:textId="77777777" w:rsidR="00F73D5B" w:rsidRPr="008B7A21" w:rsidRDefault="00F73D5B" w:rsidP="00F73D5B">
      <w:pPr>
        <w:pStyle w:val="Equationlegend"/>
        <w:rPr>
          <w:lang w:val="es-ES_tradnl"/>
        </w:rPr>
      </w:pPr>
      <w:r w:rsidRPr="008B7A21">
        <w:rPr>
          <w:lang w:val="es-ES_tradnl"/>
        </w:rPr>
        <w:tab/>
      </w:r>
      <w:r w:rsidRPr="008B7A21">
        <w:rPr>
          <w:lang w:val="es-ES_tradnl"/>
        </w:rPr>
        <w:sym w:font="Symbol" w:char="F061"/>
      </w:r>
      <w:r w:rsidRPr="008B7A21">
        <w:rPr>
          <w:vertAlign w:val="subscript"/>
          <w:lang w:val="es-ES_tradnl"/>
        </w:rPr>
        <w:t>4</w:t>
      </w:r>
      <w:r w:rsidRPr="008B7A21">
        <w:rPr>
          <w:lang w:val="es-ES_tradnl"/>
        </w:rPr>
        <w:t>:</w:t>
      </w:r>
      <w:r w:rsidRPr="008B7A21">
        <w:rPr>
          <w:lang w:val="es-ES_tradnl"/>
        </w:rPr>
        <w:tab/>
        <w:t>tiene en cuenta la complejidad de las funciones de gestión del espectro</w:t>
      </w:r>
    </w:p>
    <w:p w14:paraId="6FD371AD" w14:textId="77777777" w:rsidR="00F73D5B" w:rsidRPr="008B7A21" w:rsidRDefault="00F73D5B" w:rsidP="00F73D5B">
      <w:pPr>
        <w:pStyle w:val="Equationlegend"/>
        <w:rPr>
          <w:lang w:val="es-ES_tradnl"/>
        </w:rPr>
      </w:pPr>
      <w:r w:rsidRPr="008B7A21">
        <w:rPr>
          <w:lang w:val="es-ES_tradnl"/>
        </w:rPr>
        <w:tab/>
      </w:r>
      <w:r w:rsidRPr="008B7A21">
        <w:rPr>
          <w:lang w:val="es-ES_tradnl"/>
        </w:rPr>
        <w:sym w:font="Symbol" w:char="F061"/>
      </w:r>
      <w:r w:rsidRPr="008B7A21">
        <w:rPr>
          <w:vertAlign w:val="subscript"/>
          <w:lang w:val="es-ES_tradnl"/>
        </w:rPr>
        <w:t>5</w:t>
      </w:r>
      <w:r w:rsidRPr="008B7A21">
        <w:rPr>
          <w:lang w:val="es-ES_tradnl"/>
        </w:rPr>
        <w:t>:</w:t>
      </w:r>
      <w:r w:rsidRPr="008B7A21">
        <w:rPr>
          <w:lang w:val="es-ES_tradnl"/>
        </w:rPr>
        <w:tab/>
        <w:t>otro coeficiente (o coeficientes) que puede introducir una administración para que refleje sus necesidades específicas.</w:t>
      </w:r>
    </w:p>
    <w:p w14:paraId="1DBCF40F" w14:textId="297EDA9D" w:rsidR="00F73D5B" w:rsidRPr="008B7A21" w:rsidRDefault="00F73D5B" w:rsidP="00F73D5B">
      <w:pPr>
        <w:keepNext/>
        <w:keepLines/>
        <w:rPr>
          <w:lang w:val="es-ES_tradnl"/>
        </w:rPr>
      </w:pPr>
      <w:r w:rsidRPr="008B7A21">
        <w:rPr>
          <w:lang w:val="es-ES_tradnl"/>
        </w:rPr>
        <w:t>En el Cuadro 3 aparecen ejemplos ilustrativos de estos valores de los coeficientes.</w:t>
      </w:r>
    </w:p>
    <w:p w14:paraId="74EBA0D0" w14:textId="1C9952DC" w:rsidR="00F73D5B" w:rsidRPr="008B7A21" w:rsidRDefault="00F73D5B" w:rsidP="00F73D5B">
      <w:pPr>
        <w:pStyle w:val="TableNo"/>
        <w:rPr>
          <w:lang w:val="es-ES_tradnl"/>
        </w:rPr>
      </w:pPr>
      <w:r w:rsidRPr="008B7A21">
        <w:rPr>
          <w:lang w:val="es-ES_tradnl"/>
        </w:rPr>
        <w:t>CUADRO 3</w:t>
      </w:r>
    </w:p>
    <w:p w14:paraId="0E8542B4" w14:textId="77777777" w:rsidR="00F73D5B" w:rsidRPr="008B7A21" w:rsidRDefault="00F73D5B" w:rsidP="00F73D5B">
      <w:pPr>
        <w:pStyle w:val="Tabletitle"/>
        <w:rPr>
          <w:lang w:val="es-ES_tradnl"/>
        </w:rPr>
      </w:pPr>
      <w:r w:rsidRPr="008B7A21">
        <w:rPr>
          <w:lang w:val="es-ES_tradnl"/>
        </w:rPr>
        <w:t>Cuadro de coeficientes dependientes del servicio</w:t>
      </w:r>
    </w:p>
    <w:tbl>
      <w:tblPr>
        <w:tblW w:w="0" w:type="auto"/>
        <w:jc w:val="center"/>
        <w:tblLayout w:type="fixed"/>
        <w:tblLook w:val="0000" w:firstRow="0" w:lastRow="0" w:firstColumn="0" w:lastColumn="0" w:noHBand="0" w:noVBand="0"/>
      </w:tblPr>
      <w:tblGrid>
        <w:gridCol w:w="5046"/>
        <w:gridCol w:w="765"/>
        <w:gridCol w:w="765"/>
        <w:gridCol w:w="1020"/>
        <w:gridCol w:w="1248"/>
        <w:gridCol w:w="765"/>
      </w:tblGrid>
      <w:tr w:rsidR="00F73D5B" w:rsidRPr="008B7A21" w14:paraId="55386182" w14:textId="77777777" w:rsidTr="00767A6A">
        <w:trPr>
          <w:cantSplit/>
          <w:jc w:val="center"/>
        </w:trPr>
        <w:tc>
          <w:tcPr>
            <w:tcW w:w="5046" w:type="dxa"/>
            <w:vMerge w:val="restart"/>
            <w:tcBorders>
              <w:top w:val="single" w:sz="6" w:space="0" w:color="auto"/>
              <w:left w:val="single" w:sz="6" w:space="0" w:color="auto"/>
              <w:right w:val="single" w:sz="2" w:space="0" w:color="auto"/>
            </w:tcBorders>
            <w:vAlign w:val="center"/>
          </w:tcPr>
          <w:p w14:paraId="295C9FAD" w14:textId="77777777" w:rsidR="00F73D5B" w:rsidRPr="008B7A21" w:rsidRDefault="00F73D5B" w:rsidP="00767A6A">
            <w:pPr>
              <w:pStyle w:val="Tablehead"/>
              <w:keepLines/>
              <w:rPr>
                <w:lang w:val="es-ES_tradnl"/>
              </w:rPr>
            </w:pPr>
            <w:r w:rsidRPr="008B7A21">
              <w:rPr>
                <w:lang w:val="es-ES_tradnl"/>
              </w:rPr>
              <w:t>Servicio\</w:t>
            </w:r>
            <w:r w:rsidRPr="008B7A21">
              <w:rPr>
                <w:lang w:val="es-ES_tradnl"/>
              </w:rPr>
              <w:sym w:font="Symbol" w:char="F061"/>
            </w:r>
            <w:r w:rsidRPr="008B7A21">
              <w:rPr>
                <w:lang w:val="es-ES_tradnl"/>
              </w:rPr>
              <w:t>I</w:t>
            </w:r>
          </w:p>
        </w:tc>
        <w:tc>
          <w:tcPr>
            <w:tcW w:w="765" w:type="dxa"/>
            <w:vMerge w:val="restart"/>
            <w:tcBorders>
              <w:top w:val="single" w:sz="6" w:space="0" w:color="auto"/>
              <w:left w:val="single" w:sz="2" w:space="0" w:color="auto"/>
              <w:right w:val="single" w:sz="2" w:space="0" w:color="auto"/>
            </w:tcBorders>
            <w:vAlign w:val="center"/>
          </w:tcPr>
          <w:p w14:paraId="616670BC" w14:textId="77777777" w:rsidR="00F73D5B" w:rsidRPr="008B7A21" w:rsidRDefault="00F73D5B" w:rsidP="00767A6A">
            <w:pPr>
              <w:pStyle w:val="Tablehead"/>
              <w:keepLines/>
              <w:rPr>
                <w:lang w:val="es-ES_tradnl"/>
              </w:rPr>
            </w:pPr>
            <w:r w:rsidRPr="008B7A21">
              <w:rPr>
                <w:lang w:val="es-ES_tradnl"/>
              </w:rPr>
              <w:sym w:font="Symbol" w:char="F061"/>
            </w:r>
            <w:r w:rsidRPr="007A4381">
              <w:rPr>
                <w:vertAlign w:val="subscript"/>
                <w:lang w:val="es-ES_tradnl"/>
              </w:rPr>
              <w:t>1</w:t>
            </w:r>
          </w:p>
        </w:tc>
        <w:tc>
          <w:tcPr>
            <w:tcW w:w="765" w:type="dxa"/>
            <w:vMerge w:val="restart"/>
            <w:tcBorders>
              <w:top w:val="single" w:sz="6" w:space="0" w:color="auto"/>
              <w:left w:val="single" w:sz="2" w:space="0" w:color="auto"/>
              <w:right w:val="single" w:sz="2" w:space="0" w:color="auto"/>
            </w:tcBorders>
            <w:vAlign w:val="center"/>
          </w:tcPr>
          <w:p w14:paraId="31FFC1AD" w14:textId="77777777" w:rsidR="00F73D5B" w:rsidRPr="008B7A21" w:rsidRDefault="00F73D5B" w:rsidP="00767A6A">
            <w:pPr>
              <w:pStyle w:val="Tablehead"/>
              <w:keepLines/>
              <w:rPr>
                <w:lang w:val="es-ES_tradnl"/>
              </w:rPr>
            </w:pPr>
            <w:r w:rsidRPr="008B7A21">
              <w:rPr>
                <w:lang w:val="es-ES_tradnl"/>
              </w:rPr>
              <w:sym w:font="Symbol" w:char="F061"/>
            </w:r>
            <w:r w:rsidRPr="007A4381">
              <w:rPr>
                <w:vertAlign w:val="subscript"/>
                <w:lang w:val="es-ES_tradnl"/>
              </w:rPr>
              <w:t>2</w:t>
            </w:r>
          </w:p>
        </w:tc>
        <w:tc>
          <w:tcPr>
            <w:tcW w:w="2268" w:type="dxa"/>
            <w:gridSpan w:val="2"/>
            <w:tcBorders>
              <w:top w:val="single" w:sz="6" w:space="0" w:color="auto"/>
              <w:left w:val="single" w:sz="2" w:space="0" w:color="auto"/>
              <w:bottom w:val="single" w:sz="2" w:space="0" w:color="auto"/>
              <w:right w:val="single" w:sz="2" w:space="0" w:color="auto"/>
            </w:tcBorders>
            <w:vAlign w:val="center"/>
          </w:tcPr>
          <w:p w14:paraId="3BB5DA79" w14:textId="77777777" w:rsidR="00F73D5B" w:rsidRPr="008B7A21" w:rsidRDefault="00F73D5B" w:rsidP="00767A6A">
            <w:pPr>
              <w:pStyle w:val="Tablehead"/>
              <w:keepLines/>
              <w:rPr>
                <w:lang w:val="es-ES_tradnl"/>
              </w:rPr>
            </w:pPr>
            <w:r w:rsidRPr="008B7A21">
              <w:rPr>
                <w:lang w:val="es-ES_tradnl"/>
              </w:rPr>
              <w:sym w:font="Symbol" w:char="F061"/>
            </w:r>
            <w:r w:rsidRPr="007A4381">
              <w:rPr>
                <w:vertAlign w:val="subscript"/>
                <w:lang w:val="es-ES_tradnl"/>
              </w:rPr>
              <w:t>3</w:t>
            </w:r>
          </w:p>
        </w:tc>
        <w:tc>
          <w:tcPr>
            <w:tcW w:w="765" w:type="dxa"/>
            <w:vMerge w:val="restart"/>
            <w:tcBorders>
              <w:top w:val="single" w:sz="6" w:space="0" w:color="auto"/>
              <w:left w:val="single" w:sz="2" w:space="0" w:color="auto"/>
              <w:right w:val="single" w:sz="6" w:space="0" w:color="auto"/>
            </w:tcBorders>
            <w:vAlign w:val="center"/>
          </w:tcPr>
          <w:p w14:paraId="4A8B1884" w14:textId="77777777" w:rsidR="00F73D5B" w:rsidRPr="008B7A21" w:rsidRDefault="00F73D5B" w:rsidP="00767A6A">
            <w:pPr>
              <w:pStyle w:val="Tablehead"/>
              <w:keepLines/>
              <w:rPr>
                <w:lang w:val="es-ES_tradnl"/>
              </w:rPr>
            </w:pPr>
            <w:r w:rsidRPr="008B7A21">
              <w:rPr>
                <w:lang w:val="es-ES_tradnl"/>
              </w:rPr>
              <w:sym w:font="Symbol" w:char="F061"/>
            </w:r>
            <w:r w:rsidRPr="007A4381">
              <w:rPr>
                <w:vertAlign w:val="subscript"/>
                <w:lang w:val="es-ES_tradnl"/>
              </w:rPr>
              <w:t>4</w:t>
            </w:r>
          </w:p>
        </w:tc>
      </w:tr>
      <w:tr w:rsidR="00F73D5B" w:rsidRPr="008B7A21" w14:paraId="5713C323" w14:textId="77777777" w:rsidTr="00767A6A">
        <w:trPr>
          <w:cantSplit/>
          <w:jc w:val="center"/>
        </w:trPr>
        <w:tc>
          <w:tcPr>
            <w:tcW w:w="5046" w:type="dxa"/>
            <w:vMerge/>
            <w:tcBorders>
              <w:left w:val="single" w:sz="6" w:space="0" w:color="auto"/>
              <w:bottom w:val="single" w:sz="2" w:space="0" w:color="auto"/>
              <w:right w:val="single" w:sz="2" w:space="0" w:color="auto"/>
            </w:tcBorders>
            <w:vAlign w:val="center"/>
          </w:tcPr>
          <w:p w14:paraId="6F01A518" w14:textId="77777777" w:rsidR="00F73D5B" w:rsidRPr="008B7A21" w:rsidRDefault="00F73D5B" w:rsidP="00767A6A">
            <w:pPr>
              <w:pStyle w:val="Tablehead"/>
              <w:keepLines/>
              <w:rPr>
                <w:lang w:val="es-ES_tradnl"/>
              </w:rPr>
            </w:pPr>
          </w:p>
        </w:tc>
        <w:tc>
          <w:tcPr>
            <w:tcW w:w="765" w:type="dxa"/>
            <w:vMerge/>
            <w:tcBorders>
              <w:left w:val="single" w:sz="2" w:space="0" w:color="auto"/>
              <w:bottom w:val="single" w:sz="2" w:space="0" w:color="auto"/>
              <w:right w:val="single" w:sz="2" w:space="0" w:color="auto"/>
            </w:tcBorders>
            <w:vAlign w:val="center"/>
          </w:tcPr>
          <w:p w14:paraId="2D278700" w14:textId="77777777" w:rsidR="00F73D5B" w:rsidRPr="008B7A21" w:rsidRDefault="00F73D5B" w:rsidP="00767A6A">
            <w:pPr>
              <w:pStyle w:val="Tablehead"/>
              <w:keepLines/>
              <w:rPr>
                <w:lang w:val="es-ES_tradnl"/>
              </w:rPr>
            </w:pPr>
          </w:p>
        </w:tc>
        <w:tc>
          <w:tcPr>
            <w:tcW w:w="765" w:type="dxa"/>
            <w:vMerge/>
            <w:tcBorders>
              <w:left w:val="single" w:sz="2" w:space="0" w:color="auto"/>
              <w:bottom w:val="single" w:sz="2" w:space="0" w:color="auto"/>
              <w:right w:val="single" w:sz="2" w:space="0" w:color="auto"/>
            </w:tcBorders>
            <w:vAlign w:val="center"/>
          </w:tcPr>
          <w:p w14:paraId="6072D973" w14:textId="77777777" w:rsidR="00F73D5B" w:rsidRPr="008B7A21" w:rsidRDefault="00F73D5B" w:rsidP="00767A6A">
            <w:pPr>
              <w:pStyle w:val="Tablehead"/>
              <w:keepLines/>
              <w:rPr>
                <w:lang w:val="es-ES_tradnl"/>
              </w:rPr>
            </w:pPr>
          </w:p>
        </w:tc>
        <w:tc>
          <w:tcPr>
            <w:tcW w:w="1020" w:type="dxa"/>
            <w:tcBorders>
              <w:top w:val="single" w:sz="2" w:space="0" w:color="auto"/>
              <w:left w:val="single" w:sz="2" w:space="0" w:color="auto"/>
              <w:bottom w:val="single" w:sz="2" w:space="0" w:color="auto"/>
              <w:right w:val="single" w:sz="2" w:space="0" w:color="auto"/>
            </w:tcBorders>
            <w:vAlign w:val="center"/>
          </w:tcPr>
          <w:p w14:paraId="310CF170" w14:textId="77777777" w:rsidR="00F73D5B" w:rsidRPr="008B7A21" w:rsidRDefault="00F73D5B" w:rsidP="00767A6A">
            <w:pPr>
              <w:pStyle w:val="Tablehead"/>
              <w:keepLines/>
              <w:rPr>
                <w:lang w:val="es-ES_tradnl"/>
              </w:rPr>
            </w:pPr>
            <w:r w:rsidRPr="008B7A21">
              <w:rPr>
                <w:lang w:val="es-ES_tradnl"/>
              </w:rPr>
              <w:t>Ciudad</w:t>
            </w:r>
          </w:p>
        </w:tc>
        <w:tc>
          <w:tcPr>
            <w:tcW w:w="1248" w:type="dxa"/>
            <w:tcBorders>
              <w:top w:val="single" w:sz="2" w:space="0" w:color="auto"/>
              <w:left w:val="single" w:sz="2" w:space="0" w:color="auto"/>
              <w:bottom w:val="single" w:sz="2" w:space="0" w:color="auto"/>
              <w:right w:val="single" w:sz="2" w:space="0" w:color="auto"/>
            </w:tcBorders>
            <w:vAlign w:val="center"/>
          </w:tcPr>
          <w:p w14:paraId="5897154D" w14:textId="77777777" w:rsidR="00F73D5B" w:rsidRPr="008B7A21" w:rsidRDefault="00F73D5B" w:rsidP="00767A6A">
            <w:pPr>
              <w:pStyle w:val="Tablehead"/>
              <w:keepLines/>
              <w:rPr>
                <w:lang w:val="es-ES_tradnl"/>
              </w:rPr>
            </w:pPr>
            <w:r w:rsidRPr="008B7A21">
              <w:rPr>
                <w:lang w:val="es-ES_tradnl"/>
              </w:rPr>
              <w:t>Población</w:t>
            </w:r>
          </w:p>
        </w:tc>
        <w:tc>
          <w:tcPr>
            <w:tcW w:w="765" w:type="dxa"/>
            <w:vMerge/>
            <w:tcBorders>
              <w:left w:val="single" w:sz="2" w:space="0" w:color="auto"/>
              <w:bottom w:val="single" w:sz="2" w:space="0" w:color="auto"/>
              <w:right w:val="single" w:sz="6" w:space="0" w:color="auto"/>
            </w:tcBorders>
            <w:vAlign w:val="center"/>
          </w:tcPr>
          <w:p w14:paraId="37190CFB" w14:textId="77777777" w:rsidR="00F73D5B" w:rsidRPr="008B7A21" w:rsidRDefault="00F73D5B" w:rsidP="00767A6A">
            <w:pPr>
              <w:pStyle w:val="Tablehead"/>
              <w:keepLines/>
              <w:rPr>
                <w:lang w:val="es-ES_tradnl"/>
              </w:rPr>
            </w:pPr>
          </w:p>
        </w:tc>
      </w:tr>
      <w:tr w:rsidR="00F73D5B" w:rsidRPr="008B7A21" w14:paraId="6E6D5F59" w14:textId="77777777" w:rsidTr="00767A6A">
        <w:trPr>
          <w:cantSplit/>
          <w:jc w:val="center"/>
        </w:trPr>
        <w:tc>
          <w:tcPr>
            <w:tcW w:w="5046" w:type="dxa"/>
            <w:tcBorders>
              <w:top w:val="single" w:sz="2" w:space="0" w:color="auto"/>
              <w:left w:val="single" w:sz="6" w:space="0" w:color="auto"/>
              <w:bottom w:val="single" w:sz="2" w:space="0" w:color="auto"/>
              <w:right w:val="single" w:sz="2" w:space="0" w:color="auto"/>
            </w:tcBorders>
          </w:tcPr>
          <w:p w14:paraId="2C31FA45" w14:textId="77777777" w:rsidR="00F73D5B" w:rsidRPr="008B7A21" w:rsidRDefault="00F73D5B" w:rsidP="00767A6A">
            <w:pPr>
              <w:pStyle w:val="Tabletext"/>
              <w:keepNext/>
              <w:keepLines/>
              <w:jc w:val="left"/>
              <w:rPr>
                <w:lang w:val="es-ES_tradnl"/>
              </w:rPr>
            </w:pPr>
            <w:r w:rsidRPr="008B7A21">
              <w:rPr>
                <w:lang w:val="es-ES_tradnl"/>
              </w:rPr>
              <w:t>Radioenlace en una gama superior a 1 GHz</w:t>
            </w:r>
          </w:p>
        </w:tc>
        <w:tc>
          <w:tcPr>
            <w:tcW w:w="765" w:type="dxa"/>
            <w:tcBorders>
              <w:top w:val="single" w:sz="2" w:space="0" w:color="auto"/>
              <w:left w:val="single" w:sz="2" w:space="0" w:color="auto"/>
              <w:bottom w:val="single" w:sz="2" w:space="0" w:color="auto"/>
              <w:right w:val="single" w:sz="2" w:space="0" w:color="auto"/>
            </w:tcBorders>
          </w:tcPr>
          <w:p w14:paraId="145AF9C4" w14:textId="77777777" w:rsidR="00F73D5B" w:rsidRPr="008B7A21" w:rsidRDefault="00F73D5B" w:rsidP="00767A6A">
            <w:pPr>
              <w:pStyle w:val="Tabletext"/>
              <w:keepNext/>
              <w:keepLines/>
              <w:jc w:val="center"/>
              <w:rPr>
                <w:lang w:val="es-ES_tradnl"/>
              </w:rPr>
            </w:pPr>
            <w:r w:rsidRPr="008B7A21">
              <w:rPr>
                <w:lang w:val="es-ES_tradnl"/>
              </w:rPr>
              <w:t>0,1</w:t>
            </w:r>
          </w:p>
        </w:tc>
        <w:tc>
          <w:tcPr>
            <w:tcW w:w="765" w:type="dxa"/>
            <w:tcBorders>
              <w:top w:val="single" w:sz="2" w:space="0" w:color="auto"/>
              <w:left w:val="single" w:sz="2" w:space="0" w:color="auto"/>
              <w:bottom w:val="single" w:sz="2" w:space="0" w:color="auto"/>
              <w:right w:val="single" w:sz="2" w:space="0" w:color="auto"/>
            </w:tcBorders>
          </w:tcPr>
          <w:p w14:paraId="012C9FBC" w14:textId="77777777" w:rsidR="00F73D5B" w:rsidRPr="008B7A21" w:rsidRDefault="00F73D5B" w:rsidP="00767A6A">
            <w:pPr>
              <w:pStyle w:val="Tabletext"/>
              <w:keepNext/>
              <w:keepLines/>
              <w:jc w:val="center"/>
              <w:rPr>
                <w:lang w:val="es-ES_tradnl"/>
              </w:rPr>
            </w:pPr>
            <w:r w:rsidRPr="008B7A21">
              <w:rPr>
                <w:lang w:val="es-ES_tradnl"/>
              </w:rPr>
              <w:t>0,1</w:t>
            </w:r>
          </w:p>
        </w:tc>
        <w:tc>
          <w:tcPr>
            <w:tcW w:w="1020" w:type="dxa"/>
            <w:tcBorders>
              <w:top w:val="single" w:sz="2" w:space="0" w:color="auto"/>
              <w:left w:val="single" w:sz="2" w:space="0" w:color="auto"/>
              <w:bottom w:val="single" w:sz="2" w:space="0" w:color="auto"/>
              <w:right w:val="single" w:sz="2" w:space="0" w:color="auto"/>
            </w:tcBorders>
          </w:tcPr>
          <w:p w14:paraId="27F8A65F" w14:textId="77777777" w:rsidR="00F73D5B" w:rsidRPr="008B7A21" w:rsidRDefault="00F73D5B" w:rsidP="00767A6A">
            <w:pPr>
              <w:pStyle w:val="Tabletext"/>
              <w:keepNext/>
              <w:keepLines/>
              <w:jc w:val="center"/>
              <w:rPr>
                <w:lang w:val="es-ES_tradnl"/>
              </w:rPr>
            </w:pPr>
            <w:r w:rsidRPr="008B7A21">
              <w:rPr>
                <w:lang w:val="es-ES_tradnl"/>
              </w:rPr>
              <w:t>1</w:t>
            </w:r>
          </w:p>
        </w:tc>
        <w:tc>
          <w:tcPr>
            <w:tcW w:w="1248" w:type="dxa"/>
            <w:tcBorders>
              <w:top w:val="single" w:sz="2" w:space="0" w:color="auto"/>
              <w:left w:val="single" w:sz="2" w:space="0" w:color="auto"/>
              <w:bottom w:val="single" w:sz="2" w:space="0" w:color="auto"/>
              <w:right w:val="single" w:sz="2" w:space="0" w:color="auto"/>
            </w:tcBorders>
          </w:tcPr>
          <w:p w14:paraId="09135166" w14:textId="77777777" w:rsidR="00F73D5B" w:rsidRPr="008B7A21" w:rsidRDefault="00F73D5B" w:rsidP="00767A6A">
            <w:pPr>
              <w:pStyle w:val="Tabletext"/>
              <w:keepNext/>
              <w:keepLines/>
              <w:jc w:val="center"/>
              <w:rPr>
                <w:lang w:val="es-ES_tradnl"/>
              </w:rPr>
            </w:pPr>
            <w:r w:rsidRPr="008B7A21">
              <w:rPr>
                <w:lang w:val="es-ES_tradnl"/>
              </w:rPr>
              <w:t>0,1</w:t>
            </w:r>
          </w:p>
        </w:tc>
        <w:tc>
          <w:tcPr>
            <w:tcW w:w="765" w:type="dxa"/>
            <w:tcBorders>
              <w:top w:val="single" w:sz="2" w:space="0" w:color="auto"/>
              <w:left w:val="single" w:sz="2" w:space="0" w:color="auto"/>
              <w:bottom w:val="single" w:sz="2" w:space="0" w:color="auto"/>
              <w:right w:val="single" w:sz="6" w:space="0" w:color="auto"/>
            </w:tcBorders>
          </w:tcPr>
          <w:p w14:paraId="45266E97" w14:textId="77777777" w:rsidR="00F73D5B" w:rsidRPr="008B7A21" w:rsidRDefault="00F73D5B" w:rsidP="00767A6A">
            <w:pPr>
              <w:pStyle w:val="Tabletext"/>
              <w:keepNext/>
              <w:keepLines/>
              <w:jc w:val="center"/>
              <w:rPr>
                <w:lang w:val="es-ES_tradnl"/>
              </w:rPr>
            </w:pPr>
            <w:r w:rsidRPr="008B7A21">
              <w:rPr>
                <w:lang w:val="es-ES_tradnl"/>
              </w:rPr>
              <w:t>0,2</w:t>
            </w:r>
          </w:p>
        </w:tc>
      </w:tr>
      <w:tr w:rsidR="00F73D5B" w:rsidRPr="008B7A21" w14:paraId="321AF19A" w14:textId="77777777" w:rsidTr="00767A6A">
        <w:trPr>
          <w:cantSplit/>
          <w:jc w:val="center"/>
        </w:trPr>
        <w:tc>
          <w:tcPr>
            <w:tcW w:w="5046" w:type="dxa"/>
            <w:tcBorders>
              <w:top w:val="single" w:sz="2" w:space="0" w:color="auto"/>
              <w:left w:val="single" w:sz="6" w:space="0" w:color="auto"/>
              <w:bottom w:val="single" w:sz="2" w:space="0" w:color="auto"/>
              <w:right w:val="single" w:sz="2" w:space="0" w:color="auto"/>
            </w:tcBorders>
          </w:tcPr>
          <w:p w14:paraId="74EFBC3C" w14:textId="77777777" w:rsidR="00F73D5B" w:rsidRPr="008B7A21" w:rsidRDefault="00F73D5B" w:rsidP="00767A6A">
            <w:pPr>
              <w:pStyle w:val="Tabletext"/>
              <w:jc w:val="left"/>
              <w:rPr>
                <w:lang w:val="es-ES_tradnl"/>
              </w:rPr>
            </w:pPr>
            <w:r w:rsidRPr="008B7A21">
              <w:rPr>
                <w:lang w:val="es-ES_tradnl"/>
              </w:rPr>
              <w:t>Radioenlace en una gama inferior a 1 GHz</w:t>
            </w:r>
          </w:p>
        </w:tc>
        <w:tc>
          <w:tcPr>
            <w:tcW w:w="765" w:type="dxa"/>
            <w:tcBorders>
              <w:top w:val="single" w:sz="2" w:space="0" w:color="auto"/>
              <w:left w:val="single" w:sz="2" w:space="0" w:color="auto"/>
              <w:bottom w:val="single" w:sz="2" w:space="0" w:color="auto"/>
              <w:right w:val="single" w:sz="2" w:space="0" w:color="auto"/>
            </w:tcBorders>
          </w:tcPr>
          <w:p w14:paraId="2C154102" w14:textId="77777777" w:rsidR="00F73D5B" w:rsidRPr="008B7A21" w:rsidRDefault="00F73D5B" w:rsidP="00767A6A">
            <w:pPr>
              <w:pStyle w:val="Tabletext"/>
              <w:jc w:val="center"/>
              <w:rPr>
                <w:lang w:val="es-ES_tradnl"/>
              </w:rPr>
            </w:pPr>
            <w:r w:rsidRPr="008B7A21">
              <w:rPr>
                <w:lang w:val="es-ES_tradnl"/>
              </w:rPr>
              <w:t>0,4</w:t>
            </w:r>
          </w:p>
        </w:tc>
        <w:tc>
          <w:tcPr>
            <w:tcW w:w="765" w:type="dxa"/>
            <w:tcBorders>
              <w:top w:val="single" w:sz="2" w:space="0" w:color="auto"/>
              <w:left w:val="single" w:sz="2" w:space="0" w:color="auto"/>
              <w:bottom w:val="single" w:sz="2" w:space="0" w:color="auto"/>
              <w:right w:val="single" w:sz="2" w:space="0" w:color="auto"/>
            </w:tcBorders>
          </w:tcPr>
          <w:p w14:paraId="466BC344" w14:textId="77777777" w:rsidR="00F73D5B" w:rsidRPr="008B7A21" w:rsidRDefault="00F73D5B" w:rsidP="00767A6A">
            <w:pPr>
              <w:pStyle w:val="Tabletext"/>
              <w:jc w:val="center"/>
              <w:rPr>
                <w:lang w:val="es-ES_tradnl"/>
              </w:rPr>
            </w:pPr>
            <w:r w:rsidRPr="008B7A21">
              <w:rPr>
                <w:lang w:val="es-ES_tradnl"/>
              </w:rPr>
              <w:t>0,2</w:t>
            </w:r>
          </w:p>
        </w:tc>
        <w:tc>
          <w:tcPr>
            <w:tcW w:w="1020" w:type="dxa"/>
            <w:tcBorders>
              <w:top w:val="single" w:sz="2" w:space="0" w:color="auto"/>
              <w:left w:val="single" w:sz="2" w:space="0" w:color="auto"/>
              <w:bottom w:val="single" w:sz="2" w:space="0" w:color="auto"/>
              <w:right w:val="single" w:sz="2" w:space="0" w:color="auto"/>
            </w:tcBorders>
          </w:tcPr>
          <w:p w14:paraId="2F2EE3DE" w14:textId="77777777" w:rsidR="00F73D5B" w:rsidRPr="008B7A21" w:rsidRDefault="00F73D5B" w:rsidP="00767A6A">
            <w:pPr>
              <w:pStyle w:val="Tabletext"/>
              <w:jc w:val="center"/>
              <w:rPr>
                <w:lang w:val="es-ES_tradnl"/>
              </w:rPr>
            </w:pPr>
            <w:r w:rsidRPr="008B7A21">
              <w:rPr>
                <w:lang w:val="es-ES_tradnl"/>
              </w:rPr>
              <w:t>1</w:t>
            </w:r>
          </w:p>
        </w:tc>
        <w:tc>
          <w:tcPr>
            <w:tcW w:w="1248" w:type="dxa"/>
            <w:tcBorders>
              <w:top w:val="single" w:sz="2" w:space="0" w:color="auto"/>
              <w:left w:val="single" w:sz="2" w:space="0" w:color="auto"/>
              <w:bottom w:val="single" w:sz="2" w:space="0" w:color="auto"/>
              <w:right w:val="single" w:sz="2" w:space="0" w:color="auto"/>
            </w:tcBorders>
          </w:tcPr>
          <w:p w14:paraId="34E87F29" w14:textId="77777777" w:rsidR="00F73D5B" w:rsidRPr="008B7A21" w:rsidRDefault="00F73D5B" w:rsidP="00767A6A">
            <w:pPr>
              <w:pStyle w:val="Tabletext"/>
              <w:jc w:val="center"/>
              <w:rPr>
                <w:lang w:val="es-ES_tradnl"/>
              </w:rPr>
            </w:pPr>
            <w:r w:rsidRPr="008B7A21">
              <w:rPr>
                <w:lang w:val="es-ES_tradnl"/>
              </w:rPr>
              <w:t>0,1</w:t>
            </w:r>
          </w:p>
        </w:tc>
        <w:tc>
          <w:tcPr>
            <w:tcW w:w="765" w:type="dxa"/>
            <w:tcBorders>
              <w:top w:val="single" w:sz="2" w:space="0" w:color="auto"/>
              <w:left w:val="single" w:sz="2" w:space="0" w:color="auto"/>
              <w:bottom w:val="single" w:sz="2" w:space="0" w:color="auto"/>
              <w:right w:val="single" w:sz="6" w:space="0" w:color="auto"/>
            </w:tcBorders>
          </w:tcPr>
          <w:p w14:paraId="5663149F" w14:textId="77777777" w:rsidR="00F73D5B" w:rsidRPr="008B7A21" w:rsidRDefault="00F73D5B" w:rsidP="00767A6A">
            <w:pPr>
              <w:pStyle w:val="Tabletext"/>
              <w:jc w:val="center"/>
              <w:rPr>
                <w:lang w:val="es-ES_tradnl"/>
              </w:rPr>
            </w:pPr>
            <w:r w:rsidRPr="008B7A21">
              <w:rPr>
                <w:lang w:val="es-ES_tradnl"/>
              </w:rPr>
              <w:t>0,2</w:t>
            </w:r>
          </w:p>
        </w:tc>
      </w:tr>
      <w:tr w:rsidR="00F73D5B" w:rsidRPr="008B7A21" w14:paraId="3DB4850A" w14:textId="77777777" w:rsidTr="00767A6A">
        <w:trPr>
          <w:cantSplit/>
          <w:jc w:val="center"/>
        </w:trPr>
        <w:tc>
          <w:tcPr>
            <w:tcW w:w="5046" w:type="dxa"/>
            <w:tcBorders>
              <w:top w:val="single" w:sz="2" w:space="0" w:color="auto"/>
              <w:left w:val="single" w:sz="6" w:space="0" w:color="auto"/>
              <w:bottom w:val="single" w:sz="2" w:space="0" w:color="auto"/>
              <w:right w:val="single" w:sz="2" w:space="0" w:color="auto"/>
            </w:tcBorders>
          </w:tcPr>
          <w:p w14:paraId="4EB3729E" w14:textId="77777777" w:rsidR="00F73D5B" w:rsidRPr="008B7A21" w:rsidRDefault="00F73D5B" w:rsidP="00767A6A">
            <w:pPr>
              <w:pStyle w:val="Tabletext"/>
              <w:jc w:val="left"/>
              <w:rPr>
                <w:lang w:val="es-ES_tradnl"/>
              </w:rPr>
            </w:pPr>
            <w:r w:rsidRPr="008B7A21">
              <w:rPr>
                <w:lang w:val="es-ES_tradnl"/>
              </w:rPr>
              <w:t>Televisión en la gama de ondas métricas</w:t>
            </w:r>
          </w:p>
        </w:tc>
        <w:tc>
          <w:tcPr>
            <w:tcW w:w="765" w:type="dxa"/>
            <w:tcBorders>
              <w:top w:val="single" w:sz="2" w:space="0" w:color="auto"/>
              <w:left w:val="single" w:sz="2" w:space="0" w:color="auto"/>
              <w:bottom w:val="single" w:sz="2" w:space="0" w:color="auto"/>
              <w:right w:val="single" w:sz="2" w:space="0" w:color="auto"/>
            </w:tcBorders>
          </w:tcPr>
          <w:p w14:paraId="5540F0C9" w14:textId="77777777" w:rsidR="00F73D5B" w:rsidRPr="008B7A21" w:rsidRDefault="00F73D5B" w:rsidP="00767A6A">
            <w:pPr>
              <w:pStyle w:val="Tabletext"/>
              <w:jc w:val="center"/>
              <w:rPr>
                <w:lang w:val="es-ES_tradnl"/>
              </w:rPr>
            </w:pPr>
            <w:r w:rsidRPr="008B7A21">
              <w:rPr>
                <w:lang w:val="es-ES_tradnl"/>
              </w:rPr>
              <w:t>1</w:t>
            </w:r>
          </w:p>
        </w:tc>
        <w:tc>
          <w:tcPr>
            <w:tcW w:w="765" w:type="dxa"/>
            <w:tcBorders>
              <w:top w:val="single" w:sz="2" w:space="0" w:color="auto"/>
              <w:left w:val="single" w:sz="2" w:space="0" w:color="auto"/>
              <w:bottom w:val="single" w:sz="2" w:space="0" w:color="auto"/>
              <w:right w:val="single" w:sz="2" w:space="0" w:color="auto"/>
            </w:tcBorders>
          </w:tcPr>
          <w:p w14:paraId="3762439C" w14:textId="77777777" w:rsidR="00F73D5B" w:rsidRPr="008B7A21" w:rsidRDefault="00F73D5B" w:rsidP="00767A6A">
            <w:pPr>
              <w:pStyle w:val="Tabletext"/>
              <w:jc w:val="center"/>
              <w:rPr>
                <w:lang w:val="es-ES_tradnl"/>
              </w:rPr>
            </w:pPr>
            <w:r w:rsidRPr="008B7A21">
              <w:rPr>
                <w:lang w:val="es-ES_tradnl"/>
              </w:rPr>
              <w:t>0,1</w:t>
            </w:r>
          </w:p>
        </w:tc>
        <w:tc>
          <w:tcPr>
            <w:tcW w:w="1020" w:type="dxa"/>
            <w:tcBorders>
              <w:top w:val="single" w:sz="2" w:space="0" w:color="auto"/>
              <w:left w:val="single" w:sz="2" w:space="0" w:color="auto"/>
              <w:bottom w:val="single" w:sz="2" w:space="0" w:color="auto"/>
              <w:right w:val="single" w:sz="2" w:space="0" w:color="auto"/>
            </w:tcBorders>
          </w:tcPr>
          <w:p w14:paraId="4FC8836C" w14:textId="77777777" w:rsidR="00F73D5B" w:rsidRPr="008B7A21" w:rsidRDefault="00F73D5B" w:rsidP="00767A6A">
            <w:pPr>
              <w:pStyle w:val="Tabletext"/>
              <w:jc w:val="center"/>
              <w:rPr>
                <w:lang w:val="es-ES_tradnl"/>
              </w:rPr>
            </w:pPr>
            <w:r w:rsidRPr="008B7A21">
              <w:rPr>
                <w:lang w:val="es-ES_tradnl"/>
              </w:rPr>
              <w:t>1</w:t>
            </w:r>
          </w:p>
        </w:tc>
        <w:tc>
          <w:tcPr>
            <w:tcW w:w="1248" w:type="dxa"/>
            <w:tcBorders>
              <w:top w:val="single" w:sz="2" w:space="0" w:color="auto"/>
              <w:left w:val="single" w:sz="2" w:space="0" w:color="auto"/>
              <w:bottom w:val="single" w:sz="2" w:space="0" w:color="auto"/>
              <w:right w:val="single" w:sz="2" w:space="0" w:color="auto"/>
            </w:tcBorders>
          </w:tcPr>
          <w:p w14:paraId="5A66B893" w14:textId="77777777" w:rsidR="00F73D5B" w:rsidRPr="008B7A21" w:rsidRDefault="00F73D5B" w:rsidP="00767A6A">
            <w:pPr>
              <w:pStyle w:val="Tabletext"/>
              <w:jc w:val="center"/>
              <w:rPr>
                <w:lang w:val="es-ES_tradnl"/>
              </w:rPr>
            </w:pPr>
            <w:r w:rsidRPr="008B7A21">
              <w:rPr>
                <w:lang w:val="es-ES_tradnl"/>
              </w:rPr>
              <w:t>0,1</w:t>
            </w:r>
          </w:p>
        </w:tc>
        <w:tc>
          <w:tcPr>
            <w:tcW w:w="765" w:type="dxa"/>
            <w:tcBorders>
              <w:top w:val="single" w:sz="2" w:space="0" w:color="auto"/>
              <w:left w:val="single" w:sz="2" w:space="0" w:color="auto"/>
              <w:bottom w:val="single" w:sz="2" w:space="0" w:color="auto"/>
              <w:right w:val="single" w:sz="6" w:space="0" w:color="auto"/>
            </w:tcBorders>
          </w:tcPr>
          <w:p w14:paraId="31C3C049" w14:textId="77777777" w:rsidR="00F73D5B" w:rsidRPr="008B7A21" w:rsidRDefault="00F73D5B" w:rsidP="00767A6A">
            <w:pPr>
              <w:pStyle w:val="Tabletext"/>
              <w:jc w:val="center"/>
              <w:rPr>
                <w:lang w:val="es-ES_tradnl"/>
              </w:rPr>
            </w:pPr>
            <w:r w:rsidRPr="008B7A21">
              <w:rPr>
                <w:lang w:val="es-ES_tradnl"/>
              </w:rPr>
              <w:t>1</w:t>
            </w:r>
          </w:p>
        </w:tc>
      </w:tr>
      <w:tr w:rsidR="00F73D5B" w:rsidRPr="008B7A21" w14:paraId="3918F56A" w14:textId="77777777" w:rsidTr="00767A6A">
        <w:trPr>
          <w:cantSplit/>
          <w:jc w:val="center"/>
        </w:trPr>
        <w:tc>
          <w:tcPr>
            <w:tcW w:w="5046" w:type="dxa"/>
            <w:tcBorders>
              <w:top w:val="single" w:sz="2" w:space="0" w:color="auto"/>
              <w:left w:val="single" w:sz="6" w:space="0" w:color="auto"/>
              <w:bottom w:val="single" w:sz="2" w:space="0" w:color="auto"/>
              <w:right w:val="single" w:sz="2" w:space="0" w:color="auto"/>
            </w:tcBorders>
          </w:tcPr>
          <w:p w14:paraId="5160A646" w14:textId="77777777" w:rsidR="00F73D5B" w:rsidRPr="008B7A21" w:rsidRDefault="00F73D5B" w:rsidP="00767A6A">
            <w:pPr>
              <w:pStyle w:val="Tabletext"/>
              <w:jc w:val="left"/>
              <w:rPr>
                <w:lang w:val="es-ES_tradnl"/>
              </w:rPr>
            </w:pPr>
            <w:r w:rsidRPr="008B7A21">
              <w:rPr>
                <w:lang w:val="es-ES_tradnl"/>
              </w:rPr>
              <w:t>Televisión en la gama de ondas decimétricas</w:t>
            </w:r>
          </w:p>
        </w:tc>
        <w:tc>
          <w:tcPr>
            <w:tcW w:w="765" w:type="dxa"/>
            <w:tcBorders>
              <w:top w:val="single" w:sz="2" w:space="0" w:color="auto"/>
              <w:left w:val="single" w:sz="2" w:space="0" w:color="auto"/>
              <w:bottom w:val="single" w:sz="2" w:space="0" w:color="auto"/>
              <w:right w:val="single" w:sz="2" w:space="0" w:color="auto"/>
            </w:tcBorders>
          </w:tcPr>
          <w:p w14:paraId="03D7BCE0" w14:textId="77777777" w:rsidR="00F73D5B" w:rsidRPr="008B7A21" w:rsidRDefault="00F73D5B" w:rsidP="00767A6A">
            <w:pPr>
              <w:pStyle w:val="Tabletext"/>
              <w:jc w:val="center"/>
              <w:rPr>
                <w:lang w:val="es-ES_tradnl"/>
              </w:rPr>
            </w:pPr>
            <w:r w:rsidRPr="008B7A21">
              <w:rPr>
                <w:lang w:val="es-ES_tradnl"/>
              </w:rPr>
              <w:t>1</w:t>
            </w:r>
          </w:p>
        </w:tc>
        <w:tc>
          <w:tcPr>
            <w:tcW w:w="765" w:type="dxa"/>
            <w:tcBorders>
              <w:top w:val="single" w:sz="2" w:space="0" w:color="auto"/>
              <w:left w:val="single" w:sz="2" w:space="0" w:color="auto"/>
              <w:bottom w:val="single" w:sz="2" w:space="0" w:color="auto"/>
              <w:right w:val="single" w:sz="2" w:space="0" w:color="auto"/>
            </w:tcBorders>
          </w:tcPr>
          <w:p w14:paraId="06759101" w14:textId="77777777" w:rsidR="00F73D5B" w:rsidRPr="008B7A21" w:rsidRDefault="00F73D5B" w:rsidP="00767A6A">
            <w:pPr>
              <w:pStyle w:val="Tabletext"/>
              <w:jc w:val="center"/>
              <w:rPr>
                <w:lang w:val="es-ES_tradnl"/>
              </w:rPr>
            </w:pPr>
            <w:r w:rsidRPr="008B7A21">
              <w:rPr>
                <w:lang w:val="es-ES_tradnl"/>
              </w:rPr>
              <w:t>0,2</w:t>
            </w:r>
          </w:p>
        </w:tc>
        <w:tc>
          <w:tcPr>
            <w:tcW w:w="1020" w:type="dxa"/>
            <w:tcBorders>
              <w:top w:val="single" w:sz="2" w:space="0" w:color="auto"/>
              <w:left w:val="single" w:sz="2" w:space="0" w:color="auto"/>
              <w:bottom w:val="single" w:sz="2" w:space="0" w:color="auto"/>
              <w:right w:val="single" w:sz="2" w:space="0" w:color="auto"/>
            </w:tcBorders>
          </w:tcPr>
          <w:p w14:paraId="67488C9B" w14:textId="77777777" w:rsidR="00F73D5B" w:rsidRPr="008B7A21" w:rsidRDefault="00F73D5B" w:rsidP="00767A6A">
            <w:pPr>
              <w:pStyle w:val="Tabletext"/>
              <w:jc w:val="center"/>
              <w:rPr>
                <w:lang w:val="es-ES_tradnl"/>
              </w:rPr>
            </w:pPr>
            <w:r w:rsidRPr="008B7A21">
              <w:rPr>
                <w:lang w:val="es-ES_tradnl"/>
              </w:rPr>
              <w:t>1</w:t>
            </w:r>
          </w:p>
        </w:tc>
        <w:tc>
          <w:tcPr>
            <w:tcW w:w="1248" w:type="dxa"/>
            <w:tcBorders>
              <w:top w:val="single" w:sz="2" w:space="0" w:color="auto"/>
              <w:left w:val="single" w:sz="2" w:space="0" w:color="auto"/>
              <w:bottom w:val="single" w:sz="2" w:space="0" w:color="auto"/>
              <w:right w:val="single" w:sz="2" w:space="0" w:color="auto"/>
            </w:tcBorders>
          </w:tcPr>
          <w:p w14:paraId="65470DD1" w14:textId="77777777" w:rsidR="00F73D5B" w:rsidRPr="008B7A21" w:rsidRDefault="00F73D5B" w:rsidP="00767A6A">
            <w:pPr>
              <w:pStyle w:val="Tabletext"/>
              <w:jc w:val="center"/>
              <w:rPr>
                <w:lang w:val="es-ES_tradnl"/>
              </w:rPr>
            </w:pPr>
            <w:r w:rsidRPr="008B7A21">
              <w:rPr>
                <w:lang w:val="es-ES_tradnl"/>
              </w:rPr>
              <w:t>0,1</w:t>
            </w:r>
          </w:p>
        </w:tc>
        <w:tc>
          <w:tcPr>
            <w:tcW w:w="765" w:type="dxa"/>
            <w:tcBorders>
              <w:top w:val="single" w:sz="2" w:space="0" w:color="auto"/>
              <w:left w:val="single" w:sz="2" w:space="0" w:color="auto"/>
              <w:bottom w:val="single" w:sz="2" w:space="0" w:color="auto"/>
              <w:right w:val="single" w:sz="6" w:space="0" w:color="auto"/>
            </w:tcBorders>
          </w:tcPr>
          <w:p w14:paraId="71EA0043" w14:textId="77777777" w:rsidR="00F73D5B" w:rsidRPr="008B7A21" w:rsidRDefault="00F73D5B" w:rsidP="00767A6A">
            <w:pPr>
              <w:pStyle w:val="Tabletext"/>
              <w:jc w:val="center"/>
              <w:rPr>
                <w:lang w:val="es-ES_tradnl"/>
              </w:rPr>
            </w:pPr>
            <w:r w:rsidRPr="008B7A21">
              <w:rPr>
                <w:lang w:val="es-ES_tradnl"/>
              </w:rPr>
              <w:t>1</w:t>
            </w:r>
          </w:p>
        </w:tc>
      </w:tr>
      <w:tr w:rsidR="00F73D5B" w:rsidRPr="008B7A21" w14:paraId="178F33A6" w14:textId="77777777" w:rsidTr="00767A6A">
        <w:trPr>
          <w:cantSplit/>
          <w:jc w:val="center"/>
        </w:trPr>
        <w:tc>
          <w:tcPr>
            <w:tcW w:w="5046" w:type="dxa"/>
            <w:tcBorders>
              <w:top w:val="single" w:sz="2" w:space="0" w:color="auto"/>
              <w:left w:val="single" w:sz="6" w:space="0" w:color="auto"/>
              <w:bottom w:val="single" w:sz="2" w:space="0" w:color="auto"/>
              <w:right w:val="single" w:sz="2" w:space="0" w:color="auto"/>
            </w:tcBorders>
          </w:tcPr>
          <w:p w14:paraId="0D8BACB7" w14:textId="77777777" w:rsidR="00F73D5B" w:rsidRPr="008B7A21" w:rsidRDefault="00F73D5B" w:rsidP="00767A6A">
            <w:pPr>
              <w:pStyle w:val="Tabletext"/>
              <w:jc w:val="left"/>
              <w:rPr>
                <w:lang w:val="es-ES_tradnl"/>
              </w:rPr>
            </w:pPr>
            <w:r w:rsidRPr="008B7A21">
              <w:rPr>
                <w:lang w:val="es-ES_tradnl"/>
              </w:rPr>
              <w:t>Radiodifusión sonora en la banda de ondas métricas</w:t>
            </w:r>
          </w:p>
        </w:tc>
        <w:tc>
          <w:tcPr>
            <w:tcW w:w="765" w:type="dxa"/>
            <w:tcBorders>
              <w:top w:val="single" w:sz="2" w:space="0" w:color="auto"/>
              <w:left w:val="single" w:sz="2" w:space="0" w:color="auto"/>
              <w:bottom w:val="single" w:sz="2" w:space="0" w:color="auto"/>
              <w:right w:val="single" w:sz="2" w:space="0" w:color="auto"/>
            </w:tcBorders>
          </w:tcPr>
          <w:p w14:paraId="426DADB7" w14:textId="77777777" w:rsidR="00F73D5B" w:rsidRPr="008B7A21" w:rsidRDefault="00F73D5B" w:rsidP="00767A6A">
            <w:pPr>
              <w:pStyle w:val="Tabletext"/>
              <w:jc w:val="center"/>
              <w:rPr>
                <w:lang w:val="es-ES_tradnl"/>
              </w:rPr>
            </w:pPr>
            <w:r w:rsidRPr="008B7A21">
              <w:rPr>
                <w:lang w:val="es-ES_tradnl"/>
              </w:rPr>
              <w:t>2,4</w:t>
            </w:r>
          </w:p>
        </w:tc>
        <w:tc>
          <w:tcPr>
            <w:tcW w:w="765" w:type="dxa"/>
            <w:tcBorders>
              <w:top w:val="single" w:sz="2" w:space="0" w:color="auto"/>
              <w:left w:val="single" w:sz="2" w:space="0" w:color="auto"/>
              <w:bottom w:val="single" w:sz="2" w:space="0" w:color="auto"/>
              <w:right w:val="single" w:sz="2" w:space="0" w:color="auto"/>
            </w:tcBorders>
          </w:tcPr>
          <w:p w14:paraId="04AE1908" w14:textId="77777777" w:rsidR="00F73D5B" w:rsidRPr="008B7A21" w:rsidRDefault="00F73D5B" w:rsidP="00767A6A">
            <w:pPr>
              <w:pStyle w:val="Tabletext"/>
              <w:jc w:val="center"/>
              <w:rPr>
                <w:lang w:val="es-ES_tradnl"/>
              </w:rPr>
            </w:pPr>
            <w:r w:rsidRPr="008B7A21">
              <w:rPr>
                <w:lang w:val="es-ES_tradnl"/>
              </w:rPr>
              <w:t>1</w:t>
            </w:r>
          </w:p>
        </w:tc>
        <w:tc>
          <w:tcPr>
            <w:tcW w:w="1020" w:type="dxa"/>
            <w:tcBorders>
              <w:top w:val="single" w:sz="2" w:space="0" w:color="auto"/>
              <w:left w:val="single" w:sz="2" w:space="0" w:color="auto"/>
              <w:bottom w:val="single" w:sz="2" w:space="0" w:color="auto"/>
              <w:right w:val="single" w:sz="2" w:space="0" w:color="auto"/>
            </w:tcBorders>
          </w:tcPr>
          <w:p w14:paraId="2602E954" w14:textId="77777777" w:rsidR="00F73D5B" w:rsidRPr="008B7A21" w:rsidRDefault="00F73D5B" w:rsidP="00767A6A">
            <w:pPr>
              <w:pStyle w:val="Tabletext"/>
              <w:jc w:val="center"/>
              <w:rPr>
                <w:lang w:val="es-ES_tradnl"/>
              </w:rPr>
            </w:pPr>
            <w:r w:rsidRPr="008B7A21">
              <w:rPr>
                <w:lang w:val="es-ES_tradnl"/>
              </w:rPr>
              <w:t>1</w:t>
            </w:r>
          </w:p>
        </w:tc>
        <w:tc>
          <w:tcPr>
            <w:tcW w:w="1248" w:type="dxa"/>
            <w:tcBorders>
              <w:top w:val="single" w:sz="2" w:space="0" w:color="auto"/>
              <w:left w:val="single" w:sz="2" w:space="0" w:color="auto"/>
              <w:bottom w:val="single" w:sz="2" w:space="0" w:color="auto"/>
              <w:right w:val="single" w:sz="2" w:space="0" w:color="auto"/>
            </w:tcBorders>
          </w:tcPr>
          <w:p w14:paraId="58BDEF71" w14:textId="77777777" w:rsidR="00F73D5B" w:rsidRPr="008B7A21" w:rsidRDefault="00F73D5B" w:rsidP="00767A6A">
            <w:pPr>
              <w:pStyle w:val="Tabletext"/>
              <w:jc w:val="center"/>
              <w:rPr>
                <w:lang w:val="es-ES_tradnl"/>
              </w:rPr>
            </w:pPr>
            <w:r w:rsidRPr="008B7A21">
              <w:rPr>
                <w:lang w:val="es-ES_tradnl"/>
              </w:rPr>
              <w:t>0,1</w:t>
            </w:r>
          </w:p>
        </w:tc>
        <w:tc>
          <w:tcPr>
            <w:tcW w:w="765" w:type="dxa"/>
            <w:tcBorders>
              <w:top w:val="single" w:sz="2" w:space="0" w:color="auto"/>
              <w:left w:val="single" w:sz="2" w:space="0" w:color="auto"/>
              <w:bottom w:val="single" w:sz="2" w:space="0" w:color="auto"/>
              <w:right w:val="single" w:sz="6" w:space="0" w:color="auto"/>
            </w:tcBorders>
          </w:tcPr>
          <w:p w14:paraId="0997972C" w14:textId="77777777" w:rsidR="00F73D5B" w:rsidRPr="008B7A21" w:rsidRDefault="00F73D5B" w:rsidP="00767A6A">
            <w:pPr>
              <w:pStyle w:val="Tabletext"/>
              <w:jc w:val="center"/>
              <w:rPr>
                <w:lang w:val="es-ES_tradnl"/>
              </w:rPr>
            </w:pPr>
            <w:r w:rsidRPr="008B7A21">
              <w:rPr>
                <w:lang w:val="es-ES_tradnl"/>
              </w:rPr>
              <w:t>1</w:t>
            </w:r>
          </w:p>
        </w:tc>
      </w:tr>
      <w:tr w:rsidR="00F73D5B" w:rsidRPr="008B7A21" w14:paraId="37F478EC" w14:textId="77777777" w:rsidTr="00767A6A">
        <w:trPr>
          <w:cantSplit/>
          <w:jc w:val="center"/>
        </w:trPr>
        <w:tc>
          <w:tcPr>
            <w:tcW w:w="5046" w:type="dxa"/>
            <w:tcBorders>
              <w:top w:val="single" w:sz="2" w:space="0" w:color="auto"/>
              <w:left w:val="single" w:sz="6" w:space="0" w:color="auto"/>
              <w:bottom w:val="single" w:sz="2" w:space="0" w:color="auto"/>
              <w:right w:val="single" w:sz="2" w:space="0" w:color="auto"/>
            </w:tcBorders>
          </w:tcPr>
          <w:p w14:paraId="6BBD37C6" w14:textId="77777777" w:rsidR="00F73D5B" w:rsidRPr="008B7A21" w:rsidRDefault="00F73D5B" w:rsidP="00767A6A">
            <w:pPr>
              <w:pStyle w:val="Tabletext"/>
              <w:jc w:val="left"/>
              <w:rPr>
                <w:lang w:val="es-ES_tradnl"/>
              </w:rPr>
            </w:pPr>
            <w:r w:rsidRPr="008B7A21">
              <w:rPr>
                <w:lang w:val="es-ES_tradnl"/>
              </w:rPr>
              <w:t>Radiodifusión en la banda de ondas hectométricas – decamétricas</w:t>
            </w:r>
          </w:p>
        </w:tc>
        <w:tc>
          <w:tcPr>
            <w:tcW w:w="765" w:type="dxa"/>
            <w:tcBorders>
              <w:top w:val="single" w:sz="2" w:space="0" w:color="auto"/>
              <w:left w:val="single" w:sz="2" w:space="0" w:color="auto"/>
              <w:bottom w:val="single" w:sz="2" w:space="0" w:color="auto"/>
              <w:right w:val="single" w:sz="2" w:space="0" w:color="auto"/>
            </w:tcBorders>
          </w:tcPr>
          <w:p w14:paraId="5511AA47" w14:textId="77777777" w:rsidR="00F73D5B" w:rsidRPr="008B7A21" w:rsidRDefault="00F73D5B" w:rsidP="00767A6A">
            <w:pPr>
              <w:pStyle w:val="Tabletext"/>
              <w:jc w:val="center"/>
              <w:rPr>
                <w:lang w:val="es-ES_tradnl"/>
              </w:rPr>
            </w:pPr>
            <w:r w:rsidRPr="008B7A21">
              <w:rPr>
                <w:lang w:val="es-ES_tradnl"/>
              </w:rPr>
              <w:t>1</w:t>
            </w:r>
          </w:p>
        </w:tc>
        <w:tc>
          <w:tcPr>
            <w:tcW w:w="765" w:type="dxa"/>
            <w:tcBorders>
              <w:top w:val="single" w:sz="2" w:space="0" w:color="auto"/>
              <w:left w:val="single" w:sz="2" w:space="0" w:color="auto"/>
              <w:bottom w:val="single" w:sz="2" w:space="0" w:color="auto"/>
              <w:right w:val="single" w:sz="2" w:space="0" w:color="auto"/>
            </w:tcBorders>
          </w:tcPr>
          <w:p w14:paraId="21BE4FAB" w14:textId="77777777" w:rsidR="00F73D5B" w:rsidRPr="008B7A21" w:rsidRDefault="00F73D5B" w:rsidP="00767A6A">
            <w:pPr>
              <w:pStyle w:val="Tabletext"/>
              <w:jc w:val="center"/>
              <w:rPr>
                <w:lang w:val="es-ES_tradnl"/>
              </w:rPr>
            </w:pPr>
            <w:r w:rsidRPr="008B7A21">
              <w:rPr>
                <w:lang w:val="es-ES_tradnl"/>
              </w:rPr>
              <w:t>1</w:t>
            </w:r>
          </w:p>
        </w:tc>
        <w:tc>
          <w:tcPr>
            <w:tcW w:w="1020" w:type="dxa"/>
            <w:tcBorders>
              <w:top w:val="single" w:sz="2" w:space="0" w:color="auto"/>
              <w:left w:val="single" w:sz="2" w:space="0" w:color="auto"/>
              <w:bottom w:val="single" w:sz="2" w:space="0" w:color="auto"/>
              <w:right w:val="single" w:sz="2" w:space="0" w:color="auto"/>
            </w:tcBorders>
          </w:tcPr>
          <w:p w14:paraId="1D031FDA" w14:textId="77777777" w:rsidR="00F73D5B" w:rsidRPr="008B7A21" w:rsidRDefault="00F73D5B" w:rsidP="00767A6A">
            <w:pPr>
              <w:pStyle w:val="Tabletext"/>
              <w:jc w:val="center"/>
              <w:rPr>
                <w:lang w:val="es-ES_tradnl"/>
              </w:rPr>
            </w:pPr>
            <w:r w:rsidRPr="008B7A21">
              <w:rPr>
                <w:lang w:val="es-ES_tradnl"/>
              </w:rPr>
              <w:t>1</w:t>
            </w:r>
          </w:p>
        </w:tc>
        <w:tc>
          <w:tcPr>
            <w:tcW w:w="1248" w:type="dxa"/>
            <w:tcBorders>
              <w:top w:val="single" w:sz="2" w:space="0" w:color="auto"/>
              <w:left w:val="single" w:sz="2" w:space="0" w:color="auto"/>
              <w:bottom w:val="single" w:sz="2" w:space="0" w:color="auto"/>
              <w:right w:val="single" w:sz="2" w:space="0" w:color="auto"/>
            </w:tcBorders>
          </w:tcPr>
          <w:p w14:paraId="1BE9A1AC" w14:textId="77777777" w:rsidR="00F73D5B" w:rsidRPr="008B7A21" w:rsidRDefault="00F73D5B" w:rsidP="00767A6A">
            <w:pPr>
              <w:pStyle w:val="Tabletext"/>
              <w:jc w:val="center"/>
              <w:rPr>
                <w:lang w:val="es-ES_tradnl"/>
              </w:rPr>
            </w:pPr>
            <w:r w:rsidRPr="008B7A21">
              <w:rPr>
                <w:lang w:val="es-ES_tradnl"/>
              </w:rPr>
              <w:t>0,1</w:t>
            </w:r>
          </w:p>
        </w:tc>
        <w:tc>
          <w:tcPr>
            <w:tcW w:w="765" w:type="dxa"/>
            <w:tcBorders>
              <w:top w:val="single" w:sz="2" w:space="0" w:color="auto"/>
              <w:left w:val="single" w:sz="2" w:space="0" w:color="auto"/>
              <w:bottom w:val="single" w:sz="2" w:space="0" w:color="auto"/>
              <w:right w:val="single" w:sz="6" w:space="0" w:color="auto"/>
            </w:tcBorders>
          </w:tcPr>
          <w:p w14:paraId="6CEC1527" w14:textId="77777777" w:rsidR="00F73D5B" w:rsidRPr="008B7A21" w:rsidRDefault="00F73D5B" w:rsidP="00767A6A">
            <w:pPr>
              <w:pStyle w:val="Tabletext"/>
              <w:jc w:val="center"/>
              <w:rPr>
                <w:lang w:val="es-ES_tradnl"/>
              </w:rPr>
            </w:pPr>
            <w:r w:rsidRPr="008B7A21">
              <w:rPr>
                <w:lang w:val="es-ES_tradnl"/>
              </w:rPr>
              <w:t>0,8</w:t>
            </w:r>
          </w:p>
        </w:tc>
      </w:tr>
      <w:tr w:rsidR="00F73D5B" w:rsidRPr="008B7A21" w14:paraId="01A925D2" w14:textId="77777777" w:rsidTr="00767A6A">
        <w:trPr>
          <w:cantSplit/>
          <w:jc w:val="center"/>
        </w:trPr>
        <w:tc>
          <w:tcPr>
            <w:tcW w:w="5046" w:type="dxa"/>
            <w:tcBorders>
              <w:top w:val="single" w:sz="2" w:space="0" w:color="auto"/>
              <w:left w:val="single" w:sz="6" w:space="0" w:color="auto"/>
              <w:bottom w:val="single" w:sz="2" w:space="0" w:color="auto"/>
              <w:right w:val="single" w:sz="2" w:space="0" w:color="auto"/>
            </w:tcBorders>
          </w:tcPr>
          <w:p w14:paraId="38CFC409" w14:textId="77777777" w:rsidR="00F73D5B" w:rsidRPr="008B7A21" w:rsidRDefault="00F73D5B" w:rsidP="00767A6A">
            <w:pPr>
              <w:pStyle w:val="Tabletext"/>
              <w:jc w:val="left"/>
              <w:rPr>
                <w:lang w:val="es-ES_tradnl"/>
              </w:rPr>
            </w:pPr>
            <w:r w:rsidRPr="008B7A21">
              <w:rPr>
                <w:lang w:val="es-ES_tradnl"/>
              </w:rPr>
              <w:t>Radiocomunicaciones en ondas decamétricas</w:t>
            </w:r>
          </w:p>
        </w:tc>
        <w:tc>
          <w:tcPr>
            <w:tcW w:w="765" w:type="dxa"/>
            <w:tcBorders>
              <w:top w:val="single" w:sz="2" w:space="0" w:color="auto"/>
              <w:left w:val="single" w:sz="2" w:space="0" w:color="auto"/>
              <w:bottom w:val="single" w:sz="2" w:space="0" w:color="auto"/>
              <w:right w:val="single" w:sz="2" w:space="0" w:color="auto"/>
            </w:tcBorders>
          </w:tcPr>
          <w:p w14:paraId="15A05FFE" w14:textId="77777777" w:rsidR="00F73D5B" w:rsidRPr="008B7A21" w:rsidRDefault="00F73D5B" w:rsidP="00767A6A">
            <w:pPr>
              <w:pStyle w:val="Tabletext"/>
              <w:jc w:val="center"/>
              <w:rPr>
                <w:lang w:val="es-ES_tradnl"/>
              </w:rPr>
            </w:pPr>
            <w:r w:rsidRPr="008B7A21">
              <w:rPr>
                <w:lang w:val="es-ES_tradnl"/>
              </w:rPr>
              <w:t>2,6</w:t>
            </w:r>
          </w:p>
        </w:tc>
        <w:tc>
          <w:tcPr>
            <w:tcW w:w="765" w:type="dxa"/>
            <w:tcBorders>
              <w:top w:val="single" w:sz="2" w:space="0" w:color="auto"/>
              <w:left w:val="single" w:sz="2" w:space="0" w:color="auto"/>
              <w:bottom w:val="single" w:sz="2" w:space="0" w:color="auto"/>
              <w:right w:val="single" w:sz="2" w:space="0" w:color="auto"/>
            </w:tcBorders>
          </w:tcPr>
          <w:p w14:paraId="448F5B21" w14:textId="77777777" w:rsidR="00F73D5B" w:rsidRPr="008B7A21" w:rsidRDefault="00F73D5B" w:rsidP="00767A6A">
            <w:pPr>
              <w:pStyle w:val="Tabletext"/>
              <w:jc w:val="center"/>
              <w:rPr>
                <w:lang w:val="es-ES_tradnl"/>
              </w:rPr>
            </w:pPr>
            <w:r w:rsidRPr="008B7A21">
              <w:rPr>
                <w:lang w:val="es-ES_tradnl"/>
              </w:rPr>
              <w:t>1,2</w:t>
            </w:r>
          </w:p>
        </w:tc>
        <w:tc>
          <w:tcPr>
            <w:tcW w:w="1020" w:type="dxa"/>
            <w:tcBorders>
              <w:top w:val="single" w:sz="2" w:space="0" w:color="auto"/>
              <w:left w:val="single" w:sz="2" w:space="0" w:color="auto"/>
              <w:bottom w:val="single" w:sz="2" w:space="0" w:color="auto"/>
              <w:right w:val="single" w:sz="2" w:space="0" w:color="auto"/>
            </w:tcBorders>
          </w:tcPr>
          <w:p w14:paraId="4AA7E23F" w14:textId="77777777" w:rsidR="00F73D5B" w:rsidRPr="008B7A21" w:rsidRDefault="00F73D5B" w:rsidP="00767A6A">
            <w:pPr>
              <w:pStyle w:val="Tabletext"/>
              <w:jc w:val="center"/>
              <w:rPr>
                <w:lang w:val="es-ES_tradnl"/>
              </w:rPr>
            </w:pPr>
            <w:r w:rsidRPr="008B7A21">
              <w:rPr>
                <w:lang w:val="es-ES_tradnl"/>
              </w:rPr>
              <w:t>1</w:t>
            </w:r>
          </w:p>
        </w:tc>
        <w:tc>
          <w:tcPr>
            <w:tcW w:w="1248" w:type="dxa"/>
            <w:tcBorders>
              <w:top w:val="single" w:sz="2" w:space="0" w:color="auto"/>
              <w:left w:val="single" w:sz="2" w:space="0" w:color="auto"/>
              <w:bottom w:val="single" w:sz="2" w:space="0" w:color="auto"/>
              <w:right w:val="single" w:sz="2" w:space="0" w:color="auto"/>
            </w:tcBorders>
          </w:tcPr>
          <w:p w14:paraId="259F5BE3" w14:textId="77777777" w:rsidR="00F73D5B" w:rsidRPr="008B7A21" w:rsidRDefault="00F73D5B" w:rsidP="00767A6A">
            <w:pPr>
              <w:pStyle w:val="Tabletext"/>
              <w:jc w:val="center"/>
              <w:rPr>
                <w:lang w:val="es-ES_tradnl"/>
              </w:rPr>
            </w:pPr>
            <w:r w:rsidRPr="008B7A21">
              <w:rPr>
                <w:lang w:val="es-ES_tradnl"/>
              </w:rPr>
              <w:t>0,1</w:t>
            </w:r>
          </w:p>
        </w:tc>
        <w:tc>
          <w:tcPr>
            <w:tcW w:w="765" w:type="dxa"/>
            <w:tcBorders>
              <w:top w:val="single" w:sz="2" w:space="0" w:color="auto"/>
              <w:left w:val="single" w:sz="2" w:space="0" w:color="auto"/>
              <w:bottom w:val="single" w:sz="2" w:space="0" w:color="auto"/>
              <w:right w:val="single" w:sz="6" w:space="0" w:color="auto"/>
            </w:tcBorders>
          </w:tcPr>
          <w:p w14:paraId="6D94D480" w14:textId="77777777" w:rsidR="00F73D5B" w:rsidRPr="008B7A21" w:rsidRDefault="00F73D5B" w:rsidP="00767A6A">
            <w:pPr>
              <w:pStyle w:val="Tabletext"/>
              <w:jc w:val="center"/>
              <w:rPr>
                <w:lang w:val="es-ES_tradnl"/>
              </w:rPr>
            </w:pPr>
            <w:r w:rsidRPr="008B7A21">
              <w:rPr>
                <w:lang w:val="es-ES_tradnl"/>
              </w:rPr>
              <w:t>0,8</w:t>
            </w:r>
          </w:p>
        </w:tc>
      </w:tr>
      <w:tr w:rsidR="00F73D5B" w:rsidRPr="008B7A21" w14:paraId="526A94E6" w14:textId="77777777" w:rsidTr="00767A6A">
        <w:trPr>
          <w:cantSplit/>
          <w:jc w:val="center"/>
        </w:trPr>
        <w:tc>
          <w:tcPr>
            <w:tcW w:w="5046" w:type="dxa"/>
            <w:tcBorders>
              <w:top w:val="single" w:sz="2" w:space="0" w:color="auto"/>
              <w:left w:val="single" w:sz="6" w:space="0" w:color="auto"/>
              <w:bottom w:val="single" w:sz="2" w:space="0" w:color="auto"/>
              <w:right w:val="single" w:sz="2" w:space="0" w:color="auto"/>
            </w:tcBorders>
          </w:tcPr>
          <w:p w14:paraId="511C8B61" w14:textId="77777777" w:rsidR="00F73D5B" w:rsidRPr="008B7A21" w:rsidRDefault="00F73D5B" w:rsidP="00767A6A">
            <w:pPr>
              <w:pStyle w:val="Tabletext"/>
              <w:jc w:val="left"/>
              <w:rPr>
                <w:lang w:val="es-ES_tradnl"/>
              </w:rPr>
            </w:pPr>
            <w:r w:rsidRPr="008B7A21">
              <w:rPr>
                <w:lang w:val="es-ES_tradnl"/>
              </w:rPr>
              <w:t>Comunicaciones interurbanas</w:t>
            </w:r>
          </w:p>
        </w:tc>
        <w:tc>
          <w:tcPr>
            <w:tcW w:w="765" w:type="dxa"/>
            <w:tcBorders>
              <w:top w:val="single" w:sz="2" w:space="0" w:color="auto"/>
              <w:left w:val="single" w:sz="2" w:space="0" w:color="auto"/>
              <w:bottom w:val="single" w:sz="2" w:space="0" w:color="auto"/>
              <w:right w:val="single" w:sz="2" w:space="0" w:color="auto"/>
            </w:tcBorders>
          </w:tcPr>
          <w:p w14:paraId="4F1BFAE1" w14:textId="77777777" w:rsidR="00F73D5B" w:rsidRPr="008B7A21" w:rsidRDefault="00F73D5B" w:rsidP="00767A6A">
            <w:pPr>
              <w:pStyle w:val="Tabletext"/>
              <w:jc w:val="center"/>
              <w:rPr>
                <w:lang w:val="es-ES_tradnl"/>
              </w:rPr>
            </w:pPr>
            <w:r w:rsidRPr="008B7A21">
              <w:rPr>
                <w:lang w:val="es-ES_tradnl"/>
              </w:rPr>
              <w:t>2,4</w:t>
            </w:r>
          </w:p>
        </w:tc>
        <w:tc>
          <w:tcPr>
            <w:tcW w:w="765" w:type="dxa"/>
            <w:tcBorders>
              <w:top w:val="single" w:sz="2" w:space="0" w:color="auto"/>
              <w:left w:val="single" w:sz="2" w:space="0" w:color="auto"/>
              <w:bottom w:val="single" w:sz="2" w:space="0" w:color="auto"/>
              <w:right w:val="single" w:sz="2" w:space="0" w:color="auto"/>
            </w:tcBorders>
          </w:tcPr>
          <w:p w14:paraId="7F746B97" w14:textId="77777777" w:rsidR="00F73D5B" w:rsidRPr="008B7A21" w:rsidRDefault="00F73D5B" w:rsidP="00767A6A">
            <w:pPr>
              <w:pStyle w:val="Tabletext"/>
              <w:jc w:val="center"/>
              <w:rPr>
                <w:lang w:val="es-ES_tradnl"/>
              </w:rPr>
            </w:pPr>
            <w:r w:rsidRPr="008B7A21">
              <w:rPr>
                <w:lang w:val="es-ES_tradnl"/>
              </w:rPr>
              <w:t>1,2</w:t>
            </w:r>
          </w:p>
        </w:tc>
        <w:tc>
          <w:tcPr>
            <w:tcW w:w="1020" w:type="dxa"/>
            <w:tcBorders>
              <w:top w:val="single" w:sz="2" w:space="0" w:color="auto"/>
              <w:left w:val="single" w:sz="2" w:space="0" w:color="auto"/>
              <w:bottom w:val="single" w:sz="2" w:space="0" w:color="auto"/>
              <w:right w:val="single" w:sz="2" w:space="0" w:color="auto"/>
            </w:tcBorders>
          </w:tcPr>
          <w:p w14:paraId="3050889A" w14:textId="77777777" w:rsidR="00F73D5B" w:rsidRPr="008B7A21" w:rsidRDefault="00F73D5B" w:rsidP="00767A6A">
            <w:pPr>
              <w:pStyle w:val="Tabletext"/>
              <w:jc w:val="center"/>
              <w:rPr>
                <w:lang w:val="es-ES_tradnl"/>
              </w:rPr>
            </w:pPr>
            <w:r w:rsidRPr="008B7A21">
              <w:rPr>
                <w:lang w:val="es-ES_tradnl"/>
              </w:rPr>
              <w:t>1</w:t>
            </w:r>
          </w:p>
        </w:tc>
        <w:tc>
          <w:tcPr>
            <w:tcW w:w="1248" w:type="dxa"/>
            <w:tcBorders>
              <w:top w:val="single" w:sz="2" w:space="0" w:color="auto"/>
              <w:left w:val="single" w:sz="2" w:space="0" w:color="auto"/>
              <w:bottom w:val="single" w:sz="2" w:space="0" w:color="auto"/>
              <w:right w:val="single" w:sz="2" w:space="0" w:color="auto"/>
            </w:tcBorders>
          </w:tcPr>
          <w:p w14:paraId="1C954275" w14:textId="77777777" w:rsidR="00F73D5B" w:rsidRPr="008B7A21" w:rsidRDefault="00F73D5B" w:rsidP="00767A6A">
            <w:pPr>
              <w:pStyle w:val="Tabletext"/>
              <w:jc w:val="center"/>
              <w:rPr>
                <w:lang w:val="es-ES_tradnl"/>
              </w:rPr>
            </w:pPr>
            <w:r w:rsidRPr="008B7A21">
              <w:rPr>
                <w:lang w:val="es-ES_tradnl"/>
              </w:rPr>
              <w:t>0,1</w:t>
            </w:r>
          </w:p>
        </w:tc>
        <w:tc>
          <w:tcPr>
            <w:tcW w:w="765" w:type="dxa"/>
            <w:tcBorders>
              <w:top w:val="single" w:sz="2" w:space="0" w:color="auto"/>
              <w:left w:val="single" w:sz="2" w:space="0" w:color="auto"/>
              <w:bottom w:val="single" w:sz="2" w:space="0" w:color="auto"/>
              <w:right w:val="single" w:sz="6" w:space="0" w:color="auto"/>
            </w:tcBorders>
          </w:tcPr>
          <w:p w14:paraId="2523330F" w14:textId="77777777" w:rsidR="00F73D5B" w:rsidRPr="008B7A21" w:rsidRDefault="00F73D5B" w:rsidP="00767A6A">
            <w:pPr>
              <w:pStyle w:val="Tabletext"/>
              <w:jc w:val="center"/>
              <w:rPr>
                <w:lang w:val="es-ES_tradnl"/>
              </w:rPr>
            </w:pPr>
            <w:r w:rsidRPr="008B7A21">
              <w:rPr>
                <w:lang w:val="es-ES_tradnl"/>
              </w:rPr>
              <w:t>1</w:t>
            </w:r>
          </w:p>
        </w:tc>
      </w:tr>
      <w:tr w:rsidR="00F73D5B" w:rsidRPr="008B7A21" w14:paraId="71DD3CE7" w14:textId="77777777" w:rsidTr="00767A6A">
        <w:trPr>
          <w:cantSplit/>
          <w:jc w:val="center"/>
        </w:trPr>
        <w:tc>
          <w:tcPr>
            <w:tcW w:w="5046" w:type="dxa"/>
            <w:tcBorders>
              <w:top w:val="single" w:sz="2" w:space="0" w:color="auto"/>
              <w:left w:val="single" w:sz="6" w:space="0" w:color="auto"/>
              <w:bottom w:val="single" w:sz="2" w:space="0" w:color="auto"/>
              <w:right w:val="single" w:sz="2" w:space="0" w:color="auto"/>
            </w:tcBorders>
          </w:tcPr>
          <w:p w14:paraId="5DDF1C36" w14:textId="77777777" w:rsidR="00F73D5B" w:rsidRPr="008B7A21" w:rsidRDefault="00F73D5B" w:rsidP="00767A6A">
            <w:pPr>
              <w:pStyle w:val="Tabletext"/>
              <w:jc w:val="left"/>
              <w:rPr>
                <w:lang w:val="es-ES_tradnl"/>
              </w:rPr>
            </w:pPr>
            <w:r w:rsidRPr="008B7A21">
              <w:rPr>
                <w:lang w:val="es-ES_tradnl"/>
              </w:rPr>
              <w:t>Comunicaciones celulares</w:t>
            </w:r>
          </w:p>
        </w:tc>
        <w:tc>
          <w:tcPr>
            <w:tcW w:w="765" w:type="dxa"/>
            <w:tcBorders>
              <w:top w:val="single" w:sz="2" w:space="0" w:color="auto"/>
              <w:left w:val="single" w:sz="2" w:space="0" w:color="auto"/>
              <w:bottom w:val="single" w:sz="2" w:space="0" w:color="auto"/>
              <w:right w:val="single" w:sz="2" w:space="0" w:color="auto"/>
            </w:tcBorders>
          </w:tcPr>
          <w:p w14:paraId="534A2998" w14:textId="77777777" w:rsidR="00F73D5B" w:rsidRPr="008B7A21" w:rsidRDefault="00F73D5B" w:rsidP="00767A6A">
            <w:pPr>
              <w:pStyle w:val="Tabletext"/>
              <w:jc w:val="center"/>
              <w:rPr>
                <w:lang w:val="es-ES_tradnl"/>
              </w:rPr>
            </w:pPr>
            <w:r w:rsidRPr="008B7A21">
              <w:rPr>
                <w:lang w:val="es-ES_tradnl"/>
              </w:rPr>
              <w:t>3</w:t>
            </w:r>
          </w:p>
        </w:tc>
        <w:tc>
          <w:tcPr>
            <w:tcW w:w="765" w:type="dxa"/>
            <w:tcBorders>
              <w:top w:val="single" w:sz="2" w:space="0" w:color="auto"/>
              <w:left w:val="single" w:sz="2" w:space="0" w:color="auto"/>
              <w:bottom w:val="single" w:sz="2" w:space="0" w:color="auto"/>
              <w:right w:val="single" w:sz="2" w:space="0" w:color="auto"/>
            </w:tcBorders>
          </w:tcPr>
          <w:p w14:paraId="5F2A8E39" w14:textId="77777777" w:rsidR="00F73D5B" w:rsidRPr="008B7A21" w:rsidRDefault="00F73D5B" w:rsidP="00767A6A">
            <w:pPr>
              <w:pStyle w:val="Tabletext"/>
              <w:jc w:val="center"/>
              <w:rPr>
                <w:lang w:val="es-ES_tradnl"/>
              </w:rPr>
            </w:pPr>
            <w:r w:rsidRPr="008B7A21">
              <w:rPr>
                <w:lang w:val="es-ES_tradnl"/>
              </w:rPr>
              <w:t>1,2</w:t>
            </w:r>
          </w:p>
        </w:tc>
        <w:tc>
          <w:tcPr>
            <w:tcW w:w="1020" w:type="dxa"/>
            <w:tcBorders>
              <w:top w:val="single" w:sz="2" w:space="0" w:color="auto"/>
              <w:left w:val="single" w:sz="2" w:space="0" w:color="auto"/>
              <w:bottom w:val="single" w:sz="2" w:space="0" w:color="auto"/>
              <w:right w:val="single" w:sz="2" w:space="0" w:color="auto"/>
            </w:tcBorders>
          </w:tcPr>
          <w:p w14:paraId="7E9F1105" w14:textId="77777777" w:rsidR="00F73D5B" w:rsidRPr="008B7A21" w:rsidRDefault="00F73D5B" w:rsidP="00767A6A">
            <w:pPr>
              <w:pStyle w:val="Tabletext"/>
              <w:jc w:val="center"/>
              <w:rPr>
                <w:lang w:val="es-ES_tradnl"/>
              </w:rPr>
            </w:pPr>
            <w:r w:rsidRPr="008B7A21">
              <w:rPr>
                <w:lang w:val="es-ES_tradnl"/>
              </w:rPr>
              <w:t>1</w:t>
            </w:r>
          </w:p>
        </w:tc>
        <w:tc>
          <w:tcPr>
            <w:tcW w:w="1248" w:type="dxa"/>
            <w:tcBorders>
              <w:top w:val="single" w:sz="2" w:space="0" w:color="auto"/>
              <w:left w:val="single" w:sz="2" w:space="0" w:color="auto"/>
              <w:bottom w:val="single" w:sz="2" w:space="0" w:color="auto"/>
              <w:right w:val="single" w:sz="2" w:space="0" w:color="auto"/>
            </w:tcBorders>
          </w:tcPr>
          <w:p w14:paraId="375CF7BC" w14:textId="77777777" w:rsidR="00F73D5B" w:rsidRPr="008B7A21" w:rsidRDefault="00F73D5B" w:rsidP="00767A6A">
            <w:pPr>
              <w:pStyle w:val="Tabletext"/>
              <w:jc w:val="center"/>
              <w:rPr>
                <w:lang w:val="es-ES_tradnl"/>
              </w:rPr>
            </w:pPr>
            <w:r w:rsidRPr="008B7A21">
              <w:rPr>
                <w:lang w:val="es-ES_tradnl"/>
              </w:rPr>
              <w:t>0,1</w:t>
            </w:r>
          </w:p>
        </w:tc>
        <w:tc>
          <w:tcPr>
            <w:tcW w:w="765" w:type="dxa"/>
            <w:tcBorders>
              <w:top w:val="single" w:sz="2" w:space="0" w:color="auto"/>
              <w:left w:val="single" w:sz="2" w:space="0" w:color="auto"/>
              <w:bottom w:val="single" w:sz="2" w:space="0" w:color="auto"/>
              <w:right w:val="single" w:sz="6" w:space="0" w:color="auto"/>
            </w:tcBorders>
          </w:tcPr>
          <w:p w14:paraId="0498B826" w14:textId="77777777" w:rsidR="00F73D5B" w:rsidRPr="008B7A21" w:rsidRDefault="00F73D5B" w:rsidP="00767A6A">
            <w:pPr>
              <w:pStyle w:val="Tabletext"/>
              <w:jc w:val="center"/>
              <w:rPr>
                <w:lang w:val="es-ES_tradnl"/>
              </w:rPr>
            </w:pPr>
            <w:r w:rsidRPr="008B7A21">
              <w:rPr>
                <w:lang w:val="es-ES_tradnl"/>
              </w:rPr>
              <w:t>1</w:t>
            </w:r>
          </w:p>
        </w:tc>
      </w:tr>
      <w:tr w:rsidR="00F73D5B" w:rsidRPr="008B7A21" w14:paraId="741D0E57" w14:textId="77777777" w:rsidTr="00767A6A">
        <w:trPr>
          <w:cantSplit/>
          <w:jc w:val="center"/>
        </w:trPr>
        <w:tc>
          <w:tcPr>
            <w:tcW w:w="5046" w:type="dxa"/>
            <w:tcBorders>
              <w:top w:val="single" w:sz="2" w:space="0" w:color="auto"/>
              <w:left w:val="single" w:sz="6" w:space="0" w:color="auto"/>
              <w:bottom w:val="single" w:sz="2" w:space="0" w:color="auto"/>
              <w:right w:val="single" w:sz="2" w:space="0" w:color="auto"/>
            </w:tcBorders>
          </w:tcPr>
          <w:p w14:paraId="4F766579" w14:textId="77777777" w:rsidR="00F73D5B" w:rsidRPr="008B7A21" w:rsidRDefault="00F73D5B" w:rsidP="00767A6A">
            <w:pPr>
              <w:pStyle w:val="Tabletext"/>
              <w:jc w:val="left"/>
              <w:rPr>
                <w:lang w:val="es-ES_tradnl"/>
              </w:rPr>
            </w:pPr>
            <w:r w:rsidRPr="008B7A21">
              <w:rPr>
                <w:lang w:val="es-ES_tradnl"/>
              </w:rPr>
              <w:t>Radiobúsqueda</w:t>
            </w:r>
          </w:p>
        </w:tc>
        <w:tc>
          <w:tcPr>
            <w:tcW w:w="765" w:type="dxa"/>
            <w:tcBorders>
              <w:top w:val="single" w:sz="2" w:space="0" w:color="auto"/>
              <w:left w:val="single" w:sz="2" w:space="0" w:color="auto"/>
              <w:bottom w:val="single" w:sz="2" w:space="0" w:color="auto"/>
              <w:right w:val="single" w:sz="2" w:space="0" w:color="auto"/>
            </w:tcBorders>
          </w:tcPr>
          <w:p w14:paraId="0C1FC108" w14:textId="77777777" w:rsidR="00F73D5B" w:rsidRPr="008B7A21" w:rsidRDefault="00F73D5B" w:rsidP="00767A6A">
            <w:pPr>
              <w:pStyle w:val="Tabletext"/>
              <w:jc w:val="center"/>
              <w:rPr>
                <w:lang w:val="es-ES_tradnl"/>
              </w:rPr>
            </w:pPr>
            <w:r w:rsidRPr="008B7A21">
              <w:rPr>
                <w:lang w:val="es-ES_tradnl"/>
              </w:rPr>
              <w:t>3,5</w:t>
            </w:r>
          </w:p>
        </w:tc>
        <w:tc>
          <w:tcPr>
            <w:tcW w:w="765" w:type="dxa"/>
            <w:tcBorders>
              <w:top w:val="single" w:sz="2" w:space="0" w:color="auto"/>
              <w:left w:val="single" w:sz="2" w:space="0" w:color="auto"/>
              <w:bottom w:val="single" w:sz="2" w:space="0" w:color="auto"/>
              <w:right w:val="single" w:sz="2" w:space="0" w:color="auto"/>
            </w:tcBorders>
          </w:tcPr>
          <w:p w14:paraId="393CFCDD" w14:textId="77777777" w:rsidR="00F73D5B" w:rsidRPr="008B7A21" w:rsidRDefault="00F73D5B" w:rsidP="00767A6A">
            <w:pPr>
              <w:pStyle w:val="Tabletext"/>
              <w:jc w:val="center"/>
              <w:rPr>
                <w:lang w:val="es-ES_tradnl"/>
              </w:rPr>
            </w:pPr>
            <w:r w:rsidRPr="008B7A21">
              <w:rPr>
                <w:lang w:val="es-ES_tradnl"/>
              </w:rPr>
              <w:t>1,2</w:t>
            </w:r>
          </w:p>
        </w:tc>
        <w:tc>
          <w:tcPr>
            <w:tcW w:w="1020" w:type="dxa"/>
            <w:tcBorders>
              <w:top w:val="single" w:sz="2" w:space="0" w:color="auto"/>
              <w:left w:val="single" w:sz="2" w:space="0" w:color="auto"/>
              <w:bottom w:val="single" w:sz="2" w:space="0" w:color="auto"/>
              <w:right w:val="single" w:sz="2" w:space="0" w:color="auto"/>
            </w:tcBorders>
          </w:tcPr>
          <w:p w14:paraId="73BD8386" w14:textId="77777777" w:rsidR="00F73D5B" w:rsidRPr="008B7A21" w:rsidRDefault="00F73D5B" w:rsidP="00767A6A">
            <w:pPr>
              <w:pStyle w:val="Tabletext"/>
              <w:jc w:val="center"/>
              <w:rPr>
                <w:lang w:val="es-ES_tradnl"/>
              </w:rPr>
            </w:pPr>
            <w:r w:rsidRPr="008B7A21">
              <w:rPr>
                <w:lang w:val="es-ES_tradnl"/>
              </w:rPr>
              <w:t>1</w:t>
            </w:r>
          </w:p>
        </w:tc>
        <w:tc>
          <w:tcPr>
            <w:tcW w:w="1248" w:type="dxa"/>
            <w:tcBorders>
              <w:top w:val="single" w:sz="2" w:space="0" w:color="auto"/>
              <w:left w:val="single" w:sz="2" w:space="0" w:color="auto"/>
              <w:bottom w:val="single" w:sz="2" w:space="0" w:color="auto"/>
              <w:right w:val="single" w:sz="2" w:space="0" w:color="auto"/>
            </w:tcBorders>
          </w:tcPr>
          <w:p w14:paraId="486B9255" w14:textId="77777777" w:rsidR="00F73D5B" w:rsidRPr="008B7A21" w:rsidRDefault="00F73D5B" w:rsidP="00767A6A">
            <w:pPr>
              <w:pStyle w:val="Tabletext"/>
              <w:jc w:val="center"/>
              <w:rPr>
                <w:lang w:val="es-ES_tradnl"/>
              </w:rPr>
            </w:pPr>
            <w:r w:rsidRPr="008B7A21">
              <w:rPr>
                <w:lang w:val="es-ES_tradnl"/>
              </w:rPr>
              <w:t>0,1</w:t>
            </w:r>
          </w:p>
        </w:tc>
        <w:tc>
          <w:tcPr>
            <w:tcW w:w="765" w:type="dxa"/>
            <w:tcBorders>
              <w:top w:val="single" w:sz="2" w:space="0" w:color="auto"/>
              <w:left w:val="single" w:sz="2" w:space="0" w:color="auto"/>
              <w:bottom w:val="single" w:sz="2" w:space="0" w:color="auto"/>
              <w:right w:val="single" w:sz="6" w:space="0" w:color="auto"/>
            </w:tcBorders>
          </w:tcPr>
          <w:p w14:paraId="61D99B06" w14:textId="77777777" w:rsidR="00F73D5B" w:rsidRPr="008B7A21" w:rsidRDefault="00F73D5B" w:rsidP="00767A6A">
            <w:pPr>
              <w:pStyle w:val="Tabletext"/>
              <w:jc w:val="center"/>
              <w:rPr>
                <w:lang w:val="es-ES_tradnl"/>
              </w:rPr>
            </w:pPr>
            <w:r w:rsidRPr="008B7A21">
              <w:rPr>
                <w:lang w:val="es-ES_tradnl"/>
              </w:rPr>
              <w:t>1</w:t>
            </w:r>
          </w:p>
        </w:tc>
      </w:tr>
      <w:tr w:rsidR="00F73D5B" w:rsidRPr="008B7A21" w14:paraId="4C4E226A" w14:textId="77777777" w:rsidTr="00767A6A">
        <w:trPr>
          <w:cantSplit/>
          <w:jc w:val="center"/>
        </w:trPr>
        <w:tc>
          <w:tcPr>
            <w:tcW w:w="5046" w:type="dxa"/>
            <w:tcBorders>
              <w:top w:val="single" w:sz="2" w:space="0" w:color="auto"/>
              <w:left w:val="single" w:sz="6" w:space="0" w:color="auto"/>
              <w:bottom w:val="single" w:sz="2" w:space="0" w:color="auto"/>
              <w:right w:val="single" w:sz="2" w:space="0" w:color="auto"/>
            </w:tcBorders>
          </w:tcPr>
          <w:p w14:paraId="19BC25A8" w14:textId="77777777" w:rsidR="00F73D5B" w:rsidRPr="008B7A21" w:rsidRDefault="00F73D5B" w:rsidP="00767A6A">
            <w:pPr>
              <w:pStyle w:val="Tabletext"/>
              <w:jc w:val="left"/>
              <w:rPr>
                <w:lang w:val="es-ES_tradnl"/>
              </w:rPr>
            </w:pPr>
            <w:r w:rsidRPr="008B7A21">
              <w:rPr>
                <w:lang w:val="es-ES_tradnl"/>
              </w:rPr>
              <w:t>Comunicaciones PMR</w:t>
            </w:r>
          </w:p>
        </w:tc>
        <w:tc>
          <w:tcPr>
            <w:tcW w:w="765" w:type="dxa"/>
            <w:tcBorders>
              <w:top w:val="single" w:sz="2" w:space="0" w:color="auto"/>
              <w:left w:val="single" w:sz="2" w:space="0" w:color="auto"/>
              <w:bottom w:val="single" w:sz="2" w:space="0" w:color="auto"/>
              <w:right w:val="single" w:sz="2" w:space="0" w:color="auto"/>
            </w:tcBorders>
          </w:tcPr>
          <w:p w14:paraId="61FD4FDB" w14:textId="77777777" w:rsidR="00F73D5B" w:rsidRPr="008B7A21" w:rsidRDefault="00F73D5B" w:rsidP="00767A6A">
            <w:pPr>
              <w:pStyle w:val="Tabletext"/>
              <w:jc w:val="center"/>
              <w:rPr>
                <w:lang w:val="es-ES_tradnl"/>
              </w:rPr>
            </w:pPr>
            <w:r w:rsidRPr="008B7A21">
              <w:rPr>
                <w:lang w:val="es-ES_tradnl"/>
              </w:rPr>
              <w:t>2</w:t>
            </w:r>
          </w:p>
        </w:tc>
        <w:tc>
          <w:tcPr>
            <w:tcW w:w="765" w:type="dxa"/>
            <w:tcBorders>
              <w:top w:val="single" w:sz="2" w:space="0" w:color="auto"/>
              <w:left w:val="single" w:sz="2" w:space="0" w:color="auto"/>
              <w:bottom w:val="single" w:sz="2" w:space="0" w:color="auto"/>
              <w:right w:val="single" w:sz="2" w:space="0" w:color="auto"/>
            </w:tcBorders>
          </w:tcPr>
          <w:p w14:paraId="4DED7CBE" w14:textId="77777777" w:rsidR="00F73D5B" w:rsidRPr="008B7A21" w:rsidRDefault="00F73D5B" w:rsidP="00767A6A">
            <w:pPr>
              <w:pStyle w:val="Tabletext"/>
              <w:jc w:val="center"/>
              <w:rPr>
                <w:lang w:val="es-ES_tradnl"/>
              </w:rPr>
            </w:pPr>
            <w:r w:rsidRPr="008B7A21">
              <w:rPr>
                <w:lang w:val="es-ES_tradnl"/>
              </w:rPr>
              <w:t>1,2</w:t>
            </w:r>
          </w:p>
        </w:tc>
        <w:tc>
          <w:tcPr>
            <w:tcW w:w="1020" w:type="dxa"/>
            <w:tcBorders>
              <w:top w:val="single" w:sz="2" w:space="0" w:color="auto"/>
              <w:left w:val="single" w:sz="2" w:space="0" w:color="auto"/>
              <w:bottom w:val="single" w:sz="2" w:space="0" w:color="auto"/>
              <w:right w:val="single" w:sz="2" w:space="0" w:color="auto"/>
            </w:tcBorders>
          </w:tcPr>
          <w:p w14:paraId="2AD76C5A" w14:textId="77777777" w:rsidR="00F73D5B" w:rsidRPr="008B7A21" w:rsidRDefault="00F73D5B" w:rsidP="00767A6A">
            <w:pPr>
              <w:pStyle w:val="Tabletext"/>
              <w:jc w:val="center"/>
              <w:rPr>
                <w:lang w:val="es-ES_tradnl"/>
              </w:rPr>
            </w:pPr>
            <w:r w:rsidRPr="008B7A21">
              <w:rPr>
                <w:lang w:val="es-ES_tradnl"/>
              </w:rPr>
              <w:t>1</w:t>
            </w:r>
          </w:p>
        </w:tc>
        <w:tc>
          <w:tcPr>
            <w:tcW w:w="1248" w:type="dxa"/>
            <w:tcBorders>
              <w:top w:val="single" w:sz="2" w:space="0" w:color="auto"/>
              <w:left w:val="single" w:sz="2" w:space="0" w:color="auto"/>
              <w:bottom w:val="single" w:sz="2" w:space="0" w:color="auto"/>
              <w:right w:val="single" w:sz="2" w:space="0" w:color="auto"/>
            </w:tcBorders>
          </w:tcPr>
          <w:p w14:paraId="25647EAE" w14:textId="77777777" w:rsidR="00F73D5B" w:rsidRPr="008B7A21" w:rsidRDefault="00F73D5B" w:rsidP="00767A6A">
            <w:pPr>
              <w:pStyle w:val="Tabletext"/>
              <w:jc w:val="center"/>
              <w:rPr>
                <w:lang w:val="es-ES_tradnl"/>
              </w:rPr>
            </w:pPr>
            <w:r w:rsidRPr="008B7A21">
              <w:rPr>
                <w:lang w:val="es-ES_tradnl"/>
              </w:rPr>
              <w:t>0,1</w:t>
            </w:r>
          </w:p>
        </w:tc>
        <w:tc>
          <w:tcPr>
            <w:tcW w:w="765" w:type="dxa"/>
            <w:tcBorders>
              <w:top w:val="single" w:sz="2" w:space="0" w:color="auto"/>
              <w:left w:val="single" w:sz="2" w:space="0" w:color="auto"/>
              <w:bottom w:val="single" w:sz="2" w:space="0" w:color="auto"/>
              <w:right w:val="single" w:sz="6" w:space="0" w:color="auto"/>
            </w:tcBorders>
          </w:tcPr>
          <w:p w14:paraId="1B5CA5B7" w14:textId="77777777" w:rsidR="00F73D5B" w:rsidRPr="008B7A21" w:rsidRDefault="00F73D5B" w:rsidP="00767A6A">
            <w:pPr>
              <w:pStyle w:val="Tabletext"/>
              <w:jc w:val="center"/>
              <w:rPr>
                <w:lang w:val="es-ES_tradnl"/>
              </w:rPr>
            </w:pPr>
            <w:r w:rsidRPr="008B7A21">
              <w:rPr>
                <w:lang w:val="es-ES_tradnl"/>
              </w:rPr>
              <w:t>1</w:t>
            </w:r>
          </w:p>
        </w:tc>
      </w:tr>
      <w:tr w:rsidR="00F73D5B" w:rsidRPr="008B7A21" w14:paraId="499C1E32" w14:textId="77777777" w:rsidTr="00767A6A">
        <w:trPr>
          <w:cantSplit/>
          <w:jc w:val="center"/>
        </w:trPr>
        <w:tc>
          <w:tcPr>
            <w:tcW w:w="5046" w:type="dxa"/>
            <w:tcBorders>
              <w:top w:val="single" w:sz="2" w:space="0" w:color="auto"/>
              <w:left w:val="single" w:sz="6" w:space="0" w:color="auto"/>
              <w:bottom w:val="single" w:sz="2" w:space="0" w:color="auto"/>
              <w:right w:val="single" w:sz="2" w:space="0" w:color="auto"/>
            </w:tcBorders>
          </w:tcPr>
          <w:p w14:paraId="6C8B1A8A" w14:textId="77777777" w:rsidR="00F73D5B" w:rsidRPr="008B7A21" w:rsidRDefault="00F73D5B" w:rsidP="00767A6A">
            <w:pPr>
              <w:pStyle w:val="Tabletext"/>
              <w:jc w:val="left"/>
              <w:rPr>
                <w:lang w:val="es-ES_tradnl"/>
              </w:rPr>
            </w:pPr>
            <w:r w:rsidRPr="008B7A21">
              <w:rPr>
                <w:lang w:val="es-ES_tradnl"/>
              </w:rPr>
              <w:t>Radiocomunicaciones en la banda ciudadana</w:t>
            </w:r>
          </w:p>
        </w:tc>
        <w:tc>
          <w:tcPr>
            <w:tcW w:w="765" w:type="dxa"/>
            <w:tcBorders>
              <w:top w:val="single" w:sz="2" w:space="0" w:color="auto"/>
              <w:left w:val="single" w:sz="2" w:space="0" w:color="auto"/>
              <w:bottom w:val="single" w:sz="2" w:space="0" w:color="auto"/>
              <w:right w:val="single" w:sz="2" w:space="0" w:color="auto"/>
            </w:tcBorders>
          </w:tcPr>
          <w:p w14:paraId="2F861EC3" w14:textId="77777777" w:rsidR="00F73D5B" w:rsidRPr="008B7A21" w:rsidRDefault="00F73D5B" w:rsidP="00767A6A">
            <w:pPr>
              <w:pStyle w:val="Tabletext"/>
              <w:jc w:val="center"/>
              <w:rPr>
                <w:lang w:val="es-ES_tradnl"/>
              </w:rPr>
            </w:pPr>
            <w:r w:rsidRPr="008B7A21">
              <w:rPr>
                <w:lang w:val="es-ES_tradnl"/>
              </w:rPr>
              <w:t>0,1</w:t>
            </w:r>
          </w:p>
        </w:tc>
        <w:tc>
          <w:tcPr>
            <w:tcW w:w="765" w:type="dxa"/>
            <w:tcBorders>
              <w:top w:val="single" w:sz="2" w:space="0" w:color="auto"/>
              <w:left w:val="single" w:sz="2" w:space="0" w:color="auto"/>
              <w:bottom w:val="single" w:sz="2" w:space="0" w:color="auto"/>
              <w:right w:val="single" w:sz="2" w:space="0" w:color="auto"/>
            </w:tcBorders>
          </w:tcPr>
          <w:p w14:paraId="4756F7C8" w14:textId="77777777" w:rsidR="00F73D5B" w:rsidRPr="008B7A21" w:rsidRDefault="00F73D5B" w:rsidP="00767A6A">
            <w:pPr>
              <w:pStyle w:val="Tabletext"/>
              <w:jc w:val="center"/>
              <w:rPr>
                <w:lang w:val="es-ES_tradnl"/>
              </w:rPr>
            </w:pPr>
            <w:r w:rsidRPr="008B7A21">
              <w:rPr>
                <w:lang w:val="es-ES_tradnl"/>
              </w:rPr>
              <w:t>0,2</w:t>
            </w:r>
          </w:p>
        </w:tc>
        <w:tc>
          <w:tcPr>
            <w:tcW w:w="1020" w:type="dxa"/>
            <w:tcBorders>
              <w:top w:val="single" w:sz="2" w:space="0" w:color="auto"/>
              <w:left w:val="single" w:sz="2" w:space="0" w:color="auto"/>
              <w:bottom w:val="single" w:sz="2" w:space="0" w:color="auto"/>
              <w:right w:val="single" w:sz="2" w:space="0" w:color="auto"/>
            </w:tcBorders>
          </w:tcPr>
          <w:p w14:paraId="6E6C7E6F" w14:textId="77777777" w:rsidR="00F73D5B" w:rsidRPr="008B7A21" w:rsidRDefault="00F73D5B" w:rsidP="00767A6A">
            <w:pPr>
              <w:pStyle w:val="Tabletext"/>
              <w:jc w:val="center"/>
              <w:rPr>
                <w:lang w:val="es-ES_tradnl"/>
              </w:rPr>
            </w:pPr>
            <w:r w:rsidRPr="008B7A21">
              <w:rPr>
                <w:lang w:val="es-ES_tradnl"/>
              </w:rPr>
              <w:t>1</w:t>
            </w:r>
          </w:p>
        </w:tc>
        <w:tc>
          <w:tcPr>
            <w:tcW w:w="1248" w:type="dxa"/>
            <w:tcBorders>
              <w:top w:val="single" w:sz="2" w:space="0" w:color="auto"/>
              <w:left w:val="single" w:sz="2" w:space="0" w:color="auto"/>
              <w:bottom w:val="single" w:sz="2" w:space="0" w:color="auto"/>
              <w:right w:val="single" w:sz="2" w:space="0" w:color="auto"/>
            </w:tcBorders>
          </w:tcPr>
          <w:p w14:paraId="533B4CCD" w14:textId="77777777" w:rsidR="00F73D5B" w:rsidRPr="008B7A21" w:rsidRDefault="00F73D5B" w:rsidP="00767A6A">
            <w:pPr>
              <w:pStyle w:val="Tabletext"/>
              <w:jc w:val="center"/>
              <w:rPr>
                <w:lang w:val="es-ES_tradnl"/>
              </w:rPr>
            </w:pPr>
            <w:r w:rsidRPr="008B7A21">
              <w:rPr>
                <w:lang w:val="es-ES_tradnl"/>
              </w:rPr>
              <w:t>0,1</w:t>
            </w:r>
          </w:p>
        </w:tc>
        <w:tc>
          <w:tcPr>
            <w:tcW w:w="765" w:type="dxa"/>
            <w:tcBorders>
              <w:top w:val="single" w:sz="2" w:space="0" w:color="auto"/>
              <w:left w:val="single" w:sz="2" w:space="0" w:color="auto"/>
              <w:bottom w:val="single" w:sz="2" w:space="0" w:color="auto"/>
              <w:right w:val="single" w:sz="6" w:space="0" w:color="auto"/>
            </w:tcBorders>
          </w:tcPr>
          <w:p w14:paraId="24FE44A4" w14:textId="77777777" w:rsidR="00F73D5B" w:rsidRPr="008B7A21" w:rsidRDefault="00F73D5B" w:rsidP="00767A6A">
            <w:pPr>
              <w:pStyle w:val="Tabletext"/>
              <w:jc w:val="center"/>
              <w:rPr>
                <w:lang w:val="es-ES_tradnl"/>
              </w:rPr>
            </w:pPr>
            <w:r w:rsidRPr="008B7A21">
              <w:rPr>
                <w:lang w:val="es-ES_tradnl"/>
              </w:rPr>
              <w:t>0,2</w:t>
            </w:r>
          </w:p>
        </w:tc>
      </w:tr>
      <w:tr w:rsidR="00F73D5B" w:rsidRPr="008B7A21" w14:paraId="4EECE47D" w14:textId="77777777" w:rsidTr="00767A6A">
        <w:trPr>
          <w:cantSplit/>
          <w:jc w:val="center"/>
        </w:trPr>
        <w:tc>
          <w:tcPr>
            <w:tcW w:w="5046" w:type="dxa"/>
            <w:tcBorders>
              <w:top w:val="single" w:sz="2" w:space="0" w:color="auto"/>
              <w:left w:val="single" w:sz="6" w:space="0" w:color="auto"/>
              <w:bottom w:val="single" w:sz="2" w:space="0" w:color="auto"/>
              <w:right w:val="single" w:sz="2" w:space="0" w:color="auto"/>
            </w:tcBorders>
          </w:tcPr>
          <w:p w14:paraId="053F3D1C" w14:textId="77777777" w:rsidR="00F73D5B" w:rsidRPr="008B7A21" w:rsidRDefault="00F73D5B" w:rsidP="00767A6A">
            <w:pPr>
              <w:pStyle w:val="Tabletext"/>
              <w:jc w:val="left"/>
              <w:rPr>
                <w:lang w:val="es-ES_tradnl"/>
              </w:rPr>
            </w:pPr>
            <w:r w:rsidRPr="008B7A21">
              <w:rPr>
                <w:lang w:val="es-ES_tradnl"/>
              </w:rPr>
              <w:t>Radiolocalización</w:t>
            </w:r>
          </w:p>
        </w:tc>
        <w:tc>
          <w:tcPr>
            <w:tcW w:w="765" w:type="dxa"/>
            <w:tcBorders>
              <w:top w:val="single" w:sz="2" w:space="0" w:color="auto"/>
              <w:left w:val="single" w:sz="2" w:space="0" w:color="auto"/>
              <w:bottom w:val="single" w:sz="2" w:space="0" w:color="auto"/>
              <w:right w:val="single" w:sz="2" w:space="0" w:color="auto"/>
            </w:tcBorders>
          </w:tcPr>
          <w:p w14:paraId="6617FF96" w14:textId="77777777" w:rsidR="00F73D5B" w:rsidRPr="008B7A21" w:rsidRDefault="00F73D5B" w:rsidP="00767A6A">
            <w:pPr>
              <w:pStyle w:val="Tabletext"/>
              <w:jc w:val="center"/>
              <w:rPr>
                <w:lang w:val="es-ES_tradnl"/>
              </w:rPr>
            </w:pPr>
            <w:r w:rsidRPr="008B7A21">
              <w:rPr>
                <w:lang w:val="es-ES_tradnl"/>
              </w:rPr>
              <w:t>0,1</w:t>
            </w:r>
          </w:p>
        </w:tc>
        <w:tc>
          <w:tcPr>
            <w:tcW w:w="765" w:type="dxa"/>
            <w:tcBorders>
              <w:top w:val="single" w:sz="2" w:space="0" w:color="auto"/>
              <w:left w:val="single" w:sz="2" w:space="0" w:color="auto"/>
              <w:bottom w:val="single" w:sz="2" w:space="0" w:color="auto"/>
              <w:right w:val="single" w:sz="2" w:space="0" w:color="auto"/>
            </w:tcBorders>
          </w:tcPr>
          <w:p w14:paraId="41B501F9" w14:textId="77777777" w:rsidR="00F73D5B" w:rsidRPr="008B7A21" w:rsidRDefault="00F73D5B" w:rsidP="00767A6A">
            <w:pPr>
              <w:pStyle w:val="Tabletext"/>
              <w:jc w:val="center"/>
              <w:rPr>
                <w:lang w:val="es-ES_tradnl"/>
              </w:rPr>
            </w:pPr>
            <w:r w:rsidRPr="008B7A21">
              <w:rPr>
                <w:lang w:val="es-ES_tradnl"/>
              </w:rPr>
              <w:t>0,02</w:t>
            </w:r>
          </w:p>
        </w:tc>
        <w:tc>
          <w:tcPr>
            <w:tcW w:w="1020" w:type="dxa"/>
            <w:tcBorders>
              <w:top w:val="single" w:sz="2" w:space="0" w:color="auto"/>
              <w:left w:val="single" w:sz="2" w:space="0" w:color="auto"/>
              <w:bottom w:val="single" w:sz="2" w:space="0" w:color="auto"/>
              <w:right w:val="single" w:sz="2" w:space="0" w:color="auto"/>
            </w:tcBorders>
          </w:tcPr>
          <w:p w14:paraId="5819772F" w14:textId="77777777" w:rsidR="00F73D5B" w:rsidRPr="008B7A21" w:rsidRDefault="00F73D5B" w:rsidP="00767A6A">
            <w:pPr>
              <w:pStyle w:val="Tabletext"/>
              <w:jc w:val="center"/>
              <w:rPr>
                <w:lang w:val="es-ES_tradnl"/>
              </w:rPr>
            </w:pPr>
            <w:r w:rsidRPr="008B7A21">
              <w:rPr>
                <w:lang w:val="es-ES_tradnl"/>
              </w:rPr>
              <w:t>1</w:t>
            </w:r>
          </w:p>
        </w:tc>
        <w:tc>
          <w:tcPr>
            <w:tcW w:w="1248" w:type="dxa"/>
            <w:tcBorders>
              <w:top w:val="single" w:sz="2" w:space="0" w:color="auto"/>
              <w:left w:val="single" w:sz="2" w:space="0" w:color="auto"/>
              <w:bottom w:val="single" w:sz="2" w:space="0" w:color="auto"/>
              <w:right w:val="single" w:sz="2" w:space="0" w:color="auto"/>
            </w:tcBorders>
          </w:tcPr>
          <w:p w14:paraId="63FE3C16" w14:textId="77777777" w:rsidR="00F73D5B" w:rsidRPr="008B7A21" w:rsidRDefault="00F73D5B" w:rsidP="00767A6A">
            <w:pPr>
              <w:pStyle w:val="Tabletext"/>
              <w:jc w:val="center"/>
              <w:rPr>
                <w:lang w:val="es-ES_tradnl"/>
              </w:rPr>
            </w:pPr>
            <w:r w:rsidRPr="008B7A21">
              <w:rPr>
                <w:lang w:val="es-ES_tradnl"/>
              </w:rPr>
              <w:t>0,1</w:t>
            </w:r>
          </w:p>
        </w:tc>
        <w:tc>
          <w:tcPr>
            <w:tcW w:w="765" w:type="dxa"/>
            <w:tcBorders>
              <w:top w:val="single" w:sz="2" w:space="0" w:color="auto"/>
              <w:left w:val="single" w:sz="2" w:space="0" w:color="auto"/>
              <w:bottom w:val="single" w:sz="2" w:space="0" w:color="auto"/>
              <w:right w:val="single" w:sz="6" w:space="0" w:color="auto"/>
            </w:tcBorders>
          </w:tcPr>
          <w:p w14:paraId="2B53F50E" w14:textId="77777777" w:rsidR="00F73D5B" w:rsidRPr="008B7A21" w:rsidRDefault="00F73D5B" w:rsidP="00767A6A">
            <w:pPr>
              <w:pStyle w:val="Tabletext"/>
              <w:jc w:val="center"/>
              <w:rPr>
                <w:lang w:val="es-ES_tradnl"/>
              </w:rPr>
            </w:pPr>
            <w:r w:rsidRPr="008B7A21">
              <w:rPr>
                <w:lang w:val="es-ES_tradnl"/>
              </w:rPr>
              <w:t>0,2</w:t>
            </w:r>
          </w:p>
        </w:tc>
      </w:tr>
      <w:tr w:rsidR="00F73D5B" w:rsidRPr="008B7A21" w14:paraId="0051EB3B" w14:textId="77777777" w:rsidTr="00767A6A">
        <w:trPr>
          <w:cantSplit/>
          <w:jc w:val="center"/>
        </w:trPr>
        <w:tc>
          <w:tcPr>
            <w:tcW w:w="5046" w:type="dxa"/>
            <w:tcBorders>
              <w:top w:val="single" w:sz="2" w:space="0" w:color="auto"/>
              <w:left w:val="single" w:sz="6" w:space="0" w:color="auto"/>
              <w:bottom w:val="single" w:sz="2" w:space="0" w:color="auto"/>
              <w:right w:val="single" w:sz="2" w:space="0" w:color="auto"/>
            </w:tcBorders>
          </w:tcPr>
          <w:p w14:paraId="71067768" w14:textId="77777777" w:rsidR="00F73D5B" w:rsidRPr="008B7A21" w:rsidRDefault="00F73D5B" w:rsidP="00767A6A">
            <w:pPr>
              <w:pStyle w:val="Tabletext"/>
              <w:jc w:val="left"/>
              <w:rPr>
                <w:lang w:val="es-ES_tradnl"/>
              </w:rPr>
            </w:pPr>
            <w:r w:rsidRPr="008B7A21">
              <w:rPr>
                <w:lang w:val="es-ES_tradnl"/>
              </w:rPr>
              <w:t>Radiocomunicaciones aeronáuticas y navegación</w:t>
            </w:r>
          </w:p>
        </w:tc>
        <w:tc>
          <w:tcPr>
            <w:tcW w:w="765" w:type="dxa"/>
            <w:tcBorders>
              <w:top w:val="single" w:sz="2" w:space="0" w:color="auto"/>
              <w:left w:val="single" w:sz="2" w:space="0" w:color="auto"/>
              <w:bottom w:val="single" w:sz="2" w:space="0" w:color="auto"/>
              <w:right w:val="single" w:sz="2" w:space="0" w:color="auto"/>
            </w:tcBorders>
          </w:tcPr>
          <w:p w14:paraId="201FD57B" w14:textId="77777777" w:rsidR="00F73D5B" w:rsidRPr="008B7A21" w:rsidRDefault="00F73D5B" w:rsidP="00767A6A">
            <w:pPr>
              <w:pStyle w:val="Tabletext"/>
              <w:jc w:val="center"/>
              <w:rPr>
                <w:lang w:val="es-ES_tradnl"/>
              </w:rPr>
            </w:pPr>
            <w:r w:rsidRPr="008B7A21">
              <w:rPr>
                <w:lang w:val="es-ES_tradnl"/>
              </w:rPr>
              <w:t>0,1</w:t>
            </w:r>
          </w:p>
        </w:tc>
        <w:tc>
          <w:tcPr>
            <w:tcW w:w="765" w:type="dxa"/>
            <w:tcBorders>
              <w:top w:val="single" w:sz="2" w:space="0" w:color="auto"/>
              <w:left w:val="single" w:sz="2" w:space="0" w:color="auto"/>
              <w:bottom w:val="single" w:sz="2" w:space="0" w:color="auto"/>
              <w:right w:val="single" w:sz="2" w:space="0" w:color="auto"/>
            </w:tcBorders>
          </w:tcPr>
          <w:p w14:paraId="004D9D8A" w14:textId="77777777" w:rsidR="00F73D5B" w:rsidRPr="008B7A21" w:rsidRDefault="00F73D5B" w:rsidP="00767A6A">
            <w:pPr>
              <w:pStyle w:val="Tabletext"/>
              <w:jc w:val="center"/>
              <w:rPr>
                <w:lang w:val="es-ES_tradnl"/>
              </w:rPr>
            </w:pPr>
            <w:r w:rsidRPr="008B7A21">
              <w:rPr>
                <w:lang w:val="es-ES_tradnl"/>
              </w:rPr>
              <w:t>0,2</w:t>
            </w:r>
          </w:p>
        </w:tc>
        <w:tc>
          <w:tcPr>
            <w:tcW w:w="1020" w:type="dxa"/>
            <w:tcBorders>
              <w:top w:val="single" w:sz="2" w:space="0" w:color="auto"/>
              <w:left w:val="single" w:sz="2" w:space="0" w:color="auto"/>
              <w:bottom w:val="single" w:sz="2" w:space="0" w:color="auto"/>
              <w:right w:val="single" w:sz="2" w:space="0" w:color="auto"/>
            </w:tcBorders>
          </w:tcPr>
          <w:p w14:paraId="3CA1600B" w14:textId="77777777" w:rsidR="00F73D5B" w:rsidRPr="008B7A21" w:rsidRDefault="00F73D5B" w:rsidP="00767A6A">
            <w:pPr>
              <w:pStyle w:val="Tabletext"/>
              <w:jc w:val="center"/>
              <w:rPr>
                <w:lang w:val="es-ES_tradnl"/>
              </w:rPr>
            </w:pPr>
            <w:r w:rsidRPr="008B7A21">
              <w:rPr>
                <w:lang w:val="es-ES_tradnl"/>
              </w:rPr>
              <w:t>1</w:t>
            </w:r>
          </w:p>
        </w:tc>
        <w:tc>
          <w:tcPr>
            <w:tcW w:w="1248" w:type="dxa"/>
            <w:tcBorders>
              <w:top w:val="single" w:sz="2" w:space="0" w:color="auto"/>
              <w:left w:val="single" w:sz="2" w:space="0" w:color="auto"/>
              <w:bottom w:val="single" w:sz="2" w:space="0" w:color="auto"/>
              <w:right w:val="single" w:sz="2" w:space="0" w:color="auto"/>
            </w:tcBorders>
          </w:tcPr>
          <w:p w14:paraId="15EE6695" w14:textId="77777777" w:rsidR="00F73D5B" w:rsidRPr="008B7A21" w:rsidRDefault="00F73D5B" w:rsidP="00767A6A">
            <w:pPr>
              <w:pStyle w:val="Tabletext"/>
              <w:jc w:val="center"/>
              <w:rPr>
                <w:lang w:val="es-ES_tradnl"/>
              </w:rPr>
            </w:pPr>
            <w:r w:rsidRPr="008B7A21">
              <w:rPr>
                <w:lang w:val="es-ES_tradnl"/>
              </w:rPr>
              <w:t>0,1</w:t>
            </w:r>
          </w:p>
        </w:tc>
        <w:tc>
          <w:tcPr>
            <w:tcW w:w="765" w:type="dxa"/>
            <w:tcBorders>
              <w:top w:val="single" w:sz="2" w:space="0" w:color="auto"/>
              <w:left w:val="single" w:sz="2" w:space="0" w:color="auto"/>
              <w:bottom w:val="single" w:sz="2" w:space="0" w:color="auto"/>
              <w:right w:val="single" w:sz="6" w:space="0" w:color="auto"/>
            </w:tcBorders>
          </w:tcPr>
          <w:p w14:paraId="75E22928" w14:textId="77777777" w:rsidR="00F73D5B" w:rsidRPr="008B7A21" w:rsidRDefault="00F73D5B" w:rsidP="00767A6A">
            <w:pPr>
              <w:pStyle w:val="Tabletext"/>
              <w:jc w:val="center"/>
              <w:rPr>
                <w:lang w:val="es-ES_tradnl"/>
              </w:rPr>
            </w:pPr>
            <w:r w:rsidRPr="008B7A21">
              <w:rPr>
                <w:lang w:val="es-ES_tradnl"/>
              </w:rPr>
              <w:t>0,8</w:t>
            </w:r>
          </w:p>
        </w:tc>
      </w:tr>
      <w:tr w:rsidR="00F73D5B" w:rsidRPr="008B7A21" w14:paraId="65C4B323" w14:textId="77777777" w:rsidTr="00767A6A">
        <w:trPr>
          <w:cantSplit/>
          <w:jc w:val="center"/>
        </w:trPr>
        <w:tc>
          <w:tcPr>
            <w:tcW w:w="5046" w:type="dxa"/>
            <w:tcBorders>
              <w:top w:val="single" w:sz="2" w:space="0" w:color="auto"/>
              <w:left w:val="single" w:sz="6" w:space="0" w:color="auto"/>
              <w:bottom w:val="single" w:sz="2" w:space="0" w:color="auto"/>
              <w:right w:val="single" w:sz="2" w:space="0" w:color="auto"/>
            </w:tcBorders>
          </w:tcPr>
          <w:p w14:paraId="61B9E81C" w14:textId="77777777" w:rsidR="00F73D5B" w:rsidRPr="008B7A21" w:rsidRDefault="00F73D5B" w:rsidP="00767A6A">
            <w:pPr>
              <w:pStyle w:val="Tabletext"/>
              <w:jc w:val="left"/>
              <w:rPr>
                <w:lang w:val="es-ES_tradnl"/>
              </w:rPr>
            </w:pPr>
            <w:r w:rsidRPr="008B7A21">
              <w:rPr>
                <w:lang w:val="es-ES_tradnl"/>
              </w:rPr>
              <w:t>Radiocomunicaciones marítimas</w:t>
            </w:r>
          </w:p>
        </w:tc>
        <w:tc>
          <w:tcPr>
            <w:tcW w:w="765" w:type="dxa"/>
            <w:tcBorders>
              <w:top w:val="single" w:sz="2" w:space="0" w:color="auto"/>
              <w:left w:val="single" w:sz="2" w:space="0" w:color="auto"/>
              <w:bottom w:val="single" w:sz="2" w:space="0" w:color="auto"/>
              <w:right w:val="single" w:sz="2" w:space="0" w:color="auto"/>
            </w:tcBorders>
          </w:tcPr>
          <w:p w14:paraId="340A646C" w14:textId="77777777" w:rsidR="00F73D5B" w:rsidRPr="008B7A21" w:rsidRDefault="00F73D5B" w:rsidP="00767A6A">
            <w:pPr>
              <w:pStyle w:val="Tabletext"/>
              <w:jc w:val="center"/>
              <w:rPr>
                <w:lang w:val="es-ES_tradnl"/>
              </w:rPr>
            </w:pPr>
            <w:r w:rsidRPr="008B7A21">
              <w:rPr>
                <w:lang w:val="es-ES_tradnl"/>
              </w:rPr>
              <w:t>1</w:t>
            </w:r>
          </w:p>
        </w:tc>
        <w:tc>
          <w:tcPr>
            <w:tcW w:w="765" w:type="dxa"/>
            <w:tcBorders>
              <w:top w:val="single" w:sz="2" w:space="0" w:color="auto"/>
              <w:left w:val="single" w:sz="2" w:space="0" w:color="auto"/>
              <w:bottom w:val="single" w:sz="2" w:space="0" w:color="auto"/>
              <w:right w:val="single" w:sz="2" w:space="0" w:color="auto"/>
            </w:tcBorders>
          </w:tcPr>
          <w:p w14:paraId="0DBB5AD4" w14:textId="77777777" w:rsidR="00F73D5B" w:rsidRPr="008B7A21" w:rsidRDefault="00F73D5B" w:rsidP="00767A6A">
            <w:pPr>
              <w:pStyle w:val="Tabletext"/>
              <w:jc w:val="center"/>
              <w:rPr>
                <w:lang w:val="es-ES_tradnl"/>
              </w:rPr>
            </w:pPr>
            <w:r w:rsidRPr="008B7A21">
              <w:rPr>
                <w:lang w:val="es-ES_tradnl"/>
              </w:rPr>
              <w:t>0,2</w:t>
            </w:r>
          </w:p>
        </w:tc>
        <w:tc>
          <w:tcPr>
            <w:tcW w:w="1020" w:type="dxa"/>
            <w:tcBorders>
              <w:top w:val="single" w:sz="2" w:space="0" w:color="auto"/>
              <w:left w:val="single" w:sz="2" w:space="0" w:color="auto"/>
              <w:bottom w:val="single" w:sz="2" w:space="0" w:color="auto"/>
              <w:right w:val="single" w:sz="2" w:space="0" w:color="auto"/>
            </w:tcBorders>
          </w:tcPr>
          <w:p w14:paraId="67983774" w14:textId="77777777" w:rsidR="00F73D5B" w:rsidRPr="008B7A21" w:rsidRDefault="00F73D5B" w:rsidP="00767A6A">
            <w:pPr>
              <w:pStyle w:val="Tabletext"/>
              <w:jc w:val="center"/>
              <w:rPr>
                <w:lang w:val="es-ES_tradnl"/>
              </w:rPr>
            </w:pPr>
            <w:r w:rsidRPr="008B7A21">
              <w:rPr>
                <w:lang w:val="es-ES_tradnl"/>
              </w:rPr>
              <w:t>1</w:t>
            </w:r>
          </w:p>
        </w:tc>
        <w:tc>
          <w:tcPr>
            <w:tcW w:w="1248" w:type="dxa"/>
            <w:tcBorders>
              <w:top w:val="single" w:sz="2" w:space="0" w:color="auto"/>
              <w:left w:val="single" w:sz="2" w:space="0" w:color="auto"/>
              <w:bottom w:val="single" w:sz="2" w:space="0" w:color="auto"/>
              <w:right w:val="single" w:sz="2" w:space="0" w:color="auto"/>
            </w:tcBorders>
          </w:tcPr>
          <w:p w14:paraId="55943F12" w14:textId="77777777" w:rsidR="00F73D5B" w:rsidRPr="008B7A21" w:rsidRDefault="00F73D5B" w:rsidP="00767A6A">
            <w:pPr>
              <w:pStyle w:val="Tabletext"/>
              <w:jc w:val="center"/>
              <w:rPr>
                <w:lang w:val="es-ES_tradnl"/>
              </w:rPr>
            </w:pPr>
            <w:r w:rsidRPr="008B7A21">
              <w:rPr>
                <w:lang w:val="es-ES_tradnl"/>
              </w:rPr>
              <w:t>0,1</w:t>
            </w:r>
          </w:p>
        </w:tc>
        <w:tc>
          <w:tcPr>
            <w:tcW w:w="765" w:type="dxa"/>
            <w:tcBorders>
              <w:top w:val="single" w:sz="2" w:space="0" w:color="auto"/>
              <w:left w:val="single" w:sz="2" w:space="0" w:color="auto"/>
              <w:bottom w:val="single" w:sz="2" w:space="0" w:color="auto"/>
              <w:right w:val="single" w:sz="6" w:space="0" w:color="auto"/>
            </w:tcBorders>
          </w:tcPr>
          <w:p w14:paraId="33447EE4" w14:textId="77777777" w:rsidR="00F73D5B" w:rsidRPr="008B7A21" w:rsidRDefault="00F73D5B" w:rsidP="00767A6A">
            <w:pPr>
              <w:pStyle w:val="Tabletext"/>
              <w:jc w:val="center"/>
              <w:rPr>
                <w:lang w:val="es-ES_tradnl"/>
              </w:rPr>
            </w:pPr>
            <w:r w:rsidRPr="008B7A21">
              <w:rPr>
                <w:lang w:val="es-ES_tradnl"/>
              </w:rPr>
              <w:t>1</w:t>
            </w:r>
          </w:p>
        </w:tc>
      </w:tr>
      <w:tr w:rsidR="00F73D5B" w:rsidRPr="008B7A21" w14:paraId="14E578A8" w14:textId="77777777" w:rsidTr="00767A6A">
        <w:trPr>
          <w:cantSplit/>
          <w:jc w:val="center"/>
        </w:trPr>
        <w:tc>
          <w:tcPr>
            <w:tcW w:w="5046" w:type="dxa"/>
            <w:tcBorders>
              <w:top w:val="single" w:sz="2" w:space="0" w:color="auto"/>
              <w:left w:val="single" w:sz="6" w:space="0" w:color="auto"/>
              <w:bottom w:val="single" w:sz="2" w:space="0" w:color="auto"/>
              <w:right w:val="single" w:sz="2" w:space="0" w:color="auto"/>
            </w:tcBorders>
          </w:tcPr>
          <w:p w14:paraId="46193C67" w14:textId="77777777" w:rsidR="00F73D5B" w:rsidRPr="008B7A21" w:rsidRDefault="00F73D5B" w:rsidP="00767A6A">
            <w:pPr>
              <w:pStyle w:val="Tabletext"/>
              <w:jc w:val="left"/>
              <w:rPr>
                <w:lang w:val="es-ES_tradnl"/>
              </w:rPr>
            </w:pPr>
            <w:r w:rsidRPr="008B7A21">
              <w:rPr>
                <w:lang w:val="es-ES_tradnl"/>
              </w:rPr>
              <w:t>Estaciones terrenas del SFS</w:t>
            </w:r>
          </w:p>
        </w:tc>
        <w:tc>
          <w:tcPr>
            <w:tcW w:w="765" w:type="dxa"/>
            <w:tcBorders>
              <w:top w:val="single" w:sz="2" w:space="0" w:color="auto"/>
              <w:left w:val="single" w:sz="2" w:space="0" w:color="auto"/>
              <w:bottom w:val="single" w:sz="2" w:space="0" w:color="auto"/>
              <w:right w:val="single" w:sz="2" w:space="0" w:color="auto"/>
            </w:tcBorders>
          </w:tcPr>
          <w:p w14:paraId="512F0A77" w14:textId="77777777" w:rsidR="00F73D5B" w:rsidRPr="008B7A21" w:rsidRDefault="00F73D5B" w:rsidP="00767A6A">
            <w:pPr>
              <w:pStyle w:val="Tabletext"/>
              <w:jc w:val="center"/>
              <w:rPr>
                <w:lang w:val="es-ES_tradnl"/>
              </w:rPr>
            </w:pPr>
            <w:r w:rsidRPr="008B7A21">
              <w:rPr>
                <w:lang w:val="es-ES_tradnl"/>
              </w:rPr>
              <w:t>4</w:t>
            </w:r>
          </w:p>
        </w:tc>
        <w:tc>
          <w:tcPr>
            <w:tcW w:w="765" w:type="dxa"/>
            <w:tcBorders>
              <w:top w:val="single" w:sz="2" w:space="0" w:color="auto"/>
              <w:left w:val="single" w:sz="2" w:space="0" w:color="auto"/>
              <w:bottom w:val="single" w:sz="2" w:space="0" w:color="auto"/>
              <w:right w:val="single" w:sz="2" w:space="0" w:color="auto"/>
            </w:tcBorders>
          </w:tcPr>
          <w:p w14:paraId="14B16946" w14:textId="77777777" w:rsidR="00F73D5B" w:rsidRPr="008B7A21" w:rsidRDefault="00F73D5B" w:rsidP="00767A6A">
            <w:pPr>
              <w:pStyle w:val="Tabletext"/>
              <w:jc w:val="center"/>
              <w:rPr>
                <w:lang w:val="es-ES_tradnl"/>
              </w:rPr>
            </w:pPr>
            <w:r w:rsidRPr="008B7A21">
              <w:rPr>
                <w:lang w:val="es-ES_tradnl"/>
              </w:rPr>
              <w:t>0,2</w:t>
            </w:r>
          </w:p>
        </w:tc>
        <w:tc>
          <w:tcPr>
            <w:tcW w:w="1020" w:type="dxa"/>
            <w:tcBorders>
              <w:top w:val="single" w:sz="2" w:space="0" w:color="auto"/>
              <w:left w:val="single" w:sz="2" w:space="0" w:color="auto"/>
              <w:bottom w:val="single" w:sz="2" w:space="0" w:color="auto"/>
              <w:right w:val="single" w:sz="2" w:space="0" w:color="auto"/>
            </w:tcBorders>
          </w:tcPr>
          <w:p w14:paraId="75206770" w14:textId="77777777" w:rsidR="00F73D5B" w:rsidRPr="008B7A21" w:rsidRDefault="00F73D5B" w:rsidP="00767A6A">
            <w:pPr>
              <w:pStyle w:val="Tabletext"/>
              <w:jc w:val="center"/>
              <w:rPr>
                <w:lang w:val="es-ES_tradnl"/>
              </w:rPr>
            </w:pPr>
            <w:r w:rsidRPr="008B7A21">
              <w:rPr>
                <w:lang w:val="es-ES_tradnl"/>
              </w:rPr>
              <w:t>1</w:t>
            </w:r>
          </w:p>
        </w:tc>
        <w:tc>
          <w:tcPr>
            <w:tcW w:w="1248" w:type="dxa"/>
            <w:tcBorders>
              <w:top w:val="single" w:sz="2" w:space="0" w:color="auto"/>
              <w:left w:val="single" w:sz="2" w:space="0" w:color="auto"/>
              <w:bottom w:val="single" w:sz="2" w:space="0" w:color="auto"/>
              <w:right w:val="single" w:sz="2" w:space="0" w:color="auto"/>
            </w:tcBorders>
          </w:tcPr>
          <w:p w14:paraId="772D18B0" w14:textId="77777777" w:rsidR="00F73D5B" w:rsidRPr="008B7A21" w:rsidRDefault="00F73D5B" w:rsidP="00767A6A">
            <w:pPr>
              <w:pStyle w:val="Tabletext"/>
              <w:jc w:val="center"/>
              <w:rPr>
                <w:lang w:val="es-ES_tradnl"/>
              </w:rPr>
            </w:pPr>
            <w:r w:rsidRPr="008B7A21">
              <w:rPr>
                <w:lang w:val="es-ES_tradnl"/>
              </w:rPr>
              <w:t>0,1</w:t>
            </w:r>
          </w:p>
        </w:tc>
        <w:tc>
          <w:tcPr>
            <w:tcW w:w="765" w:type="dxa"/>
            <w:tcBorders>
              <w:top w:val="single" w:sz="2" w:space="0" w:color="auto"/>
              <w:left w:val="single" w:sz="2" w:space="0" w:color="auto"/>
              <w:bottom w:val="single" w:sz="2" w:space="0" w:color="auto"/>
              <w:right w:val="single" w:sz="6" w:space="0" w:color="auto"/>
            </w:tcBorders>
          </w:tcPr>
          <w:p w14:paraId="18191273" w14:textId="77777777" w:rsidR="00F73D5B" w:rsidRPr="008B7A21" w:rsidRDefault="00F73D5B" w:rsidP="00767A6A">
            <w:pPr>
              <w:pStyle w:val="Tabletext"/>
              <w:jc w:val="center"/>
              <w:rPr>
                <w:lang w:val="es-ES_tradnl"/>
              </w:rPr>
            </w:pPr>
            <w:r w:rsidRPr="008B7A21">
              <w:rPr>
                <w:lang w:val="es-ES_tradnl"/>
              </w:rPr>
              <w:t>0,2</w:t>
            </w:r>
          </w:p>
        </w:tc>
      </w:tr>
      <w:tr w:rsidR="00F73D5B" w:rsidRPr="008B7A21" w14:paraId="1230C75B" w14:textId="77777777" w:rsidTr="00767A6A">
        <w:trPr>
          <w:cantSplit/>
          <w:jc w:val="center"/>
        </w:trPr>
        <w:tc>
          <w:tcPr>
            <w:tcW w:w="5046" w:type="dxa"/>
            <w:tcBorders>
              <w:top w:val="single" w:sz="2" w:space="0" w:color="auto"/>
              <w:left w:val="single" w:sz="6" w:space="0" w:color="auto"/>
              <w:bottom w:val="single" w:sz="6" w:space="0" w:color="auto"/>
              <w:right w:val="single" w:sz="2" w:space="0" w:color="auto"/>
            </w:tcBorders>
          </w:tcPr>
          <w:p w14:paraId="42528552" w14:textId="77777777" w:rsidR="00F73D5B" w:rsidRPr="008B7A21" w:rsidRDefault="00F73D5B" w:rsidP="00767A6A">
            <w:pPr>
              <w:pStyle w:val="Tabletext"/>
              <w:jc w:val="left"/>
              <w:rPr>
                <w:lang w:val="es-ES_tradnl"/>
              </w:rPr>
            </w:pPr>
            <w:r w:rsidRPr="008B7A21">
              <w:rPr>
                <w:lang w:val="es-ES_tradnl"/>
              </w:rPr>
              <w:t>Estaciones terrenas para otros servicios por satélite, incluidos los enlaces de conexión</w:t>
            </w:r>
          </w:p>
        </w:tc>
        <w:tc>
          <w:tcPr>
            <w:tcW w:w="765" w:type="dxa"/>
            <w:tcBorders>
              <w:top w:val="single" w:sz="2" w:space="0" w:color="auto"/>
              <w:left w:val="single" w:sz="2" w:space="0" w:color="auto"/>
              <w:bottom w:val="single" w:sz="6" w:space="0" w:color="auto"/>
              <w:right w:val="single" w:sz="2" w:space="0" w:color="auto"/>
            </w:tcBorders>
          </w:tcPr>
          <w:p w14:paraId="72D16EC8" w14:textId="77777777" w:rsidR="00F73D5B" w:rsidRPr="008B7A21" w:rsidRDefault="00F73D5B" w:rsidP="00767A6A">
            <w:pPr>
              <w:pStyle w:val="Tabletext"/>
              <w:jc w:val="center"/>
              <w:rPr>
                <w:lang w:val="es-ES_tradnl"/>
              </w:rPr>
            </w:pPr>
            <w:r w:rsidRPr="008B7A21">
              <w:rPr>
                <w:lang w:val="es-ES_tradnl"/>
              </w:rPr>
              <w:t>1,4</w:t>
            </w:r>
          </w:p>
        </w:tc>
        <w:tc>
          <w:tcPr>
            <w:tcW w:w="765" w:type="dxa"/>
            <w:tcBorders>
              <w:top w:val="single" w:sz="2" w:space="0" w:color="auto"/>
              <w:left w:val="single" w:sz="2" w:space="0" w:color="auto"/>
              <w:bottom w:val="single" w:sz="6" w:space="0" w:color="auto"/>
              <w:right w:val="single" w:sz="2" w:space="0" w:color="auto"/>
            </w:tcBorders>
          </w:tcPr>
          <w:p w14:paraId="6793E03F" w14:textId="77777777" w:rsidR="00F73D5B" w:rsidRPr="008B7A21" w:rsidRDefault="00F73D5B" w:rsidP="00767A6A">
            <w:pPr>
              <w:pStyle w:val="Tabletext"/>
              <w:jc w:val="center"/>
              <w:rPr>
                <w:lang w:val="es-ES_tradnl"/>
              </w:rPr>
            </w:pPr>
            <w:r w:rsidRPr="008B7A21">
              <w:rPr>
                <w:lang w:val="es-ES_tradnl"/>
              </w:rPr>
              <w:t>0,1</w:t>
            </w:r>
          </w:p>
        </w:tc>
        <w:tc>
          <w:tcPr>
            <w:tcW w:w="1020" w:type="dxa"/>
            <w:tcBorders>
              <w:top w:val="single" w:sz="2" w:space="0" w:color="auto"/>
              <w:left w:val="single" w:sz="2" w:space="0" w:color="auto"/>
              <w:bottom w:val="single" w:sz="6" w:space="0" w:color="auto"/>
              <w:right w:val="single" w:sz="2" w:space="0" w:color="auto"/>
            </w:tcBorders>
          </w:tcPr>
          <w:p w14:paraId="2F0EB8D0" w14:textId="77777777" w:rsidR="00F73D5B" w:rsidRPr="008B7A21" w:rsidRDefault="00F73D5B" w:rsidP="00767A6A">
            <w:pPr>
              <w:pStyle w:val="Tabletext"/>
              <w:jc w:val="center"/>
              <w:rPr>
                <w:lang w:val="es-ES_tradnl"/>
              </w:rPr>
            </w:pPr>
            <w:r w:rsidRPr="008B7A21">
              <w:rPr>
                <w:lang w:val="es-ES_tradnl"/>
              </w:rPr>
              <w:t>1</w:t>
            </w:r>
          </w:p>
        </w:tc>
        <w:tc>
          <w:tcPr>
            <w:tcW w:w="1248" w:type="dxa"/>
            <w:tcBorders>
              <w:top w:val="single" w:sz="2" w:space="0" w:color="auto"/>
              <w:left w:val="single" w:sz="2" w:space="0" w:color="auto"/>
              <w:bottom w:val="single" w:sz="6" w:space="0" w:color="auto"/>
              <w:right w:val="single" w:sz="2" w:space="0" w:color="auto"/>
            </w:tcBorders>
          </w:tcPr>
          <w:p w14:paraId="62D4DAED" w14:textId="77777777" w:rsidR="00F73D5B" w:rsidRPr="008B7A21" w:rsidRDefault="00F73D5B" w:rsidP="00767A6A">
            <w:pPr>
              <w:pStyle w:val="Tabletext"/>
              <w:jc w:val="center"/>
              <w:rPr>
                <w:lang w:val="es-ES_tradnl"/>
              </w:rPr>
            </w:pPr>
            <w:r w:rsidRPr="008B7A21">
              <w:rPr>
                <w:lang w:val="es-ES_tradnl"/>
              </w:rPr>
              <w:t>0,1</w:t>
            </w:r>
          </w:p>
        </w:tc>
        <w:tc>
          <w:tcPr>
            <w:tcW w:w="765" w:type="dxa"/>
            <w:tcBorders>
              <w:top w:val="single" w:sz="2" w:space="0" w:color="auto"/>
              <w:left w:val="single" w:sz="2" w:space="0" w:color="auto"/>
              <w:bottom w:val="single" w:sz="6" w:space="0" w:color="auto"/>
              <w:right w:val="single" w:sz="6" w:space="0" w:color="auto"/>
            </w:tcBorders>
          </w:tcPr>
          <w:p w14:paraId="1ADFAE5C" w14:textId="77777777" w:rsidR="00F73D5B" w:rsidRPr="008B7A21" w:rsidRDefault="00F73D5B" w:rsidP="00767A6A">
            <w:pPr>
              <w:pStyle w:val="Tabletext"/>
              <w:jc w:val="center"/>
              <w:rPr>
                <w:lang w:val="es-ES_tradnl"/>
              </w:rPr>
            </w:pPr>
            <w:r w:rsidRPr="008B7A21">
              <w:rPr>
                <w:lang w:val="es-ES_tradnl"/>
              </w:rPr>
              <w:t>0,2</w:t>
            </w:r>
          </w:p>
        </w:tc>
      </w:tr>
    </w:tbl>
    <w:p w14:paraId="745CAFEB" w14:textId="77777777" w:rsidR="00F73D5B" w:rsidRPr="008B7A21" w:rsidRDefault="00F73D5B" w:rsidP="00F73D5B">
      <w:pPr>
        <w:pStyle w:val="Tablefin"/>
        <w:rPr>
          <w:sz w:val="18"/>
          <w:lang w:val="es-ES_tradnl"/>
        </w:rPr>
      </w:pPr>
    </w:p>
    <w:p w14:paraId="22D5BD9D" w14:textId="77777777" w:rsidR="00F73D5B" w:rsidRPr="008B7A21" w:rsidRDefault="00F73D5B" w:rsidP="00F73D5B">
      <w:pPr>
        <w:keepNext/>
        <w:keepLines/>
        <w:rPr>
          <w:lang w:val="es-ES_tradnl"/>
        </w:rPr>
      </w:pPr>
      <w:r w:rsidRPr="008B7A21">
        <w:rPr>
          <w:lang w:val="es-ES_tradnl"/>
        </w:rPr>
        <w:t xml:space="preserve">El coeficiente </w:t>
      </w:r>
      <w:r w:rsidRPr="008B7A21">
        <w:rPr>
          <w:lang w:val="es-ES_tradnl"/>
        </w:rPr>
        <w:sym w:font="Symbol" w:char="F061"/>
      </w:r>
      <w:r w:rsidRPr="008B7A21">
        <w:rPr>
          <w:szCs w:val="24"/>
          <w:vertAlign w:val="subscript"/>
          <w:lang w:val="es-ES_tradnl"/>
        </w:rPr>
        <w:t>1</w:t>
      </w:r>
      <w:r w:rsidRPr="008B7A21">
        <w:rPr>
          <w:lang w:val="es-ES_tradnl"/>
        </w:rPr>
        <w:t xml:space="preserve"> se determina básicamente mediante dos factores:</w:t>
      </w:r>
    </w:p>
    <w:p w14:paraId="7CD7F198" w14:textId="77777777" w:rsidR="00F73D5B" w:rsidRPr="008B7A21" w:rsidRDefault="00F73D5B" w:rsidP="00F73D5B">
      <w:pPr>
        <w:pStyle w:val="enumlev1"/>
        <w:rPr>
          <w:lang w:val="es-ES_tradnl"/>
        </w:rPr>
      </w:pPr>
      <w:r w:rsidRPr="008B7A21">
        <w:rPr>
          <w:lang w:val="es-ES_tradnl"/>
        </w:rPr>
        <w:t>–</w:t>
      </w:r>
      <w:r w:rsidRPr="008B7A21">
        <w:rPr>
          <w:lang w:val="es-ES_tradnl"/>
        </w:rPr>
        <w:tab/>
        <w:t>El valor comercial de los servicios de radiocomunicaciones. Este factor está ligado al deseo de usuarios y operadores de pagar por el derecho de proporcionar servicios o usar los servicios ofrecidos en una frecuencia específica.</w:t>
      </w:r>
    </w:p>
    <w:p w14:paraId="035C51F4" w14:textId="77777777" w:rsidR="00F73D5B" w:rsidRPr="008B7A21" w:rsidRDefault="00F73D5B" w:rsidP="00F73D5B">
      <w:pPr>
        <w:pStyle w:val="enumlev1"/>
        <w:rPr>
          <w:lang w:val="es-ES_tradnl"/>
        </w:rPr>
      </w:pPr>
      <w:r w:rsidRPr="008B7A21">
        <w:rPr>
          <w:lang w:val="es-ES_tradnl"/>
        </w:rPr>
        <w:t>–</w:t>
      </w:r>
      <w:r w:rsidRPr="008B7A21">
        <w:rPr>
          <w:lang w:val="es-ES_tradnl"/>
        </w:rPr>
        <w:tab/>
        <w:t>La necesidad de utilizar bandas de frecuencias menos congestionadas (normalmente las bandas de frecuencias más elevadas). Algunos servicios de radiocomunicaciones pueden desplazarse a frecuencias más altas a medida que se obtiene experiencia en ese sentido o se producen cambios tecnológicos, reduciendo de esa forma la sobrecarga en bandas de frecuencias más bajas. Este es el incentivo económico que debe alentar la utilización de las bandas más elevadas.</w:t>
      </w:r>
    </w:p>
    <w:p w14:paraId="07C0A954" w14:textId="56595F97" w:rsidR="00F73D5B" w:rsidRPr="008B7A21" w:rsidRDefault="00F73D5B" w:rsidP="00F73D5B">
      <w:pPr>
        <w:rPr>
          <w:lang w:val="es-ES_tradnl"/>
        </w:rPr>
      </w:pPr>
      <w:r w:rsidRPr="008B7A21">
        <w:rPr>
          <w:lang w:val="es-ES_tradnl"/>
        </w:rPr>
        <w:t xml:space="preserve">El coeficiente </w:t>
      </w:r>
      <w:r w:rsidR="00386EEF" w:rsidRPr="00386EEF">
        <w:sym w:font="Symbol" w:char="F061"/>
      </w:r>
      <w:r w:rsidRPr="008B7A21">
        <w:rPr>
          <w:vertAlign w:val="subscript"/>
          <w:lang w:val="es-ES_tradnl"/>
        </w:rPr>
        <w:t>2</w:t>
      </w:r>
      <w:r w:rsidRPr="008B7A21">
        <w:rPr>
          <w:lang w:val="es-ES_tradnl"/>
        </w:rPr>
        <w:t xml:space="preserve"> representa un factor social. En el caso de los servicios de radiocomunicaciones cuya existencia es fundamental para todos los grupos de población, incluidos los más necesitados, el valor de este coeficiente es bajo lo que refleja un verdadero valor u obligación social en nombre de la administración.</w:t>
      </w:r>
    </w:p>
    <w:p w14:paraId="052CAB06" w14:textId="4461EA84" w:rsidR="00F73D5B" w:rsidRPr="008B7A21" w:rsidRDefault="00F73D5B" w:rsidP="00F73D5B">
      <w:pPr>
        <w:rPr>
          <w:lang w:val="es-ES_tradnl"/>
        </w:rPr>
      </w:pPr>
      <w:r w:rsidRPr="008B7A21">
        <w:rPr>
          <w:lang w:val="es-ES_tradnl"/>
        </w:rPr>
        <w:t xml:space="preserve">Por ejemplo, para estaciones por encima de 1 GHz, a través de las cuales se proporcionan comunicaciones de larga distancia, así como para la radiodifusión de televisión, el coeficiente </w:t>
      </w:r>
      <w:r w:rsidRPr="008B7A21">
        <w:rPr>
          <w:rFonts w:asciiTheme="majorBidi" w:hAnsiTheme="majorBidi" w:cstheme="majorBidi"/>
          <w:lang w:val="es-ES_tradnl"/>
        </w:rPr>
        <w:sym w:font="Symbol" w:char="F061"/>
      </w:r>
      <w:r w:rsidRPr="008B7A21">
        <w:rPr>
          <w:vertAlign w:val="subscript"/>
          <w:lang w:val="es-ES_tradnl"/>
        </w:rPr>
        <w:t>2</w:t>
      </w:r>
      <w:r w:rsidRPr="008B7A21">
        <w:rPr>
          <w:lang w:val="es-ES_tradnl"/>
        </w:rPr>
        <w:t xml:space="preserve"> tiene un valor bajo y para las comunicaciones celulares el coeficiente </w:t>
      </w:r>
      <w:r w:rsidR="00386EEF" w:rsidRPr="00386EEF">
        <w:sym w:font="Symbol" w:char="F061"/>
      </w:r>
      <w:r w:rsidRPr="008B7A21">
        <w:rPr>
          <w:vertAlign w:val="subscript"/>
          <w:lang w:val="es-ES_tradnl"/>
        </w:rPr>
        <w:t>2</w:t>
      </w:r>
      <w:r w:rsidRPr="008B7A21">
        <w:rPr>
          <w:lang w:val="es-ES_tradnl"/>
        </w:rPr>
        <w:t xml:space="preserve"> presenta un valor más elevado.</w:t>
      </w:r>
    </w:p>
    <w:p w14:paraId="1DA9BECD" w14:textId="77777777" w:rsidR="00F73D5B" w:rsidRPr="008B7A21" w:rsidRDefault="00F73D5B" w:rsidP="00F73D5B">
      <w:pPr>
        <w:rPr>
          <w:lang w:val="es-ES_tradnl"/>
        </w:rPr>
      </w:pPr>
      <w:r w:rsidRPr="008B7A21">
        <w:rPr>
          <w:lang w:val="es-ES_tradnl"/>
        </w:rPr>
        <w:t xml:space="preserve">El coeficiente </w:t>
      </w:r>
      <w:r w:rsidRPr="008B7A21">
        <w:rPr>
          <w:rFonts w:asciiTheme="majorBidi" w:hAnsiTheme="majorBidi" w:cstheme="majorBidi"/>
          <w:lang w:val="es-ES_tradnl"/>
        </w:rPr>
        <w:sym w:font="Symbol" w:char="F061"/>
      </w:r>
      <w:r w:rsidRPr="008B7A21">
        <w:rPr>
          <w:vertAlign w:val="subscript"/>
          <w:lang w:val="es-ES_tradnl"/>
        </w:rPr>
        <w:t>3</w:t>
      </w:r>
      <w:r w:rsidRPr="008B7A21">
        <w:rPr>
          <w:lang w:val="es-ES_tradnl"/>
        </w:rPr>
        <w:t xml:space="preserve"> tiene en cuenta las características de los emplazamientos en zonas urbanas y poblaciones. En el caso de poblaciones en que la densidad demográfica es baja y el nivel de ingresos son bajos, el valor comercial de los servicios de comunicaciones también será reducido y al mismo tiempo el coste tecnológico para proporcionar dichos servicios será elevado. Por consiguiente, a fin de apoyar a los operadores de telecomunicaciones y soportar estos servicios, así como fomentar el desarrollo de los servicios de radiocomunicaciones, este coeficiente </w:t>
      </w:r>
      <w:r w:rsidRPr="008B7A21">
        <w:rPr>
          <w:rFonts w:asciiTheme="majorBidi" w:hAnsiTheme="majorBidi" w:cstheme="majorBidi"/>
          <w:lang w:val="es-ES_tradnl"/>
        </w:rPr>
        <w:sym w:font="Symbol" w:char="F061"/>
      </w:r>
      <w:r w:rsidRPr="008B7A21">
        <w:rPr>
          <w:vertAlign w:val="subscript"/>
          <w:lang w:val="es-ES_tradnl"/>
        </w:rPr>
        <w:t>3</w:t>
      </w:r>
      <w:r w:rsidRPr="008B7A21">
        <w:rPr>
          <w:lang w:val="es-ES_tradnl"/>
        </w:rPr>
        <w:t xml:space="preserve"> debe tomar un valor bajo si bien en zonas urbanas puede ser considerablemente superior.</w:t>
      </w:r>
    </w:p>
    <w:p w14:paraId="14098C1A" w14:textId="77777777" w:rsidR="00F73D5B" w:rsidRPr="008B7A21" w:rsidRDefault="00F73D5B" w:rsidP="00F73D5B">
      <w:pPr>
        <w:rPr>
          <w:lang w:val="es-ES_tradnl"/>
        </w:rPr>
      </w:pPr>
      <w:r w:rsidRPr="008B7A21">
        <w:rPr>
          <w:lang w:val="es-ES_tradnl"/>
        </w:rPr>
        <w:t xml:space="preserve">El coeficiente </w:t>
      </w:r>
      <w:r w:rsidRPr="008B7A21">
        <w:rPr>
          <w:rFonts w:asciiTheme="majorBidi" w:hAnsiTheme="majorBidi" w:cstheme="majorBidi"/>
          <w:lang w:val="es-ES_tradnl"/>
        </w:rPr>
        <w:sym w:font="Symbol" w:char="F061"/>
      </w:r>
      <w:r w:rsidRPr="008B7A21">
        <w:rPr>
          <w:vertAlign w:val="subscript"/>
          <w:lang w:val="es-ES_tradnl"/>
        </w:rPr>
        <w:t>4</w:t>
      </w:r>
      <w:r w:rsidRPr="008B7A21">
        <w:rPr>
          <w:lang w:val="es-ES_tradnl"/>
        </w:rPr>
        <w:t xml:space="preserve"> viene determinado por la complejidad de las funciones de gestión del espectro ejecutadas. Este coeficiente normalmente es el más elevado en el caso de los servicios móviles, puesto que en estos servicios es necesario realizar la función de radiodeterminación de objetos móviles. Al igual que en la radiodifusión de televisión, es necesario determinar con un alto grado de precisión un cierto número de parámetros pertinentes.</w:t>
      </w:r>
    </w:p>
    <w:p w14:paraId="4D507BD0" w14:textId="39CD67DE" w:rsidR="00F73D5B" w:rsidRPr="008B7A21" w:rsidRDefault="00F73D5B" w:rsidP="00F73D5B">
      <w:pPr>
        <w:rPr>
          <w:lang w:val="es-ES_tradnl"/>
        </w:rPr>
      </w:pPr>
      <w:r w:rsidRPr="008B7A21">
        <w:rPr>
          <w:lang w:val="es-ES_tradnl"/>
        </w:rPr>
        <w:t xml:space="preserve">Otro coeficiente de ponderación en la ecuación (20) es </w:t>
      </w:r>
      <w:r w:rsidR="00386EEF">
        <w:rPr>
          <w:lang w:val="es-ES_tradnl"/>
        </w:rPr>
        <w:t>β</w:t>
      </w:r>
      <w:r w:rsidRPr="008B7A21">
        <w:rPr>
          <w:i/>
          <w:iCs/>
          <w:vertAlign w:val="subscript"/>
          <w:lang w:val="es-ES_tradnl"/>
        </w:rPr>
        <w:t>i</w:t>
      </w:r>
      <w:r w:rsidRPr="008B7A21">
        <w:rPr>
          <w:lang w:val="es-ES_tradnl"/>
        </w:rPr>
        <w:t xml:space="preserve">. Este coeficiente determina la exclusividad de la asignación de frecuencia. Si la parte de espectro determinada se utiliza de forma exclusiva, </w:t>
      </w:r>
      <w:r w:rsidR="00386EEF">
        <w:rPr>
          <w:lang w:val="es-ES_tradnl"/>
        </w:rPr>
        <w:t>β</w:t>
      </w:r>
      <w:r w:rsidRPr="008B7A21">
        <w:rPr>
          <w:i/>
          <w:iCs/>
          <w:vertAlign w:val="subscript"/>
          <w:lang w:val="es-ES_tradnl"/>
        </w:rPr>
        <w:t>i</w:t>
      </w:r>
      <w:r w:rsidRPr="008B7A21">
        <w:rPr>
          <w:lang w:val="es-ES_tradnl"/>
        </w:rPr>
        <w:t xml:space="preserve"> = 1. En el caso de compartición, </w:t>
      </w:r>
      <w:r w:rsidR="00386EEF">
        <w:rPr>
          <w:lang w:val="es-ES_tradnl"/>
        </w:rPr>
        <w:t>β</w:t>
      </w:r>
      <w:r w:rsidRPr="008B7A21">
        <w:rPr>
          <w:i/>
          <w:iCs/>
          <w:vertAlign w:val="subscript"/>
          <w:lang w:val="es-ES_tradnl"/>
        </w:rPr>
        <w:t>i</w:t>
      </w:r>
      <w:r w:rsidRPr="008B7A21">
        <w:rPr>
          <w:lang w:val="es-ES_tradnl"/>
        </w:rPr>
        <w:t xml:space="preserve"> varía entre 0 y 1 dependiendo de las condiciones de dicha compartición, que puede basarse en una separación territorial lo que daría lugar a una disminución de la zona de servicio real.</w:t>
      </w:r>
    </w:p>
    <w:p w14:paraId="23AAC783" w14:textId="77777777" w:rsidR="00F73D5B" w:rsidRPr="008B7A21" w:rsidRDefault="00F73D5B" w:rsidP="00F73D5B">
      <w:pPr>
        <w:pStyle w:val="Heading3"/>
        <w:rPr>
          <w:lang w:val="es-ES_tradnl"/>
        </w:rPr>
      </w:pPr>
      <w:bookmarkStart w:id="1306" w:name="_Toc306276866"/>
      <w:bookmarkStart w:id="1307" w:name="_Toc307921541"/>
      <w:bookmarkStart w:id="1308" w:name="_Toc307922108"/>
      <w:bookmarkStart w:id="1309" w:name="_Toc307922609"/>
      <w:bookmarkStart w:id="1310" w:name="_Toc307991958"/>
      <w:bookmarkStart w:id="1311" w:name="_Toc307993991"/>
      <w:bookmarkStart w:id="1312" w:name="_Toc307995253"/>
      <w:bookmarkStart w:id="1313" w:name="_Toc307996397"/>
      <w:bookmarkStart w:id="1314" w:name="_Toc308010372"/>
      <w:bookmarkStart w:id="1315" w:name="_Toc499563035"/>
      <w:bookmarkStart w:id="1316" w:name="_Toc215835407"/>
      <w:r w:rsidRPr="008B7A21">
        <w:rPr>
          <w:lang w:val="es-ES_tradnl"/>
        </w:rPr>
        <w:t>4.6.10</w:t>
      </w:r>
      <w:r w:rsidRPr="008B7A21">
        <w:rPr>
          <w:lang w:val="es-ES_tradnl"/>
        </w:rPr>
        <w:tab/>
        <w:t>Determinación del valor total del espectro utilizado</w:t>
      </w:r>
      <w:bookmarkEnd w:id="1306"/>
      <w:bookmarkEnd w:id="1307"/>
      <w:bookmarkEnd w:id="1308"/>
      <w:bookmarkEnd w:id="1309"/>
      <w:bookmarkEnd w:id="1310"/>
      <w:bookmarkEnd w:id="1311"/>
      <w:bookmarkEnd w:id="1312"/>
      <w:bookmarkEnd w:id="1313"/>
      <w:bookmarkEnd w:id="1314"/>
      <w:bookmarkEnd w:id="1315"/>
      <w:bookmarkEnd w:id="1316"/>
    </w:p>
    <w:p w14:paraId="69B4A41C" w14:textId="37AB28A4" w:rsidR="00F73D5B" w:rsidRPr="008B7A21" w:rsidRDefault="00F73D5B" w:rsidP="00F73D5B">
      <w:pPr>
        <w:rPr>
          <w:lang w:val="es-ES_tradnl"/>
        </w:rPr>
      </w:pPr>
      <w:r w:rsidRPr="008B7A21">
        <w:rPr>
          <w:lang w:val="es-ES_tradnl"/>
        </w:rPr>
        <w:t xml:space="preserve">Por consiguiente, con la ayuda de los coeficientes de ponderación </w:t>
      </w:r>
      <w:r w:rsidRPr="008B7A21">
        <w:rPr>
          <w:i/>
          <w:iCs/>
          <w:lang w:val="es-ES_tradnl"/>
        </w:rPr>
        <w:t>b</w:t>
      </w:r>
      <w:r w:rsidRPr="008B7A21">
        <w:rPr>
          <w:i/>
          <w:iCs/>
          <w:vertAlign w:val="subscript"/>
          <w:lang w:val="es-ES_tradnl"/>
        </w:rPr>
        <w:t>j</w:t>
      </w:r>
      <w:r w:rsidRPr="008B7A21">
        <w:rPr>
          <w:lang w:val="es-ES_tradnl"/>
        </w:rPr>
        <w:t xml:space="preserve">, </w:t>
      </w:r>
      <w:r w:rsidRPr="008B7A21">
        <w:rPr>
          <w:rFonts w:asciiTheme="majorBidi" w:hAnsiTheme="majorBidi" w:cstheme="majorBidi"/>
          <w:lang w:val="es-ES_tradnl"/>
        </w:rPr>
        <w:sym w:font="Symbol" w:char="F061"/>
      </w:r>
      <w:r w:rsidRPr="008B7A21">
        <w:rPr>
          <w:i/>
          <w:iCs/>
          <w:vertAlign w:val="subscript"/>
          <w:lang w:val="es-ES_tradnl"/>
        </w:rPr>
        <w:t>i</w:t>
      </w:r>
      <w:r w:rsidRPr="008B7A21">
        <w:rPr>
          <w:lang w:val="es-ES_tradnl"/>
        </w:rPr>
        <w:t xml:space="preserve"> y </w:t>
      </w:r>
      <w:r w:rsidR="00386EEF">
        <w:rPr>
          <w:lang w:val="es-ES_tradnl"/>
        </w:rPr>
        <w:t>β</w:t>
      </w:r>
      <w:r w:rsidRPr="008B7A21">
        <w:rPr>
          <w:i/>
          <w:iCs/>
          <w:vertAlign w:val="subscript"/>
          <w:lang w:val="es-ES_tradnl"/>
        </w:rPr>
        <w:t>i</w:t>
      </w:r>
      <w:r w:rsidRPr="008B7A21">
        <w:rPr>
          <w:lang w:val="es-ES_tradnl"/>
        </w:rPr>
        <w:t>, y de conformidad con la ecuación (20), es posible determinar (a la vista de los diversos factores), el recurso de espectro </w:t>
      </w:r>
      <w:r w:rsidRPr="008B7A21">
        <w:rPr>
          <w:i/>
          <w:iCs/>
          <w:lang w:val="es-ES_tradnl"/>
        </w:rPr>
        <w:t>W</w:t>
      </w:r>
      <w:r w:rsidRPr="008B7A21">
        <w:rPr>
          <w:i/>
          <w:iCs/>
          <w:vertAlign w:val="subscript"/>
          <w:lang w:val="es-ES_tradnl"/>
        </w:rPr>
        <w:t>i</w:t>
      </w:r>
      <w:r w:rsidRPr="008B7A21">
        <w:rPr>
          <w:lang w:val="es-ES_tradnl"/>
        </w:rPr>
        <w:t xml:space="preserve"> realmente utilizado por cada asignación de frecuencia </w:t>
      </w:r>
      <w:r w:rsidRPr="008B7A21">
        <w:rPr>
          <w:i/>
          <w:iCs/>
          <w:lang w:val="es-ES_tradnl"/>
        </w:rPr>
        <w:t>W</w:t>
      </w:r>
      <w:r w:rsidRPr="008B7A21">
        <w:rPr>
          <w:lang w:val="es-ES_tradnl"/>
        </w:rPr>
        <w:t xml:space="preserve">. A continuación, se puede calcular el valor total del espectro </w:t>
      </w:r>
      <w:r w:rsidRPr="008B7A21">
        <w:rPr>
          <w:i/>
          <w:lang w:val="es-ES_tradnl"/>
        </w:rPr>
        <w:t>W</w:t>
      </w:r>
      <w:r w:rsidRPr="008B7A21">
        <w:rPr>
          <w:lang w:val="es-ES_tradnl"/>
        </w:rPr>
        <w:t xml:space="preserve"> utilizado en el país, mediante la siguiente ecuación:</w:t>
      </w:r>
    </w:p>
    <w:p w14:paraId="5208B6DD" w14:textId="77777777" w:rsidR="00F73D5B" w:rsidRPr="008B7A21" w:rsidRDefault="00F73D5B" w:rsidP="00F73D5B">
      <w:pPr>
        <w:pStyle w:val="Blanc"/>
        <w:rPr>
          <w:lang w:val="es-ES_tradnl"/>
        </w:rPr>
      </w:pPr>
    </w:p>
    <w:p w14:paraId="335C1D52" w14:textId="77777777" w:rsidR="00F73D5B" w:rsidRPr="008B7A21" w:rsidRDefault="00F73D5B" w:rsidP="00F73D5B">
      <w:pPr>
        <w:pStyle w:val="Equation"/>
        <w:rPr>
          <w:lang w:val="es-ES_tradnl"/>
        </w:rPr>
      </w:pPr>
      <w:r w:rsidRPr="008B7A21">
        <w:rPr>
          <w:i/>
          <w:lang w:val="es-ES_tradnl"/>
        </w:rPr>
        <w:tab/>
      </w:r>
      <w:r w:rsidRPr="008B7A21">
        <w:rPr>
          <w:i/>
          <w:lang w:val="es-ES_tradnl"/>
        </w:rPr>
        <w:tab/>
      </w:r>
      <w:r w:rsidRPr="008B7A21">
        <w:rPr>
          <w:i/>
          <w:position w:val="-30"/>
          <w:lang w:val="es-ES_tradnl"/>
        </w:rPr>
        <w:object w:dxaOrig="1120" w:dyaOrig="700" w14:anchorId="01E1F776">
          <v:shape id="_x0000_i1662" type="#_x0000_t75" style="width:51.05pt;height:36.85pt" o:ole="" fillcolor="window">
            <v:imagedata r:id="rId29" o:title=""/>
          </v:shape>
          <o:OLEObject Type="Embed" ProgID="Equation.3" ShapeID="_x0000_i1662" DrawAspect="Content" ObjectID="_1826705871" r:id="rId30"/>
        </w:object>
      </w:r>
      <w:r w:rsidRPr="008B7A21">
        <w:rPr>
          <w:lang w:val="es-ES_tradnl"/>
        </w:rPr>
        <w:t xml:space="preserve">                MHz </w:t>
      </w:r>
      <w:r w:rsidRPr="008B7A21">
        <w:rPr>
          <w:lang w:val="es-ES_tradnl"/>
        </w:rPr>
        <w:sym w:font="Symbol" w:char="F0D7"/>
      </w:r>
      <w:r w:rsidRPr="008B7A21">
        <w:rPr>
          <w:lang w:val="es-ES_tradnl"/>
        </w:rPr>
        <w:t xml:space="preserve"> km</w:t>
      </w:r>
      <w:r w:rsidRPr="008B7A21">
        <w:rPr>
          <w:vertAlign w:val="superscript"/>
          <w:lang w:val="es-ES_tradnl"/>
        </w:rPr>
        <w:t>2</w:t>
      </w:r>
      <w:r w:rsidRPr="008B7A21">
        <w:rPr>
          <w:lang w:val="es-ES_tradnl"/>
        </w:rPr>
        <w:t xml:space="preserve"> </w:t>
      </w:r>
      <w:r w:rsidRPr="008B7A21">
        <w:rPr>
          <w:lang w:val="es-ES_tradnl"/>
        </w:rPr>
        <w:sym w:font="Symbol" w:char="F0D7"/>
      </w:r>
      <w:r w:rsidRPr="008B7A21">
        <w:rPr>
          <w:lang w:val="es-ES_tradnl"/>
        </w:rPr>
        <w:t xml:space="preserve"> 1 año</w:t>
      </w:r>
      <w:r w:rsidRPr="008B7A21">
        <w:rPr>
          <w:lang w:val="es-ES_tradnl"/>
        </w:rPr>
        <w:tab/>
        <w:t>(26)</w:t>
      </w:r>
    </w:p>
    <w:p w14:paraId="6FDD8EE1" w14:textId="77777777" w:rsidR="00F73D5B" w:rsidRPr="008B7A21" w:rsidRDefault="00F73D5B" w:rsidP="00F73D5B">
      <w:pPr>
        <w:pStyle w:val="Blanc"/>
        <w:rPr>
          <w:lang w:val="es-ES_tradnl"/>
        </w:rPr>
      </w:pPr>
    </w:p>
    <w:p w14:paraId="21BF4181" w14:textId="77777777" w:rsidR="00F73D5B" w:rsidRPr="008B7A21" w:rsidRDefault="00F73D5B" w:rsidP="00F73D5B">
      <w:pPr>
        <w:rPr>
          <w:rFonts w:eastAsia="SimSun"/>
          <w:lang w:val="es-ES_tradnl" w:eastAsia="zh-CN"/>
        </w:rPr>
      </w:pPr>
      <w:r w:rsidRPr="008B7A21">
        <w:rPr>
          <w:rFonts w:eastAsia="SimSun"/>
          <w:lang w:val="es-ES_tradnl" w:eastAsia="zh-CN"/>
        </w:rPr>
        <w:t>siendo:</w:t>
      </w:r>
    </w:p>
    <w:p w14:paraId="4140BDC4" w14:textId="77777777" w:rsidR="00F73D5B" w:rsidRPr="008B7A21" w:rsidRDefault="00F73D5B" w:rsidP="00F73D5B">
      <w:pPr>
        <w:pStyle w:val="Equationlegend"/>
        <w:rPr>
          <w:lang w:val="es-ES_tradnl"/>
        </w:rPr>
      </w:pPr>
      <w:r w:rsidRPr="008B7A21">
        <w:rPr>
          <w:i/>
          <w:lang w:val="es-ES_tradnl"/>
        </w:rPr>
        <w:tab/>
        <w:t>W</w:t>
      </w:r>
      <w:r w:rsidRPr="008B7A21">
        <w:rPr>
          <w:i/>
          <w:iCs/>
          <w:vertAlign w:val="subscript"/>
          <w:lang w:val="es-ES_tradnl"/>
        </w:rPr>
        <w:t>i</w:t>
      </w:r>
      <w:r w:rsidRPr="008B7A21">
        <w:rPr>
          <w:lang w:val="es-ES_tradnl"/>
        </w:rPr>
        <w:t>:</w:t>
      </w:r>
      <w:r w:rsidRPr="008B7A21">
        <w:rPr>
          <w:lang w:val="es-ES_tradnl"/>
        </w:rPr>
        <w:tab/>
        <w:t xml:space="preserve">espectro utilizado por la </w:t>
      </w:r>
      <w:r w:rsidRPr="008B7A21">
        <w:rPr>
          <w:i/>
          <w:iCs/>
          <w:lang w:val="es-ES_tradnl"/>
        </w:rPr>
        <w:t>i</w:t>
      </w:r>
      <w:r w:rsidRPr="008B7A21">
        <w:rPr>
          <w:lang w:val="es-ES_tradnl"/>
        </w:rPr>
        <w:noBreakHyphen/>
        <w:t>ésima asignación de frecuencia</w:t>
      </w:r>
    </w:p>
    <w:p w14:paraId="6BBCE21D" w14:textId="77777777" w:rsidR="00F73D5B" w:rsidRPr="008B7A21" w:rsidRDefault="00F73D5B" w:rsidP="00F73D5B">
      <w:pPr>
        <w:pStyle w:val="Equationlegend"/>
        <w:rPr>
          <w:lang w:val="es-ES_tradnl"/>
        </w:rPr>
      </w:pPr>
      <w:r w:rsidRPr="008B7A21">
        <w:rPr>
          <w:i/>
          <w:iCs/>
          <w:lang w:val="es-ES_tradnl"/>
        </w:rPr>
        <w:tab/>
        <w:t>n</w:t>
      </w:r>
      <w:r w:rsidRPr="008B7A21">
        <w:rPr>
          <w:lang w:val="es-ES_tradnl"/>
        </w:rPr>
        <w:t>:</w:t>
      </w:r>
      <w:r w:rsidRPr="008B7A21">
        <w:rPr>
          <w:lang w:val="es-ES_tradnl"/>
        </w:rPr>
        <w:tab/>
        <w:t>número total de asignaciones de frecuencia registradas en la base de datos nacional de gestión del espectro.</w:t>
      </w:r>
    </w:p>
    <w:p w14:paraId="483B718A" w14:textId="77777777" w:rsidR="00F73D5B" w:rsidRPr="008B7A21" w:rsidRDefault="00F73D5B" w:rsidP="00F73D5B">
      <w:pPr>
        <w:pStyle w:val="Heading3"/>
        <w:rPr>
          <w:rFonts w:eastAsia="SimSun"/>
          <w:lang w:val="es-ES_tradnl" w:eastAsia="zh-CN"/>
        </w:rPr>
      </w:pPr>
      <w:bookmarkStart w:id="1317" w:name="_Toc306276867"/>
      <w:bookmarkStart w:id="1318" w:name="_Toc307921542"/>
      <w:bookmarkStart w:id="1319" w:name="_Toc307922109"/>
      <w:bookmarkStart w:id="1320" w:name="_Toc307922610"/>
      <w:bookmarkStart w:id="1321" w:name="_Toc307991959"/>
      <w:bookmarkStart w:id="1322" w:name="_Toc307993992"/>
      <w:bookmarkStart w:id="1323" w:name="_Toc307995254"/>
      <w:bookmarkStart w:id="1324" w:name="_Toc307996398"/>
      <w:bookmarkStart w:id="1325" w:name="_Toc308010373"/>
      <w:bookmarkStart w:id="1326" w:name="_Toc499563036"/>
      <w:bookmarkStart w:id="1327" w:name="_Toc215835408"/>
      <w:r w:rsidRPr="008B7A21">
        <w:rPr>
          <w:lang w:val="es-ES_tradnl"/>
        </w:rPr>
        <w:t>4.6.11</w:t>
      </w:r>
      <w:r w:rsidRPr="008B7A21">
        <w:rPr>
          <w:lang w:val="es-ES_tradnl"/>
        </w:rPr>
        <w:tab/>
      </w:r>
      <w:r w:rsidRPr="008B7A21">
        <w:rPr>
          <w:rFonts w:eastAsia="SimSun"/>
          <w:lang w:val="es-ES_tradnl" w:eastAsia="zh-CN"/>
        </w:rPr>
        <w:t>Precio por unidad cualificada de espectro utilizado</w:t>
      </w:r>
      <w:bookmarkEnd w:id="1317"/>
      <w:bookmarkEnd w:id="1318"/>
      <w:bookmarkEnd w:id="1319"/>
      <w:bookmarkEnd w:id="1320"/>
      <w:bookmarkEnd w:id="1321"/>
      <w:bookmarkEnd w:id="1322"/>
      <w:bookmarkEnd w:id="1323"/>
      <w:bookmarkEnd w:id="1324"/>
      <w:bookmarkEnd w:id="1325"/>
      <w:bookmarkEnd w:id="1326"/>
      <w:bookmarkEnd w:id="1327"/>
    </w:p>
    <w:p w14:paraId="2B7F907A" w14:textId="77777777" w:rsidR="00F73D5B" w:rsidRPr="008B7A21" w:rsidRDefault="00F73D5B" w:rsidP="00F73D5B">
      <w:pPr>
        <w:rPr>
          <w:rFonts w:eastAsia="SimSun"/>
          <w:lang w:val="es-ES_tradnl" w:eastAsia="zh-CN"/>
        </w:rPr>
      </w:pPr>
      <w:r w:rsidRPr="008B7A21">
        <w:rPr>
          <w:rFonts w:eastAsia="SimSun"/>
          <w:lang w:val="es-ES_tradnl" w:eastAsia="zh-CN"/>
        </w:rPr>
        <w:t>Basándose en las ecuaciones (17)-(19) se puede determinar el total de los pagos anuales que se deben recibir de todos los usuarios que utilizan todo el espectro o parte del mismo. Esto debe realizarse para todos los usuarios combinados o para los distintos servicios tales como los servicios celulares móviles o la radiodifusión. Basándose en las ecuaciones (20)-(26) puede obtenerse el valor total del espectro utilizado anualmente en el país.</w:t>
      </w:r>
    </w:p>
    <w:p w14:paraId="57D66DE3" w14:textId="77777777" w:rsidR="00F73D5B" w:rsidRPr="008B7A21" w:rsidRDefault="00F73D5B" w:rsidP="00F73D5B">
      <w:pPr>
        <w:rPr>
          <w:lang w:val="es-ES_tradnl"/>
        </w:rPr>
      </w:pPr>
      <w:r w:rsidRPr="008B7A21">
        <w:rPr>
          <w:rFonts w:eastAsia="SimSun"/>
          <w:lang w:val="es-ES_tradnl" w:eastAsia="zh-CN"/>
        </w:rPr>
        <w:t xml:space="preserve">A continuación, es posible determinar el precio de </w:t>
      </w:r>
      <w:r w:rsidRPr="008B7A21">
        <w:rPr>
          <w:rFonts w:eastAsia="SimSun"/>
          <w:lang w:val="es-ES_tradnl" w:eastAsia="zh-CN"/>
        </w:rPr>
        <w:sym w:font="Symbol" w:char="F044"/>
      </w:r>
      <w:r w:rsidRPr="008B7A21">
        <w:rPr>
          <w:rFonts w:ascii="Tms Rmn" w:hAnsi="Tms Rmn"/>
          <w:sz w:val="6"/>
          <w:lang w:val="es-ES_tradnl"/>
        </w:rPr>
        <w:t> </w:t>
      </w:r>
      <w:r w:rsidRPr="008B7A21">
        <w:rPr>
          <w:i/>
          <w:iCs/>
          <w:lang w:val="es-ES_tradnl"/>
        </w:rPr>
        <w:t>C</w:t>
      </w:r>
      <w:r w:rsidRPr="008B7A21">
        <w:rPr>
          <w:i/>
          <w:iCs/>
          <w:vertAlign w:val="subscript"/>
          <w:lang w:val="es-ES_tradnl"/>
        </w:rPr>
        <w:t>an</w:t>
      </w:r>
      <w:r w:rsidRPr="008B7A21">
        <w:rPr>
          <w:lang w:val="es-ES_tradnl"/>
        </w:rPr>
        <w:t xml:space="preserve"> para una unidad cualificada de espectro:</w:t>
      </w:r>
    </w:p>
    <w:p w14:paraId="584287F0" w14:textId="77777777" w:rsidR="00F73D5B" w:rsidRPr="008B7A21" w:rsidRDefault="00F73D5B" w:rsidP="00F73D5B">
      <w:pPr>
        <w:pStyle w:val="Blanc"/>
        <w:rPr>
          <w:lang w:val="es-ES_tradnl"/>
        </w:rPr>
      </w:pPr>
    </w:p>
    <w:p w14:paraId="0B65E04D" w14:textId="69F520DE" w:rsidR="00F73D5B" w:rsidRPr="008B7A21" w:rsidRDefault="00F73D5B" w:rsidP="00F73D5B">
      <w:pPr>
        <w:pStyle w:val="Equation"/>
        <w:rPr>
          <w:lang w:val="es-ES_tradnl"/>
        </w:rPr>
      </w:pPr>
      <w:r w:rsidRPr="008B7A21">
        <w:rPr>
          <w:i/>
          <w:lang w:val="es-ES_tradnl"/>
        </w:rPr>
        <w:tab/>
      </w:r>
      <w:r w:rsidRPr="008B7A21">
        <w:rPr>
          <w:i/>
          <w:lang w:val="es-ES_tradnl"/>
        </w:rPr>
        <w:tab/>
      </w:r>
      <w:r w:rsidRPr="008B7A21">
        <w:rPr>
          <w:rFonts w:eastAsia="SimSun"/>
          <w:lang w:val="es-ES_tradnl" w:eastAsia="zh-CN"/>
        </w:rPr>
        <w:sym w:font="Symbol" w:char="F044"/>
      </w:r>
      <w:r w:rsidRPr="008B7A21">
        <w:rPr>
          <w:rFonts w:ascii="Tms Rmn" w:hAnsi="Tms Rmn"/>
          <w:sz w:val="6"/>
          <w:lang w:val="es-ES_tradnl"/>
        </w:rPr>
        <w:t> </w:t>
      </w:r>
      <w:r w:rsidRPr="008B7A21">
        <w:rPr>
          <w:i/>
          <w:iCs/>
          <w:lang w:val="es-ES_tradnl"/>
        </w:rPr>
        <w:t>C</w:t>
      </w:r>
      <w:r w:rsidRPr="008B7A21">
        <w:rPr>
          <w:i/>
          <w:iCs/>
          <w:vertAlign w:val="subscript"/>
          <w:lang w:val="es-ES_tradnl"/>
        </w:rPr>
        <w:t>an</w:t>
      </w:r>
      <w:r w:rsidRPr="008B7A21">
        <w:rPr>
          <w:lang w:val="es-ES_tradnl"/>
        </w:rPr>
        <w:t xml:space="preserve"> </w:t>
      </w:r>
      <w:r w:rsidR="00386EEF">
        <w:rPr>
          <w:iCs/>
          <w:lang w:val="es-ES_tradnl"/>
        </w:rPr>
        <w:t>=</w:t>
      </w:r>
      <w:r w:rsidRPr="008B7A21">
        <w:rPr>
          <w:lang w:val="es-ES_tradnl"/>
        </w:rPr>
        <w:t xml:space="preserve"> </w:t>
      </w:r>
      <w:r w:rsidRPr="008B7A21">
        <w:rPr>
          <w:i/>
          <w:lang w:val="es-ES_tradnl"/>
        </w:rPr>
        <w:t>L</w:t>
      </w:r>
      <w:r w:rsidRPr="008B7A21">
        <w:rPr>
          <w:lang w:val="es-ES_tradnl"/>
        </w:rPr>
        <w:t>(</w:t>
      </w:r>
      <w:r w:rsidRPr="008B7A21">
        <w:rPr>
          <w:i/>
          <w:lang w:val="es-ES_tradnl"/>
        </w:rPr>
        <w:t>C</w:t>
      </w:r>
      <w:r w:rsidRPr="008B7A21">
        <w:rPr>
          <w:i/>
          <w:szCs w:val="24"/>
          <w:vertAlign w:val="subscript"/>
          <w:lang w:val="es-ES_tradnl"/>
        </w:rPr>
        <w:t>an</w:t>
      </w:r>
      <w:r w:rsidRPr="008B7A21">
        <w:rPr>
          <w:lang w:val="es-ES_tradnl"/>
        </w:rPr>
        <w:t>/</w:t>
      </w:r>
      <w:r w:rsidRPr="008B7A21">
        <w:rPr>
          <w:i/>
          <w:lang w:val="es-ES_tradnl"/>
        </w:rPr>
        <w:t>W</w:t>
      </w:r>
      <w:r w:rsidRPr="008B7A21">
        <w:rPr>
          <w:lang w:val="es-ES_tradnl"/>
        </w:rPr>
        <w:t xml:space="preserve">)   (unidades de una divisa nacional/MHz </w:t>
      </w:r>
      <w:r w:rsidRPr="008B7A21">
        <w:rPr>
          <w:lang w:val="es-ES_tradnl"/>
        </w:rPr>
        <w:sym w:font="Symbol" w:char="F0D7"/>
      </w:r>
      <w:r w:rsidRPr="008B7A21">
        <w:rPr>
          <w:lang w:val="es-ES_tradnl"/>
        </w:rPr>
        <w:t xml:space="preserve"> km</w:t>
      </w:r>
      <w:r w:rsidRPr="008B7A21">
        <w:rPr>
          <w:vertAlign w:val="superscript"/>
          <w:lang w:val="es-ES_tradnl"/>
        </w:rPr>
        <w:t>2</w:t>
      </w:r>
      <w:r w:rsidRPr="008B7A21">
        <w:rPr>
          <w:sz w:val="20"/>
          <w:lang w:val="es-ES_tradnl"/>
        </w:rPr>
        <w:t xml:space="preserve"> </w:t>
      </w:r>
      <w:r w:rsidRPr="008B7A21">
        <w:rPr>
          <w:lang w:val="es-ES_tradnl"/>
        </w:rPr>
        <w:sym w:font="Symbol" w:char="F0D7"/>
      </w:r>
      <w:r w:rsidRPr="008B7A21">
        <w:rPr>
          <w:lang w:val="es-ES_tradnl"/>
        </w:rPr>
        <w:t xml:space="preserve"> 1 año)</w:t>
      </w:r>
      <w:r w:rsidRPr="008B7A21">
        <w:rPr>
          <w:lang w:val="es-ES_tradnl"/>
        </w:rPr>
        <w:tab/>
        <w:t>(27)</w:t>
      </w:r>
    </w:p>
    <w:p w14:paraId="5E5AA2D7" w14:textId="77777777" w:rsidR="00F73D5B" w:rsidRPr="008B7A21" w:rsidRDefault="00F73D5B" w:rsidP="00F73D5B">
      <w:pPr>
        <w:pStyle w:val="Blanc"/>
        <w:rPr>
          <w:lang w:val="es-ES_tradnl"/>
        </w:rPr>
      </w:pPr>
    </w:p>
    <w:p w14:paraId="56260D23" w14:textId="77777777" w:rsidR="00F73D5B" w:rsidRPr="008B7A21" w:rsidRDefault="00F73D5B" w:rsidP="00F73D5B">
      <w:pPr>
        <w:rPr>
          <w:lang w:val="es-ES_tradnl"/>
        </w:rPr>
      </w:pPr>
      <w:r w:rsidRPr="008B7A21">
        <w:rPr>
          <w:lang w:val="es-ES_tradnl"/>
        </w:rPr>
        <w:t>siendo:</w:t>
      </w:r>
    </w:p>
    <w:p w14:paraId="0CD2DB4C" w14:textId="77777777" w:rsidR="00F73D5B" w:rsidRPr="008B7A21" w:rsidRDefault="00F73D5B" w:rsidP="00F73D5B">
      <w:pPr>
        <w:pStyle w:val="Equationlegend"/>
        <w:rPr>
          <w:lang w:val="es-ES_tradnl"/>
        </w:rPr>
      </w:pPr>
      <w:r w:rsidRPr="008B7A21">
        <w:rPr>
          <w:i/>
          <w:lang w:val="es-ES_tradnl"/>
        </w:rPr>
        <w:tab/>
        <w:t>L</w:t>
      </w:r>
      <w:r w:rsidRPr="008B7A21">
        <w:rPr>
          <w:lang w:val="es-ES_tradnl"/>
        </w:rPr>
        <w:t>:</w:t>
      </w:r>
      <w:r w:rsidRPr="008B7A21">
        <w:rPr>
          <w:lang w:val="es-ES_tradnl"/>
        </w:rPr>
        <w:tab/>
        <w:t>factor de ajuste que tiene en cuenta los posibles cambios de costes en el país durante el siguiente año fiscal.</w:t>
      </w:r>
    </w:p>
    <w:p w14:paraId="1033B573" w14:textId="77777777" w:rsidR="00F73D5B" w:rsidRPr="008B7A21" w:rsidRDefault="00F73D5B" w:rsidP="00F73D5B">
      <w:pPr>
        <w:pStyle w:val="Heading3"/>
        <w:rPr>
          <w:lang w:val="es-ES_tradnl" w:eastAsia="zh-CN"/>
        </w:rPr>
      </w:pPr>
      <w:bookmarkStart w:id="1328" w:name="_Toc306276868"/>
      <w:bookmarkStart w:id="1329" w:name="_Toc307921543"/>
      <w:bookmarkStart w:id="1330" w:name="_Toc307922110"/>
      <w:bookmarkStart w:id="1331" w:name="_Toc307922611"/>
      <w:bookmarkStart w:id="1332" w:name="_Toc307991960"/>
      <w:bookmarkStart w:id="1333" w:name="_Toc307993993"/>
      <w:bookmarkStart w:id="1334" w:name="_Toc307995255"/>
      <w:bookmarkStart w:id="1335" w:name="_Toc307996399"/>
      <w:bookmarkStart w:id="1336" w:name="_Toc308010374"/>
      <w:bookmarkStart w:id="1337" w:name="_Toc499563037"/>
      <w:bookmarkStart w:id="1338" w:name="_Toc215835409"/>
      <w:r w:rsidRPr="008B7A21">
        <w:rPr>
          <w:lang w:val="es-ES_tradnl" w:eastAsia="zh-CN"/>
        </w:rPr>
        <w:t>4.6.12</w:t>
      </w:r>
      <w:r w:rsidRPr="008B7A21">
        <w:rPr>
          <w:lang w:val="es-ES_tradnl" w:eastAsia="zh-CN"/>
        </w:rPr>
        <w:tab/>
      </w:r>
      <w:r w:rsidRPr="008B7A21">
        <w:rPr>
          <w:lang w:val="es-ES_tradnl"/>
        </w:rPr>
        <w:t>Cánones anuales para una asignación de frecuencia dada</w:t>
      </w:r>
      <w:bookmarkEnd w:id="1328"/>
      <w:bookmarkEnd w:id="1329"/>
      <w:bookmarkEnd w:id="1330"/>
      <w:bookmarkEnd w:id="1331"/>
      <w:bookmarkEnd w:id="1332"/>
      <w:bookmarkEnd w:id="1333"/>
      <w:bookmarkEnd w:id="1334"/>
      <w:bookmarkEnd w:id="1335"/>
      <w:bookmarkEnd w:id="1336"/>
      <w:bookmarkEnd w:id="1337"/>
      <w:bookmarkEnd w:id="1338"/>
    </w:p>
    <w:p w14:paraId="2AC4B127" w14:textId="77777777" w:rsidR="00F73D5B" w:rsidRPr="008B7A21" w:rsidRDefault="00F73D5B" w:rsidP="00F73D5B">
      <w:pPr>
        <w:rPr>
          <w:lang w:val="es-ES_tradnl"/>
        </w:rPr>
      </w:pPr>
      <w:r w:rsidRPr="008B7A21">
        <w:rPr>
          <w:lang w:val="es-ES_tradnl"/>
        </w:rPr>
        <w:t xml:space="preserve">El precio del </w:t>
      </w:r>
      <w:r w:rsidRPr="008B7A21">
        <w:rPr>
          <w:rFonts w:eastAsia="SimSun"/>
          <w:lang w:val="es-ES_tradnl" w:eastAsia="zh-CN"/>
        </w:rPr>
        <w:sym w:font="Symbol" w:char="F044"/>
      </w:r>
      <w:r w:rsidRPr="008B7A21">
        <w:rPr>
          <w:rFonts w:ascii="Tms Rmn" w:hAnsi="Tms Rmn"/>
          <w:sz w:val="6"/>
          <w:lang w:val="es-ES_tradnl"/>
        </w:rPr>
        <w:t> </w:t>
      </w:r>
      <w:r w:rsidRPr="008B7A21">
        <w:rPr>
          <w:i/>
          <w:iCs/>
          <w:lang w:val="es-ES_tradnl"/>
        </w:rPr>
        <w:t>C</w:t>
      </w:r>
      <w:r w:rsidRPr="008B7A21">
        <w:rPr>
          <w:i/>
          <w:iCs/>
          <w:vertAlign w:val="subscript"/>
          <w:lang w:val="es-ES_tradnl"/>
        </w:rPr>
        <w:t>an</w:t>
      </w:r>
      <w:r w:rsidRPr="008B7A21">
        <w:rPr>
          <w:lang w:val="es-ES_tradnl"/>
        </w:rPr>
        <w:t xml:space="preserve"> para la unidad cualificada de espectro se calcula utilizando la ecuación (27). La ecuación (20) proporciona el valor del espectro </w:t>
      </w:r>
      <w:r w:rsidRPr="008B7A21">
        <w:rPr>
          <w:i/>
          <w:lang w:val="es-ES_tradnl"/>
        </w:rPr>
        <w:t>W</w:t>
      </w:r>
      <w:r w:rsidRPr="008B7A21">
        <w:rPr>
          <w:i/>
          <w:iCs/>
          <w:vertAlign w:val="subscript"/>
          <w:lang w:val="es-ES_tradnl"/>
        </w:rPr>
        <w:t>i</w:t>
      </w:r>
      <w:r w:rsidRPr="008B7A21">
        <w:rPr>
          <w:lang w:val="es-ES_tradnl"/>
        </w:rPr>
        <w:t xml:space="preserve"> utilizado para una </w:t>
      </w:r>
      <w:r w:rsidRPr="008B7A21">
        <w:rPr>
          <w:i/>
          <w:iCs/>
          <w:lang w:val="es-ES_tradnl"/>
        </w:rPr>
        <w:t>i</w:t>
      </w:r>
      <w:r w:rsidRPr="008B7A21">
        <w:rPr>
          <w:i/>
          <w:iCs/>
          <w:lang w:val="es-ES_tradnl"/>
        </w:rPr>
        <w:noBreakHyphen/>
      </w:r>
      <w:r w:rsidRPr="008B7A21">
        <w:rPr>
          <w:lang w:val="es-ES_tradnl"/>
        </w:rPr>
        <w:t xml:space="preserve">ésima asignación de frecuencia en particular. Basándose en ello, la cantidad de pago anual </w:t>
      </w:r>
      <w:r w:rsidRPr="008B7A21">
        <w:rPr>
          <w:i/>
          <w:lang w:val="es-ES_tradnl"/>
        </w:rPr>
        <w:t>C</w:t>
      </w:r>
      <w:r w:rsidRPr="008B7A21">
        <w:rPr>
          <w:i/>
          <w:iCs/>
          <w:vertAlign w:val="subscript"/>
          <w:lang w:val="es-ES_tradnl"/>
        </w:rPr>
        <w:t>i</w:t>
      </w:r>
      <w:r w:rsidRPr="008B7A21">
        <w:rPr>
          <w:lang w:val="es-ES_tradnl"/>
        </w:rPr>
        <w:t xml:space="preserve"> que debe realizar un usuario específico del espectro para esta asignación de frecuencia se determinará de la forma siguiente:</w:t>
      </w:r>
    </w:p>
    <w:p w14:paraId="56CCFDBB" w14:textId="77777777" w:rsidR="00F73D5B" w:rsidRPr="008B7A21" w:rsidRDefault="00F73D5B" w:rsidP="00F73D5B">
      <w:pPr>
        <w:pStyle w:val="Blanc"/>
        <w:rPr>
          <w:lang w:val="es-ES_tradnl"/>
        </w:rPr>
      </w:pPr>
    </w:p>
    <w:p w14:paraId="112EE39A"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i/>
          <w:iCs/>
          <w:lang w:val="es-ES_tradnl"/>
        </w:rPr>
        <w:t>C</w:t>
      </w:r>
      <w:r w:rsidRPr="008B7A21">
        <w:rPr>
          <w:i/>
          <w:iCs/>
          <w:vertAlign w:val="subscript"/>
          <w:lang w:val="es-ES_tradnl"/>
        </w:rPr>
        <w:t>i</w:t>
      </w:r>
      <w:r w:rsidRPr="008B7A21">
        <w:rPr>
          <w:lang w:val="es-ES_tradnl"/>
        </w:rPr>
        <w:t xml:space="preserve"> = </w:t>
      </w:r>
      <w:r w:rsidRPr="008B7A21">
        <w:rPr>
          <w:rFonts w:eastAsia="SimSun"/>
          <w:lang w:val="es-ES_tradnl" w:eastAsia="zh-CN"/>
        </w:rPr>
        <w:sym w:font="Symbol" w:char="F044"/>
      </w:r>
      <w:r w:rsidRPr="008B7A21">
        <w:rPr>
          <w:rFonts w:ascii="Tms Rmn" w:hAnsi="Tms Rmn"/>
          <w:sz w:val="6"/>
          <w:lang w:val="es-ES_tradnl"/>
        </w:rPr>
        <w:t> </w:t>
      </w:r>
      <w:r w:rsidRPr="008B7A21">
        <w:rPr>
          <w:i/>
          <w:iCs/>
          <w:lang w:val="es-ES_tradnl"/>
        </w:rPr>
        <w:t>C</w:t>
      </w:r>
      <w:r w:rsidRPr="008B7A21">
        <w:rPr>
          <w:i/>
          <w:iCs/>
          <w:vertAlign w:val="subscript"/>
          <w:lang w:val="es-ES_tradnl"/>
        </w:rPr>
        <w:t>an</w:t>
      </w:r>
      <w:r w:rsidRPr="008B7A21">
        <w:rPr>
          <w:lang w:val="es-ES_tradnl"/>
        </w:rPr>
        <w:t xml:space="preserve"> </w:t>
      </w:r>
      <w:r w:rsidRPr="008B7A21">
        <w:rPr>
          <w:lang w:val="es-ES_tradnl"/>
        </w:rPr>
        <w:sym w:font="Symbol" w:char="F0D7"/>
      </w:r>
      <w:r w:rsidRPr="008B7A21">
        <w:rPr>
          <w:lang w:val="es-ES_tradnl"/>
        </w:rPr>
        <w:t xml:space="preserve"> </w:t>
      </w:r>
      <w:r w:rsidRPr="008B7A21">
        <w:rPr>
          <w:i/>
          <w:iCs/>
          <w:lang w:val="es-ES_tradnl"/>
        </w:rPr>
        <w:t>W</w:t>
      </w:r>
      <w:r w:rsidRPr="008B7A21">
        <w:rPr>
          <w:i/>
          <w:iCs/>
          <w:vertAlign w:val="subscript"/>
          <w:lang w:val="es-ES_tradnl"/>
        </w:rPr>
        <w:t>i</w:t>
      </w:r>
      <w:r w:rsidRPr="008B7A21">
        <w:rPr>
          <w:lang w:val="es-ES_tradnl"/>
        </w:rPr>
        <w:tab/>
        <w:t>(28)</w:t>
      </w:r>
    </w:p>
    <w:p w14:paraId="4EDE374D" w14:textId="77777777" w:rsidR="00F73D5B" w:rsidRPr="008B7A21" w:rsidRDefault="00F73D5B" w:rsidP="00F73D5B">
      <w:pPr>
        <w:pStyle w:val="Blanc"/>
        <w:rPr>
          <w:lang w:val="es-ES_tradnl"/>
        </w:rPr>
      </w:pPr>
    </w:p>
    <w:p w14:paraId="3DFC7331" w14:textId="77777777" w:rsidR="00F73D5B" w:rsidRPr="008B7A21" w:rsidRDefault="00F73D5B" w:rsidP="00F73D5B">
      <w:pPr>
        <w:rPr>
          <w:lang w:val="es-ES_tradnl"/>
        </w:rPr>
      </w:pPr>
      <w:r w:rsidRPr="008B7A21">
        <w:rPr>
          <w:lang w:val="es-ES_tradnl"/>
        </w:rPr>
        <w:t>Si ese operador de radiocomunicaciones cuenta con varias asignaciones de frecuencia, el pago por cada asignación se determina como se ha indicado anteriormente y a continuación se suman las cantidades obtenidas en relación con todas las asignaciones de frecuencia del operador.</w:t>
      </w:r>
    </w:p>
    <w:p w14:paraId="18DC000F" w14:textId="77777777" w:rsidR="00F73D5B" w:rsidRPr="008B7A21" w:rsidRDefault="00F73D5B" w:rsidP="00F73D5B">
      <w:pPr>
        <w:pStyle w:val="Heading2"/>
        <w:rPr>
          <w:lang w:val="es-ES_tradnl"/>
        </w:rPr>
      </w:pPr>
      <w:bookmarkStart w:id="1339" w:name="_Toc306276869"/>
      <w:bookmarkStart w:id="1340" w:name="_Toc307921544"/>
      <w:bookmarkStart w:id="1341" w:name="_Toc307922111"/>
      <w:bookmarkStart w:id="1342" w:name="_Toc307922612"/>
      <w:bookmarkStart w:id="1343" w:name="_Toc307991961"/>
      <w:bookmarkStart w:id="1344" w:name="_Toc307993994"/>
      <w:bookmarkStart w:id="1345" w:name="_Toc307995256"/>
      <w:bookmarkStart w:id="1346" w:name="_Toc307996400"/>
      <w:bookmarkStart w:id="1347" w:name="_Toc308010375"/>
      <w:bookmarkStart w:id="1348" w:name="_Toc499563038"/>
      <w:bookmarkStart w:id="1349" w:name="_Toc215835410"/>
      <w:r w:rsidRPr="008B7A21">
        <w:rPr>
          <w:lang w:val="es-ES_tradnl"/>
        </w:rPr>
        <w:t>4.7</w:t>
      </w:r>
      <w:r w:rsidRPr="008B7A21">
        <w:rPr>
          <w:lang w:val="es-ES_tradnl"/>
        </w:rPr>
        <w:tab/>
        <w:t>Procedimientos y ejemplos de cálculo del espectro utilizado por diversos servicios de radiocomunicaciones</w:t>
      </w:r>
      <w:bookmarkEnd w:id="1339"/>
      <w:bookmarkEnd w:id="1340"/>
      <w:bookmarkEnd w:id="1341"/>
      <w:bookmarkEnd w:id="1342"/>
      <w:bookmarkEnd w:id="1343"/>
      <w:bookmarkEnd w:id="1344"/>
      <w:bookmarkEnd w:id="1345"/>
      <w:bookmarkEnd w:id="1346"/>
      <w:bookmarkEnd w:id="1347"/>
      <w:bookmarkEnd w:id="1348"/>
      <w:bookmarkEnd w:id="1349"/>
    </w:p>
    <w:p w14:paraId="4AFB1072" w14:textId="77777777" w:rsidR="00F73D5B" w:rsidRPr="008B7A21" w:rsidRDefault="00F73D5B" w:rsidP="00F73D5B">
      <w:pPr>
        <w:rPr>
          <w:lang w:val="es-ES_tradnl"/>
        </w:rPr>
      </w:pPr>
      <w:r w:rsidRPr="008B7A21">
        <w:rPr>
          <w:lang w:val="es-ES_tradnl"/>
        </w:rPr>
        <w:t>Las fórmulas utilizadas para calcular las tasas de espectro suelen reflejar ciertas características relacionadas directamente con el servicio. Por ejemplo, hay algunos parámetros básicos como el tipo de servicio, el ancho de banda y la banda de frecuencias. Además, sería posible incorporar otros parámetros, por ejemplo sería útil un factor de distancia para promover el uso adecuado de las bandas de conformidad con las consideraciones de propagación. Otro parámetro conveniente sería un factor de congestión para reflejar el costo de oportunidad del recurso.</w:t>
      </w:r>
    </w:p>
    <w:p w14:paraId="1CB2CCD1" w14:textId="77777777" w:rsidR="00F73D5B" w:rsidRPr="008B7A21" w:rsidRDefault="00F73D5B" w:rsidP="00F73D5B">
      <w:pPr>
        <w:rPr>
          <w:lang w:val="es-ES_tradnl"/>
        </w:rPr>
      </w:pPr>
      <w:r w:rsidRPr="008B7A21">
        <w:rPr>
          <w:lang w:val="es-ES_tradnl"/>
        </w:rPr>
        <w:t>Además, para calcular los cánones es mucho más importante establecer procedimientos universales con objeto de garantizar las mismas condiciones a todos los usuarios que pertenezcan a un grupo (servicio de radiocomunicaciones o aplicación particular) en vez de lograr una elevada precisión en los cálculos de los parámetros técnicos.</w:t>
      </w:r>
    </w:p>
    <w:p w14:paraId="12683AE1" w14:textId="77777777" w:rsidR="00F73D5B" w:rsidRPr="008B7A21" w:rsidRDefault="00F73D5B" w:rsidP="00F73D5B">
      <w:pPr>
        <w:rPr>
          <w:lang w:val="es-ES_tradnl"/>
        </w:rPr>
      </w:pPr>
      <w:r w:rsidRPr="008B7A21">
        <w:rPr>
          <w:lang w:val="es-ES_tradnl"/>
        </w:rPr>
        <w:t>Con todo, dependiendo de la disponibilidad de los sistemas automáticos de gestión del espectro (véase la Recomendación UIT-R SM.1370), las administraciones, en su objetivo de promover el uso eficiente del espectro y de conocer el costo de oportunidad, pueden incorporar factores en las fórmulas para calcular los cánones de espectro. Por ejemplo, con el objeto de reducir la congestión de algunos servicios o bandas de frecuencias, las administraciones pueden incorporar un factor en las fórmulas de canon del espectro para reducir la demanda de los usuarios. Esto puedo promover un uso mejor de otras ubicaciones de bandas de frecuencias menos congestionadas. Otra opción podría ser tener en cuenta la distancia de los enlaces. De modo similar, este tipo de parámetro en las fórmulas tiene por objeto promover un uso adecuado de una banda en concreto mediante el precio.</w:t>
      </w:r>
    </w:p>
    <w:p w14:paraId="43A7921E" w14:textId="77777777" w:rsidR="00F73D5B" w:rsidRPr="008B7A21" w:rsidRDefault="00F73D5B" w:rsidP="00F73D5B">
      <w:pPr>
        <w:rPr>
          <w:lang w:val="es-ES_tradnl"/>
        </w:rPr>
      </w:pPr>
      <w:r w:rsidRPr="008B7A21">
        <w:rPr>
          <w:lang w:val="es-ES_tradnl"/>
        </w:rPr>
        <w:t>A pesar de esas posibles incorporaciones en las fórmulas de canon del espectro para el modelo de cálculo de los cánones de licencia indicado, se proponen unos métodos de cálculo considerablemente simplificados. Se hace hincapié en la utilización de gráficos y cuadros previamente determinados en vez de emplear ecuaciones complicadas. Para los casos más difíciles (radiodifusión en ondas decamétricas, comunicaciones por satélite, etc.) determinados cálculos de zonas de servicio, longitudes de radioenlaces fijos, etc., pueden sustituirse por valores tomados directamente de los formularios de solicitud de las licencias pertinentes o comunicados por los operadores por petición especial.</w:t>
      </w:r>
    </w:p>
    <w:p w14:paraId="0E9D7493" w14:textId="77777777" w:rsidR="00F73D5B" w:rsidRPr="008B7A21" w:rsidRDefault="00F73D5B" w:rsidP="00F73D5B">
      <w:pPr>
        <w:rPr>
          <w:lang w:val="es-ES_tradnl"/>
        </w:rPr>
      </w:pPr>
      <w:r w:rsidRPr="008B7A21">
        <w:rPr>
          <w:lang w:val="es-ES_tradnl"/>
        </w:rPr>
        <w:t>Otro enfoque común es realizar una estimación de las zonas de servicio o zonas ocupadas únicamente dentro de las fronteras nacionales de un país. Para los servicios marítimos puede utilizarse el concepto de frontera económica marítima nacional (normalmente de 200 millas, es decir 360 km).</w:t>
      </w:r>
    </w:p>
    <w:p w14:paraId="498DDF8D" w14:textId="77777777" w:rsidR="00F73D5B" w:rsidRPr="008B7A21" w:rsidRDefault="00F73D5B" w:rsidP="00F73D5B">
      <w:pPr>
        <w:rPr>
          <w:lang w:val="es-ES_tradnl"/>
        </w:rPr>
      </w:pPr>
      <w:r w:rsidRPr="008B7A21">
        <w:rPr>
          <w:lang w:val="es-ES_tradnl"/>
        </w:rPr>
        <w:t>Para los sistemas de radiocomunicaciones móviles celulares, que pueden contener numerosas estaciones de base, incluidas microcélulas y picocélulas para funcionamiento en las proximidades y en interiores, puede llevar demasiado tiempo realizar cálculos basados en la determinación de las zonas de servicio de las estaciones de base individuales. Por consiguiente, para calcular el espectro utilizado por toda la red puede utilizarse en este caso la zona de servicio global de la red celular pertinente y todas las bandas de frecuencias asignadas para las comunicaciones base-móvil y móvil</w:t>
      </w:r>
      <w:r w:rsidRPr="008B7A21">
        <w:rPr>
          <w:lang w:val="es-ES_tradnl"/>
        </w:rPr>
        <w:noBreakHyphen/>
        <w:t>base.</w:t>
      </w:r>
    </w:p>
    <w:p w14:paraId="62C60E3F" w14:textId="77777777" w:rsidR="00F73D5B" w:rsidRPr="008B7A21" w:rsidRDefault="00F73D5B" w:rsidP="00F73D5B">
      <w:pPr>
        <w:rPr>
          <w:lang w:val="es-ES_tradnl"/>
        </w:rPr>
      </w:pPr>
      <w:r w:rsidRPr="008B7A21">
        <w:rPr>
          <w:lang w:val="es-ES_tradnl"/>
        </w:rPr>
        <w:t>Se propone determinar las zonas ocupadas de las estaciones terrenas de los sistemas de comunicaciones por satélite basándose en las distancias de coordinación acordadas durante el proceso de coordinación y notificación de las asignaciones de frecuencia y de órbitas en el UIT</w:t>
      </w:r>
      <w:r w:rsidRPr="008B7A21">
        <w:rPr>
          <w:lang w:val="es-ES_tradnl"/>
        </w:rPr>
        <w:noBreakHyphen/>
        <w:t>R. Si no están disponibles, se propone utilizar una distancia de coordinación universal de 350 km para terminales VSAT y de 750 km para otras estaciones. En algunos casos, pueden utilizarse también los valores acordados entre la administración y el operador.</w:t>
      </w:r>
    </w:p>
    <w:p w14:paraId="631D618C" w14:textId="77777777" w:rsidR="00F73D5B" w:rsidRPr="008B7A21" w:rsidRDefault="00F73D5B" w:rsidP="00F73D5B">
      <w:pPr>
        <w:rPr>
          <w:lang w:val="es-ES_tradnl"/>
        </w:rPr>
      </w:pPr>
      <w:r w:rsidRPr="008B7A21">
        <w:rPr>
          <w:lang w:val="es-ES_tradnl"/>
        </w:rPr>
        <w:t>Anteriormente se indicó que el modelo también es aplicable a receptores para los cuales los usuarios solicitan sobre todo protección contra interferencias. Para calcular los cánones pertinentes, de conformidad con el principio de reciprocidad entre un receptor y un transmisor, el receptor se sustituye por un transmisor de potencia típica (o una potencia acordada con el usuario) y una antena cuya altura efectiva, ganancia y directividad correspondan a la del receptor. Para este conjunto de parámetros se calcula el espectro pertinente y, a continuación, los cánones de licencia radioeléctrica de conformidad con los procedimientos indicados más adelante para los servicios de radiocomunicaciones correspondientes y sus aplicaciones.</w:t>
      </w:r>
    </w:p>
    <w:p w14:paraId="79342FD1" w14:textId="77777777" w:rsidR="00F73D5B" w:rsidRPr="008B7A21" w:rsidRDefault="00F73D5B" w:rsidP="00F73D5B">
      <w:pPr>
        <w:rPr>
          <w:lang w:val="es-ES_tradnl"/>
        </w:rPr>
      </w:pPr>
      <w:r w:rsidRPr="008B7A21">
        <w:rPr>
          <w:lang w:val="es-ES_tradnl"/>
        </w:rPr>
        <w:t>Es necesario indicar que una administración, dependiendo de las condiciones y capacidades particulares, puede decidir la simplificación de algunos de los procedimientos de cálculo propuestos. En particular ello se refiere a la eliminación de las subdivisiones de zonas de servicio/ ocupadas en distintas zonas pertenecientes a diferentes categorías de cánones de licencia pudiéndose utilizar una sola categoría correspondiente a la zona de servicio/ocupada más amplia. También se refiere a la supresión de la determinación de la altura efectiva de la antena, etc.</w:t>
      </w:r>
    </w:p>
    <w:p w14:paraId="621B5DB5" w14:textId="77777777" w:rsidR="00F73D5B" w:rsidRPr="008B7A21" w:rsidRDefault="00F73D5B" w:rsidP="00F73D5B">
      <w:pPr>
        <w:pStyle w:val="Heading3"/>
        <w:rPr>
          <w:lang w:val="es-ES_tradnl" w:eastAsia="zh-CN"/>
        </w:rPr>
      </w:pPr>
      <w:bookmarkStart w:id="1350" w:name="_Toc306276870"/>
      <w:bookmarkStart w:id="1351" w:name="_Toc307921545"/>
      <w:bookmarkStart w:id="1352" w:name="_Toc307922112"/>
      <w:bookmarkStart w:id="1353" w:name="_Toc307922613"/>
      <w:bookmarkStart w:id="1354" w:name="_Toc307991962"/>
      <w:bookmarkStart w:id="1355" w:name="_Toc307993995"/>
      <w:bookmarkStart w:id="1356" w:name="_Toc307995257"/>
      <w:bookmarkStart w:id="1357" w:name="_Toc307996401"/>
      <w:bookmarkStart w:id="1358" w:name="_Toc308010376"/>
      <w:bookmarkStart w:id="1359" w:name="_Toc499563039"/>
      <w:bookmarkStart w:id="1360" w:name="_Toc215835411"/>
      <w:r w:rsidRPr="008B7A21">
        <w:rPr>
          <w:lang w:val="es-ES_tradnl" w:eastAsia="zh-CN"/>
        </w:rPr>
        <w:t>4.7.1</w:t>
      </w:r>
      <w:r w:rsidRPr="008B7A21">
        <w:rPr>
          <w:lang w:val="es-ES_tradnl" w:eastAsia="zh-CN"/>
        </w:rPr>
        <w:tab/>
      </w:r>
      <w:r w:rsidRPr="008B7A21">
        <w:rPr>
          <w:lang w:val="es-ES_tradnl"/>
        </w:rPr>
        <w:t>Procedimientos de cálculo para la radiodifusión sonora y de televisión en ondas métricas/decimétricas</w:t>
      </w:r>
      <w:bookmarkEnd w:id="1350"/>
      <w:bookmarkEnd w:id="1351"/>
      <w:bookmarkEnd w:id="1352"/>
      <w:bookmarkEnd w:id="1353"/>
      <w:bookmarkEnd w:id="1354"/>
      <w:bookmarkEnd w:id="1355"/>
      <w:bookmarkEnd w:id="1356"/>
      <w:bookmarkEnd w:id="1357"/>
      <w:bookmarkEnd w:id="1358"/>
      <w:bookmarkEnd w:id="1359"/>
      <w:bookmarkEnd w:id="1360"/>
    </w:p>
    <w:p w14:paraId="4EE6E176" w14:textId="77777777" w:rsidR="00F73D5B" w:rsidRPr="008B7A21" w:rsidRDefault="00F73D5B" w:rsidP="00F73D5B">
      <w:pPr>
        <w:pStyle w:val="Headingb"/>
        <w:rPr>
          <w:lang w:val="es-ES_tradnl" w:eastAsia="zh-CN"/>
        </w:rPr>
      </w:pPr>
      <w:bookmarkStart w:id="1361" w:name="_Toc307922614"/>
      <w:bookmarkStart w:id="1362" w:name="_Toc307991963"/>
      <w:bookmarkStart w:id="1363" w:name="_Toc307993996"/>
      <w:bookmarkStart w:id="1364" w:name="_Toc307996402"/>
      <w:bookmarkStart w:id="1365" w:name="_Toc499563040"/>
      <w:r w:rsidRPr="008B7A21">
        <w:rPr>
          <w:lang w:val="es-ES_tradnl" w:eastAsia="zh-CN"/>
        </w:rPr>
        <w:t>a)</w:t>
      </w:r>
      <w:r w:rsidRPr="008B7A21">
        <w:rPr>
          <w:lang w:val="es-ES_tradnl" w:eastAsia="zh-CN"/>
        </w:rPr>
        <w:tab/>
      </w:r>
      <w:r w:rsidRPr="008B7A21">
        <w:rPr>
          <w:lang w:val="es-ES_tradnl"/>
        </w:rPr>
        <w:t>Cálculo del radio de la zona de servicio</w:t>
      </w:r>
      <w:bookmarkEnd w:id="1361"/>
      <w:bookmarkEnd w:id="1362"/>
      <w:bookmarkEnd w:id="1363"/>
      <w:bookmarkEnd w:id="1364"/>
      <w:bookmarkEnd w:id="1365"/>
    </w:p>
    <w:p w14:paraId="0A645D9D" w14:textId="77777777" w:rsidR="00F73D5B" w:rsidRPr="008B7A21" w:rsidRDefault="00F73D5B" w:rsidP="00F73D5B">
      <w:pPr>
        <w:rPr>
          <w:lang w:val="es-ES_tradnl"/>
        </w:rPr>
      </w:pPr>
      <w:r w:rsidRPr="008B7A21">
        <w:rPr>
          <w:lang w:val="es-ES_tradnl"/>
        </w:rPr>
        <w:t>Cuando no se disponga de mapas digitales del terreno ni de modelos de planificación de frecuencias y de propagación informatizados, que pueden proporcionar unos cálculos automáticos exactos, se propone emplear el siguiente método simplificado para determinar la zona de servicio. El procedimiento se basa fundamentalmente en las disposiciones de la Recomendación UIT</w:t>
      </w:r>
      <w:r w:rsidRPr="008B7A21">
        <w:rPr>
          <w:lang w:val="es-ES_tradnl"/>
        </w:rPr>
        <w:noBreakHyphen/>
        <w:t>R P.1546</w:t>
      </w:r>
      <w:r w:rsidRPr="008B7A21">
        <w:rPr>
          <w:lang w:val="es-ES_tradnl"/>
        </w:rPr>
        <w:noBreakHyphen/>
        <w:t>4 que presenta curvas de propagación y procedimientos para su utilización en la determinación de distancias para las cuales la intensidad de campo toma valores específicos considerados como los mínimos utilizables por la Recomendación UIT</w:t>
      </w:r>
      <w:r w:rsidRPr="008B7A21">
        <w:rPr>
          <w:lang w:val="es-ES_tradnl"/>
        </w:rPr>
        <w:noBreakHyphen/>
        <w:t>R BT.417</w:t>
      </w:r>
      <w:r w:rsidRPr="008B7A21">
        <w:rPr>
          <w:lang w:val="es-ES_tradnl"/>
        </w:rPr>
        <w:noBreakHyphen/>
        <w:t>5.</w:t>
      </w:r>
    </w:p>
    <w:p w14:paraId="4767F92C" w14:textId="33611E81" w:rsidR="00F73D5B" w:rsidRPr="008B7A21" w:rsidRDefault="00F73D5B" w:rsidP="00F73D5B">
      <w:pPr>
        <w:rPr>
          <w:lang w:val="es-ES_tradnl"/>
        </w:rPr>
      </w:pPr>
      <w:r w:rsidRPr="008B7A21">
        <w:rPr>
          <w:lang w:val="es-ES_tradnl"/>
        </w:rPr>
        <w:t>Las curvas de propagación indicadas en la Recomendación UIT</w:t>
      </w:r>
      <w:r w:rsidRPr="008B7A21">
        <w:rPr>
          <w:lang w:val="es-ES_tradnl"/>
        </w:rPr>
        <w:noBreakHyphen/>
        <w:t>R P.1546-4 representan los valores de intensidad de campo en las bandas de ondas métricas y decimétricas en dB(</w:t>
      </w:r>
      <w:r w:rsidR="00386EEF" w:rsidRPr="00386EEF">
        <w:sym w:font="Symbol" w:char="F06D"/>
      </w:r>
      <w:r w:rsidRPr="008B7A21">
        <w:rPr>
          <w:lang w:val="es-ES_tradnl"/>
        </w:rPr>
        <w:t>V/m) en función de varios parámetros y se refieren a trayectos terrestres. Las curvas de propagación se han trazado para una potencia del transmisor de 1 kW radiada por un dipolo de media longitud de onda y representan los valores de intensidad de campo rebasados en el 50% de emplazamientos durante el 50% del tiempo. Estos valores de intensidad de campo se utilizan normalmente para determinar las zonas de servicio. También corresponden a distintas alturas de la antena transmisora y a una altura de la antena de recepción de 10 m. Para distintos valores de altura efectiva puede realizarse una interpolación lineal entre las dos curvas que correspondan a las alturas efectivas inmediatamente inferior y superior al valor deseado.</w:t>
      </w:r>
    </w:p>
    <w:p w14:paraId="7ACEDC1B" w14:textId="77777777" w:rsidR="00F73D5B" w:rsidRPr="008B7A21" w:rsidRDefault="00F73D5B" w:rsidP="00F73D5B">
      <w:pPr>
        <w:keepNext/>
        <w:keepLines/>
        <w:rPr>
          <w:lang w:val="es-ES_tradnl"/>
        </w:rPr>
      </w:pPr>
      <w:r w:rsidRPr="008B7A21">
        <w:rPr>
          <w:lang w:val="es-ES_tradnl"/>
        </w:rPr>
        <w:t xml:space="preserve">La altura efectiva de la antena transmisora </w:t>
      </w:r>
      <w:r w:rsidRPr="008B7A21">
        <w:rPr>
          <w:i/>
          <w:iCs/>
          <w:lang w:val="es-ES_tradnl"/>
        </w:rPr>
        <w:t>h</w:t>
      </w:r>
      <w:r w:rsidRPr="008B7A21">
        <w:rPr>
          <w:i/>
          <w:iCs/>
          <w:vertAlign w:val="subscript"/>
          <w:lang w:val="es-ES_tradnl"/>
        </w:rPr>
        <w:t>ef</w:t>
      </w:r>
      <w:r w:rsidRPr="008B7A21">
        <w:rPr>
          <w:lang w:val="es-ES_tradnl"/>
        </w:rPr>
        <w:t xml:space="preserve"> se determina como su altura sobre el nivel medio del suelo para distancias comprendidas entre 3 km y 15 km del transmisor en dirección del receptor. En b) figuran los procedimientos de cálculo de </w:t>
      </w:r>
      <w:r w:rsidRPr="008B7A21">
        <w:rPr>
          <w:i/>
          <w:iCs/>
          <w:lang w:val="es-ES_tradnl"/>
        </w:rPr>
        <w:t>h</w:t>
      </w:r>
      <w:r w:rsidRPr="008B7A21">
        <w:rPr>
          <w:i/>
          <w:iCs/>
          <w:vertAlign w:val="subscript"/>
          <w:lang w:val="es-ES_tradnl"/>
        </w:rPr>
        <w:t>ef</w:t>
      </w:r>
      <w:r w:rsidRPr="008B7A21">
        <w:rPr>
          <w:lang w:val="es-ES_tradnl"/>
        </w:rPr>
        <w:t xml:space="preserve"> que deben utilizarse para determinar el radio de la zona de servicio.</w:t>
      </w:r>
    </w:p>
    <w:p w14:paraId="6CDEF0D1" w14:textId="77777777" w:rsidR="00F73D5B" w:rsidRPr="008B7A21" w:rsidRDefault="00F73D5B" w:rsidP="00F73D5B">
      <w:pPr>
        <w:rPr>
          <w:lang w:val="es-ES_tradnl"/>
        </w:rPr>
      </w:pPr>
      <w:r w:rsidRPr="008B7A21">
        <w:rPr>
          <w:lang w:val="es-ES_tradnl"/>
        </w:rPr>
        <w:t xml:space="preserve">Las zonas de servicio se calculan para valores de las intensidades de campo mínimas utilizables, </w:t>
      </w:r>
      <w:r w:rsidRPr="008B7A21">
        <w:rPr>
          <w:i/>
          <w:iCs/>
          <w:lang w:val="es-ES_tradnl"/>
        </w:rPr>
        <w:t>E</w:t>
      </w:r>
      <w:r w:rsidRPr="008B7A21">
        <w:rPr>
          <w:i/>
          <w:iCs/>
          <w:vertAlign w:val="subscript"/>
          <w:lang w:val="es-ES_tradnl"/>
        </w:rPr>
        <w:t>mu</w:t>
      </w:r>
      <w:r w:rsidRPr="008B7A21">
        <w:rPr>
          <w:sz w:val="20"/>
          <w:lang w:val="es-ES_tradnl"/>
        </w:rPr>
        <w:t>,</w:t>
      </w:r>
      <w:r w:rsidRPr="008B7A21">
        <w:rPr>
          <w:lang w:val="es-ES_tradnl"/>
        </w:rPr>
        <w:t xml:space="preserve"> en sus fronteras, que normalmente se emplean a efectos de planificación de frecuencias. Estos valores figuran en el Cuadro 3.</w:t>
      </w:r>
    </w:p>
    <w:p w14:paraId="3FC96941" w14:textId="20DD3393" w:rsidR="00F73D5B" w:rsidRPr="008B7A21" w:rsidRDefault="00F73D5B" w:rsidP="00F73D5B">
      <w:pPr>
        <w:rPr>
          <w:lang w:val="es-ES_tradnl"/>
        </w:rPr>
      </w:pPr>
      <w:r w:rsidRPr="008B7A21">
        <w:rPr>
          <w:lang w:val="es-ES_tradnl"/>
        </w:rPr>
        <w:t xml:space="preserve">En los Cuadros 5-10 aparecen valores del radio </w:t>
      </w:r>
      <w:r w:rsidRPr="008B7A21">
        <w:rPr>
          <w:i/>
          <w:iCs/>
          <w:lang w:val="es-ES_tradnl"/>
        </w:rPr>
        <w:t>R</w:t>
      </w:r>
      <w:r w:rsidRPr="008B7A21">
        <w:rPr>
          <w:lang w:val="es-ES_tradnl"/>
        </w:rPr>
        <w:t xml:space="preserve"> de la zona de servicio tomados de las curvas de las Figs. 2 y 3 para distintos valores de potencia radiada aparente (p.r.a.) </w:t>
      </w:r>
      <w:r w:rsidRPr="008B7A21">
        <w:rPr>
          <w:i/>
          <w:iCs/>
          <w:lang w:val="es-ES_tradnl"/>
        </w:rPr>
        <w:t>P</w:t>
      </w:r>
      <w:r w:rsidRPr="008B7A21">
        <w:rPr>
          <w:i/>
          <w:iCs/>
          <w:vertAlign w:val="subscript"/>
          <w:lang w:val="es-ES_tradnl"/>
        </w:rPr>
        <w:t>ef</w:t>
      </w:r>
      <w:r w:rsidRPr="008B7A21">
        <w:rPr>
          <w:sz w:val="20"/>
          <w:lang w:val="es-ES_tradnl"/>
        </w:rPr>
        <w:t>,</w:t>
      </w:r>
      <w:r w:rsidRPr="008B7A21">
        <w:rPr>
          <w:lang w:val="es-ES_tradnl"/>
        </w:rPr>
        <w:t xml:space="preserve"> y de altura efectiva de la antena transmisora, </w:t>
      </w:r>
      <w:r w:rsidRPr="008B7A21">
        <w:rPr>
          <w:i/>
          <w:iCs/>
          <w:lang w:val="es-ES_tradnl"/>
        </w:rPr>
        <w:t>h</w:t>
      </w:r>
      <w:r w:rsidRPr="008B7A21">
        <w:rPr>
          <w:i/>
          <w:iCs/>
          <w:vertAlign w:val="subscript"/>
          <w:lang w:val="es-ES_tradnl"/>
        </w:rPr>
        <w:t>ef</w:t>
      </w:r>
      <w:r w:rsidRPr="008B7A21">
        <w:rPr>
          <w:lang w:val="es-ES_tradnl"/>
        </w:rPr>
        <w:t xml:space="preserve">, para los mínimos valores de intensidad de campo utilizables, </w:t>
      </w:r>
      <w:r w:rsidRPr="008B7A21">
        <w:rPr>
          <w:i/>
          <w:iCs/>
          <w:lang w:val="es-ES_tradnl"/>
        </w:rPr>
        <w:t>E</w:t>
      </w:r>
      <w:r w:rsidRPr="008B7A21">
        <w:rPr>
          <w:i/>
          <w:iCs/>
          <w:vertAlign w:val="subscript"/>
          <w:lang w:val="es-ES_tradnl"/>
        </w:rPr>
        <w:t>mu</w:t>
      </w:r>
      <w:r w:rsidRPr="008B7A21">
        <w:rPr>
          <w:sz w:val="20"/>
          <w:lang w:val="es-ES_tradnl"/>
        </w:rPr>
        <w:t>,</w:t>
      </w:r>
      <w:r w:rsidRPr="008B7A21">
        <w:rPr>
          <w:lang w:val="es-ES_tradnl"/>
        </w:rPr>
        <w:t xml:space="preserve"> indicados en el Cuadro 4. La interpolación y extrapolación de la intensidad de campo en función de la frecuencia se efectúa de conformidad con el Anexo 5 a la Recomendación UIT</w:t>
      </w:r>
      <w:r w:rsidRPr="008B7A21">
        <w:rPr>
          <w:lang w:val="es-ES_tradnl"/>
        </w:rPr>
        <w:noBreakHyphen/>
        <w:t xml:space="preserve">R P.1546-4. Las frecuencias concretas, </w:t>
      </w:r>
      <w:r w:rsidRPr="008B7A21">
        <w:rPr>
          <w:i/>
          <w:iCs/>
          <w:lang w:val="es-ES_tradnl"/>
        </w:rPr>
        <w:t>f</w:t>
      </w:r>
      <w:r w:rsidRPr="008B7A21">
        <w:rPr>
          <w:i/>
          <w:iCs/>
          <w:vertAlign w:val="subscript"/>
          <w:lang w:val="es-ES_tradnl"/>
        </w:rPr>
        <w:t>c</w:t>
      </w:r>
      <w:r w:rsidRPr="008B7A21">
        <w:rPr>
          <w:sz w:val="20"/>
          <w:lang w:val="es-ES_tradnl"/>
        </w:rPr>
        <w:t>,</w:t>
      </w:r>
      <w:r w:rsidRPr="008B7A21">
        <w:rPr>
          <w:lang w:val="es-ES_tradnl"/>
        </w:rPr>
        <w:t xml:space="preserve"> para volver a realizar los cálculos aparecen en los encabezamientos del Cuadro. Los cálculos se han realizado para alturas de antena efectivas típicas en la radiodifusión.</w:t>
      </w:r>
    </w:p>
    <w:p w14:paraId="2CD7A8AC" w14:textId="29DB6292" w:rsidR="00F73D5B" w:rsidRPr="008B7A21" w:rsidRDefault="00F73D5B" w:rsidP="00F73D5B">
      <w:pPr>
        <w:pStyle w:val="TableNo"/>
        <w:rPr>
          <w:lang w:val="es-ES_tradnl"/>
        </w:rPr>
      </w:pPr>
      <w:r w:rsidRPr="008B7A21">
        <w:rPr>
          <w:lang w:val="es-ES_tradnl"/>
        </w:rPr>
        <w:t>CUADRO 4</w:t>
      </w:r>
    </w:p>
    <w:p w14:paraId="686EA1F4" w14:textId="77777777" w:rsidR="00F73D5B" w:rsidRPr="008B7A21" w:rsidRDefault="00F73D5B" w:rsidP="00F73D5B">
      <w:pPr>
        <w:pStyle w:val="Tabletitle"/>
        <w:rPr>
          <w:lang w:val="es-ES_tradnl"/>
        </w:rPr>
      </w:pPr>
      <w:r w:rsidRPr="008B7A21">
        <w:rPr>
          <w:lang w:val="es-ES_tradnl"/>
        </w:rPr>
        <w:t xml:space="preserve">Mínimos valores de las intensidades de campo utilizables, </w:t>
      </w:r>
      <w:r w:rsidRPr="008B7A21">
        <w:rPr>
          <w:i/>
          <w:iCs/>
          <w:lang w:val="es-ES_tradnl"/>
        </w:rPr>
        <w:t>E</w:t>
      </w:r>
      <w:r w:rsidRPr="008B7A21">
        <w:rPr>
          <w:i/>
          <w:iCs/>
          <w:vertAlign w:val="subscript"/>
          <w:lang w:val="es-ES_tradnl"/>
        </w:rPr>
        <w:t>mu</w:t>
      </w:r>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700"/>
        <w:gridCol w:w="1134"/>
        <w:gridCol w:w="1417"/>
        <w:gridCol w:w="1531"/>
        <w:gridCol w:w="1531"/>
        <w:gridCol w:w="1191"/>
        <w:gridCol w:w="1134"/>
      </w:tblGrid>
      <w:tr w:rsidR="00F73D5B" w:rsidRPr="008B7A21" w14:paraId="74AB5BCE" w14:textId="77777777" w:rsidTr="00767A6A">
        <w:trPr>
          <w:jc w:val="center"/>
        </w:trPr>
        <w:tc>
          <w:tcPr>
            <w:tcW w:w="1700" w:type="dxa"/>
            <w:vAlign w:val="center"/>
          </w:tcPr>
          <w:p w14:paraId="7747F4D0" w14:textId="77777777" w:rsidR="00F73D5B" w:rsidRPr="008B7A21" w:rsidRDefault="00F73D5B" w:rsidP="00767A6A">
            <w:pPr>
              <w:pStyle w:val="Tablehead"/>
              <w:rPr>
                <w:lang w:val="es-ES_tradnl"/>
              </w:rPr>
            </w:pPr>
            <w:r w:rsidRPr="008B7A21">
              <w:rPr>
                <w:lang w:val="es-ES_tradnl"/>
              </w:rPr>
              <w:t>Banda de frecuencias</w:t>
            </w:r>
          </w:p>
        </w:tc>
        <w:tc>
          <w:tcPr>
            <w:tcW w:w="1134" w:type="dxa"/>
            <w:vAlign w:val="center"/>
          </w:tcPr>
          <w:p w14:paraId="1E87D456" w14:textId="77777777" w:rsidR="00F73D5B" w:rsidRPr="008B7A21" w:rsidRDefault="00F73D5B" w:rsidP="00767A6A">
            <w:pPr>
              <w:pStyle w:val="Tablehead"/>
              <w:rPr>
                <w:lang w:val="es-ES_tradnl"/>
              </w:rPr>
            </w:pPr>
            <w:r w:rsidRPr="008B7A21">
              <w:rPr>
                <w:lang w:val="es-ES_tradnl"/>
              </w:rPr>
              <w:t>Por</w:t>
            </w:r>
            <w:r w:rsidRPr="008B7A21">
              <w:rPr>
                <w:lang w:val="es-ES_tradnl"/>
              </w:rPr>
              <w:br/>
              <w:t>debajo de 76 MHz (TV)</w:t>
            </w:r>
          </w:p>
        </w:tc>
        <w:tc>
          <w:tcPr>
            <w:tcW w:w="1417" w:type="dxa"/>
            <w:vAlign w:val="center"/>
          </w:tcPr>
          <w:p w14:paraId="5BE9BBFC" w14:textId="77777777" w:rsidR="00F73D5B" w:rsidRPr="008B7A21" w:rsidRDefault="00F73D5B" w:rsidP="00767A6A">
            <w:pPr>
              <w:pStyle w:val="Tablehead"/>
              <w:rPr>
                <w:lang w:val="es-ES_tradnl"/>
              </w:rPr>
            </w:pPr>
            <w:r w:rsidRPr="008B7A21">
              <w:rPr>
                <w:lang w:val="es-ES_tradnl"/>
              </w:rPr>
              <w:t>76-108 MHz</w:t>
            </w:r>
            <w:r w:rsidRPr="008B7A21">
              <w:rPr>
                <w:lang w:val="es-ES_tradnl"/>
              </w:rPr>
              <w:br/>
              <w:t>(TV)</w:t>
            </w:r>
          </w:p>
        </w:tc>
        <w:tc>
          <w:tcPr>
            <w:tcW w:w="1531" w:type="dxa"/>
            <w:vAlign w:val="center"/>
          </w:tcPr>
          <w:p w14:paraId="30DD9D19" w14:textId="77777777" w:rsidR="00F73D5B" w:rsidRPr="008B7A21" w:rsidRDefault="00F73D5B" w:rsidP="00767A6A">
            <w:pPr>
              <w:pStyle w:val="Tablehead"/>
              <w:rPr>
                <w:lang w:val="es-ES_tradnl"/>
              </w:rPr>
            </w:pPr>
            <w:r w:rsidRPr="008B7A21">
              <w:rPr>
                <w:lang w:val="es-ES_tradnl"/>
              </w:rPr>
              <w:t>108-230 MHz</w:t>
            </w:r>
            <w:r w:rsidRPr="008B7A21">
              <w:rPr>
                <w:lang w:val="es-ES_tradnl"/>
              </w:rPr>
              <w:br/>
              <w:t>(TV)</w:t>
            </w:r>
          </w:p>
        </w:tc>
        <w:tc>
          <w:tcPr>
            <w:tcW w:w="1531" w:type="dxa"/>
            <w:vAlign w:val="center"/>
          </w:tcPr>
          <w:p w14:paraId="40E086CC" w14:textId="77777777" w:rsidR="00F73D5B" w:rsidRPr="008B7A21" w:rsidRDefault="00F73D5B" w:rsidP="00767A6A">
            <w:pPr>
              <w:pStyle w:val="Tablehead"/>
              <w:rPr>
                <w:lang w:val="es-ES_tradnl"/>
              </w:rPr>
            </w:pPr>
            <w:r w:rsidRPr="008B7A21">
              <w:rPr>
                <w:lang w:val="es-ES_tradnl"/>
              </w:rPr>
              <w:t>230-582 MHz</w:t>
            </w:r>
            <w:r w:rsidRPr="008B7A21">
              <w:rPr>
                <w:lang w:val="es-ES_tradnl"/>
              </w:rPr>
              <w:br/>
              <w:t>(TV)</w:t>
            </w:r>
          </w:p>
        </w:tc>
        <w:tc>
          <w:tcPr>
            <w:tcW w:w="1191" w:type="dxa"/>
            <w:vAlign w:val="center"/>
          </w:tcPr>
          <w:p w14:paraId="00A01B3A" w14:textId="77777777" w:rsidR="00F73D5B" w:rsidRPr="008B7A21" w:rsidRDefault="00F73D5B" w:rsidP="00767A6A">
            <w:pPr>
              <w:pStyle w:val="Tablehead"/>
              <w:rPr>
                <w:lang w:val="es-ES_tradnl"/>
              </w:rPr>
            </w:pPr>
            <w:r w:rsidRPr="008B7A21">
              <w:rPr>
                <w:lang w:val="es-ES_tradnl"/>
              </w:rPr>
              <w:t>Por</w:t>
            </w:r>
            <w:r w:rsidRPr="008B7A21">
              <w:rPr>
                <w:lang w:val="es-ES_tradnl"/>
              </w:rPr>
              <w:br/>
              <w:t>encima de 528 MHz</w:t>
            </w:r>
            <w:r w:rsidRPr="008B7A21">
              <w:rPr>
                <w:lang w:val="es-ES_tradnl"/>
              </w:rPr>
              <w:br/>
              <w:t>(TV)</w:t>
            </w:r>
          </w:p>
        </w:tc>
        <w:tc>
          <w:tcPr>
            <w:tcW w:w="1134" w:type="dxa"/>
            <w:vAlign w:val="center"/>
          </w:tcPr>
          <w:p w14:paraId="19412EC1" w14:textId="77777777" w:rsidR="00F73D5B" w:rsidRPr="008B7A21" w:rsidRDefault="00F73D5B" w:rsidP="00767A6A">
            <w:pPr>
              <w:pStyle w:val="Tablehead"/>
              <w:rPr>
                <w:lang w:val="es-ES_tradnl"/>
              </w:rPr>
            </w:pPr>
            <w:r w:rsidRPr="008B7A21">
              <w:rPr>
                <w:lang w:val="es-ES_tradnl"/>
              </w:rPr>
              <w:t>Por</w:t>
            </w:r>
            <w:r w:rsidRPr="008B7A21">
              <w:rPr>
                <w:lang w:val="es-ES_tradnl"/>
              </w:rPr>
              <w:br/>
              <w:t>debajo de 108 MHz</w:t>
            </w:r>
            <w:r w:rsidRPr="008B7A21">
              <w:rPr>
                <w:lang w:val="es-ES_tradnl"/>
              </w:rPr>
              <w:br/>
              <w:t>(sonido)</w:t>
            </w:r>
          </w:p>
        </w:tc>
      </w:tr>
      <w:tr w:rsidR="00F73D5B" w:rsidRPr="008B7A21" w14:paraId="182CEBD1" w14:textId="77777777" w:rsidTr="00767A6A">
        <w:trPr>
          <w:jc w:val="center"/>
        </w:trPr>
        <w:tc>
          <w:tcPr>
            <w:tcW w:w="1700" w:type="dxa"/>
          </w:tcPr>
          <w:p w14:paraId="6CEDF44B" w14:textId="77777777" w:rsidR="00F73D5B" w:rsidRPr="008B7A21" w:rsidRDefault="00F73D5B" w:rsidP="00767A6A">
            <w:pPr>
              <w:pStyle w:val="Tabletext"/>
              <w:rPr>
                <w:lang w:val="es-ES_tradnl"/>
              </w:rPr>
            </w:pPr>
            <w:r w:rsidRPr="008B7A21">
              <w:rPr>
                <w:lang w:val="es-ES_tradnl"/>
              </w:rPr>
              <w:t>E</w:t>
            </w:r>
            <w:r w:rsidRPr="008B7A21">
              <w:rPr>
                <w:i/>
                <w:iCs/>
                <w:vertAlign w:val="subscript"/>
                <w:lang w:val="es-ES_tradnl"/>
              </w:rPr>
              <w:t>mu</w:t>
            </w:r>
            <w:r w:rsidRPr="008B7A21">
              <w:rPr>
                <w:lang w:val="es-ES_tradnl"/>
              </w:rPr>
              <w:t xml:space="preserve"> (dB(</w:t>
            </w:r>
            <w:r w:rsidRPr="008B7A21">
              <w:rPr>
                <w:lang w:val="es-ES_tradnl"/>
              </w:rPr>
              <w:sym w:font="Symbol" w:char="F06D"/>
            </w:r>
            <w:r w:rsidRPr="008B7A21">
              <w:rPr>
                <w:lang w:val="es-ES_tradnl"/>
              </w:rPr>
              <w:t>V/m))</w:t>
            </w:r>
          </w:p>
        </w:tc>
        <w:tc>
          <w:tcPr>
            <w:tcW w:w="1134" w:type="dxa"/>
          </w:tcPr>
          <w:p w14:paraId="7FC1CC9D" w14:textId="77777777" w:rsidR="00F73D5B" w:rsidRPr="008B7A21" w:rsidRDefault="00F73D5B" w:rsidP="00767A6A">
            <w:pPr>
              <w:pStyle w:val="Tabletext"/>
              <w:jc w:val="center"/>
              <w:rPr>
                <w:lang w:val="es-ES_tradnl"/>
              </w:rPr>
            </w:pPr>
            <w:r w:rsidRPr="008B7A21">
              <w:rPr>
                <w:lang w:val="es-ES_tradnl"/>
              </w:rPr>
              <w:t>48</w:t>
            </w:r>
          </w:p>
        </w:tc>
        <w:tc>
          <w:tcPr>
            <w:tcW w:w="1417" w:type="dxa"/>
          </w:tcPr>
          <w:p w14:paraId="48D3AE7A" w14:textId="77777777" w:rsidR="00F73D5B" w:rsidRPr="008B7A21" w:rsidRDefault="00F73D5B" w:rsidP="00767A6A">
            <w:pPr>
              <w:pStyle w:val="Tabletext"/>
              <w:jc w:val="center"/>
              <w:rPr>
                <w:lang w:val="es-ES_tradnl"/>
              </w:rPr>
            </w:pPr>
            <w:r w:rsidRPr="008B7A21">
              <w:rPr>
                <w:lang w:val="es-ES_tradnl"/>
              </w:rPr>
              <w:t>52</w:t>
            </w:r>
          </w:p>
        </w:tc>
        <w:tc>
          <w:tcPr>
            <w:tcW w:w="1531" w:type="dxa"/>
          </w:tcPr>
          <w:p w14:paraId="7BD95981" w14:textId="77777777" w:rsidR="00F73D5B" w:rsidRPr="008B7A21" w:rsidRDefault="00F73D5B" w:rsidP="00767A6A">
            <w:pPr>
              <w:pStyle w:val="Tabletext"/>
              <w:jc w:val="center"/>
              <w:rPr>
                <w:lang w:val="es-ES_tradnl"/>
              </w:rPr>
            </w:pPr>
            <w:r w:rsidRPr="008B7A21">
              <w:rPr>
                <w:lang w:val="es-ES_tradnl"/>
              </w:rPr>
              <w:t>55</w:t>
            </w:r>
          </w:p>
        </w:tc>
        <w:tc>
          <w:tcPr>
            <w:tcW w:w="1531" w:type="dxa"/>
          </w:tcPr>
          <w:p w14:paraId="5C4BAC3D" w14:textId="77777777" w:rsidR="00F73D5B" w:rsidRPr="008B7A21" w:rsidRDefault="00F73D5B" w:rsidP="00767A6A">
            <w:pPr>
              <w:pStyle w:val="Tabletext"/>
              <w:jc w:val="center"/>
              <w:rPr>
                <w:lang w:val="es-ES_tradnl"/>
              </w:rPr>
            </w:pPr>
            <w:r w:rsidRPr="008B7A21">
              <w:rPr>
                <w:lang w:val="es-ES_tradnl"/>
              </w:rPr>
              <w:t>65</w:t>
            </w:r>
          </w:p>
        </w:tc>
        <w:tc>
          <w:tcPr>
            <w:tcW w:w="1191" w:type="dxa"/>
          </w:tcPr>
          <w:p w14:paraId="5E1B7C18" w14:textId="77777777" w:rsidR="00F73D5B" w:rsidRPr="008B7A21" w:rsidRDefault="00F73D5B" w:rsidP="00767A6A">
            <w:pPr>
              <w:pStyle w:val="Tabletext"/>
              <w:jc w:val="center"/>
              <w:rPr>
                <w:lang w:val="es-ES_tradnl"/>
              </w:rPr>
            </w:pPr>
            <w:r w:rsidRPr="008B7A21">
              <w:rPr>
                <w:lang w:val="es-ES_tradnl"/>
              </w:rPr>
              <w:t>70</w:t>
            </w:r>
          </w:p>
        </w:tc>
        <w:tc>
          <w:tcPr>
            <w:tcW w:w="1134" w:type="dxa"/>
          </w:tcPr>
          <w:p w14:paraId="5F74A00D" w14:textId="77777777" w:rsidR="00F73D5B" w:rsidRPr="008B7A21" w:rsidRDefault="00F73D5B" w:rsidP="00767A6A">
            <w:pPr>
              <w:pStyle w:val="Tabletext"/>
              <w:jc w:val="center"/>
              <w:rPr>
                <w:lang w:val="es-ES_tradnl"/>
              </w:rPr>
            </w:pPr>
            <w:r w:rsidRPr="008B7A21">
              <w:rPr>
                <w:lang w:val="es-ES_tradnl"/>
              </w:rPr>
              <w:t>54</w:t>
            </w:r>
          </w:p>
        </w:tc>
      </w:tr>
    </w:tbl>
    <w:p w14:paraId="0E5F6348" w14:textId="77777777" w:rsidR="00F73D5B" w:rsidRPr="008B7A21" w:rsidRDefault="00F73D5B" w:rsidP="00F73D5B">
      <w:pPr>
        <w:pStyle w:val="Tablefin"/>
        <w:rPr>
          <w:lang w:val="es-ES_tradnl"/>
        </w:rPr>
      </w:pPr>
    </w:p>
    <w:p w14:paraId="7C707707" w14:textId="77777777" w:rsidR="00F73D5B" w:rsidRPr="008B7A21" w:rsidRDefault="00F73D5B" w:rsidP="00F73D5B">
      <w:pPr>
        <w:rPr>
          <w:lang w:val="es-ES_tradnl"/>
        </w:rPr>
      </w:pPr>
      <w:r w:rsidRPr="008B7A21">
        <w:rPr>
          <w:lang w:val="es-ES_tradnl"/>
        </w:rPr>
        <w:t>La p.r.a. se expresa como:</w:t>
      </w:r>
    </w:p>
    <w:p w14:paraId="01933864" w14:textId="77777777" w:rsidR="00F73D5B" w:rsidRPr="008B7A21" w:rsidRDefault="00F73D5B" w:rsidP="00F73D5B">
      <w:pPr>
        <w:pStyle w:val="Blanc"/>
        <w:rPr>
          <w:lang w:val="es-ES_tradnl"/>
        </w:rPr>
      </w:pPr>
    </w:p>
    <w:p w14:paraId="07E6F6B9" w14:textId="65288672" w:rsidR="00F73D5B" w:rsidRPr="008B7A21" w:rsidRDefault="00F73D5B" w:rsidP="00F73D5B">
      <w:pPr>
        <w:pStyle w:val="Equation"/>
        <w:rPr>
          <w:lang w:val="es-ES_tradnl"/>
        </w:rPr>
      </w:pPr>
      <w:r w:rsidRPr="008B7A21">
        <w:rPr>
          <w:lang w:val="es-ES_tradnl"/>
        </w:rPr>
        <w:tab/>
      </w:r>
      <w:r w:rsidRPr="008B7A21">
        <w:rPr>
          <w:lang w:val="es-ES_tradnl"/>
        </w:rPr>
        <w:tab/>
      </w:r>
      <w:r w:rsidRPr="008B7A21">
        <w:rPr>
          <w:i/>
          <w:iCs/>
          <w:lang w:val="es-ES_tradnl"/>
        </w:rPr>
        <w:t>P</w:t>
      </w:r>
      <w:r w:rsidRPr="008B7A21">
        <w:rPr>
          <w:i/>
          <w:iCs/>
          <w:vertAlign w:val="subscript"/>
          <w:lang w:val="es-ES_tradnl"/>
        </w:rPr>
        <w:t>ef</w:t>
      </w:r>
      <w:r w:rsidRPr="008B7A21">
        <w:rPr>
          <w:lang w:val="es-ES_tradnl"/>
        </w:rPr>
        <w:t xml:space="preserve">  </w:t>
      </w:r>
      <w:r w:rsidR="00386EEF">
        <w:rPr>
          <w:lang w:val="es-ES_tradnl"/>
        </w:rPr>
        <w:t>=</w:t>
      </w:r>
      <w:r w:rsidRPr="008B7A21">
        <w:rPr>
          <w:lang w:val="es-ES_tradnl"/>
        </w:rPr>
        <w:t xml:space="preserve"> </w:t>
      </w:r>
      <w:r w:rsidRPr="008B7A21">
        <w:rPr>
          <w:i/>
          <w:iCs/>
          <w:lang w:val="es-ES_tradnl"/>
        </w:rPr>
        <w:t>P</w:t>
      </w:r>
      <w:r w:rsidRPr="008B7A21">
        <w:rPr>
          <w:lang w:val="es-ES_tradnl"/>
        </w:rPr>
        <w:t xml:space="preserve"> </w:t>
      </w:r>
      <w:r w:rsidR="00386EEF" w:rsidRPr="00386EEF">
        <w:sym w:font="Symbol" w:char="F02B"/>
      </w:r>
      <w:r w:rsidRPr="008B7A21">
        <w:rPr>
          <w:lang w:val="es-ES_tradnl"/>
        </w:rPr>
        <w:t xml:space="preserve"> </w:t>
      </w:r>
      <w:r w:rsidRPr="008B7A21">
        <w:rPr>
          <w:i/>
          <w:iCs/>
          <w:lang w:val="es-ES_tradnl"/>
        </w:rPr>
        <w:t>G</w:t>
      </w:r>
      <w:r w:rsidRPr="008B7A21">
        <w:rPr>
          <w:i/>
          <w:iCs/>
          <w:vertAlign w:val="subscript"/>
          <w:lang w:val="es-ES_tradnl"/>
        </w:rPr>
        <w:t>t</w:t>
      </w:r>
      <w:r w:rsidRPr="008B7A21">
        <w:rPr>
          <w:lang w:val="es-ES_tradnl"/>
        </w:rPr>
        <w:t xml:space="preserve"> </w:t>
      </w:r>
      <w:r w:rsidR="00386EEF" w:rsidRPr="00386EEF">
        <w:sym w:font="Symbol" w:char="F02B"/>
      </w:r>
      <w:r w:rsidRPr="008B7A21">
        <w:rPr>
          <w:lang w:val="es-ES_tradnl"/>
        </w:rPr>
        <w:t xml:space="preserve"> </w:t>
      </w:r>
      <w:r w:rsidR="00386EEF" w:rsidRPr="00386EEF">
        <w:sym w:font="Symbol" w:char="F068"/>
      </w:r>
      <w:r w:rsidRPr="008B7A21">
        <w:rPr>
          <w:lang w:val="es-ES_tradnl"/>
        </w:rPr>
        <w:t>                dBW</w:t>
      </w:r>
      <w:r w:rsidRPr="008B7A21">
        <w:rPr>
          <w:lang w:val="es-ES_tradnl"/>
        </w:rPr>
        <w:tab/>
        <w:t>(29)</w:t>
      </w:r>
    </w:p>
    <w:p w14:paraId="4293D8FF" w14:textId="77777777" w:rsidR="00F73D5B" w:rsidRPr="008B7A21" w:rsidRDefault="00F73D5B" w:rsidP="00F73D5B">
      <w:pPr>
        <w:pStyle w:val="Blanc"/>
        <w:rPr>
          <w:lang w:val="es-ES_tradnl"/>
        </w:rPr>
      </w:pPr>
    </w:p>
    <w:p w14:paraId="3CF8800C" w14:textId="77777777" w:rsidR="00F73D5B" w:rsidRPr="008B7A21" w:rsidRDefault="00F73D5B" w:rsidP="00F73D5B">
      <w:pPr>
        <w:rPr>
          <w:lang w:val="es-ES_tradnl"/>
        </w:rPr>
      </w:pPr>
      <w:r w:rsidRPr="008B7A21">
        <w:rPr>
          <w:lang w:val="es-ES_tradnl"/>
        </w:rPr>
        <w:t>siendo:</w:t>
      </w:r>
    </w:p>
    <w:p w14:paraId="24552095" w14:textId="77777777" w:rsidR="00F73D5B" w:rsidRPr="008B7A21" w:rsidRDefault="00F73D5B" w:rsidP="00F73D5B">
      <w:pPr>
        <w:pStyle w:val="Equationlegend"/>
        <w:rPr>
          <w:lang w:val="es-ES_tradnl"/>
        </w:rPr>
      </w:pPr>
      <w:r w:rsidRPr="008B7A21">
        <w:rPr>
          <w:i/>
          <w:iCs/>
          <w:lang w:val="es-ES_tradnl"/>
        </w:rPr>
        <w:tab/>
        <w:t>P</w:t>
      </w:r>
      <w:r w:rsidRPr="008B7A21">
        <w:rPr>
          <w:lang w:val="es-ES_tradnl"/>
        </w:rPr>
        <w:t>:</w:t>
      </w:r>
      <w:r w:rsidRPr="008B7A21">
        <w:rPr>
          <w:lang w:val="es-ES_tradnl"/>
        </w:rPr>
        <w:tab/>
        <w:t>potencia del transmisor (dBW)</w:t>
      </w:r>
    </w:p>
    <w:p w14:paraId="70CFADE5" w14:textId="77777777" w:rsidR="00F73D5B" w:rsidRPr="008B7A21" w:rsidRDefault="00F73D5B" w:rsidP="00F73D5B">
      <w:pPr>
        <w:pStyle w:val="Equationlegend"/>
        <w:rPr>
          <w:lang w:val="es-ES_tradnl"/>
        </w:rPr>
      </w:pPr>
      <w:r w:rsidRPr="008B7A21">
        <w:rPr>
          <w:i/>
          <w:iCs/>
          <w:lang w:val="es-ES_tradnl"/>
        </w:rPr>
        <w:tab/>
        <w:t>G</w:t>
      </w:r>
      <w:r w:rsidRPr="008B7A21">
        <w:rPr>
          <w:i/>
          <w:iCs/>
          <w:vertAlign w:val="subscript"/>
          <w:lang w:val="es-ES_tradnl"/>
        </w:rPr>
        <w:t>t</w:t>
      </w:r>
      <w:r w:rsidRPr="008B7A21">
        <w:rPr>
          <w:lang w:val="es-ES_tradnl"/>
        </w:rPr>
        <w:t>:</w:t>
      </w:r>
      <w:r w:rsidRPr="008B7A21">
        <w:rPr>
          <w:lang w:val="es-ES_tradnl"/>
        </w:rPr>
        <w:tab/>
        <w:t>ganancia de antena relativa al dipolo de media onda (dB)</w:t>
      </w:r>
    </w:p>
    <w:p w14:paraId="6A4F2C1D" w14:textId="77777777" w:rsidR="00F73D5B" w:rsidRPr="008B7A21" w:rsidRDefault="00F73D5B" w:rsidP="00F73D5B">
      <w:pPr>
        <w:pStyle w:val="Equationlegend"/>
        <w:rPr>
          <w:lang w:val="es-ES_tradnl"/>
        </w:rPr>
      </w:pPr>
      <w:r w:rsidRPr="008B7A21">
        <w:rPr>
          <w:i/>
          <w:iCs/>
          <w:lang w:val="es-ES_tradnl"/>
        </w:rPr>
        <w:tab/>
      </w:r>
      <w:r w:rsidRPr="008B7A21">
        <w:rPr>
          <w:rFonts w:asciiTheme="majorBidi" w:hAnsiTheme="majorBidi" w:cstheme="majorBidi"/>
          <w:lang w:val="es-ES_tradnl"/>
        </w:rPr>
        <w:sym w:font="Symbol" w:char="F068"/>
      </w:r>
      <w:r w:rsidRPr="008B7A21">
        <w:rPr>
          <w:lang w:val="es-ES_tradnl"/>
        </w:rPr>
        <w:t>:</w:t>
      </w:r>
      <w:r w:rsidRPr="008B7A21">
        <w:rPr>
          <w:lang w:val="es-ES_tradnl"/>
        </w:rPr>
        <w:tab/>
        <w:t>pérdidas en el alimentador (dB).</w:t>
      </w:r>
    </w:p>
    <w:p w14:paraId="7A5C5389" w14:textId="72881C90" w:rsidR="00F73D5B" w:rsidRPr="008B7A21" w:rsidRDefault="00F73D5B" w:rsidP="00F73D5B">
      <w:pPr>
        <w:rPr>
          <w:lang w:val="es-ES_tradnl"/>
        </w:rPr>
      </w:pPr>
      <w:r w:rsidRPr="008B7A21">
        <w:rPr>
          <w:lang w:val="es-ES_tradnl"/>
        </w:rPr>
        <w:t xml:space="preserve">Para el modelo de cálculo de cánones de licencia indicado se propone considerar un valor de </w:t>
      </w:r>
      <w:r w:rsidRPr="008B7A21">
        <w:rPr>
          <w:rFonts w:asciiTheme="majorBidi" w:hAnsiTheme="majorBidi" w:cstheme="majorBidi"/>
          <w:lang w:val="es-ES_tradnl"/>
        </w:rPr>
        <w:sym w:font="Symbol" w:char="F068"/>
      </w:r>
      <w:r w:rsidRPr="008B7A21">
        <w:rPr>
          <w:lang w:val="es-ES_tradnl"/>
        </w:rPr>
        <w:t> </w:t>
      </w:r>
      <w:r w:rsidR="00386EEF">
        <w:rPr>
          <w:lang w:val="es-ES_tradnl"/>
        </w:rPr>
        <w:t>=</w:t>
      </w:r>
      <w:r w:rsidRPr="008B7A21">
        <w:rPr>
          <w:lang w:val="es-ES_tradnl"/>
        </w:rPr>
        <w:t> 0</w:t>
      </w:r>
      <w:r w:rsidRPr="008B7A21">
        <w:rPr>
          <w:i/>
          <w:iCs/>
          <w:lang w:val="es-ES_tradnl"/>
        </w:rPr>
        <w:t xml:space="preserve"> </w:t>
      </w:r>
      <w:r w:rsidRPr="008B7A21">
        <w:rPr>
          <w:lang w:val="es-ES_tradnl"/>
        </w:rPr>
        <w:t>en todos los casos.</w:t>
      </w:r>
    </w:p>
    <w:p w14:paraId="42FDAA67" w14:textId="75FA561A" w:rsidR="00F73D5B" w:rsidRPr="008B7A21" w:rsidRDefault="00F73D5B" w:rsidP="00F73D5B">
      <w:pPr>
        <w:rPr>
          <w:lang w:val="es-ES_tradnl"/>
        </w:rPr>
      </w:pPr>
      <w:r w:rsidRPr="008B7A21">
        <w:rPr>
          <w:lang w:val="es-ES_tradnl"/>
        </w:rPr>
        <w:t>Es necesario observar que en condiciones de alta potencia y baja altura de la antena, y especialmente para las frecuencias más bajas, el radio de la zona de servicio calculado rebasa la distancia del horizonte radioeléctrico. Si la calidad de servicio más allá del horizonte radioeléctrico disminuye significativamente, ello significa que no se está utilizando eficazmente la excesiva potencia del transmisor. Las segundas cifras de algunos de los recuadros de los Cuadros 5 a 7 indican las distancias correspondientes al horizonte radioeléctrico cuando son inferiores a los radios de las zonas de servicio.</w:t>
      </w:r>
    </w:p>
    <w:p w14:paraId="187F002C" w14:textId="2068D184" w:rsidR="00F73D5B" w:rsidRPr="008B7A21" w:rsidRDefault="00F73D5B" w:rsidP="00F73D5B">
      <w:pPr>
        <w:rPr>
          <w:lang w:val="es-ES_tradnl"/>
        </w:rPr>
      </w:pPr>
      <w:r w:rsidRPr="008B7A21">
        <w:rPr>
          <w:lang w:val="es-ES_tradnl"/>
        </w:rPr>
        <w:t>Cabe señalar que los datos de las Figs. 2 y 3 sin someterlos a ninguna extrapolación corresponden a los datos de los Cuadros 6 y 7 para las filas relativas a 30 dBW (puesto que 1 kW equivale a 30 dBW). Por ejemplo, las distancias que corresponden a los puntos indicados en las curvas de estas figuras y que pueden leerse a lo largo del eje de abscisas, aparecen destacadas en las filas correspondientes de los Cuadros 6 a 9.</w:t>
      </w:r>
    </w:p>
    <w:p w14:paraId="5B3647CA" w14:textId="77777777" w:rsidR="00F73D5B" w:rsidRPr="008B7A21" w:rsidRDefault="00F73D5B" w:rsidP="00F73D5B">
      <w:pPr>
        <w:pStyle w:val="FigureNo"/>
        <w:rPr>
          <w:lang w:val="es-ES_tradnl" w:eastAsia="zh-CN"/>
        </w:rPr>
      </w:pPr>
      <w:r w:rsidRPr="008B7A21">
        <w:rPr>
          <w:lang w:val="es-ES_tradnl" w:eastAsia="zh-CN"/>
        </w:rPr>
        <w:t>FIGURA 2</w:t>
      </w:r>
    </w:p>
    <w:p w14:paraId="4C6CE5E0" w14:textId="77777777" w:rsidR="00F73D5B" w:rsidRPr="008B7A21" w:rsidRDefault="00F73D5B" w:rsidP="00F73D5B">
      <w:pPr>
        <w:pStyle w:val="Figuretitle"/>
        <w:rPr>
          <w:lang w:val="es-ES_tradnl" w:eastAsia="zh-CN"/>
        </w:rPr>
      </w:pPr>
      <w:r w:rsidRPr="008B7A21">
        <w:rPr>
          <w:lang w:val="es-ES_tradnl" w:eastAsia="zh-CN"/>
        </w:rPr>
        <w:t>Curvas de propagación para la banda de frecuencias 30-300 MHz</w:t>
      </w:r>
    </w:p>
    <w:p w14:paraId="08BBA5E2" w14:textId="756D2078" w:rsidR="00F73D5B" w:rsidRPr="008B7A21" w:rsidRDefault="002A1F3D" w:rsidP="00F73D5B">
      <w:pPr>
        <w:pStyle w:val="Figure"/>
        <w:ind w:left="-170" w:right="-170"/>
        <w:rPr>
          <w:lang w:val="es-ES_tradnl"/>
        </w:rPr>
      </w:pPr>
      <w:r w:rsidRPr="008B7A21">
        <w:rPr>
          <w:lang w:val="es-ES_tradnl" w:eastAsia="zh-CN"/>
        </w:rPr>
        <w:object w:dxaOrig="5633" w:dyaOrig="7744" w14:anchorId="54DF2579">
          <v:shape id="_x0000_i1663" type="#_x0000_t75" alt="La Figura 2 muestra las curvas de propagación para la banda de frecuencias 30-300 MHz" style="width:474.7pt;height:654.7pt" o:ole="">
            <v:imagedata r:id="rId31" o:title=""/>
          </v:shape>
          <o:OLEObject Type="Embed" ProgID="CorelDRAW.Graphic.14" ShapeID="_x0000_i1663" DrawAspect="Content" ObjectID="_1826705872" r:id="rId32"/>
        </w:object>
      </w:r>
    </w:p>
    <w:p w14:paraId="21D78AF9" w14:textId="77777777" w:rsidR="00F73D5B" w:rsidRPr="008B7A21" w:rsidRDefault="00F73D5B" w:rsidP="00F73D5B">
      <w:pPr>
        <w:pStyle w:val="FigureNo"/>
        <w:rPr>
          <w:lang w:val="es-ES_tradnl" w:eastAsia="zh-CN"/>
        </w:rPr>
      </w:pPr>
      <w:r w:rsidRPr="008B7A21">
        <w:rPr>
          <w:lang w:val="es-ES_tradnl" w:eastAsia="zh-CN"/>
        </w:rPr>
        <w:t>FIGURA 3</w:t>
      </w:r>
    </w:p>
    <w:p w14:paraId="64FB2AF3" w14:textId="77777777" w:rsidR="00F73D5B" w:rsidRPr="008B7A21" w:rsidRDefault="00F73D5B" w:rsidP="00F73D5B">
      <w:pPr>
        <w:pStyle w:val="Figuretitle"/>
        <w:rPr>
          <w:lang w:val="es-ES_tradnl" w:eastAsia="zh-CN"/>
        </w:rPr>
      </w:pPr>
      <w:r w:rsidRPr="008B7A21">
        <w:rPr>
          <w:lang w:val="es-ES_tradnl" w:eastAsia="zh-CN"/>
        </w:rPr>
        <w:t>Curvas de propagación para la banda de frecuencias 300-1 000 MHz</w:t>
      </w:r>
    </w:p>
    <w:p w14:paraId="12ABAAD6" w14:textId="41DE6B7F" w:rsidR="00F73D5B" w:rsidRPr="008B7A21" w:rsidRDefault="002A1F3D" w:rsidP="00F73D5B">
      <w:pPr>
        <w:pStyle w:val="Figure"/>
        <w:ind w:left="-113" w:right="-113"/>
        <w:rPr>
          <w:lang w:val="es-ES_tradnl" w:eastAsia="zh-CN"/>
        </w:rPr>
      </w:pPr>
      <w:r w:rsidRPr="008B7A21">
        <w:rPr>
          <w:lang w:val="es-ES_tradnl" w:eastAsia="zh-CN"/>
        </w:rPr>
        <w:object w:dxaOrig="5589" w:dyaOrig="7736" w14:anchorId="0FAD6C9D">
          <v:shape id="_x0000_i1664" type="#_x0000_t75" alt="La Figura 3 muestra las curvas de propagación para la banda de frecuencias 300-1 000 MHz" style="width:468.85pt;height:641.3pt;mso-position-horizontal:absolute" o:ole="">
            <v:imagedata r:id="rId33" o:title=""/>
          </v:shape>
          <o:OLEObject Type="Embed" ProgID="CorelDRAW.Graphic.14" ShapeID="_x0000_i1664" DrawAspect="Content" ObjectID="_1826705873" r:id="rId34"/>
        </w:object>
      </w:r>
    </w:p>
    <w:p w14:paraId="5EC57F33" w14:textId="492A7735" w:rsidR="00F73D5B" w:rsidRPr="008B7A21" w:rsidRDefault="00F73D5B" w:rsidP="00F73D5B">
      <w:pPr>
        <w:pStyle w:val="TableNo"/>
        <w:rPr>
          <w:rFonts w:asciiTheme="majorBidi" w:hAnsiTheme="majorBidi" w:cstheme="majorBidi"/>
          <w:sz w:val="22"/>
          <w:szCs w:val="22"/>
          <w:lang w:val="es-ES_tradnl"/>
        </w:rPr>
      </w:pPr>
      <w:r w:rsidRPr="008B7A21">
        <w:rPr>
          <w:rFonts w:asciiTheme="majorBidi" w:hAnsiTheme="majorBidi" w:cstheme="majorBidi"/>
          <w:sz w:val="22"/>
          <w:szCs w:val="22"/>
          <w:lang w:val="es-ES_tradnl"/>
        </w:rPr>
        <w:t>CUADRO 5</w:t>
      </w:r>
    </w:p>
    <w:p w14:paraId="59ADAEDA" w14:textId="77777777" w:rsidR="00F73D5B" w:rsidRPr="008B7A21" w:rsidRDefault="00F73D5B" w:rsidP="00F73D5B">
      <w:pPr>
        <w:pStyle w:val="Tabletitle"/>
        <w:rPr>
          <w:rFonts w:asciiTheme="majorBidi" w:hAnsiTheme="majorBidi" w:cstheme="majorBidi"/>
          <w:sz w:val="22"/>
          <w:szCs w:val="22"/>
          <w:lang w:val="es-ES_tradnl"/>
        </w:rPr>
      </w:pPr>
      <w:r w:rsidRPr="008B7A21">
        <w:rPr>
          <w:rFonts w:asciiTheme="majorBidi" w:hAnsiTheme="majorBidi" w:cstheme="majorBidi"/>
          <w:sz w:val="22"/>
          <w:szCs w:val="22"/>
          <w:lang w:val="es-ES_tradnl"/>
        </w:rPr>
        <w:t>Radio de la zona de servicio (km) para el servicio</w:t>
      </w:r>
      <w:r w:rsidRPr="008B7A21">
        <w:rPr>
          <w:rFonts w:asciiTheme="majorBidi" w:hAnsiTheme="majorBidi" w:cstheme="majorBidi"/>
          <w:sz w:val="22"/>
          <w:szCs w:val="22"/>
          <w:lang w:val="es-ES_tradnl"/>
        </w:rPr>
        <w:br/>
        <w:t>de televisión por debajo de 76 MHz</w:t>
      </w:r>
      <w:r w:rsidRPr="008B7A21">
        <w:rPr>
          <w:rFonts w:asciiTheme="majorBidi" w:hAnsiTheme="majorBidi" w:cstheme="majorBidi"/>
          <w:i/>
          <w:iCs/>
          <w:sz w:val="22"/>
          <w:szCs w:val="22"/>
          <w:lang w:val="es-ES_tradnl"/>
        </w:rPr>
        <w:t>,</w:t>
      </w:r>
      <w:r w:rsidRPr="008B7A21">
        <w:rPr>
          <w:rFonts w:asciiTheme="majorBidi" w:hAnsiTheme="majorBidi" w:cstheme="majorBidi"/>
          <w:i/>
          <w:iCs/>
          <w:sz w:val="22"/>
          <w:szCs w:val="22"/>
          <w:lang w:val="es-ES_tradnl"/>
        </w:rPr>
        <w:br/>
        <w:t>E</w:t>
      </w:r>
      <w:r w:rsidRPr="008B7A21">
        <w:rPr>
          <w:rFonts w:asciiTheme="majorBidi" w:hAnsiTheme="majorBidi" w:cstheme="majorBidi"/>
          <w:i/>
          <w:iCs/>
          <w:sz w:val="22"/>
          <w:szCs w:val="22"/>
          <w:vertAlign w:val="subscript"/>
          <w:lang w:val="es-ES_tradnl"/>
        </w:rPr>
        <w:t>mu</w:t>
      </w:r>
      <w:r w:rsidRPr="008B7A21">
        <w:rPr>
          <w:rFonts w:asciiTheme="majorBidi" w:hAnsiTheme="majorBidi" w:cstheme="majorBidi"/>
          <w:sz w:val="22"/>
          <w:szCs w:val="22"/>
          <w:lang w:val="es-ES_tradnl"/>
        </w:rPr>
        <w:t xml:space="preserve"> = 48 dB(</w:t>
      </w:r>
      <w:r w:rsidRPr="008B7A21">
        <w:rPr>
          <w:rFonts w:asciiTheme="majorBidi" w:hAnsiTheme="majorBidi" w:cstheme="majorBidi"/>
          <w:sz w:val="22"/>
          <w:szCs w:val="22"/>
          <w:lang w:val="es-ES_tradnl"/>
        </w:rPr>
        <w:sym w:font="Symbol" w:char="F06D"/>
      </w:r>
      <w:r w:rsidRPr="008B7A21">
        <w:rPr>
          <w:rFonts w:asciiTheme="majorBidi" w:hAnsiTheme="majorBidi" w:cstheme="majorBidi"/>
          <w:sz w:val="22"/>
          <w:szCs w:val="22"/>
          <w:lang w:val="es-ES_tradnl"/>
        </w:rPr>
        <w:t xml:space="preserve">V/m), </w:t>
      </w:r>
      <w:r w:rsidRPr="008B7A21">
        <w:rPr>
          <w:rFonts w:asciiTheme="majorBidi" w:hAnsiTheme="majorBidi" w:cstheme="majorBidi"/>
          <w:i/>
          <w:iCs/>
          <w:sz w:val="22"/>
          <w:szCs w:val="22"/>
          <w:lang w:val="es-ES_tradnl"/>
        </w:rPr>
        <w:t>f</w:t>
      </w:r>
      <w:r w:rsidRPr="008B7A21">
        <w:rPr>
          <w:rFonts w:asciiTheme="majorBidi" w:hAnsiTheme="majorBidi" w:cstheme="majorBidi"/>
          <w:i/>
          <w:iCs/>
          <w:sz w:val="22"/>
          <w:szCs w:val="22"/>
          <w:vertAlign w:val="subscript"/>
          <w:lang w:val="es-ES_tradnl"/>
        </w:rPr>
        <w:t>c</w:t>
      </w:r>
      <w:r w:rsidRPr="008B7A21">
        <w:rPr>
          <w:rFonts w:asciiTheme="majorBidi" w:hAnsiTheme="majorBidi" w:cstheme="majorBidi"/>
          <w:sz w:val="22"/>
          <w:szCs w:val="22"/>
          <w:lang w:val="es-ES_tradnl"/>
        </w:rPr>
        <w:t xml:space="preserve"> = 70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8"/>
        <w:gridCol w:w="679"/>
        <w:gridCol w:w="759"/>
        <w:gridCol w:w="759"/>
        <w:gridCol w:w="759"/>
        <w:gridCol w:w="759"/>
        <w:gridCol w:w="759"/>
        <w:gridCol w:w="759"/>
        <w:gridCol w:w="759"/>
        <w:gridCol w:w="759"/>
        <w:gridCol w:w="759"/>
        <w:gridCol w:w="871"/>
      </w:tblGrid>
      <w:tr w:rsidR="00F73D5B" w:rsidRPr="008B7A21" w14:paraId="06C4803A" w14:textId="77777777" w:rsidTr="002E47E2">
        <w:trPr>
          <w:jc w:val="center"/>
        </w:trPr>
        <w:tc>
          <w:tcPr>
            <w:tcW w:w="1271" w:type="dxa"/>
            <w:tcBorders>
              <w:tl2br w:val="single" w:sz="4" w:space="0" w:color="auto"/>
            </w:tcBorders>
            <w:vAlign w:val="center"/>
          </w:tcPr>
          <w:p w14:paraId="7719CD8A" w14:textId="77777777" w:rsidR="00F73D5B" w:rsidRPr="008B7A21" w:rsidRDefault="00F73D5B" w:rsidP="00767A6A">
            <w:pPr>
              <w:pStyle w:val="Tablehead"/>
              <w:spacing w:before="120"/>
              <w:jc w:val="right"/>
              <w:rPr>
                <w:rFonts w:asciiTheme="majorBidi" w:hAnsiTheme="majorBidi" w:cstheme="majorBidi"/>
                <w:i/>
                <w:iCs/>
                <w:sz w:val="18"/>
                <w:szCs w:val="18"/>
                <w:lang w:val="es-ES_tradnl"/>
              </w:rPr>
            </w:pPr>
            <w:r w:rsidRPr="008B7A21">
              <w:rPr>
                <w:rFonts w:asciiTheme="majorBidi" w:hAnsiTheme="majorBidi" w:cstheme="majorBidi"/>
                <w:i/>
                <w:iCs/>
                <w:sz w:val="18"/>
                <w:szCs w:val="18"/>
                <w:lang w:val="es-ES_tradnl"/>
              </w:rPr>
              <w:br/>
              <w:t>h</w:t>
            </w:r>
            <w:r w:rsidRPr="008B7A21">
              <w:rPr>
                <w:rFonts w:asciiTheme="majorBidi" w:hAnsiTheme="majorBidi" w:cstheme="majorBidi"/>
                <w:i/>
                <w:iCs/>
                <w:sz w:val="18"/>
                <w:szCs w:val="18"/>
                <w:vertAlign w:val="subscript"/>
                <w:lang w:val="es-ES_tradnl"/>
              </w:rPr>
              <w:t>ef</w:t>
            </w:r>
            <w:r w:rsidRPr="008B7A21">
              <w:rPr>
                <w:rFonts w:asciiTheme="majorBidi" w:hAnsiTheme="majorBidi" w:cstheme="majorBidi"/>
                <w:sz w:val="18"/>
                <w:szCs w:val="18"/>
                <w:lang w:val="es-ES_tradnl"/>
              </w:rPr>
              <w:t xml:space="preserve"> (m)</w:t>
            </w:r>
          </w:p>
          <w:p w14:paraId="33EF1A00" w14:textId="77777777" w:rsidR="00F73D5B" w:rsidRPr="008B7A21" w:rsidRDefault="00F73D5B" w:rsidP="00767A6A">
            <w:pPr>
              <w:pStyle w:val="Tablehead"/>
              <w:spacing w:before="120" w:after="40"/>
              <w:ind w:left="-57"/>
              <w:jc w:val="left"/>
              <w:rPr>
                <w:rFonts w:asciiTheme="majorBidi" w:hAnsiTheme="majorBidi" w:cstheme="majorBidi"/>
                <w:sz w:val="18"/>
                <w:szCs w:val="18"/>
                <w:lang w:val="es-ES_tradnl"/>
              </w:rPr>
            </w:pPr>
            <w:r w:rsidRPr="008B7A21">
              <w:rPr>
                <w:rFonts w:asciiTheme="majorBidi" w:hAnsiTheme="majorBidi" w:cstheme="majorBidi"/>
                <w:i/>
                <w:iCs/>
                <w:sz w:val="18"/>
                <w:szCs w:val="18"/>
                <w:lang w:val="es-ES_tradnl"/>
              </w:rPr>
              <w:t>P</w:t>
            </w:r>
            <w:r w:rsidRPr="008B7A21">
              <w:rPr>
                <w:rFonts w:asciiTheme="majorBidi" w:hAnsiTheme="majorBidi" w:cstheme="majorBidi"/>
                <w:i/>
                <w:iCs/>
                <w:sz w:val="18"/>
                <w:szCs w:val="18"/>
                <w:vertAlign w:val="subscript"/>
                <w:lang w:val="es-ES_tradnl"/>
              </w:rPr>
              <w:t>ef</w:t>
            </w:r>
            <w:r w:rsidRPr="008B7A21">
              <w:rPr>
                <w:rFonts w:asciiTheme="majorBidi" w:hAnsiTheme="majorBidi" w:cstheme="majorBidi"/>
                <w:sz w:val="18"/>
                <w:szCs w:val="18"/>
                <w:vertAlign w:val="subscript"/>
                <w:lang w:val="es-ES_tradnl"/>
              </w:rPr>
              <w:t xml:space="preserve">  </w:t>
            </w:r>
            <w:r w:rsidRPr="008B7A21">
              <w:rPr>
                <w:rFonts w:asciiTheme="majorBidi" w:hAnsiTheme="majorBidi" w:cstheme="majorBidi"/>
                <w:sz w:val="18"/>
                <w:szCs w:val="18"/>
                <w:lang w:val="es-ES_tradnl"/>
              </w:rPr>
              <w:t>(dBW)</w:t>
            </w:r>
          </w:p>
        </w:tc>
        <w:tc>
          <w:tcPr>
            <w:tcW w:w="685" w:type="dxa"/>
            <w:vAlign w:val="center"/>
          </w:tcPr>
          <w:p w14:paraId="76C53702" w14:textId="77777777" w:rsidR="00F73D5B" w:rsidRPr="008B7A21" w:rsidRDefault="00F73D5B" w:rsidP="00767A6A">
            <w:pPr>
              <w:pStyle w:val="Tablehead"/>
              <w:rPr>
                <w:rFonts w:asciiTheme="majorBidi" w:hAnsiTheme="majorBidi" w:cstheme="majorBidi"/>
                <w:sz w:val="18"/>
                <w:szCs w:val="18"/>
                <w:lang w:val="es-ES_tradnl"/>
              </w:rPr>
            </w:pPr>
            <w:r w:rsidRPr="008B7A21">
              <w:rPr>
                <w:rFonts w:asciiTheme="majorBidi" w:hAnsiTheme="majorBidi" w:cstheme="majorBidi"/>
                <w:sz w:val="18"/>
                <w:szCs w:val="18"/>
                <w:lang w:val="es-ES_tradnl"/>
              </w:rPr>
              <w:t>30</w:t>
            </w:r>
          </w:p>
        </w:tc>
        <w:tc>
          <w:tcPr>
            <w:tcW w:w="765" w:type="dxa"/>
            <w:vAlign w:val="center"/>
          </w:tcPr>
          <w:p w14:paraId="06DC2CBC" w14:textId="77777777" w:rsidR="00F73D5B" w:rsidRPr="008B7A21" w:rsidRDefault="00F73D5B" w:rsidP="00767A6A">
            <w:pPr>
              <w:pStyle w:val="Tablehead"/>
              <w:rPr>
                <w:rFonts w:asciiTheme="majorBidi" w:hAnsiTheme="majorBidi" w:cstheme="majorBidi"/>
                <w:sz w:val="18"/>
                <w:szCs w:val="18"/>
                <w:lang w:val="es-ES_tradnl"/>
              </w:rPr>
            </w:pPr>
            <w:r w:rsidRPr="008B7A21">
              <w:rPr>
                <w:rFonts w:asciiTheme="majorBidi" w:hAnsiTheme="majorBidi" w:cstheme="majorBidi"/>
                <w:sz w:val="18"/>
                <w:szCs w:val="18"/>
                <w:lang w:val="es-ES_tradnl"/>
              </w:rPr>
              <w:t>50</w:t>
            </w:r>
          </w:p>
        </w:tc>
        <w:tc>
          <w:tcPr>
            <w:tcW w:w="765" w:type="dxa"/>
            <w:vAlign w:val="center"/>
          </w:tcPr>
          <w:p w14:paraId="47ACD614" w14:textId="77777777" w:rsidR="00F73D5B" w:rsidRPr="008B7A21" w:rsidRDefault="00F73D5B" w:rsidP="00767A6A">
            <w:pPr>
              <w:pStyle w:val="Tablehead"/>
              <w:rPr>
                <w:rFonts w:asciiTheme="majorBidi" w:hAnsiTheme="majorBidi" w:cstheme="majorBidi"/>
                <w:sz w:val="18"/>
                <w:szCs w:val="18"/>
                <w:lang w:val="es-ES_tradnl"/>
              </w:rPr>
            </w:pPr>
            <w:r w:rsidRPr="008B7A21">
              <w:rPr>
                <w:rFonts w:asciiTheme="majorBidi" w:hAnsiTheme="majorBidi" w:cstheme="majorBidi"/>
                <w:sz w:val="18"/>
                <w:szCs w:val="18"/>
                <w:lang w:val="es-ES_tradnl"/>
              </w:rPr>
              <w:t>75</w:t>
            </w:r>
          </w:p>
        </w:tc>
        <w:tc>
          <w:tcPr>
            <w:tcW w:w="765" w:type="dxa"/>
            <w:vAlign w:val="center"/>
          </w:tcPr>
          <w:p w14:paraId="4C9D966E" w14:textId="77777777" w:rsidR="00F73D5B" w:rsidRPr="008B7A21" w:rsidRDefault="00F73D5B" w:rsidP="00767A6A">
            <w:pPr>
              <w:pStyle w:val="Tablehead"/>
              <w:rPr>
                <w:rFonts w:asciiTheme="majorBidi" w:hAnsiTheme="majorBidi" w:cstheme="majorBidi"/>
                <w:sz w:val="18"/>
                <w:szCs w:val="18"/>
                <w:lang w:val="es-ES_tradnl"/>
              </w:rPr>
            </w:pPr>
            <w:r w:rsidRPr="008B7A21">
              <w:rPr>
                <w:rFonts w:asciiTheme="majorBidi" w:hAnsiTheme="majorBidi" w:cstheme="majorBidi"/>
                <w:sz w:val="18"/>
                <w:szCs w:val="18"/>
                <w:lang w:val="es-ES_tradnl"/>
              </w:rPr>
              <w:t>100</w:t>
            </w:r>
          </w:p>
        </w:tc>
        <w:tc>
          <w:tcPr>
            <w:tcW w:w="765" w:type="dxa"/>
            <w:vAlign w:val="center"/>
          </w:tcPr>
          <w:p w14:paraId="54A0D9A5" w14:textId="77777777" w:rsidR="00F73D5B" w:rsidRPr="008B7A21" w:rsidRDefault="00F73D5B" w:rsidP="00767A6A">
            <w:pPr>
              <w:pStyle w:val="Tablehead"/>
              <w:rPr>
                <w:rFonts w:asciiTheme="majorBidi" w:hAnsiTheme="majorBidi" w:cstheme="majorBidi"/>
                <w:sz w:val="18"/>
                <w:szCs w:val="18"/>
                <w:lang w:val="es-ES_tradnl"/>
              </w:rPr>
            </w:pPr>
            <w:r w:rsidRPr="008B7A21">
              <w:rPr>
                <w:rFonts w:asciiTheme="majorBidi" w:hAnsiTheme="majorBidi" w:cstheme="majorBidi"/>
                <w:sz w:val="18"/>
                <w:szCs w:val="18"/>
                <w:lang w:val="es-ES_tradnl"/>
              </w:rPr>
              <w:t>150</w:t>
            </w:r>
          </w:p>
        </w:tc>
        <w:tc>
          <w:tcPr>
            <w:tcW w:w="765" w:type="dxa"/>
            <w:vAlign w:val="center"/>
          </w:tcPr>
          <w:p w14:paraId="39CA670F" w14:textId="77777777" w:rsidR="00F73D5B" w:rsidRPr="008B7A21" w:rsidRDefault="00F73D5B" w:rsidP="00767A6A">
            <w:pPr>
              <w:pStyle w:val="Tablehead"/>
              <w:rPr>
                <w:rFonts w:asciiTheme="majorBidi" w:hAnsiTheme="majorBidi" w:cstheme="majorBidi"/>
                <w:sz w:val="18"/>
                <w:szCs w:val="18"/>
                <w:lang w:val="es-ES_tradnl"/>
              </w:rPr>
            </w:pPr>
            <w:r w:rsidRPr="008B7A21">
              <w:rPr>
                <w:rFonts w:asciiTheme="majorBidi" w:hAnsiTheme="majorBidi" w:cstheme="majorBidi"/>
                <w:sz w:val="18"/>
                <w:szCs w:val="18"/>
                <w:lang w:val="es-ES_tradnl"/>
              </w:rPr>
              <w:t>200</w:t>
            </w:r>
          </w:p>
        </w:tc>
        <w:tc>
          <w:tcPr>
            <w:tcW w:w="765" w:type="dxa"/>
            <w:vAlign w:val="center"/>
          </w:tcPr>
          <w:p w14:paraId="24E0754E" w14:textId="77777777" w:rsidR="00F73D5B" w:rsidRPr="008B7A21" w:rsidRDefault="00F73D5B" w:rsidP="00767A6A">
            <w:pPr>
              <w:pStyle w:val="Tablehead"/>
              <w:rPr>
                <w:rFonts w:asciiTheme="majorBidi" w:hAnsiTheme="majorBidi" w:cstheme="majorBidi"/>
                <w:sz w:val="18"/>
                <w:szCs w:val="18"/>
                <w:lang w:val="es-ES_tradnl"/>
              </w:rPr>
            </w:pPr>
            <w:r w:rsidRPr="008B7A21">
              <w:rPr>
                <w:rFonts w:asciiTheme="majorBidi" w:hAnsiTheme="majorBidi" w:cstheme="majorBidi"/>
                <w:sz w:val="18"/>
                <w:szCs w:val="18"/>
                <w:lang w:val="es-ES_tradnl"/>
              </w:rPr>
              <w:t>250</w:t>
            </w:r>
          </w:p>
        </w:tc>
        <w:tc>
          <w:tcPr>
            <w:tcW w:w="765" w:type="dxa"/>
            <w:vAlign w:val="center"/>
          </w:tcPr>
          <w:p w14:paraId="5200F66B" w14:textId="77777777" w:rsidR="00F73D5B" w:rsidRPr="008B7A21" w:rsidRDefault="00F73D5B" w:rsidP="00767A6A">
            <w:pPr>
              <w:pStyle w:val="Tablehead"/>
              <w:rPr>
                <w:rFonts w:asciiTheme="majorBidi" w:hAnsiTheme="majorBidi" w:cstheme="majorBidi"/>
                <w:sz w:val="18"/>
                <w:szCs w:val="18"/>
                <w:lang w:val="es-ES_tradnl"/>
              </w:rPr>
            </w:pPr>
            <w:r w:rsidRPr="008B7A21">
              <w:rPr>
                <w:rFonts w:asciiTheme="majorBidi" w:hAnsiTheme="majorBidi" w:cstheme="majorBidi"/>
                <w:sz w:val="18"/>
                <w:szCs w:val="18"/>
                <w:lang w:val="es-ES_tradnl"/>
              </w:rPr>
              <w:t>300</w:t>
            </w:r>
          </w:p>
        </w:tc>
        <w:tc>
          <w:tcPr>
            <w:tcW w:w="765" w:type="dxa"/>
            <w:vAlign w:val="center"/>
          </w:tcPr>
          <w:p w14:paraId="09FA52D9" w14:textId="77777777" w:rsidR="00F73D5B" w:rsidRPr="008B7A21" w:rsidRDefault="00F73D5B" w:rsidP="00767A6A">
            <w:pPr>
              <w:pStyle w:val="Tablehead"/>
              <w:rPr>
                <w:rFonts w:asciiTheme="majorBidi" w:hAnsiTheme="majorBidi" w:cstheme="majorBidi"/>
                <w:sz w:val="18"/>
                <w:szCs w:val="18"/>
                <w:lang w:val="es-ES_tradnl"/>
              </w:rPr>
            </w:pPr>
            <w:r w:rsidRPr="008B7A21">
              <w:rPr>
                <w:rFonts w:asciiTheme="majorBidi" w:hAnsiTheme="majorBidi" w:cstheme="majorBidi"/>
                <w:sz w:val="18"/>
                <w:szCs w:val="18"/>
                <w:lang w:val="es-ES_tradnl"/>
              </w:rPr>
              <w:t>350</w:t>
            </w:r>
          </w:p>
        </w:tc>
        <w:tc>
          <w:tcPr>
            <w:tcW w:w="765" w:type="dxa"/>
            <w:vAlign w:val="center"/>
          </w:tcPr>
          <w:p w14:paraId="6348F87E" w14:textId="77777777" w:rsidR="00F73D5B" w:rsidRPr="008B7A21" w:rsidRDefault="00F73D5B" w:rsidP="00767A6A">
            <w:pPr>
              <w:pStyle w:val="Tablehead"/>
              <w:rPr>
                <w:rFonts w:asciiTheme="majorBidi" w:hAnsiTheme="majorBidi" w:cstheme="majorBidi"/>
                <w:sz w:val="18"/>
                <w:szCs w:val="18"/>
                <w:lang w:val="es-ES_tradnl"/>
              </w:rPr>
            </w:pPr>
            <w:r w:rsidRPr="008B7A21">
              <w:rPr>
                <w:rFonts w:asciiTheme="majorBidi" w:hAnsiTheme="majorBidi" w:cstheme="majorBidi"/>
                <w:sz w:val="18"/>
                <w:szCs w:val="18"/>
                <w:lang w:val="es-ES_tradnl"/>
              </w:rPr>
              <w:t>400</w:t>
            </w:r>
          </w:p>
        </w:tc>
        <w:tc>
          <w:tcPr>
            <w:tcW w:w="879" w:type="dxa"/>
            <w:vAlign w:val="center"/>
          </w:tcPr>
          <w:p w14:paraId="0171D351" w14:textId="77777777" w:rsidR="00F73D5B" w:rsidRPr="008B7A21" w:rsidRDefault="00F73D5B" w:rsidP="00767A6A">
            <w:pPr>
              <w:pStyle w:val="Tablehead"/>
              <w:rPr>
                <w:rFonts w:asciiTheme="majorBidi" w:hAnsiTheme="majorBidi" w:cstheme="majorBidi"/>
                <w:sz w:val="18"/>
                <w:szCs w:val="18"/>
                <w:lang w:val="es-ES_tradnl"/>
              </w:rPr>
            </w:pPr>
            <w:r w:rsidRPr="008B7A21">
              <w:rPr>
                <w:rFonts w:asciiTheme="majorBidi" w:hAnsiTheme="majorBidi" w:cstheme="majorBidi"/>
                <w:sz w:val="18"/>
                <w:szCs w:val="18"/>
                <w:lang w:val="es-ES_tradnl"/>
              </w:rPr>
              <w:t>500</w:t>
            </w:r>
          </w:p>
        </w:tc>
      </w:tr>
      <w:tr w:rsidR="00F73D5B" w:rsidRPr="008B7A21" w14:paraId="6A31063E" w14:textId="77777777" w:rsidTr="002E47E2">
        <w:trPr>
          <w:jc w:val="center"/>
        </w:trPr>
        <w:tc>
          <w:tcPr>
            <w:tcW w:w="1271" w:type="dxa"/>
          </w:tcPr>
          <w:p w14:paraId="3B77F495"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15,0</w:t>
            </w:r>
          </w:p>
        </w:tc>
        <w:tc>
          <w:tcPr>
            <w:tcW w:w="685" w:type="dxa"/>
          </w:tcPr>
          <w:p w14:paraId="03EED05C"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9</w:t>
            </w:r>
          </w:p>
        </w:tc>
        <w:tc>
          <w:tcPr>
            <w:tcW w:w="765" w:type="dxa"/>
          </w:tcPr>
          <w:p w14:paraId="7BBC1B81"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12</w:t>
            </w:r>
          </w:p>
        </w:tc>
        <w:tc>
          <w:tcPr>
            <w:tcW w:w="765" w:type="dxa"/>
          </w:tcPr>
          <w:p w14:paraId="7A782C01"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14</w:t>
            </w:r>
          </w:p>
        </w:tc>
        <w:tc>
          <w:tcPr>
            <w:tcW w:w="765" w:type="dxa"/>
          </w:tcPr>
          <w:p w14:paraId="6F3D2436"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16</w:t>
            </w:r>
          </w:p>
        </w:tc>
        <w:tc>
          <w:tcPr>
            <w:tcW w:w="765" w:type="dxa"/>
          </w:tcPr>
          <w:p w14:paraId="17A32395"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20</w:t>
            </w:r>
          </w:p>
        </w:tc>
        <w:tc>
          <w:tcPr>
            <w:tcW w:w="765" w:type="dxa"/>
          </w:tcPr>
          <w:p w14:paraId="6898B742"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23</w:t>
            </w:r>
          </w:p>
        </w:tc>
        <w:tc>
          <w:tcPr>
            <w:tcW w:w="765" w:type="dxa"/>
          </w:tcPr>
          <w:p w14:paraId="45BB5EA8"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26</w:t>
            </w:r>
          </w:p>
        </w:tc>
        <w:tc>
          <w:tcPr>
            <w:tcW w:w="765" w:type="dxa"/>
          </w:tcPr>
          <w:p w14:paraId="402B1A4A"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28</w:t>
            </w:r>
          </w:p>
        </w:tc>
        <w:tc>
          <w:tcPr>
            <w:tcW w:w="765" w:type="dxa"/>
          </w:tcPr>
          <w:p w14:paraId="509C58C1"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31</w:t>
            </w:r>
          </w:p>
        </w:tc>
        <w:tc>
          <w:tcPr>
            <w:tcW w:w="765" w:type="dxa"/>
          </w:tcPr>
          <w:p w14:paraId="1905D615"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33</w:t>
            </w:r>
          </w:p>
        </w:tc>
        <w:tc>
          <w:tcPr>
            <w:tcW w:w="879" w:type="dxa"/>
          </w:tcPr>
          <w:p w14:paraId="0FF2A1AC"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37</w:t>
            </w:r>
          </w:p>
        </w:tc>
      </w:tr>
      <w:tr w:rsidR="00F73D5B" w:rsidRPr="008B7A21" w14:paraId="0B42ABA6" w14:textId="77777777" w:rsidTr="002E47E2">
        <w:trPr>
          <w:jc w:val="center"/>
        </w:trPr>
        <w:tc>
          <w:tcPr>
            <w:tcW w:w="1271" w:type="dxa"/>
          </w:tcPr>
          <w:p w14:paraId="75C972A7"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20,0</w:t>
            </w:r>
          </w:p>
        </w:tc>
        <w:tc>
          <w:tcPr>
            <w:tcW w:w="685" w:type="dxa"/>
          </w:tcPr>
          <w:p w14:paraId="4C4073B8"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12</w:t>
            </w:r>
          </w:p>
        </w:tc>
        <w:tc>
          <w:tcPr>
            <w:tcW w:w="765" w:type="dxa"/>
          </w:tcPr>
          <w:p w14:paraId="5FA427D8"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15</w:t>
            </w:r>
          </w:p>
        </w:tc>
        <w:tc>
          <w:tcPr>
            <w:tcW w:w="765" w:type="dxa"/>
          </w:tcPr>
          <w:p w14:paraId="379966AE"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18</w:t>
            </w:r>
          </w:p>
        </w:tc>
        <w:tc>
          <w:tcPr>
            <w:tcW w:w="765" w:type="dxa"/>
          </w:tcPr>
          <w:p w14:paraId="1304F98E"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21</w:t>
            </w:r>
          </w:p>
        </w:tc>
        <w:tc>
          <w:tcPr>
            <w:tcW w:w="765" w:type="dxa"/>
          </w:tcPr>
          <w:p w14:paraId="40E675FB"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25</w:t>
            </w:r>
          </w:p>
        </w:tc>
        <w:tc>
          <w:tcPr>
            <w:tcW w:w="765" w:type="dxa"/>
          </w:tcPr>
          <w:p w14:paraId="6448FD44"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29</w:t>
            </w:r>
          </w:p>
        </w:tc>
        <w:tc>
          <w:tcPr>
            <w:tcW w:w="765" w:type="dxa"/>
          </w:tcPr>
          <w:p w14:paraId="5F2906CC"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33</w:t>
            </w:r>
          </w:p>
        </w:tc>
        <w:tc>
          <w:tcPr>
            <w:tcW w:w="765" w:type="dxa"/>
          </w:tcPr>
          <w:p w14:paraId="43F6ABEE"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36</w:t>
            </w:r>
          </w:p>
        </w:tc>
        <w:tc>
          <w:tcPr>
            <w:tcW w:w="765" w:type="dxa"/>
          </w:tcPr>
          <w:p w14:paraId="692EB1E9"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39</w:t>
            </w:r>
          </w:p>
        </w:tc>
        <w:tc>
          <w:tcPr>
            <w:tcW w:w="765" w:type="dxa"/>
          </w:tcPr>
          <w:p w14:paraId="3F6C196D"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42</w:t>
            </w:r>
          </w:p>
        </w:tc>
        <w:tc>
          <w:tcPr>
            <w:tcW w:w="879" w:type="dxa"/>
          </w:tcPr>
          <w:p w14:paraId="31184603"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47</w:t>
            </w:r>
          </w:p>
        </w:tc>
      </w:tr>
      <w:tr w:rsidR="00F73D5B" w:rsidRPr="008B7A21" w14:paraId="0D26C6B9" w14:textId="77777777" w:rsidTr="002E47E2">
        <w:trPr>
          <w:jc w:val="center"/>
        </w:trPr>
        <w:tc>
          <w:tcPr>
            <w:tcW w:w="1271" w:type="dxa"/>
          </w:tcPr>
          <w:p w14:paraId="17BFA885"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25,0</w:t>
            </w:r>
          </w:p>
        </w:tc>
        <w:tc>
          <w:tcPr>
            <w:tcW w:w="685" w:type="dxa"/>
          </w:tcPr>
          <w:p w14:paraId="2EB0A60C"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16</w:t>
            </w:r>
          </w:p>
        </w:tc>
        <w:tc>
          <w:tcPr>
            <w:tcW w:w="765" w:type="dxa"/>
          </w:tcPr>
          <w:p w14:paraId="49DEE8E2"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20</w:t>
            </w:r>
          </w:p>
        </w:tc>
        <w:tc>
          <w:tcPr>
            <w:tcW w:w="765" w:type="dxa"/>
          </w:tcPr>
          <w:p w14:paraId="07990DBB"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24</w:t>
            </w:r>
          </w:p>
        </w:tc>
        <w:tc>
          <w:tcPr>
            <w:tcW w:w="765" w:type="dxa"/>
          </w:tcPr>
          <w:p w14:paraId="15B07A6E"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27</w:t>
            </w:r>
          </w:p>
        </w:tc>
        <w:tc>
          <w:tcPr>
            <w:tcW w:w="765" w:type="dxa"/>
          </w:tcPr>
          <w:p w14:paraId="2E5589FB"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33</w:t>
            </w:r>
          </w:p>
        </w:tc>
        <w:tc>
          <w:tcPr>
            <w:tcW w:w="765" w:type="dxa"/>
          </w:tcPr>
          <w:p w14:paraId="229B289E"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37</w:t>
            </w:r>
          </w:p>
        </w:tc>
        <w:tc>
          <w:tcPr>
            <w:tcW w:w="765" w:type="dxa"/>
          </w:tcPr>
          <w:p w14:paraId="35720559"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42</w:t>
            </w:r>
          </w:p>
        </w:tc>
        <w:tc>
          <w:tcPr>
            <w:tcW w:w="765" w:type="dxa"/>
          </w:tcPr>
          <w:p w14:paraId="7243F9E6"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45</w:t>
            </w:r>
          </w:p>
        </w:tc>
        <w:tc>
          <w:tcPr>
            <w:tcW w:w="765" w:type="dxa"/>
          </w:tcPr>
          <w:p w14:paraId="34D6F334"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49</w:t>
            </w:r>
          </w:p>
        </w:tc>
        <w:tc>
          <w:tcPr>
            <w:tcW w:w="765" w:type="dxa"/>
          </w:tcPr>
          <w:p w14:paraId="353CD51A"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53</w:t>
            </w:r>
          </w:p>
        </w:tc>
        <w:tc>
          <w:tcPr>
            <w:tcW w:w="879" w:type="dxa"/>
          </w:tcPr>
          <w:p w14:paraId="79C81DA9"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58</w:t>
            </w:r>
          </w:p>
        </w:tc>
      </w:tr>
      <w:tr w:rsidR="00F73D5B" w:rsidRPr="008B7A21" w14:paraId="3ECF8ACF" w14:textId="77777777" w:rsidTr="002E47E2">
        <w:trPr>
          <w:jc w:val="center"/>
        </w:trPr>
        <w:tc>
          <w:tcPr>
            <w:tcW w:w="1271" w:type="dxa"/>
          </w:tcPr>
          <w:p w14:paraId="23A25118"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30,0</w:t>
            </w:r>
          </w:p>
        </w:tc>
        <w:tc>
          <w:tcPr>
            <w:tcW w:w="685" w:type="dxa"/>
          </w:tcPr>
          <w:p w14:paraId="250DCDCD"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20</w:t>
            </w:r>
          </w:p>
        </w:tc>
        <w:tc>
          <w:tcPr>
            <w:tcW w:w="765" w:type="dxa"/>
          </w:tcPr>
          <w:p w14:paraId="1D9D0146"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25</w:t>
            </w:r>
          </w:p>
        </w:tc>
        <w:tc>
          <w:tcPr>
            <w:tcW w:w="765" w:type="dxa"/>
          </w:tcPr>
          <w:p w14:paraId="2B469F11"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30</w:t>
            </w:r>
          </w:p>
        </w:tc>
        <w:tc>
          <w:tcPr>
            <w:tcW w:w="765" w:type="dxa"/>
          </w:tcPr>
          <w:p w14:paraId="4F511156"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34</w:t>
            </w:r>
          </w:p>
        </w:tc>
        <w:tc>
          <w:tcPr>
            <w:tcW w:w="765" w:type="dxa"/>
          </w:tcPr>
          <w:p w14:paraId="7412F8FD"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41</w:t>
            </w:r>
          </w:p>
        </w:tc>
        <w:tc>
          <w:tcPr>
            <w:tcW w:w="765" w:type="dxa"/>
          </w:tcPr>
          <w:p w14:paraId="16E6FF91"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47</w:t>
            </w:r>
          </w:p>
        </w:tc>
        <w:tc>
          <w:tcPr>
            <w:tcW w:w="765" w:type="dxa"/>
          </w:tcPr>
          <w:p w14:paraId="36E728AE"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52</w:t>
            </w:r>
          </w:p>
        </w:tc>
        <w:tc>
          <w:tcPr>
            <w:tcW w:w="765" w:type="dxa"/>
          </w:tcPr>
          <w:p w14:paraId="5D106E3B"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56</w:t>
            </w:r>
          </w:p>
        </w:tc>
        <w:tc>
          <w:tcPr>
            <w:tcW w:w="765" w:type="dxa"/>
          </w:tcPr>
          <w:p w14:paraId="5A61B129"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60</w:t>
            </w:r>
          </w:p>
        </w:tc>
        <w:tc>
          <w:tcPr>
            <w:tcW w:w="765" w:type="dxa"/>
          </w:tcPr>
          <w:p w14:paraId="70D66907"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64</w:t>
            </w:r>
          </w:p>
        </w:tc>
        <w:tc>
          <w:tcPr>
            <w:tcW w:w="879" w:type="dxa"/>
          </w:tcPr>
          <w:p w14:paraId="6C882A66"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70</w:t>
            </w:r>
          </w:p>
        </w:tc>
      </w:tr>
      <w:tr w:rsidR="00F73D5B" w:rsidRPr="008B7A21" w14:paraId="2084AF7C" w14:textId="77777777" w:rsidTr="002E47E2">
        <w:trPr>
          <w:jc w:val="center"/>
        </w:trPr>
        <w:tc>
          <w:tcPr>
            <w:tcW w:w="1271" w:type="dxa"/>
          </w:tcPr>
          <w:p w14:paraId="3B0CF580"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35,0</w:t>
            </w:r>
          </w:p>
        </w:tc>
        <w:tc>
          <w:tcPr>
            <w:tcW w:w="685" w:type="dxa"/>
          </w:tcPr>
          <w:p w14:paraId="7B330238"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26</w:t>
            </w:r>
          </w:p>
        </w:tc>
        <w:tc>
          <w:tcPr>
            <w:tcW w:w="765" w:type="dxa"/>
          </w:tcPr>
          <w:p w14:paraId="6EE90C90"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32</w:t>
            </w:r>
          </w:p>
        </w:tc>
        <w:tc>
          <w:tcPr>
            <w:tcW w:w="765" w:type="dxa"/>
          </w:tcPr>
          <w:p w14:paraId="7D93D1A4"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38</w:t>
            </w:r>
          </w:p>
        </w:tc>
        <w:tc>
          <w:tcPr>
            <w:tcW w:w="765" w:type="dxa"/>
          </w:tcPr>
          <w:p w14:paraId="2ADE7EFC"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43</w:t>
            </w:r>
          </w:p>
        </w:tc>
        <w:tc>
          <w:tcPr>
            <w:tcW w:w="765" w:type="dxa"/>
          </w:tcPr>
          <w:p w14:paraId="34BA4D82"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51</w:t>
            </w:r>
          </w:p>
        </w:tc>
        <w:tc>
          <w:tcPr>
            <w:tcW w:w="765" w:type="dxa"/>
          </w:tcPr>
          <w:p w14:paraId="6A3C4466"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58</w:t>
            </w:r>
          </w:p>
        </w:tc>
        <w:tc>
          <w:tcPr>
            <w:tcW w:w="765" w:type="dxa"/>
          </w:tcPr>
          <w:p w14:paraId="2518E488"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63</w:t>
            </w:r>
          </w:p>
        </w:tc>
        <w:tc>
          <w:tcPr>
            <w:tcW w:w="765" w:type="dxa"/>
          </w:tcPr>
          <w:p w14:paraId="47040953"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68</w:t>
            </w:r>
          </w:p>
        </w:tc>
        <w:tc>
          <w:tcPr>
            <w:tcW w:w="765" w:type="dxa"/>
          </w:tcPr>
          <w:p w14:paraId="00E69FC8"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72</w:t>
            </w:r>
          </w:p>
        </w:tc>
        <w:tc>
          <w:tcPr>
            <w:tcW w:w="765" w:type="dxa"/>
          </w:tcPr>
          <w:p w14:paraId="2A8C5AFA"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76</w:t>
            </w:r>
          </w:p>
        </w:tc>
        <w:tc>
          <w:tcPr>
            <w:tcW w:w="879" w:type="dxa"/>
          </w:tcPr>
          <w:p w14:paraId="658AFFD0"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82</w:t>
            </w:r>
          </w:p>
        </w:tc>
      </w:tr>
      <w:tr w:rsidR="00F73D5B" w:rsidRPr="008B7A21" w14:paraId="10BE85E8" w14:textId="77777777" w:rsidTr="002E47E2">
        <w:trPr>
          <w:jc w:val="center"/>
        </w:trPr>
        <w:tc>
          <w:tcPr>
            <w:tcW w:w="1271" w:type="dxa"/>
          </w:tcPr>
          <w:p w14:paraId="1D4CECD5"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40,0</w:t>
            </w:r>
          </w:p>
        </w:tc>
        <w:tc>
          <w:tcPr>
            <w:tcW w:w="685" w:type="dxa"/>
          </w:tcPr>
          <w:p w14:paraId="2B26777B"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33</w:t>
            </w:r>
          </w:p>
        </w:tc>
        <w:tc>
          <w:tcPr>
            <w:tcW w:w="765" w:type="dxa"/>
          </w:tcPr>
          <w:p w14:paraId="7DC263D3"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41</w:t>
            </w:r>
          </w:p>
        </w:tc>
        <w:tc>
          <w:tcPr>
            <w:tcW w:w="765" w:type="dxa"/>
          </w:tcPr>
          <w:p w14:paraId="257C940F"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48</w:t>
            </w:r>
          </w:p>
        </w:tc>
        <w:tc>
          <w:tcPr>
            <w:tcW w:w="765" w:type="dxa"/>
          </w:tcPr>
          <w:p w14:paraId="3748C769"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54</w:t>
            </w:r>
          </w:p>
        </w:tc>
        <w:tc>
          <w:tcPr>
            <w:tcW w:w="765" w:type="dxa"/>
          </w:tcPr>
          <w:p w14:paraId="7E16D750"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63</w:t>
            </w:r>
          </w:p>
        </w:tc>
        <w:tc>
          <w:tcPr>
            <w:tcW w:w="765" w:type="dxa"/>
          </w:tcPr>
          <w:p w14:paraId="4D4F25E7"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70</w:t>
            </w:r>
          </w:p>
        </w:tc>
        <w:tc>
          <w:tcPr>
            <w:tcW w:w="765" w:type="dxa"/>
          </w:tcPr>
          <w:p w14:paraId="706DE2E9"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75</w:t>
            </w:r>
          </w:p>
        </w:tc>
        <w:tc>
          <w:tcPr>
            <w:tcW w:w="765" w:type="dxa"/>
          </w:tcPr>
          <w:p w14:paraId="42A6F63C"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79</w:t>
            </w:r>
          </w:p>
        </w:tc>
        <w:tc>
          <w:tcPr>
            <w:tcW w:w="765" w:type="dxa"/>
          </w:tcPr>
          <w:p w14:paraId="1A4143BA"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84</w:t>
            </w:r>
          </w:p>
        </w:tc>
        <w:tc>
          <w:tcPr>
            <w:tcW w:w="765" w:type="dxa"/>
          </w:tcPr>
          <w:p w14:paraId="54CFE793"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88</w:t>
            </w:r>
          </w:p>
        </w:tc>
        <w:tc>
          <w:tcPr>
            <w:tcW w:w="879" w:type="dxa"/>
          </w:tcPr>
          <w:p w14:paraId="46F3C44D" w14:textId="77777777" w:rsidR="00F73D5B" w:rsidRPr="008B7A21" w:rsidRDefault="00F73D5B" w:rsidP="00767A6A">
            <w:pPr>
              <w:pStyle w:val="Tabletext"/>
              <w:keepNext/>
              <w:keepLines/>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95</w:t>
            </w:r>
          </w:p>
        </w:tc>
      </w:tr>
      <w:tr w:rsidR="00F73D5B" w:rsidRPr="008B7A21" w14:paraId="0CF193C2" w14:textId="77777777" w:rsidTr="002E47E2">
        <w:trPr>
          <w:jc w:val="center"/>
        </w:trPr>
        <w:tc>
          <w:tcPr>
            <w:tcW w:w="1271" w:type="dxa"/>
          </w:tcPr>
          <w:p w14:paraId="7823D724"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43,0</w:t>
            </w:r>
          </w:p>
        </w:tc>
        <w:tc>
          <w:tcPr>
            <w:tcW w:w="685" w:type="dxa"/>
          </w:tcPr>
          <w:p w14:paraId="12017352"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38/36</w:t>
            </w:r>
          </w:p>
        </w:tc>
        <w:tc>
          <w:tcPr>
            <w:tcW w:w="765" w:type="dxa"/>
          </w:tcPr>
          <w:p w14:paraId="5CB1D25A"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47/42</w:t>
            </w:r>
          </w:p>
        </w:tc>
        <w:tc>
          <w:tcPr>
            <w:tcW w:w="765" w:type="dxa"/>
          </w:tcPr>
          <w:p w14:paraId="2CDF9E10"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55/49</w:t>
            </w:r>
          </w:p>
        </w:tc>
        <w:tc>
          <w:tcPr>
            <w:tcW w:w="765" w:type="dxa"/>
          </w:tcPr>
          <w:p w14:paraId="19BF9DB6"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61/54</w:t>
            </w:r>
          </w:p>
        </w:tc>
        <w:tc>
          <w:tcPr>
            <w:tcW w:w="765" w:type="dxa"/>
          </w:tcPr>
          <w:p w14:paraId="6712170C"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70/63</w:t>
            </w:r>
          </w:p>
        </w:tc>
        <w:tc>
          <w:tcPr>
            <w:tcW w:w="765" w:type="dxa"/>
          </w:tcPr>
          <w:p w14:paraId="3C0B0F96"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77/71</w:t>
            </w:r>
          </w:p>
        </w:tc>
        <w:tc>
          <w:tcPr>
            <w:tcW w:w="765" w:type="dxa"/>
          </w:tcPr>
          <w:p w14:paraId="0F61BA5F"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83/78</w:t>
            </w:r>
          </w:p>
        </w:tc>
        <w:tc>
          <w:tcPr>
            <w:tcW w:w="765" w:type="dxa"/>
          </w:tcPr>
          <w:p w14:paraId="33378FED"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87/84</w:t>
            </w:r>
          </w:p>
        </w:tc>
        <w:tc>
          <w:tcPr>
            <w:tcW w:w="765" w:type="dxa"/>
          </w:tcPr>
          <w:p w14:paraId="75994086"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92/90</w:t>
            </w:r>
          </w:p>
        </w:tc>
        <w:tc>
          <w:tcPr>
            <w:tcW w:w="765" w:type="dxa"/>
          </w:tcPr>
          <w:p w14:paraId="134D552F"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96/95</w:t>
            </w:r>
          </w:p>
        </w:tc>
        <w:tc>
          <w:tcPr>
            <w:tcW w:w="879" w:type="dxa"/>
          </w:tcPr>
          <w:p w14:paraId="18C9B355"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103</w:t>
            </w:r>
          </w:p>
        </w:tc>
      </w:tr>
      <w:tr w:rsidR="00F73D5B" w:rsidRPr="008B7A21" w14:paraId="45143B16" w14:textId="77777777" w:rsidTr="002E47E2">
        <w:trPr>
          <w:jc w:val="center"/>
        </w:trPr>
        <w:tc>
          <w:tcPr>
            <w:tcW w:w="1271" w:type="dxa"/>
          </w:tcPr>
          <w:p w14:paraId="2ABE1EB8"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46,0</w:t>
            </w:r>
          </w:p>
        </w:tc>
        <w:tc>
          <w:tcPr>
            <w:tcW w:w="685" w:type="dxa"/>
          </w:tcPr>
          <w:p w14:paraId="5AAD36E2"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44/36</w:t>
            </w:r>
          </w:p>
        </w:tc>
        <w:tc>
          <w:tcPr>
            <w:tcW w:w="765" w:type="dxa"/>
          </w:tcPr>
          <w:p w14:paraId="421F653A"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54/42</w:t>
            </w:r>
          </w:p>
        </w:tc>
        <w:tc>
          <w:tcPr>
            <w:tcW w:w="765" w:type="dxa"/>
          </w:tcPr>
          <w:p w14:paraId="497B35D7"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63/49</w:t>
            </w:r>
          </w:p>
        </w:tc>
        <w:tc>
          <w:tcPr>
            <w:tcW w:w="765" w:type="dxa"/>
          </w:tcPr>
          <w:p w14:paraId="16CD55CB"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69/54</w:t>
            </w:r>
          </w:p>
        </w:tc>
        <w:tc>
          <w:tcPr>
            <w:tcW w:w="765" w:type="dxa"/>
          </w:tcPr>
          <w:p w14:paraId="5E611AAC"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78/63</w:t>
            </w:r>
          </w:p>
        </w:tc>
        <w:tc>
          <w:tcPr>
            <w:tcW w:w="765" w:type="dxa"/>
          </w:tcPr>
          <w:p w14:paraId="4E490EBA"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85/71</w:t>
            </w:r>
          </w:p>
        </w:tc>
        <w:tc>
          <w:tcPr>
            <w:tcW w:w="765" w:type="dxa"/>
          </w:tcPr>
          <w:p w14:paraId="63C6D208"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91/78</w:t>
            </w:r>
          </w:p>
        </w:tc>
        <w:tc>
          <w:tcPr>
            <w:tcW w:w="765" w:type="dxa"/>
          </w:tcPr>
          <w:p w14:paraId="5D745C4A"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95/84</w:t>
            </w:r>
          </w:p>
        </w:tc>
        <w:tc>
          <w:tcPr>
            <w:tcW w:w="765" w:type="dxa"/>
          </w:tcPr>
          <w:p w14:paraId="5405657D"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100/90</w:t>
            </w:r>
          </w:p>
        </w:tc>
        <w:tc>
          <w:tcPr>
            <w:tcW w:w="765" w:type="dxa"/>
          </w:tcPr>
          <w:p w14:paraId="6E1347BF"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104/95</w:t>
            </w:r>
          </w:p>
        </w:tc>
        <w:tc>
          <w:tcPr>
            <w:tcW w:w="879" w:type="dxa"/>
          </w:tcPr>
          <w:p w14:paraId="74B45455" w14:textId="77777777" w:rsidR="00F73D5B" w:rsidRPr="008B7A21" w:rsidRDefault="00F73D5B" w:rsidP="00767A6A">
            <w:pPr>
              <w:pStyle w:val="Tabletext"/>
              <w:jc w:val="center"/>
              <w:rPr>
                <w:rFonts w:asciiTheme="majorBidi" w:hAnsiTheme="majorBidi" w:cstheme="majorBidi"/>
                <w:caps/>
                <w:sz w:val="18"/>
                <w:szCs w:val="18"/>
                <w:lang w:val="es-ES_tradnl"/>
              </w:rPr>
            </w:pPr>
            <w:r w:rsidRPr="008B7A21">
              <w:rPr>
                <w:rFonts w:asciiTheme="majorBidi" w:hAnsiTheme="majorBidi" w:cstheme="majorBidi"/>
                <w:sz w:val="18"/>
                <w:szCs w:val="18"/>
                <w:lang w:val="es-ES_tradnl"/>
              </w:rPr>
              <w:t>112/</w:t>
            </w:r>
            <w:r w:rsidRPr="008B7A21">
              <w:rPr>
                <w:rFonts w:asciiTheme="majorBidi" w:hAnsiTheme="majorBidi" w:cstheme="majorBidi"/>
                <w:caps/>
                <w:sz w:val="18"/>
                <w:szCs w:val="18"/>
                <w:lang w:val="es-ES_tradnl"/>
              </w:rPr>
              <w:t>105</w:t>
            </w:r>
          </w:p>
        </w:tc>
      </w:tr>
      <w:tr w:rsidR="00F73D5B" w:rsidRPr="008B7A21" w14:paraId="24EF26A5" w14:textId="77777777" w:rsidTr="002E47E2">
        <w:trPr>
          <w:jc w:val="center"/>
        </w:trPr>
        <w:tc>
          <w:tcPr>
            <w:tcW w:w="1271" w:type="dxa"/>
          </w:tcPr>
          <w:p w14:paraId="342B9EB9"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50,0</w:t>
            </w:r>
          </w:p>
        </w:tc>
        <w:tc>
          <w:tcPr>
            <w:tcW w:w="685" w:type="dxa"/>
          </w:tcPr>
          <w:p w14:paraId="0874EFFC"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54/36</w:t>
            </w:r>
          </w:p>
        </w:tc>
        <w:tc>
          <w:tcPr>
            <w:tcW w:w="765" w:type="dxa"/>
          </w:tcPr>
          <w:p w14:paraId="092742AF"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65/42</w:t>
            </w:r>
          </w:p>
        </w:tc>
        <w:tc>
          <w:tcPr>
            <w:tcW w:w="765" w:type="dxa"/>
          </w:tcPr>
          <w:p w14:paraId="4235E687"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73/49</w:t>
            </w:r>
          </w:p>
        </w:tc>
        <w:tc>
          <w:tcPr>
            <w:tcW w:w="765" w:type="dxa"/>
          </w:tcPr>
          <w:p w14:paraId="28D9904D"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80/54</w:t>
            </w:r>
          </w:p>
        </w:tc>
        <w:tc>
          <w:tcPr>
            <w:tcW w:w="765" w:type="dxa"/>
          </w:tcPr>
          <w:p w14:paraId="3D81A9D9"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89/63</w:t>
            </w:r>
          </w:p>
        </w:tc>
        <w:tc>
          <w:tcPr>
            <w:tcW w:w="765" w:type="dxa"/>
          </w:tcPr>
          <w:p w14:paraId="325DB570"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97/71</w:t>
            </w:r>
          </w:p>
        </w:tc>
        <w:tc>
          <w:tcPr>
            <w:tcW w:w="765" w:type="dxa"/>
          </w:tcPr>
          <w:p w14:paraId="500647BA"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102/78</w:t>
            </w:r>
          </w:p>
        </w:tc>
        <w:tc>
          <w:tcPr>
            <w:tcW w:w="765" w:type="dxa"/>
          </w:tcPr>
          <w:p w14:paraId="1BFA93B2"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107/84</w:t>
            </w:r>
          </w:p>
        </w:tc>
        <w:tc>
          <w:tcPr>
            <w:tcW w:w="765" w:type="dxa"/>
          </w:tcPr>
          <w:p w14:paraId="7700E76E"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112/90</w:t>
            </w:r>
          </w:p>
        </w:tc>
        <w:tc>
          <w:tcPr>
            <w:tcW w:w="765" w:type="dxa"/>
          </w:tcPr>
          <w:p w14:paraId="78BB6A02"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117/95</w:t>
            </w:r>
          </w:p>
        </w:tc>
        <w:tc>
          <w:tcPr>
            <w:tcW w:w="879" w:type="dxa"/>
          </w:tcPr>
          <w:p w14:paraId="48DEC317" w14:textId="77777777" w:rsidR="00F73D5B" w:rsidRPr="008B7A21" w:rsidRDefault="00F73D5B" w:rsidP="00767A6A">
            <w:pPr>
              <w:pStyle w:val="Tabletext"/>
              <w:jc w:val="center"/>
              <w:rPr>
                <w:rFonts w:asciiTheme="majorBidi" w:hAnsiTheme="majorBidi" w:cstheme="majorBidi"/>
                <w:caps/>
                <w:sz w:val="18"/>
                <w:szCs w:val="18"/>
                <w:lang w:val="es-ES_tradnl"/>
              </w:rPr>
            </w:pPr>
            <w:r w:rsidRPr="008B7A21">
              <w:rPr>
                <w:rFonts w:asciiTheme="majorBidi" w:hAnsiTheme="majorBidi" w:cstheme="majorBidi"/>
                <w:sz w:val="18"/>
                <w:szCs w:val="18"/>
                <w:lang w:val="es-ES_tradnl"/>
              </w:rPr>
              <w:t>124/</w:t>
            </w:r>
            <w:r w:rsidRPr="008B7A21">
              <w:rPr>
                <w:rFonts w:asciiTheme="majorBidi" w:hAnsiTheme="majorBidi" w:cstheme="majorBidi"/>
                <w:caps/>
                <w:sz w:val="18"/>
                <w:szCs w:val="18"/>
                <w:lang w:val="es-ES_tradnl"/>
              </w:rPr>
              <w:t>105</w:t>
            </w:r>
          </w:p>
        </w:tc>
      </w:tr>
      <w:tr w:rsidR="00F73D5B" w:rsidRPr="008B7A21" w14:paraId="593B5730" w14:textId="77777777" w:rsidTr="002E47E2">
        <w:trPr>
          <w:jc w:val="center"/>
        </w:trPr>
        <w:tc>
          <w:tcPr>
            <w:tcW w:w="1271" w:type="dxa"/>
          </w:tcPr>
          <w:p w14:paraId="05AA40E4"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55,0</w:t>
            </w:r>
          </w:p>
        </w:tc>
        <w:tc>
          <w:tcPr>
            <w:tcW w:w="685" w:type="dxa"/>
          </w:tcPr>
          <w:p w14:paraId="6F882019"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69/36</w:t>
            </w:r>
          </w:p>
        </w:tc>
        <w:tc>
          <w:tcPr>
            <w:tcW w:w="765" w:type="dxa"/>
          </w:tcPr>
          <w:p w14:paraId="544464E7"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80/42</w:t>
            </w:r>
          </w:p>
        </w:tc>
        <w:tc>
          <w:tcPr>
            <w:tcW w:w="765" w:type="dxa"/>
          </w:tcPr>
          <w:p w14:paraId="5EDFDBA4"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89/49</w:t>
            </w:r>
          </w:p>
        </w:tc>
        <w:tc>
          <w:tcPr>
            <w:tcW w:w="765" w:type="dxa"/>
          </w:tcPr>
          <w:p w14:paraId="4CFA07BB"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96/54</w:t>
            </w:r>
          </w:p>
        </w:tc>
        <w:tc>
          <w:tcPr>
            <w:tcW w:w="765" w:type="dxa"/>
          </w:tcPr>
          <w:p w14:paraId="2F077304"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105/63</w:t>
            </w:r>
          </w:p>
        </w:tc>
        <w:tc>
          <w:tcPr>
            <w:tcW w:w="765" w:type="dxa"/>
          </w:tcPr>
          <w:p w14:paraId="4BD43160"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113/71</w:t>
            </w:r>
          </w:p>
        </w:tc>
        <w:tc>
          <w:tcPr>
            <w:tcW w:w="765" w:type="dxa"/>
          </w:tcPr>
          <w:p w14:paraId="2677104F"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119/78</w:t>
            </w:r>
          </w:p>
        </w:tc>
        <w:tc>
          <w:tcPr>
            <w:tcW w:w="765" w:type="dxa"/>
          </w:tcPr>
          <w:p w14:paraId="40B977C6"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124/84</w:t>
            </w:r>
          </w:p>
        </w:tc>
        <w:tc>
          <w:tcPr>
            <w:tcW w:w="765" w:type="dxa"/>
          </w:tcPr>
          <w:p w14:paraId="2634AEF0"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130/90</w:t>
            </w:r>
          </w:p>
        </w:tc>
        <w:tc>
          <w:tcPr>
            <w:tcW w:w="765" w:type="dxa"/>
          </w:tcPr>
          <w:p w14:paraId="4E27F604"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135/95</w:t>
            </w:r>
          </w:p>
        </w:tc>
        <w:tc>
          <w:tcPr>
            <w:tcW w:w="879" w:type="dxa"/>
          </w:tcPr>
          <w:p w14:paraId="6E15E692" w14:textId="77777777" w:rsidR="00F73D5B" w:rsidRPr="008B7A21" w:rsidRDefault="00F73D5B" w:rsidP="00767A6A">
            <w:pPr>
              <w:pStyle w:val="Tabletext"/>
              <w:jc w:val="center"/>
              <w:rPr>
                <w:rFonts w:asciiTheme="majorBidi" w:hAnsiTheme="majorBidi" w:cstheme="majorBidi"/>
                <w:caps/>
                <w:sz w:val="18"/>
                <w:szCs w:val="18"/>
                <w:lang w:val="es-ES_tradnl"/>
              </w:rPr>
            </w:pPr>
            <w:r w:rsidRPr="008B7A21">
              <w:rPr>
                <w:rFonts w:asciiTheme="majorBidi" w:hAnsiTheme="majorBidi" w:cstheme="majorBidi"/>
                <w:sz w:val="18"/>
                <w:szCs w:val="18"/>
                <w:lang w:val="es-ES_tradnl"/>
              </w:rPr>
              <w:t>143/</w:t>
            </w:r>
            <w:r w:rsidRPr="008B7A21">
              <w:rPr>
                <w:rFonts w:asciiTheme="majorBidi" w:hAnsiTheme="majorBidi" w:cstheme="majorBidi"/>
                <w:caps/>
                <w:sz w:val="18"/>
                <w:szCs w:val="18"/>
                <w:lang w:val="es-ES_tradnl"/>
              </w:rPr>
              <w:t>105</w:t>
            </w:r>
          </w:p>
        </w:tc>
      </w:tr>
      <w:tr w:rsidR="00F73D5B" w:rsidRPr="008B7A21" w14:paraId="4631127D" w14:textId="77777777" w:rsidTr="002E47E2">
        <w:trPr>
          <w:jc w:val="center"/>
        </w:trPr>
        <w:tc>
          <w:tcPr>
            <w:tcW w:w="1271" w:type="dxa"/>
          </w:tcPr>
          <w:p w14:paraId="548CB8DC"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60,0</w:t>
            </w:r>
          </w:p>
        </w:tc>
        <w:tc>
          <w:tcPr>
            <w:tcW w:w="685" w:type="dxa"/>
          </w:tcPr>
          <w:p w14:paraId="359CA365"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88/36</w:t>
            </w:r>
          </w:p>
        </w:tc>
        <w:tc>
          <w:tcPr>
            <w:tcW w:w="765" w:type="dxa"/>
          </w:tcPr>
          <w:p w14:paraId="55351A81"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100/42</w:t>
            </w:r>
          </w:p>
        </w:tc>
        <w:tc>
          <w:tcPr>
            <w:tcW w:w="765" w:type="dxa"/>
          </w:tcPr>
          <w:p w14:paraId="7146A545"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108/49</w:t>
            </w:r>
          </w:p>
        </w:tc>
        <w:tc>
          <w:tcPr>
            <w:tcW w:w="765" w:type="dxa"/>
          </w:tcPr>
          <w:p w14:paraId="3E3F432D"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115/54</w:t>
            </w:r>
          </w:p>
        </w:tc>
        <w:tc>
          <w:tcPr>
            <w:tcW w:w="765" w:type="dxa"/>
          </w:tcPr>
          <w:p w14:paraId="1C00D99C"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125/63</w:t>
            </w:r>
          </w:p>
        </w:tc>
        <w:tc>
          <w:tcPr>
            <w:tcW w:w="765" w:type="dxa"/>
          </w:tcPr>
          <w:p w14:paraId="67A8FB5A"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134/71</w:t>
            </w:r>
          </w:p>
        </w:tc>
        <w:tc>
          <w:tcPr>
            <w:tcW w:w="765" w:type="dxa"/>
          </w:tcPr>
          <w:p w14:paraId="58BFA90D"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140/78</w:t>
            </w:r>
          </w:p>
        </w:tc>
        <w:tc>
          <w:tcPr>
            <w:tcW w:w="765" w:type="dxa"/>
          </w:tcPr>
          <w:p w14:paraId="4BC52D24"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145/84</w:t>
            </w:r>
          </w:p>
        </w:tc>
        <w:tc>
          <w:tcPr>
            <w:tcW w:w="765" w:type="dxa"/>
          </w:tcPr>
          <w:p w14:paraId="66619A9D"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152/90</w:t>
            </w:r>
          </w:p>
        </w:tc>
        <w:tc>
          <w:tcPr>
            <w:tcW w:w="765" w:type="dxa"/>
          </w:tcPr>
          <w:p w14:paraId="49755F63" w14:textId="77777777" w:rsidR="00F73D5B" w:rsidRPr="008B7A21" w:rsidRDefault="00F73D5B" w:rsidP="00767A6A">
            <w:pPr>
              <w:pStyle w:val="Tabletext"/>
              <w:jc w:val="center"/>
              <w:rPr>
                <w:rFonts w:asciiTheme="majorBidi" w:hAnsiTheme="majorBidi" w:cstheme="majorBidi"/>
                <w:sz w:val="18"/>
                <w:szCs w:val="18"/>
                <w:lang w:val="es-ES_tradnl"/>
              </w:rPr>
            </w:pPr>
            <w:r w:rsidRPr="008B7A21">
              <w:rPr>
                <w:rFonts w:asciiTheme="majorBidi" w:hAnsiTheme="majorBidi" w:cstheme="majorBidi"/>
                <w:sz w:val="18"/>
                <w:szCs w:val="18"/>
                <w:lang w:val="es-ES_tradnl"/>
              </w:rPr>
              <w:t>157/95</w:t>
            </w:r>
          </w:p>
        </w:tc>
        <w:tc>
          <w:tcPr>
            <w:tcW w:w="879" w:type="dxa"/>
          </w:tcPr>
          <w:p w14:paraId="36D93773" w14:textId="77777777" w:rsidR="00F73D5B" w:rsidRPr="008B7A21" w:rsidRDefault="00F73D5B" w:rsidP="00767A6A">
            <w:pPr>
              <w:pStyle w:val="Tabletext"/>
              <w:jc w:val="center"/>
              <w:rPr>
                <w:rFonts w:asciiTheme="majorBidi" w:hAnsiTheme="majorBidi" w:cstheme="majorBidi"/>
                <w:caps/>
                <w:sz w:val="18"/>
                <w:szCs w:val="18"/>
                <w:lang w:val="es-ES_tradnl"/>
              </w:rPr>
            </w:pPr>
            <w:r w:rsidRPr="008B7A21">
              <w:rPr>
                <w:rFonts w:asciiTheme="majorBidi" w:hAnsiTheme="majorBidi" w:cstheme="majorBidi"/>
                <w:sz w:val="18"/>
                <w:szCs w:val="18"/>
                <w:lang w:val="es-ES_tradnl"/>
              </w:rPr>
              <w:t>166/</w:t>
            </w:r>
            <w:r w:rsidRPr="008B7A21">
              <w:rPr>
                <w:rFonts w:asciiTheme="majorBidi" w:hAnsiTheme="majorBidi" w:cstheme="majorBidi"/>
                <w:caps/>
                <w:sz w:val="18"/>
                <w:szCs w:val="18"/>
                <w:lang w:val="es-ES_tradnl"/>
              </w:rPr>
              <w:t>105</w:t>
            </w:r>
          </w:p>
        </w:tc>
      </w:tr>
    </w:tbl>
    <w:p w14:paraId="639F2BD6" w14:textId="77777777" w:rsidR="00F73D5B" w:rsidRPr="008B7A21" w:rsidRDefault="00F73D5B" w:rsidP="00F73D5B">
      <w:pPr>
        <w:pStyle w:val="Tablefin"/>
        <w:rPr>
          <w:lang w:val="es-ES_tradnl"/>
        </w:rPr>
      </w:pPr>
    </w:p>
    <w:p w14:paraId="76CBD3C1" w14:textId="1B4BE3C4" w:rsidR="00F73D5B" w:rsidRPr="008B7A21" w:rsidRDefault="00F73D5B" w:rsidP="00F73D5B">
      <w:pPr>
        <w:pStyle w:val="TableNo"/>
        <w:rPr>
          <w:rFonts w:asciiTheme="majorBidi" w:hAnsiTheme="majorBidi" w:cstheme="majorBidi"/>
          <w:sz w:val="22"/>
          <w:szCs w:val="22"/>
          <w:lang w:val="es-ES_tradnl"/>
        </w:rPr>
      </w:pPr>
      <w:r w:rsidRPr="008B7A21">
        <w:rPr>
          <w:rFonts w:asciiTheme="majorBidi" w:hAnsiTheme="majorBidi" w:cstheme="majorBidi"/>
          <w:sz w:val="22"/>
          <w:szCs w:val="22"/>
          <w:lang w:val="es-ES_tradnl"/>
        </w:rPr>
        <w:t>CUADRO 6</w:t>
      </w:r>
    </w:p>
    <w:p w14:paraId="048779FE" w14:textId="77777777" w:rsidR="00F73D5B" w:rsidRPr="008B7A21" w:rsidRDefault="00F73D5B" w:rsidP="00F73D5B">
      <w:pPr>
        <w:pStyle w:val="Tabletitle"/>
        <w:rPr>
          <w:rFonts w:asciiTheme="majorBidi" w:hAnsiTheme="majorBidi" w:cstheme="majorBidi"/>
          <w:sz w:val="22"/>
          <w:szCs w:val="22"/>
          <w:lang w:val="es-ES_tradnl"/>
        </w:rPr>
      </w:pPr>
      <w:r w:rsidRPr="008B7A21">
        <w:rPr>
          <w:rFonts w:asciiTheme="majorBidi" w:hAnsiTheme="majorBidi" w:cstheme="majorBidi"/>
          <w:sz w:val="22"/>
          <w:szCs w:val="22"/>
          <w:lang w:val="es-ES_tradnl"/>
        </w:rPr>
        <w:t>Radio de la zona de servicio (km) para el servicio</w:t>
      </w:r>
      <w:r w:rsidRPr="008B7A21">
        <w:rPr>
          <w:rFonts w:asciiTheme="majorBidi" w:hAnsiTheme="majorBidi" w:cstheme="majorBidi"/>
          <w:sz w:val="22"/>
          <w:szCs w:val="22"/>
          <w:lang w:val="es-ES_tradnl"/>
        </w:rPr>
        <w:br/>
        <w:t>de televisión en la banda 76-108 MHz,</w:t>
      </w:r>
      <w:r w:rsidRPr="008B7A21">
        <w:rPr>
          <w:rFonts w:asciiTheme="majorBidi" w:hAnsiTheme="majorBidi" w:cstheme="majorBidi"/>
          <w:sz w:val="22"/>
          <w:szCs w:val="22"/>
          <w:lang w:val="es-ES_tradnl"/>
        </w:rPr>
        <w:br/>
      </w:r>
      <w:r w:rsidRPr="008B7A21">
        <w:rPr>
          <w:rFonts w:asciiTheme="majorBidi" w:hAnsiTheme="majorBidi" w:cstheme="majorBidi"/>
          <w:i/>
          <w:iCs/>
          <w:sz w:val="22"/>
          <w:szCs w:val="22"/>
          <w:lang w:val="es-ES_tradnl"/>
        </w:rPr>
        <w:t>E</w:t>
      </w:r>
      <w:r w:rsidRPr="008B7A21">
        <w:rPr>
          <w:rFonts w:asciiTheme="majorBidi" w:hAnsiTheme="majorBidi" w:cstheme="majorBidi"/>
          <w:i/>
          <w:iCs/>
          <w:sz w:val="22"/>
          <w:szCs w:val="22"/>
          <w:vertAlign w:val="subscript"/>
          <w:lang w:val="es-ES_tradnl"/>
        </w:rPr>
        <w:t>mu</w:t>
      </w:r>
      <w:r w:rsidRPr="008B7A21">
        <w:rPr>
          <w:rFonts w:asciiTheme="majorBidi" w:hAnsiTheme="majorBidi" w:cstheme="majorBidi"/>
          <w:sz w:val="22"/>
          <w:szCs w:val="22"/>
          <w:lang w:val="es-ES_tradnl"/>
        </w:rPr>
        <w:t xml:space="preserve"> = 52 dB(</w:t>
      </w:r>
      <w:r w:rsidRPr="008B7A21">
        <w:rPr>
          <w:rFonts w:asciiTheme="majorBidi" w:hAnsiTheme="majorBidi" w:cstheme="majorBidi"/>
          <w:sz w:val="22"/>
          <w:szCs w:val="22"/>
          <w:lang w:val="es-ES_tradnl"/>
        </w:rPr>
        <w:sym w:font="Symbol" w:char="F06D"/>
      </w:r>
      <w:r w:rsidRPr="008B7A21">
        <w:rPr>
          <w:rFonts w:asciiTheme="majorBidi" w:hAnsiTheme="majorBidi" w:cstheme="majorBidi"/>
          <w:sz w:val="22"/>
          <w:szCs w:val="22"/>
          <w:lang w:val="es-ES_tradnl"/>
        </w:rPr>
        <w:t xml:space="preserve">V/m), </w:t>
      </w:r>
      <w:r w:rsidRPr="008B7A21">
        <w:rPr>
          <w:rFonts w:asciiTheme="majorBidi" w:hAnsiTheme="majorBidi" w:cstheme="majorBidi"/>
          <w:i/>
          <w:iCs/>
          <w:sz w:val="22"/>
          <w:szCs w:val="22"/>
          <w:lang w:val="es-ES_tradnl"/>
        </w:rPr>
        <w:t>f</w:t>
      </w:r>
      <w:r w:rsidRPr="008B7A21">
        <w:rPr>
          <w:rFonts w:asciiTheme="majorBidi" w:hAnsiTheme="majorBidi" w:cstheme="majorBidi"/>
          <w:i/>
          <w:iCs/>
          <w:sz w:val="22"/>
          <w:szCs w:val="22"/>
          <w:vertAlign w:val="subscript"/>
          <w:lang w:val="es-ES_tradnl"/>
        </w:rPr>
        <w:t>c</w:t>
      </w:r>
      <w:r w:rsidRPr="008B7A21">
        <w:rPr>
          <w:rFonts w:asciiTheme="majorBidi" w:hAnsiTheme="majorBidi" w:cstheme="majorBidi"/>
          <w:sz w:val="22"/>
          <w:szCs w:val="22"/>
          <w:lang w:val="es-ES_tradnl"/>
        </w:rPr>
        <w:t xml:space="preserve"> = 100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709"/>
        <w:gridCol w:w="765"/>
        <w:gridCol w:w="765"/>
        <w:gridCol w:w="765"/>
        <w:gridCol w:w="765"/>
        <w:gridCol w:w="765"/>
        <w:gridCol w:w="765"/>
        <w:gridCol w:w="765"/>
        <w:gridCol w:w="765"/>
        <w:gridCol w:w="765"/>
        <w:gridCol w:w="879"/>
      </w:tblGrid>
      <w:tr w:rsidR="00F73D5B" w:rsidRPr="008B7A21" w14:paraId="595F15AB" w14:textId="77777777" w:rsidTr="00767A6A">
        <w:trPr>
          <w:jc w:val="center"/>
        </w:trPr>
        <w:tc>
          <w:tcPr>
            <w:tcW w:w="1247" w:type="dxa"/>
            <w:tcBorders>
              <w:tl2br w:val="single" w:sz="4" w:space="0" w:color="auto"/>
            </w:tcBorders>
            <w:vAlign w:val="center"/>
          </w:tcPr>
          <w:p w14:paraId="5C5FC7E2" w14:textId="77777777" w:rsidR="00F73D5B" w:rsidRPr="008B7A21" w:rsidRDefault="00F73D5B" w:rsidP="00767A6A">
            <w:pPr>
              <w:pStyle w:val="Tablehead"/>
              <w:spacing w:before="120"/>
              <w:jc w:val="right"/>
              <w:rPr>
                <w:sz w:val="18"/>
                <w:szCs w:val="18"/>
                <w:lang w:val="es-ES_tradnl"/>
              </w:rPr>
            </w:pPr>
            <w:r w:rsidRPr="008B7A21">
              <w:rPr>
                <w:i/>
                <w:iCs/>
                <w:sz w:val="18"/>
                <w:szCs w:val="18"/>
                <w:lang w:val="es-ES_tradnl"/>
              </w:rPr>
              <w:br/>
              <w:t>h</w:t>
            </w:r>
            <w:r w:rsidRPr="008B7A21">
              <w:rPr>
                <w:i/>
                <w:iCs/>
                <w:sz w:val="18"/>
                <w:szCs w:val="18"/>
                <w:vertAlign w:val="subscript"/>
                <w:lang w:val="es-ES_tradnl"/>
              </w:rPr>
              <w:t>ef</w:t>
            </w:r>
            <w:r w:rsidRPr="008B7A21">
              <w:rPr>
                <w:sz w:val="18"/>
                <w:szCs w:val="18"/>
                <w:lang w:val="es-ES_tradnl"/>
              </w:rPr>
              <w:t xml:space="preserve"> (m)</w:t>
            </w:r>
          </w:p>
          <w:p w14:paraId="6184154C" w14:textId="77777777" w:rsidR="00F73D5B" w:rsidRPr="008B7A21" w:rsidRDefault="00F73D5B" w:rsidP="00767A6A">
            <w:pPr>
              <w:pStyle w:val="Tablehead"/>
              <w:ind w:left="-57"/>
              <w:jc w:val="left"/>
              <w:rPr>
                <w:sz w:val="18"/>
                <w:szCs w:val="18"/>
                <w:lang w:val="es-ES_tradnl"/>
              </w:rPr>
            </w:pPr>
            <w:r w:rsidRPr="008B7A21">
              <w:rPr>
                <w:i/>
                <w:iCs/>
                <w:sz w:val="18"/>
                <w:szCs w:val="18"/>
                <w:lang w:val="es-ES_tradnl"/>
              </w:rPr>
              <w:t>P</w:t>
            </w:r>
            <w:r w:rsidRPr="008B7A21">
              <w:rPr>
                <w:i/>
                <w:iCs/>
                <w:sz w:val="18"/>
                <w:szCs w:val="18"/>
                <w:vertAlign w:val="subscript"/>
                <w:lang w:val="es-ES_tradnl"/>
              </w:rPr>
              <w:t>ef</w:t>
            </w:r>
            <w:r w:rsidRPr="008B7A21">
              <w:rPr>
                <w:rFonts w:ascii="Tms Rmn" w:hAnsi="Tms Rmn"/>
                <w:sz w:val="18"/>
                <w:szCs w:val="18"/>
                <w:vertAlign w:val="subscript"/>
                <w:lang w:val="es-ES_tradnl"/>
              </w:rPr>
              <w:t xml:space="preserve">  </w:t>
            </w:r>
            <w:r w:rsidRPr="008B7A21">
              <w:rPr>
                <w:sz w:val="18"/>
                <w:szCs w:val="18"/>
                <w:lang w:val="es-ES_tradnl"/>
              </w:rPr>
              <w:t>(dBW)</w:t>
            </w:r>
          </w:p>
        </w:tc>
        <w:tc>
          <w:tcPr>
            <w:tcW w:w="709" w:type="dxa"/>
            <w:vAlign w:val="center"/>
          </w:tcPr>
          <w:p w14:paraId="2331E98A" w14:textId="77777777" w:rsidR="00F73D5B" w:rsidRPr="008B7A21" w:rsidRDefault="00F73D5B" w:rsidP="00767A6A">
            <w:pPr>
              <w:pStyle w:val="Tablehead"/>
              <w:rPr>
                <w:sz w:val="18"/>
                <w:szCs w:val="18"/>
                <w:lang w:val="es-ES_tradnl"/>
              </w:rPr>
            </w:pPr>
            <w:r w:rsidRPr="008B7A21">
              <w:rPr>
                <w:sz w:val="18"/>
                <w:szCs w:val="18"/>
                <w:lang w:val="es-ES_tradnl"/>
              </w:rPr>
              <w:t>30</w:t>
            </w:r>
          </w:p>
        </w:tc>
        <w:tc>
          <w:tcPr>
            <w:tcW w:w="765" w:type="dxa"/>
            <w:vAlign w:val="center"/>
          </w:tcPr>
          <w:p w14:paraId="4CD9204F" w14:textId="77777777" w:rsidR="00F73D5B" w:rsidRPr="008B7A21" w:rsidRDefault="00F73D5B" w:rsidP="00767A6A">
            <w:pPr>
              <w:pStyle w:val="Tablehead"/>
              <w:rPr>
                <w:sz w:val="18"/>
                <w:szCs w:val="18"/>
                <w:lang w:val="es-ES_tradnl"/>
              </w:rPr>
            </w:pPr>
            <w:r w:rsidRPr="008B7A21">
              <w:rPr>
                <w:sz w:val="18"/>
                <w:szCs w:val="18"/>
                <w:lang w:val="es-ES_tradnl"/>
              </w:rPr>
              <w:t>50</w:t>
            </w:r>
          </w:p>
        </w:tc>
        <w:tc>
          <w:tcPr>
            <w:tcW w:w="765" w:type="dxa"/>
            <w:vAlign w:val="center"/>
          </w:tcPr>
          <w:p w14:paraId="40B953FC" w14:textId="77777777" w:rsidR="00F73D5B" w:rsidRPr="008B7A21" w:rsidRDefault="00F73D5B" w:rsidP="00767A6A">
            <w:pPr>
              <w:pStyle w:val="Tablehead"/>
              <w:rPr>
                <w:sz w:val="18"/>
                <w:szCs w:val="18"/>
                <w:lang w:val="es-ES_tradnl"/>
              </w:rPr>
            </w:pPr>
            <w:r w:rsidRPr="008B7A21">
              <w:rPr>
                <w:sz w:val="18"/>
                <w:szCs w:val="18"/>
                <w:lang w:val="es-ES_tradnl"/>
              </w:rPr>
              <w:t>75</w:t>
            </w:r>
          </w:p>
        </w:tc>
        <w:tc>
          <w:tcPr>
            <w:tcW w:w="765" w:type="dxa"/>
            <w:vAlign w:val="center"/>
          </w:tcPr>
          <w:p w14:paraId="20D7C9DC" w14:textId="77777777" w:rsidR="00F73D5B" w:rsidRPr="008B7A21" w:rsidRDefault="00F73D5B" w:rsidP="00767A6A">
            <w:pPr>
              <w:pStyle w:val="Tablehead"/>
              <w:rPr>
                <w:sz w:val="18"/>
                <w:szCs w:val="18"/>
                <w:lang w:val="es-ES_tradnl"/>
              </w:rPr>
            </w:pPr>
            <w:r w:rsidRPr="008B7A21">
              <w:rPr>
                <w:sz w:val="18"/>
                <w:szCs w:val="18"/>
                <w:lang w:val="es-ES_tradnl"/>
              </w:rPr>
              <w:t>100</w:t>
            </w:r>
          </w:p>
        </w:tc>
        <w:tc>
          <w:tcPr>
            <w:tcW w:w="765" w:type="dxa"/>
            <w:vAlign w:val="center"/>
          </w:tcPr>
          <w:p w14:paraId="1167B233" w14:textId="77777777" w:rsidR="00F73D5B" w:rsidRPr="008B7A21" w:rsidRDefault="00F73D5B" w:rsidP="00767A6A">
            <w:pPr>
              <w:pStyle w:val="Tablehead"/>
              <w:rPr>
                <w:sz w:val="18"/>
                <w:szCs w:val="18"/>
                <w:lang w:val="es-ES_tradnl"/>
              </w:rPr>
            </w:pPr>
            <w:r w:rsidRPr="008B7A21">
              <w:rPr>
                <w:sz w:val="18"/>
                <w:szCs w:val="18"/>
                <w:lang w:val="es-ES_tradnl"/>
              </w:rPr>
              <w:t>150</w:t>
            </w:r>
          </w:p>
        </w:tc>
        <w:tc>
          <w:tcPr>
            <w:tcW w:w="765" w:type="dxa"/>
            <w:vAlign w:val="center"/>
          </w:tcPr>
          <w:p w14:paraId="522C079F" w14:textId="77777777" w:rsidR="00F73D5B" w:rsidRPr="008B7A21" w:rsidRDefault="00F73D5B" w:rsidP="00767A6A">
            <w:pPr>
              <w:pStyle w:val="Tablehead"/>
              <w:rPr>
                <w:sz w:val="18"/>
                <w:szCs w:val="18"/>
                <w:lang w:val="es-ES_tradnl"/>
              </w:rPr>
            </w:pPr>
            <w:r w:rsidRPr="008B7A21">
              <w:rPr>
                <w:sz w:val="18"/>
                <w:szCs w:val="18"/>
                <w:lang w:val="es-ES_tradnl"/>
              </w:rPr>
              <w:t>200</w:t>
            </w:r>
          </w:p>
        </w:tc>
        <w:tc>
          <w:tcPr>
            <w:tcW w:w="765" w:type="dxa"/>
            <w:vAlign w:val="center"/>
          </w:tcPr>
          <w:p w14:paraId="7E2D4855" w14:textId="77777777" w:rsidR="00F73D5B" w:rsidRPr="008B7A21" w:rsidRDefault="00F73D5B" w:rsidP="00767A6A">
            <w:pPr>
              <w:pStyle w:val="Tablehead"/>
              <w:rPr>
                <w:sz w:val="18"/>
                <w:szCs w:val="18"/>
                <w:lang w:val="es-ES_tradnl"/>
              </w:rPr>
            </w:pPr>
            <w:r w:rsidRPr="008B7A21">
              <w:rPr>
                <w:sz w:val="18"/>
                <w:szCs w:val="18"/>
                <w:lang w:val="es-ES_tradnl"/>
              </w:rPr>
              <w:t>250</w:t>
            </w:r>
          </w:p>
        </w:tc>
        <w:tc>
          <w:tcPr>
            <w:tcW w:w="765" w:type="dxa"/>
            <w:vAlign w:val="center"/>
          </w:tcPr>
          <w:p w14:paraId="2A3CE276" w14:textId="77777777" w:rsidR="00F73D5B" w:rsidRPr="008B7A21" w:rsidRDefault="00F73D5B" w:rsidP="00767A6A">
            <w:pPr>
              <w:pStyle w:val="Tablehead"/>
              <w:rPr>
                <w:sz w:val="18"/>
                <w:szCs w:val="18"/>
                <w:lang w:val="es-ES_tradnl"/>
              </w:rPr>
            </w:pPr>
            <w:r w:rsidRPr="008B7A21">
              <w:rPr>
                <w:sz w:val="18"/>
                <w:szCs w:val="18"/>
                <w:lang w:val="es-ES_tradnl"/>
              </w:rPr>
              <w:t>300</w:t>
            </w:r>
          </w:p>
        </w:tc>
        <w:tc>
          <w:tcPr>
            <w:tcW w:w="765" w:type="dxa"/>
            <w:vAlign w:val="center"/>
          </w:tcPr>
          <w:p w14:paraId="7CC88CD3" w14:textId="77777777" w:rsidR="00F73D5B" w:rsidRPr="008B7A21" w:rsidRDefault="00F73D5B" w:rsidP="00767A6A">
            <w:pPr>
              <w:pStyle w:val="Tablehead"/>
              <w:rPr>
                <w:sz w:val="18"/>
                <w:szCs w:val="18"/>
                <w:lang w:val="es-ES_tradnl"/>
              </w:rPr>
            </w:pPr>
            <w:r w:rsidRPr="008B7A21">
              <w:rPr>
                <w:sz w:val="18"/>
                <w:szCs w:val="18"/>
                <w:lang w:val="es-ES_tradnl"/>
              </w:rPr>
              <w:t>350</w:t>
            </w:r>
          </w:p>
        </w:tc>
        <w:tc>
          <w:tcPr>
            <w:tcW w:w="765" w:type="dxa"/>
            <w:vAlign w:val="center"/>
          </w:tcPr>
          <w:p w14:paraId="34CF7131" w14:textId="77777777" w:rsidR="00F73D5B" w:rsidRPr="008B7A21" w:rsidRDefault="00F73D5B" w:rsidP="00767A6A">
            <w:pPr>
              <w:pStyle w:val="Tablehead"/>
              <w:rPr>
                <w:sz w:val="18"/>
                <w:szCs w:val="18"/>
                <w:lang w:val="es-ES_tradnl"/>
              </w:rPr>
            </w:pPr>
            <w:r w:rsidRPr="008B7A21">
              <w:rPr>
                <w:sz w:val="18"/>
                <w:szCs w:val="18"/>
                <w:lang w:val="es-ES_tradnl"/>
              </w:rPr>
              <w:t>400</w:t>
            </w:r>
          </w:p>
        </w:tc>
        <w:tc>
          <w:tcPr>
            <w:tcW w:w="879" w:type="dxa"/>
            <w:vAlign w:val="center"/>
          </w:tcPr>
          <w:p w14:paraId="15362611" w14:textId="77777777" w:rsidR="00F73D5B" w:rsidRPr="008B7A21" w:rsidRDefault="00F73D5B" w:rsidP="00767A6A">
            <w:pPr>
              <w:pStyle w:val="Tablehead"/>
              <w:rPr>
                <w:sz w:val="18"/>
                <w:szCs w:val="18"/>
                <w:lang w:val="es-ES_tradnl"/>
              </w:rPr>
            </w:pPr>
            <w:r w:rsidRPr="008B7A21">
              <w:rPr>
                <w:sz w:val="18"/>
                <w:szCs w:val="18"/>
                <w:lang w:val="es-ES_tradnl"/>
              </w:rPr>
              <w:t>500</w:t>
            </w:r>
          </w:p>
        </w:tc>
      </w:tr>
      <w:tr w:rsidR="00F73D5B" w:rsidRPr="008B7A21" w14:paraId="6DCE1C22" w14:textId="77777777" w:rsidTr="00767A6A">
        <w:trPr>
          <w:jc w:val="center"/>
        </w:trPr>
        <w:tc>
          <w:tcPr>
            <w:tcW w:w="1247" w:type="dxa"/>
          </w:tcPr>
          <w:p w14:paraId="2FCF2381" w14:textId="77777777" w:rsidR="00F73D5B" w:rsidRPr="008B7A21" w:rsidRDefault="00F73D5B" w:rsidP="00767A6A">
            <w:pPr>
              <w:pStyle w:val="Tabletext"/>
              <w:jc w:val="center"/>
              <w:rPr>
                <w:sz w:val="18"/>
                <w:szCs w:val="18"/>
                <w:lang w:val="es-ES_tradnl"/>
              </w:rPr>
            </w:pPr>
            <w:r w:rsidRPr="008B7A21">
              <w:rPr>
                <w:sz w:val="18"/>
                <w:szCs w:val="18"/>
                <w:lang w:val="es-ES_tradnl"/>
              </w:rPr>
              <w:t>15,0</w:t>
            </w:r>
          </w:p>
        </w:tc>
        <w:tc>
          <w:tcPr>
            <w:tcW w:w="709" w:type="dxa"/>
          </w:tcPr>
          <w:p w14:paraId="3891D24C" w14:textId="77777777" w:rsidR="00F73D5B" w:rsidRPr="008B7A21" w:rsidRDefault="00F73D5B" w:rsidP="00767A6A">
            <w:pPr>
              <w:pStyle w:val="Tabletext"/>
              <w:jc w:val="center"/>
              <w:rPr>
                <w:sz w:val="18"/>
                <w:szCs w:val="18"/>
                <w:lang w:val="es-ES_tradnl"/>
              </w:rPr>
            </w:pPr>
            <w:r w:rsidRPr="008B7A21">
              <w:rPr>
                <w:sz w:val="18"/>
                <w:szCs w:val="18"/>
                <w:lang w:val="es-ES_tradnl"/>
              </w:rPr>
              <w:t>7</w:t>
            </w:r>
          </w:p>
        </w:tc>
        <w:tc>
          <w:tcPr>
            <w:tcW w:w="765" w:type="dxa"/>
          </w:tcPr>
          <w:p w14:paraId="4D3D7D8F" w14:textId="77777777" w:rsidR="00F73D5B" w:rsidRPr="008B7A21" w:rsidRDefault="00F73D5B" w:rsidP="00767A6A">
            <w:pPr>
              <w:pStyle w:val="Tabletext"/>
              <w:jc w:val="center"/>
              <w:rPr>
                <w:sz w:val="18"/>
                <w:szCs w:val="18"/>
                <w:lang w:val="es-ES_tradnl"/>
              </w:rPr>
            </w:pPr>
            <w:r w:rsidRPr="008B7A21">
              <w:rPr>
                <w:sz w:val="18"/>
                <w:szCs w:val="18"/>
                <w:lang w:val="es-ES_tradnl"/>
              </w:rPr>
              <w:t>9</w:t>
            </w:r>
          </w:p>
        </w:tc>
        <w:tc>
          <w:tcPr>
            <w:tcW w:w="765" w:type="dxa"/>
          </w:tcPr>
          <w:p w14:paraId="4B06A985" w14:textId="77777777" w:rsidR="00F73D5B" w:rsidRPr="008B7A21" w:rsidRDefault="00F73D5B" w:rsidP="00767A6A">
            <w:pPr>
              <w:pStyle w:val="Tabletext"/>
              <w:jc w:val="center"/>
              <w:rPr>
                <w:sz w:val="18"/>
                <w:szCs w:val="18"/>
                <w:lang w:val="es-ES_tradnl"/>
              </w:rPr>
            </w:pPr>
            <w:r w:rsidRPr="008B7A21">
              <w:rPr>
                <w:sz w:val="18"/>
                <w:szCs w:val="18"/>
                <w:lang w:val="es-ES_tradnl"/>
              </w:rPr>
              <w:t>11</w:t>
            </w:r>
          </w:p>
        </w:tc>
        <w:tc>
          <w:tcPr>
            <w:tcW w:w="765" w:type="dxa"/>
          </w:tcPr>
          <w:p w14:paraId="59A23399" w14:textId="77777777" w:rsidR="00F73D5B" w:rsidRPr="008B7A21" w:rsidRDefault="00F73D5B" w:rsidP="00767A6A">
            <w:pPr>
              <w:pStyle w:val="Tabletext"/>
              <w:jc w:val="center"/>
              <w:rPr>
                <w:sz w:val="18"/>
                <w:szCs w:val="18"/>
                <w:lang w:val="es-ES_tradnl"/>
              </w:rPr>
            </w:pPr>
            <w:r w:rsidRPr="008B7A21">
              <w:rPr>
                <w:sz w:val="18"/>
                <w:szCs w:val="18"/>
                <w:lang w:val="es-ES_tradnl"/>
              </w:rPr>
              <w:t>13</w:t>
            </w:r>
          </w:p>
        </w:tc>
        <w:tc>
          <w:tcPr>
            <w:tcW w:w="765" w:type="dxa"/>
          </w:tcPr>
          <w:p w14:paraId="3EA25E15" w14:textId="77777777" w:rsidR="00F73D5B" w:rsidRPr="008B7A21" w:rsidRDefault="00F73D5B" w:rsidP="00767A6A">
            <w:pPr>
              <w:pStyle w:val="Tabletext"/>
              <w:jc w:val="center"/>
              <w:rPr>
                <w:sz w:val="18"/>
                <w:szCs w:val="18"/>
                <w:lang w:val="es-ES_tradnl"/>
              </w:rPr>
            </w:pPr>
            <w:r w:rsidRPr="008B7A21">
              <w:rPr>
                <w:sz w:val="18"/>
                <w:szCs w:val="18"/>
                <w:lang w:val="es-ES_tradnl"/>
              </w:rPr>
              <w:t>15</w:t>
            </w:r>
          </w:p>
        </w:tc>
        <w:tc>
          <w:tcPr>
            <w:tcW w:w="765" w:type="dxa"/>
          </w:tcPr>
          <w:p w14:paraId="76001BE0" w14:textId="77777777" w:rsidR="00F73D5B" w:rsidRPr="008B7A21" w:rsidRDefault="00F73D5B" w:rsidP="00767A6A">
            <w:pPr>
              <w:pStyle w:val="Tabletext"/>
              <w:jc w:val="center"/>
              <w:rPr>
                <w:sz w:val="18"/>
                <w:szCs w:val="18"/>
                <w:lang w:val="es-ES_tradnl"/>
              </w:rPr>
            </w:pPr>
            <w:r w:rsidRPr="008B7A21">
              <w:rPr>
                <w:sz w:val="18"/>
                <w:szCs w:val="18"/>
                <w:lang w:val="es-ES_tradnl"/>
              </w:rPr>
              <w:t>18</w:t>
            </w:r>
          </w:p>
        </w:tc>
        <w:tc>
          <w:tcPr>
            <w:tcW w:w="765" w:type="dxa"/>
          </w:tcPr>
          <w:p w14:paraId="7D3A4ED1" w14:textId="77777777" w:rsidR="00F73D5B" w:rsidRPr="008B7A21" w:rsidRDefault="00F73D5B" w:rsidP="00767A6A">
            <w:pPr>
              <w:pStyle w:val="Tabletext"/>
              <w:jc w:val="center"/>
              <w:rPr>
                <w:sz w:val="18"/>
                <w:szCs w:val="18"/>
                <w:lang w:val="es-ES_tradnl"/>
              </w:rPr>
            </w:pPr>
            <w:r w:rsidRPr="008B7A21">
              <w:rPr>
                <w:sz w:val="18"/>
                <w:szCs w:val="18"/>
                <w:lang w:val="es-ES_tradnl"/>
              </w:rPr>
              <w:t>20</w:t>
            </w:r>
          </w:p>
        </w:tc>
        <w:tc>
          <w:tcPr>
            <w:tcW w:w="765" w:type="dxa"/>
          </w:tcPr>
          <w:p w14:paraId="40EE9E3D" w14:textId="77777777" w:rsidR="00F73D5B" w:rsidRPr="008B7A21" w:rsidRDefault="00F73D5B" w:rsidP="00767A6A">
            <w:pPr>
              <w:pStyle w:val="Tabletext"/>
              <w:jc w:val="center"/>
              <w:rPr>
                <w:sz w:val="18"/>
                <w:szCs w:val="18"/>
                <w:lang w:val="es-ES_tradnl"/>
              </w:rPr>
            </w:pPr>
            <w:r w:rsidRPr="008B7A21">
              <w:rPr>
                <w:sz w:val="18"/>
                <w:szCs w:val="18"/>
                <w:lang w:val="es-ES_tradnl"/>
              </w:rPr>
              <w:t>23</w:t>
            </w:r>
          </w:p>
        </w:tc>
        <w:tc>
          <w:tcPr>
            <w:tcW w:w="765" w:type="dxa"/>
          </w:tcPr>
          <w:p w14:paraId="1D395CCF" w14:textId="77777777" w:rsidR="00F73D5B" w:rsidRPr="008B7A21" w:rsidRDefault="00F73D5B" w:rsidP="00767A6A">
            <w:pPr>
              <w:pStyle w:val="Tabletext"/>
              <w:jc w:val="center"/>
              <w:rPr>
                <w:sz w:val="18"/>
                <w:szCs w:val="18"/>
                <w:lang w:val="es-ES_tradnl"/>
              </w:rPr>
            </w:pPr>
            <w:r w:rsidRPr="008B7A21">
              <w:rPr>
                <w:sz w:val="18"/>
                <w:szCs w:val="18"/>
                <w:lang w:val="es-ES_tradnl"/>
              </w:rPr>
              <w:t>25</w:t>
            </w:r>
          </w:p>
        </w:tc>
        <w:tc>
          <w:tcPr>
            <w:tcW w:w="765" w:type="dxa"/>
          </w:tcPr>
          <w:p w14:paraId="3CAA3216" w14:textId="77777777" w:rsidR="00F73D5B" w:rsidRPr="008B7A21" w:rsidRDefault="00F73D5B" w:rsidP="00767A6A">
            <w:pPr>
              <w:pStyle w:val="Tabletext"/>
              <w:jc w:val="center"/>
              <w:rPr>
                <w:sz w:val="18"/>
                <w:szCs w:val="18"/>
                <w:lang w:val="es-ES_tradnl"/>
              </w:rPr>
            </w:pPr>
            <w:r w:rsidRPr="008B7A21">
              <w:rPr>
                <w:sz w:val="18"/>
                <w:szCs w:val="18"/>
                <w:lang w:val="es-ES_tradnl"/>
              </w:rPr>
              <w:t>26</w:t>
            </w:r>
          </w:p>
        </w:tc>
        <w:tc>
          <w:tcPr>
            <w:tcW w:w="879" w:type="dxa"/>
          </w:tcPr>
          <w:p w14:paraId="68505B5E" w14:textId="77777777" w:rsidR="00F73D5B" w:rsidRPr="008B7A21" w:rsidRDefault="00F73D5B" w:rsidP="00767A6A">
            <w:pPr>
              <w:pStyle w:val="Tabletext"/>
              <w:jc w:val="center"/>
              <w:rPr>
                <w:sz w:val="18"/>
                <w:szCs w:val="18"/>
                <w:lang w:val="es-ES_tradnl"/>
              </w:rPr>
            </w:pPr>
            <w:r w:rsidRPr="008B7A21">
              <w:rPr>
                <w:sz w:val="18"/>
                <w:szCs w:val="18"/>
                <w:lang w:val="es-ES_tradnl"/>
              </w:rPr>
              <w:t>30</w:t>
            </w:r>
          </w:p>
        </w:tc>
      </w:tr>
      <w:tr w:rsidR="00F73D5B" w:rsidRPr="008B7A21" w14:paraId="3086ED1E" w14:textId="77777777" w:rsidTr="00767A6A">
        <w:trPr>
          <w:jc w:val="center"/>
        </w:trPr>
        <w:tc>
          <w:tcPr>
            <w:tcW w:w="1247" w:type="dxa"/>
          </w:tcPr>
          <w:p w14:paraId="171A2F47" w14:textId="77777777" w:rsidR="00F73D5B" w:rsidRPr="008B7A21" w:rsidRDefault="00F73D5B" w:rsidP="00767A6A">
            <w:pPr>
              <w:pStyle w:val="Tabletext"/>
              <w:jc w:val="center"/>
              <w:rPr>
                <w:sz w:val="18"/>
                <w:szCs w:val="18"/>
                <w:lang w:val="es-ES_tradnl"/>
              </w:rPr>
            </w:pPr>
            <w:r w:rsidRPr="008B7A21">
              <w:rPr>
                <w:sz w:val="18"/>
                <w:szCs w:val="18"/>
                <w:lang w:val="es-ES_tradnl"/>
              </w:rPr>
              <w:t>20,0</w:t>
            </w:r>
          </w:p>
        </w:tc>
        <w:tc>
          <w:tcPr>
            <w:tcW w:w="709" w:type="dxa"/>
          </w:tcPr>
          <w:p w14:paraId="6294720F" w14:textId="77777777" w:rsidR="00F73D5B" w:rsidRPr="008B7A21" w:rsidRDefault="00F73D5B" w:rsidP="00767A6A">
            <w:pPr>
              <w:pStyle w:val="Tabletext"/>
              <w:jc w:val="center"/>
              <w:rPr>
                <w:sz w:val="18"/>
                <w:szCs w:val="18"/>
                <w:lang w:val="es-ES_tradnl"/>
              </w:rPr>
            </w:pPr>
            <w:r w:rsidRPr="008B7A21">
              <w:rPr>
                <w:sz w:val="18"/>
                <w:szCs w:val="18"/>
                <w:lang w:val="es-ES_tradnl"/>
              </w:rPr>
              <w:t>9</w:t>
            </w:r>
          </w:p>
        </w:tc>
        <w:tc>
          <w:tcPr>
            <w:tcW w:w="765" w:type="dxa"/>
          </w:tcPr>
          <w:p w14:paraId="73E89D49" w14:textId="77777777" w:rsidR="00F73D5B" w:rsidRPr="008B7A21" w:rsidRDefault="00F73D5B" w:rsidP="00767A6A">
            <w:pPr>
              <w:pStyle w:val="Tabletext"/>
              <w:jc w:val="center"/>
              <w:rPr>
                <w:sz w:val="18"/>
                <w:szCs w:val="18"/>
                <w:lang w:val="es-ES_tradnl"/>
              </w:rPr>
            </w:pPr>
            <w:r w:rsidRPr="008B7A21">
              <w:rPr>
                <w:sz w:val="18"/>
                <w:szCs w:val="18"/>
                <w:lang w:val="es-ES_tradnl"/>
              </w:rPr>
              <w:t>12</w:t>
            </w:r>
          </w:p>
        </w:tc>
        <w:tc>
          <w:tcPr>
            <w:tcW w:w="765" w:type="dxa"/>
          </w:tcPr>
          <w:p w14:paraId="3DE6F2AE" w14:textId="77777777" w:rsidR="00F73D5B" w:rsidRPr="008B7A21" w:rsidRDefault="00F73D5B" w:rsidP="00767A6A">
            <w:pPr>
              <w:pStyle w:val="Tabletext"/>
              <w:jc w:val="center"/>
              <w:rPr>
                <w:sz w:val="18"/>
                <w:szCs w:val="18"/>
                <w:lang w:val="es-ES_tradnl"/>
              </w:rPr>
            </w:pPr>
            <w:r w:rsidRPr="008B7A21">
              <w:rPr>
                <w:sz w:val="18"/>
                <w:szCs w:val="18"/>
                <w:lang w:val="es-ES_tradnl"/>
              </w:rPr>
              <w:t>14</w:t>
            </w:r>
          </w:p>
        </w:tc>
        <w:tc>
          <w:tcPr>
            <w:tcW w:w="765" w:type="dxa"/>
          </w:tcPr>
          <w:p w14:paraId="5FF8CC1C" w14:textId="77777777" w:rsidR="00F73D5B" w:rsidRPr="008B7A21" w:rsidRDefault="00F73D5B" w:rsidP="00767A6A">
            <w:pPr>
              <w:pStyle w:val="Tabletext"/>
              <w:jc w:val="center"/>
              <w:rPr>
                <w:sz w:val="18"/>
                <w:szCs w:val="18"/>
                <w:lang w:val="es-ES_tradnl"/>
              </w:rPr>
            </w:pPr>
            <w:r w:rsidRPr="008B7A21">
              <w:rPr>
                <w:sz w:val="18"/>
                <w:szCs w:val="18"/>
                <w:lang w:val="es-ES_tradnl"/>
              </w:rPr>
              <w:t>17</w:t>
            </w:r>
          </w:p>
        </w:tc>
        <w:tc>
          <w:tcPr>
            <w:tcW w:w="765" w:type="dxa"/>
          </w:tcPr>
          <w:p w14:paraId="66BB3246" w14:textId="77777777" w:rsidR="00F73D5B" w:rsidRPr="008B7A21" w:rsidRDefault="00F73D5B" w:rsidP="00767A6A">
            <w:pPr>
              <w:pStyle w:val="Tabletext"/>
              <w:jc w:val="center"/>
              <w:rPr>
                <w:sz w:val="18"/>
                <w:szCs w:val="18"/>
                <w:lang w:val="es-ES_tradnl"/>
              </w:rPr>
            </w:pPr>
            <w:r w:rsidRPr="008B7A21">
              <w:rPr>
                <w:sz w:val="18"/>
                <w:szCs w:val="18"/>
                <w:lang w:val="es-ES_tradnl"/>
              </w:rPr>
              <w:t>20</w:t>
            </w:r>
          </w:p>
        </w:tc>
        <w:tc>
          <w:tcPr>
            <w:tcW w:w="765" w:type="dxa"/>
          </w:tcPr>
          <w:p w14:paraId="36849B0C" w14:textId="77777777" w:rsidR="00F73D5B" w:rsidRPr="008B7A21" w:rsidRDefault="00F73D5B" w:rsidP="00767A6A">
            <w:pPr>
              <w:pStyle w:val="Tabletext"/>
              <w:jc w:val="center"/>
              <w:rPr>
                <w:sz w:val="18"/>
                <w:szCs w:val="18"/>
                <w:lang w:val="es-ES_tradnl"/>
              </w:rPr>
            </w:pPr>
            <w:r w:rsidRPr="008B7A21">
              <w:rPr>
                <w:sz w:val="18"/>
                <w:szCs w:val="18"/>
                <w:lang w:val="es-ES_tradnl"/>
              </w:rPr>
              <w:t>24</w:t>
            </w:r>
          </w:p>
        </w:tc>
        <w:tc>
          <w:tcPr>
            <w:tcW w:w="765" w:type="dxa"/>
          </w:tcPr>
          <w:p w14:paraId="183CD941" w14:textId="77777777" w:rsidR="00F73D5B" w:rsidRPr="008B7A21" w:rsidRDefault="00F73D5B" w:rsidP="00767A6A">
            <w:pPr>
              <w:pStyle w:val="Tabletext"/>
              <w:jc w:val="center"/>
              <w:rPr>
                <w:sz w:val="18"/>
                <w:szCs w:val="18"/>
                <w:lang w:val="es-ES_tradnl"/>
              </w:rPr>
            </w:pPr>
            <w:r w:rsidRPr="008B7A21">
              <w:rPr>
                <w:sz w:val="18"/>
                <w:szCs w:val="18"/>
                <w:lang w:val="es-ES_tradnl"/>
              </w:rPr>
              <w:t>27</w:t>
            </w:r>
          </w:p>
        </w:tc>
        <w:tc>
          <w:tcPr>
            <w:tcW w:w="765" w:type="dxa"/>
          </w:tcPr>
          <w:p w14:paraId="7167476F" w14:textId="77777777" w:rsidR="00F73D5B" w:rsidRPr="008B7A21" w:rsidRDefault="00F73D5B" w:rsidP="00767A6A">
            <w:pPr>
              <w:pStyle w:val="Tabletext"/>
              <w:jc w:val="center"/>
              <w:rPr>
                <w:sz w:val="18"/>
                <w:szCs w:val="18"/>
                <w:lang w:val="es-ES_tradnl"/>
              </w:rPr>
            </w:pPr>
            <w:r w:rsidRPr="008B7A21">
              <w:rPr>
                <w:sz w:val="18"/>
                <w:szCs w:val="18"/>
                <w:lang w:val="es-ES_tradnl"/>
              </w:rPr>
              <w:t>29</w:t>
            </w:r>
          </w:p>
        </w:tc>
        <w:tc>
          <w:tcPr>
            <w:tcW w:w="765" w:type="dxa"/>
          </w:tcPr>
          <w:p w14:paraId="222C6FB4" w14:textId="77777777" w:rsidR="00F73D5B" w:rsidRPr="008B7A21" w:rsidRDefault="00F73D5B" w:rsidP="00767A6A">
            <w:pPr>
              <w:pStyle w:val="Tabletext"/>
              <w:jc w:val="center"/>
              <w:rPr>
                <w:sz w:val="18"/>
                <w:szCs w:val="18"/>
                <w:lang w:val="es-ES_tradnl"/>
              </w:rPr>
            </w:pPr>
            <w:r w:rsidRPr="008B7A21">
              <w:rPr>
                <w:sz w:val="18"/>
                <w:szCs w:val="18"/>
                <w:lang w:val="es-ES_tradnl"/>
              </w:rPr>
              <w:t>32</w:t>
            </w:r>
          </w:p>
        </w:tc>
        <w:tc>
          <w:tcPr>
            <w:tcW w:w="765" w:type="dxa"/>
          </w:tcPr>
          <w:p w14:paraId="1DC601F7" w14:textId="77777777" w:rsidR="00F73D5B" w:rsidRPr="008B7A21" w:rsidRDefault="00F73D5B" w:rsidP="00767A6A">
            <w:pPr>
              <w:pStyle w:val="Tabletext"/>
              <w:jc w:val="center"/>
              <w:rPr>
                <w:sz w:val="18"/>
                <w:szCs w:val="18"/>
                <w:lang w:val="es-ES_tradnl"/>
              </w:rPr>
            </w:pPr>
            <w:r w:rsidRPr="008B7A21">
              <w:rPr>
                <w:sz w:val="18"/>
                <w:szCs w:val="18"/>
                <w:lang w:val="es-ES_tradnl"/>
              </w:rPr>
              <w:t>34</w:t>
            </w:r>
          </w:p>
        </w:tc>
        <w:tc>
          <w:tcPr>
            <w:tcW w:w="879" w:type="dxa"/>
          </w:tcPr>
          <w:p w14:paraId="504635B3" w14:textId="77777777" w:rsidR="00F73D5B" w:rsidRPr="008B7A21" w:rsidRDefault="00F73D5B" w:rsidP="00767A6A">
            <w:pPr>
              <w:pStyle w:val="Tabletext"/>
              <w:jc w:val="center"/>
              <w:rPr>
                <w:sz w:val="18"/>
                <w:szCs w:val="18"/>
                <w:lang w:val="es-ES_tradnl"/>
              </w:rPr>
            </w:pPr>
            <w:r w:rsidRPr="008B7A21">
              <w:rPr>
                <w:sz w:val="18"/>
                <w:szCs w:val="18"/>
                <w:lang w:val="es-ES_tradnl"/>
              </w:rPr>
              <w:t>39</w:t>
            </w:r>
          </w:p>
        </w:tc>
      </w:tr>
      <w:tr w:rsidR="00F73D5B" w:rsidRPr="008B7A21" w14:paraId="4DF60DE1" w14:textId="77777777" w:rsidTr="00767A6A">
        <w:trPr>
          <w:jc w:val="center"/>
        </w:trPr>
        <w:tc>
          <w:tcPr>
            <w:tcW w:w="1247" w:type="dxa"/>
          </w:tcPr>
          <w:p w14:paraId="4343709D" w14:textId="77777777" w:rsidR="00F73D5B" w:rsidRPr="008B7A21" w:rsidRDefault="00F73D5B" w:rsidP="00767A6A">
            <w:pPr>
              <w:pStyle w:val="Tabletext"/>
              <w:jc w:val="center"/>
              <w:rPr>
                <w:sz w:val="18"/>
                <w:szCs w:val="18"/>
                <w:lang w:val="es-ES_tradnl"/>
              </w:rPr>
            </w:pPr>
            <w:r w:rsidRPr="008B7A21">
              <w:rPr>
                <w:sz w:val="18"/>
                <w:szCs w:val="18"/>
                <w:lang w:val="es-ES_tradnl"/>
              </w:rPr>
              <w:t>25,0</w:t>
            </w:r>
          </w:p>
        </w:tc>
        <w:tc>
          <w:tcPr>
            <w:tcW w:w="709" w:type="dxa"/>
          </w:tcPr>
          <w:p w14:paraId="0D441346" w14:textId="77777777" w:rsidR="00F73D5B" w:rsidRPr="008B7A21" w:rsidRDefault="00F73D5B" w:rsidP="00767A6A">
            <w:pPr>
              <w:pStyle w:val="Tabletext"/>
              <w:jc w:val="center"/>
              <w:rPr>
                <w:sz w:val="18"/>
                <w:szCs w:val="18"/>
                <w:lang w:val="es-ES_tradnl"/>
              </w:rPr>
            </w:pPr>
            <w:r w:rsidRPr="008B7A21">
              <w:rPr>
                <w:sz w:val="18"/>
                <w:szCs w:val="18"/>
                <w:lang w:val="es-ES_tradnl"/>
              </w:rPr>
              <w:t>13</w:t>
            </w:r>
          </w:p>
        </w:tc>
        <w:tc>
          <w:tcPr>
            <w:tcW w:w="765" w:type="dxa"/>
          </w:tcPr>
          <w:p w14:paraId="07A42EEA" w14:textId="77777777" w:rsidR="00F73D5B" w:rsidRPr="008B7A21" w:rsidRDefault="00F73D5B" w:rsidP="00767A6A">
            <w:pPr>
              <w:pStyle w:val="Tabletext"/>
              <w:jc w:val="center"/>
              <w:rPr>
                <w:sz w:val="18"/>
                <w:szCs w:val="18"/>
                <w:lang w:val="es-ES_tradnl"/>
              </w:rPr>
            </w:pPr>
            <w:r w:rsidRPr="008B7A21">
              <w:rPr>
                <w:sz w:val="18"/>
                <w:szCs w:val="18"/>
                <w:lang w:val="es-ES_tradnl"/>
              </w:rPr>
              <w:t>16</w:t>
            </w:r>
          </w:p>
        </w:tc>
        <w:tc>
          <w:tcPr>
            <w:tcW w:w="765" w:type="dxa"/>
          </w:tcPr>
          <w:p w14:paraId="40A86940" w14:textId="77777777" w:rsidR="00F73D5B" w:rsidRPr="008B7A21" w:rsidRDefault="00F73D5B" w:rsidP="00767A6A">
            <w:pPr>
              <w:pStyle w:val="Tabletext"/>
              <w:jc w:val="center"/>
              <w:rPr>
                <w:sz w:val="18"/>
                <w:szCs w:val="18"/>
                <w:lang w:val="es-ES_tradnl"/>
              </w:rPr>
            </w:pPr>
            <w:r w:rsidRPr="008B7A21">
              <w:rPr>
                <w:sz w:val="18"/>
                <w:szCs w:val="18"/>
                <w:lang w:val="es-ES_tradnl"/>
              </w:rPr>
              <w:t>19</w:t>
            </w:r>
          </w:p>
        </w:tc>
        <w:tc>
          <w:tcPr>
            <w:tcW w:w="765" w:type="dxa"/>
          </w:tcPr>
          <w:p w14:paraId="17DA9677" w14:textId="77777777" w:rsidR="00F73D5B" w:rsidRPr="008B7A21" w:rsidRDefault="00F73D5B" w:rsidP="00767A6A">
            <w:pPr>
              <w:pStyle w:val="Tabletext"/>
              <w:jc w:val="center"/>
              <w:rPr>
                <w:sz w:val="18"/>
                <w:szCs w:val="18"/>
                <w:lang w:val="es-ES_tradnl"/>
              </w:rPr>
            </w:pPr>
            <w:r w:rsidRPr="008B7A21">
              <w:rPr>
                <w:sz w:val="18"/>
                <w:szCs w:val="18"/>
                <w:lang w:val="es-ES_tradnl"/>
              </w:rPr>
              <w:t>22</w:t>
            </w:r>
          </w:p>
        </w:tc>
        <w:tc>
          <w:tcPr>
            <w:tcW w:w="765" w:type="dxa"/>
          </w:tcPr>
          <w:p w14:paraId="37CB2162" w14:textId="77777777" w:rsidR="00F73D5B" w:rsidRPr="008B7A21" w:rsidRDefault="00F73D5B" w:rsidP="00767A6A">
            <w:pPr>
              <w:pStyle w:val="Tabletext"/>
              <w:jc w:val="center"/>
              <w:rPr>
                <w:sz w:val="18"/>
                <w:szCs w:val="18"/>
                <w:lang w:val="es-ES_tradnl"/>
              </w:rPr>
            </w:pPr>
            <w:r w:rsidRPr="008B7A21">
              <w:rPr>
                <w:sz w:val="18"/>
                <w:szCs w:val="18"/>
                <w:lang w:val="es-ES_tradnl"/>
              </w:rPr>
              <w:t>26</w:t>
            </w:r>
          </w:p>
        </w:tc>
        <w:tc>
          <w:tcPr>
            <w:tcW w:w="765" w:type="dxa"/>
          </w:tcPr>
          <w:p w14:paraId="06CC7164" w14:textId="77777777" w:rsidR="00F73D5B" w:rsidRPr="008B7A21" w:rsidRDefault="00F73D5B" w:rsidP="00767A6A">
            <w:pPr>
              <w:pStyle w:val="Tabletext"/>
              <w:jc w:val="center"/>
              <w:rPr>
                <w:sz w:val="18"/>
                <w:szCs w:val="18"/>
                <w:lang w:val="es-ES_tradnl"/>
              </w:rPr>
            </w:pPr>
            <w:r w:rsidRPr="008B7A21">
              <w:rPr>
                <w:sz w:val="18"/>
                <w:szCs w:val="18"/>
                <w:lang w:val="es-ES_tradnl"/>
              </w:rPr>
              <w:t>30</w:t>
            </w:r>
          </w:p>
        </w:tc>
        <w:tc>
          <w:tcPr>
            <w:tcW w:w="765" w:type="dxa"/>
          </w:tcPr>
          <w:p w14:paraId="6C26B310" w14:textId="77777777" w:rsidR="00F73D5B" w:rsidRPr="008B7A21" w:rsidRDefault="00F73D5B" w:rsidP="00767A6A">
            <w:pPr>
              <w:pStyle w:val="Tabletext"/>
              <w:jc w:val="center"/>
              <w:rPr>
                <w:sz w:val="18"/>
                <w:szCs w:val="18"/>
                <w:lang w:val="es-ES_tradnl"/>
              </w:rPr>
            </w:pPr>
            <w:r w:rsidRPr="008B7A21">
              <w:rPr>
                <w:sz w:val="18"/>
                <w:szCs w:val="18"/>
                <w:lang w:val="es-ES_tradnl"/>
              </w:rPr>
              <w:t>34</w:t>
            </w:r>
          </w:p>
        </w:tc>
        <w:tc>
          <w:tcPr>
            <w:tcW w:w="765" w:type="dxa"/>
          </w:tcPr>
          <w:p w14:paraId="23B04D52" w14:textId="77777777" w:rsidR="00F73D5B" w:rsidRPr="008B7A21" w:rsidRDefault="00F73D5B" w:rsidP="00767A6A">
            <w:pPr>
              <w:pStyle w:val="Tabletext"/>
              <w:jc w:val="center"/>
              <w:rPr>
                <w:sz w:val="18"/>
                <w:szCs w:val="18"/>
                <w:lang w:val="es-ES_tradnl"/>
              </w:rPr>
            </w:pPr>
            <w:r w:rsidRPr="008B7A21">
              <w:rPr>
                <w:sz w:val="18"/>
                <w:szCs w:val="18"/>
                <w:lang w:val="es-ES_tradnl"/>
              </w:rPr>
              <w:t>37</w:t>
            </w:r>
          </w:p>
        </w:tc>
        <w:tc>
          <w:tcPr>
            <w:tcW w:w="765" w:type="dxa"/>
          </w:tcPr>
          <w:p w14:paraId="3D931AD5" w14:textId="77777777" w:rsidR="00F73D5B" w:rsidRPr="008B7A21" w:rsidRDefault="00F73D5B" w:rsidP="00767A6A">
            <w:pPr>
              <w:pStyle w:val="Tabletext"/>
              <w:jc w:val="center"/>
              <w:rPr>
                <w:sz w:val="18"/>
                <w:szCs w:val="18"/>
                <w:lang w:val="es-ES_tradnl"/>
              </w:rPr>
            </w:pPr>
            <w:r w:rsidRPr="008B7A21">
              <w:rPr>
                <w:sz w:val="18"/>
                <w:szCs w:val="18"/>
                <w:lang w:val="es-ES_tradnl"/>
              </w:rPr>
              <w:t>40</w:t>
            </w:r>
          </w:p>
        </w:tc>
        <w:tc>
          <w:tcPr>
            <w:tcW w:w="765" w:type="dxa"/>
          </w:tcPr>
          <w:p w14:paraId="4F792143" w14:textId="77777777" w:rsidR="00F73D5B" w:rsidRPr="008B7A21" w:rsidRDefault="00F73D5B" w:rsidP="00767A6A">
            <w:pPr>
              <w:pStyle w:val="Tabletext"/>
              <w:jc w:val="center"/>
              <w:rPr>
                <w:sz w:val="18"/>
                <w:szCs w:val="18"/>
                <w:lang w:val="es-ES_tradnl"/>
              </w:rPr>
            </w:pPr>
            <w:r w:rsidRPr="008B7A21">
              <w:rPr>
                <w:sz w:val="18"/>
                <w:szCs w:val="18"/>
                <w:lang w:val="es-ES_tradnl"/>
              </w:rPr>
              <w:t>43</w:t>
            </w:r>
          </w:p>
        </w:tc>
        <w:tc>
          <w:tcPr>
            <w:tcW w:w="879" w:type="dxa"/>
          </w:tcPr>
          <w:p w14:paraId="74FDF6E8" w14:textId="77777777" w:rsidR="00F73D5B" w:rsidRPr="008B7A21" w:rsidRDefault="00F73D5B" w:rsidP="00767A6A">
            <w:pPr>
              <w:pStyle w:val="Tabletext"/>
              <w:jc w:val="center"/>
              <w:rPr>
                <w:sz w:val="18"/>
                <w:szCs w:val="18"/>
                <w:lang w:val="es-ES_tradnl"/>
              </w:rPr>
            </w:pPr>
            <w:r w:rsidRPr="008B7A21">
              <w:rPr>
                <w:sz w:val="18"/>
                <w:szCs w:val="18"/>
                <w:lang w:val="es-ES_tradnl"/>
              </w:rPr>
              <w:t>48</w:t>
            </w:r>
          </w:p>
        </w:tc>
      </w:tr>
      <w:tr w:rsidR="00F73D5B" w:rsidRPr="008B7A21" w14:paraId="1F23DBAD" w14:textId="77777777" w:rsidTr="00767A6A">
        <w:trPr>
          <w:jc w:val="center"/>
        </w:trPr>
        <w:tc>
          <w:tcPr>
            <w:tcW w:w="1247" w:type="dxa"/>
          </w:tcPr>
          <w:p w14:paraId="737F4448" w14:textId="77777777" w:rsidR="00F73D5B" w:rsidRPr="008B7A21" w:rsidRDefault="00F73D5B" w:rsidP="00767A6A">
            <w:pPr>
              <w:pStyle w:val="Tabletext"/>
              <w:jc w:val="center"/>
              <w:rPr>
                <w:b/>
                <w:bCs/>
                <w:sz w:val="18"/>
                <w:szCs w:val="18"/>
                <w:lang w:val="es-ES_tradnl"/>
              </w:rPr>
            </w:pPr>
            <w:r w:rsidRPr="008B7A21">
              <w:rPr>
                <w:b/>
                <w:bCs/>
                <w:sz w:val="18"/>
                <w:szCs w:val="18"/>
                <w:lang w:val="es-ES_tradnl"/>
              </w:rPr>
              <w:t>30,0</w:t>
            </w:r>
          </w:p>
        </w:tc>
        <w:tc>
          <w:tcPr>
            <w:tcW w:w="709" w:type="dxa"/>
          </w:tcPr>
          <w:p w14:paraId="746B6C4C" w14:textId="77777777" w:rsidR="00F73D5B" w:rsidRPr="008B7A21" w:rsidRDefault="00F73D5B" w:rsidP="00767A6A">
            <w:pPr>
              <w:pStyle w:val="Tabletext"/>
              <w:jc w:val="center"/>
              <w:rPr>
                <w:sz w:val="18"/>
                <w:szCs w:val="18"/>
                <w:lang w:val="es-ES_tradnl"/>
              </w:rPr>
            </w:pPr>
            <w:r w:rsidRPr="008B7A21">
              <w:rPr>
                <w:sz w:val="18"/>
                <w:szCs w:val="18"/>
                <w:lang w:val="es-ES_tradnl"/>
              </w:rPr>
              <w:t>16</w:t>
            </w:r>
          </w:p>
        </w:tc>
        <w:tc>
          <w:tcPr>
            <w:tcW w:w="765" w:type="dxa"/>
          </w:tcPr>
          <w:p w14:paraId="5826A069" w14:textId="77777777" w:rsidR="00F73D5B" w:rsidRPr="008B7A21" w:rsidRDefault="00F73D5B" w:rsidP="00767A6A">
            <w:pPr>
              <w:pStyle w:val="Tabletext"/>
              <w:jc w:val="center"/>
              <w:rPr>
                <w:sz w:val="18"/>
                <w:szCs w:val="18"/>
                <w:lang w:val="es-ES_tradnl"/>
              </w:rPr>
            </w:pPr>
            <w:r w:rsidRPr="008B7A21">
              <w:rPr>
                <w:sz w:val="18"/>
                <w:szCs w:val="18"/>
                <w:lang w:val="es-ES_tradnl"/>
              </w:rPr>
              <w:t>20</w:t>
            </w:r>
          </w:p>
        </w:tc>
        <w:tc>
          <w:tcPr>
            <w:tcW w:w="765" w:type="dxa"/>
          </w:tcPr>
          <w:p w14:paraId="5CE4BF46" w14:textId="77777777" w:rsidR="00F73D5B" w:rsidRPr="008B7A21" w:rsidRDefault="00F73D5B" w:rsidP="00767A6A">
            <w:pPr>
              <w:pStyle w:val="Tabletext"/>
              <w:jc w:val="center"/>
              <w:rPr>
                <w:b/>
                <w:bCs/>
                <w:sz w:val="18"/>
                <w:szCs w:val="18"/>
                <w:lang w:val="es-ES_tradnl"/>
              </w:rPr>
            </w:pPr>
            <w:r w:rsidRPr="008B7A21">
              <w:rPr>
                <w:b/>
                <w:bCs/>
                <w:sz w:val="18"/>
                <w:szCs w:val="18"/>
                <w:lang w:val="es-ES_tradnl"/>
              </w:rPr>
              <w:t>24</w:t>
            </w:r>
          </w:p>
        </w:tc>
        <w:tc>
          <w:tcPr>
            <w:tcW w:w="765" w:type="dxa"/>
          </w:tcPr>
          <w:p w14:paraId="4E8AC62F" w14:textId="77777777" w:rsidR="00F73D5B" w:rsidRPr="008B7A21" w:rsidRDefault="00F73D5B" w:rsidP="00767A6A">
            <w:pPr>
              <w:pStyle w:val="Tabletext"/>
              <w:jc w:val="center"/>
              <w:rPr>
                <w:sz w:val="18"/>
                <w:szCs w:val="18"/>
                <w:lang w:val="es-ES_tradnl"/>
              </w:rPr>
            </w:pPr>
            <w:r w:rsidRPr="008B7A21">
              <w:rPr>
                <w:sz w:val="18"/>
                <w:szCs w:val="18"/>
                <w:lang w:val="es-ES_tradnl"/>
              </w:rPr>
              <w:t>28</w:t>
            </w:r>
          </w:p>
        </w:tc>
        <w:tc>
          <w:tcPr>
            <w:tcW w:w="765" w:type="dxa"/>
          </w:tcPr>
          <w:p w14:paraId="3CE1C62D" w14:textId="77777777" w:rsidR="00F73D5B" w:rsidRPr="008B7A21" w:rsidRDefault="00F73D5B" w:rsidP="00767A6A">
            <w:pPr>
              <w:pStyle w:val="Tabletext"/>
              <w:jc w:val="center"/>
              <w:rPr>
                <w:b/>
                <w:bCs/>
                <w:sz w:val="18"/>
                <w:szCs w:val="18"/>
                <w:lang w:val="es-ES_tradnl"/>
              </w:rPr>
            </w:pPr>
            <w:r w:rsidRPr="008B7A21">
              <w:rPr>
                <w:b/>
                <w:bCs/>
                <w:sz w:val="18"/>
                <w:szCs w:val="18"/>
                <w:lang w:val="es-ES_tradnl"/>
              </w:rPr>
              <w:t>33</w:t>
            </w:r>
          </w:p>
        </w:tc>
        <w:tc>
          <w:tcPr>
            <w:tcW w:w="765" w:type="dxa"/>
          </w:tcPr>
          <w:p w14:paraId="3C7C82AA" w14:textId="77777777" w:rsidR="00F73D5B" w:rsidRPr="008B7A21" w:rsidRDefault="00F73D5B" w:rsidP="00767A6A">
            <w:pPr>
              <w:pStyle w:val="Tabletext"/>
              <w:jc w:val="center"/>
              <w:rPr>
                <w:sz w:val="18"/>
                <w:szCs w:val="18"/>
                <w:lang w:val="es-ES_tradnl"/>
              </w:rPr>
            </w:pPr>
            <w:r w:rsidRPr="008B7A21">
              <w:rPr>
                <w:sz w:val="18"/>
                <w:szCs w:val="18"/>
                <w:lang w:val="es-ES_tradnl"/>
              </w:rPr>
              <w:t>38</w:t>
            </w:r>
          </w:p>
        </w:tc>
        <w:tc>
          <w:tcPr>
            <w:tcW w:w="765" w:type="dxa"/>
          </w:tcPr>
          <w:p w14:paraId="0FAD9731" w14:textId="77777777" w:rsidR="00F73D5B" w:rsidRPr="008B7A21" w:rsidRDefault="00F73D5B" w:rsidP="00767A6A">
            <w:pPr>
              <w:pStyle w:val="Tabletext"/>
              <w:jc w:val="center"/>
              <w:rPr>
                <w:sz w:val="18"/>
                <w:szCs w:val="18"/>
                <w:lang w:val="es-ES_tradnl"/>
              </w:rPr>
            </w:pPr>
            <w:r w:rsidRPr="008B7A21">
              <w:rPr>
                <w:sz w:val="18"/>
                <w:szCs w:val="18"/>
                <w:lang w:val="es-ES_tradnl"/>
              </w:rPr>
              <w:t>42</w:t>
            </w:r>
          </w:p>
        </w:tc>
        <w:tc>
          <w:tcPr>
            <w:tcW w:w="765" w:type="dxa"/>
          </w:tcPr>
          <w:p w14:paraId="118DE7B4" w14:textId="77777777" w:rsidR="00F73D5B" w:rsidRPr="008B7A21" w:rsidRDefault="00F73D5B" w:rsidP="00767A6A">
            <w:pPr>
              <w:pStyle w:val="Tabletext"/>
              <w:jc w:val="center"/>
              <w:rPr>
                <w:b/>
                <w:bCs/>
                <w:sz w:val="18"/>
                <w:szCs w:val="18"/>
                <w:lang w:val="es-ES_tradnl"/>
              </w:rPr>
            </w:pPr>
            <w:r w:rsidRPr="008B7A21">
              <w:rPr>
                <w:b/>
                <w:bCs/>
                <w:sz w:val="18"/>
                <w:szCs w:val="18"/>
                <w:lang w:val="es-ES_tradnl"/>
              </w:rPr>
              <w:t>46</w:t>
            </w:r>
          </w:p>
        </w:tc>
        <w:tc>
          <w:tcPr>
            <w:tcW w:w="765" w:type="dxa"/>
          </w:tcPr>
          <w:p w14:paraId="0BFEA103" w14:textId="77777777" w:rsidR="00F73D5B" w:rsidRPr="008B7A21" w:rsidRDefault="00F73D5B" w:rsidP="00767A6A">
            <w:pPr>
              <w:pStyle w:val="Tabletext"/>
              <w:jc w:val="center"/>
              <w:rPr>
                <w:sz w:val="18"/>
                <w:szCs w:val="18"/>
                <w:lang w:val="es-ES_tradnl"/>
              </w:rPr>
            </w:pPr>
            <w:r w:rsidRPr="008B7A21">
              <w:rPr>
                <w:sz w:val="18"/>
                <w:szCs w:val="18"/>
                <w:lang w:val="es-ES_tradnl"/>
              </w:rPr>
              <w:t>50</w:t>
            </w:r>
          </w:p>
        </w:tc>
        <w:tc>
          <w:tcPr>
            <w:tcW w:w="765" w:type="dxa"/>
          </w:tcPr>
          <w:p w14:paraId="4273A18B" w14:textId="77777777" w:rsidR="00F73D5B" w:rsidRPr="008B7A21" w:rsidRDefault="00F73D5B" w:rsidP="00767A6A">
            <w:pPr>
              <w:pStyle w:val="Tabletext"/>
              <w:jc w:val="center"/>
              <w:rPr>
                <w:sz w:val="18"/>
                <w:szCs w:val="18"/>
                <w:lang w:val="es-ES_tradnl"/>
              </w:rPr>
            </w:pPr>
            <w:r w:rsidRPr="008B7A21">
              <w:rPr>
                <w:sz w:val="18"/>
                <w:szCs w:val="18"/>
                <w:lang w:val="es-ES_tradnl"/>
              </w:rPr>
              <w:t>53</w:t>
            </w:r>
          </w:p>
        </w:tc>
        <w:tc>
          <w:tcPr>
            <w:tcW w:w="879" w:type="dxa"/>
          </w:tcPr>
          <w:p w14:paraId="690926D6" w14:textId="77777777" w:rsidR="00F73D5B" w:rsidRPr="008B7A21" w:rsidRDefault="00F73D5B" w:rsidP="00767A6A">
            <w:pPr>
              <w:pStyle w:val="Tabletext"/>
              <w:jc w:val="center"/>
              <w:rPr>
                <w:sz w:val="18"/>
                <w:szCs w:val="18"/>
                <w:lang w:val="es-ES_tradnl"/>
              </w:rPr>
            </w:pPr>
            <w:r w:rsidRPr="008B7A21">
              <w:rPr>
                <w:sz w:val="18"/>
                <w:szCs w:val="18"/>
                <w:lang w:val="es-ES_tradnl"/>
              </w:rPr>
              <w:t>59</w:t>
            </w:r>
          </w:p>
        </w:tc>
      </w:tr>
      <w:tr w:rsidR="00F73D5B" w:rsidRPr="008B7A21" w14:paraId="015A0344" w14:textId="77777777" w:rsidTr="00767A6A">
        <w:trPr>
          <w:jc w:val="center"/>
        </w:trPr>
        <w:tc>
          <w:tcPr>
            <w:tcW w:w="1247" w:type="dxa"/>
          </w:tcPr>
          <w:p w14:paraId="3DAF3FF5" w14:textId="77777777" w:rsidR="00F73D5B" w:rsidRPr="008B7A21" w:rsidRDefault="00F73D5B" w:rsidP="00767A6A">
            <w:pPr>
              <w:pStyle w:val="Tabletext"/>
              <w:jc w:val="center"/>
              <w:rPr>
                <w:sz w:val="18"/>
                <w:szCs w:val="18"/>
                <w:lang w:val="es-ES_tradnl"/>
              </w:rPr>
            </w:pPr>
            <w:r w:rsidRPr="008B7A21">
              <w:rPr>
                <w:sz w:val="18"/>
                <w:szCs w:val="18"/>
                <w:lang w:val="es-ES_tradnl"/>
              </w:rPr>
              <w:t>35,0</w:t>
            </w:r>
          </w:p>
        </w:tc>
        <w:tc>
          <w:tcPr>
            <w:tcW w:w="709" w:type="dxa"/>
          </w:tcPr>
          <w:p w14:paraId="0735781E" w14:textId="77777777" w:rsidR="00F73D5B" w:rsidRPr="008B7A21" w:rsidRDefault="00F73D5B" w:rsidP="00767A6A">
            <w:pPr>
              <w:pStyle w:val="Tabletext"/>
              <w:jc w:val="center"/>
              <w:rPr>
                <w:sz w:val="18"/>
                <w:szCs w:val="18"/>
                <w:lang w:val="es-ES_tradnl"/>
              </w:rPr>
            </w:pPr>
            <w:r w:rsidRPr="008B7A21">
              <w:rPr>
                <w:sz w:val="18"/>
                <w:szCs w:val="18"/>
                <w:lang w:val="es-ES_tradnl"/>
              </w:rPr>
              <w:t>21</w:t>
            </w:r>
          </w:p>
        </w:tc>
        <w:tc>
          <w:tcPr>
            <w:tcW w:w="765" w:type="dxa"/>
          </w:tcPr>
          <w:p w14:paraId="294DCFC5" w14:textId="77777777" w:rsidR="00F73D5B" w:rsidRPr="008B7A21" w:rsidRDefault="00F73D5B" w:rsidP="00767A6A">
            <w:pPr>
              <w:pStyle w:val="Tabletext"/>
              <w:jc w:val="center"/>
              <w:rPr>
                <w:sz w:val="18"/>
                <w:szCs w:val="18"/>
                <w:lang w:val="es-ES_tradnl"/>
              </w:rPr>
            </w:pPr>
            <w:r w:rsidRPr="008B7A21">
              <w:rPr>
                <w:sz w:val="18"/>
                <w:szCs w:val="18"/>
                <w:lang w:val="es-ES_tradnl"/>
              </w:rPr>
              <w:t>26</w:t>
            </w:r>
          </w:p>
        </w:tc>
        <w:tc>
          <w:tcPr>
            <w:tcW w:w="765" w:type="dxa"/>
          </w:tcPr>
          <w:p w14:paraId="29288D3D" w14:textId="77777777" w:rsidR="00F73D5B" w:rsidRPr="008B7A21" w:rsidRDefault="00F73D5B" w:rsidP="00767A6A">
            <w:pPr>
              <w:pStyle w:val="Tabletext"/>
              <w:jc w:val="center"/>
              <w:rPr>
                <w:sz w:val="18"/>
                <w:szCs w:val="18"/>
                <w:lang w:val="es-ES_tradnl"/>
              </w:rPr>
            </w:pPr>
            <w:r w:rsidRPr="008B7A21">
              <w:rPr>
                <w:sz w:val="18"/>
                <w:szCs w:val="18"/>
                <w:lang w:val="es-ES_tradnl"/>
              </w:rPr>
              <w:t>31</w:t>
            </w:r>
          </w:p>
        </w:tc>
        <w:tc>
          <w:tcPr>
            <w:tcW w:w="765" w:type="dxa"/>
          </w:tcPr>
          <w:p w14:paraId="13BF1A61" w14:textId="77777777" w:rsidR="00F73D5B" w:rsidRPr="008B7A21" w:rsidRDefault="00F73D5B" w:rsidP="00767A6A">
            <w:pPr>
              <w:pStyle w:val="Tabletext"/>
              <w:jc w:val="center"/>
              <w:rPr>
                <w:sz w:val="18"/>
                <w:szCs w:val="18"/>
                <w:lang w:val="es-ES_tradnl"/>
              </w:rPr>
            </w:pPr>
            <w:r w:rsidRPr="008B7A21">
              <w:rPr>
                <w:sz w:val="18"/>
                <w:szCs w:val="18"/>
                <w:lang w:val="es-ES_tradnl"/>
              </w:rPr>
              <w:t>35</w:t>
            </w:r>
          </w:p>
        </w:tc>
        <w:tc>
          <w:tcPr>
            <w:tcW w:w="765" w:type="dxa"/>
          </w:tcPr>
          <w:p w14:paraId="2563BE14" w14:textId="77777777" w:rsidR="00F73D5B" w:rsidRPr="008B7A21" w:rsidRDefault="00F73D5B" w:rsidP="00767A6A">
            <w:pPr>
              <w:pStyle w:val="Tabletext"/>
              <w:jc w:val="center"/>
              <w:rPr>
                <w:sz w:val="18"/>
                <w:szCs w:val="18"/>
                <w:lang w:val="es-ES_tradnl"/>
              </w:rPr>
            </w:pPr>
            <w:r w:rsidRPr="008B7A21">
              <w:rPr>
                <w:sz w:val="18"/>
                <w:szCs w:val="18"/>
                <w:lang w:val="es-ES_tradnl"/>
              </w:rPr>
              <w:t>42</w:t>
            </w:r>
          </w:p>
        </w:tc>
        <w:tc>
          <w:tcPr>
            <w:tcW w:w="765" w:type="dxa"/>
          </w:tcPr>
          <w:p w14:paraId="7E7FB9A3" w14:textId="77777777" w:rsidR="00F73D5B" w:rsidRPr="008B7A21" w:rsidRDefault="00F73D5B" w:rsidP="00767A6A">
            <w:pPr>
              <w:pStyle w:val="Tabletext"/>
              <w:jc w:val="center"/>
              <w:rPr>
                <w:sz w:val="18"/>
                <w:szCs w:val="18"/>
                <w:lang w:val="es-ES_tradnl"/>
              </w:rPr>
            </w:pPr>
            <w:r w:rsidRPr="008B7A21">
              <w:rPr>
                <w:sz w:val="18"/>
                <w:szCs w:val="18"/>
                <w:lang w:val="es-ES_tradnl"/>
              </w:rPr>
              <w:t>47</w:t>
            </w:r>
          </w:p>
        </w:tc>
        <w:tc>
          <w:tcPr>
            <w:tcW w:w="765" w:type="dxa"/>
          </w:tcPr>
          <w:p w14:paraId="0501A126" w14:textId="77777777" w:rsidR="00F73D5B" w:rsidRPr="008B7A21" w:rsidRDefault="00F73D5B" w:rsidP="00767A6A">
            <w:pPr>
              <w:pStyle w:val="Tabletext"/>
              <w:jc w:val="center"/>
              <w:rPr>
                <w:sz w:val="18"/>
                <w:szCs w:val="18"/>
                <w:lang w:val="es-ES_tradnl"/>
              </w:rPr>
            </w:pPr>
            <w:r w:rsidRPr="008B7A21">
              <w:rPr>
                <w:sz w:val="18"/>
                <w:szCs w:val="18"/>
                <w:lang w:val="es-ES_tradnl"/>
              </w:rPr>
              <w:t>52</w:t>
            </w:r>
          </w:p>
        </w:tc>
        <w:tc>
          <w:tcPr>
            <w:tcW w:w="765" w:type="dxa"/>
          </w:tcPr>
          <w:p w14:paraId="2A8FD6E5" w14:textId="77777777" w:rsidR="00F73D5B" w:rsidRPr="008B7A21" w:rsidRDefault="00F73D5B" w:rsidP="00767A6A">
            <w:pPr>
              <w:pStyle w:val="Tabletext"/>
              <w:jc w:val="center"/>
              <w:rPr>
                <w:sz w:val="18"/>
                <w:szCs w:val="18"/>
                <w:lang w:val="es-ES_tradnl"/>
              </w:rPr>
            </w:pPr>
            <w:r w:rsidRPr="008B7A21">
              <w:rPr>
                <w:sz w:val="18"/>
                <w:szCs w:val="18"/>
                <w:lang w:val="es-ES_tradnl"/>
              </w:rPr>
              <w:t>56</w:t>
            </w:r>
          </w:p>
        </w:tc>
        <w:tc>
          <w:tcPr>
            <w:tcW w:w="765" w:type="dxa"/>
          </w:tcPr>
          <w:p w14:paraId="6B33C97C" w14:textId="77777777" w:rsidR="00F73D5B" w:rsidRPr="008B7A21" w:rsidRDefault="00F73D5B" w:rsidP="00767A6A">
            <w:pPr>
              <w:pStyle w:val="Tabletext"/>
              <w:jc w:val="center"/>
              <w:rPr>
                <w:sz w:val="18"/>
                <w:szCs w:val="18"/>
                <w:lang w:val="es-ES_tradnl"/>
              </w:rPr>
            </w:pPr>
            <w:r w:rsidRPr="008B7A21">
              <w:rPr>
                <w:sz w:val="18"/>
                <w:szCs w:val="18"/>
                <w:lang w:val="es-ES_tradnl"/>
              </w:rPr>
              <w:t>60</w:t>
            </w:r>
          </w:p>
        </w:tc>
        <w:tc>
          <w:tcPr>
            <w:tcW w:w="765" w:type="dxa"/>
          </w:tcPr>
          <w:p w14:paraId="3CC58006" w14:textId="77777777" w:rsidR="00F73D5B" w:rsidRPr="008B7A21" w:rsidRDefault="00F73D5B" w:rsidP="00767A6A">
            <w:pPr>
              <w:pStyle w:val="Tabletext"/>
              <w:jc w:val="center"/>
              <w:rPr>
                <w:sz w:val="18"/>
                <w:szCs w:val="18"/>
                <w:lang w:val="es-ES_tradnl"/>
              </w:rPr>
            </w:pPr>
            <w:r w:rsidRPr="008B7A21">
              <w:rPr>
                <w:sz w:val="18"/>
                <w:szCs w:val="18"/>
                <w:lang w:val="es-ES_tradnl"/>
              </w:rPr>
              <w:t>64</w:t>
            </w:r>
          </w:p>
        </w:tc>
        <w:tc>
          <w:tcPr>
            <w:tcW w:w="879" w:type="dxa"/>
          </w:tcPr>
          <w:p w14:paraId="7FCD4842" w14:textId="77777777" w:rsidR="00F73D5B" w:rsidRPr="008B7A21" w:rsidRDefault="00F73D5B" w:rsidP="00767A6A">
            <w:pPr>
              <w:pStyle w:val="Tabletext"/>
              <w:jc w:val="center"/>
              <w:rPr>
                <w:sz w:val="18"/>
                <w:szCs w:val="18"/>
                <w:lang w:val="es-ES_tradnl"/>
              </w:rPr>
            </w:pPr>
            <w:r w:rsidRPr="008B7A21">
              <w:rPr>
                <w:sz w:val="18"/>
                <w:szCs w:val="18"/>
                <w:lang w:val="es-ES_tradnl"/>
              </w:rPr>
              <w:t>70</w:t>
            </w:r>
          </w:p>
        </w:tc>
      </w:tr>
      <w:tr w:rsidR="00F73D5B" w:rsidRPr="008B7A21" w14:paraId="6AECE984" w14:textId="77777777" w:rsidTr="00767A6A">
        <w:trPr>
          <w:jc w:val="center"/>
        </w:trPr>
        <w:tc>
          <w:tcPr>
            <w:tcW w:w="1247" w:type="dxa"/>
          </w:tcPr>
          <w:p w14:paraId="753C01C5" w14:textId="77777777" w:rsidR="00F73D5B" w:rsidRPr="008B7A21" w:rsidRDefault="00F73D5B" w:rsidP="00767A6A">
            <w:pPr>
              <w:pStyle w:val="Tabletext"/>
              <w:jc w:val="center"/>
              <w:rPr>
                <w:sz w:val="18"/>
                <w:szCs w:val="18"/>
                <w:lang w:val="es-ES_tradnl"/>
              </w:rPr>
            </w:pPr>
            <w:r w:rsidRPr="008B7A21">
              <w:rPr>
                <w:sz w:val="18"/>
                <w:szCs w:val="18"/>
                <w:lang w:val="es-ES_tradnl"/>
              </w:rPr>
              <w:t>40,0</w:t>
            </w:r>
          </w:p>
        </w:tc>
        <w:tc>
          <w:tcPr>
            <w:tcW w:w="709" w:type="dxa"/>
          </w:tcPr>
          <w:p w14:paraId="1A1CDA02" w14:textId="77777777" w:rsidR="00F73D5B" w:rsidRPr="008B7A21" w:rsidRDefault="00F73D5B" w:rsidP="00767A6A">
            <w:pPr>
              <w:pStyle w:val="Tabletext"/>
              <w:jc w:val="center"/>
              <w:rPr>
                <w:sz w:val="18"/>
                <w:szCs w:val="18"/>
                <w:lang w:val="es-ES_tradnl"/>
              </w:rPr>
            </w:pPr>
            <w:r w:rsidRPr="008B7A21">
              <w:rPr>
                <w:sz w:val="18"/>
                <w:szCs w:val="18"/>
                <w:lang w:val="es-ES_tradnl"/>
              </w:rPr>
              <w:t>26,3</w:t>
            </w:r>
          </w:p>
        </w:tc>
        <w:tc>
          <w:tcPr>
            <w:tcW w:w="765" w:type="dxa"/>
          </w:tcPr>
          <w:p w14:paraId="5FE42BE8" w14:textId="77777777" w:rsidR="00F73D5B" w:rsidRPr="008B7A21" w:rsidRDefault="00F73D5B" w:rsidP="00767A6A">
            <w:pPr>
              <w:pStyle w:val="Tabletext"/>
              <w:jc w:val="center"/>
              <w:rPr>
                <w:sz w:val="18"/>
                <w:szCs w:val="18"/>
                <w:lang w:val="es-ES_tradnl"/>
              </w:rPr>
            </w:pPr>
            <w:r w:rsidRPr="008B7A21">
              <w:rPr>
                <w:sz w:val="18"/>
                <w:szCs w:val="18"/>
                <w:lang w:val="es-ES_tradnl"/>
              </w:rPr>
              <w:t>32,8</w:t>
            </w:r>
          </w:p>
        </w:tc>
        <w:tc>
          <w:tcPr>
            <w:tcW w:w="765" w:type="dxa"/>
          </w:tcPr>
          <w:p w14:paraId="4F75516D" w14:textId="77777777" w:rsidR="00F73D5B" w:rsidRPr="008B7A21" w:rsidRDefault="00F73D5B" w:rsidP="00767A6A">
            <w:pPr>
              <w:pStyle w:val="Tabletext"/>
              <w:jc w:val="center"/>
              <w:rPr>
                <w:sz w:val="18"/>
                <w:szCs w:val="18"/>
                <w:lang w:val="es-ES_tradnl"/>
              </w:rPr>
            </w:pPr>
            <w:r w:rsidRPr="008B7A21">
              <w:rPr>
                <w:sz w:val="18"/>
                <w:szCs w:val="18"/>
                <w:lang w:val="es-ES_tradnl"/>
              </w:rPr>
              <w:t>38,7</w:t>
            </w:r>
          </w:p>
        </w:tc>
        <w:tc>
          <w:tcPr>
            <w:tcW w:w="765" w:type="dxa"/>
          </w:tcPr>
          <w:p w14:paraId="62C19CE2" w14:textId="77777777" w:rsidR="00F73D5B" w:rsidRPr="008B7A21" w:rsidRDefault="00F73D5B" w:rsidP="00767A6A">
            <w:pPr>
              <w:pStyle w:val="Tabletext"/>
              <w:jc w:val="center"/>
              <w:rPr>
                <w:sz w:val="18"/>
                <w:szCs w:val="18"/>
                <w:lang w:val="es-ES_tradnl"/>
              </w:rPr>
            </w:pPr>
            <w:r w:rsidRPr="008B7A21">
              <w:rPr>
                <w:sz w:val="18"/>
                <w:szCs w:val="18"/>
                <w:lang w:val="es-ES_tradnl"/>
              </w:rPr>
              <w:t>43,8</w:t>
            </w:r>
          </w:p>
        </w:tc>
        <w:tc>
          <w:tcPr>
            <w:tcW w:w="765" w:type="dxa"/>
          </w:tcPr>
          <w:p w14:paraId="38AC8596" w14:textId="77777777" w:rsidR="00F73D5B" w:rsidRPr="008B7A21" w:rsidRDefault="00F73D5B" w:rsidP="00767A6A">
            <w:pPr>
              <w:pStyle w:val="Tabletext"/>
              <w:jc w:val="center"/>
              <w:rPr>
                <w:sz w:val="18"/>
                <w:szCs w:val="18"/>
                <w:lang w:val="es-ES_tradnl"/>
              </w:rPr>
            </w:pPr>
            <w:r w:rsidRPr="008B7A21">
              <w:rPr>
                <w:sz w:val="18"/>
                <w:szCs w:val="18"/>
                <w:lang w:val="es-ES_tradnl"/>
              </w:rPr>
              <w:t>51,4</w:t>
            </w:r>
          </w:p>
        </w:tc>
        <w:tc>
          <w:tcPr>
            <w:tcW w:w="765" w:type="dxa"/>
          </w:tcPr>
          <w:p w14:paraId="4D8D8C28" w14:textId="77777777" w:rsidR="00F73D5B" w:rsidRPr="008B7A21" w:rsidRDefault="00F73D5B" w:rsidP="00767A6A">
            <w:pPr>
              <w:pStyle w:val="Tabletext"/>
              <w:jc w:val="center"/>
              <w:rPr>
                <w:sz w:val="18"/>
                <w:szCs w:val="18"/>
                <w:lang w:val="es-ES_tradnl"/>
              </w:rPr>
            </w:pPr>
            <w:r w:rsidRPr="008B7A21">
              <w:rPr>
                <w:sz w:val="18"/>
                <w:szCs w:val="18"/>
                <w:lang w:val="es-ES_tradnl"/>
              </w:rPr>
              <w:t>57,8</w:t>
            </w:r>
          </w:p>
        </w:tc>
        <w:tc>
          <w:tcPr>
            <w:tcW w:w="765" w:type="dxa"/>
          </w:tcPr>
          <w:p w14:paraId="4A46AB01" w14:textId="77777777" w:rsidR="00F73D5B" w:rsidRPr="008B7A21" w:rsidRDefault="00F73D5B" w:rsidP="00767A6A">
            <w:pPr>
              <w:pStyle w:val="Tabletext"/>
              <w:jc w:val="center"/>
              <w:rPr>
                <w:sz w:val="18"/>
                <w:szCs w:val="18"/>
                <w:lang w:val="es-ES_tradnl"/>
              </w:rPr>
            </w:pPr>
            <w:r w:rsidRPr="008B7A21">
              <w:rPr>
                <w:sz w:val="18"/>
                <w:szCs w:val="18"/>
                <w:lang w:val="es-ES_tradnl"/>
              </w:rPr>
              <w:t>62,9</w:t>
            </w:r>
          </w:p>
        </w:tc>
        <w:tc>
          <w:tcPr>
            <w:tcW w:w="765" w:type="dxa"/>
          </w:tcPr>
          <w:p w14:paraId="141B225A" w14:textId="77777777" w:rsidR="00F73D5B" w:rsidRPr="008B7A21" w:rsidRDefault="00F73D5B" w:rsidP="00767A6A">
            <w:pPr>
              <w:pStyle w:val="Tabletext"/>
              <w:jc w:val="center"/>
              <w:rPr>
                <w:sz w:val="18"/>
                <w:szCs w:val="18"/>
                <w:lang w:val="es-ES_tradnl"/>
              </w:rPr>
            </w:pPr>
            <w:r w:rsidRPr="008B7A21">
              <w:rPr>
                <w:sz w:val="18"/>
                <w:szCs w:val="18"/>
                <w:lang w:val="es-ES_tradnl"/>
              </w:rPr>
              <w:t>67,0</w:t>
            </w:r>
          </w:p>
        </w:tc>
        <w:tc>
          <w:tcPr>
            <w:tcW w:w="765" w:type="dxa"/>
          </w:tcPr>
          <w:p w14:paraId="70019A21" w14:textId="77777777" w:rsidR="00F73D5B" w:rsidRPr="008B7A21" w:rsidRDefault="00F73D5B" w:rsidP="00767A6A">
            <w:pPr>
              <w:pStyle w:val="Tabletext"/>
              <w:jc w:val="center"/>
              <w:rPr>
                <w:sz w:val="18"/>
                <w:szCs w:val="18"/>
                <w:lang w:val="es-ES_tradnl"/>
              </w:rPr>
            </w:pPr>
            <w:r w:rsidRPr="008B7A21">
              <w:rPr>
                <w:sz w:val="18"/>
                <w:szCs w:val="18"/>
                <w:lang w:val="es-ES_tradnl"/>
              </w:rPr>
              <w:t>71,4</w:t>
            </w:r>
          </w:p>
        </w:tc>
        <w:tc>
          <w:tcPr>
            <w:tcW w:w="765" w:type="dxa"/>
          </w:tcPr>
          <w:p w14:paraId="0882D01D" w14:textId="77777777" w:rsidR="00F73D5B" w:rsidRPr="008B7A21" w:rsidRDefault="00F73D5B" w:rsidP="00767A6A">
            <w:pPr>
              <w:pStyle w:val="Tabletext"/>
              <w:jc w:val="center"/>
              <w:rPr>
                <w:sz w:val="18"/>
                <w:szCs w:val="18"/>
                <w:lang w:val="es-ES_tradnl"/>
              </w:rPr>
            </w:pPr>
            <w:r w:rsidRPr="008B7A21">
              <w:rPr>
                <w:sz w:val="18"/>
                <w:szCs w:val="18"/>
                <w:lang w:val="es-ES_tradnl"/>
              </w:rPr>
              <w:t>75,2</w:t>
            </w:r>
          </w:p>
        </w:tc>
        <w:tc>
          <w:tcPr>
            <w:tcW w:w="879" w:type="dxa"/>
          </w:tcPr>
          <w:p w14:paraId="1D76A036" w14:textId="77777777" w:rsidR="00F73D5B" w:rsidRPr="008B7A21" w:rsidRDefault="00F73D5B" w:rsidP="00767A6A">
            <w:pPr>
              <w:pStyle w:val="Tabletext"/>
              <w:jc w:val="center"/>
              <w:rPr>
                <w:sz w:val="18"/>
                <w:szCs w:val="18"/>
                <w:lang w:val="es-ES_tradnl"/>
              </w:rPr>
            </w:pPr>
            <w:r w:rsidRPr="008B7A21">
              <w:rPr>
                <w:sz w:val="18"/>
                <w:szCs w:val="18"/>
                <w:lang w:val="es-ES_tradnl"/>
              </w:rPr>
              <w:t>81,7</w:t>
            </w:r>
          </w:p>
        </w:tc>
      </w:tr>
      <w:tr w:rsidR="00F73D5B" w:rsidRPr="008B7A21" w14:paraId="51752851" w14:textId="77777777" w:rsidTr="00767A6A">
        <w:trPr>
          <w:jc w:val="center"/>
        </w:trPr>
        <w:tc>
          <w:tcPr>
            <w:tcW w:w="1247" w:type="dxa"/>
          </w:tcPr>
          <w:p w14:paraId="1DC76C1C" w14:textId="77777777" w:rsidR="00F73D5B" w:rsidRPr="008B7A21" w:rsidRDefault="00F73D5B" w:rsidP="00767A6A">
            <w:pPr>
              <w:pStyle w:val="Tabletext"/>
              <w:jc w:val="center"/>
              <w:rPr>
                <w:sz w:val="18"/>
                <w:szCs w:val="18"/>
                <w:lang w:val="es-ES_tradnl"/>
              </w:rPr>
            </w:pPr>
            <w:r w:rsidRPr="008B7A21">
              <w:rPr>
                <w:sz w:val="18"/>
                <w:szCs w:val="18"/>
                <w:lang w:val="es-ES_tradnl"/>
              </w:rPr>
              <w:t>43,0</w:t>
            </w:r>
          </w:p>
        </w:tc>
        <w:tc>
          <w:tcPr>
            <w:tcW w:w="709" w:type="dxa"/>
          </w:tcPr>
          <w:p w14:paraId="068B2B18" w14:textId="77777777" w:rsidR="00F73D5B" w:rsidRPr="008B7A21" w:rsidRDefault="00F73D5B" w:rsidP="00767A6A">
            <w:pPr>
              <w:pStyle w:val="Tabletext"/>
              <w:jc w:val="center"/>
              <w:rPr>
                <w:sz w:val="18"/>
                <w:szCs w:val="18"/>
                <w:lang w:val="es-ES_tradnl"/>
              </w:rPr>
            </w:pPr>
            <w:r w:rsidRPr="008B7A21">
              <w:rPr>
                <w:sz w:val="18"/>
                <w:szCs w:val="18"/>
                <w:lang w:val="es-ES_tradnl"/>
              </w:rPr>
              <w:t>30</w:t>
            </w:r>
          </w:p>
        </w:tc>
        <w:tc>
          <w:tcPr>
            <w:tcW w:w="765" w:type="dxa"/>
          </w:tcPr>
          <w:p w14:paraId="2400DEAF" w14:textId="77777777" w:rsidR="00F73D5B" w:rsidRPr="008B7A21" w:rsidRDefault="00F73D5B" w:rsidP="00767A6A">
            <w:pPr>
              <w:pStyle w:val="Tabletext"/>
              <w:jc w:val="center"/>
              <w:rPr>
                <w:sz w:val="18"/>
                <w:szCs w:val="18"/>
                <w:lang w:val="es-ES_tradnl"/>
              </w:rPr>
            </w:pPr>
            <w:r w:rsidRPr="008B7A21">
              <w:rPr>
                <w:sz w:val="18"/>
                <w:szCs w:val="18"/>
                <w:lang w:val="es-ES_tradnl"/>
              </w:rPr>
              <w:t>38</w:t>
            </w:r>
          </w:p>
        </w:tc>
        <w:tc>
          <w:tcPr>
            <w:tcW w:w="765" w:type="dxa"/>
          </w:tcPr>
          <w:p w14:paraId="506BA46F" w14:textId="77777777" w:rsidR="00F73D5B" w:rsidRPr="008B7A21" w:rsidRDefault="00F73D5B" w:rsidP="00767A6A">
            <w:pPr>
              <w:pStyle w:val="Tabletext"/>
              <w:jc w:val="center"/>
              <w:rPr>
                <w:sz w:val="18"/>
                <w:szCs w:val="18"/>
                <w:lang w:val="es-ES_tradnl"/>
              </w:rPr>
            </w:pPr>
            <w:r w:rsidRPr="008B7A21">
              <w:rPr>
                <w:sz w:val="18"/>
                <w:szCs w:val="18"/>
                <w:lang w:val="es-ES_tradnl"/>
              </w:rPr>
              <w:t>44</w:t>
            </w:r>
          </w:p>
        </w:tc>
        <w:tc>
          <w:tcPr>
            <w:tcW w:w="765" w:type="dxa"/>
          </w:tcPr>
          <w:p w14:paraId="4C900D64" w14:textId="77777777" w:rsidR="00F73D5B" w:rsidRPr="008B7A21" w:rsidRDefault="00F73D5B" w:rsidP="00767A6A">
            <w:pPr>
              <w:pStyle w:val="Tabletext"/>
              <w:jc w:val="center"/>
              <w:rPr>
                <w:sz w:val="18"/>
                <w:szCs w:val="18"/>
                <w:lang w:val="es-ES_tradnl"/>
              </w:rPr>
            </w:pPr>
            <w:r w:rsidRPr="008B7A21">
              <w:rPr>
                <w:sz w:val="18"/>
                <w:szCs w:val="18"/>
                <w:lang w:val="es-ES_tradnl"/>
              </w:rPr>
              <w:t>50</w:t>
            </w:r>
          </w:p>
        </w:tc>
        <w:tc>
          <w:tcPr>
            <w:tcW w:w="765" w:type="dxa"/>
          </w:tcPr>
          <w:p w14:paraId="4D5E91B7" w14:textId="77777777" w:rsidR="00F73D5B" w:rsidRPr="008B7A21" w:rsidRDefault="00F73D5B" w:rsidP="00767A6A">
            <w:pPr>
              <w:pStyle w:val="Tabletext"/>
              <w:jc w:val="center"/>
              <w:rPr>
                <w:sz w:val="18"/>
                <w:szCs w:val="18"/>
                <w:lang w:val="es-ES_tradnl"/>
              </w:rPr>
            </w:pPr>
            <w:r w:rsidRPr="008B7A21">
              <w:rPr>
                <w:sz w:val="18"/>
                <w:szCs w:val="18"/>
                <w:lang w:val="es-ES_tradnl"/>
              </w:rPr>
              <w:t>58</w:t>
            </w:r>
          </w:p>
        </w:tc>
        <w:tc>
          <w:tcPr>
            <w:tcW w:w="765" w:type="dxa"/>
          </w:tcPr>
          <w:p w14:paraId="4008F1E5" w14:textId="77777777" w:rsidR="00F73D5B" w:rsidRPr="008B7A21" w:rsidRDefault="00F73D5B" w:rsidP="00767A6A">
            <w:pPr>
              <w:pStyle w:val="Tabletext"/>
              <w:jc w:val="center"/>
              <w:rPr>
                <w:sz w:val="18"/>
                <w:szCs w:val="18"/>
                <w:lang w:val="es-ES_tradnl"/>
              </w:rPr>
            </w:pPr>
            <w:r w:rsidRPr="008B7A21">
              <w:rPr>
                <w:sz w:val="18"/>
                <w:szCs w:val="18"/>
                <w:lang w:val="es-ES_tradnl"/>
              </w:rPr>
              <w:t>65</w:t>
            </w:r>
          </w:p>
        </w:tc>
        <w:tc>
          <w:tcPr>
            <w:tcW w:w="765" w:type="dxa"/>
          </w:tcPr>
          <w:p w14:paraId="3234C4EB" w14:textId="77777777" w:rsidR="00F73D5B" w:rsidRPr="008B7A21" w:rsidRDefault="00F73D5B" w:rsidP="00767A6A">
            <w:pPr>
              <w:pStyle w:val="Tabletext"/>
              <w:jc w:val="center"/>
              <w:rPr>
                <w:sz w:val="18"/>
                <w:szCs w:val="18"/>
                <w:lang w:val="es-ES_tradnl"/>
              </w:rPr>
            </w:pPr>
            <w:r w:rsidRPr="008B7A21">
              <w:rPr>
                <w:sz w:val="18"/>
                <w:szCs w:val="18"/>
                <w:lang w:val="es-ES_tradnl"/>
              </w:rPr>
              <w:t>70</w:t>
            </w:r>
          </w:p>
        </w:tc>
        <w:tc>
          <w:tcPr>
            <w:tcW w:w="765" w:type="dxa"/>
          </w:tcPr>
          <w:p w14:paraId="2D734656" w14:textId="77777777" w:rsidR="00F73D5B" w:rsidRPr="008B7A21" w:rsidRDefault="00F73D5B" w:rsidP="00767A6A">
            <w:pPr>
              <w:pStyle w:val="Tabletext"/>
              <w:jc w:val="center"/>
              <w:rPr>
                <w:sz w:val="18"/>
                <w:szCs w:val="18"/>
                <w:lang w:val="es-ES_tradnl"/>
              </w:rPr>
            </w:pPr>
            <w:r w:rsidRPr="008B7A21">
              <w:rPr>
                <w:sz w:val="18"/>
                <w:szCs w:val="18"/>
                <w:lang w:val="es-ES_tradnl"/>
              </w:rPr>
              <w:t>74</w:t>
            </w:r>
          </w:p>
        </w:tc>
        <w:tc>
          <w:tcPr>
            <w:tcW w:w="765" w:type="dxa"/>
          </w:tcPr>
          <w:p w14:paraId="3A5E185A" w14:textId="77777777" w:rsidR="00F73D5B" w:rsidRPr="008B7A21" w:rsidRDefault="00F73D5B" w:rsidP="00767A6A">
            <w:pPr>
              <w:pStyle w:val="Tabletext"/>
              <w:jc w:val="center"/>
              <w:rPr>
                <w:sz w:val="18"/>
                <w:szCs w:val="18"/>
                <w:lang w:val="es-ES_tradnl"/>
              </w:rPr>
            </w:pPr>
            <w:r w:rsidRPr="008B7A21">
              <w:rPr>
                <w:sz w:val="18"/>
                <w:szCs w:val="18"/>
                <w:lang w:val="es-ES_tradnl"/>
              </w:rPr>
              <w:t>78</w:t>
            </w:r>
          </w:p>
        </w:tc>
        <w:tc>
          <w:tcPr>
            <w:tcW w:w="765" w:type="dxa"/>
          </w:tcPr>
          <w:p w14:paraId="46D8F6A2" w14:textId="77777777" w:rsidR="00F73D5B" w:rsidRPr="008B7A21" w:rsidRDefault="00F73D5B" w:rsidP="00767A6A">
            <w:pPr>
              <w:pStyle w:val="Tabletext"/>
              <w:jc w:val="center"/>
              <w:rPr>
                <w:sz w:val="18"/>
                <w:szCs w:val="18"/>
                <w:lang w:val="es-ES_tradnl"/>
              </w:rPr>
            </w:pPr>
            <w:r w:rsidRPr="008B7A21">
              <w:rPr>
                <w:sz w:val="18"/>
                <w:szCs w:val="18"/>
                <w:lang w:val="es-ES_tradnl"/>
              </w:rPr>
              <w:t>82</w:t>
            </w:r>
          </w:p>
        </w:tc>
        <w:tc>
          <w:tcPr>
            <w:tcW w:w="879" w:type="dxa"/>
          </w:tcPr>
          <w:p w14:paraId="0C7A78B3" w14:textId="77777777" w:rsidR="00F73D5B" w:rsidRPr="008B7A21" w:rsidRDefault="00F73D5B" w:rsidP="00767A6A">
            <w:pPr>
              <w:pStyle w:val="Tabletext"/>
              <w:jc w:val="center"/>
              <w:rPr>
                <w:sz w:val="18"/>
                <w:szCs w:val="18"/>
                <w:lang w:val="es-ES_tradnl"/>
              </w:rPr>
            </w:pPr>
            <w:r w:rsidRPr="008B7A21">
              <w:rPr>
                <w:sz w:val="18"/>
                <w:szCs w:val="18"/>
                <w:lang w:val="es-ES_tradnl"/>
              </w:rPr>
              <w:t>89</w:t>
            </w:r>
          </w:p>
        </w:tc>
      </w:tr>
      <w:tr w:rsidR="00F73D5B" w:rsidRPr="008B7A21" w14:paraId="6D8D4499" w14:textId="77777777" w:rsidTr="00767A6A">
        <w:trPr>
          <w:jc w:val="center"/>
        </w:trPr>
        <w:tc>
          <w:tcPr>
            <w:tcW w:w="1247" w:type="dxa"/>
          </w:tcPr>
          <w:p w14:paraId="16989B99" w14:textId="77777777" w:rsidR="00F73D5B" w:rsidRPr="008B7A21" w:rsidRDefault="00F73D5B" w:rsidP="00767A6A">
            <w:pPr>
              <w:pStyle w:val="Tabletext"/>
              <w:jc w:val="center"/>
              <w:rPr>
                <w:sz w:val="18"/>
                <w:szCs w:val="18"/>
                <w:lang w:val="es-ES_tradnl"/>
              </w:rPr>
            </w:pPr>
            <w:r w:rsidRPr="008B7A21">
              <w:rPr>
                <w:sz w:val="18"/>
                <w:szCs w:val="18"/>
                <w:lang w:val="es-ES_tradnl"/>
              </w:rPr>
              <w:t>46,0</w:t>
            </w:r>
          </w:p>
        </w:tc>
        <w:tc>
          <w:tcPr>
            <w:tcW w:w="709" w:type="dxa"/>
          </w:tcPr>
          <w:p w14:paraId="7795ECD5" w14:textId="77777777" w:rsidR="00F73D5B" w:rsidRPr="008B7A21" w:rsidRDefault="00F73D5B" w:rsidP="00767A6A">
            <w:pPr>
              <w:pStyle w:val="Tabletext"/>
              <w:jc w:val="center"/>
              <w:rPr>
                <w:sz w:val="18"/>
                <w:szCs w:val="18"/>
                <w:lang w:val="es-ES_tradnl"/>
              </w:rPr>
            </w:pPr>
            <w:r w:rsidRPr="008B7A21">
              <w:rPr>
                <w:sz w:val="18"/>
                <w:szCs w:val="18"/>
                <w:lang w:val="es-ES_tradnl"/>
              </w:rPr>
              <w:t>37/36</w:t>
            </w:r>
          </w:p>
        </w:tc>
        <w:tc>
          <w:tcPr>
            <w:tcW w:w="765" w:type="dxa"/>
          </w:tcPr>
          <w:p w14:paraId="4DABA6AE" w14:textId="77777777" w:rsidR="00F73D5B" w:rsidRPr="008B7A21" w:rsidRDefault="00F73D5B" w:rsidP="00767A6A">
            <w:pPr>
              <w:pStyle w:val="Tabletext"/>
              <w:jc w:val="center"/>
              <w:rPr>
                <w:sz w:val="18"/>
                <w:szCs w:val="18"/>
                <w:lang w:val="es-ES_tradnl"/>
              </w:rPr>
            </w:pPr>
            <w:r w:rsidRPr="008B7A21">
              <w:rPr>
                <w:sz w:val="18"/>
                <w:szCs w:val="18"/>
                <w:lang w:val="es-ES_tradnl"/>
              </w:rPr>
              <w:t>43/42</w:t>
            </w:r>
          </w:p>
        </w:tc>
        <w:tc>
          <w:tcPr>
            <w:tcW w:w="765" w:type="dxa"/>
          </w:tcPr>
          <w:p w14:paraId="4D26526D" w14:textId="77777777" w:rsidR="00F73D5B" w:rsidRPr="008B7A21" w:rsidRDefault="00F73D5B" w:rsidP="00767A6A">
            <w:pPr>
              <w:pStyle w:val="Tabletext"/>
              <w:jc w:val="center"/>
              <w:rPr>
                <w:sz w:val="18"/>
                <w:szCs w:val="18"/>
                <w:lang w:val="es-ES_tradnl"/>
              </w:rPr>
            </w:pPr>
            <w:r w:rsidRPr="008B7A21">
              <w:rPr>
                <w:sz w:val="18"/>
                <w:szCs w:val="18"/>
                <w:lang w:val="es-ES_tradnl"/>
              </w:rPr>
              <w:t>51/49</w:t>
            </w:r>
          </w:p>
        </w:tc>
        <w:tc>
          <w:tcPr>
            <w:tcW w:w="765" w:type="dxa"/>
          </w:tcPr>
          <w:p w14:paraId="52350B0B" w14:textId="77777777" w:rsidR="00F73D5B" w:rsidRPr="008B7A21" w:rsidRDefault="00F73D5B" w:rsidP="00767A6A">
            <w:pPr>
              <w:pStyle w:val="Tabletext"/>
              <w:jc w:val="center"/>
              <w:rPr>
                <w:sz w:val="18"/>
                <w:szCs w:val="18"/>
                <w:lang w:val="es-ES_tradnl"/>
              </w:rPr>
            </w:pPr>
            <w:r w:rsidRPr="008B7A21">
              <w:rPr>
                <w:sz w:val="18"/>
                <w:szCs w:val="18"/>
                <w:lang w:val="es-ES_tradnl"/>
              </w:rPr>
              <w:t>56/54</w:t>
            </w:r>
          </w:p>
        </w:tc>
        <w:tc>
          <w:tcPr>
            <w:tcW w:w="765" w:type="dxa"/>
          </w:tcPr>
          <w:p w14:paraId="57F590F7" w14:textId="77777777" w:rsidR="00F73D5B" w:rsidRPr="008B7A21" w:rsidRDefault="00F73D5B" w:rsidP="00767A6A">
            <w:pPr>
              <w:pStyle w:val="Tabletext"/>
              <w:jc w:val="center"/>
              <w:rPr>
                <w:sz w:val="18"/>
                <w:szCs w:val="18"/>
                <w:lang w:val="es-ES_tradnl"/>
              </w:rPr>
            </w:pPr>
            <w:r w:rsidRPr="008B7A21">
              <w:rPr>
                <w:sz w:val="18"/>
                <w:szCs w:val="18"/>
                <w:lang w:val="es-ES_tradnl"/>
              </w:rPr>
              <w:t>65/63</w:t>
            </w:r>
          </w:p>
        </w:tc>
        <w:tc>
          <w:tcPr>
            <w:tcW w:w="765" w:type="dxa"/>
          </w:tcPr>
          <w:p w14:paraId="02C74A1F" w14:textId="77777777" w:rsidR="00F73D5B" w:rsidRPr="008B7A21" w:rsidRDefault="00F73D5B" w:rsidP="00767A6A">
            <w:pPr>
              <w:pStyle w:val="Tabletext"/>
              <w:jc w:val="center"/>
              <w:rPr>
                <w:sz w:val="18"/>
                <w:szCs w:val="18"/>
                <w:lang w:val="es-ES_tradnl"/>
              </w:rPr>
            </w:pPr>
            <w:r w:rsidRPr="008B7A21">
              <w:rPr>
                <w:sz w:val="18"/>
                <w:szCs w:val="18"/>
                <w:lang w:val="es-ES_tradnl"/>
              </w:rPr>
              <w:t>72/71</w:t>
            </w:r>
          </w:p>
        </w:tc>
        <w:tc>
          <w:tcPr>
            <w:tcW w:w="765" w:type="dxa"/>
          </w:tcPr>
          <w:p w14:paraId="32733A70" w14:textId="77777777" w:rsidR="00F73D5B" w:rsidRPr="008B7A21" w:rsidRDefault="00F73D5B" w:rsidP="00767A6A">
            <w:pPr>
              <w:pStyle w:val="Tabletext"/>
              <w:jc w:val="center"/>
              <w:rPr>
                <w:sz w:val="18"/>
                <w:szCs w:val="18"/>
                <w:lang w:val="es-ES_tradnl"/>
              </w:rPr>
            </w:pPr>
            <w:r w:rsidRPr="008B7A21">
              <w:rPr>
                <w:sz w:val="18"/>
                <w:szCs w:val="18"/>
                <w:lang w:val="es-ES_tradnl"/>
              </w:rPr>
              <w:t>77</w:t>
            </w:r>
          </w:p>
        </w:tc>
        <w:tc>
          <w:tcPr>
            <w:tcW w:w="765" w:type="dxa"/>
          </w:tcPr>
          <w:p w14:paraId="0995B6DB" w14:textId="77777777" w:rsidR="00F73D5B" w:rsidRPr="008B7A21" w:rsidRDefault="00F73D5B" w:rsidP="00767A6A">
            <w:pPr>
              <w:pStyle w:val="Tabletext"/>
              <w:jc w:val="center"/>
              <w:rPr>
                <w:sz w:val="18"/>
                <w:szCs w:val="18"/>
                <w:lang w:val="es-ES_tradnl"/>
              </w:rPr>
            </w:pPr>
            <w:r w:rsidRPr="008B7A21">
              <w:rPr>
                <w:sz w:val="18"/>
                <w:szCs w:val="18"/>
                <w:lang w:val="es-ES_tradnl"/>
              </w:rPr>
              <w:t>81</w:t>
            </w:r>
          </w:p>
        </w:tc>
        <w:tc>
          <w:tcPr>
            <w:tcW w:w="765" w:type="dxa"/>
          </w:tcPr>
          <w:p w14:paraId="4F94A3B5" w14:textId="77777777" w:rsidR="00F73D5B" w:rsidRPr="008B7A21" w:rsidRDefault="00F73D5B" w:rsidP="00767A6A">
            <w:pPr>
              <w:pStyle w:val="Tabletext"/>
              <w:jc w:val="center"/>
              <w:rPr>
                <w:sz w:val="18"/>
                <w:szCs w:val="18"/>
                <w:lang w:val="es-ES_tradnl"/>
              </w:rPr>
            </w:pPr>
            <w:r w:rsidRPr="008B7A21">
              <w:rPr>
                <w:sz w:val="18"/>
                <w:szCs w:val="18"/>
                <w:lang w:val="es-ES_tradnl"/>
              </w:rPr>
              <w:t>86</w:t>
            </w:r>
          </w:p>
        </w:tc>
        <w:tc>
          <w:tcPr>
            <w:tcW w:w="765" w:type="dxa"/>
          </w:tcPr>
          <w:p w14:paraId="145940C8" w14:textId="77777777" w:rsidR="00F73D5B" w:rsidRPr="008B7A21" w:rsidRDefault="00F73D5B" w:rsidP="00767A6A">
            <w:pPr>
              <w:pStyle w:val="Tabletext"/>
              <w:jc w:val="center"/>
              <w:rPr>
                <w:sz w:val="18"/>
                <w:szCs w:val="18"/>
                <w:lang w:val="es-ES_tradnl"/>
              </w:rPr>
            </w:pPr>
            <w:r w:rsidRPr="008B7A21">
              <w:rPr>
                <w:sz w:val="18"/>
                <w:szCs w:val="18"/>
                <w:lang w:val="es-ES_tradnl"/>
              </w:rPr>
              <w:t>90</w:t>
            </w:r>
          </w:p>
        </w:tc>
        <w:tc>
          <w:tcPr>
            <w:tcW w:w="879" w:type="dxa"/>
          </w:tcPr>
          <w:p w14:paraId="3F16ECF5" w14:textId="77777777" w:rsidR="00F73D5B" w:rsidRPr="008B7A21" w:rsidRDefault="00F73D5B" w:rsidP="00767A6A">
            <w:pPr>
              <w:pStyle w:val="Tabletext"/>
              <w:jc w:val="center"/>
              <w:rPr>
                <w:sz w:val="18"/>
                <w:szCs w:val="18"/>
                <w:lang w:val="es-ES_tradnl"/>
              </w:rPr>
            </w:pPr>
            <w:r w:rsidRPr="008B7A21">
              <w:rPr>
                <w:sz w:val="18"/>
                <w:szCs w:val="18"/>
                <w:lang w:val="es-ES_tradnl"/>
              </w:rPr>
              <w:t>97</w:t>
            </w:r>
          </w:p>
        </w:tc>
      </w:tr>
      <w:tr w:rsidR="00F73D5B" w:rsidRPr="008B7A21" w14:paraId="5D81B030" w14:textId="77777777" w:rsidTr="00767A6A">
        <w:trPr>
          <w:jc w:val="center"/>
        </w:trPr>
        <w:tc>
          <w:tcPr>
            <w:tcW w:w="1247" w:type="dxa"/>
          </w:tcPr>
          <w:p w14:paraId="5F8D9A5D" w14:textId="77777777" w:rsidR="00F73D5B" w:rsidRPr="008B7A21" w:rsidRDefault="00F73D5B" w:rsidP="00767A6A">
            <w:pPr>
              <w:pStyle w:val="Tabletext"/>
              <w:jc w:val="center"/>
              <w:rPr>
                <w:sz w:val="18"/>
                <w:szCs w:val="18"/>
                <w:lang w:val="es-ES_tradnl"/>
              </w:rPr>
            </w:pPr>
            <w:r w:rsidRPr="008B7A21">
              <w:rPr>
                <w:sz w:val="18"/>
                <w:szCs w:val="18"/>
                <w:lang w:val="es-ES_tradnl"/>
              </w:rPr>
              <w:t>50,0</w:t>
            </w:r>
          </w:p>
        </w:tc>
        <w:tc>
          <w:tcPr>
            <w:tcW w:w="709" w:type="dxa"/>
          </w:tcPr>
          <w:p w14:paraId="5667DA7E" w14:textId="77777777" w:rsidR="00F73D5B" w:rsidRPr="008B7A21" w:rsidRDefault="00F73D5B" w:rsidP="00767A6A">
            <w:pPr>
              <w:pStyle w:val="Tabletext"/>
              <w:jc w:val="center"/>
              <w:rPr>
                <w:sz w:val="18"/>
                <w:szCs w:val="18"/>
                <w:lang w:val="es-ES_tradnl"/>
              </w:rPr>
            </w:pPr>
            <w:r w:rsidRPr="008B7A21">
              <w:rPr>
                <w:sz w:val="18"/>
                <w:szCs w:val="18"/>
                <w:lang w:val="es-ES_tradnl"/>
              </w:rPr>
              <w:t>43/36</w:t>
            </w:r>
          </w:p>
        </w:tc>
        <w:tc>
          <w:tcPr>
            <w:tcW w:w="765" w:type="dxa"/>
          </w:tcPr>
          <w:p w14:paraId="69360583" w14:textId="77777777" w:rsidR="00F73D5B" w:rsidRPr="008B7A21" w:rsidRDefault="00F73D5B" w:rsidP="00767A6A">
            <w:pPr>
              <w:pStyle w:val="Tabletext"/>
              <w:jc w:val="center"/>
              <w:rPr>
                <w:sz w:val="18"/>
                <w:szCs w:val="18"/>
                <w:lang w:val="es-ES_tradnl"/>
              </w:rPr>
            </w:pPr>
            <w:r w:rsidRPr="008B7A21">
              <w:rPr>
                <w:sz w:val="18"/>
                <w:szCs w:val="18"/>
                <w:lang w:val="es-ES_tradnl"/>
              </w:rPr>
              <w:t>52/42</w:t>
            </w:r>
          </w:p>
        </w:tc>
        <w:tc>
          <w:tcPr>
            <w:tcW w:w="765" w:type="dxa"/>
          </w:tcPr>
          <w:p w14:paraId="587E6873" w14:textId="77777777" w:rsidR="00F73D5B" w:rsidRPr="008B7A21" w:rsidRDefault="00F73D5B" w:rsidP="00767A6A">
            <w:pPr>
              <w:pStyle w:val="Tabletext"/>
              <w:jc w:val="center"/>
              <w:rPr>
                <w:sz w:val="18"/>
                <w:szCs w:val="18"/>
                <w:lang w:val="es-ES_tradnl"/>
              </w:rPr>
            </w:pPr>
            <w:r w:rsidRPr="008B7A21">
              <w:rPr>
                <w:sz w:val="18"/>
                <w:szCs w:val="18"/>
                <w:lang w:val="es-ES_tradnl"/>
              </w:rPr>
              <w:t>60/49</w:t>
            </w:r>
          </w:p>
        </w:tc>
        <w:tc>
          <w:tcPr>
            <w:tcW w:w="765" w:type="dxa"/>
          </w:tcPr>
          <w:p w14:paraId="0479F945" w14:textId="77777777" w:rsidR="00F73D5B" w:rsidRPr="008B7A21" w:rsidRDefault="00F73D5B" w:rsidP="00767A6A">
            <w:pPr>
              <w:pStyle w:val="Tabletext"/>
              <w:jc w:val="center"/>
              <w:rPr>
                <w:sz w:val="18"/>
                <w:szCs w:val="18"/>
                <w:lang w:val="es-ES_tradnl"/>
              </w:rPr>
            </w:pPr>
            <w:r w:rsidRPr="008B7A21">
              <w:rPr>
                <w:sz w:val="18"/>
                <w:szCs w:val="18"/>
                <w:lang w:val="es-ES_tradnl"/>
              </w:rPr>
              <w:t>66/54</w:t>
            </w:r>
          </w:p>
        </w:tc>
        <w:tc>
          <w:tcPr>
            <w:tcW w:w="765" w:type="dxa"/>
          </w:tcPr>
          <w:p w14:paraId="565C7859" w14:textId="77777777" w:rsidR="00F73D5B" w:rsidRPr="008B7A21" w:rsidRDefault="00F73D5B" w:rsidP="00767A6A">
            <w:pPr>
              <w:pStyle w:val="Tabletext"/>
              <w:jc w:val="center"/>
              <w:rPr>
                <w:sz w:val="18"/>
                <w:szCs w:val="18"/>
                <w:lang w:val="es-ES_tradnl"/>
              </w:rPr>
            </w:pPr>
            <w:r w:rsidRPr="008B7A21">
              <w:rPr>
                <w:sz w:val="18"/>
                <w:szCs w:val="18"/>
                <w:lang w:val="es-ES_tradnl"/>
              </w:rPr>
              <w:t>75/63</w:t>
            </w:r>
          </w:p>
        </w:tc>
        <w:tc>
          <w:tcPr>
            <w:tcW w:w="765" w:type="dxa"/>
          </w:tcPr>
          <w:p w14:paraId="3481D596" w14:textId="77777777" w:rsidR="00F73D5B" w:rsidRPr="008B7A21" w:rsidRDefault="00F73D5B" w:rsidP="00767A6A">
            <w:pPr>
              <w:pStyle w:val="Tabletext"/>
              <w:jc w:val="center"/>
              <w:rPr>
                <w:sz w:val="18"/>
                <w:szCs w:val="18"/>
                <w:lang w:val="es-ES_tradnl"/>
              </w:rPr>
            </w:pPr>
            <w:r w:rsidRPr="008B7A21">
              <w:rPr>
                <w:sz w:val="18"/>
                <w:szCs w:val="18"/>
                <w:lang w:val="es-ES_tradnl"/>
              </w:rPr>
              <w:t>82/71</w:t>
            </w:r>
          </w:p>
        </w:tc>
        <w:tc>
          <w:tcPr>
            <w:tcW w:w="765" w:type="dxa"/>
          </w:tcPr>
          <w:p w14:paraId="73EB9A81" w14:textId="77777777" w:rsidR="00F73D5B" w:rsidRPr="008B7A21" w:rsidRDefault="00F73D5B" w:rsidP="00767A6A">
            <w:pPr>
              <w:pStyle w:val="Tabletext"/>
              <w:jc w:val="center"/>
              <w:rPr>
                <w:sz w:val="18"/>
                <w:szCs w:val="18"/>
                <w:lang w:val="es-ES_tradnl"/>
              </w:rPr>
            </w:pPr>
            <w:r w:rsidRPr="008B7A21">
              <w:rPr>
                <w:sz w:val="18"/>
                <w:szCs w:val="18"/>
                <w:lang w:val="es-ES_tradnl"/>
              </w:rPr>
              <w:t>87/78</w:t>
            </w:r>
          </w:p>
        </w:tc>
        <w:tc>
          <w:tcPr>
            <w:tcW w:w="765" w:type="dxa"/>
          </w:tcPr>
          <w:p w14:paraId="30933DDA" w14:textId="77777777" w:rsidR="00F73D5B" w:rsidRPr="008B7A21" w:rsidRDefault="00F73D5B" w:rsidP="00767A6A">
            <w:pPr>
              <w:pStyle w:val="Tabletext"/>
              <w:jc w:val="center"/>
              <w:rPr>
                <w:sz w:val="18"/>
                <w:szCs w:val="18"/>
                <w:lang w:val="es-ES_tradnl"/>
              </w:rPr>
            </w:pPr>
            <w:r w:rsidRPr="008B7A21">
              <w:rPr>
                <w:sz w:val="18"/>
                <w:szCs w:val="18"/>
                <w:lang w:val="es-ES_tradnl"/>
              </w:rPr>
              <w:t>91/84</w:t>
            </w:r>
          </w:p>
        </w:tc>
        <w:tc>
          <w:tcPr>
            <w:tcW w:w="765" w:type="dxa"/>
          </w:tcPr>
          <w:p w14:paraId="1BB898C2" w14:textId="77777777" w:rsidR="00F73D5B" w:rsidRPr="008B7A21" w:rsidRDefault="00F73D5B" w:rsidP="00767A6A">
            <w:pPr>
              <w:pStyle w:val="Tabletext"/>
              <w:jc w:val="center"/>
              <w:rPr>
                <w:sz w:val="18"/>
                <w:szCs w:val="18"/>
                <w:lang w:val="es-ES_tradnl"/>
              </w:rPr>
            </w:pPr>
            <w:r w:rsidRPr="008B7A21">
              <w:rPr>
                <w:sz w:val="18"/>
                <w:szCs w:val="18"/>
                <w:lang w:val="es-ES_tradnl"/>
              </w:rPr>
              <w:t>96/90</w:t>
            </w:r>
          </w:p>
        </w:tc>
        <w:tc>
          <w:tcPr>
            <w:tcW w:w="765" w:type="dxa"/>
          </w:tcPr>
          <w:p w14:paraId="13C905AC" w14:textId="77777777" w:rsidR="00F73D5B" w:rsidRPr="008B7A21" w:rsidRDefault="00F73D5B" w:rsidP="00767A6A">
            <w:pPr>
              <w:pStyle w:val="Tabletext"/>
              <w:jc w:val="center"/>
              <w:rPr>
                <w:sz w:val="18"/>
                <w:szCs w:val="18"/>
                <w:lang w:val="es-ES_tradnl"/>
              </w:rPr>
            </w:pPr>
            <w:r w:rsidRPr="008B7A21">
              <w:rPr>
                <w:sz w:val="18"/>
                <w:szCs w:val="18"/>
                <w:lang w:val="es-ES_tradnl"/>
              </w:rPr>
              <w:t>101/95</w:t>
            </w:r>
          </w:p>
        </w:tc>
        <w:tc>
          <w:tcPr>
            <w:tcW w:w="879" w:type="dxa"/>
          </w:tcPr>
          <w:p w14:paraId="21EB5DFE" w14:textId="77777777" w:rsidR="00F73D5B" w:rsidRPr="008B7A21" w:rsidRDefault="00F73D5B" w:rsidP="00767A6A">
            <w:pPr>
              <w:pStyle w:val="Tabletext"/>
              <w:jc w:val="center"/>
              <w:rPr>
                <w:sz w:val="18"/>
                <w:szCs w:val="18"/>
                <w:lang w:val="es-ES_tradnl"/>
              </w:rPr>
            </w:pPr>
            <w:r w:rsidRPr="008B7A21">
              <w:rPr>
                <w:sz w:val="18"/>
                <w:szCs w:val="18"/>
                <w:lang w:val="es-ES_tradnl"/>
              </w:rPr>
              <w:t>108/105</w:t>
            </w:r>
          </w:p>
        </w:tc>
      </w:tr>
      <w:tr w:rsidR="00F73D5B" w:rsidRPr="008B7A21" w14:paraId="7E86AE7D" w14:textId="77777777" w:rsidTr="00767A6A">
        <w:trPr>
          <w:jc w:val="center"/>
        </w:trPr>
        <w:tc>
          <w:tcPr>
            <w:tcW w:w="1247" w:type="dxa"/>
          </w:tcPr>
          <w:p w14:paraId="53511640" w14:textId="77777777" w:rsidR="00F73D5B" w:rsidRPr="008B7A21" w:rsidRDefault="00F73D5B" w:rsidP="00767A6A">
            <w:pPr>
              <w:pStyle w:val="Tabletext"/>
              <w:jc w:val="center"/>
              <w:rPr>
                <w:sz w:val="18"/>
                <w:szCs w:val="18"/>
                <w:lang w:val="es-ES_tradnl"/>
              </w:rPr>
            </w:pPr>
            <w:r w:rsidRPr="008B7A21">
              <w:rPr>
                <w:sz w:val="18"/>
                <w:szCs w:val="18"/>
                <w:lang w:val="es-ES_tradnl"/>
              </w:rPr>
              <w:t>55,0</w:t>
            </w:r>
          </w:p>
        </w:tc>
        <w:tc>
          <w:tcPr>
            <w:tcW w:w="709" w:type="dxa"/>
          </w:tcPr>
          <w:p w14:paraId="68CF75E8" w14:textId="77777777" w:rsidR="00F73D5B" w:rsidRPr="008B7A21" w:rsidRDefault="00F73D5B" w:rsidP="00767A6A">
            <w:pPr>
              <w:pStyle w:val="Tabletext"/>
              <w:jc w:val="center"/>
              <w:rPr>
                <w:sz w:val="18"/>
                <w:szCs w:val="18"/>
                <w:lang w:val="es-ES_tradnl"/>
              </w:rPr>
            </w:pPr>
            <w:r w:rsidRPr="008B7A21">
              <w:rPr>
                <w:sz w:val="18"/>
                <w:szCs w:val="18"/>
                <w:lang w:val="es-ES_tradnl"/>
              </w:rPr>
              <w:t>54/36</w:t>
            </w:r>
          </w:p>
        </w:tc>
        <w:tc>
          <w:tcPr>
            <w:tcW w:w="765" w:type="dxa"/>
          </w:tcPr>
          <w:p w14:paraId="79EB2B41" w14:textId="77777777" w:rsidR="00F73D5B" w:rsidRPr="008B7A21" w:rsidRDefault="00F73D5B" w:rsidP="00767A6A">
            <w:pPr>
              <w:pStyle w:val="Tabletext"/>
              <w:jc w:val="center"/>
              <w:rPr>
                <w:sz w:val="18"/>
                <w:szCs w:val="18"/>
                <w:lang w:val="es-ES_tradnl"/>
              </w:rPr>
            </w:pPr>
            <w:r w:rsidRPr="008B7A21">
              <w:rPr>
                <w:sz w:val="18"/>
                <w:szCs w:val="18"/>
                <w:lang w:val="es-ES_tradnl"/>
              </w:rPr>
              <w:t>65/42</w:t>
            </w:r>
          </w:p>
        </w:tc>
        <w:tc>
          <w:tcPr>
            <w:tcW w:w="765" w:type="dxa"/>
          </w:tcPr>
          <w:p w14:paraId="4DE764FB" w14:textId="77777777" w:rsidR="00F73D5B" w:rsidRPr="008B7A21" w:rsidRDefault="00F73D5B" w:rsidP="00767A6A">
            <w:pPr>
              <w:pStyle w:val="Tabletext"/>
              <w:jc w:val="center"/>
              <w:rPr>
                <w:sz w:val="18"/>
                <w:szCs w:val="18"/>
                <w:lang w:val="es-ES_tradnl"/>
              </w:rPr>
            </w:pPr>
            <w:r w:rsidRPr="008B7A21">
              <w:rPr>
                <w:sz w:val="18"/>
                <w:szCs w:val="18"/>
                <w:lang w:val="es-ES_tradnl"/>
              </w:rPr>
              <w:t>73/49</w:t>
            </w:r>
          </w:p>
        </w:tc>
        <w:tc>
          <w:tcPr>
            <w:tcW w:w="765" w:type="dxa"/>
          </w:tcPr>
          <w:p w14:paraId="4119E180" w14:textId="77777777" w:rsidR="00F73D5B" w:rsidRPr="008B7A21" w:rsidRDefault="00F73D5B" w:rsidP="00767A6A">
            <w:pPr>
              <w:pStyle w:val="Tabletext"/>
              <w:jc w:val="center"/>
              <w:rPr>
                <w:sz w:val="18"/>
                <w:szCs w:val="18"/>
                <w:lang w:val="es-ES_tradnl"/>
              </w:rPr>
            </w:pPr>
            <w:r w:rsidRPr="008B7A21">
              <w:rPr>
                <w:sz w:val="18"/>
                <w:szCs w:val="18"/>
                <w:lang w:val="es-ES_tradnl"/>
              </w:rPr>
              <w:t>80/54</w:t>
            </w:r>
          </w:p>
        </w:tc>
        <w:tc>
          <w:tcPr>
            <w:tcW w:w="765" w:type="dxa"/>
          </w:tcPr>
          <w:p w14:paraId="18ECD00E" w14:textId="77777777" w:rsidR="00F73D5B" w:rsidRPr="008B7A21" w:rsidRDefault="00F73D5B" w:rsidP="00767A6A">
            <w:pPr>
              <w:pStyle w:val="Tabletext"/>
              <w:jc w:val="center"/>
              <w:rPr>
                <w:sz w:val="18"/>
                <w:szCs w:val="18"/>
                <w:lang w:val="es-ES_tradnl"/>
              </w:rPr>
            </w:pPr>
            <w:r w:rsidRPr="008B7A21">
              <w:rPr>
                <w:sz w:val="18"/>
                <w:szCs w:val="18"/>
                <w:lang w:val="es-ES_tradnl"/>
              </w:rPr>
              <w:t>88/63</w:t>
            </w:r>
          </w:p>
        </w:tc>
        <w:tc>
          <w:tcPr>
            <w:tcW w:w="765" w:type="dxa"/>
          </w:tcPr>
          <w:p w14:paraId="4FF679C8" w14:textId="77777777" w:rsidR="00F73D5B" w:rsidRPr="008B7A21" w:rsidRDefault="00F73D5B" w:rsidP="00767A6A">
            <w:pPr>
              <w:pStyle w:val="Tabletext"/>
              <w:jc w:val="center"/>
              <w:rPr>
                <w:sz w:val="18"/>
                <w:szCs w:val="18"/>
                <w:lang w:val="es-ES_tradnl"/>
              </w:rPr>
            </w:pPr>
            <w:r w:rsidRPr="008B7A21">
              <w:rPr>
                <w:sz w:val="18"/>
                <w:szCs w:val="18"/>
                <w:lang w:val="es-ES_tradnl"/>
              </w:rPr>
              <w:t>96/71</w:t>
            </w:r>
          </w:p>
        </w:tc>
        <w:tc>
          <w:tcPr>
            <w:tcW w:w="765" w:type="dxa"/>
          </w:tcPr>
          <w:p w14:paraId="3DAADF8C" w14:textId="77777777" w:rsidR="00F73D5B" w:rsidRPr="008B7A21" w:rsidRDefault="00F73D5B" w:rsidP="00767A6A">
            <w:pPr>
              <w:pStyle w:val="Tabletext"/>
              <w:jc w:val="center"/>
              <w:rPr>
                <w:sz w:val="18"/>
                <w:szCs w:val="18"/>
                <w:lang w:val="es-ES_tradnl"/>
              </w:rPr>
            </w:pPr>
            <w:r w:rsidRPr="008B7A21">
              <w:rPr>
                <w:sz w:val="18"/>
                <w:szCs w:val="18"/>
                <w:lang w:val="es-ES_tradnl"/>
              </w:rPr>
              <w:t>101/78</w:t>
            </w:r>
          </w:p>
        </w:tc>
        <w:tc>
          <w:tcPr>
            <w:tcW w:w="765" w:type="dxa"/>
          </w:tcPr>
          <w:p w14:paraId="5F4EDB4B" w14:textId="77777777" w:rsidR="00F73D5B" w:rsidRPr="008B7A21" w:rsidRDefault="00F73D5B" w:rsidP="00767A6A">
            <w:pPr>
              <w:pStyle w:val="Tabletext"/>
              <w:jc w:val="center"/>
              <w:rPr>
                <w:sz w:val="18"/>
                <w:szCs w:val="18"/>
                <w:lang w:val="es-ES_tradnl"/>
              </w:rPr>
            </w:pPr>
            <w:r w:rsidRPr="008B7A21">
              <w:rPr>
                <w:sz w:val="18"/>
                <w:szCs w:val="18"/>
                <w:lang w:val="es-ES_tradnl"/>
              </w:rPr>
              <w:t>106/84</w:t>
            </w:r>
          </w:p>
        </w:tc>
        <w:tc>
          <w:tcPr>
            <w:tcW w:w="765" w:type="dxa"/>
          </w:tcPr>
          <w:p w14:paraId="6F3FB97D" w14:textId="77777777" w:rsidR="00F73D5B" w:rsidRPr="008B7A21" w:rsidRDefault="00F73D5B" w:rsidP="00767A6A">
            <w:pPr>
              <w:pStyle w:val="Tabletext"/>
              <w:jc w:val="center"/>
              <w:rPr>
                <w:sz w:val="18"/>
                <w:szCs w:val="18"/>
                <w:lang w:val="es-ES_tradnl"/>
              </w:rPr>
            </w:pPr>
            <w:r w:rsidRPr="008B7A21">
              <w:rPr>
                <w:sz w:val="18"/>
                <w:szCs w:val="18"/>
                <w:lang w:val="es-ES_tradnl"/>
              </w:rPr>
              <w:t>111/90</w:t>
            </w:r>
          </w:p>
        </w:tc>
        <w:tc>
          <w:tcPr>
            <w:tcW w:w="765" w:type="dxa"/>
          </w:tcPr>
          <w:p w14:paraId="7ABBEA2A" w14:textId="77777777" w:rsidR="00F73D5B" w:rsidRPr="008B7A21" w:rsidRDefault="00F73D5B" w:rsidP="00767A6A">
            <w:pPr>
              <w:pStyle w:val="Tabletext"/>
              <w:jc w:val="center"/>
              <w:rPr>
                <w:sz w:val="18"/>
                <w:szCs w:val="18"/>
                <w:lang w:val="es-ES_tradnl"/>
              </w:rPr>
            </w:pPr>
            <w:r w:rsidRPr="008B7A21">
              <w:rPr>
                <w:sz w:val="18"/>
                <w:szCs w:val="18"/>
                <w:lang w:val="es-ES_tradnl"/>
              </w:rPr>
              <w:t>116/95</w:t>
            </w:r>
          </w:p>
        </w:tc>
        <w:tc>
          <w:tcPr>
            <w:tcW w:w="879" w:type="dxa"/>
          </w:tcPr>
          <w:p w14:paraId="161353E8" w14:textId="77777777" w:rsidR="00F73D5B" w:rsidRPr="008B7A21" w:rsidRDefault="00F73D5B" w:rsidP="00767A6A">
            <w:pPr>
              <w:pStyle w:val="Tabletext"/>
              <w:jc w:val="center"/>
              <w:rPr>
                <w:sz w:val="18"/>
                <w:szCs w:val="18"/>
                <w:lang w:val="es-ES_tradnl"/>
              </w:rPr>
            </w:pPr>
            <w:r w:rsidRPr="008B7A21">
              <w:rPr>
                <w:sz w:val="18"/>
                <w:szCs w:val="18"/>
                <w:lang w:val="es-ES_tradnl"/>
              </w:rPr>
              <w:t>123/105</w:t>
            </w:r>
          </w:p>
        </w:tc>
      </w:tr>
      <w:tr w:rsidR="00F73D5B" w:rsidRPr="008B7A21" w14:paraId="75B6E219" w14:textId="77777777" w:rsidTr="00767A6A">
        <w:trPr>
          <w:jc w:val="center"/>
        </w:trPr>
        <w:tc>
          <w:tcPr>
            <w:tcW w:w="1247" w:type="dxa"/>
          </w:tcPr>
          <w:p w14:paraId="0FE0EEFE" w14:textId="77777777" w:rsidR="00F73D5B" w:rsidRPr="008B7A21" w:rsidRDefault="00F73D5B" w:rsidP="00767A6A">
            <w:pPr>
              <w:pStyle w:val="Tabletext"/>
              <w:jc w:val="center"/>
              <w:rPr>
                <w:sz w:val="18"/>
                <w:szCs w:val="18"/>
                <w:lang w:val="es-ES_tradnl"/>
              </w:rPr>
            </w:pPr>
            <w:r w:rsidRPr="008B7A21">
              <w:rPr>
                <w:sz w:val="18"/>
                <w:szCs w:val="18"/>
                <w:lang w:val="es-ES_tradnl"/>
              </w:rPr>
              <w:t>60,0</w:t>
            </w:r>
          </w:p>
        </w:tc>
        <w:tc>
          <w:tcPr>
            <w:tcW w:w="709" w:type="dxa"/>
          </w:tcPr>
          <w:p w14:paraId="433D4A3C" w14:textId="77777777" w:rsidR="00F73D5B" w:rsidRPr="008B7A21" w:rsidRDefault="00F73D5B" w:rsidP="00767A6A">
            <w:pPr>
              <w:pStyle w:val="Tabletext"/>
              <w:jc w:val="center"/>
              <w:rPr>
                <w:sz w:val="18"/>
                <w:szCs w:val="18"/>
                <w:lang w:val="es-ES_tradnl"/>
              </w:rPr>
            </w:pPr>
            <w:r w:rsidRPr="008B7A21">
              <w:rPr>
                <w:sz w:val="18"/>
                <w:szCs w:val="18"/>
                <w:lang w:val="es-ES_tradnl"/>
              </w:rPr>
              <w:t>69/36</w:t>
            </w:r>
          </w:p>
        </w:tc>
        <w:tc>
          <w:tcPr>
            <w:tcW w:w="765" w:type="dxa"/>
          </w:tcPr>
          <w:p w14:paraId="2155AFF9" w14:textId="77777777" w:rsidR="00F73D5B" w:rsidRPr="008B7A21" w:rsidRDefault="00F73D5B" w:rsidP="00767A6A">
            <w:pPr>
              <w:pStyle w:val="Tabletext"/>
              <w:jc w:val="center"/>
              <w:rPr>
                <w:sz w:val="18"/>
                <w:szCs w:val="18"/>
                <w:lang w:val="es-ES_tradnl"/>
              </w:rPr>
            </w:pPr>
            <w:r w:rsidRPr="008B7A21">
              <w:rPr>
                <w:sz w:val="18"/>
                <w:szCs w:val="18"/>
                <w:lang w:val="es-ES_tradnl"/>
              </w:rPr>
              <w:t>80/42</w:t>
            </w:r>
          </w:p>
        </w:tc>
        <w:tc>
          <w:tcPr>
            <w:tcW w:w="765" w:type="dxa"/>
          </w:tcPr>
          <w:p w14:paraId="6F4CA491" w14:textId="77777777" w:rsidR="00F73D5B" w:rsidRPr="008B7A21" w:rsidRDefault="00F73D5B" w:rsidP="00767A6A">
            <w:pPr>
              <w:pStyle w:val="Tabletext"/>
              <w:jc w:val="center"/>
              <w:rPr>
                <w:sz w:val="18"/>
                <w:szCs w:val="18"/>
                <w:lang w:val="es-ES_tradnl"/>
              </w:rPr>
            </w:pPr>
            <w:r w:rsidRPr="008B7A21">
              <w:rPr>
                <w:sz w:val="18"/>
                <w:szCs w:val="18"/>
                <w:lang w:val="es-ES_tradnl"/>
              </w:rPr>
              <w:t>89/49</w:t>
            </w:r>
          </w:p>
        </w:tc>
        <w:tc>
          <w:tcPr>
            <w:tcW w:w="765" w:type="dxa"/>
          </w:tcPr>
          <w:p w14:paraId="6A5248F5" w14:textId="77777777" w:rsidR="00F73D5B" w:rsidRPr="008B7A21" w:rsidRDefault="00F73D5B" w:rsidP="00767A6A">
            <w:pPr>
              <w:pStyle w:val="Tabletext"/>
              <w:jc w:val="center"/>
              <w:rPr>
                <w:sz w:val="18"/>
                <w:szCs w:val="18"/>
                <w:lang w:val="es-ES_tradnl"/>
              </w:rPr>
            </w:pPr>
            <w:r w:rsidRPr="008B7A21">
              <w:rPr>
                <w:sz w:val="18"/>
                <w:szCs w:val="18"/>
                <w:lang w:val="es-ES_tradnl"/>
              </w:rPr>
              <w:t>95/54</w:t>
            </w:r>
          </w:p>
        </w:tc>
        <w:tc>
          <w:tcPr>
            <w:tcW w:w="765" w:type="dxa"/>
          </w:tcPr>
          <w:p w14:paraId="71C5C9A0" w14:textId="77777777" w:rsidR="00F73D5B" w:rsidRPr="008B7A21" w:rsidRDefault="00F73D5B" w:rsidP="00767A6A">
            <w:pPr>
              <w:pStyle w:val="Tabletext"/>
              <w:jc w:val="center"/>
              <w:rPr>
                <w:sz w:val="18"/>
                <w:szCs w:val="18"/>
                <w:lang w:val="es-ES_tradnl"/>
              </w:rPr>
            </w:pPr>
            <w:r w:rsidRPr="008B7A21">
              <w:rPr>
                <w:sz w:val="18"/>
                <w:szCs w:val="18"/>
                <w:lang w:val="es-ES_tradnl"/>
              </w:rPr>
              <w:t>104/63</w:t>
            </w:r>
          </w:p>
        </w:tc>
        <w:tc>
          <w:tcPr>
            <w:tcW w:w="765" w:type="dxa"/>
          </w:tcPr>
          <w:p w14:paraId="4BD4EB2C" w14:textId="77777777" w:rsidR="00F73D5B" w:rsidRPr="008B7A21" w:rsidRDefault="00F73D5B" w:rsidP="00767A6A">
            <w:pPr>
              <w:pStyle w:val="Tabletext"/>
              <w:jc w:val="center"/>
              <w:rPr>
                <w:sz w:val="18"/>
                <w:szCs w:val="18"/>
                <w:lang w:val="es-ES_tradnl"/>
              </w:rPr>
            </w:pPr>
            <w:r w:rsidRPr="008B7A21">
              <w:rPr>
                <w:sz w:val="18"/>
                <w:szCs w:val="18"/>
                <w:lang w:val="es-ES_tradnl"/>
              </w:rPr>
              <w:t>112/71</w:t>
            </w:r>
          </w:p>
        </w:tc>
        <w:tc>
          <w:tcPr>
            <w:tcW w:w="765" w:type="dxa"/>
          </w:tcPr>
          <w:p w14:paraId="424ECE20" w14:textId="77777777" w:rsidR="00F73D5B" w:rsidRPr="008B7A21" w:rsidRDefault="00F73D5B" w:rsidP="00767A6A">
            <w:pPr>
              <w:pStyle w:val="Tabletext"/>
              <w:jc w:val="center"/>
              <w:rPr>
                <w:sz w:val="18"/>
                <w:szCs w:val="18"/>
                <w:lang w:val="es-ES_tradnl"/>
              </w:rPr>
            </w:pPr>
            <w:r w:rsidRPr="008B7A21">
              <w:rPr>
                <w:sz w:val="18"/>
                <w:szCs w:val="18"/>
                <w:lang w:val="es-ES_tradnl"/>
              </w:rPr>
              <w:t>118/78</w:t>
            </w:r>
          </w:p>
        </w:tc>
        <w:tc>
          <w:tcPr>
            <w:tcW w:w="765" w:type="dxa"/>
          </w:tcPr>
          <w:p w14:paraId="644684FA" w14:textId="77777777" w:rsidR="00F73D5B" w:rsidRPr="008B7A21" w:rsidRDefault="00F73D5B" w:rsidP="00767A6A">
            <w:pPr>
              <w:pStyle w:val="Tabletext"/>
              <w:jc w:val="center"/>
              <w:rPr>
                <w:sz w:val="18"/>
                <w:szCs w:val="18"/>
                <w:lang w:val="es-ES_tradnl"/>
              </w:rPr>
            </w:pPr>
            <w:r w:rsidRPr="008B7A21">
              <w:rPr>
                <w:sz w:val="18"/>
                <w:szCs w:val="18"/>
                <w:lang w:val="es-ES_tradnl"/>
              </w:rPr>
              <w:t>123/84</w:t>
            </w:r>
          </w:p>
        </w:tc>
        <w:tc>
          <w:tcPr>
            <w:tcW w:w="765" w:type="dxa"/>
          </w:tcPr>
          <w:p w14:paraId="0068657B" w14:textId="77777777" w:rsidR="00F73D5B" w:rsidRPr="008B7A21" w:rsidRDefault="00F73D5B" w:rsidP="00767A6A">
            <w:pPr>
              <w:pStyle w:val="Tabletext"/>
              <w:jc w:val="center"/>
              <w:rPr>
                <w:sz w:val="18"/>
                <w:szCs w:val="18"/>
                <w:lang w:val="es-ES_tradnl"/>
              </w:rPr>
            </w:pPr>
            <w:r w:rsidRPr="008B7A21">
              <w:rPr>
                <w:sz w:val="18"/>
                <w:szCs w:val="18"/>
                <w:lang w:val="es-ES_tradnl"/>
              </w:rPr>
              <w:t>129/90</w:t>
            </w:r>
          </w:p>
        </w:tc>
        <w:tc>
          <w:tcPr>
            <w:tcW w:w="765" w:type="dxa"/>
          </w:tcPr>
          <w:p w14:paraId="4009E06C" w14:textId="77777777" w:rsidR="00F73D5B" w:rsidRPr="008B7A21" w:rsidRDefault="00F73D5B" w:rsidP="00767A6A">
            <w:pPr>
              <w:pStyle w:val="Tabletext"/>
              <w:jc w:val="center"/>
              <w:rPr>
                <w:sz w:val="18"/>
                <w:szCs w:val="18"/>
                <w:lang w:val="es-ES_tradnl"/>
              </w:rPr>
            </w:pPr>
            <w:r w:rsidRPr="008B7A21">
              <w:rPr>
                <w:sz w:val="18"/>
                <w:szCs w:val="18"/>
                <w:lang w:val="es-ES_tradnl"/>
              </w:rPr>
              <w:t>133/95</w:t>
            </w:r>
          </w:p>
        </w:tc>
        <w:tc>
          <w:tcPr>
            <w:tcW w:w="879" w:type="dxa"/>
          </w:tcPr>
          <w:p w14:paraId="55F366AD" w14:textId="77777777" w:rsidR="00F73D5B" w:rsidRPr="008B7A21" w:rsidRDefault="00F73D5B" w:rsidP="00767A6A">
            <w:pPr>
              <w:pStyle w:val="Tabletext"/>
              <w:jc w:val="center"/>
              <w:rPr>
                <w:sz w:val="18"/>
                <w:szCs w:val="18"/>
                <w:lang w:val="es-ES_tradnl"/>
              </w:rPr>
            </w:pPr>
            <w:r w:rsidRPr="008B7A21">
              <w:rPr>
                <w:sz w:val="18"/>
                <w:szCs w:val="18"/>
                <w:lang w:val="es-ES_tradnl"/>
              </w:rPr>
              <w:t>141/105</w:t>
            </w:r>
          </w:p>
        </w:tc>
      </w:tr>
    </w:tbl>
    <w:p w14:paraId="040CBE77" w14:textId="77777777" w:rsidR="00F73D5B" w:rsidRPr="008B7A21" w:rsidRDefault="00F73D5B" w:rsidP="00F73D5B">
      <w:pPr>
        <w:pStyle w:val="Tablefin"/>
        <w:rPr>
          <w:lang w:val="es-ES_tradnl"/>
        </w:rPr>
      </w:pPr>
    </w:p>
    <w:p w14:paraId="77F38590" w14:textId="5FC485BF" w:rsidR="00F73D5B" w:rsidRPr="008B7A21" w:rsidRDefault="00F73D5B" w:rsidP="00F73D5B">
      <w:pPr>
        <w:pStyle w:val="TableNo"/>
        <w:rPr>
          <w:sz w:val="22"/>
          <w:szCs w:val="22"/>
          <w:lang w:val="es-ES_tradnl"/>
        </w:rPr>
      </w:pPr>
      <w:r w:rsidRPr="008B7A21">
        <w:rPr>
          <w:sz w:val="22"/>
          <w:szCs w:val="22"/>
          <w:lang w:val="es-ES_tradnl"/>
        </w:rPr>
        <w:t>CUADRO 7</w:t>
      </w:r>
    </w:p>
    <w:p w14:paraId="5457D734" w14:textId="77777777" w:rsidR="00F73D5B" w:rsidRPr="008B7A21" w:rsidRDefault="00F73D5B" w:rsidP="00F73D5B">
      <w:pPr>
        <w:pStyle w:val="Tabletitle"/>
        <w:rPr>
          <w:rFonts w:asciiTheme="majorBidi" w:hAnsiTheme="majorBidi" w:cstheme="majorBidi"/>
          <w:sz w:val="22"/>
          <w:szCs w:val="22"/>
          <w:lang w:val="es-ES_tradnl"/>
        </w:rPr>
      </w:pPr>
      <w:r w:rsidRPr="008B7A21">
        <w:rPr>
          <w:rFonts w:asciiTheme="majorBidi" w:hAnsiTheme="majorBidi" w:cstheme="majorBidi"/>
          <w:sz w:val="22"/>
          <w:szCs w:val="22"/>
          <w:lang w:val="es-ES_tradnl"/>
        </w:rPr>
        <w:t>Radio de la zona de servicio (km) para el servicio</w:t>
      </w:r>
      <w:r w:rsidRPr="008B7A21">
        <w:rPr>
          <w:rFonts w:asciiTheme="majorBidi" w:hAnsiTheme="majorBidi" w:cstheme="majorBidi"/>
          <w:sz w:val="22"/>
          <w:szCs w:val="22"/>
          <w:lang w:val="es-ES_tradnl"/>
        </w:rPr>
        <w:br/>
        <w:t>de televisión en la banda 108-230 MHz,</w:t>
      </w:r>
      <w:r w:rsidRPr="008B7A21">
        <w:rPr>
          <w:rFonts w:asciiTheme="majorBidi" w:hAnsiTheme="majorBidi" w:cstheme="majorBidi"/>
          <w:sz w:val="22"/>
          <w:szCs w:val="22"/>
          <w:lang w:val="es-ES_tradnl"/>
        </w:rPr>
        <w:br/>
      </w:r>
      <w:r w:rsidRPr="008B7A21">
        <w:rPr>
          <w:rFonts w:asciiTheme="majorBidi" w:hAnsiTheme="majorBidi" w:cstheme="majorBidi"/>
          <w:i/>
          <w:iCs/>
          <w:sz w:val="22"/>
          <w:szCs w:val="22"/>
          <w:lang w:val="es-ES_tradnl"/>
        </w:rPr>
        <w:t>E</w:t>
      </w:r>
      <w:r w:rsidRPr="008B7A21">
        <w:rPr>
          <w:rFonts w:asciiTheme="majorBidi" w:hAnsiTheme="majorBidi" w:cstheme="majorBidi"/>
          <w:i/>
          <w:iCs/>
          <w:sz w:val="22"/>
          <w:szCs w:val="22"/>
          <w:vertAlign w:val="subscript"/>
          <w:lang w:val="es-ES_tradnl"/>
        </w:rPr>
        <w:t>mu</w:t>
      </w:r>
      <w:r w:rsidRPr="008B7A21">
        <w:rPr>
          <w:rFonts w:asciiTheme="majorBidi" w:hAnsiTheme="majorBidi" w:cstheme="majorBidi"/>
          <w:sz w:val="22"/>
          <w:szCs w:val="22"/>
          <w:lang w:val="es-ES_tradnl"/>
        </w:rPr>
        <w:t xml:space="preserve"> = 55 dB(</w:t>
      </w:r>
      <w:r w:rsidRPr="008B7A21">
        <w:rPr>
          <w:rFonts w:asciiTheme="majorBidi" w:hAnsiTheme="majorBidi" w:cstheme="majorBidi"/>
          <w:sz w:val="22"/>
          <w:szCs w:val="22"/>
          <w:lang w:val="es-ES_tradnl"/>
        </w:rPr>
        <w:sym w:font="Symbol" w:char="F06D"/>
      </w:r>
      <w:r w:rsidRPr="008B7A21">
        <w:rPr>
          <w:rFonts w:asciiTheme="majorBidi" w:hAnsiTheme="majorBidi" w:cstheme="majorBidi"/>
          <w:sz w:val="22"/>
          <w:szCs w:val="22"/>
          <w:lang w:val="es-ES_tradnl"/>
        </w:rPr>
        <w:t xml:space="preserve">V/m), </w:t>
      </w:r>
      <w:r w:rsidRPr="008B7A21">
        <w:rPr>
          <w:rFonts w:asciiTheme="majorBidi" w:hAnsiTheme="majorBidi" w:cstheme="majorBidi"/>
          <w:i/>
          <w:iCs/>
          <w:sz w:val="22"/>
          <w:szCs w:val="22"/>
          <w:lang w:val="es-ES_tradnl"/>
        </w:rPr>
        <w:t>f</w:t>
      </w:r>
      <w:r w:rsidRPr="008B7A21">
        <w:rPr>
          <w:rFonts w:asciiTheme="majorBidi" w:hAnsiTheme="majorBidi" w:cstheme="majorBidi"/>
          <w:i/>
          <w:iCs/>
          <w:sz w:val="22"/>
          <w:szCs w:val="22"/>
          <w:vertAlign w:val="subscript"/>
          <w:lang w:val="es-ES_tradnl"/>
        </w:rPr>
        <w:t>c</w:t>
      </w:r>
      <w:r w:rsidRPr="008B7A21">
        <w:rPr>
          <w:rFonts w:asciiTheme="majorBidi" w:hAnsiTheme="majorBidi" w:cstheme="majorBidi"/>
          <w:sz w:val="22"/>
          <w:szCs w:val="22"/>
          <w:lang w:val="es-ES_tradnl"/>
        </w:rPr>
        <w:t xml:space="preserve"> = 150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709"/>
        <w:gridCol w:w="765"/>
        <w:gridCol w:w="765"/>
        <w:gridCol w:w="765"/>
        <w:gridCol w:w="765"/>
        <w:gridCol w:w="765"/>
        <w:gridCol w:w="765"/>
        <w:gridCol w:w="765"/>
        <w:gridCol w:w="765"/>
        <w:gridCol w:w="765"/>
        <w:gridCol w:w="879"/>
      </w:tblGrid>
      <w:tr w:rsidR="00F73D5B" w:rsidRPr="008B7A21" w14:paraId="5BF475D5" w14:textId="77777777" w:rsidTr="00767A6A">
        <w:trPr>
          <w:jc w:val="center"/>
        </w:trPr>
        <w:tc>
          <w:tcPr>
            <w:tcW w:w="1247" w:type="dxa"/>
            <w:tcBorders>
              <w:tl2br w:val="single" w:sz="4" w:space="0" w:color="auto"/>
            </w:tcBorders>
            <w:vAlign w:val="center"/>
          </w:tcPr>
          <w:p w14:paraId="48E7C353" w14:textId="77777777" w:rsidR="00F73D5B" w:rsidRPr="008B7A21" w:rsidRDefault="00F73D5B" w:rsidP="00767A6A">
            <w:pPr>
              <w:pStyle w:val="Tablehead"/>
              <w:spacing w:before="120"/>
              <w:jc w:val="right"/>
              <w:rPr>
                <w:sz w:val="18"/>
                <w:szCs w:val="18"/>
                <w:lang w:val="es-ES_tradnl"/>
              </w:rPr>
            </w:pPr>
            <w:r w:rsidRPr="008B7A21">
              <w:rPr>
                <w:i/>
                <w:iCs/>
                <w:sz w:val="18"/>
                <w:szCs w:val="18"/>
                <w:lang w:val="es-ES_tradnl"/>
              </w:rPr>
              <w:br/>
              <w:t>h</w:t>
            </w:r>
            <w:r w:rsidRPr="008B7A21">
              <w:rPr>
                <w:i/>
                <w:iCs/>
                <w:sz w:val="18"/>
                <w:szCs w:val="18"/>
                <w:vertAlign w:val="subscript"/>
                <w:lang w:val="es-ES_tradnl"/>
              </w:rPr>
              <w:t>ef</w:t>
            </w:r>
            <w:r w:rsidRPr="008B7A21">
              <w:rPr>
                <w:sz w:val="18"/>
                <w:szCs w:val="18"/>
                <w:lang w:val="es-ES_tradnl"/>
              </w:rPr>
              <w:t xml:space="preserve"> (m)</w:t>
            </w:r>
          </w:p>
          <w:p w14:paraId="7E3D3465" w14:textId="77777777" w:rsidR="00F73D5B" w:rsidRPr="008B7A21" w:rsidRDefault="00F73D5B" w:rsidP="00767A6A">
            <w:pPr>
              <w:pStyle w:val="Tablehead"/>
              <w:spacing w:before="120" w:after="40"/>
              <w:ind w:left="-28"/>
              <w:jc w:val="left"/>
              <w:rPr>
                <w:sz w:val="18"/>
                <w:szCs w:val="18"/>
                <w:lang w:val="es-ES_tradnl"/>
              </w:rPr>
            </w:pPr>
            <w:r w:rsidRPr="008B7A21">
              <w:rPr>
                <w:i/>
                <w:iCs/>
                <w:sz w:val="18"/>
                <w:szCs w:val="18"/>
                <w:lang w:val="es-ES_tradnl"/>
              </w:rPr>
              <w:t>P</w:t>
            </w:r>
            <w:r w:rsidRPr="008B7A21">
              <w:rPr>
                <w:i/>
                <w:iCs/>
                <w:sz w:val="18"/>
                <w:szCs w:val="18"/>
                <w:vertAlign w:val="subscript"/>
                <w:lang w:val="es-ES_tradnl"/>
              </w:rPr>
              <w:t>ef</w:t>
            </w:r>
            <w:r w:rsidRPr="008B7A21">
              <w:rPr>
                <w:rFonts w:ascii="Tms Rmn" w:hAnsi="Tms Rmn"/>
                <w:sz w:val="18"/>
                <w:szCs w:val="18"/>
                <w:vertAlign w:val="subscript"/>
                <w:lang w:val="es-ES_tradnl"/>
              </w:rPr>
              <w:t xml:space="preserve">  </w:t>
            </w:r>
            <w:r w:rsidRPr="008B7A21">
              <w:rPr>
                <w:sz w:val="18"/>
                <w:szCs w:val="18"/>
                <w:lang w:val="es-ES_tradnl"/>
              </w:rPr>
              <w:t>(dBW)</w:t>
            </w:r>
          </w:p>
        </w:tc>
        <w:tc>
          <w:tcPr>
            <w:tcW w:w="709" w:type="dxa"/>
            <w:vAlign w:val="center"/>
          </w:tcPr>
          <w:p w14:paraId="0D100074" w14:textId="77777777" w:rsidR="00F73D5B" w:rsidRPr="008B7A21" w:rsidRDefault="00F73D5B" w:rsidP="00767A6A">
            <w:pPr>
              <w:pStyle w:val="Tablehead"/>
              <w:rPr>
                <w:sz w:val="18"/>
                <w:szCs w:val="18"/>
                <w:lang w:val="es-ES_tradnl"/>
              </w:rPr>
            </w:pPr>
            <w:r w:rsidRPr="008B7A21">
              <w:rPr>
                <w:sz w:val="18"/>
                <w:szCs w:val="18"/>
                <w:lang w:val="es-ES_tradnl"/>
              </w:rPr>
              <w:t>30</w:t>
            </w:r>
          </w:p>
        </w:tc>
        <w:tc>
          <w:tcPr>
            <w:tcW w:w="765" w:type="dxa"/>
            <w:vAlign w:val="center"/>
          </w:tcPr>
          <w:p w14:paraId="39EE1C10" w14:textId="77777777" w:rsidR="00F73D5B" w:rsidRPr="008B7A21" w:rsidRDefault="00F73D5B" w:rsidP="00767A6A">
            <w:pPr>
              <w:pStyle w:val="Tablehead"/>
              <w:rPr>
                <w:sz w:val="18"/>
                <w:szCs w:val="18"/>
                <w:lang w:val="es-ES_tradnl"/>
              </w:rPr>
            </w:pPr>
            <w:r w:rsidRPr="008B7A21">
              <w:rPr>
                <w:sz w:val="18"/>
                <w:szCs w:val="18"/>
                <w:lang w:val="es-ES_tradnl"/>
              </w:rPr>
              <w:t>50</w:t>
            </w:r>
          </w:p>
        </w:tc>
        <w:tc>
          <w:tcPr>
            <w:tcW w:w="765" w:type="dxa"/>
            <w:vAlign w:val="center"/>
          </w:tcPr>
          <w:p w14:paraId="7EB754F2" w14:textId="77777777" w:rsidR="00F73D5B" w:rsidRPr="008B7A21" w:rsidRDefault="00F73D5B" w:rsidP="00767A6A">
            <w:pPr>
              <w:pStyle w:val="Tablehead"/>
              <w:rPr>
                <w:sz w:val="18"/>
                <w:szCs w:val="18"/>
                <w:lang w:val="es-ES_tradnl"/>
              </w:rPr>
            </w:pPr>
            <w:r w:rsidRPr="008B7A21">
              <w:rPr>
                <w:sz w:val="18"/>
                <w:szCs w:val="18"/>
                <w:lang w:val="es-ES_tradnl"/>
              </w:rPr>
              <w:t>75</w:t>
            </w:r>
          </w:p>
        </w:tc>
        <w:tc>
          <w:tcPr>
            <w:tcW w:w="765" w:type="dxa"/>
            <w:vAlign w:val="center"/>
          </w:tcPr>
          <w:p w14:paraId="5A42BE86" w14:textId="77777777" w:rsidR="00F73D5B" w:rsidRPr="008B7A21" w:rsidRDefault="00F73D5B" w:rsidP="00767A6A">
            <w:pPr>
              <w:pStyle w:val="Tablehead"/>
              <w:rPr>
                <w:sz w:val="18"/>
                <w:szCs w:val="18"/>
                <w:lang w:val="es-ES_tradnl"/>
              </w:rPr>
            </w:pPr>
            <w:r w:rsidRPr="008B7A21">
              <w:rPr>
                <w:sz w:val="18"/>
                <w:szCs w:val="18"/>
                <w:lang w:val="es-ES_tradnl"/>
              </w:rPr>
              <w:t>100</w:t>
            </w:r>
          </w:p>
        </w:tc>
        <w:tc>
          <w:tcPr>
            <w:tcW w:w="765" w:type="dxa"/>
            <w:vAlign w:val="center"/>
          </w:tcPr>
          <w:p w14:paraId="4D940933" w14:textId="77777777" w:rsidR="00F73D5B" w:rsidRPr="008B7A21" w:rsidRDefault="00F73D5B" w:rsidP="00767A6A">
            <w:pPr>
              <w:pStyle w:val="Tablehead"/>
              <w:rPr>
                <w:sz w:val="18"/>
                <w:szCs w:val="18"/>
                <w:lang w:val="es-ES_tradnl"/>
              </w:rPr>
            </w:pPr>
            <w:r w:rsidRPr="008B7A21">
              <w:rPr>
                <w:sz w:val="18"/>
                <w:szCs w:val="18"/>
                <w:lang w:val="es-ES_tradnl"/>
              </w:rPr>
              <w:t>150</w:t>
            </w:r>
          </w:p>
        </w:tc>
        <w:tc>
          <w:tcPr>
            <w:tcW w:w="765" w:type="dxa"/>
            <w:vAlign w:val="center"/>
          </w:tcPr>
          <w:p w14:paraId="4331C04B" w14:textId="77777777" w:rsidR="00F73D5B" w:rsidRPr="008B7A21" w:rsidRDefault="00F73D5B" w:rsidP="00767A6A">
            <w:pPr>
              <w:pStyle w:val="Tablehead"/>
              <w:rPr>
                <w:sz w:val="18"/>
                <w:szCs w:val="18"/>
                <w:lang w:val="es-ES_tradnl"/>
              </w:rPr>
            </w:pPr>
            <w:r w:rsidRPr="008B7A21">
              <w:rPr>
                <w:sz w:val="18"/>
                <w:szCs w:val="18"/>
                <w:lang w:val="es-ES_tradnl"/>
              </w:rPr>
              <w:t>200</w:t>
            </w:r>
          </w:p>
        </w:tc>
        <w:tc>
          <w:tcPr>
            <w:tcW w:w="765" w:type="dxa"/>
            <w:vAlign w:val="center"/>
          </w:tcPr>
          <w:p w14:paraId="66AAE41F" w14:textId="77777777" w:rsidR="00F73D5B" w:rsidRPr="008B7A21" w:rsidRDefault="00F73D5B" w:rsidP="00767A6A">
            <w:pPr>
              <w:pStyle w:val="Tablehead"/>
              <w:rPr>
                <w:sz w:val="18"/>
                <w:szCs w:val="18"/>
                <w:lang w:val="es-ES_tradnl"/>
              </w:rPr>
            </w:pPr>
            <w:r w:rsidRPr="008B7A21">
              <w:rPr>
                <w:sz w:val="18"/>
                <w:szCs w:val="18"/>
                <w:lang w:val="es-ES_tradnl"/>
              </w:rPr>
              <w:t>250</w:t>
            </w:r>
          </w:p>
        </w:tc>
        <w:tc>
          <w:tcPr>
            <w:tcW w:w="765" w:type="dxa"/>
            <w:vAlign w:val="center"/>
          </w:tcPr>
          <w:p w14:paraId="44FE6229" w14:textId="77777777" w:rsidR="00F73D5B" w:rsidRPr="008B7A21" w:rsidRDefault="00F73D5B" w:rsidP="00767A6A">
            <w:pPr>
              <w:pStyle w:val="Tablehead"/>
              <w:rPr>
                <w:sz w:val="18"/>
                <w:szCs w:val="18"/>
                <w:lang w:val="es-ES_tradnl"/>
              </w:rPr>
            </w:pPr>
            <w:r w:rsidRPr="008B7A21">
              <w:rPr>
                <w:sz w:val="18"/>
                <w:szCs w:val="18"/>
                <w:lang w:val="es-ES_tradnl"/>
              </w:rPr>
              <w:t>300</w:t>
            </w:r>
          </w:p>
        </w:tc>
        <w:tc>
          <w:tcPr>
            <w:tcW w:w="765" w:type="dxa"/>
            <w:vAlign w:val="center"/>
          </w:tcPr>
          <w:p w14:paraId="6E08A41F" w14:textId="77777777" w:rsidR="00F73D5B" w:rsidRPr="008B7A21" w:rsidRDefault="00F73D5B" w:rsidP="00767A6A">
            <w:pPr>
              <w:pStyle w:val="Tablehead"/>
              <w:rPr>
                <w:sz w:val="18"/>
                <w:szCs w:val="18"/>
                <w:lang w:val="es-ES_tradnl"/>
              </w:rPr>
            </w:pPr>
            <w:r w:rsidRPr="008B7A21">
              <w:rPr>
                <w:sz w:val="18"/>
                <w:szCs w:val="18"/>
                <w:lang w:val="es-ES_tradnl"/>
              </w:rPr>
              <w:t>350</w:t>
            </w:r>
          </w:p>
        </w:tc>
        <w:tc>
          <w:tcPr>
            <w:tcW w:w="765" w:type="dxa"/>
            <w:vAlign w:val="center"/>
          </w:tcPr>
          <w:p w14:paraId="5C8D224F" w14:textId="77777777" w:rsidR="00F73D5B" w:rsidRPr="008B7A21" w:rsidRDefault="00F73D5B" w:rsidP="00767A6A">
            <w:pPr>
              <w:pStyle w:val="Tablehead"/>
              <w:rPr>
                <w:sz w:val="18"/>
                <w:szCs w:val="18"/>
                <w:lang w:val="es-ES_tradnl"/>
              </w:rPr>
            </w:pPr>
            <w:r w:rsidRPr="008B7A21">
              <w:rPr>
                <w:sz w:val="18"/>
                <w:szCs w:val="18"/>
                <w:lang w:val="es-ES_tradnl"/>
              </w:rPr>
              <w:t>400</w:t>
            </w:r>
          </w:p>
        </w:tc>
        <w:tc>
          <w:tcPr>
            <w:tcW w:w="879" w:type="dxa"/>
            <w:vAlign w:val="center"/>
          </w:tcPr>
          <w:p w14:paraId="2D6A2404" w14:textId="77777777" w:rsidR="00F73D5B" w:rsidRPr="008B7A21" w:rsidRDefault="00F73D5B" w:rsidP="00767A6A">
            <w:pPr>
              <w:pStyle w:val="Tablehead"/>
              <w:rPr>
                <w:sz w:val="18"/>
                <w:szCs w:val="18"/>
                <w:lang w:val="es-ES_tradnl"/>
              </w:rPr>
            </w:pPr>
            <w:r w:rsidRPr="008B7A21">
              <w:rPr>
                <w:sz w:val="18"/>
                <w:szCs w:val="18"/>
                <w:lang w:val="es-ES_tradnl"/>
              </w:rPr>
              <w:t>500</w:t>
            </w:r>
          </w:p>
        </w:tc>
      </w:tr>
      <w:tr w:rsidR="00F73D5B" w:rsidRPr="008B7A21" w14:paraId="6210E7E3" w14:textId="77777777" w:rsidTr="00767A6A">
        <w:trPr>
          <w:jc w:val="center"/>
        </w:trPr>
        <w:tc>
          <w:tcPr>
            <w:tcW w:w="1247" w:type="dxa"/>
          </w:tcPr>
          <w:p w14:paraId="4C59580D" w14:textId="77777777" w:rsidR="00F73D5B" w:rsidRPr="008B7A21" w:rsidRDefault="00F73D5B" w:rsidP="00767A6A">
            <w:pPr>
              <w:pStyle w:val="Tabletext"/>
              <w:keepNext/>
              <w:keepLines/>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40"/>
              </w:tabs>
              <w:jc w:val="center"/>
              <w:rPr>
                <w:sz w:val="18"/>
                <w:szCs w:val="18"/>
                <w:lang w:val="es-ES_tradnl"/>
              </w:rPr>
            </w:pPr>
            <w:r w:rsidRPr="008B7A21">
              <w:rPr>
                <w:sz w:val="18"/>
                <w:szCs w:val="18"/>
                <w:lang w:val="es-ES_tradnl"/>
              </w:rPr>
              <w:t>15,0</w:t>
            </w:r>
          </w:p>
        </w:tc>
        <w:tc>
          <w:tcPr>
            <w:tcW w:w="709" w:type="dxa"/>
          </w:tcPr>
          <w:p w14:paraId="1A93C53D"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6</w:t>
            </w:r>
          </w:p>
        </w:tc>
        <w:tc>
          <w:tcPr>
            <w:tcW w:w="765" w:type="dxa"/>
          </w:tcPr>
          <w:p w14:paraId="320278D2"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7</w:t>
            </w:r>
          </w:p>
        </w:tc>
        <w:tc>
          <w:tcPr>
            <w:tcW w:w="765" w:type="dxa"/>
          </w:tcPr>
          <w:p w14:paraId="23E1EAF4"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9</w:t>
            </w:r>
          </w:p>
        </w:tc>
        <w:tc>
          <w:tcPr>
            <w:tcW w:w="765" w:type="dxa"/>
          </w:tcPr>
          <w:p w14:paraId="2CFF643D"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10</w:t>
            </w:r>
          </w:p>
        </w:tc>
        <w:tc>
          <w:tcPr>
            <w:tcW w:w="765" w:type="dxa"/>
          </w:tcPr>
          <w:p w14:paraId="5CB54A94"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13</w:t>
            </w:r>
          </w:p>
        </w:tc>
        <w:tc>
          <w:tcPr>
            <w:tcW w:w="765" w:type="dxa"/>
          </w:tcPr>
          <w:p w14:paraId="31FB087A"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15</w:t>
            </w:r>
          </w:p>
        </w:tc>
        <w:tc>
          <w:tcPr>
            <w:tcW w:w="765" w:type="dxa"/>
          </w:tcPr>
          <w:p w14:paraId="0680FBB4"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17</w:t>
            </w:r>
          </w:p>
        </w:tc>
        <w:tc>
          <w:tcPr>
            <w:tcW w:w="765" w:type="dxa"/>
          </w:tcPr>
          <w:p w14:paraId="1D44D187"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19</w:t>
            </w:r>
          </w:p>
        </w:tc>
        <w:tc>
          <w:tcPr>
            <w:tcW w:w="765" w:type="dxa"/>
          </w:tcPr>
          <w:p w14:paraId="7426F72A"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20</w:t>
            </w:r>
          </w:p>
        </w:tc>
        <w:tc>
          <w:tcPr>
            <w:tcW w:w="765" w:type="dxa"/>
          </w:tcPr>
          <w:p w14:paraId="15E4FF45"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22</w:t>
            </w:r>
          </w:p>
        </w:tc>
        <w:tc>
          <w:tcPr>
            <w:tcW w:w="879" w:type="dxa"/>
          </w:tcPr>
          <w:p w14:paraId="0D21BB08"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25</w:t>
            </w:r>
          </w:p>
        </w:tc>
      </w:tr>
      <w:tr w:rsidR="00F73D5B" w:rsidRPr="008B7A21" w14:paraId="1AAC266E" w14:textId="77777777" w:rsidTr="00767A6A">
        <w:trPr>
          <w:jc w:val="center"/>
        </w:trPr>
        <w:tc>
          <w:tcPr>
            <w:tcW w:w="1247" w:type="dxa"/>
          </w:tcPr>
          <w:p w14:paraId="3D9CE255"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20,0</w:t>
            </w:r>
          </w:p>
        </w:tc>
        <w:tc>
          <w:tcPr>
            <w:tcW w:w="709" w:type="dxa"/>
          </w:tcPr>
          <w:p w14:paraId="46A39BD0"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8</w:t>
            </w:r>
          </w:p>
        </w:tc>
        <w:tc>
          <w:tcPr>
            <w:tcW w:w="765" w:type="dxa"/>
          </w:tcPr>
          <w:p w14:paraId="0D9D589A"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10</w:t>
            </w:r>
          </w:p>
        </w:tc>
        <w:tc>
          <w:tcPr>
            <w:tcW w:w="765" w:type="dxa"/>
          </w:tcPr>
          <w:p w14:paraId="685CBDD8"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12</w:t>
            </w:r>
          </w:p>
        </w:tc>
        <w:tc>
          <w:tcPr>
            <w:tcW w:w="765" w:type="dxa"/>
          </w:tcPr>
          <w:p w14:paraId="48EC069F"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14</w:t>
            </w:r>
          </w:p>
        </w:tc>
        <w:tc>
          <w:tcPr>
            <w:tcW w:w="765" w:type="dxa"/>
          </w:tcPr>
          <w:p w14:paraId="21C6E4F8"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17</w:t>
            </w:r>
          </w:p>
        </w:tc>
        <w:tc>
          <w:tcPr>
            <w:tcW w:w="765" w:type="dxa"/>
          </w:tcPr>
          <w:p w14:paraId="664AC473"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20</w:t>
            </w:r>
          </w:p>
        </w:tc>
        <w:tc>
          <w:tcPr>
            <w:tcW w:w="765" w:type="dxa"/>
          </w:tcPr>
          <w:p w14:paraId="5D5F5F1F"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22</w:t>
            </w:r>
          </w:p>
        </w:tc>
        <w:tc>
          <w:tcPr>
            <w:tcW w:w="765" w:type="dxa"/>
          </w:tcPr>
          <w:p w14:paraId="2ED0FEF5"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25</w:t>
            </w:r>
          </w:p>
        </w:tc>
        <w:tc>
          <w:tcPr>
            <w:tcW w:w="765" w:type="dxa"/>
          </w:tcPr>
          <w:p w14:paraId="22D1B68D"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27</w:t>
            </w:r>
          </w:p>
        </w:tc>
        <w:tc>
          <w:tcPr>
            <w:tcW w:w="765" w:type="dxa"/>
          </w:tcPr>
          <w:p w14:paraId="625505E1"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29</w:t>
            </w:r>
          </w:p>
        </w:tc>
        <w:tc>
          <w:tcPr>
            <w:tcW w:w="879" w:type="dxa"/>
          </w:tcPr>
          <w:p w14:paraId="72CF6D97"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33</w:t>
            </w:r>
          </w:p>
        </w:tc>
      </w:tr>
      <w:tr w:rsidR="00F73D5B" w:rsidRPr="008B7A21" w14:paraId="43B8FE34" w14:textId="77777777" w:rsidTr="00767A6A">
        <w:trPr>
          <w:jc w:val="center"/>
        </w:trPr>
        <w:tc>
          <w:tcPr>
            <w:tcW w:w="1247" w:type="dxa"/>
          </w:tcPr>
          <w:p w14:paraId="594B0514"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25,0</w:t>
            </w:r>
          </w:p>
        </w:tc>
        <w:tc>
          <w:tcPr>
            <w:tcW w:w="709" w:type="dxa"/>
          </w:tcPr>
          <w:p w14:paraId="2E0EB62B"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10</w:t>
            </w:r>
          </w:p>
        </w:tc>
        <w:tc>
          <w:tcPr>
            <w:tcW w:w="765" w:type="dxa"/>
          </w:tcPr>
          <w:p w14:paraId="056F6AAA"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13</w:t>
            </w:r>
          </w:p>
        </w:tc>
        <w:tc>
          <w:tcPr>
            <w:tcW w:w="765" w:type="dxa"/>
          </w:tcPr>
          <w:p w14:paraId="1E5BA379"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16</w:t>
            </w:r>
          </w:p>
        </w:tc>
        <w:tc>
          <w:tcPr>
            <w:tcW w:w="765" w:type="dxa"/>
          </w:tcPr>
          <w:p w14:paraId="3C9B16C6"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18</w:t>
            </w:r>
          </w:p>
        </w:tc>
        <w:tc>
          <w:tcPr>
            <w:tcW w:w="765" w:type="dxa"/>
          </w:tcPr>
          <w:p w14:paraId="24C57E27"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22</w:t>
            </w:r>
          </w:p>
        </w:tc>
        <w:tc>
          <w:tcPr>
            <w:tcW w:w="765" w:type="dxa"/>
          </w:tcPr>
          <w:p w14:paraId="478557F0"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25</w:t>
            </w:r>
          </w:p>
        </w:tc>
        <w:tc>
          <w:tcPr>
            <w:tcW w:w="765" w:type="dxa"/>
          </w:tcPr>
          <w:p w14:paraId="618B6DC0"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29</w:t>
            </w:r>
          </w:p>
        </w:tc>
        <w:tc>
          <w:tcPr>
            <w:tcW w:w="765" w:type="dxa"/>
          </w:tcPr>
          <w:p w14:paraId="3CFE373E"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31</w:t>
            </w:r>
          </w:p>
        </w:tc>
        <w:tc>
          <w:tcPr>
            <w:tcW w:w="765" w:type="dxa"/>
          </w:tcPr>
          <w:p w14:paraId="7F9A0CDA"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34</w:t>
            </w:r>
          </w:p>
        </w:tc>
        <w:tc>
          <w:tcPr>
            <w:tcW w:w="765" w:type="dxa"/>
          </w:tcPr>
          <w:p w14:paraId="53EC0466"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37</w:t>
            </w:r>
          </w:p>
        </w:tc>
        <w:tc>
          <w:tcPr>
            <w:tcW w:w="879" w:type="dxa"/>
          </w:tcPr>
          <w:p w14:paraId="2071AAFA"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41</w:t>
            </w:r>
          </w:p>
        </w:tc>
      </w:tr>
      <w:tr w:rsidR="00F73D5B" w:rsidRPr="008B7A21" w14:paraId="385F5271" w14:textId="77777777" w:rsidTr="00767A6A">
        <w:trPr>
          <w:jc w:val="center"/>
        </w:trPr>
        <w:tc>
          <w:tcPr>
            <w:tcW w:w="1247" w:type="dxa"/>
          </w:tcPr>
          <w:p w14:paraId="2AFCF260"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30,0</w:t>
            </w:r>
          </w:p>
        </w:tc>
        <w:tc>
          <w:tcPr>
            <w:tcW w:w="709" w:type="dxa"/>
          </w:tcPr>
          <w:p w14:paraId="44EB0C6A"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13</w:t>
            </w:r>
          </w:p>
        </w:tc>
        <w:tc>
          <w:tcPr>
            <w:tcW w:w="765" w:type="dxa"/>
          </w:tcPr>
          <w:p w14:paraId="0848198D"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17</w:t>
            </w:r>
          </w:p>
        </w:tc>
        <w:tc>
          <w:tcPr>
            <w:tcW w:w="765" w:type="dxa"/>
          </w:tcPr>
          <w:p w14:paraId="5108DDEF"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20</w:t>
            </w:r>
          </w:p>
        </w:tc>
        <w:tc>
          <w:tcPr>
            <w:tcW w:w="765" w:type="dxa"/>
          </w:tcPr>
          <w:p w14:paraId="5C36FE00"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23</w:t>
            </w:r>
          </w:p>
        </w:tc>
        <w:tc>
          <w:tcPr>
            <w:tcW w:w="765" w:type="dxa"/>
          </w:tcPr>
          <w:p w14:paraId="44BB4095"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28</w:t>
            </w:r>
          </w:p>
        </w:tc>
        <w:tc>
          <w:tcPr>
            <w:tcW w:w="765" w:type="dxa"/>
          </w:tcPr>
          <w:p w14:paraId="5EA97443"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32</w:t>
            </w:r>
          </w:p>
        </w:tc>
        <w:tc>
          <w:tcPr>
            <w:tcW w:w="765" w:type="dxa"/>
          </w:tcPr>
          <w:p w14:paraId="25DE09E7"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36</w:t>
            </w:r>
          </w:p>
        </w:tc>
        <w:tc>
          <w:tcPr>
            <w:tcW w:w="765" w:type="dxa"/>
          </w:tcPr>
          <w:p w14:paraId="522EBB68"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39</w:t>
            </w:r>
          </w:p>
        </w:tc>
        <w:tc>
          <w:tcPr>
            <w:tcW w:w="765" w:type="dxa"/>
          </w:tcPr>
          <w:p w14:paraId="65D87279"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43</w:t>
            </w:r>
          </w:p>
        </w:tc>
        <w:tc>
          <w:tcPr>
            <w:tcW w:w="765" w:type="dxa"/>
          </w:tcPr>
          <w:p w14:paraId="3BAC892A"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45</w:t>
            </w:r>
          </w:p>
        </w:tc>
        <w:tc>
          <w:tcPr>
            <w:tcW w:w="879" w:type="dxa"/>
          </w:tcPr>
          <w:p w14:paraId="6516D7BD"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51</w:t>
            </w:r>
          </w:p>
        </w:tc>
      </w:tr>
      <w:tr w:rsidR="00F73D5B" w:rsidRPr="008B7A21" w14:paraId="15D27F8D" w14:textId="77777777" w:rsidTr="00767A6A">
        <w:trPr>
          <w:jc w:val="center"/>
        </w:trPr>
        <w:tc>
          <w:tcPr>
            <w:tcW w:w="1247" w:type="dxa"/>
          </w:tcPr>
          <w:p w14:paraId="3BEA784A"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35,0</w:t>
            </w:r>
          </w:p>
        </w:tc>
        <w:tc>
          <w:tcPr>
            <w:tcW w:w="709" w:type="dxa"/>
          </w:tcPr>
          <w:p w14:paraId="2D15946A"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17</w:t>
            </w:r>
          </w:p>
        </w:tc>
        <w:tc>
          <w:tcPr>
            <w:tcW w:w="765" w:type="dxa"/>
          </w:tcPr>
          <w:p w14:paraId="2FEB5EB5"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21</w:t>
            </w:r>
          </w:p>
        </w:tc>
        <w:tc>
          <w:tcPr>
            <w:tcW w:w="765" w:type="dxa"/>
          </w:tcPr>
          <w:p w14:paraId="739D0212"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26</w:t>
            </w:r>
          </w:p>
        </w:tc>
        <w:tc>
          <w:tcPr>
            <w:tcW w:w="765" w:type="dxa"/>
          </w:tcPr>
          <w:p w14:paraId="69654ED8"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29</w:t>
            </w:r>
          </w:p>
        </w:tc>
        <w:tc>
          <w:tcPr>
            <w:tcW w:w="765" w:type="dxa"/>
          </w:tcPr>
          <w:p w14:paraId="6E8E9A4B"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35</w:t>
            </w:r>
          </w:p>
        </w:tc>
        <w:tc>
          <w:tcPr>
            <w:tcW w:w="765" w:type="dxa"/>
          </w:tcPr>
          <w:p w14:paraId="6FC229AD"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40</w:t>
            </w:r>
          </w:p>
        </w:tc>
        <w:tc>
          <w:tcPr>
            <w:tcW w:w="765" w:type="dxa"/>
          </w:tcPr>
          <w:p w14:paraId="06C5CA90"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45</w:t>
            </w:r>
          </w:p>
        </w:tc>
        <w:tc>
          <w:tcPr>
            <w:tcW w:w="765" w:type="dxa"/>
          </w:tcPr>
          <w:p w14:paraId="6CF89B66"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48</w:t>
            </w:r>
          </w:p>
        </w:tc>
        <w:tc>
          <w:tcPr>
            <w:tcW w:w="765" w:type="dxa"/>
          </w:tcPr>
          <w:p w14:paraId="186E94E3"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52</w:t>
            </w:r>
          </w:p>
        </w:tc>
        <w:tc>
          <w:tcPr>
            <w:tcW w:w="765" w:type="dxa"/>
          </w:tcPr>
          <w:p w14:paraId="6552939E"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55</w:t>
            </w:r>
          </w:p>
        </w:tc>
        <w:tc>
          <w:tcPr>
            <w:tcW w:w="879" w:type="dxa"/>
          </w:tcPr>
          <w:p w14:paraId="2BF5F55B"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61</w:t>
            </w:r>
          </w:p>
        </w:tc>
      </w:tr>
      <w:tr w:rsidR="00F73D5B" w:rsidRPr="008B7A21" w14:paraId="4127EFA8" w14:textId="77777777" w:rsidTr="00767A6A">
        <w:trPr>
          <w:jc w:val="center"/>
        </w:trPr>
        <w:tc>
          <w:tcPr>
            <w:tcW w:w="1247" w:type="dxa"/>
          </w:tcPr>
          <w:p w14:paraId="4773EF62"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40,0</w:t>
            </w:r>
          </w:p>
        </w:tc>
        <w:tc>
          <w:tcPr>
            <w:tcW w:w="709" w:type="dxa"/>
          </w:tcPr>
          <w:p w14:paraId="45B34E0E"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22</w:t>
            </w:r>
          </w:p>
        </w:tc>
        <w:tc>
          <w:tcPr>
            <w:tcW w:w="765" w:type="dxa"/>
          </w:tcPr>
          <w:p w14:paraId="0AC6458F"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27</w:t>
            </w:r>
          </w:p>
        </w:tc>
        <w:tc>
          <w:tcPr>
            <w:tcW w:w="765" w:type="dxa"/>
          </w:tcPr>
          <w:p w14:paraId="73672396"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32</w:t>
            </w:r>
          </w:p>
        </w:tc>
        <w:tc>
          <w:tcPr>
            <w:tcW w:w="765" w:type="dxa"/>
          </w:tcPr>
          <w:p w14:paraId="56CD2AE0"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37</w:t>
            </w:r>
          </w:p>
        </w:tc>
        <w:tc>
          <w:tcPr>
            <w:tcW w:w="765" w:type="dxa"/>
          </w:tcPr>
          <w:p w14:paraId="17F2B71B"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44</w:t>
            </w:r>
          </w:p>
        </w:tc>
        <w:tc>
          <w:tcPr>
            <w:tcW w:w="765" w:type="dxa"/>
          </w:tcPr>
          <w:p w14:paraId="55675795"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49</w:t>
            </w:r>
          </w:p>
        </w:tc>
        <w:tc>
          <w:tcPr>
            <w:tcW w:w="765" w:type="dxa"/>
          </w:tcPr>
          <w:p w14:paraId="7897C19F"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54</w:t>
            </w:r>
          </w:p>
        </w:tc>
        <w:tc>
          <w:tcPr>
            <w:tcW w:w="765" w:type="dxa"/>
          </w:tcPr>
          <w:p w14:paraId="70EBF070"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58</w:t>
            </w:r>
          </w:p>
        </w:tc>
        <w:tc>
          <w:tcPr>
            <w:tcW w:w="765" w:type="dxa"/>
          </w:tcPr>
          <w:p w14:paraId="2673E64F"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62</w:t>
            </w:r>
          </w:p>
        </w:tc>
        <w:tc>
          <w:tcPr>
            <w:tcW w:w="765" w:type="dxa"/>
          </w:tcPr>
          <w:p w14:paraId="475734A6"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65</w:t>
            </w:r>
          </w:p>
        </w:tc>
        <w:tc>
          <w:tcPr>
            <w:tcW w:w="879" w:type="dxa"/>
          </w:tcPr>
          <w:p w14:paraId="778B96DF"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72</w:t>
            </w:r>
          </w:p>
        </w:tc>
      </w:tr>
      <w:tr w:rsidR="00F73D5B" w:rsidRPr="008B7A21" w14:paraId="39EBA209" w14:textId="77777777" w:rsidTr="00767A6A">
        <w:trPr>
          <w:jc w:val="center"/>
        </w:trPr>
        <w:tc>
          <w:tcPr>
            <w:tcW w:w="1247" w:type="dxa"/>
          </w:tcPr>
          <w:p w14:paraId="3421E99B" w14:textId="77777777" w:rsidR="00F73D5B" w:rsidRPr="008B7A21" w:rsidRDefault="00F73D5B" w:rsidP="00767A6A">
            <w:pPr>
              <w:pStyle w:val="Tabletext"/>
              <w:jc w:val="center"/>
              <w:rPr>
                <w:sz w:val="18"/>
                <w:szCs w:val="18"/>
                <w:lang w:val="es-ES_tradnl"/>
              </w:rPr>
            </w:pPr>
            <w:r w:rsidRPr="008B7A21">
              <w:rPr>
                <w:sz w:val="18"/>
                <w:szCs w:val="18"/>
                <w:lang w:val="es-ES_tradnl"/>
              </w:rPr>
              <w:t>43,0</w:t>
            </w:r>
          </w:p>
        </w:tc>
        <w:tc>
          <w:tcPr>
            <w:tcW w:w="709" w:type="dxa"/>
          </w:tcPr>
          <w:p w14:paraId="140BB687" w14:textId="77777777" w:rsidR="00F73D5B" w:rsidRPr="008B7A21" w:rsidRDefault="00F73D5B" w:rsidP="00767A6A">
            <w:pPr>
              <w:pStyle w:val="Tabletext"/>
              <w:jc w:val="center"/>
              <w:rPr>
                <w:sz w:val="18"/>
                <w:szCs w:val="18"/>
                <w:lang w:val="es-ES_tradnl"/>
              </w:rPr>
            </w:pPr>
            <w:r w:rsidRPr="008B7A21">
              <w:rPr>
                <w:sz w:val="18"/>
                <w:szCs w:val="18"/>
                <w:lang w:val="es-ES_tradnl"/>
              </w:rPr>
              <w:t>25</w:t>
            </w:r>
          </w:p>
        </w:tc>
        <w:tc>
          <w:tcPr>
            <w:tcW w:w="765" w:type="dxa"/>
          </w:tcPr>
          <w:p w14:paraId="20661D01" w14:textId="77777777" w:rsidR="00F73D5B" w:rsidRPr="008B7A21" w:rsidRDefault="00F73D5B" w:rsidP="00767A6A">
            <w:pPr>
              <w:pStyle w:val="Tabletext"/>
              <w:jc w:val="center"/>
              <w:rPr>
                <w:sz w:val="18"/>
                <w:szCs w:val="18"/>
                <w:lang w:val="es-ES_tradnl"/>
              </w:rPr>
            </w:pPr>
            <w:r w:rsidRPr="008B7A21">
              <w:rPr>
                <w:sz w:val="18"/>
                <w:szCs w:val="18"/>
                <w:lang w:val="es-ES_tradnl"/>
              </w:rPr>
              <w:t>31</w:t>
            </w:r>
          </w:p>
        </w:tc>
        <w:tc>
          <w:tcPr>
            <w:tcW w:w="765" w:type="dxa"/>
          </w:tcPr>
          <w:p w14:paraId="08737F8A" w14:textId="77777777" w:rsidR="00F73D5B" w:rsidRPr="008B7A21" w:rsidRDefault="00F73D5B" w:rsidP="00767A6A">
            <w:pPr>
              <w:pStyle w:val="Tabletext"/>
              <w:jc w:val="center"/>
              <w:rPr>
                <w:sz w:val="18"/>
                <w:szCs w:val="18"/>
                <w:lang w:val="es-ES_tradnl"/>
              </w:rPr>
            </w:pPr>
            <w:r w:rsidRPr="008B7A21">
              <w:rPr>
                <w:sz w:val="18"/>
                <w:szCs w:val="18"/>
                <w:lang w:val="es-ES_tradnl"/>
              </w:rPr>
              <w:t>37</w:t>
            </w:r>
          </w:p>
        </w:tc>
        <w:tc>
          <w:tcPr>
            <w:tcW w:w="765" w:type="dxa"/>
          </w:tcPr>
          <w:p w14:paraId="51F0923F" w14:textId="77777777" w:rsidR="00F73D5B" w:rsidRPr="008B7A21" w:rsidRDefault="00F73D5B" w:rsidP="00767A6A">
            <w:pPr>
              <w:pStyle w:val="Tabletext"/>
              <w:jc w:val="center"/>
              <w:rPr>
                <w:sz w:val="18"/>
                <w:szCs w:val="18"/>
                <w:lang w:val="es-ES_tradnl"/>
              </w:rPr>
            </w:pPr>
            <w:r w:rsidRPr="008B7A21">
              <w:rPr>
                <w:sz w:val="18"/>
                <w:szCs w:val="18"/>
                <w:lang w:val="es-ES_tradnl"/>
              </w:rPr>
              <w:t>42</w:t>
            </w:r>
          </w:p>
        </w:tc>
        <w:tc>
          <w:tcPr>
            <w:tcW w:w="765" w:type="dxa"/>
          </w:tcPr>
          <w:p w14:paraId="15274ECF" w14:textId="77777777" w:rsidR="00F73D5B" w:rsidRPr="008B7A21" w:rsidRDefault="00F73D5B" w:rsidP="00767A6A">
            <w:pPr>
              <w:pStyle w:val="Tabletext"/>
              <w:jc w:val="center"/>
              <w:rPr>
                <w:sz w:val="18"/>
                <w:szCs w:val="18"/>
                <w:lang w:val="es-ES_tradnl"/>
              </w:rPr>
            </w:pPr>
            <w:r w:rsidRPr="008B7A21">
              <w:rPr>
                <w:sz w:val="18"/>
                <w:szCs w:val="18"/>
                <w:lang w:val="es-ES_tradnl"/>
              </w:rPr>
              <w:t>49</w:t>
            </w:r>
          </w:p>
        </w:tc>
        <w:tc>
          <w:tcPr>
            <w:tcW w:w="765" w:type="dxa"/>
          </w:tcPr>
          <w:p w14:paraId="20071F76" w14:textId="77777777" w:rsidR="00F73D5B" w:rsidRPr="008B7A21" w:rsidRDefault="00F73D5B" w:rsidP="00767A6A">
            <w:pPr>
              <w:pStyle w:val="Tabletext"/>
              <w:jc w:val="center"/>
              <w:rPr>
                <w:sz w:val="18"/>
                <w:szCs w:val="18"/>
                <w:lang w:val="es-ES_tradnl"/>
              </w:rPr>
            </w:pPr>
            <w:r w:rsidRPr="008B7A21">
              <w:rPr>
                <w:sz w:val="18"/>
                <w:szCs w:val="18"/>
                <w:lang w:val="es-ES_tradnl"/>
              </w:rPr>
              <w:t>55</w:t>
            </w:r>
          </w:p>
        </w:tc>
        <w:tc>
          <w:tcPr>
            <w:tcW w:w="765" w:type="dxa"/>
          </w:tcPr>
          <w:p w14:paraId="4C4EB78D" w14:textId="77777777" w:rsidR="00F73D5B" w:rsidRPr="008B7A21" w:rsidRDefault="00F73D5B" w:rsidP="00767A6A">
            <w:pPr>
              <w:pStyle w:val="Tabletext"/>
              <w:jc w:val="center"/>
              <w:rPr>
                <w:sz w:val="18"/>
                <w:szCs w:val="18"/>
                <w:lang w:val="es-ES_tradnl"/>
              </w:rPr>
            </w:pPr>
            <w:r w:rsidRPr="008B7A21">
              <w:rPr>
                <w:sz w:val="18"/>
                <w:szCs w:val="18"/>
                <w:lang w:val="es-ES_tradnl"/>
              </w:rPr>
              <w:t>60</w:t>
            </w:r>
          </w:p>
        </w:tc>
        <w:tc>
          <w:tcPr>
            <w:tcW w:w="765" w:type="dxa"/>
          </w:tcPr>
          <w:p w14:paraId="02E47338" w14:textId="77777777" w:rsidR="00F73D5B" w:rsidRPr="008B7A21" w:rsidRDefault="00F73D5B" w:rsidP="00767A6A">
            <w:pPr>
              <w:pStyle w:val="Tabletext"/>
              <w:jc w:val="center"/>
              <w:rPr>
                <w:sz w:val="18"/>
                <w:szCs w:val="18"/>
                <w:lang w:val="es-ES_tradnl"/>
              </w:rPr>
            </w:pPr>
            <w:r w:rsidRPr="008B7A21">
              <w:rPr>
                <w:sz w:val="18"/>
                <w:szCs w:val="18"/>
                <w:lang w:val="es-ES_tradnl"/>
              </w:rPr>
              <w:t>64</w:t>
            </w:r>
          </w:p>
        </w:tc>
        <w:tc>
          <w:tcPr>
            <w:tcW w:w="765" w:type="dxa"/>
          </w:tcPr>
          <w:p w14:paraId="1124DA67" w14:textId="77777777" w:rsidR="00F73D5B" w:rsidRPr="008B7A21" w:rsidRDefault="00F73D5B" w:rsidP="00767A6A">
            <w:pPr>
              <w:pStyle w:val="Tabletext"/>
              <w:jc w:val="center"/>
              <w:rPr>
                <w:sz w:val="18"/>
                <w:szCs w:val="18"/>
                <w:lang w:val="es-ES_tradnl"/>
              </w:rPr>
            </w:pPr>
            <w:r w:rsidRPr="008B7A21">
              <w:rPr>
                <w:sz w:val="18"/>
                <w:szCs w:val="18"/>
                <w:lang w:val="es-ES_tradnl"/>
              </w:rPr>
              <w:t>68</w:t>
            </w:r>
          </w:p>
        </w:tc>
        <w:tc>
          <w:tcPr>
            <w:tcW w:w="765" w:type="dxa"/>
          </w:tcPr>
          <w:p w14:paraId="4DDB5798" w14:textId="77777777" w:rsidR="00F73D5B" w:rsidRPr="008B7A21" w:rsidRDefault="00F73D5B" w:rsidP="00767A6A">
            <w:pPr>
              <w:pStyle w:val="Tabletext"/>
              <w:jc w:val="center"/>
              <w:rPr>
                <w:sz w:val="18"/>
                <w:szCs w:val="18"/>
                <w:lang w:val="es-ES_tradnl"/>
              </w:rPr>
            </w:pPr>
            <w:r w:rsidRPr="008B7A21">
              <w:rPr>
                <w:sz w:val="18"/>
                <w:szCs w:val="18"/>
                <w:lang w:val="es-ES_tradnl"/>
              </w:rPr>
              <w:t>72</w:t>
            </w:r>
          </w:p>
        </w:tc>
        <w:tc>
          <w:tcPr>
            <w:tcW w:w="879" w:type="dxa"/>
          </w:tcPr>
          <w:p w14:paraId="72BC3935" w14:textId="77777777" w:rsidR="00F73D5B" w:rsidRPr="008B7A21" w:rsidRDefault="00F73D5B" w:rsidP="00767A6A">
            <w:pPr>
              <w:pStyle w:val="Tabletext"/>
              <w:jc w:val="center"/>
              <w:rPr>
                <w:sz w:val="18"/>
                <w:szCs w:val="18"/>
                <w:lang w:val="es-ES_tradnl"/>
              </w:rPr>
            </w:pPr>
            <w:r w:rsidRPr="008B7A21">
              <w:rPr>
                <w:sz w:val="18"/>
                <w:szCs w:val="18"/>
                <w:lang w:val="es-ES_tradnl"/>
              </w:rPr>
              <w:t>78</w:t>
            </w:r>
          </w:p>
        </w:tc>
      </w:tr>
      <w:tr w:rsidR="00F73D5B" w:rsidRPr="008B7A21" w14:paraId="48C2F657" w14:textId="77777777" w:rsidTr="00767A6A">
        <w:trPr>
          <w:jc w:val="center"/>
        </w:trPr>
        <w:tc>
          <w:tcPr>
            <w:tcW w:w="1247" w:type="dxa"/>
          </w:tcPr>
          <w:p w14:paraId="1FB40FCF" w14:textId="77777777" w:rsidR="00F73D5B" w:rsidRPr="008B7A21" w:rsidRDefault="00F73D5B" w:rsidP="00767A6A">
            <w:pPr>
              <w:pStyle w:val="Tabletext"/>
              <w:jc w:val="center"/>
              <w:rPr>
                <w:sz w:val="18"/>
                <w:szCs w:val="18"/>
                <w:lang w:val="es-ES_tradnl"/>
              </w:rPr>
            </w:pPr>
            <w:r w:rsidRPr="008B7A21">
              <w:rPr>
                <w:sz w:val="18"/>
                <w:szCs w:val="18"/>
                <w:lang w:val="es-ES_tradnl"/>
              </w:rPr>
              <w:t>46,0</w:t>
            </w:r>
          </w:p>
        </w:tc>
        <w:tc>
          <w:tcPr>
            <w:tcW w:w="709" w:type="dxa"/>
          </w:tcPr>
          <w:p w14:paraId="59CF3830" w14:textId="77777777" w:rsidR="00F73D5B" w:rsidRPr="008B7A21" w:rsidRDefault="00F73D5B" w:rsidP="00767A6A">
            <w:pPr>
              <w:pStyle w:val="Tabletext"/>
              <w:jc w:val="center"/>
              <w:rPr>
                <w:sz w:val="18"/>
                <w:szCs w:val="18"/>
                <w:lang w:val="es-ES_tradnl"/>
              </w:rPr>
            </w:pPr>
            <w:r w:rsidRPr="008B7A21">
              <w:rPr>
                <w:sz w:val="18"/>
                <w:szCs w:val="18"/>
                <w:lang w:val="es-ES_tradnl"/>
              </w:rPr>
              <w:t>29</w:t>
            </w:r>
          </w:p>
        </w:tc>
        <w:tc>
          <w:tcPr>
            <w:tcW w:w="765" w:type="dxa"/>
          </w:tcPr>
          <w:p w14:paraId="7DAB67EB" w14:textId="77777777" w:rsidR="00F73D5B" w:rsidRPr="008B7A21" w:rsidRDefault="00F73D5B" w:rsidP="00767A6A">
            <w:pPr>
              <w:pStyle w:val="Tabletext"/>
              <w:jc w:val="center"/>
              <w:rPr>
                <w:sz w:val="18"/>
                <w:szCs w:val="18"/>
                <w:lang w:val="es-ES_tradnl"/>
              </w:rPr>
            </w:pPr>
            <w:r w:rsidRPr="008B7A21">
              <w:rPr>
                <w:sz w:val="18"/>
                <w:szCs w:val="18"/>
                <w:lang w:val="es-ES_tradnl"/>
              </w:rPr>
              <w:t>36</w:t>
            </w:r>
          </w:p>
        </w:tc>
        <w:tc>
          <w:tcPr>
            <w:tcW w:w="765" w:type="dxa"/>
          </w:tcPr>
          <w:p w14:paraId="33BEA473" w14:textId="77777777" w:rsidR="00F73D5B" w:rsidRPr="008B7A21" w:rsidRDefault="00F73D5B" w:rsidP="00767A6A">
            <w:pPr>
              <w:pStyle w:val="Tabletext"/>
              <w:jc w:val="center"/>
              <w:rPr>
                <w:sz w:val="18"/>
                <w:szCs w:val="18"/>
                <w:lang w:val="es-ES_tradnl"/>
              </w:rPr>
            </w:pPr>
            <w:r w:rsidRPr="008B7A21">
              <w:rPr>
                <w:sz w:val="18"/>
                <w:szCs w:val="18"/>
                <w:lang w:val="es-ES_tradnl"/>
              </w:rPr>
              <w:t>42</w:t>
            </w:r>
          </w:p>
        </w:tc>
        <w:tc>
          <w:tcPr>
            <w:tcW w:w="765" w:type="dxa"/>
          </w:tcPr>
          <w:p w14:paraId="33B78FD8" w14:textId="77777777" w:rsidR="00F73D5B" w:rsidRPr="008B7A21" w:rsidRDefault="00F73D5B" w:rsidP="00767A6A">
            <w:pPr>
              <w:pStyle w:val="Tabletext"/>
              <w:jc w:val="center"/>
              <w:rPr>
                <w:sz w:val="18"/>
                <w:szCs w:val="18"/>
                <w:lang w:val="es-ES_tradnl"/>
              </w:rPr>
            </w:pPr>
            <w:r w:rsidRPr="008B7A21">
              <w:rPr>
                <w:sz w:val="18"/>
                <w:szCs w:val="18"/>
                <w:lang w:val="es-ES_tradnl"/>
              </w:rPr>
              <w:t>48</w:t>
            </w:r>
          </w:p>
        </w:tc>
        <w:tc>
          <w:tcPr>
            <w:tcW w:w="765" w:type="dxa"/>
          </w:tcPr>
          <w:p w14:paraId="2416108F" w14:textId="77777777" w:rsidR="00F73D5B" w:rsidRPr="008B7A21" w:rsidRDefault="00F73D5B" w:rsidP="00767A6A">
            <w:pPr>
              <w:pStyle w:val="Tabletext"/>
              <w:jc w:val="center"/>
              <w:rPr>
                <w:sz w:val="18"/>
                <w:szCs w:val="18"/>
                <w:lang w:val="es-ES_tradnl"/>
              </w:rPr>
            </w:pPr>
            <w:r w:rsidRPr="008B7A21">
              <w:rPr>
                <w:sz w:val="18"/>
                <w:szCs w:val="18"/>
                <w:lang w:val="es-ES_tradnl"/>
              </w:rPr>
              <w:t>55</w:t>
            </w:r>
          </w:p>
        </w:tc>
        <w:tc>
          <w:tcPr>
            <w:tcW w:w="765" w:type="dxa"/>
          </w:tcPr>
          <w:p w14:paraId="7D861589" w14:textId="77777777" w:rsidR="00F73D5B" w:rsidRPr="008B7A21" w:rsidRDefault="00F73D5B" w:rsidP="00767A6A">
            <w:pPr>
              <w:pStyle w:val="Tabletext"/>
              <w:jc w:val="center"/>
              <w:rPr>
                <w:sz w:val="18"/>
                <w:szCs w:val="18"/>
                <w:lang w:val="es-ES_tradnl"/>
              </w:rPr>
            </w:pPr>
            <w:r w:rsidRPr="008B7A21">
              <w:rPr>
                <w:sz w:val="18"/>
                <w:szCs w:val="18"/>
                <w:lang w:val="es-ES_tradnl"/>
              </w:rPr>
              <w:t>62</w:t>
            </w:r>
          </w:p>
        </w:tc>
        <w:tc>
          <w:tcPr>
            <w:tcW w:w="765" w:type="dxa"/>
          </w:tcPr>
          <w:p w14:paraId="1BF535F0" w14:textId="77777777" w:rsidR="00F73D5B" w:rsidRPr="008B7A21" w:rsidRDefault="00F73D5B" w:rsidP="00767A6A">
            <w:pPr>
              <w:pStyle w:val="Tabletext"/>
              <w:jc w:val="center"/>
              <w:rPr>
                <w:sz w:val="18"/>
                <w:szCs w:val="18"/>
                <w:lang w:val="es-ES_tradnl"/>
              </w:rPr>
            </w:pPr>
            <w:r w:rsidRPr="008B7A21">
              <w:rPr>
                <w:sz w:val="18"/>
                <w:szCs w:val="18"/>
                <w:lang w:val="es-ES_tradnl"/>
              </w:rPr>
              <w:t>67</w:t>
            </w:r>
          </w:p>
        </w:tc>
        <w:tc>
          <w:tcPr>
            <w:tcW w:w="765" w:type="dxa"/>
          </w:tcPr>
          <w:p w14:paraId="2922F3C2" w14:textId="77777777" w:rsidR="00F73D5B" w:rsidRPr="008B7A21" w:rsidRDefault="00F73D5B" w:rsidP="00767A6A">
            <w:pPr>
              <w:pStyle w:val="Tabletext"/>
              <w:jc w:val="center"/>
              <w:rPr>
                <w:sz w:val="18"/>
                <w:szCs w:val="18"/>
                <w:lang w:val="es-ES_tradnl"/>
              </w:rPr>
            </w:pPr>
            <w:r w:rsidRPr="008B7A21">
              <w:rPr>
                <w:sz w:val="18"/>
                <w:szCs w:val="18"/>
                <w:lang w:val="es-ES_tradnl"/>
              </w:rPr>
              <w:t>71</w:t>
            </w:r>
          </w:p>
        </w:tc>
        <w:tc>
          <w:tcPr>
            <w:tcW w:w="765" w:type="dxa"/>
          </w:tcPr>
          <w:p w14:paraId="3CEE1C77" w14:textId="77777777" w:rsidR="00F73D5B" w:rsidRPr="008B7A21" w:rsidRDefault="00F73D5B" w:rsidP="00767A6A">
            <w:pPr>
              <w:pStyle w:val="Tabletext"/>
              <w:jc w:val="center"/>
              <w:rPr>
                <w:sz w:val="18"/>
                <w:szCs w:val="18"/>
                <w:lang w:val="es-ES_tradnl"/>
              </w:rPr>
            </w:pPr>
            <w:r w:rsidRPr="008B7A21">
              <w:rPr>
                <w:sz w:val="18"/>
                <w:szCs w:val="18"/>
                <w:lang w:val="es-ES_tradnl"/>
              </w:rPr>
              <w:t>75</w:t>
            </w:r>
          </w:p>
        </w:tc>
        <w:tc>
          <w:tcPr>
            <w:tcW w:w="765" w:type="dxa"/>
          </w:tcPr>
          <w:p w14:paraId="15C6C38B" w14:textId="77777777" w:rsidR="00F73D5B" w:rsidRPr="008B7A21" w:rsidRDefault="00F73D5B" w:rsidP="00767A6A">
            <w:pPr>
              <w:pStyle w:val="Tabletext"/>
              <w:jc w:val="center"/>
              <w:rPr>
                <w:sz w:val="18"/>
                <w:szCs w:val="18"/>
                <w:lang w:val="es-ES_tradnl"/>
              </w:rPr>
            </w:pPr>
            <w:r w:rsidRPr="008B7A21">
              <w:rPr>
                <w:sz w:val="18"/>
                <w:szCs w:val="18"/>
                <w:lang w:val="es-ES_tradnl"/>
              </w:rPr>
              <w:t>79</w:t>
            </w:r>
          </w:p>
        </w:tc>
        <w:tc>
          <w:tcPr>
            <w:tcW w:w="879" w:type="dxa"/>
          </w:tcPr>
          <w:p w14:paraId="05487BD3" w14:textId="77777777" w:rsidR="00F73D5B" w:rsidRPr="008B7A21" w:rsidRDefault="00F73D5B" w:rsidP="00767A6A">
            <w:pPr>
              <w:pStyle w:val="Tabletext"/>
              <w:jc w:val="center"/>
              <w:rPr>
                <w:sz w:val="18"/>
                <w:szCs w:val="18"/>
                <w:lang w:val="es-ES_tradnl"/>
              </w:rPr>
            </w:pPr>
            <w:r w:rsidRPr="008B7A21">
              <w:rPr>
                <w:sz w:val="18"/>
                <w:szCs w:val="18"/>
                <w:lang w:val="es-ES_tradnl"/>
              </w:rPr>
              <w:t>85</w:t>
            </w:r>
          </w:p>
        </w:tc>
      </w:tr>
      <w:tr w:rsidR="00F73D5B" w:rsidRPr="008B7A21" w14:paraId="50173474" w14:textId="77777777" w:rsidTr="00767A6A">
        <w:trPr>
          <w:jc w:val="center"/>
        </w:trPr>
        <w:tc>
          <w:tcPr>
            <w:tcW w:w="1247" w:type="dxa"/>
          </w:tcPr>
          <w:p w14:paraId="7A713348" w14:textId="77777777" w:rsidR="00F73D5B" w:rsidRPr="008B7A21" w:rsidRDefault="00F73D5B" w:rsidP="00767A6A">
            <w:pPr>
              <w:pStyle w:val="Tabletext"/>
              <w:jc w:val="center"/>
              <w:rPr>
                <w:sz w:val="18"/>
                <w:szCs w:val="18"/>
                <w:lang w:val="es-ES_tradnl"/>
              </w:rPr>
            </w:pPr>
            <w:r w:rsidRPr="008B7A21">
              <w:rPr>
                <w:sz w:val="18"/>
                <w:szCs w:val="18"/>
                <w:lang w:val="es-ES_tradnl"/>
              </w:rPr>
              <w:t>50,0</w:t>
            </w:r>
          </w:p>
        </w:tc>
        <w:tc>
          <w:tcPr>
            <w:tcW w:w="709" w:type="dxa"/>
          </w:tcPr>
          <w:p w14:paraId="63C93C87" w14:textId="77777777" w:rsidR="00F73D5B" w:rsidRPr="008B7A21" w:rsidRDefault="00F73D5B" w:rsidP="00767A6A">
            <w:pPr>
              <w:pStyle w:val="Tabletext"/>
              <w:jc w:val="center"/>
              <w:rPr>
                <w:sz w:val="18"/>
                <w:szCs w:val="18"/>
                <w:lang w:val="es-ES_tradnl"/>
              </w:rPr>
            </w:pPr>
            <w:r w:rsidRPr="008B7A21">
              <w:rPr>
                <w:sz w:val="18"/>
                <w:szCs w:val="18"/>
                <w:lang w:val="es-ES_tradnl"/>
              </w:rPr>
              <w:t>36/36</w:t>
            </w:r>
          </w:p>
        </w:tc>
        <w:tc>
          <w:tcPr>
            <w:tcW w:w="765" w:type="dxa"/>
          </w:tcPr>
          <w:p w14:paraId="3A23EC1F" w14:textId="77777777" w:rsidR="00F73D5B" w:rsidRPr="008B7A21" w:rsidRDefault="00F73D5B" w:rsidP="00767A6A">
            <w:pPr>
              <w:pStyle w:val="Tabletext"/>
              <w:jc w:val="center"/>
              <w:rPr>
                <w:sz w:val="18"/>
                <w:szCs w:val="18"/>
                <w:lang w:val="es-ES_tradnl"/>
              </w:rPr>
            </w:pPr>
            <w:r w:rsidRPr="008B7A21">
              <w:rPr>
                <w:sz w:val="18"/>
                <w:szCs w:val="18"/>
                <w:lang w:val="es-ES_tradnl"/>
              </w:rPr>
              <w:t>43/42</w:t>
            </w:r>
          </w:p>
        </w:tc>
        <w:tc>
          <w:tcPr>
            <w:tcW w:w="765" w:type="dxa"/>
          </w:tcPr>
          <w:p w14:paraId="0F263C61" w14:textId="77777777" w:rsidR="00F73D5B" w:rsidRPr="008B7A21" w:rsidRDefault="00F73D5B" w:rsidP="00767A6A">
            <w:pPr>
              <w:pStyle w:val="Tabletext"/>
              <w:jc w:val="center"/>
              <w:rPr>
                <w:sz w:val="18"/>
                <w:szCs w:val="18"/>
                <w:lang w:val="es-ES_tradnl"/>
              </w:rPr>
            </w:pPr>
            <w:r w:rsidRPr="008B7A21">
              <w:rPr>
                <w:sz w:val="18"/>
                <w:szCs w:val="18"/>
                <w:lang w:val="es-ES_tradnl"/>
              </w:rPr>
              <w:t>50/49</w:t>
            </w:r>
          </w:p>
        </w:tc>
        <w:tc>
          <w:tcPr>
            <w:tcW w:w="765" w:type="dxa"/>
          </w:tcPr>
          <w:p w14:paraId="48E703EB" w14:textId="77777777" w:rsidR="00F73D5B" w:rsidRPr="008B7A21" w:rsidRDefault="00F73D5B" w:rsidP="00767A6A">
            <w:pPr>
              <w:pStyle w:val="Tabletext"/>
              <w:jc w:val="center"/>
              <w:rPr>
                <w:sz w:val="18"/>
                <w:szCs w:val="18"/>
                <w:lang w:val="es-ES_tradnl"/>
              </w:rPr>
            </w:pPr>
            <w:r w:rsidRPr="008B7A21">
              <w:rPr>
                <w:sz w:val="18"/>
                <w:szCs w:val="18"/>
                <w:lang w:val="es-ES_tradnl"/>
              </w:rPr>
              <w:t>56/54</w:t>
            </w:r>
          </w:p>
        </w:tc>
        <w:tc>
          <w:tcPr>
            <w:tcW w:w="765" w:type="dxa"/>
          </w:tcPr>
          <w:p w14:paraId="618E2E6D" w14:textId="77777777" w:rsidR="00F73D5B" w:rsidRPr="008B7A21" w:rsidRDefault="00F73D5B" w:rsidP="00767A6A">
            <w:pPr>
              <w:pStyle w:val="Tabletext"/>
              <w:jc w:val="center"/>
              <w:rPr>
                <w:sz w:val="18"/>
                <w:szCs w:val="18"/>
                <w:lang w:val="es-ES_tradnl"/>
              </w:rPr>
            </w:pPr>
            <w:r w:rsidRPr="008B7A21">
              <w:rPr>
                <w:sz w:val="18"/>
                <w:szCs w:val="18"/>
                <w:lang w:val="es-ES_tradnl"/>
              </w:rPr>
              <w:t>64/63</w:t>
            </w:r>
          </w:p>
        </w:tc>
        <w:tc>
          <w:tcPr>
            <w:tcW w:w="765" w:type="dxa"/>
          </w:tcPr>
          <w:p w14:paraId="2698068F" w14:textId="77777777" w:rsidR="00F73D5B" w:rsidRPr="008B7A21" w:rsidRDefault="00F73D5B" w:rsidP="00767A6A">
            <w:pPr>
              <w:pStyle w:val="Tabletext"/>
              <w:jc w:val="center"/>
              <w:rPr>
                <w:sz w:val="18"/>
                <w:szCs w:val="18"/>
                <w:lang w:val="es-ES_tradnl"/>
              </w:rPr>
            </w:pPr>
            <w:r w:rsidRPr="008B7A21">
              <w:rPr>
                <w:sz w:val="18"/>
                <w:szCs w:val="18"/>
                <w:lang w:val="es-ES_tradnl"/>
              </w:rPr>
              <w:t>71</w:t>
            </w:r>
          </w:p>
        </w:tc>
        <w:tc>
          <w:tcPr>
            <w:tcW w:w="765" w:type="dxa"/>
          </w:tcPr>
          <w:p w14:paraId="31405233" w14:textId="77777777" w:rsidR="00F73D5B" w:rsidRPr="008B7A21" w:rsidRDefault="00F73D5B" w:rsidP="00767A6A">
            <w:pPr>
              <w:pStyle w:val="Tabletext"/>
              <w:jc w:val="center"/>
              <w:rPr>
                <w:sz w:val="18"/>
                <w:szCs w:val="18"/>
                <w:lang w:val="es-ES_tradnl"/>
              </w:rPr>
            </w:pPr>
            <w:r w:rsidRPr="008B7A21">
              <w:rPr>
                <w:sz w:val="18"/>
                <w:szCs w:val="18"/>
                <w:lang w:val="es-ES_tradnl"/>
              </w:rPr>
              <w:t>76</w:t>
            </w:r>
          </w:p>
        </w:tc>
        <w:tc>
          <w:tcPr>
            <w:tcW w:w="765" w:type="dxa"/>
          </w:tcPr>
          <w:p w14:paraId="0B9E357D" w14:textId="77777777" w:rsidR="00F73D5B" w:rsidRPr="008B7A21" w:rsidRDefault="00F73D5B" w:rsidP="00767A6A">
            <w:pPr>
              <w:pStyle w:val="Tabletext"/>
              <w:jc w:val="center"/>
              <w:rPr>
                <w:sz w:val="18"/>
                <w:szCs w:val="18"/>
                <w:lang w:val="es-ES_tradnl"/>
              </w:rPr>
            </w:pPr>
            <w:r w:rsidRPr="008B7A21">
              <w:rPr>
                <w:sz w:val="18"/>
                <w:szCs w:val="18"/>
                <w:lang w:val="es-ES_tradnl"/>
              </w:rPr>
              <w:t>80</w:t>
            </w:r>
          </w:p>
        </w:tc>
        <w:tc>
          <w:tcPr>
            <w:tcW w:w="765" w:type="dxa"/>
          </w:tcPr>
          <w:p w14:paraId="4F76B069" w14:textId="77777777" w:rsidR="00F73D5B" w:rsidRPr="008B7A21" w:rsidRDefault="00F73D5B" w:rsidP="00767A6A">
            <w:pPr>
              <w:pStyle w:val="Tabletext"/>
              <w:jc w:val="center"/>
              <w:rPr>
                <w:sz w:val="18"/>
                <w:szCs w:val="18"/>
                <w:lang w:val="es-ES_tradnl"/>
              </w:rPr>
            </w:pPr>
            <w:r w:rsidRPr="008B7A21">
              <w:rPr>
                <w:sz w:val="18"/>
                <w:szCs w:val="18"/>
                <w:lang w:val="es-ES_tradnl"/>
              </w:rPr>
              <w:t>85</w:t>
            </w:r>
          </w:p>
        </w:tc>
        <w:tc>
          <w:tcPr>
            <w:tcW w:w="765" w:type="dxa"/>
          </w:tcPr>
          <w:p w14:paraId="175A883C" w14:textId="77777777" w:rsidR="00F73D5B" w:rsidRPr="008B7A21" w:rsidRDefault="00F73D5B" w:rsidP="00767A6A">
            <w:pPr>
              <w:pStyle w:val="Tabletext"/>
              <w:jc w:val="center"/>
              <w:rPr>
                <w:sz w:val="18"/>
                <w:szCs w:val="18"/>
                <w:lang w:val="es-ES_tradnl"/>
              </w:rPr>
            </w:pPr>
            <w:r w:rsidRPr="008B7A21">
              <w:rPr>
                <w:sz w:val="18"/>
                <w:szCs w:val="18"/>
                <w:lang w:val="es-ES_tradnl"/>
              </w:rPr>
              <w:t>89</w:t>
            </w:r>
          </w:p>
        </w:tc>
        <w:tc>
          <w:tcPr>
            <w:tcW w:w="879" w:type="dxa"/>
          </w:tcPr>
          <w:p w14:paraId="07292258" w14:textId="77777777" w:rsidR="00F73D5B" w:rsidRPr="008B7A21" w:rsidRDefault="00F73D5B" w:rsidP="00767A6A">
            <w:pPr>
              <w:pStyle w:val="Tabletext"/>
              <w:jc w:val="center"/>
              <w:rPr>
                <w:sz w:val="18"/>
                <w:szCs w:val="18"/>
                <w:lang w:val="es-ES_tradnl"/>
              </w:rPr>
            </w:pPr>
            <w:r w:rsidRPr="008B7A21">
              <w:rPr>
                <w:sz w:val="18"/>
                <w:szCs w:val="18"/>
                <w:lang w:val="es-ES_tradnl"/>
              </w:rPr>
              <w:t>95</w:t>
            </w:r>
          </w:p>
        </w:tc>
      </w:tr>
      <w:tr w:rsidR="00F73D5B" w:rsidRPr="008B7A21" w14:paraId="0E23D4F4" w14:textId="77777777" w:rsidTr="00767A6A">
        <w:trPr>
          <w:jc w:val="center"/>
        </w:trPr>
        <w:tc>
          <w:tcPr>
            <w:tcW w:w="1247" w:type="dxa"/>
          </w:tcPr>
          <w:p w14:paraId="25441F9B" w14:textId="77777777" w:rsidR="00F73D5B" w:rsidRPr="008B7A21" w:rsidRDefault="00F73D5B" w:rsidP="00767A6A">
            <w:pPr>
              <w:pStyle w:val="Tabletext"/>
              <w:jc w:val="center"/>
              <w:rPr>
                <w:sz w:val="18"/>
                <w:szCs w:val="18"/>
                <w:lang w:val="es-ES_tradnl"/>
              </w:rPr>
            </w:pPr>
            <w:r w:rsidRPr="008B7A21">
              <w:rPr>
                <w:sz w:val="18"/>
                <w:szCs w:val="18"/>
                <w:lang w:val="es-ES_tradnl"/>
              </w:rPr>
              <w:t>55,0</w:t>
            </w:r>
          </w:p>
        </w:tc>
        <w:tc>
          <w:tcPr>
            <w:tcW w:w="709" w:type="dxa"/>
          </w:tcPr>
          <w:p w14:paraId="417D5281" w14:textId="77777777" w:rsidR="00F73D5B" w:rsidRPr="008B7A21" w:rsidRDefault="00F73D5B" w:rsidP="00767A6A">
            <w:pPr>
              <w:pStyle w:val="Tabletext"/>
              <w:jc w:val="center"/>
              <w:rPr>
                <w:sz w:val="18"/>
                <w:szCs w:val="18"/>
                <w:lang w:val="es-ES_tradnl"/>
              </w:rPr>
            </w:pPr>
            <w:r w:rsidRPr="008B7A21">
              <w:rPr>
                <w:sz w:val="18"/>
                <w:szCs w:val="18"/>
                <w:lang w:val="es-ES_tradnl"/>
              </w:rPr>
              <w:t>50/36</w:t>
            </w:r>
          </w:p>
        </w:tc>
        <w:tc>
          <w:tcPr>
            <w:tcW w:w="765" w:type="dxa"/>
          </w:tcPr>
          <w:p w14:paraId="7FD2E67E" w14:textId="77777777" w:rsidR="00F73D5B" w:rsidRPr="008B7A21" w:rsidRDefault="00F73D5B" w:rsidP="00767A6A">
            <w:pPr>
              <w:pStyle w:val="Tabletext"/>
              <w:jc w:val="center"/>
              <w:rPr>
                <w:sz w:val="18"/>
                <w:szCs w:val="18"/>
                <w:lang w:val="es-ES_tradnl"/>
              </w:rPr>
            </w:pPr>
            <w:r w:rsidRPr="008B7A21">
              <w:rPr>
                <w:sz w:val="18"/>
                <w:szCs w:val="18"/>
                <w:lang w:val="es-ES_tradnl"/>
              </w:rPr>
              <w:t>54/42</w:t>
            </w:r>
          </w:p>
        </w:tc>
        <w:tc>
          <w:tcPr>
            <w:tcW w:w="765" w:type="dxa"/>
          </w:tcPr>
          <w:p w14:paraId="58E1627D" w14:textId="77777777" w:rsidR="00F73D5B" w:rsidRPr="008B7A21" w:rsidRDefault="00F73D5B" w:rsidP="00767A6A">
            <w:pPr>
              <w:pStyle w:val="Tabletext"/>
              <w:jc w:val="center"/>
              <w:rPr>
                <w:sz w:val="18"/>
                <w:szCs w:val="18"/>
                <w:lang w:val="es-ES_tradnl"/>
              </w:rPr>
            </w:pPr>
            <w:r w:rsidRPr="008B7A21">
              <w:rPr>
                <w:sz w:val="18"/>
                <w:szCs w:val="18"/>
                <w:lang w:val="es-ES_tradnl"/>
              </w:rPr>
              <w:t>62/49</w:t>
            </w:r>
          </w:p>
        </w:tc>
        <w:tc>
          <w:tcPr>
            <w:tcW w:w="765" w:type="dxa"/>
          </w:tcPr>
          <w:p w14:paraId="598C32D8" w14:textId="77777777" w:rsidR="00F73D5B" w:rsidRPr="008B7A21" w:rsidRDefault="00F73D5B" w:rsidP="00767A6A">
            <w:pPr>
              <w:pStyle w:val="Tabletext"/>
              <w:jc w:val="center"/>
              <w:rPr>
                <w:sz w:val="18"/>
                <w:szCs w:val="18"/>
                <w:lang w:val="es-ES_tradnl"/>
              </w:rPr>
            </w:pPr>
            <w:r w:rsidRPr="008B7A21">
              <w:rPr>
                <w:sz w:val="18"/>
                <w:szCs w:val="18"/>
                <w:lang w:val="es-ES_tradnl"/>
              </w:rPr>
              <w:t>68/54</w:t>
            </w:r>
          </w:p>
        </w:tc>
        <w:tc>
          <w:tcPr>
            <w:tcW w:w="765" w:type="dxa"/>
          </w:tcPr>
          <w:p w14:paraId="728775B6" w14:textId="77777777" w:rsidR="00F73D5B" w:rsidRPr="008B7A21" w:rsidRDefault="00F73D5B" w:rsidP="00767A6A">
            <w:pPr>
              <w:pStyle w:val="Tabletext"/>
              <w:jc w:val="center"/>
              <w:rPr>
                <w:sz w:val="18"/>
                <w:szCs w:val="18"/>
                <w:lang w:val="es-ES_tradnl"/>
              </w:rPr>
            </w:pPr>
            <w:r w:rsidRPr="008B7A21">
              <w:rPr>
                <w:sz w:val="18"/>
                <w:szCs w:val="18"/>
                <w:lang w:val="es-ES_tradnl"/>
              </w:rPr>
              <w:t>76/63</w:t>
            </w:r>
          </w:p>
        </w:tc>
        <w:tc>
          <w:tcPr>
            <w:tcW w:w="765" w:type="dxa"/>
          </w:tcPr>
          <w:p w14:paraId="51BBC0E0" w14:textId="77777777" w:rsidR="00F73D5B" w:rsidRPr="008B7A21" w:rsidRDefault="00F73D5B" w:rsidP="00767A6A">
            <w:pPr>
              <w:pStyle w:val="Tabletext"/>
              <w:jc w:val="center"/>
              <w:rPr>
                <w:sz w:val="18"/>
                <w:szCs w:val="18"/>
                <w:lang w:val="es-ES_tradnl"/>
              </w:rPr>
            </w:pPr>
            <w:r w:rsidRPr="008B7A21">
              <w:rPr>
                <w:sz w:val="18"/>
                <w:szCs w:val="18"/>
                <w:lang w:val="es-ES_tradnl"/>
              </w:rPr>
              <w:t>83/71</w:t>
            </w:r>
          </w:p>
        </w:tc>
        <w:tc>
          <w:tcPr>
            <w:tcW w:w="765" w:type="dxa"/>
          </w:tcPr>
          <w:p w14:paraId="2AE331A9" w14:textId="77777777" w:rsidR="00F73D5B" w:rsidRPr="008B7A21" w:rsidRDefault="00F73D5B" w:rsidP="00767A6A">
            <w:pPr>
              <w:pStyle w:val="Tabletext"/>
              <w:jc w:val="center"/>
              <w:rPr>
                <w:sz w:val="18"/>
                <w:szCs w:val="18"/>
                <w:lang w:val="es-ES_tradnl"/>
              </w:rPr>
            </w:pPr>
            <w:r w:rsidRPr="008B7A21">
              <w:rPr>
                <w:sz w:val="18"/>
                <w:szCs w:val="18"/>
                <w:lang w:val="es-ES_tradnl"/>
              </w:rPr>
              <w:t>88/78</w:t>
            </w:r>
          </w:p>
        </w:tc>
        <w:tc>
          <w:tcPr>
            <w:tcW w:w="765" w:type="dxa"/>
          </w:tcPr>
          <w:p w14:paraId="68F4E387" w14:textId="77777777" w:rsidR="00F73D5B" w:rsidRPr="008B7A21" w:rsidRDefault="00F73D5B" w:rsidP="00767A6A">
            <w:pPr>
              <w:pStyle w:val="Tabletext"/>
              <w:jc w:val="center"/>
              <w:rPr>
                <w:sz w:val="18"/>
                <w:szCs w:val="18"/>
                <w:lang w:val="es-ES_tradnl"/>
              </w:rPr>
            </w:pPr>
            <w:r w:rsidRPr="008B7A21">
              <w:rPr>
                <w:sz w:val="18"/>
                <w:szCs w:val="18"/>
                <w:lang w:val="es-ES_tradnl"/>
              </w:rPr>
              <w:t>93/84</w:t>
            </w:r>
          </w:p>
        </w:tc>
        <w:tc>
          <w:tcPr>
            <w:tcW w:w="765" w:type="dxa"/>
          </w:tcPr>
          <w:p w14:paraId="15C9A8A8" w14:textId="77777777" w:rsidR="00F73D5B" w:rsidRPr="008B7A21" w:rsidRDefault="00F73D5B" w:rsidP="00767A6A">
            <w:pPr>
              <w:pStyle w:val="Tabletext"/>
              <w:jc w:val="center"/>
              <w:rPr>
                <w:sz w:val="18"/>
                <w:szCs w:val="18"/>
                <w:lang w:val="es-ES_tradnl"/>
              </w:rPr>
            </w:pPr>
            <w:r w:rsidRPr="008B7A21">
              <w:rPr>
                <w:sz w:val="18"/>
                <w:szCs w:val="18"/>
                <w:lang w:val="es-ES_tradnl"/>
              </w:rPr>
              <w:t>97/90</w:t>
            </w:r>
          </w:p>
        </w:tc>
        <w:tc>
          <w:tcPr>
            <w:tcW w:w="765" w:type="dxa"/>
          </w:tcPr>
          <w:p w14:paraId="7457FD1C" w14:textId="77777777" w:rsidR="00F73D5B" w:rsidRPr="008B7A21" w:rsidRDefault="00F73D5B" w:rsidP="00767A6A">
            <w:pPr>
              <w:pStyle w:val="Tabletext"/>
              <w:jc w:val="center"/>
              <w:rPr>
                <w:sz w:val="18"/>
                <w:szCs w:val="18"/>
                <w:lang w:val="es-ES_tradnl"/>
              </w:rPr>
            </w:pPr>
            <w:r w:rsidRPr="008B7A21">
              <w:rPr>
                <w:sz w:val="18"/>
                <w:szCs w:val="18"/>
                <w:lang w:val="es-ES_tradnl"/>
              </w:rPr>
              <w:t>102/95</w:t>
            </w:r>
          </w:p>
        </w:tc>
        <w:tc>
          <w:tcPr>
            <w:tcW w:w="879" w:type="dxa"/>
          </w:tcPr>
          <w:p w14:paraId="6E961155" w14:textId="77777777" w:rsidR="00F73D5B" w:rsidRPr="008B7A21" w:rsidRDefault="00F73D5B" w:rsidP="00767A6A">
            <w:pPr>
              <w:pStyle w:val="Tabletext"/>
              <w:jc w:val="center"/>
              <w:rPr>
                <w:sz w:val="18"/>
                <w:szCs w:val="18"/>
                <w:lang w:val="es-ES_tradnl"/>
              </w:rPr>
            </w:pPr>
            <w:r w:rsidRPr="008B7A21">
              <w:rPr>
                <w:sz w:val="18"/>
                <w:szCs w:val="18"/>
                <w:lang w:val="es-ES_tradnl"/>
              </w:rPr>
              <w:t>109/105</w:t>
            </w:r>
          </w:p>
        </w:tc>
      </w:tr>
      <w:tr w:rsidR="00F73D5B" w:rsidRPr="008B7A21" w14:paraId="712FC24E" w14:textId="77777777" w:rsidTr="00767A6A">
        <w:trPr>
          <w:jc w:val="center"/>
        </w:trPr>
        <w:tc>
          <w:tcPr>
            <w:tcW w:w="1247" w:type="dxa"/>
          </w:tcPr>
          <w:p w14:paraId="0FAD5DD9" w14:textId="77777777" w:rsidR="00F73D5B" w:rsidRPr="008B7A21" w:rsidRDefault="00F73D5B" w:rsidP="00767A6A">
            <w:pPr>
              <w:pStyle w:val="Tabletext"/>
              <w:jc w:val="center"/>
              <w:rPr>
                <w:sz w:val="18"/>
                <w:szCs w:val="18"/>
                <w:lang w:val="es-ES_tradnl"/>
              </w:rPr>
            </w:pPr>
            <w:r w:rsidRPr="008B7A21">
              <w:rPr>
                <w:sz w:val="18"/>
                <w:szCs w:val="18"/>
                <w:lang w:val="es-ES_tradnl"/>
              </w:rPr>
              <w:t>60,0</w:t>
            </w:r>
          </w:p>
        </w:tc>
        <w:tc>
          <w:tcPr>
            <w:tcW w:w="709" w:type="dxa"/>
          </w:tcPr>
          <w:p w14:paraId="08F61312" w14:textId="77777777" w:rsidR="00F73D5B" w:rsidRPr="008B7A21" w:rsidRDefault="00F73D5B" w:rsidP="00767A6A">
            <w:pPr>
              <w:pStyle w:val="Tabletext"/>
              <w:jc w:val="center"/>
              <w:rPr>
                <w:sz w:val="18"/>
                <w:szCs w:val="18"/>
                <w:lang w:val="es-ES_tradnl"/>
              </w:rPr>
            </w:pPr>
            <w:r w:rsidRPr="008B7A21">
              <w:rPr>
                <w:sz w:val="18"/>
                <w:szCs w:val="18"/>
                <w:lang w:val="es-ES_tradnl"/>
              </w:rPr>
              <w:t>57/36</w:t>
            </w:r>
          </w:p>
        </w:tc>
        <w:tc>
          <w:tcPr>
            <w:tcW w:w="765" w:type="dxa"/>
          </w:tcPr>
          <w:p w14:paraId="634646B8" w14:textId="77777777" w:rsidR="00F73D5B" w:rsidRPr="008B7A21" w:rsidRDefault="00F73D5B" w:rsidP="00767A6A">
            <w:pPr>
              <w:pStyle w:val="Tabletext"/>
              <w:jc w:val="center"/>
              <w:rPr>
                <w:sz w:val="18"/>
                <w:szCs w:val="18"/>
                <w:lang w:val="es-ES_tradnl"/>
              </w:rPr>
            </w:pPr>
            <w:r w:rsidRPr="008B7A21">
              <w:rPr>
                <w:sz w:val="18"/>
                <w:szCs w:val="18"/>
                <w:lang w:val="es-ES_tradnl"/>
              </w:rPr>
              <w:t>67/42</w:t>
            </w:r>
          </w:p>
        </w:tc>
        <w:tc>
          <w:tcPr>
            <w:tcW w:w="765" w:type="dxa"/>
          </w:tcPr>
          <w:p w14:paraId="1A13EEFE" w14:textId="77777777" w:rsidR="00F73D5B" w:rsidRPr="008B7A21" w:rsidRDefault="00F73D5B" w:rsidP="00767A6A">
            <w:pPr>
              <w:pStyle w:val="Tabletext"/>
              <w:jc w:val="center"/>
              <w:rPr>
                <w:sz w:val="18"/>
                <w:szCs w:val="18"/>
                <w:lang w:val="es-ES_tradnl"/>
              </w:rPr>
            </w:pPr>
            <w:r w:rsidRPr="008B7A21">
              <w:rPr>
                <w:sz w:val="18"/>
                <w:szCs w:val="18"/>
                <w:lang w:val="es-ES_tradnl"/>
              </w:rPr>
              <w:t>75/49</w:t>
            </w:r>
          </w:p>
        </w:tc>
        <w:tc>
          <w:tcPr>
            <w:tcW w:w="765" w:type="dxa"/>
          </w:tcPr>
          <w:p w14:paraId="09C43A34" w14:textId="77777777" w:rsidR="00F73D5B" w:rsidRPr="008B7A21" w:rsidRDefault="00F73D5B" w:rsidP="00767A6A">
            <w:pPr>
              <w:pStyle w:val="Tabletext"/>
              <w:jc w:val="center"/>
              <w:rPr>
                <w:sz w:val="18"/>
                <w:szCs w:val="18"/>
                <w:lang w:val="es-ES_tradnl"/>
              </w:rPr>
            </w:pPr>
            <w:r w:rsidRPr="008B7A21">
              <w:rPr>
                <w:sz w:val="18"/>
                <w:szCs w:val="18"/>
                <w:lang w:val="es-ES_tradnl"/>
              </w:rPr>
              <w:t>81/54</w:t>
            </w:r>
          </w:p>
        </w:tc>
        <w:tc>
          <w:tcPr>
            <w:tcW w:w="765" w:type="dxa"/>
          </w:tcPr>
          <w:p w14:paraId="47F98BA5" w14:textId="77777777" w:rsidR="00F73D5B" w:rsidRPr="008B7A21" w:rsidRDefault="00F73D5B" w:rsidP="00767A6A">
            <w:pPr>
              <w:pStyle w:val="Tabletext"/>
              <w:jc w:val="center"/>
              <w:rPr>
                <w:sz w:val="18"/>
                <w:szCs w:val="18"/>
                <w:lang w:val="es-ES_tradnl"/>
              </w:rPr>
            </w:pPr>
            <w:r w:rsidRPr="008B7A21">
              <w:rPr>
                <w:sz w:val="18"/>
                <w:szCs w:val="18"/>
                <w:lang w:val="es-ES_tradnl"/>
              </w:rPr>
              <w:t>90/63</w:t>
            </w:r>
          </w:p>
        </w:tc>
        <w:tc>
          <w:tcPr>
            <w:tcW w:w="765" w:type="dxa"/>
          </w:tcPr>
          <w:p w14:paraId="4B6F1FF8" w14:textId="77777777" w:rsidR="00F73D5B" w:rsidRPr="008B7A21" w:rsidRDefault="00F73D5B" w:rsidP="00767A6A">
            <w:pPr>
              <w:pStyle w:val="Tabletext"/>
              <w:jc w:val="center"/>
              <w:rPr>
                <w:sz w:val="18"/>
                <w:szCs w:val="18"/>
                <w:lang w:val="es-ES_tradnl"/>
              </w:rPr>
            </w:pPr>
            <w:r w:rsidRPr="008B7A21">
              <w:rPr>
                <w:sz w:val="18"/>
                <w:szCs w:val="18"/>
                <w:lang w:val="es-ES_tradnl"/>
              </w:rPr>
              <w:t>97/71</w:t>
            </w:r>
          </w:p>
        </w:tc>
        <w:tc>
          <w:tcPr>
            <w:tcW w:w="765" w:type="dxa"/>
          </w:tcPr>
          <w:p w14:paraId="012A3D92" w14:textId="77777777" w:rsidR="00F73D5B" w:rsidRPr="008B7A21" w:rsidRDefault="00F73D5B" w:rsidP="00767A6A">
            <w:pPr>
              <w:pStyle w:val="Tabletext"/>
              <w:jc w:val="center"/>
              <w:rPr>
                <w:sz w:val="18"/>
                <w:szCs w:val="18"/>
                <w:lang w:val="es-ES_tradnl"/>
              </w:rPr>
            </w:pPr>
            <w:r w:rsidRPr="008B7A21">
              <w:rPr>
                <w:sz w:val="18"/>
                <w:szCs w:val="18"/>
                <w:lang w:val="es-ES_tradnl"/>
              </w:rPr>
              <w:t>103/78</w:t>
            </w:r>
          </w:p>
        </w:tc>
        <w:tc>
          <w:tcPr>
            <w:tcW w:w="765" w:type="dxa"/>
          </w:tcPr>
          <w:p w14:paraId="4C88C0A9" w14:textId="77777777" w:rsidR="00F73D5B" w:rsidRPr="008B7A21" w:rsidRDefault="00F73D5B" w:rsidP="00767A6A">
            <w:pPr>
              <w:pStyle w:val="Tabletext"/>
              <w:jc w:val="center"/>
              <w:rPr>
                <w:sz w:val="18"/>
                <w:szCs w:val="18"/>
                <w:lang w:val="es-ES_tradnl"/>
              </w:rPr>
            </w:pPr>
            <w:r w:rsidRPr="008B7A21">
              <w:rPr>
                <w:sz w:val="18"/>
                <w:szCs w:val="18"/>
                <w:lang w:val="es-ES_tradnl"/>
              </w:rPr>
              <w:t>107/84</w:t>
            </w:r>
          </w:p>
        </w:tc>
        <w:tc>
          <w:tcPr>
            <w:tcW w:w="765" w:type="dxa"/>
          </w:tcPr>
          <w:p w14:paraId="3553FD32" w14:textId="77777777" w:rsidR="00F73D5B" w:rsidRPr="008B7A21" w:rsidRDefault="00F73D5B" w:rsidP="00767A6A">
            <w:pPr>
              <w:pStyle w:val="Tabletext"/>
              <w:jc w:val="center"/>
              <w:rPr>
                <w:sz w:val="18"/>
                <w:szCs w:val="18"/>
                <w:lang w:val="es-ES_tradnl"/>
              </w:rPr>
            </w:pPr>
            <w:r w:rsidRPr="008B7A21">
              <w:rPr>
                <w:sz w:val="18"/>
                <w:szCs w:val="18"/>
                <w:lang w:val="es-ES_tradnl"/>
              </w:rPr>
              <w:t>113/90</w:t>
            </w:r>
          </w:p>
        </w:tc>
        <w:tc>
          <w:tcPr>
            <w:tcW w:w="765" w:type="dxa"/>
          </w:tcPr>
          <w:p w14:paraId="72253862" w14:textId="77777777" w:rsidR="00F73D5B" w:rsidRPr="008B7A21" w:rsidRDefault="00F73D5B" w:rsidP="00767A6A">
            <w:pPr>
              <w:pStyle w:val="Tabletext"/>
              <w:jc w:val="center"/>
              <w:rPr>
                <w:sz w:val="18"/>
                <w:szCs w:val="18"/>
                <w:lang w:val="es-ES_tradnl"/>
              </w:rPr>
            </w:pPr>
            <w:r w:rsidRPr="008B7A21">
              <w:rPr>
                <w:sz w:val="18"/>
                <w:szCs w:val="18"/>
                <w:lang w:val="es-ES_tradnl"/>
              </w:rPr>
              <w:t>117/95</w:t>
            </w:r>
          </w:p>
        </w:tc>
        <w:tc>
          <w:tcPr>
            <w:tcW w:w="879" w:type="dxa"/>
          </w:tcPr>
          <w:p w14:paraId="18F103E9" w14:textId="77777777" w:rsidR="00F73D5B" w:rsidRPr="008B7A21" w:rsidRDefault="00F73D5B" w:rsidP="00767A6A">
            <w:pPr>
              <w:pStyle w:val="Tabletext"/>
              <w:jc w:val="center"/>
              <w:rPr>
                <w:sz w:val="18"/>
                <w:szCs w:val="18"/>
                <w:lang w:val="es-ES_tradnl"/>
              </w:rPr>
            </w:pPr>
            <w:r w:rsidRPr="008B7A21">
              <w:rPr>
                <w:sz w:val="18"/>
                <w:szCs w:val="18"/>
                <w:lang w:val="es-ES_tradnl"/>
              </w:rPr>
              <w:t>125/105</w:t>
            </w:r>
          </w:p>
        </w:tc>
      </w:tr>
    </w:tbl>
    <w:p w14:paraId="503E212C" w14:textId="77777777" w:rsidR="00F73D5B" w:rsidRPr="008B7A21" w:rsidRDefault="00F73D5B" w:rsidP="00F73D5B">
      <w:pPr>
        <w:pStyle w:val="Tablefin"/>
        <w:rPr>
          <w:lang w:val="es-ES_tradnl"/>
        </w:rPr>
      </w:pPr>
    </w:p>
    <w:p w14:paraId="7687C662" w14:textId="19787653" w:rsidR="00F73D5B" w:rsidRPr="008B7A21" w:rsidRDefault="00F73D5B" w:rsidP="00F73D5B">
      <w:pPr>
        <w:pStyle w:val="TableNo"/>
        <w:rPr>
          <w:rFonts w:asciiTheme="majorBidi" w:hAnsiTheme="majorBidi" w:cstheme="majorBidi"/>
          <w:sz w:val="22"/>
          <w:szCs w:val="22"/>
          <w:lang w:val="es-ES_tradnl"/>
        </w:rPr>
      </w:pPr>
      <w:r w:rsidRPr="008B7A21">
        <w:rPr>
          <w:rFonts w:asciiTheme="majorBidi" w:hAnsiTheme="majorBidi" w:cstheme="majorBidi"/>
          <w:sz w:val="22"/>
          <w:szCs w:val="22"/>
          <w:lang w:val="es-ES_tradnl"/>
        </w:rPr>
        <w:t>CUADRO 8</w:t>
      </w:r>
    </w:p>
    <w:p w14:paraId="51D285FA" w14:textId="77777777" w:rsidR="00F73D5B" w:rsidRPr="008B7A21" w:rsidRDefault="00F73D5B" w:rsidP="00F73D5B">
      <w:pPr>
        <w:pStyle w:val="Tabletitle"/>
        <w:rPr>
          <w:rFonts w:asciiTheme="majorBidi" w:hAnsiTheme="majorBidi" w:cstheme="majorBidi"/>
          <w:sz w:val="22"/>
          <w:szCs w:val="22"/>
          <w:lang w:val="es-ES_tradnl"/>
        </w:rPr>
      </w:pPr>
      <w:r w:rsidRPr="008B7A21">
        <w:rPr>
          <w:rFonts w:asciiTheme="majorBidi" w:hAnsiTheme="majorBidi" w:cstheme="majorBidi"/>
          <w:sz w:val="22"/>
          <w:szCs w:val="22"/>
          <w:lang w:val="es-ES_tradnl"/>
        </w:rPr>
        <w:t>Radio de la zona de servicio (km) para el servicio</w:t>
      </w:r>
      <w:r w:rsidRPr="008B7A21">
        <w:rPr>
          <w:rFonts w:asciiTheme="majorBidi" w:hAnsiTheme="majorBidi" w:cstheme="majorBidi"/>
          <w:sz w:val="22"/>
          <w:szCs w:val="22"/>
          <w:lang w:val="es-ES_tradnl"/>
        </w:rPr>
        <w:br/>
        <w:t>de televisión en la banda 230-528 MHz,</w:t>
      </w:r>
      <w:r w:rsidRPr="008B7A21">
        <w:rPr>
          <w:rFonts w:asciiTheme="majorBidi" w:hAnsiTheme="majorBidi" w:cstheme="majorBidi"/>
          <w:sz w:val="22"/>
          <w:szCs w:val="22"/>
          <w:lang w:val="es-ES_tradnl"/>
        </w:rPr>
        <w:br/>
      </w:r>
      <w:r w:rsidRPr="008B7A21">
        <w:rPr>
          <w:rFonts w:asciiTheme="majorBidi" w:hAnsiTheme="majorBidi" w:cstheme="majorBidi"/>
          <w:i/>
          <w:iCs/>
          <w:sz w:val="22"/>
          <w:szCs w:val="22"/>
          <w:lang w:val="es-ES_tradnl"/>
        </w:rPr>
        <w:t>E</w:t>
      </w:r>
      <w:r w:rsidRPr="008B7A21">
        <w:rPr>
          <w:rFonts w:asciiTheme="majorBidi" w:hAnsiTheme="majorBidi" w:cstheme="majorBidi"/>
          <w:i/>
          <w:iCs/>
          <w:sz w:val="22"/>
          <w:szCs w:val="22"/>
          <w:vertAlign w:val="subscript"/>
          <w:lang w:val="es-ES_tradnl"/>
        </w:rPr>
        <w:t>mu</w:t>
      </w:r>
      <w:r w:rsidRPr="008B7A21">
        <w:rPr>
          <w:rFonts w:asciiTheme="majorBidi" w:hAnsiTheme="majorBidi" w:cstheme="majorBidi"/>
          <w:sz w:val="22"/>
          <w:szCs w:val="22"/>
          <w:lang w:val="es-ES_tradnl"/>
        </w:rPr>
        <w:t xml:space="preserve"> = 65 dB(</w:t>
      </w:r>
      <w:r w:rsidRPr="008B7A21">
        <w:rPr>
          <w:rFonts w:asciiTheme="majorBidi" w:hAnsiTheme="majorBidi" w:cstheme="majorBidi"/>
          <w:sz w:val="22"/>
          <w:szCs w:val="22"/>
          <w:lang w:val="es-ES_tradnl"/>
        </w:rPr>
        <w:sym w:font="Symbol" w:char="F06D"/>
      </w:r>
      <w:r w:rsidRPr="008B7A21">
        <w:rPr>
          <w:rFonts w:asciiTheme="majorBidi" w:hAnsiTheme="majorBidi" w:cstheme="majorBidi"/>
          <w:sz w:val="22"/>
          <w:szCs w:val="22"/>
          <w:lang w:val="es-ES_tradnl"/>
        </w:rPr>
        <w:t xml:space="preserve">V/m), </w:t>
      </w:r>
      <w:r w:rsidRPr="008B7A21">
        <w:rPr>
          <w:rFonts w:asciiTheme="majorBidi" w:hAnsiTheme="majorBidi" w:cstheme="majorBidi"/>
          <w:i/>
          <w:iCs/>
          <w:sz w:val="22"/>
          <w:szCs w:val="22"/>
          <w:lang w:val="es-ES_tradnl"/>
        </w:rPr>
        <w:t>f</w:t>
      </w:r>
      <w:r w:rsidRPr="008B7A21">
        <w:rPr>
          <w:rFonts w:asciiTheme="majorBidi" w:hAnsiTheme="majorBidi" w:cstheme="majorBidi"/>
          <w:i/>
          <w:iCs/>
          <w:sz w:val="22"/>
          <w:szCs w:val="22"/>
          <w:vertAlign w:val="subscript"/>
          <w:lang w:val="es-ES_tradnl"/>
        </w:rPr>
        <w:t>c</w:t>
      </w:r>
      <w:r w:rsidRPr="008B7A21">
        <w:rPr>
          <w:rFonts w:asciiTheme="majorBidi" w:hAnsiTheme="majorBidi" w:cstheme="majorBidi"/>
          <w:i/>
          <w:iCs/>
          <w:sz w:val="22"/>
          <w:szCs w:val="22"/>
          <w:lang w:val="es-ES_tradnl"/>
        </w:rPr>
        <w:t xml:space="preserve"> </w:t>
      </w:r>
      <w:r w:rsidRPr="008B7A21">
        <w:rPr>
          <w:rFonts w:asciiTheme="majorBidi" w:hAnsiTheme="majorBidi" w:cstheme="majorBidi"/>
          <w:iCs/>
          <w:sz w:val="22"/>
          <w:szCs w:val="22"/>
          <w:lang w:val="es-ES_tradnl"/>
        </w:rPr>
        <w:t>=</w:t>
      </w:r>
      <w:r w:rsidRPr="008B7A21">
        <w:rPr>
          <w:rFonts w:asciiTheme="majorBidi" w:hAnsiTheme="majorBidi" w:cstheme="majorBidi"/>
          <w:i/>
          <w:iCs/>
          <w:sz w:val="22"/>
          <w:szCs w:val="22"/>
          <w:lang w:val="es-ES_tradnl"/>
        </w:rPr>
        <w:t xml:space="preserve"> </w:t>
      </w:r>
      <w:r w:rsidRPr="008B7A21">
        <w:rPr>
          <w:rFonts w:asciiTheme="majorBidi" w:hAnsiTheme="majorBidi" w:cstheme="majorBidi"/>
          <w:sz w:val="22"/>
          <w:szCs w:val="22"/>
          <w:lang w:val="es-ES_tradnl"/>
        </w:rPr>
        <w:t>250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709"/>
        <w:gridCol w:w="765"/>
        <w:gridCol w:w="765"/>
        <w:gridCol w:w="765"/>
        <w:gridCol w:w="765"/>
        <w:gridCol w:w="765"/>
        <w:gridCol w:w="765"/>
        <w:gridCol w:w="765"/>
        <w:gridCol w:w="765"/>
        <w:gridCol w:w="765"/>
        <w:gridCol w:w="879"/>
      </w:tblGrid>
      <w:tr w:rsidR="00F73D5B" w:rsidRPr="008B7A21" w14:paraId="12859152" w14:textId="77777777" w:rsidTr="00767A6A">
        <w:trPr>
          <w:jc w:val="center"/>
        </w:trPr>
        <w:tc>
          <w:tcPr>
            <w:tcW w:w="1247" w:type="dxa"/>
            <w:tcBorders>
              <w:tl2br w:val="single" w:sz="4" w:space="0" w:color="auto"/>
            </w:tcBorders>
            <w:vAlign w:val="center"/>
          </w:tcPr>
          <w:p w14:paraId="146AA2B6" w14:textId="77777777" w:rsidR="00F73D5B" w:rsidRPr="008B7A21" w:rsidRDefault="00F73D5B" w:rsidP="00767A6A">
            <w:pPr>
              <w:pStyle w:val="Tablehead"/>
              <w:spacing w:before="120"/>
              <w:jc w:val="right"/>
              <w:rPr>
                <w:sz w:val="18"/>
                <w:szCs w:val="18"/>
                <w:lang w:val="es-ES_tradnl"/>
              </w:rPr>
            </w:pPr>
            <w:r w:rsidRPr="008B7A21">
              <w:rPr>
                <w:i/>
                <w:iCs/>
                <w:sz w:val="18"/>
                <w:szCs w:val="18"/>
                <w:lang w:val="es-ES_tradnl"/>
              </w:rPr>
              <w:br/>
              <w:t>h</w:t>
            </w:r>
            <w:r w:rsidRPr="008B7A21">
              <w:rPr>
                <w:i/>
                <w:iCs/>
                <w:sz w:val="18"/>
                <w:szCs w:val="18"/>
                <w:vertAlign w:val="subscript"/>
                <w:lang w:val="es-ES_tradnl"/>
              </w:rPr>
              <w:t>ef</w:t>
            </w:r>
            <w:r w:rsidRPr="008B7A21">
              <w:rPr>
                <w:sz w:val="18"/>
                <w:szCs w:val="18"/>
                <w:lang w:val="es-ES_tradnl"/>
              </w:rPr>
              <w:t xml:space="preserve"> (m)</w:t>
            </w:r>
          </w:p>
          <w:p w14:paraId="59F0E041" w14:textId="77777777" w:rsidR="00F73D5B" w:rsidRPr="008B7A21" w:rsidRDefault="00F73D5B" w:rsidP="00767A6A">
            <w:pPr>
              <w:pStyle w:val="Tablehead"/>
              <w:spacing w:before="120" w:after="40"/>
              <w:ind w:left="-28"/>
              <w:jc w:val="left"/>
              <w:rPr>
                <w:sz w:val="18"/>
                <w:szCs w:val="18"/>
                <w:lang w:val="es-ES_tradnl"/>
              </w:rPr>
            </w:pPr>
            <w:r w:rsidRPr="008B7A21">
              <w:rPr>
                <w:i/>
                <w:iCs/>
                <w:sz w:val="18"/>
                <w:szCs w:val="18"/>
                <w:lang w:val="es-ES_tradnl"/>
              </w:rPr>
              <w:t>P</w:t>
            </w:r>
            <w:r w:rsidRPr="008B7A21">
              <w:rPr>
                <w:i/>
                <w:iCs/>
                <w:sz w:val="18"/>
                <w:szCs w:val="18"/>
                <w:vertAlign w:val="subscript"/>
                <w:lang w:val="es-ES_tradnl"/>
              </w:rPr>
              <w:t>ef</w:t>
            </w:r>
            <w:r w:rsidRPr="008B7A21">
              <w:rPr>
                <w:rFonts w:ascii="Tms Rmn" w:hAnsi="Tms Rmn"/>
                <w:sz w:val="18"/>
                <w:szCs w:val="18"/>
                <w:vertAlign w:val="subscript"/>
                <w:lang w:val="es-ES_tradnl"/>
              </w:rPr>
              <w:t xml:space="preserve">  </w:t>
            </w:r>
            <w:r w:rsidRPr="008B7A21">
              <w:rPr>
                <w:sz w:val="18"/>
                <w:szCs w:val="18"/>
                <w:lang w:val="es-ES_tradnl"/>
              </w:rPr>
              <w:t>(dBW)</w:t>
            </w:r>
          </w:p>
        </w:tc>
        <w:tc>
          <w:tcPr>
            <w:tcW w:w="709" w:type="dxa"/>
            <w:vAlign w:val="center"/>
          </w:tcPr>
          <w:p w14:paraId="08D80A0A" w14:textId="77777777" w:rsidR="00F73D5B" w:rsidRPr="008B7A21" w:rsidRDefault="00F73D5B" w:rsidP="00767A6A">
            <w:pPr>
              <w:pStyle w:val="Tablehead"/>
              <w:rPr>
                <w:sz w:val="18"/>
                <w:szCs w:val="18"/>
                <w:lang w:val="es-ES_tradnl"/>
              </w:rPr>
            </w:pPr>
            <w:r w:rsidRPr="008B7A21">
              <w:rPr>
                <w:sz w:val="18"/>
                <w:szCs w:val="18"/>
                <w:lang w:val="es-ES_tradnl"/>
              </w:rPr>
              <w:t>30</w:t>
            </w:r>
          </w:p>
        </w:tc>
        <w:tc>
          <w:tcPr>
            <w:tcW w:w="765" w:type="dxa"/>
            <w:vAlign w:val="center"/>
          </w:tcPr>
          <w:p w14:paraId="6305CEBD" w14:textId="77777777" w:rsidR="00F73D5B" w:rsidRPr="008B7A21" w:rsidRDefault="00F73D5B" w:rsidP="00767A6A">
            <w:pPr>
              <w:pStyle w:val="Tablehead"/>
              <w:rPr>
                <w:sz w:val="18"/>
                <w:szCs w:val="18"/>
                <w:lang w:val="es-ES_tradnl"/>
              </w:rPr>
            </w:pPr>
            <w:r w:rsidRPr="008B7A21">
              <w:rPr>
                <w:sz w:val="18"/>
                <w:szCs w:val="18"/>
                <w:lang w:val="es-ES_tradnl"/>
              </w:rPr>
              <w:t>50</w:t>
            </w:r>
          </w:p>
        </w:tc>
        <w:tc>
          <w:tcPr>
            <w:tcW w:w="765" w:type="dxa"/>
            <w:vAlign w:val="center"/>
          </w:tcPr>
          <w:p w14:paraId="70D90FD5" w14:textId="77777777" w:rsidR="00F73D5B" w:rsidRPr="008B7A21" w:rsidRDefault="00F73D5B" w:rsidP="00767A6A">
            <w:pPr>
              <w:pStyle w:val="Tablehead"/>
              <w:rPr>
                <w:sz w:val="18"/>
                <w:szCs w:val="18"/>
                <w:lang w:val="es-ES_tradnl"/>
              </w:rPr>
            </w:pPr>
            <w:r w:rsidRPr="008B7A21">
              <w:rPr>
                <w:sz w:val="18"/>
                <w:szCs w:val="18"/>
                <w:lang w:val="es-ES_tradnl"/>
              </w:rPr>
              <w:t>75</w:t>
            </w:r>
          </w:p>
        </w:tc>
        <w:tc>
          <w:tcPr>
            <w:tcW w:w="765" w:type="dxa"/>
            <w:vAlign w:val="center"/>
          </w:tcPr>
          <w:p w14:paraId="52416327" w14:textId="77777777" w:rsidR="00F73D5B" w:rsidRPr="008B7A21" w:rsidRDefault="00F73D5B" w:rsidP="00767A6A">
            <w:pPr>
              <w:pStyle w:val="Tablehead"/>
              <w:rPr>
                <w:sz w:val="18"/>
                <w:szCs w:val="18"/>
                <w:lang w:val="es-ES_tradnl"/>
              </w:rPr>
            </w:pPr>
            <w:r w:rsidRPr="008B7A21">
              <w:rPr>
                <w:sz w:val="18"/>
                <w:szCs w:val="18"/>
                <w:lang w:val="es-ES_tradnl"/>
              </w:rPr>
              <w:t>100</w:t>
            </w:r>
          </w:p>
        </w:tc>
        <w:tc>
          <w:tcPr>
            <w:tcW w:w="765" w:type="dxa"/>
            <w:vAlign w:val="center"/>
          </w:tcPr>
          <w:p w14:paraId="3185A3EA" w14:textId="77777777" w:rsidR="00F73D5B" w:rsidRPr="008B7A21" w:rsidRDefault="00F73D5B" w:rsidP="00767A6A">
            <w:pPr>
              <w:pStyle w:val="Tablehead"/>
              <w:rPr>
                <w:sz w:val="18"/>
                <w:szCs w:val="18"/>
                <w:lang w:val="es-ES_tradnl"/>
              </w:rPr>
            </w:pPr>
            <w:r w:rsidRPr="008B7A21">
              <w:rPr>
                <w:sz w:val="18"/>
                <w:szCs w:val="18"/>
                <w:lang w:val="es-ES_tradnl"/>
              </w:rPr>
              <w:t>150</w:t>
            </w:r>
          </w:p>
        </w:tc>
        <w:tc>
          <w:tcPr>
            <w:tcW w:w="765" w:type="dxa"/>
            <w:vAlign w:val="center"/>
          </w:tcPr>
          <w:p w14:paraId="6EEE0C31" w14:textId="77777777" w:rsidR="00F73D5B" w:rsidRPr="008B7A21" w:rsidRDefault="00F73D5B" w:rsidP="00767A6A">
            <w:pPr>
              <w:pStyle w:val="Tablehead"/>
              <w:rPr>
                <w:sz w:val="18"/>
                <w:szCs w:val="18"/>
                <w:lang w:val="es-ES_tradnl"/>
              </w:rPr>
            </w:pPr>
            <w:r w:rsidRPr="008B7A21">
              <w:rPr>
                <w:sz w:val="18"/>
                <w:szCs w:val="18"/>
                <w:lang w:val="es-ES_tradnl"/>
              </w:rPr>
              <w:t>200</w:t>
            </w:r>
          </w:p>
        </w:tc>
        <w:tc>
          <w:tcPr>
            <w:tcW w:w="765" w:type="dxa"/>
            <w:vAlign w:val="center"/>
          </w:tcPr>
          <w:p w14:paraId="3D5698E1" w14:textId="77777777" w:rsidR="00F73D5B" w:rsidRPr="008B7A21" w:rsidRDefault="00F73D5B" w:rsidP="00767A6A">
            <w:pPr>
              <w:pStyle w:val="Tablehead"/>
              <w:rPr>
                <w:sz w:val="18"/>
                <w:szCs w:val="18"/>
                <w:lang w:val="es-ES_tradnl"/>
              </w:rPr>
            </w:pPr>
            <w:r w:rsidRPr="008B7A21">
              <w:rPr>
                <w:sz w:val="18"/>
                <w:szCs w:val="18"/>
                <w:lang w:val="es-ES_tradnl"/>
              </w:rPr>
              <w:t>250</w:t>
            </w:r>
          </w:p>
        </w:tc>
        <w:tc>
          <w:tcPr>
            <w:tcW w:w="765" w:type="dxa"/>
            <w:vAlign w:val="center"/>
          </w:tcPr>
          <w:p w14:paraId="3E33CAED" w14:textId="77777777" w:rsidR="00F73D5B" w:rsidRPr="008B7A21" w:rsidRDefault="00F73D5B" w:rsidP="00767A6A">
            <w:pPr>
              <w:pStyle w:val="Tablehead"/>
              <w:rPr>
                <w:sz w:val="18"/>
                <w:szCs w:val="18"/>
                <w:lang w:val="es-ES_tradnl"/>
              </w:rPr>
            </w:pPr>
            <w:r w:rsidRPr="008B7A21">
              <w:rPr>
                <w:sz w:val="18"/>
                <w:szCs w:val="18"/>
                <w:lang w:val="es-ES_tradnl"/>
              </w:rPr>
              <w:t>300</w:t>
            </w:r>
          </w:p>
        </w:tc>
        <w:tc>
          <w:tcPr>
            <w:tcW w:w="765" w:type="dxa"/>
            <w:vAlign w:val="center"/>
          </w:tcPr>
          <w:p w14:paraId="63FCC21C" w14:textId="77777777" w:rsidR="00F73D5B" w:rsidRPr="008B7A21" w:rsidRDefault="00F73D5B" w:rsidP="00767A6A">
            <w:pPr>
              <w:pStyle w:val="Tablehead"/>
              <w:rPr>
                <w:sz w:val="18"/>
                <w:szCs w:val="18"/>
                <w:lang w:val="es-ES_tradnl"/>
              </w:rPr>
            </w:pPr>
            <w:r w:rsidRPr="008B7A21">
              <w:rPr>
                <w:sz w:val="18"/>
                <w:szCs w:val="18"/>
                <w:lang w:val="es-ES_tradnl"/>
              </w:rPr>
              <w:t>350</w:t>
            </w:r>
          </w:p>
        </w:tc>
        <w:tc>
          <w:tcPr>
            <w:tcW w:w="765" w:type="dxa"/>
            <w:vAlign w:val="center"/>
          </w:tcPr>
          <w:p w14:paraId="72AF881B" w14:textId="77777777" w:rsidR="00F73D5B" w:rsidRPr="008B7A21" w:rsidRDefault="00F73D5B" w:rsidP="00767A6A">
            <w:pPr>
              <w:pStyle w:val="Tablehead"/>
              <w:rPr>
                <w:sz w:val="18"/>
                <w:szCs w:val="18"/>
                <w:lang w:val="es-ES_tradnl"/>
              </w:rPr>
            </w:pPr>
            <w:r w:rsidRPr="008B7A21">
              <w:rPr>
                <w:sz w:val="18"/>
                <w:szCs w:val="18"/>
                <w:lang w:val="es-ES_tradnl"/>
              </w:rPr>
              <w:t>400</w:t>
            </w:r>
          </w:p>
        </w:tc>
        <w:tc>
          <w:tcPr>
            <w:tcW w:w="879" w:type="dxa"/>
            <w:vAlign w:val="center"/>
          </w:tcPr>
          <w:p w14:paraId="53056F24" w14:textId="77777777" w:rsidR="00F73D5B" w:rsidRPr="008B7A21" w:rsidRDefault="00F73D5B" w:rsidP="00767A6A">
            <w:pPr>
              <w:pStyle w:val="Tablehead"/>
              <w:rPr>
                <w:sz w:val="18"/>
                <w:szCs w:val="18"/>
                <w:lang w:val="es-ES_tradnl"/>
              </w:rPr>
            </w:pPr>
            <w:r w:rsidRPr="008B7A21">
              <w:rPr>
                <w:sz w:val="18"/>
                <w:szCs w:val="18"/>
                <w:lang w:val="es-ES_tradnl"/>
              </w:rPr>
              <w:t>500</w:t>
            </w:r>
          </w:p>
        </w:tc>
      </w:tr>
      <w:tr w:rsidR="00F73D5B" w:rsidRPr="008B7A21" w14:paraId="5FFECC11" w14:textId="77777777" w:rsidTr="00767A6A">
        <w:trPr>
          <w:jc w:val="center"/>
        </w:trPr>
        <w:tc>
          <w:tcPr>
            <w:tcW w:w="1247" w:type="dxa"/>
          </w:tcPr>
          <w:p w14:paraId="2924B714" w14:textId="77777777" w:rsidR="00F73D5B" w:rsidRPr="008B7A21" w:rsidRDefault="00F73D5B" w:rsidP="00767A6A">
            <w:pPr>
              <w:pStyle w:val="Tabletext"/>
              <w:jc w:val="center"/>
              <w:rPr>
                <w:sz w:val="18"/>
                <w:szCs w:val="18"/>
                <w:lang w:val="es-ES_tradnl"/>
              </w:rPr>
            </w:pPr>
            <w:r w:rsidRPr="008B7A21">
              <w:rPr>
                <w:sz w:val="18"/>
                <w:szCs w:val="18"/>
                <w:lang w:val="es-ES_tradnl"/>
              </w:rPr>
              <w:t>15,0</w:t>
            </w:r>
          </w:p>
        </w:tc>
        <w:tc>
          <w:tcPr>
            <w:tcW w:w="709" w:type="dxa"/>
          </w:tcPr>
          <w:p w14:paraId="00904E44" w14:textId="77777777" w:rsidR="00F73D5B" w:rsidRPr="008B7A21" w:rsidRDefault="00F73D5B" w:rsidP="00767A6A">
            <w:pPr>
              <w:pStyle w:val="Tabletext"/>
              <w:jc w:val="center"/>
              <w:rPr>
                <w:sz w:val="18"/>
                <w:szCs w:val="18"/>
                <w:lang w:val="es-ES_tradnl"/>
              </w:rPr>
            </w:pPr>
            <w:r w:rsidRPr="008B7A21">
              <w:rPr>
                <w:sz w:val="18"/>
                <w:szCs w:val="18"/>
                <w:lang w:val="es-ES_tradnl"/>
              </w:rPr>
              <w:t>3</w:t>
            </w:r>
          </w:p>
        </w:tc>
        <w:tc>
          <w:tcPr>
            <w:tcW w:w="765" w:type="dxa"/>
          </w:tcPr>
          <w:p w14:paraId="3B172B92" w14:textId="77777777" w:rsidR="00F73D5B" w:rsidRPr="008B7A21" w:rsidRDefault="00F73D5B" w:rsidP="00767A6A">
            <w:pPr>
              <w:pStyle w:val="Tabletext"/>
              <w:jc w:val="center"/>
              <w:rPr>
                <w:sz w:val="18"/>
                <w:szCs w:val="18"/>
                <w:lang w:val="es-ES_tradnl"/>
              </w:rPr>
            </w:pPr>
            <w:r w:rsidRPr="008B7A21">
              <w:rPr>
                <w:sz w:val="18"/>
                <w:szCs w:val="18"/>
                <w:lang w:val="es-ES_tradnl"/>
              </w:rPr>
              <w:t>3</w:t>
            </w:r>
          </w:p>
        </w:tc>
        <w:tc>
          <w:tcPr>
            <w:tcW w:w="765" w:type="dxa"/>
          </w:tcPr>
          <w:p w14:paraId="02EF419B" w14:textId="77777777" w:rsidR="00F73D5B" w:rsidRPr="008B7A21" w:rsidRDefault="00F73D5B" w:rsidP="00767A6A">
            <w:pPr>
              <w:pStyle w:val="Tabletext"/>
              <w:jc w:val="center"/>
              <w:rPr>
                <w:sz w:val="18"/>
                <w:szCs w:val="18"/>
                <w:lang w:val="es-ES_tradnl"/>
              </w:rPr>
            </w:pPr>
            <w:r w:rsidRPr="008B7A21">
              <w:rPr>
                <w:sz w:val="18"/>
                <w:szCs w:val="18"/>
                <w:lang w:val="es-ES_tradnl"/>
              </w:rPr>
              <w:t>4</w:t>
            </w:r>
          </w:p>
        </w:tc>
        <w:tc>
          <w:tcPr>
            <w:tcW w:w="765" w:type="dxa"/>
          </w:tcPr>
          <w:p w14:paraId="2FB493C7" w14:textId="77777777" w:rsidR="00F73D5B" w:rsidRPr="008B7A21" w:rsidRDefault="00F73D5B" w:rsidP="00767A6A">
            <w:pPr>
              <w:pStyle w:val="Tabletext"/>
              <w:jc w:val="center"/>
              <w:rPr>
                <w:sz w:val="18"/>
                <w:szCs w:val="18"/>
                <w:lang w:val="es-ES_tradnl"/>
              </w:rPr>
            </w:pPr>
            <w:r w:rsidRPr="008B7A21">
              <w:rPr>
                <w:sz w:val="18"/>
                <w:szCs w:val="18"/>
                <w:lang w:val="es-ES_tradnl"/>
              </w:rPr>
              <w:t>5</w:t>
            </w:r>
          </w:p>
        </w:tc>
        <w:tc>
          <w:tcPr>
            <w:tcW w:w="765" w:type="dxa"/>
          </w:tcPr>
          <w:p w14:paraId="3D96032D" w14:textId="77777777" w:rsidR="00F73D5B" w:rsidRPr="008B7A21" w:rsidRDefault="00F73D5B" w:rsidP="00767A6A">
            <w:pPr>
              <w:pStyle w:val="Tabletext"/>
              <w:jc w:val="center"/>
              <w:rPr>
                <w:sz w:val="18"/>
                <w:szCs w:val="18"/>
                <w:lang w:val="es-ES_tradnl"/>
              </w:rPr>
            </w:pPr>
            <w:r w:rsidRPr="008B7A21">
              <w:rPr>
                <w:sz w:val="18"/>
                <w:szCs w:val="18"/>
                <w:lang w:val="es-ES_tradnl"/>
              </w:rPr>
              <w:t>6</w:t>
            </w:r>
          </w:p>
        </w:tc>
        <w:tc>
          <w:tcPr>
            <w:tcW w:w="765" w:type="dxa"/>
          </w:tcPr>
          <w:p w14:paraId="3F04A393" w14:textId="77777777" w:rsidR="00F73D5B" w:rsidRPr="008B7A21" w:rsidRDefault="00F73D5B" w:rsidP="00767A6A">
            <w:pPr>
              <w:pStyle w:val="Tabletext"/>
              <w:jc w:val="center"/>
              <w:rPr>
                <w:sz w:val="18"/>
                <w:szCs w:val="18"/>
                <w:lang w:val="es-ES_tradnl"/>
              </w:rPr>
            </w:pPr>
            <w:r w:rsidRPr="008B7A21">
              <w:rPr>
                <w:sz w:val="18"/>
                <w:szCs w:val="18"/>
                <w:lang w:val="es-ES_tradnl"/>
              </w:rPr>
              <w:t>7</w:t>
            </w:r>
          </w:p>
        </w:tc>
        <w:tc>
          <w:tcPr>
            <w:tcW w:w="765" w:type="dxa"/>
          </w:tcPr>
          <w:p w14:paraId="30040A28" w14:textId="77777777" w:rsidR="00F73D5B" w:rsidRPr="008B7A21" w:rsidRDefault="00F73D5B" w:rsidP="00767A6A">
            <w:pPr>
              <w:pStyle w:val="Tabletext"/>
              <w:jc w:val="center"/>
              <w:rPr>
                <w:sz w:val="18"/>
                <w:szCs w:val="18"/>
                <w:lang w:val="es-ES_tradnl"/>
              </w:rPr>
            </w:pPr>
            <w:r w:rsidRPr="008B7A21">
              <w:rPr>
                <w:sz w:val="18"/>
                <w:szCs w:val="18"/>
                <w:lang w:val="es-ES_tradnl"/>
              </w:rPr>
              <w:t>8</w:t>
            </w:r>
          </w:p>
        </w:tc>
        <w:tc>
          <w:tcPr>
            <w:tcW w:w="765" w:type="dxa"/>
          </w:tcPr>
          <w:p w14:paraId="26066C83" w14:textId="77777777" w:rsidR="00F73D5B" w:rsidRPr="008B7A21" w:rsidRDefault="00F73D5B" w:rsidP="00767A6A">
            <w:pPr>
              <w:pStyle w:val="Tabletext"/>
              <w:jc w:val="center"/>
              <w:rPr>
                <w:sz w:val="18"/>
                <w:szCs w:val="18"/>
                <w:lang w:val="es-ES_tradnl"/>
              </w:rPr>
            </w:pPr>
            <w:r w:rsidRPr="008B7A21">
              <w:rPr>
                <w:sz w:val="18"/>
                <w:szCs w:val="18"/>
                <w:lang w:val="es-ES_tradnl"/>
              </w:rPr>
              <w:t>9</w:t>
            </w:r>
          </w:p>
        </w:tc>
        <w:tc>
          <w:tcPr>
            <w:tcW w:w="765" w:type="dxa"/>
          </w:tcPr>
          <w:p w14:paraId="5F7D981B" w14:textId="77777777" w:rsidR="00F73D5B" w:rsidRPr="008B7A21" w:rsidRDefault="00F73D5B" w:rsidP="00767A6A">
            <w:pPr>
              <w:pStyle w:val="Tabletext"/>
              <w:jc w:val="center"/>
              <w:rPr>
                <w:sz w:val="18"/>
                <w:szCs w:val="18"/>
                <w:lang w:val="es-ES_tradnl"/>
              </w:rPr>
            </w:pPr>
            <w:r w:rsidRPr="008B7A21">
              <w:rPr>
                <w:sz w:val="18"/>
                <w:szCs w:val="18"/>
                <w:lang w:val="es-ES_tradnl"/>
              </w:rPr>
              <w:t>10</w:t>
            </w:r>
          </w:p>
        </w:tc>
        <w:tc>
          <w:tcPr>
            <w:tcW w:w="765" w:type="dxa"/>
          </w:tcPr>
          <w:p w14:paraId="70413EB0" w14:textId="77777777" w:rsidR="00F73D5B" w:rsidRPr="008B7A21" w:rsidRDefault="00F73D5B" w:rsidP="00767A6A">
            <w:pPr>
              <w:pStyle w:val="Tabletext"/>
              <w:jc w:val="center"/>
              <w:rPr>
                <w:sz w:val="18"/>
                <w:szCs w:val="18"/>
                <w:lang w:val="es-ES_tradnl"/>
              </w:rPr>
            </w:pPr>
            <w:r w:rsidRPr="008B7A21">
              <w:rPr>
                <w:sz w:val="18"/>
                <w:szCs w:val="18"/>
                <w:lang w:val="es-ES_tradnl"/>
              </w:rPr>
              <w:t>11</w:t>
            </w:r>
          </w:p>
        </w:tc>
        <w:tc>
          <w:tcPr>
            <w:tcW w:w="879" w:type="dxa"/>
          </w:tcPr>
          <w:p w14:paraId="120EE1F2" w14:textId="77777777" w:rsidR="00F73D5B" w:rsidRPr="008B7A21" w:rsidRDefault="00F73D5B" w:rsidP="00767A6A">
            <w:pPr>
              <w:pStyle w:val="Tabletext"/>
              <w:jc w:val="center"/>
              <w:rPr>
                <w:sz w:val="18"/>
                <w:szCs w:val="18"/>
                <w:lang w:val="es-ES_tradnl"/>
              </w:rPr>
            </w:pPr>
            <w:r w:rsidRPr="008B7A21">
              <w:rPr>
                <w:sz w:val="18"/>
                <w:szCs w:val="18"/>
                <w:lang w:val="es-ES_tradnl"/>
              </w:rPr>
              <w:t>12</w:t>
            </w:r>
          </w:p>
        </w:tc>
      </w:tr>
      <w:tr w:rsidR="00F73D5B" w:rsidRPr="008B7A21" w14:paraId="2EEB5D6A" w14:textId="77777777" w:rsidTr="00767A6A">
        <w:trPr>
          <w:jc w:val="center"/>
        </w:trPr>
        <w:tc>
          <w:tcPr>
            <w:tcW w:w="1247" w:type="dxa"/>
          </w:tcPr>
          <w:p w14:paraId="4CE78922" w14:textId="77777777" w:rsidR="00F73D5B" w:rsidRPr="008B7A21" w:rsidRDefault="00F73D5B" w:rsidP="00767A6A">
            <w:pPr>
              <w:pStyle w:val="Tabletext"/>
              <w:jc w:val="center"/>
              <w:rPr>
                <w:sz w:val="18"/>
                <w:szCs w:val="18"/>
                <w:lang w:val="es-ES_tradnl"/>
              </w:rPr>
            </w:pPr>
            <w:r w:rsidRPr="008B7A21">
              <w:rPr>
                <w:sz w:val="18"/>
                <w:szCs w:val="18"/>
                <w:lang w:val="es-ES_tradnl"/>
              </w:rPr>
              <w:t>20,0</w:t>
            </w:r>
          </w:p>
        </w:tc>
        <w:tc>
          <w:tcPr>
            <w:tcW w:w="709" w:type="dxa"/>
          </w:tcPr>
          <w:p w14:paraId="6984B8D6" w14:textId="77777777" w:rsidR="00F73D5B" w:rsidRPr="008B7A21" w:rsidRDefault="00F73D5B" w:rsidP="00767A6A">
            <w:pPr>
              <w:pStyle w:val="Tabletext"/>
              <w:jc w:val="center"/>
              <w:rPr>
                <w:sz w:val="18"/>
                <w:szCs w:val="18"/>
                <w:lang w:val="es-ES_tradnl"/>
              </w:rPr>
            </w:pPr>
            <w:r w:rsidRPr="008B7A21">
              <w:rPr>
                <w:sz w:val="18"/>
                <w:szCs w:val="18"/>
                <w:lang w:val="es-ES_tradnl"/>
              </w:rPr>
              <w:t>4</w:t>
            </w:r>
          </w:p>
        </w:tc>
        <w:tc>
          <w:tcPr>
            <w:tcW w:w="765" w:type="dxa"/>
          </w:tcPr>
          <w:p w14:paraId="23B3E1A1" w14:textId="77777777" w:rsidR="00F73D5B" w:rsidRPr="008B7A21" w:rsidRDefault="00F73D5B" w:rsidP="00767A6A">
            <w:pPr>
              <w:pStyle w:val="Tabletext"/>
              <w:jc w:val="center"/>
              <w:rPr>
                <w:sz w:val="18"/>
                <w:szCs w:val="18"/>
                <w:lang w:val="es-ES_tradnl"/>
              </w:rPr>
            </w:pPr>
            <w:r w:rsidRPr="008B7A21">
              <w:rPr>
                <w:sz w:val="18"/>
                <w:szCs w:val="18"/>
                <w:lang w:val="es-ES_tradnl"/>
              </w:rPr>
              <w:t>5</w:t>
            </w:r>
          </w:p>
        </w:tc>
        <w:tc>
          <w:tcPr>
            <w:tcW w:w="765" w:type="dxa"/>
          </w:tcPr>
          <w:p w14:paraId="46E3A8F1" w14:textId="77777777" w:rsidR="00F73D5B" w:rsidRPr="008B7A21" w:rsidRDefault="00F73D5B" w:rsidP="00767A6A">
            <w:pPr>
              <w:pStyle w:val="Tabletext"/>
              <w:jc w:val="center"/>
              <w:rPr>
                <w:sz w:val="18"/>
                <w:szCs w:val="18"/>
                <w:lang w:val="es-ES_tradnl"/>
              </w:rPr>
            </w:pPr>
            <w:r w:rsidRPr="008B7A21">
              <w:rPr>
                <w:sz w:val="18"/>
                <w:szCs w:val="18"/>
                <w:lang w:val="es-ES_tradnl"/>
              </w:rPr>
              <w:t>6</w:t>
            </w:r>
          </w:p>
        </w:tc>
        <w:tc>
          <w:tcPr>
            <w:tcW w:w="765" w:type="dxa"/>
          </w:tcPr>
          <w:p w14:paraId="26D4FC05" w14:textId="77777777" w:rsidR="00F73D5B" w:rsidRPr="008B7A21" w:rsidRDefault="00F73D5B" w:rsidP="00767A6A">
            <w:pPr>
              <w:pStyle w:val="Tabletext"/>
              <w:jc w:val="center"/>
              <w:rPr>
                <w:sz w:val="18"/>
                <w:szCs w:val="18"/>
                <w:lang w:val="es-ES_tradnl"/>
              </w:rPr>
            </w:pPr>
            <w:r w:rsidRPr="008B7A21">
              <w:rPr>
                <w:sz w:val="18"/>
                <w:szCs w:val="18"/>
                <w:lang w:val="es-ES_tradnl"/>
              </w:rPr>
              <w:t>7</w:t>
            </w:r>
          </w:p>
        </w:tc>
        <w:tc>
          <w:tcPr>
            <w:tcW w:w="765" w:type="dxa"/>
          </w:tcPr>
          <w:p w14:paraId="53D516D2" w14:textId="77777777" w:rsidR="00F73D5B" w:rsidRPr="008B7A21" w:rsidRDefault="00F73D5B" w:rsidP="00767A6A">
            <w:pPr>
              <w:pStyle w:val="Tabletext"/>
              <w:jc w:val="center"/>
              <w:rPr>
                <w:sz w:val="18"/>
                <w:szCs w:val="18"/>
                <w:lang w:val="es-ES_tradnl"/>
              </w:rPr>
            </w:pPr>
            <w:r w:rsidRPr="008B7A21">
              <w:rPr>
                <w:sz w:val="18"/>
                <w:szCs w:val="18"/>
                <w:lang w:val="es-ES_tradnl"/>
              </w:rPr>
              <w:t>9</w:t>
            </w:r>
          </w:p>
        </w:tc>
        <w:tc>
          <w:tcPr>
            <w:tcW w:w="765" w:type="dxa"/>
          </w:tcPr>
          <w:p w14:paraId="30D94950" w14:textId="77777777" w:rsidR="00F73D5B" w:rsidRPr="008B7A21" w:rsidRDefault="00F73D5B" w:rsidP="00767A6A">
            <w:pPr>
              <w:pStyle w:val="Tabletext"/>
              <w:jc w:val="center"/>
              <w:rPr>
                <w:sz w:val="18"/>
                <w:szCs w:val="18"/>
                <w:lang w:val="es-ES_tradnl"/>
              </w:rPr>
            </w:pPr>
            <w:r w:rsidRPr="008B7A21">
              <w:rPr>
                <w:sz w:val="18"/>
                <w:szCs w:val="18"/>
                <w:lang w:val="es-ES_tradnl"/>
              </w:rPr>
              <w:t>10</w:t>
            </w:r>
          </w:p>
        </w:tc>
        <w:tc>
          <w:tcPr>
            <w:tcW w:w="765" w:type="dxa"/>
          </w:tcPr>
          <w:p w14:paraId="1ADE3F6E" w14:textId="77777777" w:rsidR="00F73D5B" w:rsidRPr="008B7A21" w:rsidRDefault="00F73D5B" w:rsidP="00767A6A">
            <w:pPr>
              <w:pStyle w:val="Tabletext"/>
              <w:jc w:val="center"/>
              <w:rPr>
                <w:sz w:val="18"/>
                <w:szCs w:val="18"/>
                <w:lang w:val="es-ES_tradnl"/>
              </w:rPr>
            </w:pPr>
            <w:r w:rsidRPr="008B7A21">
              <w:rPr>
                <w:sz w:val="18"/>
                <w:szCs w:val="18"/>
                <w:lang w:val="es-ES_tradnl"/>
              </w:rPr>
              <w:t>12</w:t>
            </w:r>
          </w:p>
        </w:tc>
        <w:tc>
          <w:tcPr>
            <w:tcW w:w="765" w:type="dxa"/>
          </w:tcPr>
          <w:p w14:paraId="5B342FBB" w14:textId="77777777" w:rsidR="00F73D5B" w:rsidRPr="008B7A21" w:rsidRDefault="00F73D5B" w:rsidP="00767A6A">
            <w:pPr>
              <w:pStyle w:val="Tabletext"/>
              <w:jc w:val="center"/>
              <w:rPr>
                <w:sz w:val="18"/>
                <w:szCs w:val="18"/>
                <w:lang w:val="es-ES_tradnl"/>
              </w:rPr>
            </w:pPr>
            <w:r w:rsidRPr="008B7A21">
              <w:rPr>
                <w:sz w:val="18"/>
                <w:szCs w:val="18"/>
                <w:lang w:val="es-ES_tradnl"/>
              </w:rPr>
              <w:t>13</w:t>
            </w:r>
          </w:p>
        </w:tc>
        <w:tc>
          <w:tcPr>
            <w:tcW w:w="765" w:type="dxa"/>
          </w:tcPr>
          <w:p w14:paraId="7C1811CA" w14:textId="77777777" w:rsidR="00F73D5B" w:rsidRPr="008B7A21" w:rsidRDefault="00F73D5B" w:rsidP="00767A6A">
            <w:pPr>
              <w:pStyle w:val="Tabletext"/>
              <w:jc w:val="center"/>
              <w:rPr>
                <w:sz w:val="18"/>
                <w:szCs w:val="18"/>
                <w:lang w:val="es-ES_tradnl"/>
              </w:rPr>
            </w:pPr>
            <w:r w:rsidRPr="008B7A21">
              <w:rPr>
                <w:sz w:val="18"/>
                <w:szCs w:val="18"/>
                <w:lang w:val="es-ES_tradnl"/>
              </w:rPr>
              <w:t>14</w:t>
            </w:r>
          </w:p>
        </w:tc>
        <w:tc>
          <w:tcPr>
            <w:tcW w:w="765" w:type="dxa"/>
          </w:tcPr>
          <w:p w14:paraId="426F7210" w14:textId="77777777" w:rsidR="00F73D5B" w:rsidRPr="008B7A21" w:rsidRDefault="00F73D5B" w:rsidP="00767A6A">
            <w:pPr>
              <w:pStyle w:val="Tabletext"/>
              <w:jc w:val="center"/>
              <w:rPr>
                <w:sz w:val="18"/>
                <w:szCs w:val="18"/>
                <w:lang w:val="es-ES_tradnl"/>
              </w:rPr>
            </w:pPr>
            <w:r w:rsidRPr="008B7A21">
              <w:rPr>
                <w:sz w:val="18"/>
                <w:szCs w:val="18"/>
                <w:lang w:val="es-ES_tradnl"/>
              </w:rPr>
              <w:t>15</w:t>
            </w:r>
          </w:p>
        </w:tc>
        <w:tc>
          <w:tcPr>
            <w:tcW w:w="879" w:type="dxa"/>
          </w:tcPr>
          <w:p w14:paraId="48779712" w14:textId="77777777" w:rsidR="00F73D5B" w:rsidRPr="008B7A21" w:rsidRDefault="00F73D5B" w:rsidP="00767A6A">
            <w:pPr>
              <w:pStyle w:val="Tabletext"/>
              <w:jc w:val="center"/>
              <w:rPr>
                <w:sz w:val="18"/>
                <w:szCs w:val="18"/>
                <w:lang w:val="es-ES_tradnl"/>
              </w:rPr>
            </w:pPr>
            <w:r w:rsidRPr="008B7A21">
              <w:rPr>
                <w:sz w:val="18"/>
                <w:szCs w:val="18"/>
                <w:lang w:val="es-ES_tradnl"/>
              </w:rPr>
              <w:t>18</w:t>
            </w:r>
          </w:p>
        </w:tc>
      </w:tr>
      <w:tr w:rsidR="00F73D5B" w:rsidRPr="008B7A21" w14:paraId="02F22986" w14:textId="77777777" w:rsidTr="00767A6A">
        <w:trPr>
          <w:jc w:val="center"/>
        </w:trPr>
        <w:tc>
          <w:tcPr>
            <w:tcW w:w="1247" w:type="dxa"/>
          </w:tcPr>
          <w:p w14:paraId="166B771D" w14:textId="77777777" w:rsidR="00F73D5B" w:rsidRPr="008B7A21" w:rsidRDefault="00F73D5B" w:rsidP="00767A6A">
            <w:pPr>
              <w:pStyle w:val="Tabletext"/>
              <w:jc w:val="center"/>
              <w:rPr>
                <w:sz w:val="18"/>
                <w:szCs w:val="18"/>
                <w:lang w:val="es-ES_tradnl"/>
              </w:rPr>
            </w:pPr>
            <w:r w:rsidRPr="008B7A21">
              <w:rPr>
                <w:sz w:val="18"/>
                <w:szCs w:val="18"/>
                <w:lang w:val="es-ES_tradnl"/>
              </w:rPr>
              <w:t>25,0</w:t>
            </w:r>
          </w:p>
        </w:tc>
        <w:tc>
          <w:tcPr>
            <w:tcW w:w="709" w:type="dxa"/>
          </w:tcPr>
          <w:p w14:paraId="33C55194" w14:textId="77777777" w:rsidR="00F73D5B" w:rsidRPr="008B7A21" w:rsidRDefault="00F73D5B" w:rsidP="00767A6A">
            <w:pPr>
              <w:pStyle w:val="Tabletext"/>
              <w:jc w:val="center"/>
              <w:rPr>
                <w:sz w:val="18"/>
                <w:szCs w:val="18"/>
                <w:lang w:val="es-ES_tradnl"/>
              </w:rPr>
            </w:pPr>
            <w:r w:rsidRPr="008B7A21">
              <w:rPr>
                <w:sz w:val="18"/>
                <w:szCs w:val="18"/>
                <w:lang w:val="es-ES_tradnl"/>
              </w:rPr>
              <w:t>6</w:t>
            </w:r>
          </w:p>
        </w:tc>
        <w:tc>
          <w:tcPr>
            <w:tcW w:w="765" w:type="dxa"/>
          </w:tcPr>
          <w:p w14:paraId="33D75D87" w14:textId="77777777" w:rsidR="00F73D5B" w:rsidRPr="008B7A21" w:rsidRDefault="00F73D5B" w:rsidP="00767A6A">
            <w:pPr>
              <w:pStyle w:val="Tabletext"/>
              <w:jc w:val="center"/>
              <w:rPr>
                <w:sz w:val="18"/>
                <w:szCs w:val="18"/>
                <w:lang w:val="es-ES_tradnl"/>
              </w:rPr>
            </w:pPr>
            <w:r w:rsidRPr="008B7A21">
              <w:rPr>
                <w:sz w:val="18"/>
                <w:szCs w:val="18"/>
                <w:lang w:val="es-ES_tradnl"/>
              </w:rPr>
              <w:t>7</w:t>
            </w:r>
          </w:p>
        </w:tc>
        <w:tc>
          <w:tcPr>
            <w:tcW w:w="765" w:type="dxa"/>
          </w:tcPr>
          <w:p w14:paraId="682BD7D0" w14:textId="77777777" w:rsidR="00F73D5B" w:rsidRPr="008B7A21" w:rsidRDefault="00F73D5B" w:rsidP="00767A6A">
            <w:pPr>
              <w:pStyle w:val="Tabletext"/>
              <w:jc w:val="center"/>
              <w:rPr>
                <w:sz w:val="18"/>
                <w:szCs w:val="18"/>
                <w:lang w:val="es-ES_tradnl"/>
              </w:rPr>
            </w:pPr>
            <w:r w:rsidRPr="008B7A21">
              <w:rPr>
                <w:sz w:val="18"/>
                <w:szCs w:val="18"/>
                <w:lang w:val="es-ES_tradnl"/>
              </w:rPr>
              <w:t>9</w:t>
            </w:r>
          </w:p>
        </w:tc>
        <w:tc>
          <w:tcPr>
            <w:tcW w:w="765" w:type="dxa"/>
          </w:tcPr>
          <w:p w14:paraId="7503233F" w14:textId="77777777" w:rsidR="00F73D5B" w:rsidRPr="008B7A21" w:rsidRDefault="00F73D5B" w:rsidP="00767A6A">
            <w:pPr>
              <w:pStyle w:val="Tabletext"/>
              <w:jc w:val="center"/>
              <w:rPr>
                <w:sz w:val="18"/>
                <w:szCs w:val="18"/>
                <w:lang w:val="es-ES_tradnl"/>
              </w:rPr>
            </w:pPr>
            <w:r w:rsidRPr="008B7A21">
              <w:rPr>
                <w:sz w:val="18"/>
                <w:szCs w:val="18"/>
                <w:lang w:val="es-ES_tradnl"/>
              </w:rPr>
              <w:t>10</w:t>
            </w:r>
          </w:p>
        </w:tc>
        <w:tc>
          <w:tcPr>
            <w:tcW w:w="765" w:type="dxa"/>
          </w:tcPr>
          <w:p w14:paraId="146C1C2E" w14:textId="77777777" w:rsidR="00F73D5B" w:rsidRPr="008B7A21" w:rsidRDefault="00F73D5B" w:rsidP="00767A6A">
            <w:pPr>
              <w:pStyle w:val="Tabletext"/>
              <w:jc w:val="center"/>
              <w:rPr>
                <w:sz w:val="18"/>
                <w:szCs w:val="18"/>
                <w:lang w:val="es-ES_tradnl"/>
              </w:rPr>
            </w:pPr>
            <w:r w:rsidRPr="008B7A21">
              <w:rPr>
                <w:sz w:val="18"/>
                <w:szCs w:val="18"/>
                <w:lang w:val="es-ES_tradnl"/>
              </w:rPr>
              <w:t>12</w:t>
            </w:r>
          </w:p>
        </w:tc>
        <w:tc>
          <w:tcPr>
            <w:tcW w:w="765" w:type="dxa"/>
          </w:tcPr>
          <w:p w14:paraId="1281C098" w14:textId="77777777" w:rsidR="00F73D5B" w:rsidRPr="008B7A21" w:rsidRDefault="00F73D5B" w:rsidP="00767A6A">
            <w:pPr>
              <w:pStyle w:val="Tabletext"/>
              <w:jc w:val="center"/>
              <w:rPr>
                <w:sz w:val="18"/>
                <w:szCs w:val="18"/>
                <w:lang w:val="es-ES_tradnl"/>
              </w:rPr>
            </w:pPr>
            <w:r w:rsidRPr="008B7A21">
              <w:rPr>
                <w:sz w:val="18"/>
                <w:szCs w:val="18"/>
                <w:lang w:val="es-ES_tradnl"/>
              </w:rPr>
              <w:t>14</w:t>
            </w:r>
          </w:p>
        </w:tc>
        <w:tc>
          <w:tcPr>
            <w:tcW w:w="765" w:type="dxa"/>
          </w:tcPr>
          <w:p w14:paraId="16C63D52" w14:textId="77777777" w:rsidR="00F73D5B" w:rsidRPr="008B7A21" w:rsidRDefault="00F73D5B" w:rsidP="00767A6A">
            <w:pPr>
              <w:pStyle w:val="Tabletext"/>
              <w:jc w:val="center"/>
              <w:rPr>
                <w:sz w:val="18"/>
                <w:szCs w:val="18"/>
                <w:lang w:val="es-ES_tradnl"/>
              </w:rPr>
            </w:pPr>
            <w:r w:rsidRPr="008B7A21">
              <w:rPr>
                <w:sz w:val="18"/>
                <w:szCs w:val="18"/>
                <w:lang w:val="es-ES_tradnl"/>
              </w:rPr>
              <w:t>16</w:t>
            </w:r>
          </w:p>
        </w:tc>
        <w:tc>
          <w:tcPr>
            <w:tcW w:w="765" w:type="dxa"/>
          </w:tcPr>
          <w:p w14:paraId="4E2B2BCF" w14:textId="77777777" w:rsidR="00F73D5B" w:rsidRPr="008B7A21" w:rsidRDefault="00F73D5B" w:rsidP="00767A6A">
            <w:pPr>
              <w:pStyle w:val="Tabletext"/>
              <w:jc w:val="center"/>
              <w:rPr>
                <w:sz w:val="18"/>
                <w:szCs w:val="18"/>
                <w:lang w:val="es-ES_tradnl"/>
              </w:rPr>
            </w:pPr>
            <w:r w:rsidRPr="008B7A21">
              <w:rPr>
                <w:sz w:val="18"/>
                <w:szCs w:val="18"/>
                <w:lang w:val="es-ES_tradnl"/>
              </w:rPr>
              <w:t>18</w:t>
            </w:r>
          </w:p>
        </w:tc>
        <w:tc>
          <w:tcPr>
            <w:tcW w:w="765" w:type="dxa"/>
          </w:tcPr>
          <w:p w14:paraId="693C86CD" w14:textId="77777777" w:rsidR="00F73D5B" w:rsidRPr="008B7A21" w:rsidRDefault="00F73D5B" w:rsidP="00767A6A">
            <w:pPr>
              <w:pStyle w:val="Tabletext"/>
              <w:jc w:val="center"/>
              <w:rPr>
                <w:sz w:val="18"/>
                <w:szCs w:val="18"/>
                <w:lang w:val="es-ES_tradnl"/>
              </w:rPr>
            </w:pPr>
            <w:r w:rsidRPr="008B7A21">
              <w:rPr>
                <w:sz w:val="18"/>
                <w:szCs w:val="18"/>
                <w:lang w:val="es-ES_tradnl"/>
              </w:rPr>
              <w:t>20</w:t>
            </w:r>
          </w:p>
        </w:tc>
        <w:tc>
          <w:tcPr>
            <w:tcW w:w="765" w:type="dxa"/>
          </w:tcPr>
          <w:p w14:paraId="520C682C" w14:textId="77777777" w:rsidR="00F73D5B" w:rsidRPr="008B7A21" w:rsidRDefault="00F73D5B" w:rsidP="00767A6A">
            <w:pPr>
              <w:pStyle w:val="Tabletext"/>
              <w:jc w:val="center"/>
              <w:rPr>
                <w:sz w:val="18"/>
                <w:szCs w:val="18"/>
                <w:lang w:val="es-ES_tradnl"/>
              </w:rPr>
            </w:pPr>
            <w:r w:rsidRPr="008B7A21">
              <w:rPr>
                <w:sz w:val="18"/>
                <w:szCs w:val="18"/>
                <w:lang w:val="es-ES_tradnl"/>
              </w:rPr>
              <w:t>21</w:t>
            </w:r>
          </w:p>
        </w:tc>
        <w:tc>
          <w:tcPr>
            <w:tcW w:w="879" w:type="dxa"/>
          </w:tcPr>
          <w:p w14:paraId="410549EF" w14:textId="77777777" w:rsidR="00F73D5B" w:rsidRPr="008B7A21" w:rsidRDefault="00F73D5B" w:rsidP="00767A6A">
            <w:pPr>
              <w:pStyle w:val="Tabletext"/>
              <w:jc w:val="center"/>
              <w:rPr>
                <w:sz w:val="18"/>
                <w:szCs w:val="18"/>
                <w:lang w:val="es-ES_tradnl"/>
              </w:rPr>
            </w:pPr>
            <w:r w:rsidRPr="008B7A21">
              <w:rPr>
                <w:sz w:val="18"/>
                <w:szCs w:val="18"/>
                <w:lang w:val="es-ES_tradnl"/>
              </w:rPr>
              <w:t>25</w:t>
            </w:r>
          </w:p>
        </w:tc>
      </w:tr>
      <w:tr w:rsidR="00F73D5B" w:rsidRPr="008B7A21" w14:paraId="445EF881" w14:textId="77777777" w:rsidTr="00767A6A">
        <w:trPr>
          <w:jc w:val="center"/>
        </w:trPr>
        <w:tc>
          <w:tcPr>
            <w:tcW w:w="1247" w:type="dxa"/>
          </w:tcPr>
          <w:p w14:paraId="1F2FA909" w14:textId="77777777" w:rsidR="00F73D5B" w:rsidRPr="008B7A21" w:rsidRDefault="00F73D5B" w:rsidP="00767A6A">
            <w:pPr>
              <w:pStyle w:val="Tabletext"/>
              <w:jc w:val="center"/>
              <w:rPr>
                <w:sz w:val="18"/>
                <w:szCs w:val="18"/>
                <w:lang w:val="es-ES_tradnl"/>
              </w:rPr>
            </w:pPr>
            <w:r w:rsidRPr="008B7A21">
              <w:rPr>
                <w:sz w:val="18"/>
                <w:szCs w:val="18"/>
                <w:lang w:val="es-ES_tradnl"/>
              </w:rPr>
              <w:t>30,0</w:t>
            </w:r>
          </w:p>
        </w:tc>
        <w:tc>
          <w:tcPr>
            <w:tcW w:w="709" w:type="dxa"/>
          </w:tcPr>
          <w:p w14:paraId="02749053" w14:textId="77777777" w:rsidR="00F73D5B" w:rsidRPr="008B7A21" w:rsidRDefault="00F73D5B" w:rsidP="00767A6A">
            <w:pPr>
              <w:pStyle w:val="Tabletext"/>
              <w:jc w:val="center"/>
              <w:rPr>
                <w:sz w:val="18"/>
                <w:szCs w:val="18"/>
                <w:lang w:val="es-ES_tradnl"/>
              </w:rPr>
            </w:pPr>
            <w:r w:rsidRPr="008B7A21">
              <w:rPr>
                <w:sz w:val="18"/>
                <w:szCs w:val="18"/>
                <w:lang w:val="es-ES_tradnl"/>
              </w:rPr>
              <w:t>7</w:t>
            </w:r>
          </w:p>
        </w:tc>
        <w:tc>
          <w:tcPr>
            <w:tcW w:w="765" w:type="dxa"/>
          </w:tcPr>
          <w:p w14:paraId="4CD1604C" w14:textId="77777777" w:rsidR="00F73D5B" w:rsidRPr="008B7A21" w:rsidRDefault="00F73D5B" w:rsidP="00767A6A">
            <w:pPr>
              <w:pStyle w:val="Tabletext"/>
              <w:jc w:val="center"/>
              <w:rPr>
                <w:sz w:val="18"/>
                <w:szCs w:val="18"/>
                <w:lang w:val="es-ES_tradnl"/>
              </w:rPr>
            </w:pPr>
            <w:r w:rsidRPr="008B7A21">
              <w:rPr>
                <w:sz w:val="18"/>
                <w:szCs w:val="18"/>
                <w:lang w:val="es-ES_tradnl"/>
              </w:rPr>
              <w:t>9</w:t>
            </w:r>
          </w:p>
        </w:tc>
        <w:tc>
          <w:tcPr>
            <w:tcW w:w="765" w:type="dxa"/>
          </w:tcPr>
          <w:p w14:paraId="17681A88" w14:textId="77777777" w:rsidR="00F73D5B" w:rsidRPr="008B7A21" w:rsidRDefault="00F73D5B" w:rsidP="00767A6A">
            <w:pPr>
              <w:pStyle w:val="Tabletext"/>
              <w:jc w:val="center"/>
              <w:rPr>
                <w:sz w:val="18"/>
                <w:szCs w:val="18"/>
                <w:lang w:val="es-ES_tradnl"/>
              </w:rPr>
            </w:pPr>
            <w:r w:rsidRPr="008B7A21">
              <w:rPr>
                <w:sz w:val="18"/>
                <w:szCs w:val="18"/>
                <w:lang w:val="es-ES_tradnl"/>
              </w:rPr>
              <w:t>11</w:t>
            </w:r>
          </w:p>
        </w:tc>
        <w:tc>
          <w:tcPr>
            <w:tcW w:w="765" w:type="dxa"/>
          </w:tcPr>
          <w:p w14:paraId="0FCE9280" w14:textId="77777777" w:rsidR="00F73D5B" w:rsidRPr="008B7A21" w:rsidRDefault="00F73D5B" w:rsidP="00767A6A">
            <w:pPr>
              <w:pStyle w:val="Tabletext"/>
              <w:jc w:val="center"/>
              <w:rPr>
                <w:sz w:val="18"/>
                <w:szCs w:val="18"/>
                <w:lang w:val="es-ES_tradnl"/>
              </w:rPr>
            </w:pPr>
            <w:r w:rsidRPr="008B7A21">
              <w:rPr>
                <w:sz w:val="18"/>
                <w:szCs w:val="18"/>
                <w:lang w:val="es-ES_tradnl"/>
              </w:rPr>
              <w:t>13</w:t>
            </w:r>
          </w:p>
        </w:tc>
        <w:tc>
          <w:tcPr>
            <w:tcW w:w="765" w:type="dxa"/>
          </w:tcPr>
          <w:p w14:paraId="02D6E9BB" w14:textId="77777777" w:rsidR="00F73D5B" w:rsidRPr="008B7A21" w:rsidRDefault="00F73D5B" w:rsidP="00767A6A">
            <w:pPr>
              <w:pStyle w:val="Tabletext"/>
              <w:jc w:val="center"/>
              <w:rPr>
                <w:sz w:val="18"/>
                <w:szCs w:val="18"/>
                <w:lang w:val="es-ES_tradnl"/>
              </w:rPr>
            </w:pPr>
            <w:r w:rsidRPr="008B7A21">
              <w:rPr>
                <w:sz w:val="18"/>
                <w:szCs w:val="18"/>
                <w:lang w:val="es-ES_tradnl"/>
              </w:rPr>
              <w:t>16</w:t>
            </w:r>
          </w:p>
        </w:tc>
        <w:tc>
          <w:tcPr>
            <w:tcW w:w="765" w:type="dxa"/>
          </w:tcPr>
          <w:p w14:paraId="09D16B60" w14:textId="77777777" w:rsidR="00F73D5B" w:rsidRPr="008B7A21" w:rsidRDefault="00F73D5B" w:rsidP="00767A6A">
            <w:pPr>
              <w:pStyle w:val="Tabletext"/>
              <w:jc w:val="center"/>
              <w:rPr>
                <w:sz w:val="18"/>
                <w:szCs w:val="18"/>
                <w:lang w:val="es-ES_tradnl"/>
              </w:rPr>
            </w:pPr>
            <w:r w:rsidRPr="008B7A21">
              <w:rPr>
                <w:sz w:val="18"/>
                <w:szCs w:val="18"/>
                <w:lang w:val="es-ES_tradnl"/>
              </w:rPr>
              <w:t>19</w:t>
            </w:r>
          </w:p>
        </w:tc>
        <w:tc>
          <w:tcPr>
            <w:tcW w:w="765" w:type="dxa"/>
          </w:tcPr>
          <w:p w14:paraId="4210FD72" w14:textId="77777777" w:rsidR="00F73D5B" w:rsidRPr="008B7A21" w:rsidRDefault="00F73D5B" w:rsidP="00767A6A">
            <w:pPr>
              <w:pStyle w:val="Tabletext"/>
              <w:jc w:val="center"/>
              <w:rPr>
                <w:sz w:val="18"/>
                <w:szCs w:val="18"/>
                <w:lang w:val="es-ES_tradnl"/>
              </w:rPr>
            </w:pPr>
            <w:r w:rsidRPr="008B7A21">
              <w:rPr>
                <w:sz w:val="18"/>
                <w:szCs w:val="18"/>
                <w:lang w:val="es-ES_tradnl"/>
              </w:rPr>
              <w:t>22</w:t>
            </w:r>
          </w:p>
        </w:tc>
        <w:tc>
          <w:tcPr>
            <w:tcW w:w="765" w:type="dxa"/>
          </w:tcPr>
          <w:p w14:paraId="20D7D865" w14:textId="77777777" w:rsidR="00F73D5B" w:rsidRPr="008B7A21" w:rsidRDefault="00F73D5B" w:rsidP="00767A6A">
            <w:pPr>
              <w:pStyle w:val="Tabletext"/>
              <w:jc w:val="center"/>
              <w:rPr>
                <w:sz w:val="18"/>
                <w:szCs w:val="18"/>
                <w:lang w:val="es-ES_tradnl"/>
              </w:rPr>
            </w:pPr>
            <w:r w:rsidRPr="008B7A21">
              <w:rPr>
                <w:sz w:val="18"/>
                <w:szCs w:val="18"/>
                <w:lang w:val="es-ES_tradnl"/>
              </w:rPr>
              <w:t>24</w:t>
            </w:r>
          </w:p>
        </w:tc>
        <w:tc>
          <w:tcPr>
            <w:tcW w:w="765" w:type="dxa"/>
          </w:tcPr>
          <w:p w14:paraId="13956B04" w14:textId="77777777" w:rsidR="00F73D5B" w:rsidRPr="008B7A21" w:rsidRDefault="00F73D5B" w:rsidP="00767A6A">
            <w:pPr>
              <w:pStyle w:val="Tabletext"/>
              <w:jc w:val="center"/>
              <w:rPr>
                <w:sz w:val="18"/>
                <w:szCs w:val="18"/>
                <w:lang w:val="es-ES_tradnl"/>
              </w:rPr>
            </w:pPr>
            <w:r w:rsidRPr="008B7A21">
              <w:rPr>
                <w:sz w:val="18"/>
                <w:szCs w:val="18"/>
                <w:lang w:val="es-ES_tradnl"/>
              </w:rPr>
              <w:t>26</w:t>
            </w:r>
          </w:p>
        </w:tc>
        <w:tc>
          <w:tcPr>
            <w:tcW w:w="765" w:type="dxa"/>
          </w:tcPr>
          <w:p w14:paraId="66374780" w14:textId="77777777" w:rsidR="00F73D5B" w:rsidRPr="008B7A21" w:rsidRDefault="00F73D5B" w:rsidP="00767A6A">
            <w:pPr>
              <w:pStyle w:val="Tabletext"/>
              <w:jc w:val="center"/>
              <w:rPr>
                <w:sz w:val="18"/>
                <w:szCs w:val="18"/>
                <w:lang w:val="es-ES_tradnl"/>
              </w:rPr>
            </w:pPr>
            <w:r w:rsidRPr="008B7A21">
              <w:rPr>
                <w:sz w:val="18"/>
                <w:szCs w:val="18"/>
                <w:lang w:val="es-ES_tradnl"/>
              </w:rPr>
              <w:t>28</w:t>
            </w:r>
          </w:p>
        </w:tc>
        <w:tc>
          <w:tcPr>
            <w:tcW w:w="879" w:type="dxa"/>
          </w:tcPr>
          <w:p w14:paraId="71BEEB8A" w14:textId="77777777" w:rsidR="00F73D5B" w:rsidRPr="008B7A21" w:rsidRDefault="00F73D5B" w:rsidP="00767A6A">
            <w:pPr>
              <w:pStyle w:val="Tabletext"/>
              <w:jc w:val="center"/>
              <w:rPr>
                <w:sz w:val="18"/>
                <w:szCs w:val="18"/>
                <w:lang w:val="es-ES_tradnl"/>
              </w:rPr>
            </w:pPr>
            <w:r w:rsidRPr="008B7A21">
              <w:rPr>
                <w:sz w:val="18"/>
                <w:szCs w:val="18"/>
                <w:lang w:val="es-ES_tradnl"/>
              </w:rPr>
              <w:t>32</w:t>
            </w:r>
          </w:p>
        </w:tc>
      </w:tr>
      <w:tr w:rsidR="00F73D5B" w:rsidRPr="008B7A21" w14:paraId="77892832" w14:textId="77777777" w:rsidTr="00767A6A">
        <w:trPr>
          <w:jc w:val="center"/>
        </w:trPr>
        <w:tc>
          <w:tcPr>
            <w:tcW w:w="1247" w:type="dxa"/>
          </w:tcPr>
          <w:p w14:paraId="0A7051F2" w14:textId="77777777" w:rsidR="00F73D5B" w:rsidRPr="008B7A21" w:rsidRDefault="00F73D5B" w:rsidP="00767A6A">
            <w:pPr>
              <w:pStyle w:val="Tabletext"/>
              <w:jc w:val="center"/>
              <w:rPr>
                <w:sz w:val="18"/>
                <w:szCs w:val="18"/>
                <w:lang w:val="es-ES_tradnl"/>
              </w:rPr>
            </w:pPr>
            <w:r w:rsidRPr="008B7A21">
              <w:rPr>
                <w:sz w:val="18"/>
                <w:szCs w:val="18"/>
                <w:lang w:val="es-ES_tradnl"/>
              </w:rPr>
              <w:t>35,0</w:t>
            </w:r>
          </w:p>
        </w:tc>
        <w:tc>
          <w:tcPr>
            <w:tcW w:w="709" w:type="dxa"/>
          </w:tcPr>
          <w:p w14:paraId="120465AB" w14:textId="77777777" w:rsidR="00F73D5B" w:rsidRPr="008B7A21" w:rsidRDefault="00F73D5B" w:rsidP="00767A6A">
            <w:pPr>
              <w:pStyle w:val="Tabletext"/>
              <w:jc w:val="center"/>
              <w:rPr>
                <w:sz w:val="18"/>
                <w:szCs w:val="18"/>
                <w:lang w:val="es-ES_tradnl"/>
              </w:rPr>
            </w:pPr>
            <w:r w:rsidRPr="008B7A21">
              <w:rPr>
                <w:sz w:val="18"/>
                <w:szCs w:val="18"/>
                <w:lang w:val="es-ES_tradnl"/>
              </w:rPr>
              <w:t>10</w:t>
            </w:r>
          </w:p>
        </w:tc>
        <w:tc>
          <w:tcPr>
            <w:tcW w:w="765" w:type="dxa"/>
          </w:tcPr>
          <w:p w14:paraId="4DBCFFCD" w14:textId="77777777" w:rsidR="00F73D5B" w:rsidRPr="008B7A21" w:rsidRDefault="00F73D5B" w:rsidP="00767A6A">
            <w:pPr>
              <w:pStyle w:val="Tabletext"/>
              <w:jc w:val="center"/>
              <w:rPr>
                <w:sz w:val="18"/>
                <w:szCs w:val="18"/>
                <w:lang w:val="es-ES_tradnl"/>
              </w:rPr>
            </w:pPr>
            <w:r w:rsidRPr="008B7A21">
              <w:rPr>
                <w:sz w:val="18"/>
                <w:szCs w:val="18"/>
                <w:lang w:val="es-ES_tradnl"/>
              </w:rPr>
              <w:t>12</w:t>
            </w:r>
          </w:p>
        </w:tc>
        <w:tc>
          <w:tcPr>
            <w:tcW w:w="765" w:type="dxa"/>
          </w:tcPr>
          <w:p w14:paraId="66AE3B87" w14:textId="77777777" w:rsidR="00F73D5B" w:rsidRPr="008B7A21" w:rsidRDefault="00F73D5B" w:rsidP="00767A6A">
            <w:pPr>
              <w:pStyle w:val="Tabletext"/>
              <w:jc w:val="center"/>
              <w:rPr>
                <w:sz w:val="18"/>
                <w:szCs w:val="18"/>
                <w:lang w:val="es-ES_tradnl"/>
              </w:rPr>
            </w:pPr>
            <w:r w:rsidRPr="008B7A21">
              <w:rPr>
                <w:sz w:val="18"/>
                <w:szCs w:val="18"/>
                <w:lang w:val="es-ES_tradnl"/>
              </w:rPr>
              <w:t>15</w:t>
            </w:r>
          </w:p>
        </w:tc>
        <w:tc>
          <w:tcPr>
            <w:tcW w:w="765" w:type="dxa"/>
          </w:tcPr>
          <w:p w14:paraId="452EA500" w14:textId="77777777" w:rsidR="00F73D5B" w:rsidRPr="008B7A21" w:rsidRDefault="00F73D5B" w:rsidP="00767A6A">
            <w:pPr>
              <w:pStyle w:val="Tabletext"/>
              <w:jc w:val="center"/>
              <w:rPr>
                <w:sz w:val="18"/>
                <w:szCs w:val="18"/>
                <w:lang w:val="es-ES_tradnl"/>
              </w:rPr>
            </w:pPr>
            <w:r w:rsidRPr="008B7A21">
              <w:rPr>
                <w:sz w:val="18"/>
                <w:szCs w:val="18"/>
                <w:lang w:val="es-ES_tradnl"/>
              </w:rPr>
              <w:t>17</w:t>
            </w:r>
          </w:p>
        </w:tc>
        <w:tc>
          <w:tcPr>
            <w:tcW w:w="765" w:type="dxa"/>
          </w:tcPr>
          <w:p w14:paraId="297CCD9D" w14:textId="77777777" w:rsidR="00F73D5B" w:rsidRPr="008B7A21" w:rsidRDefault="00F73D5B" w:rsidP="00767A6A">
            <w:pPr>
              <w:pStyle w:val="Tabletext"/>
              <w:jc w:val="center"/>
              <w:rPr>
                <w:sz w:val="18"/>
                <w:szCs w:val="18"/>
                <w:lang w:val="es-ES_tradnl"/>
              </w:rPr>
            </w:pPr>
            <w:r w:rsidRPr="008B7A21">
              <w:rPr>
                <w:sz w:val="18"/>
                <w:szCs w:val="18"/>
                <w:lang w:val="es-ES_tradnl"/>
              </w:rPr>
              <w:t>21</w:t>
            </w:r>
          </w:p>
        </w:tc>
        <w:tc>
          <w:tcPr>
            <w:tcW w:w="765" w:type="dxa"/>
          </w:tcPr>
          <w:p w14:paraId="33E8C6FE" w14:textId="77777777" w:rsidR="00F73D5B" w:rsidRPr="008B7A21" w:rsidRDefault="00F73D5B" w:rsidP="00767A6A">
            <w:pPr>
              <w:pStyle w:val="Tabletext"/>
              <w:jc w:val="center"/>
              <w:rPr>
                <w:sz w:val="18"/>
                <w:szCs w:val="18"/>
                <w:lang w:val="es-ES_tradnl"/>
              </w:rPr>
            </w:pPr>
            <w:r w:rsidRPr="008B7A21">
              <w:rPr>
                <w:sz w:val="18"/>
                <w:szCs w:val="18"/>
                <w:lang w:val="es-ES_tradnl"/>
              </w:rPr>
              <w:t>25</w:t>
            </w:r>
          </w:p>
        </w:tc>
        <w:tc>
          <w:tcPr>
            <w:tcW w:w="765" w:type="dxa"/>
          </w:tcPr>
          <w:p w14:paraId="0426D8A4" w14:textId="77777777" w:rsidR="00F73D5B" w:rsidRPr="008B7A21" w:rsidRDefault="00F73D5B" w:rsidP="00767A6A">
            <w:pPr>
              <w:pStyle w:val="Tabletext"/>
              <w:jc w:val="center"/>
              <w:rPr>
                <w:sz w:val="18"/>
                <w:szCs w:val="18"/>
                <w:lang w:val="es-ES_tradnl"/>
              </w:rPr>
            </w:pPr>
            <w:r w:rsidRPr="008B7A21">
              <w:rPr>
                <w:sz w:val="18"/>
                <w:szCs w:val="18"/>
                <w:lang w:val="es-ES_tradnl"/>
              </w:rPr>
              <w:t>28</w:t>
            </w:r>
          </w:p>
        </w:tc>
        <w:tc>
          <w:tcPr>
            <w:tcW w:w="765" w:type="dxa"/>
          </w:tcPr>
          <w:p w14:paraId="6151C14D" w14:textId="77777777" w:rsidR="00F73D5B" w:rsidRPr="008B7A21" w:rsidRDefault="00F73D5B" w:rsidP="00767A6A">
            <w:pPr>
              <w:pStyle w:val="Tabletext"/>
              <w:jc w:val="center"/>
              <w:rPr>
                <w:sz w:val="18"/>
                <w:szCs w:val="18"/>
                <w:lang w:val="es-ES_tradnl"/>
              </w:rPr>
            </w:pPr>
            <w:r w:rsidRPr="008B7A21">
              <w:rPr>
                <w:sz w:val="18"/>
                <w:szCs w:val="18"/>
                <w:lang w:val="es-ES_tradnl"/>
              </w:rPr>
              <w:t>31</w:t>
            </w:r>
          </w:p>
        </w:tc>
        <w:tc>
          <w:tcPr>
            <w:tcW w:w="765" w:type="dxa"/>
          </w:tcPr>
          <w:p w14:paraId="187189E1" w14:textId="77777777" w:rsidR="00F73D5B" w:rsidRPr="008B7A21" w:rsidRDefault="00F73D5B" w:rsidP="00767A6A">
            <w:pPr>
              <w:pStyle w:val="Tabletext"/>
              <w:jc w:val="center"/>
              <w:rPr>
                <w:sz w:val="18"/>
                <w:szCs w:val="18"/>
                <w:lang w:val="es-ES_tradnl"/>
              </w:rPr>
            </w:pPr>
            <w:r w:rsidRPr="008B7A21">
              <w:rPr>
                <w:sz w:val="18"/>
                <w:szCs w:val="18"/>
                <w:lang w:val="es-ES_tradnl"/>
              </w:rPr>
              <w:t>33</w:t>
            </w:r>
          </w:p>
        </w:tc>
        <w:tc>
          <w:tcPr>
            <w:tcW w:w="765" w:type="dxa"/>
          </w:tcPr>
          <w:p w14:paraId="56C34D96" w14:textId="77777777" w:rsidR="00F73D5B" w:rsidRPr="008B7A21" w:rsidRDefault="00F73D5B" w:rsidP="00767A6A">
            <w:pPr>
              <w:pStyle w:val="Tabletext"/>
              <w:jc w:val="center"/>
              <w:rPr>
                <w:sz w:val="18"/>
                <w:szCs w:val="18"/>
                <w:lang w:val="es-ES_tradnl"/>
              </w:rPr>
            </w:pPr>
            <w:r w:rsidRPr="008B7A21">
              <w:rPr>
                <w:sz w:val="18"/>
                <w:szCs w:val="18"/>
                <w:lang w:val="es-ES_tradnl"/>
              </w:rPr>
              <w:t>36</w:t>
            </w:r>
          </w:p>
        </w:tc>
        <w:tc>
          <w:tcPr>
            <w:tcW w:w="879" w:type="dxa"/>
          </w:tcPr>
          <w:p w14:paraId="1D844CF6" w14:textId="77777777" w:rsidR="00F73D5B" w:rsidRPr="008B7A21" w:rsidRDefault="00F73D5B" w:rsidP="00767A6A">
            <w:pPr>
              <w:pStyle w:val="Tabletext"/>
              <w:jc w:val="center"/>
              <w:rPr>
                <w:sz w:val="18"/>
                <w:szCs w:val="18"/>
                <w:lang w:val="es-ES_tradnl"/>
              </w:rPr>
            </w:pPr>
            <w:r w:rsidRPr="008B7A21">
              <w:rPr>
                <w:sz w:val="18"/>
                <w:szCs w:val="18"/>
                <w:lang w:val="es-ES_tradnl"/>
              </w:rPr>
              <w:t>41</w:t>
            </w:r>
          </w:p>
        </w:tc>
      </w:tr>
      <w:tr w:rsidR="00F73D5B" w:rsidRPr="008B7A21" w14:paraId="4795F85D" w14:textId="77777777" w:rsidTr="00767A6A">
        <w:trPr>
          <w:jc w:val="center"/>
        </w:trPr>
        <w:tc>
          <w:tcPr>
            <w:tcW w:w="1247" w:type="dxa"/>
          </w:tcPr>
          <w:p w14:paraId="63D7F428" w14:textId="77777777" w:rsidR="00F73D5B" w:rsidRPr="008B7A21" w:rsidRDefault="00F73D5B" w:rsidP="00767A6A">
            <w:pPr>
              <w:pStyle w:val="Tabletext"/>
              <w:jc w:val="center"/>
              <w:rPr>
                <w:sz w:val="18"/>
                <w:szCs w:val="18"/>
                <w:lang w:val="es-ES_tradnl"/>
              </w:rPr>
            </w:pPr>
            <w:r w:rsidRPr="008B7A21">
              <w:rPr>
                <w:sz w:val="18"/>
                <w:szCs w:val="18"/>
                <w:lang w:val="es-ES_tradnl"/>
              </w:rPr>
              <w:t>40,0</w:t>
            </w:r>
          </w:p>
        </w:tc>
        <w:tc>
          <w:tcPr>
            <w:tcW w:w="709" w:type="dxa"/>
          </w:tcPr>
          <w:p w14:paraId="6EBE953E" w14:textId="77777777" w:rsidR="00F73D5B" w:rsidRPr="008B7A21" w:rsidRDefault="00F73D5B" w:rsidP="00767A6A">
            <w:pPr>
              <w:pStyle w:val="Tabletext"/>
              <w:jc w:val="center"/>
              <w:rPr>
                <w:sz w:val="18"/>
                <w:szCs w:val="18"/>
                <w:lang w:val="es-ES_tradnl"/>
              </w:rPr>
            </w:pPr>
            <w:r w:rsidRPr="008B7A21">
              <w:rPr>
                <w:sz w:val="18"/>
                <w:szCs w:val="18"/>
                <w:lang w:val="es-ES_tradnl"/>
              </w:rPr>
              <w:t>13</w:t>
            </w:r>
          </w:p>
        </w:tc>
        <w:tc>
          <w:tcPr>
            <w:tcW w:w="765" w:type="dxa"/>
          </w:tcPr>
          <w:p w14:paraId="20706F40" w14:textId="77777777" w:rsidR="00F73D5B" w:rsidRPr="008B7A21" w:rsidRDefault="00F73D5B" w:rsidP="00767A6A">
            <w:pPr>
              <w:pStyle w:val="Tabletext"/>
              <w:jc w:val="center"/>
              <w:rPr>
                <w:sz w:val="18"/>
                <w:szCs w:val="18"/>
                <w:lang w:val="es-ES_tradnl"/>
              </w:rPr>
            </w:pPr>
            <w:r w:rsidRPr="008B7A21">
              <w:rPr>
                <w:sz w:val="18"/>
                <w:szCs w:val="18"/>
                <w:lang w:val="es-ES_tradnl"/>
              </w:rPr>
              <w:t>16</w:t>
            </w:r>
          </w:p>
        </w:tc>
        <w:tc>
          <w:tcPr>
            <w:tcW w:w="765" w:type="dxa"/>
          </w:tcPr>
          <w:p w14:paraId="1468AA51" w14:textId="77777777" w:rsidR="00F73D5B" w:rsidRPr="008B7A21" w:rsidRDefault="00F73D5B" w:rsidP="00767A6A">
            <w:pPr>
              <w:pStyle w:val="Tabletext"/>
              <w:jc w:val="center"/>
              <w:rPr>
                <w:sz w:val="18"/>
                <w:szCs w:val="18"/>
                <w:lang w:val="es-ES_tradnl"/>
              </w:rPr>
            </w:pPr>
            <w:r w:rsidRPr="008B7A21">
              <w:rPr>
                <w:sz w:val="18"/>
                <w:szCs w:val="18"/>
                <w:lang w:val="es-ES_tradnl"/>
              </w:rPr>
              <w:t>19</w:t>
            </w:r>
          </w:p>
        </w:tc>
        <w:tc>
          <w:tcPr>
            <w:tcW w:w="765" w:type="dxa"/>
          </w:tcPr>
          <w:p w14:paraId="0E5AA485" w14:textId="77777777" w:rsidR="00F73D5B" w:rsidRPr="008B7A21" w:rsidRDefault="00F73D5B" w:rsidP="00767A6A">
            <w:pPr>
              <w:pStyle w:val="Tabletext"/>
              <w:jc w:val="center"/>
              <w:rPr>
                <w:sz w:val="18"/>
                <w:szCs w:val="18"/>
                <w:lang w:val="es-ES_tradnl"/>
              </w:rPr>
            </w:pPr>
            <w:r w:rsidRPr="008B7A21">
              <w:rPr>
                <w:sz w:val="18"/>
                <w:szCs w:val="18"/>
                <w:lang w:val="es-ES_tradnl"/>
              </w:rPr>
              <w:t>22</w:t>
            </w:r>
          </w:p>
        </w:tc>
        <w:tc>
          <w:tcPr>
            <w:tcW w:w="765" w:type="dxa"/>
          </w:tcPr>
          <w:p w14:paraId="4666338B" w14:textId="77777777" w:rsidR="00F73D5B" w:rsidRPr="008B7A21" w:rsidRDefault="00F73D5B" w:rsidP="00767A6A">
            <w:pPr>
              <w:pStyle w:val="Tabletext"/>
              <w:jc w:val="center"/>
              <w:rPr>
                <w:sz w:val="18"/>
                <w:szCs w:val="18"/>
                <w:lang w:val="es-ES_tradnl"/>
              </w:rPr>
            </w:pPr>
            <w:r w:rsidRPr="008B7A21">
              <w:rPr>
                <w:sz w:val="18"/>
                <w:szCs w:val="18"/>
                <w:lang w:val="es-ES_tradnl"/>
              </w:rPr>
              <w:t>27</w:t>
            </w:r>
          </w:p>
        </w:tc>
        <w:tc>
          <w:tcPr>
            <w:tcW w:w="765" w:type="dxa"/>
          </w:tcPr>
          <w:p w14:paraId="59D4424C" w14:textId="77777777" w:rsidR="00F73D5B" w:rsidRPr="008B7A21" w:rsidRDefault="00F73D5B" w:rsidP="00767A6A">
            <w:pPr>
              <w:pStyle w:val="Tabletext"/>
              <w:jc w:val="center"/>
              <w:rPr>
                <w:sz w:val="18"/>
                <w:szCs w:val="18"/>
                <w:lang w:val="es-ES_tradnl"/>
              </w:rPr>
            </w:pPr>
            <w:r w:rsidRPr="008B7A21">
              <w:rPr>
                <w:sz w:val="18"/>
                <w:szCs w:val="18"/>
                <w:lang w:val="es-ES_tradnl"/>
              </w:rPr>
              <w:t>31</w:t>
            </w:r>
          </w:p>
        </w:tc>
        <w:tc>
          <w:tcPr>
            <w:tcW w:w="765" w:type="dxa"/>
          </w:tcPr>
          <w:p w14:paraId="3F003F8B" w14:textId="77777777" w:rsidR="00F73D5B" w:rsidRPr="008B7A21" w:rsidRDefault="00F73D5B" w:rsidP="00767A6A">
            <w:pPr>
              <w:pStyle w:val="Tabletext"/>
              <w:jc w:val="center"/>
              <w:rPr>
                <w:sz w:val="18"/>
                <w:szCs w:val="18"/>
                <w:lang w:val="es-ES_tradnl"/>
              </w:rPr>
            </w:pPr>
            <w:r w:rsidRPr="008B7A21">
              <w:rPr>
                <w:sz w:val="18"/>
                <w:szCs w:val="18"/>
                <w:lang w:val="es-ES_tradnl"/>
              </w:rPr>
              <w:t>35</w:t>
            </w:r>
          </w:p>
        </w:tc>
        <w:tc>
          <w:tcPr>
            <w:tcW w:w="765" w:type="dxa"/>
          </w:tcPr>
          <w:p w14:paraId="07927A7C" w14:textId="77777777" w:rsidR="00F73D5B" w:rsidRPr="008B7A21" w:rsidRDefault="00F73D5B" w:rsidP="00767A6A">
            <w:pPr>
              <w:pStyle w:val="Tabletext"/>
              <w:jc w:val="center"/>
              <w:rPr>
                <w:sz w:val="18"/>
                <w:szCs w:val="18"/>
                <w:lang w:val="es-ES_tradnl"/>
              </w:rPr>
            </w:pPr>
            <w:r w:rsidRPr="008B7A21">
              <w:rPr>
                <w:sz w:val="18"/>
                <w:szCs w:val="18"/>
                <w:lang w:val="es-ES_tradnl"/>
              </w:rPr>
              <w:t>38</w:t>
            </w:r>
          </w:p>
        </w:tc>
        <w:tc>
          <w:tcPr>
            <w:tcW w:w="765" w:type="dxa"/>
          </w:tcPr>
          <w:p w14:paraId="1971A95C" w14:textId="77777777" w:rsidR="00F73D5B" w:rsidRPr="008B7A21" w:rsidRDefault="00F73D5B" w:rsidP="00767A6A">
            <w:pPr>
              <w:pStyle w:val="Tabletext"/>
              <w:jc w:val="center"/>
              <w:rPr>
                <w:sz w:val="18"/>
                <w:szCs w:val="18"/>
                <w:lang w:val="es-ES_tradnl"/>
              </w:rPr>
            </w:pPr>
            <w:r w:rsidRPr="008B7A21">
              <w:rPr>
                <w:sz w:val="18"/>
                <w:szCs w:val="18"/>
                <w:lang w:val="es-ES_tradnl"/>
              </w:rPr>
              <w:t>41</w:t>
            </w:r>
          </w:p>
        </w:tc>
        <w:tc>
          <w:tcPr>
            <w:tcW w:w="765" w:type="dxa"/>
          </w:tcPr>
          <w:p w14:paraId="387AFEBF" w14:textId="77777777" w:rsidR="00F73D5B" w:rsidRPr="008B7A21" w:rsidRDefault="00F73D5B" w:rsidP="00767A6A">
            <w:pPr>
              <w:pStyle w:val="Tabletext"/>
              <w:jc w:val="center"/>
              <w:rPr>
                <w:sz w:val="18"/>
                <w:szCs w:val="18"/>
                <w:lang w:val="es-ES_tradnl"/>
              </w:rPr>
            </w:pPr>
            <w:r w:rsidRPr="008B7A21">
              <w:rPr>
                <w:sz w:val="18"/>
                <w:szCs w:val="18"/>
                <w:lang w:val="es-ES_tradnl"/>
              </w:rPr>
              <w:t>44</w:t>
            </w:r>
          </w:p>
        </w:tc>
        <w:tc>
          <w:tcPr>
            <w:tcW w:w="879" w:type="dxa"/>
          </w:tcPr>
          <w:p w14:paraId="618BB46F" w14:textId="77777777" w:rsidR="00F73D5B" w:rsidRPr="008B7A21" w:rsidRDefault="00F73D5B" w:rsidP="00767A6A">
            <w:pPr>
              <w:pStyle w:val="Tabletext"/>
              <w:jc w:val="center"/>
              <w:rPr>
                <w:sz w:val="18"/>
                <w:szCs w:val="18"/>
                <w:lang w:val="es-ES_tradnl"/>
              </w:rPr>
            </w:pPr>
            <w:r w:rsidRPr="008B7A21">
              <w:rPr>
                <w:sz w:val="18"/>
                <w:szCs w:val="18"/>
                <w:lang w:val="es-ES_tradnl"/>
              </w:rPr>
              <w:t>49</w:t>
            </w:r>
          </w:p>
        </w:tc>
      </w:tr>
      <w:tr w:rsidR="00F73D5B" w:rsidRPr="008B7A21" w14:paraId="4A558FE0" w14:textId="77777777" w:rsidTr="00767A6A">
        <w:trPr>
          <w:jc w:val="center"/>
        </w:trPr>
        <w:tc>
          <w:tcPr>
            <w:tcW w:w="1247" w:type="dxa"/>
          </w:tcPr>
          <w:p w14:paraId="5F65F328" w14:textId="77777777" w:rsidR="00F73D5B" w:rsidRPr="008B7A21" w:rsidRDefault="00F73D5B" w:rsidP="00767A6A">
            <w:pPr>
              <w:pStyle w:val="Tabletext"/>
              <w:jc w:val="center"/>
              <w:rPr>
                <w:sz w:val="18"/>
                <w:szCs w:val="18"/>
                <w:lang w:val="es-ES_tradnl"/>
              </w:rPr>
            </w:pPr>
            <w:r w:rsidRPr="008B7A21">
              <w:rPr>
                <w:sz w:val="18"/>
                <w:szCs w:val="18"/>
                <w:lang w:val="es-ES_tradnl"/>
              </w:rPr>
              <w:t>43,0</w:t>
            </w:r>
          </w:p>
        </w:tc>
        <w:tc>
          <w:tcPr>
            <w:tcW w:w="709" w:type="dxa"/>
          </w:tcPr>
          <w:p w14:paraId="652E2A88" w14:textId="77777777" w:rsidR="00F73D5B" w:rsidRPr="008B7A21" w:rsidRDefault="00F73D5B" w:rsidP="00767A6A">
            <w:pPr>
              <w:pStyle w:val="Tabletext"/>
              <w:jc w:val="center"/>
              <w:rPr>
                <w:sz w:val="18"/>
                <w:szCs w:val="18"/>
                <w:lang w:val="es-ES_tradnl"/>
              </w:rPr>
            </w:pPr>
            <w:r w:rsidRPr="008B7A21">
              <w:rPr>
                <w:sz w:val="18"/>
                <w:szCs w:val="18"/>
                <w:lang w:val="es-ES_tradnl"/>
              </w:rPr>
              <w:t>15</w:t>
            </w:r>
          </w:p>
        </w:tc>
        <w:tc>
          <w:tcPr>
            <w:tcW w:w="765" w:type="dxa"/>
          </w:tcPr>
          <w:p w14:paraId="37229DEA" w14:textId="77777777" w:rsidR="00F73D5B" w:rsidRPr="008B7A21" w:rsidRDefault="00F73D5B" w:rsidP="00767A6A">
            <w:pPr>
              <w:pStyle w:val="Tabletext"/>
              <w:jc w:val="center"/>
              <w:rPr>
                <w:sz w:val="18"/>
                <w:szCs w:val="18"/>
                <w:lang w:val="es-ES_tradnl"/>
              </w:rPr>
            </w:pPr>
            <w:r w:rsidRPr="008B7A21">
              <w:rPr>
                <w:sz w:val="18"/>
                <w:szCs w:val="18"/>
                <w:lang w:val="es-ES_tradnl"/>
              </w:rPr>
              <w:t>19</w:t>
            </w:r>
          </w:p>
        </w:tc>
        <w:tc>
          <w:tcPr>
            <w:tcW w:w="765" w:type="dxa"/>
          </w:tcPr>
          <w:p w14:paraId="4610F32C" w14:textId="77777777" w:rsidR="00F73D5B" w:rsidRPr="008B7A21" w:rsidRDefault="00F73D5B" w:rsidP="00767A6A">
            <w:pPr>
              <w:pStyle w:val="Tabletext"/>
              <w:jc w:val="center"/>
              <w:rPr>
                <w:sz w:val="18"/>
                <w:szCs w:val="18"/>
                <w:lang w:val="es-ES_tradnl"/>
              </w:rPr>
            </w:pPr>
            <w:r w:rsidRPr="008B7A21">
              <w:rPr>
                <w:sz w:val="18"/>
                <w:szCs w:val="18"/>
                <w:lang w:val="es-ES_tradnl"/>
              </w:rPr>
              <w:t>22</w:t>
            </w:r>
          </w:p>
        </w:tc>
        <w:tc>
          <w:tcPr>
            <w:tcW w:w="765" w:type="dxa"/>
          </w:tcPr>
          <w:p w14:paraId="134DBEAC" w14:textId="77777777" w:rsidR="00F73D5B" w:rsidRPr="008B7A21" w:rsidRDefault="00F73D5B" w:rsidP="00767A6A">
            <w:pPr>
              <w:pStyle w:val="Tabletext"/>
              <w:jc w:val="center"/>
              <w:rPr>
                <w:sz w:val="18"/>
                <w:szCs w:val="18"/>
                <w:lang w:val="es-ES_tradnl"/>
              </w:rPr>
            </w:pPr>
            <w:r w:rsidRPr="008B7A21">
              <w:rPr>
                <w:sz w:val="18"/>
                <w:szCs w:val="18"/>
                <w:lang w:val="es-ES_tradnl"/>
              </w:rPr>
              <w:t>26</w:t>
            </w:r>
          </w:p>
        </w:tc>
        <w:tc>
          <w:tcPr>
            <w:tcW w:w="765" w:type="dxa"/>
          </w:tcPr>
          <w:p w14:paraId="28987E3D" w14:textId="77777777" w:rsidR="00F73D5B" w:rsidRPr="008B7A21" w:rsidRDefault="00F73D5B" w:rsidP="00767A6A">
            <w:pPr>
              <w:pStyle w:val="Tabletext"/>
              <w:jc w:val="center"/>
              <w:rPr>
                <w:sz w:val="18"/>
                <w:szCs w:val="18"/>
                <w:lang w:val="es-ES_tradnl"/>
              </w:rPr>
            </w:pPr>
            <w:r w:rsidRPr="008B7A21">
              <w:rPr>
                <w:sz w:val="18"/>
                <w:szCs w:val="18"/>
                <w:lang w:val="es-ES_tradnl"/>
              </w:rPr>
              <w:t>31</w:t>
            </w:r>
          </w:p>
        </w:tc>
        <w:tc>
          <w:tcPr>
            <w:tcW w:w="765" w:type="dxa"/>
          </w:tcPr>
          <w:p w14:paraId="7D2FB503" w14:textId="77777777" w:rsidR="00F73D5B" w:rsidRPr="008B7A21" w:rsidRDefault="00F73D5B" w:rsidP="00767A6A">
            <w:pPr>
              <w:pStyle w:val="Tabletext"/>
              <w:jc w:val="center"/>
              <w:rPr>
                <w:sz w:val="18"/>
                <w:szCs w:val="18"/>
                <w:lang w:val="es-ES_tradnl"/>
              </w:rPr>
            </w:pPr>
            <w:r w:rsidRPr="008B7A21">
              <w:rPr>
                <w:sz w:val="18"/>
                <w:szCs w:val="18"/>
                <w:lang w:val="es-ES_tradnl"/>
              </w:rPr>
              <w:t>36</w:t>
            </w:r>
          </w:p>
        </w:tc>
        <w:tc>
          <w:tcPr>
            <w:tcW w:w="765" w:type="dxa"/>
          </w:tcPr>
          <w:p w14:paraId="2A401F8A" w14:textId="77777777" w:rsidR="00F73D5B" w:rsidRPr="008B7A21" w:rsidRDefault="00F73D5B" w:rsidP="00767A6A">
            <w:pPr>
              <w:pStyle w:val="Tabletext"/>
              <w:jc w:val="center"/>
              <w:rPr>
                <w:sz w:val="18"/>
                <w:szCs w:val="18"/>
                <w:lang w:val="es-ES_tradnl"/>
              </w:rPr>
            </w:pPr>
            <w:r w:rsidRPr="008B7A21">
              <w:rPr>
                <w:sz w:val="18"/>
                <w:szCs w:val="18"/>
                <w:lang w:val="es-ES_tradnl"/>
              </w:rPr>
              <w:t>40</w:t>
            </w:r>
          </w:p>
        </w:tc>
        <w:tc>
          <w:tcPr>
            <w:tcW w:w="765" w:type="dxa"/>
          </w:tcPr>
          <w:p w14:paraId="7906B6E3" w14:textId="77777777" w:rsidR="00F73D5B" w:rsidRPr="008B7A21" w:rsidRDefault="00F73D5B" w:rsidP="00767A6A">
            <w:pPr>
              <w:pStyle w:val="Tabletext"/>
              <w:jc w:val="center"/>
              <w:rPr>
                <w:sz w:val="18"/>
                <w:szCs w:val="18"/>
                <w:lang w:val="es-ES_tradnl"/>
              </w:rPr>
            </w:pPr>
            <w:r w:rsidRPr="008B7A21">
              <w:rPr>
                <w:sz w:val="18"/>
                <w:szCs w:val="18"/>
                <w:lang w:val="es-ES_tradnl"/>
              </w:rPr>
              <w:t>43</w:t>
            </w:r>
          </w:p>
        </w:tc>
        <w:tc>
          <w:tcPr>
            <w:tcW w:w="765" w:type="dxa"/>
          </w:tcPr>
          <w:p w14:paraId="11A326CB" w14:textId="77777777" w:rsidR="00F73D5B" w:rsidRPr="008B7A21" w:rsidRDefault="00F73D5B" w:rsidP="00767A6A">
            <w:pPr>
              <w:pStyle w:val="Tabletext"/>
              <w:jc w:val="center"/>
              <w:rPr>
                <w:sz w:val="18"/>
                <w:szCs w:val="18"/>
                <w:lang w:val="es-ES_tradnl"/>
              </w:rPr>
            </w:pPr>
            <w:r w:rsidRPr="008B7A21">
              <w:rPr>
                <w:sz w:val="18"/>
                <w:szCs w:val="18"/>
                <w:lang w:val="es-ES_tradnl"/>
              </w:rPr>
              <w:t>46</w:t>
            </w:r>
          </w:p>
        </w:tc>
        <w:tc>
          <w:tcPr>
            <w:tcW w:w="765" w:type="dxa"/>
          </w:tcPr>
          <w:p w14:paraId="3B13E4D5" w14:textId="77777777" w:rsidR="00F73D5B" w:rsidRPr="008B7A21" w:rsidRDefault="00F73D5B" w:rsidP="00767A6A">
            <w:pPr>
              <w:pStyle w:val="Tabletext"/>
              <w:jc w:val="center"/>
              <w:rPr>
                <w:sz w:val="18"/>
                <w:szCs w:val="18"/>
                <w:lang w:val="es-ES_tradnl"/>
              </w:rPr>
            </w:pPr>
            <w:r w:rsidRPr="008B7A21">
              <w:rPr>
                <w:sz w:val="18"/>
                <w:szCs w:val="18"/>
                <w:lang w:val="es-ES_tradnl"/>
              </w:rPr>
              <w:t>49</w:t>
            </w:r>
          </w:p>
        </w:tc>
        <w:tc>
          <w:tcPr>
            <w:tcW w:w="879" w:type="dxa"/>
          </w:tcPr>
          <w:p w14:paraId="053E83DE" w14:textId="77777777" w:rsidR="00F73D5B" w:rsidRPr="008B7A21" w:rsidRDefault="00F73D5B" w:rsidP="00767A6A">
            <w:pPr>
              <w:pStyle w:val="Tabletext"/>
              <w:jc w:val="center"/>
              <w:rPr>
                <w:sz w:val="18"/>
                <w:szCs w:val="18"/>
                <w:lang w:val="es-ES_tradnl"/>
              </w:rPr>
            </w:pPr>
            <w:r w:rsidRPr="008B7A21">
              <w:rPr>
                <w:sz w:val="18"/>
                <w:szCs w:val="18"/>
                <w:lang w:val="es-ES_tradnl"/>
              </w:rPr>
              <w:t>55</w:t>
            </w:r>
          </w:p>
        </w:tc>
      </w:tr>
      <w:tr w:rsidR="00F73D5B" w:rsidRPr="008B7A21" w14:paraId="5FAA837A" w14:textId="77777777" w:rsidTr="00767A6A">
        <w:trPr>
          <w:jc w:val="center"/>
        </w:trPr>
        <w:tc>
          <w:tcPr>
            <w:tcW w:w="1247" w:type="dxa"/>
          </w:tcPr>
          <w:p w14:paraId="4F7D4F01" w14:textId="77777777" w:rsidR="00F73D5B" w:rsidRPr="008B7A21" w:rsidRDefault="00F73D5B" w:rsidP="00767A6A">
            <w:pPr>
              <w:pStyle w:val="Tabletext"/>
              <w:jc w:val="center"/>
              <w:rPr>
                <w:sz w:val="18"/>
                <w:szCs w:val="18"/>
                <w:lang w:val="es-ES_tradnl"/>
              </w:rPr>
            </w:pPr>
            <w:r w:rsidRPr="008B7A21">
              <w:rPr>
                <w:sz w:val="18"/>
                <w:szCs w:val="18"/>
                <w:lang w:val="es-ES_tradnl"/>
              </w:rPr>
              <w:t>46,0</w:t>
            </w:r>
          </w:p>
        </w:tc>
        <w:tc>
          <w:tcPr>
            <w:tcW w:w="709" w:type="dxa"/>
          </w:tcPr>
          <w:p w14:paraId="154CAFE9" w14:textId="77777777" w:rsidR="00F73D5B" w:rsidRPr="008B7A21" w:rsidRDefault="00F73D5B" w:rsidP="00767A6A">
            <w:pPr>
              <w:pStyle w:val="Tabletext"/>
              <w:jc w:val="center"/>
              <w:rPr>
                <w:sz w:val="18"/>
                <w:szCs w:val="18"/>
                <w:lang w:val="es-ES_tradnl"/>
              </w:rPr>
            </w:pPr>
            <w:r w:rsidRPr="008B7A21">
              <w:rPr>
                <w:sz w:val="18"/>
                <w:szCs w:val="18"/>
                <w:lang w:val="es-ES_tradnl"/>
              </w:rPr>
              <w:t>17</w:t>
            </w:r>
          </w:p>
        </w:tc>
        <w:tc>
          <w:tcPr>
            <w:tcW w:w="765" w:type="dxa"/>
          </w:tcPr>
          <w:p w14:paraId="3A052941" w14:textId="77777777" w:rsidR="00F73D5B" w:rsidRPr="008B7A21" w:rsidRDefault="00F73D5B" w:rsidP="00767A6A">
            <w:pPr>
              <w:pStyle w:val="Tabletext"/>
              <w:jc w:val="center"/>
              <w:rPr>
                <w:sz w:val="18"/>
                <w:szCs w:val="18"/>
                <w:lang w:val="es-ES_tradnl"/>
              </w:rPr>
            </w:pPr>
            <w:r w:rsidRPr="008B7A21">
              <w:rPr>
                <w:sz w:val="18"/>
                <w:szCs w:val="18"/>
                <w:lang w:val="es-ES_tradnl"/>
              </w:rPr>
              <w:t>22</w:t>
            </w:r>
          </w:p>
        </w:tc>
        <w:tc>
          <w:tcPr>
            <w:tcW w:w="765" w:type="dxa"/>
          </w:tcPr>
          <w:p w14:paraId="730C7183" w14:textId="77777777" w:rsidR="00F73D5B" w:rsidRPr="008B7A21" w:rsidRDefault="00F73D5B" w:rsidP="00767A6A">
            <w:pPr>
              <w:pStyle w:val="Tabletext"/>
              <w:jc w:val="center"/>
              <w:rPr>
                <w:sz w:val="18"/>
                <w:szCs w:val="18"/>
                <w:lang w:val="es-ES_tradnl"/>
              </w:rPr>
            </w:pPr>
            <w:r w:rsidRPr="008B7A21">
              <w:rPr>
                <w:sz w:val="18"/>
                <w:szCs w:val="18"/>
                <w:lang w:val="es-ES_tradnl"/>
              </w:rPr>
              <w:t>26</w:t>
            </w:r>
          </w:p>
        </w:tc>
        <w:tc>
          <w:tcPr>
            <w:tcW w:w="765" w:type="dxa"/>
          </w:tcPr>
          <w:p w14:paraId="3F6B92B2" w14:textId="77777777" w:rsidR="00F73D5B" w:rsidRPr="008B7A21" w:rsidRDefault="00F73D5B" w:rsidP="00767A6A">
            <w:pPr>
              <w:pStyle w:val="Tabletext"/>
              <w:jc w:val="center"/>
              <w:rPr>
                <w:sz w:val="18"/>
                <w:szCs w:val="18"/>
                <w:lang w:val="es-ES_tradnl"/>
              </w:rPr>
            </w:pPr>
            <w:r w:rsidRPr="008B7A21">
              <w:rPr>
                <w:sz w:val="18"/>
                <w:szCs w:val="18"/>
                <w:lang w:val="es-ES_tradnl"/>
              </w:rPr>
              <w:t>30</w:t>
            </w:r>
          </w:p>
        </w:tc>
        <w:tc>
          <w:tcPr>
            <w:tcW w:w="765" w:type="dxa"/>
          </w:tcPr>
          <w:p w14:paraId="1CE783EB" w14:textId="77777777" w:rsidR="00F73D5B" w:rsidRPr="008B7A21" w:rsidRDefault="00F73D5B" w:rsidP="00767A6A">
            <w:pPr>
              <w:pStyle w:val="Tabletext"/>
              <w:jc w:val="center"/>
              <w:rPr>
                <w:sz w:val="18"/>
                <w:szCs w:val="18"/>
                <w:lang w:val="es-ES_tradnl"/>
              </w:rPr>
            </w:pPr>
            <w:r w:rsidRPr="008B7A21">
              <w:rPr>
                <w:sz w:val="18"/>
                <w:szCs w:val="18"/>
                <w:lang w:val="es-ES_tradnl"/>
              </w:rPr>
              <w:t>35</w:t>
            </w:r>
          </w:p>
        </w:tc>
        <w:tc>
          <w:tcPr>
            <w:tcW w:w="765" w:type="dxa"/>
          </w:tcPr>
          <w:p w14:paraId="78BC8C42" w14:textId="77777777" w:rsidR="00F73D5B" w:rsidRPr="008B7A21" w:rsidRDefault="00F73D5B" w:rsidP="00767A6A">
            <w:pPr>
              <w:pStyle w:val="Tabletext"/>
              <w:jc w:val="center"/>
              <w:rPr>
                <w:sz w:val="18"/>
                <w:szCs w:val="18"/>
                <w:lang w:val="es-ES_tradnl"/>
              </w:rPr>
            </w:pPr>
            <w:r w:rsidRPr="008B7A21">
              <w:rPr>
                <w:sz w:val="18"/>
                <w:szCs w:val="18"/>
                <w:lang w:val="es-ES_tradnl"/>
              </w:rPr>
              <w:t>40</w:t>
            </w:r>
          </w:p>
        </w:tc>
        <w:tc>
          <w:tcPr>
            <w:tcW w:w="765" w:type="dxa"/>
          </w:tcPr>
          <w:p w14:paraId="745DC186" w14:textId="77777777" w:rsidR="00F73D5B" w:rsidRPr="008B7A21" w:rsidRDefault="00F73D5B" w:rsidP="00767A6A">
            <w:pPr>
              <w:pStyle w:val="Tabletext"/>
              <w:jc w:val="center"/>
              <w:rPr>
                <w:sz w:val="18"/>
                <w:szCs w:val="18"/>
                <w:lang w:val="es-ES_tradnl"/>
              </w:rPr>
            </w:pPr>
            <w:r w:rsidRPr="008B7A21">
              <w:rPr>
                <w:sz w:val="18"/>
                <w:szCs w:val="18"/>
                <w:lang w:val="es-ES_tradnl"/>
              </w:rPr>
              <w:t>45</w:t>
            </w:r>
          </w:p>
        </w:tc>
        <w:tc>
          <w:tcPr>
            <w:tcW w:w="765" w:type="dxa"/>
          </w:tcPr>
          <w:p w14:paraId="4BD63421" w14:textId="77777777" w:rsidR="00F73D5B" w:rsidRPr="008B7A21" w:rsidRDefault="00F73D5B" w:rsidP="00767A6A">
            <w:pPr>
              <w:pStyle w:val="Tabletext"/>
              <w:jc w:val="center"/>
              <w:rPr>
                <w:sz w:val="18"/>
                <w:szCs w:val="18"/>
                <w:lang w:val="es-ES_tradnl"/>
              </w:rPr>
            </w:pPr>
            <w:r w:rsidRPr="008B7A21">
              <w:rPr>
                <w:sz w:val="18"/>
                <w:szCs w:val="18"/>
                <w:lang w:val="es-ES_tradnl"/>
              </w:rPr>
              <w:t>48</w:t>
            </w:r>
          </w:p>
        </w:tc>
        <w:tc>
          <w:tcPr>
            <w:tcW w:w="765" w:type="dxa"/>
          </w:tcPr>
          <w:p w14:paraId="739AB8F7" w14:textId="77777777" w:rsidR="00F73D5B" w:rsidRPr="008B7A21" w:rsidRDefault="00F73D5B" w:rsidP="00767A6A">
            <w:pPr>
              <w:pStyle w:val="Tabletext"/>
              <w:jc w:val="center"/>
              <w:rPr>
                <w:sz w:val="18"/>
                <w:szCs w:val="18"/>
                <w:lang w:val="es-ES_tradnl"/>
              </w:rPr>
            </w:pPr>
            <w:r w:rsidRPr="008B7A21">
              <w:rPr>
                <w:sz w:val="18"/>
                <w:szCs w:val="18"/>
                <w:lang w:val="es-ES_tradnl"/>
              </w:rPr>
              <w:t>51</w:t>
            </w:r>
          </w:p>
        </w:tc>
        <w:tc>
          <w:tcPr>
            <w:tcW w:w="765" w:type="dxa"/>
          </w:tcPr>
          <w:p w14:paraId="11B6D9EA" w14:textId="77777777" w:rsidR="00F73D5B" w:rsidRPr="008B7A21" w:rsidRDefault="00F73D5B" w:rsidP="00767A6A">
            <w:pPr>
              <w:pStyle w:val="Tabletext"/>
              <w:jc w:val="center"/>
              <w:rPr>
                <w:sz w:val="18"/>
                <w:szCs w:val="18"/>
                <w:lang w:val="es-ES_tradnl"/>
              </w:rPr>
            </w:pPr>
            <w:r w:rsidRPr="008B7A21">
              <w:rPr>
                <w:sz w:val="18"/>
                <w:szCs w:val="18"/>
                <w:lang w:val="es-ES_tradnl"/>
              </w:rPr>
              <w:t>55</w:t>
            </w:r>
          </w:p>
        </w:tc>
        <w:tc>
          <w:tcPr>
            <w:tcW w:w="879" w:type="dxa"/>
          </w:tcPr>
          <w:p w14:paraId="2ED294FD" w14:textId="77777777" w:rsidR="00F73D5B" w:rsidRPr="008B7A21" w:rsidRDefault="00F73D5B" w:rsidP="00767A6A">
            <w:pPr>
              <w:pStyle w:val="Tabletext"/>
              <w:jc w:val="center"/>
              <w:rPr>
                <w:sz w:val="18"/>
                <w:szCs w:val="18"/>
                <w:lang w:val="es-ES_tradnl"/>
              </w:rPr>
            </w:pPr>
            <w:r w:rsidRPr="008B7A21">
              <w:rPr>
                <w:sz w:val="18"/>
                <w:szCs w:val="18"/>
                <w:lang w:val="es-ES_tradnl"/>
              </w:rPr>
              <w:t>60</w:t>
            </w:r>
          </w:p>
        </w:tc>
      </w:tr>
      <w:tr w:rsidR="00F73D5B" w:rsidRPr="008B7A21" w14:paraId="6F670851" w14:textId="77777777" w:rsidTr="00767A6A">
        <w:trPr>
          <w:jc w:val="center"/>
        </w:trPr>
        <w:tc>
          <w:tcPr>
            <w:tcW w:w="1247" w:type="dxa"/>
          </w:tcPr>
          <w:p w14:paraId="2B82C9CC" w14:textId="77777777" w:rsidR="00F73D5B" w:rsidRPr="008B7A21" w:rsidRDefault="00F73D5B" w:rsidP="00767A6A">
            <w:pPr>
              <w:pStyle w:val="Tabletext"/>
              <w:jc w:val="center"/>
              <w:rPr>
                <w:sz w:val="18"/>
                <w:szCs w:val="18"/>
                <w:lang w:val="es-ES_tradnl"/>
              </w:rPr>
            </w:pPr>
            <w:r w:rsidRPr="008B7A21">
              <w:rPr>
                <w:sz w:val="18"/>
                <w:szCs w:val="18"/>
                <w:lang w:val="es-ES_tradnl"/>
              </w:rPr>
              <w:t>50,0</w:t>
            </w:r>
          </w:p>
        </w:tc>
        <w:tc>
          <w:tcPr>
            <w:tcW w:w="709" w:type="dxa"/>
          </w:tcPr>
          <w:p w14:paraId="53844EDB" w14:textId="77777777" w:rsidR="00F73D5B" w:rsidRPr="008B7A21" w:rsidRDefault="00F73D5B" w:rsidP="00767A6A">
            <w:pPr>
              <w:pStyle w:val="Tabletext"/>
              <w:jc w:val="center"/>
              <w:rPr>
                <w:sz w:val="18"/>
                <w:szCs w:val="18"/>
                <w:lang w:val="es-ES_tradnl"/>
              </w:rPr>
            </w:pPr>
            <w:r w:rsidRPr="008B7A21">
              <w:rPr>
                <w:sz w:val="18"/>
                <w:szCs w:val="18"/>
                <w:lang w:val="es-ES_tradnl"/>
              </w:rPr>
              <w:t>21</w:t>
            </w:r>
          </w:p>
        </w:tc>
        <w:tc>
          <w:tcPr>
            <w:tcW w:w="765" w:type="dxa"/>
          </w:tcPr>
          <w:p w14:paraId="15D206CC" w14:textId="77777777" w:rsidR="00F73D5B" w:rsidRPr="008B7A21" w:rsidRDefault="00F73D5B" w:rsidP="00767A6A">
            <w:pPr>
              <w:pStyle w:val="Tabletext"/>
              <w:jc w:val="center"/>
              <w:rPr>
                <w:sz w:val="18"/>
                <w:szCs w:val="18"/>
                <w:lang w:val="es-ES_tradnl"/>
              </w:rPr>
            </w:pPr>
            <w:r w:rsidRPr="008B7A21">
              <w:rPr>
                <w:sz w:val="18"/>
                <w:szCs w:val="18"/>
                <w:lang w:val="es-ES_tradnl"/>
              </w:rPr>
              <w:t>26</w:t>
            </w:r>
          </w:p>
        </w:tc>
        <w:tc>
          <w:tcPr>
            <w:tcW w:w="765" w:type="dxa"/>
          </w:tcPr>
          <w:p w14:paraId="355B6E6B" w14:textId="77777777" w:rsidR="00F73D5B" w:rsidRPr="008B7A21" w:rsidRDefault="00F73D5B" w:rsidP="00767A6A">
            <w:pPr>
              <w:pStyle w:val="Tabletext"/>
              <w:jc w:val="center"/>
              <w:rPr>
                <w:sz w:val="18"/>
                <w:szCs w:val="18"/>
                <w:lang w:val="es-ES_tradnl"/>
              </w:rPr>
            </w:pPr>
            <w:r w:rsidRPr="008B7A21">
              <w:rPr>
                <w:sz w:val="18"/>
                <w:szCs w:val="18"/>
                <w:lang w:val="es-ES_tradnl"/>
              </w:rPr>
              <w:t>31</w:t>
            </w:r>
          </w:p>
        </w:tc>
        <w:tc>
          <w:tcPr>
            <w:tcW w:w="765" w:type="dxa"/>
          </w:tcPr>
          <w:p w14:paraId="0FA7BC17" w14:textId="77777777" w:rsidR="00F73D5B" w:rsidRPr="008B7A21" w:rsidRDefault="00F73D5B" w:rsidP="00767A6A">
            <w:pPr>
              <w:pStyle w:val="Tabletext"/>
              <w:jc w:val="center"/>
              <w:rPr>
                <w:sz w:val="18"/>
                <w:szCs w:val="18"/>
                <w:lang w:val="es-ES_tradnl"/>
              </w:rPr>
            </w:pPr>
            <w:r w:rsidRPr="008B7A21">
              <w:rPr>
                <w:sz w:val="18"/>
                <w:szCs w:val="18"/>
                <w:lang w:val="es-ES_tradnl"/>
              </w:rPr>
              <w:t>35</w:t>
            </w:r>
          </w:p>
        </w:tc>
        <w:tc>
          <w:tcPr>
            <w:tcW w:w="765" w:type="dxa"/>
          </w:tcPr>
          <w:p w14:paraId="30E78131" w14:textId="77777777" w:rsidR="00F73D5B" w:rsidRPr="008B7A21" w:rsidRDefault="00F73D5B" w:rsidP="00767A6A">
            <w:pPr>
              <w:pStyle w:val="Tabletext"/>
              <w:jc w:val="center"/>
              <w:rPr>
                <w:sz w:val="18"/>
                <w:szCs w:val="18"/>
                <w:lang w:val="es-ES_tradnl"/>
              </w:rPr>
            </w:pPr>
            <w:r w:rsidRPr="008B7A21">
              <w:rPr>
                <w:sz w:val="18"/>
                <w:szCs w:val="18"/>
                <w:lang w:val="es-ES_tradnl"/>
              </w:rPr>
              <w:t>42</w:t>
            </w:r>
          </w:p>
        </w:tc>
        <w:tc>
          <w:tcPr>
            <w:tcW w:w="765" w:type="dxa"/>
          </w:tcPr>
          <w:p w14:paraId="3C540F8A" w14:textId="77777777" w:rsidR="00F73D5B" w:rsidRPr="008B7A21" w:rsidRDefault="00F73D5B" w:rsidP="00767A6A">
            <w:pPr>
              <w:pStyle w:val="Tabletext"/>
              <w:jc w:val="center"/>
              <w:rPr>
                <w:sz w:val="18"/>
                <w:szCs w:val="18"/>
                <w:lang w:val="es-ES_tradnl"/>
              </w:rPr>
            </w:pPr>
            <w:r w:rsidRPr="008B7A21">
              <w:rPr>
                <w:sz w:val="18"/>
                <w:szCs w:val="18"/>
                <w:lang w:val="es-ES_tradnl"/>
              </w:rPr>
              <w:t>47</w:t>
            </w:r>
          </w:p>
        </w:tc>
        <w:tc>
          <w:tcPr>
            <w:tcW w:w="765" w:type="dxa"/>
          </w:tcPr>
          <w:p w14:paraId="7FE4F9B2" w14:textId="77777777" w:rsidR="00F73D5B" w:rsidRPr="008B7A21" w:rsidRDefault="00F73D5B" w:rsidP="00767A6A">
            <w:pPr>
              <w:pStyle w:val="Tabletext"/>
              <w:jc w:val="center"/>
              <w:rPr>
                <w:sz w:val="18"/>
                <w:szCs w:val="18"/>
                <w:lang w:val="es-ES_tradnl"/>
              </w:rPr>
            </w:pPr>
            <w:r w:rsidRPr="008B7A21">
              <w:rPr>
                <w:sz w:val="18"/>
                <w:szCs w:val="18"/>
                <w:lang w:val="es-ES_tradnl"/>
              </w:rPr>
              <w:t>51</w:t>
            </w:r>
          </w:p>
        </w:tc>
        <w:tc>
          <w:tcPr>
            <w:tcW w:w="765" w:type="dxa"/>
          </w:tcPr>
          <w:p w14:paraId="0E4C1655" w14:textId="77777777" w:rsidR="00F73D5B" w:rsidRPr="008B7A21" w:rsidRDefault="00F73D5B" w:rsidP="00767A6A">
            <w:pPr>
              <w:pStyle w:val="Tabletext"/>
              <w:jc w:val="center"/>
              <w:rPr>
                <w:sz w:val="18"/>
                <w:szCs w:val="18"/>
                <w:lang w:val="es-ES_tradnl"/>
              </w:rPr>
            </w:pPr>
            <w:r w:rsidRPr="008B7A21">
              <w:rPr>
                <w:sz w:val="18"/>
                <w:szCs w:val="18"/>
                <w:lang w:val="es-ES_tradnl"/>
              </w:rPr>
              <w:t>55</w:t>
            </w:r>
          </w:p>
        </w:tc>
        <w:tc>
          <w:tcPr>
            <w:tcW w:w="765" w:type="dxa"/>
          </w:tcPr>
          <w:p w14:paraId="18016750" w14:textId="77777777" w:rsidR="00F73D5B" w:rsidRPr="008B7A21" w:rsidRDefault="00F73D5B" w:rsidP="00767A6A">
            <w:pPr>
              <w:pStyle w:val="Tabletext"/>
              <w:jc w:val="center"/>
              <w:rPr>
                <w:sz w:val="18"/>
                <w:szCs w:val="18"/>
                <w:lang w:val="es-ES_tradnl"/>
              </w:rPr>
            </w:pPr>
            <w:r w:rsidRPr="008B7A21">
              <w:rPr>
                <w:sz w:val="18"/>
                <w:szCs w:val="18"/>
                <w:lang w:val="es-ES_tradnl"/>
              </w:rPr>
              <w:t>59</w:t>
            </w:r>
          </w:p>
        </w:tc>
        <w:tc>
          <w:tcPr>
            <w:tcW w:w="765" w:type="dxa"/>
          </w:tcPr>
          <w:p w14:paraId="08E536E4" w14:textId="77777777" w:rsidR="00F73D5B" w:rsidRPr="008B7A21" w:rsidRDefault="00F73D5B" w:rsidP="00767A6A">
            <w:pPr>
              <w:pStyle w:val="Tabletext"/>
              <w:jc w:val="center"/>
              <w:rPr>
                <w:sz w:val="18"/>
                <w:szCs w:val="18"/>
                <w:lang w:val="es-ES_tradnl"/>
              </w:rPr>
            </w:pPr>
            <w:r w:rsidRPr="008B7A21">
              <w:rPr>
                <w:sz w:val="18"/>
                <w:szCs w:val="18"/>
                <w:lang w:val="es-ES_tradnl"/>
              </w:rPr>
              <w:t>62</w:t>
            </w:r>
          </w:p>
        </w:tc>
        <w:tc>
          <w:tcPr>
            <w:tcW w:w="879" w:type="dxa"/>
          </w:tcPr>
          <w:p w14:paraId="5C777F99" w14:textId="77777777" w:rsidR="00F73D5B" w:rsidRPr="008B7A21" w:rsidRDefault="00F73D5B" w:rsidP="00767A6A">
            <w:pPr>
              <w:pStyle w:val="Tabletext"/>
              <w:jc w:val="center"/>
              <w:rPr>
                <w:sz w:val="18"/>
                <w:szCs w:val="18"/>
                <w:lang w:val="es-ES_tradnl"/>
              </w:rPr>
            </w:pPr>
            <w:r w:rsidRPr="008B7A21">
              <w:rPr>
                <w:sz w:val="18"/>
                <w:szCs w:val="18"/>
                <w:lang w:val="es-ES_tradnl"/>
              </w:rPr>
              <w:t>68</w:t>
            </w:r>
          </w:p>
        </w:tc>
      </w:tr>
      <w:tr w:rsidR="00F73D5B" w:rsidRPr="008B7A21" w14:paraId="760C48CB" w14:textId="77777777" w:rsidTr="00767A6A">
        <w:trPr>
          <w:jc w:val="center"/>
        </w:trPr>
        <w:tc>
          <w:tcPr>
            <w:tcW w:w="1247" w:type="dxa"/>
          </w:tcPr>
          <w:p w14:paraId="5EB6EF4E" w14:textId="77777777" w:rsidR="00F73D5B" w:rsidRPr="008B7A21" w:rsidRDefault="00F73D5B" w:rsidP="00767A6A">
            <w:pPr>
              <w:pStyle w:val="Tabletext"/>
              <w:jc w:val="center"/>
              <w:rPr>
                <w:sz w:val="18"/>
                <w:szCs w:val="18"/>
                <w:lang w:val="es-ES_tradnl"/>
              </w:rPr>
            </w:pPr>
            <w:r w:rsidRPr="008B7A21">
              <w:rPr>
                <w:sz w:val="18"/>
                <w:szCs w:val="18"/>
                <w:lang w:val="es-ES_tradnl"/>
              </w:rPr>
              <w:t>55,0</w:t>
            </w:r>
          </w:p>
        </w:tc>
        <w:tc>
          <w:tcPr>
            <w:tcW w:w="709" w:type="dxa"/>
          </w:tcPr>
          <w:p w14:paraId="2B07621F" w14:textId="77777777" w:rsidR="00F73D5B" w:rsidRPr="008B7A21" w:rsidRDefault="00F73D5B" w:rsidP="00767A6A">
            <w:pPr>
              <w:pStyle w:val="Tabletext"/>
              <w:jc w:val="center"/>
              <w:rPr>
                <w:sz w:val="18"/>
                <w:szCs w:val="18"/>
                <w:lang w:val="es-ES_tradnl"/>
              </w:rPr>
            </w:pPr>
            <w:r w:rsidRPr="008B7A21">
              <w:rPr>
                <w:sz w:val="18"/>
                <w:szCs w:val="18"/>
                <w:lang w:val="es-ES_tradnl"/>
              </w:rPr>
              <w:t>27</w:t>
            </w:r>
          </w:p>
        </w:tc>
        <w:tc>
          <w:tcPr>
            <w:tcW w:w="765" w:type="dxa"/>
          </w:tcPr>
          <w:p w14:paraId="554C107C" w14:textId="77777777" w:rsidR="00F73D5B" w:rsidRPr="008B7A21" w:rsidRDefault="00F73D5B" w:rsidP="00767A6A">
            <w:pPr>
              <w:pStyle w:val="Tabletext"/>
              <w:jc w:val="center"/>
              <w:rPr>
                <w:sz w:val="18"/>
                <w:szCs w:val="18"/>
                <w:lang w:val="es-ES_tradnl"/>
              </w:rPr>
            </w:pPr>
            <w:r w:rsidRPr="008B7A21">
              <w:rPr>
                <w:sz w:val="18"/>
                <w:szCs w:val="18"/>
                <w:lang w:val="es-ES_tradnl"/>
              </w:rPr>
              <w:t>33</w:t>
            </w:r>
          </w:p>
        </w:tc>
        <w:tc>
          <w:tcPr>
            <w:tcW w:w="765" w:type="dxa"/>
          </w:tcPr>
          <w:p w14:paraId="62213AFD" w14:textId="77777777" w:rsidR="00F73D5B" w:rsidRPr="008B7A21" w:rsidRDefault="00F73D5B" w:rsidP="00767A6A">
            <w:pPr>
              <w:pStyle w:val="Tabletext"/>
              <w:jc w:val="center"/>
              <w:rPr>
                <w:sz w:val="18"/>
                <w:szCs w:val="18"/>
                <w:lang w:val="es-ES_tradnl"/>
              </w:rPr>
            </w:pPr>
            <w:r w:rsidRPr="008B7A21">
              <w:rPr>
                <w:sz w:val="18"/>
                <w:szCs w:val="18"/>
                <w:lang w:val="es-ES_tradnl"/>
              </w:rPr>
              <w:t>39</w:t>
            </w:r>
          </w:p>
        </w:tc>
        <w:tc>
          <w:tcPr>
            <w:tcW w:w="765" w:type="dxa"/>
          </w:tcPr>
          <w:p w14:paraId="2FE0E2DD" w14:textId="77777777" w:rsidR="00F73D5B" w:rsidRPr="008B7A21" w:rsidRDefault="00F73D5B" w:rsidP="00767A6A">
            <w:pPr>
              <w:pStyle w:val="Tabletext"/>
              <w:jc w:val="center"/>
              <w:rPr>
                <w:sz w:val="18"/>
                <w:szCs w:val="18"/>
                <w:lang w:val="es-ES_tradnl"/>
              </w:rPr>
            </w:pPr>
            <w:r w:rsidRPr="008B7A21">
              <w:rPr>
                <w:sz w:val="18"/>
                <w:szCs w:val="18"/>
                <w:lang w:val="es-ES_tradnl"/>
              </w:rPr>
              <w:t>43</w:t>
            </w:r>
          </w:p>
        </w:tc>
        <w:tc>
          <w:tcPr>
            <w:tcW w:w="765" w:type="dxa"/>
          </w:tcPr>
          <w:p w14:paraId="616C01CA" w14:textId="77777777" w:rsidR="00F73D5B" w:rsidRPr="008B7A21" w:rsidRDefault="00F73D5B" w:rsidP="00767A6A">
            <w:pPr>
              <w:pStyle w:val="Tabletext"/>
              <w:jc w:val="center"/>
              <w:rPr>
                <w:sz w:val="18"/>
                <w:szCs w:val="18"/>
                <w:lang w:val="es-ES_tradnl"/>
              </w:rPr>
            </w:pPr>
            <w:r w:rsidRPr="008B7A21">
              <w:rPr>
                <w:sz w:val="18"/>
                <w:szCs w:val="18"/>
                <w:lang w:val="es-ES_tradnl"/>
              </w:rPr>
              <w:t>50</w:t>
            </w:r>
          </w:p>
        </w:tc>
        <w:tc>
          <w:tcPr>
            <w:tcW w:w="765" w:type="dxa"/>
          </w:tcPr>
          <w:p w14:paraId="078D837E" w14:textId="77777777" w:rsidR="00F73D5B" w:rsidRPr="008B7A21" w:rsidRDefault="00F73D5B" w:rsidP="00767A6A">
            <w:pPr>
              <w:pStyle w:val="Tabletext"/>
              <w:jc w:val="center"/>
              <w:rPr>
                <w:sz w:val="18"/>
                <w:szCs w:val="18"/>
                <w:lang w:val="es-ES_tradnl"/>
              </w:rPr>
            </w:pPr>
            <w:r w:rsidRPr="008B7A21">
              <w:rPr>
                <w:sz w:val="18"/>
                <w:szCs w:val="18"/>
                <w:lang w:val="es-ES_tradnl"/>
              </w:rPr>
              <w:t>56</w:t>
            </w:r>
          </w:p>
        </w:tc>
        <w:tc>
          <w:tcPr>
            <w:tcW w:w="765" w:type="dxa"/>
          </w:tcPr>
          <w:p w14:paraId="5AFA3BD5" w14:textId="77777777" w:rsidR="00F73D5B" w:rsidRPr="008B7A21" w:rsidRDefault="00F73D5B" w:rsidP="00767A6A">
            <w:pPr>
              <w:pStyle w:val="Tabletext"/>
              <w:jc w:val="center"/>
              <w:rPr>
                <w:sz w:val="18"/>
                <w:szCs w:val="18"/>
                <w:lang w:val="es-ES_tradnl"/>
              </w:rPr>
            </w:pPr>
            <w:r w:rsidRPr="008B7A21">
              <w:rPr>
                <w:sz w:val="18"/>
                <w:szCs w:val="18"/>
                <w:lang w:val="es-ES_tradnl"/>
              </w:rPr>
              <w:t>61</w:t>
            </w:r>
          </w:p>
        </w:tc>
        <w:tc>
          <w:tcPr>
            <w:tcW w:w="765" w:type="dxa"/>
          </w:tcPr>
          <w:p w14:paraId="4CD64A06" w14:textId="77777777" w:rsidR="00F73D5B" w:rsidRPr="008B7A21" w:rsidRDefault="00F73D5B" w:rsidP="00767A6A">
            <w:pPr>
              <w:pStyle w:val="Tabletext"/>
              <w:jc w:val="center"/>
              <w:rPr>
                <w:sz w:val="18"/>
                <w:szCs w:val="18"/>
                <w:lang w:val="es-ES_tradnl"/>
              </w:rPr>
            </w:pPr>
            <w:r w:rsidRPr="008B7A21">
              <w:rPr>
                <w:sz w:val="18"/>
                <w:szCs w:val="18"/>
                <w:lang w:val="es-ES_tradnl"/>
              </w:rPr>
              <w:t>65</w:t>
            </w:r>
          </w:p>
        </w:tc>
        <w:tc>
          <w:tcPr>
            <w:tcW w:w="765" w:type="dxa"/>
          </w:tcPr>
          <w:p w14:paraId="53E29462" w14:textId="77777777" w:rsidR="00F73D5B" w:rsidRPr="008B7A21" w:rsidRDefault="00F73D5B" w:rsidP="00767A6A">
            <w:pPr>
              <w:pStyle w:val="Tabletext"/>
              <w:jc w:val="center"/>
              <w:rPr>
                <w:sz w:val="18"/>
                <w:szCs w:val="18"/>
                <w:lang w:val="es-ES_tradnl"/>
              </w:rPr>
            </w:pPr>
            <w:r w:rsidRPr="008B7A21">
              <w:rPr>
                <w:sz w:val="18"/>
                <w:szCs w:val="18"/>
                <w:lang w:val="es-ES_tradnl"/>
              </w:rPr>
              <w:t>69</w:t>
            </w:r>
          </w:p>
        </w:tc>
        <w:tc>
          <w:tcPr>
            <w:tcW w:w="765" w:type="dxa"/>
          </w:tcPr>
          <w:p w14:paraId="36634307" w14:textId="77777777" w:rsidR="00F73D5B" w:rsidRPr="008B7A21" w:rsidRDefault="00F73D5B" w:rsidP="00767A6A">
            <w:pPr>
              <w:pStyle w:val="Tabletext"/>
              <w:jc w:val="center"/>
              <w:rPr>
                <w:sz w:val="18"/>
                <w:szCs w:val="18"/>
                <w:lang w:val="es-ES_tradnl"/>
              </w:rPr>
            </w:pPr>
            <w:r w:rsidRPr="008B7A21">
              <w:rPr>
                <w:sz w:val="18"/>
                <w:szCs w:val="18"/>
                <w:lang w:val="es-ES_tradnl"/>
              </w:rPr>
              <w:t>73</w:t>
            </w:r>
          </w:p>
        </w:tc>
        <w:tc>
          <w:tcPr>
            <w:tcW w:w="879" w:type="dxa"/>
          </w:tcPr>
          <w:p w14:paraId="190F2BB4" w14:textId="77777777" w:rsidR="00F73D5B" w:rsidRPr="008B7A21" w:rsidRDefault="00F73D5B" w:rsidP="00767A6A">
            <w:pPr>
              <w:pStyle w:val="Tabletext"/>
              <w:jc w:val="center"/>
              <w:rPr>
                <w:sz w:val="18"/>
                <w:szCs w:val="18"/>
                <w:lang w:val="es-ES_tradnl"/>
              </w:rPr>
            </w:pPr>
            <w:r w:rsidRPr="008B7A21">
              <w:rPr>
                <w:sz w:val="18"/>
                <w:szCs w:val="18"/>
                <w:lang w:val="es-ES_tradnl"/>
              </w:rPr>
              <w:t>79</w:t>
            </w:r>
          </w:p>
        </w:tc>
      </w:tr>
      <w:tr w:rsidR="00F73D5B" w:rsidRPr="008B7A21" w14:paraId="68E453B3" w14:textId="77777777" w:rsidTr="00767A6A">
        <w:trPr>
          <w:jc w:val="center"/>
        </w:trPr>
        <w:tc>
          <w:tcPr>
            <w:tcW w:w="1247" w:type="dxa"/>
          </w:tcPr>
          <w:p w14:paraId="50517A9F" w14:textId="77777777" w:rsidR="00F73D5B" w:rsidRPr="008B7A21" w:rsidRDefault="00F73D5B" w:rsidP="00767A6A">
            <w:pPr>
              <w:pStyle w:val="Tabletext"/>
              <w:jc w:val="center"/>
              <w:rPr>
                <w:sz w:val="18"/>
                <w:szCs w:val="18"/>
                <w:lang w:val="es-ES_tradnl"/>
              </w:rPr>
            </w:pPr>
            <w:r w:rsidRPr="008B7A21">
              <w:rPr>
                <w:sz w:val="18"/>
                <w:szCs w:val="18"/>
                <w:lang w:val="es-ES_tradnl"/>
              </w:rPr>
              <w:t>60,0</w:t>
            </w:r>
          </w:p>
        </w:tc>
        <w:tc>
          <w:tcPr>
            <w:tcW w:w="709" w:type="dxa"/>
          </w:tcPr>
          <w:p w14:paraId="60DA0EBC" w14:textId="77777777" w:rsidR="00F73D5B" w:rsidRPr="008B7A21" w:rsidRDefault="00F73D5B" w:rsidP="00767A6A">
            <w:pPr>
              <w:pStyle w:val="Tabletext"/>
              <w:jc w:val="center"/>
              <w:rPr>
                <w:sz w:val="18"/>
                <w:szCs w:val="18"/>
                <w:lang w:val="es-ES_tradnl"/>
              </w:rPr>
            </w:pPr>
            <w:r w:rsidRPr="008B7A21">
              <w:rPr>
                <w:sz w:val="18"/>
                <w:szCs w:val="18"/>
                <w:lang w:val="es-ES_tradnl"/>
              </w:rPr>
              <w:t>34</w:t>
            </w:r>
          </w:p>
        </w:tc>
        <w:tc>
          <w:tcPr>
            <w:tcW w:w="765" w:type="dxa"/>
          </w:tcPr>
          <w:p w14:paraId="28742E7F" w14:textId="77777777" w:rsidR="00F73D5B" w:rsidRPr="008B7A21" w:rsidRDefault="00F73D5B" w:rsidP="00767A6A">
            <w:pPr>
              <w:pStyle w:val="Tabletext"/>
              <w:jc w:val="center"/>
              <w:rPr>
                <w:sz w:val="18"/>
                <w:szCs w:val="18"/>
                <w:lang w:val="es-ES_tradnl"/>
              </w:rPr>
            </w:pPr>
            <w:r w:rsidRPr="008B7A21">
              <w:rPr>
                <w:sz w:val="18"/>
                <w:szCs w:val="18"/>
                <w:lang w:val="es-ES_tradnl"/>
              </w:rPr>
              <w:t>41</w:t>
            </w:r>
          </w:p>
        </w:tc>
        <w:tc>
          <w:tcPr>
            <w:tcW w:w="765" w:type="dxa"/>
          </w:tcPr>
          <w:p w14:paraId="0C287CB5" w14:textId="77777777" w:rsidR="00F73D5B" w:rsidRPr="008B7A21" w:rsidRDefault="00F73D5B" w:rsidP="00767A6A">
            <w:pPr>
              <w:pStyle w:val="Tabletext"/>
              <w:jc w:val="center"/>
              <w:rPr>
                <w:sz w:val="18"/>
                <w:szCs w:val="18"/>
                <w:lang w:val="es-ES_tradnl"/>
              </w:rPr>
            </w:pPr>
            <w:r w:rsidRPr="008B7A21">
              <w:rPr>
                <w:sz w:val="18"/>
                <w:szCs w:val="18"/>
                <w:lang w:val="es-ES_tradnl"/>
              </w:rPr>
              <w:t>48</w:t>
            </w:r>
          </w:p>
        </w:tc>
        <w:tc>
          <w:tcPr>
            <w:tcW w:w="765" w:type="dxa"/>
          </w:tcPr>
          <w:p w14:paraId="0844D292" w14:textId="77777777" w:rsidR="00F73D5B" w:rsidRPr="008B7A21" w:rsidRDefault="00F73D5B" w:rsidP="00767A6A">
            <w:pPr>
              <w:pStyle w:val="Tabletext"/>
              <w:jc w:val="center"/>
              <w:rPr>
                <w:sz w:val="18"/>
                <w:szCs w:val="18"/>
                <w:lang w:val="es-ES_tradnl"/>
              </w:rPr>
            </w:pPr>
            <w:r w:rsidRPr="008B7A21">
              <w:rPr>
                <w:sz w:val="18"/>
                <w:szCs w:val="18"/>
                <w:lang w:val="es-ES_tradnl"/>
              </w:rPr>
              <w:t>53</w:t>
            </w:r>
          </w:p>
        </w:tc>
        <w:tc>
          <w:tcPr>
            <w:tcW w:w="765" w:type="dxa"/>
          </w:tcPr>
          <w:p w14:paraId="534EE1F6" w14:textId="77777777" w:rsidR="00F73D5B" w:rsidRPr="008B7A21" w:rsidRDefault="00F73D5B" w:rsidP="00767A6A">
            <w:pPr>
              <w:pStyle w:val="Tabletext"/>
              <w:jc w:val="center"/>
              <w:rPr>
                <w:sz w:val="18"/>
                <w:szCs w:val="18"/>
                <w:lang w:val="es-ES_tradnl"/>
              </w:rPr>
            </w:pPr>
            <w:r w:rsidRPr="008B7A21">
              <w:rPr>
                <w:sz w:val="18"/>
                <w:szCs w:val="18"/>
                <w:lang w:val="es-ES_tradnl"/>
              </w:rPr>
              <w:t>60</w:t>
            </w:r>
          </w:p>
        </w:tc>
        <w:tc>
          <w:tcPr>
            <w:tcW w:w="765" w:type="dxa"/>
          </w:tcPr>
          <w:p w14:paraId="143F79AE" w14:textId="77777777" w:rsidR="00F73D5B" w:rsidRPr="008B7A21" w:rsidRDefault="00F73D5B" w:rsidP="00767A6A">
            <w:pPr>
              <w:pStyle w:val="Tabletext"/>
              <w:jc w:val="center"/>
              <w:rPr>
                <w:sz w:val="18"/>
                <w:szCs w:val="18"/>
                <w:lang w:val="es-ES_tradnl"/>
              </w:rPr>
            </w:pPr>
            <w:r w:rsidRPr="008B7A21">
              <w:rPr>
                <w:sz w:val="18"/>
                <w:szCs w:val="18"/>
                <w:lang w:val="es-ES_tradnl"/>
              </w:rPr>
              <w:t>67</w:t>
            </w:r>
          </w:p>
        </w:tc>
        <w:tc>
          <w:tcPr>
            <w:tcW w:w="765" w:type="dxa"/>
          </w:tcPr>
          <w:p w14:paraId="622BBD7C" w14:textId="77777777" w:rsidR="00F73D5B" w:rsidRPr="008B7A21" w:rsidRDefault="00F73D5B" w:rsidP="00767A6A">
            <w:pPr>
              <w:pStyle w:val="Tabletext"/>
              <w:jc w:val="center"/>
              <w:rPr>
                <w:sz w:val="18"/>
                <w:szCs w:val="18"/>
                <w:lang w:val="es-ES_tradnl"/>
              </w:rPr>
            </w:pPr>
            <w:r w:rsidRPr="008B7A21">
              <w:rPr>
                <w:sz w:val="18"/>
                <w:szCs w:val="18"/>
                <w:lang w:val="es-ES_tradnl"/>
              </w:rPr>
              <w:t>71</w:t>
            </w:r>
          </w:p>
        </w:tc>
        <w:tc>
          <w:tcPr>
            <w:tcW w:w="765" w:type="dxa"/>
          </w:tcPr>
          <w:p w14:paraId="43111D81" w14:textId="77777777" w:rsidR="00F73D5B" w:rsidRPr="008B7A21" w:rsidRDefault="00F73D5B" w:rsidP="00767A6A">
            <w:pPr>
              <w:pStyle w:val="Tabletext"/>
              <w:jc w:val="center"/>
              <w:rPr>
                <w:sz w:val="18"/>
                <w:szCs w:val="18"/>
                <w:lang w:val="es-ES_tradnl"/>
              </w:rPr>
            </w:pPr>
            <w:r w:rsidRPr="008B7A21">
              <w:rPr>
                <w:sz w:val="18"/>
                <w:szCs w:val="18"/>
                <w:lang w:val="es-ES_tradnl"/>
              </w:rPr>
              <w:t>75</w:t>
            </w:r>
          </w:p>
        </w:tc>
        <w:tc>
          <w:tcPr>
            <w:tcW w:w="765" w:type="dxa"/>
          </w:tcPr>
          <w:p w14:paraId="02A5C771" w14:textId="77777777" w:rsidR="00F73D5B" w:rsidRPr="008B7A21" w:rsidRDefault="00F73D5B" w:rsidP="00767A6A">
            <w:pPr>
              <w:pStyle w:val="Tabletext"/>
              <w:jc w:val="center"/>
              <w:rPr>
                <w:sz w:val="18"/>
                <w:szCs w:val="18"/>
                <w:lang w:val="es-ES_tradnl"/>
              </w:rPr>
            </w:pPr>
            <w:r w:rsidRPr="008B7A21">
              <w:rPr>
                <w:sz w:val="18"/>
                <w:szCs w:val="18"/>
                <w:lang w:val="es-ES_tradnl"/>
              </w:rPr>
              <w:t>80</w:t>
            </w:r>
          </w:p>
        </w:tc>
        <w:tc>
          <w:tcPr>
            <w:tcW w:w="765" w:type="dxa"/>
          </w:tcPr>
          <w:p w14:paraId="2CE0EAE8" w14:textId="77777777" w:rsidR="00F73D5B" w:rsidRPr="008B7A21" w:rsidRDefault="00F73D5B" w:rsidP="00767A6A">
            <w:pPr>
              <w:pStyle w:val="Tabletext"/>
              <w:jc w:val="center"/>
              <w:rPr>
                <w:sz w:val="18"/>
                <w:szCs w:val="18"/>
                <w:lang w:val="es-ES_tradnl"/>
              </w:rPr>
            </w:pPr>
            <w:r w:rsidRPr="008B7A21">
              <w:rPr>
                <w:sz w:val="18"/>
                <w:szCs w:val="18"/>
                <w:lang w:val="es-ES_tradnl"/>
              </w:rPr>
              <w:t>84</w:t>
            </w:r>
          </w:p>
        </w:tc>
        <w:tc>
          <w:tcPr>
            <w:tcW w:w="879" w:type="dxa"/>
          </w:tcPr>
          <w:p w14:paraId="4BA08A3E" w14:textId="77777777" w:rsidR="00F73D5B" w:rsidRPr="008B7A21" w:rsidRDefault="00F73D5B" w:rsidP="00767A6A">
            <w:pPr>
              <w:pStyle w:val="Tabletext"/>
              <w:jc w:val="center"/>
              <w:rPr>
                <w:sz w:val="18"/>
                <w:szCs w:val="18"/>
                <w:lang w:val="es-ES_tradnl"/>
              </w:rPr>
            </w:pPr>
            <w:r w:rsidRPr="008B7A21">
              <w:rPr>
                <w:sz w:val="18"/>
                <w:szCs w:val="18"/>
                <w:lang w:val="es-ES_tradnl"/>
              </w:rPr>
              <w:t>90</w:t>
            </w:r>
          </w:p>
        </w:tc>
      </w:tr>
    </w:tbl>
    <w:p w14:paraId="1A6BD871" w14:textId="77777777" w:rsidR="00F73D5B" w:rsidRPr="008B7A21" w:rsidRDefault="00F73D5B" w:rsidP="00F73D5B">
      <w:pPr>
        <w:pStyle w:val="Tablefin"/>
        <w:rPr>
          <w:lang w:val="es-ES_tradnl"/>
        </w:rPr>
      </w:pPr>
    </w:p>
    <w:p w14:paraId="5F520782" w14:textId="37F106B8" w:rsidR="00F73D5B" w:rsidRPr="008B7A21" w:rsidRDefault="00F73D5B" w:rsidP="00F73D5B">
      <w:pPr>
        <w:pStyle w:val="TableNo"/>
        <w:rPr>
          <w:rFonts w:asciiTheme="majorBidi" w:hAnsiTheme="majorBidi" w:cstheme="majorBidi"/>
          <w:sz w:val="22"/>
          <w:szCs w:val="22"/>
          <w:lang w:val="es-ES_tradnl"/>
        </w:rPr>
      </w:pPr>
      <w:r w:rsidRPr="008B7A21">
        <w:rPr>
          <w:rFonts w:asciiTheme="majorBidi" w:hAnsiTheme="majorBidi" w:cstheme="majorBidi"/>
          <w:sz w:val="22"/>
          <w:szCs w:val="22"/>
          <w:lang w:val="es-ES_tradnl"/>
        </w:rPr>
        <w:t>CUADRO 9</w:t>
      </w:r>
    </w:p>
    <w:p w14:paraId="68F6EB4D" w14:textId="77777777" w:rsidR="00F73D5B" w:rsidRPr="008B7A21" w:rsidRDefault="00F73D5B" w:rsidP="00F73D5B">
      <w:pPr>
        <w:pStyle w:val="Tabletitle"/>
        <w:rPr>
          <w:rFonts w:asciiTheme="majorBidi" w:hAnsiTheme="majorBidi" w:cstheme="majorBidi"/>
          <w:sz w:val="22"/>
          <w:szCs w:val="22"/>
          <w:lang w:val="es-ES_tradnl"/>
        </w:rPr>
      </w:pPr>
      <w:r w:rsidRPr="008B7A21">
        <w:rPr>
          <w:rFonts w:asciiTheme="majorBidi" w:hAnsiTheme="majorBidi" w:cstheme="majorBidi"/>
          <w:sz w:val="22"/>
          <w:szCs w:val="22"/>
          <w:lang w:val="es-ES_tradnl"/>
        </w:rPr>
        <w:t>Radio de la zona de servicio (km) para el servicio</w:t>
      </w:r>
      <w:r w:rsidRPr="008B7A21">
        <w:rPr>
          <w:rFonts w:asciiTheme="majorBidi" w:hAnsiTheme="majorBidi" w:cstheme="majorBidi"/>
          <w:sz w:val="22"/>
          <w:szCs w:val="22"/>
          <w:lang w:val="es-ES_tradnl"/>
        </w:rPr>
        <w:br/>
        <w:t>de televisión por encima de 528 MHz,</w:t>
      </w:r>
      <w:r w:rsidRPr="008B7A21">
        <w:rPr>
          <w:rFonts w:asciiTheme="majorBidi" w:hAnsiTheme="majorBidi" w:cstheme="majorBidi"/>
          <w:sz w:val="22"/>
          <w:szCs w:val="22"/>
          <w:lang w:val="es-ES_tradnl"/>
        </w:rPr>
        <w:br/>
      </w:r>
      <w:r w:rsidRPr="008B7A21">
        <w:rPr>
          <w:rFonts w:asciiTheme="majorBidi" w:hAnsiTheme="majorBidi" w:cstheme="majorBidi"/>
          <w:i/>
          <w:iCs/>
          <w:sz w:val="22"/>
          <w:szCs w:val="22"/>
          <w:lang w:val="es-ES_tradnl"/>
        </w:rPr>
        <w:t>E</w:t>
      </w:r>
      <w:r w:rsidRPr="008B7A21">
        <w:rPr>
          <w:rFonts w:asciiTheme="majorBidi" w:hAnsiTheme="majorBidi" w:cstheme="majorBidi"/>
          <w:i/>
          <w:iCs/>
          <w:sz w:val="22"/>
          <w:szCs w:val="22"/>
          <w:vertAlign w:val="subscript"/>
          <w:lang w:val="es-ES_tradnl"/>
        </w:rPr>
        <w:t>mu</w:t>
      </w:r>
      <w:r w:rsidRPr="008B7A21">
        <w:rPr>
          <w:rFonts w:asciiTheme="majorBidi" w:hAnsiTheme="majorBidi" w:cstheme="majorBidi"/>
          <w:sz w:val="22"/>
          <w:szCs w:val="22"/>
          <w:lang w:val="es-ES_tradnl"/>
        </w:rPr>
        <w:t xml:space="preserve"> = 70 dB(</w:t>
      </w:r>
      <w:r w:rsidRPr="008B7A21">
        <w:rPr>
          <w:rFonts w:asciiTheme="majorBidi" w:hAnsiTheme="majorBidi" w:cstheme="majorBidi"/>
          <w:sz w:val="22"/>
          <w:szCs w:val="22"/>
          <w:lang w:val="es-ES_tradnl"/>
        </w:rPr>
        <w:sym w:font="Symbol" w:char="F06D"/>
      </w:r>
      <w:r w:rsidRPr="008B7A21">
        <w:rPr>
          <w:rFonts w:asciiTheme="majorBidi" w:hAnsiTheme="majorBidi" w:cstheme="majorBidi"/>
          <w:sz w:val="22"/>
          <w:szCs w:val="22"/>
          <w:lang w:val="es-ES_tradnl"/>
        </w:rPr>
        <w:t xml:space="preserve">V/m), </w:t>
      </w:r>
      <w:r w:rsidRPr="008B7A21">
        <w:rPr>
          <w:rFonts w:asciiTheme="majorBidi" w:hAnsiTheme="majorBidi" w:cstheme="majorBidi"/>
          <w:i/>
          <w:iCs/>
          <w:sz w:val="22"/>
          <w:szCs w:val="22"/>
          <w:lang w:val="es-ES_tradnl"/>
        </w:rPr>
        <w:t>f</w:t>
      </w:r>
      <w:r w:rsidRPr="008B7A21">
        <w:rPr>
          <w:rFonts w:asciiTheme="majorBidi" w:hAnsiTheme="majorBidi" w:cstheme="majorBidi"/>
          <w:i/>
          <w:iCs/>
          <w:sz w:val="22"/>
          <w:szCs w:val="22"/>
          <w:vertAlign w:val="subscript"/>
          <w:lang w:val="es-ES_tradnl"/>
        </w:rPr>
        <w:t>c</w:t>
      </w:r>
      <w:r w:rsidRPr="008B7A21">
        <w:rPr>
          <w:rFonts w:asciiTheme="majorBidi" w:hAnsiTheme="majorBidi" w:cstheme="majorBidi"/>
          <w:sz w:val="22"/>
          <w:szCs w:val="22"/>
          <w:lang w:val="es-ES_tradnl"/>
        </w:rPr>
        <w:t xml:space="preserve"> = 550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709"/>
        <w:gridCol w:w="765"/>
        <w:gridCol w:w="765"/>
        <w:gridCol w:w="765"/>
        <w:gridCol w:w="765"/>
        <w:gridCol w:w="765"/>
        <w:gridCol w:w="765"/>
        <w:gridCol w:w="765"/>
        <w:gridCol w:w="765"/>
        <w:gridCol w:w="765"/>
        <w:gridCol w:w="879"/>
      </w:tblGrid>
      <w:tr w:rsidR="00F73D5B" w:rsidRPr="008B7A21" w14:paraId="56E174A8" w14:textId="77777777" w:rsidTr="00767A6A">
        <w:trPr>
          <w:jc w:val="center"/>
        </w:trPr>
        <w:tc>
          <w:tcPr>
            <w:tcW w:w="1247" w:type="dxa"/>
            <w:tcBorders>
              <w:tl2br w:val="single" w:sz="4" w:space="0" w:color="auto"/>
            </w:tcBorders>
            <w:vAlign w:val="center"/>
          </w:tcPr>
          <w:p w14:paraId="63ADEA72" w14:textId="77777777" w:rsidR="00F73D5B" w:rsidRPr="008B7A21" w:rsidRDefault="00F73D5B" w:rsidP="00767A6A">
            <w:pPr>
              <w:pStyle w:val="Tablehead"/>
              <w:spacing w:before="120"/>
              <w:jc w:val="right"/>
              <w:rPr>
                <w:sz w:val="18"/>
                <w:szCs w:val="18"/>
                <w:lang w:val="es-ES_tradnl"/>
              </w:rPr>
            </w:pPr>
            <w:r w:rsidRPr="008B7A21">
              <w:rPr>
                <w:i/>
                <w:iCs/>
                <w:sz w:val="18"/>
                <w:szCs w:val="18"/>
                <w:lang w:val="es-ES_tradnl"/>
              </w:rPr>
              <w:br/>
              <w:t>h</w:t>
            </w:r>
            <w:r w:rsidRPr="008B7A21">
              <w:rPr>
                <w:i/>
                <w:iCs/>
                <w:sz w:val="18"/>
                <w:szCs w:val="18"/>
                <w:vertAlign w:val="subscript"/>
                <w:lang w:val="es-ES_tradnl"/>
              </w:rPr>
              <w:t>ef</w:t>
            </w:r>
            <w:r w:rsidRPr="008B7A21">
              <w:rPr>
                <w:sz w:val="18"/>
                <w:szCs w:val="18"/>
                <w:lang w:val="es-ES_tradnl"/>
              </w:rPr>
              <w:t xml:space="preserve"> (m)</w:t>
            </w:r>
          </w:p>
          <w:p w14:paraId="220812D3" w14:textId="77777777" w:rsidR="00F73D5B" w:rsidRPr="008B7A21" w:rsidRDefault="00F73D5B" w:rsidP="00767A6A">
            <w:pPr>
              <w:pStyle w:val="Tablehead"/>
              <w:spacing w:before="120" w:after="40"/>
              <w:ind w:left="-28"/>
              <w:jc w:val="left"/>
              <w:rPr>
                <w:sz w:val="18"/>
                <w:szCs w:val="18"/>
                <w:lang w:val="es-ES_tradnl"/>
              </w:rPr>
            </w:pPr>
            <w:r w:rsidRPr="008B7A21">
              <w:rPr>
                <w:i/>
                <w:iCs/>
                <w:sz w:val="18"/>
                <w:szCs w:val="18"/>
                <w:lang w:val="es-ES_tradnl"/>
              </w:rPr>
              <w:t>P</w:t>
            </w:r>
            <w:r w:rsidRPr="008B7A21">
              <w:rPr>
                <w:i/>
                <w:iCs/>
                <w:sz w:val="18"/>
                <w:szCs w:val="18"/>
                <w:vertAlign w:val="subscript"/>
                <w:lang w:val="es-ES_tradnl"/>
              </w:rPr>
              <w:t>ef</w:t>
            </w:r>
            <w:r w:rsidRPr="008B7A21">
              <w:rPr>
                <w:rFonts w:ascii="Tms Rmn" w:hAnsi="Tms Rmn"/>
                <w:sz w:val="18"/>
                <w:szCs w:val="18"/>
                <w:vertAlign w:val="subscript"/>
                <w:lang w:val="es-ES_tradnl"/>
              </w:rPr>
              <w:t xml:space="preserve">  </w:t>
            </w:r>
            <w:r w:rsidRPr="008B7A21">
              <w:rPr>
                <w:sz w:val="18"/>
                <w:szCs w:val="18"/>
                <w:lang w:val="es-ES_tradnl"/>
              </w:rPr>
              <w:t>(dBW)</w:t>
            </w:r>
          </w:p>
        </w:tc>
        <w:tc>
          <w:tcPr>
            <w:tcW w:w="709" w:type="dxa"/>
            <w:vAlign w:val="center"/>
          </w:tcPr>
          <w:p w14:paraId="2AC6E259" w14:textId="77777777" w:rsidR="00F73D5B" w:rsidRPr="008B7A21" w:rsidRDefault="00F73D5B" w:rsidP="00767A6A">
            <w:pPr>
              <w:pStyle w:val="Tablehead"/>
              <w:rPr>
                <w:sz w:val="18"/>
                <w:szCs w:val="18"/>
                <w:lang w:val="es-ES_tradnl"/>
              </w:rPr>
            </w:pPr>
            <w:r w:rsidRPr="008B7A21">
              <w:rPr>
                <w:sz w:val="18"/>
                <w:szCs w:val="18"/>
                <w:lang w:val="es-ES_tradnl"/>
              </w:rPr>
              <w:t>30</w:t>
            </w:r>
          </w:p>
        </w:tc>
        <w:tc>
          <w:tcPr>
            <w:tcW w:w="765" w:type="dxa"/>
            <w:vAlign w:val="center"/>
          </w:tcPr>
          <w:p w14:paraId="2AE644ED" w14:textId="77777777" w:rsidR="00F73D5B" w:rsidRPr="008B7A21" w:rsidRDefault="00F73D5B" w:rsidP="00767A6A">
            <w:pPr>
              <w:pStyle w:val="Tablehead"/>
              <w:rPr>
                <w:sz w:val="18"/>
                <w:szCs w:val="18"/>
                <w:lang w:val="es-ES_tradnl"/>
              </w:rPr>
            </w:pPr>
            <w:r w:rsidRPr="008B7A21">
              <w:rPr>
                <w:sz w:val="18"/>
                <w:szCs w:val="18"/>
                <w:lang w:val="es-ES_tradnl"/>
              </w:rPr>
              <w:t>50</w:t>
            </w:r>
          </w:p>
        </w:tc>
        <w:tc>
          <w:tcPr>
            <w:tcW w:w="765" w:type="dxa"/>
            <w:vAlign w:val="center"/>
          </w:tcPr>
          <w:p w14:paraId="5EEF14B5" w14:textId="77777777" w:rsidR="00F73D5B" w:rsidRPr="008B7A21" w:rsidRDefault="00F73D5B" w:rsidP="00767A6A">
            <w:pPr>
              <w:pStyle w:val="Tablehead"/>
              <w:rPr>
                <w:sz w:val="18"/>
                <w:szCs w:val="18"/>
                <w:lang w:val="es-ES_tradnl"/>
              </w:rPr>
            </w:pPr>
            <w:r w:rsidRPr="008B7A21">
              <w:rPr>
                <w:sz w:val="18"/>
                <w:szCs w:val="18"/>
                <w:lang w:val="es-ES_tradnl"/>
              </w:rPr>
              <w:t>75</w:t>
            </w:r>
          </w:p>
        </w:tc>
        <w:tc>
          <w:tcPr>
            <w:tcW w:w="765" w:type="dxa"/>
            <w:vAlign w:val="center"/>
          </w:tcPr>
          <w:p w14:paraId="14FA5114" w14:textId="77777777" w:rsidR="00F73D5B" w:rsidRPr="008B7A21" w:rsidRDefault="00F73D5B" w:rsidP="00767A6A">
            <w:pPr>
              <w:pStyle w:val="Tablehead"/>
              <w:rPr>
                <w:sz w:val="18"/>
                <w:szCs w:val="18"/>
                <w:lang w:val="es-ES_tradnl"/>
              </w:rPr>
            </w:pPr>
            <w:r w:rsidRPr="008B7A21">
              <w:rPr>
                <w:sz w:val="18"/>
                <w:szCs w:val="18"/>
                <w:lang w:val="es-ES_tradnl"/>
              </w:rPr>
              <w:t>100</w:t>
            </w:r>
          </w:p>
        </w:tc>
        <w:tc>
          <w:tcPr>
            <w:tcW w:w="765" w:type="dxa"/>
            <w:vAlign w:val="center"/>
          </w:tcPr>
          <w:p w14:paraId="62052044" w14:textId="77777777" w:rsidR="00F73D5B" w:rsidRPr="008B7A21" w:rsidRDefault="00F73D5B" w:rsidP="00767A6A">
            <w:pPr>
              <w:pStyle w:val="Tablehead"/>
              <w:rPr>
                <w:sz w:val="18"/>
                <w:szCs w:val="18"/>
                <w:lang w:val="es-ES_tradnl"/>
              </w:rPr>
            </w:pPr>
            <w:r w:rsidRPr="008B7A21">
              <w:rPr>
                <w:sz w:val="18"/>
                <w:szCs w:val="18"/>
                <w:lang w:val="es-ES_tradnl"/>
              </w:rPr>
              <w:t>150</w:t>
            </w:r>
          </w:p>
        </w:tc>
        <w:tc>
          <w:tcPr>
            <w:tcW w:w="765" w:type="dxa"/>
            <w:vAlign w:val="center"/>
          </w:tcPr>
          <w:p w14:paraId="79B3ACC9" w14:textId="77777777" w:rsidR="00F73D5B" w:rsidRPr="008B7A21" w:rsidRDefault="00F73D5B" w:rsidP="00767A6A">
            <w:pPr>
              <w:pStyle w:val="Tablehead"/>
              <w:rPr>
                <w:sz w:val="18"/>
                <w:szCs w:val="18"/>
                <w:lang w:val="es-ES_tradnl"/>
              </w:rPr>
            </w:pPr>
            <w:r w:rsidRPr="008B7A21">
              <w:rPr>
                <w:sz w:val="18"/>
                <w:szCs w:val="18"/>
                <w:lang w:val="es-ES_tradnl"/>
              </w:rPr>
              <w:t>200</w:t>
            </w:r>
          </w:p>
        </w:tc>
        <w:tc>
          <w:tcPr>
            <w:tcW w:w="765" w:type="dxa"/>
            <w:vAlign w:val="center"/>
          </w:tcPr>
          <w:p w14:paraId="7CF8A449" w14:textId="77777777" w:rsidR="00F73D5B" w:rsidRPr="008B7A21" w:rsidRDefault="00F73D5B" w:rsidP="00767A6A">
            <w:pPr>
              <w:pStyle w:val="Tablehead"/>
              <w:rPr>
                <w:sz w:val="18"/>
                <w:szCs w:val="18"/>
                <w:lang w:val="es-ES_tradnl"/>
              </w:rPr>
            </w:pPr>
            <w:r w:rsidRPr="008B7A21">
              <w:rPr>
                <w:sz w:val="18"/>
                <w:szCs w:val="18"/>
                <w:lang w:val="es-ES_tradnl"/>
              </w:rPr>
              <w:t>250</w:t>
            </w:r>
          </w:p>
        </w:tc>
        <w:tc>
          <w:tcPr>
            <w:tcW w:w="765" w:type="dxa"/>
            <w:vAlign w:val="center"/>
          </w:tcPr>
          <w:p w14:paraId="69C37BBA" w14:textId="77777777" w:rsidR="00F73D5B" w:rsidRPr="008B7A21" w:rsidRDefault="00F73D5B" w:rsidP="00767A6A">
            <w:pPr>
              <w:pStyle w:val="Tablehead"/>
              <w:rPr>
                <w:sz w:val="18"/>
                <w:szCs w:val="18"/>
                <w:lang w:val="es-ES_tradnl"/>
              </w:rPr>
            </w:pPr>
            <w:r w:rsidRPr="008B7A21">
              <w:rPr>
                <w:sz w:val="18"/>
                <w:szCs w:val="18"/>
                <w:lang w:val="es-ES_tradnl"/>
              </w:rPr>
              <w:t>300</w:t>
            </w:r>
          </w:p>
        </w:tc>
        <w:tc>
          <w:tcPr>
            <w:tcW w:w="765" w:type="dxa"/>
            <w:vAlign w:val="center"/>
          </w:tcPr>
          <w:p w14:paraId="0B6E8E7A" w14:textId="77777777" w:rsidR="00F73D5B" w:rsidRPr="008B7A21" w:rsidRDefault="00F73D5B" w:rsidP="00767A6A">
            <w:pPr>
              <w:pStyle w:val="Tablehead"/>
              <w:rPr>
                <w:sz w:val="18"/>
                <w:szCs w:val="18"/>
                <w:lang w:val="es-ES_tradnl"/>
              </w:rPr>
            </w:pPr>
            <w:r w:rsidRPr="008B7A21">
              <w:rPr>
                <w:sz w:val="18"/>
                <w:szCs w:val="18"/>
                <w:lang w:val="es-ES_tradnl"/>
              </w:rPr>
              <w:t>350</w:t>
            </w:r>
          </w:p>
        </w:tc>
        <w:tc>
          <w:tcPr>
            <w:tcW w:w="765" w:type="dxa"/>
            <w:vAlign w:val="center"/>
          </w:tcPr>
          <w:p w14:paraId="2B5C941F" w14:textId="77777777" w:rsidR="00F73D5B" w:rsidRPr="008B7A21" w:rsidRDefault="00F73D5B" w:rsidP="00767A6A">
            <w:pPr>
              <w:pStyle w:val="Tablehead"/>
              <w:rPr>
                <w:sz w:val="18"/>
                <w:szCs w:val="18"/>
                <w:lang w:val="es-ES_tradnl"/>
              </w:rPr>
            </w:pPr>
            <w:r w:rsidRPr="008B7A21">
              <w:rPr>
                <w:sz w:val="18"/>
                <w:szCs w:val="18"/>
                <w:lang w:val="es-ES_tradnl"/>
              </w:rPr>
              <w:t>400</w:t>
            </w:r>
          </w:p>
        </w:tc>
        <w:tc>
          <w:tcPr>
            <w:tcW w:w="879" w:type="dxa"/>
            <w:vAlign w:val="center"/>
          </w:tcPr>
          <w:p w14:paraId="19AB2CC6" w14:textId="77777777" w:rsidR="00F73D5B" w:rsidRPr="008B7A21" w:rsidRDefault="00F73D5B" w:rsidP="00767A6A">
            <w:pPr>
              <w:pStyle w:val="Tablehead"/>
              <w:rPr>
                <w:sz w:val="18"/>
                <w:szCs w:val="18"/>
                <w:lang w:val="es-ES_tradnl"/>
              </w:rPr>
            </w:pPr>
            <w:r w:rsidRPr="008B7A21">
              <w:rPr>
                <w:sz w:val="18"/>
                <w:szCs w:val="18"/>
                <w:lang w:val="es-ES_tradnl"/>
              </w:rPr>
              <w:t>500</w:t>
            </w:r>
          </w:p>
        </w:tc>
      </w:tr>
      <w:tr w:rsidR="00F73D5B" w:rsidRPr="008B7A21" w14:paraId="2251FF47" w14:textId="77777777" w:rsidTr="00767A6A">
        <w:trPr>
          <w:jc w:val="center"/>
        </w:trPr>
        <w:tc>
          <w:tcPr>
            <w:tcW w:w="1247" w:type="dxa"/>
          </w:tcPr>
          <w:p w14:paraId="22452ADF"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15,0</w:t>
            </w:r>
          </w:p>
        </w:tc>
        <w:tc>
          <w:tcPr>
            <w:tcW w:w="709" w:type="dxa"/>
          </w:tcPr>
          <w:p w14:paraId="528A7EAF"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2</w:t>
            </w:r>
          </w:p>
        </w:tc>
        <w:tc>
          <w:tcPr>
            <w:tcW w:w="765" w:type="dxa"/>
          </w:tcPr>
          <w:p w14:paraId="262AD8F7"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3</w:t>
            </w:r>
          </w:p>
        </w:tc>
        <w:tc>
          <w:tcPr>
            <w:tcW w:w="765" w:type="dxa"/>
          </w:tcPr>
          <w:p w14:paraId="54D249F4"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3</w:t>
            </w:r>
          </w:p>
        </w:tc>
        <w:tc>
          <w:tcPr>
            <w:tcW w:w="765" w:type="dxa"/>
          </w:tcPr>
          <w:p w14:paraId="226C07C2"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3</w:t>
            </w:r>
          </w:p>
        </w:tc>
        <w:tc>
          <w:tcPr>
            <w:tcW w:w="765" w:type="dxa"/>
          </w:tcPr>
          <w:p w14:paraId="25726975"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4</w:t>
            </w:r>
          </w:p>
        </w:tc>
        <w:tc>
          <w:tcPr>
            <w:tcW w:w="765" w:type="dxa"/>
          </w:tcPr>
          <w:p w14:paraId="31446806"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5</w:t>
            </w:r>
          </w:p>
        </w:tc>
        <w:tc>
          <w:tcPr>
            <w:tcW w:w="765" w:type="dxa"/>
          </w:tcPr>
          <w:p w14:paraId="285782B3"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5</w:t>
            </w:r>
          </w:p>
        </w:tc>
        <w:tc>
          <w:tcPr>
            <w:tcW w:w="765" w:type="dxa"/>
          </w:tcPr>
          <w:p w14:paraId="403DE2AC"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6</w:t>
            </w:r>
          </w:p>
        </w:tc>
        <w:tc>
          <w:tcPr>
            <w:tcW w:w="765" w:type="dxa"/>
          </w:tcPr>
          <w:p w14:paraId="212DAB91"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6</w:t>
            </w:r>
          </w:p>
        </w:tc>
        <w:tc>
          <w:tcPr>
            <w:tcW w:w="765" w:type="dxa"/>
          </w:tcPr>
          <w:p w14:paraId="701B8D4C"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7</w:t>
            </w:r>
          </w:p>
        </w:tc>
        <w:tc>
          <w:tcPr>
            <w:tcW w:w="879" w:type="dxa"/>
          </w:tcPr>
          <w:p w14:paraId="6C08A294"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7</w:t>
            </w:r>
          </w:p>
        </w:tc>
      </w:tr>
      <w:tr w:rsidR="00F73D5B" w:rsidRPr="008B7A21" w14:paraId="2274A306" w14:textId="77777777" w:rsidTr="00767A6A">
        <w:trPr>
          <w:jc w:val="center"/>
        </w:trPr>
        <w:tc>
          <w:tcPr>
            <w:tcW w:w="1247" w:type="dxa"/>
          </w:tcPr>
          <w:p w14:paraId="3EBB15D8"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20,0</w:t>
            </w:r>
          </w:p>
        </w:tc>
        <w:tc>
          <w:tcPr>
            <w:tcW w:w="709" w:type="dxa"/>
          </w:tcPr>
          <w:p w14:paraId="2A41CB26"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3</w:t>
            </w:r>
          </w:p>
        </w:tc>
        <w:tc>
          <w:tcPr>
            <w:tcW w:w="765" w:type="dxa"/>
          </w:tcPr>
          <w:p w14:paraId="391B35D0"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4</w:t>
            </w:r>
          </w:p>
        </w:tc>
        <w:tc>
          <w:tcPr>
            <w:tcW w:w="765" w:type="dxa"/>
          </w:tcPr>
          <w:p w14:paraId="63EC5190"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4</w:t>
            </w:r>
          </w:p>
        </w:tc>
        <w:tc>
          <w:tcPr>
            <w:tcW w:w="765" w:type="dxa"/>
          </w:tcPr>
          <w:p w14:paraId="7C01FBD1"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5</w:t>
            </w:r>
          </w:p>
        </w:tc>
        <w:tc>
          <w:tcPr>
            <w:tcW w:w="765" w:type="dxa"/>
          </w:tcPr>
          <w:p w14:paraId="73268073"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6</w:t>
            </w:r>
          </w:p>
        </w:tc>
        <w:tc>
          <w:tcPr>
            <w:tcW w:w="765" w:type="dxa"/>
          </w:tcPr>
          <w:p w14:paraId="271AC1FA"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7</w:t>
            </w:r>
          </w:p>
        </w:tc>
        <w:tc>
          <w:tcPr>
            <w:tcW w:w="765" w:type="dxa"/>
          </w:tcPr>
          <w:p w14:paraId="48905396"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8</w:t>
            </w:r>
          </w:p>
        </w:tc>
        <w:tc>
          <w:tcPr>
            <w:tcW w:w="765" w:type="dxa"/>
          </w:tcPr>
          <w:p w14:paraId="63E36B12"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9</w:t>
            </w:r>
          </w:p>
        </w:tc>
        <w:tc>
          <w:tcPr>
            <w:tcW w:w="765" w:type="dxa"/>
          </w:tcPr>
          <w:p w14:paraId="268F799E"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9</w:t>
            </w:r>
          </w:p>
        </w:tc>
        <w:tc>
          <w:tcPr>
            <w:tcW w:w="765" w:type="dxa"/>
          </w:tcPr>
          <w:p w14:paraId="69396156"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10</w:t>
            </w:r>
          </w:p>
        </w:tc>
        <w:tc>
          <w:tcPr>
            <w:tcW w:w="879" w:type="dxa"/>
          </w:tcPr>
          <w:p w14:paraId="59581042"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11</w:t>
            </w:r>
          </w:p>
        </w:tc>
      </w:tr>
      <w:tr w:rsidR="00F73D5B" w:rsidRPr="008B7A21" w14:paraId="1EC4F5EA" w14:textId="77777777" w:rsidTr="00767A6A">
        <w:trPr>
          <w:jc w:val="center"/>
        </w:trPr>
        <w:tc>
          <w:tcPr>
            <w:tcW w:w="1247" w:type="dxa"/>
          </w:tcPr>
          <w:p w14:paraId="6F9ED7FF"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25,0</w:t>
            </w:r>
          </w:p>
        </w:tc>
        <w:tc>
          <w:tcPr>
            <w:tcW w:w="709" w:type="dxa"/>
          </w:tcPr>
          <w:p w14:paraId="3BD14208"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4</w:t>
            </w:r>
          </w:p>
        </w:tc>
        <w:tc>
          <w:tcPr>
            <w:tcW w:w="765" w:type="dxa"/>
          </w:tcPr>
          <w:p w14:paraId="65DEF210"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5</w:t>
            </w:r>
          </w:p>
        </w:tc>
        <w:tc>
          <w:tcPr>
            <w:tcW w:w="765" w:type="dxa"/>
          </w:tcPr>
          <w:p w14:paraId="34F942C1"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6</w:t>
            </w:r>
          </w:p>
        </w:tc>
        <w:tc>
          <w:tcPr>
            <w:tcW w:w="765" w:type="dxa"/>
          </w:tcPr>
          <w:p w14:paraId="5982B204"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7</w:t>
            </w:r>
          </w:p>
        </w:tc>
        <w:tc>
          <w:tcPr>
            <w:tcW w:w="765" w:type="dxa"/>
          </w:tcPr>
          <w:p w14:paraId="05F41D5F"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8</w:t>
            </w:r>
          </w:p>
        </w:tc>
        <w:tc>
          <w:tcPr>
            <w:tcW w:w="765" w:type="dxa"/>
          </w:tcPr>
          <w:p w14:paraId="011777CB"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10</w:t>
            </w:r>
          </w:p>
        </w:tc>
        <w:tc>
          <w:tcPr>
            <w:tcW w:w="765" w:type="dxa"/>
          </w:tcPr>
          <w:p w14:paraId="7C5B55A6"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11</w:t>
            </w:r>
          </w:p>
        </w:tc>
        <w:tc>
          <w:tcPr>
            <w:tcW w:w="765" w:type="dxa"/>
          </w:tcPr>
          <w:p w14:paraId="56F1B645"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12</w:t>
            </w:r>
          </w:p>
        </w:tc>
        <w:tc>
          <w:tcPr>
            <w:tcW w:w="765" w:type="dxa"/>
          </w:tcPr>
          <w:p w14:paraId="11EA48EA"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14</w:t>
            </w:r>
          </w:p>
        </w:tc>
        <w:tc>
          <w:tcPr>
            <w:tcW w:w="765" w:type="dxa"/>
          </w:tcPr>
          <w:p w14:paraId="63FBF64C"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15</w:t>
            </w:r>
          </w:p>
        </w:tc>
        <w:tc>
          <w:tcPr>
            <w:tcW w:w="879" w:type="dxa"/>
          </w:tcPr>
          <w:p w14:paraId="5424B1C7"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17</w:t>
            </w:r>
          </w:p>
        </w:tc>
      </w:tr>
      <w:tr w:rsidR="00F73D5B" w:rsidRPr="008B7A21" w14:paraId="5A36C027" w14:textId="77777777" w:rsidTr="00767A6A">
        <w:trPr>
          <w:jc w:val="center"/>
        </w:trPr>
        <w:tc>
          <w:tcPr>
            <w:tcW w:w="1247" w:type="dxa"/>
          </w:tcPr>
          <w:p w14:paraId="051AC497" w14:textId="77777777" w:rsidR="00F73D5B" w:rsidRPr="008B7A21" w:rsidRDefault="00F73D5B" w:rsidP="00767A6A">
            <w:pPr>
              <w:pStyle w:val="Tabletext"/>
              <w:keepNext/>
              <w:keepLines/>
              <w:jc w:val="center"/>
              <w:rPr>
                <w:b/>
                <w:bCs/>
                <w:sz w:val="18"/>
                <w:szCs w:val="18"/>
                <w:lang w:val="es-ES_tradnl"/>
              </w:rPr>
            </w:pPr>
            <w:r w:rsidRPr="008B7A21">
              <w:rPr>
                <w:b/>
                <w:bCs/>
                <w:sz w:val="18"/>
                <w:szCs w:val="18"/>
                <w:lang w:val="es-ES_tradnl"/>
              </w:rPr>
              <w:t>30,0</w:t>
            </w:r>
          </w:p>
        </w:tc>
        <w:tc>
          <w:tcPr>
            <w:tcW w:w="709" w:type="dxa"/>
          </w:tcPr>
          <w:p w14:paraId="6EF47945"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5</w:t>
            </w:r>
          </w:p>
        </w:tc>
        <w:tc>
          <w:tcPr>
            <w:tcW w:w="765" w:type="dxa"/>
          </w:tcPr>
          <w:p w14:paraId="33DD308C"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7</w:t>
            </w:r>
          </w:p>
        </w:tc>
        <w:tc>
          <w:tcPr>
            <w:tcW w:w="765" w:type="dxa"/>
          </w:tcPr>
          <w:p w14:paraId="479C34AA" w14:textId="77777777" w:rsidR="00F73D5B" w:rsidRPr="008B7A21" w:rsidRDefault="00F73D5B" w:rsidP="00767A6A">
            <w:pPr>
              <w:pStyle w:val="Tabletext"/>
              <w:keepNext/>
              <w:keepLines/>
              <w:jc w:val="center"/>
              <w:rPr>
                <w:b/>
                <w:bCs/>
                <w:sz w:val="18"/>
                <w:szCs w:val="18"/>
                <w:lang w:val="es-ES_tradnl"/>
              </w:rPr>
            </w:pPr>
            <w:r w:rsidRPr="008B7A21">
              <w:rPr>
                <w:b/>
                <w:bCs/>
                <w:sz w:val="18"/>
                <w:szCs w:val="18"/>
                <w:lang w:val="es-ES_tradnl"/>
              </w:rPr>
              <w:t>8</w:t>
            </w:r>
          </w:p>
        </w:tc>
        <w:tc>
          <w:tcPr>
            <w:tcW w:w="765" w:type="dxa"/>
          </w:tcPr>
          <w:p w14:paraId="4E9D3460"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9</w:t>
            </w:r>
          </w:p>
        </w:tc>
        <w:tc>
          <w:tcPr>
            <w:tcW w:w="765" w:type="dxa"/>
          </w:tcPr>
          <w:p w14:paraId="7FEF1FD0" w14:textId="77777777" w:rsidR="00F73D5B" w:rsidRPr="008B7A21" w:rsidRDefault="00F73D5B" w:rsidP="00767A6A">
            <w:pPr>
              <w:pStyle w:val="Tabletext"/>
              <w:keepNext/>
              <w:keepLines/>
              <w:jc w:val="center"/>
              <w:rPr>
                <w:b/>
                <w:bCs/>
                <w:sz w:val="18"/>
                <w:szCs w:val="18"/>
                <w:lang w:val="es-ES_tradnl"/>
              </w:rPr>
            </w:pPr>
            <w:r w:rsidRPr="008B7A21">
              <w:rPr>
                <w:b/>
                <w:bCs/>
                <w:sz w:val="18"/>
                <w:szCs w:val="18"/>
                <w:lang w:val="es-ES_tradnl"/>
              </w:rPr>
              <w:t>12</w:t>
            </w:r>
          </w:p>
        </w:tc>
        <w:tc>
          <w:tcPr>
            <w:tcW w:w="765" w:type="dxa"/>
          </w:tcPr>
          <w:p w14:paraId="13A45FB5"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14</w:t>
            </w:r>
          </w:p>
        </w:tc>
        <w:tc>
          <w:tcPr>
            <w:tcW w:w="765" w:type="dxa"/>
          </w:tcPr>
          <w:p w14:paraId="23F86105"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15</w:t>
            </w:r>
          </w:p>
        </w:tc>
        <w:tc>
          <w:tcPr>
            <w:tcW w:w="765" w:type="dxa"/>
          </w:tcPr>
          <w:p w14:paraId="0AAED47C" w14:textId="77777777" w:rsidR="00F73D5B" w:rsidRPr="008B7A21" w:rsidRDefault="00F73D5B" w:rsidP="00767A6A">
            <w:pPr>
              <w:pStyle w:val="Tabletext"/>
              <w:keepNext/>
              <w:keepLines/>
              <w:jc w:val="center"/>
              <w:rPr>
                <w:b/>
                <w:bCs/>
                <w:sz w:val="18"/>
                <w:szCs w:val="18"/>
                <w:lang w:val="es-ES_tradnl"/>
              </w:rPr>
            </w:pPr>
            <w:r w:rsidRPr="008B7A21">
              <w:rPr>
                <w:b/>
                <w:bCs/>
                <w:sz w:val="18"/>
                <w:szCs w:val="18"/>
                <w:lang w:val="es-ES_tradnl"/>
              </w:rPr>
              <w:t>17</w:t>
            </w:r>
          </w:p>
        </w:tc>
        <w:tc>
          <w:tcPr>
            <w:tcW w:w="765" w:type="dxa"/>
          </w:tcPr>
          <w:p w14:paraId="701A6073"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19</w:t>
            </w:r>
          </w:p>
        </w:tc>
        <w:tc>
          <w:tcPr>
            <w:tcW w:w="765" w:type="dxa"/>
          </w:tcPr>
          <w:p w14:paraId="3EF31FF4"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21</w:t>
            </w:r>
          </w:p>
        </w:tc>
        <w:tc>
          <w:tcPr>
            <w:tcW w:w="879" w:type="dxa"/>
          </w:tcPr>
          <w:p w14:paraId="101D9701"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24</w:t>
            </w:r>
          </w:p>
        </w:tc>
      </w:tr>
      <w:tr w:rsidR="00F73D5B" w:rsidRPr="008B7A21" w14:paraId="0EE8F2A9" w14:textId="77777777" w:rsidTr="00767A6A">
        <w:trPr>
          <w:jc w:val="center"/>
        </w:trPr>
        <w:tc>
          <w:tcPr>
            <w:tcW w:w="1247" w:type="dxa"/>
          </w:tcPr>
          <w:p w14:paraId="01767A41"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35,0</w:t>
            </w:r>
          </w:p>
        </w:tc>
        <w:tc>
          <w:tcPr>
            <w:tcW w:w="709" w:type="dxa"/>
          </w:tcPr>
          <w:p w14:paraId="393CBA2C"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7</w:t>
            </w:r>
          </w:p>
        </w:tc>
        <w:tc>
          <w:tcPr>
            <w:tcW w:w="765" w:type="dxa"/>
          </w:tcPr>
          <w:p w14:paraId="69BF0A6B"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9</w:t>
            </w:r>
          </w:p>
        </w:tc>
        <w:tc>
          <w:tcPr>
            <w:tcW w:w="765" w:type="dxa"/>
          </w:tcPr>
          <w:p w14:paraId="60FF8768"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11</w:t>
            </w:r>
          </w:p>
        </w:tc>
        <w:tc>
          <w:tcPr>
            <w:tcW w:w="765" w:type="dxa"/>
          </w:tcPr>
          <w:p w14:paraId="45FA8722"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13</w:t>
            </w:r>
          </w:p>
        </w:tc>
        <w:tc>
          <w:tcPr>
            <w:tcW w:w="765" w:type="dxa"/>
          </w:tcPr>
          <w:p w14:paraId="371F01D6"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16</w:t>
            </w:r>
          </w:p>
        </w:tc>
        <w:tc>
          <w:tcPr>
            <w:tcW w:w="765" w:type="dxa"/>
          </w:tcPr>
          <w:p w14:paraId="3B964A74"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18</w:t>
            </w:r>
          </w:p>
        </w:tc>
        <w:tc>
          <w:tcPr>
            <w:tcW w:w="765" w:type="dxa"/>
          </w:tcPr>
          <w:p w14:paraId="0FB32A92"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21</w:t>
            </w:r>
          </w:p>
        </w:tc>
        <w:tc>
          <w:tcPr>
            <w:tcW w:w="765" w:type="dxa"/>
          </w:tcPr>
          <w:p w14:paraId="6774E220"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23</w:t>
            </w:r>
          </w:p>
        </w:tc>
        <w:tc>
          <w:tcPr>
            <w:tcW w:w="765" w:type="dxa"/>
          </w:tcPr>
          <w:p w14:paraId="0A13E395"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25</w:t>
            </w:r>
          </w:p>
        </w:tc>
        <w:tc>
          <w:tcPr>
            <w:tcW w:w="765" w:type="dxa"/>
          </w:tcPr>
          <w:p w14:paraId="380E8B91"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27</w:t>
            </w:r>
          </w:p>
        </w:tc>
        <w:tc>
          <w:tcPr>
            <w:tcW w:w="879" w:type="dxa"/>
          </w:tcPr>
          <w:p w14:paraId="210D1B9C" w14:textId="77777777" w:rsidR="00F73D5B" w:rsidRPr="008B7A21" w:rsidRDefault="00F73D5B" w:rsidP="00767A6A">
            <w:pPr>
              <w:pStyle w:val="Tabletext"/>
              <w:keepNext/>
              <w:keepLines/>
              <w:jc w:val="center"/>
              <w:rPr>
                <w:sz w:val="18"/>
                <w:szCs w:val="18"/>
                <w:lang w:val="es-ES_tradnl"/>
              </w:rPr>
            </w:pPr>
            <w:r w:rsidRPr="008B7A21">
              <w:rPr>
                <w:sz w:val="18"/>
                <w:szCs w:val="18"/>
                <w:lang w:val="es-ES_tradnl"/>
              </w:rPr>
              <w:t>31</w:t>
            </w:r>
          </w:p>
        </w:tc>
      </w:tr>
      <w:tr w:rsidR="00F73D5B" w:rsidRPr="008B7A21" w14:paraId="46E32607" w14:textId="77777777" w:rsidTr="00767A6A">
        <w:trPr>
          <w:jc w:val="center"/>
        </w:trPr>
        <w:tc>
          <w:tcPr>
            <w:tcW w:w="1247" w:type="dxa"/>
          </w:tcPr>
          <w:p w14:paraId="19B1FFB5" w14:textId="77777777" w:rsidR="00F73D5B" w:rsidRPr="008B7A21" w:rsidRDefault="00F73D5B" w:rsidP="00767A6A">
            <w:pPr>
              <w:pStyle w:val="Tabletext"/>
              <w:jc w:val="center"/>
              <w:rPr>
                <w:sz w:val="18"/>
                <w:szCs w:val="18"/>
                <w:lang w:val="es-ES_tradnl"/>
              </w:rPr>
            </w:pPr>
            <w:r w:rsidRPr="008B7A21">
              <w:rPr>
                <w:sz w:val="18"/>
                <w:szCs w:val="18"/>
                <w:lang w:val="es-ES_tradnl"/>
              </w:rPr>
              <w:t>40,0</w:t>
            </w:r>
          </w:p>
        </w:tc>
        <w:tc>
          <w:tcPr>
            <w:tcW w:w="709" w:type="dxa"/>
          </w:tcPr>
          <w:p w14:paraId="5CAB9313" w14:textId="77777777" w:rsidR="00F73D5B" w:rsidRPr="008B7A21" w:rsidRDefault="00F73D5B" w:rsidP="00767A6A">
            <w:pPr>
              <w:pStyle w:val="Tabletext"/>
              <w:jc w:val="center"/>
              <w:rPr>
                <w:sz w:val="18"/>
                <w:szCs w:val="18"/>
                <w:lang w:val="es-ES_tradnl"/>
              </w:rPr>
            </w:pPr>
            <w:r w:rsidRPr="008B7A21">
              <w:rPr>
                <w:sz w:val="18"/>
                <w:szCs w:val="18"/>
                <w:lang w:val="es-ES_tradnl"/>
              </w:rPr>
              <w:t>9</w:t>
            </w:r>
          </w:p>
        </w:tc>
        <w:tc>
          <w:tcPr>
            <w:tcW w:w="765" w:type="dxa"/>
          </w:tcPr>
          <w:p w14:paraId="3D363551" w14:textId="77777777" w:rsidR="00F73D5B" w:rsidRPr="008B7A21" w:rsidRDefault="00F73D5B" w:rsidP="00767A6A">
            <w:pPr>
              <w:pStyle w:val="Tabletext"/>
              <w:jc w:val="center"/>
              <w:rPr>
                <w:sz w:val="18"/>
                <w:szCs w:val="18"/>
                <w:lang w:val="es-ES_tradnl"/>
              </w:rPr>
            </w:pPr>
            <w:r w:rsidRPr="008B7A21">
              <w:rPr>
                <w:sz w:val="18"/>
                <w:szCs w:val="18"/>
                <w:lang w:val="es-ES_tradnl"/>
              </w:rPr>
              <w:t>12</w:t>
            </w:r>
          </w:p>
        </w:tc>
        <w:tc>
          <w:tcPr>
            <w:tcW w:w="765" w:type="dxa"/>
          </w:tcPr>
          <w:p w14:paraId="63A8301A" w14:textId="77777777" w:rsidR="00F73D5B" w:rsidRPr="008B7A21" w:rsidRDefault="00F73D5B" w:rsidP="00767A6A">
            <w:pPr>
              <w:pStyle w:val="Tabletext"/>
              <w:jc w:val="center"/>
              <w:rPr>
                <w:sz w:val="18"/>
                <w:szCs w:val="18"/>
                <w:lang w:val="es-ES_tradnl"/>
              </w:rPr>
            </w:pPr>
            <w:r w:rsidRPr="008B7A21">
              <w:rPr>
                <w:sz w:val="18"/>
                <w:szCs w:val="18"/>
                <w:lang w:val="es-ES_tradnl"/>
              </w:rPr>
              <w:t>14</w:t>
            </w:r>
          </w:p>
        </w:tc>
        <w:tc>
          <w:tcPr>
            <w:tcW w:w="765" w:type="dxa"/>
          </w:tcPr>
          <w:p w14:paraId="464A40D1" w14:textId="77777777" w:rsidR="00F73D5B" w:rsidRPr="008B7A21" w:rsidRDefault="00F73D5B" w:rsidP="00767A6A">
            <w:pPr>
              <w:pStyle w:val="Tabletext"/>
              <w:jc w:val="center"/>
              <w:rPr>
                <w:sz w:val="18"/>
                <w:szCs w:val="18"/>
                <w:lang w:val="es-ES_tradnl"/>
              </w:rPr>
            </w:pPr>
            <w:r w:rsidRPr="008B7A21">
              <w:rPr>
                <w:sz w:val="18"/>
                <w:szCs w:val="18"/>
                <w:lang w:val="es-ES_tradnl"/>
              </w:rPr>
              <w:t>17</w:t>
            </w:r>
          </w:p>
        </w:tc>
        <w:tc>
          <w:tcPr>
            <w:tcW w:w="765" w:type="dxa"/>
          </w:tcPr>
          <w:p w14:paraId="29A576EE" w14:textId="77777777" w:rsidR="00F73D5B" w:rsidRPr="008B7A21" w:rsidRDefault="00F73D5B" w:rsidP="00767A6A">
            <w:pPr>
              <w:pStyle w:val="Tabletext"/>
              <w:jc w:val="center"/>
              <w:rPr>
                <w:sz w:val="18"/>
                <w:szCs w:val="18"/>
                <w:lang w:val="es-ES_tradnl"/>
              </w:rPr>
            </w:pPr>
            <w:r w:rsidRPr="008B7A21">
              <w:rPr>
                <w:sz w:val="18"/>
                <w:szCs w:val="18"/>
                <w:lang w:val="es-ES_tradnl"/>
              </w:rPr>
              <w:t>20</w:t>
            </w:r>
          </w:p>
        </w:tc>
        <w:tc>
          <w:tcPr>
            <w:tcW w:w="765" w:type="dxa"/>
          </w:tcPr>
          <w:p w14:paraId="4BD05C9B" w14:textId="77777777" w:rsidR="00F73D5B" w:rsidRPr="008B7A21" w:rsidRDefault="00F73D5B" w:rsidP="00767A6A">
            <w:pPr>
              <w:pStyle w:val="Tabletext"/>
              <w:jc w:val="center"/>
              <w:rPr>
                <w:sz w:val="18"/>
                <w:szCs w:val="18"/>
                <w:lang w:val="es-ES_tradnl"/>
              </w:rPr>
            </w:pPr>
            <w:r w:rsidRPr="008B7A21">
              <w:rPr>
                <w:sz w:val="18"/>
                <w:szCs w:val="18"/>
                <w:lang w:val="es-ES_tradnl"/>
              </w:rPr>
              <w:t>24</w:t>
            </w:r>
          </w:p>
        </w:tc>
        <w:tc>
          <w:tcPr>
            <w:tcW w:w="765" w:type="dxa"/>
          </w:tcPr>
          <w:p w14:paraId="137D7F7A" w14:textId="77777777" w:rsidR="00F73D5B" w:rsidRPr="008B7A21" w:rsidRDefault="00F73D5B" w:rsidP="00767A6A">
            <w:pPr>
              <w:pStyle w:val="Tabletext"/>
              <w:jc w:val="center"/>
              <w:rPr>
                <w:sz w:val="18"/>
                <w:szCs w:val="18"/>
                <w:lang w:val="es-ES_tradnl"/>
              </w:rPr>
            </w:pPr>
            <w:r w:rsidRPr="008B7A21">
              <w:rPr>
                <w:sz w:val="18"/>
                <w:szCs w:val="18"/>
                <w:lang w:val="es-ES_tradnl"/>
              </w:rPr>
              <w:t>27</w:t>
            </w:r>
          </w:p>
        </w:tc>
        <w:tc>
          <w:tcPr>
            <w:tcW w:w="765" w:type="dxa"/>
          </w:tcPr>
          <w:p w14:paraId="509024A4" w14:textId="77777777" w:rsidR="00F73D5B" w:rsidRPr="008B7A21" w:rsidRDefault="00F73D5B" w:rsidP="00767A6A">
            <w:pPr>
              <w:pStyle w:val="Tabletext"/>
              <w:jc w:val="center"/>
              <w:rPr>
                <w:sz w:val="18"/>
                <w:szCs w:val="18"/>
                <w:lang w:val="es-ES_tradnl"/>
              </w:rPr>
            </w:pPr>
            <w:r w:rsidRPr="008B7A21">
              <w:rPr>
                <w:sz w:val="18"/>
                <w:szCs w:val="18"/>
                <w:lang w:val="es-ES_tradnl"/>
              </w:rPr>
              <w:t>30</w:t>
            </w:r>
          </w:p>
        </w:tc>
        <w:tc>
          <w:tcPr>
            <w:tcW w:w="765" w:type="dxa"/>
          </w:tcPr>
          <w:p w14:paraId="44DA7FB2" w14:textId="77777777" w:rsidR="00F73D5B" w:rsidRPr="008B7A21" w:rsidRDefault="00F73D5B" w:rsidP="00767A6A">
            <w:pPr>
              <w:pStyle w:val="Tabletext"/>
              <w:jc w:val="center"/>
              <w:rPr>
                <w:sz w:val="18"/>
                <w:szCs w:val="18"/>
                <w:lang w:val="es-ES_tradnl"/>
              </w:rPr>
            </w:pPr>
            <w:r w:rsidRPr="008B7A21">
              <w:rPr>
                <w:sz w:val="18"/>
                <w:szCs w:val="18"/>
                <w:lang w:val="es-ES_tradnl"/>
              </w:rPr>
              <w:t>32</w:t>
            </w:r>
          </w:p>
        </w:tc>
        <w:tc>
          <w:tcPr>
            <w:tcW w:w="765" w:type="dxa"/>
          </w:tcPr>
          <w:p w14:paraId="0D619A85" w14:textId="77777777" w:rsidR="00F73D5B" w:rsidRPr="008B7A21" w:rsidRDefault="00F73D5B" w:rsidP="00767A6A">
            <w:pPr>
              <w:pStyle w:val="Tabletext"/>
              <w:jc w:val="center"/>
              <w:rPr>
                <w:sz w:val="18"/>
                <w:szCs w:val="18"/>
                <w:lang w:val="es-ES_tradnl"/>
              </w:rPr>
            </w:pPr>
            <w:r w:rsidRPr="008B7A21">
              <w:rPr>
                <w:sz w:val="18"/>
                <w:szCs w:val="18"/>
                <w:lang w:val="es-ES_tradnl"/>
              </w:rPr>
              <w:t>35</w:t>
            </w:r>
          </w:p>
        </w:tc>
        <w:tc>
          <w:tcPr>
            <w:tcW w:w="879" w:type="dxa"/>
          </w:tcPr>
          <w:p w14:paraId="7471A566" w14:textId="77777777" w:rsidR="00F73D5B" w:rsidRPr="008B7A21" w:rsidRDefault="00F73D5B" w:rsidP="00767A6A">
            <w:pPr>
              <w:pStyle w:val="Tabletext"/>
              <w:jc w:val="center"/>
              <w:rPr>
                <w:sz w:val="18"/>
                <w:szCs w:val="18"/>
                <w:lang w:val="es-ES_tradnl"/>
              </w:rPr>
            </w:pPr>
            <w:r w:rsidRPr="008B7A21">
              <w:rPr>
                <w:sz w:val="18"/>
                <w:szCs w:val="18"/>
                <w:lang w:val="es-ES_tradnl"/>
              </w:rPr>
              <w:t>39</w:t>
            </w:r>
          </w:p>
        </w:tc>
      </w:tr>
      <w:tr w:rsidR="00F73D5B" w:rsidRPr="008B7A21" w14:paraId="024E7435" w14:textId="77777777" w:rsidTr="00767A6A">
        <w:trPr>
          <w:jc w:val="center"/>
        </w:trPr>
        <w:tc>
          <w:tcPr>
            <w:tcW w:w="1247" w:type="dxa"/>
          </w:tcPr>
          <w:p w14:paraId="1336AAA5" w14:textId="77777777" w:rsidR="00F73D5B" w:rsidRPr="008B7A21" w:rsidRDefault="00F73D5B" w:rsidP="00767A6A">
            <w:pPr>
              <w:pStyle w:val="Tabletext"/>
              <w:jc w:val="center"/>
              <w:rPr>
                <w:sz w:val="18"/>
                <w:szCs w:val="18"/>
                <w:lang w:val="es-ES_tradnl"/>
              </w:rPr>
            </w:pPr>
            <w:r w:rsidRPr="008B7A21">
              <w:rPr>
                <w:sz w:val="18"/>
                <w:szCs w:val="18"/>
                <w:lang w:val="es-ES_tradnl"/>
              </w:rPr>
              <w:t>43,0</w:t>
            </w:r>
          </w:p>
        </w:tc>
        <w:tc>
          <w:tcPr>
            <w:tcW w:w="709" w:type="dxa"/>
          </w:tcPr>
          <w:p w14:paraId="333D3616" w14:textId="77777777" w:rsidR="00F73D5B" w:rsidRPr="008B7A21" w:rsidRDefault="00F73D5B" w:rsidP="00767A6A">
            <w:pPr>
              <w:pStyle w:val="Tabletext"/>
              <w:jc w:val="center"/>
              <w:rPr>
                <w:sz w:val="18"/>
                <w:szCs w:val="18"/>
                <w:lang w:val="es-ES_tradnl"/>
              </w:rPr>
            </w:pPr>
            <w:r w:rsidRPr="008B7A21">
              <w:rPr>
                <w:sz w:val="18"/>
                <w:szCs w:val="18"/>
                <w:lang w:val="es-ES_tradnl"/>
              </w:rPr>
              <w:t>11</w:t>
            </w:r>
          </w:p>
        </w:tc>
        <w:tc>
          <w:tcPr>
            <w:tcW w:w="765" w:type="dxa"/>
          </w:tcPr>
          <w:p w14:paraId="4E50C208" w14:textId="77777777" w:rsidR="00F73D5B" w:rsidRPr="008B7A21" w:rsidRDefault="00F73D5B" w:rsidP="00767A6A">
            <w:pPr>
              <w:pStyle w:val="Tabletext"/>
              <w:jc w:val="center"/>
              <w:rPr>
                <w:sz w:val="18"/>
                <w:szCs w:val="18"/>
                <w:lang w:val="es-ES_tradnl"/>
              </w:rPr>
            </w:pPr>
            <w:r w:rsidRPr="008B7A21">
              <w:rPr>
                <w:sz w:val="18"/>
                <w:szCs w:val="18"/>
                <w:lang w:val="es-ES_tradnl"/>
              </w:rPr>
              <w:t>14</w:t>
            </w:r>
          </w:p>
        </w:tc>
        <w:tc>
          <w:tcPr>
            <w:tcW w:w="765" w:type="dxa"/>
          </w:tcPr>
          <w:p w14:paraId="0B309728" w14:textId="77777777" w:rsidR="00F73D5B" w:rsidRPr="008B7A21" w:rsidRDefault="00F73D5B" w:rsidP="00767A6A">
            <w:pPr>
              <w:pStyle w:val="Tabletext"/>
              <w:jc w:val="center"/>
              <w:rPr>
                <w:sz w:val="18"/>
                <w:szCs w:val="18"/>
                <w:lang w:val="es-ES_tradnl"/>
              </w:rPr>
            </w:pPr>
            <w:r w:rsidRPr="008B7A21">
              <w:rPr>
                <w:sz w:val="18"/>
                <w:szCs w:val="18"/>
                <w:lang w:val="es-ES_tradnl"/>
              </w:rPr>
              <w:t>17</w:t>
            </w:r>
          </w:p>
        </w:tc>
        <w:tc>
          <w:tcPr>
            <w:tcW w:w="765" w:type="dxa"/>
          </w:tcPr>
          <w:p w14:paraId="6223A2BC" w14:textId="77777777" w:rsidR="00F73D5B" w:rsidRPr="008B7A21" w:rsidRDefault="00F73D5B" w:rsidP="00767A6A">
            <w:pPr>
              <w:pStyle w:val="Tabletext"/>
              <w:jc w:val="center"/>
              <w:rPr>
                <w:sz w:val="18"/>
                <w:szCs w:val="18"/>
                <w:lang w:val="es-ES_tradnl"/>
              </w:rPr>
            </w:pPr>
            <w:r w:rsidRPr="008B7A21">
              <w:rPr>
                <w:sz w:val="18"/>
                <w:szCs w:val="18"/>
                <w:lang w:val="es-ES_tradnl"/>
              </w:rPr>
              <w:t>19</w:t>
            </w:r>
          </w:p>
        </w:tc>
        <w:tc>
          <w:tcPr>
            <w:tcW w:w="765" w:type="dxa"/>
          </w:tcPr>
          <w:p w14:paraId="0C26F1E6" w14:textId="77777777" w:rsidR="00F73D5B" w:rsidRPr="008B7A21" w:rsidRDefault="00F73D5B" w:rsidP="00767A6A">
            <w:pPr>
              <w:pStyle w:val="Tabletext"/>
              <w:jc w:val="center"/>
              <w:rPr>
                <w:sz w:val="18"/>
                <w:szCs w:val="18"/>
                <w:lang w:val="es-ES_tradnl"/>
              </w:rPr>
            </w:pPr>
            <w:r w:rsidRPr="008B7A21">
              <w:rPr>
                <w:sz w:val="18"/>
                <w:szCs w:val="18"/>
                <w:lang w:val="es-ES_tradnl"/>
              </w:rPr>
              <w:t>23</w:t>
            </w:r>
          </w:p>
        </w:tc>
        <w:tc>
          <w:tcPr>
            <w:tcW w:w="765" w:type="dxa"/>
          </w:tcPr>
          <w:p w14:paraId="4D1AB1BC" w14:textId="77777777" w:rsidR="00F73D5B" w:rsidRPr="008B7A21" w:rsidRDefault="00F73D5B" w:rsidP="00767A6A">
            <w:pPr>
              <w:pStyle w:val="Tabletext"/>
              <w:jc w:val="center"/>
              <w:rPr>
                <w:sz w:val="18"/>
                <w:szCs w:val="18"/>
                <w:lang w:val="es-ES_tradnl"/>
              </w:rPr>
            </w:pPr>
            <w:r w:rsidRPr="008B7A21">
              <w:rPr>
                <w:sz w:val="18"/>
                <w:szCs w:val="18"/>
                <w:lang w:val="es-ES_tradnl"/>
              </w:rPr>
              <w:t>27</w:t>
            </w:r>
          </w:p>
        </w:tc>
        <w:tc>
          <w:tcPr>
            <w:tcW w:w="765" w:type="dxa"/>
          </w:tcPr>
          <w:p w14:paraId="14216772" w14:textId="77777777" w:rsidR="00F73D5B" w:rsidRPr="008B7A21" w:rsidRDefault="00F73D5B" w:rsidP="00767A6A">
            <w:pPr>
              <w:pStyle w:val="Tabletext"/>
              <w:jc w:val="center"/>
              <w:rPr>
                <w:sz w:val="18"/>
                <w:szCs w:val="18"/>
                <w:lang w:val="es-ES_tradnl"/>
              </w:rPr>
            </w:pPr>
            <w:r w:rsidRPr="008B7A21">
              <w:rPr>
                <w:sz w:val="18"/>
                <w:szCs w:val="18"/>
                <w:lang w:val="es-ES_tradnl"/>
              </w:rPr>
              <w:t>31</w:t>
            </w:r>
          </w:p>
        </w:tc>
        <w:tc>
          <w:tcPr>
            <w:tcW w:w="765" w:type="dxa"/>
          </w:tcPr>
          <w:p w14:paraId="608A3456" w14:textId="77777777" w:rsidR="00F73D5B" w:rsidRPr="008B7A21" w:rsidRDefault="00F73D5B" w:rsidP="00767A6A">
            <w:pPr>
              <w:pStyle w:val="Tabletext"/>
              <w:jc w:val="center"/>
              <w:rPr>
                <w:sz w:val="18"/>
                <w:szCs w:val="18"/>
                <w:lang w:val="es-ES_tradnl"/>
              </w:rPr>
            </w:pPr>
            <w:r w:rsidRPr="008B7A21">
              <w:rPr>
                <w:sz w:val="18"/>
                <w:szCs w:val="18"/>
                <w:lang w:val="es-ES_tradnl"/>
              </w:rPr>
              <w:t>34</w:t>
            </w:r>
          </w:p>
        </w:tc>
        <w:tc>
          <w:tcPr>
            <w:tcW w:w="765" w:type="dxa"/>
          </w:tcPr>
          <w:p w14:paraId="3106C2BA" w14:textId="77777777" w:rsidR="00F73D5B" w:rsidRPr="008B7A21" w:rsidRDefault="00F73D5B" w:rsidP="00767A6A">
            <w:pPr>
              <w:pStyle w:val="Tabletext"/>
              <w:jc w:val="center"/>
              <w:rPr>
                <w:sz w:val="18"/>
                <w:szCs w:val="18"/>
                <w:lang w:val="es-ES_tradnl"/>
              </w:rPr>
            </w:pPr>
            <w:r w:rsidRPr="008B7A21">
              <w:rPr>
                <w:sz w:val="18"/>
                <w:szCs w:val="18"/>
                <w:lang w:val="es-ES_tradnl"/>
              </w:rPr>
              <w:t>37</w:t>
            </w:r>
          </w:p>
        </w:tc>
        <w:tc>
          <w:tcPr>
            <w:tcW w:w="765" w:type="dxa"/>
          </w:tcPr>
          <w:p w14:paraId="6B691A3B" w14:textId="77777777" w:rsidR="00F73D5B" w:rsidRPr="008B7A21" w:rsidRDefault="00F73D5B" w:rsidP="00767A6A">
            <w:pPr>
              <w:pStyle w:val="Tabletext"/>
              <w:jc w:val="center"/>
              <w:rPr>
                <w:sz w:val="18"/>
                <w:szCs w:val="18"/>
                <w:lang w:val="es-ES_tradnl"/>
              </w:rPr>
            </w:pPr>
            <w:r w:rsidRPr="008B7A21">
              <w:rPr>
                <w:sz w:val="18"/>
                <w:szCs w:val="18"/>
                <w:lang w:val="es-ES_tradnl"/>
              </w:rPr>
              <w:t>39</w:t>
            </w:r>
          </w:p>
        </w:tc>
        <w:tc>
          <w:tcPr>
            <w:tcW w:w="879" w:type="dxa"/>
          </w:tcPr>
          <w:p w14:paraId="3A204045" w14:textId="77777777" w:rsidR="00F73D5B" w:rsidRPr="008B7A21" w:rsidRDefault="00F73D5B" w:rsidP="00767A6A">
            <w:pPr>
              <w:pStyle w:val="Tabletext"/>
              <w:jc w:val="center"/>
              <w:rPr>
                <w:sz w:val="18"/>
                <w:szCs w:val="18"/>
                <w:lang w:val="es-ES_tradnl"/>
              </w:rPr>
            </w:pPr>
            <w:r w:rsidRPr="008B7A21">
              <w:rPr>
                <w:sz w:val="18"/>
                <w:szCs w:val="18"/>
                <w:lang w:val="es-ES_tradnl"/>
              </w:rPr>
              <w:t>44</w:t>
            </w:r>
          </w:p>
        </w:tc>
      </w:tr>
      <w:tr w:rsidR="00F73D5B" w:rsidRPr="008B7A21" w14:paraId="6E2D3599" w14:textId="77777777" w:rsidTr="00767A6A">
        <w:trPr>
          <w:jc w:val="center"/>
        </w:trPr>
        <w:tc>
          <w:tcPr>
            <w:tcW w:w="1247" w:type="dxa"/>
          </w:tcPr>
          <w:p w14:paraId="16CCC044" w14:textId="77777777" w:rsidR="00F73D5B" w:rsidRPr="008B7A21" w:rsidRDefault="00F73D5B" w:rsidP="00767A6A">
            <w:pPr>
              <w:pStyle w:val="Tabletext"/>
              <w:jc w:val="center"/>
              <w:rPr>
                <w:sz w:val="18"/>
                <w:szCs w:val="18"/>
                <w:lang w:val="es-ES_tradnl"/>
              </w:rPr>
            </w:pPr>
            <w:r w:rsidRPr="008B7A21">
              <w:rPr>
                <w:sz w:val="18"/>
                <w:szCs w:val="18"/>
                <w:lang w:val="es-ES_tradnl"/>
              </w:rPr>
              <w:t>46,0</w:t>
            </w:r>
          </w:p>
        </w:tc>
        <w:tc>
          <w:tcPr>
            <w:tcW w:w="709" w:type="dxa"/>
          </w:tcPr>
          <w:p w14:paraId="47F8AE39" w14:textId="77777777" w:rsidR="00F73D5B" w:rsidRPr="008B7A21" w:rsidRDefault="00F73D5B" w:rsidP="00767A6A">
            <w:pPr>
              <w:pStyle w:val="Tabletext"/>
              <w:jc w:val="center"/>
              <w:rPr>
                <w:sz w:val="18"/>
                <w:szCs w:val="18"/>
                <w:lang w:val="es-ES_tradnl"/>
              </w:rPr>
            </w:pPr>
            <w:r w:rsidRPr="008B7A21">
              <w:rPr>
                <w:sz w:val="18"/>
                <w:szCs w:val="18"/>
                <w:lang w:val="es-ES_tradnl"/>
              </w:rPr>
              <w:t>13</w:t>
            </w:r>
          </w:p>
        </w:tc>
        <w:tc>
          <w:tcPr>
            <w:tcW w:w="765" w:type="dxa"/>
          </w:tcPr>
          <w:p w14:paraId="2A40900F" w14:textId="77777777" w:rsidR="00F73D5B" w:rsidRPr="008B7A21" w:rsidRDefault="00F73D5B" w:rsidP="00767A6A">
            <w:pPr>
              <w:pStyle w:val="Tabletext"/>
              <w:jc w:val="center"/>
              <w:rPr>
                <w:sz w:val="18"/>
                <w:szCs w:val="18"/>
                <w:lang w:val="es-ES_tradnl"/>
              </w:rPr>
            </w:pPr>
            <w:r w:rsidRPr="008B7A21">
              <w:rPr>
                <w:sz w:val="18"/>
                <w:szCs w:val="18"/>
                <w:lang w:val="es-ES_tradnl"/>
              </w:rPr>
              <w:t>16</w:t>
            </w:r>
          </w:p>
        </w:tc>
        <w:tc>
          <w:tcPr>
            <w:tcW w:w="765" w:type="dxa"/>
          </w:tcPr>
          <w:p w14:paraId="09E350A4" w14:textId="77777777" w:rsidR="00F73D5B" w:rsidRPr="008B7A21" w:rsidRDefault="00F73D5B" w:rsidP="00767A6A">
            <w:pPr>
              <w:pStyle w:val="Tabletext"/>
              <w:jc w:val="center"/>
              <w:rPr>
                <w:sz w:val="18"/>
                <w:szCs w:val="18"/>
                <w:lang w:val="es-ES_tradnl"/>
              </w:rPr>
            </w:pPr>
            <w:r w:rsidRPr="008B7A21">
              <w:rPr>
                <w:sz w:val="18"/>
                <w:szCs w:val="18"/>
                <w:lang w:val="es-ES_tradnl"/>
              </w:rPr>
              <w:t>19</w:t>
            </w:r>
          </w:p>
        </w:tc>
        <w:tc>
          <w:tcPr>
            <w:tcW w:w="765" w:type="dxa"/>
          </w:tcPr>
          <w:p w14:paraId="7099581A" w14:textId="77777777" w:rsidR="00F73D5B" w:rsidRPr="008B7A21" w:rsidRDefault="00F73D5B" w:rsidP="00767A6A">
            <w:pPr>
              <w:pStyle w:val="Tabletext"/>
              <w:jc w:val="center"/>
              <w:rPr>
                <w:sz w:val="18"/>
                <w:szCs w:val="18"/>
                <w:lang w:val="es-ES_tradnl"/>
              </w:rPr>
            </w:pPr>
            <w:r w:rsidRPr="008B7A21">
              <w:rPr>
                <w:sz w:val="18"/>
                <w:szCs w:val="18"/>
                <w:lang w:val="es-ES_tradnl"/>
              </w:rPr>
              <w:t>22</w:t>
            </w:r>
          </w:p>
        </w:tc>
        <w:tc>
          <w:tcPr>
            <w:tcW w:w="765" w:type="dxa"/>
          </w:tcPr>
          <w:p w14:paraId="45D5C3F2" w14:textId="77777777" w:rsidR="00F73D5B" w:rsidRPr="008B7A21" w:rsidRDefault="00F73D5B" w:rsidP="00767A6A">
            <w:pPr>
              <w:pStyle w:val="Tabletext"/>
              <w:jc w:val="center"/>
              <w:rPr>
                <w:sz w:val="18"/>
                <w:szCs w:val="18"/>
                <w:lang w:val="es-ES_tradnl"/>
              </w:rPr>
            </w:pPr>
            <w:r w:rsidRPr="008B7A21">
              <w:rPr>
                <w:sz w:val="18"/>
                <w:szCs w:val="18"/>
                <w:lang w:val="es-ES_tradnl"/>
              </w:rPr>
              <w:t>27</w:t>
            </w:r>
          </w:p>
        </w:tc>
        <w:tc>
          <w:tcPr>
            <w:tcW w:w="765" w:type="dxa"/>
          </w:tcPr>
          <w:p w14:paraId="34CB0756" w14:textId="77777777" w:rsidR="00F73D5B" w:rsidRPr="008B7A21" w:rsidRDefault="00F73D5B" w:rsidP="00767A6A">
            <w:pPr>
              <w:pStyle w:val="Tabletext"/>
              <w:jc w:val="center"/>
              <w:rPr>
                <w:sz w:val="18"/>
                <w:szCs w:val="18"/>
                <w:lang w:val="es-ES_tradnl"/>
              </w:rPr>
            </w:pPr>
            <w:r w:rsidRPr="008B7A21">
              <w:rPr>
                <w:sz w:val="18"/>
                <w:szCs w:val="18"/>
                <w:lang w:val="es-ES_tradnl"/>
              </w:rPr>
              <w:t>31</w:t>
            </w:r>
          </w:p>
        </w:tc>
        <w:tc>
          <w:tcPr>
            <w:tcW w:w="765" w:type="dxa"/>
          </w:tcPr>
          <w:p w14:paraId="6BE541B6" w14:textId="77777777" w:rsidR="00F73D5B" w:rsidRPr="008B7A21" w:rsidRDefault="00F73D5B" w:rsidP="00767A6A">
            <w:pPr>
              <w:pStyle w:val="Tabletext"/>
              <w:jc w:val="center"/>
              <w:rPr>
                <w:sz w:val="18"/>
                <w:szCs w:val="18"/>
                <w:lang w:val="es-ES_tradnl"/>
              </w:rPr>
            </w:pPr>
            <w:r w:rsidRPr="008B7A21">
              <w:rPr>
                <w:sz w:val="18"/>
                <w:szCs w:val="18"/>
                <w:lang w:val="es-ES_tradnl"/>
              </w:rPr>
              <w:t>35</w:t>
            </w:r>
          </w:p>
        </w:tc>
        <w:tc>
          <w:tcPr>
            <w:tcW w:w="765" w:type="dxa"/>
          </w:tcPr>
          <w:p w14:paraId="5516CA4B" w14:textId="77777777" w:rsidR="00F73D5B" w:rsidRPr="008B7A21" w:rsidRDefault="00F73D5B" w:rsidP="00767A6A">
            <w:pPr>
              <w:pStyle w:val="Tabletext"/>
              <w:jc w:val="center"/>
              <w:rPr>
                <w:sz w:val="18"/>
                <w:szCs w:val="18"/>
                <w:lang w:val="es-ES_tradnl"/>
              </w:rPr>
            </w:pPr>
            <w:r w:rsidRPr="008B7A21">
              <w:rPr>
                <w:sz w:val="18"/>
                <w:szCs w:val="18"/>
                <w:lang w:val="es-ES_tradnl"/>
              </w:rPr>
              <w:t>38</w:t>
            </w:r>
          </w:p>
        </w:tc>
        <w:tc>
          <w:tcPr>
            <w:tcW w:w="765" w:type="dxa"/>
          </w:tcPr>
          <w:p w14:paraId="665B7DBB" w14:textId="77777777" w:rsidR="00F73D5B" w:rsidRPr="008B7A21" w:rsidRDefault="00F73D5B" w:rsidP="00767A6A">
            <w:pPr>
              <w:pStyle w:val="Tabletext"/>
              <w:jc w:val="center"/>
              <w:rPr>
                <w:sz w:val="18"/>
                <w:szCs w:val="18"/>
                <w:lang w:val="es-ES_tradnl"/>
              </w:rPr>
            </w:pPr>
            <w:r w:rsidRPr="008B7A21">
              <w:rPr>
                <w:sz w:val="18"/>
                <w:szCs w:val="18"/>
                <w:lang w:val="es-ES_tradnl"/>
              </w:rPr>
              <w:t>41</w:t>
            </w:r>
          </w:p>
        </w:tc>
        <w:tc>
          <w:tcPr>
            <w:tcW w:w="765" w:type="dxa"/>
          </w:tcPr>
          <w:p w14:paraId="5EF34AA5" w14:textId="77777777" w:rsidR="00F73D5B" w:rsidRPr="008B7A21" w:rsidRDefault="00F73D5B" w:rsidP="00767A6A">
            <w:pPr>
              <w:pStyle w:val="Tabletext"/>
              <w:jc w:val="center"/>
              <w:rPr>
                <w:sz w:val="18"/>
                <w:szCs w:val="18"/>
                <w:lang w:val="es-ES_tradnl"/>
              </w:rPr>
            </w:pPr>
            <w:r w:rsidRPr="008B7A21">
              <w:rPr>
                <w:sz w:val="18"/>
                <w:szCs w:val="18"/>
                <w:lang w:val="es-ES_tradnl"/>
              </w:rPr>
              <w:t>44</w:t>
            </w:r>
          </w:p>
        </w:tc>
        <w:tc>
          <w:tcPr>
            <w:tcW w:w="879" w:type="dxa"/>
          </w:tcPr>
          <w:p w14:paraId="3683825F" w14:textId="77777777" w:rsidR="00F73D5B" w:rsidRPr="008B7A21" w:rsidRDefault="00F73D5B" w:rsidP="00767A6A">
            <w:pPr>
              <w:pStyle w:val="Tabletext"/>
              <w:jc w:val="center"/>
              <w:rPr>
                <w:sz w:val="18"/>
                <w:szCs w:val="18"/>
                <w:lang w:val="es-ES_tradnl"/>
              </w:rPr>
            </w:pPr>
            <w:r w:rsidRPr="008B7A21">
              <w:rPr>
                <w:sz w:val="18"/>
                <w:szCs w:val="18"/>
                <w:lang w:val="es-ES_tradnl"/>
              </w:rPr>
              <w:t>49</w:t>
            </w:r>
          </w:p>
        </w:tc>
      </w:tr>
      <w:tr w:rsidR="00F73D5B" w:rsidRPr="008B7A21" w14:paraId="0A435DFF" w14:textId="77777777" w:rsidTr="00767A6A">
        <w:trPr>
          <w:jc w:val="center"/>
        </w:trPr>
        <w:tc>
          <w:tcPr>
            <w:tcW w:w="1247" w:type="dxa"/>
          </w:tcPr>
          <w:p w14:paraId="576E2C89" w14:textId="77777777" w:rsidR="00F73D5B" w:rsidRPr="008B7A21" w:rsidRDefault="00F73D5B" w:rsidP="00767A6A">
            <w:pPr>
              <w:pStyle w:val="Tabletext"/>
              <w:jc w:val="center"/>
              <w:rPr>
                <w:sz w:val="18"/>
                <w:szCs w:val="18"/>
                <w:lang w:val="es-ES_tradnl"/>
              </w:rPr>
            </w:pPr>
            <w:r w:rsidRPr="008B7A21">
              <w:rPr>
                <w:sz w:val="18"/>
                <w:szCs w:val="18"/>
                <w:lang w:val="es-ES_tradnl"/>
              </w:rPr>
              <w:t>50,0</w:t>
            </w:r>
          </w:p>
        </w:tc>
        <w:tc>
          <w:tcPr>
            <w:tcW w:w="709" w:type="dxa"/>
          </w:tcPr>
          <w:p w14:paraId="38AF6AA6" w14:textId="77777777" w:rsidR="00F73D5B" w:rsidRPr="008B7A21" w:rsidRDefault="00F73D5B" w:rsidP="00767A6A">
            <w:pPr>
              <w:pStyle w:val="Tabletext"/>
              <w:jc w:val="center"/>
              <w:rPr>
                <w:sz w:val="18"/>
                <w:szCs w:val="18"/>
                <w:lang w:val="es-ES_tradnl"/>
              </w:rPr>
            </w:pPr>
            <w:r w:rsidRPr="008B7A21">
              <w:rPr>
                <w:sz w:val="18"/>
                <w:szCs w:val="18"/>
                <w:lang w:val="es-ES_tradnl"/>
              </w:rPr>
              <w:t>15</w:t>
            </w:r>
          </w:p>
        </w:tc>
        <w:tc>
          <w:tcPr>
            <w:tcW w:w="765" w:type="dxa"/>
          </w:tcPr>
          <w:p w14:paraId="3C9B24D7" w14:textId="77777777" w:rsidR="00F73D5B" w:rsidRPr="008B7A21" w:rsidRDefault="00F73D5B" w:rsidP="00767A6A">
            <w:pPr>
              <w:pStyle w:val="Tabletext"/>
              <w:jc w:val="center"/>
              <w:rPr>
                <w:sz w:val="18"/>
                <w:szCs w:val="18"/>
                <w:lang w:val="es-ES_tradnl"/>
              </w:rPr>
            </w:pPr>
            <w:r w:rsidRPr="008B7A21">
              <w:rPr>
                <w:sz w:val="18"/>
                <w:szCs w:val="18"/>
                <w:lang w:val="es-ES_tradnl"/>
              </w:rPr>
              <w:t>19</w:t>
            </w:r>
          </w:p>
        </w:tc>
        <w:tc>
          <w:tcPr>
            <w:tcW w:w="765" w:type="dxa"/>
          </w:tcPr>
          <w:p w14:paraId="26E13156" w14:textId="77777777" w:rsidR="00F73D5B" w:rsidRPr="008B7A21" w:rsidRDefault="00F73D5B" w:rsidP="00767A6A">
            <w:pPr>
              <w:pStyle w:val="Tabletext"/>
              <w:jc w:val="center"/>
              <w:rPr>
                <w:sz w:val="18"/>
                <w:szCs w:val="18"/>
                <w:lang w:val="es-ES_tradnl"/>
              </w:rPr>
            </w:pPr>
            <w:r w:rsidRPr="008B7A21">
              <w:rPr>
                <w:sz w:val="18"/>
                <w:szCs w:val="18"/>
                <w:lang w:val="es-ES_tradnl"/>
              </w:rPr>
              <w:t>23</w:t>
            </w:r>
          </w:p>
        </w:tc>
        <w:tc>
          <w:tcPr>
            <w:tcW w:w="765" w:type="dxa"/>
          </w:tcPr>
          <w:p w14:paraId="282E72EE" w14:textId="77777777" w:rsidR="00F73D5B" w:rsidRPr="008B7A21" w:rsidRDefault="00F73D5B" w:rsidP="00767A6A">
            <w:pPr>
              <w:pStyle w:val="Tabletext"/>
              <w:jc w:val="center"/>
              <w:rPr>
                <w:sz w:val="18"/>
                <w:szCs w:val="18"/>
                <w:lang w:val="es-ES_tradnl"/>
              </w:rPr>
            </w:pPr>
            <w:r w:rsidRPr="008B7A21">
              <w:rPr>
                <w:sz w:val="18"/>
                <w:szCs w:val="18"/>
                <w:lang w:val="es-ES_tradnl"/>
              </w:rPr>
              <w:t>27</w:t>
            </w:r>
          </w:p>
        </w:tc>
        <w:tc>
          <w:tcPr>
            <w:tcW w:w="765" w:type="dxa"/>
          </w:tcPr>
          <w:p w14:paraId="18FBE144" w14:textId="77777777" w:rsidR="00F73D5B" w:rsidRPr="008B7A21" w:rsidRDefault="00F73D5B" w:rsidP="00767A6A">
            <w:pPr>
              <w:pStyle w:val="Tabletext"/>
              <w:jc w:val="center"/>
              <w:rPr>
                <w:sz w:val="18"/>
                <w:szCs w:val="18"/>
                <w:lang w:val="es-ES_tradnl"/>
              </w:rPr>
            </w:pPr>
            <w:r w:rsidRPr="008B7A21">
              <w:rPr>
                <w:sz w:val="18"/>
                <w:szCs w:val="18"/>
                <w:lang w:val="es-ES_tradnl"/>
              </w:rPr>
              <w:t>32</w:t>
            </w:r>
          </w:p>
        </w:tc>
        <w:tc>
          <w:tcPr>
            <w:tcW w:w="765" w:type="dxa"/>
          </w:tcPr>
          <w:p w14:paraId="11FDA826" w14:textId="77777777" w:rsidR="00F73D5B" w:rsidRPr="008B7A21" w:rsidRDefault="00F73D5B" w:rsidP="00767A6A">
            <w:pPr>
              <w:pStyle w:val="Tabletext"/>
              <w:jc w:val="center"/>
              <w:rPr>
                <w:sz w:val="18"/>
                <w:szCs w:val="18"/>
                <w:lang w:val="es-ES_tradnl"/>
              </w:rPr>
            </w:pPr>
            <w:r w:rsidRPr="008B7A21">
              <w:rPr>
                <w:sz w:val="18"/>
                <w:szCs w:val="18"/>
                <w:lang w:val="es-ES_tradnl"/>
              </w:rPr>
              <w:t>37</w:t>
            </w:r>
          </w:p>
        </w:tc>
        <w:tc>
          <w:tcPr>
            <w:tcW w:w="765" w:type="dxa"/>
          </w:tcPr>
          <w:p w14:paraId="4B28875B" w14:textId="77777777" w:rsidR="00F73D5B" w:rsidRPr="008B7A21" w:rsidRDefault="00F73D5B" w:rsidP="00767A6A">
            <w:pPr>
              <w:pStyle w:val="Tabletext"/>
              <w:jc w:val="center"/>
              <w:rPr>
                <w:sz w:val="18"/>
                <w:szCs w:val="18"/>
                <w:lang w:val="es-ES_tradnl"/>
              </w:rPr>
            </w:pPr>
            <w:r w:rsidRPr="008B7A21">
              <w:rPr>
                <w:sz w:val="18"/>
                <w:szCs w:val="18"/>
                <w:lang w:val="es-ES_tradnl"/>
              </w:rPr>
              <w:t>41</w:t>
            </w:r>
          </w:p>
        </w:tc>
        <w:tc>
          <w:tcPr>
            <w:tcW w:w="765" w:type="dxa"/>
          </w:tcPr>
          <w:p w14:paraId="6CDD87D2" w14:textId="77777777" w:rsidR="00F73D5B" w:rsidRPr="008B7A21" w:rsidRDefault="00F73D5B" w:rsidP="00767A6A">
            <w:pPr>
              <w:pStyle w:val="Tabletext"/>
              <w:jc w:val="center"/>
              <w:rPr>
                <w:sz w:val="18"/>
                <w:szCs w:val="18"/>
                <w:lang w:val="es-ES_tradnl"/>
              </w:rPr>
            </w:pPr>
            <w:r w:rsidRPr="008B7A21">
              <w:rPr>
                <w:sz w:val="18"/>
                <w:szCs w:val="18"/>
                <w:lang w:val="es-ES_tradnl"/>
              </w:rPr>
              <w:t>44</w:t>
            </w:r>
          </w:p>
        </w:tc>
        <w:tc>
          <w:tcPr>
            <w:tcW w:w="765" w:type="dxa"/>
          </w:tcPr>
          <w:p w14:paraId="09B0745C" w14:textId="77777777" w:rsidR="00F73D5B" w:rsidRPr="008B7A21" w:rsidRDefault="00F73D5B" w:rsidP="00767A6A">
            <w:pPr>
              <w:pStyle w:val="Tabletext"/>
              <w:jc w:val="center"/>
              <w:rPr>
                <w:sz w:val="18"/>
                <w:szCs w:val="18"/>
                <w:lang w:val="es-ES_tradnl"/>
              </w:rPr>
            </w:pPr>
            <w:r w:rsidRPr="008B7A21">
              <w:rPr>
                <w:sz w:val="18"/>
                <w:szCs w:val="18"/>
                <w:lang w:val="es-ES_tradnl"/>
              </w:rPr>
              <w:t>47</w:t>
            </w:r>
          </w:p>
        </w:tc>
        <w:tc>
          <w:tcPr>
            <w:tcW w:w="765" w:type="dxa"/>
          </w:tcPr>
          <w:p w14:paraId="516CA4A5" w14:textId="77777777" w:rsidR="00F73D5B" w:rsidRPr="008B7A21" w:rsidRDefault="00F73D5B" w:rsidP="00767A6A">
            <w:pPr>
              <w:pStyle w:val="Tabletext"/>
              <w:jc w:val="center"/>
              <w:rPr>
                <w:sz w:val="18"/>
                <w:szCs w:val="18"/>
                <w:lang w:val="es-ES_tradnl"/>
              </w:rPr>
            </w:pPr>
            <w:r w:rsidRPr="008B7A21">
              <w:rPr>
                <w:sz w:val="18"/>
                <w:szCs w:val="18"/>
                <w:lang w:val="es-ES_tradnl"/>
              </w:rPr>
              <w:t>50</w:t>
            </w:r>
          </w:p>
        </w:tc>
        <w:tc>
          <w:tcPr>
            <w:tcW w:w="879" w:type="dxa"/>
          </w:tcPr>
          <w:p w14:paraId="4FF522C2" w14:textId="77777777" w:rsidR="00F73D5B" w:rsidRPr="008B7A21" w:rsidRDefault="00F73D5B" w:rsidP="00767A6A">
            <w:pPr>
              <w:pStyle w:val="Tabletext"/>
              <w:jc w:val="center"/>
              <w:rPr>
                <w:sz w:val="18"/>
                <w:szCs w:val="18"/>
                <w:lang w:val="es-ES_tradnl"/>
              </w:rPr>
            </w:pPr>
            <w:r w:rsidRPr="008B7A21">
              <w:rPr>
                <w:sz w:val="18"/>
                <w:szCs w:val="18"/>
                <w:lang w:val="es-ES_tradnl"/>
              </w:rPr>
              <w:t>55</w:t>
            </w:r>
          </w:p>
        </w:tc>
      </w:tr>
      <w:tr w:rsidR="00F73D5B" w:rsidRPr="008B7A21" w14:paraId="54A991C2" w14:textId="77777777" w:rsidTr="00767A6A">
        <w:trPr>
          <w:jc w:val="center"/>
        </w:trPr>
        <w:tc>
          <w:tcPr>
            <w:tcW w:w="1247" w:type="dxa"/>
          </w:tcPr>
          <w:p w14:paraId="5579BA3B" w14:textId="77777777" w:rsidR="00F73D5B" w:rsidRPr="008B7A21" w:rsidRDefault="00F73D5B" w:rsidP="00767A6A">
            <w:pPr>
              <w:pStyle w:val="Tabletext"/>
              <w:jc w:val="center"/>
              <w:rPr>
                <w:sz w:val="18"/>
                <w:szCs w:val="18"/>
                <w:lang w:val="es-ES_tradnl"/>
              </w:rPr>
            </w:pPr>
            <w:r w:rsidRPr="008B7A21">
              <w:rPr>
                <w:sz w:val="18"/>
                <w:szCs w:val="18"/>
                <w:lang w:val="es-ES_tradnl"/>
              </w:rPr>
              <w:t>55,0</w:t>
            </w:r>
          </w:p>
        </w:tc>
        <w:tc>
          <w:tcPr>
            <w:tcW w:w="709" w:type="dxa"/>
          </w:tcPr>
          <w:p w14:paraId="39EA44EC" w14:textId="77777777" w:rsidR="00F73D5B" w:rsidRPr="008B7A21" w:rsidRDefault="00F73D5B" w:rsidP="00767A6A">
            <w:pPr>
              <w:pStyle w:val="Tabletext"/>
              <w:jc w:val="center"/>
              <w:rPr>
                <w:sz w:val="18"/>
                <w:szCs w:val="18"/>
                <w:lang w:val="es-ES_tradnl"/>
              </w:rPr>
            </w:pPr>
            <w:r w:rsidRPr="008B7A21">
              <w:rPr>
                <w:sz w:val="18"/>
                <w:szCs w:val="18"/>
                <w:lang w:val="es-ES_tradnl"/>
              </w:rPr>
              <w:t>19</w:t>
            </w:r>
          </w:p>
        </w:tc>
        <w:tc>
          <w:tcPr>
            <w:tcW w:w="765" w:type="dxa"/>
          </w:tcPr>
          <w:p w14:paraId="6B62E341" w14:textId="77777777" w:rsidR="00F73D5B" w:rsidRPr="008B7A21" w:rsidRDefault="00F73D5B" w:rsidP="00767A6A">
            <w:pPr>
              <w:pStyle w:val="Tabletext"/>
              <w:jc w:val="center"/>
              <w:rPr>
                <w:sz w:val="18"/>
                <w:szCs w:val="18"/>
                <w:lang w:val="es-ES_tradnl"/>
              </w:rPr>
            </w:pPr>
            <w:r w:rsidRPr="008B7A21">
              <w:rPr>
                <w:sz w:val="18"/>
                <w:szCs w:val="18"/>
                <w:lang w:val="es-ES_tradnl"/>
              </w:rPr>
              <w:t>24</w:t>
            </w:r>
          </w:p>
        </w:tc>
        <w:tc>
          <w:tcPr>
            <w:tcW w:w="765" w:type="dxa"/>
          </w:tcPr>
          <w:p w14:paraId="4BB5266E" w14:textId="77777777" w:rsidR="00F73D5B" w:rsidRPr="008B7A21" w:rsidRDefault="00F73D5B" w:rsidP="00767A6A">
            <w:pPr>
              <w:pStyle w:val="Tabletext"/>
              <w:jc w:val="center"/>
              <w:rPr>
                <w:sz w:val="18"/>
                <w:szCs w:val="18"/>
                <w:lang w:val="es-ES_tradnl"/>
              </w:rPr>
            </w:pPr>
            <w:r w:rsidRPr="008B7A21">
              <w:rPr>
                <w:sz w:val="18"/>
                <w:szCs w:val="18"/>
                <w:lang w:val="es-ES_tradnl"/>
              </w:rPr>
              <w:t>29</w:t>
            </w:r>
          </w:p>
        </w:tc>
        <w:tc>
          <w:tcPr>
            <w:tcW w:w="765" w:type="dxa"/>
          </w:tcPr>
          <w:p w14:paraId="7F902080" w14:textId="77777777" w:rsidR="00F73D5B" w:rsidRPr="008B7A21" w:rsidRDefault="00F73D5B" w:rsidP="00767A6A">
            <w:pPr>
              <w:pStyle w:val="Tabletext"/>
              <w:jc w:val="center"/>
              <w:rPr>
                <w:sz w:val="18"/>
                <w:szCs w:val="18"/>
                <w:lang w:val="es-ES_tradnl"/>
              </w:rPr>
            </w:pPr>
            <w:r w:rsidRPr="008B7A21">
              <w:rPr>
                <w:sz w:val="18"/>
                <w:szCs w:val="18"/>
                <w:lang w:val="es-ES_tradnl"/>
              </w:rPr>
              <w:t>33</w:t>
            </w:r>
          </w:p>
        </w:tc>
        <w:tc>
          <w:tcPr>
            <w:tcW w:w="765" w:type="dxa"/>
          </w:tcPr>
          <w:p w14:paraId="573BC6D5" w14:textId="77777777" w:rsidR="00F73D5B" w:rsidRPr="008B7A21" w:rsidRDefault="00F73D5B" w:rsidP="00767A6A">
            <w:pPr>
              <w:pStyle w:val="Tabletext"/>
              <w:jc w:val="center"/>
              <w:rPr>
                <w:sz w:val="18"/>
                <w:szCs w:val="18"/>
                <w:lang w:val="es-ES_tradnl"/>
              </w:rPr>
            </w:pPr>
            <w:r w:rsidRPr="008B7A21">
              <w:rPr>
                <w:sz w:val="18"/>
                <w:szCs w:val="18"/>
                <w:lang w:val="es-ES_tradnl"/>
              </w:rPr>
              <w:t>39</w:t>
            </w:r>
          </w:p>
        </w:tc>
        <w:tc>
          <w:tcPr>
            <w:tcW w:w="765" w:type="dxa"/>
          </w:tcPr>
          <w:p w14:paraId="2B47CECB" w14:textId="77777777" w:rsidR="00F73D5B" w:rsidRPr="008B7A21" w:rsidRDefault="00F73D5B" w:rsidP="00767A6A">
            <w:pPr>
              <w:pStyle w:val="Tabletext"/>
              <w:jc w:val="center"/>
              <w:rPr>
                <w:sz w:val="18"/>
                <w:szCs w:val="18"/>
                <w:lang w:val="es-ES_tradnl"/>
              </w:rPr>
            </w:pPr>
            <w:r w:rsidRPr="008B7A21">
              <w:rPr>
                <w:sz w:val="18"/>
                <w:szCs w:val="18"/>
                <w:lang w:val="es-ES_tradnl"/>
              </w:rPr>
              <w:t>44</w:t>
            </w:r>
          </w:p>
        </w:tc>
        <w:tc>
          <w:tcPr>
            <w:tcW w:w="765" w:type="dxa"/>
          </w:tcPr>
          <w:p w14:paraId="7CD50D6C" w14:textId="77777777" w:rsidR="00F73D5B" w:rsidRPr="008B7A21" w:rsidRDefault="00F73D5B" w:rsidP="00767A6A">
            <w:pPr>
              <w:pStyle w:val="Tabletext"/>
              <w:jc w:val="center"/>
              <w:rPr>
                <w:sz w:val="18"/>
                <w:szCs w:val="18"/>
                <w:lang w:val="es-ES_tradnl"/>
              </w:rPr>
            </w:pPr>
            <w:r w:rsidRPr="008B7A21">
              <w:rPr>
                <w:sz w:val="18"/>
                <w:szCs w:val="18"/>
                <w:lang w:val="es-ES_tradnl"/>
              </w:rPr>
              <w:t>48</w:t>
            </w:r>
          </w:p>
        </w:tc>
        <w:tc>
          <w:tcPr>
            <w:tcW w:w="765" w:type="dxa"/>
          </w:tcPr>
          <w:p w14:paraId="1470D39C" w14:textId="77777777" w:rsidR="00F73D5B" w:rsidRPr="008B7A21" w:rsidRDefault="00F73D5B" w:rsidP="00767A6A">
            <w:pPr>
              <w:pStyle w:val="Tabletext"/>
              <w:jc w:val="center"/>
              <w:rPr>
                <w:sz w:val="18"/>
                <w:szCs w:val="18"/>
                <w:lang w:val="es-ES_tradnl"/>
              </w:rPr>
            </w:pPr>
            <w:r w:rsidRPr="008B7A21">
              <w:rPr>
                <w:sz w:val="18"/>
                <w:szCs w:val="18"/>
                <w:lang w:val="es-ES_tradnl"/>
              </w:rPr>
              <w:t>51</w:t>
            </w:r>
          </w:p>
        </w:tc>
        <w:tc>
          <w:tcPr>
            <w:tcW w:w="765" w:type="dxa"/>
          </w:tcPr>
          <w:p w14:paraId="4772C663" w14:textId="77777777" w:rsidR="00F73D5B" w:rsidRPr="008B7A21" w:rsidRDefault="00F73D5B" w:rsidP="00767A6A">
            <w:pPr>
              <w:pStyle w:val="Tabletext"/>
              <w:jc w:val="center"/>
              <w:rPr>
                <w:sz w:val="18"/>
                <w:szCs w:val="18"/>
                <w:lang w:val="es-ES_tradnl"/>
              </w:rPr>
            </w:pPr>
            <w:r w:rsidRPr="008B7A21">
              <w:rPr>
                <w:sz w:val="18"/>
                <w:szCs w:val="18"/>
                <w:lang w:val="es-ES_tradnl"/>
              </w:rPr>
              <w:t>55</w:t>
            </w:r>
          </w:p>
        </w:tc>
        <w:tc>
          <w:tcPr>
            <w:tcW w:w="765" w:type="dxa"/>
          </w:tcPr>
          <w:p w14:paraId="19319F15" w14:textId="77777777" w:rsidR="00F73D5B" w:rsidRPr="008B7A21" w:rsidRDefault="00F73D5B" w:rsidP="00767A6A">
            <w:pPr>
              <w:pStyle w:val="Tabletext"/>
              <w:jc w:val="center"/>
              <w:rPr>
                <w:sz w:val="18"/>
                <w:szCs w:val="18"/>
                <w:lang w:val="es-ES_tradnl"/>
              </w:rPr>
            </w:pPr>
            <w:r w:rsidRPr="008B7A21">
              <w:rPr>
                <w:sz w:val="18"/>
                <w:szCs w:val="18"/>
                <w:lang w:val="es-ES_tradnl"/>
              </w:rPr>
              <w:t>58</w:t>
            </w:r>
          </w:p>
        </w:tc>
        <w:tc>
          <w:tcPr>
            <w:tcW w:w="879" w:type="dxa"/>
          </w:tcPr>
          <w:p w14:paraId="1FB09750" w14:textId="77777777" w:rsidR="00F73D5B" w:rsidRPr="008B7A21" w:rsidRDefault="00F73D5B" w:rsidP="00767A6A">
            <w:pPr>
              <w:pStyle w:val="Tabletext"/>
              <w:jc w:val="center"/>
              <w:rPr>
                <w:sz w:val="18"/>
                <w:szCs w:val="18"/>
                <w:lang w:val="es-ES_tradnl"/>
              </w:rPr>
            </w:pPr>
            <w:r w:rsidRPr="008B7A21">
              <w:rPr>
                <w:sz w:val="18"/>
                <w:szCs w:val="18"/>
                <w:lang w:val="es-ES_tradnl"/>
              </w:rPr>
              <w:t>64</w:t>
            </w:r>
          </w:p>
        </w:tc>
      </w:tr>
      <w:tr w:rsidR="00F73D5B" w:rsidRPr="008B7A21" w14:paraId="55B360B4" w14:textId="77777777" w:rsidTr="00767A6A">
        <w:trPr>
          <w:jc w:val="center"/>
        </w:trPr>
        <w:tc>
          <w:tcPr>
            <w:tcW w:w="1247" w:type="dxa"/>
          </w:tcPr>
          <w:p w14:paraId="08499413" w14:textId="77777777" w:rsidR="00F73D5B" w:rsidRPr="008B7A21" w:rsidRDefault="00F73D5B" w:rsidP="00767A6A">
            <w:pPr>
              <w:pStyle w:val="Tabletext"/>
              <w:jc w:val="center"/>
              <w:rPr>
                <w:sz w:val="18"/>
                <w:szCs w:val="18"/>
                <w:lang w:val="es-ES_tradnl"/>
              </w:rPr>
            </w:pPr>
            <w:r w:rsidRPr="008B7A21">
              <w:rPr>
                <w:sz w:val="18"/>
                <w:szCs w:val="18"/>
                <w:lang w:val="es-ES_tradnl"/>
              </w:rPr>
              <w:t>60,0</w:t>
            </w:r>
          </w:p>
        </w:tc>
        <w:tc>
          <w:tcPr>
            <w:tcW w:w="709" w:type="dxa"/>
          </w:tcPr>
          <w:p w14:paraId="09C25327" w14:textId="77777777" w:rsidR="00F73D5B" w:rsidRPr="008B7A21" w:rsidRDefault="00F73D5B" w:rsidP="00767A6A">
            <w:pPr>
              <w:pStyle w:val="Tabletext"/>
              <w:jc w:val="center"/>
              <w:rPr>
                <w:sz w:val="18"/>
                <w:szCs w:val="18"/>
                <w:lang w:val="es-ES_tradnl"/>
              </w:rPr>
            </w:pPr>
            <w:r w:rsidRPr="008B7A21">
              <w:rPr>
                <w:sz w:val="18"/>
                <w:szCs w:val="18"/>
                <w:lang w:val="es-ES_tradnl"/>
              </w:rPr>
              <w:t>25</w:t>
            </w:r>
          </w:p>
        </w:tc>
        <w:tc>
          <w:tcPr>
            <w:tcW w:w="765" w:type="dxa"/>
          </w:tcPr>
          <w:p w14:paraId="7EFCC61F" w14:textId="77777777" w:rsidR="00F73D5B" w:rsidRPr="008B7A21" w:rsidRDefault="00F73D5B" w:rsidP="00767A6A">
            <w:pPr>
              <w:pStyle w:val="Tabletext"/>
              <w:jc w:val="center"/>
              <w:rPr>
                <w:sz w:val="18"/>
                <w:szCs w:val="18"/>
                <w:lang w:val="es-ES_tradnl"/>
              </w:rPr>
            </w:pPr>
            <w:r w:rsidRPr="008B7A21">
              <w:rPr>
                <w:sz w:val="18"/>
                <w:szCs w:val="18"/>
                <w:lang w:val="es-ES_tradnl"/>
              </w:rPr>
              <w:t>31</w:t>
            </w:r>
          </w:p>
        </w:tc>
        <w:tc>
          <w:tcPr>
            <w:tcW w:w="765" w:type="dxa"/>
          </w:tcPr>
          <w:p w14:paraId="424993FD" w14:textId="77777777" w:rsidR="00F73D5B" w:rsidRPr="008B7A21" w:rsidRDefault="00F73D5B" w:rsidP="00767A6A">
            <w:pPr>
              <w:pStyle w:val="Tabletext"/>
              <w:jc w:val="center"/>
              <w:rPr>
                <w:sz w:val="18"/>
                <w:szCs w:val="18"/>
                <w:lang w:val="es-ES_tradnl"/>
              </w:rPr>
            </w:pPr>
            <w:r w:rsidRPr="008B7A21">
              <w:rPr>
                <w:sz w:val="18"/>
                <w:szCs w:val="18"/>
                <w:lang w:val="es-ES_tradnl"/>
              </w:rPr>
              <w:t>36</w:t>
            </w:r>
          </w:p>
        </w:tc>
        <w:tc>
          <w:tcPr>
            <w:tcW w:w="765" w:type="dxa"/>
          </w:tcPr>
          <w:p w14:paraId="1BBF2D26" w14:textId="77777777" w:rsidR="00F73D5B" w:rsidRPr="008B7A21" w:rsidRDefault="00F73D5B" w:rsidP="00767A6A">
            <w:pPr>
              <w:pStyle w:val="Tabletext"/>
              <w:jc w:val="center"/>
              <w:rPr>
                <w:sz w:val="18"/>
                <w:szCs w:val="18"/>
                <w:lang w:val="es-ES_tradnl"/>
              </w:rPr>
            </w:pPr>
            <w:r w:rsidRPr="008B7A21">
              <w:rPr>
                <w:sz w:val="18"/>
                <w:szCs w:val="18"/>
                <w:lang w:val="es-ES_tradnl"/>
              </w:rPr>
              <w:t>41</w:t>
            </w:r>
          </w:p>
        </w:tc>
        <w:tc>
          <w:tcPr>
            <w:tcW w:w="765" w:type="dxa"/>
          </w:tcPr>
          <w:p w14:paraId="1033D549" w14:textId="77777777" w:rsidR="00F73D5B" w:rsidRPr="008B7A21" w:rsidRDefault="00F73D5B" w:rsidP="00767A6A">
            <w:pPr>
              <w:pStyle w:val="Tabletext"/>
              <w:jc w:val="center"/>
              <w:rPr>
                <w:sz w:val="18"/>
                <w:szCs w:val="18"/>
                <w:lang w:val="es-ES_tradnl"/>
              </w:rPr>
            </w:pPr>
            <w:r w:rsidRPr="008B7A21">
              <w:rPr>
                <w:sz w:val="18"/>
                <w:szCs w:val="18"/>
                <w:lang w:val="es-ES_tradnl"/>
              </w:rPr>
              <w:t>47</w:t>
            </w:r>
          </w:p>
        </w:tc>
        <w:tc>
          <w:tcPr>
            <w:tcW w:w="765" w:type="dxa"/>
          </w:tcPr>
          <w:p w14:paraId="2F8A1A20" w14:textId="77777777" w:rsidR="00F73D5B" w:rsidRPr="008B7A21" w:rsidRDefault="00F73D5B" w:rsidP="00767A6A">
            <w:pPr>
              <w:pStyle w:val="Tabletext"/>
              <w:jc w:val="center"/>
              <w:rPr>
                <w:sz w:val="18"/>
                <w:szCs w:val="18"/>
                <w:lang w:val="es-ES_tradnl"/>
              </w:rPr>
            </w:pPr>
            <w:r w:rsidRPr="008B7A21">
              <w:rPr>
                <w:sz w:val="18"/>
                <w:szCs w:val="18"/>
                <w:lang w:val="es-ES_tradnl"/>
              </w:rPr>
              <w:t>52</w:t>
            </w:r>
          </w:p>
        </w:tc>
        <w:tc>
          <w:tcPr>
            <w:tcW w:w="765" w:type="dxa"/>
          </w:tcPr>
          <w:p w14:paraId="601917D6" w14:textId="77777777" w:rsidR="00F73D5B" w:rsidRPr="008B7A21" w:rsidRDefault="00F73D5B" w:rsidP="00767A6A">
            <w:pPr>
              <w:pStyle w:val="Tabletext"/>
              <w:jc w:val="center"/>
              <w:rPr>
                <w:sz w:val="18"/>
                <w:szCs w:val="18"/>
                <w:lang w:val="es-ES_tradnl"/>
              </w:rPr>
            </w:pPr>
            <w:r w:rsidRPr="008B7A21">
              <w:rPr>
                <w:sz w:val="18"/>
                <w:szCs w:val="18"/>
                <w:lang w:val="es-ES_tradnl"/>
              </w:rPr>
              <w:t>57</w:t>
            </w:r>
          </w:p>
        </w:tc>
        <w:tc>
          <w:tcPr>
            <w:tcW w:w="765" w:type="dxa"/>
          </w:tcPr>
          <w:p w14:paraId="3DB46142" w14:textId="77777777" w:rsidR="00F73D5B" w:rsidRPr="008B7A21" w:rsidRDefault="00F73D5B" w:rsidP="00767A6A">
            <w:pPr>
              <w:pStyle w:val="Tabletext"/>
              <w:jc w:val="center"/>
              <w:rPr>
                <w:sz w:val="18"/>
                <w:szCs w:val="18"/>
                <w:lang w:val="es-ES_tradnl"/>
              </w:rPr>
            </w:pPr>
            <w:r w:rsidRPr="008B7A21">
              <w:rPr>
                <w:sz w:val="18"/>
                <w:szCs w:val="18"/>
                <w:lang w:val="es-ES_tradnl"/>
              </w:rPr>
              <w:t>60</w:t>
            </w:r>
          </w:p>
        </w:tc>
        <w:tc>
          <w:tcPr>
            <w:tcW w:w="765" w:type="dxa"/>
          </w:tcPr>
          <w:p w14:paraId="4C03E5C3" w14:textId="77777777" w:rsidR="00F73D5B" w:rsidRPr="008B7A21" w:rsidRDefault="00F73D5B" w:rsidP="00767A6A">
            <w:pPr>
              <w:pStyle w:val="Tabletext"/>
              <w:jc w:val="center"/>
              <w:rPr>
                <w:sz w:val="18"/>
                <w:szCs w:val="18"/>
                <w:lang w:val="es-ES_tradnl"/>
              </w:rPr>
            </w:pPr>
            <w:r w:rsidRPr="008B7A21">
              <w:rPr>
                <w:sz w:val="18"/>
                <w:szCs w:val="18"/>
                <w:lang w:val="es-ES_tradnl"/>
              </w:rPr>
              <w:t>64</w:t>
            </w:r>
          </w:p>
        </w:tc>
        <w:tc>
          <w:tcPr>
            <w:tcW w:w="765" w:type="dxa"/>
          </w:tcPr>
          <w:p w14:paraId="4C9239F0" w14:textId="77777777" w:rsidR="00F73D5B" w:rsidRPr="008B7A21" w:rsidRDefault="00F73D5B" w:rsidP="00767A6A">
            <w:pPr>
              <w:pStyle w:val="Tabletext"/>
              <w:jc w:val="center"/>
              <w:rPr>
                <w:sz w:val="18"/>
                <w:szCs w:val="18"/>
                <w:lang w:val="es-ES_tradnl"/>
              </w:rPr>
            </w:pPr>
            <w:r w:rsidRPr="008B7A21">
              <w:rPr>
                <w:sz w:val="18"/>
                <w:szCs w:val="18"/>
                <w:lang w:val="es-ES_tradnl"/>
              </w:rPr>
              <w:t>67</w:t>
            </w:r>
          </w:p>
        </w:tc>
        <w:tc>
          <w:tcPr>
            <w:tcW w:w="879" w:type="dxa"/>
          </w:tcPr>
          <w:p w14:paraId="20C58CB3" w14:textId="77777777" w:rsidR="00F73D5B" w:rsidRPr="008B7A21" w:rsidRDefault="00F73D5B" w:rsidP="00767A6A">
            <w:pPr>
              <w:pStyle w:val="Tabletext"/>
              <w:jc w:val="center"/>
              <w:rPr>
                <w:sz w:val="18"/>
                <w:szCs w:val="18"/>
                <w:lang w:val="es-ES_tradnl"/>
              </w:rPr>
            </w:pPr>
            <w:r w:rsidRPr="008B7A21">
              <w:rPr>
                <w:sz w:val="18"/>
                <w:szCs w:val="18"/>
                <w:lang w:val="es-ES_tradnl"/>
              </w:rPr>
              <w:t>73</w:t>
            </w:r>
          </w:p>
        </w:tc>
      </w:tr>
    </w:tbl>
    <w:p w14:paraId="5D91C3A3" w14:textId="77777777" w:rsidR="00F73D5B" w:rsidRPr="008B7A21" w:rsidRDefault="00F73D5B" w:rsidP="00F73D5B">
      <w:pPr>
        <w:pStyle w:val="Tablefin"/>
        <w:rPr>
          <w:lang w:val="es-ES_tradnl"/>
        </w:rPr>
      </w:pPr>
    </w:p>
    <w:p w14:paraId="3C0B33C9" w14:textId="5F6EE28A" w:rsidR="00F73D5B" w:rsidRPr="008B7A21" w:rsidRDefault="00F73D5B" w:rsidP="00F73D5B">
      <w:pPr>
        <w:pStyle w:val="TableNo"/>
        <w:rPr>
          <w:rFonts w:asciiTheme="majorBidi" w:hAnsiTheme="majorBidi" w:cstheme="majorBidi"/>
          <w:sz w:val="22"/>
          <w:szCs w:val="22"/>
          <w:lang w:val="es-ES_tradnl"/>
        </w:rPr>
      </w:pPr>
      <w:r w:rsidRPr="008B7A21">
        <w:rPr>
          <w:rFonts w:asciiTheme="majorBidi" w:hAnsiTheme="majorBidi" w:cstheme="majorBidi"/>
          <w:sz w:val="22"/>
          <w:szCs w:val="22"/>
          <w:lang w:val="es-ES_tradnl"/>
        </w:rPr>
        <w:t>CUADRO 10</w:t>
      </w:r>
    </w:p>
    <w:p w14:paraId="14CE6B42" w14:textId="77777777" w:rsidR="00F73D5B" w:rsidRPr="008B7A21" w:rsidRDefault="00F73D5B" w:rsidP="00F73D5B">
      <w:pPr>
        <w:pStyle w:val="Tabletitle"/>
        <w:rPr>
          <w:rFonts w:asciiTheme="majorBidi" w:hAnsiTheme="majorBidi" w:cstheme="majorBidi"/>
          <w:sz w:val="22"/>
          <w:szCs w:val="22"/>
          <w:lang w:val="es-ES_tradnl"/>
        </w:rPr>
      </w:pPr>
      <w:r w:rsidRPr="008B7A21">
        <w:rPr>
          <w:rFonts w:asciiTheme="majorBidi" w:hAnsiTheme="majorBidi" w:cstheme="majorBidi"/>
          <w:sz w:val="22"/>
          <w:szCs w:val="22"/>
          <w:lang w:val="es-ES_tradnl"/>
        </w:rPr>
        <w:t>Radio de la zona de servicio (km) para el servicio de</w:t>
      </w:r>
      <w:r w:rsidRPr="008B7A21">
        <w:rPr>
          <w:rFonts w:asciiTheme="majorBidi" w:hAnsiTheme="majorBidi" w:cstheme="majorBidi"/>
          <w:sz w:val="22"/>
          <w:szCs w:val="22"/>
          <w:lang w:val="es-ES_tradnl"/>
        </w:rPr>
        <w:br/>
        <w:t>radiodifusión sonora por debajo de 108 MHz,</w:t>
      </w:r>
      <w:r w:rsidRPr="008B7A21">
        <w:rPr>
          <w:rFonts w:asciiTheme="majorBidi" w:hAnsiTheme="majorBidi" w:cstheme="majorBidi"/>
          <w:sz w:val="22"/>
          <w:szCs w:val="22"/>
          <w:lang w:val="es-ES_tradnl"/>
        </w:rPr>
        <w:br/>
      </w:r>
      <w:r w:rsidRPr="008B7A21">
        <w:rPr>
          <w:rFonts w:asciiTheme="majorBidi" w:hAnsiTheme="majorBidi" w:cstheme="majorBidi"/>
          <w:i/>
          <w:iCs/>
          <w:sz w:val="22"/>
          <w:szCs w:val="22"/>
          <w:lang w:val="es-ES_tradnl"/>
        </w:rPr>
        <w:t>E</w:t>
      </w:r>
      <w:r w:rsidRPr="008B7A21">
        <w:rPr>
          <w:rFonts w:asciiTheme="majorBidi" w:hAnsiTheme="majorBidi" w:cstheme="majorBidi"/>
          <w:i/>
          <w:iCs/>
          <w:sz w:val="22"/>
          <w:szCs w:val="22"/>
          <w:vertAlign w:val="subscript"/>
          <w:lang w:val="es-ES_tradnl"/>
        </w:rPr>
        <w:t>mu</w:t>
      </w:r>
      <w:r w:rsidRPr="008B7A21">
        <w:rPr>
          <w:rFonts w:asciiTheme="majorBidi" w:hAnsiTheme="majorBidi" w:cstheme="majorBidi"/>
          <w:sz w:val="22"/>
          <w:szCs w:val="22"/>
          <w:lang w:val="es-ES_tradnl"/>
        </w:rPr>
        <w:t xml:space="preserve"> = 54 dB(</w:t>
      </w:r>
      <w:r w:rsidRPr="008B7A21">
        <w:rPr>
          <w:rFonts w:asciiTheme="majorBidi" w:hAnsiTheme="majorBidi" w:cstheme="majorBidi"/>
          <w:sz w:val="22"/>
          <w:szCs w:val="22"/>
          <w:lang w:val="es-ES_tradnl"/>
        </w:rPr>
        <w:sym w:font="Symbol" w:char="F06D"/>
      </w:r>
      <w:r w:rsidRPr="008B7A21">
        <w:rPr>
          <w:rFonts w:asciiTheme="majorBidi" w:hAnsiTheme="majorBidi" w:cstheme="majorBidi"/>
          <w:sz w:val="22"/>
          <w:szCs w:val="22"/>
          <w:lang w:val="es-ES_tradnl"/>
        </w:rPr>
        <w:t xml:space="preserve">V/m), </w:t>
      </w:r>
      <w:r w:rsidRPr="008B7A21">
        <w:rPr>
          <w:rFonts w:asciiTheme="majorBidi" w:hAnsiTheme="majorBidi" w:cstheme="majorBidi"/>
          <w:i/>
          <w:iCs/>
          <w:sz w:val="22"/>
          <w:szCs w:val="22"/>
          <w:lang w:val="es-ES_tradnl"/>
        </w:rPr>
        <w:t>f</w:t>
      </w:r>
      <w:r w:rsidRPr="008B7A21">
        <w:rPr>
          <w:rFonts w:asciiTheme="majorBidi" w:hAnsiTheme="majorBidi" w:cstheme="majorBidi"/>
          <w:i/>
          <w:iCs/>
          <w:sz w:val="22"/>
          <w:szCs w:val="22"/>
          <w:vertAlign w:val="subscript"/>
          <w:lang w:val="es-ES_tradnl"/>
        </w:rPr>
        <w:t>c</w:t>
      </w:r>
      <w:r w:rsidRPr="008B7A21">
        <w:rPr>
          <w:rFonts w:asciiTheme="majorBidi" w:hAnsiTheme="majorBidi" w:cstheme="majorBidi"/>
          <w:sz w:val="22"/>
          <w:szCs w:val="22"/>
          <w:lang w:val="es-ES_tradnl"/>
        </w:rPr>
        <w:t xml:space="preserve"> = 550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709"/>
        <w:gridCol w:w="765"/>
        <w:gridCol w:w="765"/>
        <w:gridCol w:w="765"/>
        <w:gridCol w:w="765"/>
        <w:gridCol w:w="765"/>
        <w:gridCol w:w="765"/>
        <w:gridCol w:w="765"/>
        <w:gridCol w:w="765"/>
        <w:gridCol w:w="765"/>
        <w:gridCol w:w="879"/>
      </w:tblGrid>
      <w:tr w:rsidR="00F73D5B" w:rsidRPr="008B7A21" w14:paraId="05B8FAD8" w14:textId="77777777" w:rsidTr="00767A6A">
        <w:trPr>
          <w:jc w:val="center"/>
        </w:trPr>
        <w:tc>
          <w:tcPr>
            <w:tcW w:w="1247" w:type="dxa"/>
            <w:tcBorders>
              <w:tl2br w:val="single" w:sz="4" w:space="0" w:color="auto"/>
            </w:tcBorders>
            <w:vAlign w:val="center"/>
          </w:tcPr>
          <w:p w14:paraId="4DF57028" w14:textId="77777777" w:rsidR="00F73D5B" w:rsidRPr="008B7A21" w:rsidRDefault="00F73D5B" w:rsidP="00767A6A">
            <w:pPr>
              <w:pStyle w:val="Tablehead"/>
              <w:jc w:val="right"/>
              <w:rPr>
                <w:sz w:val="18"/>
                <w:szCs w:val="18"/>
                <w:lang w:val="es-ES_tradnl"/>
              </w:rPr>
            </w:pPr>
            <w:r w:rsidRPr="008B7A21">
              <w:rPr>
                <w:i/>
                <w:iCs/>
                <w:sz w:val="18"/>
                <w:szCs w:val="18"/>
                <w:lang w:val="es-ES_tradnl"/>
              </w:rPr>
              <w:br/>
              <w:t>h</w:t>
            </w:r>
            <w:r w:rsidRPr="008B7A21">
              <w:rPr>
                <w:i/>
                <w:iCs/>
                <w:sz w:val="18"/>
                <w:szCs w:val="18"/>
                <w:vertAlign w:val="subscript"/>
                <w:lang w:val="es-ES_tradnl"/>
              </w:rPr>
              <w:t>ef</w:t>
            </w:r>
            <w:r w:rsidRPr="008B7A21">
              <w:rPr>
                <w:sz w:val="18"/>
                <w:szCs w:val="18"/>
                <w:lang w:val="es-ES_tradnl"/>
              </w:rPr>
              <w:t xml:space="preserve"> (m)</w:t>
            </w:r>
          </w:p>
          <w:p w14:paraId="5BDC9CAD" w14:textId="77777777" w:rsidR="00F73D5B" w:rsidRPr="008B7A21" w:rsidRDefault="00F73D5B" w:rsidP="00767A6A">
            <w:pPr>
              <w:pStyle w:val="Tablehead"/>
              <w:spacing w:before="120" w:after="40"/>
              <w:ind w:left="-28"/>
              <w:jc w:val="left"/>
              <w:rPr>
                <w:sz w:val="18"/>
                <w:szCs w:val="18"/>
                <w:lang w:val="es-ES_tradnl"/>
              </w:rPr>
            </w:pPr>
            <w:r w:rsidRPr="008B7A21">
              <w:rPr>
                <w:i/>
                <w:iCs/>
                <w:sz w:val="18"/>
                <w:szCs w:val="18"/>
                <w:lang w:val="es-ES_tradnl"/>
              </w:rPr>
              <w:t>P</w:t>
            </w:r>
            <w:r w:rsidRPr="008B7A21">
              <w:rPr>
                <w:i/>
                <w:iCs/>
                <w:sz w:val="18"/>
                <w:szCs w:val="18"/>
                <w:vertAlign w:val="subscript"/>
                <w:lang w:val="es-ES_tradnl"/>
              </w:rPr>
              <w:t>ef</w:t>
            </w:r>
            <w:r w:rsidRPr="008B7A21">
              <w:rPr>
                <w:rFonts w:ascii="Tms Rmn" w:hAnsi="Tms Rmn"/>
                <w:sz w:val="18"/>
                <w:szCs w:val="18"/>
                <w:vertAlign w:val="subscript"/>
                <w:lang w:val="es-ES_tradnl"/>
              </w:rPr>
              <w:t xml:space="preserve">  </w:t>
            </w:r>
            <w:r w:rsidRPr="008B7A21">
              <w:rPr>
                <w:sz w:val="18"/>
                <w:szCs w:val="18"/>
                <w:lang w:val="es-ES_tradnl"/>
              </w:rPr>
              <w:t>(dBW)</w:t>
            </w:r>
          </w:p>
        </w:tc>
        <w:tc>
          <w:tcPr>
            <w:tcW w:w="709" w:type="dxa"/>
            <w:vAlign w:val="center"/>
          </w:tcPr>
          <w:p w14:paraId="39737323" w14:textId="77777777" w:rsidR="00F73D5B" w:rsidRPr="008B7A21" w:rsidRDefault="00F73D5B" w:rsidP="00767A6A">
            <w:pPr>
              <w:pStyle w:val="Tablehead"/>
              <w:rPr>
                <w:sz w:val="18"/>
                <w:szCs w:val="18"/>
                <w:lang w:val="es-ES_tradnl"/>
              </w:rPr>
            </w:pPr>
            <w:r w:rsidRPr="008B7A21">
              <w:rPr>
                <w:sz w:val="18"/>
                <w:szCs w:val="18"/>
                <w:lang w:val="es-ES_tradnl"/>
              </w:rPr>
              <w:t>30</w:t>
            </w:r>
          </w:p>
        </w:tc>
        <w:tc>
          <w:tcPr>
            <w:tcW w:w="765" w:type="dxa"/>
            <w:vAlign w:val="center"/>
          </w:tcPr>
          <w:p w14:paraId="1D14DAD6" w14:textId="77777777" w:rsidR="00F73D5B" w:rsidRPr="008B7A21" w:rsidRDefault="00F73D5B" w:rsidP="00767A6A">
            <w:pPr>
              <w:pStyle w:val="Tablehead"/>
              <w:rPr>
                <w:sz w:val="18"/>
                <w:szCs w:val="18"/>
                <w:lang w:val="es-ES_tradnl"/>
              </w:rPr>
            </w:pPr>
            <w:r w:rsidRPr="008B7A21">
              <w:rPr>
                <w:sz w:val="18"/>
                <w:szCs w:val="18"/>
                <w:lang w:val="es-ES_tradnl"/>
              </w:rPr>
              <w:t>50</w:t>
            </w:r>
          </w:p>
        </w:tc>
        <w:tc>
          <w:tcPr>
            <w:tcW w:w="765" w:type="dxa"/>
            <w:vAlign w:val="center"/>
          </w:tcPr>
          <w:p w14:paraId="441C0468" w14:textId="77777777" w:rsidR="00F73D5B" w:rsidRPr="008B7A21" w:rsidRDefault="00F73D5B" w:rsidP="00767A6A">
            <w:pPr>
              <w:pStyle w:val="Tablehead"/>
              <w:rPr>
                <w:sz w:val="18"/>
                <w:szCs w:val="18"/>
                <w:lang w:val="es-ES_tradnl"/>
              </w:rPr>
            </w:pPr>
            <w:r w:rsidRPr="008B7A21">
              <w:rPr>
                <w:sz w:val="18"/>
                <w:szCs w:val="18"/>
                <w:lang w:val="es-ES_tradnl"/>
              </w:rPr>
              <w:t>75</w:t>
            </w:r>
          </w:p>
        </w:tc>
        <w:tc>
          <w:tcPr>
            <w:tcW w:w="765" w:type="dxa"/>
            <w:vAlign w:val="center"/>
          </w:tcPr>
          <w:p w14:paraId="01E1DA42" w14:textId="77777777" w:rsidR="00F73D5B" w:rsidRPr="008B7A21" w:rsidRDefault="00F73D5B" w:rsidP="00767A6A">
            <w:pPr>
              <w:pStyle w:val="Tablehead"/>
              <w:rPr>
                <w:sz w:val="18"/>
                <w:szCs w:val="18"/>
                <w:lang w:val="es-ES_tradnl"/>
              </w:rPr>
            </w:pPr>
            <w:r w:rsidRPr="008B7A21">
              <w:rPr>
                <w:sz w:val="18"/>
                <w:szCs w:val="18"/>
                <w:lang w:val="es-ES_tradnl"/>
              </w:rPr>
              <w:t>100</w:t>
            </w:r>
          </w:p>
        </w:tc>
        <w:tc>
          <w:tcPr>
            <w:tcW w:w="765" w:type="dxa"/>
            <w:vAlign w:val="center"/>
          </w:tcPr>
          <w:p w14:paraId="507ECC99" w14:textId="77777777" w:rsidR="00F73D5B" w:rsidRPr="008B7A21" w:rsidRDefault="00F73D5B" w:rsidP="00767A6A">
            <w:pPr>
              <w:pStyle w:val="Tablehead"/>
              <w:rPr>
                <w:sz w:val="18"/>
                <w:szCs w:val="18"/>
                <w:lang w:val="es-ES_tradnl"/>
              </w:rPr>
            </w:pPr>
            <w:r w:rsidRPr="008B7A21">
              <w:rPr>
                <w:sz w:val="18"/>
                <w:szCs w:val="18"/>
                <w:lang w:val="es-ES_tradnl"/>
              </w:rPr>
              <w:t>150</w:t>
            </w:r>
          </w:p>
        </w:tc>
        <w:tc>
          <w:tcPr>
            <w:tcW w:w="765" w:type="dxa"/>
            <w:vAlign w:val="center"/>
          </w:tcPr>
          <w:p w14:paraId="2B7BF362" w14:textId="77777777" w:rsidR="00F73D5B" w:rsidRPr="008B7A21" w:rsidRDefault="00F73D5B" w:rsidP="00767A6A">
            <w:pPr>
              <w:pStyle w:val="Tablehead"/>
              <w:rPr>
                <w:sz w:val="18"/>
                <w:szCs w:val="18"/>
                <w:lang w:val="es-ES_tradnl"/>
              </w:rPr>
            </w:pPr>
            <w:r w:rsidRPr="008B7A21">
              <w:rPr>
                <w:sz w:val="18"/>
                <w:szCs w:val="18"/>
                <w:lang w:val="es-ES_tradnl"/>
              </w:rPr>
              <w:t>200</w:t>
            </w:r>
          </w:p>
        </w:tc>
        <w:tc>
          <w:tcPr>
            <w:tcW w:w="765" w:type="dxa"/>
            <w:vAlign w:val="center"/>
          </w:tcPr>
          <w:p w14:paraId="4D34D35D" w14:textId="77777777" w:rsidR="00F73D5B" w:rsidRPr="008B7A21" w:rsidRDefault="00F73D5B" w:rsidP="00767A6A">
            <w:pPr>
              <w:pStyle w:val="Tablehead"/>
              <w:rPr>
                <w:sz w:val="18"/>
                <w:szCs w:val="18"/>
                <w:lang w:val="es-ES_tradnl"/>
              </w:rPr>
            </w:pPr>
            <w:r w:rsidRPr="008B7A21">
              <w:rPr>
                <w:sz w:val="18"/>
                <w:szCs w:val="18"/>
                <w:lang w:val="es-ES_tradnl"/>
              </w:rPr>
              <w:t>250</w:t>
            </w:r>
          </w:p>
        </w:tc>
        <w:tc>
          <w:tcPr>
            <w:tcW w:w="765" w:type="dxa"/>
            <w:vAlign w:val="center"/>
          </w:tcPr>
          <w:p w14:paraId="7E9D6BAD" w14:textId="77777777" w:rsidR="00F73D5B" w:rsidRPr="008B7A21" w:rsidRDefault="00F73D5B" w:rsidP="00767A6A">
            <w:pPr>
              <w:pStyle w:val="Tablehead"/>
              <w:rPr>
                <w:sz w:val="18"/>
                <w:szCs w:val="18"/>
                <w:lang w:val="es-ES_tradnl"/>
              </w:rPr>
            </w:pPr>
            <w:r w:rsidRPr="008B7A21">
              <w:rPr>
                <w:sz w:val="18"/>
                <w:szCs w:val="18"/>
                <w:lang w:val="es-ES_tradnl"/>
              </w:rPr>
              <w:t>300</w:t>
            </w:r>
          </w:p>
        </w:tc>
        <w:tc>
          <w:tcPr>
            <w:tcW w:w="765" w:type="dxa"/>
            <w:vAlign w:val="center"/>
          </w:tcPr>
          <w:p w14:paraId="7838C454" w14:textId="77777777" w:rsidR="00F73D5B" w:rsidRPr="008B7A21" w:rsidRDefault="00F73D5B" w:rsidP="00767A6A">
            <w:pPr>
              <w:pStyle w:val="Tablehead"/>
              <w:rPr>
                <w:sz w:val="18"/>
                <w:szCs w:val="18"/>
                <w:lang w:val="es-ES_tradnl"/>
              </w:rPr>
            </w:pPr>
            <w:r w:rsidRPr="008B7A21">
              <w:rPr>
                <w:sz w:val="18"/>
                <w:szCs w:val="18"/>
                <w:lang w:val="es-ES_tradnl"/>
              </w:rPr>
              <w:t>350</w:t>
            </w:r>
          </w:p>
        </w:tc>
        <w:tc>
          <w:tcPr>
            <w:tcW w:w="765" w:type="dxa"/>
            <w:vAlign w:val="center"/>
          </w:tcPr>
          <w:p w14:paraId="34D0CDB7" w14:textId="77777777" w:rsidR="00F73D5B" w:rsidRPr="008B7A21" w:rsidRDefault="00F73D5B" w:rsidP="00767A6A">
            <w:pPr>
              <w:pStyle w:val="Tablehead"/>
              <w:rPr>
                <w:sz w:val="18"/>
                <w:szCs w:val="18"/>
                <w:lang w:val="es-ES_tradnl"/>
              </w:rPr>
            </w:pPr>
            <w:r w:rsidRPr="008B7A21">
              <w:rPr>
                <w:sz w:val="18"/>
                <w:szCs w:val="18"/>
                <w:lang w:val="es-ES_tradnl"/>
              </w:rPr>
              <w:t>400</w:t>
            </w:r>
          </w:p>
        </w:tc>
        <w:tc>
          <w:tcPr>
            <w:tcW w:w="879" w:type="dxa"/>
            <w:vAlign w:val="center"/>
          </w:tcPr>
          <w:p w14:paraId="4970C16B" w14:textId="77777777" w:rsidR="00F73D5B" w:rsidRPr="008B7A21" w:rsidRDefault="00F73D5B" w:rsidP="00767A6A">
            <w:pPr>
              <w:pStyle w:val="Tablehead"/>
              <w:rPr>
                <w:sz w:val="18"/>
                <w:szCs w:val="18"/>
                <w:lang w:val="es-ES_tradnl"/>
              </w:rPr>
            </w:pPr>
            <w:r w:rsidRPr="008B7A21">
              <w:rPr>
                <w:sz w:val="18"/>
                <w:szCs w:val="18"/>
                <w:lang w:val="es-ES_tradnl"/>
              </w:rPr>
              <w:t>500</w:t>
            </w:r>
          </w:p>
        </w:tc>
      </w:tr>
      <w:tr w:rsidR="00F73D5B" w:rsidRPr="008B7A21" w14:paraId="6E48B654" w14:textId="77777777" w:rsidTr="00767A6A">
        <w:trPr>
          <w:jc w:val="center"/>
        </w:trPr>
        <w:tc>
          <w:tcPr>
            <w:tcW w:w="1247" w:type="dxa"/>
          </w:tcPr>
          <w:p w14:paraId="247BE332" w14:textId="77777777" w:rsidR="00F73D5B" w:rsidRPr="008B7A21" w:rsidRDefault="00F73D5B" w:rsidP="00767A6A">
            <w:pPr>
              <w:pStyle w:val="Tabletext"/>
              <w:jc w:val="center"/>
              <w:rPr>
                <w:sz w:val="18"/>
                <w:szCs w:val="18"/>
                <w:lang w:val="es-ES_tradnl"/>
              </w:rPr>
            </w:pPr>
            <w:r w:rsidRPr="008B7A21">
              <w:rPr>
                <w:sz w:val="18"/>
                <w:szCs w:val="18"/>
                <w:lang w:val="es-ES_tradnl"/>
              </w:rPr>
              <w:t>15,0</w:t>
            </w:r>
          </w:p>
        </w:tc>
        <w:tc>
          <w:tcPr>
            <w:tcW w:w="709" w:type="dxa"/>
          </w:tcPr>
          <w:p w14:paraId="3FC7CDE1" w14:textId="77777777" w:rsidR="00F73D5B" w:rsidRPr="008B7A21" w:rsidRDefault="00F73D5B" w:rsidP="00767A6A">
            <w:pPr>
              <w:pStyle w:val="Tabletext"/>
              <w:jc w:val="center"/>
              <w:rPr>
                <w:sz w:val="18"/>
                <w:szCs w:val="18"/>
                <w:lang w:val="es-ES_tradnl"/>
              </w:rPr>
            </w:pPr>
            <w:r w:rsidRPr="008B7A21">
              <w:rPr>
                <w:sz w:val="18"/>
                <w:szCs w:val="18"/>
                <w:lang w:val="es-ES_tradnl"/>
              </w:rPr>
              <w:t>6</w:t>
            </w:r>
          </w:p>
        </w:tc>
        <w:tc>
          <w:tcPr>
            <w:tcW w:w="765" w:type="dxa"/>
          </w:tcPr>
          <w:p w14:paraId="6F320CF9" w14:textId="77777777" w:rsidR="00F73D5B" w:rsidRPr="008B7A21" w:rsidRDefault="00F73D5B" w:rsidP="00767A6A">
            <w:pPr>
              <w:pStyle w:val="Tabletext"/>
              <w:jc w:val="center"/>
              <w:rPr>
                <w:sz w:val="18"/>
                <w:szCs w:val="18"/>
                <w:lang w:val="es-ES_tradnl"/>
              </w:rPr>
            </w:pPr>
            <w:r w:rsidRPr="008B7A21">
              <w:rPr>
                <w:sz w:val="18"/>
                <w:szCs w:val="18"/>
                <w:lang w:val="es-ES_tradnl"/>
              </w:rPr>
              <w:t>8</w:t>
            </w:r>
          </w:p>
        </w:tc>
        <w:tc>
          <w:tcPr>
            <w:tcW w:w="765" w:type="dxa"/>
          </w:tcPr>
          <w:p w14:paraId="6E289D4C" w14:textId="77777777" w:rsidR="00F73D5B" w:rsidRPr="008B7A21" w:rsidRDefault="00F73D5B" w:rsidP="00767A6A">
            <w:pPr>
              <w:pStyle w:val="Tabletext"/>
              <w:jc w:val="center"/>
              <w:rPr>
                <w:sz w:val="18"/>
                <w:szCs w:val="18"/>
                <w:lang w:val="es-ES_tradnl"/>
              </w:rPr>
            </w:pPr>
            <w:r w:rsidRPr="008B7A21">
              <w:rPr>
                <w:sz w:val="18"/>
                <w:szCs w:val="18"/>
                <w:lang w:val="es-ES_tradnl"/>
              </w:rPr>
              <w:t>9</w:t>
            </w:r>
          </w:p>
        </w:tc>
        <w:tc>
          <w:tcPr>
            <w:tcW w:w="765" w:type="dxa"/>
          </w:tcPr>
          <w:p w14:paraId="27275BBB" w14:textId="77777777" w:rsidR="00F73D5B" w:rsidRPr="008B7A21" w:rsidRDefault="00F73D5B" w:rsidP="00767A6A">
            <w:pPr>
              <w:pStyle w:val="Tabletext"/>
              <w:jc w:val="center"/>
              <w:rPr>
                <w:sz w:val="18"/>
                <w:szCs w:val="18"/>
                <w:lang w:val="es-ES_tradnl"/>
              </w:rPr>
            </w:pPr>
            <w:r w:rsidRPr="008B7A21">
              <w:rPr>
                <w:sz w:val="18"/>
                <w:szCs w:val="18"/>
                <w:lang w:val="es-ES_tradnl"/>
              </w:rPr>
              <w:t>11</w:t>
            </w:r>
          </w:p>
        </w:tc>
        <w:tc>
          <w:tcPr>
            <w:tcW w:w="765" w:type="dxa"/>
          </w:tcPr>
          <w:p w14:paraId="2BF6D6CC" w14:textId="77777777" w:rsidR="00F73D5B" w:rsidRPr="008B7A21" w:rsidRDefault="00F73D5B" w:rsidP="00767A6A">
            <w:pPr>
              <w:pStyle w:val="Tabletext"/>
              <w:jc w:val="center"/>
              <w:rPr>
                <w:sz w:val="18"/>
                <w:szCs w:val="18"/>
                <w:lang w:val="es-ES_tradnl"/>
              </w:rPr>
            </w:pPr>
            <w:r w:rsidRPr="008B7A21">
              <w:rPr>
                <w:sz w:val="18"/>
                <w:szCs w:val="18"/>
                <w:lang w:val="es-ES_tradnl"/>
              </w:rPr>
              <w:t>14</w:t>
            </w:r>
          </w:p>
        </w:tc>
        <w:tc>
          <w:tcPr>
            <w:tcW w:w="765" w:type="dxa"/>
          </w:tcPr>
          <w:p w14:paraId="379B1CFD" w14:textId="77777777" w:rsidR="00F73D5B" w:rsidRPr="008B7A21" w:rsidRDefault="00F73D5B" w:rsidP="00767A6A">
            <w:pPr>
              <w:pStyle w:val="Tabletext"/>
              <w:jc w:val="center"/>
              <w:rPr>
                <w:sz w:val="18"/>
                <w:szCs w:val="18"/>
                <w:lang w:val="es-ES_tradnl"/>
              </w:rPr>
            </w:pPr>
            <w:r w:rsidRPr="008B7A21">
              <w:rPr>
                <w:sz w:val="18"/>
                <w:szCs w:val="18"/>
                <w:lang w:val="es-ES_tradnl"/>
              </w:rPr>
              <w:t>16</w:t>
            </w:r>
          </w:p>
        </w:tc>
        <w:tc>
          <w:tcPr>
            <w:tcW w:w="765" w:type="dxa"/>
          </w:tcPr>
          <w:p w14:paraId="54B3D752" w14:textId="77777777" w:rsidR="00F73D5B" w:rsidRPr="008B7A21" w:rsidRDefault="00F73D5B" w:rsidP="00767A6A">
            <w:pPr>
              <w:pStyle w:val="Tabletext"/>
              <w:jc w:val="center"/>
              <w:rPr>
                <w:sz w:val="18"/>
                <w:szCs w:val="18"/>
                <w:lang w:val="es-ES_tradnl"/>
              </w:rPr>
            </w:pPr>
            <w:r w:rsidRPr="008B7A21">
              <w:rPr>
                <w:sz w:val="18"/>
                <w:szCs w:val="18"/>
                <w:lang w:val="es-ES_tradnl"/>
              </w:rPr>
              <w:t>18</w:t>
            </w:r>
          </w:p>
        </w:tc>
        <w:tc>
          <w:tcPr>
            <w:tcW w:w="765" w:type="dxa"/>
          </w:tcPr>
          <w:p w14:paraId="12585496" w14:textId="77777777" w:rsidR="00F73D5B" w:rsidRPr="008B7A21" w:rsidRDefault="00F73D5B" w:rsidP="00767A6A">
            <w:pPr>
              <w:pStyle w:val="Tabletext"/>
              <w:jc w:val="center"/>
              <w:rPr>
                <w:sz w:val="18"/>
                <w:szCs w:val="18"/>
                <w:lang w:val="es-ES_tradnl"/>
              </w:rPr>
            </w:pPr>
            <w:r w:rsidRPr="008B7A21">
              <w:rPr>
                <w:sz w:val="18"/>
                <w:szCs w:val="18"/>
                <w:lang w:val="es-ES_tradnl"/>
              </w:rPr>
              <w:t>20</w:t>
            </w:r>
          </w:p>
        </w:tc>
        <w:tc>
          <w:tcPr>
            <w:tcW w:w="765" w:type="dxa"/>
          </w:tcPr>
          <w:p w14:paraId="61B1B244" w14:textId="77777777" w:rsidR="00F73D5B" w:rsidRPr="008B7A21" w:rsidRDefault="00F73D5B" w:rsidP="00767A6A">
            <w:pPr>
              <w:pStyle w:val="Tabletext"/>
              <w:jc w:val="center"/>
              <w:rPr>
                <w:sz w:val="18"/>
                <w:szCs w:val="18"/>
                <w:lang w:val="es-ES_tradnl"/>
              </w:rPr>
            </w:pPr>
            <w:r w:rsidRPr="008B7A21">
              <w:rPr>
                <w:sz w:val="18"/>
                <w:szCs w:val="18"/>
                <w:lang w:val="es-ES_tradnl"/>
              </w:rPr>
              <w:t>22</w:t>
            </w:r>
          </w:p>
        </w:tc>
        <w:tc>
          <w:tcPr>
            <w:tcW w:w="765" w:type="dxa"/>
          </w:tcPr>
          <w:p w14:paraId="7910C83F" w14:textId="77777777" w:rsidR="00F73D5B" w:rsidRPr="008B7A21" w:rsidRDefault="00F73D5B" w:rsidP="00767A6A">
            <w:pPr>
              <w:pStyle w:val="Tabletext"/>
              <w:jc w:val="center"/>
              <w:rPr>
                <w:sz w:val="18"/>
                <w:szCs w:val="18"/>
                <w:lang w:val="es-ES_tradnl"/>
              </w:rPr>
            </w:pPr>
            <w:r w:rsidRPr="008B7A21">
              <w:rPr>
                <w:sz w:val="18"/>
                <w:szCs w:val="18"/>
                <w:lang w:val="es-ES_tradnl"/>
              </w:rPr>
              <w:t>24</w:t>
            </w:r>
          </w:p>
        </w:tc>
        <w:tc>
          <w:tcPr>
            <w:tcW w:w="879" w:type="dxa"/>
          </w:tcPr>
          <w:p w14:paraId="13DF0829" w14:textId="77777777" w:rsidR="00F73D5B" w:rsidRPr="008B7A21" w:rsidRDefault="00F73D5B" w:rsidP="00767A6A">
            <w:pPr>
              <w:pStyle w:val="Tabletext"/>
              <w:jc w:val="center"/>
              <w:rPr>
                <w:sz w:val="18"/>
                <w:szCs w:val="18"/>
                <w:lang w:val="es-ES_tradnl"/>
              </w:rPr>
            </w:pPr>
            <w:r w:rsidRPr="008B7A21">
              <w:rPr>
                <w:sz w:val="18"/>
                <w:szCs w:val="18"/>
                <w:lang w:val="es-ES_tradnl"/>
              </w:rPr>
              <w:t>27</w:t>
            </w:r>
          </w:p>
        </w:tc>
      </w:tr>
      <w:tr w:rsidR="00F73D5B" w:rsidRPr="008B7A21" w14:paraId="03AE6D2F" w14:textId="77777777" w:rsidTr="00767A6A">
        <w:trPr>
          <w:jc w:val="center"/>
        </w:trPr>
        <w:tc>
          <w:tcPr>
            <w:tcW w:w="1247" w:type="dxa"/>
          </w:tcPr>
          <w:p w14:paraId="76879F83" w14:textId="77777777" w:rsidR="00F73D5B" w:rsidRPr="008B7A21" w:rsidRDefault="00F73D5B" w:rsidP="00767A6A">
            <w:pPr>
              <w:pStyle w:val="Tabletext"/>
              <w:jc w:val="center"/>
              <w:rPr>
                <w:sz w:val="18"/>
                <w:szCs w:val="18"/>
                <w:lang w:val="es-ES_tradnl"/>
              </w:rPr>
            </w:pPr>
            <w:r w:rsidRPr="008B7A21">
              <w:rPr>
                <w:sz w:val="18"/>
                <w:szCs w:val="18"/>
                <w:lang w:val="es-ES_tradnl"/>
              </w:rPr>
              <w:t>20,0</w:t>
            </w:r>
          </w:p>
        </w:tc>
        <w:tc>
          <w:tcPr>
            <w:tcW w:w="709" w:type="dxa"/>
          </w:tcPr>
          <w:p w14:paraId="4BFF4D1D" w14:textId="77777777" w:rsidR="00F73D5B" w:rsidRPr="008B7A21" w:rsidRDefault="00F73D5B" w:rsidP="00767A6A">
            <w:pPr>
              <w:pStyle w:val="Tabletext"/>
              <w:jc w:val="center"/>
              <w:rPr>
                <w:sz w:val="18"/>
                <w:szCs w:val="18"/>
                <w:lang w:val="es-ES_tradnl"/>
              </w:rPr>
            </w:pPr>
            <w:r w:rsidRPr="008B7A21">
              <w:rPr>
                <w:sz w:val="18"/>
                <w:szCs w:val="18"/>
                <w:lang w:val="es-ES_tradnl"/>
              </w:rPr>
              <w:t>9</w:t>
            </w:r>
          </w:p>
        </w:tc>
        <w:tc>
          <w:tcPr>
            <w:tcW w:w="765" w:type="dxa"/>
          </w:tcPr>
          <w:p w14:paraId="1C3E3A5D" w14:textId="77777777" w:rsidR="00F73D5B" w:rsidRPr="008B7A21" w:rsidRDefault="00F73D5B" w:rsidP="00767A6A">
            <w:pPr>
              <w:pStyle w:val="Tabletext"/>
              <w:jc w:val="center"/>
              <w:rPr>
                <w:sz w:val="18"/>
                <w:szCs w:val="18"/>
                <w:lang w:val="es-ES_tradnl"/>
              </w:rPr>
            </w:pPr>
            <w:r w:rsidRPr="008B7A21">
              <w:rPr>
                <w:sz w:val="18"/>
                <w:szCs w:val="18"/>
                <w:lang w:val="es-ES_tradnl"/>
              </w:rPr>
              <w:t>11</w:t>
            </w:r>
          </w:p>
        </w:tc>
        <w:tc>
          <w:tcPr>
            <w:tcW w:w="765" w:type="dxa"/>
          </w:tcPr>
          <w:p w14:paraId="1A51B9AF" w14:textId="77777777" w:rsidR="00F73D5B" w:rsidRPr="008B7A21" w:rsidRDefault="00F73D5B" w:rsidP="00767A6A">
            <w:pPr>
              <w:pStyle w:val="Tabletext"/>
              <w:jc w:val="center"/>
              <w:rPr>
                <w:sz w:val="18"/>
                <w:szCs w:val="18"/>
                <w:lang w:val="es-ES_tradnl"/>
              </w:rPr>
            </w:pPr>
            <w:r w:rsidRPr="008B7A21">
              <w:rPr>
                <w:sz w:val="18"/>
                <w:szCs w:val="18"/>
                <w:lang w:val="es-ES_tradnl"/>
              </w:rPr>
              <w:t>13</w:t>
            </w:r>
          </w:p>
        </w:tc>
        <w:tc>
          <w:tcPr>
            <w:tcW w:w="765" w:type="dxa"/>
          </w:tcPr>
          <w:p w14:paraId="4C4D3562" w14:textId="77777777" w:rsidR="00F73D5B" w:rsidRPr="008B7A21" w:rsidRDefault="00F73D5B" w:rsidP="00767A6A">
            <w:pPr>
              <w:pStyle w:val="Tabletext"/>
              <w:jc w:val="center"/>
              <w:rPr>
                <w:sz w:val="18"/>
                <w:szCs w:val="18"/>
                <w:lang w:val="es-ES_tradnl"/>
              </w:rPr>
            </w:pPr>
            <w:r w:rsidRPr="008B7A21">
              <w:rPr>
                <w:sz w:val="18"/>
                <w:szCs w:val="18"/>
                <w:lang w:val="es-ES_tradnl"/>
              </w:rPr>
              <w:t>15</w:t>
            </w:r>
          </w:p>
        </w:tc>
        <w:tc>
          <w:tcPr>
            <w:tcW w:w="765" w:type="dxa"/>
          </w:tcPr>
          <w:p w14:paraId="4905BD07" w14:textId="77777777" w:rsidR="00F73D5B" w:rsidRPr="008B7A21" w:rsidRDefault="00F73D5B" w:rsidP="00767A6A">
            <w:pPr>
              <w:pStyle w:val="Tabletext"/>
              <w:jc w:val="center"/>
              <w:rPr>
                <w:sz w:val="18"/>
                <w:szCs w:val="18"/>
                <w:lang w:val="es-ES_tradnl"/>
              </w:rPr>
            </w:pPr>
            <w:r w:rsidRPr="008B7A21">
              <w:rPr>
                <w:sz w:val="18"/>
                <w:szCs w:val="18"/>
                <w:lang w:val="es-ES_tradnl"/>
              </w:rPr>
              <w:t>18</w:t>
            </w:r>
          </w:p>
        </w:tc>
        <w:tc>
          <w:tcPr>
            <w:tcW w:w="765" w:type="dxa"/>
          </w:tcPr>
          <w:p w14:paraId="7C3199DE" w14:textId="77777777" w:rsidR="00F73D5B" w:rsidRPr="008B7A21" w:rsidRDefault="00F73D5B" w:rsidP="00767A6A">
            <w:pPr>
              <w:pStyle w:val="Tabletext"/>
              <w:jc w:val="center"/>
              <w:rPr>
                <w:sz w:val="18"/>
                <w:szCs w:val="18"/>
                <w:lang w:val="es-ES_tradnl"/>
              </w:rPr>
            </w:pPr>
            <w:r w:rsidRPr="008B7A21">
              <w:rPr>
                <w:sz w:val="18"/>
                <w:szCs w:val="18"/>
                <w:lang w:val="es-ES_tradnl"/>
              </w:rPr>
              <w:t>21</w:t>
            </w:r>
          </w:p>
        </w:tc>
        <w:tc>
          <w:tcPr>
            <w:tcW w:w="765" w:type="dxa"/>
          </w:tcPr>
          <w:p w14:paraId="15E8E22C" w14:textId="77777777" w:rsidR="00F73D5B" w:rsidRPr="008B7A21" w:rsidRDefault="00F73D5B" w:rsidP="00767A6A">
            <w:pPr>
              <w:pStyle w:val="Tabletext"/>
              <w:jc w:val="center"/>
              <w:rPr>
                <w:sz w:val="18"/>
                <w:szCs w:val="18"/>
                <w:lang w:val="es-ES_tradnl"/>
              </w:rPr>
            </w:pPr>
            <w:r w:rsidRPr="008B7A21">
              <w:rPr>
                <w:sz w:val="18"/>
                <w:szCs w:val="18"/>
                <w:lang w:val="es-ES_tradnl"/>
              </w:rPr>
              <w:t>24</w:t>
            </w:r>
          </w:p>
        </w:tc>
        <w:tc>
          <w:tcPr>
            <w:tcW w:w="765" w:type="dxa"/>
          </w:tcPr>
          <w:p w14:paraId="223963AA" w14:textId="77777777" w:rsidR="00F73D5B" w:rsidRPr="008B7A21" w:rsidRDefault="00F73D5B" w:rsidP="00767A6A">
            <w:pPr>
              <w:pStyle w:val="Tabletext"/>
              <w:jc w:val="center"/>
              <w:rPr>
                <w:sz w:val="18"/>
                <w:szCs w:val="18"/>
                <w:lang w:val="es-ES_tradnl"/>
              </w:rPr>
            </w:pPr>
            <w:r w:rsidRPr="008B7A21">
              <w:rPr>
                <w:sz w:val="18"/>
                <w:szCs w:val="18"/>
                <w:lang w:val="es-ES_tradnl"/>
              </w:rPr>
              <w:t>26</w:t>
            </w:r>
          </w:p>
        </w:tc>
        <w:tc>
          <w:tcPr>
            <w:tcW w:w="765" w:type="dxa"/>
          </w:tcPr>
          <w:p w14:paraId="0EB134A5" w14:textId="77777777" w:rsidR="00F73D5B" w:rsidRPr="008B7A21" w:rsidRDefault="00F73D5B" w:rsidP="00767A6A">
            <w:pPr>
              <w:pStyle w:val="Tabletext"/>
              <w:jc w:val="center"/>
              <w:rPr>
                <w:sz w:val="18"/>
                <w:szCs w:val="18"/>
                <w:lang w:val="es-ES_tradnl"/>
              </w:rPr>
            </w:pPr>
            <w:r w:rsidRPr="008B7A21">
              <w:rPr>
                <w:sz w:val="18"/>
                <w:szCs w:val="18"/>
                <w:lang w:val="es-ES_tradnl"/>
              </w:rPr>
              <w:t>29</w:t>
            </w:r>
          </w:p>
        </w:tc>
        <w:tc>
          <w:tcPr>
            <w:tcW w:w="765" w:type="dxa"/>
          </w:tcPr>
          <w:p w14:paraId="3F3D6726" w14:textId="77777777" w:rsidR="00F73D5B" w:rsidRPr="008B7A21" w:rsidRDefault="00F73D5B" w:rsidP="00767A6A">
            <w:pPr>
              <w:pStyle w:val="Tabletext"/>
              <w:jc w:val="center"/>
              <w:rPr>
                <w:sz w:val="18"/>
                <w:szCs w:val="18"/>
                <w:lang w:val="es-ES_tradnl"/>
              </w:rPr>
            </w:pPr>
            <w:r w:rsidRPr="008B7A21">
              <w:rPr>
                <w:sz w:val="18"/>
                <w:szCs w:val="18"/>
                <w:lang w:val="es-ES_tradnl"/>
              </w:rPr>
              <w:t>31</w:t>
            </w:r>
          </w:p>
        </w:tc>
        <w:tc>
          <w:tcPr>
            <w:tcW w:w="879" w:type="dxa"/>
          </w:tcPr>
          <w:p w14:paraId="31AAE20A" w14:textId="77777777" w:rsidR="00F73D5B" w:rsidRPr="008B7A21" w:rsidRDefault="00F73D5B" w:rsidP="00767A6A">
            <w:pPr>
              <w:pStyle w:val="Tabletext"/>
              <w:jc w:val="center"/>
              <w:rPr>
                <w:sz w:val="18"/>
                <w:szCs w:val="18"/>
                <w:lang w:val="es-ES_tradnl"/>
              </w:rPr>
            </w:pPr>
            <w:r w:rsidRPr="008B7A21">
              <w:rPr>
                <w:sz w:val="18"/>
                <w:szCs w:val="18"/>
                <w:lang w:val="es-ES_tradnl"/>
              </w:rPr>
              <w:t>35</w:t>
            </w:r>
          </w:p>
        </w:tc>
      </w:tr>
      <w:tr w:rsidR="00F73D5B" w:rsidRPr="008B7A21" w14:paraId="4FF66A9D" w14:textId="77777777" w:rsidTr="00767A6A">
        <w:trPr>
          <w:jc w:val="center"/>
        </w:trPr>
        <w:tc>
          <w:tcPr>
            <w:tcW w:w="1247" w:type="dxa"/>
          </w:tcPr>
          <w:p w14:paraId="559F457E" w14:textId="77777777" w:rsidR="00F73D5B" w:rsidRPr="008B7A21" w:rsidRDefault="00F73D5B" w:rsidP="00767A6A">
            <w:pPr>
              <w:pStyle w:val="Tabletext"/>
              <w:jc w:val="center"/>
              <w:rPr>
                <w:sz w:val="18"/>
                <w:szCs w:val="18"/>
                <w:lang w:val="es-ES_tradnl"/>
              </w:rPr>
            </w:pPr>
            <w:r w:rsidRPr="008B7A21">
              <w:rPr>
                <w:sz w:val="18"/>
                <w:szCs w:val="18"/>
                <w:lang w:val="es-ES_tradnl"/>
              </w:rPr>
              <w:t>25,0</w:t>
            </w:r>
          </w:p>
        </w:tc>
        <w:tc>
          <w:tcPr>
            <w:tcW w:w="709" w:type="dxa"/>
          </w:tcPr>
          <w:p w14:paraId="5A39CD10" w14:textId="77777777" w:rsidR="00F73D5B" w:rsidRPr="008B7A21" w:rsidRDefault="00F73D5B" w:rsidP="00767A6A">
            <w:pPr>
              <w:pStyle w:val="Tabletext"/>
              <w:jc w:val="center"/>
              <w:rPr>
                <w:sz w:val="18"/>
                <w:szCs w:val="18"/>
                <w:lang w:val="es-ES_tradnl"/>
              </w:rPr>
            </w:pPr>
            <w:r w:rsidRPr="008B7A21">
              <w:rPr>
                <w:sz w:val="18"/>
                <w:szCs w:val="18"/>
                <w:lang w:val="es-ES_tradnl"/>
              </w:rPr>
              <w:t>11</w:t>
            </w:r>
          </w:p>
        </w:tc>
        <w:tc>
          <w:tcPr>
            <w:tcW w:w="765" w:type="dxa"/>
          </w:tcPr>
          <w:p w14:paraId="767CB3EE" w14:textId="77777777" w:rsidR="00F73D5B" w:rsidRPr="008B7A21" w:rsidRDefault="00F73D5B" w:rsidP="00767A6A">
            <w:pPr>
              <w:pStyle w:val="Tabletext"/>
              <w:jc w:val="center"/>
              <w:rPr>
                <w:sz w:val="18"/>
                <w:szCs w:val="18"/>
                <w:lang w:val="es-ES_tradnl"/>
              </w:rPr>
            </w:pPr>
            <w:r w:rsidRPr="008B7A21">
              <w:rPr>
                <w:sz w:val="18"/>
                <w:szCs w:val="18"/>
                <w:lang w:val="es-ES_tradnl"/>
              </w:rPr>
              <w:t>14</w:t>
            </w:r>
          </w:p>
        </w:tc>
        <w:tc>
          <w:tcPr>
            <w:tcW w:w="765" w:type="dxa"/>
          </w:tcPr>
          <w:p w14:paraId="290F987D" w14:textId="77777777" w:rsidR="00F73D5B" w:rsidRPr="008B7A21" w:rsidRDefault="00F73D5B" w:rsidP="00767A6A">
            <w:pPr>
              <w:pStyle w:val="Tabletext"/>
              <w:jc w:val="center"/>
              <w:rPr>
                <w:sz w:val="18"/>
                <w:szCs w:val="18"/>
                <w:lang w:val="es-ES_tradnl"/>
              </w:rPr>
            </w:pPr>
            <w:r w:rsidRPr="008B7A21">
              <w:rPr>
                <w:sz w:val="18"/>
                <w:szCs w:val="18"/>
                <w:lang w:val="es-ES_tradnl"/>
              </w:rPr>
              <w:t>17</w:t>
            </w:r>
          </w:p>
        </w:tc>
        <w:tc>
          <w:tcPr>
            <w:tcW w:w="765" w:type="dxa"/>
          </w:tcPr>
          <w:p w14:paraId="5659C3F5" w14:textId="77777777" w:rsidR="00F73D5B" w:rsidRPr="008B7A21" w:rsidRDefault="00F73D5B" w:rsidP="00767A6A">
            <w:pPr>
              <w:pStyle w:val="Tabletext"/>
              <w:jc w:val="center"/>
              <w:rPr>
                <w:sz w:val="18"/>
                <w:szCs w:val="18"/>
                <w:lang w:val="es-ES_tradnl"/>
              </w:rPr>
            </w:pPr>
            <w:r w:rsidRPr="008B7A21">
              <w:rPr>
                <w:sz w:val="18"/>
                <w:szCs w:val="18"/>
                <w:lang w:val="es-ES_tradnl"/>
              </w:rPr>
              <w:t>19</w:t>
            </w:r>
          </w:p>
        </w:tc>
        <w:tc>
          <w:tcPr>
            <w:tcW w:w="765" w:type="dxa"/>
          </w:tcPr>
          <w:p w14:paraId="4CBF71F5" w14:textId="77777777" w:rsidR="00F73D5B" w:rsidRPr="008B7A21" w:rsidRDefault="00F73D5B" w:rsidP="00767A6A">
            <w:pPr>
              <w:pStyle w:val="Tabletext"/>
              <w:jc w:val="center"/>
              <w:rPr>
                <w:sz w:val="18"/>
                <w:szCs w:val="18"/>
                <w:lang w:val="es-ES_tradnl"/>
              </w:rPr>
            </w:pPr>
            <w:r w:rsidRPr="008B7A21">
              <w:rPr>
                <w:sz w:val="18"/>
                <w:szCs w:val="18"/>
                <w:lang w:val="es-ES_tradnl"/>
              </w:rPr>
              <w:t>24</w:t>
            </w:r>
          </w:p>
        </w:tc>
        <w:tc>
          <w:tcPr>
            <w:tcW w:w="765" w:type="dxa"/>
          </w:tcPr>
          <w:p w14:paraId="6783A9AE" w14:textId="77777777" w:rsidR="00F73D5B" w:rsidRPr="008B7A21" w:rsidRDefault="00F73D5B" w:rsidP="00767A6A">
            <w:pPr>
              <w:pStyle w:val="Tabletext"/>
              <w:jc w:val="center"/>
              <w:rPr>
                <w:sz w:val="18"/>
                <w:szCs w:val="18"/>
                <w:lang w:val="es-ES_tradnl"/>
              </w:rPr>
            </w:pPr>
            <w:r w:rsidRPr="008B7A21">
              <w:rPr>
                <w:sz w:val="18"/>
                <w:szCs w:val="18"/>
                <w:lang w:val="es-ES_tradnl"/>
              </w:rPr>
              <w:t>27</w:t>
            </w:r>
          </w:p>
        </w:tc>
        <w:tc>
          <w:tcPr>
            <w:tcW w:w="765" w:type="dxa"/>
          </w:tcPr>
          <w:p w14:paraId="411164B5" w14:textId="77777777" w:rsidR="00F73D5B" w:rsidRPr="008B7A21" w:rsidRDefault="00F73D5B" w:rsidP="00767A6A">
            <w:pPr>
              <w:pStyle w:val="Tabletext"/>
              <w:jc w:val="center"/>
              <w:rPr>
                <w:sz w:val="18"/>
                <w:szCs w:val="18"/>
                <w:lang w:val="es-ES_tradnl"/>
              </w:rPr>
            </w:pPr>
            <w:r w:rsidRPr="008B7A21">
              <w:rPr>
                <w:sz w:val="18"/>
                <w:szCs w:val="18"/>
                <w:lang w:val="es-ES_tradnl"/>
              </w:rPr>
              <w:t>31</w:t>
            </w:r>
          </w:p>
        </w:tc>
        <w:tc>
          <w:tcPr>
            <w:tcW w:w="765" w:type="dxa"/>
          </w:tcPr>
          <w:p w14:paraId="53514E31" w14:textId="77777777" w:rsidR="00F73D5B" w:rsidRPr="008B7A21" w:rsidRDefault="00F73D5B" w:rsidP="00767A6A">
            <w:pPr>
              <w:pStyle w:val="Tabletext"/>
              <w:jc w:val="center"/>
              <w:rPr>
                <w:sz w:val="18"/>
                <w:szCs w:val="18"/>
                <w:lang w:val="es-ES_tradnl"/>
              </w:rPr>
            </w:pPr>
            <w:r w:rsidRPr="008B7A21">
              <w:rPr>
                <w:sz w:val="18"/>
                <w:szCs w:val="18"/>
                <w:lang w:val="es-ES_tradnl"/>
              </w:rPr>
              <w:t>34</w:t>
            </w:r>
          </w:p>
        </w:tc>
        <w:tc>
          <w:tcPr>
            <w:tcW w:w="765" w:type="dxa"/>
          </w:tcPr>
          <w:p w14:paraId="713190DA" w14:textId="77777777" w:rsidR="00F73D5B" w:rsidRPr="008B7A21" w:rsidRDefault="00F73D5B" w:rsidP="00767A6A">
            <w:pPr>
              <w:pStyle w:val="Tabletext"/>
              <w:jc w:val="center"/>
              <w:rPr>
                <w:sz w:val="18"/>
                <w:szCs w:val="18"/>
                <w:lang w:val="es-ES_tradnl"/>
              </w:rPr>
            </w:pPr>
            <w:r w:rsidRPr="008B7A21">
              <w:rPr>
                <w:sz w:val="18"/>
                <w:szCs w:val="18"/>
                <w:lang w:val="es-ES_tradnl"/>
              </w:rPr>
              <w:t>37</w:t>
            </w:r>
          </w:p>
        </w:tc>
        <w:tc>
          <w:tcPr>
            <w:tcW w:w="765" w:type="dxa"/>
          </w:tcPr>
          <w:p w14:paraId="158F0059" w14:textId="77777777" w:rsidR="00F73D5B" w:rsidRPr="008B7A21" w:rsidRDefault="00F73D5B" w:rsidP="00767A6A">
            <w:pPr>
              <w:pStyle w:val="Tabletext"/>
              <w:jc w:val="center"/>
              <w:rPr>
                <w:sz w:val="18"/>
                <w:szCs w:val="18"/>
                <w:lang w:val="es-ES_tradnl"/>
              </w:rPr>
            </w:pPr>
            <w:r w:rsidRPr="008B7A21">
              <w:rPr>
                <w:sz w:val="18"/>
                <w:szCs w:val="18"/>
                <w:lang w:val="es-ES_tradnl"/>
              </w:rPr>
              <w:t>39</w:t>
            </w:r>
          </w:p>
        </w:tc>
        <w:tc>
          <w:tcPr>
            <w:tcW w:w="879" w:type="dxa"/>
          </w:tcPr>
          <w:p w14:paraId="2A0D0145" w14:textId="77777777" w:rsidR="00F73D5B" w:rsidRPr="008B7A21" w:rsidRDefault="00F73D5B" w:rsidP="00767A6A">
            <w:pPr>
              <w:pStyle w:val="Tabletext"/>
              <w:jc w:val="center"/>
              <w:rPr>
                <w:sz w:val="18"/>
                <w:szCs w:val="18"/>
                <w:lang w:val="es-ES_tradnl"/>
              </w:rPr>
            </w:pPr>
            <w:r w:rsidRPr="008B7A21">
              <w:rPr>
                <w:sz w:val="18"/>
                <w:szCs w:val="18"/>
                <w:lang w:val="es-ES_tradnl"/>
              </w:rPr>
              <w:t>44</w:t>
            </w:r>
          </w:p>
        </w:tc>
      </w:tr>
      <w:tr w:rsidR="00F73D5B" w:rsidRPr="008B7A21" w14:paraId="3F54B6C5" w14:textId="77777777" w:rsidTr="00767A6A">
        <w:trPr>
          <w:jc w:val="center"/>
        </w:trPr>
        <w:tc>
          <w:tcPr>
            <w:tcW w:w="1247" w:type="dxa"/>
          </w:tcPr>
          <w:p w14:paraId="3B64EBDE" w14:textId="77777777" w:rsidR="00F73D5B" w:rsidRPr="008B7A21" w:rsidRDefault="00F73D5B" w:rsidP="00767A6A">
            <w:pPr>
              <w:pStyle w:val="Tabletext"/>
              <w:jc w:val="center"/>
              <w:rPr>
                <w:sz w:val="18"/>
                <w:szCs w:val="18"/>
                <w:lang w:val="es-ES_tradnl"/>
              </w:rPr>
            </w:pPr>
            <w:r w:rsidRPr="008B7A21">
              <w:rPr>
                <w:sz w:val="18"/>
                <w:szCs w:val="18"/>
                <w:lang w:val="es-ES_tradnl"/>
              </w:rPr>
              <w:t>30,0</w:t>
            </w:r>
          </w:p>
        </w:tc>
        <w:tc>
          <w:tcPr>
            <w:tcW w:w="709" w:type="dxa"/>
          </w:tcPr>
          <w:p w14:paraId="29B96D88" w14:textId="77777777" w:rsidR="00F73D5B" w:rsidRPr="008B7A21" w:rsidRDefault="00F73D5B" w:rsidP="00767A6A">
            <w:pPr>
              <w:pStyle w:val="Tabletext"/>
              <w:jc w:val="center"/>
              <w:rPr>
                <w:sz w:val="18"/>
                <w:szCs w:val="18"/>
                <w:lang w:val="es-ES_tradnl"/>
              </w:rPr>
            </w:pPr>
            <w:r w:rsidRPr="008B7A21">
              <w:rPr>
                <w:sz w:val="18"/>
                <w:szCs w:val="18"/>
                <w:lang w:val="es-ES_tradnl"/>
              </w:rPr>
              <w:t>15</w:t>
            </w:r>
          </w:p>
        </w:tc>
        <w:tc>
          <w:tcPr>
            <w:tcW w:w="765" w:type="dxa"/>
          </w:tcPr>
          <w:p w14:paraId="49ABB1A1" w14:textId="77777777" w:rsidR="00F73D5B" w:rsidRPr="008B7A21" w:rsidRDefault="00F73D5B" w:rsidP="00767A6A">
            <w:pPr>
              <w:pStyle w:val="Tabletext"/>
              <w:jc w:val="center"/>
              <w:rPr>
                <w:sz w:val="18"/>
                <w:szCs w:val="18"/>
                <w:lang w:val="es-ES_tradnl"/>
              </w:rPr>
            </w:pPr>
            <w:r w:rsidRPr="008B7A21">
              <w:rPr>
                <w:sz w:val="18"/>
                <w:szCs w:val="18"/>
                <w:lang w:val="es-ES_tradnl"/>
              </w:rPr>
              <w:t>18</w:t>
            </w:r>
          </w:p>
        </w:tc>
        <w:tc>
          <w:tcPr>
            <w:tcW w:w="765" w:type="dxa"/>
          </w:tcPr>
          <w:p w14:paraId="5ACA424E" w14:textId="77777777" w:rsidR="00F73D5B" w:rsidRPr="008B7A21" w:rsidRDefault="00F73D5B" w:rsidP="00767A6A">
            <w:pPr>
              <w:pStyle w:val="Tabletext"/>
              <w:jc w:val="center"/>
              <w:rPr>
                <w:sz w:val="18"/>
                <w:szCs w:val="18"/>
                <w:lang w:val="es-ES_tradnl"/>
              </w:rPr>
            </w:pPr>
            <w:r w:rsidRPr="008B7A21">
              <w:rPr>
                <w:sz w:val="18"/>
                <w:szCs w:val="18"/>
                <w:lang w:val="es-ES_tradnl"/>
              </w:rPr>
              <w:t>22</w:t>
            </w:r>
          </w:p>
        </w:tc>
        <w:tc>
          <w:tcPr>
            <w:tcW w:w="765" w:type="dxa"/>
          </w:tcPr>
          <w:p w14:paraId="1C5E9BDB" w14:textId="77777777" w:rsidR="00F73D5B" w:rsidRPr="008B7A21" w:rsidRDefault="00F73D5B" w:rsidP="00767A6A">
            <w:pPr>
              <w:pStyle w:val="Tabletext"/>
              <w:jc w:val="center"/>
              <w:rPr>
                <w:sz w:val="18"/>
                <w:szCs w:val="18"/>
                <w:lang w:val="es-ES_tradnl"/>
              </w:rPr>
            </w:pPr>
            <w:r w:rsidRPr="008B7A21">
              <w:rPr>
                <w:sz w:val="18"/>
                <w:szCs w:val="18"/>
                <w:lang w:val="es-ES_tradnl"/>
              </w:rPr>
              <w:t>25</w:t>
            </w:r>
          </w:p>
        </w:tc>
        <w:tc>
          <w:tcPr>
            <w:tcW w:w="765" w:type="dxa"/>
          </w:tcPr>
          <w:p w14:paraId="748DDB26" w14:textId="77777777" w:rsidR="00F73D5B" w:rsidRPr="008B7A21" w:rsidRDefault="00F73D5B" w:rsidP="00767A6A">
            <w:pPr>
              <w:pStyle w:val="Tabletext"/>
              <w:jc w:val="center"/>
              <w:rPr>
                <w:sz w:val="18"/>
                <w:szCs w:val="18"/>
                <w:lang w:val="es-ES_tradnl"/>
              </w:rPr>
            </w:pPr>
            <w:r w:rsidRPr="008B7A21">
              <w:rPr>
                <w:sz w:val="18"/>
                <w:szCs w:val="18"/>
                <w:lang w:val="es-ES_tradnl"/>
              </w:rPr>
              <w:t>30</w:t>
            </w:r>
          </w:p>
        </w:tc>
        <w:tc>
          <w:tcPr>
            <w:tcW w:w="765" w:type="dxa"/>
          </w:tcPr>
          <w:p w14:paraId="011D42A9" w14:textId="77777777" w:rsidR="00F73D5B" w:rsidRPr="008B7A21" w:rsidRDefault="00F73D5B" w:rsidP="00767A6A">
            <w:pPr>
              <w:pStyle w:val="Tabletext"/>
              <w:jc w:val="center"/>
              <w:rPr>
                <w:sz w:val="18"/>
                <w:szCs w:val="18"/>
                <w:lang w:val="es-ES_tradnl"/>
              </w:rPr>
            </w:pPr>
            <w:r w:rsidRPr="008B7A21">
              <w:rPr>
                <w:sz w:val="18"/>
                <w:szCs w:val="18"/>
                <w:lang w:val="es-ES_tradnl"/>
              </w:rPr>
              <w:t>35</w:t>
            </w:r>
          </w:p>
        </w:tc>
        <w:tc>
          <w:tcPr>
            <w:tcW w:w="765" w:type="dxa"/>
          </w:tcPr>
          <w:p w14:paraId="5A92F8A0" w14:textId="77777777" w:rsidR="00F73D5B" w:rsidRPr="008B7A21" w:rsidRDefault="00F73D5B" w:rsidP="00767A6A">
            <w:pPr>
              <w:pStyle w:val="Tabletext"/>
              <w:jc w:val="center"/>
              <w:rPr>
                <w:sz w:val="18"/>
                <w:szCs w:val="18"/>
                <w:lang w:val="es-ES_tradnl"/>
              </w:rPr>
            </w:pPr>
            <w:r w:rsidRPr="008B7A21">
              <w:rPr>
                <w:sz w:val="18"/>
                <w:szCs w:val="18"/>
                <w:lang w:val="es-ES_tradnl"/>
              </w:rPr>
              <w:t>39</w:t>
            </w:r>
          </w:p>
        </w:tc>
        <w:tc>
          <w:tcPr>
            <w:tcW w:w="765" w:type="dxa"/>
          </w:tcPr>
          <w:p w14:paraId="53590AE9" w14:textId="77777777" w:rsidR="00F73D5B" w:rsidRPr="008B7A21" w:rsidRDefault="00F73D5B" w:rsidP="00767A6A">
            <w:pPr>
              <w:pStyle w:val="Tabletext"/>
              <w:jc w:val="center"/>
              <w:rPr>
                <w:sz w:val="18"/>
                <w:szCs w:val="18"/>
                <w:lang w:val="es-ES_tradnl"/>
              </w:rPr>
            </w:pPr>
            <w:r w:rsidRPr="008B7A21">
              <w:rPr>
                <w:sz w:val="18"/>
                <w:szCs w:val="18"/>
                <w:lang w:val="es-ES_tradnl"/>
              </w:rPr>
              <w:t>42</w:t>
            </w:r>
          </w:p>
        </w:tc>
        <w:tc>
          <w:tcPr>
            <w:tcW w:w="765" w:type="dxa"/>
          </w:tcPr>
          <w:p w14:paraId="1A046A75" w14:textId="77777777" w:rsidR="00F73D5B" w:rsidRPr="008B7A21" w:rsidRDefault="00F73D5B" w:rsidP="00767A6A">
            <w:pPr>
              <w:pStyle w:val="Tabletext"/>
              <w:jc w:val="center"/>
              <w:rPr>
                <w:sz w:val="18"/>
                <w:szCs w:val="18"/>
                <w:lang w:val="es-ES_tradnl"/>
              </w:rPr>
            </w:pPr>
            <w:r w:rsidRPr="008B7A21">
              <w:rPr>
                <w:sz w:val="18"/>
                <w:szCs w:val="18"/>
                <w:lang w:val="es-ES_tradnl"/>
              </w:rPr>
              <w:t>46</w:t>
            </w:r>
          </w:p>
        </w:tc>
        <w:tc>
          <w:tcPr>
            <w:tcW w:w="765" w:type="dxa"/>
          </w:tcPr>
          <w:p w14:paraId="3674CDDE" w14:textId="77777777" w:rsidR="00F73D5B" w:rsidRPr="008B7A21" w:rsidRDefault="00F73D5B" w:rsidP="00767A6A">
            <w:pPr>
              <w:pStyle w:val="Tabletext"/>
              <w:jc w:val="center"/>
              <w:rPr>
                <w:sz w:val="18"/>
                <w:szCs w:val="18"/>
                <w:lang w:val="es-ES_tradnl"/>
              </w:rPr>
            </w:pPr>
            <w:r w:rsidRPr="008B7A21">
              <w:rPr>
                <w:sz w:val="18"/>
                <w:szCs w:val="18"/>
                <w:lang w:val="es-ES_tradnl"/>
              </w:rPr>
              <w:t>49</w:t>
            </w:r>
          </w:p>
        </w:tc>
        <w:tc>
          <w:tcPr>
            <w:tcW w:w="879" w:type="dxa"/>
          </w:tcPr>
          <w:p w14:paraId="3A0A7C70" w14:textId="77777777" w:rsidR="00F73D5B" w:rsidRPr="008B7A21" w:rsidRDefault="00F73D5B" w:rsidP="00767A6A">
            <w:pPr>
              <w:pStyle w:val="Tabletext"/>
              <w:jc w:val="center"/>
              <w:rPr>
                <w:sz w:val="18"/>
                <w:szCs w:val="18"/>
                <w:lang w:val="es-ES_tradnl"/>
              </w:rPr>
            </w:pPr>
            <w:r w:rsidRPr="008B7A21">
              <w:rPr>
                <w:sz w:val="18"/>
                <w:szCs w:val="18"/>
                <w:lang w:val="es-ES_tradnl"/>
              </w:rPr>
              <w:t>54</w:t>
            </w:r>
          </w:p>
        </w:tc>
      </w:tr>
      <w:tr w:rsidR="00F73D5B" w:rsidRPr="008B7A21" w14:paraId="40C44D85" w14:textId="77777777" w:rsidTr="00767A6A">
        <w:trPr>
          <w:jc w:val="center"/>
        </w:trPr>
        <w:tc>
          <w:tcPr>
            <w:tcW w:w="1247" w:type="dxa"/>
          </w:tcPr>
          <w:p w14:paraId="2FF4747E" w14:textId="77777777" w:rsidR="00F73D5B" w:rsidRPr="008B7A21" w:rsidRDefault="00F73D5B" w:rsidP="00767A6A">
            <w:pPr>
              <w:pStyle w:val="Tabletext"/>
              <w:jc w:val="center"/>
              <w:rPr>
                <w:sz w:val="18"/>
                <w:szCs w:val="18"/>
                <w:lang w:val="es-ES_tradnl"/>
              </w:rPr>
            </w:pPr>
            <w:r w:rsidRPr="008B7A21">
              <w:rPr>
                <w:sz w:val="18"/>
                <w:szCs w:val="18"/>
                <w:lang w:val="es-ES_tradnl"/>
              </w:rPr>
              <w:t>35,0</w:t>
            </w:r>
          </w:p>
        </w:tc>
        <w:tc>
          <w:tcPr>
            <w:tcW w:w="709" w:type="dxa"/>
          </w:tcPr>
          <w:p w14:paraId="5025BFD8" w14:textId="77777777" w:rsidR="00F73D5B" w:rsidRPr="008B7A21" w:rsidRDefault="00F73D5B" w:rsidP="00767A6A">
            <w:pPr>
              <w:pStyle w:val="Tabletext"/>
              <w:jc w:val="center"/>
              <w:rPr>
                <w:sz w:val="18"/>
                <w:szCs w:val="18"/>
                <w:lang w:val="es-ES_tradnl"/>
              </w:rPr>
            </w:pPr>
            <w:r w:rsidRPr="008B7A21">
              <w:rPr>
                <w:sz w:val="18"/>
                <w:szCs w:val="18"/>
                <w:lang w:val="es-ES_tradnl"/>
              </w:rPr>
              <w:t>19</w:t>
            </w:r>
          </w:p>
        </w:tc>
        <w:tc>
          <w:tcPr>
            <w:tcW w:w="765" w:type="dxa"/>
          </w:tcPr>
          <w:p w14:paraId="533D928A" w14:textId="77777777" w:rsidR="00F73D5B" w:rsidRPr="008B7A21" w:rsidRDefault="00F73D5B" w:rsidP="00767A6A">
            <w:pPr>
              <w:pStyle w:val="Tabletext"/>
              <w:jc w:val="center"/>
              <w:rPr>
                <w:sz w:val="18"/>
                <w:szCs w:val="18"/>
                <w:lang w:val="es-ES_tradnl"/>
              </w:rPr>
            </w:pPr>
            <w:r w:rsidRPr="008B7A21">
              <w:rPr>
                <w:sz w:val="18"/>
                <w:szCs w:val="18"/>
                <w:lang w:val="es-ES_tradnl"/>
              </w:rPr>
              <w:t>23</w:t>
            </w:r>
          </w:p>
        </w:tc>
        <w:tc>
          <w:tcPr>
            <w:tcW w:w="765" w:type="dxa"/>
          </w:tcPr>
          <w:p w14:paraId="7C2BA680" w14:textId="77777777" w:rsidR="00F73D5B" w:rsidRPr="008B7A21" w:rsidRDefault="00F73D5B" w:rsidP="00767A6A">
            <w:pPr>
              <w:pStyle w:val="Tabletext"/>
              <w:jc w:val="center"/>
              <w:rPr>
                <w:sz w:val="18"/>
                <w:szCs w:val="18"/>
                <w:lang w:val="es-ES_tradnl"/>
              </w:rPr>
            </w:pPr>
            <w:r w:rsidRPr="008B7A21">
              <w:rPr>
                <w:sz w:val="18"/>
                <w:szCs w:val="18"/>
                <w:lang w:val="es-ES_tradnl"/>
              </w:rPr>
              <w:t>28</w:t>
            </w:r>
          </w:p>
        </w:tc>
        <w:tc>
          <w:tcPr>
            <w:tcW w:w="765" w:type="dxa"/>
          </w:tcPr>
          <w:p w14:paraId="319F6BB2" w14:textId="77777777" w:rsidR="00F73D5B" w:rsidRPr="008B7A21" w:rsidRDefault="00F73D5B" w:rsidP="00767A6A">
            <w:pPr>
              <w:pStyle w:val="Tabletext"/>
              <w:jc w:val="center"/>
              <w:rPr>
                <w:sz w:val="18"/>
                <w:szCs w:val="18"/>
                <w:lang w:val="es-ES_tradnl"/>
              </w:rPr>
            </w:pPr>
            <w:r w:rsidRPr="008B7A21">
              <w:rPr>
                <w:sz w:val="18"/>
                <w:szCs w:val="18"/>
                <w:lang w:val="es-ES_tradnl"/>
              </w:rPr>
              <w:t>32</w:t>
            </w:r>
          </w:p>
        </w:tc>
        <w:tc>
          <w:tcPr>
            <w:tcW w:w="765" w:type="dxa"/>
          </w:tcPr>
          <w:p w14:paraId="4BF3546B" w14:textId="77777777" w:rsidR="00F73D5B" w:rsidRPr="008B7A21" w:rsidRDefault="00F73D5B" w:rsidP="00767A6A">
            <w:pPr>
              <w:pStyle w:val="Tabletext"/>
              <w:jc w:val="center"/>
              <w:rPr>
                <w:sz w:val="18"/>
                <w:szCs w:val="18"/>
                <w:lang w:val="es-ES_tradnl"/>
              </w:rPr>
            </w:pPr>
            <w:r w:rsidRPr="008B7A21">
              <w:rPr>
                <w:sz w:val="18"/>
                <w:szCs w:val="18"/>
                <w:lang w:val="es-ES_tradnl"/>
              </w:rPr>
              <w:t>38</w:t>
            </w:r>
          </w:p>
        </w:tc>
        <w:tc>
          <w:tcPr>
            <w:tcW w:w="765" w:type="dxa"/>
          </w:tcPr>
          <w:p w14:paraId="50FA7505" w14:textId="77777777" w:rsidR="00F73D5B" w:rsidRPr="008B7A21" w:rsidRDefault="00F73D5B" w:rsidP="00767A6A">
            <w:pPr>
              <w:pStyle w:val="Tabletext"/>
              <w:jc w:val="center"/>
              <w:rPr>
                <w:sz w:val="18"/>
                <w:szCs w:val="18"/>
                <w:lang w:val="es-ES_tradnl"/>
              </w:rPr>
            </w:pPr>
            <w:r w:rsidRPr="008B7A21">
              <w:rPr>
                <w:sz w:val="18"/>
                <w:szCs w:val="18"/>
                <w:lang w:val="es-ES_tradnl"/>
              </w:rPr>
              <w:t>43</w:t>
            </w:r>
          </w:p>
        </w:tc>
        <w:tc>
          <w:tcPr>
            <w:tcW w:w="765" w:type="dxa"/>
          </w:tcPr>
          <w:p w14:paraId="33682D17" w14:textId="77777777" w:rsidR="00F73D5B" w:rsidRPr="008B7A21" w:rsidRDefault="00F73D5B" w:rsidP="00767A6A">
            <w:pPr>
              <w:pStyle w:val="Tabletext"/>
              <w:jc w:val="center"/>
              <w:rPr>
                <w:sz w:val="18"/>
                <w:szCs w:val="18"/>
                <w:lang w:val="es-ES_tradnl"/>
              </w:rPr>
            </w:pPr>
            <w:r w:rsidRPr="008B7A21">
              <w:rPr>
                <w:sz w:val="18"/>
                <w:szCs w:val="18"/>
                <w:lang w:val="es-ES_tradnl"/>
              </w:rPr>
              <w:t>48</w:t>
            </w:r>
          </w:p>
        </w:tc>
        <w:tc>
          <w:tcPr>
            <w:tcW w:w="765" w:type="dxa"/>
          </w:tcPr>
          <w:p w14:paraId="3E9690E4" w14:textId="77777777" w:rsidR="00F73D5B" w:rsidRPr="008B7A21" w:rsidRDefault="00F73D5B" w:rsidP="00767A6A">
            <w:pPr>
              <w:pStyle w:val="Tabletext"/>
              <w:jc w:val="center"/>
              <w:rPr>
                <w:sz w:val="18"/>
                <w:szCs w:val="18"/>
                <w:lang w:val="es-ES_tradnl"/>
              </w:rPr>
            </w:pPr>
            <w:r w:rsidRPr="008B7A21">
              <w:rPr>
                <w:sz w:val="18"/>
                <w:szCs w:val="18"/>
                <w:lang w:val="es-ES_tradnl"/>
              </w:rPr>
              <w:t>52</w:t>
            </w:r>
          </w:p>
        </w:tc>
        <w:tc>
          <w:tcPr>
            <w:tcW w:w="765" w:type="dxa"/>
          </w:tcPr>
          <w:p w14:paraId="314143E2" w14:textId="77777777" w:rsidR="00F73D5B" w:rsidRPr="008B7A21" w:rsidRDefault="00F73D5B" w:rsidP="00767A6A">
            <w:pPr>
              <w:pStyle w:val="Tabletext"/>
              <w:jc w:val="center"/>
              <w:rPr>
                <w:sz w:val="18"/>
                <w:szCs w:val="18"/>
                <w:lang w:val="es-ES_tradnl"/>
              </w:rPr>
            </w:pPr>
            <w:r w:rsidRPr="008B7A21">
              <w:rPr>
                <w:sz w:val="18"/>
                <w:szCs w:val="18"/>
                <w:lang w:val="es-ES_tradnl"/>
              </w:rPr>
              <w:t>56</w:t>
            </w:r>
          </w:p>
        </w:tc>
        <w:tc>
          <w:tcPr>
            <w:tcW w:w="765" w:type="dxa"/>
          </w:tcPr>
          <w:p w14:paraId="2FD612C3" w14:textId="77777777" w:rsidR="00F73D5B" w:rsidRPr="008B7A21" w:rsidRDefault="00F73D5B" w:rsidP="00767A6A">
            <w:pPr>
              <w:pStyle w:val="Tabletext"/>
              <w:jc w:val="center"/>
              <w:rPr>
                <w:sz w:val="18"/>
                <w:szCs w:val="18"/>
                <w:lang w:val="es-ES_tradnl"/>
              </w:rPr>
            </w:pPr>
            <w:r w:rsidRPr="008B7A21">
              <w:rPr>
                <w:sz w:val="18"/>
                <w:szCs w:val="18"/>
                <w:lang w:val="es-ES_tradnl"/>
              </w:rPr>
              <w:t>59</w:t>
            </w:r>
          </w:p>
        </w:tc>
        <w:tc>
          <w:tcPr>
            <w:tcW w:w="879" w:type="dxa"/>
          </w:tcPr>
          <w:p w14:paraId="429A9EA1" w14:textId="77777777" w:rsidR="00F73D5B" w:rsidRPr="008B7A21" w:rsidRDefault="00F73D5B" w:rsidP="00767A6A">
            <w:pPr>
              <w:pStyle w:val="Tabletext"/>
              <w:jc w:val="center"/>
              <w:rPr>
                <w:sz w:val="18"/>
                <w:szCs w:val="18"/>
                <w:lang w:val="es-ES_tradnl"/>
              </w:rPr>
            </w:pPr>
            <w:r w:rsidRPr="008B7A21">
              <w:rPr>
                <w:sz w:val="18"/>
                <w:szCs w:val="18"/>
                <w:lang w:val="es-ES_tradnl"/>
              </w:rPr>
              <w:t>65</w:t>
            </w:r>
          </w:p>
        </w:tc>
      </w:tr>
      <w:tr w:rsidR="00F73D5B" w:rsidRPr="008B7A21" w14:paraId="591A40C4" w14:textId="77777777" w:rsidTr="00767A6A">
        <w:trPr>
          <w:jc w:val="center"/>
        </w:trPr>
        <w:tc>
          <w:tcPr>
            <w:tcW w:w="1247" w:type="dxa"/>
          </w:tcPr>
          <w:p w14:paraId="45DEC8A6" w14:textId="77777777" w:rsidR="00F73D5B" w:rsidRPr="008B7A21" w:rsidRDefault="00F73D5B" w:rsidP="00767A6A">
            <w:pPr>
              <w:pStyle w:val="Tabletext"/>
              <w:jc w:val="center"/>
              <w:rPr>
                <w:sz w:val="18"/>
                <w:szCs w:val="18"/>
                <w:lang w:val="es-ES_tradnl"/>
              </w:rPr>
            </w:pPr>
            <w:r w:rsidRPr="008B7A21">
              <w:rPr>
                <w:sz w:val="18"/>
                <w:szCs w:val="18"/>
                <w:lang w:val="es-ES_tradnl"/>
              </w:rPr>
              <w:t>40,0</w:t>
            </w:r>
          </w:p>
        </w:tc>
        <w:tc>
          <w:tcPr>
            <w:tcW w:w="709" w:type="dxa"/>
          </w:tcPr>
          <w:p w14:paraId="0EC46046" w14:textId="77777777" w:rsidR="00F73D5B" w:rsidRPr="008B7A21" w:rsidRDefault="00F73D5B" w:rsidP="00767A6A">
            <w:pPr>
              <w:pStyle w:val="Tabletext"/>
              <w:jc w:val="center"/>
              <w:rPr>
                <w:sz w:val="18"/>
                <w:szCs w:val="18"/>
                <w:lang w:val="es-ES_tradnl"/>
              </w:rPr>
            </w:pPr>
            <w:r w:rsidRPr="008B7A21">
              <w:rPr>
                <w:sz w:val="18"/>
                <w:szCs w:val="18"/>
                <w:lang w:val="es-ES_tradnl"/>
              </w:rPr>
              <w:t>24</w:t>
            </w:r>
          </w:p>
        </w:tc>
        <w:tc>
          <w:tcPr>
            <w:tcW w:w="765" w:type="dxa"/>
          </w:tcPr>
          <w:p w14:paraId="1EAE1A59" w14:textId="77777777" w:rsidR="00F73D5B" w:rsidRPr="008B7A21" w:rsidRDefault="00F73D5B" w:rsidP="00767A6A">
            <w:pPr>
              <w:pStyle w:val="Tabletext"/>
              <w:jc w:val="center"/>
              <w:rPr>
                <w:sz w:val="18"/>
                <w:szCs w:val="18"/>
                <w:lang w:val="es-ES_tradnl"/>
              </w:rPr>
            </w:pPr>
            <w:r w:rsidRPr="008B7A21">
              <w:rPr>
                <w:sz w:val="18"/>
                <w:szCs w:val="18"/>
                <w:lang w:val="es-ES_tradnl"/>
              </w:rPr>
              <w:t>30</w:t>
            </w:r>
          </w:p>
        </w:tc>
        <w:tc>
          <w:tcPr>
            <w:tcW w:w="765" w:type="dxa"/>
          </w:tcPr>
          <w:p w14:paraId="183595A9" w14:textId="77777777" w:rsidR="00F73D5B" w:rsidRPr="008B7A21" w:rsidRDefault="00F73D5B" w:rsidP="00767A6A">
            <w:pPr>
              <w:pStyle w:val="Tabletext"/>
              <w:jc w:val="center"/>
              <w:rPr>
                <w:sz w:val="18"/>
                <w:szCs w:val="18"/>
                <w:lang w:val="es-ES_tradnl"/>
              </w:rPr>
            </w:pPr>
            <w:r w:rsidRPr="008B7A21">
              <w:rPr>
                <w:sz w:val="18"/>
                <w:szCs w:val="18"/>
                <w:lang w:val="es-ES_tradnl"/>
              </w:rPr>
              <w:t>35</w:t>
            </w:r>
          </w:p>
        </w:tc>
        <w:tc>
          <w:tcPr>
            <w:tcW w:w="765" w:type="dxa"/>
          </w:tcPr>
          <w:p w14:paraId="5ABB3941" w14:textId="77777777" w:rsidR="00F73D5B" w:rsidRPr="008B7A21" w:rsidRDefault="00F73D5B" w:rsidP="00767A6A">
            <w:pPr>
              <w:pStyle w:val="Tabletext"/>
              <w:jc w:val="center"/>
              <w:rPr>
                <w:sz w:val="18"/>
                <w:szCs w:val="18"/>
                <w:lang w:val="es-ES_tradnl"/>
              </w:rPr>
            </w:pPr>
            <w:r w:rsidRPr="008B7A21">
              <w:rPr>
                <w:sz w:val="18"/>
                <w:szCs w:val="18"/>
                <w:lang w:val="es-ES_tradnl"/>
              </w:rPr>
              <w:t>40</w:t>
            </w:r>
          </w:p>
        </w:tc>
        <w:tc>
          <w:tcPr>
            <w:tcW w:w="765" w:type="dxa"/>
          </w:tcPr>
          <w:p w14:paraId="5B9049AE" w14:textId="77777777" w:rsidR="00F73D5B" w:rsidRPr="008B7A21" w:rsidRDefault="00F73D5B" w:rsidP="00767A6A">
            <w:pPr>
              <w:pStyle w:val="Tabletext"/>
              <w:jc w:val="center"/>
              <w:rPr>
                <w:sz w:val="18"/>
                <w:szCs w:val="18"/>
                <w:lang w:val="es-ES_tradnl"/>
              </w:rPr>
            </w:pPr>
            <w:r w:rsidRPr="008B7A21">
              <w:rPr>
                <w:sz w:val="18"/>
                <w:szCs w:val="18"/>
                <w:lang w:val="es-ES_tradnl"/>
              </w:rPr>
              <w:t>47</w:t>
            </w:r>
          </w:p>
        </w:tc>
        <w:tc>
          <w:tcPr>
            <w:tcW w:w="765" w:type="dxa"/>
          </w:tcPr>
          <w:p w14:paraId="49677499" w14:textId="77777777" w:rsidR="00F73D5B" w:rsidRPr="008B7A21" w:rsidRDefault="00F73D5B" w:rsidP="00767A6A">
            <w:pPr>
              <w:pStyle w:val="Tabletext"/>
              <w:jc w:val="center"/>
              <w:rPr>
                <w:sz w:val="18"/>
                <w:szCs w:val="18"/>
                <w:lang w:val="es-ES_tradnl"/>
              </w:rPr>
            </w:pPr>
            <w:r w:rsidRPr="008B7A21">
              <w:rPr>
                <w:sz w:val="18"/>
                <w:szCs w:val="18"/>
                <w:lang w:val="es-ES_tradnl"/>
              </w:rPr>
              <w:t>53</w:t>
            </w:r>
          </w:p>
        </w:tc>
        <w:tc>
          <w:tcPr>
            <w:tcW w:w="765" w:type="dxa"/>
          </w:tcPr>
          <w:p w14:paraId="20F0EA00" w14:textId="77777777" w:rsidR="00F73D5B" w:rsidRPr="008B7A21" w:rsidRDefault="00F73D5B" w:rsidP="00767A6A">
            <w:pPr>
              <w:pStyle w:val="Tabletext"/>
              <w:jc w:val="center"/>
              <w:rPr>
                <w:sz w:val="18"/>
                <w:szCs w:val="18"/>
                <w:lang w:val="es-ES_tradnl"/>
              </w:rPr>
            </w:pPr>
            <w:r w:rsidRPr="008B7A21">
              <w:rPr>
                <w:sz w:val="18"/>
                <w:szCs w:val="18"/>
                <w:lang w:val="es-ES_tradnl"/>
              </w:rPr>
              <w:t>59</w:t>
            </w:r>
          </w:p>
        </w:tc>
        <w:tc>
          <w:tcPr>
            <w:tcW w:w="765" w:type="dxa"/>
          </w:tcPr>
          <w:p w14:paraId="554DC25D" w14:textId="77777777" w:rsidR="00F73D5B" w:rsidRPr="008B7A21" w:rsidRDefault="00F73D5B" w:rsidP="00767A6A">
            <w:pPr>
              <w:pStyle w:val="Tabletext"/>
              <w:jc w:val="center"/>
              <w:rPr>
                <w:sz w:val="18"/>
                <w:szCs w:val="18"/>
                <w:lang w:val="es-ES_tradnl"/>
              </w:rPr>
            </w:pPr>
            <w:r w:rsidRPr="008B7A21">
              <w:rPr>
                <w:sz w:val="18"/>
                <w:szCs w:val="18"/>
                <w:lang w:val="es-ES_tradnl"/>
              </w:rPr>
              <w:t>63</w:t>
            </w:r>
          </w:p>
        </w:tc>
        <w:tc>
          <w:tcPr>
            <w:tcW w:w="765" w:type="dxa"/>
          </w:tcPr>
          <w:p w14:paraId="232644C0" w14:textId="77777777" w:rsidR="00F73D5B" w:rsidRPr="008B7A21" w:rsidRDefault="00F73D5B" w:rsidP="00767A6A">
            <w:pPr>
              <w:pStyle w:val="Tabletext"/>
              <w:jc w:val="center"/>
              <w:rPr>
                <w:sz w:val="18"/>
                <w:szCs w:val="18"/>
                <w:lang w:val="es-ES_tradnl"/>
              </w:rPr>
            </w:pPr>
            <w:r w:rsidRPr="008B7A21">
              <w:rPr>
                <w:sz w:val="18"/>
                <w:szCs w:val="18"/>
                <w:lang w:val="es-ES_tradnl"/>
              </w:rPr>
              <w:t>67</w:t>
            </w:r>
          </w:p>
        </w:tc>
        <w:tc>
          <w:tcPr>
            <w:tcW w:w="765" w:type="dxa"/>
          </w:tcPr>
          <w:p w14:paraId="0E2840DC" w14:textId="77777777" w:rsidR="00F73D5B" w:rsidRPr="008B7A21" w:rsidRDefault="00F73D5B" w:rsidP="00767A6A">
            <w:pPr>
              <w:pStyle w:val="Tabletext"/>
              <w:jc w:val="center"/>
              <w:rPr>
                <w:sz w:val="18"/>
                <w:szCs w:val="18"/>
                <w:lang w:val="es-ES_tradnl"/>
              </w:rPr>
            </w:pPr>
            <w:r w:rsidRPr="008B7A21">
              <w:rPr>
                <w:sz w:val="18"/>
                <w:szCs w:val="18"/>
                <w:lang w:val="es-ES_tradnl"/>
              </w:rPr>
              <w:t>71</w:t>
            </w:r>
          </w:p>
        </w:tc>
        <w:tc>
          <w:tcPr>
            <w:tcW w:w="879" w:type="dxa"/>
          </w:tcPr>
          <w:p w14:paraId="394CF9DC" w14:textId="77777777" w:rsidR="00F73D5B" w:rsidRPr="008B7A21" w:rsidRDefault="00F73D5B" w:rsidP="00767A6A">
            <w:pPr>
              <w:pStyle w:val="Tabletext"/>
              <w:jc w:val="center"/>
              <w:rPr>
                <w:sz w:val="18"/>
                <w:szCs w:val="18"/>
                <w:lang w:val="es-ES_tradnl"/>
              </w:rPr>
            </w:pPr>
            <w:r w:rsidRPr="008B7A21">
              <w:rPr>
                <w:sz w:val="18"/>
                <w:szCs w:val="18"/>
                <w:lang w:val="es-ES_tradnl"/>
              </w:rPr>
              <w:t>77</w:t>
            </w:r>
          </w:p>
        </w:tc>
      </w:tr>
      <w:tr w:rsidR="00F73D5B" w:rsidRPr="008B7A21" w14:paraId="498F4416" w14:textId="77777777" w:rsidTr="00767A6A">
        <w:trPr>
          <w:jc w:val="center"/>
        </w:trPr>
        <w:tc>
          <w:tcPr>
            <w:tcW w:w="1247" w:type="dxa"/>
          </w:tcPr>
          <w:p w14:paraId="5F3382DB" w14:textId="77777777" w:rsidR="00F73D5B" w:rsidRPr="008B7A21" w:rsidRDefault="00F73D5B" w:rsidP="00767A6A">
            <w:pPr>
              <w:pStyle w:val="Tabletext"/>
              <w:jc w:val="center"/>
              <w:rPr>
                <w:sz w:val="18"/>
                <w:szCs w:val="18"/>
                <w:lang w:val="es-ES_tradnl"/>
              </w:rPr>
            </w:pPr>
            <w:r w:rsidRPr="008B7A21">
              <w:rPr>
                <w:sz w:val="18"/>
                <w:szCs w:val="18"/>
                <w:lang w:val="es-ES_tradnl"/>
              </w:rPr>
              <w:t>43,0</w:t>
            </w:r>
          </w:p>
        </w:tc>
        <w:tc>
          <w:tcPr>
            <w:tcW w:w="709" w:type="dxa"/>
          </w:tcPr>
          <w:p w14:paraId="562FFBBA" w14:textId="77777777" w:rsidR="00F73D5B" w:rsidRPr="008B7A21" w:rsidRDefault="00F73D5B" w:rsidP="00767A6A">
            <w:pPr>
              <w:pStyle w:val="Tabletext"/>
              <w:jc w:val="center"/>
              <w:rPr>
                <w:sz w:val="18"/>
                <w:szCs w:val="18"/>
                <w:lang w:val="es-ES_tradnl"/>
              </w:rPr>
            </w:pPr>
            <w:r w:rsidRPr="008B7A21">
              <w:rPr>
                <w:sz w:val="18"/>
                <w:szCs w:val="18"/>
                <w:lang w:val="es-ES_tradnl"/>
              </w:rPr>
              <w:t>28</w:t>
            </w:r>
          </w:p>
        </w:tc>
        <w:tc>
          <w:tcPr>
            <w:tcW w:w="765" w:type="dxa"/>
          </w:tcPr>
          <w:p w14:paraId="09D8E531" w14:textId="77777777" w:rsidR="00F73D5B" w:rsidRPr="008B7A21" w:rsidRDefault="00F73D5B" w:rsidP="00767A6A">
            <w:pPr>
              <w:pStyle w:val="Tabletext"/>
              <w:jc w:val="center"/>
              <w:rPr>
                <w:sz w:val="18"/>
                <w:szCs w:val="18"/>
                <w:lang w:val="es-ES_tradnl"/>
              </w:rPr>
            </w:pPr>
            <w:r w:rsidRPr="008B7A21">
              <w:rPr>
                <w:sz w:val="18"/>
                <w:szCs w:val="18"/>
                <w:lang w:val="es-ES_tradnl"/>
              </w:rPr>
              <w:t>34</w:t>
            </w:r>
          </w:p>
        </w:tc>
        <w:tc>
          <w:tcPr>
            <w:tcW w:w="765" w:type="dxa"/>
          </w:tcPr>
          <w:p w14:paraId="60DD3B60" w14:textId="77777777" w:rsidR="00F73D5B" w:rsidRPr="008B7A21" w:rsidRDefault="00F73D5B" w:rsidP="00767A6A">
            <w:pPr>
              <w:pStyle w:val="Tabletext"/>
              <w:jc w:val="center"/>
              <w:rPr>
                <w:sz w:val="18"/>
                <w:szCs w:val="18"/>
                <w:lang w:val="es-ES_tradnl"/>
              </w:rPr>
            </w:pPr>
            <w:r w:rsidRPr="008B7A21">
              <w:rPr>
                <w:sz w:val="18"/>
                <w:szCs w:val="18"/>
                <w:lang w:val="es-ES_tradnl"/>
              </w:rPr>
              <w:t>41</w:t>
            </w:r>
          </w:p>
        </w:tc>
        <w:tc>
          <w:tcPr>
            <w:tcW w:w="765" w:type="dxa"/>
          </w:tcPr>
          <w:p w14:paraId="223BC305" w14:textId="77777777" w:rsidR="00F73D5B" w:rsidRPr="008B7A21" w:rsidRDefault="00F73D5B" w:rsidP="00767A6A">
            <w:pPr>
              <w:pStyle w:val="Tabletext"/>
              <w:jc w:val="center"/>
              <w:rPr>
                <w:sz w:val="18"/>
                <w:szCs w:val="18"/>
                <w:lang w:val="es-ES_tradnl"/>
              </w:rPr>
            </w:pPr>
            <w:r w:rsidRPr="008B7A21">
              <w:rPr>
                <w:sz w:val="18"/>
                <w:szCs w:val="18"/>
                <w:lang w:val="es-ES_tradnl"/>
              </w:rPr>
              <w:t>46</w:t>
            </w:r>
          </w:p>
        </w:tc>
        <w:tc>
          <w:tcPr>
            <w:tcW w:w="765" w:type="dxa"/>
          </w:tcPr>
          <w:p w14:paraId="69B554EE" w14:textId="77777777" w:rsidR="00F73D5B" w:rsidRPr="008B7A21" w:rsidRDefault="00F73D5B" w:rsidP="00767A6A">
            <w:pPr>
              <w:pStyle w:val="Tabletext"/>
              <w:jc w:val="center"/>
              <w:rPr>
                <w:sz w:val="18"/>
                <w:szCs w:val="18"/>
                <w:lang w:val="es-ES_tradnl"/>
              </w:rPr>
            </w:pPr>
            <w:r w:rsidRPr="008B7A21">
              <w:rPr>
                <w:sz w:val="18"/>
                <w:szCs w:val="18"/>
                <w:lang w:val="es-ES_tradnl"/>
              </w:rPr>
              <w:t>53</w:t>
            </w:r>
          </w:p>
        </w:tc>
        <w:tc>
          <w:tcPr>
            <w:tcW w:w="765" w:type="dxa"/>
          </w:tcPr>
          <w:p w14:paraId="6C881E8D" w14:textId="77777777" w:rsidR="00F73D5B" w:rsidRPr="008B7A21" w:rsidRDefault="00F73D5B" w:rsidP="00767A6A">
            <w:pPr>
              <w:pStyle w:val="Tabletext"/>
              <w:jc w:val="center"/>
              <w:rPr>
                <w:sz w:val="18"/>
                <w:szCs w:val="18"/>
                <w:lang w:val="es-ES_tradnl"/>
              </w:rPr>
            </w:pPr>
            <w:r w:rsidRPr="008B7A21">
              <w:rPr>
                <w:sz w:val="18"/>
                <w:szCs w:val="18"/>
                <w:lang w:val="es-ES_tradnl"/>
              </w:rPr>
              <w:t>60</w:t>
            </w:r>
          </w:p>
        </w:tc>
        <w:tc>
          <w:tcPr>
            <w:tcW w:w="765" w:type="dxa"/>
          </w:tcPr>
          <w:p w14:paraId="3D08FD3C" w14:textId="77777777" w:rsidR="00F73D5B" w:rsidRPr="008B7A21" w:rsidRDefault="00F73D5B" w:rsidP="00767A6A">
            <w:pPr>
              <w:pStyle w:val="Tabletext"/>
              <w:jc w:val="center"/>
              <w:rPr>
                <w:sz w:val="18"/>
                <w:szCs w:val="18"/>
                <w:lang w:val="es-ES_tradnl"/>
              </w:rPr>
            </w:pPr>
            <w:r w:rsidRPr="008B7A21">
              <w:rPr>
                <w:sz w:val="18"/>
                <w:szCs w:val="18"/>
                <w:lang w:val="es-ES_tradnl"/>
              </w:rPr>
              <w:t>65</w:t>
            </w:r>
          </w:p>
        </w:tc>
        <w:tc>
          <w:tcPr>
            <w:tcW w:w="765" w:type="dxa"/>
          </w:tcPr>
          <w:p w14:paraId="1CE7C3EF" w14:textId="77777777" w:rsidR="00F73D5B" w:rsidRPr="008B7A21" w:rsidRDefault="00F73D5B" w:rsidP="00767A6A">
            <w:pPr>
              <w:pStyle w:val="Tabletext"/>
              <w:jc w:val="center"/>
              <w:rPr>
                <w:sz w:val="18"/>
                <w:szCs w:val="18"/>
                <w:lang w:val="es-ES_tradnl"/>
              </w:rPr>
            </w:pPr>
            <w:r w:rsidRPr="008B7A21">
              <w:rPr>
                <w:sz w:val="18"/>
                <w:szCs w:val="18"/>
                <w:lang w:val="es-ES_tradnl"/>
              </w:rPr>
              <w:t>69</w:t>
            </w:r>
          </w:p>
        </w:tc>
        <w:tc>
          <w:tcPr>
            <w:tcW w:w="765" w:type="dxa"/>
          </w:tcPr>
          <w:p w14:paraId="02547933" w14:textId="77777777" w:rsidR="00F73D5B" w:rsidRPr="008B7A21" w:rsidRDefault="00F73D5B" w:rsidP="00767A6A">
            <w:pPr>
              <w:pStyle w:val="Tabletext"/>
              <w:jc w:val="center"/>
              <w:rPr>
                <w:sz w:val="18"/>
                <w:szCs w:val="18"/>
                <w:lang w:val="es-ES_tradnl"/>
              </w:rPr>
            </w:pPr>
            <w:r w:rsidRPr="008B7A21">
              <w:rPr>
                <w:sz w:val="18"/>
                <w:szCs w:val="18"/>
                <w:lang w:val="es-ES_tradnl"/>
              </w:rPr>
              <w:t>74</w:t>
            </w:r>
          </w:p>
        </w:tc>
        <w:tc>
          <w:tcPr>
            <w:tcW w:w="765" w:type="dxa"/>
          </w:tcPr>
          <w:p w14:paraId="7DBA570A" w14:textId="77777777" w:rsidR="00F73D5B" w:rsidRPr="008B7A21" w:rsidRDefault="00F73D5B" w:rsidP="00767A6A">
            <w:pPr>
              <w:pStyle w:val="Tabletext"/>
              <w:jc w:val="center"/>
              <w:rPr>
                <w:sz w:val="18"/>
                <w:szCs w:val="18"/>
                <w:lang w:val="es-ES_tradnl"/>
              </w:rPr>
            </w:pPr>
            <w:r w:rsidRPr="008B7A21">
              <w:rPr>
                <w:sz w:val="18"/>
                <w:szCs w:val="18"/>
                <w:lang w:val="es-ES_tradnl"/>
              </w:rPr>
              <w:t>78</w:t>
            </w:r>
          </w:p>
        </w:tc>
        <w:tc>
          <w:tcPr>
            <w:tcW w:w="879" w:type="dxa"/>
          </w:tcPr>
          <w:p w14:paraId="70AA1FB5" w14:textId="77777777" w:rsidR="00F73D5B" w:rsidRPr="008B7A21" w:rsidRDefault="00F73D5B" w:rsidP="00767A6A">
            <w:pPr>
              <w:pStyle w:val="Tabletext"/>
              <w:jc w:val="center"/>
              <w:rPr>
                <w:sz w:val="18"/>
                <w:szCs w:val="18"/>
                <w:lang w:val="es-ES_tradnl"/>
              </w:rPr>
            </w:pPr>
            <w:r w:rsidRPr="008B7A21">
              <w:rPr>
                <w:sz w:val="18"/>
                <w:szCs w:val="18"/>
                <w:lang w:val="es-ES_tradnl"/>
              </w:rPr>
              <w:t>84</w:t>
            </w:r>
          </w:p>
        </w:tc>
      </w:tr>
      <w:tr w:rsidR="00F73D5B" w:rsidRPr="008B7A21" w14:paraId="28949071" w14:textId="77777777" w:rsidTr="00767A6A">
        <w:trPr>
          <w:jc w:val="center"/>
        </w:trPr>
        <w:tc>
          <w:tcPr>
            <w:tcW w:w="1247" w:type="dxa"/>
          </w:tcPr>
          <w:p w14:paraId="1833D809" w14:textId="77777777" w:rsidR="00F73D5B" w:rsidRPr="008B7A21" w:rsidRDefault="00F73D5B" w:rsidP="00767A6A">
            <w:pPr>
              <w:pStyle w:val="Tabletext"/>
              <w:jc w:val="center"/>
              <w:rPr>
                <w:sz w:val="18"/>
                <w:szCs w:val="18"/>
                <w:lang w:val="es-ES_tradnl"/>
              </w:rPr>
            </w:pPr>
            <w:r w:rsidRPr="008B7A21">
              <w:rPr>
                <w:sz w:val="18"/>
                <w:szCs w:val="18"/>
                <w:lang w:val="es-ES_tradnl"/>
              </w:rPr>
              <w:t>46,0</w:t>
            </w:r>
          </w:p>
        </w:tc>
        <w:tc>
          <w:tcPr>
            <w:tcW w:w="709" w:type="dxa"/>
          </w:tcPr>
          <w:p w14:paraId="17F39528" w14:textId="77777777" w:rsidR="00F73D5B" w:rsidRPr="008B7A21" w:rsidRDefault="00F73D5B" w:rsidP="00767A6A">
            <w:pPr>
              <w:pStyle w:val="Tabletext"/>
              <w:jc w:val="center"/>
              <w:rPr>
                <w:sz w:val="18"/>
                <w:szCs w:val="18"/>
                <w:lang w:val="es-ES_tradnl"/>
              </w:rPr>
            </w:pPr>
            <w:r w:rsidRPr="008B7A21">
              <w:rPr>
                <w:sz w:val="18"/>
                <w:szCs w:val="18"/>
                <w:lang w:val="es-ES_tradnl"/>
              </w:rPr>
              <w:t>33</w:t>
            </w:r>
          </w:p>
        </w:tc>
        <w:tc>
          <w:tcPr>
            <w:tcW w:w="765" w:type="dxa"/>
          </w:tcPr>
          <w:p w14:paraId="76ADE8BC" w14:textId="77777777" w:rsidR="00F73D5B" w:rsidRPr="008B7A21" w:rsidRDefault="00F73D5B" w:rsidP="00767A6A">
            <w:pPr>
              <w:pStyle w:val="Tabletext"/>
              <w:jc w:val="center"/>
              <w:rPr>
                <w:sz w:val="18"/>
                <w:szCs w:val="18"/>
                <w:lang w:val="es-ES_tradnl"/>
              </w:rPr>
            </w:pPr>
            <w:r w:rsidRPr="008B7A21">
              <w:rPr>
                <w:sz w:val="18"/>
                <w:szCs w:val="18"/>
                <w:lang w:val="es-ES_tradnl"/>
              </w:rPr>
              <w:t>39</w:t>
            </w:r>
          </w:p>
        </w:tc>
        <w:tc>
          <w:tcPr>
            <w:tcW w:w="765" w:type="dxa"/>
          </w:tcPr>
          <w:p w14:paraId="08C65FE6" w14:textId="77777777" w:rsidR="00F73D5B" w:rsidRPr="008B7A21" w:rsidRDefault="00F73D5B" w:rsidP="00767A6A">
            <w:pPr>
              <w:pStyle w:val="Tabletext"/>
              <w:jc w:val="center"/>
              <w:rPr>
                <w:sz w:val="18"/>
                <w:szCs w:val="18"/>
                <w:lang w:val="es-ES_tradnl"/>
              </w:rPr>
            </w:pPr>
            <w:r w:rsidRPr="008B7A21">
              <w:rPr>
                <w:sz w:val="18"/>
                <w:szCs w:val="18"/>
                <w:lang w:val="es-ES_tradnl"/>
              </w:rPr>
              <w:t>46</w:t>
            </w:r>
          </w:p>
        </w:tc>
        <w:tc>
          <w:tcPr>
            <w:tcW w:w="765" w:type="dxa"/>
          </w:tcPr>
          <w:p w14:paraId="3D59A7BD" w14:textId="77777777" w:rsidR="00F73D5B" w:rsidRPr="008B7A21" w:rsidRDefault="00F73D5B" w:rsidP="00767A6A">
            <w:pPr>
              <w:pStyle w:val="Tabletext"/>
              <w:jc w:val="center"/>
              <w:rPr>
                <w:sz w:val="18"/>
                <w:szCs w:val="18"/>
                <w:lang w:val="es-ES_tradnl"/>
              </w:rPr>
            </w:pPr>
            <w:r w:rsidRPr="008B7A21">
              <w:rPr>
                <w:sz w:val="18"/>
                <w:szCs w:val="18"/>
                <w:lang w:val="es-ES_tradnl"/>
              </w:rPr>
              <w:t>52</w:t>
            </w:r>
          </w:p>
        </w:tc>
        <w:tc>
          <w:tcPr>
            <w:tcW w:w="765" w:type="dxa"/>
          </w:tcPr>
          <w:p w14:paraId="3384C571" w14:textId="77777777" w:rsidR="00F73D5B" w:rsidRPr="008B7A21" w:rsidRDefault="00F73D5B" w:rsidP="00767A6A">
            <w:pPr>
              <w:pStyle w:val="Tabletext"/>
              <w:jc w:val="center"/>
              <w:rPr>
                <w:sz w:val="18"/>
                <w:szCs w:val="18"/>
                <w:lang w:val="es-ES_tradnl"/>
              </w:rPr>
            </w:pPr>
            <w:r w:rsidRPr="008B7A21">
              <w:rPr>
                <w:sz w:val="18"/>
                <w:szCs w:val="18"/>
                <w:lang w:val="es-ES_tradnl"/>
              </w:rPr>
              <w:t>60</w:t>
            </w:r>
          </w:p>
        </w:tc>
        <w:tc>
          <w:tcPr>
            <w:tcW w:w="765" w:type="dxa"/>
          </w:tcPr>
          <w:p w14:paraId="07975A58" w14:textId="77777777" w:rsidR="00F73D5B" w:rsidRPr="008B7A21" w:rsidRDefault="00F73D5B" w:rsidP="00767A6A">
            <w:pPr>
              <w:pStyle w:val="Tabletext"/>
              <w:jc w:val="center"/>
              <w:rPr>
                <w:sz w:val="18"/>
                <w:szCs w:val="18"/>
                <w:lang w:val="es-ES_tradnl"/>
              </w:rPr>
            </w:pPr>
            <w:r w:rsidRPr="008B7A21">
              <w:rPr>
                <w:sz w:val="18"/>
                <w:szCs w:val="18"/>
                <w:lang w:val="es-ES_tradnl"/>
              </w:rPr>
              <w:t>67</w:t>
            </w:r>
          </w:p>
        </w:tc>
        <w:tc>
          <w:tcPr>
            <w:tcW w:w="765" w:type="dxa"/>
          </w:tcPr>
          <w:p w14:paraId="547190B9" w14:textId="77777777" w:rsidR="00F73D5B" w:rsidRPr="008B7A21" w:rsidRDefault="00F73D5B" w:rsidP="00767A6A">
            <w:pPr>
              <w:pStyle w:val="Tabletext"/>
              <w:jc w:val="center"/>
              <w:rPr>
                <w:sz w:val="18"/>
                <w:szCs w:val="18"/>
                <w:lang w:val="es-ES_tradnl"/>
              </w:rPr>
            </w:pPr>
            <w:r w:rsidRPr="008B7A21">
              <w:rPr>
                <w:sz w:val="18"/>
                <w:szCs w:val="18"/>
                <w:lang w:val="es-ES_tradnl"/>
              </w:rPr>
              <w:t>72</w:t>
            </w:r>
          </w:p>
        </w:tc>
        <w:tc>
          <w:tcPr>
            <w:tcW w:w="765" w:type="dxa"/>
          </w:tcPr>
          <w:p w14:paraId="23C9F03C" w14:textId="77777777" w:rsidR="00F73D5B" w:rsidRPr="008B7A21" w:rsidRDefault="00F73D5B" w:rsidP="00767A6A">
            <w:pPr>
              <w:pStyle w:val="Tabletext"/>
              <w:jc w:val="center"/>
              <w:rPr>
                <w:sz w:val="18"/>
                <w:szCs w:val="18"/>
                <w:lang w:val="es-ES_tradnl"/>
              </w:rPr>
            </w:pPr>
            <w:r w:rsidRPr="008B7A21">
              <w:rPr>
                <w:sz w:val="18"/>
                <w:szCs w:val="18"/>
                <w:lang w:val="es-ES_tradnl"/>
              </w:rPr>
              <w:t>76</w:t>
            </w:r>
          </w:p>
        </w:tc>
        <w:tc>
          <w:tcPr>
            <w:tcW w:w="765" w:type="dxa"/>
          </w:tcPr>
          <w:p w14:paraId="1511FE46" w14:textId="77777777" w:rsidR="00F73D5B" w:rsidRPr="008B7A21" w:rsidRDefault="00F73D5B" w:rsidP="00767A6A">
            <w:pPr>
              <w:pStyle w:val="Tabletext"/>
              <w:jc w:val="center"/>
              <w:rPr>
                <w:sz w:val="18"/>
                <w:szCs w:val="18"/>
                <w:lang w:val="es-ES_tradnl"/>
              </w:rPr>
            </w:pPr>
            <w:r w:rsidRPr="008B7A21">
              <w:rPr>
                <w:sz w:val="18"/>
                <w:szCs w:val="18"/>
                <w:lang w:val="es-ES_tradnl"/>
              </w:rPr>
              <w:t>81</w:t>
            </w:r>
          </w:p>
        </w:tc>
        <w:tc>
          <w:tcPr>
            <w:tcW w:w="765" w:type="dxa"/>
          </w:tcPr>
          <w:p w14:paraId="6E547A0D" w14:textId="77777777" w:rsidR="00F73D5B" w:rsidRPr="008B7A21" w:rsidRDefault="00F73D5B" w:rsidP="00767A6A">
            <w:pPr>
              <w:pStyle w:val="Tabletext"/>
              <w:jc w:val="center"/>
              <w:rPr>
                <w:sz w:val="18"/>
                <w:szCs w:val="18"/>
                <w:lang w:val="es-ES_tradnl"/>
              </w:rPr>
            </w:pPr>
            <w:r w:rsidRPr="008B7A21">
              <w:rPr>
                <w:sz w:val="18"/>
                <w:szCs w:val="18"/>
                <w:lang w:val="es-ES_tradnl"/>
              </w:rPr>
              <w:t>85</w:t>
            </w:r>
          </w:p>
        </w:tc>
        <w:tc>
          <w:tcPr>
            <w:tcW w:w="879" w:type="dxa"/>
          </w:tcPr>
          <w:p w14:paraId="39DB2E86" w14:textId="77777777" w:rsidR="00F73D5B" w:rsidRPr="008B7A21" w:rsidRDefault="00F73D5B" w:rsidP="00767A6A">
            <w:pPr>
              <w:pStyle w:val="Tabletext"/>
              <w:jc w:val="center"/>
              <w:rPr>
                <w:sz w:val="18"/>
                <w:szCs w:val="18"/>
                <w:lang w:val="es-ES_tradnl"/>
              </w:rPr>
            </w:pPr>
            <w:r w:rsidRPr="008B7A21">
              <w:rPr>
                <w:sz w:val="18"/>
                <w:szCs w:val="18"/>
                <w:lang w:val="es-ES_tradnl"/>
              </w:rPr>
              <w:t>92</w:t>
            </w:r>
          </w:p>
        </w:tc>
      </w:tr>
    </w:tbl>
    <w:p w14:paraId="6675F6A5" w14:textId="77777777" w:rsidR="00F73D5B" w:rsidRPr="008B7A21" w:rsidRDefault="00F73D5B" w:rsidP="00F73D5B">
      <w:pPr>
        <w:pStyle w:val="Tablefin"/>
        <w:rPr>
          <w:lang w:val="es-ES_tradnl"/>
        </w:rPr>
      </w:pPr>
    </w:p>
    <w:p w14:paraId="56840F9A" w14:textId="77777777" w:rsidR="00F73D5B" w:rsidRPr="008B7A21" w:rsidRDefault="00F73D5B" w:rsidP="00F73D5B">
      <w:pPr>
        <w:pStyle w:val="Headingb"/>
        <w:rPr>
          <w:lang w:val="es-ES_tradnl"/>
        </w:rPr>
      </w:pPr>
      <w:bookmarkStart w:id="1366" w:name="_Toc307922615"/>
      <w:bookmarkStart w:id="1367" w:name="_Toc307991964"/>
      <w:bookmarkStart w:id="1368" w:name="_Toc307993997"/>
      <w:bookmarkStart w:id="1369" w:name="_Toc307996403"/>
      <w:bookmarkStart w:id="1370" w:name="_Toc499563041"/>
      <w:r w:rsidRPr="008B7A21">
        <w:rPr>
          <w:lang w:val="es-ES_tradnl"/>
        </w:rPr>
        <w:t>b)</w:t>
      </w:r>
      <w:r w:rsidRPr="008B7A21">
        <w:rPr>
          <w:lang w:val="es-ES_tradnl"/>
        </w:rPr>
        <w:tab/>
        <w:t>Cálculo de la altura efectiva de la antena</w:t>
      </w:r>
      <w:bookmarkEnd w:id="1366"/>
      <w:bookmarkEnd w:id="1367"/>
      <w:bookmarkEnd w:id="1368"/>
      <w:bookmarkEnd w:id="1369"/>
      <w:bookmarkEnd w:id="1370"/>
      <w:r w:rsidRPr="008B7A21">
        <w:rPr>
          <w:lang w:val="es-ES_tradnl"/>
        </w:rPr>
        <w:t xml:space="preserve"> </w:t>
      </w:r>
    </w:p>
    <w:p w14:paraId="235763DC" w14:textId="77777777" w:rsidR="00F73D5B" w:rsidRPr="008B7A21" w:rsidRDefault="00F73D5B" w:rsidP="00F73D5B">
      <w:pPr>
        <w:keepNext/>
        <w:keepLines/>
        <w:rPr>
          <w:lang w:val="es-ES_tradnl"/>
        </w:rPr>
      </w:pPr>
      <w:r w:rsidRPr="008B7A21">
        <w:rPr>
          <w:lang w:val="es-ES_tradnl"/>
        </w:rPr>
        <w:t xml:space="preserve">Ya se ha mencionado que la altura efectiva de la antena transmisora </w:t>
      </w:r>
      <w:r w:rsidRPr="008B7A21">
        <w:rPr>
          <w:i/>
          <w:iCs/>
          <w:lang w:val="es-ES_tradnl"/>
        </w:rPr>
        <w:t>h</w:t>
      </w:r>
      <w:r w:rsidRPr="008B7A21">
        <w:rPr>
          <w:i/>
          <w:iCs/>
          <w:vertAlign w:val="subscript"/>
          <w:lang w:val="es-ES_tradnl"/>
        </w:rPr>
        <w:t>ef</w:t>
      </w:r>
      <w:r w:rsidRPr="008B7A21">
        <w:rPr>
          <w:lang w:val="es-ES_tradnl"/>
        </w:rPr>
        <w:t xml:space="preserve"> se determina como su altura sobre el nivel medio del suelo entre las distancias de 3 km y 15 km desde el transmisor en dirección del receptor (véase la Fig. 4); es decir:</w:t>
      </w:r>
    </w:p>
    <w:p w14:paraId="6A9EAB63" w14:textId="1B0F5443" w:rsidR="00F73D5B" w:rsidRPr="008B7A21" w:rsidRDefault="00F73D5B" w:rsidP="00F73D5B">
      <w:pPr>
        <w:pStyle w:val="Equation"/>
        <w:keepNext/>
        <w:keepLines/>
        <w:rPr>
          <w:lang w:val="es-ES_tradnl"/>
        </w:rPr>
      </w:pPr>
      <w:r w:rsidRPr="008B7A21">
        <w:rPr>
          <w:lang w:val="es-ES_tradnl"/>
        </w:rPr>
        <w:tab/>
      </w:r>
      <w:r w:rsidRPr="008B7A21">
        <w:rPr>
          <w:lang w:val="es-ES_tradnl"/>
        </w:rPr>
        <w:tab/>
      </w:r>
      <w:r w:rsidRPr="008B7A21">
        <w:rPr>
          <w:i/>
          <w:iCs/>
          <w:lang w:val="es-ES_tradnl"/>
        </w:rPr>
        <w:t>h</w:t>
      </w:r>
      <w:r w:rsidRPr="008B7A21">
        <w:rPr>
          <w:i/>
          <w:iCs/>
          <w:vertAlign w:val="subscript"/>
          <w:lang w:val="es-ES_tradnl"/>
        </w:rPr>
        <w:t>ef</w:t>
      </w:r>
      <w:r w:rsidRPr="008B7A21">
        <w:rPr>
          <w:lang w:val="es-ES_tradnl"/>
        </w:rPr>
        <w:t xml:space="preserve">  </w:t>
      </w:r>
      <w:r w:rsidR="00386EEF">
        <w:rPr>
          <w:lang w:val="es-ES_tradnl"/>
        </w:rPr>
        <w:t>=</w:t>
      </w:r>
      <w:r w:rsidRPr="008B7A21">
        <w:rPr>
          <w:lang w:val="es-ES_tradnl"/>
        </w:rPr>
        <w:t xml:space="preserve"> </w:t>
      </w:r>
      <w:r w:rsidRPr="008B7A21">
        <w:rPr>
          <w:i/>
          <w:iCs/>
          <w:lang w:val="es-ES_tradnl"/>
        </w:rPr>
        <w:t>h</w:t>
      </w:r>
      <w:r w:rsidRPr="008B7A21">
        <w:rPr>
          <w:i/>
          <w:iCs/>
          <w:vertAlign w:val="subscript"/>
          <w:lang w:val="es-ES_tradnl"/>
        </w:rPr>
        <w:t>s</w:t>
      </w:r>
      <w:r w:rsidRPr="008B7A21">
        <w:rPr>
          <w:lang w:val="es-ES_tradnl"/>
        </w:rPr>
        <w:t xml:space="preserve"> – </w:t>
      </w:r>
      <w:r w:rsidRPr="008B7A21">
        <w:rPr>
          <w:i/>
          <w:iCs/>
          <w:lang w:val="es-ES_tradnl"/>
        </w:rPr>
        <w:t>h</w:t>
      </w:r>
      <w:r w:rsidRPr="008B7A21">
        <w:rPr>
          <w:i/>
          <w:iCs/>
          <w:vertAlign w:val="subscript"/>
          <w:lang w:val="es-ES_tradnl"/>
        </w:rPr>
        <w:t>av</w:t>
      </w:r>
      <w:r w:rsidRPr="008B7A21">
        <w:rPr>
          <w:lang w:val="es-ES_tradnl"/>
        </w:rPr>
        <w:tab/>
        <w:t>(30)</w:t>
      </w:r>
    </w:p>
    <w:p w14:paraId="6421E535" w14:textId="77777777" w:rsidR="00F73D5B" w:rsidRPr="008B7A21" w:rsidRDefault="00F73D5B" w:rsidP="00F73D5B">
      <w:pPr>
        <w:rPr>
          <w:lang w:val="es-ES_tradnl"/>
        </w:rPr>
      </w:pPr>
      <w:r w:rsidRPr="008B7A21">
        <w:rPr>
          <w:lang w:val="es-ES_tradnl"/>
        </w:rPr>
        <w:t>siendo:</w:t>
      </w:r>
    </w:p>
    <w:p w14:paraId="0362FFD8" w14:textId="77777777" w:rsidR="00F73D5B" w:rsidRPr="008B7A21" w:rsidRDefault="00F73D5B" w:rsidP="00F73D5B">
      <w:pPr>
        <w:pStyle w:val="Equationlegend"/>
        <w:rPr>
          <w:lang w:val="es-ES_tradnl"/>
        </w:rPr>
      </w:pPr>
      <w:r w:rsidRPr="008B7A21">
        <w:rPr>
          <w:i/>
          <w:iCs/>
          <w:lang w:val="es-ES_tradnl"/>
        </w:rPr>
        <w:tab/>
        <w:t>h</w:t>
      </w:r>
      <w:r w:rsidRPr="008B7A21">
        <w:rPr>
          <w:i/>
          <w:iCs/>
          <w:vertAlign w:val="subscript"/>
          <w:lang w:val="es-ES_tradnl"/>
        </w:rPr>
        <w:t>s</w:t>
      </w:r>
      <w:r w:rsidRPr="008B7A21">
        <w:rPr>
          <w:lang w:val="es-ES_tradnl"/>
        </w:rPr>
        <w:t>:</w:t>
      </w:r>
      <w:r w:rsidRPr="008B7A21">
        <w:rPr>
          <w:lang w:val="es-ES_tradnl"/>
        </w:rPr>
        <w:tab/>
        <w:t>altura de la antena sobre el nivel del mar (es decir, la altura del mástil de antena más la altura del suelo sobre el nivel del mar en el lugar de la instalación)</w:t>
      </w:r>
    </w:p>
    <w:p w14:paraId="07FDAFEE" w14:textId="77777777" w:rsidR="00F73D5B" w:rsidRPr="008B7A21" w:rsidRDefault="00F73D5B" w:rsidP="00F73D5B">
      <w:pPr>
        <w:pStyle w:val="Equationlegend"/>
        <w:rPr>
          <w:lang w:val="es-ES_tradnl"/>
        </w:rPr>
      </w:pPr>
      <w:r w:rsidRPr="008B7A21">
        <w:rPr>
          <w:lang w:val="es-ES_tradnl"/>
        </w:rPr>
        <w:tab/>
      </w:r>
      <w:r w:rsidRPr="008B7A21">
        <w:rPr>
          <w:i/>
          <w:iCs/>
          <w:lang w:val="es-ES_tradnl"/>
        </w:rPr>
        <w:t>h</w:t>
      </w:r>
      <w:r w:rsidRPr="008B7A21">
        <w:rPr>
          <w:i/>
          <w:iCs/>
          <w:vertAlign w:val="subscript"/>
          <w:lang w:val="es-ES_tradnl"/>
        </w:rPr>
        <w:t>av</w:t>
      </w:r>
      <w:r w:rsidRPr="008B7A21">
        <w:rPr>
          <w:lang w:val="es-ES_tradnl"/>
        </w:rPr>
        <w:t>:</w:t>
      </w:r>
      <w:r w:rsidRPr="008B7A21">
        <w:rPr>
          <w:lang w:val="es-ES_tradnl"/>
        </w:rPr>
        <w:tab/>
        <w:t>nivel medio del suelo entre las distancias de 3 km y 15 km desde el transmisor.</w:t>
      </w:r>
    </w:p>
    <w:p w14:paraId="2A52E241" w14:textId="77777777" w:rsidR="00F73D5B" w:rsidRPr="008B7A21" w:rsidRDefault="00F73D5B" w:rsidP="00F73D5B">
      <w:pPr>
        <w:rPr>
          <w:lang w:val="es-ES_tradnl"/>
        </w:rPr>
      </w:pPr>
      <w:r w:rsidRPr="008B7A21">
        <w:rPr>
          <w:lang w:val="es-ES_tradnl"/>
        </w:rPr>
        <w:t>Es fundamental tener en cuenta la altura efectiva de la antena y no la altura física (altura del mástil) debido a que las antenas se instalan frecuentemente en la cima de colinas cuyas alturas pueden ser comparables, o incluso superiores, a la del mástil (véase la Fig. 4). El nivel medio del suelo entre las distancias de 3 km y 15 km desde el transmisor se calcula con los mapas del terreno correspondientes (preferentemente con escalas 1:200 000 a 1:500 000). Utilizando el mapa deben realizarse lecturas de la altura del terreno a lo largo de una dirección cada 1 ó 2 km entre las distancias de 3 km y 15 km desde el transmisor y el nivel medio se calcula sumando todas las lecturas y dividiendo esa cantidad por el número de lecturas.</w:t>
      </w:r>
    </w:p>
    <w:p w14:paraId="48BE9235" w14:textId="77777777" w:rsidR="00F73D5B" w:rsidRPr="008B7A21" w:rsidRDefault="00F73D5B" w:rsidP="00F73D5B">
      <w:pPr>
        <w:pStyle w:val="FigureNo"/>
        <w:rPr>
          <w:lang w:val="es-ES_tradnl"/>
        </w:rPr>
      </w:pPr>
      <w:r w:rsidRPr="008B7A21">
        <w:rPr>
          <w:lang w:val="es-ES_tradnl"/>
        </w:rPr>
        <w:t>Figura 4</w:t>
      </w:r>
    </w:p>
    <w:p w14:paraId="51FBD6BE" w14:textId="77777777" w:rsidR="00F73D5B" w:rsidRPr="008B7A21" w:rsidRDefault="00F73D5B" w:rsidP="00F73D5B">
      <w:pPr>
        <w:pStyle w:val="Figuretitle"/>
        <w:rPr>
          <w:lang w:val="es-ES_tradnl"/>
        </w:rPr>
      </w:pPr>
      <w:r w:rsidRPr="008B7A21">
        <w:rPr>
          <w:lang w:val="es-ES_tradnl"/>
        </w:rPr>
        <w:t>Determinación de la altura efectiva de la antena</w:t>
      </w:r>
    </w:p>
    <w:p w14:paraId="456A088C" w14:textId="57943F86" w:rsidR="00F73D5B" w:rsidRPr="008B7A21" w:rsidRDefault="002A1F3D" w:rsidP="00F73D5B">
      <w:pPr>
        <w:pStyle w:val="Figure"/>
        <w:rPr>
          <w:lang w:val="es-ES_tradnl"/>
        </w:rPr>
      </w:pPr>
      <w:r w:rsidRPr="008B7A21">
        <w:rPr>
          <w:lang w:val="es-ES_tradnl"/>
        </w:rPr>
        <w:object w:dxaOrig="5002" w:dyaOrig="2660" w14:anchorId="0B2C8713">
          <v:shape id="_x0000_i1665" type="#_x0000_t75" alt="La Figura 4 muestra la determinación de la altura efectiva de la antena" style="width:411.05pt;height:3in;mso-position-vertical:absolute" o:ole="">
            <v:imagedata r:id="rId35" o:title=""/>
          </v:shape>
          <o:OLEObject Type="Embed" ProgID="CorelDRAW.Graphic.14" ShapeID="_x0000_i1665" DrawAspect="Content" ObjectID="_1826705874" r:id="rId36"/>
        </w:object>
      </w:r>
    </w:p>
    <w:p w14:paraId="0FD6AE51" w14:textId="77777777" w:rsidR="00F73D5B" w:rsidRPr="008B7A21" w:rsidRDefault="00F73D5B" w:rsidP="00F73D5B">
      <w:pPr>
        <w:pStyle w:val="Blanc"/>
        <w:rPr>
          <w:lang w:val="es-ES_tradnl"/>
        </w:rPr>
      </w:pPr>
    </w:p>
    <w:p w14:paraId="39EA0988" w14:textId="77777777" w:rsidR="00F73D5B" w:rsidRPr="008B7A21" w:rsidRDefault="00F73D5B" w:rsidP="00F73D5B">
      <w:pPr>
        <w:rPr>
          <w:lang w:val="es-ES_tradnl"/>
        </w:rPr>
      </w:pPr>
      <w:r w:rsidRPr="008B7A21">
        <w:rPr>
          <w:lang w:val="es-ES_tradnl"/>
        </w:rPr>
        <w:t>Es evidente que incluso para las antenas transmisoras no directivas utilizadas, una zona de servicio real normalmente no será circular y los niveles medios del suelo entre las distancias de 3 km y 15 km desde el transmisor en varias direcciones serán distintos, por lo que las alturas efectivas de antena pertinentes también serán diferentes. No obstante, a efectos del modelo de cálculo de los cánones de licencia se supone que la zona de servicio es circular basándose en el cálculo de la altura efectiva de antena en una dirección.</w:t>
      </w:r>
    </w:p>
    <w:p w14:paraId="627C7168" w14:textId="4C139B77" w:rsidR="00F73D5B" w:rsidRPr="008B7A21" w:rsidRDefault="00F73D5B" w:rsidP="00F73D5B">
      <w:pPr>
        <w:rPr>
          <w:lang w:val="es-ES_tradnl"/>
        </w:rPr>
      </w:pPr>
      <w:r w:rsidRPr="008B7A21">
        <w:rPr>
          <w:lang w:val="es-ES_tradnl"/>
        </w:rPr>
        <w:t>Si una administración desea aumentar la precisión de los cálculos en los casos de perfiles de terreno variables en diferentes direcciones desde la antena, puede calcularse un valor medio de la altura efectiva de la antena de acuerdo con sus cuatro valores en las direcciones Norte, Sur, Este y Oeste desde la antena. En el Cuadro 11 se presentan ejemplos de cálculo.</w:t>
      </w:r>
    </w:p>
    <w:p w14:paraId="5B179C2A" w14:textId="39B69172" w:rsidR="00F73D5B" w:rsidRPr="008B7A21" w:rsidRDefault="00F73D5B" w:rsidP="00F73D5B">
      <w:pPr>
        <w:pStyle w:val="TableNo"/>
        <w:keepLines/>
        <w:rPr>
          <w:lang w:val="es-ES_tradnl"/>
        </w:rPr>
      </w:pPr>
      <w:r w:rsidRPr="008B7A21">
        <w:rPr>
          <w:lang w:val="es-ES_tradnl"/>
        </w:rPr>
        <w:t>CUADRO 11</w:t>
      </w:r>
    </w:p>
    <w:p w14:paraId="33CEDAFD" w14:textId="77777777" w:rsidR="00F73D5B" w:rsidRPr="008B7A21" w:rsidRDefault="00F73D5B" w:rsidP="00F73D5B">
      <w:pPr>
        <w:pStyle w:val="Tabletitle"/>
        <w:keepLines/>
        <w:rPr>
          <w:lang w:val="es-ES_tradnl"/>
        </w:rPr>
      </w:pPr>
      <w:r w:rsidRPr="008B7A21">
        <w:rPr>
          <w:lang w:val="es-ES_tradnl"/>
        </w:rPr>
        <w:t>Ejemplo de cálculo de altura efectiva de la antena en el caso de un terreno no regular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3729"/>
        <w:gridCol w:w="1262"/>
        <w:gridCol w:w="1262"/>
        <w:gridCol w:w="1262"/>
        <w:gridCol w:w="1264"/>
      </w:tblGrid>
      <w:tr w:rsidR="00F73D5B" w:rsidRPr="008B7A21" w14:paraId="14DD1FD2" w14:textId="77777777" w:rsidTr="002E47E2">
        <w:trPr>
          <w:jc w:val="center"/>
        </w:trPr>
        <w:tc>
          <w:tcPr>
            <w:tcW w:w="850" w:type="dxa"/>
            <w:vMerge w:val="restart"/>
            <w:vAlign w:val="center"/>
          </w:tcPr>
          <w:p w14:paraId="21B3ECAF" w14:textId="77777777" w:rsidR="00F73D5B" w:rsidRPr="008B7A21" w:rsidRDefault="00F73D5B" w:rsidP="00767A6A">
            <w:pPr>
              <w:pStyle w:val="Tablehead"/>
              <w:keepLines/>
              <w:rPr>
                <w:lang w:val="es-ES_tradnl"/>
              </w:rPr>
            </w:pPr>
            <w:r w:rsidRPr="008B7A21">
              <w:rPr>
                <w:lang w:val="es-ES_tradnl"/>
              </w:rPr>
              <w:t>N.°</w:t>
            </w:r>
          </w:p>
        </w:tc>
        <w:tc>
          <w:tcPr>
            <w:tcW w:w="3685" w:type="dxa"/>
            <w:vMerge w:val="restart"/>
            <w:vAlign w:val="center"/>
          </w:tcPr>
          <w:p w14:paraId="0E8BC813" w14:textId="77777777" w:rsidR="00F73D5B" w:rsidRPr="008B7A21" w:rsidRDefault="00F73D5B" w:rsidP="00767A6A">
            <w:pPr>
              <w:pStyle w:val="Tablehead"/>
              <w:keepLines/>
              <w:rPr>
                <w:lang w:val="es-ES_tradnl"/>
              </w:rPr>
            </w:pPr>
            <w:r w:rsidRPr="008B7A21">
              <w:rPr>
                <w:lang w:val="es-ES_tradnl"/>
              </w:rPr>
              <w:t>Distancia desde la antena</w:t>
            </w:r>
            <w:r w:rsidRPr="008B7A21">
              <w:rPr>
                <w:lang w:val="es-ES_tradnl"/>
              </w:rPr>
              <w:br/>
              <w:t>(km)</w:t>
            </w:r>
          </w:p>
        </w:tc>
        <w:tc>
          <w:tcPr>
            <w:tcW w:w="4990" w:type="dxa"/>
            <w:gridSpan w:val="4"/>
            <w:vAlign w:val="center"/>
          </w:tcPr>
          <w:p w14:paraId="238733DB" w14:textId="77777777" w:rsidR="00F73D5B" w:rsidRPr="008B7A21" w:rsidRDefault="00F73D5B" w:rsidP="00767A6A">
            <w:pPr>
              <w:pStyle w:val="Tablehead"/>
              <w:keepLines/>
              <w:rPr>
                <w:lang w:val="es-ES_tradnl"/>
              </w:rPr>
            </w:pPr>
            <w:r w:rsidRPr="008B7A21">
              <w:rPr>
                <w:lang w:val="es-ES_tradnl"/>
              </w:rPr>
              <w:t>Alturas del suelo</w:t>
            </w:r>
            <w:r w:rsidRPr="008B7A21">
              <w:rPr>
                <w:lang w:val="es-ES_tradnl"/>
              </w:rPr>
              <w:br/>
              <w:t>(m)</w:t>
            </w:r>
          </w:p>
        </w:tc>
      </w:tr>
      <w:tr w:rsidR="00F73D5B" w:rsidRPr="008B7A21" w14:paraId="18F77318" w14:textId="77777777" w:rsidTr="002E47E2">
        <w:trPr>
          <w:jc w:val="center"/>
        </w:trPr>
        <w:tc>
          <w:tcPr>
            <w:tcW w:w="850" w:type="dxa"/>
            <w:vMerge/>
            <w:vAlign w:val="center"/>
          </w:tcPr>
          <w:p w14:paraId="021A64CE" w14:textId="77777777" w:rsidR="00F73D5B" w:rsidRPr="008B7A21" w:rsidRDefault="00F73D5B" w:rsidP="00767A6A">
            <w:pPr>
              <w:pStyle w:val="Tablehead"/>
              <w:keepLines/>
              <w:rPr>
                <w:lang w:val="es-ES_tradnl"/>
              </w:rPr>
            </w:pPr>
          </w:p>
        </w:tc>
        <w:tc>
          <w:tcPr>
            <w:tcW w:w="3685" w:type="dxa"/>
            <w:vMerge/>
            <w:vAlign w:val="center"/>
          </w:tcPr>
          <w:p w14:paraId="4999D813" w14:textId="77777777" w:rsidR="00F73D5B" w:rsidRPr="008B7A21" w:rsidRDefault="00F73D5B" w:rsidP="00767A6A">
            <w:pPr>
              <w:pStyle w:val="Tablehead"/>
              <w:keepLines/>
              <w:rPr>
                <w:lang w:val="es-ES_tradnl"/>
              </w:rPr>
            </w:pPr>
          </w:p>
        </w:tc>
        <w:tc>
          <w:tcPr>
            <w:tcW w:w="1247" w:type="dxa"/>
            <w:vAlign w:val="center"/>
          </w:tcPr>
          <w:p w14:paraId="2E03354F" w14:textId="77777777" w:rsidR="00F73D5B" w:rsidRPr="008B7A21" w:rsidRDefault="00F73D5B" w:rsidP="00767A6A">
            <w:pPr>
              <w:pStyle w:val="Tablehead"/>
              <w:keepLines/>
              <w:rPr>
                <w:lang w:val="es-ES_tradnl"/>
              </w:rPr>
            </w:pPr>
            <w:r w:rsidRPr="008B7A21">
              <w:rPr>
                <w:lang w:val="es-ES_tradnl"/>
              </w:rPr>
              <w:t>Norte</w:t>
            </w:r>
          </w:p>
        </w:tc>
        <w:tc>
          <w:tcPr>
            <w:tcW w:w="1247" w:type="dxa"/>
            <w:vAlign w:val="center"/>
          </w:tcPr>
          <w:p w14:paraId="4C20F177" w14:textId="77777777" w:rsidR="00F73D5B" w:rsidRPr="008B7A21" w:rsidRDefault="00F73D5B" w:rsidP="00767A6A">
            <w:pPr>
              <w:pStyle w:val="Tablehead"/>
              <w:keepLines/>
              <w:rPr>
                <w:lang w:val="es-ES_tradnl"/>
              </w:rPr>
            </w:pPr>
            <w:r w:rsidRPr="008B7A21">
              <w:rPr>
                <w:lang w:val="es-ES_tradnl"/>
              </w:rPr>
              <w:t>Sur</w:t>
            </w:r>
          </w:p>
        </w:tc>
        <w:tc>
          <w:tcPr>
            <w:tcW w:w="1247" w:type="dxa"/>
            <w:vAlign w:val="center"/>
          </w:tcPr>
          <w:p w14:paraId="26DC2CF0" w14:textId="77777777" w:rsidR="00F73D5B" w:rsidRPr="008B7A21" w:rsidRDefault="00F73D5B" w:rsidP="00767A6A">
            <w:pPr>
              <w:pStyle w:val="Tablehead"/>
              <w:keepLines/>
              <w:rPr>
                <w:lang w:val="es-ES_tradnl"/>
              </w:rPr>
            </w:pPr>
            <w:r w:rsidRPr="008B7A21">
              <w:rPr>
                <w:lang w:val="es-ES_tradnl"/>
              </w:rPr>
              <w:t>Este</w:t>
            </w:r>
          </w:p>
        </w:tc>
        <w:tc>
          <w:tcPr>
            <w:tcW w:w="1249" w:type="dxa"/>
            <w:vAlign w:val="center"/>
          </w:tcPr>
          <w:p w14:paraId="67B4AA55" w14:textId="77777777" w:rsidR="00F73D5B" w:rsidRPr="008B7A21" w:rsidRDefault="00F73D5B" w:rsidP="00767A6A">
            <w:pPr>
              <w:pStyle w:val="Tablehead"/>
              <w:keepLines/>
              <w:rPr>
                <w:lang w:val="es-ES_tradnl"/>
              </w:rPr>
            </w:pPr>
            <w:r w:rsidRPr="008B7A21">
              <w:rPr>
                <w:lang w:val="es-ES_tradnl"/>
              </w:rPr>
              <w:t>Oeste</w:t>
            </w:r>
          </w:p>
        </w:tc>
      </w:tr>
      <w:tr w:rsidR="00F73D5B" w:rsidRPr="008B7A21" w14:paraId="4429016F" w14:textId="77777777" w:rsidTr="002E47E2">
        <w:trPr>
          <w:jc w:val="center"/>
        </w:trPr>
        <w:tc>
          <w:tcPr>
            <w:tcW w:w="850" w:type="dxa"/>
          </w:tcPr>
          <w:p w14:paraId="68072EFE" w14:textId="77777777" w:rsidR="00F73D5B" w:rsidRPr="008B7A21" w:rsidRDefault="00F73D5B" w:rsidP="00767A6A">
            <w:pPr>
              <w:pStyle w:val="Tabletext"/>
              <w:keepNext/>
              <w:keepLines/>
              <w:jc w:val="center"/>
              <w:rPr>
                <w:lang w:val="es-ES_tradnl"/>
              </w:rPr>
            </w:pPr>
            <w:r w:rsidRPr="008B7A21">
              <w:rPr>
                <w:lang w:val="es-ES_tradnl"/>
              </w:rPr>
              <w:t>1</w:t>
            </w:r>
          </w:p>
        </w:tc>
        <w:tc>
          <w:tcPr>
            <w:tcW w:w="3685" w:type="dxa"/>
          </w:tcPr>
          <w:p w14:paraId="76A2A6DA" w14:textId="77777777" w:rsidR="00F73D5B" w:rsidRPr="008B7A21" w:rsidRDefault="00F73D5B" w:rsidP="00767A6A">
            <w:pPr>
              <w:pStyle w:val="Tabletext"/>
              <w:keepNext/>
              <w:keepLines/>
              <w:jc w:val="center"/>
              <w:rPr>
                <w:lang w:val="es-ES_tradnl"/>
              </w:rPr>
            </w:pPr>
            <w:r w:rsidRPr="008B7A21">
              <w:rPr>
                <w:lang w:val="es-ES_tradnl"/>
              </w:rPr>
              <w:t>3</w:t>
            </w:r>
          </w:p>
        </w:tc>
        <w:tc>
          <w:tcPr>
            <w:tcW w:w="1247" w:type="dxa"/>
          </w:tcPr>
          <w:p w14:paraId="58E7FE91" w14:textId="77777777" w:rsidR="00F73D5B" w:rsidRPr="008B7A21" w:rsidRDefault="00F73D5B" w:rsidP="00767A6A">
            <w:pPr>
              <w:pStyle w:val="Tabletext"/>
              <w:keepNext/>
              <w:keepLines/>
              <w:jc w:val="center"/>
              <w:rPr>
                <w:lang w:val="es-ES_tradnl"/>
              </w:rPr>
            </w:pPr>
            <w:r w:rsidRPr="008B7A21">
              <w:rPr>
                <w:lang w:val="es-ES_tradnl"/>
              </w:rPr>
              <w:fldChar w:fldCharType="begin"/>
            </w:r>
            <w:r w:rsidRPr="008B7A21">
              <w:rPr>
                <w:lang w:val="es-ES_tradnl"/>
              </w:rPr>
              <w:instrText xml:space="preserve"> SUM(down) \# "# ##0" </w:instrText>
            </w:r>
            <w:r w:rsidRPr="008B7A21">
              <w:rPr>
                <w:lang w:val="es-ES_tradnl"/>
              </w:rPr>
              <w:fldChar w:fldCharType="end"/>
            </w:r>
            <w:r w:rsidRPr="008B7A21">
              <w:rPr>
                <w:lang w:val="es-ES_tradnl"/>
              </w:rPr>
              <w:t>250</w:t>
            </w:r>
          </w:p>
        </w:tc>
        <w:tc>
          <w:tcPr>
            <w:tcW w:w="1247" w:type="dxa"/>
          </w:tcPr>
          <w:p w14:paraId="571DE6CD" w14:textId="77777777" w:rsidR="00F73D5B" w:rsidRPr="008B7A21" w:rsidRDefault="00F73D5B" w:rsidP="00767A6A">
            <w:pPr>
              <w:pStyle w:val="Tabletext"/>
              <w:keepNext/>
              <w:keepLines/>
              <w:jc w:val="center"/>
              <w:rPr>
                <w:lang w:val="es-ES_tradnl"/>
              </w:rPr>
            </w:pPr>
            <w:r w:rsidRPr="008B7A21">
              <w:rPr>
                <w:lang w:val="es-ES_tradnl"/>
              </w:rPr>
              <w:t>240</w:t>
            </w:r>
          </w:p>
        </w:tc>
        <w:tc>
          <w:tcPr>
            <w:tcW w:w="1247" w:type="dxa"/>
          </w:tcPr>
          <w:p w14:paraId="312C366B" w14:textId="77777777" w:rsidR="00F73D5B" w:rsidRPr="008B7A21" w:rsidRDefault="00F73D5B" w:rsidP="00767A6A">
            <w:pPr>
              <w:pStyle w:val="Tabletext"/>
              <w:keepNext/>
              <w:keepLines/>
              <w:jc w:val="center"/>
              <w:rPr>
                <w:lang w:val="es-ES_tradnl"/>
              </w:rPr>
            </w:pPr>
            <w:r w:rsidRPr="008B7A21">
              <w:rPr>
                <w:lang w:val="es-ES_tradnl"/>
              </w:rPr>
              <w:t>300</w:t>
            </w:r>
          </w:p>
        </w:tc>
        <w:tc>
          <w:tcPr>
            <w:tcW w:w="1249" w:type="dxa"/>
          </w:tcPr>
          <w:p w14:paraId="08306896" w14:textId="77777777" w:rsidR="00F73D5B" w:rsidRPr="008B7A21" w:rsidRDefault="00F73D5B" w:rsidP="00767A6A">
            <w:pPr>
              <w:pStyle w:val="Tabletext"/>
              <w:keepNext/>
              <w:keepLines/>
              <w:jc w:val="center"/>
              <w:rPr>
                <w:lang w:val="es-ES_tradnl"/>
              </w:rPr>
            </w:pPr>
            <w:r w:rsidRPr="008B7A21">
              <w:rPr>
                <w:lang w:val="es-ES_tradnl"/>
              </w:rPr>
              <w:t>240</w:t>
            </w:r>
          </w:p>
        </w:tc>
      </w:tr>
      <w:tr w:rsidR="00F73D5B" w:rsidRPr="008B7A21" w14:paraId="0F60BE82" w14:textId="77777777" w:rsidTr="002E47E2">
        <w:trPr>
          <w:jc w:val="center"/>
        </w:trPr>
        <w:tc>
          <w:tcPr>
            <w:tcW w:w="850" w:type="dxa"/>
          </w:tcPr>
          <w:p w14:paraId="7428C8FA" w14:textId="77777777" w:rsidR="00F73D5B" w:rsidRPr="008B7A21" w:rsidRDefault="00F73D5B" w:rsidP="00767A6A">
            <w:pPr>
              <w:pStyle w:val="Tabletext"/>
              <w:keepNext/>
              <w:keepLines/>
              <w:jc w:val="center"/>
              <w:rPr>
                <w:lang w:val="es-ES_tradnl"/>
              </w:rPr>
            </w:pPr>
            <w:r w:rsidRPr="008B7A21">
              <w:rPr>
                <w:lang w:val="es-ES_tradnl"/>
              </w:rPr>
              <w:t>2</w:t>
            </w:r>
          </w:p>
        </w:tc>
        <w:tc>
          <w:tcPr>
            <w:tcW w:w="3685" w:type="dxa"/>
          </w:tcPr>
          <w:p w14:paraId="5BB30DDD" w14:textId="77777777" w:rsidR="00F73D5B" w:rsidRPr="008B7A21" w:rsidRDefault="00F73D5B" w:rsidP="00767A6A">
            <w:pPr>
              <w:pStyle w:val="Tabletext"/>
              <w:keepNext/>
              <w:keepLines/>
              <w:jc w:val="center"/>
              <w:rPr>
                <w:lang w:val="es-ES_tradnl"/>
              </w:rPr>
            </w:pPr>
            <w:r w:rsidRPr="008B7A21">
              <w:rPr>
                <w:lang w:val="es-ES_tradnl"/>
              </w:rPr>
              <w:t>4</w:t>
            </w:r>
          </w:p>
        </w:tc>
        <w:tc>
          <w:tcPr>
            <w:tcW w:w="1247" w:type="dxa"/>
          </w:tcPr>
          <w:p w14:paraId="7F27B89D" w14:textId="77777777" w:rsidR="00F73D5B" w:rsidRPr="008B7A21" w:rsidRDefault="00F73D5B" w:rsidP="00767A6A">
            <w:pPr>
              <w:pStyle w:val="Tabletext"/>
              <w:keepNext/>
              <w:keepLines/>
              <w:jc w:val="center"/>
              <w:rPr>
                <w:lang w:val="es-ES_tradnl"/>
              </w:rPr>
            </w:pPr>
            <w:r w:rsidRPr="008B7A21">
              <w:rPr>
                <w:lang w:val="es-ES_tradnl"/>
              </w:rPr>
              <w:t>240</w:t>
            </w:r>
          </w:p>
        </w:tc>
        <w:tc>
          <w:tcPr>
            <w:tcW w:w="1247" w:type="dxa"/>
          </w:tcPr>
          <w:p w14:paraId="31E25D5E" w14:textId="77777777" w:rsidR="00F73D5B" w:rsidRPr="008B7A21" w:rsidRDefault="00F73D5B" w:rsidP="00767A6A">
            <w:pPr>
              <w:pStyle w:val="Tabletext"/>
              <w:keepNext/>
              <w:keepLines/>
              <w:jc w:val="center"/>
              <w:rPr>
                <w:lang w:val="es-ES_tradnl"/>
              </w:rPr>
            </w:pPr>
            <w:r w:rsidRPr="008B7A21">
              <w:rPr>
                <w:lang w:val="es-ES_tradnl"/>
              </w:rPr>
              <w:t>220</w:t>
            </w:r>
          </w:p>
        </w:tc>
        <w:tc>
          <w:tcPr>
            <w:tcW w:w="1247" w:type="dxa"/>
          </w:tcPr>
          <w:p w14:paraId="54249C37" w14:textId="77777777" w:rsidR="00F73D5B" w:rsidRPr="008B7A21" w:rsidRDefault="00F73D5B" w:rsidP="00767A6A">
            <w:pPr>
              <w:pStyle w:val="Tabletext"/>
              <w:keepNext/>
              <w:keepLines/>
              <w:jc w:val="center"/>
              <w:rPr>
                <w:lang w:val="es-ES_tradnl"/>
              </w:rPr>
            </w:pPr>
            <w:r w:rsidRPr="008B7A21">
              <w:rPr>
                <w:lang w:val="es-ES_tradnl"/>
              </w:rPr>
              <w:t>300</w:t>
            </w:r>
          </w:p>
        </w:tc>
        <w:tc>
          <w:tcPr>
            <w:tcW w:w="1249" w:type="dxa"/>
          </w:tcPr>
          <w:p w14:paraId="1B89C53F" w14:textId="77777777" w:rsidR="00F73D5B" w:rsidRPr="008B7A21" w:rsidRDefault="00F73D5B" w:rsidP="00767A6A">
            <w:pPr>
              <w:pStyle w:val="Tabletext"/>
              <w:keepNext/>
              <w:keepLines/>
              <w:jc w:val="center"/>
              <w:rPr>
                <w:lang w:val="es-ES_tradnl"/>
              </w:rPr>
            </w:pPr>
            <w:r w:rsidRPr="008B7A21">
              <w:rPr>
                <w:lang w:val="es-ES_tradnl"/>
              </w:rPr>
              <w:t>220</w:t>
            </w:r>
          </w:p>
        </w:tc>
      </w:tr>
      <w:tr w:rsidR="00F73D5B" w:rsidRPr="008B7A21" w14:paraId="5467CA0F" w14:textId="77777777" w:rsidTr="002E47E2">
        <w:trPr>
          <w:jc w:val="center"/>
        </w:trPr>
        <w:tc>
          <w:tcPr>
            <w:tcW w:w="850" w:type="dxa"/>
          </w:tcPr>
          <w:p w14:paraId="0D7932AF" w14:textId="77777777" w:rsidR="00F73D5B" w:rsidRPr="008B7A21" w:rsidRDefault="00F73D5B" w:rsidP="00767A6A">
            <w:pPr>
              <w:pStyle w:val="Tabletext"/>
              <w:jc w:val="center"/>
              <w:rPr>
                <w:lang w:val="es-ES_tradnl"/>
              </w:rPr>
            </w:pPr>
            <w:r w:rsidRPr="008B7A21">
              <w:rPr>
                <w:lang w:val="es-ES_tradnl"/>
              </w:rPr>
              <w:t>3</w:t>
            </w:r>
          </w:p>
        </w:tc>
        <w:tc>
          <w:tcPr>
            <w:tcW w:w="3685" w:type="dxa"/>
          </w:tcPr>
          <w:p w14:paraId="7D9A128D" w14:textId="77777777" w:rsidR="00F73D5B" w:rsidRPr="008B7A21" w:rsidRDefault="00F73D5B" w:rsidP="00767A6A">
            <w:pPr>
              <w:pStyle w:val="Tabletext"/>
              <w:jc w:val="center"/>
              <w:rPr>
                <w:lang w:val="es-ES_tradnl"/>
              </w:rPr>
            </w:pPr>
            <w:r w:rsidRPr="008B7A21">
              <w:rPr>
                <w:lang w:val="es-ES_tradnl"/>
              </w:rPr>
              <w:t>5</w:t>
            </w:r>
          </w:p>
        </w:tc>
        <w:tc>
          <w:tcPr>
            <w:tcW w:w="1247" w:type="dxa"/>
          </w:tcPr>
          <w:p w14:paraId="1AC6A728" w14:textId="77777777" w:rsidR="00F73D5B" w:rsidRPr="008B7A21" w:rsidRDefault="00F73D5B" w:rsidP="00767A6A">
            <w:pPr>
              <w:pStyle w:val="Tabletext"/>
              <w:jc w:val="center"/>
              <w:rPr>
                <w:lang w:val="es-ES_tradnl"/>
              </w:rPr>
            </w:pPr>
            <w:r w:rsidRPr="008B7A21">
              <w:rPr>
                <w:lang w:val="es-ES_tradnl"/>
              </w:rPr>
              <w:t>220</w:t>
            </w:r>
          </w:p>
        </w:tc>
        <w:tc>
          <w:tcPr>
            <w:tcW w:w="1247" w:type="dxa"/>
          </w:tcPr>
          <w:p w14:paraId="52076DCA" w14:textId="77777777" w:rsidR="00F73D5B" w:rsidRPr="008B7A21" w:rsidRDefault="00F73D5B" w:rsidP="00767A6A">
            <w:pPr>
              <w:pStyle w:val="Tabletext"/>
              <w:jc w:val="center"/>
              <w:rPr>
                <w:lang w:val="es-ES_tradnl"/>
              </w:rPr>
            </w:pPr>
            <w:r w:rsidRPr="008B7A21">
              <w:rPr>
                <w:lang w:val="es-ES_tradnl"/>
              </w:rPr>
              <w:t>180</w:t>
            </w:r>
          </w:p>
        </w:tc>
        <w:tc>
          <w:tcPr>
            <w:tcW w:w="1247" w:type="dxa"/>
          </w:tcPr>
          <w:p w14:paraId="020BCA6F" w14:textId="77777777" w:rsidR="00F73D5B" w:rsidRPr="008B7A21" w:rsidRDefault="00F73D5B" w:rsidP="00767A6A">
            <w:pPr>
              <w:pStyle w:val="Tabletext"/>
              <w:jc w:val="center"/>
              <w:rPr>
                <w:lang w:val="es-ES_tradnl"/>
              </w:rPr>
            </w:pPr>
            <w:r w:rsidRPr="008B7A21">
              <w:rPr>
                <w:lang w:val="es-ES_tradnl"/>
              </w:rPr>
              <w:t>290</w:t>
            </w:r>
          </w:p>
        </w:tc>
        <w:tc>
          <w:tcPr>
            <w:tcW w:w="1249" w:type="dxa"/>
          </w:tcPr>
          <w:p w14:paraId="1961B4F5" w14:textId="77777777" w:rsidR="00F73D5B" w:rsidRPr="008B7A21" w:rsidRDefault="00F73D5B" w:rsidP="00767A6A">
            <w:pPr>
              <w:pStyle w:val="Tabletext"/>
              <w:jc w:val="center"/>
              <w:rPr>
                <w:lang w:val="es-ES_tradnl"/>
              </w:rPr>
            </w:pPr>
            <w:r w:rsidRPr="008B7A21">
              <w:rPr>
                <w:lang w:val="es-ES_tradnl"/>
              </w:rPr>
              <w:t>200</w:t>
            </w:r>
          </w:p>
        </w:tc>
      </w:tr>
      <w:tr w:rsidR="00F73D5B" w:rsidRPr="008B7A21" w14:paraId="0CF1A774" w14:textId="77777777" w:rsidTr="002E47E2">
        <w:trPr>
          <w:jc w:val="center"/>
        </w:trPr>
        <w:tc>
          <w:tcPr>
            <w:tcW w:w="850" w:type="dxa"/>
          </w:tcPr>
          <w:p w14:paraId="2CBF94FD" w14:textId="77777777" w:rsidR="00F73D5B" w:rsidRPr="008B7A21" w:rsidRDefault="00F73D5B" w:rsidP="00767A6A">
            <w:pPr>
              <w:pStyle w:val="Tabletext"/>
              <w:jc w:val="center"/>
              <w:rPr>
                <w:lang w:val="es-ES_tradnl"/>
              </w:rPr>
            </w:pPr>
            <w:r w:rsidRPr="008B7A21">
              <w:rPr>
                <w:lang w:val="es-ES_tradnl"/>
              </w:rPr>
              <w:t>4</w:t>
            </w:r>
          </w:p>
        </w:tc>
        <w:tc>
          <w:tcPr>
            <w:tcW w:w="3685" w:type="dxa"/>
          </w:tcPr>
          <w:p w14:paraId="4CC38B32" w14:textId="77777777" w:rsidR="00F73D5B" w:rsidRPr="008B7A21" w:rsidRDefault="00F73D5B" w:rsidP="00767A6A">
            <w:pPr>
              <w:pStyle w:val="Tabletext"/>
              <w:jc w:val="center"/>
              <w:rPr>
                <w:lang w:val="es-ES_tradnl"/>
              </w:rPr>
            </w:pPr>
            <w:r w:rsidRPr="008B7A21">
              <w:rPr>
                <w:lang w:val="es-ES_tradnl"/>
              </w:rPr>
              <w:t>6</w:t>
            </w:r>
          </w:p>
        </w:tc>
        <w:tc>
          <w:tcPr>
            <w:tcW w:w="1247" w:type="dxa"/>
          </w:tcPr>
          <w:p w14:paraId="04BFDC7A" w14:textId="77777777" w:rsidR="00F73D5B" w:rsidRPr="008B7A21" w:rsidRDefault="00F73D5B" w:rsidP="00767A6A">
            <w:pPr>
              <w:pStyle w:val="Tabletext"/>
              <w:jc w:val="center"/>
              <w:rPr>
                <w:lang w:val="es-ES_tradnl"/>
              </w:rPr>
            </w:pPr>
            <w:r w:rsidRPr="008B7A21">
              <w:rPr>
                <w:lang w:val="es-ES_tradnl"/>
              </w:rPr>
              <w:t>230</w:t>
            </w:r>
          </w:p>
        </w:tc>
        <w:tc>
          <w:tcPr>
            <w:tcW w:w="1247" w:type="dxa"/>
          </w:tcPr>
          <w:p w14:paraId="4F79E998" w14:textId="77777777" w:rsidR="00F73D5B" w:rsidRPr="008B7A21" w:rsidRDefault="00F73D5B" w:rsidP="00767A6A">
            <w:pPr>
              <w:pStyle w:val="Tabletext"/>
              <w:jc w:val="center"/>
              <w:rPr>
                <w:lang w:val="es-ES_tradnl"/>
              </w:rPr>
            </w:pPr>
            <w:r w:rsidRPr="008B7A21">
              <w:rPr>
                <w:lang w:val="es-ES_tradnl"/>
              </w:rPr>
              <w:t>180</w:t>
            </w:r>
          </w:p>
        </w:tc>
        <w:tc>
          <w:tcPr>
            <w:tcW w:w="1247" w:type="dxa"/>
          </w:tcPr>
          <w:p w14:paraId="13034BAE" w14:textId="77777777" w:rsidR="00F73D5B" w:rsidRPr="008B7A21" w:rsidRDefault="00F73D5B" w:rsidP="00767A6A">
            <w:pPr>
              <w:pStyle w:val="Tabletext"/>
              <w:jc w:val="center"/>
              <w:rPr>
                <w:lang w:val="es-ES_tradnl"/>
              </w:rPr>
            </w:pPr>
            <w:r w:rsidRPr="008B7A21">
              <w:rPr>
                <w:lang w:val="es-ES_tradnl"/>
              </w:rPr>
              <w:t>280</w:t>
            </w:r>
          </w:p>
        </w:tc>
        <w:tc>
          <w:tcPr>
            <w:tcW w:w="1249" w:type="dxa"/>
          </w:tcPr>
          <w:p w14:paraId="007B156D" w14:textId="77777777" w:rsidR="00F73D5B" w:rsidRPr="008B7A21" w:rsidRDefault="00F73D5B" w:rsidP="00767A6A">
            <w:pPr>
              <w:pStyle w:val="Tabletext"/>
              <w:jc w:val="center"/>
              <w:rPr>
                <w:lang w:val="es-ES_tradnl"/>
              </w:rPr>
            </w:pPr>
            <w:r w:rsidRPr="008B7A21">
              <w:rPr>
                <w:lang w:val="es-ES_tradnl"/>
              </w:rPr>
              <w:t>170</w:t>
            </w:r>
          </w:p>
        </w:tc>
      </w:tr>
      <w:tr w:rsidR="00F73D5B" w:rsidRPr="008B7A21" w14:paraId="37ECE7BB" w14:textId="77777777" w:rsidTr="002E47E2">
        <w:trPr>
          <w:jc w:val="center"/>
        </w:trPr>
        <w:tc>
          <w:tcPr>
            <w:tcW w:w="850" w:type="dxa"/>
          </w:tcPr>
          <w:p w14:paraId="2DB1D11A" w14:textId="77777777" w:rsidR="00F73D5B" w:rsidRPr="008B7A21" w:rsidRDefault="00F73D5B" w:rsidP="00767A6A">
            <w:pPr>
              <w:pStyle w:val="Tabletext"/>
              <w:jc w:val="center"/>
              <w:rPr>
                <w:lang w:val="es-ES_tradnl"/>
              </w:rPr>
            </w:pPr>
            <w:r w:rsidRPr="008B7A21">
              <w:rPr>
                <w:lang w:val="es-ES_tradnl"/>
              </w:rPr>
              <w:t>5</w:t>
            </w:r>
          </w:p>
        </w:tc>
        <w:tc>
          <w:tcPr>
            <w:tcW w:w="3685" w:type="dxa"/>
          </w:tcPr>
          <w:p w14:paraId="19AFAE1F" w14:textId="77777777" w:rsidR="00F73D5B" w:rsidRPr="008B7A21" w:rsidRDefault="00F73D5B" w:rsidP="00767A6A">
            <w:pPr>
              <w:pStyle w:val="Tabletext"/>
              <w:jc w:val="center"/>
              <w:rPr>
                <w:lang w:val="es-ES_tradnl"/>
              </w:rPr>
            </w:pPr>
            <w:r w:rsidRPr="008B7A21">
              <w:rPr>
                <w:lang w:val="es-ES_tradnl"/>
              </w:rPr>
              <w:t>7</w:t>
            </w:r>
          </w:p>
        </w:tc>
        <w:tc>
          <w:tcPr>
            <w:tcW w:w="1247" w:type="dxa"/>
          </w:tcPr>
          <w:p w14:paraId="03B7AB07" w14:textId="77777777" w:rsidR="00F73D5B" w:rsidRPr="008B7A21" w:rsidRDefault="00F73D5B" w:rsidP="00767A6A">
            <w:pPr>
              <w:pStyle w:val="Tabletext"/>
              <w:jc w:val="center"/>
              <w:rPr>
                <w:lang w:val="es-ES_tradnl"/>
              </w:rPr>
            </w:pPr>
            <w:r w:rsidRPr="008B7A21">
              <w:rPr>
                <w:lang w:val="es-ES_tradnl"/>
              </w:rPr>
              <w:t>240</w:t>
            </w:r>
          </w:p>
        </w:tc>
        <w:tc>
          <w:tcPr>
            <w:tcW w:w="1247" w:type="dxa"/>
          </w:tcPr>
          <w:p w14:paraId="3828D983" w14:textId="77777777" w:rsidR="00F73D5B" w:rsidRPr="008B7A21" w:rsidRDefault="00F73D5B" w:rsidP="00767A6A">
            <w:pPr>
              <w:pStyle w:val="Tabletext"/>
              <w:jc w:val="center"/>
              <w:rPr>
                <w:lang w:val="es-ES_tradnl"/>
              </w:rPr>
            </w:pPr>
            <w:r w:rsidRPr="008B7A21">
              <w:rPr>
                <w:lang w:val="es-ES_tradnl"/>
              </w:rPr>
              <w:t>160</w:t>
            </w:r>
          </w:p>
        </w:tc>
        <w:tc>
          <w:tcPr>
            <w:tcW w:w="1247" w:type="dxa"/>
          </w:tcPr>
          <w:p w14:paraId="122D4DFF" w14:textId="77777777" w:rsidR="00F73D5B" w:rsidRPr="008B7A21" w:rsidRDefault="00F73D5B" w:rsidP="00767A6A">
            <w:pPr>
              <w:pStyle w:val="Tabletext"/>
              <w:jc w:val="center"/>
              <w:rPr>
                <w:lang w:val="es-ES_tradnl"/>
              </w:rPr>
            </w:pPr>
            <w:r w:rsidRPr="008B7A21">
              <w:rPr>
                <w:lang w:val="es-ES_tradnl"/>
              </w:rPr>
              <w:t>270</w:t>
            </w:r>
          </w:p>
        </w:tc>
        <w:tc>
          <w:tcPr>
            <w:tcW w:w="1249" w:type="dxa"/>
          </w:tcPr>
          <w:p w14:paraId="6F15F1DF" w14:textId="77777777" w:rsidR="00F73D5B" w:rsidRPr="008B7A21" w:rsidRDefault="00F73D5B" w:rsidP="00767A6A">
            <w:pPr>
              <w:pStyle w:val="Tabletext"/>
              <w:jc w:val="center"/>
              <w:rPr>
                <w:lang w:val="es-ES_tradnl"/>
              </w:rPr>
            </w:pPr>
            <w:r w:rsidRPr="008B7A21">
              <w:rPr>
                <w:lang w:val="es-ES_tradnl"/>
              </w:rPr>
              <w:t>160</w:t>
            </w:r>
          </w:p>
        </w:tc>
      </w:tr>
      <w:tr w:rsidR="00F73D5B" w:rsidRPr="008B7A21" w14:paraId="7515A7FD" w14:textId="77777777" w:rsidTr="002E47E2">
        <w:trPr>
          <w:jc w:val="center"/>
        </w:trPr>
        <w:tc>
          <w:tcPr>
            <w:tcW w:w="850" w:type="dxa"/>
          </w:tcPr>
          <w:p w14:paraId="1682C42F" w14:textId="77777777" w:rsidR="00F73D5B" w:rsidRPr="008B7A21" w:rsidRDefault="00F73D5B" w:rsidP="00767A6A">
            <w:pPr>
              <w:pStyle w:val="Tabletext"/>
              <w:jc w:val="center"/>
              <w:rPr>
                <w:lang w:val="es-ES_tradnl"/>
              </w:rPr>
            </w:pPr>
            <w:r w:rsidRPr="008B7A21">
              <w:rPr>
                <w:lang w:val="es-ES_tradnl"/>
              </w:rPr>
              <w:t>6</w:t>
            </w:r>
          </w:p>
        </w:tc>
        <w:tc>
          <w:tcPr>
            <w:tcW w:w="3685" w:type="dxa"/>
          </w:tcPr>
          <w:p w14:paraId="31ACEAFC" w14:textId="77777777" w:rsidR="00F73D5B" w:rsidRPr="008B7A21" w:rsidRDefault="00F73D5B" w:rsidP="00767A6A">
            <w:pPr>
              <w:pStyle w:val="Tabletext"/>
              <w:jc w:val="center"/>
              <w:rPr>
                <w:lang w:val="es-ES_tradnl"/>
              </w:rPr>
            </w:pPr>
            <w:r w:rsidRPr="008B7A21">
              <w:rPr>
                <w:lang w:val="es-ES_tradnl"/>
              </w:rPr>
              <w:t>8</w:t>
            </w:r>
          </w:p>
        </w:tc>
        <w:tc>
          <w:tcPr>
            <w:tcW w:w="1247" w:type="dxa"/>
          </w:tcPr>
          <w:p w14:paraId="51BF89F5" w14:textId="77777777" w:rsidR="00F73D5B" w:rsidRPr="008B7A21" w:rsidRDefault="00F73D5B" w:rsidP="00767A6A">
            <w:pPr>
              <w:pStyle w:val="Tabletext"/>
              <w:jc w:val="center"/>
              <w:rPr>
                <w:lang w:val="es-ES_tradnl"/>
              </w:rPr>
            </w:pPr>
            <w:r w:rsidRPr="008B7A21">
              <w:rPr>
                <w:lang w:val="es-ES_tradnl"/>
              </w:rPr>
              <w:t>260</w:t>
            </w:r>
          </w:p>
        </w:tc>
        <w:tc>
          <w:tcPr>
            <w:tcW w:w="1247" w:type="dxa"/>
          </w:tcPr>
          <w:p w14:paraId="3C1C4FA0" w14:textId="77777777" w:rsidR="00F73D5B" w:rsidRPr="008B7A21" w:rsidRDefault="00F73D5B" w:rsidP="00767A6A">
            <w:pPr>
              <w:pStyle w:val="Tabletext"/>
              <w:jc w:val="center"/>
              <w:rPr>
                <w:lang w:val="es-ES_tradnl"/>
              </w:rPr>
            </w:pPr>
            <w:r w:rsidRPr="008B7A21">
              <w:rPr>
                <w:lang w:val="es-ES_tradnl"/>
              </w:rPr>
              <w:t>140</w:t>
            </w:r>
          </w:p>
        </w:tc>
        <w:tc>
          <w:tcPr>
            <w:tcW w:w="1247" w:type="dxa"/>
          </w:tcPr>
          <w:p w14:paraId="25277BE0" w14:textId="77777777" w:rsidR="00F73D5B" w:rsidRPr="008B7A21" w:rsidRDefault="00F73D5B" w:rsidP="00767A6A">
            <w:pPr>
              <w:pStyle w:val="Tabletext"/>
              <w:jc w:val="center"/>
              <w:rPr>
                <w:lang w:val="es-ES_tradnl"/>
              </w:rPr>
            </w:pPr>
            <w:r w:rsidRPr="008B7A21">
              <w:rPr>
                <w:lang w:val="es-ES_tradnl"/>
              </w:rPr>
              <w:t>260</w:t>
            </w:r>
          </w:p>
        </w:tc>
        <w:tc>
          <w:tcPr>
            <w:tcW w:w="1249" w:type="dxa"/>
          </w:tcPr>
          <w:p w14:paraId="76C8168A" w14:textId="77777777" w:rsidR="00F73D5B" w:rsidRPr="008B7A21" w:rsidRDefault="00F73D5B" w:rsidP="00767A6A">
            <w:pPr>
              <w:pStyle w:val="Tabletext"/>
              <w:jc w:val="center"/>
              <w:rPr>
                <w:lang w:val="es-ES_tradnl"/>
              </w:rPr>
            </w:pPr>
            <w:r w:rsidRPr="008B7A21">
              <w:rPr>
                <w:lang w:val="es-ES_tradnl"/>
              </w:rPr>
              <w:t>180</w:t>
            </w:r>
          </w:p>
        </w:tc>
      </w:tr>
      <w:tr w:rsidR="00F73D5B" w:rsidRPr="008B7A21" w14:paraId="57D3AFFB" w14:textId="77777777" w:rsidTr="002E47E2">
        <w:trPr>
          <w:jc w:val="center"/>
        </w:trPr>
        <w:tc>
          <w:tcPr>
            <w:tcW w:w="850" w:type="dxa"/>
          </w:tcPr>
          <w:p w14:paraId="5ADA787D" w14:textId="77777777" w:rsidR="00F73D5B" w:rsidRPr="008B7A21" w:rsidRDefault="00F73D5B" w:rsidP="00767A6A">
            <w:pPr>
              <w:pStyle w:val="Tabletext"/>
              <w:jc w:val="center"/>
              <w:rPr>
                <w:lang w:val="es-ES_tradnl"/>
              </w:rPr>
            </w:pPr>
            <w:r w:rsidRPr="008B7A21">
              <w:rPr>
                <w:lang w:val="es-ES_tradnl"/>
              </w:rPr>
              <w:t>7</w:t>
            </w:r>
          </w:p>
        </w:tc>
        <w:tc>
          <w:tcPr>
            <w:tcW w:w="3685" w:type="dxa"/>
          </w:tcPr>
          <w:p w14:paraId="0A4D3CB0" w14:textId="77777777" w:rsidR="00F73D5B" w:rsidRPr="008B7A21" w:rsidRDefault="00F73D5B" w:rsidP="00767A6A">
            <w:pPr>
              <w:pStyle w:val="Tabletext"/>
              <w:jc w:val="center"/>
              <w:rPr>
                <w:lang w:val="es-ES_tradnl"/>
              </w:rPr>
            </w:pPr>
            <w:r w:rsidRPr="008B7A21">
              <w:rPr>
                <w:lang w:val="es-ES_tradnl"/>
              </w:rPr>
              <w:t>9</w:t>
            </w:r>
          </w:p>
        </w:tc>
        <w:tc>
          <w:tcPr>
            <w:tcW w:w="1247" w:type="dxa"/>
          </w:tcPr>
          <w:p w14:paraId="501DE748" w14:textId="77777777" w:rsidR="00F73D5B" w:rsidRPr="008B7A21" w:rsidRDefault="00F73D5B" w:rsidP="00767A6A">
            <w:pPr>
              <w:pStyle w:val="Tabletext"/>
              <w:jc w:val="center"/>
              <w:rPr>
                <w:lang w:val="es-ES_tradnl"/>
              </w:rPr>
            </w:pPr>
            <w:r w:rsidRPr="008B7A21">
              <w:rPr>
                <w:lang w:val="es-ES_tradnl"/>
              </w:rPr>
              <w:t>260</w:t>
            </w:r>
          </w:p>
        </w:tc>
        <w:tc>
          <w:tcPr>
            <w:tcW w:w="1247" w:type="dxa"/>
          </w:tcPr>
          <w:p w14:paraId="263E899A" w14:textId="77777777" w:rsidR="00F73D5B" w:rsidRPr="008B7A21" w:rsidRDefault="00F73D5B" w:rsidP="00767A6A">
            <w:pPr>
              <w:pStyle w:val="Tabletext"/>
              <w:jc w:val="center"/>
              <w:rPr>
                <w:lang w:val="es-ES_tradnl"/>
              </w:rPr>
            </w:pPr>
            <w:r w:rsidRPr="008B7A21">
              <w:rPr>
                <w:lang w:val="es-ES_tradnl"/>
              </w:rPr>
              <w:t>120</w:t>
            </w:r>
          </w:p>
        </w:tc>
        <w:tc>
          <w:tcPr>
            <w:tcW w:w="1247" w:type="dxa"/>
          </w:tcPr>
          <w:p w14:paraId="4831A79F" w14:textId="77777777" w:rsidR="00F73D5B" w:rsidRPr="008B7A21" w:rsidRDefault="00F73D5B" w:rsidP="00767A6A">
            <w:pPr>
              <w:pStyle w:val="Tabletext"/>
              <w:jc w:val="center"/>
              <w:rPr>
                <w:lang w:val="es-ES_tradnl"/>
              </w:rPr>
            </w:pPr>
            <w:r w:rsidRPr="008B7A21">
              <w:rPr>
                <w:lang w:val="es-ES_tradnl"/>
              </w:rPr>
              <w:t>250</w:t>
            </w:r>
          </w:p>
        </w:tc>
        <w:tc>
          <w:tcPr>
            <w:tcW w:w="1249" w:type="dxa"/>
          </w:tcPr>
          <w:p w14:paraId="33F84DF6" w14:textId="77777777" w:rsidR="00F73D5B" w:rsidRPr="008B7A21" w:rsidRDefault="00F73D5B" w:rsidP="00767A6A">
            <w:pPr>
              <w:pStyle w:val="Tabletext"/>
              <w:jc w:val="center"/>
              <w:rPr>
                <w:lang w:val="es-ES_tradnl"/>
              </w:rPr>
            </w:pPr>
            <w:r w:rsidRPr="008B7A21">
              <w:rPr>
                <w:lang w:val="es-ES_tradnl"/>
              </w:rPr>
              <w:t>200</w:t>
            </w:r>
          </w:p>
        </w:tc>
      </w:tr>
      <w:tr w:rsidR="00F73D5B" w:rsidRPr="008B7A21" w14:paraId="2540A4B9" w14:textId="77777777" w:rsidTr="002E47E2">
        <w:trPr>
          <w:jc w:val="center"/>
        </w:trPr>
        <w:tc>
          <w:tcPr>
            <w:tcW w:w="850" w:type="dxa"/>
          </w:tcPr>
          <w:p w14:paraId="6F131350" w14:textId="77777777" w:rsidR="00F73D5B" w:rsidRPr="008B7A21" w:rsidRDefault="00F73D5B" w:rsidP="00767A6A">
            <w:pPr>
              <w:pStyle w:val="Tabletext"/>
              <w:jc w:val="center"/>
              <w:rPr>
                <w:lang w:val="es-ES_tradnl"/>
              </w:rPr>
            </w:pPr>
            <w:r w:rsidRPr="008B7A21">
              <w:rPr>
                <w:lang w:val="es-ES_tradnl"/>
              </w:rPr>
              <w:t>8</w:t>
            </w:r>
          </w:p>
        </w:tc>
        <w:tc>
          <w:tcPr>
            <w:tcW w:w="3685" w:type="dxa"/>
          </w:tcPr>
          <w:p w14:paraId="49D8C9D1" w14:textId="77777777" w:rsidR="00F73D5B" w:rsidRPr="008B7A21" w:rsidRDefault="00F73D5B" w:rsidP="00767A6A">
            <w:pPr>
              <w:pStyle w:val="Tabletext"/>
              <w:jc w:val="center"/>
              <w:rPr>
                <w:lang w:val="es-ES_tradnl"/>
              </w:rPr>
            </w:pPr>
            <w:r w:rsidRPr="008B7A21">
              <w:rPr>
                <w:lang w:val="es-ES_tradnl"/>
              </w:rPr>
              <w:t>10</w:t>
            </w:r>
          </w:p>
        </w:tc>
        <w:tc>
          <w:tcPr>
            <w:tcW w:w="1247" w:type="dxa"/>
          </w:tcPr>
          <w:p w14:paraId="1CC3242E" w14:textId="77777777" w:rsidR="00F73D5B" w:rsidRPr="008B7A21" w:rsidRDefault="00F73D5B" w:rsidP="00767A6A">
            <w:pPr>
              <w:pStyle w:val="Tabletext"/>
              <w:jc w:val="center"/>
              <w:rPr>
                <w:lang w:val="es-ES_tradnl"/>
              </w:rPr>
            </w:pPr>
            <w:r w:rsidRPr="008B7A21">
              <w:rPr>
                <w:lang w:val="es-ES_tradnl"/>
              </w:rPr>
              <w:t>280</w:t>
            </w:r>
          </w:p>
        </w:tc>
        <w:tc>
          <w:tcPr>
            <w:tcW w:w="1247" w:type="dxa"/>
          </w:tcPr>
          <w:p w14:paraId="054FB69B" w14:textId="77777777" w:rsidR="00F73D5B" w:rsidRPr="008B7A21" w:rsidRDefault="00F73D5B" w:rsidP="00767A6A">
            <w:pPr>
              <w:pStyle w:val="Tabletext"/>
              <w:jc w:val="center"/>
              <w:rPr>
                <w:lang w:val="es-ES_tradnl"/>
              </w:rPr>
            </w:pPr>
            <w:r w:rsidRPr="008B7A21">
              <w:rPr>
                <w:lang w:val="es-ES_tradnl"/>
              </w:rPr>
              <w:t>120</w:t>
            </w:r>
          </w:p>
        </w:tc>
        <w:tc>
          <w:tcPr>
            <w:tcW w:w="1247" w:type="dxa"/>
          </w:tcPr>
          <w:p w14:paraId="5E1D0D22" w14:textId="77777777" w:rsidR="00F73D5B" w:rsidRPr="008B7A21" w:rsidRDefault="00F73D5B" w:rsidP="00767A6A">
            <w:pPr>
              <w:pStyle w:val="Tabletext"/>
              <w:jc w:val="center"/>
              <w:rPr>
                <w:lang w:val="es-ES_tradnl"/>
              </w:rPr>
            </w:pPr>
            <w:r w:rsidRPr="008B7A21">
              <w:rPr>
                <w:lang w:val="es-ES_tradnl"/>
              </w:rPr>
              <w:t>230</w:t>
            </w:r>
          </w:p>
        </w:tc>
        <w:tc>
          <w:tcPr>
            <w:tcW w:w="1249" w:type="dxa"/>
          </w:tcPr>
          <w:p w14:paraId="1B8DAD5E" w14:textId="77777777" w:rsidR="00F73D5B" w:rsidRPr="008B7A21" w:rsidRDefault="00F73D5B" w:rsidP="00767A6A">
            <w:pPr>
              <w:pStyle w:val="Tabletext"/>
              <w:jc w:val="center"/>
              <w:rPr>
                <w:lang w:val="es-ES_tradnl"/>
              </w:rPr>
            </w:pPr>
            <w:r w:rsidRPr="008B7A21">
              <w:rPr>
                <w:lang w:val="es-ES_tradnl"/>
              </w:rPr>
              <w:t>250</w:t>
            </w:r>
          </w:p>
        </w:tc>
      </w:tr>
      <w:tr w:rsidR="00F73D5B" w:rsidRPr="008B7A21" w14:paraId="6E6A3844" w14:textId="77777777" w:rsidTr="002E47E2">
        <w:trPr>
          <w:jc w:val="center"/>
        </w:trPr>
        <w:tc>
          <w:tcPr>
            <w:tcW w:w="850" w:type="dxa"/>
          </w:tcPr>
          <w:p w14:paraId="3BFC222D" w14:textId="77777777" w:rsidR="00F73D5B" w:rsidRPr="008B7A21" w:rsidRDefault="00F73D5B" w:rsidP="00767A6A">
            <w:pPr>
              <w:pStyle w:val="Tabletext"/>
              <w:jc w:val="center"/>
              <w:rPr>
                <w:lang w:val="es-ES_tradnl"/>
              </w:rPr>
            </w:pPr>
            <w:r w:rsidRPr="008B7A21">
              <w:rPr>
                <w:lang w:val="es-ES_tradnl"/>
              </w:rPr>
              <w:t>9</w:t>
            </w:r>
          </w:p>
        </w:tc>
        <w:tc>
          <w:tcPr>
            <w:tcW w:w="3685" w:type="dxa"/>
          </w:tcPr>
          <w:p w14:paraId="52B7F170" w14:textId="77777777" w:rsidR="00F73D5B" w:rsidRPr="008B7A21" w:rsidRDefault="00F73D5B" w:rsidP="00767A6A">
            <w:pPr>
              <w:pStyle w:val="Tabletext"/>
              <w:jc w:val="center"/>
              <w:rPr>
                <w:lang w:val="es-ES_tradnl"/>
              </w:rPr>
            </w:pPr>
            <w:r w:rsidRPr="008B7A21">
              <w:rPr>
                <w:lang w:val="es-ES_tradnl"/>
              </w:rPr>
              <w:t>11</w:t>
            </w:r>
          </w:p>
        </w:tc>
        <w:tc>
          <w:tcPr>
            <w:tcW w:w="1247" w:type="dxa"/>
          </w:tcPr>
          <w:p w14:paraId="75B62E66" w14:textId="77777777" w:rsidR="00F73D5B" w:rsidRPr="008B7A21" w:rsidRDefault="00F73D5B" w:rsidP="00767A6A">
            <w:pPr>
              <w:pStyle w:val="Tabletext"/>
              <w:jc w:val="center"/>
              <w:rPr>
                <w:lang w:val="es-ES_tradnl"/>
              </w:rPr>
            </w:pPr>
            <w:r w:rsidRPr="008B7A21">
              <w:rPr>
                <w:lang w:val="es-ES_tradnl"/>
              </w:rPr>
              <w:t>280</w:t>
            </w:r>
          </w:p>
        </w:tc>
        <w:tc>
          <w:tcPr>
            <w:tcW w:w="1247" w:type="dxa"/>
          </w:tcPr>
          <w:p w14:paraId="691F01A7" w14:textId="77777777" w:rsidR="00F73D5B" w:rsidRPr="008B7A21" w:rsidRDefault="00F73D5B" w:rsidP="00767A6A">
            <w:pPr>
              <w:pStyle w:val="Tabletext"/>
              <w:jc w:val="center"/>
              <w:rPr>
                <w:lang w:val="es-ES_tradnl"/>
              </w:rPr>
            </w:pPr>
            <w:r w:rsidRPr="008B7A21">
              <w:rPr>
                <w:lang w:val="es-ES_tradnl"/>
              </w:rPr>
              <w:t>110</w:t>
            </w:r>
          </w:p>
        </w:tc>
        <w:tc>
          <w:tcPr>
            <w:tcW w:w="1247" w:type="dxa"/>
          </w:tcPr>
          <w:p w14:paraId="658F5495" w14:textId="77777777" w:rsidR="00F73D5B" w:rsidRPr="008B7A21" w:rsidRDefault="00F73D5B" w:rsidP="00767A6A">
            <w:pPr>
              <w:pStyle w:val="Tabletext"/>
              <w:jc w:val="center"/>
              <w:rPr>
                <w:lang w:val="es-ES_tradnl"/>
              </w:rPr>
            </w:pPr>
            <w:r w:rsidRPr="008B7A21">
              <w:rPr>
                <w:lang w:val="es-ES_tradnl"/>
              </w:rPr>
              <w:t>220</w:t>
            </w:r>
          </w:p>
        </w:tc>
        <w:tc>
          <w:tcPr>
            <w:tcW w:w="1249" w:type="dxa"/>
          </w:tcPr>
          <w:p w14:paraId="46ACCE11" w14:textId="77777777" w:rsidR="00F73D5B" w:rsidRPr="008B7A21" w:rsidRDefault="00F73D5B" w:rsidP="00767A6A">
            <w:pPr>
              <w:pStyle w:val="Tabletext"/>
              <w:jc w:val="center"/>
              <w:rPr>
                <w:lang w:val="es-ES_tradnl"/>
              </w:rPr>
            </w:pPr>
            <w:r w:rsidRPr="008B7A21">
              <w:rPr>
                <w:lang w:val="es-ES_tradnl"/>
              </w:rPr>
              <w:t>250</w:t>
            </w:r>
          </w:p>
        </w:tc>
      </w:tr>
      <w:tr w:rsidR="00F73D5B" w:rsidRPr="008B7A21" w14:paraId="114A3ABB" w14:textId="77777777" w:rsidTr="002E47E2">
        <w:trPr>
          <w:jc w:val="center"/>
        </w:trPr>
        <w:tc>
          <w:tcPr>
            <w:tcW w:w="850" w:type="dxa"/>
          </w:tcPr>
          <w:p w14:paraId="7BFD7D97" w14:textId="77777777" w:rsidR="00F73D5B" w:rsidRPr="008B7A21" w:rsidRDefault="00F73D5B" w:rsidP="00767A6A">
            <w:pPr>
              <w:pStyle w:val="Tabletext"/>
              <w:jc w:val="center"/>
              <w:rPr>
                <w:lang w:val="es-ES_tradnl"/>
              </w:rPr>
            </w:pPr>
            <w:r w:rsidRPr="008B7A21">
              <w:rPr>
                <w:lang w:val="es-ES_tradnl"/>
              </w:rPr>
              <w:t>10</w:t>
            </w:r>
          </w:p>
        </w:tc>
        <w:tc>
          <w:tcPr>
            <w:tcW w:w="3685" w:type="dxa"/>
          </w:tcPr>
          <w:p w14:paraId="46C7F17B" w14:textId="77777777" w:rsidR="00F73D5B" w:rsidRPr="008B7A21" w:rsidRDefault="00F73D5B" w:rsidP="00767A6A">
            <w:pPr>
              <w:pStyle w:val="Tabletext"/>
              <w:jc w:val="center"/>
              <w:rPr>
                <w:lang w:val="es-ES_tradnl"/>
              </w:rPr>
            </w:pPr>
            <w:r w:rsidRPr="008B7A21">
              <w:rPr>
                <w:lang w:val="es-ES_tradnl"/>
              </w:rPr>
              <w:t>12</w:t>
            </w:r>
          </w:p>
        </w:tc>
        <w:tc>
          <w:tcPr>
            <w:tcW w:w="1247" w:type="dxa"/>
          </w:tcPr>
          <w:p w14:paraId="7F87DD9C" w14:textId="77777777" w:rsidR="00F73D5B" w:rsidRPr="008B7A21" w:rsidRDefault="00F73D5B" w:rsidP="00767A6A">
            <w:pPr>
              <w:pStyle w:val="Tabletext"/>
              <w:jc w:val="center"/>
              <w:rPr>
                <w:lang w:val="es-ES_tradnl"/>
              </w:rPr>
            </w:pPr>
            <w:r w:rsidRPr="008B7A21">
              <w:rPr>
                <w:lang w:val="es-ES_tradnl"/>
              </w:rPr>
              <w:t>280</w:t>
            </w:r>
          </w:p>
        </w:tc>
        <w:tc>
          <w:tcPr>
            <w:tcW w:w="1247" w:type="dxa"/>
          </w:tcPr>
          <w:p w14:paraId="1A4DB963" w14:textId="77777777" w:rsidR="00F73D5B" w:rsidRPr="008B7A21" w:rsidRDefault="00F73D5B" w:rsidP="00767A6A">
            <w:pPr>
              <w:pStyle w:val="Tabletext"/>
              <w:jc w:val="center"/>
              <w:rPr>
                <w:lang w:val="es-ES_tradnl"/>
              </w:rPr>
            </w:pPr>
            <w:r w:rsidRPr="008B7A21">
              <w:rPr>
                <w:lang w:val="es-ES_tradnl"/>
              </w:rPr>
              <w:t>100</w:t>
            </w:r>
          </w:p>
        </w:tc>
        <w:tc>
          <w:tcPr>
            <w:tcW w:w="1247" w:type="dxa"/>
          </w:tcPr>
          <w:p w14:paraId="32CDCD6D" w14:textId="77777777" w:rsidR="00F73D5B" w:rsidRPr="008B7A21" w:rsidRDefault="00F73D5B" w:rsidP="00767A6A">
            <w:pPr>
              <w:pStyle w:val="Tabletext"/>
              <w:jc w:val="center"/>
              <w:rPr>
                <w:lang w:val="es-ES_tradnl"/>
              </w:rPr>
            </w:pPr>
            <w:r w:rsidRPr="008B7A21">
              <w:rPr>
                <w:lang w:val="es-ES_tradnl"/>
              </w:rPr>
              <w:t>210</w:t>
            </w:r>
          </w:p>
        </w:tc>
        <w:tc>
          <w:tcPr>
            <w:tcW w:w="1249" w:type="dxa"/>
          </w:tcPr>
          <w:p w14:paraId="1C4EACDC" w14:textId="77777777" w:rsidR="00F73D5B" w:rsidRPr="008B7A21" w:rsidRDefault="00F73D5B" w:rsidP="00767A6A">
            <w:pPr>
              <w:pStyle w:val="Tabletext"/>
              <w:jc w:val="center"/>
              <w:rPr>
                <w:lang w:val="es-ES_tradnl"/>
              </w:rPr>
            </w:pPr>
            <w:r w:rsidRPr="008B7A21">
              <w:rPr>
                <w:lang w:val="es-ES_tradnl"/>
              </w:rPr>
              <w:t>240</w:t>
            </w:r>
          </w:p>
        </w:tc>
      </w:tr>
      <w:tr w:rsidR="00F73D5B" w:rsidRPr="008B7A21" w14:paraId="55FA2902" w14:textId="77777777" w:rsidTr="002E47E2">
        <w:trPr>
          <w:jc w:val="center"/>
        </w:trPr>
        <w:tc>
          <w:tcPr>
            <w:tcW w:w="850" w:type="dxa"/>
          </w:tcPr>
          <w:p w14:paraId="67BBE45C" w14:textId="77777777" w:rsidR="00F73D5B" w:rsidRPr="008B7A21" w:rsidRDefault="00F73D5B" w:rsidP="00767A6A">
            <w:pPr>
              <w:pStyle w:val="Tabletext"/>
              <w:jc w:val="center"/>
              <w:rPr>
                <w:lang w:val="es-ES_tradnl"/>
              </w:rPr>
            </w:pPr>
            <w:r w:rsidRPr="008B7A21">
              <w:rPr>
                <w:lang w:val="es-ES_tradnl"/>
              </w:rPr>
              <w:t>11</w:t>
            </w:r>
          </w:p>
        </w:tc>
        <w:tc>
          <w:tcPr>
            <w:tcW w:w="3685" w:type="dxa"/>
          </w:tcPr>
          <w:p w14:paraId="2E3481C1" w14:textId="77777777" w:rsidR="00F73D5B" w:rsidRPr="008B7A21" w:rsidRDefault="00F73D5B" w:rsidP="00767A6A">
            <w:pPr>
              <w:pStyle w:val="Tabletext"/>
              <w:jc w:val="center"/>
              <w:rPr>
                <w:lang w:val="es-ES_tradnl"/>
              </w:rPr>
            </w:pPr>
            <w:r w:rsidRPr="008B7A21">
              <w:rPr>
                <w:lang w:val="es-ES_tradnl"/>
              </w:rPr>
              <w:t>13</w:t>
            </w:r>
          </w:p>
        </w:tc>
        <w:tc>
          <w:tcPr>
            <w:tcW w:w="1247" w:type="dxa"/>
          </w:tcPr>
          <w:p w14:paraId="2F6284E8" w14:textId="77777777" w:rsidR="00F73D5B" w:rsidRPr="008B7A21" w:rsidRDefault="00F73D5B" w:rsidP="00767A6A">
            <w:pPr>
              <w:pStyle w:val="Tabletext"/>
              <w:jc w:val="center"/>
              <w:rPr>
                <w:lang w:val="es-ES_tradnl"/>
              </w:rPr>
            </w:pPr>
            <w:r w:rsidRPr="008B7A21">
              <w:rPr>
                <w:lang w:val="es-ES_tradnl"/>
              </w:rPr>
              <w:t>290</w:t>
            </w:r>
          </w:p>
        </w:tc>
        <w:tc>
          <w:tcPr>
            <w:tcW w:w="1247" w:type="dxa"/>
          </w:tcPr>
          <w:p w14:paraId="7191902B" w14:textId="77777777" w:rsidR="00F73D5B" w:rsidRPr="008B7A21" w:rsidRDefault="00F73D5B" w:rsidP="00767A6A">
            <w:pPr>
              <w:pStyle w:val="Tabletext"/>
              <w:jc w:val="center"/>
              <w:rPr>
                <w:lang w:val="es-ES_tradnl"/>
              </w:rPr>
            </w:pPr>
            <w:r w:rsidRPr="008B7A21">
              <w:rPr>
                <w:lang w:val="es-ES_tradnl"/>
              </w:rPr>
              <w:t>100</w:t>
            </w:r>
          </w:p>
        </w:tc>
        <w:tc>
          <w:tcPr>
            <w:tcW w:w="1247" w:type="dxa"/>
          </w:tcPr>
          <w:p w14:paraId="7854C44B" w14:textId="77777777" w:rsidR="00F73D5B" w:rsidRPr="008B7A21" w:rsidRDefault="00F73D5B" w:rsidP="00767A6A">
            <w:pPr>
              <w:pStyle w:val="Tabletext"/>
              <w:jc w:val="center"/>
              <w:rPr>
                <w:lang w:val="es-ES_tradnl"/>
              </w:rPr>
            </w:pPr>
            <w:r w:rsidRPr="008B7A21">
              <w:rPr>
                <w:lang w:val="es-ES_tradnl"/>
              </w:rPr>
              <w:t>200</w:t>
            </w:r>
          </w:p>
        </w:tc>
        <w:tc>
          <w:tcPr>
            <w:tcW w:w="1249" w:type="dxa"/>
          </w:tcPr>
          <w:p w14:paraId="66FB690E" w14:textId="77777777" w:rsidR="00F73D5B" w:rsidRPr="008B7A21" w:rsidRDefault="00F73D5B" w:rsidP="00767A6A">
            <w:pPr>
              <w:pStyle w:val="Tabletext"/>
              <w:jc w:val="center"/>
              <w:rPr>
                <w:lang w:val="es-ES_tradnl"/>
              </w:rPr>
            </w:pPr>
            <w:r w:rsidRPr="008B7A21">
              <w:rPr>
                <w:lang w:val="es-ES_tradnl"/>
              </w:rPr>
              <w:t>200</w:t>
            </w:r>
          </w:p>
        </w:tc>
      </w:tr>
      <w:tr w:rsidR="00F73D5B" w:rsidRPr="008B7A21" w14:paraId="60ED20D5" w14:textId="77777777" w:rsidTr="002E47E2">
        <w:trPr>
          <w:jc w:val="center"/>
        </w:trPr>
        <w:tc>
          <w:tcPr>
            <w:tcW w:w="850" w:type="dxa"/>
          </w:tcPr>
          <w:p w14:paraId="79041348" w14:textId="77777777" w:rsidR="00F73D5B" w:rsidRPr="008B7A21" w:rsidRDefault="00F73D5B" w:rsidP="00767A6A">
            <w:pPr>
              <w:pStyle w:val="Tabletext"/>
              <w:jc w:val="center"/>
              <w:rPr>
                <w:lang w:val="es-ES_tradnl"/>
              </w:rPr>
            </w:pPr>
            <w:r w:rsidRPr="008B7A21">
              <w:rPr>
                <w:lang w:val="es-ES_tradnl"/>
              </w:rPr>
              <w:t>12</w:t>
            </w:r>
          </w:p>
        </w:tc>
        <w:tc>
          <w:tcPr>
            <w:tcW w:w="3685" w:type="dxa"/>
          </w:tcPr>
          <w:p w14:paraId="2C649E07" w14:textId="77777777" w:rsidR="00F73D5B" w:rsidRPr="008B7A21" w:rsidRDefault="00F73D5B" w:rsidP="00767A6A">
            <w:pPr>
              <w:pStyle w:val="Tabletext"/>
              <w:jc w:val="center"/>
              <w:rPr>
                <w:lang w:val="es-ES_tradnl"/>
              </w:rPr>
            </w:pPr>
            <w:r w:rsidRPr="008B7A21">
              <w:rPr>
                <w:lang w:val="es-ES_tradnl"/>
              </w:rPr>
              <w:t>14</w:t>
            </w:r>
          </w:p>
        </w:tc>
        <w:tc>
          <w:tcPr>
            <w:tcW w:w="1247" w:type="dxa"/>
          </w:tcPr>
          <w:p w14:paraId="2B0F4989" w14:textId="77777777" w:rsidR="00F73D5B" w:rsidRPr="008B7A21" w:rsidRDefault="00F73D5B" w:rsidP="00767A6A">
            <w:pPr>
              <w:pStyle w:val="Tabletext"/>
              <w:jc w:val="center"/>
              <w:rPr>
                <w:lang w:val="es-ES_tradnl"/>
              </w:rPr>
            </w:pPr>
            <w:r w:rsidRPr="008B7A21">
              <w:rPr>
                <w:lang w:val="es-ES_tradnl"/>
              </w:rPr>
              <w:t>300</w:t>
            </w:r>
          </w:p>
        </w:tc>
        <w:tc>
          <w:tcPr>
            <w:tcW w:w="1247" w:type="dxa"/>
          </w:tcPr>
          <w:p w14:paraId="0484E231" w14:textId="77777777" w:rsidR="00F73D5B" w:rsidRPr="008B7A21" w:rsidRDefault="00F73D5B" w:rsidP="00767A6A">
            <w:pPr>
              <w:pStyle w:val="Tabletext"/>
              <w:jc w:val="center"/>
              <w:rPr>
                <w:lang w:val="es-ES_tradnl"/>
              </w:rPr>
            </w:pPr>
            <w:r w:rsidRPr="008B7A21">
              <w:rPr>
                <w:lang w:val="es-ES_tradnl"/>
              </w:rPr>
              <w:t>80</w:t>
            </w:r>
          </w:p>
        </w:tc>
        <w:tc>
          <w:tcPr>
            <w:tcW w:w="1247" w:type="dxa"/>
          </w:tcPr>
          <w:p w14:paraId="78E627F9" w14:textId="77777777" w:rsidR="00F73D5B" w:rsidRPr="008B7A21" w:rsidRDefault="00F73D5B" w:rsidP="00767A6A">
            <w:pPr>
              <w:pStyle w:val="Tabletext"/>
              <w:jc w:val="center"/>
              <w:rPr>
                <w:lang w:val="es-ES_tradnl"/>
              </w:rPr>
            </w:pPr>
            <w:r w:rsidRPr="008B7A21">
              <w:rPr>
                <w:lang w:val="es-ES_tradnl"/>
              </w:rPr>
              <w:t>200</w:t>
            </w:r>
          </w:p>
        </w:tc>
        <w:tc>
          <w:tcPr>
            <w:tcW w:w="1249" w:type="dxa"/>
          </w:tcPr>
          <w:p w14:paraId="309861CF" w14:textId="77777777" w:rsidR="00F73D5B" w:rsidRPr="008B7A21" w:rsidRDefault="00F73D5B" w:rsidP="00767A6A">
            <w:pPr>
              <w:pStyle w:val="Tabletext"/>
              <w:jc w:val="center"/>
              <w:rPr>
                <w:lang w:val="es-ES_tradnl"/>
              </w:rPr>
            </w:pPr>
            <w:r w:rsidRPr="008B7A21">
              <w:rPr>
                <w:lang w:val="es-ES_tradnl"/>
              </w:rPr>
              <w:t>180</w:t>
            </w:r>
          </w:p>
        </w:tc>
      </w:tr>
      <w:tr w:rsidR="00F73D5B" w:rsidRPr="008B7A21" w14:paraId="5BF5CB61" w14:textId="77777777" w:rsidTr="002E47E2">
        <w:trPr>
          <w:jc w:val="center"/>
        </w:trPr>
        <w:tc>
          <w:tcPr>
            <w:tcW w:w="850" w:type="dxa"/>
          </w:tcPr>
          <w:p w14:paraId="04117508" w14:textId="77777777" w:rsidR="00F73D5B" w:rsidRPr="008B7A21" w:rsidRDefault="00F73D5B" w:rsidP="00767A6A">
            <w:pPr>
              <w:pStyle w:val="Tabletext"/>
              <w:jc w:val="center"/>
              <w:rPr>
                <w:lang w:val="es-ES_tradnl"/>
              </w:rPr>
            </w:pPr>
            <w:r w:rsidRPr="008B7A21">
              <w:rPr>
                <w:lang w:val="es-ES_tradnl"/>
              </w:rPr>
              <w:t>13</w:t>
            </w:r>
          </w:p>
        </w:tc>
        <w:tc>
          <w:tcPr>
            <w:tcW w:w="3685" w:type="dxa"/>
          </w:tcPr>
          <w:p w14:paraId="2CC36BBB" w14:textId="77777777" w:rsidR="00F73D5B" w:rsidRPr="008B7A21" w:rsidRDefault="00F73D5B" w:rsidP="00767A6A">
            <w:pPr>
              <w:pStyle w:val="Tabletext"/>
              <w:jc w:val="center"/>
              <w:rPr>
                <w:lang w:val="es-ES_tradnl"/>
              </w:rPr>
            </w:pPr>
            <w:r w:rsidRPr="008B7A21">
              <w:rPr>
                <w:lang w:val="es-ES_tradnl"/>
              </w:rPr>
              <w:t>15</w:t>
            </w:r>
          </w:p>
        </w:tc>
        <w:tc>
          <w:tcPr>
            <w:tcW w:w="1247" w:type="dxa"/>
            <w:tcBorders>
              <w:bottom w:val="single" w:sz="4" w:space="0" w:color="auto"/>
            </w:tcBorders>
          </w:tcPr>
          <w:p w14:paraId="6008A4C5" w14:textId="77777777" w:rsidR="00F73D5B" w:rsidRPr="008B7A21" w:rsidRDefault="00F73D5B" w:rsidP="00767A6A">
            <w:pPr>
              <w:pStyle w:val="Tabletext"/>
              <w:jc w:val="center"/>
              <w:rPr>
                <w:lang w:val="es-ES_tradnl"/>
              </w:rPr>
            </w:pPr>
            <w:r w:rsidRPr="008B7A21">
              <w:rPr>
                <w:lang w:val="es-ES_tradnl"/>
              </w:rPr>
              <w:t>320</w:t>
            </w:r>
          </w:p>
        </w:tc>
        <w:tc>
          <w:tcPr>
            <w:tcW w:w="1247" w:type="dxa"/>
            <w:tcBorders>
              <w:bottom w:val="single" w:sz="4" w:space="0" w:color="auto"/>
            </w:tcBorders>
          </w:tcPr>
          <w:p w14:paraId="46A6107A" w14:textId="77777777" w:rsidR="00F73D5B" w:rsidRPr="008B7A21" w:rsidRDefault="00F73D5B" w:rsidP="00767A6A">
            <w:pPr>
              <w:pStyle w:val="Tabletext"/>
              <w:jc w:val="center"/>
              <w:rPr>
                <w:lang w:val="es-ES_tradnl"/>
              </w:rPr>
            </w:pPr>
            <w:r w:rsidRPr="008B7A21">
              <w:rPr>
                <w:lang w:val="es-ES_tradnl"/>
              </w:rPr>
              <w:t>60</w:t>
            </w:r>
          </w:p>
        </w:tc>
        <w:tc>
          <w:tcPr>
            <w:tcW w:w="1247" w:type="dxa"/>
            <w:tcBorders>
              <w:bottom w:val="single" w:sz="4" w:space="0" w:color="auto"/>
            </w:tcBorders>
          </w:tcPr>
          <w:p w14:paraId="6BD2FC46" w14:textId="77777777" w:rsidR="00F73D5B" w:rsidRPr="008B7A21" w:rsidRDefault="00F73D5B" w:rsidP="00767A6A">
            <w:pPr>
              <w:pStyle w:val="Tabletext"/>
              <w:jc w:val="center"/>
              <w:rPr>
                <w:lang w:val="es-ES_tradnl"/>
              </w:rPr>
            </w:pPr>
            <w:r w:rsidRPr="008B7A21">
              <w:rPr>
                <w:lang w:val="es-ES_tradnl"/>
              </w:rPr>
              <w:t>200</w:t>
            </w:r>
          </w:p>
        </w:tc>
        <w:tc>
          <w:tcPr>
            <w:tcW w:w="1249" w:type="dxa"/>
            <w:tcBorders>
              <w:bottom w:val="single" w:sz="4" w:space="0" w:color="auto"/>
            </w:tcBorders>
          </w:tcPr>
          <w:p w14:paraId="1824EF1C" w14:textId="77777777" w:rsidR="00F73D5B" w:rsidRPr="008B7A21" w:rsidRDefault="00F73D5B" w:rsidP="00767A6A">
            <w:pPr>
              <w:pStyle w:val="Tabletext"/>
              <w:jc w:val="center"/>
              <w:rPr>
                <w:lang w:val="es-ES_tradnl"/>
              </w:rPr>
            </w:pPr>
            <w:r w:rsidRPr="008B7A21">
              <w:rPr>
                <w:lang w:val="es-ES_tradnl"/>
              </w:rPr>
              <w:t>140</w:t>
            </w:r>
          </w:p>
        </w:tc>
      </w:tr>
      <w:tr w:rsidR="00F73D5B" w:rsidRPr="008B7A21" w14:paraId="76035A2B" w14:textId="77777777" w:rsidTr="002E47E2">
        <w:trPr>
          <w:jc w:val="center"/>
        </w:trPr>
        <w:tc>
          <w:tcPr>
            <w:tcW w:w="850" w:type="dxa"/>
          </w:tcPr>
          <w:p w14:paraId="7F8829A4" w14:textId="77777777" w:rsidR="00F73D5B" w:rsidRPr="008B7A21" w:rsidRDefault="00F73D5B" w:rsidP="00767A6A">
            <w:pPr>
              <w:pStyle w:val="Tabletext"/>
              <w:rPr>
                <w:lang w:val="es-ES_tradnl"/>
              </w:rPr>
            </w:pPr>
          </w:p>
        </w:tc>
        <w:tc>
          <w:tcPr>
            <w:tcW w:w="3685" w:type="dxa"/>
          </w:tcPr>
          <w:p w14:paraId="25B27DE1" w14:textId="77777777" w:rsidR="00F73D5B" w:rsidRPr="008B7A21" w:rsidRDefault="00F73D5B" w:rsidP="00767A6A">
            <w:pPr>
              <w:pStyle w:val="Tabletext"/>
              <w:rPr>
                <w:lang w:val="es-ES_tradnl"/>
              </w:rPr>
            </w:pPr>
            <w:r w:rsidRPr="008B7A21">
              <w:rPr>
                <w:lang w:val="es-ES_tradnl"/>
              </w:rPr>
              <w:t xml:space="preserve">Sumas de las lecturas, </w:t>
            </w:r>
            <w:r w:rsidRPr="008B7A21">
              <w:rPr>
                <w:i/>
                <w:iCs/>
                <w:lang w:val="es-ES_tradnl"/>
              </w:rPr>
              <w:t>S</w:t>
            </w:r>
            <w:r w:rsidRPr="008B7A21">
              <w:rPr>
                <w:i/>
                <w:iCs/>
                <w:vertAlign w:val="subscript"/>
                <w:lang w:val="es-ES_tradnl"/>
              </w:rPr>
              <w:t>d</w:t>
            </w:r>
            <w:r w:rsidRPr="008B7A21">
              <w:rPr>
                <w:lang w:val="es-ES_tradnl"/>
              </w:rPr>
              <w:t xml:space="preserve"> (m)</w:t>
            </w:r>
          </w:p>
        </w:tc>
        <w:tc>
          <w:tcPr>
            <w:tcW w:w="1247" w:type="dxa"/>
          </w:tcPr>
          <w:p w14:paraId="4B93D99C" w14:textId="77777777" w:rsidR="00F73D5B" w:rsidRPr="008B7A21" w:rsidRDefault="00F73D5B" w:rsidP="00767A6A">
            <w:pPr>
              <w:pStyle w:val="Tabletext"/>
              <w:jc w:val="center"/>
              <w:rPr>
                <w:lang w:val="es-ES_tradnl"/>
              </w:rPr>
            </w:pPr>
            <w:r w:rsidRPr="008B7A21">
              <w:rPr>
                <w:lang w:val="es-ES_tradnl"/>
              </w:rPr>
              <w:t>3 450</w:t>
            </w:r>
          </w:p>
        </w:tc>
        <w:tc>
          <w:tcPr>
            <w:tcW w:w="1247" w:type="dxa"/>
          </w:tcPr>
          <w:p w14:paraId="02100A58" w14:textId="77777777" w:rsidR="00F73D5B" w:rsidRPr="008B7A21" w:rsidRDefault="00F73D5B" w:rsidP="00767A6A">
            <w:pPr>
              <w:pStyle w:val="Tabletext"/>
              <w:jc w:val="center"/>
              <w:rPr>
                <w:lang w:val="es-ES_tradnl"/>
              </w:rPr>
            </w:pPr>
            <w:r w:rsidRPr="008B7A21">
              <w:rPr>
                <w:lang w:val="es-ES_tradnl"/>
              </w:rPr>
              <w:t>1 810</w:t>
            </w:r>
          </w:p>
        </w:tc>
        <w:tc>
          <w:tcPr>
            <w:tcW w:w="1247" w:type="dxa"/>
          </w:tcPr>
          <w:p w14:paraId="3C698F30" w14:textId="77777777" w:rsidR="00F73D5B" w:rsidRPr="008B7A21" w:rsidRDefault="00F73D5B" w:rsidP="00767A6A">
            <w:pPr>
              <w:pStyle w:val="Tabletext"/>
              <w:jc w:val="center"/>
              <w:rPr>
                <w:lang w:val="es-ES_tradnl"/>
              </w:rPr>
            </w:pPr>
            <w:r w:rsidRPr="008B7A21">
              <w:rPr>
                <w:lang w:val="es-ES_tradnl"/>
              </w:rPr>
              <w:t>3 210</w:t>
            </w:r>
          </w:p>
        </w:tc>
        <w:tc>
          <w:tcPr>
            <w:tcW w:w="1249" w:type="dxa"/>
          </w:tcPr>
          <w:p w14:paraId="38A6E747" w14:textId="77777777" w:rsidR="00F73D5B" w:rsidRPr="008B7A21" w:rsidRDefault="00F73D5B" w:rsidP="00767A6A">
            <w:pPr>
              <w:pStyle w:val="Tabletext"/>
              <w:jc w:val="center"/>
              <w:rPr>
                <w:lang w:val="es-ES_tradnl"/>
              </w:rPr>
            </w:pPr>
            <w:r w:rsidRPr="008B7A21">
              <w:rPr>
                <w:lang w:val="es-ES_tradnl"/>
              </w:rPr>
              <w:t>2 630</w:t>
            </w:r>
          </w:p>
        </w:tc>
      </w:tr>
      <w:tr w:rsidR="00F73D5B" w:rsidRPr="008B7A21" w14:paraId="10B77CD1" w14:textId="77777777" w:rsidTr="002E47E2">
        <w:trPr>
          <w:jc w:val="center"/>
        </w:trPr>
        <w:tc>
          <w:tcPr>
            <w:tcW w:w="850" w:type="dxa"/>
          </w:tcPr>
          <w:p w14:paraId="79A7197B" w14:textId="77777777" w:rsidR="00F73D5B" w:rsidRPr="008B7A21" w:rsidRDefault="00F73D5B" w:rsidP="00767A6A">
            <w:pPr>
              <w:pStyle w:val="Tabletext"/>
              <w:rPr>
                <w:lang w:val="es-ES_tradnl"/>
              </w:rPr>
            </w:pPr>
          </w:p>
        </w:tc>
        <w:tc>
          <w:tcPr>
            <w:tcW w:w="3685" w:type="dxa"/>
          </w:tcPr>
          <w:p w14:paraId="1A897940" w14:textId="77777777" w:rsidR="00F73D5B" w:rsidRPr="008B7A21" w:rsidRDefault="00F73D5B" w:rsidP="00767A6A">
            <w:pPr>
              <w:pStyle w:val="Tabletext"/>
              <w:rPr>
                <w:lang w:val="es-ES_tradnl"/>
              </w:rPr>
            </w:pPr>
            <w:r w:rsidRPr="008B7A21">
              <w:rPr>
                <w:lang w:val="es-ES_tradnl"/>
              </w:rPr>
              <w:t xml:space="preserve">Alturas efectivas, </w:t>
            </w:r>
            <w:r w:rsidRPr="008B7A21">
              <w:rPr>
                <w:i/>
                <w:iCs/>
                <w:lang w:val="es-ES_tradnl"/>
              </w:rPr>
              <w:t>S</w:t>
            </w:r>
            <w:r w:rsidRPr="008B7A21">
              <w:rPr>
                <w:i/>
                <w:iCs/>
                <w:vertAlign w:val="subscript"/>
                <w:lang w:val="es-ES_tradnl"/>
              </w:rPr>
              <w:t>d</w:t>
            </w:r>
            <w:r w:rsidRPr="008B7A21">
              <w:rPr>
                <w:lang w:val="es-ES_tradnl"/>
              </w:rPr>
              <w:t>/13 (m)</w:t>
            </w:r>
          </w:p>
        </w:tc>
        <w:tc>
          <w:tcPr>
            <w:tcW w:w="1247" w:type="dxa"/>
          </w:tcPr>
          <w:p w14:paraId="26FD3F94" w14:textId="77777777" w:rsidR="00F73D5B" w:rsidRPr="008B7A21" w:rsidRDefault="00F73D5B" w:rsidP="00767A6A">
            <w:pPr>
              <w:pStyle w:val="Tabletext"/>
              <w:jc w:val="center"/>
              <w:rPr>
                <w:lang w:val="es-ES_tradnl"/>
              </w:rPr>
            </w:pPr>
            <w:r w:rsidRPr="008B7A21">
              <w:rPr>
                <w:lang w:val="es-ES_tradnl"/>
              </w:rPr>
              <w:t>265</w:t>
            </w:r>
          </w:p>
        </w:tc>
        <w:tc>
          <w:tcPr>
            <w:tcW w:w="1247" w:type="dxa"/>
          </w:tcPr>
          <w:p w14:paraId="5C7CD480" w14:textId="77777777" w:rsidR="00F73D5B" w:rsidRPr="008B7A21" w:rsidRDefault="00F73D5B" w:rsidP="00767A6A">
            <w:pPr>
              <w:pStyle w:val="Tabletext"/>
              <w:jc w:val="center"/>
              <w:rPr>
                <w:lang w:val="es-ES_tradnl"/>
              </w:rPr>
            </w:pPr>
            <w:r w:rsidRPr="008B7A21">
              <w:rPr>
                <w:lang w:val="es-ES_tradnl"/>
              </w:rPr>
              <w:t>139</w:t>
            </w:r>
          </w:p>
        </w:tc>
        <w:tc>
          <w:tcPr>
            <w:tcW w:w="1247" w:type="dxa"/>
          </w:tcPr>
          <w:p w14:paraId="3BF11422" w14:textId="77777777" w:rsidR="00F73D5B" w:rsidRPr="008B7A21" w:rsidRDefault="00F73D5B" w:rsidP="00767A6A">
            <w:pPr>
              <w:pStyle w:val="Tabletext"/>
              <w:jc w:val="center"/>
              <w:rPr>
                <w:lang w:val="es-ES_tradnl"/>
              </w:rPr>
            </w:pPr>
            <w:r w:rsidRPr="008B7A21">
              <w:rPr>
                <w:lang w:val="es-ES_tradnl"/>
              </w:rPr>
              <w:t>245</w:t>
            </w:r>
          </w:p>
        </w:tc>
        <w:tc>
          <w:tcPr>
            <w:tcW w:w="1249" w:type="dxa"/>
          </w:tcPr>
          <w:p w14:paraId="2A9E29D4" w14:textId="77777777" w:rsidR="00F73D5B" w:rsidRPr="008B7A21" w:rsidRDefault="00F73D5B" w:rsidP="00767A6A">
            <w:pPr>
              <w:pStyle w:val="Tabletext"/>
              <w:jc w:val="center"/>
              <w:rPr>
                <w:lang w:val="es-ES_tradnl"/>
              </w:rPr>
            </w:pPr>
            <w:r w:rsidRPr="008B7A21">
              <w:rPr>
                <w:lang w:val="es-ES_tradnl"/>
              </w:rPr>
              <w:t>202</w:t>
            </w:r>
          </w:p>
        </w:tc>
      </w:tr>
      <w:tr w:rsidR="00F73D5B" w:rsidRPr="008B7A21" w14:paraId="1E04FCCF" w14:textId="77777777" w:rsidTr="002E47E2">
        <w:trPr>
          <w:jc w:val="center"/>
        </w:trPr>
        <w:tc>
          <w:tcPr>
            <w:tcW w:w="850" w:type="dxa"/>
          </w:tcPr>
          <w:p w14:paraId="6A3C0663" w14:textId="77777777" w:rsidR="00F73D5B" w:rsidRPr="008B7A21" w:rsidRDefault="00F73D5B" w:rsidP="00767A6A">
            <w:pPr>
              <w:pStyle w:val="Tabletext"/>
              <w:rPr>
                <w:lang w:val="es-ES_tradnl"/>
              </w:rPr>
            </w:pPr>
          </w:p>
        </w:tc>
        <w:tc>
          <w:tcPr>
            <w:tcW w:w="3685" w:type="dxa"/>
          </w:tcPr>
          <w:p w14:paraId="1BCDE11A" w14:textId="77777777" w:rsidR="00F73D5B" w:rsidRPr="008B7A21" w:rsidRDefault="00F73D5B" w:rsidP="00767A6A">
            <w:pPr>
              <w:pStyle w:val="Tabletext"/>
              <w:rPr>
                <w:lang w:val="es-ES_tradnl"/>
              </w:rPr>
            </w:pPr>
            <w:r w:rsidRPr="008B7A21">
              <w:rPr>
                <w:lang w:val="es-ES_tradnl"/>
              </w:rPr>
              <w:t xml:space="preserve">Altura efectiva promediada, </w:t>
            </w:r>
            <w:r w:rsidRPr="008B7A21">
              <w:rPr>
                <w:i/>
                <w:iCs/>
                <w:lang w:val="es-ES_tradnl"/>
              </w:rPr>
              <w:t>h</w:t>
            </w:r>
            <w:r w:rsidRPr="008B7A21">
              <w:rPr>
                <w:i/>
                <w:iCs/>
                <w:vertAlign w:val="subscript"/>
                <w:lang w:val="es-ES_tradnl"/>
              </w:rPr>
              <w:t>ef</w:t>
            </w:r>
            <w:r w:rsidRPr="008B7A21">
              <w:rPr>
                <w:lang w:val="es-ES_tradnl"/>
              </w:rPr>
              <w:t xml:space="preserve"> (m)</w:t>
            </w:r>
          </w:p>
        </w:tc>
        <w:tc>
          <w:tcPr>
            <w:tcW w:w="4990" w:type="dxa"/>
            <w:gridSpan w:val="4"/>
          </w:tcPr>
          <w:p w14:paraId="444173D1" w14:textId="77777777" w:rsidR="00F73D5B" w:rsidRPr="008B7A21" w:rsidRDefault="00F73D5B" w:rsidP="00767A6A">
            <w:pPr>
              <w:pStyle w:val="Tabletext"/>
              <w:jc w:val="center"/>
              <w:rPr>
                <w:lang w:val="es-ES_tradnl"/>
              </w:rPr>
            </w:pPr>
            <w:r w:rsidRPr="008B7A21">
              <w:rPr>
                <w:lang w:val="es-ES_tradnl"/>
              </w:rPr>
              <w:t>213</w:t>
            </w:r>
          </w:p>
        </w:tc>
      </w:tr>
    </w:tbl>
    <w:p w14:paraId="4063498C" w14:textId="77777777" w:rsidR="00F73D5B" w:rsidRPr="008B7A21" w:rsidRDefault="00F73D5B" w:rsidP="00F73D5B">
      <w:pPr>
        <w:pStyle w:val="Tablefin"/>
        <w:rPr>
          <w:lang w:val="es-ES_tradnl"/>
        </w:rPr>
      </w:pPr>
    </w:p>
    <w:p w14:paraId="3C094A1D" w14:textId="77777777" w:rsidR="00F73D5B" w:rsidRPr="008B7A21" w:rsidRDefault="00F73D5B" w:rsidP="00F73D5B">
      <w:pPr>
        <w:pStyle w:val="Headingb"/>
        <w:rPr>
          <w:lang w:val="es-ES_tradnl"/>
        </w:rPr>
      </w:pPr>
      <w:bookmarkStart w:id="1371" w:name="_Toc307922616"/>
      <w:bookmarkStart w:id="1372" w:name="_Toc307991965"/>
      <w:bookmarkStart w:id="1373" w:name="_Toc307993998"/>
      <w:bookmarkStart w:id="1374" w:name="_Toc307996404"/>
      <w:bookmarkStart w:id="1375" w:name="_Toc499563042"/>
      <w:r w:rsidRPr="008B7A21">
        <w:rPr>
          <w:lang w:val="es-ES_tradnl"/>
        </w:rPr>
        <w:t>c)</w:t>
      </w:r>
      <w:r w:rsidRPr="008B7A21">
        <w:rPr>
          <w:lang w:val="es-ES_tradnl"/>
        </w:rPr>
        <w:tab/>
        <w:t>Cálculo de la zona de servicio</w:t>
      </w:r>
      <w:bookmarkEnd w:id="1371"/>
      <w:bookmarkEnd w:id="1372"/>
      <w:bookmarkEnd w:id="1373"/>
      <w:bookmarkEnd w:id="1374"/>
      <w:bookmarkEnd w:id="1375"/>
    </w:p>
    <w:p w14:paraId="4B6D1499" w14:textId="77777777" w:rsidR="00F73D5B" w:rsidRPr="008B7A21" w:rsidRDefault="00F73D5B" w:rsidP="00F73D5B">
      <w:pPr>
        <w:rPr>
          <w:lang w:val="es-ES_tradnl"/>
        </w:rPr>
      </w:pPr>
      <w:r w:rsidRPr="008B7A21">
        <w:rPr>
          <w:lang w:val="es-ES_tradnl"/>
        </w:rPr>
        <w:t xml:space="preserve">Una vez calculado el radio de la zona de servicio, </w:t>
      </w:r>
      <w:r w:rsidRPr="008B7A21">
        <w:rPr>
          <w:i/>
          <w:lang w:val="es-ES_tradnl"/>
        </w:rPr>
        <w:t>R</w:t>
      </w:r>
      <w:r w:rsidRPr="008B7A21">
        <w:rPr>
          <w:lang w:val="es-ES_tradnl"/>
        </w:rPr>
        <w:t xml:space="preserve">, </w:t>
      </w:r>
      <w:r w:rsidRPr="008B7A21">
        <w:rPr>
          <w:iCs/>
          <w:lang w:val="es-ES_tradnl"/>
        </w:rPr>
        <w:t>(</w:t>
      </w:r>
      <w:r w:rsidRPr="008B7A21">
        <w:rPr>
          <w:lang w:val="es-ES_tradnl"/>
        </w:rPr>
        <w:t xml:space="preserve">km) de conformidad con los procedimientos indicados en a) y b), la zona de servicio, </w:t>
      </w:r>
      <w:r w:rsidRPr="008B7A21">
        <w:rPr>
          <w:i/>
          <w:iCs/>
          <w:lang w:val="es-ES_tradnl"/>
        </w:rPr>
        <w:t>s</w:t>
      </w:r>
      <w:r w:rsidRPr="008B7A21">
        <w:rPr>
          <w:lang w:val="es-ES_tradnl"/>
        </w:rPr>
        <w:t>, se calcula evidentemente como sigue:</w:t>
      </w:r>
    </w:p>
    <w:p w14:paraId="32BC1829" w14:textId="77777777" w:rsidR="00F73D5B" w:rsidRPr="008B7A21" w:rsidRDefault="00F73D5B" w:rsidP="00F73D5B">
      <w:pPr>
        <w:pStyle w:val="Blanc"/>
        <w:rPr>
          <w:lang w:val="es-ES_tradnl"/>
        </w:rPr>
      </w:pPr>
    </w:p>
    <w:p w14:paraId="74F7A9EB" w14:textId="33209D3D" w:rsidR="00F73D5B" w:rsidRPr="008B7A21" w:rsidRDefault="00F73D5B" w:rsidP="00F73D5B">
      <w:pPr>
        <w:pStyle w:val="Equation"/>
        <w:rPr>
          <w:lang w:val="es-ES_tradnl"/>
        </w:rPr>
      </w:pPr>
      <w:r w:rsidRPr="008B7A21">
        <w:rPr>
          <w:lang w:val="es-ES_tradnl"/>
        </w:rPr>
        <w:tab/>
      </w:r>
      <w:r w:rsidRPr="008B7A21">
        <w:rPr>
          <w:lang w:val="es-ES_tradnl"/>
        </w:rPr>
        <w:tab/>
      </w:r>
      <w:r w:rsidRPr="008B7A21">
        <w:rPr>
          <w:i/>
          <w:iCs/>
          <w:lang w:val="es-ES_tradnl"/>
        </w:rPr>
        <w:t>s</w:t>
      </w:r>
      <w:r w:rsidRPr="008B7A21">
        <w:rPr>
          <w:lang w:val="es-ES_tradnl"/>
        </w:rPr>
        <w:t xml:space="preserve"> </w:t>
      </w:r>
      <w:r w:rsidR="00386EEF">
        <w:rPr>
          <w:lang w:val="es-ES_tradnl"/>
        </w:rPr>
        <w:t>=</w:t>
      </w:r>
      <w:r w:rsidRPr="008B7A21">
        <w:rPr>
          <w:lang w:val="es-ES_tradnl"/>
        </w:rPr>
        <w:t xml:space="preserve"> </w:t>
      </w:r>
      <w:r w:rsidR="00386EEF" w:rsidRPr="00386EEF">
        <w:sym w:font="Symbol" w:char="F070"/>
      </w:r>
      <w:r w:rsidRPr="008B7A21">
        <w:rPr>
          <w:sz w:val="12"/>
          <w:szCs w:val="12"/>
          <w:lang w:val="es-ES_tradnl"/>
        </w:rPr>
        <w:t> </w:t>
      </w:r>
      <w:r w:rsidRPr="008B7A21">
        <w:rPr>
          <w:i/>
          <w:lang w:val="es-ES_tradnl"/>
        </w:rPr>
        <w:t>R</w:t>
      </w:r>
      <w:r w:rsidRPr="008B7A21">
        <w:rPr>
          <w:iCs/>
          <w:vertAlign w:val="superscript"/>
          <w:lang w:val="es-ES_tradnl"/>
        </w:rPr>
        <w:t>2</w:t>
      </w:r>
      <w:r w:rsidRPr="008B7A21">
        <w:rPr>
          <w:lang w:val="es-ES_tradnl"/>
        </w:rPr>
        <w:t>                km</w:t>
      </w:r>
      <w:r w:rsidRPr="008B7A21">
        <w:rPr>
          <w:vertAlign w:val="superscript"/>
          <w:lang w:val="es-ES_tradnl"/>
        </w:rPr>
        <w:t>2</w:t>
      </w:r>
      <w:r w:rsidRPr="008B7A21">
        <w:rPr>
          <w:lang w:val="es-ES_tradnl"/>
        </w:rPr>
        <w:tab/>
        <w:t>(31)</w:t>
      </w:r>
    </w:p>
    <w:p w14:paraId="5C3E9215" w14:textId="77777777" w:rsidR="00F73D5B" w:rsidRPr="008B7A21" w:rsidRDefault="00F73D5B" w:rsidP="00F73D5B">
      <w:pPr>
        <w:pStyle w:val="Blanc"/>
        <w:rPr>
          <w:lang w:val="es-ES_tradnl"/>
        </w:rPr>
      </w:pPr>
    </w:p>
    <w:p w14:paraId="67771741" w14:textId="77777777" w:rsidR="00F73D5B" w:rsidRPr="008B7A21" w:rsidRDefault="00F73D5B" w:rsidP="00F73D5B">
      <w:pPr>
        <w:rPr>
          <w:lang w:val="es-ES_tradnl"/>
        </w:rPr>
      </w:pPr>
      <w:r w:rsidRPr="008B7A21">
        <w:rPr>
          <w:lang w:val="es-ES_tradnl"/>
        </w:rPr>
        <w:t>Puede suceder que una zona de servicio contenga dos (véase el ejemplo en la Fig. 5) o incluso tres (véase el ejemplo de la Fig. 6) zonas pertenecientes a distintas categorías de cánones de licencia, como se mencionó en el § 5.2 del modelo. También puede aparecer esta circunstancia en la frontera de un país con otros. En estos casos, y cuando una administración no dispone de una base de datos digital del terreno administrativo interrelacionada con el soporte lógico de las asignaciones de frecuencias pertinentes, se aplican los siguientes procedimientos simplificados para calcular las partes de la zona de servicio que pertenecen a distintas zonas.</w:t>
      </w:r>
    </w:p>
    <w:p w14:paraId="5EC3FA78" w14:textId="77777777" w:rsidR="00F73D5B" w:rsidRPr="008B7A21" w:rsidRDefault="00F73D5B" w:rsidP="00F73D5B">
      <w:pPr>
        <w:rPr>
          <w:lang w:val="es-ES_tradnl"/>
        </w:rPr>
      </w:pPr>
      <w:r w:rsidRPr="008B7A21">
        <w:rPr>
          <w:lang w:val="es-ES_tradnl"/>
        </w:rPr>
        <w:t>Las curvas de la frontera real se aproximan mediante líneas rectas situadas de tal forma que las zonas entre las curvas de la frontera real y las líneas de aproximación pertinentes, a cada lado de estas líneas, deben ser aproximadamente iguales (véanse las Figs. 5 y 6). La línea de aproximación entre las zonas </w:t>
      </w:r>
      <w:r w:rsidRPr="008B7A21">
        <w:rPr>
          <w:position w:val="-10"/>
          <w:lang w:val="es-ES_tradnl"/>
        </w:rPr>
        <w:object w:dxaOrig="279" w:dyaOrig="340" w14:anchorId="464694AE">
          <v:shape id="_x0000_i1666" type="#_x0000_t75" style="width:13.4pt;height:17.6pt" o:ole="">
            <v:imagedata r:id="rId37" o:title=""/>
          </v:shape>
          <o:OLEObject Type="Embed" ProgID="Equation.3" ShapeID="_x0000_i1666" DrawAspect="Content" ObjectID="_1826705875" r:id="rId38"/>
        </w:object>
      </w:r>
      <w:r w:rsidRPr="008B7A21">
        <w:rPr>
          <w:lang w:val="es-ES_tradnl"/>
        </w:rPr>
        <w:t xml:space="preserve"> y </w:t>
      </w:r>
      <w:r w:rsidRPr="008B7A21">
        <w:rPr>
          <w:i/>
          <w:iCs/>
          <w:lang w:val="es-ES_tradnl"/>
        </w:rPr>
        <w:t>S</w:t>
      </w:r>
      <w:r w:rsidRPr="008B7A21">
        <w:rPr>
          <w:vertAlign w:val="subscript"/>
          <w:lang w:val="es-ES_tradnl"/>
        </w:rPr>
        <w:t>3</w:t>
      </w:r>
      <w:r w:rsidRPr="008B7A21">
        <w:rPr>
          <w:lang w:val="es-ES_tradnl"/>
        </w:rPr>
        <w:t xml:space="preserve"> de la Fig. 6 debe también coincidir con un radio de una zona de servicio, como se indica en dicha figura.</w:t>
      </w:r>
    </w:p>
    <w:p w14:paraId="1F6CAFFA" w14:textId="77777777" w:rsidR="00F73D5B" w:rsidRPr="008B7A21" w:rsidRDefault="00F73D5B" w:rsidP="00F73D5B">
      <w:pPr>
        <w:pStyle w:val="FigureNo"/>
        <w:rPr>
          <w:lang w:val="es-ES_tradnl"/>
        </w:rPr>
      </w:pPr>
      <w:r w:rsidRPr="008B7A21">
        <w:rPr>
          <w:lang w:val="es-ES_tradnl"/>
        </w:rPr>
        <w:t>Figura 5</w:t>
      </w:r>
    </w:p>
    <w:p w14:paraId="27A7D041" w14:textId="77777777" w:rsidR="00F73D5B" w:rsidRPr="008B7A21" w:rsidRDefault="00F73D5B" w:rsidP="00F73D5B">
      <w:pPr>
        <w:pStyle w:val="Figuretitle"/>
        <w:rPr>
          <w:lang w:val="es-ES_tradnl"/>
        </w:rPr>
      </w:pPr>
      <w:r w:rsidRPr="008B7A21">
        <w:rPr>
          <w:lang w:val="es-ES_tradnl"/>
        </w:rPr>
        <w:t>Ejemplo con cobertura de dos zonas distintas</w:t>
      </w:r>
    </w:p>
    <w:p w14:paraId="6BED1D8F" w14:textId="0FF61EB9" w:rsidR="00F73D5B" w:rsidRPr="008B7A21" w:rsidRDefault="002A1F3D" w:rsidP="00F73D5B">
      <w:pPr>
        <w:pStyle w:val="Figure"/>
        <w:rPr>
          <w:lang w:val="es-ES_tradnl"/>
        </w:rPr>
      </w:pPr>
      <w:r w:rsidRPr="008B7A21">
        <w:rPr>
          <w:lang w:val="es-ES_tradnl"/>
        </w:rPr>
        <w:object w:dxaOrig="4107" w:dyaOrig="3577" w14:anchorId="1CC2BA91">
          <v:shape id="_x0000_i1667" type="#_x0000_t75" alt="La Figura 5 muestra un ejemplo con cobertura de dos zonas distintas&#10;" style="width:339.9pt;height:291.35pt" o:ole="">
            <v:imagedata r:id="rId39" o:title=""/>
          </v:shape>
          <o:OLEObject Type="Embed" ProgID="CorelDRAW.Graphic.14" ShapeID="_x0000_i1667" DrawAspect="Content" ObjectID="_1826705876" r:id="rId40"/>
        </w:object>
      </w:r>
    </w:p>
    <w:p w14:paraId="0293EFE3" w14:textId="77777777" w:rsidR="00F73D5B" w:rsidRPr="008B7A21" w:rsidRDefault="00F73D5B" w:rsidP="00F73D5B">
      <w:pPr>
        <w:pStyle w:val="FigureNo"/>
        <w:rPr>
          <w:lang w:val="es-ES_tradnl"/>
        </w:rPr>
      </w:pPr>
      <w:r w:rsidRPr="008B7A21">
        <w:rPr>
          <w:lang w:val="es-ES_tradnl"/>
        </w:rPr>
        <w:t>Figura 6</w:t>
      </w:r>
    </w:p>
    <w:p w14:paraId="0066918A" w14:textId="77777777" w:rsidR="00F73D5B" w:rsidRPr="008B7A21" w:rsidRDefault="00F73D5B" w:rsidP="00F73D5B">
      <w:pPr>
        <w:pStyle w:val="Figuretitle"/>
        <w:rPr>
          <w:lang w:val="es-ES_tradnl"/>
        </w:rPr>
      </w:pPr>
      <w:r w:rsidRPr="008B7A21">
        <w:rPr>
          <w:lang w:val="es-ES_tradnl"/>
        </w:rPr>
        <w:t>Ejemplo con cobertura de tres zonas distintas</w:t>
      </w:r>
    </w:p>
    <w:p w14:paraId="79EA05D7" w14:textId="2FFC2F91" w:rsidR="00F73D5B" w:rsidRPr="008B7A21" w:rsidRDefault="002A1F3D" w:rsidP="00F73D5B">
      <w:pPr>
        <w:pStyle w:val="Figure"/>
        <w:rPr>
          <w:lang w:val="es-ES_tradnl"/>
        </w:rPr>
      </w:pPr>
      <w:r w:rsidRPr="008B7A21">
        <w:rPr>
          <w:lang w:val="es-ES_tradnl"/>
        </w:rPr>
        <w:object w:dxaOrig="4107" w:dyaOrig="3713" w14:anchorId="757C20F8">
          <v:shape id="_x0000_i1668" type="#_x0000_t75" alt="La Figura 6 muestra un ejemplo con cobertura de tres zonas distintas&#10;" style="width:339.9pt;height:303.9pt" o:ole="">
            <v:imagedata r:id="rId41" o:title=""/>
          </v:shape>
          <o:OLEObject Type="Embed" ProgID="CorelDRAW.Graphic.14" ShapeID="_x0000_i1668" DrawAspect="Content" ObjectID="_1826705877" r:id="rId42"/>
        </w:object>
      </w:r>
    </w:p>
    <w:p w14:paraId="21EF0E79" w14:textId="2DFFE4F3" w:rsidR="00F73D5B" w:rsidRPr="008B7A21" w:rsidRDefault="00F73D5B" w:rsidP="00F73D5B">
      <w:pPr>
        <w:keepNext/>
        <w:keepLines/>
        <w:rPr>
          <w:lang w:val="es-ES_tradnl"/>
        </w:rPr>
      </w:pPr>
      <w:r w:rsidRPr="008B7A21">
        <w:rPr>
          <w:lang w:val="es-ES_tradnl"/>
        </w:rPr>
        <w:t xml:space="preserve">El área </w:t>
      </w:r>
      <w:r w:rsidR="00386EEF">
        <w:rPr>
          <w:lang w:val="es-ES_tradnl"/>
        </w:rPr>
        <w:t>Δ</w:t>
      </w:r>
      <w:r w:rsidRPr="008B7A21">
        <w:rPr>
          <w:i/>
          <w:iCs/>
          <w:lang w:val="es-ES_tradnl"/>
        </w:rPr>
        <w:t>S</w:t>
      </w:r>
      <w:r w:rsidRPr="008B7A21">
        <w:rPr>
          <w:vertAlign w:val="subscript"/>
          <w:lang w:val="es-ES_tradnl"/>
        </w:rPr>
        <w:t>2</w:t>
      </w:r>
      <w:r w:rsidRPr="008B7A21">
        <w:rPr>
          <w:bCs/>
          <w:lang w:val="es-ES_tradnl"/>
        </w:rPr>
        <w:t xml:space="preserve"> del segmento </w:t>
      </w:r>
      <w:r w:rsidRPr="008B7A21">
        <w:rPr>
          <w:bCs/>
          <w:i/>
          <w:iCs/>
          <w:lang w:val="es-ES_tradnl"/>
        </w:rPr>
        <w:t>S</w:t>
      </w:r>
      <w:r w:rsidRPr="008B7A21">
        <w:rPr>
          <w:bCs/>
          <w:vertAlign w:val="subscript"/>
          <w:lang w:val="es-ES_tradnl"/>
        </w:rPr>
        <w:t>2</w:t>
      </w:r>
      <w:r w:rsidRPr="008B7A21">
        <w:rPr>
          <w:b/>
          <w:lang w:val="es-ES_tradnl"/>
        </w:rPr>
        <w:t xml:space="preserve"> </w:t>
      </w:r>
      <w:r w:rsidRPr="008B7A21">
        <w:rPr>
          <w:bCs/>
          <w:lang w:val="es-ES_tradnl"/>
        </w:rPr>
        <w:t>para el caso de dos zonas (Fig. 5) se calcula como sigue:</w:t>
      </w:r>
    </w:p>
    <w:p w14:paraId="6B0B0DE6" w14:textId="77777777" w:rsidR="00F73D5B" w:rsidRPr="008B7A21" w:rsidRDefault="00F73D5B" w:rsidP="00F73D5B">
      <w:pPr>
        <w:pStyle w:val="Blanc"/>
        <w:rPr>
          <w:lang w:val="es-ES_tradnl"/>
        </w:rPr>
      </w:pPr>
    </w:p>
    <w:p w14:paraId="22211782"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28"/>
          <w:lang w:val="es-ES_tradnl"/>
        </w:rPr>
        <w:object w:dxaOrig="2600" w:dyaOrig="720" w14:anchorId="3609B132">
          <v:shape id="_x0000_i1669" type="#_x0000_t75" style="width:129.75pt;height:36.85pt" o:ole="" fillcolor="window">
            <v:imagedata r:id="rId43" o:title=""/>
          </v:shape>
          <o:OLEObject Type="Embed" ProgID="Equation.3" ShapeID="_x0000_i1669" DrawAspect="Content" ObjectID="_1826705878" r:id="rId44"/>
        </w:object>
      </w:r>
      <w:r w:rsidRPr="008B7A21">
        <w:rPr>
          <w:lang w:val="es-ES_tradnl"/>
        </w:rPr>
        <w:tab/>
        <w:t>(32)</w:t>
      </w:r>
    </w:p>
    <w:p w14:paraId="6A8F9FE1" w14:textId="77777777" w:rsidR="00F73D5B" w:rsidRPr="008B7A21" w:rsidRDefault="00F73D5B" w:rsidP="00F73D5B">
      <w:pPr>
        <w:rPr>
          <w:lang w:val="es-ES_tradnl"/>
        </w:rPr>
      </w:pPr>
      <w:r w:rsidRPr="008B7A21">
        <w:rPr>
          <w:lang w:val="es-ES_tradnl"/>
        </w:rPr>
        <w:t>siendo:</w:t>
      </w:r>
    </w:p>
    <w:p w14:paraId="22F569C9" w14:textId="1F2C362A" w:rsidR="00F73D5B" w:rsidRPr="008B7A21" w:rsidRDefault="00F73D5B" w:rsidP="00F73D5B">
      <w:pPr>
        <w:pStyle w:val="Equationlegend"/>
        <w:rPr>
          <w:lang w:val="es-ES_tradnl"/>
        </w:rPr>
      </w:pPr>
      <w:r w:rsidRPr="008B7A21">
        <w:rPr>
          <w:lang w:val="es-ES_tradnl"/>
        </w:rPr>
        <w:tab/>
      </w:r>
      <w:r w:rsidR="00386EEF" w:rsidRPr="00386EEF">
        <w:sym w:font="Symbol" w:char="F06A"/>
      </w:r>
      <w:r w:rsidRPr="008B7A21">
        <w:rPr>
          <w:vertAlign w:val="subscript"/>
          <w:lang w:val="es-ES_tradnl"/>
        </w:rPr>
        <w:t>2</w:t>
      </w:r>
      <w:r w:rsidRPr="008B7A21">
        <w:rPr>
          <w:lang w:val="es-ES_tradnl"/>
        </w:rPr>
        <w:t>:</w:t>
      </w:r>
      <w:r w:rsidRPr="008B7A21">
        <w:rPr>
          <w:lang w:val="es-ES_tradnl"/>
        </w:rPr>
        <w:tab/>
        <w:t>ángulo del sector correspondiente (véase la Fig. 5),</w:t>
      </w:r>
    </w:p>
    <w:p w14:paraId="3BE7FED7" w14:textId="45DA6F2F" w:rsidR="00F73D5B" w:rsidRPr="008B7A21" w:rsidRDefault="00F73D5B" w:rsidP="00F73D5B">
      <w:pPr>
        <w:rPr>
          <w:lang w:val="es-ES_tradnl"/>
        </w:rPr>
      </w:pPr>
      <w:r w:rsidRPr="008B7A21">
        <w:rPr>
          <w:lang w:val="es-ES_tradnl"/>
        </w:rPr>
        <w:t xml:space="preserve">el área </w:t>
      </w:r>
      <w:r w:rsidR="00386EEF">
        <w:rPr>
          <w:lang w:val="es-ES_tradnl"/>
        </w:rPr>
        <w:t>Δ</w:t>
      </w:r>
      <w:r w:rsidRPr="008B7A21">
        <w:rPr>
          <w:i/>
          <w:iCs/>
          <w:lang w:val="es-ES_tradnl"/>
        </w:rPr>
        <w:t>S</w:t>
      </w:r>
      <w:r w:rsidRPr="008B7A21">
        <w:rPr>
          <w:vertAlign w:val="subscript"/>
          <w:lang w:val="es-ES_tradnl"/>
        </w:rPr>
        <w:t>1</w:t>
      </w:r>
      <w:r w:rsidRPr="008B7A21">
        <w:rPr>
          <w:lang w:val="es-ES_tradnl"/>
        </w:rPr>
        <w:t xml:space="preserve"> del segmento </w:t>
      </w:r>
      <w:r w:rsidRPr="008B7A21">
        <w:rPr>
          <w:i/>
          <w:iCs/>
          <w:lang w:val="es-ES_tradnl"/>
        </w:rPr>
        <w:t>S</w:t>
      </w:r>
      <w:r w:rsidRPr="008B7A21">
        <w:rPr>
          <w:vertAlign w:val="subscript"/>
          <w:lang w:val="es-ES_tradnl"/>
        </w:rPr>
        <w:t>1</w:t>
      </w:r>
      <w:r w:rsidRPr="008B7A21">
        <w:rPr>
          <w:lang w:val="es-ES_tradnl"/>
        </w:rPr>
        <w:t xml:space="preserve"> se determina como sigue:</w:t>
      </w:r>
    </w:p>
    <w:p w14:paraId="4E284822" w14:textId="77777777" w:rsidR="00F73D5B" w:rsidRPr="008B7A21" w:rsidRDefault="00F73D5B" w:rsidP="00F73D5B">
      <w:pPr>
        <w:pStyle w:val="Blanc"/>
        <w:rPr>
          <w:lang w:val="es-ES_tradnl"/>
        </w:rPr>
      </w:pPr>
    </w:p>
    <w:p w14:paraId="7A642BDF"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0"/>
          <w:lang w:val="es-ES_tradnl"/>
        </w:rPr>
        <w:object w:dxaOrig="1579" w:dyaOrig="400" w14:anchorId="2CDFA29B">
          <v:shape id="_x0000_i1670" type="#_x0000_t75" style="width:78.7pt;height:21.75pt" o:ole="">
            <v:imagedata r:id="rId45" o:title=""/>
          </v:shape>
          <o:OLEObject Type="Embed" ProgID="Equation.3" ShapeID="_x0000_i1670" DrawAspect="Content" ObjectID="_1826705879" r:id="rId46"/>
        </w:object>
      </w:r>
      <w:r w:rsidRPr="008B7A21">
        <w:rPr>
          <w:lang w:val="es-ES_tradnl"/>
        </w:rPr>
        <w:tab/>
        <w:t>(33)</w:t>
      </w:r>
    </w:p>
    <w:p w14:paraId="6FF3FCF3" w14:textId="77777777" w:rsidR="00F73D5B" w:rsidRPr="008B7A21" w:rsidRDefault="00F73D5B" w:rsidP="00F73D5B">
      <w:pPr>
        <w:pStyle w:val="Blanc"/>
        <w:rPr>
          <w:lang w:val="es-ES_tradnl"/>
        </w:rPr>
      </w:pPr>
    </w:p>
    <w:p w14:paraId="7E3BE8B0" w14:textId="6C7B9B67" w:rsidR="00F73D5B" w:rsidRPr="008B7A21" w:rsidRDefault="00F73D5B" w:rsidP="00F73D5B">
      <w:pPr>
        <w:rPr>
          <w:lang w:val="es-ES_tradnl"/>
        </w:rPr>
      </w:pPr>
      <w:r w:rsidRPr="008B7A21">
        <w:rPr>
          <w:lang w:val="es-ES_tradnl"/>
        </w:rPr>
        <w:t xml:space="preserve">En el caso de tres zonas (Fig. 6) las partes </w:t>
      </w:r>
      <w:r w:rsidRPr="008B7A21">
        <w:rPr>
          <w:position w:val="-10"/>
          <w:lang w:val="es-ES_tradnl"/>
        </w:rPr>
        <w:object w:dxaOrig="300" w:dyaOrig="340" w14:anchorId="1A6DED2D">
          <v:shape id="_x0000_i1671" type="#_x0000_t75" style="width:19.25pt;height:19.25pt" o:ole="">
            <v:imagedata r:id="rId47" o:title=""/>
          </v:shape>
          <o:OLEObject Type="Embed" ProgID="Equation.3" ShapeID="_x0000_i1671" DrawAspect="Content" ObjectID="_1826705880" r:id="rId48"/>
        </w:object>
      </w:r>
      <w:r w:rsidRPr="008B7A21">
        <w:rPr>
          <w:lang w:val="es-ES_tradnl"/>
        </w:rPr>
        <w:t xml:space="preserve"> y </w:t>
      </w:r>
      <w:r w:rsidRPr="008B7A21">
        <w:rPr>
          <w:i/>
          <w:iCs/>
          <w:lang w:val="es-ES_tradnl"/>
        </w:rPr>
        <w:t>S</w:t>
      </w:r>
      <w:r w:rsidRPr="008B7A21">
        <w:rPr>
          <w:vertAlign w:val="subscript"/>
          <w:lang w:val="es-ES_tradnl"/>
        </w:rPr>
        <w:t>3</w:t>
      </w:r>
      <w:r w:rsidRPr="008B7A21">
        <w:rPr>
          <w:lang w:val="es-ES_tradnl"/>
        </w:rPr>
        <w:t xml:space="preserve"> del sector común (</w:t>
      </w:r>
      <w:r w:rsidRPr="008B7A21">
        <w:rPr>
          <w:position w:val="-10"/>
          <w:lang w:val="es-ES_tradnl"/>
        </w:rPr>
        <w:object w:dxaOrig="300" w:dyaOrig="340" w14:anchorId="06309B29">
          <v:shape id="_x0000_i1672" type="#_x0000_t75" style="width:17.6pt;height:17.6pt" o:ole="">
            <v:imagedata r:id="rId47" o:title=""/>
          </v:shape>
          <o:OLEObject Type="Embed" ProgID="Equation.3" ShapeID="_x0000_i1672" DrawAspect="Content" ObjectID="_1826705881" r:id="rId49"/>
        </w:object>
      </w:r>
      <w:r w:rsidRPr="008B7A21">
        <w:rPr>
          <w:lang w:val="es-ES_tradnl"/>
        </w:rPr>
        <w:t> </w:t>
      </w:r>
      <w:r w:rsidR="00386EEF" w:rsidRPr="00386EEF">
        <w:sym w:font="Symbol" w:char="F02B"/>
      </w:r>
      <w:r w:rsidRPr="008B7A21">
        <w:rPr>
          <w:lang w:val="es-ES_tradnl"/>
        </w:rPr>
        <w:t> </w:t>
      </w:r>
      <w:r w:rsidRPr="008B7A21">
        <w:rPr>
          <w:i/>
          <w:iCs/>
          <w:lang w:val="es-ES_tradnl"/>
        </w:rPr>
        <w:t>S</w:t>
      </w:r>
      <w:r w:rsidRPr="008B7A21">
        <w:rPr>
          <w:vertAlign w:val="subscript"/>
          <w:lang w:val="es-ES_tradnl"/>
        </w:rPr>
        <w:t>3</w:t>
      </w:r>
      <w:r w:rsidRPr="008B7A21">
        <w:rPr>
          <w:lang w:val="es-ES_tradnl"/>
        </w:rPr>
        <w:t>) tienen las siguientes áreas:</w:t>
      </w:r>
    </w:p>
    <w:p w14:paraId="5B5AB63A" w14:textId="77777777" w:rsidR="00F73D5B" w:rsidRPr="008B7A21" w:rsidRDefault="00F73D5B" w:rsidP="00F73D5B">
      <w:pPr>
        <w:pStyle w:val="Blanc"/>
        <w:rPr>
          <w:lang w:val="es-ES_tradnl"/>
        </w:rPr>
      </w:pPr>
    </w:p>
    <w:p w14:paraId="420DA683"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28"/>
          <w:lang w:val="es-ES_tradnl"/>
        </w:rPr>
        <w:object w:dxaOrig="2820" w:dyaOrig="720" w14:anchorId="11BD3622">
          <v:shape id="_x0000_i1673" type="#_x0000_t75" style="width:2in;height:36.85pt" o:ole="">
            <v:imagedata r:id="rId50" o:title=""/>
          </v:shape>
          <o:OLEObject Type="Embed" ProgID="Equation.3" ShapeID="_x0000_i1673" DrawAspect="Content" ObjectID="_1826705882" r:id="rId51"/>
        </w:object>
      </w:r>
      <w:r w:rsidRPr="008B7A21">
        <w:rPr>
          <w:lang w:val="es-ES_tradnl"/>
        </w:rPr>
        <w:tab/>
        <w:t>(34)</w:t>
      </w:r>
    </w:p>
    <w:p w14:paraId="20B9C875" w14:textId="77777777" w:rsidR="00F73D5B" w:rsidRPr="008B7A21" w:rsidRDefault="00F73D5B" w:rsidP="00F73D5B">
      <w:pPr>
        <w:pStyle w:val="Blanc"/>
        <w:rPr>
          <w:lang w:val="es-ES_tradnl"/>
        </w:rPr>
      </w:pPr>
    </w:p>
    <w:p w14:paraId="124BF451"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28"/>
          <w:lang w:val="es-ES_tradnl"/>
        </w:rPr>
        <w:object w:dxaOrig="2799" w:dyaOrig="720" w14:anchorId="22D27FB5">
          <v:shape id="_x0000_i1674" type="#_x0000_t75" style="width:136.45pt;height:36.85pt" o:ole="" fillcolor="window">
            <v:imagedata r:id="rId52" o:title=""/>
          </v:shape>
          <o:OLEObject Type="Embed" ProgID="Equation.3" ShapeID="_x0000_i1674" DrawAspect="Content" ObjectID="_1826705883" r:id="rId53"/>
        </w:object>
      </w:r>
      <w:r w:rsidRPr="008B7A21">
        <w:rPr>
          <w:lang w:val="es-ES_tradnl"/>
        </w:rPr>
        <w:tab/>
        <w:t>(35)</w:t>
      </w:r>
    </w:p>
    <w:p w14:paraId="06E889AB" w14:textId="77777777" w:rsidR="00F73D5B" w:rsidRPr="008B7A21" w:rsidRDefault="00F73D5B" w:rsidP="00F73D5B">
      <w:pPr>
        <w:pStyle w:val="Blanc"/>
        <w:rPr>
          <w:lang w:val="es-ES_tradnl"/>
        </w:rPr>
      </w:pPr>
    </w:p>
    <w:p w14:paraId="21F6081D"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24"/>
          <w:lang w:val="es-ES_tradnl"/>
        </w:rPr>
        <w:object w:dxaOrig="780" w:dyaOrig="620" w14:anchorId="007A15EE">
          <v:shape id="_x0000_i1675" type="#_x0000_t75" style="width:42.7pt;height:29.3pt" o:ole="" fillcolor="window">
            <v:imagedata r:id="rId54" o:title=""/>
          </v:shape>
          <o:OLEObject Type="Embed" ProgID="Equation.3" ShapeID="_x0000_i1675" DrawAspect="Content" ObjectID="_1826705884" r:id="rId55"/>
        </w:object>
      </w:r>
    </w:p>
    <w:p w14:paraId="76A213B4" w14:textId="77777777" w:rsidR="00F73D5B" w:rsidRPr="008B7A21" w:rsidRDefault="00F73D5B" w:rsidP="00F73D5B">
      <w:pPr>
        <w:rPr>
          <w:lang w:val="es-ES_tradnl"/>
        </w:rPr>
      </w:pPr>
      <w:r w:rsidRPr="008B7A21">
        <w:rPr>
          <w:lang w:val="es-ES_tradnl"/>
        </w:rPr>
        <w:t>siendo:</w:t>
      </w:r>
    </w:p>
    <w:p w14:paraId="42DAD20F" w14:textId="77777777" w:rsidR="00F73D5B" w:rsidRPr="008B7A21" w:rsidRDefault="00F73D5B" w:rsidP="00F73D5B">
      <w:pPr>
        <w:pStyle w:val="Equationlegend"/>
        <w:rPr>
          <w:lang w:val="es-ES_tradnl"/>
        </w:rPr>
      </w:pPr>
      <w:r w:rsidRPr="008B7A21">
        <w:rPr>
          <w:i/>
          <w:lang w:val="es-ES_tradnl"/>
        </w:rPr>
        <w:tab/>
        <w:t>H</w:t>
      </w:r>
      <w:r w:rsidRPr="008B7A21">
        <w:rPr>
          <w:lang w:val="es-ES_tradnl"/>
        </w:rPr>
        <w:t>:</w:t>
      </w:r>
      <w:r w:rsidRPr="008B7A21">
        <w:rPr>
          <w:lang w:val="es-ES_tradnl"/>
        </w:rPr>
        <w:tab/>
        <w:t>distancia desde un transmisor al punto de unión de las líneas de aproximación (véase la Fig. 6) (km)</w:t>
      </w:r>
    </w:p>
    <w:p w14:paraId="5FB9520E" w14:textId="77777777" w:rsidR="00F73D5B" w:rsidRPr="008B7A21" w:rsidRDefault="00F73D5B" w:rsidP="00F73D5B">
      <w:pPr>
        <w:pStyle w:val="Equationlegend"/>
        <w:rPr>
          <w:lang w:val="es-ES_tradnl"/>
        </w:rPr>
      </w:pPr>
      <w:r w:rsidRPr="008B7A21">
        <w:rPr>
          <w:lang w:val="es-ES_tradnl"/>
        </w:rPr>
        <w:tab/>
      </w:r>
      <w:r w:rsidRPr="008B7A21">
        <w:rPr>
          <w:position w:val="-10"/>
          <w:lang w:val="es-ES_tradnl"/>
        </w:rPr>
        <w:object w:dxaOrig="320" w:dyaOrig="340" w14:anchorId="66A7F066">
          <v:shape id="_x0000_i1676" type="#_x0000_t75" style="width:19.25pt;height:19.25pt" o:ole="">
            <v:imagedata r:id="rId56" o:title=""/>
          </v:shape>
          <o:OLEObject Type="Embed" ProgID="Equation.3" ShapeID="_x0000_i1676" DrawAspect="Content" ObjectID="_1826705885" r:id="rId57"/>
        </w:object>
      </w:r>
      <w:r w:rsidRPr="008B7A21">
        <w:rPr>
          <w:lang w:val="es-ES_tradnl"/>
        </w:rPr>
        <w:t xml:space="preserve"> y </w:t>
      </w:r>
      <w:r w:rsidRPr="008B7A21">
        <w:rPr>
          <w:position w:val="-12"/>
          <w:lang w:val="es-ES_tradnl"/>
        </w:rPr>
        <w:object w:dxaOrig="300" w:dyaOrig="360" w14:anchorId="53BE67F3">
          <v:shape id="_x0000_i1677" type="#_x0000_t75" style="width:20.95pt;height:20.95pt" o:ole="">
            <v:imagedata r:id="rId58" o:title=""/>
          </v:shape>
          <o:OLEObject Type="Embed" ProgID="Equation.3" ShapeID="_x0000_i1677" DrawAspect="Content" ObjectID="_1826705886" r:id="rId59"/>
        </w:object>
      </w:r>
      <w:r w:rsidRPr="008B7A21">
        <w:rPr>
          <w:lang w:val="es-ES_tradnl"/>
        </w:rPr>
        <w:t>:</w:t>
      </w:r>
      <w:r w:rsidRPr="008B7A21">
        <w:rPr>
          <w:lang w:val="es-ES_tradnl"/>
        </w:rPr>
        <w:tab/>
        <w:t>ángulos del sector correspondientes (véase la Fig. 6) (grados).</w:t>
      </w:r>
    </w:p>
    <w:p w14:paraId="638DBD4C" w14:textId="77777777" w:rsidR="00F73D5B" w:rsidRPr="008B7A21" w:rsidRDefault="00F73D5B" w:rsidP="00F73D5B">
      <w:pPr>
        <w:pStyle w:val="Blanc"/>
        <w:rPr>
          <w:lang w:val="es-ES_tradnl"/>
        </w:rPr>
      </w:pPr>
    </w:p>
    <w:p w14:paraId="4FA4011F" w14:textId="77777777" w:rsidR="00F73D5B" w:rsidRPr="008B7A21" w:rsidRDefault="00F73D5B" w:rsidP="00F73D5B">
      <w:pPr>
        <w:rPr>
          <w:lang w:val="es-ES_tradnl"/>
        </w:rPr>
      </w:pPr>
      <w:r w:rsidRPr="008B7A21">
        <w:rPr>
          <w:lang w:val="es-ES_tradnl"/>
        </w:rPr>
        <w:t>Por consiguiente:</w:t>
      </w:r>
    </w:p>
    <w:p w14:paraId="61CBED68" w14:textId="77777777" w:rsidR="00F73D5B" w:rsidRPr="008B7A21" w:rsidRDefault="00F73D5B" w:rsidP="00F73D5B">
      <w:pPr>
        <w:pStyle w:val="Blanc"/>
        <w:rPr>
          <w:lang w:val="es-ES_tradnl"/>
        </w:rPr>
      </w:pPr>
    </w:p>
    <w:p w14:paraId="675FA53E"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2"/>
          <w:lang w:val="es-ES_tradnl"/>
        </w:rPr>
        <w:object w:dxaOrig="2240" w:dyaOrig="420" w14:anchorId="4AA6B3FD">
          <v:shape id="_x0000_i1678" type="#_x0000_t75" style="width:114.7pt;height:21.75pt" o:ole="">
            <v:imagedata r:id="rId60" o:title=""/>
          </v:shape>
          <o:OLEObject Type="Embed" ProgID="Equation.3" ShapeID="_x0000_i1678" DrawAspect="Content" ObjectID="_1826705887" r:id="rId61"/>
        </w:object>
      </w:r>
      <w:r w:rsidRPr="008B7A21">
        <w:rPr>
          <w:lang w:val="es-ES_tradnl"/>
        </w:rPr>
        <w:tab/>
        <w:t>(36)</w:t>
      </w:r>
    </w:p>
    <w:p w14:paraId="5B531C08" w14:textId="77777777" w:rsidR="00F73D5B" w:rsidRPr="008B7A21" w:rsidRDefault="00F73D5B" w:rsidP="00F73D5B">
      <w:pPr>
        <w:pStyle w:val="Blanc"/>
        <w:rPr>
          <w:lang w:val="es-ES_tradnl"/>
        </w:rPr>
      </w:pPr>
    </w:p>
    <w:p w14:paraId="1E6736F3" w14:textId="4ABE962A" w:rsidR="00F73D5B" w:rsidRPr="008B7A21" w:rsidRDefault="00F73D5B" w:rsidP="00F73D5B">
      <w:pPr>
        <w:rPr>
          <w:lang w:val="es-ES_tradnl"/>
        </w:rPr>
      </w:pPr>
      <w:r w:rsidRPr="008B7A21">
        <w:rPr>
          <w:lang w:val="es-ES_tradnl"/>
        </w:rPr>
        <w:t xml:space="preserve">Como ejemplo, pueden calcularse las áreas relativas para el caso de las tres zonas representado en la Fig. 6. A partir de la figura se obtiene </w:t>
      </w:r>
      <w:r w:rsidRPr="008B7A21">
        <w:rPr>
          <w:position w:val="-10"/>
          <w:lang w:val="es-ES_tradnl"/>
        </w:rPr>
        <w:object w:dxaOrig="320" w:dyaOrig="340" w14:anchorId="7853BB29">
          <v:shape id="_x0000_i1679" type="#_x0000_t75" style="width:19.25pt;height:19.25pt" o:ole="">
            <v:imagedata r:id="rId56" o:title=""/>
          </v:shape>
          <o:OLEObject Type="Embed" ProgID="Equation.3" ShapeID="_x0000_i1679" DrawAspect="Content" ObjectID="_1826705888" r:id="rId62"/>
        </w:object>
      </w:r>
      <w:r w:rsidRPr="008B7A21">
        <w:rPr>
          <w:lang w:val="es-ES_tradnl"/>
        </w:rPr>
        <w:t xml:space="preserve"> </w:t>
      </w:r>
      <w:r w:rsidR="00386EEF">
        <w:rPr>
          <w:lang w:val="es-ES_tradnl"/>
        </w:rPr>
        <w:t>=</w:t>
      </w:r>
      <w:r w:rsidRPr="008B7A21">
        <w:rPr>
          <w:lang w:val="es-ES_tradnl"/>
        </w:rPr>
        <w:t> 88</w:t>
      </w:r>
      <w:r w:rsidR="00386EEF" w:rsidRPr="00386EEF">
        <w:sym w:font="Symbol" w:char="F0B0"/>
      </w:r>
      <w:r w:rsidRPr="008B7A21">
        <w:rPr>
          <w:lang w:val="es-ES_tradnl"/>
        </w:rPr>
        <w:t xml:space="preserve">, </w:t>
      </w:r>
      <w:r w:rsidR="00386EEF" w:rsidRPr="00386EEF">
        <w:sym w:font="Symbol" w:char="F06A"/>
      </w:r>
      <w:r w:rsidR="00386EEF" w:rsidRPr="00386EEF">
        <w:rPr>
          <w:vertAlign w:val="subscript"/>
        </w:rPr>
        <w:t>3</w:t>
      </w:r>
      <w:r w:rsidRPr="008B7A21">
        <w:rPr>
          <w:lang w:val="es-ES_tradnl"/>
        </w:rPr>
        <w:t> </w:t>
      </w:r>
      <w:r w:rsidR="00386EEF">
        <w:rPr>
          <w:lang w:val="es-ES_tradnl"/>
        </w:rPr>
        <w:t>=</w:t>
      </w:r>
      <w:r w:rsidRPr="008B7A21">
        <w:rPr>
          <w:lang w:val="es-ES_tradnl"/>
        </w:rPr>
        <w:t> </w:t>
      </w:r>
      <w:r w:rsidR="00386EEF">
        <w:rPr>
          <w:lang w:val="es-ES_tradnl"/>
        </w:rPr>
        <w:t>39</w:t>
      </w:r>
      <w:r w:rsidR="00386EEF">
        <w:rPr>
          <w:lang w:val="es-ES_tradnl"/>
        </w:rPr>
        <w:sym w:font="Symbol" w:char="F0B0"/>
      </w:r>
      <w:r w:rsidRPr="008B7A21">
        <w:rPr>
          <w:lang w:val="es-ES_tradnl"/>
        </w:rPr>
        <w:t xml:space="preserve"> y </w:t>
      </w:r>
      <w:r w:rsidR="00386EEF" w:rsidRPr="00386EEF">
        <w:sym w:font="Symbol" w:char="F079"/>
      </w:r>
      <w:r w:rsidRPr="008B7A21">
        <w:rPr>
          <w:lang w:val="es-ES_tradnl"/>
        </w:rPr>
        <w:t> </w:t>
      </w:r>
      <w:r w:rsidR="00386EEF">
        <w:rPr>
          <w:lang w:val="es-ES_tradnl"/>
        </w:rPr>
        <w:t>=</w:t>
      </w:r>
      <w:r w:rsidRPr="008B7A21">
        <w:rPr>
          <w:lang w:val="es-ES_tradnl"/>
        </w:rPr>
        <w:t> 0,51.</w:t>
      </w:r>
    </w:p>
    <w:p w14:paraId="78B3CC29" w14:textId="77777777" w:rsidR="00F73D5B" w:rsidRPr="008B7A21" w:rsidRDefault="00F73D5B" w:rsidP="00F73D5B">
      <w:pPr>
        <w:rPr>
          <w:lang w:val="es-ES_tradnl"/>
        </w:rPr>
      </w:pPr>
      <w:r w:rsidRPr="008B7A21">
        <w:rPr>
          <w:lang w:val="es-ES_tradnl"/>
        </w:rPr>
        <w:t>Aplicando las ecuaciones (34), (35) y (36) se obtiene:</w:t>
      </w:r>
    </w:p>
    <w:p w14:paraId="24AC3077" w14:textId="77777777" w:rsidR="00F73D5B" w:rsidRPr="008B7A21" w:rsidRDefault="00F73D5B" w:rsidP="00F73D5B">
      <w:pPr>
        <w:pStyle w:val="Blanc"/>
        <w:rPr>
          <w:lang w:val="es-ES_tradnl"/>
        </w:rPr>
      </w:pPr>
    </w:p>
    <w:p w14:paraId="7CCC0A89"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28"/>
          <w:lang w:val="es-ES_tradnl"/>
        </w:rPr>
        <w:object w:dxaOrig="3980" w:dyaOrig="720" w14:anchorId="3F401452">
          <v:shape id="_x0000_i1680" type="#_x0000_t75" style="width:201.75pt;height:36.85pt" o:ole="">
            <v:imagedata r:id="rId63" o:title=""/>
          </v:shape>
          <o:OLEObject Type="Embed" ProgID="Equation.3" ShapeID="_x0000_i1680" DrawAspect="Content" ObjectID="_1826705889" r:id="rId64"/>
        </w:object>
      </w:r>
    </w:p>
    <w:p w14:paraId="3ABD2AA6" w14:textId="77777777" w:rsidR="00F73D5B" w:rsidRPr="008B7A21" w:rsidRDefault="00F73D5B" w:rsidP="00F73D5B">
      <w:pPr>
        <w:pStyle w:val="Blanc"/>
        <w:rPr>
          <w:lang w:val="es-ES_tradnl"/>
        </w:rPr>
      </w:pPr>
    </w:p>
    <w:p w14:paraId="0619E5F8" w14:textId="77777777" w:rsidR="00F73D5B" w:rsidRPr="008B7A21" w:rsidRDefault="00F73D5B" w:rsidP="00F73D5B">
      <w:pPr>
        <w:pStyle w:val="Equation"/>
        <w:rPr>
          <w:i/>
          <w:lang w:val="es-ES_tradnl"/>
        </w:rPr>
      </w:pPr>
      <w:r w:rsidRPr="008B7A21">
        <w:rPr>
          <w:lang w:val="es-ES_tradnl"/>
        </w:rPr>
        <w:tab/>
      </w:r>
      <w:r w:rsidRPr="008B7A21">
        <w:rPr>
          <w:lang w:val="es-ES_tradnl"/>
        </w:rPr>
        <w:tab/>
      </w:r>
      <w:r w:rsidRPr="008B7A21">
        <w:rPr>
          <w:position w:val="-28"/>
          <w:lang w:val="es-ES_tradnl"/>
        </w:rPr>
        <w:object w:dxaOrig="4020" w:dyaOrig="740" w14:anchorId="18587485">
          <v:shape id="_x0000_i1681" type="#_x0000_t75" style="width:202.6pt;height:37.65pt" o:ole="" fillcolor="window">
            <v:imagedata r:id="rId65" o:title=""/>
          </v:shape>
          <o:OLEObject Type="Embed" ProgID="Equation.3" ShapeID="_x0000_i1681" DrawAspect="Content" ObjectID="_1826705890" r:id="rId66"/>
        </w:object>
      </w:r>
    </w:p>
    <w:p w14:paraId="2A980F65" w14:textId="77777777" w:rsidR="00F73D5B" w:rsidRPr="008B7A21" w:rsidRDefault="00F73D5B" w:rsidP="00F73D5B">
      <w:pPr>
        <w:pStyle w:val="Blanc"/>
        <w:rPr>
          <w:lang w:val="es-ES_tradnl"/>
        </w:rPr>
      </w:pPr>
    </w:p>
    <w:p w14:paraId="2693674A"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0"/>
          <w:lang w:val="es-ES_tradnl"/>
        </w:rPr>
        <w:object w:dxaOrig="3720" w:dyaOrig="400" w14:anchorId="147AC6EB">
          <v:shape id="_x0000_i1682" type="#_x0000_t75" style="width:186.7pt;height:21.75pt" o:ole="">
            <v:imagedata r:id="rId67" o:title=""/>
          </v:shape>
          <o:OLEObject Type="Embed" ProgID="Equation.3" ShapeID="_x0000_i1682" DrawAspect="Content" ObjectID="_1826705891" r:id="rId68"/>
        </w:object>
      </w:r>
    </w:p>
    <w:p w14:paraId="7FEE544D" w14:textId="77777777" w:rsidR="00F73D5B" w:rsidRPr="008B7A21" w:rsidRDefault="00F73D5B" w:rsidP="00F73D5B">
      <w:pPr>
        <w:pStyle w:val="Heading3"/>
        <w:rPr>
          <w:lang w:val="es-ES_tradnl"/>
        </w:rPr>
      </w:pPr>
      <w:bookmarkStart w:id="1376" w:name="_Toc306276871"/>
      <w:bookmarkStart w:id="1377" w:name="_Toc307921546"/>
      <w:bookmarkStart w:id="1378" w:name="_Toc307922113"/>
      <w:bookmarkStart w:id="1379" w:name="_Toc307922617"/>
      <w:bookmarkStart w:id="1380" w:name="_Toc307991966"/>
      <w:bookmarkStart w:id="1381" w:name="_Toc307993999"/>
      <w:bookmarkStart w:id="1382" w:name="_Toc307995258"/>
      <w:bookmarkStart w:id="1383" w:name="_Toc307996405"/>
      <w:bookmarkStart w:id="1384" w:name="_Toc308010377"/>
      <w:bookmarkStart w:id="1385" w:name="_Toc499563043"/>
      <w:bookmarkStart w:id="1386" w:name="_Toc215835412"/>
      <w:r w:rsidRPr="008B7A21">
        <w:rPr>
          <w:lang w:val="es-ES_tradnl"/>
        </w:rPr>
        <w:t>4.7.2</w:t>
      </w:r>
      <w:r w:rsidRPr="008B7A21">
        <w:rPr>
          <w:lang w:val="es-ES_tradnl"/>
        </w:rPr>
        <w:tab/>
        <w:t>Ejemplo de cálculo</w:t>
      </w:r>
      <w:bookmarkEnd w:id="1376"/>
      <w:bookmarkEnd w:id="1377"/>
      <w:bookmarkEnd w:id="1378"/>
      <w:bookmarkEnd w:id="1379"/>
      <w:bookmarkEnd w:id="1380"/>
      <w:bookmarkEnd w:id="1381"/>
      <w:bookmarkEnd w:id="1382"/>
      <w:bookmarkEnd w:id="1383"/>
      <w:bookmarkEnd w:id="1384"/>
      <w:bookmarkEnd w:id="1385"/>
      <w:bookmarkEnd w:id="1386"/>
    </w:p>
    <w:p w14:paraId="752506AE" w14:textId="77777777" w:rsidR="00F73D5B" w:rsidRPr="008B7A21" w:rsidRDefault="00F73D5B" w:rsidP="00F73D5B">
      <w:pPr>
        <w:pStyle w:val="Headingb"/>
        <w:rPr>
          <w:lang w:val="es-ES_tradnl"/>
        </w:rPr>
      </w:pPr>
      <w:bookmarkStart w:id="1387" w:name="_Toc307922618"/>
      <w:bookmarkStart w:id="1388" w:name="_Toc307991967"/>
      <w:bookmarkStart w:id="1389" w:name="_Toc307994000"/>
      <w:bookmarkStart w:id="1390" w:name="_Toc307996406"/>
      <w:bookmarkStart w:id="1391" w:name="_Toc499563044"/>
      <w:r w:rsidRPr="008B7A21">
        <w:rPr>
          <w:lang w:val="es-ES_tradnl"/>
        </w:rPr>
        <w:t>a)</w:t>
      </w:r>
      <w:r w:rsidRPr="008B7A21">
        <w:rPr>
          <w:lang w:val="es-ES_tradnl"/>
        </w:rPr>
        <w:tab/>
        <w:t>Parámetros de partida</w:t>
      </w:r>
      <w:bookmarkEnd w:id="1387"/>
      <w:bookmarkEnd w:id="1388"/>
      <w:bookmarkEnd w:id="1389"/>
      <w:bookmarkEnd w:id="1390"/>
      <w:bookmarkEnd w:id="1391"/>
    </w:p>
    <w:p w14:paraId="287E3307" w14:textId="408C369B" w:rsidR="00F73D5B" w:rsidRPr="008B7A21" w:rsidRDefault="00F73D5B" w:rsidP="00F73D5B">
      <w:pPr>
        <w:rPr>
          <w:lang w:val="es-ES_tradnl"/>
        </w:rPr>
      </w:pPr>
      <w:r w:rsidRPr="008B7A21">
        <w:rPr>
          <w:lang w:val="es-ES_tradnl"/>
        </w:rPr>
        <w:t xml:space="preserve">Vamos a calcular el espectro utilizado por una estación de radiodifusión sonora en FM que funcione en un entorno urbano 20 horas al día con una potencia de 1,5 kW en régimen exclusivo (sin compartición). La antena, que tiene un mástil de 100 m de altura, está situada en la cima de una colina que se encuentra a una altura de 360 m sobre el nivel del mar. La situación del terreno en torno al transmisor corresponde al ejemplo presentado en el b); es decir, el nivel medio del terreno entre las distancia de 3 km y 15 km desde el transmisor, </w:t>
      </w:r>
      <w:r w:rsidRPr="008B7A21">
        <w:rPr>
          <w:i/>
          <w:lang w:val="es-ES_tradnl"/>
        </w:rPr>
        <w:t>h</w:t>
      </w:r>
      <w:r w:rsidRPr="008B7A21">
        <w:rPr>
          <w:i/>
          <w:vertAlign w:val="subscript"/>
          <w:lang w:val="es-ES_tradnl"/>
        </w:rPr>
        <w:t>av</w:t>
      </w:r>
      <w:r w:rsidRPr="008B7A21">
        <w:rPr>
          <w:lang w:val="es-ES_tradnl"/>
        </w:rPr>
        <w:t>, de conformidad con el Cuadro 11 es de 213 m. La ganancia de la antena con respecto al dipolo de media onda es de 3 dB. Las condiciones de modulación son las normalizadas: la desviación de cresta es 75 kHz y la máxima frecuencia de modulación de 15 kHz.</w:t>
      </w:r>
    </w:p>
    <w:p w14:paraId="0C786A17" w14:textId="77777777" w:rsidR="00F73D5B" w:rsidRPr="008B7A21" w:rsidRDefault="00F73D5B" w:rsidP="00F73D5B">
      <w:pPr>
        <w:pStyle w:val="Headingb"/>
        <w:rPr>
          <w:rFonts w:eastAsia="SimSun"/>
          <w:lang w:val="es-ES_tradnl" w:eastAsia="zh-CN"/>
        </w:rPr>
      </w:pPr>
      <w:bookmarkStart w:id="1392" w:name="_Toc307922619"/>
      <w:bookmarkStart w:id="1393" w:name="_Toc307991968"/>
      <w:bookmarkStart w:id="1394" w:name="_Toc307994001"/>
      <w:bookmarkStart w:id="1395" w:name="_Toc307996407"/>
      <w:bookmarkStart w:id="1396" w:name="_Toc499563045"/>
      <w:r w:rsidRPr="008B7A21">
        <w:rPr>
          <w:lang w:val="es-ES_tradnl"/>
        </w:rPr>
        <w:t>b)</w:t>
      </w:r>
      <w:r w:rsidRPr="008B7A21">
        <w:rPr>
          <w:lang w:val="es-ES_tradnl"/>
        </w:rPr>
        <w:tab/>
      </w:r>
      <w:r w:rsidRPr="008B7A21">
        <w:rPr>
          <w:rFonts w:eastAsia="SimSun"/>
          <w:lang w:val="es-ES_tradnl" w:eastAsia="zh-CN"/>
        </w:rPr>
        <w:t>Recursos de tiempo y frecuencia utilizados</w:t>
      </w:r>
      <w:bookmarkEnd w:id="1392"/>
      <w:bookmarkEnd w:id="1393"/>
      <w:bookmarkEnd w:id="1394"/>
      <w:bookmarkEnd w:id="1395"/>
      <w:bookmarkEnd w:id="1396"/>
    </w:p>
    <w:p w14:paraId="028A9FF8" w14:textId="77777777" w:rsidR="00F73D5B" w:rsidRPr="008B7A21" w:rsidRDefault="00F73D5B" w:rsidP="00F73D5B">
      <w:pPr>
        <w:rPr>
          <w:bCs/>
          <w:lang w:val="es-ES_tradnl"/>
        </w:rPr>
      </w:pPr>
      <w:r w:rsidRPr="008B7A21">
        <w:rPr>
          <w:bCs/>
          <w:lang w:val="es-ES_tradnl"/>
        </w:rPr>
        <w:t>De conformidad con la ecuación (21), el recurso de tiempo utilizado es:</w:t>
      </w:r>
    </w:p>
    <w:p w14:paraId="1B2795A2" w14:textId="15753FA3" w:rsidR="00F73D5B" w:rsidRPr="008B7A21" w:rsidRDefault="00F73D5B" w:rsidP="00F73D5B">
      <w:pPr>
        <w:pStyle w:val="Equation"/>
        <w:rPr>
          <w:lang w:val="es-ES_tradnl"/>
        </w:rPr>
      </w:pPr>
      <w:r w:rsidRPr="008B7A21">
        <w:rPr>
          <w:i/>
          <w:lang w:val="es-ES_tradnl"/>
        </w:rPr>
        <w:tab/>
      </w:r>
      <w:r w:rsidRPr="008B7A21">
        <w:rPr>
          <w:i/>
          <w:lang w:val="es-ES_tradnl"/>
        </w:rPr>
        <w:tab/>
        <w:t>T</w:t>
      </w:r>
      <w:r w:rsidRPr="008B7A21">
        <w:rPr>
          <w:lang w:val="es-ES_tradnl"/>
        </w:rPr>
        <w:t xml:space="preserve"> </w:t>
      </w:r>
      <w:r w:rsidR="00386EEF">
        <w:rPr>
          <w:lang w:val="es-ES_tradnl"/>
        </w:rPr>
        <w:t>=</w:t>
      </w:r>
      <w:r w:rsidRPr="008B7A21">
        <w:rPr>
          <w:lang w:val="es-ES_tradnl"/>
        </w:rPr>
        <w:t xml:space="preserve"> 20/24 (cada día) </w:t>
      </w:r>
      <w:r w:rsidR="00386EEF">
        <w:rPr>
          <w:lang w:val="es-ES_tradnl"/>
        </w:rPr>
        <w:t>=</w:t>
      </w:r>
      <w:r w:rsidRPr="008B7A21">
        <w:rPr>
          <w:lang w:val="es-ES_tradnl"/>
        </w:rPr>
        <w:t xml:space="preserve"> 0,83 año</w:t>
      </w:r>
    </w:p>
    <w:p w14:paraId="58A42598" w14:textId="34EF39FB" w:rsidR="00F73D5B" w:rsidRPr="008B7A21" w:rsidRDefault="00F73D5B" w:rsidP="00F73D5B">
      <w:pPr>
        <w:rPr>
          <w:lang w:val="es-ES_tradnl"/>
        </w:rPr>
      </w:pPr>
      <w:r w:rsidRPr="008B7A21">
        <w:rPr>
          <w:lang w:val="es-ES_tradnl"/>
        </w:rPr>
        <w:t xml:space="preserve">De conformidad con la Recomendación UIT-R SM.1138-2 «Radiodifusión sonora» (clase de emisión F3E) la anchura de banda necesaria es de 180 kHz; es decir, suponiendo </w:t>
      </w:r>
      <w:r w:rsidR="00386EEF" w:rsidRPr="00386EEF">
        <w:sym w:font="Symbol" w:char="F063"/>
      </w:r>
      <w:r w:rsidRPr="008B7A21">
        <w:rPr>
          <w:lang w:val="es-ES_tradnl"/>
        </w:rPr>
        <w:t> </w:t>
      </w:r>
      <w:r w:rsidR="00386EEF">
        <w:rPr>
          <w:lang w:val="es-ES_tradnl"/>
        </w:rPr>
        <w:t>=</w:t>
      </w:r>
      <w:r w:rsidRPr="008B7A21">
        <w:rPr>
          <w:lang w:val="es-ES_tradnl"/>
        </w:rPr>
        <w:t> </w:t>
      </w:r>
      <w:r w:rsidR="00386EEF">
        <w:rPr>
          <w:lang w:val="es-ES_tradnl"/>
        </w:rPr>
        <w:t xml:space="preserve">1 </w:t>
      </w:r>
      <w:r w:rsidRPr="008B7A21">
        <w:rPr>
          <w:lang w:val="es-ES_tradnl"/>
        </w:rPr>
        <w:t>el recurso de frecuencia utilizado de conformidad con la ecuación (24) es:</w:t>
      </w:r>
    </w:p>
    <w:p w14:paraId="2C431C79" w14:textId="42EF0A49" w:rsidR="00F73D5B" w:rsidRPr="008B7A21" w:rsidRDefault="00F73D5B" w:rsidP="00F73D5B">
      <w:pPr>
        <w:pStyle w:val="Equation"/>
        <w:rPr>
          <w:lang w:val="es-ES_tradnl"/>
        </w:rPr>
      </w:pPr>
      <w:r w:rsidRPr="008B7A21">
        <w:rPr>
          <w:i/>
          <w:lang w:val="es-ES_tradnl"/>
        </w:rPr>
        <w:tab/>
      </w:r>
      <w:r w:rsidRPr="008B7A21">
        <w:rPr>
          <w:i/>
          <w:lang w:val="es-ES_tradnl"/>
        </w:rPr>
        <w:tab/>
        <w:t>F</w:t>
      </w:r>
      <w:r w:rsidRPr="008B7A21">
        <w:rPr>
          <w:lang w:val="es-ES_tradnl"/>
        </w:rPr>
        <w:t xml:space="preserve"> </w:t>
      </w:r>
      <w:r w:rsidR="00386EEF">
        <w:rPr>
          <w:lang w:val="es-ES_tradnl"/>
        </w:rPr>
        <w:t>=</w:t>
      </w:r>
      <w:r w:rsidRPr="008B7A21">
        <w:rPr>
          <w:lang w:val="es-ES_tradnl"/>
        </w:rPr>
        <w:t xml:space="preserve"> 0,18 MHz</w:t>
      </w:r>
    </w:p>
    <w:p w14:paraId="25A82926" w14:textId="77777777" w:rsidR="00F73D5B" w:rsidRPr="008B7A21" w:rsidRDefault="00F73D5B" w:rsidP="00F73D5B">
      <w:pPr>
        <w:pStyle w:val="Headingb"/>
        <w:rPr>
          <w:lang w:val="es-ES_tradnl"/>
        </w:rPr>
      </w:pPr>
      <w:bookmarkStart w:id="1397" w:name="_Toc307922620"/>
      <w:bookmarkStart w:id="1398" w:name="_Toc307991969"/>
      <w:bookmarkStart w:id="1399" w:name="_Toc307994002"/>
      <w:bookmarkStart w:id="1400" w:name="_Toc307996408"/>
      <w:bookmarkStart w:id="1401" w:name="_Toc499563046"/>
      <w:r w:rsidRPr="008B7A21">
        <w:rPr>
          <w:lang w:val="es-ES_tradnl" w:eastAsia="zh-CN"/>
        </w:rPr>
        <w:t>c)</w:t>
      </w:r>
      <w:r w:rsidRPr="008B7A21">
        <w:rPr>
          <w:lang w:val="es-ES_tradnl" w:eastAsia="zh-CN"/>
        </w:rPr>
        <w:tab/>
      </w:r>
      <w:r w:rsidRPr="008B7A21">
        <w:rPr>
          <w:lang w:val="es-ES_tradnl"/>
        </w:rPr>
        <w:t>Recurso territorial utilizado</w:t>
      </w:r>
      <w:bookmarkEnd w:id="1397"/>
      <w:bookmarkEnd w:id="1398"/>
      <w:bookmarkEnd w:id="1399"/>
      <w:bookmarkEnd w:id="1400"/>
      <w:bookmarkEnd w:id="1401"/>
    </w:p>
    <w:p w14:paraId="3F3F4C74" w14:textId="77777777" w:rsidR="00F73D5B" w:rsidRPr="008B7A21" w:rsidRDefault="00F73D5B" w:rsidP="00F73D5B">
      <w:pPr>
        <w:rPr>
          <w:lang w:val="es-ES_tradnl"/>
        </w:rPr>
      </w:pPr>
      <w:r w:rsidRPr="008B7A21">
        <w:rPr>
          <w:lang w:val="es-ES_tradnl"/>
        </w:rPr>
        <w:t>En primer lugar, deben calcularse la p.r.a. del transmisor, la altura efectiva de la antena y, a continuación, el radio de la zona de servicio.</w:t>
      </w:r>
    </w:p>
    <w:p w14:paraId="7A64DA13" w14:textId="77777777" w:rsidR="00F73D5B" w:rsidRPr="008B7A21" w:rsidRDefault="00F73D5B" w:rsidP="00F73D5B">
      <w:pPr>
        <w:rPr>
          <w:lang w:val="es-ES_tradnl"/>
        </w:rPr>
      </w:pPr>
      <w:r w:rsidRPr="008B7A21">
        <w:rPr>
          <w:lang w:val="es-ES_tradnl"/>
        </w:rPr>
        <w:t>De conformidad con los datos indicados en el § 4.7.1 a) y la ecuación (29), la p.r.a. del transmisor es:</w:t>
      </w:r>
    </w:p>
    <w:p w14:paraId="0A0F063D" w14:textId="77777777" w:rsidR="00F73D5B" w:rsidRPr="008B7A21" w:rsidRDefault="00F73D5B" w:rsidP="00F73D5B">
      <w:pPr>
        <w:pStyle w:val="Blanc"/>
        <w:rPr>
          <w:lang w:val="es-ES_tradnl"/>
        </w:rPr>
      </w:pPr>
    </w:p>
    <w:p w14:paraId="7D6F0508" w14:textId="0D41161B" w:rsidR="00F73D5B" w:rsidRPr="008B7A21" w:rsidRDefault="00F73D5B" w:rsidP="00F73D5B">
      <w:pPr>
        <w:pStyle w:val="Equation"/>
        <w:rPr>
          <w:iCs/>
          <w:lang w:val="es-ES_tradnl"/>
        </w:rPr>
      </w:pPr>
      <w:r w:rsidRPr="008B7A21">
        <w:rPr>
          <w:i/>
          <w:lang w:val="es-ES_tradnl"/>
        </w:rPr>
        <w:tab/>
      </w:r>
      <w:r w:rsidRPr="008B7A21">
        <w:rPr>
          <w:i/>
          <w:lang w:val="es-ES_tradnl"/>
        </w:rPr>
        <w:tab/>
        <w:t>P</w:t>
      </w:r>
      <w:r w:rsidRPr="008B7A21">
        <w:rPr>
          <w:i/>
          <w:vertAlign w:val="subscript"/>
          <w:lang w:val="es-ES_tradnl"/>
        </w:rPr>
        <w:t>ef</w:t>
      </w:r>
      <w:r w:rsidRPr="008B7A21">
        <w:rPr>
          <w:lang w:val="es-ES_tradnl"/>
        </w:rPr>
        <w:t> </w:t>
      </w:r>
      <w:r w:rsidR="00386EEF">
        <w:rPr>
          <w:lang w:val="es-ES_tradnl"/>
        </w:rPr>
        <w:t>=</w:t>
      </w:r>
      <w:r w:rsidRPr="008B7A21">
        <w:rPr>
          <w:lang w:val="es-ES_tradnl"/>
        </w:rPr>
        <w:t xml:space="preserve"> 10 log 1 500 </w:t>
      </w:r>
      <w:r w:rsidR="00386EEF" w:rsidRPr="00386EEF">
        <w:sym w:font="Symbol" w:char="F02B"/>
      </w:r>
      <w:r w:rsidRPr="008B7A21">
        <w:rPr>
          <w:lang w:val="es-ES_tradnl"/>
        </w:rPr>
        <w:t xml:space="preserve"> 3 </w:t>
      </w:r>
      <w:r w:rsidR="00386EEF">
        <w:rPr>
          <w:lang w:val="es-ES_tradnl"/>
        </w:rPr>
        <w:t>=</w:t>
      </w:r>
      <w:r w:rsidRPr="008B7A21">
        <w:rPr>
          <w:lang w:val="es-ES_tradnl"/>
        </w:rPr>
        <w:t xml:space="preserve"> 31,8 </w:t>
      </w:r>
      <w:r w:rsidR="00386EEF" w:rsidRPr="00386EEF">
        <w:sym w:font="Symbol" w:char="F02B"/>
      </w:r>
      <w:r w:rsidRPr="008B7A21">
        <w:rPr>
          <w:lang w:val="es-ES_tradnl"/>
        </w:rPr>
        <w:t xml:space="preserve"> 3 </w:t>
      </w:r>
      <w:r w:rsidR="00386EEF">
        <w:rPr>
          <w:lang w:val="es-ES_tradnl"/>
        </w:rPr>
        <w:t>=</w:t>
      </w:r>
      <w:r w:rsidRPr="008B7A21">
        <w:rPr>
          <w:lang w:val="es-ES_tradnl"/>
        </w:rPr>
        <w:t xml:space="preserve"> 34,8 </w:t>
      </w:r>
      <w:r w:rsidRPr="008B7A21">
        <w:rPr>
          <w:lang w:val="es-ES_tradnl"/>
        </w:rPr>
        <w:sym w:font="Symbol" w:char="F040"/>
      </w:r>
      <w:r w:rsidRPr="008B7A21">
        <w:rPr>
          <w:lang w:val="es-ES_tradnl"/>
        </w:rPr>
        <w:t xml:space="preserve"> 35 </w:t>
      </w:r>
      <w:r w:rsidRPr="008B7A21">
        <w:rPr>
          <w:iCs/>
          <w:lang w:val="es-ES_tradnl"/>
        </w:rPr>
        <w:t>dBW</w:t>
      </w:r>
    </w:p>
    <w:p w14:paraId="272110EC" w14:textId="77777777" w:rsidR="00F73D5B" w:rsidRPr="008B7A21" w:rsidRDefault="00F73D5B" w:rsidP="00F73D5B">
      <w:pPr>
        <w:rPr>
          <w:rFonts w:eastAsia="SimSun"/>
          <w:lang w:val="es-ES_tradnl" w:eastAsia="zh-CN"/>
        </w:rPr>
      </w:pPr>
      <w:r w:rsidRPr="008B7A21">
        <w:rPr>
          <w:rFonts w:eastAsia="SimSun"/>
          <w:lang w:val="es-ES_tradnl" w:eastAsia="zh-CN"/>
        </w:rPr>
        <w:t xml:space="preserve">De conformidad con los datos que aparecen en el § </w:t>
      </w:r>
      <w:r w:rsidRPr="008B7A21">
        <w:rPr>
          <w:lang w:val="es-ES_tradnl"/>
        </w:rPr>
        <w:t xml:space="preserve">4.7.1 a) </w:t>
      </w:r>
      <w:r w:rsidRPr="008B7A21">
        <w:rPr>
          <w:rFonts w:eastAsia="SimSun"/>
          <w:lang w:val="es-ES_tradnl" w:eastAsia="zh-CN"/>
        </w:rPr>
        <w:t>y la ecuación (30), puede determinarse que:</w:t>
      </w:r>
    </w:p>
    <w:p w14:paraId="3A9301E1" w14:textId="344D0E3F" w:rsidR="00F73D5B" w:rsidRPr="008B7A21" w:rsidRDefault="00F73D5B" w:rsidP="00F73D5B">
      <w:pPr>
        <w:pStyle w:val="Equation"/>
        <w:rPr>
          <w:lang w:val="es-ES_tradnl"/>
        </w:rPr>
      </w:pPr>
      <w:r w:rsidRPr="008B7A21">
        <w:rPr>
          <w:i/>
          <w:lang w:val="es-ES_tradnl"/>
        </w:rPr>
        <w:tab/>
      </w:r>
      <w:r w:rsidRPr="008B7A21">
        <w:rPr>
          <w:i/>
          <w:lang w:val="es-ES_tradnl"/>
        </w:rPr>
        <w:tab/>
        <w:t>h</w:t>
      </w:r>
      <w:r w:rsidRPr="008B7A21">
        <w:rPr>
          <w:i/>
          <w:vertAlign w:val="subscript"/>
          <w:lang w:val="es-ES_tradnl"/>
        </w:rPr>
        <w:t>s</w:t>
      </w:r>
      <w:r w:rsidRPr="008B7A21">
        <w:rPr>
          <w:lang w:val="es-ES_tradnl"/>
        </w:rPr>
        <w:t xml:space="preserve"> </w:t>
      </w:r>
      <w:r w:rsidR="00386EEF">
        <w:rPr>
          <w:lang w:val="es-ES_tradnl"/>
        </w:rPr>
        <w:t>=</w:t>
      </w:r>
      <w:r w:rsidRPr="008B7A21">
        <w:rPr>
          <w:lang w:val="es-ES_tradnl"/>
        </w:rPr>
        <w:t xml:space="preserve"> 100 </w:t>
      </w:r>
      <w:r w:rsidR="00386EEF" w:rsidRPr="00386EEF">
        <w:sym w:font="Symbol" w:char="F02B"/>
      </w:r>
      <w:r w:rsidRPr="008B7A21">
        <w:rPr>
          <w:lang w:val="es-ES_tradnl"/>
        </w:rPr>
        <w:t xml:space="preserve"> 360 </w:t>
      </w:r>
      <w:r w:rsidR="00386EEF">
        <w:rPr>
          <w:lang w:val="es-ES_tradnl"/>
        </w:rPr>
        <w:t>=</w:t>
      </w:r>
      <w:r w:rsidRPr="008B7A21">
        <w:rPr>
          <w:lang w:val="es-ES_tradnl"/>
        </w:rPr>
        <w:t xml:space="preserve"> 460 m</w:t>
      </w:r>
    </w:p>
    <w:p w14:paraId="34BBEDE7" w14:textId="49D8F786" w:rsidR="00F73D5B" w:rsidRPr="008B7A21" w:rsidRDefault="00F73D5B" w:rsidP="00F73D5B">
      <w:pPr>
        <w:pStyle w:val="Equation"/>
        <w:rPr>
          <w:lang w:val="es-ES_tradnl"/>
        </w:rPr>
      </w:pPr>
      <w:r w:rsidRPr="008B7A21">
        <w:rPr>
          <w:i/>
          <w:lang w:val="es-ES_tradnl"/>
        </w:rPr>
        <w:tab/>
      </w:r>
      <w:r w:rsidRPr="008B7A21">
        <w:rPr>
          <w:i/>
          <w:lang w:val="es-ES_tradnl"/>
        </w:rPr>
        <w:tab/>
        <w:t>h</w:t>
      </w:r>
      <w:r w:rsidRPr="008B7A21">
        <w:rPr>
          <w:i/>
          <w:vertAlign w:val="subscript"/>
          <w:lang w:val="es-ES_tradnl"/>
        </w:rPr>
        <w:t>ef</w:t>
      </w:r>
      <w:r w:rsidRPr="008B7A21">
        <w:rPr>
          <w:lang w:val="es-ES_tradnl"/>
        </w:rPr>
        <w:t> </w:t>
      </w:r>
      <w:r w:rsidR="00386EEF">
        <w:rPr>
          <w:lang w:val="es-ES_tradnl"/>
        </w:rPr>
        <w:t>=</w:t>
      </w:r>
      <w:r w:rsidRPr="008B7A21">
        <w:rPr>
          <w:lang w:val="es-ES_tradnl"/>
        </w:rPr>
        <w:t xml:space="preserve"> 460 – 213 </w:t>
      </w:r>
      <w:r w:rsidR="00386EEF">
        <w:rPr>
          <w:lang w:val="es-ES_tradnl"/>
        </w:rPr>
        <w:t>=</w:t>
      </w:r>
      <w:r w:rsidRPr="008B7A21">
        <w:rPr>
          <w:lang w:val="es-ES_tradnl"/>
        </w:rPr>
        <w:t xml:space="preserve"> 247 m </w:t>
      </w:r>
      <w:r w:rsidRPr="008B7A21">
        <w:rPr>
          <w:lang w:val="es-ES_tradnl"/>
        </w:rPr>
        <w:sym w:font="Symbol" w:char="F040"/>
      </w:r>
      <w:r w:rsidRPr="008B7A21">
        <w:rPr>
          <w:lang w:val="es-ES_tradnl"/>
        </w:rPr>
        <w:t xml:space="preserve"> 250 m</w:t>
      </w:r>
    </w:p>
    <w:p w14:paraId="28A2969A" w14:textId="77777777" w:rsidR="00F73D5B" w:rsidRPr="008B7A21" w:rsidRDefault="00F73D5B" w:rsidP="00F73D5B">
      <w:pPr>
        <w:rPr>
          <w:lang w:val="es-ES_tradnl"/>
        </w:rPr>
      </w:pPr>
      <w:r w:rsidRPr="008B7A21">
        <w:rPr>
          <w:lang w:val="es-ES_tradnl"/>
        </w:rPr>
        <w:t>Conviene señalar que en este caso en particular la altura efectiva de la antena es 2,5 veces mayor que la altura del mástil y ello repercute muy significativamente en los resultados del cálculo.</w:t>
      </w:r>
    </w:p>
    <w:p w14:paraId="00786A11" w14:textId="17052644" w:rsidR="00F73D5B" w:rsidRPr="008B7A21" w:rsidRDefault="00F73D5B" w:rsidP="00F73D5B">
      <w:pPr>
        <w:rPr>
          <w:lang w:val="es-ES_tradnl"/>
        </w:rPr>
      </w:pPr>
      <w:r w:rsidRPr="008B7A21">
        <w:rPr>
          <w:lang w:val="es-ES_tradnl"/>
        </w:rPr>
        <w:t xml:space="preserve">Del Cuadro 10, para </w:t>
      </w:r>
      <w:r w:rsidRPr="008B7A21">
        <w:rPr>
          <w:i/>
          <w:lang w:val="es-ES_tradnl"/>
        </w:rPr>
        <w:t>P</w:t>
      </w:r>
      <w:r w:rsidRPr="008B7A21">
        <w:rPr>
          <w:i/>
          <w:vertAlign w:val="subscript"/>
          <w:lang w:val="es-ES_tradnl"/>
        </w:rPr>
        <w:t>ef</w:t>
      </w:r>
      <w:r w:rsidRPr="008B7A21">
        <w:rPr>
          <w:lang w:val="es-ES_tradnl"/>
        </w:rPr>
        <w:t> </w:t>
      </w:r>
      <w:r w:rsidR="00386EEF">
        <w:rPr>
          <w:lang w:val="es-ES_tradnl"/>
        </w:rPr>
        <w:t>=</w:t>
      </w:r>
      <w:r w:rsidRPr="008B7A21">
        <w:rPr>
          <w:lang w:val="es-ES_tradnl"/>
        </w:rPr>
        <w:t xml:space="preserve"> 35 </w:t>
      </w:r>
      <w:r w:rsidRPr="008B7A21">
        <w:rPr>
          <w:iCs/>
          <w:lang w:val="es-ES_tradnl"/>
        </w:rPr>
        <w:t>dBW</w:t>
      </w:r>
      <w:r w:rsidRPr="008B7A21">
        <w:rPr>
          <w:i/>
          <w:lang w:val="es-ES_tradnl"/>
        </w:rPr>
        <w:t xml:space="preserve"> </w:t>
      </w:r>
      <w:r w:rsidRPr="008B7A21">
        <w:rPr>
          <w:lang w:val="es-ES_tradnl"/>
        </w:rPr>
        <w:t xml:space="preserve">y </w:t>
      </w:r>
      <w:r w:rsidRPr="008B7A21">
        <w:rPr>
          <w:i/>
          <w:lang w:val="es-ES_tradnl"/>
        </w:rPr>
        <w:t>h</w:t>
      </w:r>
      <w:r w:rsidRPr="008B7A21">
        <w:rPr>
          <w:i/>
          <w:vertAlign w:val="subscript"/>
          <w:lang w:val="es-ES_tradnl"/>
        </w:rPr>
        <w:t>ef</w:t>
      </w:r>
      <w:r w:rsidRPr="008B7A21">
        <w:rPr>
          <w:lang w:val="es-ES_tradnl"/>
        </w:rPr>
        <w:t> </w:t>
      </w:r>
      <w:r w:rsidR="00386EEF">
        <w:rPr>
          <w:lang w:val="es-ES_tradnl"/>
        </w:rPr>
        <w:t>=</w:t>
      </w:r>
      <w:r w:rsidRPr="008B7A21">
        <w:rPr>
          <w:lang w:val="es-ES_tradnl"/>
        </w:rPr>
        <w:t xml:space="preserve"> 250 m, se obtiene:</w:t>
      </w:r>
    </w:p>
    <w:p w14:paraId="2689B2AB" w14:textId="7E536529" w:rsidR="00F73D5B" w:rsidRPr="008B7A21" w:rsidRDefault="00F73D5B" w:rsidP="00F73D5B">
      <w:pPr>
        <w:pStyle w:val="Equation"/>
        <w:rPr>
          <w:lang w:val="es-ES_tradnl"/>
        </w:rPr>
      </w:pPr>
      <w:r w:rsidRPr="008B7A21">
        <w:rPr>
          <w:i/>
          <w:lang w:val="es-ES_tradnl"/>
        </w:rPr>
        <w:tab/>
      </w:r>
      <w:r w:rsidRPr="008B7A21">
        <w:rPr>
          <w:i/>
          <w:lang w:val="es-ES_tradnl"/>
        </w:rPr>
        <w:tab/>
        <w:t>R</w:t>
      </w:r>
      <w:r w:rsidRPr="008B7A21">
        <w:rPr>
          <w:lang w:val="es-ES_tradnl"/>
        </w:rPr>
        <w:t xml:space="preserve"> </w:t>
      </w:r>
      <w:r w:rsidR="00386EEF">
        <w:rPr>
          <w:lang w:val="es-ES_tradnl"/>
        </w:rPr>
        <w:t>=</w:t>
      </w:r>
      <w:r w:rsidRPr="008B7A21">
        <w:rPr>
          <w:lang w:val="es-ES_tradnl"/>
        </w:rPr>
        <w:t xml:space="preserve"> 47,8 km;   </w:t>
      </w:r>
      <w:r w:rsidRPr="008B7A21">
        <w:rPr>
          <w:i/>
          <w:lang w:val="es-ES_tradnl"/>
        </w:rPr>
        <w:t>R</w:t>
      </w:r>
      <w:r w:rsidRPr="008B7A21">
        <w:rPr>
          <w:iCs/>
          <w:vertAlign w:val="superscript"/>
          <w:lang w:val="es-ES_tradnl"/>
        </w:rPr>
        <w:t>2</w:t>
      </w:r>
      <w:r w:rsidRPr="008B7A21">
        <w:rPr>
          <w:lang w:val="es-ES_tradnl"/>
        </w:rPr>
        <w:t xml:space="preserve"> </w:t>
      </w:r>
      <w:r w:rsidR="00386EEF">
        <w:rPr>
          <w:lang w:val="es-ES_tradnl"/>
        </w:rPr>
        <w:t>=</w:t>
      </w:r>
      <w:r w:rsidRPr="008B7A21">
        <w:rPr>
          <w:lang w:val="es-ES_tradnl"/>
        </w:rPr>
        <w:t xml:space="preserve"> 2 285 km</w:t>
      </w:r>
      <w:r w:rsidRPr="008B7A21">
        <w:rPr>
          <w:vertAlign w:val="superscript"/>
          <w:lang w:val="es-ES_tradnl"/>
        </w:rPr>
        <w:t>2</w:t>
      </w:r>
    </w:p>
    <w:p w14:paraId="0B980F36" w14:textId="5480DA3E" w:rsidR="00F73D5B" w:rsidRPr="008B7A21" w:rsidRDefault="00F73D5B" w:rsidP="00F73D5B">
      <w:pPr>
        <w:rPr>
          <w:lang w:val="es-ES_tradnl"/>
        </w:rPr>
      </w:pPr>
      <w:r w:rsidRPr="008B7A21">
        <w:rPr>
          <w:lang w:val="es-ES_tradnl"/>
        </w:rPr>
        <w:t xml:space="preserve">Supóngase que la zona de servicio considerada se subdivide en tres zonas de distintas categorías en la proporción indicada en el § 4.7.1 c); es decir: </w:t>
      </w:r>
      <w:r w:rsidRPr="008B7A21">
        <w:rPr>
          <w:position w:val="-10"/>
          <w:lang w:val="es-ES_tradnl"/>
        </w:rPr>
        <w:object w:dxaOrig="1380" w:dyaOrig="360" w14:anchorId="452DEC7A">
          <v:shape id="_x0000_i1683" type="#_x0000_t75" style="width:61.95pt;height:18.4pt" o:ole="">
            <v:imagedata r:id="rId69" o:title=""/>
          </v:shape>
          <o:OLEObject Type="Embed" ProgID="Equation.3" ShapeID="_x0000_i1683" DrawAspect="Content" ObjectID="_1826705892" r:id="rId70"/>
        </w:object>
      </w:r>
      <w:r w:rsidRPr="008B7A21">
        <w:rPr>
          <w:lang w:val="es-ES_tradnl"/>
        </w:rPr>
        <w:t xml:space="preserve">, </w:t>
      </w:r>
      <w:r w:rsidRPr="008B7A21">
        <w:rPr>
          <w:position w:val="-10"/>
          <w:lang w:val="es-ES_tradnl"/>
        </w:rPr>
        <w:object w:dxaOrig="1400" w:dyaOrig="360" w14:anchorId="0DD5ECA0">
          <v:shape id="_x0000_i1684" type="#_x0000_t75" style="width:60.3pt;height:17.6pt" o:ole="">
            <v:imagedata r:id="rId71" o:title=""/>
          </v:shape>
          <o:OLEObject Type="Embed" ProgID="Equation.3" ShapeID="_x0000_i1684" DrawAspect="Content" ObjectID="_1826705893" r:id="rId72"/>
        </w:object>
      </w:r>
      <w:r w:rsidRPr="008B7A21">
        <w:rPr>
          <w:lang w:val="es-ES_tradnl"/>
        </w:rPr>
        <w:t xml:space="preserve"> y </w:t>
      </w:r>
      <w:r w:rsidR="00386EEF">
        <w:rPr>
          <w:lang w:val="es-ES_tradnl"/>
        </w:rPr>
        <w:t>Δ</w:t>
      </w:r>
      <w:r w:rsidRPr="008B7A21">
        <w:rPr>
          <w:i/>
          <w:iCs/>
          <w:lang w:val="es-ES_tradnl"/>
        </w:rPr>
        <w:t>S</w:t>
      </w:r>
      <w:r w:rsidRPr="008B7A21">
        <w:rPr>
          <w:vertAlign w:val="subscript"/>
          <w:lang w:val="es-ES_tradnl"/>
        </w:rPr>
        <w:t>3</w:t>
      </w:r>
      <w:r w:rsidRPr="008B7A21">
        <w:rPr>
          <w:lang w:val="es-ES_tradnl"/>
        </w:rPr>
        <w:t> </w:t>
      </w:r>
      <w:r w:rsidR="00386EEF">
        <w:rPr>
          <w:lang w:val="es-ES_tradnl"/>
        </w:rPr>
        <w:t>=</w:t>
      </w:r>
      <w:r w:rsidRPr="008B7A21">
        <w:rPr>
          <w:lang w:val="es-ES_tradnl"/>
        </w:rPr>
        <w:t> 0,18</w:t>
      </w:r>
      <w:r w:rsidRPr="008B7A21">
        <w:rPr>
          <w:i/>
          <w:lang w:val="es-ES_tradnl"/>
        </w:rPr>
        <w:t> R</w:t>
      </w:r>
      <w:r w:rsidRPr="008B7A21">
        <w:rPr>
          <w:vertAlign w:val="superscript"/>
          <w:lang w:val="es-ES_tradnl"/>
        </w:rPr>
        <w:t>2</w:t>
      </w:r>
      <w:r w:rsidRPr="008B7A21">
        <w:rPr>
          <w:lang w:val="es-ES_tradnl"/>
        </w:rPr>
        <w:t xml:space="preserve">. Supóngase, además, que los coeficientes pertinentes de </w:t>
      </w:r>
      <w:r w:rsidRPr="008B7A21">
        <w:rPr>
          <w:i/>
          <w:lang w:val="es-ES_tradnl"/>
        </w:rPr>
        <w:t>b</w:t>
      </w:r>
      <w:r w:rsidRPr="008B7A21">
        <w:rPr>
          <w:i/>
          <w:iCs/>
          <w:vertAlign w:val="subscript"/>
          <w:lang w:val="es-ES_tradnl"/>
        </w:rPr>
        <w:t>j</w:t>
      </w:r>
      <w:r w:rsidRPr="008B7A21">
        <w:rPr>
          <w:lang w:val="es-ES_tradnl"/>
        </w:rPr>
        <w:t xml:space="preserve"> del Cuadro 2 toman los valores: </w:t>
      </w:r>
      <w:r w:rsidRPr="008B7A21">
        <w:rPr>
          <w:i/>
          <w:lang w:val="es-ES_tradnl"/>
        </w:rPr>
        <w:t>b</w:t>
      </w:r>
      <w:r w:rsidRPr="008B7A21">
        <w:rPr>
          <w:iCs/>
          <w:vertAlign w:val="subscript"/>
          <w:lang w:val="es-ES_tradnl"/>
        </w:rPr>
        <w:t>1</w:t>
      </w:r>
      <w:r w:rsidRPr="008B7A21">
        <w:rPr>
          <w:lang w:val="es-ES_tradnl"/>
        </w:rPr>
        <w:t> </w:t>
      </w:r>
      <w:r w:rsidR="00386EEF">
        <w:rPr>
          <w:lang w:val="es-ES_tradnl"/>
        </w:rPr>
        <w:t>=</w:t>
      </w:r>
      <w:r w:rsidRPr="008B7A21">
        <w:rPr>
          <w:lang w:val="es-ES_tradnl"/>
        </w:rPr>
        <w:t xml:space="preserve"> 1, </w:t>
      </w:r>
      <w:r w:rsidRPr="008B7A21">
        <w:rPr>
          <w:i/>
          <w:lang w:val="es-ES_tradnl"/>
        </w:rPr>
        <w:t>b</w:t>
      </w:r>
      <w:r w:rsidRPr="008B7A21">
        <w:rPr>
          <w:iCs/>
          <w:vertAlign w:val="subscript"/>
          <w:lang w:val="es-ES_tradnl"/>
        </w:rPr>
        <w:t>2</w:t>
      </w:r>
      <w:r w:rsidRPr="008B7A21">
        <w:rPr>
          <w:lang w:val="es-ES_tradnl"/>
        </w:rPr>
        <w:t> </w:t>
      </w:r>
      <w:r w:rsidR="00386EEF">
        <w:rPr>
          <w:lang w:val="es-ES_tradnl"/>
        </w:rPr>
        <w:t>=</w:t>
      </w:r>
      <w:r w:rsidRPr="008B7A21">
        <w:rPr>
          <w:lang w:val="es-ES_tradnl"/>
        </w:rPr>
        <w:t xml:space="preserve"> 0,8 y </w:t>
      </w:r>
      <w:r w:rsidRPr="008B7A21">
        <w:rPr>
          <w:i/>
          <w:lang w:val="es-ES_tradnl"/>
        </w:rPr>
        <w:t>b</w:t>
      </w:r>
      <w:r w:rsidRPr="008B7A21">
        <w:rPr>
          <w:iCs/>
          <w:vertAlign w:val="subscript"/>
          <w:lang w:val="es-ES_tradnl"/>
        </w:rPr>
        <w:t>3</w:t>
      </w:r>
      <w:r w:rsidRPr="008B7A21">
        <w:rPr>
          <w:lang w:val="es-ES_tradnl"/>
        </w:rPr>
        <w:t> </w:t>
      </w:r>
      <w:r w:rsidR="00386EEF">
        <w:rPr>
          <w:lang w:val="es-ES_tradnl"/>
        </w:rPr>
        <w:t>=</w:t>
      </w:r>
      <w:r w:rsidRPr="008B7A21">
        <w:rPr>
          <w:lang w:val="es-ES_tradnl"/>
        </w:rPr>
        <w:t> 0,6. En ese caso, de conformidad con la ecuación (23) se obtiene:</w:t>
      </w:r>
    </w:p>
    <w:p w14:paraId="638C355D" w14:textId="77777777" w:rsidR="00F73D5B" w:rsidRPr="008B7A21" w:rsidRDefault="00F73D5B" w:rsidP="00F73D5B">
      <w:pPr>
        <w:pStyle w:val="Blanc"/>
        <w:rPr>
          <w:lang w:val="es-ES_tradnl"/>
        </w:rPr>
      </w:pPr>
    </w:p>
    <w:p w14:paraId="14E80F76"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4"/>
          <w:lang w:val="es-ES_tradnl"/>
        </w:rPr>
        <w:object w:dxaOrig="5560" w:dyaOrig="440" w14:anchorId="62E3639B">
          <v:shape id="_x0000_i1685" type="#_x0000_t75" style="width:273.75pt;height:20.95pt" o:ole="" fillcolor="window">
            <v:imagedata r:id="rId73" o:title=""/>
          </v:shape>
          <o:OLEObject Type="Embed" ProgID="Equation.3" ShapeID="_x0000_i1685" DrawAspect="Content" ObjectID="_1826705894" r:id="rId74"/>
        </w:object>
      </w:r>
    </w:p>
    <w:p w14:paraId="25A5D56B" w14:textId="0528E3A1" w:rsidR="00F73D5B" w:rsidRPr="008B7A21" w:rsidRDefault="00F73D5B" w:rsidP="00F73D5B">
      <w:pPr>
        <w:rPr>
          <w:lang w:val="es-ES_tradnl"/>
        </w:rPr>
      </w:pPr>
      <w:r w:rsidRPr="008B7A21">
        <w:rPr>
          <w:lang w:val="es-ES_tradnl"/>
        </w:rPr>
        <w:t>Valor distinto al de 7 179 km</w:t>
      </w:r>
      <w:r w:rsidRPr="008B7A21">
        <w:rPr>
          <w:vertAlign w:val="superscript"/>
          <w:lang w:val="es-ES_tradnl"/>
        </w:rPr>
        <w:t>2</w:t>
      </w:r>
      <w:r w:rsidRPr="008B7A21">
        <w:rPr>
          <w:lang w:val="es-ES_tradnl"/>
        </w:rPr>
        <w:t xml:space="preserve"> cuando toda la zona de servicio se encuentra dentro de una zona con </w:t>
      </w:r>
      <w:r w:rsidRPr="008B7A21">
        <w:rPr>
          <w:i/>
          <w:lang w:val="es-ES_tradnl"/>
        </w:rPr>
        <w:t>b</w:t>
      </w:r>
      <w:r w:rsidRPr="008B7A21">
        <w:rPr>
          <w:lang w:val="es-ES_tradnl"/>
        </w:rPr>
        <w:t> </w:t>
      </w:r>
      <w:r w:rsidR="00386EEF">
        <w:rPr>
          <w:lang w:val="es-ES_tradnl"/>
        </w:rPr>
        <w:t>=</w:t>
      </w:r>
      <w:r w:rsidRPr="008B7A21">
        <w:rPr>
          <w:lang w:val="es-ES_tradnl"/>
        </w:rPr>
        <w:t> 1.</w:t>
      </w:r>
    </w:p>
    <w:p w14:paraId="65F94282" w14:textId="77777777" w:rsidR="00F73D5B" w:rsidRPr="008B7A21" w:rsidRDefault="00F73D5B" w:rsidP="00F73D5B">
      <w:pPr>
        <w:pStyle w:val="Headingb"/>
        <w:rPr>
          <w:lang w:val="es-ES_tradnl"/>
        </w:rPr>
      </w:pPr>
      <w:bookmarkStart w:id="1402" w:name="_Toc307922621"/>
      <w:bookmarkStart w:id="1403" w:name="_Toc307991970"/>
      <w:bookmarkStart w:id="1404" w:name="_Toc307994003"/>
      <w:bookmarkStart w:id="1405" w:name="_Toc307996409"/>
      <w:bookmarkStart w:id="1406" w:name="_Toc499563047"/>
      <w:r w:rsidRPr="008B7A21">
        <w:rPr>
          <w:lang w:val="es-ES_tradnl"/>
        </w:rPr>
        <w:t>d)</w:t>
      </w:r>
      <w:r w:rsidRPr="008B7A21">
        <w:rPr>
          <w:lang w:val="es-ES_tradnl"/>
        </w:rPr>
        <w:tab/>
        <w:t>Espectro utilizado</w:t>
      </w:r>
      <w:bookmarkEnd w:id="1402"/>
      <w:bookmarkEnd w:id="1403"/>
      <w:bookmarkEnd w:id="1404"/>
      <w:bookmarkEnd w:id="1405"/>
      <w:bookmarkEnd w:id="1406"/>
    </w:p>
    <w:p w14:paraId="267970DC" w14:textId="0864479F" w:rsidR="00F73D5B" w:rsidRPr="008B7A21" w:rsidRDefault="00F73D5B" w:rsidP="00F73D5B">
      <w:pPr>
        <w:rPr>
          <w:lang w:val="es-ES_tradnl"/>
        </w:rPr>
      </w:pPr>
      <w:r w:rsidRPr="008B7A21">
        <w:rPr>
          <w:lang w:val="es-ES_tradnl"/>
        </w:rPr>
        <w:t>Sustituyendo los valores calculados en b) y c) en la ecuación (20), utilizando los valores de los coeficientes de ponderación indicados en el Cuadro 3 y teniendo en cuenta que las frecuencias no se comparten (</w:t>
      </w:r>
      <w:r w:rsidR="00386EEF">
        <w:rPr>
          <w:lang w:val="es-ES_tradnl"/>
        </w:rPr>
        <w:t>β</w:t>
      </w:r>
      <w:r w:rsidRPr="008B7A21">
        <w:rPr>
          <w:lang w:val="es-ES_tradnl"/>
        </w:rPr>
        <w:t> </w:t>
      </w:r>
      <w:r w:rsidR="00386EEF">
        <w:rPr>
          <w:lang w:val="es-ES_tradnl"/>
        </w:rPr>
        <w:t>=</w:t>
      </w:r>
      <w:r w:rsidRPr="008B7A21">
        <w:rPr>
          <w:lang w:val="es-ES_tradnl"/>
        </w:rPr>
        <w:t> 1), se obtiene:</w:t>
      </w:r>
    </w:p>
    <w:p w14:paraId="1BEB7686" w14:textId="77777777" w:rsidR="00F73D5B" w:rsidRPr="008B7A21" w:rsidRDefault="00F73D5B" w:rsidP="00F73D5B">
      <w:pPr>
        <w:pStyle w:val="Blanc"/>
        <w:rPr>
          <w:lang w:val="es-ES_tradnl"/>
        </w:rPr>
      </w:pPr>
    </w:p>
    <w:p w14:paraId="332EBAE9" w14:textId="5F2C6DD2" w:rsidR="00F73D5B" w:rsidRPr="008B7A21" w:rsidRDefault="00F73D5B" w:rsidP="00F73D5B">
      <w:pPr>
        <w:pStyle w:val="Equation"/>
        <w:rPr>
          <w:lang w:val="es-ES_tradnl"/>
        </w:rPr>
      </w:pPr>
      <w:r w:rsidRPr="008B7A21">
        <w:rPr>
          <w:i/>
          <w:lang w:val="es-ES_tradnl"/>
        </w:rPr>
        <w:tab/>
        <w:t>W</w:t>
      </w:r>
      <w:r w:rsidRPr="008B7A21">
        <w:rPr>
          <w:lang w:val="es-ES_tradnl"/>
        </w:rPr>
        <w:t> = 2,4 </w:t>
      </w:r>
      <w:r w:rsidRPr="008B7A21">
        <w:rPr>
          <w:lang w:val="es-ES_tradnl"/>
        </w:rPr>
        <w:sym w:font="Symbol" w:char="F0B4"/>
      </w:r>
      <w:r w:rsidRPr="008B7A21">
        <w:rPr>
          <w:lang w:val="es-ES_tradnl"/>
        </w:rPr>
        <w:t> 1 </w:t>
      </w:r>
      <w:r w:rsidRPr="008B7A21">
        <w:rPr>
          <w:lang w:val="es-ES_tradnl"/>
        </w:rPr>
        <w:sym w:font="Symbol" w:char="F0B4"/>
      </w:r>
      <w:r w:rsidRPr="008B7A21">
        <w:rPr>
          <w:lang w:val="es-ES_tradnl"/>
        </w:rPr>
        <w:t> 1 </w:t>
      </w:r>
      <w:r w:rsidRPr="008B7A21">
        <w:rPr>
          <w:lang w:val="es-ES_tradnl"/>
        </w:rPr>
        <w:sym w:font="Symbol" w:char="F0B4"/>
      </w:r>
      <w:r w:rsidRPr="008B7A21">
        <w:rPr>
          <w:lang w:val="es-ES_tradnl"/>
        </w:rPr>
        <w:t> 1 </w:t>
      </w:r>
      <w:r w:rsidRPr="008B7A21">
        <w:rPr>
          <w:lang w:val="es-ES_tradnl"/>
        </w:rPr>
        <w:sym w:font="Symbol" w:char="F0B4"/>
      </w:r>
      <w:r w:rsidRPr="008B7A21">
        <w:rPr>
          <w:lang w:val="es-ES_tradnl"/>
        </w:rPr>
        <w:t> 1 </w:t>
      </w:r>
      <w:r w:rsidRPr="008B7A21">
        <w:rPr>
          <w:lang w:val="es-ES_tradnl"/>
        </w:rPr>
        <w:sym w:font="Symbol" w:char="F0B4"/>
      </w:r>
      <w:r w:rsidRPr="008B7A21">
        <w:rPr>
          <w:lang w:val="es-ES_tradnl"/>
        </w:rPr>
        <w:t> 0,18 </w:t>
      </w:r>
      <w:r w:rsidRPr="008B7A21">
        <w:rPr>
          <w:lang w:val="es-ES_tradnl"/>
        </w:rPr>
        <w:sym w:font="Symbol" w:char="F0B4"/>
      </w:r>
      <w:r w:rsidRPr="008B7A21">
        <w:rPr>
          <w:lang w:val="es-ES_tradnl"/>
        </w:rPr>
        <w:t> 6 777 </w:t>
      </w:r>
      <w:r w:rsidRPr="008B7A21">
        <w:rPr>
          <w:lang w:val="es-ES_tradnl"/>
        </w:rPr>
        <w:sym w:font="Symbol" w:char="F0B4"/>
      </w:r>
      <w:r w:rsidRPr="008B7A21">
        <w:rPr>
          <w:lang w:val="es-ES_tradnl"/>
        </w:rPr>
        <w:t> 0,83 </w:t>
      </w:r>
      <w:r w:rsidR="00386EEF">
        <w:rPr>
          <w:lang w:val="es-ES_tradnl"/>
        </w:rPr>
        <w:t>=</w:t>
      </w:r>
      <w:r w:rsidRPr="008B7A21">
        <w:rPr>
          <w:lang w:val="es-ES_tradnl"/>
        </w:rPr>
        <w:t xml:space="preserve"> 2 430           MHz </w:t>
      </w:r>
      <w:r w:rsidRPr="008B7A21">
        <w:rPr>
          <w:lang w:val="es-ES_tradnl"/>
        </w:rPr>
        <w:sym w:font="Symbol" w:char="F0D7"/>
      </w:r>
      <w:r w:rsidRPr="008B7A21">
        <w:rPr>
          <w:lang w:val="es-ES_tradnl"/>
        </w:rPr>
        <w:t xml:space="preserve"> km</w:t>
      </w:r>
      <w:r w:rsidRPr="008B7A21">
        <w:rPr>
          <w:vertAlign w:val="superscript"/>
          <w:lang w:val="es-ES_tradnl"/>
        </w:rPr>
        <w:t>2</w:t>
      </w:r>
      <w:r w:rsidRPr="008B7A21">
        <w:rPr>
          <w:lang w:val="es-ES_tradnl"/>
        </w:rPr>
        <w:t xml:space="preserve"> </w:t>
      </w:r>
      <w:r w:rsidRPr="008B7A21">
        <w:rPr>
          <w:lang w:val="es-ES_tradnl"/>
        </w:rPr>
        <w:sym w:font="Symbol" w:char="F0D7"/>
      </w:r>
      <w:r w:rsidRPr="008B7A21">
        <w:rPr>
          <w:lang w:val="es-ES_tradnl"/>
        </w:rPr>
        <w:t xml:space="preserve"> 1 año</w:t>
      </w:r>
    </w:p>
    <w:p w14:paraId="22C55A62" w14:textId="77777777" w:rsidR="00F73D5B" w:rsidRPr="008B7A21" w:rsidRDefault="00F73D5B" w:rsidP="00F73D5B">
      <w:pPr>
        <w:pStyle w:val="Blanc"/>
        <w:rPr>
          <w:lang w:val="es-ES_tradnl"/>
        </w:rPr>
      </w:pPr>
    </w:p>
    <w:p w14:paraId="08291DFF" w14:textId="77777777" w:rsidR="00F73D5B" w:rsidRPr="008B7A21" w:rsidRDefault="00F73D5B" w:rsidP="00F73D5B">
      <w:pPr>
        <w:pStyle w:val="Heading3"/>
        <w:rPr>
          <w:lang w:val="es-ES_tradnl"/>
        </w:rPr>
      </w:pPr>
      <w:bookmarkStart w:id="1407" w:name="_Toc306276872"/>
      <w:bookmarkStart w:id="1408" w:name="_Toc307921547"/>
      <w:bookmarkStart w:id="1409" w:name="_Toc307922114"/>
      <w:bookmarkStart w:id="1410" w:name="_Toc307922622"/>
      <w:bookmarkStart w:id="1411" w:name="_Toc307991971"/>
      <w:bookmarkStart w:id="1412" w:name="_Toc307994004"/>
      <w:bookmarkStart w:id="1413" w:name="_Toc307995259"/>
      <w:bookmarkStart w:id="1414" w:name="_Toc307996410"/>
      <w:bookmarkStart w:id="1415" w:name="_Toc308010378"/>
      <w:bookmarkStart w:id="1416" w:name="_Toc499563048"/>
      <w:bookmarkStart w:id="1417" w:name="_Toc215835413"/>
      <w:r w:rsidRPr="008B7A21">
        <w:rPr>
          <w:lang w:val="es-ES_tradnl"/>
        </w:rPr>
        <w:t>4.7.3</w:t>
      </w:r>
      <w:r w:rsidRPr="008B7A21">
        <w:rPr>
          <w:lang w:val="es-ES_tradnl"/>
        </w:rPr>
        <w:tab/>
        <w:t>Radiodifusión sonora en ondas kilométricas-decamétricas</w:t>
      </w:r>
      <w:bookmarkEnd w:id="1407"/>
      <w:bookmarkEnd w:id="1408"/>
      <w:bookmarkEnd w:id="1409"/>
      <w:bookmarkEnd w:id="1410"/>
      <w:bookmarkEnd w:id="1411"/>
      <w:bookmarkEnd w:id="1412"/>
      <w:bookmarkEnd w:id="1413"/>
      <w:bookmarkEnd w:id="1414"/>
      <w:bookmarkEnd w:id="1415"/>
      <w:bookmarkEnd w:id="1416"/>
      <w:bookmarkEnd w:id="1417"/>
    </w:p>
    <w:p w14:paraId="2C70828D" w14:textId="77777777" w:rsidR="00F73D5B" w:rsidRPr="008B7A21" w:rsidRDefault="00F73D5B" w:rsidP="00F73D5B">
      <w:pPr>
        <w:rPr>
          <w:lang w:val="es-ES_tradnl"/>
        </w:rPr>
      </w:pPr>
      <w:r w:rsidRPr="008B7A21">
        <w:rPr>
          <w:lang w:val="es-ES_tradnl"/>
        </w:rPr>
        <w:t>Para las estaciones de radiodifusión sonora en ondas kilométricas-decamétricas los recursos de tiempo y frecuencia utilizados se determinan de forma similar a lo indicado en el § 4.7.1 b). Las anchuras de banda necesarias se determinan de conformidad con la Recomendación UIT</w:t>
      </w:r>
      <w:r w:rsidRPr="008B7A21">
        <w:rPr>
          <w:lang w:val="es-ES_tradnl"/>
        </w:rPr>
        <w:noBreakHyphen/>
        <w:t>R SM.1138</w:t>
      </w:r>
      <w:r w:rsidRPr="008B7A21">
        <w:rPr>
          <w:lang w:val="es-ES_tradnl"/>
        </w:rPr>
        <w:noBreakHyphen/>
        <w:t>2 «Radiodifusión sonora», fila «Radiodifusión sonora de doble banda lateral» (clase de emisión A3E). Cabe señalar que para este tipo de radiodifusión las administraciones normalmente utilizan transmisores con distintas clases de calidad dependiendo de la frecuencia de modulación más elevada que determina el valor de anchura de banda necesaria. Los datos pertinentes deben extraerse de una base de datos nacional de asignación de frecuencias.</w:t>
      </w:r>
    </w:p>
    <w:p w14:paraId="734D1690" w14:textId="77777777" w:rsidR="00F73D5B" w:rsidRPr="008B7A21" w:rsidRDefault="00F73D5B" w:rsidP="00F73D5B">
      <w:pPr>
        <w:rPr>
          <w:lang w:val="es-ES_tradnl"/>
        </w:rPr>
      </w:pPr>
      <w:r w:rsidRPr="008B7A21">
        <w:rPr>
          <w:lang w:val="es-ES_tradnl"/>
        </w:rPr>
        <w:t>Por lo que se refiere al recurso territorial utilizado, el cálculo en este caso tropieza con algunas dificultades debido a su complejidad, especialmente en el caso de la radiodifusión en ondas decamétricas que no puede simplificarse sin perder una mínima precisión necesaria. Para los transmisores en ondas hectométricas, la zona de servicio difiere enormemente según se trate de funcionamiento diurno o nocturno. Teniendo en cuenta el escaso número de estaciones de radiodifusión en ondas kilométricas-decamétricas en muchos países, se propone que en vez de realizar cálculos complicados se utilicen los datos pertinentes sobre la zona de servicio extraídos de la base de datos nacional de asignación de frecuencias. Si no se dispone de estos datos pueden ser solicitados a los operadores que normalmente tienen información sobre sus zonas de servicio obtenida mediante cálculos y/o comprobación técnica.</w:t>
      </w:r>
    </w:p>
    <w:p w14:paraId="6F678D1E" w14:textId="77777777" w:rsidR="00F73D5B" w:rsidRPr="008B7A21" w:rsidRDefault="00F73D5B" w:rsidP="00F73D5B">
      <w:pPr>
        <w:rPr>
          <w:lang w:val="es-ES_tradnl"/>
        </w:rPr>
      </w:pPr>
      <w:r w:rsidRPr="008B7A21">
        <w:rPr>
          <w:lang w:val="es-ES_tradnl"/>
        </w:rPr>
        <w:t>Con estos datos puede calcularse el espectro correspondiente utilizado de forma similar al procedimiento indicado en c). Por lo que se refiere a los transmisores de ondas hectométricas, existen principalmente dos valores muy distintos de la zona de servicio según el funcionamiento sea diurno o nocturno y el espectro total utilizado puede determinarse como una suma de dos recursos espectrales parciales correspondientes a los distintos valores de la zona de servicio.</w:t>
      </w:r>
    </w:p>
    <w:p w14:paraId="729DAD02" w14:textId="77777777" w:rsidR="00F73D5B" w:rsidRPr="008B7A21" w:rsidRDefault="00F73D5B" w:rsidP="00F73D5B">
      <w:pPr>
        <w:rPr>
          <w:lang w:val="es-ES_tradnl"/>
        </w:rPr>
      </w:pPr>
      <w:r w:rsidRPr="008B7A21">
        <w:rPr>
          <w:lang w:val="es-ES_tradnl"/>
        </w:rPr>
        <w:t>Cabe señalar igualmente que las zonas de servicio de los transmisores de radiodifusión en ondas kilométricas, hectométricas (funcionamiento nocturno) y decamétricas pueden ser muy amplias y extenderse más allá de las fronteras de países cuyos tamaños sean relativamente pequeños. En este caso (determinado en cooperación con los operadores correspondientes) la zona de servicio puede considerarse como todo el territorio del país o su mayor parte. Las áreas de las zonas pertenecientes a distintas categorías se determinan a partir de la documentación administrativa pertinente o se estiman mediante mapas.</w:t>
      </w:r>
    </w:p>
    <w:p w14:paraId="26032256" w14:textId="77777777" w:rsidR="00F73D5B" w:rsidRPr="008B7A21" w:rsidRDefault="00F73D5B" w:rsidP="00F73D5B">
      <w:pPr>
        <w:rPr>
          <w:lang w:val="es-ES_tradnl"/>
        </w:rPr>
      </w:pPr>
      <w:r w:rsidRPr="008B7A21">
        <w:rPr>
          <w:lang w:val="es-ES_tradnl"/>
        </w:rPr>
        <w:t>Si se utilizan antenas transmisoras directivas, puede emplearse el concepto de «sector de servicio» que aparece en la Recomendación UIT-R F.162-3.</w:t>
      </w:r>
    </w:p>
    <w:p w14:paraId="6148F36A" w14:textId="77777777" w:rsidR="00F73D5B" w:rsidRPr="008B7A21" w:rsidRDefault="00F73D5B" w:rsidP="00F73D5B">
      <w:pPr>
        <w:pStyle w:val="Heading3"/>
        <w:rPr>
          <w:lang w:val="es-ES_tradnl"/>
        </w:rPr>
      </w:pPr>
      <w:bookmarkStart w:id="1418" w:name="_Toc306276873"/>
      <w:bookmarkStart w:id="1419" w:name="_Toc307921548"/>
      <w:bookmarkStart w:id="1420" w:name="_Toc307922115"/>
      <w:bookmarkStart w:id="1421" w:name="_Toc307922623"/>
      <w:bookmarkStart w:id="1422" w:name="_Toc307991972"/>
      <w:bookmarkStart w:id="1423" w:name="_Toc307994005"/>
      <w:bookmarkStart w:id="1424" w:name="_Toc307995260"/>
      <w:bookmarkStart w:id="1425" w:name="_Toc307996411"/>
      <w:bookmarkStart w:id="1426" w:name="_Toc308010379"/>
      <w:bookmarkStart w:id="1427" w:name="_Toc499563049"/>
      <w:bookmarkStart w:id="1428" w:name="_Toc215835414"/>
      <w:r w:rsidRPr="008B7A21">
        <w:rPr>
          <w:lang w:val="es-ES_tradnl"/>
        </w:rPr>
        <w:t>4.7.4</w:t>
      </w:r>
      <w:r w:rsidRPr="008B7A21">
        <w:rPr>
          <w:lang w:val="es-ES_tradnl"/>
        </w:rPr>
        <w:tab/>
        <w:t>Servicios de radiocomunicaciones móviles</w:t>
      </w:r>
      <w:bookmarkEnd w:id="1418"/>
      <w:bookmarkEnd w:id="1419"/>
      <w:bookmarkEnd w:id="1420"/>
      <w:bookmarkEnd w:id="1421"/>
      <w:bookmarkEnd w:id="1422"/>
      <w:bookmarkEnd w:id="1423"/>
      <w:bookmarkEnd w:id="1424"/>
      <w:bookmarkEnd w:id="1425"/>
      <w:bookmarkEnd w:id="1426"/>
      <w:bookmarkEnd w:id="1427"/>
      <w:bookmarkEnd w:id="1428"/>
    </w:p>
    <w:p w14:paraId="46AF0FDC" w14:textId="77777777" w:rsidR="00F73D5B" w:rsidRPr="008B7A21" w:rsidRDefault="00F73D5B" w:rsidP="00F73D5B">
      <w:pPr>
        <w:pStyle w:val="Heading4"/>
        <w:rPr>
          <w:lang w:val="es-ES_tradnl"/>
        </w:rPr>
      </w:pPr>
      <w:r w:rsidRPr="008B7A21">
        <w:rPr>
          <w:lang w:val="es-ES_tradnl"/>
        </w:rPr>
        <w:t>4.7.4.1</w:t>
      </w:r>
      <w:r w:rsidRPr="008B7A21">
        <w:rPr>
          <w:lang w:val="es-ES_tradnl"/>
        </w:rPr>
        <w:tab/>
        <w:t>Servicio de radiocomunicaciones móviles terrestres</w:t>
      </w:r>
    </w:p>
    <w:p w14:paraId="45004968" w14:textId="77777777" w:rsidR="00F73D5B" w:rsidRPr="008B7A21" w:rsidRDefault="00F73D5B" w:rsidP="00F73D5B">
      <w:pPr>
        <w:pStyle w:val="Headingb"/>
        <w:rPr>
          <w:lang w:val="es-ES_tradnl"/>
        </w:rPr>
      </w:pPr>
      <w:bookmarkStart w:id="1429" w:name="_Toc307922624"/>
      <w:bookmarkStart w:id="1430" w:name="_Toc307991973"/>
      <w:bookmarkStart w:id="1431" w:name="_Toc307994006"/>
      <w:bookmarkStart w:id="1432" w:name="_Toc307996412"/>
      <w:bookmarkStart w:id="1433" w:name="_Toc499563050"/>
      <w:r w:rsidRPr="008B7A21">
        <w:rPr>
          <w:lang w:val="es-ES_tradnl"/>
        </w:rPr>
        <w:t>a)</w:t>
      </w:r>
      <w:r w:rsidRPr="008B7A21">
        <w:rPr>
          <w:lang w:val="es-ES_tradnl"/>
        </w:rPr>
        <w:tab/>
        <w:t>Fundamentos de los procedimientos de cálculo</w:t>
      </w:r>
      <w:bookmarkEnd w:id="1429"/>
      <w:bookmarkEnd w:id="1430"/>
      <w:bookmarkEnd w:id="1431"/>
      <w:bookmarkEnd w:id="1432"/>
      <w:bookmarkEnd w:id="1433"/>
    </w:p>
    <w:p w14:paraId="370CF67F" w14:textId="77777777" w:rsidR="00F73D5B" w:rsidRPr="008B7A21" w:rsidRDefault="00F73D5B" w:rsidP="00F73D5B">
      <w:pPr>
        <w:rPr>
          <w:snapToGrid w:val="0"/>
          <w:lang w:val="es-ES_tradnl"/>
        </w:rPr>
      </w:pPr>
      <w:r w:rsidRPr="008B7A21">
        <w:rPr>
          <w:snapToGrid w:val="0"/>
          <w:lang w:val="es-ES_tradnl"/>
        </w:rPr>
        <w:t>El procedimiento sigue normalmente el modelo de propagación de ondas radioeléctricas conocido con el nombre de Okamura-Hata modificado, del que aparece alguna información en el Anexo 8 a la Recomendación UIT</w:t>
      </w:r>
      <w:r w:rsidRPr="008B7A21">
        <w:rPr>
          <w:snapToGrid w:val="0"/>
          <w:lang w:val="es-ES_tradnl"/>
        </w:rPr>
        <w:noBreakHyphen/>
        <w:t>R P.1546-4. El modelo supone la existencia de un desarrollo urbano homogéneo en los límites de la zona de servicio, ausencia de visibilidad directa entre el transmisor de la estación de base y el receptor personal móvil y unas alturas de las antenas del transmisor y receptor comprendidas, respectivamente, entre 20-200 m (pero en la mayoría de los casos entre 40</w:t>
      </w:r>
      <w:r w:rsidRPr="008B7A21">
        <w:rPr>
          <w:snapToGrid w:val="0"/>
          <w:lang w:val="es-ES_tradnl"/>
        </w:rPr>
        <w:noBreakHyphen/>
        <w:t>100 m) y entre 1,5</w:t>
      </w:r>
      <w:r w:rsidRPr="008B7A21">
        <w:rPr>
          <w:snapToGrid w:val="0"/>
          <w:lang w:val="es-ES_tradnl"/>
        </w:rPr>
        <w:noBreakHyphen/>
        <w:t>10 m.</w:t>
      </w:r>
    </w:p>
    <w:p w14:paraId="07592634" w14:textId="77777777" w:rsidR="00F73D5B" w:rsidRPr="008B7A21" w:rsidRDefault="00F73D5B" w:rsidP="00F73D5B">
      <w:pPr>
        <w:rPr>
          <w:snapToGrid w:val="0"/>
          <w:lang w:val="es-ES_tradnl"/>
        </w:rPr>
      </w:pPr>
      <w:r w:rsidRPr="008B7A21">
        <w:rPr>
          <w:snapToGrid w:val="0"/>
          <w:lang w:val="es-ES_tradnl"/>
        </w:rPr>
        <w:t xml:space="preserve">Considerando, a efectos del modelo indicado, que las pérdidas en el alimentador de antena en los extremos transmisor y receptor son cero, la potencia de una señal </w:t>
      </w:r>
      <w:r w:rsidRPr="008B7A21">
        <w:rPr>
          <w:i/>
          <w:snapToGrid w:val="0"/>
          <w:lang w:val="es-ES_tradnl"/>
        </w:rPr>
        <w:t>P</w:t>
      </w:r>
      <w:r w:rsidRPr="008B7A21">
        <w:rPr>
          <w:i/>
          <w:snapToGrid w:val="0"/>
          <w:vertAlign w:val="subscript"/>
          <w:lang w:val="es-ES_tradnl"/>
        </w:rPr>
        <w:t>r</w:t>
      </w:r>
      <w:r w:rsidRPr="008B7A21">
        <w:rPr>
          <w:snapToGrid w:val="0"/>
          <w:lang w:val="es-ES_tradnl"/>
        </w:rPr>
        <w:t xml:space="preserve"> (dB</w:t>
      </w:r>
      <w:r w:rsidRPr="008B7A21">
        <w:rPr>
          <w:lang w:val="es-ES_tradnl"/>
        </w:rPr>
        <w:t>W</w:t>
      </w:r>
      <w:r w:rsidRPr="008B7A21">
        <w:rPr>
          <w:snapToGrid w:val="0"/>
          <w:lang w:val="es-ES_tradnl"/>
        </w:rPr>
        <w:t>) a la entrada del receptor puede calcularse como sigue:</w:t>
      </w:r>
    </w:p>
    <w:p w14:paraId="021B57FC" w14:textId="3CBDF5CD" w:rsidR="00F73D5B" w:rsidRPr="008B7A21" w:rsidRDefault="00F73D5B" w:rsidP="00F73D5B">
      <w:pPr>
        <w:pStyle w:val="Equation"/>
        <w:rPr>
          <w:snapToGrid w:val="0"/>
          <w:lang w:val="es-ES_tradnl"/>
        </w:rPr>
      </w:pPr>
      <w:r w:rsidRPr="008B7A21">
        <w:rPr>
          <w:snapToGrid w:val="0"/>
          <w:lang w:val="es-ES_tradnl"/>
        </w:rPr>
        <w:tab/>
      </w:r>
      <w:r w:rsidRPr="008B7A21">
        <w:rPr>
          <w:snapToGrid w:val="0"/>
          <w:lang w:val="es-ES_tradnl"/>
        </w:rPr>
        <w:tab/>
      </w:r>
      <w:r w:rsidRPr="008B7A21">
        <w:rPr>
          <w:i/>
          <w:iCs/>
          <w:snapToGrid w:val="0"/>
          <w:lang w:val="es-ES_tradnl"/>
        </w:rPr>
        <w:t>P</w:t>
      </w:r>
      <w:r w:rsidRPr="008B7A21">
        <w:rPr>
          <w:i/>
          <w:iCs/>
          <w:snapToGrid w:val="0"/>
          <w:vertAlign w:val="subscript"/>
          <w:lang w:val="es-ES_tradnl"/>
        </w:rPr>
        <w:t>r</w:t>
      </w:r>
      <w:r w:rsidRPr="008B7A21">
        <w:rPr>
          <w:snapToGrid w:val="0"/>
          <w:lang w:val="es-ES_tradnl"/>
        </w:rPr>
        <w:t xml:space="preserve"> </w:t>
      </w:r>
      <w:r w:rsidR="00386EEF">
        <w:rPr>
          <w:snapToGrid w:val="0"/>
          <w:lang w:val="es-ES_tradnl"/>
        </w:rPr>
        <w:t>=</w:t>
      </w:r>
      <w:r w:rsidRPr="008B7A21">
        <w:rPr>
          <w:snapToGrid w:val="0"/>
          <w:lang w:val="es-ES_tradnl"/>
        </w:rPr>
        <w:t xml:space="preserve"> </w:t>
      </w:r>
      <w:r w:rsidRPr="008B7A21">
        <w:rPr>
          <w:i/>
          <w:iCs/>
          <w:snapToGrid w:val="0"/>
          <w:lang w:val="es-ES_tradnl"/>
        </w:rPr>
        <w:t>P</w:t>
      </w:r>
      <w:r w:rsidRPr="008B7A21">
        <w:rPr>
          <w:i/>
          <w:iCs/>
          <w:snapToGrid w:val="0"/>
          <w:vertAlign w:val="subscript"/>
          <w:lang w:val="es-ES_tradnl"/>
        </w:rPr>
        <w:t>t</w:t>
      </w:r>
      <w:r w:rsidRPr="008B7A21">
        <w:rPr>
          <w:snapToGrid w:val="0"/>
          <w:lang w:val="es-ES_tradnl"/>
        </w:rPr>
        <w:t xml:space="preserve"> </w:t>
      </w:r>
      <w:r w:rsidR="00386EEF" w:rsidRPr="00386EEF">
        <w:sym w:font="Symbol" w:char="F02B"/>
      </w:r>
      <w:r w:rsidRPr="008B7A21">
        <w:rPr>
          <w:snapToGrid w:val="0"/>
          <w:lang w:val="es-ES_tradnl"/>
        </w:rPr>
        <w:t xml:space="preserve"> </w:t>
      </w:r>
      <w:r w:rsidRPr="008B7A21">
        <w:rPr>
          <w:i/>
          <w:iCs/>
          <w:snapToGrid w:val="0"/>
          <w:lang w:val="es-ES_tradnl"/>
        </w:rPr>
        <w:t>G</w:t>
      </w:r>
      <w:r w:rsidRPr="008B7A21">
        <w:rPr>
          <w:i/>
          <w:iCs/>
          <w:snapToGrid w:val="0"/>
          <w:vertAlign w:val="subscript"/>
          <w:lang w:val="es-ES_tradnl"/>
        </w:rPr>
        <w:t>t</w:t>
      </w:r>
      <w:r w:rsidRPr="008B7A21">
        <w:rPr>
          <w:snapToGrid w:val="0"/>
          <w:lang w:val="es-ES_tradnl"/>
        </w:rPr>
        <w:t xml:space="preserve"> </w:t>
      </w:r>
      <w:r w:rsidR="00386EEF" w:rsidRPr="00386EEF">
        <w:sym w:font="Symbol" w:char="F02B"/>
      </w:r>
      <w:r w:rsidRPr="008B7A21">
        <w:rPr>
          <w:snapToGrid w:val="0"/>
          <w:lang w:val="es-ES_tradnl"/>
        </w:rPr>
        <w:t xml:space="preserve"> </w:t>
      </w:r>
      <w:r w:rsidRPr="008B7A21">
        <w:rPr>
          <w:i/>
          <w:iCs/>
          <w:snapToGrid w:val="0"/>
          <w:lang w:val="es-ES_tradnl"/>
        </w:rPr>
        <w:t>G</w:t>
      </w:r>
      <w:r w:rsidRPr="008B7A21">
        <w:rPr>
          <w:i/>
          <w:iCs/>
          <w:snapToGrid w:val="0"/>
          <w:vertAlign w:val="subscript"/>
          <w:lang w:val="es-ES_tradnl"/>
        </w:rPr>
        <w:t>r</w:t>
      </w:r>
      <w:r w:rsidRPr="008B7A21">
        <w:rPr>
          <w:snapToGrid w:val="0"/>
          <w:lang w:val="es-ES_tradnl"/>
        </w:rPr>
        <w:t xml:space="preserve"> – </w:t>
      </w:r>
      <w:r w:rsidRPr="008B7A21">
        <w:rPr>
          <w:i/>
          <w:iCs/>
          <w:snapToGrid w:val="0"/>
          <w:lang w:val="es-ES_tradnl"/>
        </w:rPr>
        <w:t>L</w:t>
      </w:r>
      <w:r w:rsidRPr="008B7A21">
        <w:rPr>
          <w:lang w:val="es-ES_tradnl"/>
        </w:rPr>
        <w:t>(</w:t>
      </w:r>
      <w:r w:rsidRPr="008B7A21">
        <w:rPr>
          <w:i/>
          <w:iCs/>
          <w:snapToGrid w:val="0"/>
          <w:lang w:val="es-ES_tradnl"/>
        </w:rPr>
        <w:t>R</w:t>
      </w:r>
      <w:r w:rsidRPr="008B7A21">
        <w:rPr>
          <w:lang w:val="es-ES_tradnl"/>
        </w:rPr>
        <w:t>)</w:t>
      </w:r>
      <w:r w:rsidRPr="008B7A21">
        <w:rPr>
          <w:snapToGrid w:val="0"/>
          <w:lang w:val="es-ES_tradnl"/>
        </w:rPr>
        <w:t>                dBW</w:t>
      </w:r>
      <w:r w:rsidRPr="008B7A21">
        <w:rPr>
          <w:snapToGrid w:val="0"/>
          <w:lang w:val="es-ES_tradnl"/>
        </w:rPr>
        <w:tab/>
        <w:t>(37)</w:t>
      </w:r>
    </w:p>
    <w:p w14:paraId="6E0B0FC6" w14:textId="77777777" w:rsidR="00F73D5B" w:rsidRPr="008B7A21" w:rsidRDefault="00F73D5B" w:rsidP="00F73D5B">
      <w:pPr>
        <w:rPr>
          <w:bCs/>
          <w:snapToGrid w:val="0"/>
          <w:color w:val="000000"/>
          <w:lang w:val="es-ES_tradnl"/>
        </w:rPr>
      </w:pPr>
      <w:r w:rsidRPr="008B7A21">
        <w:rPr>
          <w:bCs/>
          <w:snapToGrid w:val="0"/>
          <w:color w:val="000000"/>
          <w:lang w:val="es-ES_tradnl"/>
        </w:rPr>
        <w:t>donde:</w:t>
      </w:r>
    </w:p>
    <w:p w14:paraId="396905BC" w14:textId="77777777" w:rsidR="00F73D5B" w:rsidRPr="008B7A21" w:rsidRDefault="00F73D5B" w:rsidP="00F73D5B">
      <w:pPr>
        <w:pStyle w:val="Equationlegend"/>
        <w:rPr>
          <w:snapToGrid w:val="0"/>
          <w:lang w:val="es-ES_tradnl"/>
        </w:rPr>
      </w:pPr>
      <w:r w:rsidRPr="008B7A21">
        <w:rPr>
          <w:i/>
          <w:snapToGrid w:val="0"/>
          <w:lang w:val="es-ES_tradnl"/>
        </w:rPr>
        <w:tab/>
        <w:t>P</w:t>
      </w:r>
      <w:r w:rsidRPr="008B7A21">
        <w:rPr>
          <w:i/>
          <w:snapToGrid w:val="0"/>
          <w:vertAlign w:val="subscript"/>
          <w:lang w:val="es-ES_tradnl"/>
        </w:rPr>
        <w:t>t</w:t>
      </w:r>
      <w:r w:rsidRPr="008B7A21">
        <w:rPr>
          <w:snapToGrid w:val="0"/>
          <w:lang w:val="es-ES_tradnl"/>
        </w:rPr>
        <w:t>:</w:t>
      </w:r>
      <w:r w:rsidRPr="008B7A21">
        <w:rPr>
          <w:snapToGrid w:val="0"/>
          <w:lang w:val="es-ES_tradnl"/>
        </w:rPr>
        <w:tab/>
        <w:t>potencia del transmisor (dBW)</w:t>
      </w:r>
    </w:p>
    <w:p w14:paraId="0D0DCFF2" w14:textId="77777777" w:rsidR="00F73D5B" w:rsidRPr="008B7A21" w:rsidRDefault="00F73D5B" w:rsidP="00F73D5B">
      <w:pPr>
        <w:pStyle w:val="Equationlegend"/>
        <w:rPr>
          <w:snapToGrid w:val="0"/>
          <w:lang w:val="es-ES_tradnl"/>
        </w:rPr>
      </w:pPr>
      <w:r w:rsidRPr="008B7A21">
        <w:rPr>
          <w:i/>
          <w:snapToGrid w:val="0"/>
          <w:lang w:val="es-ES_tradnl"/>
        </w:rPr>
        <w:tab/>
        <w:t>G</w:t>
      </w:r>
      <w:r w:rsidRPr="008B7A21">
        <w:rPr>
          <w:i/>
          <w:snapToGrid w:val="0"/>
          <w:vertAlign w:val="subscript"/>
          <w:lang w:val="es-ES_tradnl"/>
        </w:rPr>
        <w:t>t</w:t>
      </w:r>
      <w:r w:rsidRPr="008B7A21">
        <w:rPr>
          <w:snapToGrid w:val="0"/>
          <w:lang w:val="es-ES_tradnl"/>
        </w:rPr>
        <w:t>:</w:t>
      </w:r>
      <w:r w:rsidRPr="008B7A21">
        <w:rPr>
          <w:snapToGrid w:val="0"/>
          <w:lang w:val="es-ES_tradnl"/>
        </w:rPr>
        <w:tab/>
        <w:t>ganancia de la antena del transmisor (dB)</w:t>
      </w:r>
    </w:p>
    <w:p w14:paraId="65EF37CD" w14:textId="77777777" w:rsidR="00F73D5B" w:rsidRPr="008B7A21" w:rsidRDefault="00F73D5B" w:rsidP="00F73D5B">
      <w:pPr>
        <w:pStyle w:val="Equationlegend"/>
        <w:rPr>
          <w:snapToGrid w:val="0"/>
          <w:lang w:val="es-ES_tradnl"/>
        </w:rPr>
      </w:pPr>
      <w:r w:rsidRPr="008B7A21">
        <w:rPr>
          <w:i/>
          <w:snapToGrid w:val="0"/>
          <w:lang w:val="es-ES_tradnl"/>
        </w:rPr>
        <w:tab/>
        <w:t>G</w:t>
      </w:r>
      <w:r w:rsidRPr="008B7A21">
        <w:rPr>
          <w:i/>
          <w:snapToGrid w:val="0"/>
          <w:vertAlign w:val="subscript"/>
          <w:lang w:val="es-ES_tradnl"/>
        </w:rPr>
        <w:t>r</w:t>
      </w:r>
      <w:r w:rsidRPr="008B7A21">
        <w:rPr>
          <w:snapToGrid w:val="0"/>
          <w:lang w:val="es-ES_tradnl"/>
        </w:rPr>
        <w:t>:</w:t>
      </w:r>
      <w:r w:rsidRPr="008B7A21">
        <w:rPr>
          <w:snapToGrid w:val="0"/>
          <w:lang w:val="es-ES_tradnl"/>
        </w:rPr>
        <w:tab/>
        <w:t>ganancia de la antena del receptor (dB)</w:t>
      </w:r>
    </w:p>
    <w:p w14:paraId="253C98DA" w14:textId="77777777" w:rsidR="00F73D5B" w:rsidRPr="008B7A21" w:rsidRDefault="00F73D5B" w:rsidP="00F73D5B">
      <w:pPr>
        <w:pStyle w:val="Equationlegend"/>
        <w:rPr>
          <w:snapToGrid w:val="0"/>
          <w:lang w:val="es-ES_tradnl"/>
        </w:rPr>
      </w:pPr>
      <w:r w:rsidRPr="008B7A21">
        <w:rPr>
          <w:snapToGrid w:val="0"/>
          <w:lang w:val="es-ES_tradnl"/>
        </w:rPr>
        <w:tab/>
      </w:r>
      <w:r w:rsidRPr="008B7A21">
        <w:rPr>
          <w:i/>
          <w:snapToGrid w:val="0"/>
          <w:lang w:val="es-ES_tradnl"/>
        </w:rPr>
        <w:t>L</w:t>
      </w:r>
      <w:r w:rsidRPr="008B7A21">
        <w:rPr>
          <w:lang w:val="es-ES_tradnl"/>
        </w:rPr>
        <w:t>(</w:t>
      </w:r>
      <w:r w:rsidRPr="008B7A21">
        <w:rPr>
          <w:i/>
          <w:snapToGrid w:val="0"/>
          <w:lang w:val="es-ES_tradnl"/>
        </w:rPr>
        <w:t>R</w:t>
      </w:r>
      <w:r w:rsidRPr="008B7A21">
        <w:rPr>
          <w:lang w:val="es-ES_tradnl"/>
        </w:rPr>
        <w:t>)</w:t>
      </w:r>
      <w:r w:rsidRPr="008B7A21">
        <w:rPr>
          <w:snapToGrid w:val="0"/>
          <w:lang w:val="es-ES_tradnl"/>
        </w:rPr>
        <w:t>:</w:t>
      </w:r>
      <w:r w:rsidRPr="008B7A21">
        <w:rPr>
          <w:snapToGrid w:val="0"/>
          <w:lang w:val="es-ES_tradnl"/>
        </w:rPr>
        <w:tab/>
        <w:t>pérdidas de transmisión entre el transmisor y el receptor (dB).</w:t>
      </w:r>
    </w:p>
    <w:p w14:paraId="20C0B3D2" w14:textId="77777777" w:rsidR="00F73D5B" w:rsidRPr="008B7A21" w:rsidRDefault="00F73D5B" w:rsidP="00F73D5B">
      <w:pPr>
        <w:rPr>
          <w:snapToGrid w:val="0"/>
          <w:lang w:val="es-ES_tradnl"/>
        </w:rPr>
      </w:pPr>
      <w:r w:rsidRPr="008B7A21">
        <w:rPr>
          <w:snapToGrid w:val="0"/>
          <w:lang w:val="es-ES_tradnl"/>
        </w:rPr>
        <w:t>Para proporcionar la calidad necesaria de la señal recibida en el borde de la zona de servicio debe satisfacerse generalmente la siguiente condición:</w:t>
      </w:r>
    </w:p>
    <w:p w14:paraId="1BBF43DA" w14:textId="4194E7A3" w:rsidR="00F73D5B" w:rsidRPr="008B7A21" w:rsidRDefault="00F73D5B" w:rsidP="00F73D5B">
      <w:pPr>
        <w:pStyle w:val="Equation"/>
        <w:rPr>
          <w:snapToGrid w:val="0"/>
          <w:lang w:val="es-ES_tradnl"/>
        </w:rPr>
      </w:pPr>
      <w:r w:rsidRPr="008B7A21">
        <w:rPr>
          <w:i/>
          <w:snapToGrid w:val="0"/>
          <w:lang w:val="es-ES_tradnl"/>
        </w:rPr>
        <w:tab/>
      </w:r>
      <w:r w:rsidRPr="008B7A21">
        <w:rPr>
          <w:i/>
          <w:snapToGrid w:val="0"/>
          <w:lang w:val="es-ES_tradnl"/>
        </w:rPr>
        <w:tab/>
        <w:t>P</w:t>
      </w:r>
      <w:r w:rsidRPr="008B7A21">
        <w:rPr>
          <w:i/>
          <w:snapToGrid w:val="0"/>
          <w:vertAlign w:val="subscript"/>
          <w:lang w:val="es-ES_tradnl"/>
        </w:rPr>
        <w:t>r</w:t>
      </w:r>
      <w:r w:rsidRPr="008B7A21">
        <w:rPr>
          <w:lang w:val="es-ES_tradnl"/>
        </w:rPr>
        <w:t xml:space="preserve"> </w:t>
      </w:r>
      <w:r w:rsidR="00386EEF">
        <w:rPr>
          <w:lang w:val="es-ES_tradnl"/>
        </w:rPr>
        <w:t>=</w:t>
      </w:r>
      <w:r w:rsidRPr="008B7A21">
        <w:rPr>
          <w:lang w:val="es-ES_tradnl"/>
        </w:rPr>
        <w:t xml:space="preserve"> </w:t>
      </w:r>
      <w:r w:rsidRPr="008B7A21">
        <w:rPr>
          <w:i/>
          <w:snapToGrid w:val="0"/>
          <w:lang w:val="es-ES_tradnl"/>
        </w:rPr>
        <w:t>P</w:t>
      </w:r>
      <w:r w:rsidRPr="008B7A21">
        <w:rPr>
          <w:i/>
          <w:snapToGrid w:val="0"/>
          <w:vertAlign w:val="subscript"/>
          <w:lang w:val="es-ES_tradnl"/>
        </w:rPr>
        <w:t>mín</w:t>
      </w:r>
      <w:r w:rsidRPr="008B7A21">
        <w:rPr>
          <w:iCs/>
          <w:snapToGrid w:val="0"/>
          <w:lang w:val="es-ES_tradnl"/>
        </w:rPr>
        <w:t xml:space="preserve"> </w:t>
      </w:r>
      <w:r w:rsidR="00386EEF" w:rsidRPr="00386EEF">
        <w:sym w:font="Symbol" w:char="F02B"/>
      </w:r>
      <w:r w:rsidRPr="008B7A21">
        <w:rPr>
          <w:iCs/>
          <w:snapToGrid w:val="0"/>
          <w:lang w:val="es-ES_tradnl"/>
        </w:rPr>
        <w:t xml:space="preserve"> </w:t>
      </w:r>
      <w:r w:rsidRPr="008B7A21">
        <w:rPr>
          <w:i/>
          <w:snapToGrid w:val="0"/>
          <w:lang w:val="es-ES_tradnl"/>
        </w:rPr>
        <w:t>k</w:t>
      </w:r>
      <w:r w:rsidRPr="008B7A21">
        <w:rPr>
          <w:i/>
          <w:snapToGrid w:val="0"/>
          <w:vertAlign w:val="subscript"/>
          <w:lang w:val="es-ES_tradnl"/>
        </w:rPr>
        <w:t>f</w:t>
      </w:r>
      <w:r w:rsidRPr="008B7A21">
        <w:rPr>
          <w:lang w:val="es-ES_tradnl"/>
        </w:rPr>
        <w:t> </w:t>
      </w:r>
      <w:r w:rsidRPr="008B7A21">
        <w:rPr>
          <w:rFonts w:asciiTheme="majorBidi" w:hAnsiTheme="majorBidi" w:cstheme="majorBidi"/>
          <w:snapToGrid w:val="0"/>
          <w:lang w:val="es-ES_tradnl"/>
        </w:rPr>
        <w:sym w:font="Symbol" w:char="F073"/>
      </w:r>
    </w:p>
    <w:p w14:paraId="139ABD64" w14:textId="77777777" w:rsidR="00F73D5B" w:rsidRPr="008B7A21" w:rsidRDefault="00F73D5B" w:rsidP="00F73D5B">
      <w:pPr>
        <w:keepNext/>
        <w:keepLines/>
        <w:rPr>
          <w:snapToGrid w:val="0"/>
          <w:color w:val="000000"/>
          <w:lang w:val="es-ES_tradnl"/>
        </w:rPr>
      </w:pPr>
      <w:r w:rsidRPr="008B7A21">
        <w:rPr>
          <w:snapToGrid w:val="0"/>
          <w:color w:val="000000"/>
          <w:lang w:val="es-ES_tradnl"/>
        </w:rPr>
        <w:t>siendo:</w:t>
      </w:r>
    </w:p>
    <w:p w14:paraId="32606BD6" w14:textId="77777777" w:rsidR="00F73D5B" w:rsidRPr="008B7A21" w:rsidRDefault="00F73D5B" w:rsidP="00F73D5B">
      <w:pPr>
        <w:pStyle w:val="Equationlegend"/>
        <w:rPr>
          <w:snapToGrid w:val="0"/>
          <w:lang w:val="es-ES_tradnl"/>
        </w:rPr>
      </w:pPr>
      <w:r w:rsidRPr="008B7A21">
        <w:rPr>
          <w:i/>
          <w:snapToGrid w:val="0"/>
          <w:lang w:val="es-ES_tradnl"/>
        </w:rPr>
        <w:tab/>
        <w:t>P</w:t>
      </w:r>
      <w:r w:rsidRPr="008B7A21">
        <w:rPr>
          <w:i/>
          <w:snapToGrid w:val="0"/>
          <w:vertAlign w:val="subscript"/>
          <w:lang w:val="es-ES_tradnl"/>
        </w:rPr>
        <w:t>mín</w:t>
      </w:r>
      <w:r w:rsidRPr="008B7A21">
        <w:rPr>
          <w:snapToGrid w:val="0"/>
          <w:lang w:val="es-ES_tradnl"/>
        </w:rPr>
        <w:t>:</w:t>
      </w:r>
      <w:r w:rsidRPr="008B7A21">
        <w:rPr>
          <w:snapToGrid w:val="0"/>
          <w:lang w:val="es-ES_tradnl"/>
        </w:rPr>
        <w:tab/>
        <w:t>mínima potencia de una señal recibida que es igual a la sensibilidad del receptor (dBW)</w:t>
      </w:r>
    </w:p>
    <w:p w14:paraId="3815C7A9" w14:textId="77777777" w:rsidR="00F73D5B" w:rsidRPr="008B7A21" w:rsidRDefault="00F73D5B" w:rsidP="00F73D5B">
      <w:pPr>
        <w:pStyle w:val="Equationlegend"/>
        <w:rPr>
          <w:snapToGrid w:val="0"/>
          <w:lang w:val="es-ES_tradnl"/>
        </w:rPr>
      </w:pPr>
      <w:r w:rsidRPr="008B7A21">
        <w:rPr>
          <w:i/>
          <w:snapToGrid w:val="0"/>
          <w:lang w:val="es-ES_tradnl"/>
        </w:rPr>
        <w:tab/>
        <w:t>k</w:t>
      </w:r>
      <w:r w:rsidRPr="008B7A21">
        <w:rPr>
          <w:i/>
          <w:snapToGrid w:val="0"/>
          <w:vertAlign w:val="subscript"/>
          <w:lang w:val="es-ES_tradnl"/>
        </w:rPr>
        <w:t>f</w:t>
      </w:r>
      <w:r w:rsidRPr="008B7A21">
        <w:rPr>
          <w:snapToGrid w:val="0"/>
          <w:lang w:val="es-ES_tradnl"/>
        </w:rPr>
        <w:t>:</w:t>
      </w:r>
      <w:r w:rsidRPr="008B7A21">
        <w:rPr>
          <w:snapToGrid w:val="0"/>
          <w:lang w:val="es-ES_tradnl"/>
        </w:rPr>
        <w:tab/>
        <w:t>margen de desvanecimiento de una señal durante un tiempo determinado de degradación de la calidad de la señal</w:t>
      </w:r>
    </w:p>
    <w:p w14:paraId="36996CD8" w14:textId="77777777" w:rsidR="00F73D5B" w:rsidRPr="008B7A21" w:rsidRDefault="00F73D5B" w:rsidP="00F73D5B">
      <w:pPr>
        <w:pStyle w:val="Equationlegend"/>
        <w:rPr>
          <w:snapToGrid w:val="0"/>
          <w:lang w:val="es-ES_tradnl"/>
        </w:rPr>
      </w:pPr>
      <w:r w:rsidRPr="008B7A21">
        <w:rPr>
          <w:snapToGrid w:val="0"/>
          <w:lang w:val="es-ES_tradnl"/>
        </w:rPr>
        <w:tab/>
      </w:r>
      <w:r w:rsidRPr="008B7A21">
        <w:rPr>
          <w:rFonts w:asciiTheme="majorBidi" w:hAnsiTheme="majorBidi" w:cstheme="majorBidi"/>
          <w:snapToGrid w:val="0"/>
          <w:lang w:val="es-ES_tradnl"/>
        </w:rPr>
        <w:sym w:font="Symbol" w:char="F073"/>
      </w:r>
      <w:r w:rsidRPr="008B7A21">
        <w:rPr>
          <w:snapToGrid w:val="0"/>
          <w:lang w:val="es-ES_tradnl"/>
        </w:rPr>
        <w:t>:</w:t>
      </w:r>
      <w:r w:rsidRPr="008B7A21">
        <w:rPr>
          <w:snapToGrid w:val="0"/>
          <w:lang w:val="es-ES_tradnl"/>
        </w:rPr>
        <w:tab/>
        <w:t>valor cuadrático medio de las fluctuaciones de la señal (dB).</w:t>
      </w:r>
    </w:p>
    <w:p w14:paraId="36F17B21" w14:textId="155BB182" w:rsidR="00F73D5B" w:rsidRPr="008B7A21" w:rsidRDefault="00F73D5B" w:rsidP="00F73D5B">
      <w:pPr>
        <w:rPr>
          <w:snapToGrid w:val="0"/>
          <w:lang w:val="es-ES_tradnl"/>
        </w:rPr>
      </w:pPr>
      <w:r w:rsidRPr="008B7A21">
        <w:rPr>
          <w:snapToGrid w:val="0"/>
          <w:lang w:val="es-ES_tradnl"/>
        </w:rPr>
        <w:t xml:space="preserve">Para el 50% del tiempo </w:t>
      </w:r>
      <w:r w:rsidRPr="008B7A21">
        <w:rPr>
          <w:i/>
          <w:snapToGrid w:val="0"/>
          <w:lang w:val="es-ES_tradnl"/>
        </w:rPr>
        <w:t>k</w:t>
      </w:r>
      <w:r w:rsidRPr="008B7A21">
        <w:rPr>
          <w:i/>
          <w:snapToGrid w:val="0"/>
          <w:vertAlign w:val="subscript"/>
          <w:lang w:val="es-ES_tradnl"/>
        </w:rPr>
        <w:t>f</w:t>
      </w:r>
      <w:r w:rsidRPr="008B7A21">
        <w:rPr>
          <w:lang w:val="es-ES_tradnl"/>
        </w:rPr>
        <w:t> </w:t>
      </w:r>
      <w:r w:rsidR="00386EEF">
        <w:rPr>
          <w:snapToGrid w:val="0"/>
          <w:lang w:val="es-ES_tradnl"/>
        </w:rPr>
        <w:t>=</w:t>
      </w:r>
      <w:r w:rsidRPr="008B7A21">
        <w:rPr>
          <w:snapToGrid w:val="0"/>
          <w:lang w:val="es-ES_tradnl"/>
        </w:rPr>
        <w:t xml:space="preserve"> 0, para el 95% del tiempo </w:t>
      </w:r>
      <w:r w:rsidRPr="008B7A21">
        <w:rPr>
          <w:i/>
          <w:snapToGrid w:val="0"/>
          <w:lang w:val="es-ES_tradnl"/>
        </w:rPr>
        <w:t>k</w:t>
      </w:r>
      <w:r w:rsidRPr="008B7A21">
        <w:rPr>
          <w:i/>
          <w:snapToGrid w:val="0"/>
          <w:vertAlign w:val="subscript"/>
          <w:lang w:val="es-ES_tradnl"/>
        </w:rPr>
        <w:t>f</w:t>
      </w:r>
      <w:r w:rsidRPr="008B7A21">
        <w:rPr>
          <w:snapToGrid w:val="0"/>
          <w:lang w:val="es-ES_tradnl"/>
        </w:rPr>
        <w:t> </w:t>
      </w:r>
      <w:r w:rsidR="00386EEF">
        <w:rPr>
          <w:snapToGrid w:val="0"/>
          <w:lang w:val="es-ES_tradnl"/>
        </w:rPr>
        <w:t>=</w:t>
      </w:r>
      <w:r w:rsidRPr="008B7A21">
        <w:rPr>
          <w:snapToGrid w:val="0"/>
          <w:lang w:val="es-ES_tradnl"/>
        </w:rPr>
        <w:t> 1,65. En zonas urbanas convencionales </w:t>
      </w:r>
      <w:r w:rsidR="00386EEF" w:rsidRPr="00386EEF">
        <w:sym w:font="Symbol" w:char="F073"/>
      </w:r>
      <w:r w:rsidRPr="008B7A21">
        <w:rPr>
          <w:snapToGrid w:val="0"/>
          <w:lang w:val="es-ES_tradnl"/>
        </w:rPr>
        <w:t xml:space="preserve"> varía entre 6 y 8 dB. Aceptando, de forma similar a la radiodifusión, que una zona de servicio viene determinada por el criterio del 50% del tiempo (es decir, </w:t>
      </w:r>
      <w:r w:rsidRPr="008B7A21">
        <w:rPr>
          <w:i/>
          <w:snapToGrid w:val="0"/>
          <w:lang w:val="es-ES_tradnl"/>
        </w:rPr>
        <w:t>k</w:t>
      </w:r>
      <w:r w:rsidRPr="008B7A21">
        <w:rPr>
          <w:i/>
          <w:snapToGrid w:val="0"/>
          <w:vertAlign w:val="subscript"/>
          <w:lang w:val="es-ES_tradnl"/>
        </w:rPr>
        <w:t>f</w:t>
      </w:r>
      <w:r w:rsidRPr="008B7A21">
        <w:rPr>
          <w:snapToGrid w:val="0"/>
          <w:lang w:val="es-ES_tradnl"/>
        </w:rPr>
        <w:t> </w:t>
      </w:r>
      <w:r w:rsidR="00386EEF">
        <w:rPr>
          <w:snapToGrid w:val="0"/>
          <w:lang w:val="es-ES_tradnl"/>
        </w:rPr>
        <w:t>=</w:t>
      </w:r>
      <w:r w:rsidRPr="008B7A21">
        <w:rPr>
          <w:snapToGrid w:val="0"/>
          <w:lang w:val="es-ES_tradnl"/>
        </w:rPr>
        <w:t xml:space="preserve"> 0), el coeficiente global </w:t>
      </w:r>
      <w:r w:rsidRPr="008B7A21">
        <w:rPr>
          <w:i/>
          <w:snapToGrid w:val="0"/>
          <w:lang w:val="es-ES_tradnl"/>
        </w:rPr>
        <w:t>k</w:t>
      </w:r>
      <w:r w:rsidRPr="008B7A21">
        <w:rPr>
          <w:i/>
          <w:snapToGrid w:val="0"/>
          <w:vertAlign w:val="subscript"/>
          <w:lang w:val="es-ES_tradnl"/>
        </w:rPr>
        <w:t>f</w:t>
      </w:r>
      <w:r w:rsidRPr="008B7A21">
        <w:rPr>
          <w:snapToGrid w:val="0"/>
          <w:lang w:val="es-ES_tradnl"/>
        </w:rPr>
        <w:t> </w:t>
      </w:r>
      <w:r w:rsidRPr="008B7A21">
        <w:rPr>
          <w:rFonts w:asciiTheme="majorBidi" w:hAnsiTheme="majorBidi" w:cstheme="majorBidi"/>
          <w:snapToGrid w:val="0"/>
          <w:lang w:val="es-ES_tradnl"/>
        </w:rPr>
        <w:sym w:font="Symbol" w:char="F073"/>
      </w:r>
      <w:r w:rsidRPr="008B7A21">
        <w:rPr>
          <w:snapToGrid w:val="0"/>
          <w:lang w:val="es-ES_tradnl"/>
        </w:rPr>
        <w:t xml:space="preserve"> toma el valor cero y:</w:t>
      </w:r>
    </w:p>
    <w:p w14:paraId="690D609A" w14:textId="28BEA33C" w:rsidR="00F73D5B" w:rsidRPr="008B7A21" w:rsidRDefault="00F73D5B" w:rsidP="00F73D5B">
      <w:pPr>
        <w:pStyle w:val="Equation"/>
        <w:rPr>
          <w:snapToGrid w:val="0"/>
          <w:lang w:val="es-ES_tradnl"/>
        </w:rPr>
      </w:pPr>
      <w:r w:rsidRPr="008B7A21">
        <w:rPr>
          <w:snapToGrid w:val="0"/>
          <w:lang w:val="es-ES_tradnl"/>
        </w:rPr>
        <w:tab/>
      </w:r>
      <w:r w:rsidRPr="008B7A21">
        <w:rPr>
          <w:snapToGrid w:val="0"/>
          <w:lang w:val="es-ES_tradnl"/>
        </w:rPr>
        <w:tab/>
      </w:r>
      <w:r w:rsidRPr="008B7A21">
        <w:rPr>
          <w:i/>
          <w:iCs/>
          <w:snapToGrid w:val="0"/>
          <w:lang w:val="es-ES_tradnl"/>
        </w:rPr>
        <w:t>P</w:t>
      </w:r>
      <w:r w:rsidRPr="008B7A21">
        <w:rPr>
          <w:i/>
          <w:iCs/>
          <w:snapToGrid w:val="0"/>
          <w:vertAlign w:val="subscript"/>
          <w:lang w:val="es-ES_tradnl"/>
        </w:rPr>
        <w:t>r</w:t>
      </w:r>
      <w:r w:rsidRPr="008B7A21">
        <w:rPr>
          <w:snapToGrid w:val="0"/>
          <w:lang w:val="es-ES_tradnl"/>
        </w:rPr>
        <w:t xml:space="preserve"> </w:t>
      </w:r>
      <w:r w:rsidR="00386EEF">
        <w:rPr>
          <w:snapToGrid w:val="0"/>
          <w:lang w:val="es-ES_tradnl"/>
        </w:rPr>
        <w:t>=</w:t>
      </w:r>
      <w:r w:rsidRPr="008B7A21">
        <w:rPr>
          <w:snapToGrid w:val="0"/>
          <w:lang w:val="es-ES_tradnl"/>
        </w:rPr>
        <w:t xml:space="preserve"> </w:t>
      </w:r>
      <w:r w:rsidRPr="008B7A21">
        <w:rPr>
          <w:i/>
          <w:iCs/>
          <w:snapToGrid w:val="0"/>
          <w:lang w:val="es-ES_tradnl"/>
        </w:rPr>
        <w:t>P</w:t>
      </w:r>
      <w:r w:rsidRPr="008B7A21">
        <w:rPr>
          <w:i/>
          <w:iCs/>
          <w:snapToGrid w:val="0"/>
          <w:vertAlign w:val="subscript"/>
          <w:lang w:val="es-ES_tradnl"/>
        </w:rPr>
        <w:t>mín</w:t>
      </w:r>
      <w:r w:rsidRPr="008B7A21">
        <w:rPr>
          <w:snapToGrid w:val="0"/>
          <w:lang w:val="es-ES_tradnl"/>
        </w:rPr>
        <w:tab/>
        <w:t>(38)</w:t>
      </w:r>
    </w:p>
    <w:p w14:paraId="413FD5F4" w14:textId="77777777" w:rsidR="00F73D5B" w:rsidRPr="008B7A21" w:rsidRDefault="00F73D5B" w:rsidP="00F73D5B">
      <w:pPr>
        <w:rPr>
          <w:snapToGrid w:val="0"/>
          <w:lang w:val="es-ES_tradnl"/>
        </w:rPr>
      </w:pPr>
      <w:r w:rsidRPr="008B7A21">
        <w:rPr>
          <w:snapToGrid w:val="0"/>
          <w:lang w:val="es-ES_tradnl"/>
        </w:rPr>
        <w:t>Igualando los términos de la derecha de las ecuaciones (37) y (38) para satisfacer la condición en el borde de la zona de servicio, se obtiene:</w:t>
      </w:r>
    </w:p>
    <w:p w14:paraId="48FFBB98" w14:textId="646EE827" w:rsidR="00F73D5B" w:rsidRPr="008B7A21" w:rsidRDefault="00F73D5B" w:rsidP="00F73D5B">
      <w:pPr>
        <w:pStyle w:val="Equation"/>
        <w:rPr>
          <w:snapToGrid w:val="0"/>
          <w:lang w:val="es-ES_tradnl"/>
        </w:rPr>
      </w:pPr>
      <w:r w:rsidRPr="008B7A21">
        <w:rPr>
          <w:i/>
          <w:iCs/>
          <w:snapToGrid w:val="0"/>
          <w:lang w:val="es-ES_tradnl"/>
        </w:rPr>
        <w:tab/>
      </w:r>
      <w:r w:rsidRPr="008B7A21">
        <w:rPr>
          <w:i/>
          <w:iCs/>
          <w:snapToGrid w:val="0"/>
          <w:lang w:val="es-ES_tradnl"/>
        </w:rPr>
        <w:tab/>
        <w:t>P</w:t>
      </w:r>
      <w:r w:rsidRPr="008B7A21">
        <w:rPr>
          <w:i/>
          <w:iCs/>
          <w:snapToGrid w:val="0"/>
          <w:vertAlign w:val="subscript"/>
          <w:lang w:val="es-ES_tradnl"/>
        </w:rPr>
        <w:t>t</w:t>
      </w:r>
      <w:r w:rsidRPr="008B7A21">
        <w:rPr>
          <w:snapToGrid w:val="0"/>
          <w:lang w:val="es-ES_tradnl"/>
        </w:rPr>
        <w:t xml:space="preserve"> </w:t>
      </w:r>
      <w:r w:rsidR="00386EEF" w:rsidRPr="00386EEF">
        <w:sym w:font="Symbol" w:char="F02B"/>
      </w:r>
      <w:r w:rsidRPr="008B7A21">
        <w:rPr>
          <w:snapToGrid w:val="0"/>
          <w:lang w:val="es-ES_tradnl"/>
        </w:rPr>
        <w:t xml:space="preserve"> </w:t>
      </w:r>
      <w:r w:rsidRPr="008B7A21">
        <w:rPr>
          <w:i/>
          <w:iCs/>
          <w:snapToGrid w:val="0"/>
          <w:lang w:val="es-ES_tradnl"/>
        </w:rPr>
        <w:t>G</w:t>
      </w:r>
      <w:r w:rsidRPr="008B7A21">
        <w:rPr>
          <w:i/>
          <w:iCs/>
          <w:snapToGrid w:val="0"/>
          <w:vertAlign w:val="subscript"/>
          <w:lang w:val="es-ES_tradnl"/>
        </w:rPr>
        <w:t>t</w:t>
      </w:r>
      <w:r w:rsidRPr="008B7A21">
        <w:rPr>
          <w:snapToGrid w:val="0"/>
          <w:lang w:val="es-ES_tradnl"/>
        </w:rPr>
        <w:t xml:space="preserve"> </w:t>
      </w:r>
      <w:r w:rsidR="00386EEF" w:rsidRPr="00386EEF">
        <w:sym w:font="Symbol" w:char="F02B"/>
      </w:r>
      <w:r w:rsidRPr="008B7A21">
        <w:rPr>
          <w:snapToGrid w:val="0"/>
          <w:lang w:val="es-ES_tradnl"/>
        </w:rPr>
        <w:t xml:space="preserve"> </w:t>
      </w:r>
      <w:r w:rsidRPr="008B7A21">
        <w:rPr>
          <w:i/>
          <w:iCs/>
          <w:snapToGrid w:val="0"/>
          <w:lang w:val="es-ES_tradnl"/>
        </w:rPr>
        <w:t>G</w:t>
      </w:r>
      <w:r w:rsidRPr="008B7A21">
        <w:rPr>
          <w:i/>
          <w:iCs/>
          <w:snapToGrid w:val="0"/>
          <w:vertAlign w:val="subscript"/>
          <w:lang w:val="es-ES_tradnl"/>
        </w:rPr>
        <w:t>r</w:t>
      </w:r>
      <w:r w:rsidRPr="008B7A21">
        <w:rPr>
          <w:snapToGrid w:val="0"/>
          <w:lang w:val="es-ES_tradnl"/>
        </w:rPr>
        <w:t xml:space="preserve"> – </w:t>
      </w:r>
      <w:r w:rsidRPr="008B7A21">
        <w:rPr>
          <w:i/>
          <w:iCs/>
          <w:snapToGrid w:val="0"/>
          <w:lang w:val="es-ES_tradnl"/>
        </w:rPr>
        <w:t>L</w:t>
      </w:r>
      <w:r w:rsidRPr="008B7A21">
        <w:rPr>
          <w:snapToGrid w:val="0"/>
          <w:lang w:val="es-ES_tradnl"/>
        </w:rPr>
        <w:t>(</w:t>
      </w:r>
      <w:r w:rsidRPr="008B7A21">
        <w:rPr>
          <w:i/>
          <w:iCs/>
          <w:snapToGrid w:val="0"/>
          <w:lang w:val="es-ES_tradnl"/>
        </w:rPr>
        <w:t>R</w:t>
      </w:r>
      <w:r w:rsidRPr="008B7A21">
        <w:rPr>
          <w:snapToGrid w:val="0"/>
          <w:lang w:val="es-ES_tradnl"/>
        </w:rPr>
        <w:t>)</w:t>
      </w:r>
      <w:r w:rsidRPr="008B7A21">
        <w:rPr>
          <w:lang w:val="es-ES_tradnl"/>
        </w:rPr>
        <w:t xml:space="preserve"> </w:t>
      </w:r>
      <w:r w:rsidR="00386EEF">
        <w:rPr>
          <w:lang w:val="es-ES_tradnl"/>
        </w:rPr>
        <w:t>=</w:t>
      </w:r>
      <w:r w:rsidRPr="008B7A21">
        <w:rPr>
          <w:lang w:val="es-ES_tradnl"/>
        </w:rPr>
        <w:t xml:space="preserve"> </w:t>
      </w:r>
      <w:r w:rsidRPr="008B7A21">
        <w:rPr>
          <w:i/>
          <w:iCs/>
          <w:snapToGrid w:val="0"/>
          <w:lang w:val="es-ES_tradnl"/>
        </w:rPr>
        <w:t>P</w:t>
      </w:r>
      <w:r w:rsidRPr="008B7A21">
        <w:rPr>
          <w:i/>
          <w:iCs/>
          <w:snapToGrid w:val="0"/>
          <w:vertAlign w:val="subscript"/>
          <w:lang w:val="es-ES_tradnl"/>
        </w:rPr>
        <w:t>mín</w:t>
      </w:r>
    </w:p>
    <w:p w14:paraId="15CC9AC7" w14:textId="77777777" w:rsidR="00F73D5B" w:rsidRPr="008B7A21" w:rsidRDefault="00F73D5B" w:rsidP="00F73D5B">
      <w:pPr>
        <w:rPr>
          <w:snapToGrid w:val="0"/>
          <w:color w:val="000000"/>
          <w:lang w:val="es-ES_tradnl"/>
        </w:rPr>
      </w:pPr>
      <w:r w:rsidRPr="008B7A21">
        <w:rPr>
          <w:snapToGrid w:val="0"/>
          <w:color w:val="000000"/>
          <w:lang w:val="es-ES_tradnl"/>
        </w:rPr>
        <w:t>siendo:</w:t>
      </w:r>
    </w:p>
    <w:p w14:paraId="655A6EA0" w14:textId="6FC6ED3E" w:rsidR="00F73D5B" w:rsidRPr="008B7A21" w:rsidRDefault="00F73D5B" w:rsidP="00F73D5B">
      <w:pPr>
        <w:pStyle w:val="Equation"/>
        <w:rPr>
          <w:snapToGrid w:val="0"/>
          <w:lang w:val="es-ES_tradnl"/>
        </w:rPr>
      </w:pPr>
      <w:r w:rsidRPr="008B7A21">
        <w:rPr>
          <w:snapToGrid w:val="0"/>
          <w:lang w:val="es-ES_tradnl"/>
        </w:rPr>
        <w:tab/>
      </w:r>
      <w:r w:rsidRPr="008B7A21">
        <w:rPr>
          <w:snapToGrid w:val="0"/>
          <w:lang w:val="es-ES_tradnl"/>
        </w:rPr>
        <w:tab/>
      </w:r>
      <w:r w:rsidRPr="008B7A21">
        <w:rPr>
          <w:i/>
          <w:iCs/>
          <w:snapToGrid w:val="0"/>
          <w:lang w:val="es-ES_tradnl"/>
        </w:rPr>
        <w:t>L</w:t>
      </w:r>
      <w:r w:rsidRPr="008B7A21">
        <w:rPr>
          <w:lang w:val="es-ES_tradnl"/>
        </w:rPr>
        <w:t>(</w:t>
      </w:r>
      <w:r w:rsidRPr="008B7A21">
        <w:rPr>
          <w:i/>
          <w:iCs/>
          <w:snapToGrid w:val="0"/>
          <w:lang w:val="es-ES_tradnl"/>
        </w:rPr>
        <w:t>R</w:t>
      </w:r>
      <w:r w:rsidRPr="008B7A21">
        <w:rPr>
          <w:lang w:val="es-ES_tradnl"/>
        </w:rPr>
        <w:t>)</w:t>
      </w:r>
      <w:r w:rsidRPr="008B7A21">
        <w:rPr>
          <w:snapToGrid w:val="0"/>
          <w:lang w:val="es-ES_tradnl"/>
        </w:rPr>
        <w:t xml:space="preserve"> </w:t>
      </w:r>
      <w:r w:rsidR="00386EEF">
        <w:rPr>
          <w:snapToGrid w:val="0"/>
          <w:lang w:val="es-ES_tradnl"/>
        </w:rPr>
        <w:t>=</w:t>
      </w:r>
      <w:r w:rsidRPr="008B7A21">
        <w:rPr>
          <w:snapToGrid w:val="0"/>
          <w:lang w:val="es-ES_tradnl"/>
        </w:rPr>
        <w:t xml:space="preserve"> </w:t>
      </w:r>
      <w:r w:rsidRPr="008B7A21">
        <w:rPr>
          <w:i/>
          <w:iCs/>
          <w:snapToGrid w:val="0"/>
          <w:lang w:val="es-ES_tradnl"/>
        </w:rPr>
        <w:t>P</w:t>
      </w:r>
      <w:r w:rsidRPr="008B7A21">
        <w:rPr>
          <w:i/>
          <w:iCs/>
          <w:snapToGrid w:val="0"/>
          <w:vertAlign w:val="subscript"/>
          <w:lang w:val="es-ES_tradnl"/>
        </w:rPr>
        <w:t>t</w:t>
      </w:r>
      <w:r w:rsidRPr="008B7A21">
        <w:rPr>
          <w:snapToGrid w:val="0"/>
          <w:lang w:val="es-ES_tradnl"/>
        </w:rPr>
        <w:t xml:space="preserve"> </w:t>
      </w:r>
      <w:r w:rsidR="00386EEF" w:rsidRPr="00386EEF">
        <w:sym w:font="Symbol" w:char="F02B"/>
      </w:r>
      <w:r w:rsidRPr="008B7A21">
        <w:rPr>
          <w:snapToGrid w:val="0"/>
          <w:lang w:val="es-ES_tradnl"/>
        </w:rPr>
        <w:t xml:space="preserve"> </w:t>
      </w:r>
      <w:r w:rsidRPr="008B7A21">
        <w:rPr>
          <w:i/>
          <w:iCs/>
          <w:snapToGrid w:val="0"/>
          <w:lang w:val="es-ES_tradnl"/>
        </w:rPr>
        <w:t>G</w:t>
      </w:r>
      <w:r w:rsidRPr="008B7A21">
        <w:rPr>
          <w:i/>
          <w:iCs/>
          <w:snapToGrid w:val="0"/>
          <w:vertAlign w:val="subscript"/>
          <w:lang w:val="es-ES_tradnl"/>
        </w:rPr>
        <w:t>t</w:t>
      </w:r>
      <w:r w:rsidRPr="008B7A21">
        <w:rPr>
          <w:snapToGrid w:val="0"/>
          <w:lang w:val="es-ES_tradnl"/>
        </w:rPr>
        <w:t xml:space="preserve"> </w:t>
      </w:r>
      <w:r w:rsidR="00386EEF" w:rsidRPr="00386EEF">
        <w:sym w:font="Symbol" w:char="F02B"/>
      </w:r>
      <w:r w:rsidRPr="008B7A21">
        <w:rPr>
          <w:snapToGrid w:val="0"/>
          <w:lang w:val="es-ES_tradnl"/>
        </w:rPr>
        <w:t xml:space="preserve"> </w:t>
      </w:r>
      <w:r w:rsidRPr="008B7A21">
        <w:rPr>
          <w:i/>
          <w:iCs/>
          <w:snapToGrid w:val="0"/>
          <w:lang w:val="es-ES_tradnl"/>
        </w:rPr>
        <w:t>G</w:t>
      </w:r>
      <w:r w:rsidRPr="008B7A21">
        <w:rPr>
          <w:i/>
          <w:iCs/>
          <w:snapToGrid w:val="0"/>
          <w:vertAlign w:val="subscript"/>
          <w:lang w:val="es-ES_tradnl"/>
        </w:rPr>
        <w:t>r</w:t>
      </w:r>
      <w:r w:rsidRPr="008B7A21">
        <w:rPr>
          <w:snapToGrid w:val="0"/>
          <w:lang w:val="es-ES_tradnl"/>
        </w:rPr>
        <w:t xml:space="preserve"> </w:t>
      </w:r>
      <w:r w:rsidR="00386EEF" w:rsidRPr="008B7A21">
        <w:rPr>
          <w:snapToGrid w:val="0"/>
          <w:lang w:val="es-ES_tradnl"/>
        </w:rPr>
        <w:t>–</w:t>
      </w:r>
      <w:r w:rsidRPr="008B7A21">
        <w:rPr>
          <w:snapToGrid w:val="0"/>
          <w:lang w:val="es-ES_tradnl"/>
        </w:rPr>
        <w:t xml:space="preserve"> </w:t>
      </w:r>
      <w:r w:rsidRPr="008B7A21">
        <w:rPr>
          <w:i/>
          <w:iCs/>
          <w:snapToGrid w:val="0"/>
          <w:lang w:val="es-ES_tradnl"/>
        </w:rPr>
        <w:t>P</w:t>
      </w:r>
      <w:r w:rsidRPr="008B7A21">
        <w:rPr>
          <w:i/>
          <w:iCs/>
          <w:snapToGrid w:val="0"/>
          <w:vertAlign w:val="subscript"/>
          <w:lang w:val="es-ES_tradnl"/>
        </w:rPr>
        <w:t>mín</w:t>
      </w:r>
      <w:r w:rsidRPr="008B7A21">
        <w:rPr>
          <w:snapToGrid w:val="0"/>
          <w:lang w:val="es-ES_tradnl"/>
        </w:rPr>
        <w:tab/>
        <w:t>(39)</w:t>
      </w:r>
    </w:p>
    <w:p w14:paraId="5952E204" w14:textId="77777777" w:rsidR="00F73D5B" w:rsidRPr="008B7A21" w:rsidRDefault="00F73D5B" w:rsidP="00F73D5B">
      <w:pPr>
        <w:rPr>
          <w:snapToGrid w:val="0"/>
          <w:lang w:val="es-ES_tradnl"/>
        </w:rPr>
      </w:pPr>
      <w:r w:rsidRPr="008B7A21">
        <w:rPr>
          <w:snapToGrid w:val="0"/>
          <w:lang w:val="es-ES_tradnl"/>
        </w:rPr>
        <w:t>De conformidad con el modelo de propagación de ondas radioeléctricas Okamura</w:t>
      </w:r>
      <w:r w:rsidRPr="008B7A21">
        <w:rPr>
          <w:snapToGrid w:val="0"/>
          <w:lang w:val="es-ES_tradnl"/>
        </w:rPr>
        <w:noBreakHyphen/>
        <w:t>Hata modificado, que es bastante preciso para un valor mediano de la señal (es decir, para el 50% del tiempo):</w:t>
      </w:r>
    </w:p>
    <w:p w14:paraId="5BB590E3" w14:textId="77777777" w:rsidR="00F73D5B" w:rsidRPr="008B7A21" w:rsidRDefault="00F73D5B" w:rsidP="00F73D5B">
      <w:pPr>
        <w:pStyle w:val="Equation"/>
        <w:rPr>
          <w:snapToGrid w:val="0"/>
          <w:lang w:val="es-ES_tradnl"/>
        </w:rPr>
      </w:pPr>
      <w:r w:rsidRPr="008B7A21">
        <w:rPr>
          <w:i/>
          <w:snapToGrid w:val="0"/>
          <w:lang w:val="es-ES_tradnl"/>
        </w:rPr>
        <w:tab/>
      </w:r>
      <w:r w:rsidRPr="008B7A21">
        <w:rPr>
          <w:i/>
          <w:snapToGrid w:val="0"/>
          <w:lang w:val="es-ES_tradnl"/>
        </w:rPr>
        <w:tab/>
      </w:r>
      <w:r w:rsidRPr="008B7A21">
        <w:rPr>
          <w:snapToGrid w:val="0"/>
          <w:position w:val="-10"/>
          <w:lang w:val="es-ES_tradnl"/>
        </w:rPr>
        <w:object w:dxaOrig="1840" w:dyaOrig="320" w14:anchorId="487114F7">
          <v:shape id="_x0000_i1686" type="#_x0000_t75" style="width:92.1pt;height:15.9pt" o:ole="" fillcolor="window">
            <v:imagedata r:id="rId75" o:title=""/>
          </v:shape>
          <o:OLEObject Type="Embed" ProgID="Equation.3" ShapeID="_x0000_i1686" DrawAspect="Content" ObjectID="_1826705895" r:id="rId76"/>
        </w:object>
      </w:r>
      <w:r w:rsidRPr="008B7A21">
        <w:rPr>
          <w:snapToGrid w:val="0"/>
          <w:lang w:val="es-ES_tradnl"/>
        </w:rPr>
        <w:tab/>
        <w:t>(40)</w:t>
      </w:r>
    </w:p>
    <w:p w14:paraId="5F8441B5" w14:textId="77777777" w:rsidR="00F73D5B" w:rsidRPr="008B7A21" w:rsidRDefault="00F73D5B" w:rsidP="00F73D5B">
      <w:pPr>
        <w:keepNext/>
        <w:keepLines/>
        <w:rPr>
          <w:snapToGrid w:val="0"/>
          <w:lang w:val="es-ES_tradnl"/>
        </w:rPr>
      </w:pPr>
      <w:r w:rsidRPr="008B7A21">
        <w:rPr>
          <w:snapToGrid w:val="0"/>
          <w:lang w:val="es-ES_tradnl"/>
        </w:rPr>
        <w:t xml:space="preserve">donde </w:t>
      </w:r>
      <w:r w:rsidRPr="008B7A21">
        <w:rPr>
          <w:snapToGrid w:val="0"/>
          <w:lang w:val="es-ES_tradnl"/>
        </w:rPr>
        <w:sym w:font="Symbol" w:char="F04A"/>
      </w:r>
      <w:r w:rsidRPr="008B7A21">
        <w:rPr>
          <w:snapToGrid w:val="0"/>
          <w:lang w:val="es-ES_tradnl"/>
        </w:rPr>
        <w:t xml:space="preserve"> y </w:t>
      </w:r>
      <w:r w:rsidRPr="008B7A21">
        <w:rPr>
          <w:snapToGrid w:val="0"/>
          <w:lang w:val="es-ES_tradnl"/>
        </w:rPr>
        <w:sym w:font="Symbol" w:char="F078"/>
      </w:r>
      <w:r w:rsidRPr="008B7A21">
        <w:rPr>
          <w:snapToGrid w:val="0"/>
          <w:lang w:val="es-ES_tradnl"/>
        </w:rPr>
        <w:t xml:space="preserve"> son coeficientes, en dB, cuyos valores dependen de la frecuencia y de las alturas del transmisor y el receptor. Para zonas urbanas convencionales:</w:t>
      </w:r>
    </w:p>
    <w:p w14:paraId="6FD9B683" w14:textId="4C953606" w:rsidR="00F73D5B" w:rsidRPr="008B7A21" w:rsidRDefault="00F73D5B" w:rsidP="00F73D5B">
      <w:pPr>
        <w:pStyle w:val="Equation"/>
        <w:keepNext/>
        <w:keepLines/>
        <w:rPr>
          <w:snapToGrid w:val="0"/>
          <w:lang w:val="es-ES_tradnl"/>
        </w:rPr>
      </w:pPr>
      <w:r w:rsidRPr="008B7A21">
        <w:rPr>
          <w:snapToGrid w:val="0"/>
          <w:lang w:val="es-ES_tradnl"/>
        </w:rPr>
        <w:tab/>
      </w:r>
      <w:r w:rsidRPr="008B7A21">
        <w:rPr>
          <w:snapToGrid w:val="0"/>
          <w:lang w:val="es-ES_tradnl"/>
        </w:rPr>
        <w:tab/>
      </w:r>
      <w:r w:rsidRPr="008B7A21">
        <w:rPr>
          <w:snapToGrid w:val="0"/>
          <w:lang w:val="es-ES_tradnl"/>
        </w:rPr>
        <w:sym w:font="Symbol" w:char="F078"/>
      </w:r>
      <w:r w:rsidR="00386EEF">
        <w:rPr>
          <w:snapToGrid w:val="0"/>
          <w:lang w:val="es-ES_tradnl"/>
        </w:rPr>
        <w:t xml:space="preserve"> =</w:t>
      </w:r>
      <w:r w:rsidRPr="008B7A21">
        <w:rPr>
          <w:snapToGrid w:val="0"/>
          <w:lang w:val="es-ES_tradnl"/>
        </w:rPr>
        <w:t xml:space="preserve"> 44,9 – 6,55 </w:t>
      </w:r>
      <w:r w:rsidRPr="008B7A21">
        <w:rPr>
          <w:lang w:val="es-ES_tradnl"/>
        </w:rPr>
        <w:t xml:space="preserve">log </w:t>
      </w:r>
      <w:r w:rsidRPr="008B7A21">
        <w:rPr>
          <w:i/>
          <w:snapToGrid w:val="0"/>
          <w:lang w:val="es-ES_tradnl"/>
        </w:rPr>
        <w:t>h</w:t>
      </w:r>
      <w:r w:rsidRPr="008B7A21">
        <w:rPr>
          <w:i/>
          <w:snapToGrid w:val="0"/>
          <w:vertAlign w:val="subscript"/>
          <w:lang w:val="es-ES_tradnl"/>
        </w:rPr>
        <w:t>t</w:t>
      </w:r>
      <w:r w:rsidRPr="008B7A21">
        <w:rPr>
          <w:i/>
          <w:snapToGrid w:val="0"/>
          <w:lang w:val="es-ES_tradnl"/>
        </w:rPr>
        <w:tab/>
      </w:r>
      <w:r w:rsidRPr="008B7A21">
        <w:rPr>
          <w:snapToGrid w:val="0"/>
          <w:lang w:val="es-ES_tradnl"/>
        </w:rPr>
        <w:t>(41)</w:t>
      </w:r>
    </w:p>
    <w:p w14:paraId="0E3B9FCD" w14:textId="023E2204" w:rsidR="00F73D5B" w:rsidRPr="008B7A21" w:rsidRDefault="00F73D5B" w:rsidP="00F73D5B">
      <w:pPr>
        <w:pStyle w:val="Equation"/>
        <w:rPr>
          <w:snapToGrid w:val="0"/>
          <w:lang w:val="es-ES_tradnl"/>
        </w:rPr>
      </w:pPr>
      <w:r w:rsidRPr="008B7A21">
        <w:rPr>
          <w:snapToGrid w:val="0"/>
          <w:lang w:val="es-ES_tradnl"/>
        </w:rPr>
        <w:tab/>
      </w:r>
      <w:r w:rsidRPr="008B7A21">
        <w:rPr>
          <w:snapToGrid w:val="0"/>
          <w:lang w:val="es-ES_tradnl"/>
        </w:rPr>
        <w:sym w:font="Symbol" w:char="F04A"/>
      </w:r>
      <w:r w:rsidRPr="008B7A21">
        <w:rPr>
          <w:lang w:val="es-ES_tradnl"/>
        </w:rPr>
        <w:t> </w:t>
      </w:r>
      <w:r w:rsidR="00386EEF">
        <w:rPr>
          <w:snapToGrid w:val="0"/>
          <w:lang w:val="es-ES_tradnl"/>
        </w:rPr>
        <w:t>=</w:t>
      </w:r>
      <w:r w:rsidRPr="008B7A21">
        <w:rPr>
          <w:snapToGrid w:val="0"/>
          <w:lang w:val="es-ES_tradnl"/>
        </w:rPr>
        <w:t xml:space="preserve"> 65,55 – 6,16 </w:t>
      </w:r>
      <w:r w:rsidRPr="008B7A21">
        <w:rPr>
          <w:lang w:val="es-ES_tradnl"/>
        </w:rPr>
        <w:t>log </w:t>
      </w:r>
      <w:r w:rsidRPr="008B7A21">
        <w:rPr>
          <w:i/>
          <w:snapToGrid w:val="0"/>
          <w:lang w:val="es-ES_tradnl"/>
        </w:rPr>
        <w:t>f</w:t>
      </w:r>
      <w:r w:rsidRPr="008B7A21">
        <w:rPr>
          <w:snapToGrid w:val="0"/>
          <w:lang w:val="es-ES_tradnl"/>
        </w:rPr>
        <w:t xml:space="preserve"> </w:t>
      </w:r>
      <w:r w:rsidR="00386EEF" w:rsidRPr="00386EEF">
        <w:sym w:font="Symbol" w:char="F02B"/>
      </w:r>
      <w:r w:rsidRPr="008B7A21">
        <w:rPr>
          <w:snapToGrid w:val="0"/>
          <w:lang w:val="es-ES_tradnl"/>
        </w:rPr>
        <w:t xml:space="preserve"> 13,82 </w:t>
      </w:r>
      <w:r w:rsidRPr="008B7A21">
        <w:rPr>
          <w:lang w:val="es-ES_tradnl"/>
        </w:rPr>
        <w:t>log</w:t>
      </w:r>
      <w:r w:rsidRPr="008B7A21">
        <w:rPr>
          <w:i/>
          <w:snapToGrid w:val="0"/>
          <w:lang w:val="es-ES_tradnl"/>
        </w:rPr>
        <w:t xml:space="preserve"> h</w:t>
      </w:r>
      <w:r w:rsidRPr="008B7A21">
        <w:rPr>
          <w:i/>
          <w:snapToGrid w:val="0"/>
          <w:vertAlign w:val="subscript"/>
          <w:lang w:val="es-ES_tradnl"/>
        </w:rPr>
        <w:t>t</w:t>
      </w:r>
      <w:r w:rsidRPr="008B7A21">
        <w:rPr>
          <w:i/>
          <w:snapToGrid w:val="0"/>
          <w:lang w:val="es-ES_tradnl"/>
        </w:rPr>
        <w:t xml:space="preserve"> </w:t>
      </w:r>
      <w:r w:rsidR="00386EEF" w:rsidRPr="00386EEF">
        <w:sym w:font="Symbol" w:char="F02B"/>
      </w:r>
      <w:r w:rsidRPr="008B7A21">
        <w:rPr>
          <w:i/>
          <w:snapToGrid w:val="0"/>
          <w:lang w:val="es-ES_tradnl"/>
        </w:rPr>
        <w:t xml:space="preserve"> a</w:t>
      </w:r>
      <w:r w:rsidRPr="008B7A21">
        <w:rPr>
          <w:i/>
          <w:snapToGrid w:val="0"/>
          <w:vertAlign w:val="subscript"/>
          <w:lang w:val="es-ES_tradnl"/>
        </w:rPr>
        <w:t>r</w:t>
      </w:r>
      <w:r w:rsidRPr="008B7A21">
        <w:rPr>
          <w:rFonts w:ascii="Tms Rmn" w:hAnsi="Tms Rmn"/>
          <w:iCs/>
          <w:snapToGrid w:val="0"/>
          <w:sz w:val="6"/>
          <w:lang w:val="es-ES_tradnl"/>
        </w:rPr>
        <w:t> </w:t>
      </w:r>
      <w:r w:rsidRPr="008B7A21">
        <w:rPr>
          <w:iCs/>
          <w:snapToGrid w:val="0"/>
          <w:lang w:val="es-ES_tradnl"/>
        </w:rPr>
        <w:t>(</w:t>
      </w:r>
      <w:r w:rsidRPr="008B7A21">
        <w:rPr>
          <w:i/>
          <w:snapToGrid w:val="0"/>
          <w:lang w:val="es-ES_tradnl"/>
        </w:rPr>
        <w:t>h</w:t>
      </w:r>
      <w:r w:rsidRPr="008B7A21">
        <w:rPr>
          <w:i/>
          <w:snapToGrid w:val="0"/>
          <w:vertAlign w:val="subscript"/>
          <w:lang w:val="es-ES_tradnl"/>
        </w:rPr>
        <w:t>r</w:t>
      </w:r>
      <w:r w:rsidRPr="008B7A21">
        <w:rPr>
          <w:iCs/>
          <w:snapToGrid w:val="0"/>
          <w:lang w:val="es-ES_tradnl"/>
        </w:rPr>
        <w:t>)             </w:t>
      </w:r>
      <w:r w:rsidRPr="008B7A21">
        <w:rPr>
          <w:snapToGrid w:val="0"/>
          <w:lang w:val="es-ES_tradnl"/>
        </w:rPr>
        <w:t>para   </w:t>
      </w:r>
      <w:r w:rsidRPr="008B7A21">
        <w:rPr>
          <w:i/>
          <w:snapToGrid w:val="0"/>
          <w:lang w:val="es-ES_tradnl"/>
        </w:rPr>
        <w:t>f</w:t>
      </w:r>
      <w:r w:rsidRPr="008B7A21">
        <w:rPr>
          <w:lang w:val="es-ES_tradnl"/>
        </w:rPr>
        <w:t> </w:t>
      </w:r>
      <w:r w:rsidRPr="008B7A21">
        <w:rPr>
          <w:rFonts w:asciiTheme="majorBidi" w:hAnsiTheme="majorBidi" w:cstheme="majorBidi"/>
          <w:szCs w:val="24"/>
          <w:lang w:val="es-ES_tradnl"/>
        </w:rPr>
        <w:sym w:font="Symbol" w:char="F0A3"/>
      </w:r>
      <w:r w:rsidRPr="008B7A21">
        <w:rPr>
          <w:lang w:val="es-ES_tradnl"/>
        </w:rPr>
        <w:t xml:space="preserve"> </w:t>
      </w:r>
      <w:r w:rsidRPr="008B7A21">
        <w:rPr>
          <w:snapToGrid w:val="0"/>
          <w:lang w:val="es-ES_tradnl"/>
        </w:rPr>
        <w:t>1 GHz</w:t>
      </w:r>
      <w:r w:rsidRPr="008B7A21">
        <w:rPr>
          <w:snapToGrid w:val="0"/>
          <w:lang w:val="es-ES_tradnl"/>
        </w:rPr>
        <w:tab/>
        <w:t>(42)</w:t>
      </w:r>
    </w:p>
    <w:p w14:paraId="206E37A4" w14:textId="14AFCDDC" w:rsidR="00F73D5B" w:rsidRPr="008B7A21" w:rsidRDefault="00F73D5B" w:rsidP="00F73D5B">
      <w:pPr>
        <w:pStyle w:val="Equation"/>
        <w:rPr>
          <w:snapToGrid w:val="0"/>
          <w:lang w:val="es-ES_tradnl"/>
        </w:rPr>
      </w:pPr>
      <w:r w:rsidRPr="008B7A21">
        <w:rPr>
          <w:snapToGrid w:val="0"/>
          <w:lang w:val="es-ES_tradnl"/>
        </w:rPr>
        <w:tab/>
      </w:r>
      <w:r w:rsidRPr="008B7A21">
        <w:rPr>
          <w:snapToGrid w:val="0"/>
          <w:lang w:val="es-ES_tradnl"/>
        </w:rPr>
        <w:sym w:font="Symbol" w:char="F04A"/>
      </w:r>
      <w:r w:rsidRPr="008B7A21">
        <w:rPr>
          <w:lang w:val="es-ES_tradnl"/>
        </w:rPr>
        <w:t> </w:t>
      </w:r>
      <w:r w:rsidR="00386EEF">
        <w:rPr>
          <w:snapToGrid w:val="0"/>
          <w:lang w:val="es-ES_tradnl"/>
        </w:rPr>
        <w:t>=</w:t>
      </w:r>
      <w:r w:rsidRPr="008B7A21">
        <w:rPr>
          <w:snapToGrid w:val="0"/>
          <w:lang w:val="es-ES_tradnl"/>
        </w:rPr>
        <w:t xml:space="preserve"> 46,3 – 33,9 </w:t>
      </w:r>
      <w:r w:rsidRPr="008B7A21">
        <w:rPr>
          <w:lang w:val="es-ES_tradnl"/>
        </w:rPr>
        <w:t>log </w:t>
      </w:r>
      <w:r w:rsidRPr="008B7A21">
        <w:rPr>
          <w:i/>
          <w:snapToGrid w:val="0"/>
          <w:lang w:val="es-ES_tradnl"/>
        </w:rPr>
        <w:t>f</w:t>
      </w:r>
      <w:r w:rsidRPr="008B7A21">
        <w:rPr>
          <w:lang w:val="es-ES_tradnl"/>
        </w:rPr>
        <w:t xml:space="preserve"> </w:t>
      </w:r>
      <w:r w:rsidR="00386EEF" w:rsidRPr="00386EEF">
        <w:sym w:font="Symbol" w:char="F02B"/>
      </w:r>
      <w:r w:rsidRPr="008B7A21">
        <w:rPr>
          <w:snapToGrid w:val="0"/>
          <w:lang w:val="es-ES_tradnl"/>
        </w:rPr>
        <w:t xml:space="preserve"> 13,82 </w:t>
      </w:r>
      <w:r w:rsidRPr="008B7A21">
        <w:rPr>
          <w:iCs/>
          <w:snapToGrid w:val="0"/>
          <w:lang w:val="es-ES_tradnl"/>
        </w:rPr>
        <w:t>log</w:t>
      </w:r>
      <w:r w:rsidRPr="008B7A21">
        <w:rPr>
          <w:i/>
          <w:snapToGrid w:val="0"/>
          <w:lang w:val="es-ES_tradnl"/>
        </w:rPr>
        <w:t xml:space="preserve"> h</w:t>
      </w:r>
      <w:r w:rsidRPr="008B7A21">
        <w:rPr>
          <w:i/>
          <w:snapToGrid w:val="0"/>
          <w:vertAlign w:val="subscript"/>
          <w:lang w:val="es-ES_tradnl"/>
        </w:rPr>
        <w:t>t</w:t>
      </w:r>
      <w:r w:rsidRPr="008B7A21">
        <w:rPr>
          <w:i/>
          <w:snapToGrid w:val="0"/>
          <w:lang w:val="es-ES_tradnl"/>
        </w:rPr>
        <w:t xml:space="preserve"> </w:t>
      </w:r>
      <w:r w:rsidR="00386EEF" w:rsidRPr="00386EEF">
        <w:sym w:font="Symbol" w:char="F02B"/>
      </w:r>
      <w:r w:rsidRPr="008B7A21">
        <w:rPr>
          <w:i/>
          <w:snapToGrid w:val="0"/>
          <w:lang w:val="es-ES_tradnl"/>
        </w:rPr>
        <w:t xml:space="preserve"> a</w:t>
      </w:r>
      <w:r w:rsidRPr="008B7A21">
        <w:rPr>
          <w:i/>
          <w:snapToGrid w:val="0"/>
          <w:vertAlign w:val="subscript"/>
          <w:lang w:val="es-ES_tradnl"/>
        </w:rPr>
        <w:t>r</w:t>
      </w:r>
      <w:r w:rsidRPr="008B7A21">
        <w:rPr>
          <w:rFonts w:ascii="Tms Rmn" w:hAnsi="Tms Rmn"/>
          <w:iCs/>
          <w:snapToGrid w:val="0"/>
          <w:sz w:val="6"/>
          <w:lang w:val="es-ES_tradnl"/>
        </w:rPr>
        <w:t> </w:t>
      </w:r>
      <w:r w:rsidRPr="008B7A21">
        <w:rPr>
          <w:lang w:val="es-ES_tradnl"/>
        </w:rPr>
        <w:t>(</w:t>
      </w:r>
      <w:r w:rsidRPr="008B7A21">
        <w:rPr>
          <w:i/>
          <w:snapToGrid w:val="0"/>
          <w:lang w:val="es-ES_tradnl"/>
        </w:rPr>
        <w:t>h</w:t>
      </w:r>
      <w:r w:rsidRPr="008B7A21">
        <w:rPr>
          <w:i/>
          <w:snapToGrid w:val="0"/>
          <w:vertAlign w:val="subscript"/>
          <w:lang w:val="es-ES_tradnl"/>
        </w:rPr>
        <w:t>r</w:t>
      </w:r>
      <w:r w:rsidRPr="008B7A21">
        <w:rPr>
          <w:lang w:val="es-ES_tradnl"/>
        </w:rPr>
        <w:t>)              </w:t>
      </w:r>
      <w:r w:rsidRPr="008B7A21">
        <w:rPr>
          <w:snapToGrid w:val="0"/>
          <w:lang w:val="es-ES_tradnl"/>
        </w:rPr>
        <w:t xml:space="preserve"> para   </w:t>
      </w:r>
      <w:r w:rsidRPr="008B7A21">
        <w:rPr>
          <w:i/>
          <w:snapToGrid w:val="0"/>
          <w:lang w:val="es-ES_tradnl"/>
        </w:rPr>
        <w:t>f</w:t>
      </w:r>
      <w:r w:rsidRPr="008B7A21">
        <w:rPr>
          <w:lang w:val="es-ES_tradnl"/>
        </w:rPr>
        <w:t xml:space="preserve"> </w:t>
      </w:r>
      <w:r w:rsidRPr="008B7A21">
        <w:rPr>
          <w:lang w:val="es-ES_tradnl"/>
        </w:rPr>
        <w:sym w:font="Symbol" w:char="F0B3"/>
      </w:r>
      <w:r w:rsidRPr="008B7A21">
        <w:rPr>
          <w:lang w:val="es-ES_tradnl"/>
        </w:rPr>
        <w:t xml:space="preserve"> </w:t>
      </w:r>
      <w:r w:rsidRPr="008B7A21">
        <w:rPr>
          <w:snapToGrid w:val="0"/>
          <w:lang w:val="es-ES_tradnl"/>
        </w:rPr>
        <w:t>1,5 GHz</w:t>
      </w:r>
      <w:r w:rsidRPr="008B7A21">
        <w:rPr>
          <w:snapToGrid w:val="0"/>
          <w:lang w:val="es-ES_tradnl"/>
        </w:rPr>
        <w:tab/>
        <w:t>(43)</w:t>
      </w:r>
    </w:p>
    <w:p w14:paraId="3F5962F3" w14:textId="77777777" w:rsidR="00F73D5B" w:rsidRPr="008B7A21" w:rsidRDefault="00F73D5B" w:rsidP="00F73D5B">
      <w:pPr>
        <w:keepNext/>
        <w:keepLines/>
        <w:rPr>
          <w:snapToGrid w:val="0"/>
          <w:color w:val="000000"/>
          <w:lang w:val="es-ES_tradnl"/>
        </w:rPr>
      </w:pPr>
      <w:r w:rsidRPr="008B7A21">
        <w:rPr>
          <w:snapToGrid w:val="0"/>
          <w:color w:val="000000"/>
          <w:lang w:val="es-ES_tradnl"/>
        </w:rPr>
        <w:t>donde:</w:t>
      </w:r>
    </w:p>
    <w:p w14:paraId="6335CBFB" w14:textId="77777777" w:rsidR="00F73D5B" w:rsidRPr="008B7A21" w:rsidRDefault="00F73D5B" w:rsidP="00F73D5B">
      <w:pPr>
        <w:pStyle w:val="Equationlegend"/>
        <w:rPr>
          <w:snapToGrid w:val="0"/>
          <w:lang w:val="es-ES_tradnl"/>
        </w:rPr>
      </w:pPr>
      <w:r w:rsidRPr="008B7A21">
        <w:rPr>
          <w:i/>
          <w:iCs/>
          <w:snapToGrid w:val="0"/>
          <w:lang w:val="es-ES_tradnl"/>
        </w:rPr>
        <w:tab/>
        <w:t>f</w:t>
      </w:r>
      <w:r w:rsidRPr="008B7A21">
        <w:rPr>
          <w:snapToGrid w:val="0"/>
          <w:lang w:val="es-ES_tradnl"/>
        </w:rPr>
        <w:t>:</w:t>
      </w:r>
      <w:r w:rsidRPr="008B7A21">
        <w:rPr>
          <w:snapToGrid w:val="0"/>
          <w:lang w:val="es-ES_tradnl"/>
        </w:rPr>
        <w:tab/>
        <w:t>frecuencia de trabajo (MHz)</w:t>
      </w:r>
    </w:p>
    <w:p w14:paraId="21DF55DF" w14:textId="77777777" w:rsidR="00F73D5B" w:rsidRPr="008B7A21" w:rsidRDefault="00F73D5B" w:rsidP="00F73D5B">
      <w:pPr>
        <w:pStyle w:val="Equationlegend"/>
        <w:rPr>
          <w:lang w:val="es-ES_tradnl"/>
        </w:rPr>
      </w:pPr>
      <w:r w:rsidRPr="008B7A21">
        <w:rPr>
          <w:i/>
          <w:lang w:val="es-ES_tradnl"/>
        </w:rPr>
        <w:tab/>
        <w:t>h</w:t>
      </w:r>
      <w:r w:rsidRPr="008B7A21">
        <w:rPr>
          <w:i/>
          <w:vertAlign w:val="subscript"/>
          <w:lang w:val="es-ES_tradnl"/>
        </w:rPr>
        <w:t>t</w:t>
      </w:r>
      <w:r w:rsidRPr="008B7A21">
        <w:rPr>
          <w:iCs/>
          <w:lang w:val="es-ES_tradnl"/>
        </w:rPr>
        <w:t>:</w:t>
      </w:r>
      <w:r w:rsidRPr="008B7A21">
        <w:rPr>
          <w:iCs/>
          <w:lang w:val="es-ES_tradnl"/>
        </w:rPr>
        <w:tab/>
        <w:t>altura efectiva de la antena de transmisión</w:t>
      </w:r>
      <w:r w:rsidRPr="008B7A21">
        <w:rPr>
          <w:lang w:val="es-ES_tradnl"/>
        </w:rPr>
        <w:t xml:space="preserve"> (m)</w:t>
      </w:r>
    </w:p>
    <w:p w14:paraId="0FEDFEE4" w14:textId="77777777" w:rsidR="00F73D5B" w:rsidRPr="008B7A21" w:rsidRDefault="00F73D5B" w:rsidP="00F73D5B">
      <w:pPr>
        <w:pStyle w:val="Equationlegend"/>
        <w:rPr>
          <w:lang w:val="es-ES_tradnl"/>
        </w:rPr>
      </w:pPr>
      <w:r w:rsidRPr="008B7A21">
        <w:rPr>
          <w:i/>
          <w:lang w:val="es-ES_tradnl"/>
        </w:rPr>
        <w:tab/>
        <w:t>h</w:t>
      </w:r>
      <w:r w:rsidRPr="008B7A21">
        <w:rPr>
          <w:i/>
          <w:vertAlign w:val="subscript"/>
          <w:lang w:val="es-ES_tradnl"/>
        </w:rPr>
        <w:t>r</w:t>
      </w:r>
      <w:r w:rsidRPr="008B7A21">
        <w:rPr>
          <w:lang w:val="es-ES_tradnl"/>
        </w:rPr>
        <w:t>:</w:t>
      </w:r>
      <w:r w:rsidRPr="008B7A21">
        <w:rPr>
          <w:lang w:val="es-ES_tradnl"/>
        </w:rPr>
        <w:tab/>
      </w:r>
      <w:r w:rsidRPr="008B7A21">
        <w:rPr>
          <w:iCs/>
          <w:lang w:val="es-ES_tradnl"/>
        </w:rPr>
        <w:t>altura efectiva de la antena de recepción</w:t>
      </w:r>
      <w:r w:rsidRPr="008B7A21">
        <w:rPr>
          <w:lang w:val="es-ES_tradnl"/>
        </w:rPr>
        <w:t xml:space="preserve"> (m)</w:t>
      </w:r>
    </w:p>
    <w:p w14:paraId="3858311E" w14:textId="0CB9FD66" w:rsidR="00F73D5B" w:rsidRPr="008B7A21" w:rsidRDefault="00F73D5B" w:rsidP="00F73D5B">
      <w:pPr>
        <w:pStyle w:val="Equationlegend"/>
        <w:rPr>
          <w:snapToGrid w:val="0"/>
          <w:lang w:val="es-ES_tradnl"/>
        </w:rPr>
      </w:pPr>
      <w:r w:rsidRPr="008B7A21">
        <w:rPr>
          <w:lang w:val="es-ES_tradnl"/>
        </w:rPr>
        <w:tab/>
      </w:r>
      <w:r w:rsidRPr="008B7A21">
        <w:rPr>
          <w:i/>
          <w:snapToGrid w:val="0"/>
          <w:lang w:val="es-ES_tradnl"/>
        </w:rPr>
        <w:t>a</w:t>
      </w:r>
      <w:r w:rsidRPr="008B7A21">
        <w:rPr>
          <w:i/>
          <w:snapToGrid w:val="0"/>
          <w:vertAlign w:val="subscript"/>
          <w:lang w:val="es-ES_tradnl"/>
        </w:rPr>
        <w:t>r</w:t>
      </w:r>
      <w:r w:rsidRPr="008B7A21">
        <w:rPr>
          <w:rFonts w:ascii="Tms Rmn" w:hAnsi="Tms Rmn"/>
          <w:iCs/>
          <w:snapToGrid w:val="0"/>
          <w:sz w:val="6"/>
          <w:lang w:val="es-ES_tradnl"/>
        </w:rPr>
        <w:t> </w:t>
      </w:r>
      <w:r w:rsidRPr="008B7A21">
        <w:rPr>
          <w:lang w:val="es-ES_tradnl"/>
        </w:rPr>
        <w:t>(</w:t>
      </w:r>
      <w:r w:rsidRPr="008B7A21">
        <w:rPr>
          <w:i/>
          <w:snapToGrid w:val="0"/>
          <w:lang w:val="es-ES_tradnl"/>
        </w:rPr>
        <w:t>h</w:t>
      </w:r>
      <w:r w:rsidRPr="008B7A21">
        <w:rPr>
          <w:i/>
          <w:snapToGrid w:val="0"/>
          <w:vertAlign w:val="subscript"/>
          <w:lang w:val="es-ES_tradnl"/>
        </w:rPr>
        <w:t>r</w:t>
      </w:r>
      <w:r w:rsidRPr="008B7A21">
        <w:rPr>
          <w:lang w:val="es-ES_tradnl"/>
        </w:rPr>
        <w:t>)  </w:t>
      </w:r>
      <w:r w:rsidR="00386EEF">
        <w:rPr>
          <w:snapToGrid w:val="0"/>
          <w:lang w:val="es-ES_tradnl"/>
        </w:rPr>
        <w:t>=</w:t>
      </w:r>
      <w:r w:rsidRPr="008B7A21">
        <w:rPr>
          <w:snapToGrid w:val="0"/>
          <w:lang w:val="es-ES_tradnl"/>
        </w:rPr>
        <w:tab/>
        <w:t xml:space="preserve">(1,1 </w:t>
      </w:r>
      <w:r w:rsidRPr="008B7A21">
        <w:rPr>
          <w:lang w:val="es-ES_tradnl"/>
        </w:rPr>
        <w:t>log </w:t>
      </w:r>
      <w:r w:rsidRPr="008B7A21">
        <w:rPr>
          <w:i/>
          <w:snapToGrid w:val="0"/>
          <w:lang w:val="es-ES_tradnl"/>
        </w:rPr>
        <w:t>f </w:t>
      </w:r>
      <w:r w:rsidRPr="008B7A21">
        <w:rPr>
          <w:snapToGrid w:val="0"/>
          <w:lang w:val="es-ES_tradnl"/>
        </w:rPr>
        <w:t xml:space="preserve">– 0,7) </w:t>
      </w:r>
      <w:r w:rsidRPr="008B7A21">
        <w:rPr>
          <w:i/>
          <w:snapToGrid w:val="0"/>
          <w:lang w:val="es-ES_tradnl"/>
        </w:rPr>
        <w:t>h</w:t>
      </w:r>
      <w:r w:rsidRPr="008B7A21">
        <w:rPr>
          <w:i/>
          <w:snapToGrid w:val="0"/>
          <w:vertAlign w:val="subscript"/>
          <w:lang w:val="es-ES_tradnl"/>
        </w:rPr>
        <w:t>r</w:t>
      </w:r>
      <w:r w:rsidRPr="008B7A21">
        <w:rPr>
          <w:snapToGrid w:val="0"/>
          <w:lang w:val="es-ES_tradnl"/>
        </w:rPr>
        <w:t xml:space="preserve"> – (1,56 </w:t>
      </w:r>
      <w:r w:rsidRPr="008B7A21">
        <w:rPr>
          <w:lang w:val="es-ES_tradnl"/>
        </w:rPr>
        <w:t>log</w:t>
      </w:r>
      <w:r w:rsidRPr="008B7A21">
        <w:rPr>
          <w:i/>
          <w:snapToGrid w:val="0"/>
          <w:lang w:val="es-ES_tradnl"/>
        </w:rPr>
        <w:t xml:space="preserve">  f</w:t>
      </w:r>
      <w:r w:rsidRPr="008B7A21">
        <w:rPr>
          <w:snapToGrid w:val="0"/>
          <w:lang w:val="es-ES_tradnl"/>
        </w:rPr>
        <w:t xml:space="preserve">  – 0,8) (dB).</w:t>
      </w:r>
    </w:p>
    <w:p w14:paraId="2A611FE5" w14:textId="77777777" w:rsidR="00F73D5B" w:rsidRPr="008B7A21" w:rsidRDefault="00F73D5B" w:rsidP="00F73D5B">
      <w:pPr>
        <w:rPr>
          <w:lang w:val="es-ES_tradnl"/>
        </w:rPr>
      </w:pPr>
      <w:r w:rsidRPr="008B7A21">
        <w:rPr>
          <w:lang w:val="es-ES_tradnl"/>
        </w:rPr>
        <w:t>La altura efectiva de la antena de transmisión debe determinarse como se indica en la Recomendación UIT</w:t>
      </w:r>
      <w:r w:rsidRPr="008B7A21">
        <w:rPr>
          <w:lang w:val="es-ES_tradnl"/>
        </w:rPr>
        <w:noBreakHyphen/>
        <w:t>R P.1546-4; es decir, por el procedimiento señalado en los § 4.7.1 b) y 4.7.1 c). Sin embargo, teniendo en cuenta que las actuales potencias de las estaciones de base no son demasiado elevadas y, por consiguiente, las zonas de servicio son relativamente reducidas, en la gran mayoría de zonas urbanas situadas en terrenos llanos, el valor de la altura efectiva de la antena de transmisión puede aproximarse por el valor de su altura sobre el suelo en el lugar de su instalación. Se considera que la altura de antena de una estación móvil o portátil es su altura sobre el suelo. Estas hipótesis se realizan para el modelo de cálculo de cánones de licencia indicado.</w:t>
      </w:r>
    </w:p>
    <w:p w14:paraId="6B115F6B" w14:textId="77777777" w:rsidR="00F73D5B" w:rsidRPr="008B7A21" w:rsidRDefault="00F73D5B" w:rsidP="00F73D5B">
      <w:pPr>
        <w:keepNext/>
        <w:keepLines/>
        <w:rPr>
          <w:lang w:val="es-ES_tradnl"/>
        </w:rPr>
      </w:pPr>
      <w:r w:rsidRPr="008B7A21">
        <w:rPr>
          <w:lang w:val="es-ES_tradnl"/>
        </w:rPr>
        <w:t>Con arreglo a las ecuaciones (39)-(43), el radio de la zona de servicio puede calcularse como sigue:</w:t>
      </w:r>
    </w:p>
    <w:p w14:paraId="148673CD"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0"/>
          <w:lang w:val="es-ES_tradnl"/>
        </w:rPr>
        <w:object w:dxaOrig="1359" w:dyaOrig="740" w14:anchorId="353E1189">
          <v:shape id="_x0000_i1687" type="#_x0000_t75" style="width:65.3pt;height:36pt" o:ole="">
            <v:imagedata r:id="rId77" o:title=""/>
          </v:shape>
          <o:OLEObject Type="Embed" ProgID="Equation.3" ShapeID="_x0000_i1687" DrawAspect="Content" ObjectID="_1826705896" r:id="rId78"/>
        </w:object>
      </w:r>
      <w:r w:rsidRPr="008B7A21">
        <w:rPr>
          <w:lang w:val="es-ES_tradnl"/>
        </w:rPr>
        <w:tab/>
      </w:r>
      <w:r w:rsidRPr="008B7A21">
        <w:rPr>
          <w:snapToGrid w:val="0"/>
          <w:lang w:val="es-ES_tradnl"/>
        </w:rPr>
        <w:t>(44)</w:t>
      </w:r>
    </w:p>
    <w:p w14:paraId="0515308E" w14:textId="77777777" w:rsidR="00F73D5B" w:rsidRPr="008B7A21" w:rsidRDefault="00F73D5B" w:rsidP="00F73D5B">
      <w:pPr>
        <w:spacing w:before="0"/>
        <w:rPr>
          <w:snapToGrid w:val="0"/>
          <w:color w:val="000000"/>
          <w:lang w:val="es-ES_tradnl"/>
        </w:rPr>
      </w:pPr>
      <w:r w:rsidRPr="008B7A21">
        <w:rPr>
          <w:snapToGrid w:val="0"/>
          <w:color w:val="000000"/>
          <w:lang w:val="es-ES_tradnl"/>
        </w:rPr>
        <w:t>siendo:</w:t>
      </w:r>
    </w:p>
    <w:p w14:paraId="18F46A17" w14:textId="77777777" w:rsidR="00F73D5B" w:rsidRPr="008B7A21" w:rsidRDefault="00F73D5B" w:rsidP="00F73D5B">
      <w:pPr>
        <w:pStyle w:val="Equationlegend"/>
        <w:rPr>
          <w:snapToGrid w:val="0"/>
          <w:lang w:val="es-ES_tradnl"/>
        </w:rPr>
      </w:pPr>
      <w:r w:rsidRPr="008B7A21">
        <w:rPr>
          <w:i/>
          <w:snapToGrid w:val="0"/>
          <w:lang w:val="es-ES_tradnl"/>
        </w:rPr>
        <w:tab/>
        <w:t>R</w:t>
      </w:r>
      <w:r w:rsidRPr="008B7A21">
        <w:rPr>
          <w:snapToGrid w:val="0"/>
          <w:lang w:val="es-ES_tradnl"/>
        </w:rPr>
        <w:t>:</w:t>
      </w:r>
      <w:r w:rsidRPr="008B7A21">
        <w:rPr>
          <w:snapToGrid w:val="0"/>
          <w:lang w:val="es-ES_tradnl"/>
        </w:rPr>
        <w:tab/>
        <w:t>radio de la zona de servicio (km)</w:t>
      </w:r>
    </w:p>
    <w:p w14:paraId="7396B82A" w14:textId="77777777" w:rsidR="00F73D5B" w:rsidRPr="008B7A21" w:rsidRDefault="00F73D5B" w:rsidP="00F73D5B">
      <w:pPr>
        <w:pStyle w:val="Equationlegend"/>
        <w:rPr>
          <w:snapToGrid w:val="0"/>
          <w:lang w:val="es-ES_tradnl"/>
        </w:rPr>
      </w:pPr>
      <w:r w:rsidRPr="008B7A21">
        <w:rPr>
          <w:snapToGrid w:val="0"/>
          <w:lang w:val="es-ES_tradnl"/>
        </w:rPr>
        <w:tab/>
      </w:r>
      <w:r w:rsidRPr="008B7A21">
        <w:rPr>
          <w:i/>
          <w:iCs/>
          <w:snapToGrid w:val="0"/>
          <w:lang w:val="es-ES_tradnl"/>
        </w:rPr>
        <w:t>z</w:t>
      </w:r>
      <w:r w:rsidRPr="008B7A21">
        <w:rPr>
          <w:snapToGrid w:val="0"/>
          <w:lang w:val="es-ES_tradnl"/>
        </w:rPr>
        <w:t>:</w:t>
      </w:r>
      <w:r w:rsidRPr="008B7A21">
        <w:rPr>
          <w:snapToGrid w:val="0"/>
          <w:lang w:val="es-ES_tradnl"/>
        </w:rPr>
        <w:tab/>
        <w:t>parámetro de potencia generalizado (dB) que se determina fácilmente, como:</w:t>
      </w:r>
    </w:p>
    <w:p w14:paraId="78240BDB"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i/>
          <w:iCs/>
          <w:lang w:val="es-ES_tradnl"/>
        </w:rPr>
        <w:t>z</w:t>
      </w:r>
      <w:r w:rsidRPr="008B7A21">
        <w:rPr>
          <w:lang w:val="es-ES_tradnl"/>
        </w:rPr>
        <w:t xml:space="preserve"> = </w:t>
      </w:r>
      <w:r w:rsidRPr="008B7A21">
        <w:rPr>
          <w:i/>
          <w:iCs/>
          <w:lang w:val="es-ES_tradnl"/>
        </w:rPr>
        <w:t>P</w:t>
      </w:r>
      <w:r w:rsidRPr="008B7A21">
        <w:rPr>
          <w:i/>
          <w:iCs/>
          <w:vertAlign w:val="subscript"/>
          <w:lang w:val="es-ES_tradnl"/>
        </w:rPr>
        <w:t>t</w:t>
      </w:r>
      <w:r w:rsidRPr="008B7A21">
        <w:rPr>
          <w:lang w:val="es-ES_tradnl"/>
        </w:rPr>
        <w:t xml:space="preserve"> + </w:t>
      </w:r>
      <w:r w:rsidRPr="008B7A21">
        <w:rPr>
          <w:i/>
          <w:iCs/>
          <w:lang w:val="es-ES_tradnl"/>
        </w:rPr>
        <w:t>G</w:t>
      </w:r>
      <w:r w:rsidRPr="008B7A21">
        <w:rPr>
          <w:i/>
          <w:iCs/>
          <w:vertAlign w:val="subscript"/>
          <w:lang w:val="es-ES_tradnl"/>
        </w:rPr>
        <w:t>t</w:t>
      </w:r>
      <w:r w:rsidRPr="008B7A21">
        <w:rPr>
          <w:lang w:val="es-ES_tradnl"/>
        </w:rPr>
        <w:t xml:space="preserve"> + </w:t>
      </w:r>
      <w:r w:rsidRPr="008B7A21">
        <w:rPr>
          <w:i/>
          <w:iCs/>
          <w:lang w:val="es-ES_tradnl"/>
        </w:rPr>
        <w:t>G</w:t>
      </w:r>
      <w:r w:rsidRPr="008B7A21">
        <w:rPr>
          <w:i/>
          <w:iCs/>
          <w:vertAlign w:val="subscript"/>
          <w:lang w:val="es-ES_tradnl"/>
        </w:rPr>
        <w:t>r</w:t>
      </w:r>
      <w:r w:rsidRPr="008B7A21">
        <w:rPr>
          <w:lang w:val="es-ES_tradnl"/>
        </w:rPr>
        <w:t xml:space="preserve"> – </w:t>
      </w:r>
      <w:r w:rsidRPr="008B7A21">
        <w:rPr>
          <w:i/>
          <w:iCs/>
          <w:lang w:val="es-ES_tradnl"/>
        </w:rPr>
        <w:t>P</w:t>
      </w:r>
      <w:r w:rsidRPr="008B7A21">
        <w:rPr>
          <w:i/>
          <w:iCs/>
          <w:vertAlign w:val="subscript"/>
          <w:lang w:val="es-ES_tradnl"/>
        </w:rPr>
        <w:t>mín</w:t>
      </w:r>
      <w:r w:rsidRPr="008B7A21">
        <w:rPr>
          <w:lang w:val="es-ES_tradnl"/>
        </w:rPr>
        <w:tab/>
        <w:t>(45)</w:t>
      </w:r>
    </w:p>
    <w:p w14:paraId="19E7C048" w14:textId="0224BB6C" w:rsidR="00F73D5B" w:rsidRPr="008B7A21" w:rsidRDefault="00F73D5B" w:rsidP="00F73D5B">
      <w:pPr>
        <w:rPr>
          <w:iCs/>
          <w:snapToGrid w:val="0"/>
          <w:color w:val="000000"/>
          <w:lang w:val="es-ES_tradnl"/>
        </w:rPr>
      </w:pPr>
      <w:r w:rsidRPr="008B7A21">
        <w:rPr>
          <w:lang w:val="es-ES_tradnl"/>
        </w:rPr>
        <w:t xml:space="preserve">En las Figs. 7-8 y 9-10 se representan los gráficos de las relaciones </w:t>
      </w:r>
      <w:r w:rsidRPr="008B7A21">
        <w:rPr>
          <w:i/>
          <w:iCs/>
          <w:lang w:val="es-ES_tradnl"/>
        </w:rPr>
        <w:t>R</w:t>
      </w:r>
      <w:r w:rsidRPr="008B7A21">
        <w:rPr>
          <w:lang w:val="es-ES_tradnl"/>
        </w:rPr>
        <w:t> </w:t>
      </w:r>
      <w:r w:rsidR="00386EEF">
        <w:rPr>
          <w:lang w:val="es-ES_tradnl"/>
        </w:rPr>
        <w:t>=</w:t>
      </w:r>
      <w:r w:rsidRPr="008B7A21">
        <w:rPr>
          <w:lang w:val="es-ES_tradnl"/>
        </w:rPr>
        <w:t> </w:t>
      </w:r>
      <w:r w:rsidR="00386EEF" w:rsidRPr="00386EEF">
        <w:sym w:font="Symbol" w:char="F06A"/>
      </w:r>
      <w:r w:rsidRPr="008B7A21">
        <w:rPr>
          <w:lang w:val="es-ES_tradnl"/>
        </w:rPr>
        <w:t>(</w:t>
      </w:r>
      <w:r w:rsidRPr="008B7A21">
        <w:rPr>
          <w:i/>
          <w:iCs/>
          <w:lang w:val="es-ES_tradnl"/>
        </w:rPr>
        <w:t>z</w:t>
      </w:r>
      <w:r w:rsidRPr="008B7A21">
        <w:rPr>
          <w:lang w:val="es-ES_tradnl"/>
        </w:rPr>
        <w:t xml:space="preserve">) calculados de conformidad con las ecuaciones (44) y (45) para frecuencias por debajo de 1 GHz y por encima de 1,5 GHz, respectivamente. Las Figs. 7 y 9 corresponden a una altura de antena del transmisor, </w:t>
      </w:r>
      <w:r w:rsidRPr="008B7A21">
        <w:rPr>
          <w:i/>
          <w:snapToGrid w:val="0"/>
          <w:color w:val="000000"/>
          <w:lang w:val="es-ES_tradnl"/>
        </w:rPr>
        <w:t>h</w:t>
      </w:r>
      <w:r w:rsidRPr="008B7A21">
        <w:rPr>
          <w:i/>
          <w:snapToGrid w:val="0"/>
          <w:color w:val="000000"/>
          <w:vertAlign w:val="subscript"/>
          <w:lang w:val="es-ES_tradnl"/>
        </w:rPr>
        <w:t>t</w:t>
      </w:r>
      <w:r w:rsidRPr="008B7A21">
        <w:rPr>
          <w:iCs/>
          <w:snapToGrid w:val="0"/>
          <w:color w:val="000000"/>
          <w:lang w:val="es-ES_tradnl"/>
        </w:rPr>
        <w:t xml:space="preserve">, de 40 m y las Figs. 8 y 10 a una altura de 100 m. En todas las figuras la línea 1 corresponde a una altura de la antena del receptor, </w:t>
      </w:r>
      <w:r w:rsidRPr="008B7A21">
        <w:rPr>
          <w:i/>
          <w:snapToGrid w:val="0"/>
          <w:color w:val="000000"/>
          <w:lang w:val="es-ES_tradnl"/>
        </w:rPr>
        <w:t>h</w:t>
      </w:r>
      <w:r w:rsidRPr="008B7A21">
        <w:rPr>
          <w:i/>
          <w:snapToGrid w:val="0"/>
          <w:color w:val="000000"/>
          <w:vertAlign w:val="subscript"/>
          <w:lang w:val="es-ES_tradnl"/>
        </w:rPr>
        <w:t>r</w:t>
      </w:r>
      <w:r w:rsidRPr="008B7A21">
        <w:rPr>
          <w:iCs/>
          <w:snapToGrid w:val="0"/>
          <w:color w:val="000000"/>
          <w:lang w:val="es-ES_tradnl"/>
        </w:rPr>
        <w:t>, de 1,5 m y la línea 2 a una altura de 10 m. Esto último permite utilizar los gráficos para cálculos asociados con las comunicaciones del servicio fijo en ondas métricas/decimétricas y sistemas de distribución de programa «punto</w:t>
      </w:r>
      <w:r w:rsidRPr="008B7A21">
        <w:rPr>
          <w:iCs/>
          <w:snapToGrid w:val="0"/>
          <w:color w:val="000000"/>
          <w:lang w:val="es-ES_tradnl"/>
        </w:rPr>
        <w:noBreakHyphen/>
        <w:t>multipunto», cuando las antenas de recepción colectivas están situadas en los techos de los edificios. En la línea 3 se indica las dependencias para las condiciones de propagación en espacio libre. Pueden utilizarse para los cálculos asociados con las comunicaciones fijas en ondas métricas/decimétricas de corta distancia y condiciones de propagación con visibilidad directa. Para otras alturas de antena que se sitúan entre los límites indicados, los radios de la zona de servicio pueden obtenerse mediante interpolación de los valores que aparecen en las Figs. 7</w:t>
      </w:r>
      <w:r w:rsidRPr="008B7A21">
        <w:rPr>
          <w:iCs/>
          <w:snapToGrid w:val="0"/>
          <w:color w:val="000000"/>
          <w:lang w:val="es-ES_tradnl"/>
        </w:rPr>
        <w:noBreakHyphen/>
        <w:t>10.</w:t>
      </w:r>
    </w:p>
    <w:p w14:paraId="6AC83709" w14:textId="7B9BDF5F" w:rsidR="00F73D5B" w:rsidRPr="008B7A21" w:rsidRDefault="00F73D5B" w:rsidP="00F73D5B">
      <w:pPr>
        <w:rPr>
          <w:lang w:val="es-ES_tradnl"/>
        </w:rPr>
      </w:pPr>
      <w:r w:rsidRPr="008B7A21">
        <w:rPr>
          <w:iCs/>
          <w:snapToGrid w:val="0"/>
          <w:color w:val="000000"/>
          <w:lang w:val="es-ES_tradnl"/>
        </w:rPr>
        <w:t>En el Cuadro 12 aparecen algunos valores típicos de los parámetros indicados en la ecuación (45) para un cierto número de sistemas de radiocomunicaciones móviles terrestres, incluidas las telecomunicaciones inalámbricas digitales mejoradas (DECT) y las PMR.</w:t>
      </w:r>
    </w:p>
    <w:p w14:paraId="1DF44CE8" w14:textId="6E3A532F" w:rsidR="00F73D5B" w:rsidRPr="008B7A21" w:rsidRDefault="00F73D5B" w:rsidP="00F73D5B">
      <w:pPr>
        <w:pStyle w:val="TableNo"/>
        <w:spacing w:before="240"/>
        <w:rPr>
          <w:lang w:val="es-ES_tradnl"/>
        </w:rPr>
      </w:pPr>
      <w:r w:rsidRPr="008B7A21">
        <w:rPr>
          <w:lang w:val="es-ES_tradnl"/>
        </w:rPr>
        <w:t>CUADRO 12</w:t>
      </w:r>
    </w:p>
    <w:p w14:paraId="403724D7" w14:textId="77777777" w:rsidR="00F73D5B" w:rsidRPr="008B7A21" w:rsidRDefault="00F73D5B" w:rsidP="00F73D5B">
      <w:pPr>
        <w:pStyle w:val="Tabletitle"/>
        <w:rPr>
          <w:lang w:val="es-ES_tradnl"/>
        </w:rPr>
      </w:pPr>
      <w:r w:rsidRPr="008B7A21">
        <w:rPr>
          <w:lang w:val="es-ES_tradnl"/>
        </w:rPr>
        <w:t>Valores de los parámetros de los equipos</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964"/>
        <w:gridCol w:w="851"/>
        <w:gridCol w:w="851"/>
        <w:gridCol w:w="851"/>
        <w:gridCol w:w="851"/>
        <w:gridCol w:w="851"/>
      </w:tblGrid>
      <w:tr w:rsidR="00F73D5B" w:rsidRPr="008B7A21" w14:paraId="6C83F1F2" w14:textId="77777777" w:rsidTr="00767A6A">
        <w:trPr>
          <w:trHeight w:val="20"/>
          <w:jc w:val="center"/>
        </w:trPr>
        <w:tc>
          <w:tcPr>
            <w:tcW w:w="4423" w:type="dxa"/>
            <w:tcBorders>
              <w:tl2br w:val="single" w:sz="4" w:space="0" w:color="auto"/>
            </w:tcBorders>
            <w:vAlign w:val="center"/>
          </w:tcPr>
          <w:p w14:paraId="1E8D2DAA" w14:textId="77777777" w:rsidR="00F73D5B" w:rsidRPr="008B7A21" w:rsidRDefault="00F73D5B" w:rsidP="00767A6A">
            <w:pPr>
              <w:pStyle w:val="Tablehead"/>
              <w:spacing w:before="120" w:after="0"/>
              <w:jc w:val="right"/>
              <w:rPr>
                <w:bCs/>
                <w:sz w:val="20"/>
                <w:lang w:val="es-ES_tradnl"/>
              </w:rPr>
            </w:pPr>
            <w:r w:rsidRPr="008B7A21">
              <w:rPr>
                <w:bCs/>
                <w:sz w:val="20"/>
                <w:lang w:val="es-ES_tradnl"/>
              </w:rPr>
              <w:t>Sistema</w:t>
            </w:r>
          </w:p>
          <w:p w14:paraId="291D9944" w14:textId="77777777" w:rsidR="00F73D5B" w:rsidRPr="008B7A21" w:rsidRDefault="00F73D5B" w:rsidP="00767A6A">
            <w:pPr>
              <w:pStyle w:val="Tablehead"/>
              <w:spacing w:before="0"/>
              <w:jc w:val="left"/>
              <w:rPr>
                <w:bCs/>
                <w:sz w:val="20"/>
                <w:lang w:val="es-ES_tradnl"/>
              </w:rPr>
            </w:pPr>
            <w:r w:rsidRPr="008B7A21">
              <w:rPr>
                <w:bCs/>
                <w:sz w:val="20"/>
                <w:lang w:val="es-ES_tradnl"/>
              </w:rPr>
              <w:t>Parámetro</w:t>
            </w:r>
          </w:p>
        </w:tc>
        <w:tc>
          <w:tcPr>
            <w:tcW w:w="964" w:type="dxa"/>
            <w:vAlign w:val="center"/>
          </w:tcPr>
          <w:p w14:paraId="6F8D9C9E" w14:textId="77777777" w:rsidR="00F73D5B" w:rsidRPr="008B7A21" w:rsidRDefault="00F73D5B" w:rsidP="00767A6A">
            <w:pPr>
              <w:pStyle w:val="Tablehead"/>
              <w:spacing w:before="60"/>
              <w:rPr>
                <w:bCs/>
                <w:sz w:val="20"/>
                <w:lang w:val="es-ES_tradnl"/>
              </w:rPr>
            </w:pPr>
            <w:r w:rsidRPr="008B7A21">
              <w:rPr>
                <w:bCs/>
                <w:sz w:val="20"/>
                <w:lang w:val="es-ES_tradnl"/>
              </w:rPr>
              <w:t>AMDC</w:t>
            </w:r>
          </w:p>
        </w:tc>
        <w:tc>
          <w:tcPr>
            <w:tcW w:w="851" w:type="dxa"/>
            <w:vAlign w:val="center"/>
          </w:tcPr>
          <w:p w14:paraId="26BE4E37" w14:textId="77777777" w:rsidR="00F73D5B" w:rsidRPr="008B7A21" w:rsidRDefault="00F73D5B" w:rsidP="00767A6A">
            <w:pPr>
              <w:pStyle w:val="Tablehead"/>
              <w:spacing w:before="60"/>
              <w:rPr>
                <w:bCs/>
                <w:sz w:val="20"/>
                <w:lang w:val="es-ES_tradnl"/>
              </w:rPr>
            </w:pPr>
            <w:r w:rsidRPr="008B7A21">
              <w:rPr>
                <w:bCs/>
                <w:sz w:val="20"/>
                <w:lang w:val="es-ES_tradnl"/>
              </w:rPr>
              <w:t>GSM</w:t>
            </w:r>
          </w:p>
        </w:tc>
        <w:tc>
          <w:tcPr>
            <w:tcW w:w="851" w:type="dxa"/>
            <w:vAlign w:val="center"/>
          </w:tcPr>
          <w:p w14:paraId="6DCB4E59" w14:textId="77777777" w:rsidR="00F73D5B" w:rsidRPr="008B7A21" w:rsidRDefault="00F73D5B" w:rsidP="00767A6A">
            <w:pPr>
              <w:pStyle w:val="Tablehead"/>
              <w:spacing w:before="60"/>
              <w:rPr>
                <w:bCs/>
                <w:sz w:val="20"/>
                <w:lang w:val="es-ES_tradnl"/>
              </w:rPr>
            </w:pPr>
            <w:r w:rsidRPr="008B7A21">
              <w:rPr>
                <w:bCs/>
                <w:sz w:val="20"/>
                <w:lang w:val="es-ES_tradnl"/>
              </w:rPr>
              <w:t>AMPS</w:t>
            </w:r>
          </w:p>
        </w:tc>
        <w:tc>
          <w:tcPr>
            <w:tcW w:w="851" w:type="dxa"/>
            <w:vAlign w:val="center"/>
          </w:tcPr>
          <w:p w14:paraId="2B899948" w14:textId="77777777" w:rsidR="00F73D5B" w:rsidRPr="008B7A21" w:rsidRDefault="00F73D5B" w:rsidP="00767A6A">
            <w:pPr>
              <w:pStyle w:val="Tablehead"/>
              <w:spacing w:before="60"/>
              <w:rPr>
                <w:bCs/>
                <w:sz w:val="20"/>
                <w:lang w:val="es-ES_tradnl"/>
              </w:rPr>
            </w:pPr>
            <w:r w:rsidRPr="008B7A21">
              <w:rPr>
                <w:bCs/>
                <w:sz w:val="20"/>
                <w:lang w:val="es-ES_tradnl"/>
              </w:rPr>
              <w:t>NMT</w:t>
            </w:r>
          </w:p>
        </w:tc>
        <w:tc>
          <w:tcPr>
            <w:tcW w:w="851" w:type="dxa"/>
            <w:vAlign w:val="center"/>
          </w:tcPr>
          <w:p w14:paraId="58CA16D4" w14:textId="77777777" w:rsidR="00F73D5B" w:rsidRPr="008B7A21" w:rsidRDefault="00F73D5B" w:rsidP="00767A6A">
            <w:pPr>
              <w:pStyle w:val="Tablehead"/>
              <w:spacing w:before="60"/>
              <w:rPr>
                <w:bCs/>
                <w:sz w:val="20"/>
                <w:lang w:val="es-ES_tradnl"/>
              </w:rPr>
            </w:pPr>
            <w:r w:rsidRPr="008B7A21">
              <w:rPr>
                <w:bCs/>
                <w:sz w:val="20"/>
                <w:lang w:val="es-ES_tradnl"/>
              </w:rPr>
              <w:t>DECT</w:t>
            </w:r>
          </w:p>
        </w:tc>
        <w:tc>
          <w:tcPr>
            <w:tcW w:w="851" w:type="dxa"/>
            <w:vAlign w:val="center"/>
          </w:tcPr>
          <w:p w14:paraId="5BDA9B48" w14:textId="77777777" w:rsidR="00F73D5B" w:rsidRPr="008B7A21" w:rsidRDefault="00F73D5B" w:rsidP="00767A6A">
            <w:pPr>
              <w:pStyle w:val="Tablehead"/>
              <w:spacing w:before="60"/>
              <w:rPr>
                <w:bCs/>
                <w:sz w:val="20"/>
                <w:lang w:val="es-ES_tradnl"/>
              </w:rPr>
            </w:pPr>
            <w:r w:rsidRPr="008B7A21">
              <w:rPr>
                <w:bCs/>
                <w:sz w:val="20"/>
                <w:lang w:val="es-ES_tradnl"/>
              </w:rPr>
              <w:t>PMR</w:t>
            </w:r>
          </w:p>
        </w:tc>
      </w:tr>
      <w:tr w:rsidR="00F73D5B" w:rsidRPr="008B7A21" w14:paraId="08A02DA1" w14:textId="77777777" w:rsidTr="00767A6A">
        <w:trPr>
          <w:jc w:val="center"/>
        </w:trPr>
        <w:tc>
          <w:tcPr>
            <w:tcW w:w="4423" w:type="dxa"/>
          </w:tcPr>
          <w:p w14:paraId="1CE5B41F" w14:textId="77777777" w:rsidR="00F73D5B" w:rsidRPr="008B7A21" w:rsidRDefault="00F73D5B" w:rsidP="00767A6A">
            <w:pPr>
              <w:pStyle w:val="Tabletext"/>
              <w:rPr>
                <w:sz w:val="20"/>
                <w:lang w:val="es-ES_tradnl"/>
              </w:rPr>
            </w:pPr>
            <w:r w:rsidRPr="008B7A21">
              <w:rPr>
                <w:sz w:val="20"/>
                <w:lang w:val="es-ES_tradnl"/>
              </w:rPr>
              <w:t xml:space="preserve">Ganancia de la antena de transmisión </w:t>
            </w:r>
            <w:r w:rsidRPr="008B7A21">
              <w:rPr>
                <w:i/>
                <w:snapToGrid w:val="0"/>
                <w:color w:val="000000"/>
                <w:sz w:val="20"/>
                <w:lang w:val="es-ES_tradnl"/>
              </w:rPr>
              <w:t>G</w:t>
            </w:r>
            <w:r w:rsidRPr="008B7A21">
              <w:rPr>
                <w:i/>
                <w:snapToGrid w:val="0"/>
                <w:color w:val="000000"/>
                <w:sz w:val="20"/>
                <w:vertAlign w:val="subscript"/>
                <w:lang w:val="es-ES_tradnl"/>
              </w:rPr>
              <w:t>t</w:t>
            </w:r>
            <w:r w:rsidRPr="008B7A21">
              <w:rPr>
                <w:iCs/>
                <w:snapToGrid w:val="0"/>
                <w:color w:val="000000"/>
                <w:sz w:val="20"/>
                <w:lang w:val="es-ES_tradnl"/>
              </w:rPr>
              <w:t xml:space="preserve"> (</w:t>
            </w:r>
            <w:r w:rsidRPr="008B7A21">
              <w:rPr>
                <w:sz w:val="20"/>
                <w:lang w:val="es-ES_tradnl"/>
              </w:rPr>
              <w:t>dB)</w:t>
            </w:r>
          </w:p>
        </w:tc>
        <w:tc>
          <w:tcPr>
            <w:tcW w:w="964" w:type="dxa"/>
          </w:tcPr>
          <w:p w14:paraId="333BCF9F" w14:textId="77777777" w:rsidR="00F73D5B" w:rsidRPr="008B7A21" w:rsidRDefault="00F73D5B" w:rsidP="00767A6A">
            <w:pPr>
              <w:pStyle w:val="Tabletext"/>
              <w:jc w:val="center"/>
              <w:rPr>
                <w:sz w:val="20"/>
                <w:lang w:val="es-ES_tradnl"/>
              </w:rPr>
            </w:pPr>
            <w:r w:rsidRPr="008B7A21">
              <w:rPr>
                <w:sz w:val="20"/>
                <w:lang w:val="es-ES_tradnl"/>
              </w:rPr>
              <w:t>13</w:t>
            </w:r>
          </w:p>
        </w:tc>
        <w:tc>
          <w:tcPr>
            <w:tcW w:w="851" w:type="dxa"/>
          </w:tcPr>
          <w:p w14:paraId="1898CFBF" w14:textId="77777777" w:rsidR="00F73D5B" w:rsidRPr="008B7A21" w:rsidRDefault="00F73D5B" w:rsidP="00767A6A">
            <w:pPr>
              <w:pStyle w:val="Tabletext"/>
              <w:jc w:val="center"/>
              <w:rPr>
                <w:sz w:val="20"/>
                <w:lang w:val="es-ES_tradnl"/>
              </w:rPr>
            </w:pPr>
            <w:r w:rsidRPr="008B7A21">
              <w:rPr>
                <w:sz w:val="20"/>
                <w:lang w:val="es-ES_tradnl"/>
              </w:rPr>
              <w:t>18</w:t>
            </w:r>
          </w:p>
        </w:tc>
        <w:tc>
          <w:tcPr>
            <w:tcW w:w="851" w:type="dxa"/>
          </w:tcPr>
          <w:p w14:paraId="396682B7" w14:textId="77777777" w:rsidR="00F73D5B" w:rsidRPr="008B7A21" w:rsidRDefault="00F73D5B" w:rsidP="00767A6A">
            <w:pPr>
              <w:pStyle w:val="Tabletext"/>
              <w:jc w:val="center"/>
              <w:rPr>
                <w:sz w:val="20"/>
                <w:lang w:val="es-ES_tradnl"/>
              </w:rPr>
            </w:pPr>
            <w:r w:rsidRPr="008B7A21">
              <w:rPr>
                <w:sz w:val="20"/>
                <w:lang w:val="es-ES_tradnl"/>
              </w:rPr>
              <w:t>17</w:t>
            </w:r>
          </w:p>
        </w:tc>
        <w:tc>
          <w:tcPr>
            <w:tcW w:w="851" w:type="dxa"/>
          </w:tcPr>
          <w:p w14:paraId="2CB18664" w14:textId="77777777" w:rsidR="00F73D5B" w:rsidRPr="008B7A21" w:rsidRDefault="00F73D5B" w:rsidP="00767A6A">
            <w:pPr>
              <w:pStyle w:val="Tabletext"/>
              <w:jc w:val="center"/>
              <w:rPr>
                <w:sz w:val="20"/>
                <w:lang w:val="es-ES_tradnl"/>
              </w:rPr>
            </w:pPr>
            <w:r w:rsidRPr="008B7A21">
              <w:rPr>
                <w:sz w:val="20"/>
                <w:lang w:val="es-ES_tradnl"/>
              </w:rPr>
              <w:t>10-17</w:t>
            </w:r>
          </w:p>
        </w:tc>
        <w:tc>
          <w:tcPr>
            <w:tcW w:w="851" w:type="dxa"/>
          </w:tcPr>
          <w:p w14:paraId="317D70FD" w14:textId="77777777" w:rsidR="00F73D5B" w:rsidRPr="008B7A21" w:rsidRDefault="00F73D5B" w:rsidP="00767A6A">
            <w:pPr>
              <w:pStyle w:val="Tabletext"/>
              <w:jc w:val="center"/>
              <w:rPr>
                <w:sz w:val="20"/>
                <w:lang w:val="es-ES_tradnl"/>
              </w:rPr>
            </w:pPr>
            <w:r w:rsidRPr="008B7A21">
              <w:rPr>
                <w:sz w:val="20"/>
                <w:lang w:val="es-ES_tradnl"/>
              </w:rPr>
              <w:t>3</w:t>
            </w:r>
          </w:p>
        </w:tc>
        <w:tc>
          <w:tcPr>
            <w:tcW w:w="851" w:type="dxa"/>
          </w:tcPr>
          <w:p w14:paraId="34645867" w14:textId="77777777" w:rsidR="00F73D5B" w:rsidRPr="008B7A21" w:rsidRDefault="00F73D5B" w:rsidP="00767A6A">
            <w:pPr>
              <w:pStyle w:val="Tabletext"/>
              <w:jc w:val="center"/>
              <w:rPr>
                <w:sz w:val="20"/>
                <w:lang w:val="es-ES_tradnl"/>
              </w:rPr>
            </w:pPr>
            <w:r w:rsidRPr="008B7A21">
              <w:rPr>
                <w:sz w:val="20"/>
                <w:lang w:val="es-ES_tradnl"/>
              </w:rPr>
              <w:t>6-15</w:t>
            </w:r>
          </w:p>
        </w:tc>
      </w:tr>
      <w:tr w:rsidR="00F73D5B" w:rsidRPr="008B7A21" w14:paraId="50C24FE6" w14:textId="77777777" w:rsidTr="00767A6A">
        <w:trPr>
          <w:jc w:val="center"/>
        </w:trPr>
        <w:tc>
          <w:tcPr>
            <w:tcW w:w="4423" w:type="dxa"/>
          </w:tcPr>
          <w:p w14:paraId="04033489" w14:textId="77777777" w:rsidR="00F73D5B" w:rsidRPr="008B7A21" w:rsidRDefault="00F73D5B" w:rsidP="00767A6A">
            <w:pPr>
              <w:pStyle w:val="Tabletext"/>
              <w:rPr>
                <w:sz w:val="20"/>
                <w:lang w:val="es-ES_tradnl"/>
              </w:rPr>
            </w:pPr>
            <w:r w:rsidRPr="008B7A21">
              <w:rPr>
                <w:sz w:val="20"/>
                <w:lang w:val="es-ES_tradnl"/>
              </w:rPr>
              <w:t xml:space="preserve">Ganancia de la antena de recepción </w:t>
            </w:r>
            <w:r w:rsidRPr="008B7A21">
              <w:rPr>
                <w:i/>
                <w:snapToGrid w:val="0"/>
                <w:color w:val="000000"/>
                <w:sz w:val="20"/>
                <w:lang w:val="es-ES_tradnl"/>
              </w:rPr>
              <w:t>G</w:t>
            </w:r>
            <w:r w:rsidRPr="008B7A21">
              <w:rPr>
                <w:i/>
                <w:snapToGrid w:val="0"/>
                <w:color w:val="000000"/>
                <w:sz w:val="20"/>
                <w:vertAlign w:val="subscript"/>
                <w:lang w:val="es-ES_tradnl"/>
              </w:rPr>
              <w:t>r</w:t>
            </w:r>
            <w:r w:rsidRPr="008B7A21">
              <w:rPr>
                <w:iCs/>
                <w:snapToGrid w:val="0"/>
                <w:color w:val="000000"/>
                <w:sz w:val="20"/>
                <w:lang w:val="es-ES_tradnl"/>
              </w:rPr>
              <w:t xml:space="preserve"> (</w:t>
            </w:r>
            <w:r w:rsidRPr="008B7A21">
              <w:rPr>
                <w:sz w:val="20"/>
                <w:lang w:val="es-ES_tradnl"/>
              </w:rPr>
              <w:t>dB)</w:t>
            </w:r>
          </w:p>
        </w:tc>
        <w:tc>
          <w:tcPr>
            <w:tcW w:w="964" w:type="dxa"/>
          </w:tcPr>
          <w:p w14:paraId="0A032458" w14:textId="77777777" w:rsidR="00F73D5B" w:rsidRPr="008B7A21" w:rsidRDefault="00F73D5B" w:rsidP="00767A6A">
            <w:pPr>
              <w:pStyle w:val="Tabletext"/>
              <w:jc w:val="center"/>
              <w:rPr>
                <w:sz w:val="20"/>
                <w:lang w:val="es-ES_tradnl"/>
              </w:rPr>
            </w:pPr>
            <w:r w:rsidRPr="008B7A21">
              <w:rPr>
                <w:sz w:val="20"/>
                <w:lang w:val="es-ES_tradnl"/>
              </w:rPr>
              <w:t>0</w:t>
            </w:r>
          </w:p>
        </w:tc>
        <w:tc>
          <w:tcPr>
            <w:tcW w:w="851" w:type="dxa"/>
          </w:tcPr>
          <w:p w14:paraId="3595FCC4" w14:textId="77777777" w:rsidR="00F73D5B" w:rsidRPr="008B7A21" w:rsidRDefault="00F73D5B" w:rsidP="00767A6A">
            <w:pPr>
              <w:pStyle w:val="Tabletext"/>
              <w:jc w:val="center"/>
              <w:rPr>
                <w:sz w:val="20"/>
                <w:lang w:val="es-ES_tradnl"/>
              </w:rPr>
            </w:pPr>
            <w:r w:rsidRPr="008B7A21">
              <w:rPr>
                <w:sz w:val="20"/>
                <w:lang w:val="es-ES_tradnl"/>
              </w:rPr>
              <w:t>0</w:t>
            </w:r>
          </w:p>
        </w:tc>
        <w:tc>
          <w:tcPr>
            <w:tcW w:w="851" w:type="dxa"/>
          </w:tcPr>
          <w:p w14:paraId="560EB8E7" w14:textId="77777777" w:rsidR="00F73D5B" w:rsidRPr="008B7A21" w:rsidRDefault="00F73D5B" w:rsidP="00767A6A">
            <w:pPr>
              <w:pStyle w:val="Tabletext"/>
              <w:jc w:val="center"/>
              <w:rPr>
                <w:sz w:val="20"/>
                <w:lang w:val="es-ES_tradnl"/>
              </w:rPr>
            </w:pPr>
            <w:r w:rsidRPr="008B7A21">
              <w:rPr>
                <w:sz w:val="20"/>
                <w:lang w:val="es-ES_tradnl"/>
              </w:rPr>
              <w:t>0</w:t>
            </w:r>
          </w:p>
        </w:tc>
        <w:tc>
          <w:tcPr>
            <w:tcW w:w="851" w:type="dxa"/>
          </w:tcPr>
          <w:p w14:paraId="0DD85D9F" w14:textId="77777777" w:rsidR="00F73D5B" w:rsidRPr="008B7A21" w:rsidRDefault="00F73D5B" w:rsidP="00767A6A">
            <w:pPr>
              <w:pStyle w:val="Tabletext"/>
              <w:jc w:val="center"/>
              <w:rPr>
                <w:sz w:val="20"/>
                <w:lang w:val="es-ES_tradnl"/>
              </w:rPr>
            </w:pPr>
            <w:r w:rsidRPr="008B7A21">
              <w:rPr>
                <w:sz w:val="20"/>
                <w:lang w:val="es-ES_tradnl"/>
              </w:rPr>
              <w:t>6</w:t>
            </w:r>
          </w:p>
        </w:tc>
        <w:tc>
          <w:tcPr>
            <w:tcW w:w="851" w:type="dxa"/>
          </w:tcPr>
          <w:p w14:paraId="408C5F39" w14:textId="77777777" w:rsidR="00F73D5B" w:rsidRPr="008B7A21" w:rsidRDefault="00F73D5B" w:rsidP="00767A6A">
            <w:pPr>
              <w:pStyle w:val="Tabletext"/>
              <w:jc w:val="center"/>
              <w:rPr>
                <w:sz w:val="20"/>
                <w:lang w:val="es-ES_tradnl"/>
              </w:rPr>
            </w:pPr>
            <w:r w:rsidRPr="008B7A21">
              <w:rPr>
                <w:sz w:val="20"/>
                <w:lang w:val="es-ES_tradnl"/>
              </w:rPr>
              <w:t>3</w:t>
            </w:r>
          </w:p>
        </w:tc>
        <w:tc>
          <w:tcPr>
            <w:tcW w:w="851" w:type="dxa"/>
          </w:tcPr>
          <w:p w14:paraId="642DEBF7" w14:textId="77777777" w:rsidR="00F73D5B" w:rsidRPr="008B7A21" w:rsidRDefault="00F73D5B" w:rsidP="00767A6A">
            <w:pPr>
              <w:pStyle w:val="Tabletext"/>
              <w:jc w:val="center"/>
              <w:rPr>
                <w:sz w:val="20"/>
                <w:lang w:val="es-ES_tradnl"/>
              </w:rPr>
            </w:pPr>
            <w:r w:rsidRPr="008B7A21">
              <w:rPr>
                <w:sz w:val="20"/>
                <w:lang w:val="es-ES_tradnl"/>
              </w:rPr>
              <w:t>3-6</w:t>
            </w:r>
          </w:p>
        </w:tc>
      </w:tr>
      <w:tr w:rsidR="00F73D5B" w:rsidRPr="008B7A21" w14:paraId="65B283F4" w14:textId="77777777" w:rsidTr="00767A6A">
        <w:trPr>
          <w:jc w:val="center"/>
        </w:trPr>
        <w:tc>
          <w:tcPr>
            <w:tcW w:w="4423" w:type="dxa"/>
          </w:tcPr>
          <w:p w14:paraId="49801D58" w14:textId="77777777" w:rsidR="00F73D5B" w:rsidRPr="008B7A21" w:rsidRDefault="00F73D5B" w:rsidP="00767A6A">
            <w:pPr>
              <w:pStyle w:val="Tabletext"/>
              <w:rPr>
                <w:sz w:val="20"/>
                <w:lang w:val="es-ES_tradnl"/>
              </w:rPr>
            </w:pPr>
            <w:r w:rsidRPr="008B7A21">
              <w:rPr>
                <w:sz w:val="20"/>
                <w:lang w:val="es-ES_tradnl"/>
              </w:rPr>
              <w:t xml:space="preserve">Sensibilidad del receptor </w:t>
            </w:r>
            <w:r w:rsidRPr="008B7A21">
              <w:rPr>
                <w:i/>
                <w:iCs/>
                <w:sz w:val="20"/>
                <w:lang w:val="es-ES_tradnl"/>
              </w:rPr>
              <w:t>P</w:t>
            </w:r>
            <w:r w:rsidRPr="008B7A21">
              <w:rPr>
                <w:i/>
                <w:iCs/>
                <w:sz w:val="20"/>
                <w:vertAlign w:val="subscript"/>
                <w:lang w:val="es-ES_tradnl"/>
              </w:rPr>
              <w:t>mín</w:t>
            </w:r>
            <w:r w:rsidRPr="008B7A21">
              <w:rPr>
                <w:sz w:val="20"/>
                <w:lang w:val="es-ES_tradnl"/>
              </w:rPr>
              <w:t xml:space="preserve"> (dBW)</w:t>
            </w:r>
          </w:p>
        </w:tc>
        <w:tc>
          <w:tcPr>
            <w:tcW w:w="964" w:type="dxa"/>
          </w:tcPr>
          <w:p w14:paraId="52F29D4C" w14:textId="2356CEB6" w:rsidR="00F73D5B" w:rsidRPr="008B7A21" w:rsidRDefault="00326136" w:rsidP="00767A6A">
            <w:pPr>
              <w:pStyle w:val="Tabletext"/>
              <w:jc w:val="center"/>
              <w:rPr>
                <w:sz w:val="20"/>
                <w:lang w:val="es-ES_tradnl"/>
              </w:rPr>
            </w:pPr>
            <w:r w:rsidRPr="00326136">
              <w:rPr>
                <w:sz w:val="20"/>
                <w:lang w:val="es-ES_tradnl"/>
              </w:rPr>
              <w:t>−</w:t>
            </w:r>
            <w:r w:rsidR="00F73D5B" w:rsidRPr="008B7A21">
              <w:rPr>
                <w:sz w:val="20"/>
                <w:lang w:val="es-ES_tradnl"/>
              </w:rPr>
              <w:t>147</w:t>
            </w:r>
          </w:p>
        </w:tc>
        <w:tc>
          <w:tcPr>
            <w:tcW w:w="851" w:type="dxa"/>
          </w:tcPr>
          <w:p w14:paraId="40894EC4" w14:textId="65B530FE" w:rsidR="00F73D5B" w:rsidRPr="008B7A21" w:rsidRDefault="00326136" w:rsidP="00767A6A">
            <w:pPr>
              <w:pStyle w:val="Tabletext"/>
              <w:jc w:val="center"/>
              <w:rPr>
                <w:sz w:val="20"/>
                <w:lang w:val="es-ES_tradnl"/>
              </w:rPr>
            </w:pPr>
            <w:r w:rsidRPr="00326136">
              <w:rPr>
                <w:sz w:val="20"/>
                <w:lang w:val="es-ES_tradnl"/>
              </w:rPr>
              <w:t>−</w:t>
            </w:r>
            <w:r w:rsidR="00F73D5B" w:rsidRPr="008B7A21">
              <w:rPr>
                <w:sz w:val="20"/>
                <w:lang w:val="es-ES_tradnl"/>
              </w:rPr>
              <w:t>138</w:t>
            </w:r>
          </w:p>
        </w:tc>
        <w:tc>
          <w:tcPr>
            <w:tcW w:w="851" w:type="dxa"/>
          </w:tcPr>
          <w:p w14:paraId="6E9F8D17" w14:textId="102B7340" w:rsidR="00F73D5B" w:rsidRPr="008B7A21" w:rsidRDefault="00326136" w:rsidP="00767A6A">
            <w:pPr>
              <w:pStyle w:val="Tabletext"/>
              <w:jc w:val="center"/>
              <w:rPr>
                <w:sz w:val="20"/>
                <w:lang w:val="es-ES_tradnl"/>
              </w:rPr>
            </w:pPr>
            <w:r w:rsidRPr="00326136">
              <w:rPr>
                <w:sz w:val="20"/>
                <w:lang w:val="es-ES_tradnl"/>
              </w:rPr>
              <w:t>−</w:t>
            </w:r>
            <w:r w:rsidR="00F73D5B" w:rsidRPr="008B7A21">
              <w:rPr>
                <w:sz w:val="20"/>
                <w:lang w:val="es-ES_tradnl"/>
              </w:rPr>
              <w:t>146</w:t>
            </w:r>
          </w:p>
        </w:tc>
        <w:tc>
          <w:tcPr>
            <w:tcW w:w="851" w:type="dxa"/>
          </w:tcPr>
          <w:p w14:paraId="79F4AE07" w14:textId="694B787A" w:rsidR="00F73D5B" w:rsidRPr="008B7A21" w:rsidRDefault="00326136" w:rsidP="00767A6A">
            <w:pPr>
              <w:pStyle w:val="Tabletext"/>
              <w:jc w:val="center"/>
              <w:rPr>
                <w:sz w:val="20"/>
                <w:lang w:val="es-ES_tradnl"/>
              </w:rPr>
            </w:pPr>
            <w:r w:rsidRPr="00326136">
              <w:rPr>
                <w:sz w:val="20"/>
                <w:lang w:val="es-ES_tradnl"/>
              </w:rPr>
              <w:t>−</w:t>
            </w:r>
            <w:r w:rsidR="00F73D5B" w:rsidRPr="008B7A21">
              <w:rPr>
                <w:sz w:val="20"/>
                <w:lang w:val="es-ES_tradnl"/>
              </w:rPr>
              <w:t>115</w:t>
            </w:r>
          </w:p>
        </w:tc>
        <w:tc>
          <w:tcPr>
            <w:tcW w:w="851" w:type="dxa"/>
          </w:tcPr>
          <w:p w14:paraId="3AC53A5B" w14:textId="463486A1" w:rsidR="00F73D5B" w:rsidRPr="008B7A21" w:rsidRDefault="00326136" w:rsidP="00767A6A">
            <w:pPr>
              <w:pStyle w:val="Tabletext"/>
              <w:jc w:val="center"/>
              <w:rPr>
                <w:sz w:val="20"/>
                <w:lang w:val="es-ES_tradnl"/>
              </w:rPr>
            </w:pPr>
            <w:r w:rsidRPr="00326136">
              <w:rPr>
                <w:sz w:val="20"/>
                <w:lang w:val="es-ES_tradnl"/>
              </w:rPr>
              <w:t>−</w:t>
            </w:r>
            <w:r w:rsidR="00F73D5B" w:rsidRPr="008B7A21">
              <w:rPr>
                <w:sz w:val="20"/>
                <w:lang w:val="es-ES_tradnl"/>
              </w:rPr>
              <w:t>112</w:t>
            </w:r>
          </w:p>
        </w:tc>
        <w:tc>
          <w:tcPr>
            <w:tcW w:w="851" w:type="dxa"/>
          </w:tcPr>
          <w:p w14:paraId="3B5C799E" w14:textId="2D3B73AB" w:rsidR="00F73D5B" w:rsidRPr="008B7A21" w:rsidRDefault="00326136" w:rsidP="00767A6A">
            <w:pPr>
              <w:pStyle w:val="Tabletext"/>
              <w:jc w:val="center"/>
              <w:rPr>
                <w:sz w:val="20"/>
                <w:lang w:val="es-ES_tradnl"/>
              </w:rPr>
            </w:pPr>
            <w:r w:rsidRPr="00326136">
              <w:rPr>
                <w:sz w:val="20"/>
                <w:lang w:val="es-ES_tradnl"/>
              </w:rPr>
              <w:t>−</w:t>
            </w:r>
            <w:r w:rsidR="00F73D5B" w:rsidRPr="008B7A21">
              <w:rPr>
                <w:sz w:val="20"/>
                <w:lang w:val="es-ES_tradnl"/>
              </w:rPr>
              <w:t>110</w:t>
            </w:r>
          </w:p>
        </w:tc>
      </w:tr>
    </w:tbl>
    <w:p w14:paraId="0C7D1484" w14:textId="77777777" w:rsidR="00F73D5B" w:rsidRPr="008B7A21" w:rsidRDefault="00F73D5B" w:rsidP="00F73D5B">
      <w:pPr>
        <w:rPr>
          <w:sz w:val="10"/>
          <w:szCs w:val="10"/>
          <w:lang w:val="es-ES_tradnl"/>
        </w:rPr>
      </w:pPr>
    </w:p>
    <w:p w14:paraId="3588BC82" w14:textId="77777777" w:rsidR="00F73D5B" w:rsidRPr="008B7A21" w:rsidRDefault="00F73D5B" w:rsidP="00F73D5B">
      <w:pPr>
        <w:rPr>
          <w:lang w:val="es-ES_tradnl"/>
        </w:rPr>
      </w:pPr>
      <w:r w:rsidRPr="008B7A21">
        <w:rPr>
          <w:lang w:val="es-ES_tradnl"/>
        </w:rPr>
        <w:t>Este Cuadro puede modificarse en el futuro cuando aparezcan nuevos sistemas de radiocomunicaciones móviles terrestres más eficaces.</w:t>
      </w:r>
    </w:p>
    <w:p w14:paraId="59B495AD" w14:textId="77777777" w:rsidR="00F73D5B" w:rsidRPr="008B7A21" w:rsidRDefault="00F73D5B" w:rsidP="00F73D5B">
      <w:pPr>
        <w:pStyle w:val="FigureNo"/>
        <w:rPr>
          <w:lang w:val="es-ES_tradnl"/>
        </w:rPr>
      </w:pPr>
      <w:r w:rsidRPr="008B7A21">
        <w:rPr>
          <w:lang w:val="es-ES_tradnl"/>
        </w:rPr>
        <w:t>Figura 7</w:t>
      </w:r>
    </w:p>
    <w:p w14:paraId="7FDEEE80" w14:textId="77777777" w:rsidR="00F73D5B" w:rsidRPr="008B7A21" w:rsidRDefault="00F73D5B" w:rsidP="00F73D5B">
      <w:pPr>
        <w:pStyle w:val="Figuretitle"/>
        <w:keepLines/>
        <w:rPr>
          <w:lang w:val="es-ES_tradnl"/>
        </w:rPr>
      </w:pPr>
      <w:r w:rsidRPr="008B7A21">
        <w:rPr>
          <w:lang w:val="es-ES_tradnl"/>
        </w:rPr>
        <w:t xml:space="preserve">Cálculo del radio de la zona de servicio para frecuencias por debajo de 1 000 MHz, </w:t>
      </w:r>
      <w:r w:rsidRPr="008B7A21">
        <w:rPr>
          <w:rFonts w:ascii="Times New Roman"/>
          <w:bCs/>
          <w:i/>
          <w:iCs/>
          <w:lang w:val="es-ES_tradnl"/>
        </w:rPr>
        <w:t>h</w:t>
      </w:r>
      <w:r w:rsidRPr="008B7A21">
        <w:rPr>
          <w:i/>
          <w:iCs/>
          <w:vertAlign w:val="subscript"/>
          <w:lang w:val="es-ES_tradnl"/>
        </w:rPr>
        <w:t>t</w:t>
      </w:r>
      <w:r w:rsidRPr="008B7A21">
        <w:rPr>
          <w:i/>
          <w:iCs/>
          <w:lang w:val="es-ES_tradnl"/>
        </w:rPr>
        <w:t xml:space="preserve"> </w:t>
      </w:r>
      <w:r w:rsidRPr="008B7A21">
        <w:rPr>
          <w:lang w:val="es-ES_tradnl"/>
        </w:rPr>
        <w:t>= 40 m</w:t>
      </w:r>
      <w:r w:rsidRPr="008B7A21">
        <w:rPr>
          <w:lang w:val="es-ES_tradnl"/>
        </w:rPr>
        <w:br/>
      </w:r>
      <w:r w:rsidRPr="008B7A21">
        <w:rPr>
          <w:rFonts w:ascii="Times New Roman"/>
          <w:bCs/>
          <w:lang w:val="es-ES_tradnl"/>
        </w:rPr>
        <w:t xml:space="preserve">1: </w:t>
      </w:r>
      <w:r w:rsidRPr="008B7A21">
        <w:rPr>
          <w:rFonts w:ascii="Times New Roman"/>
          <w:bCs/>
          <w:i/>
          <w:iCs/>
          <w:lang w:val="es-ES_tradnl"/>
        </w:rPr>
        <w:t>h</w:t>
      </w:r>
      <w:r w:rsidRPr="008B7A21">
        <w:rPr>
          <w:i/>
          <w:iCs/>
          <w:vertAlign w:val="subscript"/>
          <w:lang w:val="es-ES_tradnl"/>
        </w:rPr>
        <w:t>r</w:t>
      </w:r>
      <w:r w:rsidRPr="008B7A21">
        <w:rPr>
          <w:i/>
          <w:iCs/>
          <w:lang w:val="es-ES_tradnl"/>
        </w:rPr>
        <w:t xml:space="preserve"> </w:t>
      </w:r>
      <w:r w:rsidRPr="008B7A21">
        <w:rPr>
          <w:lang w:val="es-ES_tradnl"/>
        </w:rPr>
        <w:t xml:space="preserve">= 1,5 m, </w:t>
      </w:r>
      <w:r w:rsidRPr="008B7A21">
        <w:rPr>
          <w:rFonts w:ascii="Times New Roman"/>
          <w:bCs/>
          <w:lang w:val="es-ES_tradnl"/>
        </w:rPr>
        <w:t xml:space="preserve">2: </w:t>
      </w:r>
      <w:r w:rsidRPr="008B7A21">
        <w:rPr>
          <w:rFonts w:ascii="Times New Roman"/>
          <w:bCs/>
          <w:i/>
          <w:iCs/>
          <w:lang w:val="es-ES_tradnl"/>
        </w:rPr>
        <w:t>h</w:t>
      </w:r>
      <w:r w:rsidRPr="008B7A21">
        <w:rPr>
          <w:i/>
          <w:iCs/>
          <w:vertAlign w:val="subscript"/>
          <w:lang w:val="es-ES_tradnl"/>
        </w:rPr>
        <w:t>r</w:t>
      </w:r>
      <w:r w:rsidRPr="008B7A21">
        <w:rPr>
          <w:i/>
          <w:iCs/>
          <w:lang w:val="es-ES_tradnl"/>
        </w:rPr>
        <w:t xml:space="preserve"> </w:t>
      </w:r>
      <w:r w:rsidRPr="008B7A21">
        <w:rPr>
          <w:lang w:val="es-ES_tradnl"/>
        </w:rPr>
        <w:t>= 10 m, 3: propagación en el espacio libre</w:t>
      </w:r>
    </w:p>
    <w:p w14:paraId="2670B0D8" w14:textId="6E24F410" w:rsidR="00F73D5B" w:rsidRPr="008B7A21" w:rsidRDefault="002A1F3D" w:rsidP="00F73D5B">
      <w:pPr>
        <w:pStyle w:val="Figure"/>
        <w:rPr>
          <w:lang w:val="es-ES_tradnl"/>
        </w:rPr>
      </w:pPr>
      <w:r w:rsidRPr="008B7A21">
        <w:rPr>
          <w:lang w:val="es-ES_tradnl"/>
        </w:rPr>
        <w:object w:dxaOrig="6345" w:dyaOrig="4109" w14:anchorId="29338B63">
          <v:shape id="_x0000_i1688" type="#_x0000_t75" alt="La Figura 7 muestra el cálculo del radio de la zona de servicio para frecuencias por debajo de 1 000 MHz, ht = 40 m 1: hr = 1,5 m, 2: hr = 10 m, 3: propagación en el espacio libre&#10;" style="width:353.3pt;height:231.05pt" o:ole="">
            <v:imagedata r:id="rId79" o:title=""/>
          </v:shape>
          <o:OLEObject Type="Embed" ProgID="CorelDRAW.Graphic.14" ShapeID="_x0000_i1688" DrawAspect="Content" ObjectID="_1826705897" r:id="rId80"/>
        </w:object>
      </w:r>
    </w:p>
    <w:p w14:paraId="5CBCA45C" w14:textId="77777777" w:rsidR="00F73D5B" w:rsidRPr="008B7A21" w:rsidRDefault="00F73D5B" w:rsidP="00F73D5B">
      <w:pPr>
        <w:pStyle w:val="FigureNo"/>
        <w:rPr>
          <w:lang w:val="es-ES_tradnl"/>
        </w:rPr>
      </w:pPr>
      <w:r w:rsidRPr="008B7A21">
        <w:rPr>
          <w:lang w:val="es-ES_tradnl"/>
        </w:rPr>
        <w:t>Figura 8</w:t>
      </w:r>
    </w:p>
    <w:p w14:paraId="4BFA3DDB" w14:textId="77777777" w:rsidR="00F73D5B" w:rsidRPr="008B7A21" w:rsidRDefault="00F73D5B" w:rsidP="00F73D5B">
      <w:pPr>
        <w:pStyle w:val="Figuretitle"/>
        <w:rPr>
          <w:lang w:val="es-ES_tradnl"/>
        </w:rPr>
      </w:pPr>
      <w:r w:rsidRPr="008B7A21">
        <w:rPr>
          <w:lang w:val="es-ES_tradnl"/>
        </w:rPr>
        <w:t xml:space="preserve">Cálculo del radio de la zona de servicio para frecuencias por debajo de 1 000 MHz, </w:t>
      </w:r>
      <w:r w:rsidRPr="008B7A21">
        <w:rPr>
          <w:rFonts w:ascii="Times New Roman"/>
          <w:bCs/>
          <w:i/>
          <w:iCs/>
          <w:lang w:val="es-ES_tradnl"/>
        </w:rPr>
        <w:t>h</w:t>
      </w:r>
      <w:r w:rsidRPr="008B7A21">
        <w:rPr>
          <w:i/>
          <w:iCs/>
          <w:vertAlign w:val="subscript"/>
          <w:lang w:val="es-ES_tradnl"/>
        </w:rPr>
        <w:t>t</w:t>
      </w:r>
      <w:r w:rsidRPr="008B7A21">
        <w:rPr>
          <w:i/>
          <w:iCs/>
          <w:lang w:val="es-ES_tradnl"/>
        </w:rPr>
        <w:t xml:space="preserve"> </w:t>
      </w:r>
      <w:r w:rsidRPr="008B7A21">
        <w:rPr>
          <w:lang w:val="es-ES_tradnl"/>
        </w:rPr>
        <w:t>= 100 m</w:t>
      </w:r>
      <w:r w:rsidRPr="008B7A21">
        <w:rPr>
          <w:lang w:val="es-ES_tradnl"/>
        </w:rPr>
        <w:br/>
      </w:r>
      <w:r w:rsidRPr="008B7A21">
        <w:rPr>
          <w:rFonts w:ascii="Times New Roman"/>
          <w:bCs/>
          <w:lang w:val="es-ES_tradnl"/>
        </w:rPr>
        <w:t xml:space="preserve">1: </w:t>
      </w:r>
      <w:r w:rsidRPr="008B7A21">
        <w:rPr>
          <w:rFonts w:ascii="Times New Roman"/>
          <w:bCs/>
          <w:i/>
          <w:iCs/>
          <w:lang w:val="es-ES_tradnl"/>
        </w:rPr>
        <w:t>h</w:t>
      </w:r>
      <w:r w:rsidRPr="008B7A21">
        <w:rPr>
          <w:i/>
          <w:iCs/>
          <w:vertAlign w:val="subscript"/>
          <w:lang w:val="es-ES_tradnl"/>
        </w:rPr>
        <w:t>r</w:t>
      </w:r>
      <w:r w:rsidRPr="008B7A21">
        <w:rPr>
          <w:i/>
          <w:iCs/>
          <w:lang w:val="es-ES_tradnl"/>
        </w:rPr>
        <w:t xml:space="preserve"> </w:t>
      </w:r>
      <w:r w:rsidRPr="008B7A21">
        <w:rPr>
          <w:lang w:val="es-ES_tradnl"/>
        </w:rPr>
        <w:t xml:space="preserve">= 1,5 m, </w:t>
      </w:r>
      <w:r w:rsidRPr="008B7A21">
        <w:rPr>
          <w:rFonts w:ascii="Times New Roman"/>
          <w:bCs/>
          <w:lang w:val="es-ES_tradnl"/>
        </w:rPr>
        <w:t xml:space="preserve">2: </w:t>
      </w:r>
      <w:r w:rsidRPr="008B7A21">
        <w:rPr>
          <w:rFonts w:ascii="Times New Roman"/>
          <w:bCs/>
          <w:i/>
          <w:iCs/>
          <w:lang w:val="es-ES_tradnl"/>
        </w:rPr>
        <w:t>h</w:t>
      </w:r>
      <w:r w:rsidRPr="008B7A21">
        <w:rPr>
          <w:i/>
          <w:iCs/>
          <w:vertAlign w:val="subscript"/>
          <w:lang w:val="es-ES_tradnl"/>
        </w:rPr>
        <w:t>r</w:t>
      </w:r>
      <w:r w:rsidRPr="008B7A21">
        <w:rPr>
          <w:i/>
          <w:iCs/>
          <w:lang w:val="es-ES_tradnl"/>
        </w:rPr>
        <w:t xml:space="preserve"> </w:t>
      </w:r>
      <w:r w:rsidRPr="008B7A21">
        <w:rPr>
          <w:lang w:val="es-ES_tradnl"/>
        </w:rPr>
        <w:t>= 10 m, 3: Propagación en el espacio libre</w:t>
      </w:r>
    </w:p>
    <w:p w14:paraId="5A23CBA1" w14:textId="782E4F40" w:rsidR="00F73D5B" w:rsidRPr="008B7A21" w:rsidRDefault="002A1F3D" w:rsidP="00F73D5B">
      <w:pPr>
        <w:pStyle w:val="Figure"/>
        <w:rPr>
          <w:lang w:val="es-ES_tradnl"/>
        </w:rPr>
      </w:pPr>
      <w:r w:rsidRPr="008B7A21">
        <w:rPr>
          <w:lang w:val="es-ES_tradnl"/>
        </w:rPr>
        <w:object w:dxaOrig="6338" w:dyaOrig="4109" w14:anchorId="39772DE8">
          <v:shape id="_x0000_i1689" type="#_x0000_t75" alt="La Figura 8 muestra el cálculo del radio de la zona de servicio para frecuencias por debajo de 1 000 MHz, ht = 100 m 1: hr = 1,5 m, 2: hr = 10 m, 3: Propagación en el espacio libre&#10;&#10;" style="width:5in;height:231.05pt" o:ole="">
            <v:imagedata r:id="rId81" o:title=""/>
          </v:shape>
          <o:OLEObject Type="Embed" ProgID="CorelDRAW.Graphic.14" ShapeID="_x0000_i1689" DrawAspect="Content" ObjectID="_1826705898" r:id="rId82"/>
        </w:object>
      </w:r>
    </w:p>
    <w:p w14:paraId="2A47CDDC" w14:textId="77777777" w:rsidR="00F73D5B" w:rsidRPr="008B7A21" w:rsidRDefault="00F73D5B" w:rsidP="00F73D5B">
      <w:pPr>
        <w:pStyle w:val="FigureNo"/>
        <w:rPr>
          <w:lang w:val="es-ES_tradnl"/>
        </w:rPr>
      </w:pPr>
      <w:r w:rsidRPr="008B7A21">
        <w:rPr>
          <w:lang w:val="es-ES_tradnl"/>
        </w:rPr>
        <w:t>Figura 9</w:t>
      </w:r>
    </w:p>
    <w:p w14:paraId="1FB139C1" w14:textId="77777777" w:rsidR="00F73D5B" w:rsidRPr="008B7A21" w:rsidRDefault="00F73D5B" w:rsidP="00F73D5B">
      <w:pPr>
        <w:pStyle w:val="Figuretitle"/>
        <w:rPr>
          <w:lang w:val="es-ES_tradnl"/>
        </w:rPr>
      </w:pPr>
      <w:r w:rsidRPr="008B7A21">
        <w:rPr>
          <w:lang w:val="es-ES_tradnl"/>
        </w:rPr>
        <w:t xml:space="preserve">Cálculo del radio de la zona de servicio para frecuencias por debajo de 1 500 MHz, </w:t>
      </w:r>
      <w:r w:rsidRPr="008B7A21">
        <w:rPr>
          <w:rFonts w:ascii="Times New Roman"/>
          <w:bCs/>
          <w:i/>
          <w:iCs/>
          <w:lang w:val="es-ES_tradnl"/>
        </w:rPr>
        <w:t>h</w:t>
      </w:r>
      <w:r w:rsidRPr="008B7A21">
        <w:rPr>
          <w:i/>
          <w:iCs/>
          <w:vertAlign w:val="subscript"/>
          <w:lang w:val="es-ES_tradnl"/>
        </w:rPr>
        <w:t>t</w:t>
      </w:r>
      <w:r w:rsidRPr="008B7A21">
        <w:rPr>
          <w:i/>
          <w:iCs/>
          <w:lang w:val="es-ES_tradnl"/>
        </w:rPr>
        <w:t xml:space="preserve"> </w:t>
      </w:r>
      <w:r w:rsidRPr="008B7A21">
        <w:rPr>
          <w:lang w:val="es-ES_tradnl"/>
        </w:rPr>
        <w:t>= 100 m</w:t>
      </w:r>
      <w:r w:rsidRPr="008B7A21">
        <w:rPr>
          <w:lang w:val="es-ES_tradnl"/>
        </w:rPr>
        <w:br/>
      </w:r>
      <w:r w:rsidRPr="008B7A21">
        <w:rPr>
          <w:rFonts w:ascii="Times New Roman"/>
          <w:bCs/>
          <w:lang w:val="es-ES_tradnl"/>
        </w:rPr>
        <w:t xml:space="preserve">1: </w:t>
      </w:r>
      <w:r w:rsidRPr="008B7A21">
        <w:rPr>
          <w:rFonts w:ascii="Times New Roman"/>
          <w:bCs/>
          <w:i/>
          <w:iCs/>
          <w:lang w:val="es-ES_tradnl"/>
        </w:rPr>
        <w:t>h</w:t>
      </w:r>
      <w:r w:rsidRPr="008B7A21">
        <w:rPr>
          <w:i/>
          <w:iCs/>
          <w:vertAlign w:val="subscript"/>
          <w:lang w:val="es-ES_tradnl"/>
        </w:rPr>
        <w:t>r</w:t>
      </w:r>
      <w:r w:rsidRPr="008B7A21">
        <w:rPr>
          <w:i/>
          <w:iCs/>
          <w:lang w:val="es-ES_tradnl"/>
        </w:rPr>
        <w:t xml:space="preserve"> </w:t>
      </w:r>
      <w:r w:rsidRPr="008B7A21">
        <w:rPr>
          <w:lang w:val="es-ES_tradnl"/>
        </w:rPr>
        <w:t xml:space="preserve">= 1,5 m, </w:t>
      </w:r>
      <w:r w:rsidRPr="008B7A21">
        <w:rPr>
          <w:rFonts w:ascii="Times New Roman"/>
          <w:bCs/>
          <w:lang w:val="es-ES_tradnl"/>
        </w:rPr>
        <w:t xml:space="preserve">2: </w:t>
      </w:r>
      <w:r w:rsidRPr="008B7A21">
        <w:rPr>
          <w:rFonts w:ascii="Times New Roman"/>
          <w:bCs/>
          <w:i/>
          <w:iCs/>
          <w:lang w:val="es-ES_tradnl"/>
        </w:rPr>
        <w:t>h</w:t>
      </w:r>
      <w:r w:rsidRPr="008B7A21">
        <w:rPr>
          <w:i/>
          <w:iCs/>
          <w:vertAlign w:val="subscript"/>
          <w:lang w:val="es-ES_tradnl"/>
        </w:rPr>
        <w:t>r</w:t>
      </w:r>
      <w:r w:rsidRPr="008B7A21">
        <w:rPr>
          <w:i/>
          <w:iCs/>
          <w:lang w:val="es-ES_tradnl"/>
        </w:rPr>
        <w:t xml:space="preserve"> </w:t>
      </w:r>
      <w:r w:rsidRPr="008B7A21">
        <w:rPr>
          <w:lang w:val="es-ES_tradnl"/>
        </w:rPr>
        <w:t>= 10 m, 3: propagación en el espacio libre</w:t>
      </w:r>
    </w:p>
    <w:p w14:paraId="6D0169DE" w14:textId="27AA82D1" w:rsidR="00F73D5B" w:rsidRPr="008B7A21" w:rsidRDefault="002A1F3D" w:rsidP="00F73D5B">
      <w:pPr>
        <w:pStyle w:val="Figure"/>
        <w:rPr>
          <w:lang w:val="es-ES_tradnl"/>
        </w:rPr>
      </w:pPr>
      <w:r w:rsidRPr="008B7A21">
        <w:rPr>
          <w:lang w:val="es-ES_tradnl"/>
        </w:rPr>
        <w:object w:dxaOrig="6330" w:dyaOrig="4120" w14:anchorId="2C28E810">
          <v:shape id="_x0000_i1690" type="#_x0000_t75" alt="La Figura 9 muestra el cálculo del radio de la zona de servicio para frecuencias por debajo de 1 500 MHz, ht = 100 m 1: hr = 1,5 m, 2: hr = 10 m, 3: propagación en el espacio libre&#10;&#10;" style="width:5in;height:231.05pt" o:ole="">
            <v:imagedata r:id="rId83" o:title=""/>
          </v:shape>
          <o:OLEObject Type="Embed" ProgID="CorelDRAW.Graphic.14" ShapeID="_x0000_i1690" DrawAspect="Content" ObjectID="_1826705899" r:id="rId84"/>
        </w:object>
      </w:r>
    </w:p>
    <w:p w14:paraId="6A4751CC" w14:textId="77777777" w:rsidR="00F73D5B" w:rsidRPr="008B7A21" w:rsidRDefault="00F73D5B" w:rsidP="00F73D5B">
      <w:pPr>
        <w:pStyle w:val="FigureNo"/>
        <w:rPr>
          <w:lang w:val="es-ES_tradnl"/>
        </w:rPr>
      </w:pPr>
      <w:r w:rsidRPr="008B7A21">
        <w:rPr>
          <w:lang w:val="es-ES_tradnl"/>
        </w:rPr>
        <w:t>Figura 10</w:t>
      </w:r>
    </w:p>
    <w:p w14:paraId="4D19EB88" w14:textId="77777777" w:rsidR="00F73D5B" w:rsidRPr="008B7A21" w:rsidRDefault="00F73D5B" w:rsidP="00F73D5B">
      <w:pPr>
        <w:pStyle w:val="Figuretitle"/>
        <w:rPr>
          <w:lang w:val="es-ES_tradnl"/>
        </w:rPr>
      </w:pPr>
      <w:r w:rsidRPr="008B7A21">
        <w:rPr>
          <w:lang w:val="es-ES_tradnl"/>
        </w:rPr>
        <w:t xml:space="preserve">Cálculo del radio de la zona de servicio para frecuencias por debajo de 1 500 MHz, </w:t>
      </w:r>
      <w:r w:rsidRPr="008B7A21">
        <w:rPr>
          <w:rFonts w:ascii="Times New Roman"/>
          <w:bCs/>
          <w:i/>
          <w:iCs/>
          <w:lang w:val="es-ES_tradnl"/>
        </w:rPr>
        <w:t>h</w:t>
      </w:r>
      <w:r w:rsidRPr="008B7A21">
        <w:rPr>
          <w:i/>
          <w:iCs/>
          <w:vertAlign w:val="subscript"/>
          <w:lang w:val="es-ES_tradnl"/>
        </w:rPr>
        <w:t>t</w:t>
      </w:r>
      <w:r w:rsidRPr="008B7A21">
        <w:rPr>
          <w:i/>
          <w:iCs/>
          <w:lang w:val="es-ES_tradnl"/>
        </w:rPr>
        <w:t xml:space="preserve"> </w:t>
      </w:r>
      <w:r w:rsidRPr="008B7A21">
        <w:rPr>
          <w:lang w:val="es-ES_tradnl"/>
        </w:rPr>
        <w:t>= 100 m</w:t>
      </w:r>
      <w:r w:rsidRPr="008B7A21">
        <w:rPr>
          <w:lang w:val="es-ES_tradnl"/>
        </w:rPr>
        <w:br/>
      </w:r>
      <w:r w:rsidRPr="008B7A21">
        <w:rPr>
          <w:rFonts w:ascii="Times New Roman"/>
          <w:bCs/>
          <w:lang w:val="es-ES_tradnl"/>
        </w:rPr>
        <w:t xml:space="preserve">1: </w:t>
      </w:r>
      <w:r w:rsidRPr="008B7A21">
        <w:rPr>
          <w:rFonts w:ascii="Times New Roman"/>
          <w:bCs/>
          <w:i/>
          <w:iCs/>
          <w:lang w:val="es-ES_tradnl"/>
        </w:rPr>
        <w:t>h</w:t>
      </w:r>
      <w:r w:rsidRPr="008B7A21">
        <w:rPr>
          <w:i/>
          <w:iCs/>
          <w:vertAlign w:val="subscript"/>
          <w:lang w:val="es-ES_tradnl"/>
        </w:rPr>
        <w:t>r</w:t>
      </w:r>
      <w:r w:rsidRPr="008B7A21">
        <w:rPr>
          <w:i/>
          <w:iCs/>
          <w:lang w:val="es-ES_tradnl"/>
        </w:rPr>
        <w:t xml:space="preserve"> </w:t>
      </w:r>
      <w:r w:rsidRPr="008B7A21">
        <w:rPr>
          <w:lang w:val="es-ES_tradnl"/>
        </w:rPr>
        <w:t>= 1,5 m,  </w:t>
      </w:r>
      <w:r w:rsidRPr="008B7A21">
        <w:rPr>
          <w:rFonts w:ascii="Times New Roman"/>
          <w:bCs/>
          <w:lang w:val="es-ES_tradnl"/>
        </w:rPr>
        <w:t xml:space="preserve">2: </w:t>
      </w:r>
      <w:r w:rsidRPr="008B7A21">
        <w:rPr>
          <w:rFonts w:ascii="Times New Roman"/>
          <w:bCs/>
          <w:i/>
          <w:iCs/>
          <w:lang w:val="es-ES_tradnl"/>
        </w:rPr>
        <w:t>h</w:t>
      </w:r>
      <w:r w:rsidRPr="008B7A21">
        <w:rPr>
          <w:i/>
          <w:iCs/>
          <w:vertAlign w:val="subscript"/>
          <w:lang w:val="es-ES_tradnl"/>
        </w:rPr>
        <w:t>r</w:t>
      </w:r>
      <w:r w:rsidRPr="008B7A21">
        <w:rPr>
          <w:i/>
          <w:iCs/>
          <w:lang w:val="es-ES_tradnl"/>
        </w:rPr>
        <w:t xml:space="preserve"> </w:t>
      </w:r>
      <w:r w:rsidRPr="008B7A21">
        <w:rPr>
          <w:lang w:val="es-ES_tradnl"/>
        </w:rPr>
        <w:t>= 10 m, 3: propagación en el espacio libre</w:t>
      </w:r>
    </w:p>
    <w:p w14:paraId="766D93E0" w14:textId="0BD0FCC4" w:rsidR="00F73D5B" w:rsidRPr="008B7A21" w:rsidRDefault="002A1F3D" w:rsidP="00F73D5B">
      <w:pPr>
        <w:pStyle w:val="Figure"/>
        <w:rPr>
          <w:lang w:val="es-ES_tradnl"/>
        </w:rPr>
      </w:pPr>
      <w:r w:rsidRPr="008B7A21">
        <w:rPr>
          <w:lang w:val="es-ES_tradnl"/>
        </w:rPr>
        <w:object w:dxaOrig="6330" w:dyaOrig="4099" w14:anchorId="385B6BEE">
          <v:shape id="_x0000_i1691" type="#_x0000_t75" alt="La Figura 10 muestra el cálculo del radio de la zona de servicio para frecuencias por debajo de 1 500 MHz, ht = 100 m 1: hr = 1,5 m,  2: hr = 10 m, 3: propagación en el espacio libre&#10;&#10;" style="width:317.3pt;height:200.95pt" o:ole="">
            <v:imagedata r:id="rId85" o:title=""/>
          </v:shape>
          <o:OLEObject Type="Embed" ProgID="CorelDRAW.Graphic.14" ShapeID="_x0000_i1691" DrawAspect="Content" ObjectID="_1826705900" r:id="rId86"/>
        </w:object>
      </w:r>
    </w:p>
    <w:p w14:paraId="64CEDF8D" w14:textId="77777777" w:rsidR="00F73D5B" w:rsidRPr="008B7A21" w:rsidRDefault="00F73D5B" w:rsidP="00F73D5B">
      <w:pPr>
        <w:pStyle w:val="Headingb"/>
        <w:rPr>
          <w:lang w:val="es-ES_tradnl"/>
        </w:rPr>
      </w:pPr>
      <w:bookmarkStart w:id="1434" w:name="_Toc307922625"/>
      <w:bookmarkStart w:id="1435" w:name="_Toc307991974"/>
      <w:bookmarkStart w:id="1436" w:name="_Toc307994007"/>
      <w:bookmarkStart w:id="1437" w:name="_Toc307996413"/>
      <w:bookmarkStart w:id="1438" w:name="_Toc499563051"/>
      <w:r w:rsidRPr="008B7A21">
        <w:rPr>
          <w:lang w:val="es-ES_tradnl"/>
        </w:rPr>
        <w:t>b)</w:t>
      </w:r>
      <w:r w:rsidRPr="008B7A21">
        <w:rPr>
          <w:lang w:val="es-ES_tradnl"/>
        </w:rPr>
        <w:tab/>
        <w:t>Procedimientos de cálculo</w:t>
      </w:r>
      <w:bookmarkEnd w:id="1434"/>
      <w:bookmarkEnd w:id="1435"/>
      <w:bookmarkEnd w:id="1436"/>
      <w:bookmarkEnd w:id="1437"/>
      <w:bookmarkEnd w:id="1438"/>
    </w:p>
    <w:p w14:paraId="6F6302B4" w14:textId="128EA90B" w:rsidR="00F73D5B" w:rsidRPr="008B7A21" w:rsidRDefault="00F73D5B" w:rsidP="00F73D5B">
      <w:pPr>
        <w:rPr>
          <w:lang w:val="es-ES_tradnl"/>
        </w:rPr>
      </w:pPr>
      <w:r w:rsidRPr="008B7A21">
        <w:rPr>
          <w:lang w:val="es-ES_tradnl"/>
        </w:rPr>
        <w:t xml:space="preserve">Con los gráficos presentados en las Figs. 7 a 10, el procedimiento de cálculo es bastante sencillo. Sólo es necesario introducir en la ecuación (45) los parámetros requeridos obtenidos de la base de datos nacional de asignación de frecuencias (o, en su ausencia, el Cuadro 12) y leer directamente en las Figs. 7 y 8, dependiendo de la frecuencia de trabajo y de las alturas de las antenas, el radio de la zona de servicio correspondiente </w:t>
      </w:r>
      <w:r w:rsidRPr="008B7A21">
        <w:rPr>
          <w:i/>
          <w:iCs/>
          <w:lang w:val="es-ES_tradnl"/>
        </w:rPr>
        <w:t>R</w:t>
      </w:r>
      <w:r w:rsidRPr="008B7A21">
        <w:rPr>
          <w:lang w:val="es-ES_tradnl"/>
        </w:rPr>
        <w:t xml:space="preserve"> para el valor calculado del parámetro </w:t>
      </w:r>
      <w:r w:rsidRPr="008B7A21">
        <w:rPr>
          <w:i/>
          <w:iCs/>
          <w:lang w:val="es-ES_tradnl"/>
        </w:rPr>
        <w:t>z</w:t>
      </w:r>
      <w:r w:rsidRPr="008B7A21">
        <w:rPr>
          <w:lang w:val="es-ES_tradnl"/>
        </w:rPr>
        <w:t>. Debido al hecho de que para el servicio móvil terrestre, y especialmente para los sistemas celulares, las zonas de servicio de las estaciones de base individuales son bastante pequeñas, normalmente se encontrarán dentro de una sola categoría de cánones de licencia. Por consiguiente, las zonas de servicio pueden calcularse generalmente mediante la sencilla ecuación (31).</w:t>
      </w:r>
    </w:p>
    <w:p w14:paraId="446BB577" w14:textId="77777777" w:rsidR="00F73D5B" w:rsidRPr="008B7A21" w:rsidRDefault="00F73D5B" w:rsidP="00F73D5B">
      <w:pPr>
        <w:rPr>
          <w:lang w:val="es-ES_tradnl"/>
        </w:rPr>
      </w:pPr>
      <w:r w:rsidRPr="008B7A21">
        <w:rPr>
          <w:lang w:val="es-ES_tradnl"/>
        </w:rPr>
        <w:t>Tras determinar el valor de la zona de servicio, el procedimiento de cálculo del espectro utilizado es el mismo que figura en el § 4.7.1 b).</w:t>
      </w:r>
    </w:p>
    <w:p w14:paraId="731D7CA8" w14:textId="77777777" w:rsidR="00F73D5B" w:rsidRPr="008B7A21" w:rsidRDefault="00F73D5B" w:rsidP="00F73D5B">
      <w:pPr>
        <w:pStyle w:val="Heading4"/>
        <w:rPr>
          <w:lang w:val="es-ES_tradnl"/>
        </w:rPr>
      </w:pPr>
      <w:r w:rsidRPr="008B7A21">
        <w:rPr>
          <w:lang w:val="es-ES_tradnl"/>
        </w:rPr>
        <w:t>4.7.4.2</w:t>
      </w:r>
      <w:r w:rsidRPr="008B7A21">
        <w:rPr>
          <w:lang w:val="es-ES_tradnl"/>
        </w:rPr>
        <w:tab/>
        <w:t>Ejemplo de cálculos</w:t>
      </w:r>
    </w:p>
    <w:p w14:paraId="4D441E7C" w14:textId="77777777" w:rsidR="00F73D5B" w:rsidRPr="008B7A21" w:rsidRDefault="00F73D5B" w:rsidP="00F73D5B">
      <w:pPr>
        <w:pStyle w:val="Headingb"/>
        <w:rPr>
          <w:lang w:val="es-ES_tradnl"/>
        </w:rPr>
      </w:pPr>
      <w:bookmarkStart w:id="1439" w:name="_Toc307922626"/>
      <w:bookmarkStart w:id="1440" w:name="_Toc307991975"/>
      <w:bookmarkStart w:id="1441" w:name="_Toc307994008"/>
      <w:bookmarkStart w:id="1442" w:name="_Toc307996414"/>
      <w:bookmarkStart w:id="1443" w:name="_Toc499563052"/>
      <w:r w:rsidRPr="008B7A21">
        <w:rPr>
          <w:lang w:val="es-ES_tradnl"/>
        </w:rPr>
        <w:t>a)</w:t>
      </w:r>
      <w:r w:rsidRPr="008B7A21">
        <w:rPr>
          <w:lang w:val="es-ES_tradnl"/>
        </w:rPr>
        <w:tab/>
        <w:t>Parámetros de partida</w:t>
      </w:r>
      <w:bookmarkEnd w:id="1439"/>
      <w:bookmarkEnd w:id="1440"/>
      <w:bookmarkEnd w:id="1441"/>
      <w:bookmarkEnd w:id="1442"/>
      <w:bookmarkEnd w:id="1443"/>
    </w:p>
    <w:p w14:paraId="495252CA" w14:textId="631DDB87" w:rsidR="00F73D5B" w:rsidRPr="008B7A21" w:rsidRDefault="00F73D5B" w:rsidP="00F73D5B">
      <w:pPr>
        <w:rPr>
          <w:lang w:val="es-ES_tradnl"/>
        </w:rPr>
      </w:pPr>
      <w:r w:rsidRPr="008B7A21">
        <w:rPr>
          <w:lang w:val="es-ES_tradnl"/>
        </w:rPr>
        <w:t xml:space="preserve">Se pretende calcular el espectro utilizado por una estación de base de un sistema celular GSM de 900 MHz funcionando con una potencia de 2,5 W sin interrupción 24 horas al día, sin compartición, en una ciudad con una población de 40 000 habitantes (es decir, de acuerdo con el Cuadro 2 </w:t>
      </w:r>
      <w:r w:rsidRPr="008B7A21">
        <w:rPr>
          <w:i/>
          <w:iCs/>
          <w:lang w:val="es-ES_tradnl"/>
        </w:rPr>
        <w:t>b</w:t>
      </w:r>
      <w:r w:rsidRPr="008B7A21">
        <w:rPr>
          <w:i/>
          <w:iCs/>
          <w:vertAlign w:val="subscript"/>
          <w:lang w:val="es-ES_tradnl"/>
        </w:rPr>
        <w:t>j</w:t>
      </w:r>
      <w:r w:rsidRPr="008B7A21">
        <w:rPr>
          <w:lang w:val="es-ES_tradnl"/>
        </w:rPr>
        <w:t> </w:t>
      </w:r>
      <w:r w:rsidR="00386EEF">
        <w:rPr>
          <w:lang w:val="es-ES_tradnl"/>
        </w:rPr>
        <w:t>=</w:t>
      </w:r>
      <w:r w:rsidRPr="008B7A21">
        <w:rPr>
          <w:lang w:val="es-ES_tradnl"/>
        </w:rPr>
        <w:t xml:space="preserve"> 1,2). Las bandas de frecuencias utilizadas para las transmisiones base-móvil y móvil-base son de 0,8 MHz cada una de ellas. Las alturas de la antena de transmisión y recepción son 40 m y 1,5 m respectivamente. Supóngase que el resto de </w:t>
      </w:r>
      <w:proofErr w:type="gramStart"/>
      <w:r w:rsidRPr="008B7A21">
        <w:rPr>
          <w:lang w:val="es-ES_tradnl"/>
        </w:rPr>
        <w:t>parámetros</w:t>
      </w:r>
      <w:proofErr w:type="gramEnd"/>
      <w:r w:rsidRPr="008B7A21">
        <w:rPr>
          <w:lang w:val="es-ES_tradnl"/>
        </w:rPr>
        <w:t xml:space="preserve"> corresponden a los indicados en el Cuadro 12.</w:t>
      </w:r>
    </w:p>
    <w:p w14:paraId="763EDDC1" w14:textId="77777777" w:rsidR="00F73D5B" w:rsidRPr="008B7A21" w:rsidRDefault="00F73D5B" w:rsidP="00F73D5B">
      <w:pPr>
        <w:pStyle w:val="Headingb"/>
        <w:rPr>
          <w:lang w:val="es-ES_tradnl"/>
        </w:rPr>
      </w:pPr>
      <w:bookmarkStart w:id="1444" w:name="_Toc307922627"/>
      <w:bookmarkStart w:id="1445" w:name="_Toc307991976"/>
      <w:bookmarkStart w:id="1446" w:name="_Toc307994009"/>
      <w:bookmarkStart w:id="1447" w:name="_Toc307996415"/>
      <w:bookmarkStart w:id="1448" w:name="_Toc499563053"/>
      <w:r w:rsidRPr="008B7A21">
        <w:rPr>
          <w:lang w:val="es-ES_tradnl"/>
        </w:rPr>
        <w:t>b)</w:t>
      </w:r>
      <w:r w:rsidRPr="008B7A21">
        <w:rPr>
          <w:lang w:val="es-ES_tradnl"/>
        </w:rPr>
        <w:tab/>
        <w:t>Recursos de tiempo y frecuencia utilizados</w:t>
      </w:r>
      <w:bookmarkEnd w:id="1444"/>
      <w:bookmarkEnd w:id="1445"/>
      <w:bookmarkEnd w:id="1446"/>
      <w:bookmarkEnd w:id="1447"/>
      <w:bookmarkEnd w:id="1448"/>
    </w:p>
    <w:p w14:paraId="64CE352A" w14:textId="77777777" w:rsidR="00F73D5B" w:rsidRPr="008B7A21" w:rsidRDefault="00F73D5B" w:rsidP="00F73D5B">
      <w:pPr>
        <w:rPr>
          <w:lang w:val="es-ES_tradnl"/>
        </w:rPr>
      </w:pPr>
      <w:r w:rsidRPr="008B7A21">
        <w:rPr>
          <w:lang w:val="es-ES_tradnl"/>
        </w:rPr>
        <w:t>De acuerdo con la ecuación (21), el recurso de tiempo es:</w:t>
      </w:r>
    </w:p>
    <w:p w14:paraId="55DA766E" w14:textId="52C14EE1" w:rsidR="00F73D5B" w:rsidRPr="008B7A21" w:rsidRDefault="00F73D5B" w:rsidP="00F73D5B">
      <w:pPr>
        <w:pStyle w:val="Equation"/>
        <w:rPr>
          <w:lang w:val="es-ES_tradnl"/>
        </w:rPr>
      </w:pPr>
      <w:r w:rsidRPr="008B7A21">
        <w:rPr>
          <w:lang w:val="es-ES_tradnl"/>
        </w:rPr>
        <w:tab/>
      </w:r>
      <w:r w:rsidRPr="008B7A21">
        <w:rPr>
          <w:lang w:val="es-ES_tradnl"/>
        </w:rPr>
        <w:tab/>
      </w:r>
      <w:r w:rsidRPr="008B7A21">
        <w:rPr>
          <w:i/>
          <w:lang w:val="es-ES_tradnl"/>
        </w:rPr>
        <w:t>T</w:t>
      </w:r>
      <w:r w:rsidRPr="008B7A21">
        <w:rPr>
          <w:lang w:val="es-ES_tradnl"/>
        </w:rPr>
        <w:t xml:space="preserve"> </w:t>
      </w:r>
      <w:r w:rsidR="00386EEF">
        <w:rPr>
          <w:lang w:val="es-ES_tradnl"/>
        </w:rPr>
        <w:t>=</w:t>
      </w:r>
      <w:r w:rsidRPr="008B7A21">
        <w:rPr>
          <w:lang w:val="es-ES_tradnl"/>
        </w:rPr>
        <w:t xml:space="preserve"> 24/24 (cada día) </w:t>
      </w:r>
      <w:r w:rsidR="00386EEF">
        <w:rPr>
          <w:lang w:val="es-ES_tradnl"/>
        </w:rPr>
        <w:t>=</w:t>
      </w:r>
      <w:r w:rsidRPr="008B7A21">
        <w:rPr>
          <w:lang w:val="es-ES_tradnl"/>
        </w:rPr>
        <w:t xml:space="preserve"> 1 año</w:t>
      </w:r>
    </w:p>
    <w:p w14:paraId="38FE4290" w14:textId="78A2E7B8" w:rsidR="00F73D5B" w:rsidRPr="008B7A21" w:rsidRDefault="00F73D5B" w:rsidP="00F73D5B">
      <w:pPr>
        <w:keepNext/>
        <w:keepLines/>
        <w:rPr>
          <w:lang w:val="es-ES_tradnl"/>
        </w:rPr>
      </w:pPr>
      <w:r w:rsidRPr="008B7A21">
        <w:rPr>
          <w:lang w:val="es-ES_tradnl"/>
        </w:rPr>
        <w:t xml:space="preserve">Puesto que el sistema utiliza dos conjuntos de bandas de frecuencias dentro de la misma zona de servicio, uno para las transmisiones base-móvil y otro para las transmisiones móvil-base, el recurso de frecuencia total utilizado, considerando que en la ecuación (25) </w:t>
      </w:r>
      <w:r w:rsidR="00386EEF" w:rsidRPr="00386EEF">
        <w:sym w:font="Symbol" w:char="F063"/>
      </w:r>
      <w:r w:rsidRPr="008B7A21">
        <w:rPr>
          <w:lang w:val="es-ES_tradnl"/>
        </w:rPr>
        <w:t> </w:t>
      </w:r>
      <w:r w:rsidR="00386EEF">
        <w:rPr>
          <w:lang w:val="es-ES_tradnl"/>
        </w:rPr>
        <w:t>=</w:t>
      </w:r>
      <w:r w:rsidRPr="008B7A21">
        <w:rPr>
          <w:lang w:val="es-ES_tradnl"/>
        </w:rPr>
        <w:t> 1, puede determinarse como sigue:</w:t>
      </w:r>
    </w:p>
    <w:p w14:paraId="0D4C57AC" w14:textId="2C109402" w:rsidR="00F73D5B" w:rsidRPr="008B7A21" w:rsidRDefault="00F73D5B" w:rsidP="00F73D5B">
      <w:pPr>
        <w:pStyle w:val="Equation"/>
        <w:rPr>
          <w:lang w:val="es-ES_tradnl"/>
        </w:rPr>
      </w:pPr>
      <w:r w:rsidRPr="008B7A21">
        <w:rPr>
          <w:lang w:val="es-ES_tradnl"/>
        </w:rPr>
        <w:tab/>
      </w:r>
      <w:r w:rsidRPr="008B7A21">
        <w:rPr>
          <w:lang w:val="es-ES_tradnl"/>
        </w:rPr>
        <w:tab/>
      </w:r>
      <w:r w:rsidRPr="008B7A21">
        <w:rPr>
          <w:i/>
          <w:lang w:val="es-ES_tradnl"/>
        </w:rPr>
        <w:t>F</w:t>
      </w:r>
      <w:r w:rsidRPr="008B7A21">
        <w:rPr>
          <w:lang w:val="es-ES_tradnl"/>
        </w:rPr>
        <w:t> </w:t>
      </w:r>
      <w:r w:rsidR="00386EEF">
        <w:rPr>
          <w:lang w:val="es-ES_tradnl"/>
        </w:rPr>
        <w:t>=</w:t>
      </w:r>
      <w:r w:rsidRPr="008B7A21">
        <w:rPr>
          <w:lang w:val="es-ES_tradnl"/>
        </w:rPr>
        <w:t> 2 </w:t>
      </w:r>
      <w:r w:rsidR="00386EEF">
        <w:rPr>
          <w:lang w:val="es-ES_tradnl"/>
        </w:rPr>
        <w:t>×</w:t>
      </w:r>
      <w:r w:rsidRPr="008B7A21">
        <w:rPr>
          <w:lang w:val="es-ES_tradnl"/>
        </w:rPr>
        <w:t> 0,8 </w:t>
      </w:r>
      <w:r w:rsidR="00386EEF">
        <w:rPr>
          <w:lang w:val="es-ES_tradnl"/>
        </w:rPr>
        <w:t>=</w:t>
      </w:r>
      <w:r w:rsidRPr="008B7A21">
        <w:rPr>
          <w:lang w:val="es-ES_tradnl"/>
        </w:rPr>
        <w:t> 1,6 MHz</w:t>
      </w:r>
    </w:p>
    <w:p w14:paraId="44CC0E4B" w14:textId="77777777" w:rsidR="00F73D5B" w:rsidRPr="008B7A21" w:rsidRDefault="00F73D5B" w:rsidP="00F73D5B">
      <w:pPr>
        <w:pStyle w:val="Headingb"/>
        <w:rPr>
          <w:lang w:val="es-ES_tradnl"/>
        </w:rPr>
      </w:pPr>
      <w:bookmarkStart w:id="1449" w:name="_Toc307922628"/>
      <w:bookmarkStart w:id="1450" w:name="_Toc307991977"/>
      <w:bookmarkStart w:id="1451" w:name="_Toc307994010"/>
      <w:bookmarkStart w:id="1452" w:name="_Toc307996416"/>
      <w:bookmarkStart w:id="1453" w:name="_Toc499563054"/>
      <w:r w:rsidRPr="008B7A21">
        <w:rPr>
          <w:lang w:val="es-ES_tradnl"/>
        </w:rPr>
        <w:t>c)</w:t>
      </w:r>
      <w:r w:rsidRPr="008B7A21">
        <w:rPr>
          <w:lang w:val="es-ES_tradnl"/>
        </w:rPr>
        <w:tab/>
        <w:t>Recurso territorial utilizado</w:t>
      </w:r>
      <w:bookmarkEnd w:id="1449"/>
      <w:bookmarkEnd w:id="1450"/>
      <w:bookmarkEnd w:id="1451"/>
      <w:bookmarkEnd w:id="1452"/>
      <w:bookmarkEnd w:id="1453"/>
    </w:p>
    <w:p w14:paraId="634D1E8C" w14:textId="2777179C" w:rsidR="00F73D5B" w:rsidRPr="008B7A21" w:rsidRDefault="00F73D5B" w:rsidP="00F73D5B">
      <w:pPr>
        <w:rPr>
          <w:lang w:val="es-ES_tradnl"/>
        </w:rPr>
      </w:pPr>
      <w:r w:rsidRPr="008B7A21">
        <w:rPr>
          <w:lang w:val="es-ES_tradnl"/>
        </w:rPr>
        <w:t>Sustituyendo los datos pertinentes del § 4.7.1 y del Cuadro 12 en la ecuación (45) se obtiene:</w:t>
      </w:r>
    </w:p>
    <w:p w14:paraId="2099CFC1" w14:textId="2B2CA06C" w:rsidR="00F73D5B" w:rsidRPr="008B7A21" w:rsidRDefault="00F73D5B" w:rsidP="00F73D5B">
      <w:pPr>
        <w:pStyle w:val="Equation"/>
        <w:rPr>
          <w:snapToGrid w:val="0"/>
          <w:lang w:val="es-ES_tradnl"/>
        </w:rPr>
      </w:pPr>
      <w:r w:rsidRPr="008B7A21">
        <w:rPr>
          <w:i/>
          <w:snapToGrid w:val="0"/>
          <w:lang w:val="es-ES_tradnl"/>
        </w:rPr>
        <w:tab/>
      </w:r>
      <w:r w:rsidRPr="008B7A21">
        <w:rPr>
          <w:i/>
          <w:snapToGrid w:val="0"/>
          <w:lang w:val="es-ES_tradnl"/>
        </w:rPr>
        <w:tab/>
        <w:t>z</w:t>
      </w:r>
      <w:r w:rsidRPr="008B7A21">
        <w:rPr>
          <w:snapToGrid w:val="0"/>
          <w:lang w:val="es-ES_tradnl"/>
        </w:rPr>
        <w:t> </w:t>
      </w:r>
      <w:r w:rsidR="00386EEF">
        <w:rPr>
          <w:snapToGrid w:val="0"/>
          <w:lang w:val="es-ES_tradnl"/>
        </w:rPr>
        <w:t>=</w:t>
      </w:r>
      <w:r w:rsidRPr="008B7A21">
        <w:rPr>
          <w:snapToGrid w:val="0"/>
          <w:lang w:val="es-ES_tradnl"/>
        </w:rPr>
        <w:t xml:space="preserve"> 10 </w:t>
      </w:r>
      <w:r w:rsidRPr="008B7A21">
        <w:rPr>
          <w:lang w:val="es-ES_tradnl"/>
        </w:rPr>
        <w:t>log</w:t>
      </w:r>
      <w:r w:rsidRPr="008B7A21">
        <w:rPr>
          <w:snapToGrid w:val="0"/>
          <w:lang w:val="es-ES_tradnl"/>
        </w:rPr>
        <w:t xml:space="preserve"> 2,5</w:t>
      </w:r>
      <w:r w:rsidRPr="008B7A21">
        <w:rPr>
          <w:lang w:val="es-ES_tradnl"/>
        </w:rPr>
        <w:t xml:space="preserve"> </w:t>
      </w:r>
      <w:r w:rsidR="00386EEF" w:rsidRPr="00386EEF">
        <w:sym w:font="Symbol" w:char="F02B"/>
      </w:r>
      <w:r w:rsidRPr="008B7A21">
        <w:rPr>
          <w:lang w:val="es-ES_tradnl"/>
        </w:rPr>
        <w:t xml:space="preserve"> </w:t>
      </w:r>
      <w:r w:rsidRPr="008B7A21">
        <w:rPr>
          <w:snapToGrid w:val="0"/>
          <w:lang w:val="es-ES_tradnl"/>
        </w:rPr>
        <w:t xml:space="preserve">18 </w:t>
      </w:r>
      <w:r w:rsidR="00386EEF" w:rsidRPr="00386EEF">
        <w:sym w:font="Symbol" w:char="F02B"/>
      </w:r>
      <w:r w:rsidRPr="008B7A21">
        <w:rPr>
          <w:lang w:val="es-ES_tradnl"/>
        </w:rPr>
        <w:t xml:space="preserve"> </w:t>
      </w:r>
      <w:r w:rsidRPr="008B7A21">
        <w:rPr>
          <w:snapToGrid w:val="0"/>
          <w:lang w:val="es-ES_tradnl"/>
        </w:rPr>
        <w:t>0</w:t>
      </w:r>
      <w:r w:rsidRPr="008B7A21">
        <w:rPr>
          <w:lang w:val="es-ES_tradnl"/>
        </w:rPr>
        <w:t xml:space="preserve"> – </w:t>
      </w:r>
      <w:r w:rsidRPr="008B7A21">
        <w:rPr>
          <w:snapToGrid w:val="0"/>
          <w:lang w:val="es-ES_tradnl"/>
        </w:rPr>
        <w:t>(–138) </w:t>
      </w:r>
      <w:r w:rsidR="00386EEF">
        <w:rPr>
          <w:snapToGrid w:val="0"/>
          <w:lang w:val="es-ES_tradnl"/>
        </w:rPr>
        <w:t>=</w:t>
      </w:r>
      <w:r w:rsidRPr="008B7A21">
        <w:rPr>
          <w:snapToGrid w:val="0"/>
          <w:lang w:val="es-ES_tradnl"/>
        </w:rPr>
        <w:t> 160 dB</w:t>
      </w:r>
    </w:p>
    <w:p w14:paraId="47C3F25C" w14:textId="77777777" w:rsidR="00F73D5B" w:rsidRPr="008B7A21" w:rsidRDefault="00F73D5B" w:rsidP="00F73D5B">
      <w:pPr>
        <w:rPr>
          <w:lang w:val="es-ES_tradnl"/>
        </w:rPr>
      </w:pPr>
      <w:r w:rsidRPr="008B7A21">
        <w:rPr>
          <w:lang w:val="es-ES_tradnl"/>
        </w:rPr>
        <w:t xml:space="preserve">Para este valor de </w:t>
      </w:r>
      <w:r w:rsidRPr="008B7A21">
        <w:rPr>
          <w:i/>
          <w:iCs/>
          <w:lang w:val="es-ES_tradnl"/>
        </w:rPr>
        <w:t>z</w:t>
      </w:r>
      <w:r w:rsidRPr="008B7A21">
        <w:rPr>
          <w:lang w:val="es-ES_tradnl"/>
        </w:rPr>
        <w:t>, de la línea 1 de la Fig. 7 y de la ecuación (31) se obtienen los valores:</w:t>
      </w:r>
    </w:p>
    <w:p w14:paraId="433585B1" w14:textId="65653D7A" w:rsidR="00F73D5B" w:rsidRPr="008B7A21" w:rsidRDefault="00F73D5B" w:rsidP="00F73D5B">
      <w:pPr>
        <w:pStyle w:val="Equation"/>
        <w:rPr>
          <w:lang w:val="es-ES_tradnl"/>
        </w:rPr>
      </w:pPr>
      <w:r w:rsidRPr="008B7A21">
        <w:rPr>
          <w:i/>
          <w:iCs/>
          <w:lang w:val="es-ES_tradnl"/>
        </w:rPr>
        <w:tab/>
      </w:r>
      <w:r w:rsidRPr="008B7A21">
        <w:rPr>
          <w:i/>
          <w:iCs/>
          <w:lang w:val="es-ES_tradnl"/>
        </w:rPr>
        <w:tab/>
        <w:t>R</w:t>
      </w:r>
      <w:r w:rsidRPr="008B7A21">
        <w:rPr>
          <w:lang w:val="es-ES_tradnl"/>
        </w:rPr>
        <w:t xml:space="preserve"> </w:t>
      </w:r>
      <w:r w:rsidR="00386EEF">
        <w:rPr>
          <w:lang w:val="es-ES_tradnl"/>
        </w:rPr>
        <w:t>=</w:t>
      </w:r>
      <w:r w:rsidRPr="008B7A21">
        <w:rPr>
          <w:lang w:val="es-ES_tradnl"/>
        </w:rPr>
        <w:t xml:space="preserve"> 10 km,   </w:t>
      </w:r>
      <w:r w:rsidRPr="008B7A21">
        <w:rPr>
          <w:i/>
          <w:iCs/>
          <w:lang w:val="es-ES_tradnl"/>
        </w:rPr>
        <w:t>S</w:t>
      </w:r>
      <w:r w:rsidRPr="008B7A21">
        <w:rPr>
          <w:lang w:val="es-ES_tradnl"/>
        </w:rPr>
        <w:t> </w:t>
      </w:r>
      <w:r w:rsidR="00386EEF">
        <w:rPr>
          <w:lang w:val="es-ES_tradnl"/>
        </w:rPr>
        <w:t>=</w:t>
      </w:r>
      <w:r w:rsidRPr="008B7A21">
        <w:rPr>
          <w:lang w:val="es-ES_tradnl"/>
        </w:rPr>
        <w:t> 314 km</w:t>
      </w:r>
      <w:r w:rsidRPr="008B7A21">
        <w:rPr>
          <w:vertAlign w:val="superscript"/>
          <w:lang w:val="es-ES_tradnl"/>
        </w:rPr>
        <w:t>2</w:t>
      </w:r>
    </w:p>
    <w:p w14:paraId="7756C212" w14:textId="5132176C" w:rsidR="00F73D5B" w:rsidRPr="008B7A21" w:rsidRDefault="00F73D5B" w:rsidP="00F73D5B">
      <w:pPr>
        <w:rPr>
          <w:lang w:val="es-ES_tradnl"/>
        </w:rPr>
      </w:pPr>
      <w:r w:rsidRPr="008B7A21">
        <w:rPr>
          <w:lang w:val="es-ES_tradnl"/>
        </w:rPr>
        <w:t>A partir de la ecuación (22), y teniendo en cuenta los datos pertinentes del Cuadro 2, se obtiene el valor:</w:t>
      </w:r>
    </w:p>
    <w:p w14:paraId="56602685" w14:textId="7C7A6FB7" w:rsidR="00F73D5B" w:rsidRPr="008B7A21" w:rsidRDefault="00F73D5B" w:rsidP="00F73D5B">
      <w:pPr>
        <w:pStyle w:val="Equation"/>
        <w:rPr>
          <w:lang w:val="es-ES_tradnl"/>
        </w:rPr>
      </w:pPr>
      <w:r w:rsidRPr="008B7A21">
        <w:rPr>
          <w:i/>
          <w:iCs/>
          <w:lang w:val="es-ES_tradnl"/>
        </w:rPr>
        <w:tab/>
      </w:r>
      <w:r w:rsidRPr="008B7A21">
        <w:rPr>
          <w:i/>
          <w:iCs/>
          <w:lang w:val="es-ES_tradnl"/>
        </w:rPr>
        <w:tab/>
        <w:t>S</w:t>
      </w:r>
      <w:r w:rsidRPr="008B7A21">
        <w:rPr>
          <w:i/>
          <w:iCs/>
          <w:vertAlign w:val="subscript"/>
          <w:lang w:val="es-ES_tradnl"/>
        </w:rPr>
        <w:t>i</w:t>
      </w:r>
      <w:r w:rsidRPr="008B7A21">
        <w:rPr>
          <w:lang w:val="es-ES_tradnl"/>
        </w:rPr>
        <w:t xml:space="preserve"> </w:t>
      </w:r>
      <w:r w:rsidR="00386EEF">
        <w:rPr>
          <w:lang w:val="es-ES_tradnl"/>
        </w:rPr>
        <w:t>=</w:t>
      </w:r>
      <w:r w:rsidRPr="008B7A21">
        <w:rPr>
          <w:lang w:val="es-ES_tradnl"/>
        </w:rPr>
        <w:t xml:space="preserve"> 1,2 </w:t>
      </w:r>
      <w:r w:rsidR="00386EEF">
        <w:rPr>
          <w:lang w:val="es-ES_tradnl"/>
        </w:rPr>
        <w:t>×</w:t>
      </w:r>
      <w:r w:rsidRPr="008B7A21">
        <w:rPr>
          <w:lang w:val="es-ES_tradnl"/>
        </w:rPr>
        <w:t xml:space="preserve"> 314 </w:t>
      </w:r>
      <w:r w:rsidR="00386EEF">
        <w:rPr>
          <w:lang w:val="es-ES_tradnl"/>
        </w:rPr>
        <w:t>=</w:t>
      </w:r>
      <w:r w:rsidRPr="008B7A21">
        <w:rPr>
          <w:lang w:val="es-ES_tradnl"/>
        </w:rPr>
        <w:t xml:space="preserve"> 377 km</w:t>
      </w:r>
      <w:r w:rsidRPr="008B7A21">
        <w:rPr>
          <w:vertAlign w:val="superscript"/>
          <w:lang w:val="es-ES_tradnl"/>
        </w:rPr>
        <w:t>2</w:t>
      </w:r>
    </w:p>
    <w:p w14:paraId="41B2B16E" w14:textId="77777777" w:rsidR="00F73D5B" w:rsidRPr="008B7A21" w:rsidRDefault="00F73D5B" w:rsidP="00F73D5B">
      <w:pPr>
        <w:pStyle w:val="Headingb"/>
        <w:rPr>
          <w:lang w:val="es-ES_tradnl"/>
        </w:rPr>
      </w:pPr>
      <w:bookmarkStart w:id="1454" w:name="_Toc307922629"/>
      <w:bookmarkStart w:id="1455" w:name="_Toc307991978"/>
      <w:bookmarkStart w:id="1456" w:name="_Toc307994011"/>
      <w:bookmarkStart w:id="1457" w:name="_Toc307996417"/>
      <w:bookmarkStart w:id="1458" w:name="_Toc499563055"/>
      <w:r w:rsidRPr="008B7A21">
        <w:rPr>
          <w:lang w:val="es-ES_tradnl"/>
        </w:rPr>
        <w:t>d)</w:t>
      </w:r>
      <w:r w:rsidRPr="008B7A21">
        <w:rPr>
          <w:lang w:val="es-ES_tradnl"/>
        </w:rPr>
        <w:tab/>
        <w:t>Espectro utilizado</w:t>
      </w:r>
      <w:bookmarkEnd w:id="1454"/>
      <w:bookmarkEnd w:id="1455"/>
      <w:bookmarkEnd w:id="1456"/>
      <w:bookmarkEnd w:id="1457"/>
      <w:bookmarkEnd w:id="1458"/>
    </w:p>
    <w:p w14:paraId="7F4D9F20" w14:textId="1F5845AB" w:rsidR="00F73D5B" w:rsidRPr="008B7A21" w:rsidRDefault="00F73D5B" w:rsidP="00F73D5B">
      <w:pPr>
        <w:rPr>
          <w:lang w:val="es-ES_tradnl"/>
        </w:rPr>
      </w:pPr>
      <w:r w:rsidRPr="008B7A21">
        <w:rPr>
          <w:lang w:val="es-ES_tradnl"/>
        </w:rPr>
        <w:t>Introduciendo los valores calculados en b) y c) en la ecuación (20), utilizando los valores de los coeficientes de ponderación indicados en el Cuadro 2 y teniendo en cuenta que no se comparten las frecuencias (</w:t>
      </w:r>
      <w:r w:rsidR="00386EEF">
        <w:rPr>
          <w:lang w:val="es-ES_tradnl"/>
        </w:rPr>
        <w:t>β</w:t>
      </w:r>
      <w:r w:rsidRPr="008B7A21">
        <w:rPr>
          <w:lang w:val="es-ES_tradnl"/>
        </w:rPr>
        <w:t> </w:t>
      </w:r>
      <w:r w:rsidR="00386EEF">
        <w:rPr>
          <w:lang w:val="es-ES_tradnl"/>
        </w:rPr>
        <w:t>=</w:t>
      </w:r>
      <w:r w:rsidRPr="008B7A21">
        <w:rPr>
          <w:lang w:val="es-ES_tradnl"/>
        </w:rPr>
        <w:t> 1) se obtiene finalmente:</w:t>
      </w:r>
    </w:p>
    <w:p w14:paraId="5FDE8A7B" w14:textId="74DEBA38" w:rsidR="00F73D5B" w:rsidRPr="008B7A21" w:rsidRDefault="00F73D5B" w:rsidP="00F73D5B">
      <w:pPr>
        <w:pStyle w:val="Equation"/>
        <w:rPr>
          <w:lang w:val="es-ES_tradnl"/>
        </w:rPr>
      </w:pPr>
      <w:r w:rsidRPr="008B7A21">
        <w:rPr>
          <w:i/>
          <w:lang w:val="es-ES_tradnl"/>
        </w:rPr>
        <w:tab/>
      </w:r>
      <w:r w:rsidRPr="008B7A21">
        <w:rPr>
          <w:i/>
          <w:lang w:val="es-ES_tradnl"/>
        </w:rPr>
        <w:tab/>
        <w:t>W</w:t>
      </w:r>
      <w:r w:rsidRPr="008B7A21">
        <w:rPr>
          <w:lang w:val="es-ES_tradnl"/>
        </w:rPr>
        <w:t xml:space="preserve"> </w:t>
      </w:r>
      <w:r w:rsidR="00386EEF">
        <w:rPr>
          <w:lang w:val="es-ES_tradnl"/>
        </w:rPr>
        <w:t>=</w:t>
      </w:r>
      <w:r w:rsidRPr="008B7A21">
        <w:rPr>
          <w:lang w:val="es-ES_tradnl"/>
        </w:rPr>
        <w:t xml:space="preserve"> 3 </w:t>
      </w:r>
      <w:r w:rsidR="00386EEF">
        <w:rPr>
          <w:lang w:val="es-ES_tradnl"/>
        </w:rPr>
        <w:t>×</w:t>
      </w:r>
      <w:r w:rsidRPr="008B7A21">
        <w:rPr>
          <w:lang w:val="es-ES_tradnl"/>
        </w:rPr>
        <w:t xml:space="preserve"> 1,2 </w:t>
      </w:r>
      <w:r w:rsidR="00386EEF">
        <w:rPr>
          <w:lang w:val="es-ES_tradnl"/>
        </w:rPr>
        <w:t>×</w:t>
      </w:r>
      <w:r w:rsidRPr="008B7A21">
        <w:rPr>
          <w:lang w:val="es-ES_tradnl"/>
        </w:rPr>
        <w:t xml:space="preserve"> 1 </w:t>
      </w:r>
      <w:r w:rsidR="00386EEF">
        <w:rPr>
          <w:lang w:val="es-ES_tradnl"/>
        </w:rPr>
        <w:t>×</w:t>
      </w:r>
      <w:r w:rsidRPr="008B7A21">
        <w:rPr>
          <w:lang w:val="es-ES_tradnl"/>
        </w:rPr>
        <w:t xml:space="preserve"> 1 </w:t>
      </w:r>
      <w:r w:rsidR="00386EEF">
        <w:rPr>
          <w:lang w:val="es-ES_tradnl"/>
        </w:rPr>
        <w:t>×</w:t>
      </w:r>
      <w:r w:rsidRPr="008B7A21">
        <w:rPr>
          <w:lang w:val="es-ES_tradnl"/>
        </w:rPr>
        <w:t xml:space="preserve"> 1 </w:t>
      </w:r>
      <w:r w:rsidR="00386EEF">
        <w:rPr>
          <w:lang w:val="es-ES_tradnl"/>
        </w:rPr>
        <w:t>×</w:t>
      </w:r>
      <w:r w:rsidRPr="008B7A21">
        <w:rPr>
          <w:lang w:val="es-ES_tradnl"/>
        </w:rPr>
        <w:t xml:space="preserve"> 1,6 </w:t>
      </w:r>
      <w:r w:rsidR="00386EEF">
        <w:rPr>
          <w:lang w:val="es-ES_tradnl"/>
        </w:rPr>
        <w:t>×</w:t>
      </w:r>
      <w:r w:rsidRPr="008B7A21">
        <w:rPr>
          <w:lang w:val="es-ES_tradnl"/>
        </w:rPr>
        <w:t xml:space="preserve"> 377 </w:t>
      </w:r>
      <w:r w:rsidR="00386EEF">
        <w:rPr>
          <w:lang w:val="es-ES_tradnl"/>
        </w:rPr>
        <w:t>×</w:t>
      </w:r>
      <w:r w:rsidRPr="008B7A21">
        <w:rPr>
          <w:lang w:val="es-ES_tradnl"/>
        </w:rPr>
        <w:t xml:space="preserve"> 1 </w:t>
      </w:r>
      <w:r w:rsidR="00386EEF">
        <w:rPr>
          <w:lang w:val="es-ES_tradnl"/>
        </w:rPr>
        <w:t>=</w:t>
      </w:r>
      <w:r w:rsidRPr="008B7A21">
        <w:rPr>
          <w:lang w:val="es-ES_tradnl"/>
        </w:rPr>
        <w:t xml:space="preserve"> 2 172                MHz </w:t>
      </w:r>
      <w:r w:rsidRPr="008B7A21">
        <w:rPr>
          <w:lang w:val="es-ES_tradnl"/>
        </w:rPr>
        <w:sym w:font="Symbol" w:char="F0D7"/>
      </w:r>
      <w:r w:rsidRPr="008B7A21">
        <w:rPr>
          <w:lang w:val="es-ES_tradnl"/>
        </w:rPr>
        <w:t xml:space="preserve"> km</w:t>
      </w:r>
      <w:r w:rsidRPr="008B7A21">
        <w:rPr>
          <w:vertAlign w:val="superscript"/>
          <w:lang w:val="es-ES_tradnl"/>
        </w:rPr>
        <w:t>2</w:t>
      </w:r>
      <w:r w:rsidRPr="008B7A21">
        <w:rPr>
          <w:sz w:val="20"/>
          <w:lang w:val="es-ES_tradnl"/>
        </w:rPr>
        <w:t xml:space="preserve"> </w:t>
      </w:r>
      <w:r w:rsidRPr="008B7A21">
        <w:rPr>
          <w:lang w:val="es-ES_tradnl"/>
        </w:rPr>
        <w:sym w:font="Symbol" w:char="F0D7"/>
      </w:r>
      <w:r w:rsidRPr="008B7A21">
        <w:rPr>
          <w:sz w:val="20"/>
          <w:lang w:val="es-ES_tradnl"/>
        </w:rPr>
        <w:t xml:space="preserve"> </w:t>
      </w:r>
      <w:r w:rsidRPr="008B7A21">
        <w:rPr>
          <w:lang w:val="es-ES_tradnl"/>
        </w:rPr>
        <w:t>1 año</w:t>
      </w:r>
    </w:p>
    <w:p w14:paraId="77737443" w14:textId="77777777" w:rsidR="00F73D5B" w:rsidRPr="008B7A21" w:rsidRDefault="00F73D5B" w:rsidP="00F73D5B">
      <w:pPr>
        <w:pStyle w:val="Heading3"/>
        <w:rPr>
          <w:lang w:val="es-ES_tradnl"/>
        </w:rPr>
      </w:pPr>
      <w:bookmarkStart w:id="1459" w:name="_Toc306276874"/>
      <w:bookmarkStart w:id="1460" w:name="_Toc307921549"/>
      <w:bookmarkStart w:id="1461" w:name="_Toc307922116"/>
      <w:bookmarkStart w:id="1462" w:name="_Toc307922630"/>
      <w:bookmarkStart w:id="1463" w:name="_Toc307991979"/>
      <w:bookmarkStart w:id="1464" w:name="_Toc307994012"/>
      <w:bookmarkStart w:id="1465" w:name="_Toc307995261"/>
      <w:bookmarkStart w:id="1466" w:name="_Toc307996418"/>
      <w:bookmarkStart w:id="1467" w:name="_Toc308010380"/>
      <w:bookmarkStart w:id="1468" w:name="_Toc499563056"/>
      <w:bookmarkStart w:id="1469" w:name="_Toc215835415"/>
      <w:r w:rsidRPr="008B7A21">
        <w:rPr>
          <w:lang w:val="es-ES_tradnl"/>
        </w:rPr>
        <w:t>4.7.5</w:t>
      </w:r>
      <w:r w:rsidRPr="008B7A21">
        <w:rPr>
          <w:lang w:val="es-ES_tradnl"/>
        </w:rPr>
        <w:tab/>
        <w:t>Servicio de radiocomunicaciones móviles marítimas</w:t>
      </w:r>
      <w:bookmarkEnd w:id="1459"/>
      <w:bookmarkEnd w:id="1460"/>
      <w:bookmarkEnd w:id="1461"/>
      <w:bookmarkEnd w:id="1462"/>
      <w:bookmarkEnd w:id="1463"/>
      <w:bookmarkEnd w:id="1464"/>
      <w:bookmarkEnd w:id="1465"/>
      <w:bookmarkEnd w:id="1466"/>
      <w:bookmarkEnd w:id="1467"/>
      <w:bookmarkEnd w:id="1468"/>
      <w:bookmarkEnd w:id="1469"/>
    </w:p>
    <w:p w14:paraId="2340178B" w14:textId="77777777" w:rsidR="00F73D5B" w:rsidRPr="008B7A21" w:rsidRDefault="00F73D5B" w:rsidP="00F73D5B">
      <w:pPr>
        <w:pStyle w:val="Headingb"/>
        <w:rPr>
          <w:lang w:val="es-ES_tradnl"/>
        </w:rPr>
      </w:pPr>
      <w:bookmarkStart w:id="1470" w:name="_Toc307922631"/>
      <w:bookmarkStart w:id="1471" w:name="_Toc307991980"/>
      <w:bookmarkStart w:id="1472" w:name="_Toc307994013"/>
      <w:bookmarkStart w:id="1473" w:name="_Toc307996419"/>
      <w:bookmarkStart w:id="1474" w:name="_Toc499563057"/>
      <w:r w:rsidRPr="008B7A21">
        <w:rPr>
          <w:lang w:val="es-ES_tradnl"/>
        </w:rPr>
        <w:t>a)</w:t>
      </w:r>
      <w:r w:rsidRPr="008B7A21">
        <w:rPr>
          <w:lang w:val="es-ES_tradnl"/>
        </w:rPr>
        <w:tab/>
        <w:t>Fundamentos de los procedimientos de cálculo</w:t>
      </w:r>
      <w:bookmarkEnd w:id="1470"/>
      <w:bookmarkEnd w:id="1471"/>
      <w:bookmarkEnd w:id="1472"/>
      <w:bookmarkEnd w:id="1473"/>
      <w:bookmarkEnd w:id="1474"/>
    </w:p>
    <w:p w14:paraId="6CD3E3DE" w14:textId="77777777" w:rsidR="00F73D5B" w:rsidRPr="008B7A21" w:rsidRDefault="00F73D5B" w:rsidP="00F73D5B">
      <w:pPr>
        <w:rPr>
          <w:lang w:val="es-ES_tradnl"/>
        </w:rPr>
      </w:pPr>
      <w:r w:rsidRPr="008B7A21">
        <w:rPr>
          <w:lang w:val="es-ES_tradnl"/>
        </w:rPr>
        <w:t>Para las estaciones costeras y de barco del servicio móvil marítimo que funcionan en las bandas de frecuencias de ondas miriamétricas-decamétricas, pueden utilizarse las disposiciones propuestas para las estaciones de radiodifusión en las bandas de ondas kilométricas y decamétricas teniendo en cuenta las limitaciones impuestas por la frontera económica marítima nacional (normalmente 200 millas, es decir, 360 km). En caso de aplicaciones con antenas transmisoras directivas, puede utilizarse el concepto de «sector de servicio» que figura en la Recomendación UIT</w:t>
      </w:r>
      <w:r w:rsidRPr="008B7A21">
        <w:rPr>
          <w:lang w:val="es-ES_tradnl"/>
        </w:rPr>
        <w:noBreakHyphen/>
        <w:t>R F.162-3.</w:t>
      </w:r>
    </w:p>
    <w:p w14:paraId="17D9BA94" w14:textId="77777777" w:rsidR="00F73D5B" w:rsidRPr="008B7A21" w:rsidRDefault="00F73D5B" w:rsidP="00F73D5B">
      <w:pPr>
        <w:rPr>
          <w:lang w:val="es-ES_tradnl"/>
        </w:rPr>
      </w:pPr>
      <w:r w:rsidRPr="008B7A21">
        <w:rPr>
          <w:lang w:val="es-ES_tradnl"/>
        </w:rPr>
        <w:t>Las zonas de servicio de las estaciones costeras y de barco en ondas métricas que funcionan en la banda de frecuencias 156-174 MHz (Apéndice 18 del RR) vienen determinadas por las curvas de propagación que figuran en el Anexo 2 a la Recomendación UIT</w:t>
      </w:r>
      <w:r w:rsidRPr="008B7A21">
        <w:rPr>
          <w:lang w:val="es-ES_tradnl"/>
        </w:rPr>
        <w:noBreakHyphen/>
        <w:t>R P.1546-4; es decir, de la misma forma que en el caso de la radiodifusión. Las características técnicas de los equipos se describen en la Recomendación UIT</w:t>
      </w:r>
      <w:r w:rsidRPr="008B7A21">
        <w:rPr>
          <w:lang w:val="es-ES_tradnl"/>
        </w:rPr>
        <w:noBreakHyphen/>
        <w:t>R M.489-2.</w:t>
      </w:r>
    </w:p>
    <w:p w14:paraId="16D78E38" w14:textId="77777777" w:rsidR="00F73D5B" w:rsidRPr="008B7A21" w:rsidRDefault="00F73D5B" w:rsidP="00F73D5B">
      <w:pPr>
        <w:rPr>
          <w:lang w:val="es-ES_tradnl"/>
        </w:rPr>
      </w:pPr>
      <w:r w:rsidRPr="008B7A21">
        <w:rPr>
          <w:lang w:val="es-ES_tradnl"/>
        </w:rPr>
        <w:t xml:space="preserve">Para las estaciones de barco con antenas omnidireccionales, las zonas de servicio, </w:t>
      </w:r>
      <w:r w:rsidRPr="008B7A21">
        <w:rPr>
          <w:i/>
          <w:iCs/>
          <w:lang w:val="es-ES_tradnl"/>
        </w:rPr>
        <w:t>s</w:t>
      </w:r>
      <w:r w:rsidRPr="008B7A21">
        <w:rPr>
          <w:lang w:val="es-ES_tradnl"/>
        </w:rPr>
        <w:t>, se calculan de la forma siguiente:</w:t>
      </w:r>
    </w:p>
    <w:p w14:paraId="6677B4A3"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2"/>
          <w:lang w:val="es-ES_tradnl"/>
        </w:rPr>
        <w:object w:dxaOrig="2380" w:dyaOrig="420" w14:anchorId="26485331">
          <v:shape id="_x0000_i1692" type="#_x0000_t75" style="width:122.25pt;height:21.75pt" o:ole="">
            <v:imagedata r:id="rId87" o:title=""/>
          </v:shape>
          <o:OLEObject Type="Embed" ProgID="Equation.3" ShapeID="_x0000_i1692" DrawAspect="Content" ObjectID="_1826705901" r:id="rId88"/>
        </w:object>
      </w:r>
      <w:r w:rsidRPr="008B7A21">
        <w:rPr>
          <w:lang w:val="es-ES_tradnl"/>
        </w:rPr>
        <w:tab/>
        <w:t>(46)</w:t>
      </w:r>
    </w:p>
    <w:p w14:paraId="1959B732" w14:textId="77777777" w:rsidR="00F73D5B" w:rsidRPr="008B7A21" w:rsidRDefault="00F73D5B" w:rsidP="00F73D5B">
      <w:pPr>
        <w:rPr>
          <w:lang w:val="es-ES_tradnl"/>
        </w:rPr>
      </w:pPr>
      <w:r w:rsidRPr="008B7A21">
        <w:rPr>
          <w:lang w:val="es-ES_tradnl"/>
        </w:rPr>
        <w:t>donde:</w:t>
      </w:r>
    </w:p>
    <w:p w14:paraId="21D5B4CF" w14:textId="77777777" w:rsidR="00F73D5B" w:rsidRPr="008B7A21" w:rsidRDefault="00F73D5B" w:rsidP="00F73D5B">
      <w:pPr>
        <w:pStyle w:val="Equationlegend"/>
        <w:rPr>
          <w:lang w:val="es-ES_tradnl"/>
        </w:rPr>
      </w:pPr>
      <w:r w:rsidRPr="008B7A21">
        <w:rPr>
          <w:i/>
          <w:iCs/>
          <w:lang w:val="es-ES_tradnl"/>
        </w:rPr>
        <w:tab/>
        <w:t>R</w:t>
      </w:r>
      <w:r w:rsidRPr="008B7A21">
        <w:rPr>
          <w:i/>
          <w:iCs/>
          <w:vertAlign w:val="subscript"/>
          <w:lang w:val="es-ES_tradnl"/>
        </w:rPr>
        <w:t>s</w:t>
      </w:r>
      <w:r w:rsidRPr="008B7A21">
        <w:rPr>
          <w:lang w:val="es-ES_tradnl"/>
        </w:rPr>
        <w:t>:</w:t>
      </w:r>
      <w:r w:rsidRPr="008B7A21">
        <w:rPr>
          <w:vertAlign w:val="subscript"/>
          <w:lang w:val="es-ES_tradnl"/>
        </w:rPr>
        <w:tab/>
      </w:r>
      <w:r w:rsidRPr="008B7A21">
        <w:rPr>
          <w:lang w:val="es-ES_tradnl"/>
        </w:rPr>
        <w:t>radio de la zona de servicio circular calculada a partir de las curvas de propagación de la Recomendación UIT</w:t>
      </w:r>
      <w:r w:rsidRPr="008B7A21">
        <w:rPr>
          <w:lang w:val="es-ES_tradnl"/>
        </w:rPr>
        <w:noBreakHyphen/>
        <w:t>R P.1546-4 para la banda de frecuencias 30</w:t>
      </w:r>
      <w:r w:rsidRPr="008B7A21">
        <w:rPr>
          <w:lang w:val="es-ES_tradnl"/>
        </w:rPr>
        <w:noBreakHyphen/>
        <w:t>300 MHz, en el mar, para el 50% del tiempo y en el 50% del emplazamiento (véase la Fig. 4 de la Recomendación UIT</w:t>
      </w:r>
      <w:r w:rsidRPr="008B7A21">
        <w:rPr>
          <w:lang w:val="es-ES_tradnl"/>
        </w:rPr>
        <w:noBreakHyphen/>
        <w:t>R P.1546-4).</w:t>
      </w:r>
    </w:p>
    <w:p w14:paraId="1E863328" w14:textId="77777777" w:rsidR="00F73D5B" w:rsidRPr="008B7A21" w:rsidRDefault="00F73D5B" w:rsidP="00F73D5B">
      <w:pPr>
        <w:rPr>
          <w:lang w:val="es-ES_tradnl"/>
        </w:rPr>
      </w:pPr>
      <w:r w:rsidRPr="008B7A21">
        <w:rPr>
          <w:lang w:val="es-ES_tradnl"/>
        </w:rPr>
        <w:t>Es necesario señalar que para este caso particular las curvas son las mismas en el caso de mares fríos y cálidos. Las antenas de la antena de transmisión son las alturas reales de la antena sobre el nivel del mar. Para mayor sencillez, se ha aceptado un valor de 10 m en todos los casos para las alturas de la antena receptora en este modelo de cálculo en particular. Sin embargo, es necesario indicar que en realidad para proporcionar las mismas condiciones de comunicación entre las estaciones costeras y de barco en ambos sentidos, las antenas de recepción de las estaciones costeras tienen normalmente las mismas alturas que sus antenas de transmisión.</w:t>
      </w:r>
    </w:p>
    <w:p w14:paraId="1D6543B9" w14:textId="77777777" w:rsidR="00F73D5B" w:rsidRPr="008B7A21" w:rsidRDefault="00F73D5B" w:rsidP="00F73D5B">
      <w:pPr>
        <w:rPr>
          <w:lang w:val="es-ES_tradnl"/>
        </w:rPr>
      </w:pPr>
      <w:r w:rsidRPr="008B7A21">
        <w:rPr>
          <w:lang w:val="es-ES_tradnl"/>
        </w:rPr>
        <w:t xml:space="preserve">Para las estaciones costeras se acepta que una mitad de la zona ocupada, que es una zona de servicio, con un radio de </w:t>
      </w:r>
      <w:r w:rsidRPr="008B7A21">
        <w:rPr>
          <w:i/>
          <w:iCs/>
          <w:lang w:val="es-ES_tradnl"/>
        </w:rPr>
        <w:t>R</w:t>
      </w:r>
      <w:r w:rsidRPr="008B7A21">
        <w:rPr>
          <w:i/>
          <w:iCs/>
          <w:vertAlign w:val="subscript"/>
          <w:lang w:val="es-ES_tradnl"/>
        </w:rPr>
        <w:t>s</w:t>
      </w:r>
      <w:r w:rsidRPr="008B7A21">
        <w:rPr>
          <w:lang w:val="es-ES_tradnl"/>
        </w:rPr>
        <w:t xml:space="preserve"> se encuentra en la superficie del mar y la segunda mitad con un radio </w:t>
      </w:r>
      <w:r w:rsidRPr="008B7A21">
        <w:rPr>
          <w:i/>
          <w:iCs/>
          <w:lang w:val="es-ES_tradnl"/>
        </w:rPr>
        <w:t>R</w:t>
      </w:r>
      <w:r w:rsidRPr="008B7A21">
        <w:rPr>
          <w:i/>
          <w:iCs/>
          <w:vertAlign w:val="subscript"/>
          <w:lang w:val="es-ES_tradnl"/>
        </w:rPr>
        <w:t>l</w:t>
      </w:r>
      <w:r w:rsidRPr="008B7A21">
        <w:rPr>
          <w:lang w:val="es-ES_tradnl"/>
        </w:rPr>
        <w:t xml:space="preserve"> en la superficie de tierra, es decir:</w:t>
      </w:r>
    </w:p>
    <w:p w14:paraId="50E3E0E7"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2"/>
          <w:lang w:val="es-ES_tradnl"/>
        </w:rPr>
        <w:object w:dxaOrig="3460" w:dyaOrig="420" w14:anchorId="3FAC4E73">
          <v:shape id="_x0000_i1693" type="#_x0000_t75" style="width:173.3pt;height:21.75pt" o:ole="">
            <v:imagedata r:id="rId89" o:title=""/>
          </v:shape>
          <o:OLEObject Type="Embed" ProgID="Equation.3" ShapeID="_x0000_i1693" DrawAspect="Content" ObjectID="_1826705902" r:id="rId90"/>
        </w:object>
      </w:r>
      <w:r w:rsidRPr="008B7A21">
        <w:rPr>
          <w:lang w:val="es-ES_tradnl"/>
        </w:rPr>
        <w:tab/>
        <w:t>(47)</w:t>
      </w:r>
    </w:p>
    <w:p w14:paraId="5137EFCF" w14:textId="77777777" w:rsidR="00F73D5B" w:rsidRPr="008B7A21" w:rsidRDefault="00F73D5B" w:rsidP="00F73D5B">
      <w:pPr>
        <w:rPr>
          <w:lang w:val="es-ES_tradnl"/>
        </w:rPr>
      </w:pPr>
      <w:r w:rsidRPr="008B7A21">
        <w:rPr>
          <w:lang w:val="es-ES_tradnl"/>
        </w:rPr>
        <w:t>siendo:</w:t>
      </w:r>
    </w:p>
    <w:p w14:paraId="69F7B5A2" w14:textId="77777777" w:rsidR="00F73D5B" w:rsidRPr="008B7A21" w:rsidRDefault="00F73D5B" w:rsidP="00F73D5B">
      <w:pPr>
        <w:pStyle w:val="Equationlegend"/>
        <w:rPr>
          <w:lang w:val="es-ES_tradnl"/>
        </w:rPr>
      </w:pPr>
      <w:r w:rsidRPr="008B7A21">
        <w:rPr>
          <w:i/>
          <w:iCs/>
          <w:lang w:val="es-ES_tradnl"/>
        </w:rPr>
        <w:tab/>
        <w:t>R</w:t>
      </w:r>
      <w:r w:rsidRPr="008B7A21">
        <w:rPr>
          <w:i/>
          <w:iCs/>
          <w:vertAlign w:val="subscript"/>
          <w:lang w:val="es-ES_tradnl"/>
        </w:rPr>
        <w:t>l</w:t>
      </w:r>
      <w:r w:rsidRPr="008B7A21">
        <w:rPr>
          <w:lang w:val="es-ES_tradnl"/>
        </w:rPr>
        <w:t>:</w:t>
      </w:r>
      <w:r w:rsidRPr="008B7A21">
        <w:rPr>
          <w:lang w:val="es-ES_tradnl"/>
        </w:rPr>
        <w:tab/>
        <w:t>radio de la zona de servicio semicircular calculada a partir de las curvas de propagación de la Recomendación UIT</w:t>
      </w:r>
      <w:r w:rsidRPr="008B7A21">
        <w:rPr>
          <w:lang w:val="es-ES_tradnl"/>
        </w:rPr>
        <w:noBreakHyphen/>
        <w:t>R P.1546-4 para la banda de frecuencias 30</w:t>
      </w:r>
      <w:r w:rsidRPr="008B7A21">
        <w:rPr>
          <w:lang w:val="es-ES_tradnl"/>
        </w:rPr>
        <w:noBreakHyphen/>
        <w:t>300 MHz, trayecto terrestre, 50% del tiempo y 50% de emplazamientos (véase la Fig. 1 de la Recomendación UIT</w:t>
      </w:r>
      <w:r w:rsidRPr="008B7A21">
        <w:rPr>
          <w:lang w:val="es-ES_tradnl"/>
        </w:rPr>
        <w:noBreakHyphen/>
        <w:t>R P.1546-4, véase la Fig. 2).</w:t>
      </w:r>
    </w:p>
    <w:p w14:paraId="5EFFF518" w14:textId="75AE4BFA" w:rsidR="00F73D5B" w:rsidRPr="008B7A21" w:rsidRDefault="00F73D5B" w:rsidP="00F73D5B">
      <w:pPr>
        <w:rPr>
          <w:iCs/>
          <w:lang w:val="es-ES_tradnl"/>
        </w:rPr>
      </w:pPr>
      <w:r w:rsidRPr="008B7A21">
        <w:rPr>
          <w:lang w:val="es-ES_tradnl"/>
        </w:rPr>
        <w:t>Los cálculos de la altura efectiva de la antena para la zona de servicio terrestre son similares a los del servicio de radiodifusión. Teniendo en cuenta que el servicio móvil marítimo pertenece a los servicios de seguridad, su fiabilidad debe ser lo suficientemente elevada. Por ello se acepta que la mínima intensidad de campo utilizable en el borde de la zona de servicio sea de 30 dB por encima de la sensibilidad de referencia del receptor (2,0 </w:t>
      </w:r>
      <w:r w:rsidR="00386EEF" w:rsidRPr="00386EEF">
        <w:sym w:font="Symbol" w:char="F06D"/>
      </w:r>
      <w:r w:rsidRPr="008B7A21">
        <w:rPr>
          <w:lang w:val="es-ES_tradnl"/>
        </w:rPr>
        <w:t>V de conformidad con la Recomendación UIT</w:t>
      </w:r>
      <w:r w:rsidRPr="008B7A21">
        <w:rPr>
          <w:lang w:val="es-ES_tradnl"/>
        </w:rPr>
        <w:noBreakHyphen/>
        <w:t>R M.489</w:t>
      </w:r>
      <w:r w:rsidRPr="008B7A21">
        <w:rPr>
          <w:lang w:val="es-ES_tradnl"/>
        </w:rPr>
        <w:noBreakHyphen/>
        <w:t xml:space="preserve">2), es decir, </w:t>
      </w:r>
      <w:r w:rsidRPr="008B7A21">
        <w:rPr>
          <w:i/>
          <w:lang w:val="es-ES_tradnl"/>
        </w:rPr>
        <w:t>E</w:t>
      </w:r>
      <w:r w:rsidRPr="008B7A21">
        <w:rPr>
          <w:i/>
          <w:vertAlign w:val="subscript"/>
          <w:lang w:val="es-ES_tradnl"/>
        </w:rPr>
        <w:t>mu</w:t>
      </w:r>
      <w:r w:rsidRPr="008B7A21">
        <w:rPr>
          <w:lang w:val="es-ES_tradnl"/>
        </w:rPr>
        <w:t> </w:t>
      </w:r>
      <w:r w:rsidR="00386EEF">
        <w:rPr>
          <w:i/>
          <w:lang w:val="es-ES_tradnl"/>
        </w:rPr>
        <w:t>=</w:t>
      </w:r>
      <w:r w:rsidRPr="008B7A21">
        <w:rPr>
          <w:i/>
          <w:lang w:val="es-ES_tradnl"/>
        </w:rPr>
        <w:t> </w:t>
      </w:r>
      <w:r w:rsidRPr="008B7A21">
        <w:rPr>
          <w:lang w:val="es-ES_tradnl"/>
        </w:rPr>
        <w:t>36 dB(</w:t>
      </w:r>
      <w:r w:rsidR="00386EEF" w:rsidRPr="00386EEF">
        <w:sym w:font="Symbol" w:char="F06D"/>
      </w:r>
      <w:r w:rsidRPr="008B7A21">
        <w:rPr>
          <w:lang w:val="es-ES_tradnl"/>
        </w:rPr>
        <w:t>V/m)</w:t>
      </w:r>
      <w:r w:rsidRPr="008B7A21">
        <w:rPr>
          <w:i/>
          <w:lang w:val="es-ES_tradnl"/>
        </w:rPr>
        <w:t>.</w:t>
      </w:r>
    </w:p>
    <w:p w14:paraId="1C6A937B" w14:textId="797F87AC" w:rsidR="00F73D5B" w:rsidRPr="008B7A21" w:rsidRDefault="00F73D5B" w:rsidP="00F73D5B">
      <w:pPr>
        <w:rPr>
          <w:bCs/>
          <w:lang w:val="es-ES_tradnl"/>
        </w:rPr>
      </w:pPr>
      <w:r w:rsidRPr="008B7A21">
        <w:rPr>
          <w:lang w:val="es-ES_tradnl"/>
        </w:rPr>
        <w:t>Basándose en estos parámetros e hipótesis y aceptando en todas las antenas una ganancia igual a 6 dB, se calcularon los radios de las zonas de servicio/ocupadas para distintas potencias del transmisor comprendidas entre 10 W y 50 W (máxima potencia portadora de las estaciones costeras de conformidad con la Recomendación UIT</w:t>
      </w:r>
      <w:r w:rsidRPr="008B7A21">
        <w:rPr>
          <w:lang w:val="es-ES_tradnl"/>
        </w:rPr>
        <w:noBreakHyphen/>
        <w:t>R M.489-2) y para varias alturas efectivas de la antena indicadas en la Recomendación UIT</w:t>
      </w:r>
      <w:r w:rsidRPr="008B7A21">
        <w:rPr>
          <w:lang w:val="es-ES_tradnl"/>
        </w:rPr>
        <w:noBreakHyphen/>
      </w:r>
      <w:r w:rsidRPr="008B7A21">
        <w:rPr>
          <w:bCs/>
          <w:lang w:val="es-ES_tradnl"/>
        </w:rPr>
        <w:t>R P.1546-4. Los resultados de los cálculos aparecen en el Cuadro 13.</w:t>
      </w:r>
    </w:p>
    <w:p w14:paraId="3FA88F87" w14:textId="05E6B539" w:rsidR="00F73D5B" w:rsidRPr="008B7A21" w:rsidRDefault="00F73D5B" w:rsidP="00F73D5B">
      <w:pPr>
        <w:pStyle w:val="TableNo"/>
        <w:rPr>
          <w:lang w:val="es-ES_tradnl"/>
        </w:rPr>
      </w:pPr>
      <w:r w:rsidRPr="008B7A21">
        <w:rPr>
          <w:lang w:val="es-ES_tradnl"/>
        </w:rPr>
        <w:t>CUADRO 13</w:t>
      </w:r>
    </w:p>
    <w:p w14:paraId="40971093" w14:textId="77777777" w:rsidR="00F73D5B" w:rsidRPr="008B7A21" w:rsidRDefault="00F73D5B" w:rsidP="00F73D5B">
      <w:pPr>
        <w:pStyle w:val="Tabletitle"/>
        <w:rPr>
          <w:lang w:val="es-ES_tradnl"/>
        </w:rPr>
      </w:pPr>
      <w:r w:rsidRPr="008B7A21">
        <w:rPr>
          <w:lang w:val="es-ES_tradnl"/>
        </w:rPr>
        <w:t>Radios de las zonas ocupadas para trayectos marítimos y terrestres (km),</w:t>
      </w:r>
      <w:r w:rsidRPr="008B7A21">
        <w:rPr>
          <w:lang w:val="es-ES_tradnl"/>
        </w:rPr>
        <w:br/>
        <w:t>en el caso de radiocomunicaciones marítimas en la banda</w:t>
      </w:r>
      <w:r w:rsidRPr="008B7A21">
        <w:rPr>
          <w:lang w:val="es-ES_tradnl"/>
        </w:rPr>
        <w:br/>
        <w:t>de frecuencias 156-174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247"/>
        <w:gridCol w:w="1191"/>
        <w:gridCol w:w="1191"/>
        <w:gridCol w:w="1191"/>
        <w:gridCol w:w="1191"/>
        <w:gridCol w:w="1191"/>
        <w:gridCol w:w="1191"/>
      </w:tblGrid>
      <w:tr w:rsidR="00F73D5B" w:rsidRPr="008B7A21" w14:paraId="2D234A9D" w14:textId="77777777" w:rsidTr="00767A6A">
        <w:trPr>
          <w:cantSplit/>
          <w:trHeight w:val="20"/>
          <w:jc w:val="center"/>
        </w:trPr>
        <w:tc>
          <w:tcPr>
            <w:tcW w:w="1246" w:type="dxa"/>
            <w:tcBorders>
              <w:top w:val="nil"/>
              <w:left w:val="nil"/>
            </w:tcBorders>
            <w:vAlign w:val="center"/>
          </w:tcPr>
          <w:p w14:paraId="7E63ABC5" w14:textId="77777777" w:rsidR="00F73D5B" w:rsidRPr="008B7A21" w:rsidRDefault="00F73D5B" w:rsidP="00767A6A">
            <w:pPr>
              <w:pStyle w:val="Tablehead"/>
              <w:rPr>
                <w:lang w:val="es-ES_tradnl"/>
              </w:rPr>
            </w:pPr>
          </w:p>
        </w:tc>
        <w:tc>
          <w:tcPr>
            <w:tcW w:w="8393" w:type="dxa"/>
            <w:gridSpan w:val="7"/>
            <w:vAlign w:val="center"/>
          </w:tcPr>
          <w:p w14:paraId="50C192A3" w14:textId="77777777" w:rsidR="00F73D5B" w:rsidRPr="008B7A21" w:rsidRDefault="00F73D5B" w:rsidP="00767A6A">
            <w:pPr>
              <w:pStyle w:val="Tablehead"/>
              <w:rPr>
                <w:lang w:val="es-ES_tradnl"/>
              </w:rPr>
            </w:pPr>
            <w:r w:rsidRPr="008B7A21">
              <w:rPr>
                <w:lang w:val="es-ES_tradnl"/>
              </w:rPr>
              <w:t>Hef</w:t>
            </w:r>
            <w:r w:rsidRPr="008B7A21">
              <w:rPr>
                <w:lang w:val="es-ES_tradnl"/>
              </w:rPr>
              <w:br/>
              <w:t>(m)</w:t>
            </w:r>
          </w:p>
        </w:tc>
      </w:tr>
      <w:tr w:rsidR="00F73D5B" w:rsidRPr="008B7A21" w14:paraId="08C087A2" w14:textId="77777777" w:rsidTr="00767A6A">
        <w:trPr>
          <w:cantSplit/>
          <w:trHeight w:val="20"/>
          <w:jc w:val="center"/>
        </w:trPr>
        <w:tc>
          <w:tcPr>
            <w:tcW w:w="1246" w:type="dxa"/>
            <w:vAlign w:val="center"/>
          </w:tcPr>
          <w:p w14:paraId="3DF222E1" w14:textId="77777777" w:rsidR="00F73D5B" w:rsidRPr="008B7A21" w:rsidRDefault="00F73D5B" w:rsidP="00767A6A">
            <w:pPr>
              <w:pStyle w:val="Tablehead"/>
              <w:rPr>
                <w:lang w:val="es-ES_tradnl"/>
              </w:rPr>
            </w:pPr>
            <w:r w:rsidRPr="008B7A21">
              <w:rPr>
                <w:lang w:val="es-ES_tradnl"/>
              </w:rPr>
              <w:t>P(W)</w:t>
            </w:r>
          </w:p>
        </w:tc>
        <w:tc>
          <w:tcPr>
            <w:tcW w:w="1247" w:type="dxa"/>
            <w:vAlign w:val="center"/>
          </w:tcPr>
          <w:p w14:paraId="0D30F446" w14:textId="77777777" w:rsidR="00F73D5B" w:rsidRPr="008B7A21" w:rsidRDefault="00F73D5B" w:rsidP="00767A6A">
            <w:pPr>
              <w:pStyle w:val="Tablehead"/>
              <w:rPr>
                <w:lang w:val="es-ES_tradnl"/>
              </w:rPr>
            </w:pPr>
            <w:r w:rsidRPr="008B7A21">
              <w:rPr>
                <w:lang w:val="es-ES_tradnl"/>
              </w:rPr>
              <w:t>Trayecto</w:t>
            </w:r>
          </w:p>
        </w:tc>
        <w:tc>
          <w:tcPr>
            <w:tcW w:w="1191" w:type="dxa"/>
            <w:vAlign w:val="center"/>
          </w:tcPr>
          <w:p w14:paraId="2A17CF70" w14:textId="77777777" w:rsidR="00F73D5B" w:rsidRPr="008B7A21" w:rsidRDefault="00F73D5B" w:rsidP="00767A6A">
            <w:pPr>
              <w:pStyle w:val="Tablehead"/>
              <w:rPr>
                <w:lang w:val="es-ES_tradnl"/>
              </w:rPr>
            </w:pPr>
            <w:r w:rsidRPr="008B7A21">
              <w:rPr>
                <w:lang w:val="es-ES_tradnl"/>
              </w:rPr>
              <w:t>10</w:t>
            </w:r>
          </w:p>
        </w:tc>
        <w:tc>
          <w:tcPr>
            <w:tcW w:w="1191" w:type="dxa"/>
            <w:vAlign w:val="center"/>
          </w:tcPr>
          <w:p w14:paraId="6E7DC364" w14:textId="77777777" w:rsidR="00F73D5B" w:rsidRPr="008B7A21" w:rsidRDefault="00F73D5B" w:rsidP="00767A6A">
            <w:pPr>
              <w:pStyle w:val="Tablehead"/>
              <w:rPr>
                <w:lang w:val="es-ES_tradnl"/>
              </w:rPr>
            </w:pPr>
            <w:r w:rsidRPr="008B7A21">
              <w:rPr>
                <w:lang w:val="es-ES_tradnl"/>
              </w:rPr>
              <w:t>20</w:t>
            </w:r>
          </w:p>
        </w:tc>
        <w:tc>
          <w:tcPr>
            <w:tcW w:w="1191" w:type="dxa"/>
            <w:vAlign w:val="center"/>
          </w:tcPr>
          <w:p w14:paraId="69BDCD02" w14:textId="77777777" w:rsidR="00F73D5B" w:rsidRPr="008B7A21" w:rsidRDefault="00F73D5B" w:rsidP="00767A6A">
            <w:pPr>
              <w:pStyle w:val="Tablehead"/>
              <w:rPr>
                <w:lang w:val="es-ES_tradnl"/>
              </w:rPr>
            </w:pPr>
            <w:r w:rsidRPr="008B7A21">
              <w:rPr>
                <w:lang w:val="es-ES_tradnl"/>
              </w:rPr>
              <w:t>37,5</w:t>
            </w:r>
          </w:p>
        </w:tc>
        <w:tc>
          <w:tcPr>
            <w:tcW w:w="1191" w:type="dxa"/>
            <w:vAlign w:val="center"/>
          </w:tcPr>
          <w:p w14:paraId="316EC555" w14:textId="77777777" w:rsidR="00F73D5B" w:rsidRPr="008B7A21" w:rsidRDefault="00F73D5B" w:rsidP="00767A6A">
            <w:pPr>
              <w:pStyle w:val="Tablehead"/>
              <w:rPr>
                <w:lang w:val="es-ES_tradnl"/>
              </w:rPr>
            </w:pPr>
            <w:r w:rsidRPr="008B7A21">
              <w:rPr>
                <w:lang w:val="es-ES_tradnl"/>
              </w:rPr>
              <w:t>75</w:t>
            </w:r>
          </w:p>
        </w:tc>
        <w:tc>
          <w:tcPr>
            <w:tcW w:w="1191" w:type="dxa"/>
            <w:vAlign w:val="center"/>
          </w:tcPr>
          <w:p w14:paraId="01950E2C" w14:textId="77777777" w:rsidR="00F73D5B" w:rsidRPr="008B7A21" w:rsidRDefault="00F73D5B" w:rsidP="00767A6A">
            <w:pPr>
              <w:pStyle w:val="Tablehead"/>
              <w:rPr>
                <w:lang w:val="es-ES_tradnl"/>
              </w:rPr>
            </w:pPr>
            <w:r w:rsidRPr="008B7A21">
              <w:rPr>
                <w:lang w:val="es-ES_tradnl"/>
              </w:rPr>
              <w:t>150</w:t>
            </w:r>
          </w:p>
        </w:tc>
        <w:tc>
          <w:tcPr>
            <w:tcW w:w="1191" w:type="dxa"/>
            <w:vAlign w:val="center"/>
          </w:tcPr>
          <w:p w14:paraId="4E4D5B9D" w14:textId="77777777" w:rsidR="00F73D5B" w:rsidRPr="008B7A21" w:rsidRDefault="00F73D5B" w:rsidP="00767A6A">
            <w:pPr>
              <w:pStyle w:val="Tablehead"/>
              <w:rPr>
                <w:lang w:val="es-ES_tradnl"/>
              </w:rPr>
            </w:pPr>
            <w:r w:rsidRPr="008B7A21">
              <w:rPr>
                <w:lang w:val="es-ES_tradnl"/>
              </w:rPr>
              <w:t>300</w:t>
            </w:r>
          </w:p>
        </w:tc>
      </w:tr>
      <w:tr w:rsidR="00F73D5B" w:rsidRPr="008B7A21" w14:paraId="43D37ED3" w14:textId="77777777" w:rsidTr="00767A6A">
        <w:trPr>
          <w:cantSplit/>
          <w:trHeight w:val="20"/>
          <w:jc w:val="center"/>
        </w:trPr>
        <w:tc>
          <w:tcPr>
            <w:tcW w:w="1246" w:type="dxa"/>
          </w:tcPr>
          <w:p w14:paraId="5D1FF883" w14:textId="77777777" w:rsidR="00F73D5B" w:rsidRPr="008B7A21" w:rsidRDefault="00F73D5B" w:rsidP="00767A6A">
            <w:pPr>
              <w:pStyle w:val="Tabletext"/>
              <w:jc w:val="center"/>
              <w:rPr>
                <w:lang w:val="es-ES_tradnl"/>
              </w:rPr>
            </w:pPr>
            <w:r w:rsidRPr="008B7A21">
              <w:rPr>
                <w:lang w:val="es-ES_tradnl"/>
              </w:rPr>
              <w:t>10</w:t>
            </w:r>
          </w:p>
        </w:tc>
        <w:tc>
          <w:tcPr>
            <w:tcW w:w="1247" w:type="dxa"/>
          </w:tcPr>
          <w:p w14:paraId="2E8DAF4E" w14:textId="77777777" w:rsidR="00F73D5B" w:rsidRPr="008B7A21" w:rsidRDefault="00F73D5B" w:rsidP="00767A6A">
            <w:pPr>
              <w:pStyle w:val="Tabletext"/>
              <w:jc w:val="center"/>
              <w:rPr>
                <w:lang w:val="es-ES_tradnl"/>
              </w:rPr>
            </w:pPr>
            <w:r w:rsidRPr="008B7A21">
              <w:rPr>
                <w:lang w:val="es-ES_tradnl"/>
              </w:rPr>
              <w:t>Tierra</w:t>
            </w:r>
          </w:p>
        </w:tc>
        <w:tc>
          <w:tcPr>
            <w:tcW w:w="1191" w:type="dxa"/>
          </w:tcPr>
          <w:p w14:paraId="0C8B0487" w14:textId="77777777" w:rsidR="00F73D5B" w:rsidRPr="008B7A21" w:rsidRDefault="00F73D5B" w:rsidP="00767A6A">
            <w:pPr>
              <w:pStyle w:val="Tabletext"/>
              <w:jc w:val="center"/>
              <w:rPr>
                <w:lang w:val="es-ES_tradnl"/>
              </w:rPr>
            </w:pPr>
            <w:r w:rsidRPr="008B7A21">
              <w:rPr>
                <w:lang w:val="es-ES_tradnl"/>
              </w:rPr>
              <w:t>11</w:t>
            </w:r>
          </w:p>
        </w:tc>
        <w:tc>
          <w:tcPr>
            <w:tcW w:w="1191" w:type="dxa"/>
          </w:tcPr>
          <w:p w14:paraId="4C396391" w14:textId="77777777" w:rsidR="00F73D5B" w:rsidRPr="008B7A21" w:rsidRDefault="00F73D5B" w:rsidP="00767A6A">
            <w:pPr>
              <w:pStyle w:val="Tabletext"/>
              <w:jc w:val="center"/>
              <w:rPr>
                <w:lang w:val="es-ES_tradnl"/>
              </w:rPr>
            </w:pPr>
            <w:r w:rsidRPr="008B7A21">
              <w:rPr>
                <w:lang w:val="es-ES_tradnl"/>
              </w:rPr>
              <w:t>14</w:t>
            </w:r>
          </w:p>
        </w:tc>
        <w:tc>
          <w:tcPr>
            <w:tcW w:w="1191" w:type="dxa"/>
          </w:tcPr>
          <w:p w14:paraId="50AD982D" w14:textId="77777777" w:rsidR="00F73D5B" w:rsidRPr="008B7A21" w:rsidRDefault="00F73D5B" w:rsidP="00767A6A">
            <w:pPr>
              <w:pStyle w:val="Tabletext"/>
              <w:jc w:val="center"/>
              <w:rPr>
                <w:lang w:val="es-ES_tradnl"/>
              </w:rPr>
            </w:pPr>
            <w:r w:rsidRPr="008B7A21">
              <w:rPr>
                <w:lang w:val="es-ES_tradnl"/>
              </w:rPr>
              <w:t>19</w:t>
            </w:r>
          </w:p>
        </w:tc>
        <w:tc>
          <w:tcPr>
            <w:tcW w:w="1191" w:type="dxa"/>
          </w:tcPr>
          <w:p w14:paraId="2EB3E2C5" w14:textId="77777777" w:rsidR="00F73D5B" w:rsidRPr="008B7A21" w:rsidRDefault="00F73D5B" w:rsidP="00767A6A">
            <w:pPr>
              <w:pStyle w:val="Tabletext"/>
              <w:jc w:val="center"/>
              <w:rPr>
                <w:lang w:val="es-ES_tradnl"/>
              </w:rPr>
            </w:pPr>
            <w:r w:rsidRPr="008B7A21">
              <w:rPr>
                <w:lang w:val="es-ES_tradnl"/>
              </w:rPr>
              <w:t>25</w:t>
            </w:r>
          </w:p>
        </w:tc>
        <w:tc>
          <w:tcPr>
            <w:tcW w:w="1191" w:type="dxa"/>
          </w:tcPr>
          <w:p w14:paraId="460F7309" w14:textId="77777777" w:rsidR="00F73D5B" w:rsidRPr="008B7A21" w:rsidRDefault="00F73D5B" w:rsidP="00767A6A">
            <w:pPr>
              <w:pStyle w:val="Tabletext"/>
              <w:jc w:val="center"/>
              <w:rPr>
                <w:lang w:val="es-ES_tradnl"/>
              </w:rPr>
            </w:pPr>
            <w:r w:rsidRPr="008B7A21">
              <w:rPr>
                <w:lang w:val="es-ES_tradnl"/>
              </w:rPr>
              <w:t>35</w:t>
            </w:r>
          </w:p>
        </w:tc>
        <w:tc>
          <w:tcPr>
            <w:tcW w:w="1191" w:type="dxa"/>
          </w:tcPr>
          <w:p w14:paraId="59BD0772" w14:textId="77777777" w:rsidR="00F73D5B" w:rsidRPr="008B7A21" w:rsidRDefault="00F73D5B" w:rsidP="00767A6A">
            <w:pPr>
              <w:pStyle w:val="Tabletext"/>
              <w:jc w:val="center"/>
              <w:rPr>
                <w:lang w:val="es-ES_tradnl"/>
              </w:rPr>
            </w:pPr>
            <w:r w:rsidRPr="008B7A21">
              <w:rPr>
                <w:lang w:val="es-ES_tradnl"/>
              </w:rPr>
              <w:t>48</w:t>
            </w:r>
          </w:p>
        </w:tc>
      </w:tr>
      <w:tr w:rsidR="00F73D5B" w:rsidRPr="008B7A21" w14:paraId="21E971B1" w14:textId="77777777" w:rsidTr="00767A6A">
        <w:trPr>
          <w:cantSplit/>
          <w:trHeight w:val="20"/>
          <w:jc w:val="center"/>
        </w:trPr>
        <w:tc>
          <w:tcPr>
            <w:tcW w:w="1246" w:type="dxa"/>
          </w:tcPr>
          <w:p w14:paraId="23B53966" w14:textId="77777777" w:rsidR="00F73D5B" w:rsidRPr="008B7A21" w:rsidRDefault="00F73D5B" w:rsidP="00767A6A">
            <w:pPr>
              <w:pStyle w:val="Tabletext"/>
              <w:jc w:val="center"/>
              <w:rPr>
                <w:lang w:val="es-ES_tradnl"/>
              </w:rPr>
            </w:pPr>
          </w:p>
        </w:tc>
        <w:tc>
          <w:tcPr>
            <w:tcW w:w="1247" w:type="dxa"/>
          </w:tcPr>
          <w:p w14:paraId="7A67C23C" w14:textId="77777777" w:rsidR="00F73D5B" w:rsidRPr="008B7A21" w:rsidRDefault="00F73D5B" w:rsidP="00767A6A">
            <w:pPr>
              <w:pStyle w:val="Tabletext"/>
              <w:jc w:val="center"/>
              <w:rPr>
                <w:lang w:val="es-ES_tradnl"/>
              </w:rPr>
            </w:pPr>
            <w:r w:rsidRPr="008B7A21">
              <w:rPr>
                <w:lang w:val="es-ES_tradnl"/>
              </w:rPr>
              <w:t>Mar</w:t>
            </w:r>
          </w:p>
        </w:tc>
        <w:tc>
          <w:tcPr>
            <w:tcW w:w="1191" w:type="dxa"/>
          </w:tcPr>
          <w:p w14:paraId="7993833C" w14:textId="77777777" w:rsidR="00F73D5B" w:rsidRPr="008B7A21" w:rsidRDefault="00F73D5B" w:rsidP="00767A6A">
            <w:pPr>
              <w:pStyle w:val="Tabletext"/>
              <w:jc w:val="center"/>
              <w:rPr>
                <w:lang w:val="es-ES_tradnl"/>
              </w:rPr>
            </w:pPr>
            <w:r w:rsidRPr="008B7A21">
              <w:rPr>
                <w:lang w:val="es-ES_tradnl"/>
              </w:rPr>
              <w:t>24</w:t>
            </w:r>
          </w:p>
        </w:tc>
        <w:tc>
          <w:tcPr>
            <w:tcW w:w="1191" w:type="dxa"/>
          </w:tcPr>
          <w:p w14:paraId="2B1E9659" w14:textId="77777777" w:rsidR="00F73D5B" w:rsidRPr="008B7A21" w:rsidRDefault="00F73D5B" w:rsidP="00767A6A">
            <w:pPr>
              <w:pStyle w:val="Tabletext"/>
              <w:jc w:val="center"/>
              <w:rPr>
                <w:lang w:val="es-ES_tradnl"/>
              </w:rPr>
            </w:pPr>
            <w:r w:rsidRPr="008B7A21">
              <w:rPr>
                <w:lang w:val="es-ES_tradnl"/>
              </w:rPr>
              <w:t>28</w:t>
            </w:r>
          </w:p>
        </w:tc>
        <w:tc>
          <w:tcPr>
            <w:tcW w:w="1191" w:type="dxa"/>
          </w:tcPr>
          <w:p w14:paraId="4F7AB06B" w14:textId="77777777" w:rsidR="00F73D5B" w:rsidRPr="008B7A21" w:rsidRDefault="00F73D5B" w:rsidP="00767A6A">
            <w:pPr>
              <w:pStyle w:val="Tabletext"/>
              <w:jc w:val="center"/>
              <w:rPr>
                <w:lang w:val="es-ES_tradnl"/>
              </w:rPr>
            </w:pPr>
            <w:r w:rsidRPr="008B7A21">
              <w:rPr>
                <w:lang w:val="es-ES_tradnl"/>
              </w:rPr>
              <w:t>35</w:t>
            </w:r>
          </w:p>
        </w:tc>
        <w:tc>
          <w:tcPr>
            <w:tcW w:w="1191" w:type="dxa"/>
          </w:tcPr>
          <w:p w14:paraId="30CEDBC7" w14:textId="77777777" w:rsidR="00F73D5B" w:rsidRPr="008B7A21" w:rsidRDefault="00F73D5B" w:rsidP="00767A6A">
            <w:pPr>
              <w:pStyle w:val="Tabletext"/>
              <w:jc w:val="center"/>
              <w:rPr>
                <w:lang w:val="es-ES_tradnl"/>
              </w:rPr>
            </w:pPr>
            <w:r w:rsidRPr="008B7A21">
              <w:rPr>
                <w:lang w:val="es-ES_tradnl"/>
              </w:rPr>
              <w:t>43</w:t>
            </w:r>
          </w:p>
        </w:tc>
        <w:tc>
          <w:tcPr>
            <w:tcW w:w="1191" w:type="dxa"/>
          </w:tcPr>
          <w:p w14:paraId="0AD23225" w14:textId="77777777" w:rsidR="00F73D5B" w:rsidRPr="008B7A21" w:rsidRDefault="00F73D5B" w:rsidP="00767A6A">
            <w:pPr>
              <w:pStyle w:val="Tabletext"/>
              <w:jc w:val="center"/>
              <w:rPr>
                <w:lang w:val="es-ES_tradnl"/>
              </w:rPr>
            </w:pPr>
            <w:r w:rsidRPr="008B7A21">
              <w:rPr>
                <w:lang w:val="es-ES_tradnl"/>
              </w:rPr>
              <w:t>53</w:t>
            </w:r>
          </w:p>
        </w:tc>
        <w:tc>
          <w:tcPr>
            <w:tcW w:w="1191" w:type="dxa"/>
          </w:tcPr>
          <w:p w14:paraId="3CDA688B" w14:textId="77777777" w:rsidR="00F73D5B" w:rsidRPr="008B7A21" w:rsidRDefault="00F73D5B" w:rsidP="00767A6A">
            <w:pPr>
              <w:pStyle w:val="Tabletext"/>
              <w:jc w:val="center"/>
              <w:rPr>
                <w:lang w:val="es-ES_tradnl"/>
              </w:rPr>
            </w:pPr>
            <w:r w:rsidRPr="008B7A21">
              <w:rPr>
                <w:lang w:val="es-ES_tradnl"/>
              </w:rPr>
              <w:t>68</w:t>
            </w:r>
          </w:p>
        </w:tc>
      </w:tr>
      <w:tr w:rsidR="00F73D5B" w:rsidRPr="008B7A21" w14:paraId="169D113C" w14:textId="77777777" w:rsidTr="00767A6A">
        <w:trPr>
          <w:cantSplit/>
          <w:trHeight w:val="20"/>
          <w:jc w:val="center"/>
        </w:trPr>
        <w:tc>
          <w:tcPr>
            <w:tcW w:w="1246" w:type="dxa"/>
          </w:tcPr>
          <w:p w14:paraId="13BB5AEF" w14:textId="77777777" w:rsidR="00F73D5B" w:rsidRPr="008B7A21" w:rsidRDefault="00F73D5B" w:rsidP="00767A6A">
            <w:pPr>
              <w:pStyle w:val="Tabletext"/>
              <w:jc w:val="center"/>
              <w:rPr>
                <w:lang w:val="es-ES_tradnl"/>
              </w:rPr>
            </w:pPr>
            <w:r w:rsidRPr="008B7A21">
              <w:rPr>
                <w:lang w:val="es-ES_tradnl"/>
              </w:rPr>
              <w:t>20</w:t>
            </w:r>
          </w:p>
        </w:tc>
        <w:tc>
          <w:tcPr>
            <w:tcW w:w="1247" w:type="dxa"/>
          </w:tcPr>
          <w:p w14:paraId="159C4F2E" w14:textId="77777777" w:rsidR="00F73D5B" w:rsidRPr="008B7A21" w:rsidRDefault="00F73D5B" w:rsidP="00767A6A">
            <w:pPr>
              <w:pStyle w:val="Tabletext"/>
              <w:jc w:val="center"/>
              <w:rPr>
                <w:lang w:val="es-ES_tradnl"/>
              </w:rPr>
            </w:pPr>
            <w:r w:rsidRPr="008B7A21">
              <w:rPr>
                <w:lang w:val="es-ES_tradnl"/>
              </w:rPr>
              <w:t>Tierra</w:t>
            </w:r>
          </w:p>
        </w:tc>
        <w:tc>
          <w:tcPr>
            <w:tcW w:w="1191" w:type="dxa"/>
          </w:tcPr>
          <w:p w14:paraId="28964EB6" w14:textId="77777777" w:rsidR="00F73D5B" w:rsidRPr="008B7A21" w:rsidRDefault="00F73D5B" w:rsidP="00767A6A">
            <w:pPr>
              <w:pStyle w:val="Tabletext"/>
              <w:jc w:val="center"/>
              <w:rPr>
                <w:lang w:val="es-ES_tradnl"/>
              </w:rPr>
            </w:pPr>
            <w:r w:rsidRPr="008B7A21">
              <w:rPr>
                <w:lang w:val="es-ES_tradnl"/>
              </w:rPr>
              <w:t>13</w:t>
            </w:r>
          </w:p>
        </w:tc>
        <w:tc>
          <w:tcPr>
            <w:tcW w:w="1191" w:type="dxa"/>
          </w:tcPr>
          <w:p w14:paraId="29565C08" w14:textId="77777777" w:rsidR="00F73D5B" w:rsidRPr="008B7A21" w:rsidRDefault="00F73D5B" w:rsidP="00767A6A">
            <w:pPr>
              <w:pStyle w:val="Tabletext"/>
              <w:jc w:val="center"/>
              <w:rPr>
                <w:lang w:val="es-ES_tradnl"/>
              </w:rPr>
            </w:pPr>
            <w:r w:rsidRPr="008B7A21">
              <w:rPr>
                <w:lang w:val="es-ES_tradnl"/>
              </w:rPr>
              <w:t>16</w:t>
            </w:r>
          </w:p>
        </w:tc>
        <w:tc>
          <w:tcPr>
            <w:tcW w:w="1191" w:type="dxa"/>
          </w:tcPr>
          <w:p w14:paraId="7115766B" w14:textId="77777777" w:rsidR="00F73D5B" w:rsidRPr="008B7A21" w:rsidRDefault="00F73D5B" w:rsidP="00767A6A">
            <w:pPr>
              <w:pStyle w:val="Tabletext"/>
              <w:jc w:val="center"/>
              <w:rPr>
                <w:lang w:val="es-ES_tradnl"/>
              </w:rPr>
            </w:pPr>
            <w:r w:rsidRPr="008B7A21">
              <w:rPr>
                <w:lang w:val="es-ES_tradnl"/>
              </w:rPr>
              <w:t>22</w:t>
            </w:r>
          </w:p>
        </w:tc>
        <w:tc>
          <w:tcPr>
            <w:tcW w:w="1191" w:type="dxa"/>
          </w:tcPr>
          <w:p w14:paraId="5F6CED11" w14:textId="77777777" w:rsidR="00F73D5B" w:rsidRPr="008B7A21" w:rsidRDefault="00F73D5B" w:rsidP="00767A6A">
            <w:pPr>
              <w:pStyle w:val="Tabletext"/>
              <w:jc w:val="center"/>
              <w:rPr>
                <w:lang w:val="es-ES_tradnl"/>
              </w:rPr>
            </w:pPr>
            <w:r w:rsidRPr="008B7A21">
              <w:rPr>
                <w:lang w:val="es-ES_tradnl"/>
              </w:rPr>
              <w:t>29</w:t>
            </w:r>
          </w:p>
        </w:tc>
        <w:tc>
          <w:tcPr>
            <w:tcW w:w="1191" w:type="dxa"/>
          </w:tcPr>
          <w:p w14:paraId="70CF8B4D" w14:textId="77777777" w:rsidR="00F73D5B" w:rsidRPr="008B7A21" w:rsidRDefault="00F73D5B" w:rsidP="00767A6A">
            <w:pPr>
              <w:pStyle w:val="Tabletext"/>
              <w:jc w:val="center"/>
              <w:rPr>
                <w:lang w:val="es-ES_tradnl"/>
              </w:rPr>
            </w:pPr>
            <w:r w:rsidRPr="008B7A21">
              <w:rPr>
                <w:lang w:val="es-ES_tradnl"/>
              </w:rPr>
              <w:t>40</w:t>
            </w:r>
          </w:p>
        </w:tc>
        <w:tc>
          <w:tcPr>
            <w:tcW w:w="1191" w:type="dxa"/>
          </w:tcPr>
          <w:p w14:paraId="651FF8EA" w14:textId="77777777" w:rsidR="00F73D5B" w:rsidRPr="008B7A21" w:rsidRDefault="00F73D5B" w:rsidP="00767A6A">
            <w:pPr>
              <w:pStyle w:val="Tabletext"/>
              <w:jc w:val="center"/>
              <w:rPr>
                <w:lang w:val="es-ES_tradnl"/>
              </w:rPr>
            </w:pPr>
            <w:r w:rsidRPr="008B7A21">
              <w:rPr>
                <w:lang w:val="es-ES_tradnl"/>
              </w:rPr>
              <w:t>53</w:t>
            </w:r>
          </w:p>
        </w:tc>
      </w:tr>
      <w:tr w:rsidR="00F73D5B" w:rsidRPr="008B7A21" w14:paraId="4D939710" w14:textId="77777777" w:rsidTr="00767A6A">
        <w:trPr>
          <w:cantSplit/>
          <w:trHeight w:val="20"/>
          <w:jc w:val="center"/>
        </w:trPr>
        <w:tc>
          <w:tcPr>
            <w:tcW w:w="1246" w:type="dxa"/>
          </w:tcPr>
          <w:p w14:paraId="22AAF7AD" w14:textId="77777777" w:rsidR="00F73D5B" w:rsidRPr="008B7A21" w:rsidRDefault="00F73D5B" w:rsidP="00767A6A">
            <w:pPr>
              <w:pStyle w:val="Tabletext"/>
              <w:jc w:val="center"/>
              <w:rPr>
                <w:lang w:val="es-ES_tradnl"/>
              </w:rPr>
            </w:pPr>
          </w:p>
        </w:tc>
        <w:tc>
          <w:tcPr>
            <w:tcW w:w="1247" w:type="dxa"/>
          </w:tcPr>
          <w:p w14:paraId="13EC6943" w14:textId="77777777" w:rsidR="00F73D5B" w:rsidRPr="008B7A21" w:rsidRDefault="00F73D5B" w:rsidP="00767A6A">
            <w:pPr>
              <w:pStyle w:val="Tabletext"/>
              <w:jc w:val="center"/>
              <w:rPr>
                <w:lang w:val="es-ES_tradnl"/>
              </w:rPr>
            </w:pPr>
            <w:r w:rsidRPr="008B7A21">
              <w:rPr>
                <w:lang w:val="es-ES_tradnl"/>
              </w:rPr>
              <w:t>Mar</w:t>
            </w:r>
          </w:p>
        </w:tc>
        <w:tc>
          <w:tcPr>
            <w:tcW w:w="1191" w:type="dxa"/>
          </w:tcPr>
          <w:p w14:paraId="6F8EF8C4" w14:textId="77777777" w:rsidR="00F73D5B" w:rsidRPr="008B7A21" w:rsidRDefault="00F73D5B" w:rsidP="00767A6A">
            <w:pPr>
              <w:pStyle w:val="Tabletext"/>
              <w:jc w:val="center"/>
              <w:rPr>
                <w:lang w:val="es-ES_tradnl"/>
              </w:rPr>
            </w:pPr>
            <w:r w:rsidRPr="008B7A21">
              <w:rPr>
                <w:lang w:val="es-ES_tradnl"/>
              </w:rPr>
              <w:t>27</w:t>
            </w:r>
          </w:p>
        </w:tc>
        <w:tc>
          <w:tcPr>
            <w:tcW w:w="1191" w:type="dxa"/>
          </w:tcPr>
          <w:p w14:paraId="5AEA77B4" w14:textId="77777777" w:rsidR="00F73D5B" w:rsidRPr="008B7A21" w:rsidRDefault="00F73D5B" w:rsidP="00767A6A">
            <w:pPr>
              <w:pStyle w:val="Tabletext"/>
              <w:jc w:val="center"/>
              <w:rPr>
                <w:lang w:val="es-ES_tradnl"/>
              </w:rPr>
            </w:pPr>
            <w:r w:rsidRPr="008B7A21">
              <w:rPr>
                <w:lang w:val="es-ES_tradnl"/>
              </w:rPr>
              <w:t>31</w:t>
            </w:r>
          </w:p>
        </w:tc>
        <w:tc>
          <w:tcPr>
            <w:tcW w:w="1191" w:type="dxa"/>
          </w:tcPr>
          <w:p w14:paraId="6FFF2202" w14:textId="77777777" w:rsidR="00F73D5B" w:rsidRPr="008B7A21" w:rsidRDefault="00F73D5B" w:rsidP="00767A6A">
            <w:pPr>
              <w:pStyle w:val="Tabletext"/>
              <w:jc w:val="center"/>
              <w:rPr>
                <w:lang w:val="es-ES_tradnl"/>
              </w:rPr>
            </w:pPr>
            <w:r w:rsidRPr="008B7A21">
              <w:rPr>
                <w:lang w:val="es-ES_tradnl"/>
              </w:rPr>
              <w:t>39</w:t>
            </w:r>
          </w:p>
        </w:tc>
        <w:tc>
          <w:tcPr>
            <w:tcW w:w="1191" w:type="dxa"/>
          </w:tcPr>
          <w:p w14:paraId="29C89CF7" w14:textId="77777777" w:rsidR="00F73D5B" w:rsidRPr="008B7A21" w:rsidRDefault="00F73D5B" w:rsidP="00767A6A">
            <w:pPr>
              <w:pStyle w:val="Tabletext"/>
              <w:jc w:val="center"/>
              <w:rPr>
                <w:lang w:val="es-ES_tradnl"/>
              </w:rPr>
            </w:pPr>
            <w:r w:rsidRPr="008B7A21">
              <w:rPr>
                <w:lang w:val="es-ES_tradnl"/>
              </w:rPr>
              <w:t>47</w:t>
            </w:r>
          </w:p>
        </w:tc>
        <w:tc>
          <w:tcPr>
            <w:tcW w:w="1191" w:type="dxa"/>
          </w:tcPr>
          <w:p w14:paraId="103A7B7C" w14:textId="77777777" w:rsidR="00F73D5B" w:rsidRPr="008B7A21" w:rsidRDefault="00F73D5B" w:rsidP="00767A6A">
            <w:pPr>
              <w:pStyle w:val="Tabletext"/>
              <w:jc w:val="center"/>
              <w:rPr>
                <w:lang w:val="es-ES_tradnl"/>
              </w:rPr>
            </w:pPr>
            <w:r w:rsidRPr="008B7A21">
              <w:rPr>
                <w:lang w:val="es-ES_tradnl"/>
              </w:rPr>
              <w:t>59</w:t>
            </w:r>
          </w:p>
        </w:tc>
        <w:tc>
          <w:tcPr>
            <w:tcW w:w="1191" w:type="dxa"/>
          </w:tcPr>
          <w:p w14:paraId="2EA01007" w14:textId="77777777" w:rsidR="00F73D5B" w:rsidRPr="008B7A21" w:rsidRDefault="00F73D5B" w:rsidP="00767A6A">
            <w:pPr>
              <w:pStyle w:val="Tabletext"/>
              <w:jc w:val="center"/>
              <w:rPr>
                <w:lang w:val="es-ES_tradnl"/>
              </w:rPr>
            </w:pPr>
            <w:r w:rsidRPr="008B7A21">
              <w:rPr>
                <w:lang w:val="es-ES_tradnl"/>
              </w:rPr>
              <w:t>74</w:t>
            </w:r>
          </w:p>
        </w:tc>
      </w:tr>
      <w:tr w:rsidR="00F73D5B" w:rsidRPr="008B7A21" w14:paraId="285AB3CF" w14:textId="77777777" w:rsidTr="00767A6A">
        <w:trPr>
          <w:cantSplit/>
          <w:trHeight w:val="20"/>
          <w:jc w:val="center"/>
        </w:trPr>
        <w:tc>
          <w:tcPr>
            <w:tcW w:w="1246" w:type="dxa"/>
          </w:tcPr>
          <w:p w14:paraId="32171555" w14:textId="77777777" w:rsidR="00F73D5B" w:rsidRPr="008B7A21" w:rsidRDefault="00F73D5B" w:rsidP="00767A6A">
            <w:pPr>
              <w:pStyle w:val="Tabletext"/>
              <w:jc w:val="center"/>
              <w:rPr>
                <w:lang w:val="es-ES_tradnl"/>
              </w:rPr>
            </w:pPr>
            <w:r w:rsidRPr="008B7A21">
              <w:rPr>
                <w:lang w:val="es-ES_tradnl"/>
              </w:rPr>
              <w:t>30</w:t>
            </w:r>
          </w:p>
        </w:tc>
        <w:tc>
          <w:tcPr>
            <w:tcW w:w="1247" w:type="dxa"/>
          </w:tcPr>
          <w:p w14:paraId="3A9A3386" w14:textId="77777777" w:rsidR="00F73D5B" w:rsidRPr="008B7A21" w:rsidRDefault="00F73D5B" w:rsidP="00767A6A">
            <w:pPr>
              <w:pStyle w:val="Tabletext"/>
              <w:jc w:val="center"/>
              <w:rPr>
                <w:lang w:val="es-ES_tradnl"/>
              </w:rPr>
            </w:pPr>
            <w:r w:rsidRPr="008B7A21">
              <w:rPr>
                <w:lang w:val="es-ES_tradnl"/>
              </w:rPr>
              <w:t>Tierra</w:t>
            </w:r>
          </w:p>
        </w:tc>
        <w:tc>
          <w:tcPr>
            <w:tcW w:w="1191" w:type="dxa"/>
          </w:tcPr>
          <w:p w14:paraId="48B766C2" w14:textId="77777777" w:rsidR="00F73D5B" w:rsidRPr="008B7A21" w:rsidRDefault="00F73D5B" w:rsidP="00767A6A">
            <w:pPr>
              <w:pStyle w:val="Tabletext"/>
              <w:jc w:val="center"/>
              <w:rPr>
                <w:lang w:val="es-ES_tradnl"/>
              </w:rPr>
            </w:pPr>
            <w:r w:rsidRPr="008B7A21">
              <w:rPr>
                <w:lang w:val="es-ES_tradnl"/>
              </w:rPr>
              <w:t>14</w:t>
            </w:r>
          </w:p>
        </w:tc>
        <w:tc>
          <w:tcPr>
            <w:tcW w:w="1191" w:type="dxa"/>
          </w:tcPr>
          <w:p w14:paraId="3EEDFA77" w14:textId="77777777" w:rsidR="00F73D5B" w:rsidRPr="008B7A21" w:rsidRDefault="00F73D5B" w:rsidP="00767A6A">
            <w:pPr>
              <w:pStyle w:val="Tabletext"/>
              <w:jc w:val="center"/>
              <w:rPr>
                <w:lang w:val="es-ES_tradnl"/>
              </w:rPr>
            </w:pPr>
            <w:r w:rsidRPr="008B7A21">
              <w:rPr>
                <w:lang w:val="es-ES_tradnl"/>
              </w:rPr>
              <w:t>17</w:t>
            </w:r>
          </w:p>
        </w:tc>
        <w:tc>
          <w:tcPr>
            <w:tcW w:w="1191" w:type="dxa"/>
          </w:tcPr>
          <w:p w14:paraId="4AAE86D7" w14:textId="77777777" w:rsidR="00F73D5B" w:rsidRPr="008B7A21" w:rsidRDefault="00F73D5B" w:rsidP="00767A6A">
            <w:pPr>
              <w:pStyle w:val="Tabletext"/>
              <w:jc w:val="center"/>
              <w:rPr>
                <w:lang w:val="es-ES_tradnl"/>
              </w:rPr>
            </w:pPr>
            <w:r w:rsidRPr="008B7A21">
              <w:rPr>
                <w:lang w:val="es-ES_tradnl"/>
              </w:rPr>
              <w:t>24</w:t>
            </w:r>
          </w:p>
        </w:tc>
        <w:tc>
          <w:tcPr>
            <w:tcW w:w="1191" w:type="dxa"/>
          </w:tcPr>
          <w:p w14:paraId="2477B741" w14:textId="77777777" w:rsidR="00F73D5B" w:rsidRPr="008B7A21" w:rsidRDefault="00F73D5B" w:rsidP="00767A6A">
            <w:pPr>
              <w:pStyle w:val="Tabletext"/>
              <w:jc w:val="center"/>
              <w:rPr>
                <w:lang w:val="es-ES_tradnl"/>
              </w:rPr>
            </w:pPr>
            <w:r w:rsidRPr="008B7A21">
              <w:rPr>
                <w:lang w:val="es-ES_tradnl"/>
              </w:rPr>
              <w:t>32</w:t>
            </w:r>
          </w:p>
        </w:tc>
        <w:tc>
          <w:tcPr>
            <w:tcW w:w="1191" w:type="dxa"/>
          </w:tcPr>
          <w:p w14:paraId="1FBE0797" w14:textId="77777777" w:rsidR="00F73D5B" w:rsidRPr="008B7A21" w:rsidRDefault="00F73D5B" w:rsidP="00767A6A">
            <w:pPr>
              <w:pStyle w:val="Tabletext"/>
              <w:jc w:val="center"/>
              <w:rPr>
                <w:lang w:val="es-ES_tradnl"/>
              </w:rPr>
            </w:pPr>
            <w:r w:rsidRPr="008B7A21">
              <w:rPr>
                <w:lang w:val="es-ES_tradnl"/>
              </w:rPr>
              <w:t>43</w:t>
            </w:r>
          </w:p>
        </w:tc>
        <w:tc>
          <w:tcPr>
            <w:tcW w:w="1191" w:type="dxa"/>
          </w:tcPr>
          <w:p w14:paraId="5835F090" w14:textId="77777777" w:rsidR="00F73D5B" w:rsidRPr="008B7A21" w:rsidRDefault="00F73D5B" w:rsidP="00767A6A">
            <w:pPr>
              <w:pStyle w:val="Tabletext"/>
              <w:jc w:val="center"/>
              <w:rPr>
                <w:lang w:val="es-ES_tradnl"/>
              </w:rPr>
            </w:pPr>
            <w:r w:rsidRPr="008B7A21">
              <w:rPr>
                <w:lang w:val="es-ES_tradnl"/>
              </w:rPr>
              <w:t>57</w:t>
            </w:r>
          </w:p>
        </w:tc>
      </w:tr>
      <w:tr w:rsidR="00F73D5B" w:rsidRPr="008B7A21" w14:paraId="43566AFC" w14:textId="77777777" w:rsidTr="00767A6A">
        <w:trPr>
          <w:cantSplit/>
          <w:trHeight w:val="20"/>
          <w:jc w:val="center"/>
        </w:trPr>
        <w:tc>
          <w:tcPr>
            <w:tcW w:w="1246" w:type="dxa"/>
          </w:tcPr>
          <w:p w14:paraId="3AB0CA77" w14:textId="77777777" w:rsidR="00F73D5B" w:rsidRPr="008B7A21" w:rsidRDefault="00F73D5B" w:rsidP="00767A6A">
            <w:pPr>
              <w:pStyle w:val="Tabletext"/>
              <w:jc w:val="center"/>
              <w:rPr>
                <w:lang w:val="es-ES_tradnl"/>
              </w:rPr>
            </w:pPr>
          </w:p>
        </w:tc>
        <w:tc>
          <w:tcPr>
            <w:tcW w:w="1247" w:type="dxa"/>
          </w:tcPr>
          <w:p w14:paraId="2B540EE6" w14:textId="77777777" w:rsidR="00F73D5B" w:rsidRPr="008B7A21" w:rsidRDefault="00F73D5B" w:rsidP="00767A6A">
            <w:pPr>
              <w:pStyle w:val="Tabletext"/>
              <w:jc w:val="center"/>
              <w:rPr>
                <w:lang w:val="es-ES_tradnl"/>
              </w:rPr>
            </w:pPr>
            <w:r w:rsidRPr="008B7A21">
              <w:rPr>
                <w:lang w:val="es-ES_tradnl"/>
              </w:rPr>
              <w:t>Mar</w:t>
            </w:r>
          </w:p>
        </w:tc>
        <w:tc>
          <w:tcPr>
            <w:tcW w:w="1191" w:type="dxa"/>
          </w:tcPr>
          <w:p w14:paraId="52CC54F6" w14:textId="77777777" w:rsidR="00F73D5B" w:rsidRPr="008B7A21" w:rsidRDefault="00F73D5B" w:rsidP="00767A6A">
            <w:pPr>
              <w:pStyle w:val="Tabletext"/>
              <w:jc w:val="center"/>
              <w:rPr>
                <w:lang w:val="es-ES_tradnl"/>
              </w:rPr>
            </w:pPr>
            <w:r w:rsidRPr="008B7A21">
              <w:rPr>
                <w:lang w:val="es-ES_tradnl"/>
              </w:rPr>
              <w:t>29</w:t>
            </w:r>
          </w:p>
        </w:tc>
        <w:tc>
          <w:tcPr>
            <w:tcW w:w="1191" w:type="dxa"/>
          </w:tcPr>
          <w:p w14:paraId="03E43F2E" w14:textId="77777777" w:rsidR="00F73D5B" w:rsidRPr="008B7A21" w:rsidRDefault="00F73D5B" w:rsidP="00767A6A">
            <w:pPr>
              <w:pStyle w:val="Tabletext"/>
              <w:jc w:val="center"/>
              <w:rPr>
                <w:lang w:val="es-ES_tradnl"/>
              </w:rPr>
            </w:pPr>
            <w:r w:rsidRPr="008B7A21">
              <w:rPr>
                <w:lang w:val="es-ES_tradnl"/>
              </w:rPr>
              <w:t>34</w:t>
            </w:r>
          </w:p>
        </w:tc>
        <w:tc>
          <w:tcPr>
            <w:tcW w:w="1191" w:type="dxa"/>
          </w:tcPr>
          <w:p w14:paraId="66588B12" w14:textId="77777777" w:rsidR="00F73D5B" w:rsidRPr="008B7A21" w:rsidRDefault="00F73D5B" w:rsidP="00767A6A">
            <w:pPr>
              <w:pStyle w:val="Tabletext"/>
              <w:jc w:val="center"/>
              <w:rPr>
                <w:lang w:val="es-ES_tradnl"/>
              </w:rPr>
            </w:pPr>
            <w:r w:rsidRPr="008B7A21">
              <w:rPr>
                <w:lang w:val="es-ES_tradnl"/>
              </w:rPr>
              <w:t>42</w:t>
            </w:r>
          </w:p>
        </w:tc>
        <w:tc>
          <w:tcPr>
            <w:tcW w:w="1191" w:type="dxa"/>
          </w:tcPr>
          <w:p w14:paraId="6DDC16B1" w14:textId="77777777" w:rsidR="00F73D5B" w:rsidRPr="008B7A21" w:rsidRDefault="00F73D5B" w:rsidP="00767A6A">
            <w:pPr>
              <w:pStyle w:val="Tabletext"/>
              <w:jc w:val="center"/>
              <w:rPr>
                <w:lang w:val="es-ES_tradnl"/>
              </w:rPr>
            </w:pPr>
            <w:r w:rsidRPr="008B7A21">
              <w:rPr>
                <w:lang w:val="es-ES_tradnl"/>
              </w:rPr>
              <w:t>51</w:t>
            </w:r>
          </w:p>
        </w:tc>
        <w:tc>
          <w:tcPr>
            <w:tcW w:w="1191" w:type="dxa"/>
          </w:tcPr>
          <w:p w14:paraId="2F5F6662" w14:textId="77777777" w:rsidR="00F73D5B" w:rsidRPr="008B7A21" w:rsidRDefault="00F73D5B" w:rsidP="00767A6A">
            <w:pPr>
              <w:pStyle w:val="Tabletext"/>
              <w:jc w:val="center"/>
              <w:rPr>
                <w:lang w:val="es-ES_tradnl"/>
              </w:rPr>
            </w:pPr>
            <w:r w:rsidRPr="008B7A21">
              <w:rPr>
                <w:lang w:val="es-ES_tradnl"/>
              </w:rPr>
              <w:t>62</w:t>
            </w:r>
          </w:p>
        </w:tc>
        <w:tc>
          <w:tcPr>
            <w:tcW w:w="1191" w:type="dxa"/>
          </w:tcPr>
          <w:p w14:paraId="79E78E99" w14:textId="77777777" w:rsidR="00F73D5B" w:rsidRPr="008B7A21" w:rsidRDefault="00F73D5B" w:rsidP="00767A6A">
            <w:pPr>
              <w:pStyle w:val="Tabletext"/>
              <w:jc w:val="center"/>
              <w:rPr>
                <w:lang w:val="es-ES_tradnl"/>
              </w:rPr>
            </w:pPr>
            <w:r w:rsidRPr="008B7A21">
              <w:rPr>
                <w:lang w:val="es-ES_tradnl"/>
              </w:rPr>
              <w:t>77</w:t>
            </w:r>
          </w:p>
        </w:tc>
      </w:tr>
      <w:tr w:rsidR="00F73D5B" w:rsidRPr="008B7A21" w14:paraId="51CDA475" w14:textId="77777777" w:rsidTr="00767A6A">
        <w:trPr>
          <w:cantSplit/>
          <w:trHeight w:val="20"/>
          <w:jc w:val="center"/>
        </w:trPr>
        <w:tc>
          <w:tcPr>
            <w:tcW w:w="1246" w:type="dxa"/>
          </w:tcPr>
          <w:p w14:paraId="6553127F" w14:textId="77777777" w:rsidR="00F73D5B" w:rsidRPr="008B7A21" w:rsidRDefault="00F73D5B" w:rsidP="00767A6A">
            <w:pPr>
              <w:pStyle w:val="Tabletext"/>
              <w:jc w:val="center"/>
              <w:rPr>
                <w:lang w:val="es-ES_tradnl"/>
              </w:rPr>
            </w:pPr>
            <w:r w:rsidRPr="008B7A21">
              <w:rPr>
                <w:lang w:val="es-ES_tradnl"/>
              </w:rPr>
              <w:t>40</w:t>
            </w:r>
          </w:p>
        </w:tc>
        <w:tc>
          <w:tcPr>
            <w:tcW w:w="1247" w:type="dxa"/>
          </w:tcPr>
          <w:p w14:paraId="3EF980E2" w14:textId="77777777" w:rsidR="00F73D5B" w:rsidRPr="008B7A21" w:rsidRDefault="00F73D5B" w:rsidP="00767A6A">
            <w:pPr>
              <w:pStyle w:val="Tabletext"/>
              <w:jc w:val="center"/>
              <w:rPr>
                <w:lang w:val="es-ES_tradnl"/>
              </w:rPr>
            </w:pPr>
            <w:r w:rsidRPr="008B7A21">
              <w:rPr>
                <w:lang w:val="es-ES_tradnl"/>
              </w:rPr>
              <w:t>Tierra</w:t>
            </w:r>
          </w:p>
        </w:tc>
        <w:tc>
          <w:tcPr>
            <w:tcW w:w="1191" w:type="dxa"/>
          </w:tcPr>
          <w:p w14:paraId="04D2236A" w14:textId="77777777" w:rsidR="00F73D5B" w:rsidRPr="008B7A21" w:rsidRDefault="00F73D5B" w:rsidP="00767A6A">
            <w:pPr>
              <w:pStyle w:val="Tabletext"/>
              <w:jc w:val="center"/>
              <w:rPr>
                <w:lang w:val="es-ES_tradnl"/>
              </w:rPr>
            </w:pPr>
            <w:r w:rsidRPr="008B7A21">
              <w:rPr>
                <w:lang w:val="es-ES_tradnl"/>
              </w:rPr>
              <w:t>14</w:t>
            </w:r>
          </w:p>
        </w:tc>
        <w:tc>
          <w:tcPr>
            <w:tcW w:w="1191" w:type="dxa"/>
          </w:tcPr>
          <w:p w14:paraId="0CA54DA9" w14:textId="77777777" w:rsidR="00F73D5B" w:rsidRPr="008B7A21" w:rsidRDefault="00F73D5B" w:rsidP="00767A6A">
            <w:pPr>
              <w:pStyle w:val="Tabletext"/>
              <w:jc w:val="center"/>
              <w:rPr>
                <w:lang w:val="es-ES_tradnl"/>
              </w:rPr>
            </w:pPr>
            <w:r w:rsidRPr="008B7A21">
              <w:rPr>
                <w:lang w:val="es-ES_tradnl"/>
              </w:rPr>
              <w:t>19</w:t>
            </w:r>
          </w:p>
        </w:tc>
        <w:tc>
          <w:tcPr>
            <w:tcW w:w="1191" w:type="dxa"/>
          </w:tcPr>
          <w:p w14:paraId="3CA1100E" w14:textId="77777777" w:rsidR="00F73D5B" w:rsidRPr="008B7A21" w:rsidRDefault="00F73D5B" w:rsidP="00767A6A">
            <w:pPr>
              <w:pStyle w:val="Tabletext"/>
              <w:jc w:val="center"/>
              <w:rPr>
                <w:lang w:val="es-ES_tradnl"/>
              </w:rPr>
            </w:pPr>
            <w:r w:rsidRPr="008B7A21">
              <w:rPr>
                <w:lang w:val="es-ES_tradnl"/>
              </w:rPr>
              <w:t>25</w:t>
            </w:r>
          </w:p>
        </w:tc>
        <w:tc>
          <w:tcPr>
            <w:tcW w:w="1191" w:type="dxa"/>
          </w:tcPr>
          <w:p w14:paraId="09F1C3C1" w14:textId="77777777" w:rsidR="00F73D5B" w:rsidRPr="008B7A21" w:rsidRDefault="00F73D5B" w:rsidP="00767A6A">
            <w:pPr>
              <w:pStyle w:val="Tabletext"/>
              <w:jc w:val="center"/>
              <w:rPr>
                <w:lang w:val="es-ES_tradnl"/>
              </w:rPr>
            </w:pPr>
            <w:r w:rsidRPr="008B7A21">
              <w:rPr>
                <w:lang w:val="es-ES_tradnl"/>
              </w:rPr>
              <w:t>34</w:t>
            </w:r>
          </w:p>
        </w:tc>
        <w:tc>
          <w:tcPr>
            <w:tcW w:w="1191" w:type="dxa"/>
          </w:tcPr>
          <w:p w14:paraId="1AEF6E59" w14:textId="77777777" w:rsidR="00F73D5B" w:rsidRPr="008B7A21" w:rsidRDefault="00F73D5B" w:rsidP="00767A6A">
            <w:pPr>
              <w:pStyle w:val="Tabletext"/>
              <w:jc w:val="center"/>
              <w:rPr>
                <w:lang w:val="es-ES_tradnl"/>
              </w:rPr>
            </w:pPr>
            <w:r w:rsidRPr="008B7A21">
              <w:rPr>
                <w:lang w:val="es-ES_tradnl"/>
              </w:rPr>
              <w:t>45</w:t>
            </w:r>
          </w:p>
        </w:tc>
        <w:tc>
          <w:tcPr>
            <w:tcW w:w="1191" w:type="dxa"/>
          </w:tcPr>
          <w:p w14:paraId="6E691EC0" w14:textId="77777777" w:rsidR="00F73D5B" w:rsidRPr="008B7A21" w:rsidRDefault="00F73D5B" w:rsidP="00767A6A">
            <w:pPr>
              <w:pStyle w:val="Tabletext"/>
              <w:jc w:val="center"/>
              <w:rPr>
                <w:lang w:val="es-ES_tradnl"/>
              </w:rPr>
            </w:pPr>
            <w:r w:rsidRPr="008B7A21">
              <w:rPr>
                <w:lang w:val="es-ES_tradnl"/>
              </w:rPr>
              <w:t>59</w:t>
            </w:r>
          </w:p>
        </w:tc>
      </w:tr>
      <w:tr w:rsidR="00F73D5B" w:rsidRPr="008B7A21" w14:paraId="05ED8148" w14:textId="77777777" w:rsidTr="00767A6A">
        <w:trPr>
          <w:cantSplit/>
          <w:trHeight w:val="20"/>
          <w:jc w:val="center"/>
        </w:trPr>
        <w:tc>
          <w:tcPr>
            <w:tcW w:w="1246" w:type="dxa"/>
          </w:tcPr>
          <w:p w14:paraId="592B0E52" w14:textId="77777777" w:rsidR="00F73D5B" w:rsidRPr="008B7A21" w:rsidRDefault="00F73D5B" w:rsidP="00767A6A">
            <w:pPr>
              <w:pStyle w:val="Tabletext"/>
              <w:jc w:val="center"/>
              <w:rPr>
                <w:lang w:val="es-ES_tradnl"/>
              </w:rPr>
            </w:pPr>
          </w:p>
        </w:tc>
        <w:tc>
          <w:tcPr>
            <w:tcW w:w="1247" w:type="dxa"/>
          </w:tcPr>
          <w:p w14:paraId="63D13641" w14:textId="77777777" w:rsidR="00F73D5B" w:rsidRPr="008B7A21" w:rsidRDefault="00F73D5B" w:rsidP="00767A6A">
            <w:pPr>
              <w:pStyle w:val="Tabletext"/>
              <w:jc w:val="center"/>
              <w:rPr>
                <w:lang w:val="es-ES_tradnl"/>
              </w:rPr>
            </w:pPr>
            <w:r w:rsidRPr="008B7A21">
              <w:rPr>
                <w:lang w:val="es-ES_tradnl"/>
              </w:rPr>
              <w:t>Mar</w:t>
            </w:r>
          </w:p>
        </w:tc>
        <w:tc>
          <w:tcPr>
            <w:tcW w:w="1191" w:type="dxa"/>
          </w:tcPr>
          <w:p w14:paraId="6C1B4CFA" w14:textId="77777777" w:rsidR="00F73D5B" w:rsidRPr="008B7A21" w:rsidRDefault="00F73D5B" w:rsidP="00767A6A">
            <w:pPr>
              <w:pStyle w:val="Tabletext"/>
              <w:jc w:val="center"/>
              <w:rPr>
                <w:lang w:val="es-ES_tradnl"/>
              </w:rPr>
            </w:pPr>
            <w:r w:rsidRPr="008B7A21">
              <w:rPr>
                <w:lang w:val="es-ES_tradnl"/>
              </w:rPr>
              <w:t>30</w:t>
            </w:r>
          </w:p>
        </w:tc>
        <w:tc>
          <w:tcPr>
            <w:tcW w:w="1191" w:type="dxa"/>
          </w:tcPr>
          <w:p w14:paraId="6E650C34" w14:textId="77777777" w:rsidR="00F73D5B" w:rsidRPr="008B7A21" w:rsidRDefault="00F73D5B" w:rsidP="00767A6A">
            <w:pPr>
              <w:pStyle w:val="Tabletext"/>
              <w:jc w:val="center"/>
              <w:rPr>
                <w:lang w:val="es-ES_tradnl"/>
              </w:rPr>
            </w:pPr>
            <w:r w:rsidRPr="008B7A21">
              <w:rPr>
                <w:lang w:val="es-ES_tradnl"/>
              </w:rPr>
              <w:t>36</w:t>
            </w:r>
          </w:p>
        </w:tc>
        <w:tc>
          <w:tcPr>
            <w:tcW w:w="1191" w:type="dxa"/>
          </w:tcPr>
          <w:p w14:paraId="35920A9F" w14:textId="77777777" w:rsidR="00F73D5B" w:rsidRPr="008B7A21" w:rsidRDefault="00F73D5B" w:rsidP="00767A6A">
            <w:pPr>
              <w:pStyle w:val="Tabletext"/>
              <w:jc w:val="center"/>
              <w:rPr>
                <w:lang w:val="es-ES_tradnl"/>
              </w:rPr>
            </w:pPr>
            <w:r w:rsidRPr="008B7A21">
              <w:rPr>
                <w:lang w:val="es-ES_tradnl"/>
              </w:rPr>
              <w:t>44</w:t>
            </w:r>
          </w:p>
        </w:tc>
        <w:tc>
          <w:tcPr>
            <w:tcW w:w="1191" w:type="dxa"/>
          </w:tcPr>
          <w:p w14:paraId="3EAE469C" w14:textId="77777777" w:rsidR="00F73D5B" w:rsidRPr="008B7A21" w:rsidRDefault="00F73D5B" w:rsidP="00767A6A">
            <w:pPr>
              <w:pStyle w:val="Tabletext"/>
              <w:jc w:val="center"/>
              <w:rPr>
                <w:lang w:val="es-ES_tradnl"/>
              </w:rPr>
            </w:pPr>
            <w:r w:rsidRPr="008B7A21">
              <w:rPr>
                <w:lang w:val="es-ES_tradnl"/>
              </w:rPr>
              <w:t>53</w:t>
            </w:r>
          </w:p>
        </w:tc>
        <w:tc>
          <w:tcPr>
            <w:tcW w:w="1191" w:type="dxa"/>
          </w:tcPr>
          <w:p w14:paraId="3ED7A823" w14:textId="77777777" w:rsidR="00F73D5B" w:rsidRPr="008B7A21" w:rsidRDefault="00F73D5B" w:rsidP="00767A6A">
            <w:pPr>
              <w:pStyle w:val="Tabletext"/>
              <w:jc w:val="center"/>
              <w:rPr>
                <w:lang w:val="es-ES_tradnl"/>
              </w:rPr>
            </w:pPr>
            <w:r w:rsidRPr="008B7A21">
              <w:rPr>
                <w:lang w:val="es-ES_tradnl"/>
              </w:rPr>
              <w:t>64</w:t>
            </w:r>
          </w:p>
        </w:tc>
        <w:tc>
          <w:tcPr>
            <w:tcW w:w="1191" w:type="dxa"/>
          </w:tcPr>
          <w:p w14:paraId="725A1BE8" w14:textId="77777777" w:rsidR="00F73D5B" w:rsidRPr="008B7A21" w:rsidRDefault="00F73D5B" w:rsidP="00767A6A">
            <w:pPr>
              <w:pStyle w:val="Tabletext"/>
              <w:jc w:val="center"/>
              <w:rPr>
                <w:lang w:val="es-ES_tradnl"/>
              </w:rPr>
            </w:pPr>
            <w:r w:rsidRPr="008B7A21">
              <w:rPr>
                <w:lang w:val="es-ES_tradnl"/>
              </w:rPr>
              <w:t>80</w:t>
            </w:r>
          </w:p>
        </w:tc>
      </w:tr>
      <w:tr w:rsidR="00F73D5B" w:rsidRPr="008B7A21" w14:paraId="2861E0B3" w14:textId="77777777" w:rsidTr="00767A6A">
        <w:trPr>
          <w:cantSplit/>
          <w:trHeight w:val="20"/>
          <w:jc w:val="center"/>
        </w:trPr>
        <w:tc>
          <w:tcPr>
            <w:tcW w:w="1246" w:type="dxa"/>
          </w:tcPr>
          <w:p w14:paraId="03854D26" w14:textId="77777777" w:rsidR="00F73D5B" w:rsidRPr="008B7A21" w:rsidRDefault="00F73D5B" w:rsidP="00767A6A">
            <w:pPr>
              <w:pStyle w:val="Tabletext"/>
              <w:jc w:val="center"/>
              <w:rPr>
                <w:lang w:val="es-ES_tradnl"/>
              </w:rPr>
            </w:pPr>
            <w:r w:rsidRPr="008B7A21">
              <w:rPr>
                <w:lang w:val="es-ES_tradnl"/>
              </w:rPr>
              <w:t>50</w:t>
            </w:r>
          </w:p>
        </w:tc>
        <w:tc>
          <w:tcPr>
            <w:tcW w:w="1247" w:type="dxa"/>
          </w:tcPr>
          <w:p w14:paraId="2BED61CE" w14:textId="77777777" w:rsidR="00F73D5B" w:rsidRPr="008B7A21" w:rsidRDefault="00F73D5B" w:rsidP="00767A6A">
            <w:pPr>
              <w:pStyle w:val="Tabletext"/>
              <w:jc w:val="center"/>
              <w:rPr>
                <w:lang w:val="es-ES_tradnl"/>
              </w:rPr>
            </w:pPr>
            <w:r w:rsidRPr="008B7A21">
              <w:rPr>
                <w:lang w:val="es-ES_tradnl"/>
              </w:rPr>
              <w:t>Tierra</w:t>
            </w:r>
          </w:p>
        </w:tc>
        <w:tc>
          <w:tcPr>
            <w:tcW w:w="1191" w:type="dxa"/>
          </w:tcPr>
          <w:p w14:paraId="4CCDDBC0" w14:textId="77777777" w:rsidR="00F73D5B" w:rsidRPr="008B7A21" w:rsidRDefault="00F73D5B" w:rsidP="00767A6A">
            <w:pPr>
              <w:pStyle w:val="Tabletext"/>
              <w:jc w:val="center"/>
              <w:rPr>
                <w:lang w:val="es-ES_tradnl"/>
              </w:rPr>
            </w:pPr>
            <w:r w:rsidRPr="008B7A21">
              <w:rPr>
                <w:lang w:val="es-ES_tradnl"/>
              </w:rPr>
              <w:t>15</w:t>
            </w:r>
          </w:p>
        </w:tc>
        <w:tc>
          <w:tcPr>
            <w:tcW w:w="1191" w:type="dxa"/>
          </w:tcPr>
          <w:p w14:paraId="10742C45" w14:textId="77777777" w:rsidR="00F73D5B" w:rsidRPr="008B7A21" w:rsidRDefault="00F73D5B" w:rsidP="00767A6A">
            <w:pPr>
              <w:pStyle w:val="Tabletext"/>
              <w:jc w:val="center"/>
              <w:rPr>
                <w:lang w:val="es-ES_tradnl"/>
              </w:rPr>
            </w:pPr>
            <w:r w:rsidRPr="008B7A21">
              <w:rPr>
                <w:lang w:val="es-ES_tradnl"/>
              </w:rPr>
              <w:t>19</w:t>
            </w:r>
          </w:p>
        </w:tc>
        <w:tc>
          <w:tcPr>
            <w:tcW w:w="1191" w:type="dxa"/>
          </w:tcPr>
          <w:p w14:paraId="53D30C89" w14:textId="77777777" w:rsidR="00F73D5B" w:rsidRPr="008B7A21" w:rsidRDefault="00F73D5B" w:rsidP="00767A6A">
            <w:pPr>
              <w:pStyle w:val="Tabletext"/>
              <w:jc w:val="center"/>
              <w:rPr>
                <w:lang w:val="es-ES_tradnl"/>
              </w:rPr>
            </w:pPr>
            <w:r w:rsidRPr="008B7A21">
              <w:rPr>
                <w:lang w:val="es-ES_tradnl"/>
              </w:rPr>
              <w:t>27</w:t>
            </w:r>
          </w:p>
        </w:tc>
        <w:tc>
          <w:tcPr>
            <w:tcW w:w="1191" w:type="dxa"/>
          </w:tcPr>
          <w:p w14:paraId="6294C9D2" w14:textId="77777777" w:rsidR="00F73D5B" w:rsidRPr="008B7A21" w:rsidRDefault="00F73D5B" w:rsidP="00767A6A">
            <w:pPr>
              <w:pStyle w:val="Tabletext"/>
              <w:jc w:val="center"/>
              <w:rPr>
                <w:lang w:val="es-ES_tradnl"/>
              </w:rPr>
            </w:pPr>
            <w:r w:rsidRPr="008B7A21">
              <w:rPr>
                <w:lang w:val="es-ES_tradnl"/>
              </w:rPr>
              <w:t>35</w:t>
            </w:r>
          </w:p>
        </w:tc>
        <w:tc>
          <w:tcPr>
            <w:tcW w:w="1191" w:type="dxa"/>
          </w:tcPr>
          <w:p w14:paraId="010F6645" w14:textId="77777777" w:rsidR="00F73D5B" w:rsidRPr="008B7A21" w:rsidRDefault="00F73D5B" w:rsidP="00767A6A">
            <w:pPr>
              <w:pStyle w:val="Tabletext"/>
              <w:jc w:val="center"/>
              <w:rPr>
                <w:lang w:val="es-ES_tradnl"/>
              </w:rPr>
            </w:pPr>
            <w:r w:rsidRPr="008B7A21">
              <w:rPr>
                <w:lang w:val="es-ES_tradnl"/>
              </w:rPr>
              <w:t>47</w:t>
            </w:r>
          </w:p>
        </w:tc>
        <w:tc>
          <w:tcPr>
            <w:tcW w:w="1191" w:type="dxa"/>
          </w:tcPr>
          <w:p w14:paraId="46D30489" w14:textId="77777777" w:rsidR="00F73D5B" w:rsidRPr="008B7A21" w:rsidRDefault="00F73D5B" w:rsidP="00767A6A">
            <w:pPr>
              <w:pStyle w:val="Tabletext"/>
              <w:jc w:val="center"/>
              <w:rPr>
                <w:lang w:val="es-ES_tradnl"/>
              </w:rPr>
            </w:pPr>
            <w:r w:rsidRPr="008B7A21">
              <w:rPr>
                <w:lang w:val="es-ES_tradnl"/>
              </w:rPr>
              <w:t>61</w:t>
            </w:r>
          </w:p>
        </w:tc>
      </w:tr>
      <w:tr w:rsidR="00F73D5B" w:rsidRPr="008B7A21" w14:paraId="2E6A122F" w14:textId="77777777" w:rsidTr="00767A6A">
        <w:trPr>
          <w:cantSplit/>
          <w:trHeight w:val="20"/>
          <w:jc w:val="center"/>
        </w:trPr>
        <w:tc>
          <w:tcPr>
            <w:tcW w:w="1246" w:type="dxa"/>
          </w:tcPr>
          <w:p w14:paraId="4DF60BAB" w14:textId="77777777" w:rsidR="00F73D5B" w:rsidRPr="008B7A21" w:rsidRDefault="00F73D5B" w:rsidP="00767A6A">
            <w:pPr>
              <w:pStyle w:val="Tabletext"/>
              <w:jc w:val="center"/>
              <w:rPr>
                <w:lang w:val="es-ES_tradnl"/>
              </w:rPr>
            </w:pPr>
          </w:p>
        </w:tc>
        <w:tc>
          <w:tcPr>
            <w:tcW w:w="1247" w:type="dxa"/>
          </w:tcPr>
          <w:p w14:paraId="732A7463" w14:textId="77777777" w:rsidR="00F73D5B" w:rsidRPr="008B7A21" w:rsidRDefault="00F73D5B" w:rsidP="00767A6A">
            <w:pPr>
              <w:pStyle w:val="Tabletext"/>
              <w:jc w:val="center"/>
              <w:rPr>
                <w:lang w:val="es-ES_tradnl"/>
              </w:rPr>
            </w:pPr>
            <w:r w:rsidRPr="008B7A21">
              <w:rPr>
                <w:lang w:val="es-ES_tradnl"/>
              </w:rPr>
              <w:t>Mar</w:t>
            </w:r>
          </w:p>
        </w:tc>
        <w:tc>
          <w:tcPr>
            <w:tcW w:w="1191" w:type="dxa"/>
          </w:tcPr>
          <w:p w14:paraId="3EBFEEEE" w14:textId="77777777" w:rsidR="00F73D5B" w:rsidRPr="008B7A21" w:rsidRDefault="00F73D5B" w:rsidP="00767A6A">
            <w:pPr>
              <w:pStyle w:val="Tabletext"/>
              <w:jc w:val="center"/>
              <w:rPr>
                <w:lang w:val="es-ES_tradnl"/>
              </w:rPr>
            </w:pPr>
            <w:r w:rsidRPr="008B7A21">
              <w:rPr>
                <w:lang w:val="es-ES_tradnl"/>
              </w:rPr>
              <w:t>32</w:t>
            </w:r>
          </w:p>
        </w:tc>
        <w:tc>
          <w:tcPr>
            <w:tcW w:w="1191" w:type="dxa"/>
          </w:tcPr>
          <w:p w14:paraId="643DE8C4" w14:textId="77777777" w:rsidR="00F73D5B" w:rsidRPr="008B7A21" w:rsidRDefault="00F73D5B" w:rsidP="00767A6A">
            <w:pPr>
              <w:pStyle w:val="Tabletext"/>
              <w:jc w:val="center"/>
              <w:rPr>
                <w:lang w:val="es-ES_tradnl"/>
              </w:rPr>
            </w:pPr>
            <w:r w:rsidRPr="008B7A21">
              <w:rPr>
                <w:lang w:val="es-ES_tradnl"/>
              </w:rPr>
              <w:t>37</w:t>
            </w:r>
          </w:p>
        </w:tc>
        <w:tc>
          <w:tcPr>
            <w:tcW w:w="1191" w:type="dxa"/>
          </w:tcPr>
          <w:p w14:paraId="36178BE8" w14:textId="77777777" w:rsidR="00F73D5B" w:rsidRPr="008B7A21" w:rsidRDefault="00F73D5B" w:rsidP="00767A6A">
            <w:pPr>
              <w:pStyle w:val="Tabletext"/>
              <w:jc w:val="center"/>
              <w:rPr>
                <w:lang w:val="es-ES_tradnl"/>
              </w:rPr>
            </w:pPr>
            <w:r w:rsidRPr="008B7A21">
              <w:rPr>
                <w:lang w:val="es-ES_tradnl"/>
              </w:rPr>
              <w:t>45</w:t>
            </w:r>
          </w:p>
        </w:tc>
        <w:tc>
          <w:tcPr>
            <w:tcW w:w="1191" w:type="dxa"/>
          </w:tcPr>
          <w:p w14:paraId="405F21EA" w14:textId="77777777" w:rsidR="00F73D5B" w:rsidRPr="008B7A21" w:rsidRDefault="00F73D5B" w:rsidP="00767A6A">
            <w:pPr>
              <w:pStyle w:val="Tabletext"/>
              <w:jc w:val="center"/>
              <w:rPr>
                <w:lang w:val="es-ES_tradnl"/>
              </w:rPr>
            </w:pPr>
            <w:r w:rsidRPr="008B7A21">
              <w:rPr>
                <w:lang w:val="es-ES_tradnl"/>
              </w:rPr>
              <w:t>55</w:t>
            </w:r>
          </w:p>
        </w:tc>
        <w:tc>
          <w:tcPr>
            <w:tcW w:w="1191" w:type="dxa"/>
          </w:tcPr>
          <w:p w14:paraId="1CA4F7A9" w14:textId="77777777" w:rsidR="00F73D5B" w:rsidRPr="008B7A21" w:rsidRDefault="00F73D5B" w:rsidP="00767A6A">
            <w:pPr>
              <w:pStyle w:val="Tabletext"/>
              <w:jc w:val="center"/>
              <w:rPr>
                <w:lang w:val="es-ES_tradnl"/>
              </w:rPr>
            </w:pPr>
            <w:r w:rsidRPr="008B7A21">
              <w:rPr>
                <w:lang w:val="es-ES_tradnl"/>
              </w:rPr>
              <w:t>66</w:t>
            </w:r>
          </w:p>
        </w:tc>
        <w:tc>
          <w:tcPr>
            <w:tcW w:w="1191" w:type="dxa"/>
          </w:tcPr>
          <w:p w14:paraId="7FBDC636" w14:textId="77777777" w:rsidR="00F73D5B" w:rsidRPr="008B7A21" w:rsidRDefault="00F73D5B" w:rsidP="00767A6A">
            <w:pPr>
              <w:pStyle w:val="Tabletext"/>
              <w:jc w:val="center"/>
              <w:rPr>
                <w:lang w:val="es-ES_tradnl"/>
              </w:rPr>
            </w:pPr>
            <w:r w:rsidRPr="008B7A21">
              <w:rPr>
                <w:lang w:val="es-ES_tradnl"/>
              </w:rPr>
              <w:t>82</w:t>
            </w:r>
          </w:p>
        </w:tc>
      </w:tr>
    </w:tbl>
    <w:p w14:paraId="364865A0" w14:textId="77777777" w:rsidR="00F73D5B" w:rsidRPr="008B7A21" w:rsidRDefault="00F73D5B" w:rsidP="00F73D5B">
      <w:pPr>
        <w:pStyle w:val="Tablefin"/>
        <w:rPr>
          <w:lang w:val="es-ES_tradnl"/>
        </w:rPr>
      </w:pPr>
    </w:p>
    <w:p w14:paraId="126F68B8" w14:textId="77777777" w:rsidR="00F73D5B" w:rsidRPr="008B7A21" w:rsidRDefault="00F73D5B" w:rsidP="00F73D5B">
      <w:pPr>
        <w:rPr>
          <w:lang w:val="es-ES_tradnl"/>
        </w:rPr>
      </w:pPr>
      <w:r w:rsidRPr="008B7A21">
        <w:rPr>
          <w:lang w:val="es-ES_tradnl"/>
        </w:rPr>
        <w:t xml:space="preserve">Es necesario señalar que una zona semicircular terrestre de una estación costera sólo es ocupada pero no se da servicio a la misma puesto que no hay estaciones de barco en ella. Por consiguiente, su subdivisión en distintas zonas pertenecientes a diferentes categorías de cánones de licencia (como se indica en el § 4.7.1 c)) puede eliminarse y utilizarse la única categoría correspondiente a la mayor zona ocupada. Además, una administración puede decidir no incluir esta zona semicircular terrestre en el recurso territorial utilizado. En este caso, el radio </w:t>
      </w:r>
      <w:r w:rsidRPr="008B7A21">
        <w:rPr>
          <w:i/>
          <w:iCs/>
          <w:lang w:val="es-ES_tradnl"/>
        </w:rPr>
        <w:t>R</w:t>
      </w:r>
      <w:r w:rsidRPr="008B7A21">
        <w:rPr>
          <w:i/>
          <w:iCs/>
          <w:vertAlign w:val="subscript"/>
          <w:lang w:val="es-ES_tradnl"/>
        </w:rPr>
        <w:t>l</w:t>
      </w:r>
      <w:r w:rsidRPr="008B7A21">
        <w:rPr>
          <w:lang w:val="es-ES_tradnl"/>
        </w:rPr>
        <w:t xml:space="preserve"> en la ecuación (47) debe ser igual a cero.</w:t>
      </w:r>
    </w:p>
    <w:p w14:paraId="57111A28" w14:textId="77777777" w:rsidR="00F73D5B" w:rsidRPr="008B7A21" w:rsidRDefault="00F73D5B" w:rsidP="00F73D5B">
      <w:pPr>
        <w:rPr>
          <w:lang w:val="es-ES_tradnl"/>
        </w:rPr>
      </w:pPr>
      <w:r w:rsidRPr="008B7A21">
        <w:rPr>
          <w:lang w:val="es-ES_tradnl"/>
        </w:rPr>
        <w:t>Para las estaciones costeras situadas a lo largo de ríos o en lagos estrechos toda la zona de servicio/ocupada circular se calcula a partir del radio de los trayectos de propagación terrestre, es decir:</w:t>
      </w:r>
    </w:p>
    <w:p w14:paraId="46255D07" w14:textId="77777777" w:rsidR="00F73D5B" w:rsidRPr="008B7A21" w:rsidRDefault="00F73D5B" w:rsidP="00F73D5B">
      <w:pPr>
        <w:pStyle w:val="Blanc"/>
        <w:rPr>
          <w:lang w:val="es-ES_tradnl"/>
        </w:rPr>
      </w:pPr>
    </w:p>
    <w:p w14:paraId="226EAFFC"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2"/>
          <w:lang w:val="es-ES_tradnl"/>
        </w:rPr>
        <w:object w:dxaOrig="2439" w:dyaOrig="420" w14:anchorId="504A6ED6">
          <v:shape id="_x0000_i1694" type="#_x0000_t75" style="width:123.05pt;height:21.75pt" o:ole="">
            <v:imagedata r:id="rId91" o:title=""/>
          </v:shape>
          <o:OLEObject Type="Embed" ProgID="Equation.3" ShapeID="_x0000_i1694" DrawAspect="Content" ObjectID="_1826705903" r:id="rId92"/>
        </w:object>
      </w:r>
      <w:r w:rsidRPr="008B7A21">
        <w:rPr>
          <w:lang w:val="es-ES_tradnl"/>
        </w:rPr>
        <w:tab/>
        <w:t>(48)</w:t>
      </w:r>
    </w:p>
    <w:p w14:paraId="0B62133E" w14:textId="77777777" w:rsidR="00F73D5B" w:rsidRPr="008B7A21" w:rsidRDefault="00F73D5B" w:rsidP="00F73D5B">
      <w:pPr>
        <w:pStyle w:val="Blanc"/>
        <w:rPr>
          <w:lang w:val="es-ES_tradnl"/>
        </w:rPr>
      </w:pPr>
      <w:bookmarkStart w:id="1475" w:name="_Toc307922632"/>
      <w:bookmarkStart w:id="1476" w:name="_Toc307991981"/>
      <w:bookmarkStart w:id="1477" w:name="_Toc307994014"/>
      <w:bookmarkStart w:id="1478" w:name="_Toc307996420"/>
    </w:p>
    <w:p w14:paraId="4C88E9F2" w14:textId="77777777" w:rsidR="00F73D5B" w:rsidRPr="008B7A21" w:rsidRDefault="00F73D5B" w:rsidP="00F73D5B">
      <w:pPr>
        <w:pStyle w:val="Headingb"/>
        <w:rPr>
          <w:lang w:val="es-ES_tradnl"/>
        </w:rPr>
      </w:pPr>
      <w:bookmarkStart w:id="1479" w:name="_Toc499563058"/>
      <w:r w:rsidRPr="008B7A21">
        <w:rPr>
          <w:lang w:val="es-ES_tradnl"/>
        </w:rPr>
        <w:t>b)</w:t>
      </w:r>
      <w:r w:rsidRPr="008B7A21">
        <w:rPr>
          <w:lang w:val="es-ES_tradnl"/>
        </w:rPr>
        <w:tab/>
        <w:t>Procedimientos de cálculo</w:t>
      </w:r>
      <w:bookmarkEnd w:id="1475"/>
      <w:bookmarkEnd w:id="1476"/>
      <w:bookmarkEnd w:id="1477"/>
      <w:bookmarkEnd w:id="1478"/>
      <w:bookmarkEnd w:id="1479"/>
    </w:p>
    <w:p w14:paraId="3B83BA23" w14:textId="400FA6C1" w:rsidR="00F73D5B" w:rsidRPr="008B7A21" w:rsidRDefault="00F73D5B" w:rsidP="00F73D5B">
      <w:pPr>
        <w:rPr>
          <w:lang w:val="es-ES_tradnl"/>
        </w:rPr>
      </w:pPr>
      <w:r w:rsidRPr="008B7A21">
        <w:rPr>
          <w:lang w:val="es-ES_tradnl"/>
        </w:rPr>
        <w:t>Utilizando la potencia conocida del transmisor y su altura de antena sobre el nivel del mar, el radio de la zona de servicio pertinente puede determinarse directamente a partir del Cuadro 13. El procedimiento habitual de interpolación lineal puede utilizarse en el caso de valores de potencia y altura intermedios. Basándose en esto puede calcularse el radio de la zona de servicio para una estación de barco o la zona de servicio semicircular marítima para una estación costera mediante las ecuaciones (46) o (47). Para determinar el radio de la zona semicircular terrestre de la estación costera, debe calcularse en primer lugar la altura efectiva de la antena sobre el terreno de conformidad con el método presentado en a). Para esta aplicación en particular el procedimiento puede simplificarse determinando la altura efectiva del terreno sólo en una dirección perpendicular a una línea costera generalizada (véase el ejemplo más adelante). Tras determinar a partir del Cuadro 13 el radio de la zona semicircular terrestre pertinente, puede calcularse toda la zona de servicio/ocupada utilizando la ecuación (47).</w:t>
      </w:r>
    </w:p>
    <w:p w14:paraId="4788A6A8" w14:textId="77777777" w:rsidR="00F73D5B" w:rsidRPr="008B7A21" w:rsidRDefault="00F73D5B" w:rsidP="00F73D5B">
      <w:pPr>
        <w:pStyle w:val="Heading4"/>
        <w:rPr>
          <w:lang w:val="es-ES_tradnl"/>
        </w:rPr>
      </w:pPr>
      <w:r w:rsidRPr="008B7A21">
        <w:rPr>
          <w:lang w:val="es-ES_tradnl"/>
        </w:rPr>
        <w:t>4.7.5.1</w:t>
      </w:r>
      <w:r w:rsidRPr="008B7A21">
        <w:rPr>
          <w:lang w:val="es-ES_tradnl"/>
        </w:rPr>
        <w:tab/>
        <w:t>Ejemplo de cálculos</w:t>
      </w:r>
    </w:p>
    <w:p w14:paraId="606E61FB" w14:textId="77777777" w:rsidR="00F73D5B" w:rsidRPr="008B7A21" w:rsidRDefault="00F73D5B" w:rsidP="00F73D5B">
      <w:pPr>
        <w:pStyle w:val="Headingb"/>
        <w:rPr>
          <w:lang w:val="es-ES_tradnl"/>
        </w:rPr>
      </w:pPr>
      <w:bookmarkStart w:id="1480" w:name="_Toc307922633"/>
      <w:bookmarkStart w:id="1481" w:name="_Toc307991982"/>
      <w:bookmarkStart w:id="1482" w:name="_Toc307994015"/>
      <w:bookmarkStart w:id="1483" w:name="_Toc307996421"/>
      <w:bookmarkStart w:id="1484" w:name="_Toc499563059"/>
      <w:r w:rsidRPr="008B7A21">
        <w:rPr>
          <w:lang w:val="es-ES_tradnl"/>
        </w:rPr>
        <w:t>a)</w:t>
      </w:r>
      <w:r w:rsidRPr="008B7A21">
        <w:rPr>
          <w:lang w:val="es-ES_tradnl"/>
        </w:rPr>
        <w:tab/>
        <w:t>Parámetros de partida</w:t>
      </w:r>
      <w:bookmarkEnd w:id="1480"/>
      <w:bookmarkEnd w:id="1481"/>
      <w:bookmarkEnd w:id="1482"/>
      <w:bookmarkEnd w:id="1483"/>
      <w:bookmarkEnd w:id="1484"/>
    </w:p>
    <w:p w14:paraId="05B1CA0E" w14:textId="56AE4806" w:rsidR="00F73D5B" w:rsidRPr="008B7A21" w:rsidRDefault="00F73D5B" w:rsidP="00F73D5B">
      <w:pPr>
        <w:rPr>
          <w:lang w:val="es-ES_tradnl"/>
        </w:rPr>
      </w:pPr>
      <w:r w:rsidRPr="008B7A21">
        <w:rPr>
          <w:lang w:val="es-ES_tradnl"/>
        </w:rPr>
        <w:t xml:space="preserve">Vamos a calcular el espectro utilizado por una estación costera en la banda de ondas métricas situada en una zona rural pero altamente desarrollada (el coeficiente </w:t>
      </w:r>
      <w:r w:rsidRPr="008B7A21">
        <w:rPr>
          <w:i/>
          <w:iCs/>
          <w:lang w:val="es-ES_tradnl"/>
        </w:rPr>
        <w:t>b</w:t>
      </w:r>
      <w:r w:rsidRPr="008B7A21">
        <w:rPr>
          <w:i/>
          <w:iCs/>
          <w:vertAlign w:val="subscript"/>
          <w:lang w:val="es-ES_tradnl"/>
        </w:rPr>
        <w:t>j</w:t>
      </w:r>
      <w:r w:rsidRPr="008B7A21">
        <w:rPr>
          <w:lang w:val="es-ES_tradnl"/>
        </w:rPr>
        <w:t> = 1 en el Cuadro 2), cerca de la línea costera a lo largo de la dirección Este</w:t>
      </w:r>
      <w:r w:rsidRPr="008B7A21">
        <w:rPr>
          <w:lang w:val="es-ES_tradnl"/>
        </w:rPr>
        <w:noBreakHyphen/>
        <w:t xml:space="preserve">Oeste estando el mar hacia el Sur. Supóngase que la antena de transmisión tiene un mástil de 30 m de altura y está situada en la cima de una colina a 270 m sobre el nivel del mar. La situación del terreno en torno al transmisor corresponde al ejemplo indicado en b); es decir, la altura efectiva del suelo entre las distancias de 3 km y 15 km en sentido norte desde el transmisor, calculado mediante la columna «Norte» del Cuadro 11, es igual a 265 m. De acuerdo con el § 4.7.1 b) para esta aplicación representa el nivel medio del suelo, </w:t>
      </w:r>
      <w:r w:rsidRPr="008B7A21">
        <w:rPr>
          <w:i/>
          <w:lang w:val="es-ES_tradnl"/>
        </w:rPr>
        <w:t>h</w:t>
      </w:r>
      <w:r w:rsidRPr="008B7A21">
        <w:rPr>
          <w:i/>
          <w:vertAlign w:val="subscript"/>
          <w:lang w:val="es-ES_tradnl"/>
        </w:rPr>
        <w:t>av</w:t>
      </w:r>
      <w:r w:rsidRPr="008B7A21">
        <w:rPr>
          <w:iCs/>
          <w:sz w:val="20"/>
          <w:lang w:val="es-ES_tradnl"/>
        </w:rPr>
        <w:t>,</w:t>
      </w:r>
      <w:r w:rsidRPr="008B7A21">
        <w:rPr>
          <w:lang w:val="es-ES_tradnl"/>
        </w:rPr>
        <w:t xml:space="preserve"> en la ecuación (30).</w:t>
      </w:r>
    </w:p>
    <w:p w14:paraId="10A135D5" w14:textId="4B9AD102" w:rsidR="00F73D5B" w:rsidRPr="008B7A21" w:rsidRDefault="00F73D5B" w:rsidP="00F73D5B">
      <w:pPr>
        <w:rPr>
          <w:b/>
          <w:bCs/>
          <w:lang w:val="es-ES_tradnl"/>
        </w:rPr>
      </w:pPr>
      <w:r w:rsidRPr="008B7A21">
        <w:rPr>
          <w:lang w:val="es-ES_tradnl"/>
        </w:rPr>
        <w:t xml:space="preserve">Supongamos además que la potencia del transmisor es de 50 W y funciona las 24 horas al día. Las condiciones de modulación corresponden a las indicadas en la Recomendación UIT-R M.489-2: clase de emisión F3E, desviación de </w:t>
      </w:r>
      <w:r w:rsidR="00386EEF">
        <w:rPr>
          <w:lang w:val="es-ES_tradnl"/>
        </w:rPr>
        <w:t>±</w:t>
      </w:r>
      <w:r w:rsidRPr="008B7A21">
        <w:rPr>
          <w:lang w:val="es-ES_tradnl"/>
        </w:rPr>
        <w:t>5 kHz, anchura de banda necesaria de 16 kHz, que también corresponden a las de la Recomendación UIT-R SM.1138-2, Sección III-A «Modulación de frecuencia», punto 2 «Telefonía (calidad comercial)» (clase de emisión F3E).</w:t>
      </w:r>
    </w:p>
    <w:p w14:paraId="139AEF71" w14:textId="77777777" w:rsidR="00F73D5B" w:rsidRPr="008B7A21" w:rsidRDefault="00F73D5B" w:rsidP="00F73D5B">
      <w:pPr>
        <w:pStyle w:val="Headingb"/>
        <w:rPr>
          <w:rFonts w:eastAsia="SimSun"/>
          <w:lang w:val="es-ES_tradnl" w:eastAsia="zh-CN"/>
        </w:rPr>
      </w:pPr>
      <w:bookmarkStart w:id="1485" w:name="_Toc307922634"/>
      <w:bookmarkStart w:id="1486" w:name="_Toc307991983"/>
      <w:bookmarkStart w:id="1487" w:name="_Toc307994016"/>
      <w:bookmarkStart w:id="1488" w:name="_Toc307996422"/>
      <w:bookmarkStart w:id="1489" w:name="_Toc499563060"/>
      <w:r w:rsidRPr="008B7A21">
        <w:rPr>
          <w:rFonts w:eastAsia="SimSun"/>
          <w:lang w:val="es-ES_tradnl" w:eastAsia="zh-CN"/>
        </w:rPr>
        <w:t>b)</w:t>
      </w:r>
      <w:r w:rsidRPr="008B7A21">
        <w:rPr>
          <w:rFonts w:eastAsia="SimSun"/>
          <w:lang w:val="es-ES_tradnl" w:eastAsia="zh-CN"/>
        </w:rPr>
        <w:tab/>
        <w:t>Recursos de tiempo y frecuencia utilizados</w:t>
      </w:r>
      <w:bookmarkEnd w:id="1485"/>
      <w:bookmarkEnd w:id="1486"/>
      <w:bookmarkEnd w:id="1487"/>
      <w:bookmarkEnd w:id="1488"/>
      <w:bookmarkEnd w:id="1489"/>
    </w:p>
    <w:p w14:paraId="39E08B55" w14:textId="77777777" w:rsidR="00F73D5B" w:rsidRPr="008B7A21" w:rsidRDefault="00F73D5B" w:rsidP="00F73D5B">
      <w:pPr>
        <w:rPr>
          <w:lang w:val="es-ES_tradnl"/>
        </w:rPr>
      </w:pPr>
      <w:r w:rsidRPr="008B7A21">
        <w:rPr>
          <w:lang w:val="es-ES_tradnl"/>
        </w:rPr>
        <w:t>De acuerdo con la ecuación (21), el recurso de tiempo utilizado es:</w:t>
      </w:r>
    </w:p>
    <w:p w14:paraId="764E0814" w14:textId="77777777" w:rsidR="00F73D5B" w:rsidRPr="008B7A21" w:rsidRDefault="00F73D5B" w:rsidP="00F73D5B">
      <w:pPr>
        <w:pStyle w:val="Blanc"/>
        <w:rPr>
          <w:lang w:val="es-ES_tradnl"/>
        </w:rPr>
      </w:pPr>
    </w:p>
    <w:p w14:paraId="2A98DD0E" w14:textId="4FEE0DA6" w:rsidR="00F73D5B" w:rsidRPr="008B7A21" w:rsidRDefault="00F73D5B" w:rsidP="00F73D5B">
      <w:pPr>
        <w:pStyle w:val="Equation"/>
        <w:rPr>
          <w:lang w:val="es-ES_tradnl"/>
        </w:rPr>
      </w:pPr>
      <w:r w:rsidRPr="008B7A21">
        <w:rPr>
          <w:i/>
          <w:lang w:val="es-ES_tradnl"/>
        </w:rPr>
        <w:tab/>
      </w:r>
      <w:r w:rsidRPr="008B7A21">
        <w:rPr>
          <w:i/>
          <w:lang w:val="es-ES_tradnl"/>
        </w:rPr>
        <w:tab/>
        <w:t>T</w:t>
      </w:r>
      <w:r w:rsidRPr="008B7A21">
        <w:rPr>
          <w:lang w:val="es-ES_tradnl"/>
        </w:rPr>
        <w:t xml:space="preserve"> </w:t>
      </w:r>
      <w:r w:rsidR="00386EEF">
        <w:rPr>
          <w:lang w:val="es-ES_tradnl"/>
        </w:rPr>
        <w:t>=</w:t>
      </w:r>
      <w:r w:rsidRPr="008B7A21">
        <w:rPr>
          <w:lang w:val="es-ES_tradnl"/>
        </w:rPr>
        <w:t xml:space="preserve"> 24/24 (cada día) </w:t>
      </w:r>
      <w:r w:rsidR="00386EEF">
        <w:rPr>
          <w:lang w:val="es-ES_tradnl"/>
        </w:rPr>
        <w:t>=</w:t>
      </w:r>
      <w:r w:rsidRPr="008B7A21">
        <w:rPr>
          <w:lang w:val="es-ES_tradnl"/>
        </w:rPr>
        <w:t xml:space="preserve"> 1 año</w:t>
      </w:r>
    </w:p>
    <w:p w14:paraId="45652A3E" w14:textId="77777777" w:rsidR="00F73D5B" w:rsidRPr="008B7A21" w:rsidRDefault="00F73D5B" w:rsidP="00F73D5B">
      <w:pPr>
        <w:pStyle w:val="Blanc"/>
        <w:rPr>
          <w:lang w:val="es-ES_tradnl"/>
        </w:rPr>
      </w:pPr>
    </w:p>
    <w:p w14:paraId="5512634A" w14:textId="6FA1D597" w:rsidR="00F73D5B" w:rsidRPr="008B7A21" w:rsidRDefault="00F73D5B" w:rsidP="00F73D5B">
      <w:pPr>
        <w:rPr>
          <w:lang w:val="es-ES_tradnl"/>
        </w:rPr>
      </w:pPr>
      <w:r w:rsidRPr="008B7A21">
        <w:rPr>
          <w:lang w:val="es-ES_tradnl"/>
        </w:rPr>
        <w:t xml:space="preserve">El recurso de frecuencia utilizado que se obtiene introduciendo en la ecuación (24) un valor de </w:t>
      </w:r>
      <w:r w:rsidR="00386EEF">
        <w:rPr>
          <w:lang w:val="es-ES_tradnl"/>
        </w:rPr>
        <w:sym w:font="Symbol" w:char="F063"/>
      </w:r>
      <w:r w:rsidRPr="008B7A21">
        <w:rPr>
          <w:lang w:val="es-ES_tradnl"/>
        </w:rPr>
        <w:t> = 1, es:</w:t>
      </w:r>
    </w:p>
    <w:p w14:paraId="3D77F4C3" w14:textId="0CAA4C0F" w:rsidR="00F73D5B" w:rsidRPr="008B7A21" w:rsidRDefault="00F73D5B" w:rsidP="00F73D5B">
      <w:pPr>
        <w:pStyle w:val="Equation"/>
        <w:rPr>
          <w:lang w:val="es-ES_tradnl"/>
        </w:rPr>
      </w:pPr>
      <w:r w:rsidRPr="008B7A21">
        <w:rPr>
          <w:lang w:val="es-ES_tradnl"/>
        </w:rPr>
        <w:tab/>
      </w:r>
      <w:r w:rsidRPr="008B7A21">
        <w:rPr>
          <w:lang w:val="es-ES_tradnl"/>
        </w:rPr>
        <w:tab/>
      </w:r>
      <w:r w:rsidRPr="008B7A21">
        <w:rPr>
          <w:i/>
          <w:lang w:val="es-ES_tradnl"/>
        </w:rPr>
        <w:t>F</w:t>
      </w:r>
      <w:r w:rsidRPr="008B7A21">
        <w:rPr>
          <w:lang w:val="es-ES_tradnl"/>
        </w:rPr>
        <w:t xml:space="preserve"> </w:t>
      </w:r>
      <w:r w:rsidR="00386EEF">
        <w:rPr>
          <w:lang w:val="es-ES_tradnl"/>
        </w:rPr>
        <w:t>=</w:t>
      </w:r>
      <w:r w:rsidRPr="008B7A21">
        <w:rPr>
          <w:lang w:val="es-ES_tradnl"/>
        </w:rPr>
        <w:t xml:space="preserve"> 0,016 MHz</w:t>
      </w:r>
    </w:p>
    <w:p w14:paraId="3DF59F60" w14:textId="77777777" w:rsidR="00F73D5B" w:rsidRPr="008B7A21" w:rsidRDefault="00F73D5B" w:rsidP="00F73D5B">
      <w:pPr>
        <w:pStyle w:val="Blanc"/>
        <w:rPr>
          <w:lang w:val="es-ES_tradnl"/>
        </w:rPr>
      </w:pPr>
    </w:p>
    <w:p w14:paraId="12F00B1B" w14:textId="77777777" w:rsidR="00F73D5B" w:rsidRPr="008B7A21" w:rsidRDefault="00F73D5B" w:rsidP="00F73D5B">
      <w:pPr>
        <w:pStyle w:val="Headingb"/>
        <w:rPr>
          <w:rFonts w:eastAsia="SimSun"/>
          <w:lang w:val="es-ES_tradnl" w:eastAsia="zh-CN"/>
        </w:rPr>
      </w:pPr>
      <w:bookmarkStart w:id="1490" w:name="_Toc307922635"/>
      <w:bookmarkStart w:id="1491" w:name="_Toc307991984"/>
      <w:bookmarkStart w:id="1492" w:name="_Toc307994017"/>
      <w:bookmarkStart w:id="1493" w:name="_Toc307996423"/>
      <w:bookmarkStart w:id="1494" w:name="_Toc499563061"/>
      <w:r w:rsidRPr="008B7A21">
        <w:rPr>
          <w:rFonts w:eastAsia="SimSun"/>
          <w:lang w:val="es-ES_tradnl" w:eastAsia="zh-CN"/>
        </w:rPr>
        <w:t>c)</w:t>
      </w:r>
      <w:r w:rsidRPr="008B7A21">
        <w:rPr>
          <w:rFonts w:eastAsia="SimSun"/>
          <w:lang w:val="es-ES_tradnl" w:eastAsia="zh-CN"/>
        </w:rPr>
        <w:tab/>
        <w:t>Recurso territorial utilizado</w:t>
      </w:r>
      <w:bookmarkEnd w:id="1490"/>
      <w:bookmarkEnd w:id="1491"/>
      <w:bookmarkEnd w:id="1492"/>
      <w:bookmarkEnd w:id="1493"/>
      <w:bookmarkEnd w:id="1494"/>
    </w:p>
    <w:p w14:paraId="1DE6CD7F" w14:textId="77777777" w:rsidR="00F73D5B" w:rsidRPr="008B7A21" w:rsidRDefault="00F73D5B" w:rsidP="00F73D5B">
      <w:pPr>
        <w:rPr>
          <w:lang w:val="es-ES_tradnl"/>
        </w:rPr>
      </w:pPr>
      <w:r w:rsidRPr="008B7A21">
        <w:rPr>
          <w:szCs w:val="24"/>
          <w:lang w:val="es-ES_tradnl"/>
        </w:rPr>
        <w:t>Siguiendo el método y los datos presentados para</w:t>
      </w:r>
      <w:r w:rsidRPr="008B7A21">
        <w:rPr>
          <w:lang w:val="es-ES_tradnl"/>
        </w:rPr>
        <w:t xml:space="preserve"> la altura efectiva de la antena para trayectos de propagación marítimos es igual a la suma de las alturas del mástil de la antena y del terreno del emplazamiento; es decir (véase también b):</w:t>
      </w:r>
    </w:p>
    <w:p w14:paraId="3A664DF0" w14:textId="77777777" w:rsidR="00F73D5B" w:rsidRPr="008B7A21" w:rsidRDefault="00F73D5B" w:rsidP="00F73D5B">
      <w:pPr>
        <w:pStyle w:val="Blanc"/>
        <w:rPr>
          <w:lang w:val="es-ES_tradnl"/>
        </w:rPr>
      </w:pPr>
    </w:p>
    <w:p w14:paraId="01C8D100" w14:textId="0C866EA8" w:rsidR="00F73D5B" w:rsidRPr="008B7A21" w:rsidRDefault="00F73D5B" w:rsidP="00F73D5B">
      <w:pPr>
        <w:pStyle w:val="Equation"/>
        <w:rPr>
          <w:lang w:val="es-ES_tradnl"/>
        </w:rPr>
      </w:pPr>
      <w:r w:rsidRPr="008B7A21">
        <w:rPr>
          <w:lang w:val="es-ES_tradnl"/>
        </w:rPr>
        <w:tab/>
      </w:r>
      <w:r w:rsidRPr="008B7A21">
        <w:rPr>
          <w:lang w:val="es-ES_tradnl"/>
        </w:rPr>
        <w:tab/>
      </w:r>
      <w:r w:rsidRPr="008B7A21">
        <w:rPr>
          <w:i/>
          <w:lang w:val="es-ES_tradnl"/>
        </w:rPr>
        <w:t>h</w:t>
      </w:r>
      <w:r w:rsidRPr="008B7A21">
        <w:rPr>
          <w:i/>
          <w:vertAlign w:val="subscript"/>
          <w:lang w:val="es-ES_tradnl"/>
        </w:rPr>
        <w:t>ef</w:t>
      </w:r>
      <w:r w:rsidRPr="008B7A21">
        <w:rPr>
          <w:lang w:val="es-ES_tradnl"/>
        </w:rPr>
        <w:t xml:space="preserve"> </w:t>
      </w:r>
      <w:r w:rsidR="00386EEF">
        <w:rPr>
          <w:lang w:val="es-ES_tradnl"/>
        </w:rPr>
        <w:t>=</w:t>
      </w:r>
      <w:r w:rsidRPr="008B7A21">
        <w:rPr>
          <w:lang w:val="es-ES_tradnl"/>
        </w:rPr>
        <w:t xml:space="preserve"> </w:t>
      </w:r>
      <w:r w:rsidRPr="008B7A21">
        <w:rPr>
          <w:i/>
          <w:lang w:val="es-ES_tradnl"/>
        </w:rPr>
        <w:t>h</w:t>
      </w:r>
      <w:r w:rsidRPr="008B7A21">
        <w:rPr>
          <w:i/>
          <w:vertAlign w:val="subscript"/>
          <w:lang w:val="es-ES_tradnl"/>
        </w:rPr>
        <w:t>s</w:t>
      </w:r>
      <w:r w:rsidRPr="008B7A21">
        <w:rPr>
          <w:lang w:val="es-ES_tradnl"/>
        </w:rPr>
        <w:t xml:space="preserve"> </w:t>
      </w:r>
      <w:r w:rsidR="00386EEF">
        <w:rPr>
          <w:lang w:val="es-ES_tradnl"/>
        </w:rPr>
        <w:t>=</w:t>
      </w:r>
      <w:r w:rsidRPr="008B7A21">
        <w:rPr>
          <w:lang w:val="es-ES_tradnl"/>
        </w:rPr>
        <w:t xml:space="preserve"> 30 </w:t>
      </w:r>
      <w:r w:rsidR="00386EEF" w:rsidRPr="00386EEF">
        <w:sym w:font="Symbol" w:char="F02B"/>
      </w:r>
      <w:r w:rsidRPr="008B7A21">
        <w:rPr>
          <w:lang w:val="es-ES_tradnl"/>
        </w:rPr>
        <w:t xml:space="preserve"> 230 </w:t>
      </w:r>
      <w:r w:rsidR="00386EEF">
        <w:rPr>
          <w:lang w:val="es-ES_tradnl"/>
        </w:rPr>
        <w:t>=</w:t>
      </w:r>
      <w:r w:rsidRPr="008B7A21">
        <w:rPr>
          <w:lang w:val="es-ES_tradnl"/>
        </w:rPr>
        <w:t xml:space="preserve"> 300 m</w:t>
      </w:r>
    </w:p>
    <w:p w14:paraId="10069431" w14:textId="4D2B0574" w:rsidR="00F73D5B" w:rsidRPr="008B7A21" w:rsidRDefault="00F73D5B" w:rsidP="00F73D5B">
      <w:pPr>
        <w:rPr>
          <w:lang w:val="es-ES_tradnl"/>
        </w:rPr>
      </w:pPr>
      <w:r w:rsidRPr="008B7A21">
        <w:rPr>
          <w:lang w:val="es-ES_tradnl"/>
        </w:rPr>
        <w:t xml:space="preserve">En el Cuadro 13 para un transmisor con una potencia de 50 W y una altura de antena de 300 m, trayectos de propagación marítimos, se deduce que: </w:t>
      </w:r>
      <w:r w:rsidRPr="008B7A21">
        <w:rPr>
          <w:i/>
          <w:lang w:val="es-ES_tradnl"/>
        </w:rPr>
        <w:t>R</w:t>
      </w:r>
      <w:r w:rsidRPr="008B7A21">
        <w:rPr>
          <w:i/>
          <w:vertAlign w:val="subscript"/>
          <w:lang w:val="es-ES_tradnl"/>
        </w:rPr>
        <w:t>s</w:t>
      </w:r>
      <w:r w:rsidRPr="008B7A21">
        <w:rPr>
          <w:lang w:val="es-ES_tradnl"/>
        </w:rPr>
        <w:t> </w:t>
      </w:r>
      <w:r w:rsidR="00386EEF">
        <w:rPr>
          <w:lang w:val="es-ES_tradnl"/>
        </w:rPr>
        <w:t>=</w:t>
      </w:r>
      <w:r w:rsidRPr="008B7A21">
        <w:rPr>
          <w:lang w:val="es-ES_tradnl"/>
        </w:rPr>
        <w:t> 82 km.</w:t>
      </w:r>
    </w:p>
    <w:p w14:paraId="676FCF34" w14:textId="77777777" w:rsidR="00F73D5B" w:rsidRPr="008B7A21" w:rsidRDefault="00F73D5B" w:rsidP="00F73D5B">
      <w:pPr>
        <w:rPr>
          <w:lang w:val="es-ES_tradnl"/>
        </w:rPr>
      </w:pPr>
      <w:r w:rsidRPr="008B7A21">
        <w:rPr>
          <w:lang w:val="es-ES_tradnl"/>
        </w:rPr>
        <w:t>Para trayectos de propagación terrestres y de acuerdo con la ecuación (30):</w:t>
      </w:r>
    </w:p>
    <w:p w14:paraId="476CDF99" w14:textId="77777777" w:rsidR="00F73D5B" w:rsidRPr="008B7A21" w:rsidRDefault="00F73D5B" w:rsidP="00F73D5B">
      <w:pPr>
        <w:pStyle w:val="Blanc"/>
        <w:rPr>
          <w:lang w:val="es-ES_tradnl"/>
        </w:rPr>
      </w:pPr>
    </w:p>
    <w:p w14:paraId="36CAC507" w14:textId="13BC898A" w:rsidR="00F73D5B" w:rsidRPr="008B7A21" w:rsidRDefault="00F73D5B" w:rsidP="00F73D5B">
      <w:pPr>
        <w:pStyle w:val="Equation"/>
        <w:rPr>
          <w:lang w:val="es-ES_tradnl"/>
        </w:rPr>
      </w:pPr>
      <w:r w:rsidRPr="008B7A21">
        <w:rPr>
          <w:i/>
          <w:lang w:val="es-ES_tradnl"/>
        </w:rPr>
        <w:tab/>
      </w:r>
      <w:r w:rsidRPr="008B7A21">
        <w:rPr>
          <w:i/>
          <w:lang w:val="es-ES_tradnl"/>
        </w:rPr>
        <w:tab/>
        <w:t>h</w:t>
      </w:r>
      <w:r w:rsidRPr="008B7A21">
        <w:rPr>
          <w:i/>
          <w:vertAlign w:val="subscript"/>
          <w:lang w:val="es-ES_tradnl"/>
        </w:rPr>
        <w:t>ef</w:t>
      </w:r>
      <w:r w:rsidRPr="008B7A21">
        <w:rPr>
          <w:lang w:val="es-ES_tradnl"/>
        </w:rPr>
        <w:t> </w:t>
      </w:r>
      <w:r w:rsidR="00386EEF">
        <w:rPr>
          <w:iCs/>
          <w:lang w:val="es-ES_tradnl"/>
        </w:rPr>
        <w:t>=</w:t>
      </w:r>
      <w:r w:rsidRPr="008B7A21">
        <w:rPr>
          <w:lang w:val="es-ES_tradnl"/>
        </w:rPr>
        <w:t xml:space="preserve"> 300 m – 265 m </w:t>
      </w:r>
      <w:r w:rsidR="00386EEF">
        <w:rPr>
          <w:lang w:val="es-ES_tradnl"/>
        </w:rPr>
        <w:t>=</w:t>
      </w:r>
      <w:r w:rsidRPr="008B7A21">
        <w:rPr>
          <w:lang w:val="es-ES_tradnl"/>
        </w:rPr>
        <w:t xml:space="preserve"> 35 m </w:t>
      </w:r>
      <w:r w:rsidRPr="008B7A21">
        <w:rPr>
          <w:lang w:val="es-ES_tradnl"/>
        </w:rPr>
        <w:sym w:font="Symbol" w:char="F0BB"/>
      </w:r>
      <w:r w:rsidRPr="008B7A21">
        <w:rPr>
          <w:lang w:val="es-ES_tradnl"/>
        </w:rPr>
        <w:t xml:space="preserve"> 37,5 m</w:t>
      </w:r>
    </w:p>
    <w:p w14:paraId="1BF56C38" w14:textId="6EF03104" w:rsidR="00F73D5B" w:rsidRPr="008B7A21" w:rsidRDefault="00F73D5B" w:rsidP="00F73D5B">
      <w:pPr>
        <w:rPr>
          <w:szCs w:val="24"/>
          <w:lang w:val="es-ES_tradnl"/>
        </w:rPr>
      </w:pPr>
      <w:r w:rsidRPr="008B7A21">
        <w:rPr>
          <w:lang w:val="es-ES_tradnl"/>
        </w:rPr>
        <w:t xml:space="preserve">En el Cuadro 13 y para un transmisor con una potencia de 50 W, una altura de antena de 37,5 m y trayectos de propagación terrestres, se obtiene un valor de: </w:t>
      </w:r>
      <w:r w:rsidRPr="008B7A21">
        <w:rPr>
          <w:i/>
          <w:lang w:val="es-ES_tradnl"/>
        </w:rPr>
        <w:t>R</w:t>
      </w:r>
      <w:r w:rsidRPr="008B7A21">
        <w:rPr>
          <w:i/>
          <w:vertAlign w:val="subscript"/>
          <w:lang w:val="es-ES_tradnl"/>
        </w:rPr>
        <w:t>l</w:t>
      </w:r>
      <w:r w:rsidRPr="008B7A21">
        <w:rPr>
          <w:lang w:val="es-ES_tradnl"/>
        </w:rPr>
        <w:t> </w:t>
      </w:r>
      <w:r w:rsidR="00386EEF">
        <w:rPr>
          <w:lang w:val="es-ES_tradnl"/>
        </w:rPr>
        <w:t>=</w:t>
      </w:r>
      <w:r w:rsidRPr="008B7A21">
        <w:rPr>
          <w:lang w:val="es-ES_tradnl"/>
        </w:rPr>
        <w:t> 27 km.</w:t>
      </w:r>
    </w:p>
    <w:p w14:paraId="31456F8B" w14:textId="77777777" w:rsidR="00F73D5B" w:rsidRPr="008B7A21" w:rsidRDefault="00F73D5B" w:rsidP="00F73D5B">
      <w:pPr>
        <w:keepNext/>
        <w:keepLines/>
        <w:rPr>
          <w:lang w:val="es-ES_tradnl"/>
        </w:rPr>
      </w:pPr>
      <w:r w:rsidRPr="008B7A21">
        <w:rPr>
          <w:lang w:val="es-ES_tradnl"/>
        </w:rPr>
        <w:t>Sustituyendo los radios calculados en la ecuación (47) se obtiene:</w:t>
      </w:r>
    </w:p>
    <w:p w14:paraId="4FD5011C" w14:textId="77777777" w:rsidR="00F73D5B" w:rsidRPr="008B7A21" w:rsidRDefault="00F73D5B" w:rsidP="00F73D5B">
      <w:pPr>
        <w:pStyle w:val="Blanc"/>
        <w:rPr>
          <w:lang w:val="es-ES_tradnl"/>
        </w:rPr>
      </w:pPr>
    </w:p>
    <w:p w14:paraId="3998724D" w14:textId="77777777" w:rsidR="00F73D5B" w:rsidRPr="008B7A21" w:rsidRDefault="00F73D5B" w:rsidP="00F73D5B">
      <w:pPr>
        <w:pStyle w:val="Equation"/>
        <w:rPr>
          <w:lang w:val="es-ES_tradnl"/>
        </w:rPr>
      </w:pPr>
      <w:r w:rsidRPr="008B7A21">
        <w:rPr>
          <w:lang w:val="es-ES_tradnl"/>
        </w:rPr>
        <w:tab/>
      </w:r>
      <w:r w:rsidRPr="008B7A21">
        <w:rPr>
          <w:lang w:val="es-ES_tradnl"/>
        </w:rPr>
        <w:tab/>
        <w:t xml:space="preserve">S = 0,5 </w:t>
      </w:r>
      <w:r w:rsidRPr="008B7A21">
        <w:rPr>
          <w:szCs w:val="24"/>
          <w:lang w:val="es-ES_tradnl"/>
        </w:rPr>
        <w:sym w:font="Symbol" w:char="F070"/>
      </w:r>
      <w:r w:rsidRPr="008B7A21">
        <w:rPr>
          <w:lang w:val="es-ES_tradnl"/>
        </w:rPr>
        <w:t xml:space="preserve"> (82</w:t>
      </w:r>
      <w:r w:rsidRPr="008B7A21">
        <w:rPr>
          <w:szCs w:val="24"/>
          <w:vertAlign w:val="superscript"/>
          <w:lang w:val="es-ES_tradnl"/>
        </w:rPr>
        <w:t>2</w:t>
      </w:r>
      <w:r w:rsidRPr="008B7A21">
        <w:rPr>
          <w:lang w:val="es-ES_tradnl"/>
        </w:rPr>
        <w:t xml:space="preserve"> </w:t>
      </w:r>
      <w:r w:rsidRPr="008B7A21">
        <w:rPr>
          <w:szCs w:val="24"/>
          <w:lang w:val="es-ES_tradnl"/>
        </w:rPr>
        <w:sym w:font="Symbol" w:char="F02B"/>
      </w:r>
      <w:r w:rsidRPr="008B7A21">
        <w:rPr>
          <w:lang w:val="es-ES_tradnl"/>
        </w:rPr>
        <w:t xml:space="preserve"> 27</w:t>
      </w:r>
      <w:r w:rsidRPr="008B7A21">
        <w:rPr>
          <w:szCs w:val="24"/>
          <w:vertAlign w:val="superscript"/>
          <w:lang w:val="es-ES_tradnl"/>
        </w:rPr>
        <w:t>2</w:t>
      </w:r>
      <w:r w:rsidRPr="008B7A21">
        <w:rPr>
          <w:lang w:val="es-ES_tradnl"/>
        </w:rPr>
        <w:t>) = 11 701 km</w:t>
      </w:r>
      <w:r w:rsidRPr="008B7A21">
        <w:rPr>
          <w:szCs w:val="24"/>
          <w:vertAlign w:val="superscript"/>
          <w:lang w:val="es-ES_tradnl"/>
        </w:rPr>
        <w:t>2</w:t>
      </w:r>
    </w:p>
    <w:p w14:paraId="2865D9BA" w14:textId="2B1F5DED" w:rsidR="00F73D5B" w:rsidRPr="008B7A21" w:rsidRDefault="00F73D5B" w:rsidP="00F73D5B">
      <w:pPr>
        <w:rPr>
          <w:lang w:val="es-ES_tradnl"/>
        </w:rPr>
      </w:pPr>
      <w:r w:rsidRPr="008B7A21">
        <w:rPr>
          <w:lang w:val="es-ES_tradnl"/>
        </w:rPr>
        <w:t xml:space="preserve">y, teniendo en cuenta </w:t>
      </w:r>
      <w:r w:rsidRPr="008B7A21">
        <w:rPr>
          <w:i/>
          <w:iCs/>
          <w:lang w:val="es-ES_tradnl"/>
        </w:rPr>
        <w:t>b</w:t>
      </w:r>
      <w:r w:rsidRPr="008B7A21">
        <w:rPr>
          <w:i/>
          <w:iCs/>
          <w:vertAlign w:val="subscript"/>
          <w:lang w:val="es-ES_tradnl"/>
        </w:rPr>
        <w:t>j</w:t>
      </w:r>
      <w:r w:rsidRPr="008B7A21">
        <w:rPr>
          <w:lang w:val="es-ES_tradnl"/>
        </w:rPr>
        <w:t> </w:t>
      </w:r>
      <w:r w:rsidR="00386EEF">
        <w:rPr>
          <w:lang w:val="es-ES_tradnl"/>
        </w:rPr>
        <w:t>=</w:t>
      </w:r>
      <w:r w:rsidRPr="008B7A21">
        <w:rPr>
          <w:lang w:val="es-ES_tradnl"/>
        </w:rPr>
        <w:t> 1, a partir de la ecuación (22) se obtiene:</w:t>
      </w:r>
    </w:p>
    <w:p w14:paraId="665E81AB" w14:textId="4ACB049E" w:rsidR="00F73D5B" w:rsidRPr="008B7A21" w:rsidRDefault="00F73D5B" w:rsidP="00F73D5B">
      <w:pPr>
        <w:pStyle w:val="Equation"/>
        <w:rPr>
          <w:lang w:val="es-ES_tradnl"/>
        </w:rPr>
      </w:pPr>
      <w:r w:rsidRPr="008B7A21">
        <w:rPr>
          <w:i/>
          <w:iCs/>
          <w:lang w:val="es-ES_tradnl"/>
        </w:rPr>
        <w:tab/>
      </w:r>
      <w:r w:rsidRPr="008B7A21">
        <w:rPr>
          <w:i/>
          <w:iCs/>
          <w:lang w:val="es-ES_tradnl"/>
        </w:rPr>
        <w:tab/>
        <w:t>S</w:t>
      </w:r>
      <w:r w:rsidRPr="008B7A21">
        <w:rPr>
          <w:lang w:val="es-ES_tradnl"/>
        </w:rPr>
        <w:t> </w:t>
      </w:r>
      <w:r w:rsidR="00386EEF">
        <w:rPr>
          <w:lang w:val="es-ES_tradnl"/>
        </w:rPr>
        <w:t>=</w:t>
      </w:r>
      <w:r w:rsidRPr="008B7A21">
        <w:rPr>
          <w:lang w:val="es-ES_tradnl"/>
        </w:rPr>
        <w:t> </w:t>
      </w:r>
      <w:r w:rsidRPr="008B7A21">
        <w:rPr>
          <w:i/>
          <w:iCs/>
          <w:lang w:val="es-ES_tradnl"/>
        </w:rPr>
        <w:t>s</w:t>
      </w:r>
      <w:r w:rsidRPr="008B7A21">
        <w:rPr>
          <w:lang w:val="es-ES_tradnl"/>
        </w:rPr>
        <w:t> </w:t>
      </w:r>
      <w:r w:rsidR="00386EEF">
        <w:rPr>
          <w:lang w:val="es-ES_tradnl"/>
        </w:rPr>
        <w:t>=</w:t>
      </w:r>
      <w:r w:rsidRPr="008B7A21">
        <w:rPr>
          <w:lang w:val="es-ES_tradnl"/>
        </w:rPr>
        <w:t xml:space="preserve"> 11 701 </w:t>
      </w:r>
      <w:r w:rsidRPr="008B7A21">
        <w:rPr>
          <w:bCs/>
          <w:lang w:val="es-ES_tradnl"/>
        </w:rPr>
        <w:t>km</w:t>
      </w:r>
      <w:r w:rsidRPr="008B7A21">
        <w:rPr>
          <w:vertAlign w:val="superscript"/>
          <w:lang w:val="es-ES_tradnl"/>
        </w:rPr>
        <w:t>2</w:t>
      </w:r>
    </w:p>
    <w:p w14:paraId="52A179CD" w14:textId="77777777" w:rsidR="00F73D5B" w:rsidRPr="008B7A21" w:rsidRDefault="00F73D5B" w:rsidP="00F73D5B">
      <w:pPr>
        <w:pStyle w:val="Headingb"/>
        <w:rPr>
          <w:rFonts w:eastAsia="SimSun"/>
          <w:lang w:val="es-ES_tradnl" w:eastAsia="zh-CN"/>
        </w:rPr>
      </w:pPr>
      <w:bookmarkStart w:id="1495" w:name="_Toc307922636"/>
      <w:bookmarkStart w:id="1496" w:name="_Toc307991985"/>
      <w:bookmarkStart w:id="1497" w:name="_Toc307994018"/>
      <w:bookmarkStart w:id="1498" w:name="_Toc307996424"/>
      <w:bookmarkStart w:id="1499" w:name="_Toc499563062"/>
      <w:r w:rsidRPr="008B7A21">
        <w:rPr>
          <w:rFonts w:eastAsia="SimSun"/>
          <w:lang w:val="es-ES_tradnl" w:eastAsia="zh-CN"/>
        </w:rPr>
        <w:t>d)</w:t>
      </w:r>
      <w:r w:rsidRPr="008B7A21">
        <w:rPr>
          <w:rFonts w:eastAsia="SimSun"/>
          <w:lang w:val="es-ES_tradnl" w:eastAsia="zh-CN"/>
        </w:rPr>
        <w:tab/>
        <w:t>Espectro utilizado</w:t>
      </w:r>
      <w:bookmarkEnd w:id="1495"/>
      <w:bookmarkEnd w:id="1496"/>
      <w:bookmarkEnd w:id="1497"/>
      <w:bookmarkEnd w:id="1498"/>
      <w:bookmarkEnd w:id="1499"/>
    </w:p>
    <w:p w14:paraId="17CA90E8" w14:textId="5C83862D" w:rsidR="00F73D5B" w:rsidRPr="008B7A21" w:rsidRDefault="00F73D5B" w:rsidP="00F73D5B">
      <w:pPr>
        <w:rPr>
          <w:lang w:val="es-ES_tradnl"/>
        </w:rPr>
      </w:pPr>
      <w:r w:rsidRPr="008B7A21">
        <w:rPr>
          <w:lang w:val="es-ES_tradnl"/>
        </w:rPr>
        <w:t>Introduciendo los valores calculados en la ecuación (20), utilizando los valores de los coeficientes de ponderación del Cuadro 3 y teniendo en cuenta que no se comparten las frecuencias (</w:t>
      </w:r>
      <w:r w:rsidRPr="008B7A21">
        <w:rPr>
          <w:rFonts w:asciiTheme="majorBidi" w:hAnsiTheme="majorBidi" w:cstheme="majorBidi"/>
          <w:lang w:val="es-ES_tradnl"/>
        </w:rPr>
        <w:sym w:font="Symbol" w:char="F062"/>
      </w:r>
      <w:r w:rsidRPr="008B7A21">
        <w:rPr>
          <w:lang w:val="es-ES_tradnl"/>
        </w:rPr>
        <w:t> </w:t>
      </w:r>
      <w:r w:rsidR="00386EEF">
        <w:rPr>
          <w:lang w:val="es-ES_tradnl"/>
        </w:rPr>
        <w:t>=</w:t>
      </w:r>
      <w:r w:rsidRPr="008B7A21">
        <w:rPr>
          <w:lang w:val="es-ES_tradnl"/>
        </w:rPr>
        <w:t> 1), se obtiene:</w:t>
      </w:r>
    </w:p>
    <w:p w14:paraId="5125C92E" w14:textId="77777777" w:rsidR="00F73D5B" w:rsidRPr="008B7A21" w:rsidRDefault="00F73D5B" w:rsidP="00F73D5B">
      <w:pPr>
        <w:pStyle w:val="Blanc"/>
        <w:rPr>
          <w:lang w:val="es-ES_tradnl"/>
        </w:rPr>
      </w:pPr>
    </w:p>
    <w:p w14:paraId="31A3CCB1" w14:textId="5ED70DA0" w:rsidR="00F73D5B" w:rsidRPr="008B7A21" w:rsidRDefault="00F73D5B" w:rsidP="00F73D5B">
      <w:pPr>
        <w:pStyle w:val="Equation"/>
        <w:rPr>
          <w:lang w:val="es-ES_tradnl"/>
        </w:rPr>
      </w:pPr>
      <w:r w:rsidRPr="008B7A21">
        <w:rPr>
          <w:i/>
          <w:lang w:val="es-ES_tradnl"/>
        </w:rPr>
        <w:tab/>
        <w:t>W</w:t>
      </w:r>
      <w:r w:rsidRPr="008B7A21">
        <w:rPr>
          <w:lang w:val="es-ES_tradnl"/>
        </w:rPr>
        <w:t> </w:t>
      </w:r>
      <w:r w:rsidR="00386EEF">
        <w:rPr>
          <w:lang w:val="es-ES_tradnl"/>
        </w:rPr>
        <w:t>=</w:t>
      </w:r>
      <w:r w:rsidRPr="008B7A21">
        <w:rPr>
          <w:lang w:val="es-ES_tradnl"/>
        </w:rPr>
        <w:t> 1 </w:t>
      </w:r>
      <w:r w:rsidR="00386EEF">
        <w:rPr>
          <w:lang w:val="es-ES_tradnl"/>
        </w:rPr>
        <w:t>×</w:t>
      </w:r>
      <w:r w:rsidRPr="008B7A21">
        <w:rPr>
          <w:lang w:val="es-ES_tradnl"/>
        </w:rPr>
        <w:t> 0,2 </w:t>
      </w:r>
      <w:r w:rsidR="00386EEF">
        <w:rPr>
          <w:lang w:val="es-ES_tradnl"/>
        </w:rPr>
        <w:t>×</w:t>
      </w:r>
      <w:r w:rsidRPr="008B7A21">
        <w:rPr>
          <w:lang w:val="es-ES_tradnl"/>
        </w:rPr>
        <w:t> 0,1 </w:t>
      </w:r>
      <w:r w:rsidR="00386EEF">
        <w:rPr>
          <w:lang w:val="es-ES_tradnl"/>
        </w:rPr>
        <w:t>×</w:t>
      </w:r>
      <w:r w:rsidRPr="008B7A21">
        <w:rPr>
          <w:lang w:val="es-ES_tradnl"/>
        </w:rPr>
        <w:t> 1 </w:t>
      </w:r>
      <w:r w:rsidR="00386EEF">
        <w:rPr>
          <w:lang w:val="es-ES_tradnl"/>
        </w:rPr>
        <w:t>×</w:t>
      </w:r>
      <w:r w:rsidRPr="008B7A21">
        <w:rPr>
          <w:lang w:val="es-ES_tradnl"/>
        </w:rPr>
        <w:t> 1 </w:t>
      </w:r>
      <w:r w:rsidR="00386EEF">
        <w:rPr>
          <w:lang w:val="es-ES_tradnl"/>
        </w:rPr>
        <w:t>×</w:t>
      </w:r>
      <w:r w:rsidRPr="008B7A21">
        <w:rPr>
          <w:lang w:val="es-ES_tradnl"/>
        </w:rPr>
        <w:t> 0,016 </w:t>
      </w:r>
      <w:r w:rsidR="00386EEF">
        <w:rPr>
          <w:lang w:val="es-ES_tradnl"/>
        </w:rPr>
        <w:t>×</w:t>
      </w:r>
      <w:r w:rsidRPr="008B7A21">
        <w:rPr>
          <w:lang w:val="es-ES_tradnl"/>
        </w:rPr>
        <w:t> 11 701 </w:t>
      </w:r>
      <w:r w:rsidR="00386EEF">
        <w:rPr>
          <w:lang w:val="es-ES_tradnl"/>
        </w:rPr>
        <w:t>×</w:t>
      </w:r>
      <w:r w:rsidRPr="008B7A21">
        <w:rPr>
          <w:lang w:val="es-ES_tradnl"/>
        </w:rPr>
        <w:t> 1 </w:t>
      </w:r>
      <w:r w:rsidR="00386EEF">
        <w:rPr>
          <w:lang w:val="es-ES_tradnl"/>
        </w:rPr>
        <w:t>=</w:t>
      </w:r>
      <w:r w:rsidRPr="008B7A21">
        <w:rPr>
          <w:lang w:val="es-ES_tradnl"/>
        </w:rPr>
        <w:t xml:space="preserve"> 3,7          MHz </w:t>
      </w:r>
      <w:r w:rsidRPr="008B7A21">
        <w:rPr>
          <w:lang w:val="es-ES_tradnl"/>
        </w:rPr>
        <w:sym w:font="Symbol" w:char="F0D7"/>
      </w:r>
      <w:r w:rsidRPr="008B7A21">
        <w:rPr>
          <w:lang w:val="es-ES_tradnl"/>
        </w:rPr>
        <w:t xml:space="preserve"> km</w:t>
      </w:r>
      <w:r w:rsidRPr="008B7A21">
        <w:rPr>
          <w:vertAlign w:val="superscript"/>
          <w:lang w:val="es-ES_tradnl"/>
        </w:rPr>
        <w:t>2</w:t>
      </w:r>
      <w:r w:rsidRPr="008B7A21">
        <w:rPr>
          <w:lang w:val="es-ES_tradnl"/>
        </w:rPr>
        <w:t xml:space="preserve"> </w:t>
      </w:r>
      <w:r w:rsidRPr="008B7A21">
        <w:rPr>
          <w:lang w:val="es-ES_tradnl"/>
        </w:rPr>
        <w:sym w:font="Symbol" w:char="F0D7"/>
      </w:r>
      <w:r w:rsidRPr="008B7A21">
        <w:rPr>
          <w:lang w:val="es-ES_tradnl"/>
        </w:rPr>
        <w:t xml:space="preserve"> 1 año</w:t>
      </w:r>
    </w:p>
    <w:p w14:paraId="73F07A1D" w14:textId="77777777" w:rsidR="00F73D5B" w:rsidRPr="008B7A21" w:rsidRDefault="00F73D5B" w:rsidP="00F73D5B">
      <w:pPr>
        <w:pStyle w:val="Blanc"/>
        <w:keepNext w:val="0"/>
        <w:keepLines w:val="0"/>
        <w:rPr>
          <w:lang w:val="es-ES_tradnl"/>
        </w:rPr>
      </w:pPr>
      <w:bookmarkStart w:id="1500" w:name="_Toc306276875"/>
      <w:bookmarkStart w:id="1501" w:name="_Toc307921550"/>
      <w:bookmarkStart w:id="1502" w:name="_Toc307922117"/>
      <w:bookmarkStart w:id="1503" w:name="_Toc307922637"/>
      <w:bookmarkStart w:id="1504" w:name="_Toc307991986"/>
      <w:bookmarkStart w:id="1505" w:name="_Toc307994019"/>
      <w:bookmarkStart w:id="1506" w:name="_Toc307995262"/>
      <w:bookmarkStart w:id="1507" w:name="_Toc307996425"/>
      <w:bookmarkStart w:id="1508" w:name="_Toc308010381"/>
    </w:p>
    <w:p w14:paraId="6B89A63D" w14:textId="77777777" w:rsidR="00F73D5B" w:rsidRPr="008B7A21" w:rsidRDefault="00F73D5B" w:rsidP="00F73D5B">
      <w:pPr>
        <w:pStyle w:val="Heading3"/>
        <w:rPr>
          <w:rFonts w:eastAsia="SimSun"/>
          <w:lang w:val="es-ES_tradnl" w:eastAsia="zh-CN"/>
        </w:rPr>
      </w:pPr>
      <w:bookmarkStart w:id="1509" w:name="_Toc499563063"/>
      <w:bookmarkStart w:id="1510" w:name="_Toc215835416"/>
      <w:r w:rsidRPr="008B7A21">
        <w:rPr>
          <w:lang w:val="es-ES_tradnl"/>
        </w:rPr>
        <w:t>4.7.6</w:t>
      </w:r>
      <w:r w:rsidRPr="008B7A21">
        <w:rPr>
          <w:lang w:val="es-ES_tradnl"/>
        </w:rPr>
        <w:tab/>
      </w:r>
      <w:r w:rsidRPr="008B7A21">
        <w:rPr>
          <w:rFonts w:eastAsia="SimSun"/>
          <w:lang w:val="es-ES_tradnl" w:eastAsia="zh-CN"/>
        </w:rPr>
        <w:t>Servicios móvil aeronáutico, de radionavegación y de radiolocalización</w:t>
      </w:r>
      <w:bookmarkEnd w:id="1500"/>
      <w:bookmarkEnd w:id="1501"/>
      <w:bookmarkEnd w:id="1502"/>
      <w:bookmarkEnd w:id="1503"/>
      <w:bookmarkEnd w:id="1504"/>
      <w:bookmarkEnd w:id="1505"/>
      <w:bookmarkEnd w:id="1506"/>
      <w:bookmarkEnd w:id="1507"/>
      <w:bookmarkEnd w:id="1508"/>
      <w:bookmarkEnd w:id="1509"/>
      <w:bookmarkEnd w:id="1510"/>
    </w:p>
    <w:p w14:paraId="1ABB6E2B" w14:textId="77777777" w:rsidR="00F73D5B" w:rsidRPr="008B7A21" w:rsidRDefault="00F73D5B" w:rsidP="00F73D5B">
      <w:pPr>
        <w:pStyle w:val="Headingb"/>
        <w:rPr>
          <w:lang w:val="es-ES_tradnl"/>
        </w:rPr>
      </w:pPr>
      <w:bookmarkStart w:id="1511" w:name="_Toc307922638"/>
      <w:bookmarkStart w:id="1512" w:name="_Toc307991987"/>
      <w:bookmarkStart w:id="1513" w:name="_Toc307994020"/>
      <w:bookmarkStart w:id="1514" w:name="_Toc307996426"/>
      <w:bookmarkStart w:id="1515" w:name="_Toc499563064"/>
      <w:r w:rsidRPr="008B7A21">
        <w:rPr>
          <w:lang w:val="es-ES_tradnl"/>
        </w:rPr>
        <w:t>a)</w:t>
      </w:r>
      <w:r w:rsidRPr="008B7A21">
        <w:rPr>
          <w:lang w:val="es-ES_tradnl"/>
        </w:rPr>
        <w:tab/>
        <w:t>Procedimientos de cálculo</w:t>
      </w:r>
      <w:bookmarkEnd w:id="1511"/>
      <w:bookmarkEnd w:id="1512"/>
      <w:bookmarkEnd w:id="1513"/>
      <w:bookmarkEnd w:id="1514"/>
      <w:bookmarkEnd w:id="1515"/>
    </w:p>
    <w:p w14:paraId="237E32C7" w14:textId="77777777" w:rsidR="00F73D5B" w:rsidRPr="008B7A21" w:rsidRDefault="00F73D5B" w:rsidP="00F73D5B">
      <w:pPr>
        <w:rPr>
          <w:lang w:val="es-ES_tradnl"/>
        </w:rPr>
      </w:pPr>
      <w:r w:rsidRPr="008B7A21">
        <w:rPr>
          <w:lang w:val="es-ES_tradnl"/>
        </w:rPr>
        <w:t xml:space="preserve">Una característica común de estos servicios es el hecho de que proporcionan radiocomunicaciones (o radiolocalizaciones) mediante aeronaves volando a gran altura. Las zonas de servicio son muy amplias y sus límites vienen determinados por las distancias al horizonte radioeléctrico. Si se tiene en cuenta la refracción de las ondas radioeléctricas en la atmósfera terrestre, la distancia hasta el horizonte radioeléctrico, </w:t>
      </w:r>
      <w:r w:rsidRPr="008B7A21">
        <w:rPr>
          <w:i/>
          <w:iCs/>
          <w:lang w:val="es-ES_tradnl"/>
        </w:rPr>
        <w:t>R</w:t>
      </w:r>
      <w:r w:rsidRPr="008B7A21">
        <w:rPr>
          <w:i/>
          <w:iCs/>
          <w:vertAlign w:val="subscript"/>
          <w:lang w:val="es-ES_tradnl"/>
        </w:rPr>
        <w:t>g</w:t>
      </w:r>
      <w:r w:rsidRPr="008B7A21">
        <w:rPr>
          <w:lang w:val="es-ES_tradnl"/>
        </w:rPr>
        <w:t>,</w:t>
      </w:r>
      <w:r w:rsidRPr="008B7A21">
        <w:rPr>
          <w:i/>
          <w:iCs/>
          <w:lang w:val="es-ES_tradnl"/>
        </w:rPr>
        <w:t xml:space="preserve"> </w:t>
      </w:r>
      <w:r w:rsidRPr="008B7A21">
        <w:rPr>
          <w:lang w:val="es-ES_tradnl"/>
        </w:rPr>
        <w:t>puede calcularse mediante la siguiente ecuación:</w:t>
      </w:r>
    </w:p>
    <w:p w14:paraId="3B6EB6E3" w14:textId="77777777" w:rsidR="00F73D5B" w:rsidRPr="008B7A21" w:rsidRDefault="00F73D5B" w:rsidP="00F73D5B">
      <w:pPr>
        <w:pStyle w:val="Blanc"/>
        <w:rPr>
          <w:lang w:val="es-ES_tradnl"/>
        </w:rPr>
      </w:pPr>
    </w:p>
    <w:p w14:paraId="216AFDF4"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4"/>
          <w:lang w:val="es-ES_tradnl"/>
        </w:rPr>
        <w:object w:dxaOrig="3600" w:dyaOrig="420" w14:anchorId="528AF882">
          <v:shape id="_x0000_i1695" type="#_x0000_t75" style="width:180.85pt;height:21.75pt" o:ole="">
            <v:imagedata r:id="rId93" o:title=""/>
          </v:shape>
          <o:OLEObject Type="Embed" ProgID="Equation.3" ShapeID="_x0000_i1695" DrawAspect="Content" ObjectID="_1826705904" r:id="rId94"/>
        </w:object>
      </w:r>
      <w:r w:rsidRPr="008B7A21">
        <w:rPr>
          <w:lang w:val="es-ES_tradnl"/>
        </w:rPr>
        <w:tab/>
        <w:t>(49)</w:t>
      </w:r>
    </w:p>
    <w:p w14:paraId="209D4B2A" w14:textId="77777777" w:rsidR="00F73D5B" w:rsidRPr="008B7A21" w:rsidRDefault="00F73D5B" w:rsidP="00F73D5B">
      <w:pPr>
        <w:pStyle w:val="Blanc"/>
        <w:rPr>
          <w:lang w:val="es-ES_tradnl"/>
        </w:rPr>
      </w:pPr>
    </w:p>
    <w:p w14:paraId="4D5955B6" w14:textId="77777777" w:rsidR="00F73D5B" w:rsidRPr="008B7A21" w:rsidRDefault="00F73D5B" w:rsidP="00F73D5B">
      <w:pPr>
        <w:rPr>
          <w:color w:val="000000"/>
          <w:lang w:val="es-ES_tradnl"/>
        </w:rPr>
      </w:pPr>
      <w:r w:rsidRPr="008B7A21">
        <w:rPr>
          <w:color w:val="000000"/>
          <w:lang w:val="es-ES_tradnl"/>
        </w:rPr>
        <w:t>siendo:</w:t>
      </w:r>
    </w:p>
    <w:p w14:paraId="7739FD95" w14:textId="77777777" w:rsidR="00F73D5B" w:rsidRPr="008B7A21" w:rsidRDefault="00F73D5B" w:rsidP="00F73D5B">
      <w:pPr>
        <w:pStyle w:val="Equationlegend"/>
        <w:rPr>
          <w:lang w:val="es-ES_tradnl"/>
        </w:rPr>
      </w:pPr>
      <w:r w:rsidRPr="008B7A21">
        <w:rPr>
          <w:i/>
          <w:iCs/>
          <w:lang w:val="es-ES_tradnl"/>
        </w:rPr>
        <w:tab/>
        <w:t>h</w:t>
      </w:r>
      <w:r w:rsidRPr="008B7A21">
        <w:rPr>
          <w:i/>
          <w:iCs/>
          <w:vertAlign w:val="subscript"/>
          <w:lang w:val="es-ES_tradnl"/>
        </w:rPr>
        <w:t>t</w:t>
      </w:r>
      <w:r w:rsidRPr="008B7A21">
        <w:rPr>
          <w:lang w:val="es-ES_tradnl"/>
        </w:rPr>
        <w:t>:</w:t>
      </w:r>
      <w:r w:rsidRPr="008B7A21">
        <w:rPr>
          <w:lang w:val="es-ES_tradnl"/>
        </w:rPr>
        <w:tab/>
        <w:t>altura de la antena de transmisión sobre la superficie media del suelo (en el suelo o en la aeronave) (m)</w:t>
      </w:r>
    </w:p>
    <w:p w14:paraId="06C22E80" w14:textId="77777777" w:rsidR="00F73D5B" w:rsidRPr="008B7A21" w:rsidRDefault="00F73D5B" w:rsidP="00F73D5B">
      <w:pPr>
        <w:pStyle w:val="Equationlegend"/>
        <w:rPr>
          <w:lang w:val="es-ES_tradnl"/>
        </w:rPr>
      </w:pPr>
      <w:r w:rsidRPr="008B7A21">
        <w:rPr>
          <w:i/>
          <w:iCs/>
          <w:lang w:val="es-ES_tradnl"/>
        </w:rPr>
        <w:tab/>
        <w:t>h</w:t>
      </w:r>
      <w:r w:rsidRPr="008B7A21">
        <w:rPr>
          <w:i/>
          <w:iCs/>
          <w:vertAlign w:val="subscript"/>
          <w:lang w:val="es-ES_tradnl"/>
        </w:rPr>
        <w:t>r</w:t>
      </w:r>
      <w:r w:rsidRPr="008B7A21">
        <w:rPr>
          <w:lang w:val="es-ES_tradnl"/>
        </w:rPr>
        <w:t>:</w:t>
      </w:r>
      <w:r w:rsidRPr="008B7A21">
        <w:rPr>
          <w:lang w:val="es-ES_tradnl"/>
        </w:rPr>
        <w:tab/>
        <w:t>altura de la antena de recepción sobre el nivel medio del suelo (en el suelo o en la aeronave) (m).</w:t>
      </w:r>
    </w:p>
    <w:p w14:paraId="627E913B" w14:textId="77777777" w:rsidR="00F73D5B" w:rsidRPr="008B7A21" w:rsidRDefault="00F73D5B" w:rsidP="00F73D5B">
      <w:pPr>
        <w:rPr>
          <w:lang w:val="es-ES_tradnl"/>
        </w:rPr>
      </w:pPr>
      <w:r w:rsidRPr="008B7A21">
        <w:rPr>
          <w:lang w:val="es-ES_tradnl"/>
        </w:rPr>
        <w:t>Si la aeronave vuela a 10 000 m y la altura de la antena terrenal es de 15 m, la ecuación (48) da una distancia del horizonte radioeléctrico de 429 km. Más allá del horizonte radioeléctrico la intensidad de campo disminuye abruptamente como muestran claramente las curvas de la Recomendación UIT</w:t>
      </w:r>
      <w:r w:rsidRPr="008B7A21">
        <w:rPr>
          <w:lang w:val="es-ES_tradnl"/>
        </w:rPr>
        <w:noBreakHyphen/>
        <w:t>R P.528-2. Por lo tanto, en el caso particular indicado se acepta que el radio de la zona de servicio es igual a la distancia hasta el horizonte radioeléctrico independientemente de la potencia del transmisor y la sensibilidad del receptor. Los últimos parámetros sólo determinan fundamentalmente la fiabilidad de las comunicaciones radioeléctricas en las proximidades de los límites de la zona de servicio en un entorno de influencia real, lo cual es muy importante para estos servicios al tratarse de servicios de seguridad. Las antenas omnidireccionales son ampliamente utilizadas. En el caso de aplicaciones de antenas transmisoras directivas (principalmente en la radionavegación y en la radiolocalización sectorial), puede utilizarse el concepto de «sector de servicio» que aparece en la Recomendación UIT</w:t>
      </w:r>
      <w:r w:rsidRPr="008B7A21">
        <w:rPr>
          <w:lang w:val="es-ES_tradnl"/>
        </w:rPr>
        <w:noBreakHyphen/>
        <w:t>R F.162-3.</w:t>
      </w:r>
    </w:p>
    <w:p w14:paraId="2C966F22" w14:textId="77777777" w:rsidR="00F73D5B" w:rsidRPr="008B7A21" w:rsidRDefault="00F73D5B" w:rsidP="00F73D5B">
      <w:pPr>
        <w:rPr>
          <w:lang w:val="es-ES_tradnl"/>
        </w:rPr>
      </w:pPr>
      <w:r w:rsidRPr="008B7A21">
        <w:rPr>
          <w:lang w:val="es-ES_tradnl"/>
        </w:rPr>
        <w:t>Teniendo en cuenta que el espectro utilizado por estos servicios, que son de seguridad, no será demasiado amplio, para mayor sencillez puede suprimirse la subdivisión de la zona de servicio en distintas zonas pertenecientes a diferentes categorías de cánones de licencias y se puede utilizar una sola categoría, correspondiente a la zona ocupada de mayor extensión.</w:t>
      </w:r>
    </w:p>
    <w:p w14:paraId="22323801" w14:textId="77777777" w:rsidR="00F73D5B" w:rsidRPr="008B7A21" w:rsidRDefault="00F73D5B" w:rsidP="00F73D5B">
      <w:pPr>
        <w:rPr>
          <w:lang w:val="es-ES_tradnl"/>
        </w:rPr>
      </w:pPr>
      <w:r w:rsidRPr="008B7A21">
        <w:rPr>
          <w:lang w:val="es-ES_tradnl"/>
        </w:rPr>
        <w:t>A efectos de este modelo de cálculo se propone utilizar el método indicado para determinar las zonas de servicio de los servicios móvil aeronáutico, de radionavegación y de radiolocalización. Puede aceptarse el mismo método para las aplicaciones de radiolocalización y radionavegación marítima utilizando en la ecuación (49) una altura objetivo de unos 10 m.</w:t>
      </w:r>
    </w:p>
    <w:p w14:paraId="7B9B513B" w14:textId="77777777" w:rsidR="00F73D5B" w:rsidRPr="008B7A21" w:rsidRDefault="00F73D5B" w:rsidP="00F73D5B">
      <w:pPr>
        <w:pStyle w:val="Heading3"/>
        <w:rPr>
          <w:rFonts w:eastAsia="SimSun"/>
          <w:lang w:val="es-ES_tradnl" w:eastAsia="zh-CN"/>
        </w:rPr>
      </w:pPr>
      <w:bookmarkStart w:id="1516" w:name="_Toc306276876"/>
      <w:bookmarkStart w:id="1517" w:name="_Toc307921551"/>
      <w:bookmarkStart w:id="1518" w:name="_Toc307922118"/>
      <w:bookmarkStart w:id="1519" w:name="_Toc307922639"/>
      <w:bookmarkStart w:id="1520" w:name="_Toc307991988"/>
      <w:bookmarkStart w:id="1521" w:name="_Toc307994021"/>
      <w:bookmarkStart w:id="1522" w:name="_Toc307995263"/>
      <w:bookmarkStart w:id="1523" w:name="_Toc307996427"/>
      <w:bookmarkStart w:id="1524" w:name="_Toc308010382"/>
      <w:bookmarkStart w:id="1525" w:name="_Toc499563065"/>
      <w:bookmarkStart w:id="1526" w:name="_Toc215835417"/>
      <w:r w:rsidRPr="008B7A21">
        <w:rPr>
          <w:rFonts w:eastAsia="SimSun"/>
          <w:lang w:val="es-ES_tradnl" w:eastAsia="zh-CN"/>
        </w:rPr>
        <w:t>4.7.7</w:t>
      </w:r>
      <w:r w:rsidRPr="008B7A21">
        <w:rPr>
          <w:rFonts w:eastAsia="SimSun"/>
          <w:lang w:val="es-ES_tradnl" w:eastAsia="zh-CN"/>
        </w:rPr>
        <w:tab/>
        <w:t>Ejemplos de cálculos</w:t>
      </w:r>
      <w:bookmarkEnd w:id="1516"/>
      <w:bookmarkEnd w:id="1517"/>
      <w:bookmarkEnd w:id="1518"/>
      <w:bookmarkEnd w:id="1519"/>
      <w:bookmarkEnd w:id="1520"/>
      <w:bookmarkEnd w:id="1521"/>
      <w:bookmarkEnd w:id="1522"/>
      <w:bookmarkEnd w:id="1523"/>
      <w:bookmarkEnd w:id="1524"/>
      <w:bookmarkEnd w:id="1525"/>
      <w:bookmarkEnd w:id="1526"/>
    </w:p>
    <w:p w14:paraId="10884098" w14:textId="77777777" w:rsidR="00F73D5B" w:rsidRPr="008B7A21" w:rsidRDefault="00F73D5B" w:rsidP="00F73D5B">
      <w:pPr>
        <w:pStyle w:val="Heading4"/>
        <w:rPr>
          <w:lang w:val="es-ES_tradnl"/>
        </w:rPr>
      </w:pPr>
      <w:r w:rsidRPr="008B7A21">
        <w:rPr>
          <w:lang w:val="es-ES_tradnl"/>
        </w:rPr>
        <w:t>4.7.7.1</w:t>
      </w:r>
      <w:r w:rsidRPr="008B7A21">
        <w:rPr>
          <w:lang w:val="es-ES_tradnl"/>
        </w:rPr>
        <w:tab/>
        <w:t>Radiocomunicaciones aeronáuticas</w:t>
      </w:r>
    </w:p>
    <w:p w14:paraId="5622B9F2" w14:textId="77777777" w:rsidR="00F73D5B" w:rsidRPr="008B7A21" w:rsidRDefault="00F73D5B" w:rsidP="00F73D5B">
      <w:pPr>
        <w:pStyle w:val="Headingb"/>
        <w:rPr>
          <w:lang w:val="es-ES_tradnl"/>
        </w:rPr>
      </w:pPr>
      <w:bookmarkStart w:id="1527" w:name="_Toc307922640"/>
      <w:bookmarkStart w:id="1528" w:name="_Toc307991989"/>
      <w:bookmarkStart w:id="1529" w:name="_Toc307994022"/>
      <w:bookmarkStart w:id="1530" w:name="_Toc307996428"/>
      <w:bookmarkStart w:id="1531" w:name="_Toc499563066"/>
      <w:r w:rsidRPr="008B7A21">
        <w:rPr>
          <w:lang w:val="es-ES_tradnl"/>
        </w:rPr>
        <w:t>a)</w:t>
      </w:r>
      <w:r w:rsidRPr="008B7A21">
        <w:rPr>
          <w:lang w:val="es-ES_tradnl"/>
        </w:rPr>
        <w:tab/>
        <w:t>Parámetros de partida</w:t>
      </w:r>
      <w:bookmarkEnd w:id="1527"/>
      <w:bookmarkEnd w:id="1528"/>
      <w:bookmarkEnd w:id="1529"/>
      <w:bookmarkEnd w:id="1530"/>
      <w:bookmarkEnd w:id="1531"/>
    </w:p>
    <w:p w14:paraId="0D4451A2" w14:textId="4F33ADD1" w:rsidR="00F73D5B" w:rsidRPr="008B7A21" w:rsidRDefault="00F73D5B" w:rsidP="00F73D5B">
      <w:pPr>
        <w:rPr>
          <w:lang w:val="es-ES_tradnl"/>
        </w:rPr>
      </w:pPr>
      <w:r w:rsidRPr="008B7A21">
        <w:rPr>
          <w:lang w:val="es-ES_tradnl"/>
        </w:rPr>
        <w:t xml:space="preserve">Vamos a calcular el espectro utilizado por una estación de radiocomunicaciones aeronáuticas que funciona las 24 horas al día en la banda 118-136 MHz. La altura de la antena transmisora omnidireccional es de 15 m y las comunicaciones se establecen mediante aeronaves volando a alturas de 10 000 m y superiores; es decir, </w:t>
      </w:r>
      <w:r w:rsidRPr="008B7A21">
        <w:rPr>
          <w:i/>
          <w:iCs/>
          <w:color w:val="000000"/>
          <w:lang w:val="es-ES_tradnl"/>
        </w:rPr>
        <w:t>R</w:t>
      </w:r>
      <w:r w:rsidRPr="008B7A21">
        <w:rPr>
          <w:i/>
          <w:iCs/>
          <w:vertAlign w:val="subscript"/>
          <w:lang w:val="es-ES_tradnl"/>
        </w:rPr>
        <w:t>g</w:t>
      </w:r>
      <w:r w:rsidRPr="008B7A21">
        <w:rPr>
          <w:lang w:val="es-ES_tradnl"/>
        </w:rPr>
        <w:t> </w:t>
      </w:r>
      <w:r w:rsidR="00386EEF">
        <w:rPr>
          <w:color w:val="000000"/>
          <w:lang w:val="es-ES_tradnl"/>
        </w:rPr>
        <w:t>=</w:t>
      </w:r>
      <w:r w:rsidRPr="008B7A21">
        <w:rPr>
          <w:color w:val="000000"/>
          <w:lang w:val="es-ES_tradnl"/>
        </w:rPr>
        <w:t> 429 km.</w:t>
      </w:r>
      <w:r w:rsidRPr="008B7A21">
        <w:rPr>
          <w:lang w:val="es-ES_tradnl"/>
        </w:rPr>
        <w:t xml:space="preserve"> La zona ocupada más amplia es una zona rural cuya categoría según el Cuadro 2 es 0,8. Se utiliza la habitual MA con doble banda lateral (clase de emisión A3E) y calidad comercial.</w:t>
      </w:r>
    </w:p>
    <w:p w14:paraId="10FC69BA" w14:textId="77777777" w:rsidR="00F73D5B" w:rsidRPr="008B7A21" w:rsidRDefault="00F73D5B" w:rsidP="00F73D5B">
      <w:pPr>
        <w:pStyle w:val="Headingb"/>
        <w:rPr>
          <w:rFonts w:eastAsia="SimSun"/>
          <w:lang w:val="es-ES_tradnl" w:eastAsia="zh-CN"/>
        </w:rPr>
      </w:pPr>
      <w:bookmarkStart w:id="1532" w:name="_Toc307922641"/>
      <w:bookmarkStart w:id="1533" w:name="_Toc307991990"/>
      <w:bookmarkStart w:id="1534" w:name="_Toc307994023"/>
      <w:bookmarkStart w:id="1535" w:name="_Toc307996429"/>
      <w:bookmarkStart w:id="1536" w:name="_Toc499563067"/>
      <w:r w:rsidRPr="008B7A21">
        <w:rPr>
          <w:rFonts w:eastAsia="SimSun"/>
          <w:lang w:val="es-ES_tradnl" w:eastAsia="zh-CN"/>
        </w:rPr>
        <w:t>b)</w:t>
      </w:r>
      <w:r w:rsidRPr="008B7A21">
        <w:rPr>
          <w:rFonts w:eastAsia="SimSun"/>
          <w:lang w:val="es-ES_tradnl" w:eastAsia="zh-CN"/>
        </w:rPr>
        <w:tab/>
        <w:t>Recursos de tiempo y frecuencia utilizados</w:t>
      </w:r>
      <w:bookmarkEnd w:id="1532"/>
      <w:bookmarkEnd w:id="1533"/>
      <w:bookmarkEnd w:id="1534"/>
      <w:bookmarkEnd w:id="1535"/>
      <w:bookmarkEnd w:id="1536"/>
    </w:p>
    <w:p w14:paraId="3E70CF0D" w14:textId="77777777" w:rsidR="00F73D5B" w:rsidRPr="008B7A21" w:rsidRDefault="00F73D5B" w:rsidP="00F73D5B">
      <w:pPr>
        <w:rPr>
          <w:lang w:val="es-ES_tradnl"/>
        </w:rPr>
      </w:pPr>
      <w:r w:rsidRPr="008B7A21">
        <w:rPr>
          <w:lang w:val="es-ES_tradnl"/>
        </w:rPr>
        <w:t>De conformidad con la ecuación (21), el recurso de tiempo utilizado es:</w:t>
      </w:r>
    </w:p>
    <w:p w14:paraId="08C3EE55" w14:textId="0D3F315B" w:rsidR="00F73D5B" w:rsidRPr="008B7A21" w:rsidRDefault="00F73D5B" w:rsidP="00F73D5B">
      <w:pPr>
        <w:pStyle w:val="Equation"/>
        <w:rPr>
          <w:lang w:val="es-ES_tradnl"/>
        </w:rPr>
      </w:pPr>
      <w:r w:rsidRPr="008B7A21">
        <w:rPr>
          <w:i/>
          <w:lang w:val="es-ES_tradnl"/>
        </w:rPr>
        <w:tab/>
      </w:r>
      <w:r w:rsidRPr="008B7A21">
        <w:rPr>
          <w:i/>
          <w:lang w:val="es-ES_tradnl"/>
        </w:rPr>
        <w:tab/>
        <w:t>T</w:t>
      </w:r>
      <w:r w:rsidRPr="008B7A21">
        <w:rPr>
          <w:lang w:val="es-ES_tradnl"/>
        </w:rPr>
        <w:t xml:space="preserve"> </w:t>
      </w:r>
      <w:r w:rsidR="00386EEF">
        <w:rPr>
          <w:lang w:val="es-ES_tradnl"/>
        </w:rPr>
        <w:t>=</w:t>
      </w:r>
      <w:r w:rsidRPr="008B7A21">
        <w:rPr>
          <w:lang w:val="es-ES_tradnl"/>
        </w:rPr>
        <w:t xml:space="preserve"> 24/24 (cada día) </w:t>
      </w:r>
      <w:r w:rsidR="00386EEF">
        <w:rPr>
          <w:lang w:val="es-ES_tradnl"/>
        </w:rPr>
        <w:t>=</w:t>
      </w:r>
      <w:r w:rsidRPr="008B7A21">
        <w:rPr>
          <w:lang w:val="es-ES_tradnl"/>
        </w:rPr>
        <w:t xml:space="preserve"> 1 año</w:t>
      </w:r>
    </w:p>
    <w:p w14:paraId="5F9AE6BA" w14:textId="77464B01" w:rsidR="00F73D5B" w:rsidRPr="008B7A21" w:rsidRDefault="00F73D5B" w:rsidP="00F73D5B">
      <w:pPr>
        <w:rPr>
          <w:lang w:val="es-ES_tradnl"/>
        </w:rPr>
      </w:pPr>
      <w:r w:rsidRPr="008B7A21">
        <w:rPr>
          <w:lang w:val="es-ES_tradnl"/>
        </w:rPr>
        <w:t>Según la Recomendación UIT</w:t>
      </w:r>
      <w:r w:rsidRPr="008B7A21">
        <w:rPr>
          <w:lang w:val="es-ES_tradnl"/>
        </w:rPr>
        <w:noBreakHyphen/>
        <w:t xml:space="preserve">R SM.1138-2 «Modulación de amplitud», punto 2, «Telefonía (calidad comercial)», doble banda lateral (clase de emisión A3E), la anchura de banda necesaria correspondiente es de 6 kHz. Por lo tanto, el recurso de frecuencia utilizado, aplicando en la ecuación (24) un valor de </w:t>
      </w:r>
      <w:r w:rsidR="00386EEF" w:rsidRPr="00386EEF">
        <w:sym w:font="Symbol" w:char="F063"/>
      </w:r>
      <w:r w:rsidRPr="008B7A21">
        <w:rPr>
          <w:lang w:val="es-ES_tradnl"/>
        </w:rPr>
        <w:t> = 1, es de:</w:t>
      </w:r>
    </w:p>
    <w:p w14:paraId="54926215" w14:textId="20107A2F" w:rsidR="00F73D5B" w:rsidRPr="008B7A21" w:rsidRDefault="00F73D5B" w:rsidP="00F73D5B">
      <w:pPr>
        <w:pStyle w:val="Equation"/>
        <w:rPr>
          <w:lang w:val="es-ES_tradnl"/>
        </w:rPr>
      </w:pPr>
      <w:r w:rsidRPr="008B7A21">
        <w:rPr>
          <w:lang w:val="es-ES_tradnl"/>
        </w:rPr>
        <w:tab/>
      </w:r>
      <w:r w:rsidRPr="008B7A21">
        <w:rPr>
          <w:lang w:val="es-ES_tradnl"/>
        </w:rPr>
        <w:tab/>
      </w:r>
      <w:r w:rsidRPr="008B7A21">
        <w:rPr>
          <w:i/>
          <w:lang w:val="es-ES_tradnl"/>
        </w:rPr>
        <w:t>F</w:t>
      </w:r>
      <w:r w:rsidRPr="008B7A21">
        <w:rPr>
          <w:lang w:val="es-ES_tradnl"/>
        </w:rPr>
        <w:t xml:space="preserve"> </w:t>
      </w:r>
      <w:r w:rsidR="00386EEF">
        <w:rPr>
          <w:lang w:val="es-ES_tradnl"/>
        </w:rPr>
        <w:t>=</w:t>
      </w:r>
      <w:r w:rsidRPr="008B7A21">
        <w:rPr>
          <w:lang w:val="es-ES_tradnl"/>
        </w:rPr>
        <w:t xml:space="preserve"> 0,006 MHz</w:t>
      </w:r>
    </w:p>
    <w:p w14:paraId="0EC9AAC8" w14:textId="77777777" w:rsidR="00F73D5B" w:rsidRPr="008B7A21" w:rsidRDefault="00F73D5B" w:rsidP="00F73D5B">
      <w:pPr>
        <w:pStyle w:val="Headingb"/>
        <w:rPr>
          <w:rFonts w:eastAsia="SimSun"/>
          <w:lang w:val="es-ES_tradnl" w:eastAsia="zh-CN"/>
        </w:rPr>
      </w:pPr>
      <w:bookmarkStart w:id="1537" w:name="_Toc307922642"/>
      <w:bookmarkStart w:id="1538" w:name="_Toc307991991"/>
      <w:bookmarkStart w:id="1539" w:name="_Toc307994024"/>
      <w:bookmarkStart w:id="1540" w:name="_Toc307996430"/>
      <w:bookmarkStart w:id="1541" w:name="_Toc499563068"/>
      <w:r w:rsidRPr="008B7A21">
        <w:rPr>
          <w:rFonts w:eastAsia="SimSun"/>
          <w:lang w:val="es-ES_tradnl" w:eastAsia="zh-CN"/>
        </w:rPr>
        <w:t>c)</w:t>
      </w:r>
      <w:r w:rsidRPr="008B7A21">
        <w:rPr>
          <w:rFonts w:eastAsia="SimSun"/>
          <w:lang w:val="es-ES_tradnl" w:eastAsia="zh-CN"/>
        </w:rPr>
        <w:tab/>
        <w:t>Recurso territorial utilizado</w:t>
      </w:r>
      <w:bookmarkEnd w:id="1537"/>
      <w:bookmarkEnd w:id="1538"/>
      <w:bookmarkEnd w:id="1539"/>
      <w:bookmarkEnd w:id="1540"/>
      <w:bookmarkEnd w:id="1541"/>
    </w:p>
    <w:p w14:paraId="69A96464" w14:textId="7B17B6DE" w:rsidR="00F73D5B" w:rsidRPr="008B7A21" w:rsidRDefault="00F73D5B" w:rsidP="00F73D5B">
      <w:pPr>
        <w:rPr>
          <w:lang w:val="es-ES_tradnl"/>
        </w:rPr>
      </w:pPr>
      <w:r w:rsidRPr="008B7A21">
        <w:rPr>
          <w:lang w:val="es-ES_tradnl"/>
        </w:rPr>
        <w:t xml:space="preserve">Introduciendo </w:t>
      </w:r>
      <w:r w:rsidRPr="008B7A21">
        <w:rPr>
          <w:i/>
          <w:iCs/>
          <w:lang w:val="es-ES_tradnl"/>
        </w:rPr>
        <w:t>R</w:t>
      </w:r>
      <w:r w:rsidRPr="008B7A21">
        <w:rPr>
          <w:i/>
          <w:iCs/>
          <w:vertAlign w:val="subscript"/>
          <w:lang w:val="es-ES_tradnl"/>
        </w:rPr>
        <w:t>g</w:t>
      </w:r>
      <w:r w:rsidRPr="008B7A21">
        <w:rPr>
          <w:lang w:val="es-ES_tradnl"/>
        </w:rPr>
        <w:t> </w:t>
      </w:r>
      <w:r w:rsidR="00386EEF">
        <w:rPr>
          <w:lang w:val="es-ES_tradnl"/>
        </w:rPr>
        <w:t>=</w:t>
      </w:r>
      <w:r w:rsidRPr="008B7A21">
        <w:rPr>
          <w:lang w:val="es-ES_tradnl"/>
        </w:rPr>
        <w:t> 429 km en la ecuación (31) se obtiene:</w:t>
      </w:r>
    </w:p>
    <w:p w14:paraId="227D30D7" w14:textId="673ADE30" w:rsidR="00F73D5B" w:rsidRPr="008B7A21" w:rsidRDefault="00F73D5B" w:rsidP="00F73D5B">
      <w:pPr>
        <w:pStyle w:val="Equation"/>
        <w:rPr>
          <w:lang w:val="es-ES_tradnl"/>
        </w:rPr>
      </w:pPr>
      <w:r w:rsidRPr="008B7A21">
        <w:rPr>
          <w:i/>
          <w:iCs/>
          <w:lang w:val="es-ES_tradnl"/>
        </w:rPr>
        <w:tab/>
      </w:r>
      <w:r w:rsidRPr="008B7A21">
        <w:rPr>
          <w:i/>
          <w:iCs/>
          <w:lang w:val="es-ES_tradnl"/>
        </w:rPr>
        <w:tab/>
        <w:t>s</w:t>
      </w:r>
      <w:r w:rsidRPr="008B7A21">
        <w:rPr>
          <w:lang w:val="es-ES_tradnl"/>
        </w:rPr>
        <w:t xml:space="preserve"> </w:t>
      </w:r>
      <w:r w:rsidR="00386EEF">
        <w:rPr>
          <w:lang w:val="es-ES_tradnl"/>
        </w:rPr>
        <w:t>=</w:t>
      </w:r>
      <w:r w:rsidRPr="008B7A21">
        <w:rPr>
          <w:lang w:val="es-ES_tradnl"/>
        </w:rPr>
        <w:t xml:space="preserve"> </w:t>
      </w:r>
      <w:r w:rsidRPr="008B7A21">
        <w:rPr>
          <w:rFonts w:asciiTheme="majorBidi" w:hAnsiTheme="majorBidi" w:cstheme="majorBidi"/>
          <w:lang w:val="es-ES_tradnl"/>
        </w:rPr>
        <w:sym w:font="Symbol" w:char="F070"/>
      </w:r>
      <w:r w:rsidRPr="008B7A21">
        <w:rPr>
          <w:lang w:val="es-ES_tradnl"/>
        </w:rPr>
        <w:t xml:space="preserve"> </w:t>
      </w:r>
      <w:r w:rsidR="00386EEF" w:rsidRPr="00386EEF">
        <w:sym w:font="Symbol" w:char="F0D7"/>
      </w:r>
      <w:r w:rsidRPr="008B7A21">
        <w:rPr>
          <w:lang w:val="es-ES_tradnl"/>
        </w:rPr>
        <w:t xml:space="preserve"> 429</w:t>
      </w:r>
      <w:r w:rsidRPr="008B7A21">
        <w:rPr>
          <w:vertAlign w:val="superscript"/>
          <w:lang w:val="es-ES_tradnl"/>
        </w:rPr>
        <w:t>2</w:t>
      </w:r>
      <w:r w:rsidRPr="008B7A21">
        <w:rPr>
          <w:lang w:val="es-ES_tradnl"/>
        </w:rPr>
        <w:t xml:space="preserve"> </w:t>
      </w:r>
      <w:r w:rsidR="00386EEF">
        <w:rPr>
          <w:lang w:val="es-ES_tradnl"/>
        </w:rPr>
        <w:t>=</w:t>
      </w:r>
      <w:r w:rsidRPr="008B7A21">
        <w:rPr>
          <w:lang w:val="es-ES_tradnl"/>
        </w:rPr>
        <w:t xml:space="preserve"> 578 182 </w:t>
      </w:r>
      <w:r w:rsidRPr="008B7A21">
        <w:rPr>
          <w:bCs/>
          <w:lang w:val="es-ES_tradnl"/>
        </w:rPr>
        <w:t>km</w:t>
      </w:r>
      <w:r w:rsidRPr="008B7A21">
        <w:rPr>
          <w:bCs/>
          <w:vertAlign w:val="superscript"/>
          <w:lang w:val="es-ES_tradnl"/>
        </w:rPr>
        <w:t>2</w:t>
      </w:r>
    </w:p>
    <w:p w14:paraId="37C759C9" w14:textId="562FB7CF" w:rsidR="00F73D5B" w:rsidRPr="008B7A21" w:rsidRDefault="00F73D5B" w:rsidP="00F73D5B">
      <w:pPr>
        <w:rPr>
          <w:lang w:val="es-ES_tradnl"/>
        </w:rPr>
      </w:pPr>
      <w:r w:rsidRPr="008B7A21">
        <w:rPr>
          <w:lang w:val="es-ES_tradnl"/>
        </w:rPr>
        <w:t xml:space="preserve">y, teniendo en cuenta que </w:t>
      </w:r>
      <w:r w:rsidRPr="008B7A21">
        <w:rPr>
          <w:i/>
          <w:iCs/>
          <w:lang w:val="es-ES_tradnl"/>
        </w:rPr>
        <w:t>b</w:t>
      </w:r>
      <w:r w:rsidRPr="008B7A21">
        <w:rPr>
          <w:i/>
          <w:iCs/>
          <w:vertAlign w:val="subscript"/>
          <w:lang w:val="es-ES_tradnl"/>
        </w:rPr>
        <w:t>j</w:t>
      </w:r>
      <w:r w:rsidRPr="008B7A21">
        <w:rPr>
          <w:lang w:val="es-ES_tradnl"/>
        </w:rPr>
        <w:t> </w:t>
      </w:r>
      <w:r w:rsidR="00386EEF">
        <w:rPr>
          <w:lang w:val="es-ES_tradnl"/>
        </w:rPr>
        <w:t>=</w:t>
      </w:r>
      <w:r w:rsidRPr="008B7A21">
        <w:rPr>
          <w:lang w:val="es-ES_tradnl"/>
        </w:rPr>
        <w:t> 0,8, a partir de la ecuación (22) se obtiene:</w:t>
      </w:r>
    </w:p>
    <w:p w14:paraId="75CC37E7" w14:textId="700F4268" w:rsidR="00F73D5B" w:rsidRPr="008B7A21" w:rsidRDefault="00F73D5B" w:rsidP="00F73D5B">
      <w:pPr>
        <w:pStyle w:val="Equation"/>
        <w:rPr>
          <w:lang w:val="es-ES_tradnl"/>
        </w:rPr>
      </w:pPr>
      <w:r w:rsidRPr="008B7A21">
        <w:rPr>
          <w:lang w:val="es-ES_tradnl"/>
        </w:rPr>
        <w:tab/>
      </w:r>
      <w:r w:rsidRPr="008B7A21">
        <w:rPr>
          <w:i/>
          <w:iCs/>
          <w:lang w:val="es-ES_tradnl"/>
        </w:rPr>
        <w:tab/>
        <w:t>S</w:t>
      </w:r>
      <w:r w:rsidRPr="008B7A21">
        <w:rPr>
          <w:lang w:val="es-ES_tradnl"/>
        </w:rPr>
        <w:t xml:space="preserve"> </w:t>
      </w:r>
      <w:r w:rsidR="00386EEF">
        <w:rPr>
          <w:lang w:val="es-ES_tradnl"/>
        </w:rPr>
        <w:t>=</w:t>
      </w:r>
      <w:r w:rsidRPr="008B7A21">
        <w:rPr>
          <w:lang w:val="es-ES_tradnl"/>
        </w:rPr>
        <w:t xml:space="preserve"> 0,8 </w:t>
      </w:r>
      <w:r w:rsidR="00386EEF">
        <w:rPr>
          <w:lang w:val="es-ES_tradnl"/>
        </w:rPr>
        <w:t>×</w:t>
      </w:r>
      <w:r w:rsidRPr="008B7A21">
        <w:rPr>
          <w:lang w:val="es-ES_tradnl"/>
        </w:rPr>
        <w:t xml:space="preserve"> </w:t>
      </w:r>
      <w:r w:rsidRPr="008B7A21">
        <w:rPr>
          <w:color w:val="000000"/>
          <w:lang w:val="es-ES_tradnl"/>
        </w:rPr>
        <w:t xml:space="preserve">578 182 </w:t>
      </w:r>
      <w:r w:rsidR="00386EEF">
        <w:rPr>
          <w:color w:val="000000"/>
          <w:lang w:val="es-ES_tradnl"/>
        </w:rPr>
        <w:t>=</w:t>
      </w:r>
      <w:r w:rsidRPr="008B7A21">
        <w:rPr>
          <w:color w:val="000000"/>
          <w:lang w:val="es-ES_tradnl"/>
        </w:rPr>
        <w:t xml:space="preserve"> 462 546 </w:t>
      </w:r>
      <w:r w:rsidRPr="008B7A21">
        <w:rPr>
          <w:bCs/>
          <w:lang w:val="es-ES_tradnl"/>
        </w:rPr>
        <w:t>km</w:t>
      </w:r>
      <w:r w:rsidRPr="008B7A21">
        <w:rPr>
          <w:bCs/>
          <w:vertAlign w:val="superscript"/>
          <w:lang w:val="es-ES_tradnl"/>
        </w:rPr>
        <w:t>2</w:t>
      </w:r>
    </w:p>
    <w:p w14:paraId="3689887D" w14:textId="77777777" w:rsidR="00F73D5B" w:rsidRPr="008B7A21" w:rsidRDefault="00F73D5B" w:rsidP="00F73D5B">
      <w:pPr>
        <w:pStyle w:val="Headingb"/>
        <w:rPr>
          <w:lang w:val="es-ES_tradnl"/>
        </w:rPr>
      </w:pPr>
      <w:bookmarkStart w:id="1542" w:name="_Toc307922643"/>
      <w:bookmarkStart w:id="1543" w:name="_Toc307991992"/>
      <w:bookmarkStart w:id="1544" w:name="_Toc307994025"/>
      <w:bookmarkStart w:id="1545" w:name="_Toc307996431"/>
      <w:bookmarkStart w:id="1546" w:name="_Toc499563069"/>
      <w:r w:rsidRPr="008B7A21">
        <w:rPr>
          <w:lang w:val="es-ES_tradnl"/>
        </w:rPr>
        <w:t>d)</w:t>
      </w:r>
      <w:r w:rsidRPr="008B7A21">
        <w:rPr>
          <w:lang w:val="es-ES_tradnl"/>
        </w:rPr>
        <w:tab/>
        <w:t>Espectro utilizado</w:t>
      </w:r>
      <w:bookmarkEnd w:id="1542"/>
      <w:bookmarkEnd w:id="1543"/>
      <w:bookmarkEnd w:id="1544"/>
      <w:bookmarkEnd w:id="1545"/>
      <w:bookmarkEnd w:id="1546"/>
    </w:p>
    <w:p w14:paraId="5545E8B8" w14:textId="22525541" w:rsidR="00F73D5B" w:rsidRPr="008B7A21" w:rsidRDefault="00F73D5B" w:rsidP="00F73D5B">
      <w:pPr>
        <w:rPr>
          <w:lang w:val="es-ES_tradnl"/>
        </w:rPr>
      </w:pPr>
      <w:r w:rsidRPr="008B7A21">
        <w:rPr>
          <w:lang w:val="es-ES_tradnl"/>
        </w:rPr>
        <w:t>Introduciendo los valores calculados en b) y c) anteriores en la ecuación (20), utilizando los valores de los coeficientes de ponderación indicados en el Cuadro 3 y teniendo en cuenta que no se comparten las frecuencias (</w:t>
      </w:r>
      <w:r w:rsidR="00386EEF">
        <w:rPr>
          <w:lang w:val="es-ES_tradnl"/>
        </w:rPr>
        <w:t>β</w:t>
      </w:r>
      <w:r w:rsidRPr="008B7A21">
        <w:rPr>
          <w:lang w:val="es-ES_tradnl"/>
        </w:rPr>
        <w:t> </w:t>
      </w:r>
      <w:r w:rsidR="00386EEF">
        <w:rPr>
          <w:lang w:val="es-ES_tradnl"/>
        </w:rPr>
        <w:t>=</w:t>
      </w:r>
      <w:r w:rsidRPr="008B7A21">
        <w:rPr>
          <w:lang w:val="es-ES_tradnl"/>
        </w:rPr>
        <w:t> 1), se obtiene:</w:t>
      </w:r>
    </w:p>
    <w:p w14:paraId="75FDB55B" w14:textId="0602778A" w:rsidR="00F73D5B" w:rsidRPr="008B7A21" w:rsidRDefault="00F73D5B" w:rsidP="00F73D5B">
      <w:pPr>
        <w:pStyle w:val="Equation"/>
        <w:rPr>
          <w:lang w:val="es-ES_tradnl"/>
        </w:rPr>
      </w:pPr>
      <w:r w:rsidRPr="008B7A21">
        <w:rPr>
          <w:i/>
          <w:lang w:val="es-ES_tradnl"/>
        </w:rPr>
        <w:tab/>
      </w:r>
      <w:r w:rsidRPr="008B7A21">
        <w:rPr>
          <w:i/>
          <w:lang w:val="es-ES_tradnl"/>
        </w:rPr>
        <w:tab/>
        <w:t>W</w:t>
      </w:r>
      <w:r w:rsidRPr="008B7A21">
        <w:rPr>
          <w:lang w:val="es-ES_tradnl"/>
        </w:rPr>
        <w:t xml:space="preserve"> </w:t>
      </w:r>
      <w:r w:rsidR="00386EEF">
        <w:rPr>
          <w:lang w:val="es-ES_tradnl"/>
        </w:rPr>
        <w:t>=</w:t>
      </w:r>
      <w:r w:rsidRPr="008B7A21">
        <w:rPr>
          <w:lang w:val="es-ES_tradnl"/>
        </w:rPr>
        <w:t xml:space="preserve"> 0,1 </w:t>
      </w:r>
      <w:r w:rsidR="00386EEF">
        <w:rPr>
          <w:lang w:val="es-ES_tradnl"/>
        </w:rPr>
        <w:t>×</w:t>
      </w:r>
      <w:r w:rsidRPr="008B7A21">
        <w:rPr>
          <w:lang w:val="es-ES_tradnl"/>
        </w:rPr>
        <w:t> 0,2 </w:t>
      </w:r>
      <w:r w:rsidR="00386EEF">
        <w:rPr>
          <w:lang w:val="es-ES_tradnl"/>
        </w:rPr>
        <w:t>×</w:t>
      </w:r>
      <w:r w:rsidRPr="008B7A21">
        <w:rPr>
          <w:lang w:val="es-ES_tradnl"/>
        </w:rPr>
        <w:t> 0,1 </w:t>
      </w:r>
      <w:r w:rsidR="00386EEF">
        <w:rPr>
          <w:lang w:val="es-ES_tradnl"/>
        </w:rPr>
        <w:t>×</w:t>
      </w:r>
      <w:r w:rsidRPr="008B7A21">
        <w:rPr>
          <w:lang w:val="es-ES_tradnl"/>
        </w:rPr>
        <w:t> 0,8 </w:t>
      </w:r>
      <w:r w:rsidR="00386EEF">
        <w:rPr>
          <w:lang w:val="es-ES_tradnl"/>
        </w:rPr>
        <w:t>×</w:t>
      </w:r>
      <w:r w:rsidRPr="008B7A21">
        <w:rPr>
          <w:lang w:val="es-ES_tradnl"/>
        </w:rPr>
        <w:t> 1 </w:t>
      </w:r>
      <w:r w:rsidR="00386EEF">
        <w:rPr>
          <w:lang w:val="es-ES_tradnl"/>
        </w:rPr>
        <w:t>×</w:t>
      </w:r>
      <w:r w:rsidRPr="008B7A21">
        <w:rPr>
          <w:lang w:val="es-ES_tradnl"/>
        </w:rPr>
        <w:t> 0,006 </w:t>
      </w:r>
      <w:r w:rsidR="00386EEF">
        <w:rPr>
          <w:lang w:val="es-ES_tradnl"/>
        </w:rPr>
        <w:t>×</w:t>
      </w:r>
      <w:r w:rsidRPr="008B7A21">
        <w:rPr>
          <w:lang w:val="es-ES_tradnl"/>
        </w:rPr>
        <w:t> 462</w:t>
      </w:r>
      <w:r w:rsidRPr="008B7A21">
        <w:rPr>
          <w:color w:val="000000"/>
          <w:lang w:val="es-ES_tradnl"/>
        </w:rPr>
        <w:t> </w:t>
      </w:r>
      <w:r w:rsidRPr="008B7A21">
        <w:rPr>
          <w:lang w:val="es-ES_tradnl"/>
        </w:rPr>
        <w:t>546 </w:t>
      </w:r>
      <w:r w:rsidR="00386EEF">
        <w:rPr>
          <w:lang w:val="es-ES_tradnl"/>
        </w:rPr>
        <w:t>×</w:t>
      </w:r>
      <w:r w:rsidRPr="008B7A21">
        <w:rPr>
          <w:lang w:val="es-ES_tradnl"/>
        </w:rPr>
        <w:t> 1 </w:t>
      </w:r>
      <w:r w:rsidR="00386EEF">
        <w:rPr>
          <w:lang w:val="es-ES_tradnl"/>
        </w:rPr>
        <w:t>=</w:t>
      </w:r>
      <w:r w:rsidRPr="008B7A21">
        <w:rPr>
          <w:lang w:val="es-ES_tradnl"/>
        </w:rPr>
        <w:t xml:space="preserve"> 4,4       MHz </w:t>
      </w:r>
      <w:r w:rsidRPr="008B7A21">
        <w:rPr>
          <w:lang w:val="es-ES_tradnl"/>
        </w:rPr>
        <w:sym w:font="Symbol" w:char="F0D7"/>
      </w:r>
      <w:r w:rsidRPr="008B7A21">
        <w:rPr>
          <w:lang w:val="es-ES_tradnl"/>
        </w:rPr>
        <w:t xml:space="preserve"> km</w:t>
      </w:r>
      <w:r w:rsidRPr="008B7A21">
        <w:rPr>
          <w:vertAlign w:val="superscript"/>
          <w:lang w:val="es-ES_tradnl"/>
        </w:rPr>
        <w:t>2</w:t>
      </w:r>
      <w:r w:rsidRPr="008B7A21">
        <w:rPr>
          <w:sz w:val="20"/>
          <w:lang w:val="es-ES_tradnl"/>
        </w:rPr>
        <w:t xml:space="preserve"> </w:t>
      </w:r>
      <w:r w:rsidRPr="008B7A21">
        <w:rPr>
          <w:lang w:val="es-ES_tradnl"/>
        </w:rPr>
        <w:sym w:font="Symbol" w:char="F0D7"/>
      </w:r>
      <w:r w:rsidRPr="008B7A21">
        <w:rPr>
          <w:lang w:val="es-ES_tradnl"/>
        </w:rPr>
        <w:t xml:space="preserve"> 1 año</w:t>
      </w:r>
    </w:p>
    <w:p w14:paraId="21234E16" w14:textId="77777777" w:rsidR="00F73D5B" w:rsidRPr="008B7A21" w:rsidRDefault="00F73D5B" w:rsidP="00F73D5B">
      <w:pPr>
        <w:pStyle w:val="Heading4"/>
        <w:rPr>
          <w:rFonts w:eastAsia="SimSun"/>
          <w:lang w:val="es-ES_tradnl" w:eastAsia="zh-CN"/>
        </w:rPr>
      </w:pPr>
      <w:r w:rsidRPr="008B7A21">
        <w:rPr>
          <w:rFonts w:eastAsia="SimSun"/>
          <w:lang w:val="es-ES_tradnl" w:eastAsia="zh-CN"/>
        </w:rPr>
        <w:t>4.7.7.2</w:t>
      </w:r>
      <w:r w:rsidRPr="008B7A21">
        <w:rPr>
          <w:rFonts w:eastAsia="SimSun"/>
          <w:lang w:val="es-ES_tradnl" w:eastAsia="zh-CN"/>
        </w:rPr>
        <w:tab/>
        <w:t>Radares primarios</w:t>
      </w:r>
    </w:p>
    <w:p w14:paraId="6277565E" w14:textId="77777777" w:rsidR="00F73D5B" w:rsidRPr="008B7A21" w:rsidRDefault="00F73D5B" w:rsidP="00F73D5B">
      <w:pPr>
        <w:pStyle w:val="Headingb"/>
        <w:rPr>
          <w:lang w:val="es-ES_tradnl"/>
        </w:rPr>
      </w:pPr>
      <w:bookmarkStart w:id="1547" w:name="_Toc307922644"/>
      <w:bookmarkStart w:id="1548" w:name="_Toc307991993"/>
      <w:bookmarkStart w:id="1549" w:name="_Toc307994026"/>
      <w:bookmarkStart w:id="1550" w:name="_Toc307996432"/>
      <w:bookmarkStart w:id="1551" w:name="_Toc499563070"/>
      <w:r w:rsidRPr="008B7A21">
        <w:rPr>
          <w:lang w:val="es-ES_tradnl"/>
        </w:rPr>
        <w:t>a)</w:t>
      </w:r>
      <w:r w:rsidRPr="008B7A21">
        <w:rPr>
          <w:lang w:val="es-ES_tradnl"/>
        </w:rPr>
        <w:tab/>
        <w:t>Parámetros de partida</w:t>
      </w:r>
      <w:bookmarkEnd w:id="1547"/>
      <w:bookmarkEnd w:id="1548"/>
      <w:bookmarkEnd w:id="1549"/>
      <w:bookmarkEnd w:id="1550"/>
      <w:bookmarkEnd w:id="1551"/>
    </w:p>
    <w:p w14:paraId="17392CB7" w14:textId="2C484F09" w:rsidR="00F73D5B" w:rsidRPr="008B7A21" w:rsidRDefault="00F73D5B" w:rsidP="00F73D5B">
      <w:pPr>
        <w:rPr>
          <w:b/>
          <w:bCs/>
          <w:lang w:val="es-ES_tradnl"/>
        </w:rPr>
      </w:pPr>
      <w:r w:rsidRPr="008B7A21">
        <w:rPr>
          <w:lang w:val="es-ES_tradnl"/>
        </w:rPr>
        <w:t>Vamos a calcular el espectro utilizado por un radar primario aeronáutico que funciona las 24 horas del día con una antena giratoria circular a 15 m de altura y dedicado a la localización de aeronaves que vuelan a una altitud de 10</w:t>
      </w:r>
      <w:r w:rsidRPr="008B7A21">
        <w:rPr>
          <w:color w:val="000000"/>
          <w:lang w:val="es-ES_tradnl"/>
        </w:rPr>
        <w:t> </w:t>
      </w:r>
      <w:r w:rsidRPr="008B7A21">
        <w:rPr>
          <w:lang w:val="es-ES_tradnl"/>
        </w:rPr>
        <w:t xml:space="preserve">000 m o superior. Esto implica que se obtiene un valor de </w:t>
      </w:r>
      <w:r w:rsidRPr="008B7A21">
        <w:rPr>
          <w:i/>
          <w:iCs/>
          <w:color w:val="000000"/>
          <w:lang w:val="es-ES_tradnl"/>
        </w:rPr>
        <w:t>R</w:t>
      </w:r>
      <w:r w:rsidRPr="008B7A21">
        <w:rPr>
          <w:i/>
          <w:iCs/>
          <w:vertAlign w:val="subscript"/>
          <w:lang w:val="es-ES_tradnl"/>
        </w:rPr>
        <w:t>g</w:t>
      </w:r>
      <w:r w:rsidRPr="008B7A21">
        <w:rPr>
          <w:lang w:val="es-ES_tradnl"/>
        </w:rPr>
        <w:t> </w:t>
      </w:r>
      <w:r w:rsidR="00386EEF">
        <w:rPr>
          <w:color w:val="000000"/>
          <w:lang w:val="es-ES_tradnl"/>
        </w:rPr>
        <w:t>=</w:t>
      </w:r>
      <w:r w:rsidRPr="008B7A21">
        <w:rPr>
          <w:color w:val="000000"/>
          <w:lang w:val="es-ES_tradnl"/>
        </w:rPr>
        <w:t> 429 km.</w:t>
      </w:r>
      <w:r w:rsidRPr="008B7A21">
        <w:rPr>
          <w:lang w:val="es-ES_tradnl"/>
        </w:rPr>
        <w:t xml:space="preserve"> La zona ocupada más amplia es una zona rural clasificada en el Cuadro 2 con un valor de 0,5. El radar utiliza impulsos radioeléctricos conformados con una duración de semiamplitud de 1 </w:t>
      </w:r>
      <w:r w:rsidR="00386EEF" w:rsidRPr="00386EEF">
        <w:sym w:font="Symbol" w:char="F06D"/>
      </w:r>
      <w:r w:rsidRPr="008B7A21">
        <w:rPr>
          <w:lang w:val="es-ES_tradnl"/>
        </w:rPr>
        <w:t>s.</w:t>
      </w:r>
    </w:p>
    <w:p w14:paraId="077536C9" w14:textId="77777777" w:rsidR="00F73D5B" w:rsidRPr="008B7A21" w:rsidRDefault="00F73D5B" w:rsidP="00F73D5B">
      <w:pPr>
        <w:pStyle w:val="Headingb"/>
        <w:rPr>
          <w:lang w:val="es-ES_tradnl"/>
        </w:rPr>
      </w:pPr>
      <w:bookmarkStart w:id="1552" w:name="_Toc307922645"/>
      <w:bookmarkStart w:id="1553" w:name="_Toc307991994"/>
      <w:bookmarkStart w:id="1554" w:name="_Toc307994027"/>
      <w:bookmarkStart w:id="1555" w:name="_Toc307996433"/>
      <w:bookmarkStart w:id="1556" w:name="_Toc499563071"/>
      <w:r w:rsidRPr="008B7A21">
        <w:rPr>
          <w:lang w:val="es-ES_tradnl"/>
        </w:rPr>
        <w:t>b)</w:t>
      </w:r>
      <w:r w:rsidRPr="008B7A21">
        <w:rPr>
          <w:lang w:val="es-ES_tradnl"/>
        </w:rPr>
        <w:tab/>
        <w:t>Recursos de tiempo y frecuencia utilizados</w:t>
      </w:r>
      <w:bookmarkEnd w:id="1552"/>
      <w:bookmarkEnd w:id="1553"/>
      <w:bookmarkEnd w:id="1554"/>
      <w:bookmarkEnd w:id="1555"/>
      <w:bookmarkEnd w:id="1556"/>
    </w:p>
    <w:p w14:paraId="36C36961" w14:textId="77777777" w:rsidR="00F73D5B" w:rsidRPr="008B7A21" w:rsidRDefault="00F73D5B" w:rsidP="00F73D5B">
      <w:pPr>
        <w:keepNext/>
        <w:keepLines/>
        <w:rPr>
          <w:lang w:val="es-ES_tradnl"/>
        </w:rPr>
      </w:pPr>
      <w:r w:rsidRPr="008B7A21">
        <w:rPr>
          <w:lang w:val="es-ES_tradnl"/>
        </w:rPr>
        <w:t>De conformidad con la ecuación (21), el recurso de tiempo utilizado es:</w:t>
      </w:r>
    </w:p>
    <w:p w14:paraId="01AE7619" w14:textId="7EF2BF33" w:rsidR="00F73D5B" w:rsidRPr="008B7A21" w:rsidRDefault="00F73D5B" w:rsidP="00F73D5B">
      <w:pPr>
        <w:pStyle w:val="Equation"/>
        <w:rPr>
          <w:lang w:val="es-ES_tradnl"/>
        </w:rPr>
      </w:pPr>
      <w:r w:rsidRPr="008B7A21">
        <w:rPr>
          <w:i/>
          <w:lang w:val="es-ES_tradnl"/>
        </w:rPr>
        <w:tab/>
      </w:r>
      <w:r w:rsidRPr="008B7A21">
        <w:rPr>
          <w:i/>
          <w:lang w:val="es-ES_tradnl"/>
        </w:rPr>
        <w:tab/>
        <w:t>T</w:t>
      </w:r>
      <w:r w:rsidRPr="008B7A21">
        <w:rPr>
          <w:lang w:val="es-ES_tradnl"/>
        </w:rPr>
        <w:t xml:space="preserve"> </w:t>
      </w:r>
      <w:r w:rsidR="00386EEF">
        <w:rPr>
          <w:lang w:val="es-ES_tradnl"/>
        </w:rPr>
        <w:t>=</w:t>
      </w:r>
      <w:r w:rsidRPr="008B7A21">
        <w:rPr>
          <w:lang w:val="es-ES_tradnl"/>
        </w:rPr>
        <w:t xml:space="preserve"> 24/24 (cada día) </w:t>
      </w:r>
      <w:r w:rsidR="00386EEF">
        <w:rPr>
          <w:lang w:val="es-ES_tradnl"/>
        </w:rPr>
        <w:t>=</w:t>
      </w:r>
      <w:r w:rsidRPr="008B7A21">
        <w:rPr>
          <w:lang w:val="es-ES_tradnl"/>
        </w:rPr>
        <w:t xml:space="preserve"> 1 año</w:t>
      </w:r>
    </w:p>
    <w:p w14:paraId="1CF557FA" w14:textId="7F79B044" w:rsidR="00F73D5B" w:rsidRPr="008B7A21" w:rsidRDefault="00F73D5B" w:rsidP="00F73D5B">
      <w:pPr>
        <w:rPr>
          <w:lang w:val="es-ES_tradnl"/>
        </w:rPr>
      </w:pPr>
      <w:r w:rsidRPr="008B7A21">
        <w:rPr>
          <w:lang w:val="es-ES_tradnl"/>
        </w:rPr>
        <w:t>Según la Recomendación UIT</w:t>
      </w:r>
      <w:r w:rsidRPr="008B7A21">
        <w:rPr>
          <w:lang w:val="es-ES_tradnl"/>
        </w:rPr>
        <w:noBreakHyphen/>
        <w:t xml:space="preserve">R SM.1138-2 «Modulación por impulsos», punto 1 «Radar», radar primario (clase de emisión P0N), la anchura de banda necesaria correspondiente es de 3 MHz. Por lo tanto, el recurso de frecuencia utilizado, introduciendo en la ecuación (24) un valor de </w:t>
      </w:r>
      <w:r w:rsidR="00386EEF" w:rsidRPr="00386EEF">
        <w:sym w:font="Symbol" w:char="F063"/>
      </w:r>
      <w:r w:rsidRPr="008B7A21">
        <w:rPr>
          <w:lang w:val="es-ES_tradnl"/>
        </w:rPr>
        <w:t> = 0,1, es:</w:t>
      </w:r>
    </w:p>
    <w:p w14:paraId="0B3CE2D3" w14:textId="77777777" w:rsidR="00F73D5B" w:rsidRPr="008B7A21" w:rsidRDefault="00F73D5B" w:rsidP="00F73D5B">
      <w:pPr>
        <w:pStyle w:val="Blanc"/>
        <w:rPr>
          <w:lang w:val="es-ES_tradnl"/>
        </w:rPr>
      </w:pPr>
    </w:p>
    <w:p w14:paraId="39D66A55" w14:textId="0228E6B6" w:rsidR="00F73D5B" w:rsidRPr="008B7A21" w:rsidRDefault="00F73D5B" w:rsidP="00F73D5B">
      <w:pPr>
        <w:pStyle w:val="Equation"/>
        <w:rPr>
          <w:lang w:val="es-ES_tradnl"/>
        </w:rPr>
      </w:pPr>
      <w:r w:rsidRPr="008B7A21">
        <w:rPr>
          <w:i/>
          <w:lang w:val="es-ES_tradnl"/>
        </w:rPr>
        <w:tab/>
      </w:r>
      <w:r w:rsidRPr="008B7A21">
        <w:rPr>
          <w:i/>
          <w:lang w:val="es-ES_tradnl"/>
        </w:rPr>
        <w:tab/>
        <w:t>F</w:t>
      </w:r>
      <w:r w:rsidRPr="008B7A21">
        <w:rPr>
          <w:lang w:val="es-ES_tradnl"/>
        </w:rPr>
        <w:t xml:space="preserve"> </w:t>
      </w:r>
      <w:r w:rsidR="00386EEF">
        <w:rPr>
          <w:lang w:val="es-ES_tradnl"/>
        </w:rPr>
        <w:t>=</w:t>
      </w:r>
      <w:r w:rsidRPr="008B7A21">
        <w:rPr>
          <w:lang w:val="es-ES_tradnl"/>
        </w:rPr>
        <w:t xml:space="preserve"> 0,1 </w:t>
      </w:r>
      <w:r w:rsidR="00386EEF">
        <w:rPr>
          <w:lang w:val="es-ES_tradnl"/>
        </w:rPr>
        <w:t>×</w:t>
      </w:r>
      <w:r w:rsidRPr="008B7A21">
        <w:rPr>
          <w:lang w:val="es-ES_tradnl"/>
        </w:rPr>
        <w:t xml:space="preserve"> 3 </w:t>
      </w:r>
      <w:r w:rsidR="00386EEF">
        <w:rPr>
          <w:lang w:val="es-ES_tradnl"/>
        </w:rPr>
        <w:t>=</w:t>
      </w:r>
      <w:r w:rsidRPr="008B7A21">
        <w:rPr>
          <w:lang w:val="es-ES_tradnl"/>
        </w:rPr>
        <w:t xml:space="preserve"> 0,3 MHz</w:t>
      </w:r>
    </w:p>
    <w:p w14:paraId="71BA02C3" w14:textId="77777777" w:rsidR="00F73D5B" w:rsidRPr="008B7A21" w:rsidRDefault="00F73D5B" w:rsidP="00F73D5B">
      <w:pPr>
        <w:pStyle w:val="Blanc"/>
        <w:rPr>
          <w:lang w:val="es-ES_tradnl"/>
        </w:rPr>
      </w:pPr>
      <w:bookmarkStart w:id="1557" w:name="_Toc307922646"/>
      <w:bookmarkStart w:id="1558" w:name="_Toc307991995"/>
      <w:bookmarkStart w:id="1559" w:name="_Toc307994028"/>
      <w:bookmarkStart w:id="1560" w:name="_Toc307996434"/>
    </w:p>
    <w:p w14:paraId="0808E269" w14:textId="77777777" w:rsidR="00F73D5B" w:rsidRPr="008B7A21" w:rsidRDefault="00F73D5B" w:rsidP="00F73D5B">
      <w:pPr>
        <w:pStyle w:val="Headingb"/>
        <w:rPr>
          <w:lang w:val="es-ES_tradnl"/>
        </w:rPr>
      </w:pPr>
      <w:bookmarkStart w:id="1561" w:name="_Toc499563072"/>
      <w:r w:rsidRPr="008B7A21">
        <w:rPr>
          <w:lang w:val="es-ES_tradnl"/>
        </w:rPr>
        <w:t>c)</w:t>
      </w:r>
      <w:r w:rsidRPr="008B7A21">
        <w:rPr>
          <w:lang w:val="es-ES_tradnl"/>
        </w:rPr>
        <w:tab/>
        <w:t>Recurso territorial utilizado</w:t>
      </w:r>
      <w:bookmarkEnd w:id="1557"/>
      <w:bookmarkEnd w:id="1558"/>
      <w:bookmarkEnd w:id="1559"/>
      <w:bookmarkEnd w:id="1560"/>
      <w:bookmarkEnd w:id="1561"/>
    </w:p>
    <w:p w14:paraId="57E29B74" w14:textId="7781D839" w:rsidR="00F73D5B" w:rsidRPr="008B7A21" w:rsidRDefault="00F73D5B" w:rsidP="00F73D5B">
      <w:pPr>
        <w:rPr>
          <w:lang w:val="es-ES_tradnl"/>
        </w:rPr>
      </w:pPr>
      <w:r w:rsidRPr="008B7A21">
        <w:rPr>
          <w:lang w:val="es-ES_tradnl"/>
        </w:rPr>
        <w:t xml:space="preserve">Introduciendo </w:t>
      </w:r>
      <w:r w:rsidRPr="008B7A21">
        <w:rPr>
          <w:i/>
          <w:iCs/>
          <w:lang w:val="es-ES_tradnl"/>
        </w:rPr>
        <w:t>R</w:t>
      </w:r>
      <w:r w:rsidRPr="008B7A21">
        <w:rPr>
          <w:i/>
          <w:iCs/>
          <w:vertAlign w:val="subscript"/>
          <w:lang w:val="es-ES_tradnl"/>
        </w:rPr>
        <w:t>g</w:t>
      </w:r>
      <w:r w:rsidRPr="008B7A21">
        <w:rPr>
          <w:lang w:val="es-ES_tradnl"/>
        </w:rPr>
        <w:t> </w:t>
      </w:r>
      <w:r w:rsidR="00386EEF">
        <w:rPr>
          <w:lang w:val="es-ES_tradnl"/>
        </w:rPr>
        <w:t>=</w:t>
      </w:r>
      <w:r w:rsidRPr="008B7A21">
        <w:rPr>
          <w:lang w:val="es-ES_tradnl"/>
        </w:rPr>
        <w:t> 429 km en la ecuación (31) se obtiene:</w:t>
      </w:r>
    </w:p>
    <w:p w14:paraId="2B728BA8" w14:textId="77777777" w:rsidR="00F73D5B" w:rsidRPr="008B7A21" w:rsidRDefault="00F73D5B" w:rsidP="00F73D5B">
      <w:pPr>
        <w:pStyle w:val="Blanc"/>
        <w:rPr>
          <w:lang w:val="es-ES_tradnl"/>
        </w:rPr>
      </w:pPr>
    </w:p>
    <w:p w14:paraId="64646FB1" w14:textId="7ED1F391" w:rsidR="00F73D5B" w:rsidRPr="008B7A21" w:rsidRDefault="00F73D5B" w:rsidP="00F73D5B">
      <w:pPr>
        <w:pStyle w:val="Equation"/>
        <w:rPr>
          <w:lang w:val="es-ES_tradnl"/>
        </w:rPr>
      </w:pPr>
      <w:r w:rsidRPr="008B7A21">
        <w:rPr>
          <w:i/>
          <w:iCs/>
          <w:lang w:val="es-ES_tradnl"/>
        </w:rPr>
        <w:tab/>
      </w:r>
      <w:r w:rsidRPr="008B7A21">
        <w:rPr>
          <w:i/>
          <w:iCs/>
          <w:lang w:val="es-ES_tradnl"/>
        </w:rPr>
        <w:tab/>
        <w:t>s</w:t>
      </w:r>
      <w:r w:rsidRPr="008B7A21">
        <w:rPr>
          <w:lang w:val="es-ES_tradnl"/>
        </w:rPr>
        <w:t xml:space="preserve"> </w:t>
      </w:r>
      <w:r w:rsidR="00386EEF">
        <w:rPr>
          <w:lang w:val="es-ES_tradnl"/>
        </w:rPr>
        <w:t>=</w:t>
      </w:r>
      <w:r w:rsidRPr="008B7A21">
        <w:rPr>
          <w:lang w:val="es-ES_tradnl"/>
        </w:rPr>
        <w:t xml:space="preserve"> </w:t>
      </w:r>
      <w:r w:rsidRPr="008B7A21">
        <w:rPr>
          <w:lang w:val="es-ES_tradnl"/>
        </w:rPr>
        <w:sym w:font="Symbol" w:char="F070"/>
      </w:r>
      <w:r w:rsidRPr="008B7A21">
        <w:rPr>
          <w:lang w:val="es-ES_tradnl"/>
        </w:rPr>
        <w:t xml:space="preserve"> </w:t>
      </w:r>
      <w:r w:rsidR="00386EEF" w:rsidRPr="00386EEF">
        <w:sym w:font="Symbol" w:char="F0D7"/>
      </w:r>
      <w:r w:rsidRPr="008B7A21">
        <w:rPr>
          <w:lang w:val="es-ES_tradnl"/>
        </w:rPr>
        <w:t xml:space="preserve"> 429</w:t>
      </w:r>
      <w:r w:rsidRPr="008B7A21">
        <w:rPr>
          <w:vertAlign w:val="superscript"/>
          <w:lang w:val="es-ES_tradnl"/>
        </w:rPr>
        <w:t>2</w:t>
      </w:r>
      <w:r w:rsidRPr="008B7A21">
        <w:rPr>
          <w:lang w:val="es-ES_tradnl"/>
        </w:rPr>
        <w:t xml:space="preserve"> </w:t>
      </w:r>
      <w:r w:rsidR="00386EEF">
        <w:rPr>
          <w:lang w:val="es-ES_tradnl"/>
        </w:rPr>
        <w:t>=</w:t>
      </w:r>
      <w:r w:rsidRPr="008B7A21">
        <w:rPr>
          <w:lang w:val="es-ES_tradnl"/>
        </w:rPr>
        <w:t xml:space="preserve"> 578</w:t>
      </w:r>
      <w:r w:rsidRPr="008B7A21">
        <w:rPr>
          <w:color w:val="000000"/>
          <w:lang w:val="es-ES_tradnl"/>
        </w:rPr>
        <w:t> </w:t>
      </w:r>
      <w:r w:rsidRPr="008B7A21">
        <w:rPr>
          <w:lang w:val="es-ES_tradnl"/>
        </w:rPr>
        <w:t xml:space="preserve">182 </w:t>
      </w:r>
      <w:r w:rsidRPr="008B7A21">
        <w:rPr>
          <w:bCs/>
          <w:lang w:val="es-ES_tradnl"/>
        </w:rPr>
        <w:t>km</w:t>
      </w:r>
      <w:r w:rsidRPr="008B7A21">
        <w:rPr>
          <w:bCs/>
          <w:vertAlign w:val="superscript"/>
          <w:lang w:val="es-ES_tradnl"/>
        </w:rPr>
        <w:t>2</w:t>
      </w:r>
    </w:p>
    <w:p w14:paraId="7C1DB3F6" w14:textId="7BCF2CBD" w:rsidR="00F73D5B" w:rsidRPr="008B7A21" w:rsidRDefault="00F73D5B" w:rsidP="00F73D5B">
      <w:pPr>
        <w:rPr>
          <w:lang w:val="es-ES_tradnl"/>
        </w:rPr>
      </w:pPr>
      <w:r w:rsidRPr="008B7A21">
        <w:rPr>
          <w:lang w:val="es-ES_tradnl"/>
        </w:rPr>
        <w:t xml:space="preserve">y, teniendo en cuenta que </w:t>
      </w:r>
      <w:r w:rsidRPr="008B7A21">
        <w:rPr>
          <w:i/>
          <w:iCs/>
          <w:lang w:val="es-ES_tradnl"/>
        </w:rPr>
        <w:t>b</w:t>
      </w:r>
      <w:r w:rsidRPr="008B7A21">
        <w:rPr>
          <w:i/>
          <w:iCs/>
          <w:vertAlign w:val="subscript"/>
          <w:lang w:val="es-ES_tradnl"/>
        </w:rPr>
        <w:t>j</w:t>
      </w:r>
      <w:r w:rsidRPr="008B7A21">
        <w:rPr>
          <w:lang w:val="es-ES_tradnl"/>
        </w:rPr>
        <w:t> </w:t>
      </w:r>
      <w:r w:rsidR="00386EEF">
        <w:rPr>
          <w:lang w:val="es-ES_tradnl"/>
        </w:rPr>
        <w:t>=</w:t>
      </w:r>
      <w:r w:rsidRPr="008B7A21">
        <w:rPr>
          <w:lang w:val="es-ES_tradnl"/>
        </w:rPr>
        <w:t> 0,5, de la ecuación (22) se deduce que:</w:t>
      </w:r>
    </w:p>
    <w:p w14:paraId="1A8DDC54" w14:textId="77777777" w:rsidR="00F73D5B" w:rsidRPr="008B7A21" w:rsidRDefault="00F73D5B" w:rsidP="00F73D5B">
      <w:pPr>
        <w:pStyle w:val="Blanc"/>
        <w:rPr>
          <w:lang w:val="es-ES_tradnl"/>
        </w:rPr>
      </w:pPr>
    </w:p>
    <w:p w14:paraId="4F4A5503" w14:textId="51DF1F4E" w:rsidR="00F73D5B" w:rsidRPr="008B7A21" w:rsidRDefault="00F73D5B" w:rsidP="00F73D5B">
      <w:pPr>
        <w:pStyle w:val="Equation"/>
        <w:rPr>
          <w:lang w:val="es-ES_tradnl"/>
        </w:rPr>
      </w:pPr>
      <w:r w:rsidRPr="008B7A21">
        <w:rPr>
          <w:i/>
          <w:iCs/>
          <w:lang w:val="es-ES_tradnl"/>
        </w:rPr>
        <w:tab/>
      </w:r>
      <w:r w:rsidRPr="008B7A21">
        <w:rPr>
          <w:i/>
          <w:iCs/>
          <w:lang w:val="es-ES_tradnl"/>
        </w:rPr>
        <w:tab/>
        <w:t>S</w:t>
      </w:r>
      <w:r w:rsidRPr="008B7A21">
        <w:rPr>
          <w:lang w:val="es-ES_tradnl"/>
        </w:rPr>
        <w:t xml:space="preserve"> </w:t>
      </w:r>
      <w:r w:rsidR="00386EEF">
        <w:rPr>
          <w:lang w:val="es-ES_tradnl"/>
        </w:rPr>
        <w:t>=</w:t>
      </w:r>
      <w:r w:rsidRPr="008B7A21">
        <w:rPr>
          <w:lang w:val="es-ES_tradnl"/>
        </w:rPr>
        <w:t xml:space="preserve"> 0,5 </w:t>
      </w:r>
      <w:r w:rsidR="00386EEF">
        <w:rPr>
          <w:lang w:val="es-ES_tradnl"/>
        </w:rPr>
        <w:t>×</w:t>
      </w:r>
      <w:r w:rsidRPr="008B7A21">
        <w:rPr>
          <w:lang w:val="es-ES_tradnl"/>
        </w:rPr>
        <w:t> </w:t>
      </w:r>
      <w:r w:rsidRPr="008B7A21">
        <w:rPr>
          <w:color w:val="000000"/>
          <w:lang w:val="es-ES_tradnl"/>
        </w:rPr>
        <w:t xml:space="preserve">578 182 </w:t>
      </w:r>
      <w:r w:rsidR="00386EEF">
        <w:rPr>
          <w:color w:val="000000"/>
          <w:lang w:val="es-ES_tradnl"/>
        </w:rPr>
        <w:t>=</w:t>
      </w:r>
      <w:r w:rsidRPr="008B7A21">
        <w:rPr>
          <w:color w:val="000000"/>
          <w:lang w:val="es-ES_tradnl"/>
        </w:rPr>
        <w:t xml:space="preserve"> 289 091 </w:t>
      </w:r>
      <w:r w:rsidRPr="008B7A21">
        <w:rPr>
          <w:bCs/>
          <w:lang w:val="es-ES_tradnl"/>
        </w:rPr>
        <w:t>km</w:t>
      </w:r>
      <w:r w:rsidRPr="008B7A21">
        <w:rPr>
          <w:vertAlign w:val="superscript"/>
          <w:lang w:val="es-ES_tradnl"/>
        </w:rPr>
        <w:t>2</w:t>
      </w:r>
    </w:p>
    <w:p w14:paraId="71AC2D67" w14:textId="77777777" w:rsidR="00F73D5B" w:rsidRPr="008B7A21" w:rsidRDefault="00F73D5B" w:rsidP="00F73D5B">
      <w:pPr>
        <w:pStyle w:val="Blanc"/>
        <w:rPr>
          <w:lang w:val="es-ES_tradnl"/>
        </w:rPr>
      </w:pPr>
    </w:p>
    <w:p w14:paraId="7556B609" w14:textId="77777777" w:rsidR="00F73D5B" w:rsidRPr="008B7A21" w:rsidRDefault="00F73D5B" w:rsidP="00F73D5B">
      <w:pPr>
        <w:pStyle w:val="Headingb"/>
        <w:rPr>
          <w:lang w:val="es-ES_tradnl"/>
        </w:rPr>
      </w:pPr>
      <w:bookmarkStart w:id="1562" w:name="_Toc307922647"/>
      <w:bookmarkStart w:id="1563" w:name="_Toc307991996"/>
      <w:bookmarkStart w:id="1564" w:name="_Toc307994029"/>
      <w:bookmarkStart w:id="1565" w:name="_Toc307996435"/>
      <w:bookmarkStart w:id="1566" w:name="_Toc499563073"/>
      <w:r w:rsidRPr="008B7A21">
        <w:rPr>
          <w:lang w:val="es-ES_tradnl"/>
        </w:rPr>
        <w:t>d)</w:t>
      </w:r>
      <w:r w:rsidRPr="008B7A21">
        <w:rPr>
          <w:lang w:val="es-ES_tradnl"/>
        </w:rPr>
        <w:tab/>
        <w:t>Espectro utilizado</w:t>
      </w:r>
      <w:bookmarkEnd w:id="1562"/>
      <w:bookmarkEnd w:id="1563"/>
      <w:bookmarkEnd w:id="1564"/>
      <w:bookmarkEnd w:id="1565"/>
      <w:bookmarkEnd w:id="1566"/>
    </w:p>
    <w:p w14:paraId="1A926D95" w14:textId="70F27E08" w:rsidR="00F73D5B" w:rsidRPr="008B7A21" w:rsidRDefault="00F73D5B" w:rsidP="00F73D5B">
      <w:pPr>
        <w:rPr>
          <w:lang w:val="es-ES_tradnl"/>
        </w:rPr>
      </w:pPr>
      <w:r w:rsidRPr="008B7A21">
        <w:rPr>
          <w:lang w:val="es-ES_tradnl"/>
        </w:rPr>
        <w:t>Sustituyendo los valores calculados en b) y c) anteriores en la ecuación (20), utilizando los valores de los coeficientes de ponderación indicados en el Cuadro 3 (§ 5.4) y teniendo en cuenta que no se comparten las frecuencias (</w:t>
      </w:r>
      <w:r w:rsidRPr="008B7A21">
        <w:rPr>
          <w:lang w:val="es-ES_tradnl"/>
        </w:rPr>
        <w:sym w:font="Symbol" w:char="F062"/>
      </w:r>
      <w:r w:rsidRPr="008B7A21">
        <w:rPr>
          <w:lang w:val="es-ES_tradnl"/>
        </w:rPr>
        <w:t> </w:t>
      </w:r>
      <w:r w:rsidR="00386EEF">
        <w:rPr>
          <w:lang w:val="es-ES_tradnl"/>
        </w:rPr>
        <w:t>=</w:t>
      </w:r>
      <w:r w:rsidRPr="008B7A21">
        <w:rPr>
          <w:lang w:val="es-ES_tradnl"/>
        </w:rPr>
        <w:t> 1) se obtiene:</w:t>
      </w:r>
    </w:p>
    <w:p w14:paraId="7E82BFC5" w14:textId="77777777" w:rsidR="00F73D5B" w:rsidRPr="008B7A21" w:rsidRDefault="00F73D5B" w:rsidP="00F73D5B">
      <w:pPr>
        <w:pStyle w:val="Blanc"/>
        <w:rPr>
          <w:lang w:val="es-ES_tradnl"/>
        </w:rPr>
      </w:pPr>
    </w:p>
    <w:p w14:paraId="7903F62D" w14:textId="43B85EDA" w:rsidR="00F73D5B" w:rsidRPr="008B7A21" w:rsidRDefault="00F73D5B" w:rsidP="00F73D5B">
      <w:pPr>
        <w:pStyle w:val="Equation"/>
        <w:rPr>
          <w:lang w:val="es-ES_tradnl"/>
        </w:rPr>
      </w:pPr>
      <w:r w:rsidRPr="008B7A21">
        <w:rPr>
          <w:i/>
          <w:lang w:val="es-ES_tradnl"/>
        </w:rPr>
        <w:tab/>
        <w:t>W</w:t>
      </w:r>
      <w:r w:rsidRPr="008B7A21">
        <w:rPr>
          <w:lang w:val="es-ES_tradnl"/>
        </w:rPr>
        <w:t xml:space="preserve"> </w:t>
      </w:r>
      <w:r w:rsidR="00386EEF">
        <w:rPr>
          <w:lang w:val="es-ES_tradnl"/>
        </w:rPr>
        <w:t>=</w:t>
      </w:r>
      <w:r w:rsidRPr="008B7A21">
        <w:rPr>
          <w:lang w:val="es-ES_tradnl"/>
        </w:rPr>
        <w:t xml:space="preserve"> 0,1 </w:t>
      </w:r>
      <w:r w:rsidR="00386EEF">
        <w:rPr>
          <w:lang w:val="es-ES_tradnl"/>
        </w:rPr>
        <w:t>×</w:t>
      </w:r>
      <w:r w:rsidRPr="008B7A21">
        <w:rPr>
          <w:lang w:val="es-ES_tradnl"/>
        </w:rPr>
        <w:t> 0,02 </w:t>
      </w:r>
      <w:r w:rsidR="00386EEF">
        <w:rPr>
          <w:lang w:val="es-ES_tradnl"/>
        </w:rPr>
        <w:t>×</w:t>
      </w:r>
      <w:r w:rsidRPr="008B7A21">
        <w:rPr>
          <w:lang w:val="es-ES_tradnl"/>
        </w:rPr>
        <w:t> 0,1 </w:t>
      </w:r>
      <w:r w:rsidR="00386EEF">
        <w:rPr>
          <w:lang w:val="es-ES_tradnl"/>
        </w:rPr>
        <w:t>×</w:t>
      </w:r>
      <w:r w:rsidRPr="008B7A21">
        <w:rPr>
          <w:lang w:val="es-ES_tradnl"/>
        </w:rPr>
        <w:t> 0,2 </w:t>
      </w:r>
      <w:r w:rsidR="00386EEF">
        <w:rPr>
          <w:lang w:val="es-ES_tradnl"/>
        </w:rPr>
        <w:t>×</w:t>
      </w:r>
      <w:r w:rsidRPr="008B7A21">
        <w:rPr>
          <w:lang w:val="es-ES_tradnl"/>
        </w:rPr>
        <w:t> 1 </w:t>
      </w:r>
      <w:r w:rsidR="00386EEF">
        <w:rPr>
          <w:lang w:val="es-ES_tradnl"/>
        </w:rPr>
        <w:t>×</w:t>
      </w:r>
      <w:r w:rsidRPr="008B7A21">
        <w:rPr>
          <w:lang w:val="es-ES_tradnl"/>
        </w:rPr>
        <w:t> 0,3 </w:t>
      </w:r>
      <w:r w:rsidR="00386EEF">
        <w:rPr>
          <w:lang w:val="es-ES_tradnl"/>
        </w:rPr>
        <w:t>×</w:t>
      </w:r>
      <w:r w:rsidRPr="008B7A21">
        <w:rPr>
          <w:lang w:val="es-ES_tradnl"/>
        </w:rPr>
        <w:t> 289</w:t>
      </w:r>
      <w:r w:rsidRPr="008B7A21">
        <w:rPr>
          <w:color w:val="000000"/>
          <w:lang w:val="es-ES_tradnl"/>
        </w:rPr>
        <w:t> </w:t>
      </w:r>
      <w:r w:rsidRPr="008B7A21">
        <w:rPr>
          <w:lang w:val="es-ES_tradnl"/>
        </w:rPr>
        <w:t>091 </w:t>
      </w:r>
      <w:r w:rsidR="00386EEF">
        <w:rPr>
          <w:lang w:val="es-ES_tradnl"/>
        </w:rPr>
        <w:t>×</w:t>
      </w:r>
      <w:r w:rsidRPr="008B7A21">
        <w:rPr>
          <w:lang w:val="es-ES_tradnl"/>
        </w:rPr>
        <w:t> 1 </w:t>
      </w:r>
      <w:r w:rsidR="00386EEF">
        <w:rPr>
          <w:lang w:val="es-ES_tradnl"/>
        </w:rPr>
        <w:t>=</w:t>
      </w:r>
      <w:r w:rsidRPr="008B7A21">
        <w:rPr>
          <w:lang w:val="es-ES_tradnl"/>
        </w:rPr>
        <w:t xml:space="preserve"> 3,5                MHz </w:t>
      </w:r>
      <w:r w:rsidRPr="008B7A21">
        <w:rPr>
          <w:lang w:val="es-ES_tradnl"/>
        </w:rPr>
        <w:sym w:font="Symbol" w:char="F0D7"/>
      </w:r>
      <w:r w:rsidRPr="008B7A21">
        <w:rPr>
          <w:lang w:val="es-ES_tradnl"/>
        </w:rPr>
        <w:t xml:space="preserve"> km</w:t>
      </w:r>
      <w:r w:rsidRPr="008B7A21">
        <w:rPr>
          <w:vertAlign w:val="superscript"/>
          <w:lang w:val="es-ES_tradnl"/>
        </w:rPr>
        <w:t>2</w:t>
      </w:r>
      <w:r w:rsidRPr="008B7A21">
        <w:rPr>
          <w:szCs w:val="24"/>
          <w:lang w:val="es-ES_tradnl"/>
        </w:rPr>
        <w:t xml:space="preserve"> </w:t>
      </w:r>
      <w:r w:rsidRPr="008B7A21">
        <w:rPr>
          <w:lang w:val="es-ES_tradnl"/>
        </w:rPr>
        <w:sym w:font="Symbol" w:char="F0D7"/>
      </w:r>
      <w:r w:rsidRPr="008B7A21">
        <w:rPr>
          <w:lang w:val="es-ES_tradnl"/>
        </w:rPr>
        <w:t xml:space="preserve"> 1 año</w:t>
      </w:r>
    </w:p>
    <w:p w14:paraId="2808283E" w14:textId="77777777" w:rsidR="00F73D5B" w:rsidRPr="008B7A21" w:rsidRDefault="00F73D5B" w:rsidP="00F73D5B">
      <w:pPr>
        <w:pStyle w:val="Blanc"/>
        <w:rPr>
          <w:lang w:val="es-ES_tradnl"/>
        </w:rPr>
      </w:pPr>
    </w:p>
    <w:p w14:paraId="5BFC8ACB" w14:textId="77777777" w:rsidR="00F73D5B" w:rsidRPr="008B7A21" w:rsidRDefault="00F73D5B" w:rsidP="00F73D5B">
      <w:pPr>
        <w:pStyle w:val="Heading4"/>
        <w:rPr>
          <w:lang w:val="es-ES_tradnl"/>
        </w:rPr>
      </w:pPr>
      <w:r w:rsidRPr="008B7A21">
        <w:rPr>
          <w:lang w:val="es-ES_tradnl"/>
        </w:rPr>
        <w:t>4.7.7.3</w:t>
      </w:r>
      <w:r w:rsidRPr="008B7A21">
        <w:rPr>
          <w:lang w:val="es-ES_tradnl"/>
        </w:rPr>
        <w:tab/>
        <w:t>Servicios de radiocomunicaciones fijos</w:t>
      </w:r>
    </w:p>
    <w:p w14:paraId="02657766" w14:textId="77777777" w:rsidR="00F73D5B" w:rsidRPr="008B7A21" w:rsidRDefault="00F73D5B" w:rsidP="00F73D5B">
      <w:pPr>
        <w:pStyle w:val="Headingb"/>
        <w:rPr>
          <w:lang w:val="es-ES_tradnl"/>
        </w:rPr>
      </w:pPr>
      <w:bookmarkStart w:id="1567" w:name="_Toc307922648"/>
      <w:bookmarkStart w:id="1568" w:name="_Toc307991997"/>
      <w:bookmarkStart w:id="1569" w:name="_Toc307994030"/>
      <w:bookmarkStart w:id="1570" w:name="_Toc307996436"/>
      <w:bookmarkStart w:id="1571" w:name="_Toc499563074"/>
      <w:r w:rsidRPr="008B7A21">
        <w:rPr>
          <w:lang w:val="es-ES_tradnl"/>
        </w:rPr>
        <w:t>a)</w:t>
      </w:r>
      <w:r w:rsidRPr="008B7A21">
        <w:rPr>
          <w:lang w:val="es-ES_tradnl"/>
        </w:rPr>
        <w:tab/>
        <w:t>Procedimientos de cálculo</w:t>
      </w:r>
      <w:bookmarkEnd w:id="1567"/>
      <w:bookmarkEnd w:id="1568"/>
      <w:bookmarkEnd w:id="1569"/>
      <w:bookmarkEnd w:id="1570"/>
      <w:bookmarkEnd w:id="1571"/>
    </w:p>
    <w:p w14:paraId="09A23BE1" w14:textId="77777777" w:rsidR="00F73D5B" w:rsidRPr="008B7A21" w:rsidRDefault="00F73D5B" w:rsidP="00F73D5B">
      <w:pPr>
        <w:rPr>
          <w:lang w:val="es-ES_tradnl"/>
        </w:rPr>
      </w:pPr>
      <w:r w:rsidRPr="008B7A21">
        <w:rPr>
          <w:lang w:val="es-ES_tradnl"/>
        </w:rPr>
        <w:t>Todas las radiocomunicaciones fijas, los radioenlaces en ondas decamétricas y los radioenlaces en ondas decimétricas/centimétricas utilizan actualmente antenas directivas y muy directivas. Teniendo esto en cuenta, para calcular la zona ocupada por una emisión puede utilizarse el concepto de «sector de servicio», presentado en la Recomendación UIT</w:t>
      </w:r>
      <w:r w:rsidRPr="008B7A21">
        <w:rPr>
          <w:lang w:val="es-ES_tradnl"/>
        </w:rPr>
        <w:noBreakHyphen/>
        <w:t>R F.162-3. Esta Recomendación indica que para los enlaces fijos en ondas decamétricas el sector de servicio es casi el doble de la apertura angular del haz principal medido en puntos de potencia mitad (</w:t>
      </w:r>
      <w:r w:rsidRPr="008B7A21">
        <w:rPr>
          <w:lang w:val="es-ES_tradnl"/>
        </w:rPr>
        <w:sym w:font="Symbol" w:char="F02D"/>
      </w:r>
      <w:r w:rsidRPr="008B7A21">
        <w:rPr>
          <w:lang w:val="es-ES_tradnl"/>
        </w:rPr>
        <w:t xml:space="preserve">3 dB). Teniendo en cuenta el mismo fundamento físico, a efectos del modelo de cálculo de canon de licencias, este concepto se acepta para radioenlaces en ondas decimétricas/centimétricas y para el resto de </w:t>
      </w:r>
      <w:proofErr w:type="gramStart"/>
      <w:r w:rsidRPr="008B7A21">
        <w:rPr>
          <w:lang w:val="es-ES_tradnl"/>
        </w:rPr>
        <w:t>aplicaciones</w:t>
      </w:r>
      <w:proofErr w:type="gramEnd"/>
      <w:r w:rsidRPr="008B7A21">
        <w:rPr>
          <w:lang w:val="es-ES_tradnl"/>
        </w:rPr>
        <w:t xml:space="preserve"> radioeléctricas cuando se utilizan antenas directivas.</w:t>
      </w:r>
    </w:p>
    <w:p w14:paraId="2FDFE695" w14:textId="77777777" w:rsidR="00F73D5B" w:rsidRPr="008B7A21" w:rsidRDefault="00F73D5B" w:rsidP="00F73D5B">
      <w:pPr>
        <w:rPr>
          <w:lang w:val="es-ES_tradnl"/>
        </w:rPr>
      </w:pPr>
      <w:r w:rsidRPr="008B7A21">
        <w:rPr>
          <w:lang w:val="es-ES_tradnl"/>
        </w:rPr>
        <w:t>Por consiguiente, si se conoce la anchura de haz de la antena pertinente (a partir de la base de datos nacional de asignación de frecuencias o, a petición especial, a partir de los datos proporcionados por el operador o el usuario) puede determinarse la zona ocupada de la emisión correspondiente de la forma siguiente:</w:t>
      </w:r>
    </w:p>
    <w:p w14:paraId="3B9DA34F" w14:textId="77777777" w:rsidR="00F73D5B" w:rsidRPr="008B7A21" w:rsidRDefault="00F73D5B" w:rsidP="00F73D5B">
      <w:pPr>
        <w:pStyle w:val="Blanc"/>
        <w:rPr>
          <w:lang w:val="es-ES_tradnl"/>
        </w:rPr>
      </w:pPr>
    </w:p>
    <w:p w14:paraId="298ED957" w14:textId="77777777" w:rsidR="00F73D5B" w:rsidRPr="008B7A21" w:rsidRDefault="00F73D5B" w:rsidP="00F73D5B">
      <w:pPr>
        <w:pStyle w:val="Equation"/>
        <w:rPr>
          <w:lang w:val="es-ES_tradnl"/>
        </w:rPr>
      </w:pPr>
      <w:r w:rsidRPr="008B7A21">
        <w:rPr>
          <w:lang w:val="es-ES_tradnl"/>
        </w:rPr>
        <w:tab/>
      </w:r>
      <w:r w:rsidRPr="008B7A21">
        <w:rPr>
          <w:i/>
          <w:lang w:val="es-ES_tradnl"/>
        </w:rPr>
        <w:tab/>
      </w:r>
      <w:r w:rsidRPr="008B7A21">
        <w:rPr>
          <w:position w:val="-24"/>
          <w:lang w:val="es-ES_tradnl"/>
        </w:rPr>
        <w:object w:dxaOrig="2900" w:dyaOrig="620" w14:anchorId="386C7B3A">
          <v:shape id="_x0000_i1696" type="#_x0000_t75" style="width:2in;height:29.3pt" o:ole="" fillcolor="window">
            <v:imagedata r:id="rId95" o:title=""/>
          </v:shape>
          <o:OLEObject Type="Embed" ProgID="Equation.3" ShapeID="_x0000_i1696" DrawAspect="Content" ObjectID="_1826705905" r:id="rId96"/>
        </w:object>
      </w:r>
      <w:r w:rsidRPr="008B7A21">
        <w:rPr>
          <w:lang w:val="es-ES_tradnl"/>
        </w:rPr>
        <w:tab/>
        <w:t>(50)</w:t>
      </w:r>
    </w:p>
    <w:p w14:paraId="6834B346" w14:textId="77777777" w:rsidR="00F73D5B" w:rsidRPr="008B7A21" w:rsidRDefault="00F73D5B" w:rsidP="00F73D5B">
      <w:pPr>
        <w:pStyle w:val="Blanc"/>
        <w:rPr>
          <w:lang w:val="es-ES_tradnl"/>
        </w:rPr>
      </w:pPr>
    </w:p>
    <w:p w14:paraId="48CE6802" w14:textId="77777777" w:rsidR="00F73D5B" w:rsidRPr="008B7A21" w:rsidRDefault="00F73D5B" w:rsidP="00F73D5B">
      <w:pPr>
        <w:keepNext/>
        <w:keepLines/>
        <w:rPr>
          <w:lang w:val="es-ES_tradnl"/>
        </w:rPr>
      </w:pPr>
      <w:r w:rsidRPr="008B7A21">
        <w:rPr>
          <w:lang w:val="es-ES_tradnl"/>
        </w:rPr>
        <w:t>donde:</w:t>
      </w:r>
    </w:p>
    <w:p w14:paraId="3178FDED" w14:textId="77777777" w:rsidR="00F73D5B" w:rsidRPr="008B7A21" w:rsidRDefault="00F73D5B" w:rsidP="00F73D5B">
      <w:pPr>
        <w:pStyle w:val="Equationlegend"/>
        <w:keepNext/>
        <w:keepLines/>
        <w:rPr>
          <w:lang w:val="es-ES_tradnl"/>
        </w:rPr>
      </w:pPr>
      <w:r w:rsidRPr="008B7A21">
        <w:rPr>
          <w:i/>
          <w:iCs/>
          <w:lang w:val="es-ES_tradnl"/>
        </w:rPr>
        <w:tab/>
        <w:t>S</w:t>
      </w:r>
      <w:r w:rsidRPr="008B7A21">
        <w:rPr>
          <w:i/>
          <w:iCs/>
          <w:vertAlign w:val="subscript"/>
          <w:lang w:val="es-ES_tradnl"/>
        </w:rPr>
        <w:t>o</w:t>
      </w:r>
      <w:r w:rsidRPr="008B7A21">
        <w:rPr>
          <w:lang w:val="es-ES_tradnl"/>
        </w:rPr>
        <w:t>:</w:t>
      </w:r>
      <w:r w:rsidRPr="008B7A21">
        <w:rPr>
          <w:lang w:val="es-ES_tradnl"/>
        </w:rPr>
        <w:tab/>
        <w:t>zona ocupada por una emisión (km</w:t>
      </w:r>
      <w:r w:rsidRPr="008B7A21">
        <w:rPr>
          <w:vertAlign w:val="superscript"/>
          <w:lang w:val="es-ES_tradnl"/>
        </w:rPr>
        <w:t>2</w:t>
      </w:r>
      <w:r w:rsidRPr="008B7A21">
        <w:rPr>
          <w:lang w:val="es-ES_tradnl"/>
        </w:rPr>
        <w:t>)</w:t>
      </w:r>
    </w:p>
    <w:p w14:paraId="09B247D7" w14:textId="77777777" w:rsidR="00F73D5B" w:rsidRPr="008B7A21" w:rsidRDefault="00F73D5B" w:rsidP="00F73D5B">
      <w:pPr>
        <w:pStyle w:val="Equationlegend"/>
        <w:rPr>
          <w:lang w:val="es-ES_tradnl"/>
        </w:rPr>
      </w:pPr>
      <w:r w:rsidRPr="008B7A21">
        <w:rPr>
          <w:lang w:val="es-ES_tradnl"/>
        </w:rPr>
        <w:tab/>
      </w:r>
      <w:r w:rsidRPr="008B7A21">
        <w:rPr>
          <w:lang w:val="es-ES_tradnl"/>
        </w:rPr>
        <w:sym w:font="Symbol" w:char="F071"/>
      </w:r>
      <w:r w:rsidRPr="008B7A21">
        <w:rPr>
          <w:lang w:val="es-ES_tradnl"/>
        </w:rPr>
        <w:t>:</w:t>
      </w:r>
      <w:r w:rsidRPr="008B7A21">
        <w:rPr>
          <w:lang w:val="es-ES_tradnl"/>
        </w:rPr>
        <w:tab/>
        <w:t>anchura de haz de la antena (grados)</w:t>
      </w:r>
    </w:p>
    <w:p w14:paraId="177AB54F" w14:textId="77777777" w:rsidR="00F73D5B" w:rsidRPr="008B7A21" w:rsidRDefault="00F73D5B" w:rsidP="00F73D5B">
      <w:pPr>
        <w:pStyle w:val="Equationlegend"/>
        <w:rPr>
          <w:lang w:val="es-ES_tradnl"/>
        </w:rPr>
      </w:pPr>
      <w:r w:rsidRPr="008B7A21">
        <w:rPr>
          <w:lang w:val="es-ES_tradnl"/>
        </w:rPr>
        <w:tab/>
      </w:r>
      <w:r w:rsidRPr="008B7A21">
        <w:rPr>
          <w:i/>
          <w:iCs/>
          <w:lang w:val="es-ES_tradnl"/>
        </w:rPr>
        <w:t>L</w:t>
      </w:r>
      <w:r w:rsidRPr="008B7A21">
        <w:rPr>
          <w:i/>
          <w:iCs/>
          <w:vertAlign w:val="subscript"/>
          <w:lang w:val="es-ES_tradnl"/>
        </w:rPr>
        <w:t>c</w:t>
      </w:r>
      <w:r w:rsidRPr="008B7A21">
        <w:rPr>
          <w:lang w:val="es-ES_tradnl"/>
        </w:rPr>
        <w:t>:</w:t>
      </w:r>
      <w:r w:rsidRPr="008B7A21">
        <w:rPr>
          <w:lang w:val="es-ES_tradnl"/>
        </w:rPr>
        <w:tab/>
        <w:t>longitud del radioenlace (km).</w:t>
      </w:r>
    </w:p>
    <w:p w14:paraId="598A6600" w14:textId="77777777" w:rsidR="00F73D5B" w:rsidRPr="008B7A21" w:rsidRDefault="00F73D5B" w:rsidP="00F73D5B">
      <w:pPr>
        <w:rPr>
          <w:lang w:val="es-ES_tradnl"/>
        </w:rPr>
      </w:pPr>
      <w:r w:rsidRPr="008B7A21">
        <w:rPr>
          <w:lang w:val="es-ES_tradnl"/>
        </w:rPr>
        <w:t xml:space="preserve">Los radioenlaces fijos, especialmente los de ondas decimétricas/centimétricas, normalmente han sido diseñados muy </w:t>
      </w:r>
      <w:proofErr w:type="gramStart"/>
      <w:r w:rsidRPr="008B7A21">
        <w:rPr>
          <w:lang w:val="es-ES_tradnl"/>
        </w:rPr>
        <w:t>cuidadosamente y generalmente</w:t>
      </w:r>
      <w:proofErr w:type="gramEnd"/>
      <w:r w:rsidRPr="008B7A21">
        <w:rPr>
          <w:lang w:val="es-ES_tradnl"/>
        </w:rPr>
        <w:t xml:space="preserve"> se han empleado métodos de planificación sofisticados y márgenes de desvanecimiento significativos. Teniendo esto en cuenta, y a fin de evitar cálculos complicados, a efectos del modelo indicado se propone considerar que la distancia exacta entre el transmisor correspondiente y el receptor es la longitud del radioenlace </w:t>
      </w:r>
      <w:r w:rsidRPr="008B7A21">
        <w:rPr>
          <w:i/>
          <w:iCs/>
          <w:lang w:val="es-ES_tradnl"/>
        </w:rPr>
        <w:t>L</w:t>
      </w:r>
      <w:r w:rsidRPr="008B7A21">
        <w:rPr>
          <w:i/>
          <w:iCs/>
          <w:vertAlign w:val="subscript"/>
          <w:lang w:val="es-ES_tradnl"/>
        </w:rPr>
        <w:t>c</w:t>
      </w:r>
      <w:r w:rsidRPr="008B7A21">
        <w:rPr>
          <w:lang w:val="es-ES_tradnl"/>
        </w:rPr>
        <w:t>. Para los enlaces en ondas decimétricas/centimétricas habrá un único vano entre dos estaciones de radioenlaces.</w:t>
      </w:r>
    </w:p>
    <w:p w14:paraId="2D77E0B9" w14:textId="77777777" w:rsidR="00F73D5B" w:rsidRPr="008B7A21" w:rsidRDefault="00F73D5B" w:rsidP="00F73D5B">
      <w:pPr>
        <w:rPr>
          <w:lang w:val="es-ES_tradnl"/>
        </w:rPr>
      </w:pPr>
      <w:r w:rsidRPr="008B7A21">
        <w:rPr>
          <w:lang w:val="es-ES_tradnl"/>
        </w:rPr>
        <w:t xml:space="preserve">Para determinar </w:t>
      </w:r>
      <w:r w:rsidRPr="008B7A21">
        <w:rPr>
          <w:i/>
          <w:lang w:val="es-ES_tradnl"/>
        </w:rPr>
        <w:t>S</w:t>
      </w:r>
      <w:r w:rsidRPr="008B7A21">
        <w:rPr>
          <w:i/>
          <w:vertAlign w:val="subscript"/>
          <w:lang w:val="es-ES_tradnl"/>
        </w:rPr>
        <w:t>o</w:t>
      </w:r>
      <w:r w:rsidRPr="008B7A21">
        <w:rPr>
          <w:lang w:val="es-ES_tradnl"/>
        </w:rPr>
        <w:t xml:space="preserve">, puede calcularse el recurso territorial correspondiente de conformidad con la ecuación (22). Las disposiciones relativas a la cobertura de varias zonas pertenecientes a diferentes categorías de cánones de licencia son las mismas, aunque aquí la influencia de este factor es considerablemente más pequeña, especialmente en el caso de los radioenlaces, debido a los valores notablemente más pequeños de las anchuras de haz. No obstante, si una administración desea aumentar la precisión de los cálculos, puede aplicar la siguiente fórmula en caso de que un sector del servicio cruce dos zonas en direcciones aproximadamente perpendiculares a una distancia, </w:t>
      </w:r>
      <w:r w:rsidRPr="008B7A21">
        <w:rPr>
          <w:i/>
          <w:iCs/>
          <w:lang w:val="es-ES_tradnl"/>
        </w:rPr>
        <w:t>L</w:t>
      </w:r>
      <w:r w:rsidRPr="008B7A21">
        <w:rPr>
          <w:i/>
          <w:iCs/>
          <w:vertAlign w:val="subscript"/>
          <w:lang w:val="es-ES_tradnl"/>
        </w:rPr>
        <w:t>b</w:t>
      </w:r>
      <w:r w:rsidRPr="008B7A21">
        <w:rPr>
          <w:sz w:val="20"/>
          <w:lang w:val="es-ES_tradnl"/>
        </w:rPr>
        <w:t>,</w:t>
      </w:r>
      <w:r w:rsidRPr="008B7A21">
        <w:rPr>
          <w:lang w:val="es-ES_tradnl"/>
        </w:rPr>
        <w:t xml:space="preserve"> del transmisor:</w:t>
      </w:r>
    </w:p>
    <w:p w14:paraId="6AF4E110" w14:textId="77777777" w:rsidR="00F73D5B" w:rsidRPr="008B7A21" w:rsidRDefault="00F73D5B" w:rsidP="00F73D5B">
      <w:pPr>
        <w:pStyle w:val="Blanc"/>
        <w:rPr>
          <w:lang w:val="es-ES_tradnl"/>
        </w:rPr>
      </w:pPr>
    </w:p>
    <w:p w14:paraId="4F6B0412" w14:textId="77777777" w:rsidR="00F73D5B" w:rsidRPr="008B7A21" w:rsidRDefault="00F73D5B" w:rsidP="00F73D5B">
      <w:pPr>
        <w:pStyle w:val="Equation"/>
        <w:rPr>
          <w:lang w:val="es-ES_tradnl"/>
        </w:rPr>
      </w:pPr>
      <w:r w:rsidRPr="008B7A21">
        <w:rPr>
          <w:position w:val="-24"/>
          <w:lang w:val="es-ES_tradnl"/>
        </w:rPr>
        <w:tab/>
      </w:r>
      <w:r w:rsidRPr="008B7A21">
        <w:rPr>
          <w:position w:val="-24"/>
          <w:lang w:val="es-ES_tradnl"/>
        </w:rPr>
        <w:tab/>
      </w:r>
      <w:r w:rsidRPr="008B7A21">
        <w:rPr>
          <w:position w:val="-24"/>
          <w:lang w:val="es-ES_tradnl"/>
        </w:rPr>
        <w:object w:dxaOrig="1520" w:dyaOrig="620" w14:anchorId="34C03E68">
          <v:shape id="_x0000_i1697" type="#_x0000_t75" style="width:78.7pt;height:29.3pt" o:ole="" fillcolor="window">
            <v:imagedata r:id="rId97" o:title=""/>
          </v:shape>
          <o:OLEObject Type="Embed" ProgID="Equation.3" ShapeID="_x0000_i1697" DrawAspect="Content" ObjectID="_1826705906" r:id="rId98"/>
        </w:object>
      </w:r>
    </w:p>
    <w:p w14:paraId="5787F7AF" w14:textId="77777777" w:rsidR="00F73D5B" w:rsidRPr="008B7A21" w:rsidRDefault="00F73D5B" w:rsidP="00F73D5B">
      <w:pPr>
        <w:pStyle w:val="Blanc"/>
        <w:rPr>
          <w:lang w:val="es-ES_tradnl"/>
        </w:rPr>
      </w:pPr>
    </w:p>
    <w:p w14:paraId="1635E9EA" w14:textId="77777777" w:rsidR="00F73D5B" w:rsidRPr="008B7A21" w:rsidRDefault="00F73D5B" w:rsidP="00F73D5B">
      <w:pPr>
        <w:pStyle w:val="Equation"/>
        <w:rPr>
          <w:lang w:val="es-ES_tradnl"/>
        </w:rPr>
      </w:pPr>
      <w:r w:rsidRPr="008B7A21">
        <w:rPr>
          <w:position w:val="-24"/>
          <w:lang w:val="es-ES_tradnl"/>
        </w:rPr>
        <w:tab/>
      </w:r>
      <w:r w:rsidRPr="008B7A21">
        <w:rPr>
          <w:position w:val="-24"/>
          <w:lang w:val="es-ES_tradnl"/>
        </w:rPr>
        <w:tab/>
      </w:r>
      <w:r w:rsidRPr="008B7A21">
        <w:rPr>
          <w:position w:val="-24"/>
          <w:lang w:val="es-ES_tradnl"/>
        </w:rPr>
        <w:object w:dxaOrig="2220" w:dyaOrig="620" w14:anchorId="4E26E98E">
          <v:shape id="_x0000_i1698" type="#_x0000_t75" style="width:114.7pt;height:29.3pt" o:ole="" fillcolor="window">
            <v:imagedata r:id="rId99" o:title=""/>
          </v:shape>
          <o:OLEObject Type="Embed" ProgID="Equation.3" ShapeID="_x0000_i1698" DrawAspect="Content" ObjectID="_1826705907" r:id="rId100"/>
        </w:object>
      </w:r>
    </w:p>
    <w:p w14:paraId="2D5B7AB8" w14:textId="77777777" w:rsidR="00F73D5B" w:rsidRPr="008B7A21" w:rsidRDefault="00F73D5B" w:rsidP="00F73D5B">
      <w:pPr>
        <w:pStyle w:val="Blanc"/>
        <w:rPr>
          <w:lang w:val="es-ES_tradnl"/>
        </w:rPr>
      </w:pPr>
    </w:p>
    <w:p w14:paraId="297FADFA" w14:textId="77777777" w:rsidR="00F73D5B" w:rsidRPr="008B7A21" w:rsidRDefault="00F73D5B" w:rsidP="00F73D5B">
      <w:pPr>
        <w:rPr>
          <w:lang w:val="es-ES_tradnl"/>
        </w:rPr>
      </w:pPr>
      <w:r w:rsidRPr="008B7A21">
        <w:rPr>
          <w:lang w:val="es-ES_tradnl"/>
        </w:rPr>
        <w:t xml:space="preserve">De conformidad con el concepto presentado en el § 4.7.1, para comunicaciones marítimas en ondas decamétricas, </w:t>
      </w:r>
      <w:r w:rsidRPr="008B7A21">
        <w:rPr>
          <w:i/>
          <w:iCs/>
          <w:lang w:val="es-ES_tradnl"/>
        </w:rPr>
        <w:t>L</w:t>
      </w:r>
      <w:r w:rsidRPr="008B7A21">
        <w:rPr>
          <w:i/>
          <w:iCs/>
          <w:vertAlign w:val="subscript"/>
          <w:lang w:val="es-ES_tradnl"/>
        </w:rPr>
        <w:t>c</w:t>
      </w:r>
      <w:r w:rsidRPr="008B7A21">
        <w:rPr>
          <w:sz w:val="20"/>
          <w:lang w:val="es-ES_tradnl"/>
        </w:rPr>
        <w:t>,</w:t>
      </w:r>
      <w:r w:rsidRPr="008B7A21">
        <w:rPr>
          <w:lang w:val="es-ES_tradnl"/>
        </w:rPr>
        <w:t xml:space="preserve"> se determina como la distancia entre el transmisor y la frontera del país en dirección de la transmisión.</w:t>
      </w:r>
    </w:p>
    <w:p w14:paraId="22420E16" w14:textId="77777777" w:rsidR="00F73D5B" w:rsidRPr="008B7A21" w:rsidRDefault="00F73D5B" w:rsidP="00F73D5B">
      <w:pPr>
        <w:rPr>
          <w:lang w:val="es-ES_tradnl"/>
        </w:rPr>
      </w:pPr>
      <w:r w:rsidRPr="008B7A21">
        <w:rPr>
          <w:lang w:val="es-ES_tradnl"/>
        </w:rPr>
        <w:t>Los recursos de frecuencia y tiempo y, por consiguiente, el espectro utilizado se calculan de forma similar a los casos antes indicados. Como los radioenlaces en ondas decimétricas/centimétricas multiestación pueden cursar distinto número de canales para diferentes saltos, debido a que la ramificación y las longitudes de los vanos son diferentes, el espectro se calcula separadamente para cada salto y a continuación se suman todos los valores.</w:t>
      </w:r>
    </w:p>
    <w:p w14:paraId="5B2339A8" w14:textId="77777777" w:rsidR="00F73D5B" w:rsidRPr="008B7A21" w:rsidRDefault="00F73D5B" w:rsidP="00F73D5B">
      <w:pPr>
        <w:pStyle w:val="Heading4"/>
        <w:rPr>
          <w:lang w:val="es-ES_tradnl"/>
        </w:rPr>
      </w:pPr>
      <w:r w:rsidRPr="008B7A21">
        <w:rPr>
          <w:lang w:val="es-ES_tradnl"/>
        </w:rPr>
        <w:t>4.7.7.4</w:t>
      </w:r>
      <w:r w:rsidRPr="008B7A21">
        <w:rPr>
          <w:lang w:val="es-ES_tradnl"/>
        </w:rPr>
        <w:tab/>
        <w:t>Ejemplo de cálculos</w:t>
      </w:r>
    </w:p>
    <w:p w14:paraId="7167CFCC" w14:textId="77777777" w:rsidR="00F73D5B" w:rsidRPr="008B7A21" w:rsidRDefault="00F73D5B" w:rsidP="00F73D5B">
      <w:pPr>
        <w:pStyle w:val="Headingb"/>
        <w:rPr>
          <w:lang w:val="es-ES_tradnl"/>
        </w:rPr>
      </w:pPr>
      <w:bookmarkStart w:id="1572" w:name="_Toc307922649"/>
      <w:bookmarkStart w:id="1573" w:name="_Toc307991998"/>
      <w:bookmarkStart w:id="1574" w:name="_Toc307994031"/>
      <w:bookmarkStart w:id="1575" w:name="_Toc307996437"/>
      <w:bookmarkStart w:id="1576" w:name="_Toc499563075"/>
      <w:r w:rsidRPr="008B7A21">
        <w:rPr>
          <w:lang w:val="es-ES_tradnl"/>
        </w:rPr>
        <w:t>a)</w:t>
      </w:r>
      <w:r w:rsidRPr="008B7A21">
        <w:rPr>
          <w:lang w:val="es-ES_tradnl"/>
        </w:rPr>
        <w:tab/>
        <w:t>Parámetros de partida</w:t>
      </w:r>
      <w:bookmarkEnd w:id="1572"/>
      <w:bookmarkEnd w:id="1573"/>
      <w:bookmarkEnd w:id="1574"/>
      <w:bookmarkEnd w:id="1575"/>
      <w:bookmarkEnd w:id="1576"/>
    </w:p>
    <w:p w14:paraId="369BC949" w14:textId="56EF4A8B" w:rsidR="00F73D5B" w:rsidRPr="008B7A21" w:rsidRDefault="00F73D5B" w:rsidP="00F73D5B">
      <w:pPr>
        <w:rPr>
          <w:lang w:val="es-ES_tradnl"/>
        </w:rPr>
      </w:pPr>
      <w:r w:rsidRPr="008B7A21">
        <w:rPr>
          <w:lang w:val="es-ES_tradnl"/>
        </w:rPr>
        <w:t>Vamos a calcular el espectro utilizado por un tramo de un radioenlace en ondas decimétricas/ centimétricas en la banda de frecuencias de 2 GHz. La longitud del tramo es de 45 km, las anchuras de haz de la antena de ambas estaciones son de 1,5</w:t>
      </w:r>
      <w:r w:rsidR="00386EEF" w:rsidRPr="00386EEF">
        <w:sym w:font="Symbol" w:char="F0B0"/>
      </w:r>
      <w:r w:rsidRPr="008B7A21">
        <w:rPr>
          <w:lang w:val="es-ES_tradnl"/>
        </w:rPr>
        <w:t xml:space="preserve"> cada una (lo que corresponde a una G </w:t>
      </w:r>
      <w:r w:rsidRPr="008B7A21">
        <w:rPr>
          <w:lang w:val="es-ES_tradnl"/>
        </w:rPr>
        <w:sym w:font="Symbol" w:char="F0BB"/>
      </w:r>
      <w:r w:rsidRPr="008B7A21">
        <w:rPr>
          <w:lang w:val="es-ES_tradnl"/>
        </w:rPr>
        <w:t> 40 dB). Este tramo se encuentra en una zona clasificada en el Cuadro 2 con un valor de 0,4 y cursa 960 canales de telefonía en ambos sentidos con los parámetros correspondientes a los indicados en la Recomendación UIT</w:t>
      </w:r>
      <w:r w:rsidRPr="008B7A21">
        <w:rPr>
          <w:lang w:val="es-ES_tradnl"/>
        </w:rPr>
        <w:noBreakHyphen/>
        <w:t>R SM.1138-2 «Modulación de frecuencia», punto 5 «Emisiones complejas», radioenlaces con 960 canales.</w:t>
      </w:r>
    </w:p>
    <w:p w14:paraId="1185B8E2" w14:textId="77777777" w:rsidR="00F73D5B" w:rsidRPr="008B7A21" w:rsidRDefault="00F73D5B" w:rsidP="00F73D5B">
      <w:pPr>
        <w:pStyle w:val="Headingb"/>
        <w:rPr>
          <w:lang w:val="es-ES_tradnl"/>
        </w:rPr>
      </w:pPr>
      <w:bookmarkStart w:id="1577" w:name="_Toc307922650"/>
      <w:bookmarkStart w:id="1578" w:name="_Toc307991999"/>
      <w:bookmarkStart w:id="1579" w:name="_Toc307994032"/>
      <w:bookmarkStart w:id="1580" w:name="_Toc307996438"/>
      <w:bookmarkStart w:id="1581" w:name="_Toc499563076"/>
      <w:r w:rsidRPr="008B7A21">
        <w:rPr>
          <w:lang w:val="es-ES_tradnl"/>
        </w:rPr>
        <w:t>b)</w:t>
      </w:r>
      <w:r w:rsidRPr="008B7A21">
        <w:rPr>
          <w:lang w:val="es-ES_tradnl"/>
        </w:rPr>
        <w:tab/>
        <w:t>Recursos de tiempo y frecuencia utilizados</w:t>
      </w:r>
      <w:bookmarkEnd w:id="1577"/>
      <w:bookmarkEnd w:id="1578"/>
      <w:bookmarkEnd w:id="1579"/>
      <w:bookmarkEnd w:id="1580"/>
      <w:bookmarkEnd w:id="1581"/>
    </w:p>
    <w:p w14:paraId="521274E4" w14:textId="77777777" w:rsidR="00F73D5B" w:rsidRPr="008B7A21" w:rsidRDefault="00F73D5B" w:rsidP="00F73D5B">
      <w:pPr>
        <w:rPr>
          <w:lang w:val="es-ES_tradnl"/>
        </w:rPr>
      </w:pPr>
      <w:r w:rsidRPr="008B7A21">
        <w:rPr>
          <w:lang w:val="es-ES_tradnl"/>
        </w:rPr>
        <w:t>Teniendo en cuenta principalmente el modo continuo de funcionamiento de los radioenlaces, de la ecuación (21) se deduce que:</w:t>
      </w:r>
    </w:p>
    <w:p w14:paraId="291B30E9" w14:textId="77777777" w:rsidR="00F73D5B" w:rsidRPr="008B7A21" w:rsidRDefault="00F73D5B" w:rsidP="00F73D5B">
      <w:pPr>
        <w:pStyle w:val="Blanc"/>
        <w:rPr>
          <w:lang w:val="es-ES_tradnl"/>
        </w:rPr>
      </w:pPr>
    </w:p>
    <w:p w14:paraId="13302B92" w14:textId="17FDF98A" w:rsidR="00F73D5B" w:rsidRPr="008B7A21" w:rsidRDefault="00F73D5B" w:rsidP="00F73D5B">
      <w:pPr>
        <w:pStyle w:val="Equation"/>
        <w:rPr>
          <w:lang w:val="es-ES_tradnl"/>
        </w:rPr>
      </w:pPr>
      <w:r w:rsidRPr="008B7A21">
        <w:rPr>
          <w:i/>
          <w:lang w:val="es-ES_tradnl"/>
        </w:rPr>
        <w:tab/>
      </w:r>
      <w:r w:rsidRPr="008B7A21">
        <w:rPr>
          <w:i/>
          <w:lang w:val="es-ES_tradnl"/>
        </w:rPr>
        <w:tab/>
        <w:t>T</w:t>
      </w:r>
      <w:r w:rsidRPr="008B7A21">
        <w:rPr>
          <w:lang w:val="es-ES_tradnl"/>
        </w:rPr>
        <w:t xml:space="preserve"> </w:t>
      </w:r>
      <w:r w:rsidR="00386EEF">
        <w:rPr>
          <w:lang w:val="es-ES_tradnl"/>
        </w:rPr>
        <w:t>=</w:t>
      </w:r>
      <w:r w:rsidRPr="008B7A21">
        <w:rPr>
          <w:lang w:val="es-ES_tradnl"/>
        </w:rPr>
        <w:t xml:space="preserve"> 24/24 (cada día) </w:t>
      </w:r>
      <w:r w:rsidR="00386EEF">
        <w:rPr>
          <w:lang w:val="es-ES_tradnl"/>
        </w:rPr>
        <w:t>=</w:t>
      </w:r>
      <w:r w:rsidRPr="008B7A21">
        <w:rPr>
          <w:lang w:val="es-ES_tradnl"/>
        </w:rPr>
        <w:t xml:space="preserve"> 1 año</w:t>
      </w:r>
    </w:p>
    <w:p w14:paraId="3A043A1C" w14:textId="7B28997C" w:rsidR="00F73D5B" w:rsidRPr="008B7A21" w:rsidRDefault="00F73D5B" w:rsidP="00F73D5B">
      <w:pPr>
        <w:keepNext/>
        <w:keepLines/>
        <w:rPr>
          <w:lang w:val="es-ES_tradnl"/>
        </w:rPr>
      </w:pPr>
      <w:r w:rsidRPr="008B7A21">
        <w:rPr>
          <w:lang w:val="es-ES_tradnl"/>
        </w:rPr>
        <w:t>De acuerdo con los datos, presentados en el mencionado punto de la Recomendación UIT</w:t>
      </w:r>
      <w:r w:rsidRPr="008B7A21">
        <w:rPr>
          <w:lang w:val="es-ES_tradnl"/>
        </w:rPr>
        <w:noBreakHyphen/>
        <w:t xml:space="preserve">R SM.1138-2, </w:t>
      </w:r>
      <w:r w:rsidRPr="008B7A21">
        <w:rPr>
          <w:i/>
          <w:lang w:val="es-ES_tradnl"/>
        </w:rPr>
        <w:t>B</w:t>
      </w:r>
      <w:r w:rsidRPr="008B7A21">
        <w:rPr>
          <w:i/>
          <w:vertAlign w:val="subscript"/>
          <w:lang w:val="es-ES_tradnl"/>
        </w:rPr>
        <w:t>n</w:t>
      </w:r>
      <w:r w:rsidRPr="008B7A21">
        <w:rPr>
          <w:lang w:val="es-ES_tradnl"/>
        </w:rPr>
        <w:t> </w:t>
      </w:r>
      <w:r w:rsidR="00386EEF">
        <w:rPr>
          <w:lang w:val="es-ES_tradnl"/>
        </w:rPr>
        <w:t>=</w:t>
      </w:r>
      <w:r w:rsidRPr="008B7A21">
        <w:rPr>
          <w:lang w:val="es-ES_tradnl"/>
        </w:rPr>
        <w:t xml:space="preserve"> 16,32 MHz (en ambos sentidos de transmisión). Por consiguiente, el recurso de frecuencia global utilizado, introduciendo en la ecuación (24) un valor de </w:t>
      </w:r>
      <w:r w:rsidR="00386EEF" w:rsidRPr="00386EEF">
        <w:sym w:font="Symbol" w:char="F063"/>
      </w:r>
      <w:r w:rsidRPr="008B7A21">
        <w:rPr>
          <w:lang w:val="es-ES_tradnl"/>
        </w:rPr>
        <w:t> = 1, puede determinarse como sigue:</w:t>
      </w:r>
    </w:p>
    <w:p w14:paraId="4F36153E" w14:textId="1F2166FA" w:rsidR="00F73D5B" w:rsidRPr="008B7A21" w:rsidRDefault="00F73D5B" w:rsidP="00F73D5B">
      <w:pPr>
        <w:pStyle w:val="Equation"/>
        <w:rPr>
          <w:lang w:val="es-ES_tradnl"/>
        </w:rPr>
      </w:pPr>
      <w:r w:rsidRPr="008B7A21">
        <w:rPr>
          <w:i/>
          <w:lang w:val="es-ES_tradnl"/>
        </w:rPr>
        <w:tab/>
      </w:r>
      <w:r w:rsidRPr="008B7A21">
        <w:rPr>
          <w:i/>
          <w:lang w:val="es-ES_tradnl"/>
        </w:rPr>
        <w:tab/>
        <w:t>F</w:t>
      </w:r>
      <w:r w:rsidRPr="008B7A21">
        <w:rPr>
          <w:lang w:val="es-ES_tradnl"/>
        </w:rPr>
        <w:t xml:space="preserve"> </w:t>
      </w:r>
      <w:r w:rsidR="00386EEF">
        <w:rPr>
          <w:lang w:val="es-ES_tradnl"/>
        </w:rPr>
        <w:t>=</w:t>
      </w:r>
      <w:r w:rsidRPr="008B7A21">
        <w:rPr>
          <w:lang w:val="es-ES_tradnl"/>
        </w:rPr>
        <w:t xml:space="preserve"> 2 </w:t>
      </w:r>
      <w:r w:rsidR="00386EEF">
        <w:rPr>
          <w:lang w:val="es-ES_tradnl"/>
        </w:rPr>
        <w:t>×</w:t>
      </w:r>
      <w:r w:rsidRPr="008B7A21">
        <w:rPr>
          <w:lang w:val="es-ES_tradnl"/>
        </w:rPr>
        <w:t xml:space="preserve"> 16,3 </w:t>
      </w:r>
      <w:r w:rsidR="00386EEF">
        <w:rPr>
          <w:lang w:val="es-ES_tradnl"/>
        </w:rPr>
        <w:t>=</w:t>
      </w:r>
      <w:r w:rsidRPr="008B7A21">
        <w:rPr>
          <w:lang w:val="es-ES_tradnl"/>
        </w:rPr>
        <w:t xml:space="preserve"> 32,6 MHz</w:t>
      </w:r>
    </w:p>
    <w:p w14:paraId="68D9D9E4" w14:textId="77777777" w:rsidR="00F73D5B" w:rsidRPr="008B7A21" w:rsidRDefault="00F73D5B" w:rsidP="00F73D5B">
      <w:pPr>
        <w:pStyle w:val="Headingb"/>
        <w:rPr>
          <w:lang w:val="es-ES_tradnl"/>
        </w:rPr>
      </w:pPr>
      <w:bookmarkStart w:id="1582" w:name="_Toc307922651"/>
      <w:bookmarkStart w:id="1583" w:name="_Toc307992000"/>
      <w:bookmarkStart w:id="1584" w:name="_Toc307994033"/>
      <w:bookmarkStart w:id="1585" w:name="_Toc307996439"/>
      <w:bookmarkStart w:id="1586" w:name="_Toc499563077"/>
      <w:r w:rsidRPr="008B7A21">
        <w:rPr>
          <w:lang w:val="es-ES_tradnl"/>
        </w:rPr>
        <w:t>c)</w:t>
      </w:r>
      <w:r w:rsidRPr="008B7A21">
        <w:rPr>
          <w:lang w:val="es-ES_tradnl"/>
        </w:rPr>
        <w:tab/>
        <w:t>Recurso territorial utilizado</w:t>
      </w:r>
      <w:bookmarkEnd w:id="1582"/>
      <w:bookmarkEnd w:id="1583"/>
      <w:bookmarkEnd w:id="1584"/>
      <w:bookmarkEnd w:id="1585"/>
      <w:bookmarkEnd w:id="1586"/>
    </w:p>
    <w:p w14:paraId="0888EF07" w14:textId="660294DB" w:rsidR="00F73D5B" w:rsidRPr="008B7A21" w:rsidRDefault="00F73D5B" w:rsidP="00F73D5B">
      <w:pPr>
        <w:keepNext/>
        <w:keepLines/>
        <w:rPr>
          <w:lang w:val="es-ES_tradnl"/>
        </w:rPr>
      </w:pPr>
      <w:r w:rsidRPr="008B7A21">
        <w:rPr>
          <w:lang w:val="es-ES_tradnl"/>
        </w:rPr>
        <w:t>Introduciendo los datos pertinentes del a) anterior en la ecuación (50) se obtiene:</w:t>
      </w:r>
    </w:p>
    <w:p w14:paraId="084681F0" w14:textId="2E319849" w:rsidR="00F73D5B" w:rsidRPr="008B7A21" w:rsidRDefault="00F73D5B" w:rsidP="00F73D5B">
      <w:pPr>
        <w:pStyle w:val="Equation"/>
        <w:keepNext/>
        <w:keepLines/>
        <w:rPr>
          <w:lang w:val="es-ES_tradnl"/>
        </w:rPr>
      </w:pPr>
      <w:r w:rsidRPr="008B7A21">
        <w:rPr>
          <w:lang w:val="es-ES_tradnl"/>
        </w:rPr>
        <w:tab/>
      </w:r>
      <w:r w:rsidRPr="008B7A21">
        <w:rPr>
          <w:i/>
          <w:iCs/>
          <w:lang w:val="es-ES_tradnl"/>
        </w:rPr>
        <w:tab/>
        <w:t>s</w:t>
      </w:r>
      <w:r w:rsidRPr="008B7A21">
        <w:rPr>
          <w:i/>
          <w:iCs/>
          <w:vertAlign w:val="subscript"/>
          <w:lang w:val="es-ES_tradnl"/>
        </w:rPr>
        <w:t>o</w:t>
      </w:r>
      <w:r w:rsidRPr="008B7A21">
        <w:rPr>
          <w:lang w:val="es-ES_tradnl"/>
        </w:rPr>
        <w:t xml:space="preserve"> </w:t>
      </w:r>
      <w:r w:rsidR="00386EEF">
        <w:rPr>
          <w:lang w:val="es-ES_tradnl"/>
        </w:rPr>
        <w:t>=</w:t>
      </w:r>
      <w:r w:rsidRPr="008B7A21">
        <w:rPr>
          <w:lang w:val="es-ES_tradnl"/>
        </w:rPr>
        <w:t xml:space="preserve"> (1,5/180) </w:t>
      </w:r>
      <w:r w:rsidR="00386EEF">
        <w:rPr>
          <w:lang w:val="es-ES_tradnl"/>
        </w:rPr>
        <w:t>×</w:t>
      </w:r>
      <w:r w:rsidRPr="008B7A21">
        <w:rPr>
          <w:lang w:val="es-ES_tradnl"/>
        </w:rPr>
        <w:t> 3,14 </w:t>
      </w:r>
      <w:r w:rsidR="00386EEF">
        <w:rPr>
          <w:lang w:val="es-ES_tradnl"/>
        </w:rPr>
        <w:t>×</w:t>
      </w:r>
      <w:r w:rsidRPr="008B7A21">
        <w:rPr>
          <w:lang w:val="es-ES_tradnl"/>
        </w:rPr>
        <w:t> 45</w:t>
      </w:r>
      <w:r w:rsidRPr="008B7A21">
        <w:rPr>
          <w:vertAlign w:val="superscript"/>
          <w:lang w:val="es-ES_tradnl"/>
        </w:rPr>
        <w:t>2</w:t>
      </w:r>
      <w:r w:rsidRPr="008B7A21">
        <w:rPr>
          <w:lang w:val="es-ES_tradnl"/>
        </w:rPr>
        <w:t xml:space="preserve"> </w:t>
      </w:r>
      <w:r w:rsidR="00386EEF">
        <w:rPr>
          <w:lang w:val="es-ES_tradnl"/>
        </w:rPr>
        <w:t>=</w:t>
      </w:r>
      <w:r w:rsidRPr="008B7A21">
        <w:rPr>
          <w:lang w:val="es-ES_tradnl"/>
        </w:rPr>
        <w:t xml:space="preserve"> 53 km</w:t>
      </w:r>
      <w:r w:rsidRPr="008B7A21">
        <w:rPr>
          <w:vertAlign w:val="superscript"/>
          <w:lang w:val="es-ES_tradnl"/>
        </w:rPr>
        <w:t>2</w:t>
      </w:r>
    </w:p>
    <w:p w14:paraId="13F395FA" w14:textId="77777777" w:rsidR="00F73D5B" w:rsidRPr="008B7A21" w:rsidRDefault="00F73D5B" w:rsidP="00F73D5B">
      <w:pPr>
        <w:rPr>
          <w:lang w:val="es-ES_tradnl"/>
        </w:rPr>
      </w:pPr>
      <w:r w:rsidRPr="008B7A21">
        <w:rPr>
          <w:lang w:val="es-ES_tradnl"/>
        </w:rPr>
        <w:t>A partir de la ecuación (22), teniendo en cuenta la categoría de la zona, se deduce que:</w:t>
      </w:r>
    </w:p>
    <w:p w14:paraId="02CD5DBC" w14:textId="0CADFEA7" w:rsidR="00F73D5B" w:rsidRPr="008B7A21" w:rsidRDefault="00F73D5B" w:rsidP="00F73D5B">
      <w:pPr>
        <w:pStyle w:val="Equation"/>
        <w:rPr>
          <w:lang w:val="es-ES_tradnl"/>
        </w:rPr>
      </w:pPr>
      <w:r w:rsidRPr="008B7A21">
        <w:rPr>
          <w:i/>
          <w:iCs/>
          <w:lang w:val="es-ES_tradnl"/>
        </w:rPr>
        <w:tab/>
      </w:r>
      <w:r w:rsidRPr="008B7A21">
        <w:rPr>
          <w:i/>
          <w:iCs/>
          <w:lang w:val="es-ES_tradnl"/>
        </w:rPr>
        <w:tab/>
        <w:t>S</w:t>
      </w:r>
      <w:r w:rsidRPr="008B7A21">
        <w:rPr>
          <w:lang w:val="es-ES_tradnl"/>
        </w:rPr>
        <w:t xml:space="preserve"> </w:t>
      </w:r>
      <w:r w:rsidR="00386EEF">
        <w:rPr>
          <w:lang w:val="es-ES_tradnl"/>
        </w:rPr>
        <w:t>=</w:t>
      </w:r>
      <w:r w:rsidRPr="008B7A21">
        <w:rPr>
          <w:lang w:val="es-ES_tradnl"/>
        </w:rPr>
        <w:t xml:space="preserve"> 0,4 </w:t>
      </w:r>
      <w:r w:rsidR="00386EEF">
        <w:rPr>
          <w:lang w:val="es-ES_tradnl"/>
        </w:rPr>
        <w:t>×</w:t>
      </w:r>
      <w:r w:rsidRPr="008B7A21">
        <w:rPr>
          <w:lang w:val="es-ES_tradnl"/>
        </w:rPr>
        <w:t xml:space="preserve"> 53 </w:t>
      </w:r>
      <w:r w:rsidR="00386EEF">
        <w:rPr>
          <w:lang w:val="es-ES_tradnl"/>
        </w:rPr>
        <w:t>=</w:t>
      </w:r>
      <w:r w:rsidRPr="008B7A21">
        <w:rPr>
          <w:lang w:val="es-ES_tradnl"/>
        </w:rPr>
        <w:t xml:space="preserve"> 21 km</w:t>
      </w:r>
      <w:r w:rsidRPr="008B7A21">
        <w:rPr>
          <w:vertAlign w:val="superscript"/>
          <w:lang w:val="es-ES_tradnl"/>
        </w:rPr>
        <w:t>2</w:t>
      </w:r>
    </w:p>
    <w:p w14:paraId="1B919478" w14:textId="77777777" w:rsidR="00F73D5B" w:rsidRPr="008B7A21" w:rsidRDefault="00F73D5B" w:rsidP="00F73D5B">
      <w:pPr>
        <w:pStyle w:val="Headingb"/>
        <w:rPr>
          <w:lang w:val="es-ES_tradnl"/>
        </w:rPr>
      </w:pPr>
      <w:bookmarkStart w:id="1587" w:name="_Toc307922652"/>
      <w:bookmarkStart w:id="1588" w:name="_Toc307992001"/>
      <w:bookmarkStart w:id="1589" w:name="_Toc307994034"/>
      <w:bookmarkStart w:id="1590" w:name="_Toc307996440"/>
      <w:bookmarkStart w:id="1591" w:name="_Toc499563078"/>
      <w:r w:rsidRPr="008B7A21">
        <w:rPr>
          <w:lang w:val="es-ES_tradnl"/>
        </w:rPr>
        <w:t>d)</w:t>
      </w:r>
      <w:r w:rsidRPr="008B7A21">
        <w:rPr>
          <w:lang w:val="es-ES_tradnl"/>
        </w:rPr>
        <w:tab/>
        <w:t>Espectro utilizado</w:t>
      </w:r>
      <w:bookmarkEnd w:id="1587"/>
      <w:bookmarkEnd w:id="1588"/>
      <w:bookmarkEnd w:id="1589"/>
      <w:bookmarkEnd w:id="1590"/>
      <w:bookmarkEnd w:id="1591"/>
    </w:p>
    <w:p w14:paraId="3AF988A7" w14:textId="11D72B40" w:rsidR="00F73D5B" w:rsidRPr="008B7A21" w:rsidRDefault="00F73D5B" w:rsidP="00F73D5B">
      <w:pPr>
        <w:rPr>
          <w:lang w:val="es-ES_tradnl"/>
        </w:rPr>
      </w:pPr>
      <w:r w:rsidRPr="008B7A21">
        <w:rPr>
          <w:lang w:val="es-ES_tradnl"/>
        </w:rPr>
        <w:t>Introduciendo los valores calculados en b) y c) anteriores en la ecuación (20), utilizando los valores de los coeficientes de ponderación indicados en el Cuadro 3 y teniendo en cuenta que no se comparten las frecuencias (</w:t>
      </w:r>
      <w:r w:rsidRPr="008B7A21">
        <w:rPr>
          <w:lang w:val="es-ES_tradnl"/>
        </w:rPr>
        <w:sym w:font="Symbol" w:char="F062"/>
      </w:r>
      <w:r w:rsidRPr="008B7A21">
        <w:rPr>
          <w:lang w:val="es-ES_tradnl"/>
        </w:rPr>
        <w:t> </w:t>
      </w:r>
      <w:r w:rsidR="00386EEF">
        <w:rPr>
          <w:lang w:val="es-ES_tradnl"/>
        </w:rPr>
        <w:t>=</w:t>
      </w:r>
      <w:r w:rsidRPr="008B7A21">
        <w:rPr>
          <w:lang w:val="es-ES_tradnl"/>
        </w:rPr>
        <w:t> 1), se obtiene finalmente:</w:t>
      </w:r>
    </w:p>
    <w:p w14:paraId="11FC3CF9" w14:textId="040CC24D" w:rsidR="00F73D5B" w:rsidRPr="008B7A21" w:rsidRDefault="00F73D5B" w:rsidP="00F73D5B">
      <w:pPr>
        <w:pStyle w:val="Equation"/>
        <w:rPr>
          <w:lang w:val="es-ES_tradnl"/>
        </w:rPr>
      </w:pPr>
      <w:r w:rsidRPr="008B7A21">
        <w:rPr>
          <w:i/>
          <w:lang w:val="es-ES_tradnl"/>
        </w:rPr>
        <w:tab/>
      </w:r>
      <w:r w:rsidRPr="008B7A21">
        <w:rPr>
          <w:i/>
          <w:lang w:val="es-ES_tradnl"/>
        </w:rPr>
        <w:tab/>
        <w:t>W</w:t>
      </w:r>
      <w:r w:rsidRPr="008B7A21">
        <w:rPr>
          <w:lang w:val="es-ES_tradnl"/>
        </w:rPr>
        <w:t xml:space="preserve"> </w:t>
      </w:r>
      <w:r w:rsidR="00386EEF">
        <w:rPr>
          <w:lang w:val="es-ES_tradnl"/>
        </w:rPr>
        <w:t>=</w:t>
      </w:r>
      <w:r w:rsidRPr="008B7A21">
        <w:rPr>
          <w:lang w:val="es-ES_tradnl"/>
        </w:rPr>
        <w:t xml:space="preserve"> 0,1 </w:t>
      </w:r>
      <w:r w:rsidR="00386EEF">
        <w:rPr>
          <w:lang w:val="es-ES_tradnl"/>
        </w:rPr>
        <w:t>×</w:t>
      </w:r>
      <w:r w:rsidRPr="008B7A21">
        <w:rPr>
          <w:lang w:val="es-ES_tradnl"/>
        </w:rPr>
        <w:t> 0,1 </w:t>
      </w:r>
      <w:r w:rsidR="00386EEF">
        <w:rPr>
          <w:lang w:val="es-ES_tradnl"/>
        </w:rPr>
        <w:t>×</w:t>
      </w:r>
      <w:r w:rsidRPr="008B7A21">
        <w:rPr>
          <w:lang w:val="es-ES_tradnl"/>
        </w:rPr>
        <w:t> 1 </w:t>
      </w:r>
      <w:r w:rsidR="00386EEF">
        <w:rPr>
          <w:lang w:val="es-ES_tradnl"/>
        </w:rPr>
        <w:t>×</w:t>
      </w:r>
      <w:r w:rsidRPr="008B7A21">
        <w:rPr>
          <w:lang w:val="es-ES_tradnl"/>
        </w:rPr>
        <w:t> 0,2 </w:t>
      </w:r>
      <w:r w:rsidR="00386EEF">
        <w:rPr>
          <w:lang w:val="es-ES_tradnl"/>
        </w:rPr>
        <w:t>×</w:t>
      </w:r>
      <w:r w:rsidRPr="008B7A21">
        <w:rPr>
          <w:lang w:val="es-ES_tradnl"/>
        </w:rPr>
        <w:t> 1 </w:t>
      </w:r>
      <w:r w:rsidR="00386EEF">
        <w:rPr>
          <w:lang w:val="es-ES_tradnl"/>
        </w:rPr>
        <w:t>×</w:t>
      </w:r>
      <w:r w:rsidRPr="008B7A21">
        <w:rPr>
          <w:lang w:val="es-ES_tradnl"/>
        </w:rPr>
        <w:t> 32,6 </w:t>
      </w:r>
      <w:r w:rsidR="00386EEF">
        <w:rPr>
          <w:lang w:val="es-ES_tradnl"/>
        </w:rPr>
        <w:t>×</w:t>
      </w:r>
      <w:r w:rsidRPr="008B7A21">
        <w:rPr>
          <w:lang w:val="es-ES_tradnl"/>
        </w:rPr>
        <w:t> 21 </w:t>
      </w:r>
      <w:r w:rsidR="00386EEF">
        <w:rPr>
          <w:lang w:val="es-ES_tradnl"/>
        </w:rPr>
        <w:t>×</w:t>
      </w:r>
      <w:r w:rsidRPr="008B7A21">
        <w:rPr>
          <w:lang w:val="es-ES_tradnl"/>
        </w:rPr>
        <w:t xml:space="preserve"> 1 </w:t>
      </w:r>
      <w:r w:rsidR="00386EEF">
        <w:rPr>
          <w:lang w:val="es-ES_tradnl"/>
        </w:rPr>
        <w:t>=</w:t>
      </w:r>
      <w:r w:rsidRPr="008B7A21">
        <w:rPr>
          <w:lang w:val="es-ES_tradnl"/>
        </w:rPr>
        <w:t xml:space="preserve"> 1,4             MHz </w:t>
      </w:r>
      <w:r w:rsidRPr="008B7A21">
        <w:rPr>
          <w:lang w:val="es-ES_tradnl"/>
        </w:rPr>
        <w:sym w:font="Symbol" w:char="F0D7"/>
      </w:r>
      <w:r w:rsidRPr="008B7A21">
        <w:rPr>
          <w:lang w:val="es-ES_tradnl"/>
        </w:rPr>
        <w:t xml:space="preserve"> km</w:t>
      </w:r>
      <w:r w:rsidRPr="008B7A21">
        <w:rPr>
          <w:vertAlign w:val="superscript"/>
          <w:lang w:val="es-ES_tradnl"/>
        </w:rPr>
        <w:t>2</w:t>
      </w:r>
      <w:r w:rsidRPr="008B7A21">
        <w:rPr>
          <w:lang w:val="es-ES_tradnl"/>
        </w:rPr>
        <w:t xml:space="preserve"> </w:t>
      </w:r>
      <w:r w:rsidRPr="008B7A21">
        <w:rPr>
          <w:lang w:val="es-ES_tradnl"/>
        </w:rPr>
        <w:sym w:font="Symbol" w:char="F0D7"/>
      </w:r>
      <w:r w:rsidRPr="008B7A21">
        <w:rPr>
          <w:lang w:val="es-ES_tradnl"/>
        </w:rPr>
        <w:t xml:space="preserve"> 1 año</w:t>
      </w:r>
    </w:p>
    <w:p w14:paraId="14BBC8D1" w14:textId="77777777" w:rsidR="00F73D5B" w:rsidRPr="008B7A21" w:rsidRDefault="00F73D5B" w:rsidP="00F73D5B">
      <w:pPr>
        <w:pStyle w:val="Blanc"/>
        <w:rPr>
          <w:lang w:val="es-ES_tradnl"/>
        </w:rPr>
      </w:pPr>
      <w:bookmarkStart w:id="1592" w:name="_Toc306276877"/>
      <w:bookmarkStart w:id="1593" w:name="_Toc307921552"/>
      <w:bookmarkStart w:id="1594" w:name="_Toc307922119"/>
      <w:bookmarkStart w:id="1595" w:name="_Toc307922653"/>
      <w:bookmarkStart w:id="1596" w:name="_Toc307992002"/>
      <w:bookmarkStart w:id="1597" w:name="_Toc307994035"/>
      <w:bookmarkStart w:id="1598" w:name="_Toc307995264"/>
      <w:bookmarkStart w:id="1599" w:name="_Toc307996441"/>
      <w:bookmarkStart w:id="1600" w:name="_Toc308010383"/>
    </w:p>
    <w:p w14:paraId="0313C1C9" w14:textId="77777777" w:rsidR="00F73D5B" w:rsidRPr="008B7A21" w:rsidRDefault="00F73D5B" w:rsidP="00F73D5B">
      <w:pPr>
        <w:pStyle w:val="Heading3"/>
        <w:rPr>
          <w:lang w:val="es-ES_tradnl"/>
        </w:rPr>
      </w:pPr>
      <w:bookmarkStart w:id="1601" w:name="_Toc499563079"/>
      <w:bookmarkStart w:id="1602" w:name="_Toc215835418"/>
      <w:r w:rsidRPr="008B7A21">
        <w:rPr>
          <w:lang w:val="es-ES_tradnl"/>
        </w:rPr>
        <w:t>4.7.8</w:t>
      </w:r>
      <w:r w:rsidRPr="008B7A21">
        <w:rPr>
          <w:lang w:val="es-ES_tradnl"/>
        </w:rPr>
        <w:tab/>
        <w:t>Estaciones terrenas de comunicaciones por satélite</w:t>
      </w:r>
      <w:bookmarkEnd w:id="1592"/>
      <w:bookmarkEnd w:id="1593"/>
      <w:bookmarkEnd w:id="1594"/>
      <w:bookmarkEnd w:id="1595"/>
      <w:bookmarkEnd w:id="1596"/>
      <w:bookmarkEnd w:id="1597"/>
      <w:bookmarkEnd w:id="1598"/>
      <w:bookmarkEnd w:id="1599"/>
      <w:bookmarkEnd w:id="1600"/>
      <w:bookmarkEnd w:id="1601"/>
      <w:bookmarkEnd w:id="1602"/>
    </w:p>
    <w:p w14:paraId="27FDF6EA" w14:textId="77777777" w:rsidR="00F73D5B" w:rsidRPr="008B7A21" w:rsidRDefault="00F73D5B" w:rsidP="00F73D5B">
      <w:pPr>
        <w:pStyle w:val="Heading4"/>
        <w:rPr>
          <w:lang w:val="es-ES_tradnl"/>
        </w:rPr>
      </w:pPr>
      <w:r w:rsidRPr="008B7A21">
        <w:rPr>
          <w:lang w:val="es-ES_tradnl"/>
        </w:rPr>
        <w:t>4.7.8.1</w:t>
      </w:r>
      <w:r w:rsidRPr="008B7A21">
        <w:rPr>
          <w:lang w:val="es-ES_tradnl"/>
        </w:rPr>
        <w:tab/>
        <w:t>Procedimientos de cálculo</w:t>
      </w:r>
    </w:p>
    <w:p w14:paraId="54F64002" w14:textId="77777777" w:rsidR="00F73D5B" w:rsidRPr="008B7A21" w:rsidRDefault="00F73D5B" w:rsidP="00F73D5B">
      <w:pPr>
        <w:rPr>
          <w:lang w:val="es-ES_tradnl"/>
        </w:rPr>
      </w:pPr>
      <w:r w:rsidRPr="008B7A21">
        <w:rPr>
          <w:lang w:val="es-ES_tradnl"/>
        </w:rPr>
        <w:t>De forma similar al caso de los servicios de radiocomunicaciones fijas del § 4.7.7.3 para el cálculo de zonas ocupadas se propone utilizar el concepto de «sector de servicio» presentado por la Recomendación UIT</w:t>
      </w:r>
      <w:r w:rsidRPr="008B7A21">
        <w:rPr>
          <w:lang w:val="es-ES_tradnl"/>
        </w:rPr>
        <w:noBreakHyphen/>
        <w:t>R F.162-3.</w:t>
      </w:r>
    </w:p>
    <w:p w14:paraId="060264C5" w14:textId="77777777" w:rsidR="00F73D5B" w:rsidRPr="008B7A21" w:rsidRDefault="00F73D5B" w:rsidP="00F73D5B">
      <w:pPr>
        <w:rPr>
          <w:lang w:val="es-ES_tradnl"/>
        </w:rPr>
      </w:pPr>
      <w:r w:rsidRPr="008B7A21">
        <w:rPr>
          <w:lang w:val="es-ES_tradnl"/>
        </w:rPr>
        <w:t>Como ya se indicó anteriormente, debido a las grandes dificultades que supone realizar un cálculo exacto de las zonas ocupadas por las estaciones terrenas de los sistemas de comunicaciones por satélite, se propone determinarlas basándose en las distancias de coordinación acordadas durante el proceso de coordinación y notificación de asignaciones de frecuencias y asignaciones orbitales en el UIT</w:t>
      </w:r>
      <w:r w:rsidRPr="008B7A21">
        <w:rPr>
          <w:lang w:val="es-ES_tradnl"/>
        </w:rPr>
        <w:noBreakHyphen/>
        <w:t>R. Si no se dispone de estas distancias, se propone utilizar una distancia de coordinación universal de 350 km para las VSAT y de 750 km para otras estaciones. En algunos casos también pueden utilizarse valores acordados entre la administración y el operador.</w:t>
      </w:r>
    </w:p>
    <w:p w14:paraId="24E09D74" w14:textId="77777777" w:rsidR="00F73D5B" w:rsidRPr="008B7A21" w:rsidRDefault="00F73D5B" w:rsidP="00F73D5B">
      <w:pPr>
        <w:rPr>
          <w:lang w:val="es-ES_tradnl"/>
        </w:rPr>
      </w:pPr>
      <w:r w:rsidRPr="008B7A21">
        <w:rPr>
          <w:lang w:val="es-ES_tradnl"/>
        </w:rPr>
        <w:t>La anchura de banda ocupada (necesaria) de una emisión, o la anchura de banda de una señal recibida, puesto que no figuran en la Recomendación UIT</w:t>
      </w:r>
      <w:r w:rsidRPr="008B7A21">
        <w:rPr>
          <w:lang w:val="es-ES_tradnl"/>
        </w:rPr>
        <w:noBreakHyphen/>
        <w:t>R SM.1138-2, deben deducirse a partir de los datos de la asignación de frecuencia correspondiente, almacenados en una base de datos nacional de gestión del espectro, o debe comunicarlas el operador a petición especial.</w:t>
      </w:r>
    </w:p>
    <w:p w14:paraId="58053458" w14:textId="77777777" w:rsidR="00F73D5B" w:rsidRPr="008B7A21" w:rsidRDefault="00F73D5B" w:rsidP="00F73D5B">
      <w:pPr>
        <w:pStyle w:val="Heading4"/>
        <w:rPr>
          <w:lang w:val="es-ES_tradnl"/>
        </w:rPr>
      </w:pPr>
      <w:r w:rsidRPr="008B7A21">
        <w:rPr>
          <w:lang w:val="es-ES_tradnl"/>
        </w:rPr>
        <w:t>4.7.8.2</w:t>
      </w:r>
      <w:r w:rsidRPr="008B7A21">
        <w:rPr>
          <w:lang w:val="es-ES_tradnl"/>
        </w:rPr>
        <w:tab/>
        <w:t>Ejemplos de cálculos</w:t>
      </w:r>
    </w:p>
    <w:p w14:paraId="5AB5FF91" w14:textId="11116B36" w:rsidR="00F73D5B" w:rsidRPr="008B7A21" w:rsidRDefault="00F73D5B" w:rsidP="00F73D5B">
      <w:pPr>
        <w:pStyle w:val="Heading4"/>
        <w:rPr>
          <w:lang w:val="es-ES_tradnl"/>
        </w:rPr>
      </w:pPr>
      <w:r w:rsidRPr="008B7A21">
        <w:rPr>
          <w:lang w:val="es-ES_tradnl"/>
        </w:rPr>
        <w:t>4.7.8.2.1</w:t>
      </w:r>
      <w:r w:rsidRPr="008B7A21">
        <w:rPr>
          <w:lang w:val="es-ES_tradnl"/>
        </w:rPr>
        <w:tab/>
        <w:t>Estación terrena transmisora</w:t>
      </w:r>
    </w:p>
    <w:p w14:paraId="131A3139" w14:textId="77777777" w:rsidR="00F73D5B" w:rsidRPr="008B7A21" w:rsidRDefault="00F73D5B" w:rsidP="00F73D5B">
      <w:pPr>
        <w:pStyle w:val="Headingb"/>
        <w:rPr>
          <w:lang w:val="es-ES_tradnl"/>
        </w:rPr>
      </w:pPr>
      <w:bookmarkStart w:id="1603" w:name="_Toc307922654"/>
      <w:bookmarkStart w:id="1604" w:name="_Toc307992003"/>
      <w:bookmarkStart w:id="1605" w:name="_Toc307994036"/>
      <w:bookmarkStart w:id="1606" w:name="_Toc307996442"/>
      <w:bookmarkStart w:id="1607" w:name="_Toc499563080"/>
      <w:r w:rsidRPr="008B7A21">
        <w:rPr>
          <w:lang w:val="es-ES_tradnl"/>
        </w:rPr>
        <w:t>a)</w:t>
      </w:r>
      <w:r w:rsidRPr="008B7A21">
        <w:rPr>
          <w:lang w:val="es-ES_tradnl"/>
        </w:rPr>
        <w:tab/>
        <w:t>Parámetros de partida</w:t>
      </w:r>
      <w:bookmarkEnd w:id="1603"/>
      <w:bookmarkEnd w:id="1604"/>
      <w:bookmarkEnd w:id="1605"/>
      <w:bookmarkEnd w:id="1606"/>
      <w:bookmarkEnd w:id="1607"/>
    </w:p>
    <w:p w14:paraId="6EDF1F7C" w14:textId="239213FD" w:rsidR="00F73D5B" w:rsidRPr="008B7A21" w:rsidRDefault="00F73D5B" w:rsidP="00F73D5B">
      <w:pPr>
        <w:rPr>
          <w:lang w:val="es-ES_tradnl"/>
        </w:rPr>
      </w:pPr>
      <w:r w:rsidRPr="008B7A21">
        <w:rPr>
          <w:lang w:val="es-ES_tradnl"/>
        </w:rPr>
        <w:t>Vamos a calcular el espectro utilizado por una estación terrena que proporciona enlaces de conexión a satélites no OSG del servicio móvil por satélite. Al no disponer de datos más detallados, se acepta una distancia de coordinación de 750 km. La estación se encuentra situada en una zona rural y la anchura de haz de la antena es de 0,5</w:t>
      </w:r>
      <w:r w:rsidR="00386EEF" w:rsidRPr="00386EEF">
        <w:sym w:font="Symbol" w:char="F0B0"/>
      </w:r>
      <w:r w:rsidRPr="008B7A21">
        <w:rPr>
          <w:lang w:val="es-ES_tradnl"/>
        </w:rPr>
        <w:t>. La zona ocupada de la emisión se encuentra dentro de una zona clasificada por el Cuadro 2 con un valor de 0,2. Supóngase además que de conformidad con la asignación de frecuencia pertinente inscrita en la base de datos nacional de gestión del espectro, la anchura de banda de la emisión es 200 MHz.</w:t>
      </w:r>
    </w:p>
    <w:p w14:paraId="00C7D8B4" w14:textId="77777777" w:rsidR="00F73D5B" w:rsidRPr="008B7A21" w:rsidRDefault="00F73D5B" w:rsidP="00F73D5B">
      <w:pPr>
        <w:pStyle w:val="Headingb"/>
        <w:rPr>
          <w:lang w:val="es-ES_tradnl"/>
        </w:rPr>
      </w:pPr>
      <w:bookmarkStart w:id="1608" w:name="_Toc307922655"/>
      <w:bookmarkStart w:id="1609" w:name="_Toc307992004"/>
      <w:bookmarkStart w:id="1610" w:name="_Toc307994037"/>
      <w:bookmarkStart w:id="1611" w:name="_Toc307996443"/>
      <w:bookmarkStart w:id="1612" w:name="_Toc499563081"/>
      <w:r w:rsidRPr="008B7A21">
        <w:rPr>
          <w:lang w:val="es-ES_tradnl"/>
        </w:rPr>
        <w:t>b)</w:t>
      </w:r>
      <w:r w:rsidRPr="008B7A21">
        <w:rPr>
          <w:lang w:val="es-ES_tradnl"/>
        </w:rPr>
        <w:tab/>
        <w:t>Recursos de tiempo y frecuencia utilizados</w:t>
      </w:r>
      <w:bookmarkEnd w:id="1608"/>
      <w:bookmarkEnd w:id="1609"/>
      <w:bookmarkEnd w:id="1610"/>
      <w:bookmarkEnd w:id="1611"/>
      <w:bookmarkEnd w:id="1612"/>
    </w:p>
    <w:p w14:paraId="0DD12039" w14:textId="77777777" w:rsidR="00F73D5B" w:rsidRPr="008B7A21" w:rsidRDefault="00F73D5B" w:rsidP="00F73D5B">
      <w:pPr>
        <w:rPr>
          <w:lang w:val="es-ES_tradnl"/>
        </w:rPr>
      </w:pPr>
      <w:r w:rsidRPr="008B7A21">
        <w:rPr>
          <w:lang w:val="es-ES_tradnl"/>
        </w:rPr>
        <w:t>Teniendo en cuenta el modo continuo de funcionamiento del enlace de conexión, de la ecuación (21) se obtiene:</w:t>
      </w:r>
    </w:p>
    <w:p w14:paraId="2ACDF257" w14:textId="77777777" w:rsidR="00F73D5B" w:rsidRPr="008B7A21" w:rsidRDefault="00F73D5B" w:rsidP="00F73D5B">
      <w:pPr>
        <w:pStyle w:val="Blanc"/>
        <w:rPr>
          <w:lang w:val="es-ES_tradnl"/>
        </w:rPr>
      </w:pPr>
    </w:p>
    <w:p w14:paraId="39D6CB76" w14:textId="688653BD" w:rsidR="00F73D5B" w:rsidRPr="008B7A21" w:rsidRDefault="00F73D5B" w:rsidP="00F73D5B">
      <w:pPr>
        <w:pStyle w:val="Equation"/>
        <w:rPr>
          <w:lang w:val="es-ES_tradnl"/>
        </w:rPr>
      </w:pPr>
      <w:r w:rsidRPr="008B7A21">
        <w:rPr>
          <w:i/>
          <w:lang w:val="es-ES_tradnl"/>
        </w:rPr>
        <w:tab/>
      </w:r>
      <w:r w:rsidRPr="008B7A21">
        <w:rPr>
          <w:i/>
          <w:lang w:val="es-ES_tradnl"/>
        </w:rPr>
        <w:tab/>
        <w:t>T</w:t>
      </w:r>
      <w:r w:rsidRPr="008B7A21">
        <w:rPr>
          <w:lang w:val="es-ES_tradnl"/>
        </w:rPr>
        <w:t xml:space="preserve"> </w:t>
      </w:r>
      <w:r w:rsidR="00386EEF">
        <w:rPr>
          <w:lang w:val="es-ES_tradnl"/>
        </w:rPr>
        <w:t>=</w:t>
      </w:r>
      <w:r w:rsidRPr="008B7A21">
        <w:rPr>
          <w:lang w:val="es-ES_tradnl"/>
        </w:rPr>
        <w:t xml:space="preserve"> 24/24 (cada día) </w:t>
      </w:r>
      <w:r w:rsidR="00386EEF">
        <w:rPr>
          <w:lang w:val="es-ES_tradnl"/>
        </w:rPr>
        <w:t>=</w:t>
      </w:r>
      <w:r w:rsidRPr="008B7A21">
        <w:rPr>
          <w:lang w:val="es-ES_tradnl"/>
        </w:rPr>
        <w:t xml:space="preserve"> 1 año</w:t>
      </w:r>
    </w:p>
    <w:p w14:paraId="00483384" w14:textId="77777777" w:rsidR="00F73D5B" w:rsidRPr="008B7A21" w:rsidRDefault="00F73D5B" w:rsidP="00F73D5B">
      <w:pPr>
        <w:pStyle w:val="Blanc"/>
        <w:rPr>
          <w:lang w:val="es-ES_tradnl"/>
        </w:rPr>
      </w:pPr>
    </w:p>
    <w:p w14:paraId="6CED0F3D" w14:textId="77777777" w:rsidR="00F73D5B" w:rsidRPr="008B7A21" w:rsidRDefault="00F73D5B" w:rsidP="00F73D5B">
      <w:pPr>
        <w:rPr>
          <w:lang w:val="es-ES_tradnl"/>
        </w:rPr>
      </w:pPr>
      <w:r w:rsidRPr="008B7A21">
        <w:rPr>
          <w:lang w:val="es-ES_tradnl"/>
        </w:rPr>
        <w:t xml:space="preserve">De conformidad con los datos que figuran en a) anterior el recurso de frecuencia utilizado, introduciendo en la ecuación (24) el valor </w:t>
      </w:r>
      <w:r w:rsidRPr="008B7A21">
        <w:rPr>
          <w:lang w:val="es-ES_tradnl"/>
        </w:rPr>
        <w:sym w:font="Symbol" w:char="F063"/>
      </w:r>
      <w:r w:rsidRPr="008B7A21">
        <w:rPr>
          <w:lang w:val="es-ES_tradnl"/>
        </w:rPr>
        <w:t> = 1, es:</w:t>
      </w:r>
    </w:p>
    <w:p w14:paraId="5D6E9185" w14:textId="77777777" w:rsidR="00F73D5B" w:rsidRPr="008B7A21" w:rsidRDefault="00F73D5B" w:rsidP="00F73D5B">
      <w:pPr>
        <w:pStyle w:val="Blanc"/>
        <w:rPr>
          <w:lang w:val="es-ES_tradnl"/>
        </w:rPr>
      </w:pPr>
    </w:p>
    <w:p w14:paraId="75D17501" w14:textId="4EF84262" w:rsidR="00F73D5B" w:rsidRPr="008B7A21" w:rsidRDefault="00F73D5B" w:rsidP="00F73D5B">
      <w:pPr>
        <w:pStyle w:val="Equation"/>
        <w:rPr>
          <w:lang w:val="es-ES_tradnl"/>
        </w:rPr>
      </w:pPr>
      <w:r w:rsidRPr="008B7A21">
        <w:rPr>
          <w:i/>
          <w:lang w:val="es-ES_tradnl"/>
        </w:rPr>
        <w:tab/>
      </w:r>
      <w:r w:rsidRPr="008B7A21">
        <w:rPr>
          <w:i/>
          <w:lang w:val="es-ES_tradnl"/>
        </w:rPr>
        <w:tab/>
        <w:t>F</w:t>
      </w:r>
      <w:r w:rsidRPr="008B7A21">
        <w:rPr>
          <w:lang w:val="es-ES_tradnl"/>
        </w:rPr>
        <w:t xml:space="preserve"> </w:t>
      </w:r>
      <w:r w:rsidR="00386EEF">
        <w:rPr>
          <w:lang w:val="es-ES_tradnl"/>
        </w:rPr>
        <w:t>=</w:t>
      </w:r>
      <w:r w:rsidRPr="008B7A21">
        <w:rPr>
          <w:lang w:val="es-ES_tradnl"/>
        </w:rPr>
        <w:t xml:space="preserve"> 200 MHz</w:t>
      </w:r>
    </w:p>
    <w:p w14:paraId="7F829175" w14:textId="77777777" w:rsidR="00F73D5B" w:rsidRPr="008B7A21" w:rsidRDefault="00F73D5B" w:rsidP="00F73D5B">
      <w:pPr>
        <w:pStyle w:val="Blanc"/>
        <w:rPr>
          <w:lang w:val="es-ES_tradnl"/>
        </w:rPr>
      </w:pPr>
      <w:bookmarkStart w:id="1613" w:name="_Toc307922656"/>
      <w:bookmarkStart w:id="1614" w:name="_Toc307992005"/>
      <w:bookmarkStart w:id="1615" w:name="_Toc307994038"/>
      <w:bookmarkStart w:id="1616" w:name="_Toc307996444"/>
    </w:p>
    <w:p w14:paraId="4F133D80" w14:textId="77777777" w:rsidR="00F73D5B" w:rsidRPr="008B7A21" w:rsidRDefault="00F73D5B" w:rsidP="00F73D5B">
      <w:pPr>
        <w:pStyle w:val="Headingb"/>
        <w:rPr>
          <w:lang w:val="es-ES_tradnl"/>
        </w:rPr>
      </w:pPr>
      <w:bookmarkStart w:id="1617" w:name="_Toc499563082"/>
      <w:r w:rsidRPr="008B7A21">
        <w:rPr>
          <w:lang w:val="es-ES_tradnl"/>
        </w:rPr>
        <w:t>c)</w:t>
      </w:r>
      <w:r w:rsidRPr="008B7A21">
        <w:rPr>
          <w:lang w:val="es-ES_tradnl"/>
        </w:rPr>
        <w:tab/>
        <w:t>Recurso territorial utilizado</w:t>
      </w:r>
      <w:bookmarkEnd w:id="1613"/>
      <w:bookmarkEnd w:id="1614"/>
      <w:bookmarkEnd w:id="1615"/>
      <w:bookmarkEnd w:id="1616"/>
      <w:bookmarkEnd w:id="1617"/>
    </w:p>
    <w:p w14:paraId="302B250D" w14:textId="77777777" w:rsidR="00F73D5B" w:rsidRPr="008B7A21" w:rsidRDefault="00F73D5B" w:rsidP="00F73D5B">
      <w:pPr>
        <w:rPr>
          <w:lang w:val="es-ES_tradnl"/>
        </w:rPr>
      </w:pPr>
      <w:r w:rsidRPr="008B7A21">
        <w:rPr>
          <w:lang w:val="es-ES_tradnl"/>
        </w:rPr>
        <w:t xml:space="preserve">Introduciendo los datos correspondientes de a) en la ecuación (50), donde </w:t>
      </w:r>
      <w:r w:rsidRPr="008B7A21">
        <w:rPr>
          <w:i/>
          <w:lang w:val="es-ES_tradnl"/>
        </w:rPr>
        <w:t>L</w:t>
      </w:r>
      <w:r w:rsidRPr="008B7A21">
        <w:rPr>
          <w:i/>
          <w:vertAlign w:val="subscript"/>
          <w:lang w:val="es-ES_tradnl"/>
        </w:rPr>
        <w:t>c</w:t>
      </w:r>
      <w:r w:rsidRPr="008B7A21">
        <w:rPr>
          <w:lang w:val="es-ES_tradnl"/>
        </w:rPr>
        <w:t xml:space="preserve"> representa la distancia de coordinación, se obtiene:</w:t>
      </w:r>
    </w:p>
    <w:p w14:paraId="02393D7E" w14:textId="092F8656" w:rsidR="00F73D5B" w:rsidRPr="008B7A21" w:rsidRDefault="00F73D5B" w:rsidP="00F73D5B">
      <w:pPr>
        <w:pStyle w:val="Equation"/>
        <w:rPr>
          <w:lang w:val="es-ES_tradnl"/>
        </w:rPr>
      </w:pPr>
      <w:r w:rsidRPr="008B7A21">
        <w:rPr>
          <w:i/>
          <w:iCs/>
          <w:lang w:val="es-ES_tradnl"/>
        </w:rPr>
        <w:tab/>
      </w:r>
      <w:r w:rsidRPr="008B7A21">
        <w:rPr>
          <w:i/>
          <w:iCs/>
          <w:lang w:val="es-ES_tradnl"/>
        </w:rPr>
        <w:tab/>
        <w:t>s</w:t>
      </w:r>
      <w:r w:rsidRPr="008B7A21">
        <w:rPr>
          <w:i/>
          <w:iCs/>
          <w:vertAlign w:val="subscript"/>
          <w:lang w:val="es-ES_tradnl"/>
        </w:rPr>
        <w:t>o</w:t>
      </w:r>
      <w:r w:rsidRPr="008B7A21">
        <w:rPr>
          <w:lang w:val="es-ES_tradnl"/>
        </w:rPr>
        <w:t xml:space="preserve"> </w:t>
      </w:r>
      <w:r w:rsidR="00386EEF">
        <w:rPr>
          <w:lang w:val="es-ES_tradnl"/>
        </w:rPr>
        <w:t>=</w:t>
      </w:r>
      <w:r w:rsidRPr="008B7A21">
        <w:rPr>
          <w:lang w:val="es-ES_tradnl"/>
        </w:rPr>
        <w:t xml:space="preserve"> (0,5/180) </w:t>
      </w:r>
      <w:r w:rsidR="00386EEF">
        <w:rPr>
          <w:lang w:val="es-ES_tradnl"/>
        </w:rPr>
        <w:t>×</w:t>
      </w:r>
      <w:r w:rsidRPr="008B7A21">
        <w:rPr>
          <w:lang w:val="es-ES_tradnl"/>
        </w:rPr>
        <w:t> </w:t>
      </w:r>
      <w:r w:rsidR="00386EEF" w:rsidRPr="00386EEF">
        <w:sym w:font="Symbol" w:char="F070"/>
      </w:r>
      <w:r w:rsidRPr="008B7A21">
        <w:rPr>
          <w:lang w:val="es-ES_tradnl"/>
        </w:rPr>
        <w:t> </w:t>
      </w:r>
      <w:r w:rsidR="00386EEF">
        <w:rPr>
          <w:lang w:val="es-ES_tradnl"/>
        </w:rPr>
        <w:t>×</w:t>
      </w:r>
      <w:r w:rsidRPr="008B7A21">
        <w:rPr>
          <w:lang w:val="es-ES_tradnl"/>
        </w:rPr>
        <w:t> 750</w:t>
      </w:r>
      <w:r w:rsidRPr="008B7A21">
        <w:rPr>
          <w:vertAlign w:val="superscript"/>
          <w:lang w:val="es-ES_tradnl"/>
        </w:rPr>
        <w:t>2</w:t>
      </w:r>
      <w:r w:rsidRPr="008B7A21">
        <w:rPr>
          <w:lang w:val="es-ES_tradnl"/>
        </w:rPr>
        <w:t xml:space="preserve"> </w:t>
      </w:r>
      <w:r w:rsidR="00386EEF">
        <w:rPr>
          <w:lang w:val="es-ES_tradnl"/>
        </w:rPr>
        <w:t>=</w:t>
      </w:r>
      <w:r w:rsidRPr="008B7A21">
        <w:rPr>
          <w:lang w:val="es-ES_tradnl"/>
        </w:rPr>
        <w:t xml:space="preserve"> 4</w:t>
      </w:r>
      <w:r w:rsidRPr="008B7A21">
        <w:rPr>
          <w:color w:val="000000"/>
          <w:lang w:val="es-ES_tradnl"/>
        </w:rPr>
        <w:t> </w:t>
      </w:r>
      <w:r w:rsidRPr="008B7A21">
        <w:rPr>
          <w:lang w:val="es-ES_tradnl"/>
        </w:rPr>
        <w:t>909 km</w:t>
      </w:r>
      <w:r w:rsidRPr="008B7A21">
        <w:rPr>
          <w:vertAlign w:val="superscript"/>
          <w:lang w:val="es-ES_tradnl"/>
        </w:rPr>
        <w:t>2</w:t>
      </w:r>
    </w:p>
    <w:p w14:paraId="68F8AF1D" w14:textId="77777777" w:rsidR="00F73D5B" w:rsidRPr="008B7A21" w:rsidRDefault="00F73D5B" w:rsidP="00F73D5B">
      <w:pPr>
        <w:pStyle w:val="Blanc"/>
        <w:rPr>
          <w:lang w:val="es-ES_tradnl"/>
        </w:rPr>
      </w:pPr>
    </w:p>
    <w:p w14:paraId="2762C90D" w14:textId="77777777" w:rsidR="00F73D5B" w:rsidRPr="008B7A21" w:rsidRDefault="00F73D5B" w:rsidP="00F73D5B">
      <w:pPr>
        <w:rPr>
          <w:lang w:val="es-ES_tradnl"/>
        </w:rPr>
      </w:pPr>
      <w:r w:rsidRPr="008B7A21">
        <w:rPr>
          <w:lang w:val="es-ES_tradnl"/>
        </w:rPr>
        <w:t>De la ecuación (22), y teniendo en cuenta la categoría de la zona, se obtiene:</w:t>
      </w:r>
    </w:p>
    <w:p w14:paraId="13C7B637" w14:textId="77777777" w:rsidR="00F73D5B" w:rsidRPr="008B7A21" w:rsidRDefault="00F73D5B" w:rsidP="00F73D5B">
      <w:pPr>
        <w:pStyle w:val="Blanc"/>
        <w:rPr>
          <w:lang w:val="es-ES_tradnl"/>
        </w:rPr>
      </w:pPr>
    </w:p>
    <w:p w14:paraId="6FA62230" w14:textId="6746A672" w:rsidR="00F73D5B" w:rsidRPr="008B7A21" w:rsidRDefault="00F73D5B" w:rsidP="00F73D5B">
      <w:pPr>
        <w:pStyle w:val="Equation"/>
        <w:rPr>
          <w:lang w:val="es-ES_tradnl"/>
        </w:rPr>
      </w:pPr>
      <w:r w:rsidRPr="008B7A21">
        <w:rPr>
          <w:i/>
          <w:iCs/>
          <w:lang w:val="es-ES_tradnl"/>
        </w:rPr>
        <w:tab/>
      </w:r>
      <w:r w:rsidRPr="008B7A21">
        <w:rPr>
          <w:i/>
          <w:iCs/>
          <w:lang w:val="es-ES_tradnl"/>
        </w:rPr>
        <w:tab/>
        <w:t>S</w:t>
      </w:r>
      <w:r w:rsidRPr="008B7A21">
        <w:rPr>
          <w:lang w:val="es-ES_tradnl"/>
        </w:rPr>
        <w:t xml:space="preserve"> </w:t>
      </w:r>
      <w:r w:rsidR="00386EEF">
        <w:rPr>
          <w:lang w:val="es-ES_tradnl"/>
        </w:rPr>
        <w:t>=</w:t>
      </w:r>
      <w:r w:rsidRPr="008B7A21">
        <w:rPr>
          <w:lang w:val="es-ES_tradnl"/>
        </w:rPr>
        <w:t xml:space="preserve"> 0,2 </w:t>
      </w:r>
      <w:r w:rsidR="00386EEF">
        <w:rPr>
          <w:lang w:val="es-ES_tradnl"/>
        </w:rPr>
        <w:t>×</w:t>
      </w:r>
      <w:r w:rsidRPr="008B7A21">
        <w:rPr>
          <w:lang w:val="es-ES_tradnl"/>
        </w:rPr>
        <w:t> 4</w:t>
      </w:r>
      <w:r w:rsidRPr="008B7A21">
        <w:rPr>
          <w:color w:val="000000"/>
          <w:lang w:val="es-ES_tradnl"/>
        </w:rPr>
        <w:t> </w:t>
      </w:r>
      <w:r w:rsidRPr="008B7A21">
        <w:rPr>
          <w:lang w:val="es-ES_tradnl"/>
        </w:rPr>
        <w:t xml:space="preserve">909 </w:t>
      </w:r>
      <w:r w:rsidR="00386EEF">
        <w:rPr>
          <w:lang w:val="es-ES_tradnl"/>
        </w:rPr>
        <w:t>=</w:t>
      </w:r>
      <w:r w:rsidRPr="008B7A21">
        <w:rPr>
          <w:lang w:val="es-ES_tradnl"/>
        </w:rPr>
        <w:t xml:space="preserve"> 982 km</w:t>
      </w:r>
      <w:r w:rsidRPr="008B7A21">
        <w:rPr>
          <w:vertAlign w:val="superscript"/>
          <w:lang w:val="es-ES_tradnl"/>
        </w:rPr>
        <w:t>2</w:t>
      </w:r>
    </w:p>
    <w:p w14:paraId="537A6CD8" w14:textId="77777777" w:rsidR="00F73D5B" w:rsidRPr="008B7A21" w:rsidRDefault="00F73D5B" w:rsidP="00F73D5B">
      <w:pPr>
        <w:pStyle w:val="Blanc"/>
        <w:rPr>
          <w:lang w:val="es-ES_tradnl"/>
        </w:rPr>
      </w:pPr>
      <w:bookmarkStart w:id="1618" w:name="_Toc307922657"/>
      <w:bookmarkStart w:id="1619" w:name="_Toc307992006"/>
      <w:bookmarkStart w:id="1620" w:name="_Toc307994039"/>
      <w:bookmarkStart w:id="1621" w:name="_Toc307996445"/>
    </w:p>
    <w:p w14:paraId="1AAE7968" w14:textId="77777777" w:rsidR="00F73D5B" w:rsidRPr="008B7A21" w:rsidRDefault="00F73D5B" w:rsidP="00F73D5B">
      <w:pPr>
        <w:pStyle w:val="Headingb"/>
        <w:rPr>
          <w:lang w:val="es-ES_tradnl"/>
        </w:rPr>
      </w:pPr>
      <w:bookmarkStart w:id="1622" w:name="_Toc499563083"/>
      <w:r w:rsidRPr="008B7A21">
        <w:rPr>
          <w:lang w:val="es-ES_tradnl"/>
        </w:rPr>
        <w:t>d)</w:t>
      </w:r>
      <w:r w:rsidRPr="008B7A21">
        <w:rPr>
          <w:lang w:val="es-ES_tradnl"/>
        </w:rPr>
        <w:tab/>
        <w:t>Espectro utilizado</w:t>
      </w:r>
      <w:bookmarkEnd w:id="1618"/>
      <w:bookmarkEnd w:id="1619"/>
      <w:bookmarkEnd w:id="1620"/>
      <w:bookmarkEnd w:id="1621"/>
      <w:bookmarkEnd w:id="1622"/>
    </w:p>
    <w:p w14:paraId="32744394" w14:textId="14C3E6AA" w:rsidR="00F73D5B" w:rsidRPr="008B7A21" w:rsidRDefault="00F73D5B" w:rsidP="00F73D5B">
      <w:pPr>
        <w:rPr>
          <w:lang w:val="es-ES_tradnl"/>
        </w:rPr>
      </w:pPr>
      <w:r w:rsidRPr="008B7A21">
        <w:rPr>
          <w:lang w:val="es-ES_tradnl"/>
        </w:rPr>
        <w:t>Introduciendo los valores calculados en la ecuación (20), utilizando los valores de los coeficientes de ponderación presentados en el Cuadro 3 y teniendo en cuenta que no se comparten las frecuencias (</w:t>
      </w:r>
      <w:r w:rsidRPr="008B7A21">
        <w:rPr>
          <w:lang w:val="es-ES_tradnl"/>
        </w:rPr>
        <w:sym w:font="Symbol" w:char="F062"/>
      </w:r>
      <w:r w:rsidRPr="008B7A21">
        <w:rPr>
          <w:lang w:val="es-ES_tradnl"/>
        </w:rPr>
        <w:t> </w:t>
      </w:r>
      <w:r w:rsidR="00386EEF">
        <w:rPr>
          <w:lang w:val="es-ES_tradnl"/>
        </w:rPr>
        <w:t>=</w:t>
      </w:r>
      <w:r w:rsidRPr="008B7A21">
        <w:rPr>
          <w:lang w:val="es-ES_tradnl"/>
        </w:rPr>
        <w:t> 1), se obtiene finalmente:</w:t>
      </w:r>
    </w:p>
    <w:p w14:paraId="31515278" w14:textId="77777777" w:rsidR="00F73D5B" w:rsidRPr="008B7A21" w:rsidRDefault="00F73D5B" w:rsidP="00F73D5B">
      <w:pPr>
        <w:pStyle w:val="Blanc"/>
        <w:rPr>
          <w:lang w:val="es-ES_tradnl"/>
        </w:rPr>
      </w:pPr>
    </w:p>
    <w:p w14:paraId="17D586EF" w14:textId="3F0C384C" w:rsidR="00F73D5B" w:rsidRPr="008B7A21" w:rsidRDefault="00F73D5B" w:rsidP="00F73D5B">
      <w:pPr>
        <w:pStyle w:val="Equation"/>
        <w:rPr>
          <w:lang w:val="es-ES_tradnl"/>
        </w:rPr>
      </w:pPr>
      <w:r w:rsidRPr="008B7A21">
        <w:rPr>
          <w:i/>
          <w:lang w:val="es-ES_tradnl"/>
        </w:rPr>
        <w:tab/>
      </w:r>
      <w:r w:rsidRPr="008B7A21">
        <w:rPr>
          <w:i/>
          <w:lang w:val="es-ES_tradnl"/>
        </w:rPr>
        <w:tab/>
        <w:t>W</w:t>
      </w:r>
      <w:r w:rsidRPr="008B7A21">
        <w:rPr>
          <w:lang w:val="es-ES_tradnl"/>
        </w:rPr>
        <w:t xml:space="preserve"> </w:t>
      </w:r>
      <w:r w:rsidR="00386EEF">
        <w:rPr>
          <w:lang w:val="es-ES_tradnl"/>
        </w:rPr>
        <w:t>=</w:t>
      </w:r>
      <w:r w:rsidRPr="008B7A21">
        <w:rPr>
          <w:lang w:val="es-ES_tradnl"/>
        </w:rPr>
        <w:t xml:space="preserve"> 1,4 </w:t>
      </w:r>
      <w:r w:rsidR="00386EEF">
        <w:rPr>
          <w:lang w:val="es-ES_tradnl"/>
        </w:rPr>
        <w:t>×</w:t>
      </w:r>
      <w:r w:rsidRPr="008B7A21">
        <w:rPr>
          <w:lang w:val="es-ES_tradnl"/>
        </w:rPr>
        <w:t> 0,1 </w:t>
      </w:r>
      <w:r w:rsidR="00386EEF">
        <w:rPr>
          <w:lang w:val="es-ES_tradnl"/>
        </w:rPr>
        <w:t>×</w:t>
      </w:r>
      <w:r w:rsidRPr="008B7A21">
        <w:rPr>
          <w:lang w:val="es-ES_tradnl"/>
        </w:rPr>
        <w:t> 0,1 </w:t>
      </w:r>
      <w:r w:rsidR="00386EEF">
        <w:rPr>
          <w:lang w:val="es-ES_tradnl"/>
        </w:rPr>
        <w:t>×</w:t>
      </w:r>
      <w:r w:rsidRPr="008B7A21">
        <w:rPr>
          <w:lang w:val="es-ES_tradnl"/>
        </w:rPr>
        <w:t> 0,2 </w:t>
      </w:r>
      <w:r w:rsidR="00386EEF">
        <w:rPr>
          <w:lang w:val="es-ES_tradnl"/>
        </w:rPr>
        <w:t>×</w:t>
      </w:r>
      <w:r w:rsidRPr="008B7A21">
        <w:rPr>
          <w:lang w:val="es-ES_tradnl"/>
        </w:rPr>
        <w:t> 1 </w:t>
      </w:r>
      <w:r w:rsidR="00386EEF">
        <w:rPr>
          <w:lang w:val="es-ES_tradnl"/>
        </w:rPr>
        <w:t>×</w:t>
      </w:r>
      <w:r w:rsidRPr="008B7A21">
        <w:rPr>
          <w:lang w:val="es-ES_tradnl"/>
        </w:rPr>
        <w:t> 200 </w:t>
      </w:r>
      <w:r w:rsidR="00386EEF">
        <w:rPr>
          <w:lang w:val="es-ES_tradnl"/>
        </w:rPr>
        <w:t>×</w:t>
      </w:r>
      <w:r w:rsidRPr="008B7A21">
        <w:rPr>
          <w:lang w:val="es-ES_tradnl"/>
        </w:rPr>
        <w:t> 982 </w:t>
      </w:r>
      <w:r w:rsidR="00386EEF">
        <w:rPr>
          <w:lang w:val="es-ES_tradnl"/>
        </w:rPr>
        <w:t>×</w:t>
      </w:r>
      <w:r w:rsidRPr="008B7A21">
        <w:rPr>
          <w:lang w:val="es-ES_tradnl"/>
        </w:rPr>
        <w:t xml:space="preserve"> 1 </w:t>
      </w:r>
      <w:r w:rsidR="00386EEF">
        <w:rPr>
          <w:lang w:val="es-ES_tradnl"/>
        </w:rPr>
        <w:t>=</w:t>
      </w:r>
      <w:r w:rsidRPr="008B7A21">
        <w:rPr>
          <w:lang w:val="es-ES_tradnl"/>
        </w:rPr>
        <w:t xml:space="preserve"> 550             MHz </w:t>
      </w:r>
      <w:r w:rsidRPr="008B7A21">
        <w:rPr>
          <w:lang w:val="es-ES_tradnl"/>
        </w:rPr>
        <w:sym w:font="Symbol" w:char="F0D7"/>
      </w:r>
      <w:r w:rsidRPr="008B7A21">
        <w:rPr>
          <w:lang w:val="es-ES_tradnl"/>
        </w:rPr>
        <w:t xml:space="preserve"> km</w:t>
      </w:r>
      <w:r w:rsidRPr="008B7A21">
        <w:rPr>
          <w:vertAlign w:val="superscript"/>
          <w:lang w:val="es-ES_tradnl"/>
        </w:rPr>
        <w:t>2</w:t>
      </w:r>
      <w:r w:rsidRPr="008B7A21">
        <w:rPr>
          <w:lang w:val="es-ES_tradnl"/>
        </w:rPr>
        <w:t xml:space="preserve"> </w:t>
      </w:r>
      <w:r w:rsidRPr="008B7A21">
        <w:rPr>
          <w:lang w:val="es-ES_tradnl"/>
        </w:rPr>
        <w:sym w:font="Symbol" w:char="F0D7"/>
      </w:r>
      <w:r w:rsidRPr="008B7A21">
        <w:rPr>
          <w:lang w:val="es-ES_tradnl"/>
        </w:rPr>
        <w:t xml:space="preserve"> 1 año</w:t>
      </w:r>
    </w:p>
    <w:p w14:paraId="75A64148" w14:textId="77777777" w:rsidR="00F73D5B" w:rsidRPr="008B7A21" w:rsidRDefault="00F73D5B" w:rsidP="00F73D5B">
      <w:pPr>
        <w:pStyle w:val="Blanc"/>
        <w:rPr>
          <w:lang w:val="es-ES_tradnl"/>
        </w:rPr>
      </w:pPr>
    </w:p>
    <w:p w14:paraId="06236BC8" w14:textId="1DB2DB1A" w:rsidR="00F73D5B" w:rsidRPr="008B7A21" w:rsidRDefault="00F73D5B" w:rsidP="00F73D5B">
      <w:pPr>
        <w:pStyle w:val="Heading4"/>
        <w:rPr>
          <w:lang w:val="es-ES_tradnl"/>
        </w:rPr>
      </w:pPr>
      <w:r w:rsidRPr="008B7A21">
        <w:rPr>
          <w:lang w:val="es-ES_tradnl"/>
        </w:rPr>
        <w:t>4.7.8.2.2</w:t>
      </w:r>
      <w:r w:rsidRPr="008B7A21">
        <w:rPr>
          <w:lang w:val="es-ES_tradnl"/>
        </w:rPr>
        <w:tab/>
        <w:t>Estación terrena de recepción</w:t>
      </w:r>
    </w:p>
    <w:p w14:paraId="17EA9E9E" w14:textId="77777777" w:rsidR="00F73D5B" w:rsidRPr="008B7A21" w:rsidRDefault="00F73D5B" w:rsidP="00F73D5B">
      <w:pPr>
        <w:pStyle w:val="Headingb"/>
        <w:rPr>
          <w:lang w:val="es-ES_tradnl"/>
        </w:rPr>
      </w:pPr>
      <w:bookmarkStart w:id="1623" w:name="_Toc307922658"/>
      <w:bookmarkStart w:id="1624" w:name="_Toc307992007"/>
      <w:bookmarkStart w:id="1625" w:name="_Toc307994040"/>
      <w:bookmarkStart w:id="1626" w:name="_Toc307996446"/>
      <w:bookmarkStart w:id="1627" w:name="_Toc499563084"/>
      <w:r w:rsidRPr="008B7A21">
        <w:rPr>
          <w:lang w:val="es-ES_tradnl"/>
        </w:rPr>
        <w:t>a)</w:t>
      </w:r>
      <w:r w:rsidRPr="008B7A21">
        <w:rPr>
          <w:lang w:val="es-ES_tradnl"/>
        </w:rPr>
        <w:tab/>
        <w:t>Parámetros de partida</w:t>
      </w:r>
      <w:bookmarkEnd w:id="1623"/>
      <w:bookmarkEnd w:id="1624"/>
      <w:bookmarkEnd w:id="1625"/>
      <w:bookmarkEnd w:id="1626"/>
      <w:bookmarkEnd w:id="1627"/>
    </w:p>
    <w:p w14:paraId="1ED3C767" w14:textId="03C8B7CF" w:rsidR="00F73D5B" w:rsidRPr="008B7A21" w:rsidRDefault="00F73D5B" w:rsidP="00F73D5B">
      <w:pPr>
        <w:rPr>
          <w:lang w:val="es-ES_tradnl"/>
        </w:rPr>
      </w:pPr>
      <w:r w:rsidRPr="008B7A21">
        <w:rPr>
          <w:lang w:val="es-ES_tradnl"/>
        </w:rPr>
        <w:t>Vamos a calcular el espectro utilizado por una estación terrena VSAT receptora que funciona las 24 horas del día. Debido a la ausencia de datos más precisos, se considera una distancia de coordinación de 350 km.</w:t>
      </w:r>
      <w:r w:rsidRPr="008B7A21">
        <w:rPr>
          <w:color w:val="000000"/>
          <w:lang w:val="es-ES_tradnl"/>
        </w:rPr>
        <w:t xml:space="preserve"> La estación se encuentra situada en zona rural y la anchura de haz de la antena es 1</w:t>
      </w:r>
      <w:r w:rsidR="00386EEF" w:rsidRPr="00386EEF">
        <w:sym w:font="Symbol" w:char="F0B0"/>
      </w:r>
      <w:r w:rsidRPr="008B7A21">
        <w:rPr>
          <w:color w:val="000000"/>
          <w:lang w:val="es-ES_tradnl"/>
        </w:rPr>
        <w:t xml:space="preserve">. La zona ocupada de la emisión se encuentra en una zona clasificada por el Cuadro 2 con un valor </w:t>
      </w:r>
      <w:r w:rsidRPr="008B7A21">
        <w:rPr>
          <w:lang w:val="es-ES_tradnl"/>
        </w:rPr>
        <w:t>0,3. Supóngase además que, de conformidad con la asignación de frecuencia pertinente inscrita en la base de datos nacional de gestión del espectro, la anchura de banda de la señal recibida es 30 MHz.</w:t>
      </w:r>
    </w:p>
    <w:p w14:paraId="3D957024" w14:textId="77777777" w:rsidR="00F73D5B" w:rsidRPr="008B7A21" w:rsidRDefault="00F73D5B" w:rsidP="00F73D5B">
      <w:pPr>
        <w:pStyle w:val="Headingb"/>
        <w:rPr>
          <w:lang w:val="es-ES_tradnl"/>
        </w:rPr>
      </w:pPr>
      <w:bookmarkStart w:id="1628" w:name="_Toc307922659"/>
      <w:bookmarkStart w:id="1629" w:name="_Toc307992008"/>
      <w:bookmarkStart w:id="1630" w:name="_Toc307994041"/>
      <w:bookmarkStart w:id="1631" w:name="_Toc307996447"/>
      <w:bookmarkStart w:id="1632" w:name="_Toc499563085"/>
      <w:r w:rsidRPr="008B7A21">
        <w:rPr>
          <w:lang w:val="es-ES_tradnl"/>
        </w:rPr>
        <w:t>b)</w:t>
      </w:r>
      <w:r w:rsidRPr="008B7A21">
        <w:rPr>
          <w:lang w:val="es-ES_tradnl"/>
        </w:rPr>
        <w:tab/>
        <w:t>Recursos de tiempo y frecuencia utilizados</w:t>
      </w:r>
      <w:bookmarkEnd w:id="1628"/>
      <w:bookmarkEnd w:id="1629"/>
      <w:bookmarkEnd w:id="1630"/>
      <w:bookmarkEnd w:id="1631"/>
      <w:bookmarkEnd w:id="1632"/>
    </w:p>
    <w:p w14:paraId="28FBF7FC" w14:textId="77777777" w:rsidR="00F73D5B" w:rsidRPr="008B7A21" w:rsidRDefault="00F73D5B" w:rsidP="00F73D5B">
      <w:pPr>
        <w:rPr>
          <w:lang w:val="es-ES_tradnl"/>
        </w:rPr>
      </w:pPr>
      <w:r w:rsidRPr="008B7A21">
        <w:rPr>
          <w:lang w:val="es-ES_tradnl"/>
        </w:rPr>
        <w:t>Suponiendo un modo de funcionamiento continuo en la estación, de la ecuación (21) se deduce:</w:t>
      </w:r>
    </w:p>
    <w:p w14:paraId="65654F64" w14:textId="77777777" w:rsidR="00F73D5B" w:rsidRPr="008B7A21" w:rsidRDefault="00F73D5B" w:rsidP="00F73D5B">
      <w:pPr>
        <w:pStyle w:val="Blanc"/>
        <w:rPr>
          <w:lang w:val="es-ES_tradnl"/>
        </w:rPr>
      </w:pPr>
    </w:p>
    <w:p w14:paraId="7AA3AF27" w14:textId="66347D1F" w:rsidR="00F73D5B" w:rsidRPr="008B7A21" w:rsidRDefault="00F73D5B" w:rsidP="00F73D5B">
      <w:pPr>
        <w:pStyle w:val="Equation"/>
        <w:rPr>
          <w:lang w:val="es-ES_tradnl"/>
        </w:rPr>
      </w:pPr>
      <w:r w:rsidRPr="008B7A21">
        <w:rPr>
          <w:i/>
          <w:lang w:val="es-ES_tradnl"/>
        </w:rPr>
        <w:tab/>
      </w:r>
      <w:r w:rsidRPr="008B7A21">
        <w:rPr>
          <w:i/>
          <w:lang w:val="es-ES_tradnl"/>
        </w:rPr>
        <w:tab/>
        <w:t>T</w:t>
      </w:r>
      <w:r w:rsidRPr="008B7A21">
        <w:rPr>
          <w:lang w:val="es-ES_tradnl"/>
        </w:rPr>
        <w:t xml:space="preserve"> </w:t>
      </w:r>
      <w:r w:rsidR="00386EEF">
        <w:rPr>
          <w:lang w:val="es-ES_tradnl"/>
        </w:rPr>
        <w:t>=</w:t>
      </w:r>
      <w:r w:rsidRPr="008B7A21">
        <w:rPr>
          <w:lang w:val="es-ES_tradnl"/>
        </w:rPr>
        <w:t xml:space="preserve"> 24/24 (cada día) </w:t>
      </w:r>
      <w:r w:rsidR="00386EEF">
        <w:rPr>
          <w:lang w:val="es-ES_tradnl"/>
        </w:rPr>
        <w:t>=</w:t>
      </w:r>
      <w:r w:rsidRPr="008B7A21">
        <w:rPr>
          <w:lang w:val="es-ES_tradnl"/>
        </w:rPr>
        <w:t xml:space="preserve"> 1 año</w:t>
      </w:r>
    </w:p>
    <w:p w14:paraId="748366B9" w14:textId="77777777" w:rsidR="00F73D5B" w:rsidRPr="008B7A21" w:rsidRDefault="00F73D5B" w:rsidP="00F73D5B">
      <w:pPr>
        <w:pStyle w:val="Blanc"/>
        <w:rPr>
          <w:lang w:val="es-ES_tradnl"/>
        </w:rPr>
      </w:pPr>
    </w:p>
    <w:p w14:paraId="7008B546" w14:textId="77777777" w:rsidR="00F73D5B" w:rsidRPr="008B7A21" w:rsidRDefault="00F73D5B" w:rsidP="00F73D5B">
      <w:pPr>
        <w:rPr>
          <w:lang w:val="es-ES_tradnl"/>
        </w:rPr>
      </w:pPr>
      <w:r w:rsidRPr="008B7A21">
        <w:rPr>
          <w:lang w:val="es-ES_tradnl"/>
        </w:rPr>
        <w:t xml:space="preserve">De conformidad con el recurso de frecuencia utilizado, introduciendo en la ecuación (24) un valor </w:t>
      </w:r>
      <w:r w:rsidRPr="008B7A21">
        <w:rPr>
          <w:lang w:val="es-ES_tradnl"/>
        </w:rPr>
        <w:sym w:font="Symbol" w:char="F063"/>
      </w:r>
      <w:r w:rsidRPr="008B7A21">
        <w:rPr>
          <w:lang w:val="es-ES_tradnl"/>
        </w:rPr>
        <w:t> = 1, se obtiene:</w:t>
      </w:r>
    </w:p>
    <w:p w14:paraId="191F3831" w14:textId="77777777" w:rsidR="00F73D5B" w:rsidRPr="008B7A21" w:rsidRDefault="00F73D5B" w:rsidP="00F73D5B">
      <w:pPr>
        <w:pStyle w:val="Blanc"/>
        <w:rPr>
          <w:lang w:val="es-ES_tradnl"/>
        </w:rPr>
      </w:pPr>
    </w:p>
    <w:p w14:paraId="5DBB69B8" w14:textId="425E3C7F" w:rsidR="00F73D5B" w:rsidRPr="008B7A21" w:rsidRDefault="00F73D5B" w:rsidP="00F73D5B">
      <w:pPr>
        <w:pStyle w:val="Equation"/>
        <w:rPr>
          <w:lang w:val="es-ES_tradnl"/>
        </w:rPr>
      </w:pPr>
      <w:r w:rsidRPr="008B7A21">
        <w:rPr>
          <w:i/>
          <w:lang w:val="es-ES_tradnl"/>
        </w:rPr>
        <w:tab/>
      </w:r>
      <w:r w:rsidRPr="008B7A21">
        <w:rPr>
          <w:i/>
          <w:lang w:val="es-ES_tradnl"/>
        </w:rPr>
        <w:tab/>
        <w:t>F</w:t>
      </w:r>
      <w:r w:rsidRPr="008B7A21">
        <w:rPr>
          <w:lang w:val="es-ES_tradnl"/>
        </w:rPr>
        <w:t xml:space="preserve"> </w:t>
      </w:r>
      <w:r w:rsidR="00386EEF">
        <w:rPr>
          <w:lang w:val="es-ES_tradnl"/>
        </w:rPr>
        <w:t>=</w:t>
      </w:r>
      <w:r w:rsidRPr="008B7A21">
        <w:rPr>
          <w:lang w:val="es-ES_tradnl"/>
        </w:rPr>
        <w:t xml:space="preserve"> 30 MHz</w:t>
      </w:r>
    </w:p>
    <w:p w14:paraId="79D3A157" w14:textId="77777777" w:rsidR="00F73D5B" w:rsidRPr="008B7A21" w:rsidRDefault="00F73D5B" w:rsidP="00F73D5B">
      <w:pPr>
        <w:pStyle w:val="Headingb"/>
        <w:rPr>
          <w:lang w:val="es-ES_tradnl"/>
        </w:rPr>
      </w:pPr>
      <w:bookmarkStart w:id="1633" w:name="_Toc307922660"/>
      <w:bookmarkStart w:id="1634" w:name="_Toc307992009"/>
      <w:bookmarkStart w:id="1635" w:name="_Toc307994042"/>
      <w:bookmarkStart w:id="1636" w:name="_Toc307996448"/>
      <w:bookmarkStart w:id="1637" w:name="_Toc499563086"/>
      <w:r w:rsidRPr="008B7A21">
        <w:rPr>
          <w:lang w:val="es-ES_tradnl"/>
        </w:rPr>
        <w:t>c)</w:t>
      </w:r>
      <w:r w:rsidRPr="008B7A21">
        <w:rPr>
          <w:lang w:val="es-ES_tradnl"/>
        </w:rPr>
        <w:tab/>
        <w:t>Recurso territorial utilizado</w:t>
      </w:r>
      <w:bookmarkEnd w:id="1633"/>
      <w:bookmarkEnd w:id="1634"/>
      <w:bookmarkEnd w:id="1635"/>
      <w:bookmarkEnd w:id="1636"/>
      <w:bookmarkEnd w:id="1637"/>
    </w:p>
    <w:p w14:paraId="46E17D38" w14:textId="77777777" w:rsidR="00F73D5B" w:rsidRPr="008B7A21" w:rsidRDefault="00F73D5B" w:rsidP="00F73D5B">
      <w:pPr>
        <w:rPr>
          <w:lang w:val="es-ES_tradnl"/>
        </w:rPr>
      </w:pPr>
      <w:r w:rsidRPr="008B7A21">
        <w:rPr>
          <w:lang w:val="es-ES_tradnl"/>
        </w:rPr>
        <w:t xml:space="preserve">Introduciendo los datos correspondientes en la ecuación (50), donde </w:t>
      </w:r>
      <w:r w:rsidRPr="008B7A21">
        <w:rPr>
          <w:i/>
          <w:lang w:val="es-ES_tradnl"/>
        </w:rPr>
        <w:t>L</w:t>
      </w:r>
      <w:r w:rsidRPr="008B7A21">
        <w:rPr>
          <w:i/>
          <w:vertAlign w:val="subscript"/>
          <w:lang w:val="es-ES_tradnl"/>
        </w:rPr>
        <w:t>c</w:t>
      </w:r>
      <w:r w:rsidRPr="008B7A21">
        <w:rPr>
          <w:lang w:val="es-ES_tradnl"/>
        </w:rPr>
        <w:t xml:space="preserve"> representa la distancia de coordinación, se obtiene:</w:t>
      </w:r>
    </w:p>
    <w:p w14:paraId="538D9580" w14:textId="77777777" w:rsidR="00F73D5B" w:rsidRPr="008B7A21" w:rsidRDefault="00F73D5B" w:rsidP="00F73D5B">
      <w:pPr>
        <w:pStyle w:val="Blanc"/>
        <w:rPr>
          <w:lang w:val="es-ES_tradnl"/>
        </w:rPr>
      </w:pPr>
    </w:p>
    <w:p w14:paraId="79AD2644" w14:textId="2630C892" w:rsidR="00F73D5B" w:rsidRPr="008B7A21" w:rsidRDefault="00F73D5B" w:rsidP="00F73D5B">
      <w:pPr>
        <w:pStyle w:val="Equation"/>
        <w:rPr>
          <w:lang w:val="es-ES_tradnl"/>
        </w:rPr>
      </w:pPr>
      <w:r w:rsidRPr="008B7A21">
        <w:rPr>
          <w:i/>
          <w:iCs/>
          <w:lang w:val="es-ES_tradnl"/>
        </w:rPr>
        <w:tab/>
      </w:r>
      <w:r w:rsidRPr="008B7A21">
        <w:rPr>
          <w:i/>
          <w:iCs/>
          <w:lang w:val="es-ES_tradnl"/>
        </w:rPr>
        <w:tab/>
        <w:t>s</w:t>
      </w:r>
      <w:r w:rsidRPr="008B7A21">
        <w:rPr>
          <w:i/>
          <w:iCs/>
          <w:vertAlign w:val="subscript"/>
          <w:lang w:val="es-ES_tradnl"/>
        </w:rPr>
        <w:t>o</w:t>
      </w:r>
      <w:r w:rsidRPr="008B7A21">
        <w:rPr>
          <w:lang w:val="es-ES_tradnl"/>
        </w:rPr>
        <w:t xml:space="preserve"> </w:t>
      </w:r>
      <w:r w:rsidR="00386EEF">
        <w:rPr>
          <w:lang w:val="es-ES_tradnl"/>
        </w:rPr>
        <w:t>=</w:t>
      </w:r>
      <w:r w:rsidRPr="008B7A21">
        <w:rPr>
          <w:lang w:val="es-ES_tradnl"/>
        </w:rPr>
        <w:t xml:space="preserve"> (1/180) </w:t>
      </w:r>
      <w:r w:rsidR="00386EEF">
        <w:rPr>
          <w:lang w:val="es-ES_tradnl"/>
        </w:rPr>
        <w:t>×</w:t>
      </w:r>
      <w:r w:rsidRPr="008B7A21">
        <w:rPr>
          <w:lang w:val="es-ES_tradnl"/>
        </w:rPr>
        <w:t> </w:t>
      </w:r>
      <w:r w:rsidR="00386EEF" w:rsidRPr="00386EEF">
        <w:sym w:font="Symbol" w:char="F070"/>
      </w:r>
      <w:r w:rsidRPr="008B7A21">
        <w:rPr>
          <w:lang w:val="es-ES_tradnl"/>
        </w:rPr>
        <w:t> </w:t>
      </w:r>
      <w:r w:rsidR="00386EEF">
        <w:rPr>
          <w:lang w:val="es-ES_tradnl"/>
        </w:rPr>
        <w:t>×</w:t>
      </w:r>
      <w:r w:rsidRPr="008B7A21">
        <w:rPr>
          <w:lang w:val="es-ES_tradnl"/>
        </w:rPr>
        <w:t> 350</w:t>
      </w:r>
      <w:r w:rsidRPr="008B7A21">
        <w:rPr>
          <w:vertAlign w:val="superscript"/>
          <w:lang w:val="es-ES_tradnl"/>
        </w:rPr>
        <w:t>2</w:t>
      </w:r>
      <w:r w:rsidRPr="008B7A21">
        <w:rPr>
          <w:lang w:val="es-ES_tradnl"/>
        </w:rPr>
        <w:t xml:space="preserve"> </w:t>
      </w:r>
      <w:r w:rsidR="00386EEF">
        <w:rPr>
          <w:lang w:val="es-ES_tradnl"/>
        </w:rPr>
        <w:t>=</w:t>
      </w:r>
      <w:r w:rsidRPr="008B7A21">
        <w:rPr>
          <w:lang w:val="es-ES_tradnl"/>
        </w:rPr>
        <w:t xml:space="preserve"> 2</w:t>
      </w:r>
      <w:r w:rsidRPr="008B7A21">
        <w:rPr>
          <w:color w:val="000000"/>
          <w:lang w:val="es-ES_tradnl"/>
        </w:rPr>
        <w:t> </w:t>
      </w:r>
      <w:r w:rsidRPr="008B7A21">
        <w:rPr>
          <w:lang w:val="es-ES_tradnl"/>
        </w:rPr>
        <w:t>138 km</w:t>
      </w:r>
      <w:r w:rsidRPr="008B7A21">
        <w:rPr>
          <w:vertAlign w:val="superscript"/>
          <w:lang w:val="es-ES_tradnl"/>
        </w:rPr>
        <w:t>2</w:t>
      </w:r>
    </w:p>
    <w:p w14:paraId="02A1E595" w14:textId="77777777" w:rsidR="00F73D5B" w:rsidRPr="008B7A21" w:rsidRDefault="00F73D5B" w:rsidP="00F73D5B">
      <w:pPr>
        <w:keepNext/>
        <w:keepLines/>
        <w:rPr>
          <w:lang w:val="es-ES_tradnl"/>
        </w:rPr>
      </w:pPr>
      <w:r w:rsidRPr="008B7A21">
        <w:rPr>
          <w:lang w:val="es-ES_tradnl"/>
        </w:rPr>
        <w:t>A partir de la ecuación (22) y teniendo en cuenta la categoría de la zona se deduce que:</w:t>
      </w:r>
    </w:p>
    <w:p w14:paraId="17F147BE" w14:textId="77777777" w:rsidR="00F73D5B" w:rsidRPr="008B7A21" w:rsidRDefault="00F73D5B" w:rsidP="00F73D5B">
      <w:pPr>
        <w:pStyle w:val="Blanc"/>
        <w:rPr>
          <w:lang w:val="es-ES_tradnl"/>
        </w:rPr>
      </w:pPr>
    </w:p>
    <w:p w14:paraId="1E5A09DD" w14:textId="61CCC311" w:rsidR="00F73D5B" w:rsidRPr="008B7A21" w:rsidRDefault="00F73D5B" w:rsidP="00F73D5B">
      <w:pPr>
        <w:pStyle w:val="Equation"/>
        <w:keepNext/>
        <w:keepLines/>
        <w:rPr>
          <w:lang w:val="es-ES_tradnl"/>
        </w:rPr>
      </w:pPr>
      <w:r w:rsidRPr="008B7A21">
        <w:rPr>
          <w:i/>
          <w:iCs/>
          <w:lang w:val="es-ES_tradnl"/>
        </w:rPr>
        <w:tab/>
      </w:r>
      <w:r w:rsidRPr="008B7A21">
        <w:rPr>
          <w:i/>
          <w:iCs/>
          <w:lang w:val="es-ES_tradnl"/>
        </w:rPr>
        <w:tab/>
        <w:t>S</w:t>
      </w:r>
      <w:r w:rsidRPr="008B7A21">
        <w:rPr>
          <w:lang w:val="es-ES_tradnl"/>
        </w:rPr>
        <w:t xml:space="preserve"> </w:t>
      </w:r>
      <w:r w:rsidR="00386EEF">
        <w:rPr>
          <w:lang w:val="es-ES_tradnl"/>
        </w:rPr>
        <w:t>=</w:t>
      </w:r>
      <w:r w:rsidRPr="008B7A21">
        <w:rPr>
          <w:lang w:val="es-ES_tradnl"/>
        </w:rPr>
        <w:t xml:space="preserve"> 0,3 </w:t>
      </w:r>
      <w:r w:rsidR="00386EEF">
        <w:rPr>
          <w:lang w:val="es-ES_tradnl"/>
        </w:rPr>
        <w:t>×</w:t>
      </w:r>
      <w:r w:rsidRPr="008B7A21">
        <w:rPr>
          <w:lang w:val="es-ES_tradnl"/>
        </w:rPr>
        <w:t> 2</w:t>
      </w:r>
      <w:r w:rsidRPr="008B7A21">
        <w:rPr>
          <w:color w:val="000000"/>
          <w:lang w:val="es-ES_tradnl"/>
        </w:rPr>
        <w:t> </w:t>
      </w:r>
      <w:r w:rsidRPr="008B7A21">
        <w:rPr>
          <w:lang w:val="es-ES_tradnl"/>
        </w:rPr>
        <w:t xml:space="preserve">138 </w:t>
      </w:r>
      <w:r w:rsidR="00386EEF">
        <w:rPr>
          <w:lang w:val="es-ES_tradnl"/>
        </w:rPr>
        <w:t>=</w:t>
      </w:r>
      <w:r w:rsidRPr="008B7A21">
        <w:rPr>
          <w:lang w:val="es-ES_tradnl"/>
        </w:rPr>
        <w:t xml:space="preserve"> 641 km</w:t>
      </w:r>
      <w:r w:rsidRPr="008B7A21">
        <w:rPr>
          <w:vertAlign w:val="superscript"/>
          <w:lang w:val="es-ES_tradnl"/>
        </w:rPr>
        <w:t>2</w:t>
      </w:r>
    </w:p>
    <w:p w14:paraId="7F39127D" w14:textId="77777777" w:rsidR="00F73D5B" w:rsidRPr="008B7A21" w:rsidRDefault="00F73D5B" w:rsidP="00F73D5B">
      <w:pPr>
        <w:pStyle w:val="Headingb"/>
        <w:rPr>
          <w:lang w:val="es-ES_tradnl"/>
        </w:rPr>
      </w:pPr>
      <w:bookmarkStart w:id="1638" w:name="_Toc307922661"/>
      <w:bookmarkStart w:id="1639" w:name="_Toc307992010"/>
      <w:bookmarkStart w:id="1640" w:name="_Toc307994043"/>
      <w:bookmarkStart w:id="1641" w:name="_Toc307996449"/>
      <w:bookmarkStart w:id="1642" w:name="_Toc499563087"/>
      <w:r w:rsidRPr="008B7A21">
        <w:rPr>
          <w:lang w:val="es-ES_tradnl"/>
        </w:rPr>
        <w:t>d)</w:t>
      </w:r>
      <w:r w:rsidRPr="008B7A21">
        <w:rPr>
          <w:lang w:val="es-ES_tradnl"/>
        </w:rPr>
        <w:tab/>
        <w:t>Espectro utilizado</w:t>
      </w:r>
      <w:bookmarkEnd w:id="1638"/>
      <w:bookmarkEnd w:id="1639"/>
      <w:bookmarkEnd w:id="1640"/>
      <w:bookmarkEnd w:id="1641"/>
      <w:bookmarkEnd w:id="1642"/>
    </w:p>
    <w:p w14:paraId="4B872FE2" w14:textId="0D4DBC4E" w:rsidR="00F73D5B" w:rsidRPr="008B7A21" w:rsidRDefault="00F73D5B" w:rsidP="00F73D5B">
      <w:pPr>
        <w:rPr>
          <w:lang w:val="es-ES_tradnl"/>
        </w:rPr>
      </w:pPr>
      <w:r w:rsidRPr="008B7A21">
        <w:rPr>
          <w:lang w:val="es-ES_tradnl"/>
        </w:rPr>
        <w:t>Introduciendo los valores calculados en la ecuación (20), utilizando los valores de coeficiente de ponderación del Cuadro 3 y teniendo en cuenta que no se comparten las frecuencias (</w:t>
      </w:r>
      <w:r w:rsidRPr="008B7A21">
        <w:rPr>
          <w:lang w:val="es-ES_tradnl"/>
        </w:rPr>
        <w:sym w:font="Symbol" w:char="F062"/>
      </w:r>
      <w:r w:rsidRPr="008B7A21">
        <w:rPr>
          <w:lang w:val="es-ES_tradnl"/>
        </w:rPr>
        <w:t> </w:t>
      </w:r>
      <w:r w:rsidR="00386EEF">
        <w:rPr>
          <w:lang w:val="es-ES_tradnl"/>
        </w:rPr>
        <w:t>=</w:t>
      </w:r>
      <w:r w:rsidRPr="008B7A21">
        <w:rPr>
          <w:lang w:val="es-ES_tradnl"/>
        </w:rPr>
        <w:t> 1), se obtiene finalmente:</w:t>
      </w:r>
    </w:p>
    <w:p w14:paraId="1C44CF4A" w14:textId="77777777" w:rsidR="00F73D5B" w:rsidRPr="008B7A21" w:rsidRDefault="00F73D5B" w:rsidP="00F73D5B">
      <w:pPr>
        <w:pStyle w:val="Blanc"/>
        <w:rPr>
          <w:lang w:val="es-ES_tradnl"/>
        </w:rPr>
      </w:pPr>
    </w:p>
    <w:p w14:paraId="16D109B9" w14:textId="6D4F15C5" w:rsidR="00F73D5B" w:rsidRPr="008B7A21" w:rsidRDefault="00F73D5B" w:rsidP="00F73D5B">
      <w:pPr>
        <w:pStyle w:val="Equation"/>
        <w:rPr>
          <w:lang w:val="es-ES_tradnl"/>
        </w:rPr>
      </w:pPr>
      <w:r w:rsidRPr="008B7A21">
        <w:rPr>
          <w:i/>
          <w:lang w:val="es-ES_tradnl"/>
        </w:rPr>
        <w:tab/>
      </w:r>
      <w:r w:rsidRPr="008B7A21">
        <w:rPr>
          <w:i/>
          <w:lang w:val="es-ES_tradnl"/>
        </w:rPr>
        <w:tab/>
        <w:t>W</w:t>
      </w:r>
      <w:r w:rsidRPr="008B7A21">
        <w:rPr>
          <w:lang w:val="es-ES_tradnl"/>
        </w:rPr>
        <w:t xml:space="preserve"> </w:t>
      </w:r>
      <w:r w:rsidR="00386EEF">
        <w:rPr>
          <w:lang w:val="es-ES_tradnl"/>
        </w:rPr>
        <w:t>=</w:t>
      </w:r>
      <w:r w:rsidRPr="008B7A21">
        <w:rPr>
          <w:lang w:val="es-ES_tradnl"/>
        </w:rPr>
        <w:t xml:space="preserve"> 1,4 </w:t>
      </w:r>
      <w:r w:rsidR="00386EEF">
        <w:rPr>
          <w:lang w:val="es-ES_tradnl"/>
        </w:rPr>
        <w:t>×</w:t>
      </w:r>
      <w:r w:rsidRPr="008B7A21">
        <w:rPr>
          <w:lang w:val="es-ES_tradnl"/>
        </w:rPr>
        <w:t> 0,1 </w:t>
      </w:r>
      <w:r w:rsidR="00386EEF">
        <w:rPr>
          <w:lang w:val="es-ES_tradnl"/>
        </w:rPr>
        <w:t>×</w:t>
      </w:r>
      <w:r w:rsidRPr="008B7A21">
        <w:rPr>
          <w:lang w:val="es-ES_tradnl"/>
        </w:rPr>
        <w:t> 0,1 </w:t>
      </w:r>
      <w:r w:rsidR="00386EEF">
        <w:rPr>
          <w:lang w:val="es-ES_tradnl"/>
        </w:rPr>
        <w:t>×</w:t>
      </w:r>
      <w:r w:rsidRPr="008B7A21">
        <w:rPr>
          <w:lang w:val="es-ES_tradnl"/>
        </w:rPr>
        <w:t> 0,2 </w:t>
      </w:r>
      <w:r w:rsidR="00386EEF">
        <w:rPr>
          <w:lang w:val="es-ES_tradnl"/>
        </w:rPr>
        <w:t>×</w:t>
      </w:r>
      <w:r w:rsidRPr="008B7A21">
        <w:rPr>
          <w:lang w:val="es-ES_tradnl"/>
        </w:rPr>
        <w:t> 1 </w:t>
      </w:r>
      <w:r w:rsidR="00386EEF">
        <w:rPr>
          <w:lang w:val="es-ES_tradnl"/>
        </w:rPr>
        <w:t>×</w:t>
      </w:r>
      <w:r w:rsidRPr="008B7A21">
        <w:rPr>
          <w:lang w:val="es-ES_tradnl"/>
        </w:rPr>
        <w:t> 30 </w:t>
      </w:r>
      <w:r w:rsidR="00386EEF">
        <w:rPr>
          <w:lang w:val="es-ES_tradnl"/>
        </w:rPr>
        <w:t>×</w:t>
      </w:r>
      <w:r w:rsidRPr="008B7A21">
        <w:rPr>
          <w:lang w:val="es-ES_tradnl"/>
        </w:rPr>
        <w:t> 641 </w:t>
      </w:r>
      <w:r w:rsidR="00386EEF">
        <w:rPr>
          <w:lang w:val="es-ES_tradnl"/>
        </w:rPr>
        <w:t>×</w:t>
      </w:r>
      <w:r w:rsidRPr="008B7A21">
        <w:rPr>
          <w:lang w:val="es-ES_tradnl"/>
        </w:rPr>
        <w:t xml:space="preserve"> 1 </w:t>
      </w:r>
      <w:r w:rsidR="00386EEF">
        <w:rPr>
          <w:lang w:val="es-ES_tradnl"/>
        </w:rPr>
        <w:t>=</w:t>
      </w:r>
      <w:r w:rsidRPr="008B7A21">
        <w:rPr>
          <w:lang w:val="es-ES_tradnl"/>
        </w:rPr>
        <w:t xml:space="preserve"> 54                MHz </w:t>
      </w:r>
      <w:r w:rsidRPr="008B7A21">
        <w:rPr>
          <w:lang w:val="es-ES_tradnl"/>
        </w:rPr>
        <w:sym w:font="Symbol" w:char="F0D7"/>
      </w:r>
      <w:r w:rsidRPr="008B7A21">
        <w:rPr>
          <w:lang w:val="es-ES_tradnl"/>
        </w:rPr>
        <w:t xml:space="preserve"> km</w:t>
      </w:r>
      <w:r w:rsidRPr="008B7A21">
        <w:rPr>
          <w:vertAlign w:val="superscript"/>
          <w:lang w:val="es-ES_tradnl"/>
        </w:rPr>
        <w:t>2</w:t>
      </w:r>
      <w:r w:rsidRPr="008B7A21">
        <w:rPr>
          <w:szCs w:val="24"/>
          <w:lang w:val="es-ES_tradnl"/>
        </w:rPr>
        <w:t xml:space="preserve"> </w:t>
      </w:r>
      <w:r w:rsidRPr="008B7A21">
        <w:rPr>
          <w:lang w:val="es-ES_tradnl"/>
        </w:rPr>
        <w:sym w:font="Symbol" w:char="F0D7"/>
      </w:r>
      <w:r w:rsidRPr="008B7A21">
        <w:rPr>
          <w:lang w:val="es-ES_tradnl"/>
        </w:rPr>
        <w:t xml:space="preserve"> 1 año</w:t>
      </w:r>
    </w:p>
    <w:p w14:paraId="6C6ECEC1" w14:textId="77777777" w:rsidR="00F73D5B" w:rsidRPr="008B7A21" w:rsidRDefault="00F73D5B" w:rsidP="00F73D5B">
      <w:pPr>
        <w:rPr>
          <w:lang w:val="es-ES_tradnl"/>
        </w:rPr>
      </w:pPr>
    </w:p>
    <w:p w14:paraId="71FEA611" w14:textId="77777777" w:rsidR="00F73D5B" w:rsidRPr="008B7A21" w:rsidRDefault="00F73D5B" w:rsidP="00F73D5B">
      <w:pPr>
        <w:pStyle w:val="Headingb"/>
        <w:rPr>
          <w:lang w:val="es-ES_tradnl"/>
        </w:rPr>
      </w:pPr>
      <w:bookmarkStart w:id="1643" w:name="_Toc307922662"/>
      <w:bookmarkStart w:id="1644" w:name="_Toc307992011"/>
      <w:bookmarkStart w:id="1645" w:name="_Toc307994044"/>
      <w:bookmarkStart w:id="1646" w:name="_Toc307996450"/>
      <w:bookmarkStart w:id="1647" w:name="_Toc499563088"/>
      <w:r w:rsidRPr="008B7A21">
        <w:rPr>
          <w:lang w:val="es-ES_tradnl"/>
        </w:rPr>
        <w:t>e)</w:t>
      </w:r>
      <w:r w:rsidRPr="008B7A21">
        <w:rPr>
          <w:lang w:val="es-ES_tradnl"/>
        </w:rPr>
        <w:tab/>
        <w:t>Resumen de los resultados de los cálculos</w:t>
      </w:r>
      <w:bookmarkEnd w:id="1643"/>
      <w:bookmarkEnd w:id="1644"/>
      <w:bookmarkEnd w:id="1645"/>
      <w:bookmarkEnd w:id="1646"/>
      <w:bookmarkEnd w:id="1647"/>
    </w:p>
    <w:p w14:paraId="5135C001" w14:textId="7B78B152" w:rsidR="00F73D5B" w:rsidRPr="008B7A21" w:rsidRDefault="00F73D5B" w:rsidP="00F73D5B">
      <w:pPr>
        <w:rPr>
          <w:lang w:val="es-ES_tradnl"/>
        </w:rPr>
      </w:pPr>
      <w:r w:rsidRPr="008B7A21">
        <w:rPr>
          <w:lang w:val="es-ES_tradnl"/>
        </w:rPr>
        <w:t>En el Cuadro 14 figura un resumen del resultado de los cálculos a efectos de comparación y para dar una orientación general.</w:t>
      </w:r>
    </w:p>
    <w:p w14:paraId="1613BA83" w14:textId="4936E361" w:rsidR="00F73D5B" w:rsidRPr="008B7A21" w:rsidRDefault="00F73D5B" w:rsidP="00F73D5B">
      <w:pPr>
        <w:pStyle w:val="TableNo"/>
        <w:rPr>
          <w:lang w:val="es-ES_tradnl"/>
        </w:rPr>
      </w:pPr>
      <w:r w:rsidRPr="008B7A21">
        <w:rPr>
          <w:lang w:val="es-ES_tradnl"/>
        </w:rPr>
        <w:t>CUADRO 14</w:t>
      </w:r>
    </w:p>
    <w:p w14:paraId="0DE6E665" w14:textId="77777777" w:rsidR="00F73D5B" w:rsidRPr="008B7A21" w:rsidRDefault="00F73D5B" w:rsidP="00F73D5B">
      <w:pPr>
        <w:pStyle w:val="Tabletitle"/>
        <w:rPr>
          <w:lang w:val="es-ES_tradnl"/>
        </w:rPr>
      </w:pPr>
      <w:r w:rsidRPr="008B7A21">
        <w:rPr>
          <w:lang w:val="es-ES_tradnl"/>
        </w:rPr>
        <w:t>Resumen de los resultados de los cálculos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0"/>
        <w:gridCol w:w="6230"/>
        <w:gridCol w:w="2209"/>
      </w:tblGrid>
      <w:tr w:rsidR="00F73D5B" w:rsidRPr="008B7A21" w14:paraId="27C73842" w14:textId="77777777" w:rsidTr="00767A6A">
        <w:trPr>
          <w:jc w:val="center"/>
        </w:trPr>
        <w:tc>
          <w:tcPr>
            <w:tcW w:w="1191" w:type="dxa"/>
            <w:vAlign w:val="center"/>
          </w:tcPr>
          <w:p w14:paraId="6E216A02" w14:textId="77777777" w:rsidR="00F73D5B" w:rsidRPr="008B7A21" w:rsidRDefault="00F73D5B" w:rsidP="00767A6A">
            <w:pPr>
              <w:pStyle w:val="Tablehead"/>
              <w:rPr>
                <w:lang w:val="es-ES_tradnl"/>
              </w:rPr>
            </w:pPr>
            <w:r w:rsidRPr="008B7A21">
              <w:rPr>
                <w:lang w:val="es-ES_tradnl"/>
              </w:rPr>
              <w:t>Punto</w:t>
            </w:r>
          </w:p>
        </w:tc>
        <w:tc>
          <w:tcPr>
            <w:tcW w:w="6236" w:type="dxa"/>
            <w:vAlign w:val="center"/>
          </w:tcPr>
          <w:p w14:paraId="12ECCD35" w14:textId="77777777" w:rsidR="00F73D5B" w:rsidRPr="008B7A21" w:rsidRDefault="00F73D5B" w:rsidP="00767A6A">
            <w:pPr>
              <w:pStyle w:val="Tablehead"/>
              <w:rPr>
                <w:lang w:val="es-ES_tradnl"/>
              </w:rPr>
            </w:pPr>
            <w:r w:rsidRPr="008B7A21">
              <w:rPr>
                <w:lang w:val="es-ES_tradnl"/>
              </w:rPr>
              <w:t>Servicio de radiocomunicaciones, potencia del transmisor</w:t>
            </w:r>
            <w:r w:rsidRPr="008B7A21">
              <w:rPr>
                <w:lang w:val="es-ES_tradnl"/>
              </w:rPr>
              <w:br/>
              <w:t>o característica del radioenlace</w:t>
            </w:r>
          </w:p>
        </w:tc>
        <w:tc>
          <w:tcPr>
            <w:tcW w:w="2211" w:type="dxa"/>
            <w:vAlign w:val="center"/>
          </w:tcPr>
          <w:p w14:paraId="2189351C" w14:textId="61831552" w:rsidR="00F73D5B" w:rsidRPr="008B7A21" w:rsidRDefault="00F73D5B" w:rsidP="00767A6A">
            <w:pPr>
              <w:pStyle w:val="Tablehead"/>
              <w:rPr>
                <w:lang w:val="es-ES_tradnl"/>
              </w:rPr>
            </w:pPr>
            <w:r w:rsidRPr="008B7A21">
              <w:rPr>
                <w:lang w:val="es-ES_tradnl"/>
              </w:rPr>
              <w:t>Espectro utilizado</w:t>
            </w:r>
            <w:r w:rsidRPr="008B7A21">
              <w:rPr>
                <w:lang w:val="es-ES_tradnl"/>
              </w:rPr>
              <w:br/>
              <w:t xml:space="preserve">(MHz </w:t>
            </w:r>
            <w:r w:rsidR="00482EF1" w:rsidRPr="00482EF1">
              <w:rPr>
                <w:lang w:val="en-GB"/>
              </w:rPr>
              <w:t>–</w:t>
            </w:r>
            <w:r w:rsidRPr="008B7A21">
              <w:rPr>
                <w:lang w:val="es-ES_tradnl"/>
              </w:rPr>
              <w:t xml:space="preserve"> km</w:t>
            </w:r>
            <w:r w:rsidRPr="00482EF1">
              <w:rPr>
                <w:vertAlign w:val="superscript"/>
                <w:lang w:val="es-ES_tradnl"/>
              </w:rPr>
              <w:t>2</w:t>
            </w:r>
            <w:r w:rsidRPr="008B7A21">
              <w:rPr>
                <w:lang w:val="es-ES_tradnl"/>
              </w:rPr>
              <w:t xml:space="preserve"> </w:t>
            </w:r>
            <w:r w:rsidR="00482EF1" w:rsidRPr="00482EF1">
              <w:rPr>
                <w:lang w:val="en-GB"/>
              </w:rPr>
              <w:t>–</w:t>
            </w:r>
            <w:r w:rsidRPr="008B7A21">
              <w:rPr>
                <w:lang w:val="es-ES_tradnl"/>
              </w:rPr>
              <w:t xml:space="preserve"> 1 año)</w:t>
            </w:r>
          </w:p>
        </w:tc>
      </w:tr>
      <w:tr w:rsidR="00F73D5B" w:rsidRPr="008B7A21" w14:paraId="07DD59F0" w14:textId="77777777" w:rsidTr="00767A6A">
        <w:trPr>
          <w:jc w:val="center"/>
        </w:trPr>
        <w:tc>
          <w:tcPr>
            <w:tcW w:w="1191" w:type="dxa"/>
          </w:tcPr>
          <w:p w14:paraId="20C60196" w14:textId="77777777" w:rsidR="00F73D5B" w:rsidRPr="008B7A21" w:rsidRDefault="00F73D5B" w:rsidP="00767A6A">
            <w:pPr>
              <w:pStyle w:val="Tabletext"/>
              <w:rPr>
                <w:lang w:val="es-ES_tradnl"/>
              </w:rPr>
            </w:pPr>
            <w:r w:rsidRPr="008B7A21">
              <w:rPr>
                <w:lang w:val="es-ES_tradnl"/>
              </w:rPr>
              <w:t>4.7.2</w:t>
            </w:r>
          </w:p>
        </w:tc>
        <w:tc>
          <w:tcPr>
            <w:tcW w:w="6236" w:type="dxa"/>
          </w:tcPr>
          <w:p w14:paraId="6737A783" w14:textId="77777777" w:rsidR="00F73D5B" w:rsidRPr="008B7A21" w:rsidRDefault="00F73D5B" w:rsidP="00767A6A">
            <w:pPr>
              <w:pStyle w:val="Tabletext"/>
              <w:rPr>
                <w:lang w:val="es-ES_tradnl"/>
              </w:rPr>
            </w:pPr>
            <w:r w:rsidRPr="008B7A21">
              <w:rPr>
                <w:lang w:val="es-ES_tradnl"/>
              </w:rPr>
              <w:t>Radiodifusión sonora con MF, 1,5 kW</w:t>
            </w:r>
          </w:p>
        </w:tc>
        <w:tc>
          <w:tcPr>
            <w:tcW w:w="2211" w:type="dxa"/>
          </w:tcPr>
          <w:p w14:paraId="5D224C7E" w14:textId="77777777" w:rsidR="00F73D5B" w:rsidRPr="008B7A21" w:rsidRDefault="00F73D5B" w:rsidP="00767A6A">
            <w:pPr>
              <w:pStyle w:val="Tabletext"/>
              <w:jc w:val="center"/>
              <w:rPr>
                <w:lang w:val="es-ES_tradnl"/>
              </w:rPr>
            </w:pPr>
            <w:r w:rsidRPr="008B7A21">
              <w:rPr>
                <w:lang w:val="es-ES_tradnl"/>
              </w:rPr>
              <w:t>2 430</w:t>
            </w:r>
          </w:p>
        </w:tc>
      </w:tr>
      <w:tr w:rsidR="00F73D5B" w:rsidRPr="008B7A21" w14:paraId="61E31550" w14:textId="77777777" w:rsidTr="00767A6A">
        <w:trPr>
          <w:jc w:val="center"/>
        </w:trPr>
        <w:tc>
          <w:tcPr>
            <w:tcW w:w="1191" w:type="dxa"/>
          </w:tcPr>
          <w:p w14:paraId="51D00FB2" w14:textId="77777777" w:rsidR="00F73D5B" w:rsidRPr="008B7A21" w:rsidRDefault="00F73D5B" w:rsidP="00767A6A">
            <w:pPr>
              <w:pStyle w:val="Tabletext"/>
              <w:rPr>
                <w:lang w:val="es-ES_tradnl"/>
              </w:rPr>
            </w:pPr>
            <w:r w:rsidRPr="008B7A21">
              <w:rPr>
                <w:lang w:val="es-ES_tradnl"/>
              </w:rPr>
              <w:t>4.7.4.2</w:t>
            </w:r>
          </w:p>
        </w:tc>
        <w:tc>
          <w:tcPr>
            <w:tcW w:w="6236" w:type="dxa"/>
          </w:tcPr>
          <w:p w14:paraId="35F712C1" w14:textId="77777777" w:rsidR="00F73D5B" w:rsidRPr="008B7A21" w:rsidRDefault="00F73D5B" w:rsidP="00767A6A">
            <w:pPr>
              <w:pStyle w:val="Tabletext"/>
              <w:rPr>
                <w:lang w:val="es-ES_tradnl"/>
              </w:rPr>
            </w:pPr>
            <w:r w:rsidRPr="008B7A21">
              <w:rPr>
                <w:lang w:val="es-ES_tradnl"/>
              </w:rPr>
              <w:t>Servicio móvil terrestre, estación de base del GSM, 2,5 W</w:t>
            </w:r>
          </w:p>
        </w:tc>
        <w:tc>
          <w:tcPr>
            <w:tcW w:w="2211" w:type="dxa"/>
          </w:tcPr>
          <w:p w14:paraId="62974FF3" w14:textId="77777777" w:rsidR="00F73D5B" w:rsidRPr="008B7A21" w:rsidRDefault="00F73D5B" w:rsidP="00767A6A">
            <w:pPr>
              <w:pStyle w:val="Tabletext"/>
              <w:jc w:val="center"/>
              <w:rPr>
                <w:lang w:val="es-ES_tradnl"/>
              </w:rPr>
            </w:pPr>
            <w:r w:rsidRPr="008B7A21">
              <w:rPr>
                <w:lang w:val="es-ES_tradnl"/>
              </w:rPr>
              <w:t>2 172</w:t>
            </w:r>
          </w:p>
        </w:tc>
      </w:tr>
      <w:tr w:rsidR="00F73D5B" w:rsidRPr="008B7A21" w14:paraId="0E0029E6" w14:textId="77777777" w:rsidTr="00767A6A">
        <w:trPr>
          <w:jc w:val="center"/>
        </w:trPr>
        <w:tc>
          <w:tcPr>
            <w:tcW w:w="1191" w:type="dxa"/>
          </w:tcPr>
          <w:p w14:paraId="5FB57773" w14:textId="77777777" w:rsidR="00F73D5B" w:rsidRPr="008B7A21" w:rsidRDefault="00F73D5B" w:rsidP="00767A6A">
            <w:pPr>
              <w:pStyle w:val="Tabletext"/>
              <w:rPr>
                <w:lang w:val="es-ES_tradnl"/>
              </w:rPr>
            </w:pPr>
            <w:r w:rsidRPr="008B7A21">
              <w:rPr>
                <w:lang w:val="es-ES_tradnl"/>
              </w:rPr>
              <w:t>4.7.5.1</w:t>
            </w:r>
          </w:p>
        </w:tc>
        <w:tc>
          <w:tcPr>
            <w:tcW w:w="6236" w:type="dxa"/>
          </w:tcPr>
          <w:p w14:paraId="4FB46B5D" w14:textId="77777777" w:rsidR="00F73D5B" w:rsidRPr="008B7A21" w:rsidRDefault="00F73D5B" w:rsidP="00767A6A">
            <w:pPr>
              <w:pStyle w:val="Tabletext"/>
              <w:rPr>
                <w:lang w:val="es-ES_tradnl"/>
              </w:rPr>
            </w:pPr>
            <w:r w:rsidRPr="008B7A21">
              <w:rPr>
                <w:lang w:val="es-ES_tradnl"/>
              </w:rPr>
              <w:t>Servicio móvil marítimo, estación costera, 50 W</w:t>
            </w:r>
          </w:p>
        </w:tc>
        <w:tc>
          <w:tcPr>
            <w:tcW w:w="2211" w:type="dxa"/>
          </w:tcPr>
          <w:p w14:paraId="5787C0E6" w14:textId="77777777" w:rsidR="00F73D5B" w:rsidRPr="008B7A21" w:rsidRDefault="00F73D5B" w:rsidP="00767A6A">
            <w:pPr>
              <w:pStyle w:val="Tabletext"/>
              <w:jc w:val="center"/>
              <w:rPr>
                <w:lang w:val="es-ES_tradnl"/>
              </w:rPr>
            </w:pPr>
            <w:r w:rsidRPr="008B7A21">
              <w:rPr>
                <w:lang w:val="es-ES_tradnl"/>
              </w:rPr>
              <w:t>3,7</w:t>
            </w:r>
          </w:p>
        </w:tc>
      </w:tr>
      <w:tr w:rsidR="00F73D5B" w:rsidRPr="008B7A21" w14:paraId="63F53ED1" w14:textId="77777777" w:rsidTr="00767A6A">
        <w:trPr>
          <w:jc w:val="center"/>
        </w:trPr>
        <w:tc>
          <w:tcPr>
            <w:tcW w:w="1191" w:type="dxa"/>
          </w:tcPr>
          <w:p w14:paraId="37541713" w14:textId="77777777" w:rsidR="00F73D5B" w:rsidRPr="008B7A21" w:rsidRDefault="00F73D5B" w:rsidP="00767A6A">
            <w:pPr>
              <w:pStyle w:val="Tabletext"/>
              <w:rPr>
                <w:lang w:val="es-ES_tradnl"/>
              </w:rPr>
            </w:pPr>
            <w:r w:rsidRPr="008B7A21">
              <w:rPr>
                <w:lang w:val="es-ES_tradnl"/>
              </w:rPr>
              <w:t>4.7.7.1</w:t>
            </w:r>
          </w:p>
        </w:tc>
        <w:tc>
          <w:tcPr>
            <w:tcW w:w="6236" w:type="dxa"/>
          </w:tcPr>
          <w:p w14:paraId="3006086C" w14:textId="77777777" w:rsidR="00F73D5B" w:rsidRPr="008B7A21" w:rsidRDefault="00F73D5B" w:rsidP="00767A6A">
            <w:pPr>
              <w:pStyle w:val="Tabletext"/>
              <w:rPr>
                <w:lang w:val="es-ES_tradnl"/>
              </w:rPr>
            </w:pPr>
            <w:r w:rsidRPr="008B7A21">
              <w:rPr>
                <w:lang w:val="es-ES_tradnl"/>
              </w:rPr>
              <w:t>Radiocomunicaciones aeronáuticas, altura de la aeronave 10 000 m</w:t>
            </w:r>
          </w:p>
        </w:tc>
        <w:tc>
          <w:tcPr>
            <w:tcW w:w="2211" w:type="dxa"/>
          </w:tcPr>
          <w:p w14:paraId="727DECE0" w14:textId="77777777" w:rsidR="00F73D5B" w:rsidRPr="008B7A21" w:rsidRDefault="00F73D5B" w:rsidP="00767A6A">
            <w:pPr>
              <w:pStyle w:val="Tabletext"/>
              <w:jc w:val="center"/>
              <w:rPr>
                <w:lang w:val="es-ES_tradnl"/>
              </w:rPr>
            </w:pPr>
            <w:r w:rsidRPr="008B7A21">
              <w:rPr>
                <w:lang w:val="es-ES_tradnl"/>
              </w:rPr>
              <w:t>4,4</w:t>
            </w:r>
          </w:p>
        </w:tc>
      </w:tr>
      <w:tr w:rsidR="00F73D5B" w:rsidRPr="008B7A21" w14:paraId="3722153D" w14:textId="77777777" w:rsidTr="00767A6A">
        <w:trPr>
          <w:jc w:val="center"/>
        </w:trPr>
        <w:tc>
          <w:tcPr>
            <w:tcW w:w="1191" w:type="dxa"/>
          </w:tcPr>
          <w:p w14:paraId="5277B210" w14:textId="77777777" w:rsidR="00F73D5B" w:rsidRPr="008B7A21" w:rsidRDefault="00F73D5B" w:rsidP="00767A6A">
            <w:pPr>
              <w:pStyle w:val="Tabletext"/>
              <w:rPr>
                <w:lang w:val="es-ES_tradnl"/>
              </w:rPr>
            </w:pPr>
            <w:r w:rsidRPr="008B7A21">
              <w:rPr>
                <w:lang w:val="es-ES_tradnl"/>
              </w:rPr>
              <w:t>4.7.7.2</w:t>
            </w:r>
          </w:p>
        </w:tc>
        <w:tc>
          <w:tcPr>
            <w:tcW w:w="6236" w:type="dxa"/>
          </w:tcPr>
          <w:p w14:paraId="54F6FD5B" w14:textId="77777777" w:rsidR="00F73D5B" w:rsidRPr="008B7A21" w:rsidRDefault="00F73D5B" w:rsidP="00767A6A">
            <w:pPr>
              <w:pStyle w:val="Tabletext"/>
              <w:rPr>
                <w:lang w:val="es-ES_tradnl"/>
              </w:rPr>
            </w:pPr>
            <w:r w:rsidRPr="008B7A21">
              <w:rPr>
                <w:lang w:val="es-ES_tradnl"/>
              </w:rPr>
              <w:t>Radar primario, altura de la aeronave 10 000 m</w:t>
            </w:r>
          </w:p>
        </w:tc>
        <w:tc>
          <w:tcPr>
            <w:tcW w:w="2211" w:type="dxa"/>
          </w:tcPr>
          <w:p w14:paraId="22627B54" w14:textId="77777777" w:rsidR="00F73D5B" w:rsidRPr="008B7A21" w:rsidRDefault="00F73D5B" w:rsidP="00767A6A">
            <w:pPr>
              <w:pStyle w:val="Tabletext"/>
              <w:jc w:val="center"/>
              <w:rPr>
                <w:lang w:val="es-ES_tradnl"/>
              </w:rPr>
            </w:pPr>
            <w:r w:rsidRPr="008B7A21">
              <w:rPr>
                <w:lang w:val="es-ES_tradnl"/>
              </w:rPr>
              <w:t>3,5</w:t>
            </w:r>
          </w:p>
        </w:tc>
      </w:tr>
      <w:tr w:rsidR="00F73D5B" w:rsidRPr="008B7A21" w14:paraId="7FDBF22C" w14:textId="77777777" w:rsidTr="00767A6A">
        <w:trPr>
          <w:jc w:val="center"/>
        </w:trPr>
        <w:tc>
          <w:tcPr>
            <w:tcW w:w="1191" w:type="dxa"/>
          </w:tcPr>
          <w:p w14:paraId="3195A931" w14:textId="77777777" w:rsidR="00F73D5B" w:rsidRPr="008B7A21" w:rsidRDefault="00F73D5B" w:rsidP="00767A6A">
            <w:pPr>
              <w:pStyle w:val="Tabletext"/>
              <w:rPr>
                <w:lang w:val="es-ES_tradnl"/>
              </w:rPr>
            </w:pPr>
            <w:r w:rsidRPr="008B7A21">
              <w:rPr>
                <w:lang w:val="es-ES_tradnl"/>
              </w:rPr>
              <w:t>4.7.7.4</w:t>
            </w:r>
          </w:p>
        </w:tc>
        <w:tc>
          <w:tcPr>
            <w:tcW w:w="6236" w:type="dxa"/>
          </w:tcPr>
          <w:p w14:paraId="55888315" w14:textId="77777777" w:rsidR="00F73D5B" w:rsidRPr="008B7A21" w:rsidRDefault="00F73D5B" w:rsidP="00767A6A">
            <w:pPr>
              <w:pStyle w:val="Tabletext"/>
              <w:rPr>
                <w:lang w:val="es-ES_tradnl"/>
              </w:rPr>
            </w:pPr>
            <w:r w:rsidRPr="008B7A21">
              <w:rPr>
                <w:lang w:val="es-ES_tradnl"/>
              </w:rPr>
              <w:t>Servicio fijo, enlace por microondas, longitud del vano 45 km</w:t>
            </w:r>
          </w:p>
        </w:tc>
        <w:tc>
          <w:tcPr>
            <w:tcW w:w="2211" w:type="dxa"/>
          </w:tcPr>
          <w:p w14:paraId="7119A500" w14:textId="77777777" w:rsidR="00F73D5B" w:rsidRPr="008B7A21" w:rsidRDefault="00F73D5B" w:rsidP="00767A6A">
            <w:pPr>
              <w:pStyle w:val="Tabletext"/>
              <w:jc w:val="center"/>
              <w:rPr>
                <w:lang w:val="es-ES_tradnl"/>
              </w:rPr>
            </w:pPr>
            <w:r w:rsidRPr="008B7A21">
              <w:rPr>
                <w:lang w:val="es-ES_tradnl"/>
              </w:rPr>
              <w:t>1,4</w:t>
            </w:r>
          </w:p>
        </w:tc>
      </w:tr>
      <w:tr w:rsidR="00F73D5B" w:rsidRPr="008B7A21" w14:paraId="65E17FD6" w14:textId="77777777" w:rsidTr="00767A6A">
        <w:trPr>
          <w:jc w:val="center"/>
        </w:trPr>
        <w:tc>
          <w:tcPr>
            <w:tcW w:w="1191" w:type="dxa"/>
          </w:tcPr>
          <w:p w14:paraId="33E687E2" w14:textId="77777777" w:rsidR="00F73D5B" w:rsidRPr="008B7A21" w:rsidRDefault="00F73D5B" w:rsidP="00767A6A">
            <w:pPr>
              <w:pStyle w:val="Tabletext"/>
              <w:rPr>
                <w:lang w:val="es-ES_tradnl"/>
              </w:rPr>
            </w:pPr>
            <w:r w:rsidRPr="008B7A21">
              <w:rPr>
                <w:lang w:val="es-ES_tradnl"/>
              </w:rPr>
              <w:t>4.7.8.3</w:t>
            </w:r>
          </w:p>
        </w:tc>
        <w:tc>
          <w:tcPr>
            <w:tcW w:w="6236" w:type="dxa"/>
          </w:tcPr>
          <w:p w14:paraId="2DF7B35B" w14:textId="77777777" w:rsidR="00F73D5B" w:rsidRPr="008B7A21" w:rsidRDefault="00F73D5B" w:rsidP="00767A6A">
            <w:pPr>
              <w:pStyle w:val="Tabletext"/>
              <w:rPr>
                <w:lang w:val="es-ES_tradnl"/>
              </w:rPr>
            </w:pPr>
            <w:r w:rsidRPr="008B7A21">
              <w:rPr>
                <w:lang w:val="es-ES_tradnl"/>
              </w:rPr>
              <w:t>Estación terrena transmisora, enlace de conexión del SMS</w:t>
            </w:r>
          </w:p>
        </w:tc>
        <w:tc>
          <w:tcPr>
            <w:tcW w:w="2211" w:type="dxa"/>
          </w:tcPr>
          <w:p w14:paraId="12A88420" w14:textId="77777777" w:rsidR="00F73D5B" w:rsidRPr="008B7A21" w:rsidRDefault="00F73D5B" w:rsidP="00767A6A">
            <w:pPr>
              <w:pStyle w:val="Tabletext"/>
              <w:jc w:val="center"/>
              <w:rPr>
                <w:lang w:val="es-ES_tradnl"/>
              </w:rPr>
            </w:pPr>
            <w:r w:rsidRPr="008B7A21">
              <w:rPr>
                <w:lang w:val="es-ES_tradnl"/>
              </w:rPr>
              <w:t>550</w:t>
            </w:r>
          </w:p>
        </w:tc>
      </w:tr>
      <w:tr w:rsidR="00F73D5B" w:rsidRPr="008B7A21" w14:paraId="49C1C1A7" w14:textId="77777777" w:rsidTr="00767A6A">
        <w:trPr>
          <w:jc w:val="center"/>
        </w:trPr>
        <w:tc>
          <w:tcPr>
            <w:tcW w:w="1191" w:type="dxa"/>
          </w:tcPr>
          <w:p w14:paraId="16F22822" w14:textId="77777777" w:rsidR="00F73D5B" w:rsidRPr="008B7A21" w:rsidRDefault="00F73D5B" w:rsidP="00767A6A">
            <w:pPr>
              <w:pStyle w:val="Tabletext"/>
              <w:rPr>
                <w:lang w:val="es-ES_tradnl"/>
              </w:rPr>
            </w:pPr>
            <w:r w:rsidRPr="008B7A21">
              <w:rPr>
                <w:lang w:val="es-ES_tradnl"/>
              </w:rPr>
              <w:t>4.7.8.4</w:t>
            </w:r>
          </w:p>
        </w:tc>
        <w:tc>
          <w:tcPr>
            <w:tcW w:w="6236" w:type="dxa"/>
          </w:tcPr>
          <w:p w14:paraId="62FA6FB3" w14:textId="77777777" w:rsidR="00F73D5B" w:rsidRPr="008B7A21" w:rsidRDefault="00F73D5B" w:rsidP="00767A6A">
            <w:pPr>
              <w:pStyle w:val="Tabletext"/>
              <w:rPr>
                <w:lang w:val="es-ES_tradnl"/>
              </w:rPr>
            </w:pPr>
            <w:r w:rsidRPr="008B7A21">
              <w:rPr>
                <w:lang w:val="es-ES_tradnl"/>
              </w:rPr>
              <w:t>Estación terrena VSAT receptora</w:t>
            </w:r>
          </w:p>
        </w:tc>
        <w:tc>
          <w:tcPr>
            <w:tcW w:w="2211" w:type="dxa"/>
          </w:tcPr>
          <w:p w14:paraId="3C9C0D94" w14:textId="77777777" w:rsidR="00F73D5B" w:rsidRPr="008B7A21" w:rsidRDefault="00F73D5B" w:rsidP="00767A6A">
            <w:pPr>
              <w:pStyle w:val="Tabletext"/>
              <w:jc w:val="center"/>
              <w:rPr>
                <w:lang w:val="es-ES_tradnl"/>
              </w:rPr>
            </w:pPr>
            <w:r w:rsidRPr="008B7A21">
              <w:rPr>
                <w:lang w:val="es-ES_tradnl"/>
              </w:rPr>
              <w:t>54</w:t>
            </w:r>
          </w:p>
        </w:tc>
      </w:tr>
    </w:tbl>
    <w:p w14:paraId="292F0A2C" w14:textId="77777777" w:rsidR="00F73D5B" w:rsidRPr="008B7A21" w:rsidRDefault="00F73D5B" w:rsidP="00F73D5B">
      <w:pPr>
        <w:pStyle w:val="Tablefin"/>
        <w:rPr>
          <w:lang w:val="es-ES_tradnl"/>
        </w:rPr>
      </w:pPr>
    </w:p>
    <w:p w14:paraId="0CA6000C" w14:textId="77777777" w:rsidR="00F73D5B" w:rsidRPr="008B7A21" w:rsidRDefault="00F73D5B" w:rsidP="00F73D5B">
      <w:pPr>
        <w:pStyle w:val="Heading2"/>
        <w:rPr>
          <w:lang w:val="es-ES_tradnl"/>
        </w:rPr>
      </w:pPr>
      <w:bookmarkStart w:id="1648" w:name="_Toc518394241"/>
      <w:bookmarkStart w:id="1649" w:name="_Toc215835419"/>
      <w:bookmarkStart w:id="1650" w:name="_Toc306276878"/>
      <w:bookmarkStart w:id="1651" w:name="_Toc307921553"/>
      <w:bookmarkStart w:id="1652" w:name="_Toc307922120"/>
      <w:bookmarkStart w:id="1653" w:name="_Toc307922663"/>
      <w:bookmarkStart w:id="1654" w:name="_Toc307992012"/>
      <w:bookmarkStart w:id="1655" w:name="_Toc307994045"/>
      <w:bookmarkStart w:id="1656" w:name="_Toc307995265"/>
      <w:bookmarkStart w:id="1657" w:name="_Toc307996451"/>
      <w:bookmarkStart w:id="1658" w:name="_Toc308010384"/>
      <w:bookmarkStart w:id="1659" w:name="_Toc499563089"/>
      <w:r w:rsidRPr="008B7A21">
        <w:rPr>
          <w:lang w:val="es-ES_tradnl"/>
        </w:rPr>
        <w:t>4.8</w:t>
      </w:r>
      <w:r w:rsidRPr="008B7A21">
        <w:rPr>
          <w:lang w:val="es-ES_tradnl"/>
        </w:rPr>
        <w:tab/>
        <w:t>Coste de oportunidad y fijación de precios incentivos administrativos</w:t>
      </w:r>
      <w:r w:rsidRPr="008B7A21">
        <w:rPr>
          <w:rStyle w:val="FootnoteAnchor"/>
          <w:rFonts w:eastAsia="Arial Narrow"/>
          <w:lang w:val="es-ES_tradnl"/>
        </w:rPr>
        <w:footnoteReference w:id="4"/>
      </w:r>
      <w:r w:rsidRPr="008B7A21">
        <w:rPr>
          <w:lang w:val="es-ES_tradnl"/>
        </w:rPr>
        <w:t>: ecuaciones lineales, funcionales y sencillas</w:t>
      </w:r>
      <w:bookmarkEnd w:id="1648"/>
      <w:bookmarkEnd w:id="1649"/>
    </w:p>
    <w:p w14:paraId="575C7977" w14:textId="77777777" w:rsidR="00F73D5B" w:rsidRPr="008B7A21" w:rsidRDefault="00F73D5B" w:rsidP="00F73D5B">
      <w:pPr>
        <w:rPr>
          <w:lang w:val="es-ES_tradnl"/>
        </w:rPr>
      </w:pPr>
      <w:r w:rsidRPr="008B7A21">
        <w:rPr>
          <w:lang w:val="es-ES_tradnl"/>
        </w:rPr>
        <w:t>Como se explica en el § 2.3.4.4, el coste de oportunidad en el contexto del espectro significa el valor adicional que se pierde cuando una parte del espectro de frecuencia se asigna a un usuario concreto. Este modelo promueve la utilización eficiente de la RF y favorece la cobertura y capacidad de banda ancha en las zonas rurales. Este modelo lógico integra únicamente los cánones por utilización del espectro y detalla la aplicación y los cánones por acceso al espectro de los distintos servicios radioeléctricos. Los cánones por acceso al espectro se recaudan una sola vez durante el proceso de solicitud inicial y luego se abonan anualmente. Como se especifica en el § 5.2.8, el modelo comprende también la fijación de precios de incentivo administrativo (AIP) para ayudar a los usuarios del espectro (y a sus proveedores) a tomar decisiones más eficientes en relación con su utilización del mismo. El modelo es general y proporciona valores específicos. Las administraciones pueden elegir diferentes modificadores.</w:t>
      </w:r>
    </w:p>
    <w:p w14:paraId="11ACB169" w14:textId="77777777" w:rsidR="00F73D5B" w:rsidRPr="008B7A21" w:rsidRDefault="00F73D5B" w:rsidP="00F73D5B">
      <w:pPr>
        <w:pStyle w:val="Heading3"/>
        <w:ind w:left="0" w:firstLine="0"/>
        <w:rPr>
          <w:lang w:val="es-ES_tradnl"/>
        </w:rPr>
      </w:pPr>
      <w:bookmarkStart w:id="1660" w:name="_Toc215835420"/>
      <w:bookmarkStart w:id="1661" w:name="_Toc518394242"/>
      <w:r w:rsidRPr="008B7A21">
        <w:rPr>
          <w:lang w:val="es-ES_tradnl"/>
        </w:rPr>
        <w:t>4.8.1</w:t>
      </w:r>
      <w:r w:rsidRPr="008B7A21">
        <w:rPr>
          <w:lang w:val="es-ES_tradnl"/>
        </w:rPr>
        <w:tab/>
      </w:r>
      <w:bookmarkStart w:id="1662" w:name="_Toc484727740"/>
      <w:r w:rsidRPr="008B7A21">
        <w:rPr>
          <w:lang w:val="es-ES_tradnl"/>
        </w:rPr>
        <w:t>Fórmula y parámetros de fijación de precios</w:t>
      </w:r>
      <w:bookmarkEnd w:id="1660"/>
      <w:r w:rsidRPr="008B7A21">
        <w:rPr>
          <w:lang w:val="es-ES_tradnl"/>
        </w:rPr>
        <w:t xml:space="preserve"> </w:t>
      </w:r>
      <w:bookmarkEnd w:id="1661"/>
      <w:bookmarkEnd w:id="1662"/>
    </w:p>
    <w:p w14:paraId="291EC131" w14:textId="77777777" w:rsidR="00F73D5B" w:rsidRPr="008B7A21" w:rsidRDefault="00F73D5B" w:rsidP="00F73D5B">
      <w:pPr>
        <w:rPr>
          <w:lang w:val="es-ES_tradnl"/>
        </w:rPr>
      </w:pPr>
      <w:r w:rsidRPr="008B7A21">
        <w:rPr>
          <w:lang w:val="es-ES_tradnl"/>
        </w:rPr>
        <w:t>Para todos los servicios, la fórmula del coste de oportunidad y de los cánones AIP, se expresa mediante la siguiente ecuación lineal y funcional, que es general y sencilla (con ancho de banda):</w:t>
      </w:r>
    </w:p>
    <w:p w14:paraId="1BE6498C"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4"/>
          <w:lang w:val="es-ES_tradnl"/>
        </w:rPr>
        <w:object w:dxaOrig="3080" w:dyaOrig="380" w14:anchorId="45DADB41">
          <v:shape id="_x0000_i1699" type="#_x0000_t75" style="width:198.4pt;height:19.25pt" o:ole="">
            <v:imagedata r:id="rId101" o:title=""/>
          </v:shape>
          <o:OLEObject Type="Embed" ProgID="Equation.DSMT4" ShapeID="_x0000_i1699" DrawAspect="Content" ObjectID="_1826705908" r:id="rId102"/>
        </w:object>
      </w:r>
      <w:r w:rsidRPr="008B7A21">
        <w:rPr>
          <w:lang w:val="es-ES_tradnl"/>
        </w:rPr>
        <w:t xml:space="preserve"> </w:t>
      </w:r>
      <w:r w:rsidRPr="008B7A21">
        <w:rPr>
          <w:lang w:val="es-ES_tradnl"/>
        </w:rPr>
        <w:tab/>
        <w:t>(51)</w:t>
      </w:r>
    </w:p>
    <w:p w14:paraId="6CA0440B" w14:textId="77777777" w:rsidR="00F73D5B" w:rsidRPr="008B7A21" w:rsidRDefault="00F73D5B" w:rsidP="00F73D5B">
      <w:pPr>
        <w:rPr>
          <w:lang w:val="es-ES_tradnl"/>
        </w:rPr>
      </w:pPr>
      <w:r w:rsidRPr="008B7A21">
        <w:rPr>
          <w:lang w:val="es-ES_tradnl"/>
        </w:rPr>
        <w:t>Dividiendo las dos partes de la ecuación por el ancho de banda B, se obtiene la siguiente formula de canon por MHz:</w:t>
      </w:r>
    </w:p>
    <w:p w14:paraId="5B5F3F13"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24"/>
          <w:lang w:val="es-ES_tradnl"/>
        </w:rPr>
        <w:object w:dxaOrig="2780" w:dyaOrig="620" w14:anchorId="781A3150">
          <v:shape id="_x0000_i1700" type="#_x0000_t75" style="width:154.05pt;height:31.8pt" o:ole="">
            <v:imagedata r:id="rId103" o:title=""/>
          </v:shape>
          <o:OLEObject Type="Embed" ProgID="Equation.DSMT4" ShapeID="_x0000_i1700" DrawAspect="Content" ObjectID="_1826705909" r:id="rId104"/>
        </w:object>
      </w:r>
      <w:r w:rsidRPr="008B7A21">
        <w:rPr>
          <w:lang w:val="es-ES_tradnl"/>
        </w:rPr>
        <w:t xml:space="preserve"> </w:t>
      </w:r>
      <w:r w:rsidRPr="008B7A21">
        <w:rPr>
          <w:lang w:val="es-ES_tradnl"/>
        </w:rPr>
        <w:tab/>
        <w:t>(52)</w:t>
      </w:r>
    </w:p>
    <w:p w14:paraId="70039716" w14:textId="77777777" w:rsidR="00F73D5B" w:rsidRPr="008B7A21" w:rsidRDefault="00F73D5B" w:rsidP="00F73D5B">
      <w:pPr>
        <w:rPr>
          <w:lang w:val="es-ES_tradnl"/>
        </w:rPr>
      </w:pPr>
      <w:r w:rsidRPr="008B7A21">
        <w:rPr>
          <w:lang w:val="es-ES_tradnl"/>
        </w:rPr>
        <w:t xml:space="preserve">Todos los parámetros, salvo el coste unitario en moneda nacional (cur), </w:t>
      </w:r>
      <w:r w:rsidRPr="008B7A21">
        <w:rPr>
          <w:sz w:val="28"/>
          <w:szCs w:val="28"/>
          <w:lang w:val="es-ES_tradnl"/>
        </w:rPr>
        <w:t>α</w:t>
      </w:r>
      <w:r w:rsidRPr="008B7A21">
        <w:rPr>
          <w:i/>
          <w:iCs/>
          <w:sz w:val="28"/>
          <w:szCs w:val="28"/>
          <w:lang w:val="es-ES_tradnl"/>
        </w:rPr>
        <w:t xml:space="preserve"> </w:t>
      </w:r>
      <w:r w:rsidRPr="008B7A21">
        <w:rPr>
          <w:lang w:val="es-ES_tradnl"/>
        </w:rPr>
        <w:t xml:space="preserve">(cur/MHz) y </w:t>
      </w:r>
      <w:r w:rsidRPr="008B7A21">
        <w:rPr>
          <w:i/>
          <w:iCs/>
          <w:lang w:val="es-ES_tradnl"/>
        </w:rPr>
        <w:t>B</w:t>
      </w:r>
      <w:r w:rsidRPr="008B7A21">
        <w:rPr>
          <w:lang w:val="es-ES_tradnl"/>
        </w:rPr>
        <w:t xml:space="preserve"> (MHz) sirven de modificadores.</w:t>
      </w:r>
      <w:r w:rsidRPr="008B7A21">
        <w:rPr>
          <w:rStyle w:val="FootnoteAnchor"/>
          <w:rFonts w:eastAsia="Arial Narrow"/>
          <w:lang w:val="es-ES_tradnl"/>
        </w:rPr>
        <w:footnoteReference w:id="5"/>
      </w:r>
      <w:r w:rsidRPr="008B7A21">
        <w:rPr>
          <w:lang w:val="es-ES_tradnl"/>
        </w:rPr>
        <w:t xml:space="preserve"> El modelo permite determinar los cánones para transmisores únicamente; es decir, los operadores de estaciones terrenas VSAT solo pagarán por el ancho de banda que consuman sus transmisores; los receptores de FM y TV no pagan el canon por utilización del espectro (SUF).</w:t>
      </w:r>
    </w:p>
    <w:p w14:paraId="54C8295E" w14:textId="77777777" w:rsidR="00F73D5B" w:rsidRPr="008B7A21" w:rsidRDefault="00F73D5B" w:rsidP="00F73D5B">
      <w:pPr>
        <w:rPr>
          <w:lang w:val="es-ES_tradnl"/>
        </w:rPr>
      </w:pPr>
      <w:r w:rsidRPr="008B7A21">
        <w:rPr>
          <w:lang w:val="es-ES_tradnl"/>
        </w:rPr>
        <w:t xml:space="preserve">A continuación se definen todos estos parámetros: </w:t>
      </w:r>
    </w:p>
    <w:p w14:paraId="1DE7D716" w14:textId="77777777" w:rsidR="00F73D5B" w:rsidRPr="008B7A21" w:rsidRDefault="00F73D5B" w:rsidP="00F73D5B">
      <w:pPr>
        <w:tabs>
          <w:tab w:val="right" w:pos="1871"/>
          <w:tab w:val="left" w:pos="2041"/>
        </w:tabs>
        <w:spacing w:before="360"/>
        <w:ind w:left="2041" w:hanging="2041"/>
        <w:rPr>
          <w:lang w:val="es-ES_tradnl"/>
        </w:rPr>
      </w:pPr>
      <w:r w:rsidRPr="008B7A21">
        <w:rPr>
          <w:b/>
          <w:bCs/>
          <w:i/>
          <w:iCs/>
          <w:szCs w:val="24"/>
          <w:lang w:val="es-ES_tradnl"/>
        </w:rPr>
        <w:tab/>
      </w:r>
      <w:r w:rsidRPr="008B7A21">
        <w:rPr>
          <w:i/>
          <w:iCs/>
          <w:szCs w:val="24"/>
          <w:lang w:val="es-ES_tradnl"/>
        </w:rPr>
        <w:t>Cost</w:t>
      </w:r>
      <w:r w:rsidRPr="008B7A21">
        <w:rPr>
          <w:i/>
          <w:iCs/>
          <w:sz w:val="28"/>
          <w:szCs w:val="28"/>
          <w:lang w:val="es-ES_tradnl"/>
        </w:rPr>
        <w:t xml:space="preserve"> </w:t>
      </w:r>
      <w:r w:rsidRPr="008B7A21">
        <w:rPr>
          <w:lang w:val="es-ES_tradnl"/>
        </w:rPr>
        <w:t>(cur):</w:t>
      </w:r>
      <w:r w:rsidRPr="008B7A21">
        <w:rPr>
          <w:lang w:val="es-ES_tradnl"/>
        </w:rPr>
        <w:tab/>
      </w:r>
      <w:r w:rsidRPr="008B7A21">
        <w:rPr>
          <w:lang w:val="es-ES_tradnl"/>
        </w:rPr>
        <w:tab/>
        <w:t>coste del espectro en la moneda nacional</w:t>
      </w:r>
    </w:p>
    <w:p w14:paraId="62333BF6" w14:textId="77777777" w:rsidR="00F73D5B" w:rsidRPr="008B7A21" w:rsidRDefault="00F73D5B" w:rsidP="00F73D5B">
      <w:pPr>
        <w:pStyle w:val="Equationlegend"/>
        <w:rPr>
          <w:lang w:val="es-ES_tradnl"/>
        </w:rPr>
      </w:pPr>
      <w:r w:rsidRPr="008B7A21">
        <w:rPr>
          <w:b/>
          <w:i/>
          <w:iCs/>
          <w:lang w:val="es-ES_tradnl"/>
        </w:rPr>
        <w:tab/>
      </w:r>
      <w:r w:rsidRPr="008B7A21">
        <w:rPr>
          <w:bCs/>
          <w:i/>
          <w:iCs/>
          <w:lang w:val="es-ES_tradnl"/>
        </w:rPr>
        <w:t>B</w:t>
      </w:r>
      <w:r w:rsidRPr="008B7A21">
        <w:rPr>
          <w:bCs/>
          <w:lang w:val="es-ES_tradnl"/>
        </w:rPr>
        <w:t xml:space="preserve"> (MHz): </w:t>
      </w:r>
      <w:r w:rsidRPr="008B7A21">
        <w:rPr>
          <w:bCs/>
          <w:lang w:val="es-ES_tradnl"/>
        </w:rPr>
        <w:tab/>
        <w:t xml:space="preserve">ancho de banda </w:t>
      </w:r>
      <w:r w:rsidRPr="008B7A21">
        <w:rPr>
          <w:lang w:val="es-ES_tradnl"/>
        </w:rPr>
        <w:t>total asignado</w:t>
      </w:r>
    </w:p>
    <w:p w14:paraId="62902575" w14:textId="77777777" w:rsidR="00F73D5B" w:rsidRPr="008B7A21" w:rsidRDefault="00F73D5B" w:rsidP="00F73D5B">
      <w:pPr>
        <w:pStyle w:val="Equationlegend"/>
        <w:rPr>
          <w:sz w:val="16"/>
          <w:szCs w:val="16"/>
          <w:lang w:val="es-ES_tradnl"/>
        </w:rPr>
      </w:pPr>
      <w:r w:rsidRPr="008B7A21">
        <w:rPr>
          <w:b/>
          <w:bCs/>
          <w:i/>
          <w:iCs/>
          <w:sz w:val="28"/>
          <w:szCs w:val="28"/>
          <w:lang w:val="es-ES_tradnl"/>
        </w:rPr>
        <w:tab/>
      </w:r>
      <w:r w:rsidRPr="008B7A21">
        <w:rPr>
          <w:sz w:val="28"/>
          <w:szCs w:val="28"/>
          <w:lang w:val="es-ES_tradnl"/>
        </w:rPr>
        <w:t xml:space="preserve">α </w:t>
      </w:r>
      <w:r w:rsidRPr="008B7A21">
        <w:rPr>
          <w:lang w:val="es-ES_tradnl"/>
        </w:rPr>
        <w:t>(cur/MHz):</w:t>
      </w:r>
      <w:r w:rsidRPr="008B7A21">
        <w:rPr>
          <w:lang w:val="es-ES_tradnl"/>
        </w:rPr>
        <w:tab/>
        <w:t>unidad de precio básica. Basada en la dinámica del mercado, la perspectiva del país del sector de las TIC y las prácticas idóneas internacionales.</w:t>
      </w:r>
      <w:r w:rsidRPr="008B7A21">
        <w:rPr>
          <w:i/>
          <w:iCs/>
          <w:lang w:val="es-ES_tradnl"/>
        </w:rPr>
        <w:t xml:space="preserve"> </w:t>
      </w:r>
      <w:r w:rsidRPr="008B7A21">
        <w:rPr>
          <w:lang w:val="es-ES_tradnl"/>
        </w:rPr>
        <w:t>α</w:t>
      </w:r>
      <w:r w:rsidRPr="008B7A21">
        <w:rPr>
          <w:i/>
          <w:iCs/>
          <w:lang w:val="es-ES_tradnl"/>
        </w:rPr>
        <w:t xml:space="preserve"> </w:t>
      </w:r>
      <w:r w:rsidRPr="008B7A21">
        <w:rPr>
          <w:lang w:val="es-ES_tradnl"/>
        </w:rPr>
        <w:t>es el valor de1 MHz para el servicio celular por debajo de 6 000 MHz</w:t>
      </w:r>
    </w:p>
    <w:p w14:paraId="4EF9D238" w14:textId="77777777" w:rsidR="00F73D5B" w:rsidRPr="008B7A21" w:rsidRDefault="00F73D5B" w:rsidP="00F73D5B">
      <w:pPr>
        <w:pStyle w:val="Equationlegend"/>
        <w:rPr>
          <w:lang w:val="es-ES_tradnl"/>
        </w:rPr>
      </w:pPr>
      <w:r w:rsidRPr="008B7A21">
        <w:rPr>
          <w:b/>
          <w:bCs/>
          <w:i/>
          <w:iCs/>
          <w:lang w:val="es-ES_tradnl"/>
        </w:rPr>
        <w:tab/>
      </w:r>
      <w:r w:rsidRPr="008B7A21">
        <w:rPr>
          <w:i/>
          <w:iCs/>
          <w:lang w:val="es-ES_tradnl"/>
        </w:rPr>
        <w:t>F</w:t>
      </w:r>
      <w:r w:rsidRPr="008B7A21">
        <w:rPr>
          <w:lang w:val="es-ES_tradnl"/>
        </w:rPr>
        <w:t xml:space="preserve">: </w:t>
      </w:r>
      <w:r w:rsidRPr="008B7A21">
        <w:rPr>
          <w:lang w:val="es-ES_tradnl"/>
        </w:rPr>
        <w:tab/>
        <w:t xml:space="preserve">depende exclusivamente de la frecuencia central; </w:t>
      </w:r>
      <w:r w:rsidRPr="008B7A21">
        <w:rPr>
          <w:i/>
          <w:iCs/>
          <w:lang w:val="es-ES_tradnl"/>
        </w:rPr>
        <w:t>F</w:t>
      </w:r>
      <w:r w:rsidRPr="008B7A21">
        <w:rPr>
          <w:lang w:val="es-ES_tradnl"/>
        </w:rPr>
        <w:t xml:space="preserve"> es igual a 1 para frecuencias inferiores a 6 000 MHz y 6 000/</w:t>
      </w:r>
      <w:r w:rsidRPr="008B7A21">
        <w:rPr>
          <w:i/>
          <w:iCs/>
          <w:sz w:val="28"/>
          <w:lang w:val="es-ES_tradnl"/>
        </w:rPr>
        <w:t xml:space="preserve">f </w:t>
      </w:r>
      <w:r w:rsidRPr="008B7A21">
        <w:rPr>
          <w:lang w:val="es-ES_tradnl"/>
        </w:rPr>
        <w:t xml:space="preserve">para frecuencia superiores. </w:t>
      </w:r>
      <w:r w:rsidRPr="008B7A21">
        <w:rPr>
          <w:i/>
          <w:iCs/>
          <w:lang w:val="es-ES_tradnl"/>
        </w:rPr>
        <w:t>F</w:t>
      </w:r>
      <w:r w:rsidRPr="008B7A21">
        <w:rPr>
          <w:lang w:val="es-ES_tradnl"/>
        </w:rPr>
        <w:t xml:space="preserve"> no está correlacionada con el servicio </w:t>
      </w:r>
    </w:p>
    <w:p w14:paraId="61028A94" w14:textId="77777777" w:rsidR="00F73D5B" w:rsidRPr="008B7A21" w:rsidRDefault="00F73D5B" w:rsidP="00F73D5B">
      <w:pPr>
        <w:pStyle w:val="Equationlegend"/>
        <w:rPr>
          <w:rFonts w:ascii="Garamond" w:hAnsi="Garamond"/>
          <w:lang w:val="es-ES_tradnl"/>
        </w:rPr>
      </w:pPr>
      <w:r w:rsidRPr="008B7A21">
        <w:rPr>
          <w:b/>
          <w:bCs/>
          <w:i/>
          <w:iCs/>
          <w:sz w:val="28"/>
          <w:szCs w:val="28"/>
          <w:lang w:val="es-ES_tradnl"/>
        </w:rPr>
        <w:tab/>
      </w:r>
      <w:r w:rsidRPr="008B7A21">
        <w:rPr>
          <w:sz w:val="28"/>
          <w:szCs w:val="28"/>
          <w:lang w:val="es-ES_tradnl"/>
        </w:rPr>
        <w:t>ρ</w:t>
      </w:r>
      <w:r w:rsidRPr="008B7A21">
        <w:rPr>
          <w:lang w:val="es-ES_tradnl"/>
        </w:rPr>
        <w:t>:</w:t>
      </w:r>
      <w:r w:rsidRPr="008B7A21">
        <w:rPr>
          <w:rFonts w:ascii="Garamond" w:hAnsi="Garamond"/>
          <w:lang w:val="es-ES_tradnl"/>
        </w:rPr>
        <w:tab/>
      </w:r>
      <w:r w:rsidRPr="008B7A21">
        <w:rPr>
          <w:lang w:val="es-ES_tradnl"/>
        </w:rPr>
        <w:t xml:space="preserve">factor </w:t>
      </w:r>
      <w:r w:rsidRPr="008B7A21">
        <w:rPr>
          <w:szCs w:val="24"/>
          <w:lang w:val="es-ES_tradnl"/>
        </w:rPr>
        <w:t xml:space="preserve">regional; </w:t>
      </w:r>
      <w:r w:rsidRPr="008B7A21">
        <w:rPr>
          <w:lang w:val="es-ES_tradnl"/>
        </w:rPr>
        <w:t xml:space="preserve">su valor es </w:t>
      </w:r>
      <w:r w:rsidRPr="008B7A21">
        <w:rPr>
          <w:szCs w:val="24"/>
          <w:lang w:val="es-ES_tradnl"/>
        </w:rPr>
        <w:t>1 para licencias nacionales y proporcional (menor que 1) al número de zonas administrativas (regiones, provincias) abarcadas por licencias no nacionales</w:t>
      </w:r>
    </w:p>
    <w:p w14:paraId="398B409C" w14:textId="77777777" w:rsidR="00F73D5B" w:rsidRPr="008B7A21" w:rsidRDefault="00F73D5B" w:rsidP="00F73D5B">
      <w:pPr>
        <w:pStyle w:val="Equationlegend"/>
        <w:rPr>
          <w:lang w:val="es-ES_tradnl"/>
        </w:rPr>
      </w:pPr>
      <w:r w:rsidRPr="008B7A21">
        <w:rPr>
          <w:b/>
          <w:bCs/>
          <w:i/>
          <w:iCs/>
          <w:sz w:val="28"/>
          <w:szCs w:val="28"/>
          <w:lang w:val="es-ES_tradnl"/>
        </w:rPr>
        <w:tab/>
      </w:r>
      <w:r w:rsidRPr="008B7A21">
        <w:rPr>
          <w:sz w:val="28"/>
          <w:szCs w:val="28"/>
          <w:lang w:val="es-ES_tradnl"/>
        </w:rPr>
        <w:t>σ</w:t>
      </w:r>
      <w:r w:rsidRPr="008B7A21">
        <w:rPr>
          <w:lang w:val="es-ES_tradnl"/>
        </w:rPr>
        <w:t>:</w:t>
      </w:r>
      <w:r w:rsidRPr="008B7A21">
        <w:rPr>
          <w:lang w:val="es-ES_tradnl"/>
        </w:rPr>
        <w:tab/>
        <w:t xml:space="preserve">factor de compartición del operador; es igual a uno para RF exclusiva. Dado que varios operadores pueden compartir la misma RF, especialmente en enlaces punto a punto (PtP), </w:t>
      </w:r>
      <w:r w:rsidRPr="008B7A21">
        <w:rPr>
          <w:sz w:val="28"/>
          <w:szCs w:val="28"/>
          <w:lang w:val="es-ES_tradnl"/>
        </w:rPr>
        <w:t>σ</w:t>
      </w:r>
      <w:r w:rsidRPr="008B7A21">
        <w:rPr>
          <w:lang w:val="es-ES_tradnl"/>
        </w:rPr>
        <w:t xml:space="preserve"> puede ser inferior a 1; 1/2 para dos usuarios que compartan la misma RF, 1/3 para tres, etc.</w:t>
      </w:r>
      <w:r w:rsidRPr="008B7A21">
        <w:rPr>
          <w:rStyle w:val="FootnoteAnchor"/>
          <w:rFonts w:eastAsia="Arial Narrow"/>
          <w:lang w:val="es-ES_tradnl"/>
        </w:rPr>
        <w:footnoteReference w:id="6"/>
      </w:r>
    </w:p>
    <w:p w14:paraId="2E3A6947" w14:textId="77777777" w:rsidR="00F73D5B" w:rsidRPr="008B7A21" w:rsidRDefault="00F73D5B" w:rsidP="00F73D5B">
      <w:pPr>
        <w:pStyle w:val="Equationlegend"/>
        <w:rPr>
          <w:lang w:val="es-ES_tradnl"/>
        </w:rPr>
      </w:pPr>
      <w:r w:rsidRPr="008B7A21">
        <w:rPr>
          <w:b/>
          <w:bCs/>
          <w:i/>
          <w:iCs/>
          <w:sz w:val="28"/>
          <w:szCs w:val="28"/>
          <w:lang w:val="es-ES_tradnl"/>
        </w:rPr>
        <w:tab/>
      </w:r>
      <w:r w:rsidRPr="008B7A21">
        <w:rPr>
          <w:i/>
          <w:iCs/>
          <w:sz w:val="28"/>
          <w:szCs w:val="28"/>
          <w:lang w:val="es-ES_tradnl"/>
        </w:rPr>
        <w:t>l</w:t>
      </w:r>
      <w:r w:rsidRPr="008B7A21">
        <w:rPr>
          <w:lang w:val="es-ES_tradnl"/>
        </w:rPr>
        <w:t>:</w:t>
      </w:r>
      <w:r w:rsidRPr="008B7A21">
        <w:rPr>
          <w:lang w:val="es-ES_tradnl"/>
        </w:rPr>
        <w:tab/>
      </w:r>
      <w:r w:rsidRPr="008B7A21">
        <w:rPr>
          <w:szCs w:val="24"/>
          <w:lang w:val="es-ES_tradnl"/>
        </w:rPr>
        <w:t xml:space="preserve">emplazamiento: urbano o rural (fuera de zonas urbanas). Define el desarrollo socioeconómico dentro de diferentes distritos y se clasifican con cánones diferentes. </w:t>
      </w:r>
      <w:r w:rsidRPr="008B7A21">
        <w:rPr>
          <w:i/>
          <w:iCs/>
          <w:szCs w:val="24"/>
          <w:lang w:val="es-ES_tradnl"/>
        </w:rPr>
        <w:t>l</w:t>
      </w:r>
      <w:r w:rsidRPr="008B7A21">
        <w:rPr>
          <w:szCs w:val="24"/>
          <w:lang w:val="es-ES_tradnl"/>
        </w:rPr>
        <w:t xml:space="preserve"> puede tomar dos valores, por ejemplo precio íntegro en zonas urbanas; 25% del precio íntegro en zonas rurales. Las Administraciones pueden adoptar otros valores o definir más clases, como zonas remotas, etc.</w:t>
      </w:r>
    </w:p>
    <w:p w14:paraId="11E5A303" w14:textId="77777777" w:rsidR="00F73D5B" w:rsidRPr="008B7A21" w:rsidRDefault="00F73D5B" w:rsidP="00F73D5B">
      <w:pPr>
        <w:pStyle w:val="Equationlegend"/>
        <w:rPr>
          <w:lang w:val="es-ES_tradnl"/>
        </w:rPr>
      </w:pPr>
      <w:r w:rsidRPr="008B7A21">
        <w:rPr>
          <w:b/>
          <w:bCs/>
          <w:i/>
          <w:iCs/>
          <w:sz w:val="28"/>
          <w:szCs w:val="28"/>
          <w:lang w:val="es-ES_tradnl"/>
        </w:rPr>
        <w:tab/>
      </w:r>
      <w:r w:rsidRPr="008B7A21">
        <w:rPr>
          <w:i/>
          <w:iCs/>
          <w:sz w:val="28"/>
          <w:szCs w:val="28"/>
          <w:lang w:val="es-ES_tradnl"/>
        </w:rPr>
        <w:t>M</w:t>
      </w:r>
      <w:r w:rsidRPr="008B7A21">
        <w:rPr>
          <w:i/>
          <w:iCs/>
          <w:sz w:val="28"/>
          <w:szCs w:val="28"/>
          <w:vertAlign w:val="subscript"/>
          <w:lang w:val="es-ES_tradnl"/>
        </w:rPr>
        <w:t>pub</w:t>
      </w:r>
      <w:r w:rsidRPr="008B7A21">
        <w:rPr>
          <w:lang w:val="es-ES_tradnl"/>
        </w:rPr>
        <w:t>:</w:t>
      </w:r>
      <w:r w:rsidRPr="008B7A21">
        <w:rPr>
          <w:lang w:val="es-ES_tradnl"/>
        </w:rPr>
        <w:tab/>
      </w:r>
      <w:r w:rsidRPr="008B7A21">
        <w:rPr>
          <w:szCs w:val="24"/>
          <w:lang w:val="es-ES_tradnl"/>
        </w:rPr>
        <w:t xml:space="preserve">Ponderador público que tiene en cuenta una diferenciación entre los servicios. </w:t>
      </w:r>
      <w:r w:rsidRPr="008B7A21">
        <w:rPr>
          <w:i/>
          <w:iCs/>
          <w:szCs w:val="24"/>
          <w:lang w:val="es-ES_tradnl"/>
        </w:rPr>
        <w:t>M</w:t>
      </w:r>
      <w:r w:rsidRPr="008B7A21">
        <w:rPr>
          <w:i/>
          <w:iCs/>
          <w:szCs w:val="24"/>
          <w:vertAlign w:val="subscript"/>
          <w:lang w:val="es-ES_tradnl"/>
        </w:rPr>
        <w:t>pub</w:t>
      </w:r>
      <w:r w:rsidRPr="008B7A21">
        <w:rPr>
          <w:i/>
          <w:iCs/>
          <w:szCs w:val="24"/>
          <w:lang w:val="es-ES_tradnl"/>
        </w:rPr>
        <w:t xml:space="preserve"> </w:t>
      </w:r>
      <w:r w:rsidRPr="008B7A21">
        <w:rPr>
          <w:szCs w:val="24"/>
          <w:lang w:val="es-ES_tradnl"/>
        </w:rPr>
        <w:t>define en realidad los cánones.</w:t>
      </w:r>
      <w:r w:rsidRPr="008B7A21">
        <w:rPr>
          <w:lang w:val="es-ES_tradnl"/>
        </w:rPr>
        <w:t xml:space="preserve"> </w:t>
      </w:r>
      <w:r w:rsidRPr="008B7A21">
        <w:rPr>
          <w:i/>
          <w:iCs/>
          <w:szCs w:val="24"/>
          <w:lang w:val="es-ES_tradnl"/>
        </w:rPr>
        <w:t>M</w:t>
      </w:r>
      <w:r w:rsidRPr="008B7A21">
        <w:rPr>
          <w:i/>
          <w:iCs/>
          <w:szCs w:val="24"/>
          <w:vertAlign w:val="subscript"/>
          <w:lang w:val="es-ES_tradnl"/>
        </w:rPr>
        <w:t>pub</w:t>
      </w:r>
      <w:r w:rsidRPr="008B7A21">
        <w:rPr>
          <w:szCs w:val="24"/>
          <w:lang w:val="es-ES_tradnl"/>
        </w:rPr>
        <w:t xml:space="preserve"> vale 1 para el servicio celular. Para otros servicios, </w:t>
      </w:r>
      <w:r w:rsidRPr="008B7A21">
        <w:rPr>
          <w:i/>
          <w:iCs/>
          <w:sz w:val="28"/>
          <w:szCs w:val="28"/>
          <w:lang w:val="es-ES_tradnl"/>
        </w:rPr>
        <w:t>M</w:t>
      </w:r>
      <w:r w:rsidRPr="008B7A21">
        <w:rPr>
          <w:i/>
          <w:iCs/>
          <w:sz w:val="28"/>
          <w:szCs w:val="28"/>
          <w:vertAlign w:val="subscript"/>
          <w:lang w:val="es-ES_tradnl"/>
        </w:rPr>
        <w:t>pub</w:t>
      </w:r>
      <w:r w:rsidRPr="008B7A21">
        <w:rPr>
          <w:b/>
          <w:lang w:val="es-ES_tradnl"/>
        </w:rPr>
        <w:t xml:space="preserve"> </w:t>
      </w:r>
      <w:r w:rsidRPr="008B7A21">
        <w:rPr>
          <w:szCs w:val="24"/>
          <w:lang w:val="es-ES_tradnl"/>
        </w:rPr>
        <w:t xml:space="preserve">su valor es diferente y predetermina el coste anual del servicio. Por ejemplo, para la televisión en abierto </w:t>
      </w:r>
      <w:r w:rsidRPr="008B7A21">
        <w:rPr>
          <w:i/>
          <w:iCs/>
          <w:szCs w:val="24"/>
          <w:lang w:val="es-ES_tradnl"/>
        </w:rPr>
        <w:t>M</w:t>
      </w:r>
      <w:r w:rsidRPr="008B7A21">
        <w:rPr>
          <w:i/>
          <w:iCs/>
          <w:szCs w:val="24"/>
          <w:vertAlign w:val="subscript"/>
          <w:lang w:val="es-ES_tradnl"/>
        </w:rPr>
        <w:t>pub</w:t>
      </w:r>
      <w:r w:rsidRPr="008B7A21">
        <w:rPr>
          <w:szCs w:val="24"/>
          <w:lang w:val="es-ES_tradnl"/>
        </w:rPr>
        <w:t xml:space="preserve"> puede ser considerablemente reducido. </w:t>
      </w:r>
      <w:r w:rsidRPr="008B7A21">
        <w:rPr>
          <w:i/>
          <w:iCs/>
          <w:sz w:val="28"/>
          <w:szCs w:val="28"/>
          <w:lang w:val="es-ES_tradnl"/>
        </w:rPr>
        <w:t>M</w:t>
      </w:r>
      <w:r w:rsidRPr="008B7A21">
        <w:rPr>
          <w:i/>
          <w:iCs/>
          <w:sz w:val="28"/>
          <w:szCs w:val="28"/>
          <w:vertAlign w:val="subscript"/>
          <w:lang w:val="es-ES_tradnl"/>
        </w:rPr>
        <w:t>pub</w:t>
      </w:r>
      <w:r w:rsidRPr="008B7A21">
        <w:rPr>
          <w:szCs w:val="24"/>
          <w:lang w:val="es-ES_tradnl"/>
        </w:rPr>
        <w:t xml:space="preserve"> sirve de marco para definir los valores de los diferentes servicios.</w:t>
      </w:r>
    </w:p>
    <w:p w14:paraId="31AB51E1" w14:textId="77777777" w:rsidR="00F73D5B" w:rsidRPr="008B7A21" w:rsidRDefault="00F73D5B" w:rsidP="00F73D5B">
      <w:pPr>
        <w:rPr>
          <w:lang w:val="es-ES_tradnl"/>
        </w:rPr>
      </w:pPr>
      <w:r w:rsidRPr="008B7A21">
        <w:rPr>
          <w:lang w:val="es-ES_tradnl"/>
        </w:rPr>
        <w:t xml:space="preserve">Los valores concretos de </w:t>
      </w:r>
      <w:r w:rsidRPr="008B7A21">
        <w:rPr>
          <w:i/>
          <w:iCs/>
          <w:lang w:val="es-ES_tradnl"/>
        </w:rPr>
        <w:t>α</w:t>
      </w:r>
      <w:r w:rsidRPr="008B7A21">
        <w:rPr>
          <w:lang w:val="es-ES_tradnl"/>
        </w:rPr>
        <w:t xml:space="preserve">, </w:t>
      </w:r>
      <w:r w:rsidRPr="008B7A21">
        <w:rPr>
          <w:i/>
          <w:iCs/>
          <w:lang w:val="es-ES_tradnl"/>
        </w:rPr>
        <w:t>l</w:t>
      </w:r>
      <w:r w:rsidRPr="008B7A21">
        <w:rPr>
          <w:lang w:val="es-ES_tradnl"/>
        </w:rPr>
        <w:t xml:space="preserve"> y </w:t>
      </w:r>
      <w:r w:rsidRPr="008B7A21">
        <w:rPr>
          <w:i/>
          <w:iCs/>
          <w:lang w:val="es-ES_tradnl"/>
        </w:rPr>
        <w:t>M</w:t>
      </w:r>
      <w:r w:rsidRPr="008B7A21">
        <w:rPr>
          <w:i/>
          <w:iCs/>
          <w:vertAlign w:val="subscript"/>
          <w:lang w:val="es-ES_tradnl"/>
        </w:rPr>
        <w:t>pub</w:t>
      </w:r>
      <w:r w:rsidRPr="008B7A21">
        <w:rPr>
          <w:lang w:val="es-ES_tradnl"/>
        </w:rPr>
        <w:t xml:space="preserve"> son subjetivos</w:t>
      </w:r>
      <w:r w:rsidRPr="008B7A21">
        <w:rPr>
          <w:rStyle w:val="FootnoteAnchor"/>
          <w:rFonts w:eastAsia="Arial Narrow"/>
          <w:lang w:val="es-ES_tradnl"/>
        </w:rPr>
        <w:footnoteReference w:id="7"/>
      </w:r>
      <w:r w:rsidRPr="008B7A21">
        <w:rPr>
          <w:lang w:val="es-ES_tradnl"/>
        </w:rPr>
        <w:t xml:space="preserve"> y los define el regulador.</w:t>
      </w:r>
    </w:p>
    <w:p w14:paraId="1470E987" w14:textId="77777777" w:rsidR="00F73D5B" w:rsidRPr="008B7A21" w:rsidRDefault="00F73D5B" w:rsidP="00F73D5B">
      <w:pPr>
        <w:pStyle w:val="Heading3"/>
        <w:rPr>
          <w:lang w:val="es-ES_tradnl"/>
        </w:rPr>
      </w:pPr>
      <w:bookmarkStart w:id="1663" w:name="_Toc518394243"/>
      <w:bookmarkStart w:id="1664" w:name="_Toc215835421"/>
      <w:r w:rsidRPr="008B7A21">
        <w:rPr>
          <w:lang w:val="es-ES_tradnl"/>
        </w:rPr>
        <w:t>4.8.2</w:t>
      </w:r>
      <w:r w:rsidRPr="008B7A21">
        <w:rPr>
          <w:lang w:val="es-ES_tradnl"/>
        </w:rPr>
        <w:tab/>
        <w:t>Mayores RF – menores cánones, para todos los servicios</w:t>
      </w:r>
      <w:bookmarkEnd w:id="1663"/>
      <w:bookmarkEnd w:id="1664"/>
    </w:p>
    <w:p w14:paraId="4ABB89C7" w14:textId="77777777" w:rsidR="00F73D5B" w:rsidRPr="008B7A21" w:rsidRDefault="00F73D5B" w:rsidP="00F73D5B">
      <w:pPr>
        <w:rPr>
          <w:lang w:val="es-ES_tradnl"/>
        </w:rPr>
      </w:pPr>
      <w:r w:rsidRPr="00482EF1">
        <w:rPr>
          <w:lang w:val="es-ES_tradnl"/>
        </w:rPr>
        <w:t xml:space="preserve">La Recomendación </w:t>
      </w:r>
      <w:hyperlink r:id="rId105">
        <w:r w:rsidRPr="00482EF1">
          <w:rPr>
            <w:rStyle w:val="InternetLink"/>
            <w:color w:val="auto"/>
            <w:u w:val="none"/>
            <w:lang w:val="es-ES_tradnl"/>
          </w:rPr>
          <w:t>UIT-R P.2040</w:t>
        </w:r>
      </w:hyperlink>
      <w:r w:rsidRPr="00482EF1">
        <w:rPr>
          <w:lang w:val="es-ES_tradnl"/>
        </w:rPr>
        <w:t xml:space="preserve"> – Efectos de los materiales y estructuras de construcción en la propagación de las ondas radioeléctricas por encima de unos 100 MHz, la Recomendación </w:t>
      </w:r>
      <w:hyperlink r:id="rId106">
        <w:r w:rsidRPr="00482EF1">
          <w:rPr>
            <w:rStyle w:val="InternetLink"/>
            <w:color w:val="auto"/>
            <w:u w:val="none"/>
            <w:lang w:val="es-ES_tradnl"/>
          </w:rPr>
          <w:t>UIT</w:t>
        </w:r>
        <w:r w:rsidRPr="00482EF1">
          <w:rPr>
            <w:rStyle w:val="InternetLink"/>
            <w:color w:val="auto"/>
            <w:u w:val="none"/>
            <w:lang w:val="es-ES_tradnl"/>
          </w:rPr>
          <w:noBreakHyphen/>
          <w:t>R P.2109</w:t>
        </w:r>
      </w:hyperlink>
      <w:r w:rsidRPr="00482EF1">
        <w:rPr>
          <w:lang w:val="es-ES_tradnl"/>
        </w:rPr>
        <w:t xml:space="preserve"> – Predicción de las pérdidas debidas a la penetración en edificios, y el Informe </w:t>
      </w:r>
      <w:hyperlink r:id="rId107">
        <w:r w:rsidRPr="00482EF1">
          <w:rPr>
            <w:rStyle w:val="InternetLink"/>
            <w:color w:val="auto"/>
            <w:u w:val="none"/>
            <w:lang w:val="es-ES_tradnl"/>
          </w:rPr>
          <w:t>UIT</w:t>
        </w:r>
        <w:r w:rsidRPr="00482EF1">
          <w:rPr>
            <w:rStyle w:val="InternetLink"/>
            <w:color w:val="auto"/>
            <w:u w:val="none"/>
            <w:lang w:val="es-ES_tradnl"/>
          </w:rPr>
          <w:noBreakHyphen/>
          <w:t>R P.2346</w:t>
        </w:r>
      </w:hyperlink>
      <w:r w:rsidRPr="00482EF1">
        <w:rPr>
          <w:lang w:val="es-ES_tradnl"/>
        </w:rPr>
        <w:t xml:space="preserve"> – Recopilación de datos experimentales de pérdidas de entrada en edificios, explican por qué por encima de 6 000 MHz los materiales de construcción atenúan la señal y pueden obligar a que haya visibilidad </w:t>
      </w:r>
      <w:r w:rsidRPr="008B7A21">
        <w:rPr>
          <w:lang w:val="es-ES_tradnl"/>
        </w:rPr>
        <w:t xml:space="preserve">directa entre el transmisor y el receptor. La publicación </w:t>
      </w:r>
      <w:r w:rsidRPr="008B7A21">
        <w:rPr>
          <w:i/>
          <w:iCs/>
          <w:lang w:val="es-ES_tradnl"/>
        </w:rPr>
        <w:t>Radio Spectrum Management: Policies, Regulations and Techniques</w:t>
      </w:r>
      <w:r w:rsidRPr="008B7A21">
        <w:rPr>
          <w:lang w:val="es-ES_tradnl"/>
        </w:rPr>
        <w:t xml:space="preserve"> [9], párrafo 5.6.8, explica que prácticamente antes de la quinta generación las redes celulares móviles terrestres funcionan por debajo de 6 000 MHz</w:t>
      </w:r>
      <w:r w:rsidRPr="008B7A21">
        <w:rPr>
          <w:rStyle w:val="FootnoteAnchor"/>
          <w:rFonts w:eastAsia="Arial Narrow"/>
          <w:lang w:val="es-ES_tradnl"/>
        </w:rPr>
        <w:footnoteReference w:id="8"/>
      </w:r>
      <w:r w:rsidRPr="008B7A21">
        <w:rPr>
          <w:lang w:val="es-ES_tradnl"/>
        </w:rPr>
        <w:t>.</w:t>
      </w:r>
    </w:p>
    <w:p w14:paraId="17A177CE" w14:textId="77777777" w:rsidR="00F73D5B" w:rsidRPr="008B7A21" w:rsidRDefault="00F73D5B" w:rsidP="00F73D5B">
      <w:pPr>
        <w:rPr>
          <w:lang w:val="es-ES_tradnl"/>
        </w:rPr>
      </w:pPr>
      <w:r w:rsidRPr="008B7A21">
        <w:rPr>
          <w:lang w:val="es-ES_tradnl"/>
        </w:rPr>
        <w:t>A frecuencias inferiores a 6 000 MHz, las propiedades de propagación proporcionan una cobertura y una penetración ventajosas. Sin embargo, por debajo de 6 000 MHz, hay menos frecuencias disponibles, en comparación con las frecuencias más altas. Por consiguiente, se considera que estas bandas son objeto de mayor demanda. El modelo no distingue entre las distintas bandas celulares por debajo de 6 000 MHz: la ventaja de una menor RF (cobertura) se compensa con una mayor anchura de banda (capacidad). Desde el punto de vista técnico, todas las bandas de frecuencias son adecuadas (tanto las de baja frecuencia como las de alta frecuencia) para enlaces cortos. Se trata de un incentivo de gestión del espectro introducido en la estructura de tarifas para garantizar la disponibilidad permanente de estas bandas de frecuencias inferiores, principalmente para la telefonía móvil y la radiodifusión (audio y vídeo) y los enlaces PtP de mayor duración, que sólo pueden acomodarse en estas frecuencias más bajas. Los incentivos en materia de precios tienen por objeto fomentar la selección eficaz de las necesidades de frecuencias. Por lo tanto, las bandas de frecuencias más bajas pueden servir para distancias mayores y «evitar» obstáculos topográficos. Para distancias relativamente cortas se puede recurrir a bandas de frecuencias más altas. Por lo tanto, a fin de garantizar la disponibilidad permanente de estas bandas de frecuencias inferiores, se alienta a los operadores a que, mediante el factor F de la fórmula de tasas, seleccionen la banda de frecuencias más alta disponible para la distancia física que deben cubrir. El factor F ofrece incentivos para que los usuarios potenciales utilicen bandas de frecuencias más altas al contemplar nuevas licencias, a fin de optimizar el uso del espectro.</w:t>
      </w:r>
    </w:p>
    <w:p w14:paraId="287DCB84" w14:textId="77777777" w:rsidR="00F73D5B" w:rsidRPr="008B7A21" w:rsidRDefault="00F73D5B" w:rsidP="00F73D5B">
      <w:pPr>
        <w:pStyle w:val="Heading3"/>
        <w:rPr>
          <w:lang w:val="es-ES_tradnl"/>
        </w:rPr>
      </w:pPr>
      <w:bookmarkStart w:id="1665" w:name="_Ref484715111"/>
      <w:bookmarkStart w:id="1666" w:name="_Toc215835422"/>
      <w:bookmarkStart w:id="1667" w:name="_Toc518394244"/>
      <w:r w:rsidRPr="008B7A21">
        <w:rPr>
          <w:lang w:val="es-ES_tradnl"/>
        </w:rPr>
        <w:t>4.8.3</w:t>
      </w:r>
      <w:r w:rsidRPr="008B7A21">
        <w:rPr>
          <w:lang w:val="es-ES_tradnl"/>
        </w:rPr>
        <w:tab/>
        <w:t xml:space="preserve">Valores de </w:t>
      </w:r>
      <w:bookmarkEnd w:id="1665"/>
      <w:r w:rsidRPr="008B7A21">
        <w:rPr>
          <w:lang w:val="es-ES_tradnl"/>
        </w:rPr>
        <w:t>F para todo tipo de servicios</w:t>
      </w:r>
      <w:bookmarkEnd w:id="1666"/>
      <w:r w:rsidRPr="008B7A21">
        <w:rPr>
          <w:lang w:val="es-ES_tradnl"/>
        </w:rPr>
        <w:t xml:space="preserve"> </w:t>
      </w:r>
      <w:bookmarkEnd w:id="1667"/>
    </w:p>
    <w:p w14:paraId="7CF54AD6" w14:textId="77777777" w:rsidR="00F73D5B" w:rsidRPr="008B7A21" w:rsidRDefault="00F73D5B" w:rsidP="00F73D5B">
      <w:pPr>
        <w:rPr>
          <w:lang w:val="es-ES_tradnl"/>
        </w:rPr>
      </w:pPr>
      <w:r w:rsidRPr="008B7A21">
        <w:rPr>
          <w:i/>
          <w:iCs/>
          <w:lang w:val="es-ES_tradnl"/>
        </w:rPr>
        <w:t xml:space="preserve">F </w:t>
      </w:r>
      <w:r w:rsidRPr="008B7A21">
        <w:rPr>
          <w:lang w:val="es-ES_tradnl"/>
        </w:rPr>
        <w:t>depende exclusivamente de la frecuencia:</w:t>
      </w:r>
    </w:p>
    <w:p w14:paraId="6944E34F" w14:textId="77777777" w:rsidR="00F73D5B" w:rsidRPr="008B7A21" w:rsidRDefault="00F73D5B" w:rsidP="00F73D5B">
      <w:pPr>
        <w:pStyle w:val="enumlev1"/>
        <w:rPr>
          <w:lang w:val="es-ES_tradnl"/>
        </w:rPr>
      </w:pPr>
      <w:r w:rsidRPr="008B7A21">
        <w:rPr>
          <w:i/>
          <w:iCs/>
          <w:lang w:val="es-ES_tradnl"/>
        </w:rPr>
        <w:t>–</w:t>
      </w:r>
      <w:r w:rsidRPr="008B7A21">
        <w:rPr>
          <w:i/>
          <w:iCs/>
          <w:lang w:val="es-ES_tradnl"/>
        </w:rPr>
        <w:tab/>
        <w:t>F</w:t>
      </w:r>
      <w:r w:rsidRPr="008B7A21">
        <w:rPr>
          <w:lang w:val="es-ES_tradnl"/>
        </w:rPr>
        <w:t xml:space="preserve"> es igual a 1 para frecuencias inferiores a 6 000 MHz para todos los servicios </w:t>
      </w:r>
    </w:p>
    <w:p w14:paraId="12D13960" w14:textId="77777777" w:rsidR="00F73D5B" w:rsidRPr="008B7A21" w:rsidRDefault="00F73D5B" w:rsidP="00F73D5B">
      <w:pPr>
        <w:pStyle w:val="enumlev1"/>
        <w:rPr>
          <w:lang w:val="es-ES_tradnl"/>
        </w:rPr>
      </w:pPr>
      <w:r w:rsidRPr="008B7A21">
        <w:rPr>
          <w:i/>
          <w:iCs/>
          <w:lang w:val="es-ES_tradnl"/>
        </w:rPr>
        <w:t>–</w:t>
      </w:r>
      <w:r w:rsidRPr="008B7A21">
        <w:rPr>
          <w:i/>
          <w:iCs/>
          <w:lang w:val="es-ES_tradnl"/>
        </w:rPr>
        <w:tab/>
        <w:t>F </w:t>
      </w:r>
      <w:r w:rsidRPr="008B7A21">
        <w:rPr>
          <w:lang w:val="es-ES_tradnl"/>
        </w:rPr>
        <w:t>= 6 000/</w:t>
      </w:r>
      <w:r w:rsidRPr="008B7A21">
        <w:rPr>
          <w:i/>
          <w:iCs/>
          <w:sz w:val="28"/>
          <w:lang w:val="es-ES_tradnl"/>
        </w:rPr>
        <w:t>f</w:t>
      </w:r>
      <w:r w:rsidRPr="008B7A21">
        <w:rPr>
          <w:sz w:val="28"/>
          <w:lang w:val="es-ES_tradnl"/>
        </w:rPr>
        <w:t xml:space="preserve"> </w:t>
      </w:r>
      <w:r w:rsidRPr="008B7A21">
        <w:rPr>
          <w:lang w:val="es-ES_tradnl"/>
        </w:rPr>
        <w:t>(MHz) para frecuencias (</w:t>
      </w:r>
      <w:r w:rsidRPr="008B7A21">
        <w:rPr>
          <w:i/>
          <w:iCs/>
          <w:sz w:val="28"/>
          <w:lang w:val="es-ES_tradnl"/>
        </w:rPr>
        <w:t xml:space="preserve">f </w:t>
      </w:r>
      <w:r w:rsidRPr="008B7A21">
        <w:rPr>
          <w:lang w:val="es-ES_tradnl"/>
        </w:rPr>
        <w:t xml:space="preserve">) superiores a 6 000 MHz. </w:t>
      </w:r>
    </w:p>
    <w:p w14:paraId="7F92CC06" w14:textId="77777777" w:rsidR="00F73D5B" w:rsidRPr="008B7A21" w:rsidRDefault="00F73D5B" w:rsidP="00F73D5B">
      <w:pPr>
        <w:rPr>
          <w:lang w:val="es-ES_tradnl"/>
        </w:rPr>
      </w:pPr>
      <w:r w:rsidRPr="008B7A21">
        <w:rPr>
          <w:lang w:val="es-ES_tradnl"/>
        </w:rPr>
        <w:t>En las siguientes secciones se detallan los cánones.</w:t>
      </w:r>
    </w:p>
    <w:p w14:paraId="3DA9EC34" w14:textId="77777777" w:rsidR="00F73D5B" w:rsidRPr="008B7A21" w:rsidRDefault="00F73D5B" w:rsidP="00F73D5B">
      <w:pPr>
        <w:pStyle w:val="Heading4"/>
        <w:rPr>
          <w:lang w:val="es-ES_tradnl"/>
        </w:rPr>
      </w:pPr>
      <w:bookmarkStart w:id="1668" w:name="_Ref484717119"/>
      <w:bookmarkStart w:id="1669" w:name="_Ref473645296"/>
      <w:bookmarkEnd w:id="1668"/>
      <w:bookmarkEnd w:id="1669"/>
      <w:r w:rsidRPr="008B7A21">
        <w:rPr>
          <w:lang w:val="es-ES_tradnl"/>
        </w:rPr>
        <w:t>4.8.3.1</w:t>
      </w:r>
      <w:r w:rsidRPr="008B7A21">
        <w:rPr>
          <w:lang w:val="es-ES_tradnl"/>
        </w:rPr>
        <w:tab/>
        <w:t>Cánones para todas las aplicaciones por debajo de 6 000 MHz</w:t>
      </w:r>
    </w:p>
    <w:p w14:paraId="3AD761A1" w14:textId="77777777" w:rsidR="00F73D5B" w:rsidRPr="008B7A21" w:rsidRDefault="00F73D5B" w:rsidP="00F73D5B">
      <w:pPr>
        <w:rPr>
          <w:lang w:val="es-ES_tradnl"/>
        </w:rPr>
      </w:pPr>
      <m:oMath>
        <m:r>
          <w:rPr>
            <w:rFonts w:ascii="Cambria Math" w:hAnsi="Cambria Math"/>
            <w:lang w:val="es-ES_tradnl"/>
          </w:rPr>
          <m:t>F</m:t>
        </m:r>
      </m:oMath>
      <w:r w:rsidRPr="008B7A21">
        <w:rPr>
          <w:lang w:val="es-ES_tradnl"/>
        </w:rPr>
        <w:t xml:space="preserve"> depende de la frecuencia, mientras que </w:t>
      </w:r>
      <w:r w:rsidRPr="008B7A21">
        <w:rPr>
          <w:i/>
          <w:iCs/>
          <w:lang w:val="es-ES_tradnl"/>
        </w:rPr>
        <w:t>M</w:t>
      </w:r>
      <w:r w:rsidRPr="008B7A21">
        <w:rPr>
          <w:i/>
          <w:iCs/>
          <w:vertAlign w:val="subscript"/>
          <w:lang w:val="es-ES_tradnl"/>
        </w:rPr>
        <w:t>pub</w:t>
      </w:r>
      <w:r w:rsidRPr="008B7A21">
        <w:rPr>
          <w:lang w:val="es-ES_tradnl"/>
        </w:rPr>
        <w:t xml:space="preserve"> tienen en cuenta el servicio. Por consiguiente, las administraciones pueden establecer diferencias, por ejemplo entre el servicio de radiodifusión y el celular, estableciendo diferentes valores de </w:t>
      </w:r>
      <w:r w:rsidRPr="008B7A21">
        <w:rPr>
          <w:i/>
          <w:iCs/>
          <w:lang w:val="es-ES_tradnl"/>
        </w:rPr>
        <w:t>M</w:t>
      </w:r>
      <w:r w:rsidRPr="008B7A21">
        <w:rPr>
          <w:i/>
          <w:iCs/>
          <w:vertAlign w:val="subscript"/>
          <w:lang w:val="es-ES_tradnl"/>
        </w:rPr>
        <w:t>pub</w:t>
      </w:r>
      <w:r w:rsidRPr="008B7A21">
        <w:rPr>
          <w:lang w:val="es-ES_tradnl"/>
        </w:rPr>
        <w:t xml:space="preserve">. </w:t>
      </w:r>
    </w:p>
    <w:p w14:paraId="73C9360D"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24"/>
          <w:lang w:val="es-ES_tradnl"/>
        </w:rPr>
        <w:object w:dxaOrig="6880" w:dyaOrig="620" w14:anchorId="1FE2CF10">
          <v:shape id="_x0000_i1701" type="#_x0000_t75" style="width:324.85pt;height:31pt" o:ole="">
            <v:imagedata r:id="rId108" o:title=""/>
          </v:shape>
          <o:OLEObject Type="Embed" ProgID="Equation.DSMT4" ShapeID="_x0000_i1701" DrawAspect="Content" ObjectID="_1826705910" r:id="rId109"/>
        </w:object>
      </w:r>
      <w:r w:rsidRPr="008B7A21">
        <w:rPr>
          <w:lang w:val="es-ES_tradnl"/>
        </w:rPr>
        <w:t xml:space="preserve"> </w:t>
      </w:r>
      <w:r w:rsidRPr="008B7A21">
        <w:rPr>
          <w:lang w:val="es-ES_tradnl"/>
        </w:rPr>
        <w:tab/>
        <w:t>(53)</w:t>
      </w:r>
    </w:p>
    <w:p w14:paraId="092B8564" w14:textId="0DE4F1F9" w:rsidR="00F73D5B" w:rsidRPr="008B7A21" w:rsidRDefault="00F73D5B" w:rsidP="00F73D5B">
      <w:pPr>
        <w:keepNext/>
        <w:keepLines/>
        <w:spacing w:before="200"/>
        <w:ind w:left="1134" w:hanging="1134"/>
        <w:outlineLvl w:val="3"/>
        <w:rPr>
          <w:b/>
          <w:lang w:val="es-ES_tradnl"/>
        </w:rPr>
      </w:pPr>
      <w:bookmarkStart w:id="1670" w:name="_Ref475577523"/>
      <w:bookmarkEnd w:id="1670"/>
      <w:r w:rsidRPr="008B7A21">
        <w:rPr>
          <w:b/>
          <w:lang w:val="es-ES_tradnl"/>
        </w:rPr>
        <w:t>4.8.3.2</w:t>
      </w:r>
      <w:r w:rsidRPr="008B7A21">
        <w:rPr>
          <w:b/>
          <w:lang w:val="es-ES_tradnl"/>
        </w:rPr>
        <w:tab/>
        <w:t xml:space="preserve">Cánones para todas las aplicaciones por encima de 6 000 MHz </w:t>
      </w:r>
    </w:p>
    <w:p w14:paraId="65A8F9C2" w14:textId="77777777" w:rsidR="00F73D5B" w:rsidRPr="008B7A21" w:rsidRDefault="00F73D5B" w:rsidP="00F73D5B">
      <w:pPr>
        <w:rPr>
          <w:lang w:val="es-ES_tradnl"/>
        </w:rPr>
      </w:pPr>
      <w:r w:rsidRPr="008B7A21">
        <w:rPr>
          <w:lang w:val="es-ES_tradnl"/>
        </w:rPr>
        <w:t xml:space="preserve">El factor </w:t>
      </w:r>
      <w:r w:rsidRPr="008B7A21">
        <w:rPr>
          <w:i/>
          <w:iCs/>
          <w:lang w:val="es-ES_tradnl"/>
        </w:rPr>
        <w:t>F</w:t>
      </w:r>
      <w:r w:rsidRPr="008B7A21">
        <w:rPr>
          <w:lang w:val="es-ES_tradnl"/>
        </w:rPr>
        <w:t>(</w:t>
      </w:r>
      <w:r w:rsidRPr="008B7A21">
        <w:rPr>
          <w:i/>
          <w:iCs/>
          <w:lang w:val="es-ES_tradnl"/>
        </w:rPr>
        <w:t>f</w:t>
      </w:r>
      <w:r w:rsidRPr="008B7A21">
        <w:rPr>
          <w:lang w:val="es-ES_tradnl"/>
        </w:rPr>
        <w:t>) es:</w:t>
      </w:r>
    </w:p>
    <w:p w14:paraId="1E827CAB"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30"/>
          <w:lang w:val="es-ES_tradnl"/>
        </w:rPr>
        <w:object w:dxaOrig="1680" w:dyaOrig="680" w14:anchorId="5B2E5C2C">
          <v:shape id="_x0000_i1702" type="#_x0000_t75" style="width:82.05pt;height:31.8pt" o:ole="">
            <v:imagedata r:id="rId110" o:title=""/>
          </v:shape>
          <o:OLEObject Type="Embed" ProgID="Equation.DSMT4" ShapeID="_x0000_i1702" DrawAspect="Content" ObjectID="_1826705911" r:id="rId111"/>
        </w:object>
      </w:r>
      <w:r w:rsidRPr="008B7A21">
        <w:rPr>
          <w:lang w:val="es-ES_tradnl"/>
        </w:rPr>
        <w:t xml:space="preserve"> </w:t>
      </w:r>
      <w:r w:rsidRPr="008B7A21">
        <w:rPr>
          <w:lang w:val="es-ES_tradnl"/>
        </w:rPr>
        <w:tab/>
        <w:t>(54)</w:t>
      </w:r>
    </w:p>
    <w:p w14:paraId="0EF562E6" w14:textId="77777777" w:rsidR="00F73D5B" w:rsidRPr="008B7A21" w:rsidRDefault="00F73D5B" w:rsidP="00F73D5B">
      <w:pPr>
        <w:rPr>
          <w:lang w:val="es-ES_tradnl"/>
        </w:rPr>
      </w:pPr>
      <w:r w:rsidRPr="008B7A21">
        <w:rPr>
          <w:lang w:val="es-ES_tradnl"/>
        </w:rPr>
        <w:t xml:space="preserve">La ecuación </w:t>
      </w:r>
      <w:r w:rsidRPr="008B7A21">
        <w:rPr>
          <w:lang w:val="es-ES_tradnl"/>
        </w:rPr>
        <w:fldChar w:fldCharType="begin"/>
      </w:r>
      <w:r w:rsidRPr="008B7A21">
        <w:rPr>
          <w:lang w:val="es-ES_tradnl"/>
        </w:rPr>
        <w:instrText>GOTOBUTTON ZEqnNum427979  \* MERGEFORMAT</w:instrText>
      </w:r>
      <w:r w:rsidRPr="008B7A21">
        <w:rPr>
          <w:lang w:val="es-ES_tradnl"/>
        </w:rPr>
        <w:fldChar w:fldCharType="end"/>
      </w:r>
      <w:bookmarkStart w:id="1671" w:name="__Fieldmark__2317_1906923217"/>
      <w:bookmarkEnd w:id="1671"/>
      <w:r w:rsidRPr="008B7A21">
        <w:rPr>
          <w:lang w:val="es-ES_tradnl"/>
        </w:rPr>
        <w:t xml:space="preserve">(52) </w:t>
      </w:r>
      <w:r w:rsidRPr="008B7A21">
        <w:rPr>
          <w:iCs/>
          <w:lang w:val="es-ES_tradnl"/>
        </w:rPr>
        <w:t xml:space="preserve">puede reescribirse para los cánones anuales por 1 MHz, </w:t>
      </w:r>
      <w:r w:rsidRPr="008B7A21">
        <w:rPr>
          <w:i/>
          <w:lang w:val="es-ES_tradnl"/>
        </w:rPr>
        <w:t>F</w:t>
      </w:r>
      <w:r w:rsidRPr="008B7A21">
        <w:rPr>
          <w:iCs/>
          <w:lang w:val="es-ES_tradnl"/>
        </w:rPr>
        <w:t xml:space="preserve"> superior a 6 000 MHz.</w:t>
      </w:r>
    </w:p>
    <w:p w14:paraId="76DFBC8F"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30"/>
          <w:lang w:val="es-ES_tradnl"/>
        </w:rPr>
        <w:object w:dxaOrig="5160" w:dyaOrig="680" w14:anchorId="1C92E924">
          <v:shape id="_x0000_i1703" type="#_x0000_t75" style="width:258.7pt;height:36pt" o:ole="">
            <v:imagedata r:id="rId112" o:title=""/>
          </v:shape>
          <o:OLEObject Type="Embed" ProgID="Equation.DSMT4" ShapeID="_x0000_i1703" DrawAspect="Content" ObjectID="_1826705912" r:id="rId113"/>
        </w:object>
      </w:r>
      <w:r w:rsidRPr="008B7A21">
        <w:rPr>
          <w:lang w:val="es-ES_tradnl"/>
        </w:rPr>
        <w:t xml:space="preserve"> </w:t>
      </w:r>
      <w:r w:rsidRPr="008B7A21">
        <w:rPr>
          <w:lang w:val="es-ES_tradnl"/>
        </w:rPr>
        <w:tab/>
        <w:t>(55)</w:t>
      </w:r>
    </w:p>
    <w:p w14:paraId="0051C432" w14:textId="1A5F507A" w:rsidR="00F73D5B" w:rsidRPr="008B7A21" w:rsidRDefault="00F73D5B" w:rsidP="00F73D5B">
      <w:pPr>
        <w:rPr>
          <w:lang w:val="es-ES_tradnl"/>
        </w:rPr>
      </w:pPr>
      <w:r w:rsidRPr="008B7A21">
        <w:rPr>
          <w:lang w:val="es-ES_tradnl"/>
        </w:rPr>
        <w:t xml:space="preserve">La Fig. 11 representa el coeficiente </w:t>
      </w:r>
      <w:r w:rsidRPr="008B7A21">
        <w:rPr>
          <w:i/>
          <w:iCs/>
          <w:lang w:val="es-ES_tradnl"/>
        </w:rPr>
        <w:t>F</w:t>
      </w:r>
      <w:r w:rsidRPr="008B7A21">
        <w:rPr>
          <w:lang w:val="es-ES_tradnl"/>
        </w:rPr>
        <w:t xml:space="preserve"> a 6 000–23 000 MHz: cánones en función de la frecuencia.</w:t>
      </w:r>
    </w:p>
    <w:p w14:paraId="5BE06A95" w14:textId="77777777" w:rsidR="00F73D5B" w:rsidRPr="008B7A21" w:rsidRDefault="00F73D5B" w:rsidP="00F73D5B">
      <w:pPr>
        <w:pStyle w:val="FigureNo"/>
        <w:rPr>
          <w:lang w:val="es-ES_tradnl"/>
        </w:rPr>
      </w:pPr>
      <w:bookmarkStart w:id="1672" w:name="_Ref476242749"/>
      <w:r w:rsidRPr="008B7A21">
        <w:rPr>
          <w:lang w:val="es-ES_tradnl"/>
        </w:rPr>
        <w:t>FIGUR</w:t>
      </w:r>
      <w:bookmarkEnd w:id="1672"/>
      <w:r w:rsidRPr="008B7A21">
        <w:rPr>
          <w:lang w:val="es-ES_tradnl"/>
        </w:rPr>
        <w:t>A 11</w:t>
      </w:r>
    </w:p>
    <w:p w14:paraId="4B65CDB7" w14:textId="77777777" w:rsidR="00F73D5B" w:rsidRPr="008B7A21" w:rsidRDefault="00F73D5B" w:rsidP="00F73D5B">
      <w:pPr>
        <w:pStyle w:val="Figuretitle"/>
        <w:rPr>
          <w:lang w:val="es-ES_tradnl"/>
        </w:rPr>
      </w:pPr>
      <w:bookmarkStart w:id="1673" w:name="_Toc473842227"/>
      <w:bookmarkStart w:id="1674" w:name="_Toc484727771"/>
      <w:bookmarkStart w:id="1675" w:name="_Toc476892239"/>
      <w:bookmarkStart w:id="1676" w:name="_Toc476712517"/>
      <w:r w:rsidRPr="008B7A21">
        <w:rPr>
          <w:lang w:val="es-ES_tradnl"/>
        </w:rPr>
        <w:t>Cánones relativos (coeficiente F) en función de la frecuencia</w:t>
      </w:r>
      <w:bookmarkEnd w:id="1673"/>
      <w:bookmarkEnd w:id="1674"/>
      <w:bookmarkEnd w:id="1675"/>
      <w:bookmarkEnd w:id="1676"/>
      <w:r w:rsidRPr="008B7A21">
        <w:rPr>
          <w:lang w:val="es-ES_tradnl"/>
        </w:rPr>
        <w:t xml:space="preserve">: </w:t>
      </w:r>
      <w:r w:rsidRPr="008B7A21">
        <w:rPr>
          <w:i/>
          <w:iCs/>
          <w:lang w:val="es-ES_tradnl"/>
        </w:rPr>
        <w:t>F</w:t>
      </w:r>
      <w:r w:rsidRPr="008B7A21">
        <w:rPr>
          <w:lang w:val="es-ES_tradnl"/>
        </w:rPr>
        <w:t xml:space="preserve">=1 para </w:t>
      </w:r>
      <w:r w:rsidRPr="008B7A21">
        <w:rPr>
          <w:i/>
          <w:iCs/>
          <w:lang w:val="es-ES_tradnl"/>
        </w:rPr>
        <w:t>f</w:t>
      </w:r>
      <w:r w:rsidRPr="008B7A21">
        <w:rPr>
          <w:lang w:val="es-ES_tradnl"/>
        </w:rPr>
        <w:t xml:space="preserve"> &lt;6 000 MHz </w:t>
      </w:r>
      <w:r w:rsidRPr="008B7A21">
        <w:rPr>
          <w:i/>
          <w:iCs/>
          <w:lang w:val="es-ES_tradnl"/>
        </w:rPr>
        <w:t>F</w:t>
      </w:r>
      <w:r w:rsidRPr="008B7A21">
        <w:rPr>
          <w:lang w:val="es-ES_tradnl"/>
        </w:rPr>
        <w:t>=1/</w:t>
      </w:r>
      <w:r w:rsidRPr="008B7A21">
        <w:rPr>
          <w:i/>
          <w:iCs/>
          <w:lang w:val="es-ES_tradnl"/>
        </w:rPr>
        <w:t>f</w:t>
      </w:r>
      <w:r w:rsidRPr="008B7A21">
        <w:rPr>
          <w:lang w:val="es-ES_tradnl"/>
        </w:rPr>
        <w:t xml:space="preserve">  para </w:t>
      </w:r>
      <w:r w:rsidRPr="008B7A21">
        <w:rPr>
          <w:i/>
          <w:iCs/>
          <w:lang w:val="es-ES_tradnl"/>
        </w:rPr>
        <w:t>f</w:t>
      </w:r>
      <w:r w:rsidRPr="008B7A21">
        <w:rPr>
          <w:lang w:val="es-ES_tradnl"/>
        </w:rPr>
        <w:t xml:space="preserve"> ≥ 6 000 MHz</w:t>
      </w:r>
    </w:p>
    <w:p w14:paraId="1B91C9D0" w14:textId="0445A6E5" w:rsidR="00F73D5B" w:rsidRPr="008B7A21" w:rsidRDefault="008F628B" w:rsidP="00F73D5B">
      <w:pPr>
        <w:pStyle w:val="Figure"/>
        <w:rPr>
          <w:lang w:val="es-ES_tradnl"/>
        </w:rPr>
      </w:pPr>
      <w:r>
        <w:rPr>
          <w:noProof/>
          <w:lang w:val="es-ES_tradnl"/>
        </w:rPr>
        <w:drawing>
          <wp:inline distT="0" distB="0" distL="0" distR="0" wp14:anchorId="7F2063F9" wp14:editId="00A5A404">
            <wp:extent cx="6068580" cy="2795022"/>
            <wp:effectExtent l="0" t="0" r="8890" b="5715"/>
            <wp:docPr id="1009695134" name="Picture 1" descr="La Figura 11 muestra los cánones relativos (coeficiente F) en función de la frecuencia: F=1 para f &lt;6 000 MHz F=1/f  para f ≥ 6 000 MH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95134" name="Picture 1" descr="La Figura 11 muestra los cánones relativos (coeficiente F) en función de la frecuencia: F=1 para f &lt;6 000 MHz F=1/f  para f ≥ 6 000 MHz&#10;"/>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068580" cy="2795022"/>
                    </a:xfrm>
                    <a:prstGeom prst="rect">
                      <a:avLst/>
                    </a:prstGeom>
                  </pic:spPr>
                </pic:pic>
              </a:graphicData>
            </a:graphic>
          </wp:inline>
        </w:drawing>
      </w:r>
    </w:p>
    <w:p w14:paraId="42F7EC5B" w14:textId="77777777" w:rsidR="00F73D5B" w:rsidRPr="008B7A21" w:rsidRDefault="00F73D5B" w:rsidP="00F73D5B">
      <w:pPr>
        <w:pStyle w:val="Normalaftertitle"/>
        <w:rPr>
          <w:lang w:val="es-ES_tradnl"/>
        </w:rPr>
      </w:pPr>
      <w:r w:rsidRPr="008B7A21">
        <w:rPr>
          <w:lang w:val="es-ES_tradnl"/>
        </w:rPr>
        <w:t xml:space="preserve">Ejemplo: Un enlace PtP funciona a RF hasta 86 GHz e incluso a frecuencias superiores, la ecuación (54) también puede servir de ayuda; por ejemplo </w:t>
      </w:r>
      <w:r w:rsidRPr="008B7A21">
        <w:rPr>
          <w:i/>
          <w:iCs/>
          <w:lang w:val="es-ES_tradnl"/>
        </w:rPr>
        <w:t>F</w:t>
      </w:r>
      <w:r w:rsidRPr="008B7A21">
        <w:rPr>
          <w:lang w:val="es-ES_tradnl"/>
        </w:rPr>
        <w:t xml:space="preserve"> igual a (6/80 =) 0,075 para 80 GHz. Cabe señalar que: a estas frecuencias, el ancho de banda (BW) es relativamente muy alto, del orden de 1 000 MHz. El precio total (no por MHz) para un enlace PtP que funciona a 6 000 MHz (ancho de banda de 28 MHz) y a 60 GHz (ancho de banda de 280 MHz) es idéntico, ya que el canon por MHz se multiplica por el BW.</w:t>
      </w:r>
    </w:p>
    <w:p w14:paraId="3C3336F3" w14:textId="77777777" w:rsidR="00F73D5B" w:rsidRPr="008B7A21" w:rsidRDefault="00F73D5B" w:rsidP="00F73D5B">
      <w:pPr>
        <w:pStyle w:val="Heading3"/>
        <w:rPr>
          <w:lang w:val="es-ES_tradnl"/>
        </w:rPr>
      </w:pPr>
      <w:bookmarkStart w:id="1677" w:name="_Toc518394245"/>
      <w:bookmarkStart w:id="1678" w:name="_Toc215835423"/>
      <w:r w:rsidRPr="008B7A21">
        <w:rPr>
          <w:lang w:val="es-ES_tradnl"/>
        </w:rPr>
        <w:t>4.8.4</w:t>
      </w:r>
      <w:r w:rsidRPr="008B7A21">
        <w:rPr>
          <w:lang w:val="es-ES_tradnl"/>
        </w:rPr>
        <w:tab/>
        <w:t>Ejemplos de cálculo de cánones por MHz</w:t>
      </w:r>
      <w:bookmarkEnd w:id="1677"/>
      <w:bookmarkEnd w:id="1678"/>
    </w:p>
    <w:p w14:paraId="13CFE498" w14:textId="77777777" w:rsidR="00F73D5B" w:rsidRPr="008B7A21" w:rsidRDefault="00F73D5B" w:rsidP="00F73D5B">
      <w:pPr>
        <w:pStyle w:val="Heading4"/>
        <w:rPr>
          <w:lang w:val="es-ES_tradnl"/>
        </w:rPr>
      </w:pPr>
      <w:r w:rsidRPr="008B7A21">
        <w:rPr>
          <w:lang w:val="es-ES_tradnl"/>
        </w:rPr>
        <w:t>4.8.4.1</w:t>
      </w:r>
      <w:r w:rsidRPr="008B7A21">
        <w:rPr>
          <w:lang w:val="es-ES_tradnl"/>
        </w:rPr>
        <w:tab/>
        <w:t xml:space="preserve">Cánones por MHz para proveedores de servicios Internet que funcionan a 2 600 MHz </w:t>
      </w:r>
    </w:p>
    <w:p w14:paraId="2981464E" w14:textId="77777777" w:rsidR="00F73D5B" w:rsidRPr="008B7A21" w:rsidRDefault="00F73D5B" w:rsidP="00F73D5B">
      <w:pPr>
        <w:rPr>
          <w:iCs/>
          <w:lang w:val="es-ES_tradnl"/>
        </w:rPr>
      </w:pPr>
      <w:r w:rsidRPr="008B7A21">
        <w:rPr>
          <w:lang w:val="es-ES_tradnl"/>
        </w:rPr>
        <w:t xml:space="preserve">Como la frecuencia es inferior a 6 000 MHz el canon anual por </w:t>
      </w:r>
      <w:r w:rsidRPr="008B7A21">
        <w:rPr>
          <w:iCs/>
          <w:lang w:val="es-ES_tradnl"/>
        </w:rPr>
        <w:t>1 MHz a 2 600 MHz es:</w:t>
      </w:r>
    </w:p>
    <w:p w14:paraId="5F72E2D2"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24"/>
          <w:lang w:val="es-ES_tradnl"/>
        </w:rPr>
        <w:object w:dxaOrig="7040" w:dyaOrig="620" w14:anchorId="4B06C5CC">
          <v:shape id="_x0000_i1704" type="#_x0000_t75" style="width:354.15pt;height:30.15pt" o:ole="">
            <v:imagedata r:id="rId115" o:title=""/>
          </v:shape>
          <o:OLEObject Type="Embed" ProgID="Equation.DSMT4" ShapeID="_x0000_i1704" DrawAspect="Content" ObjectID="_1826705913" r:id="rId116"/>
        </w:object>
      </w:r>
    </w:p>
    <w:p w14:paraId="55746CE0" w14:textId="77777777" w:rsidR="00F73D5B" w:rsidRPr="008B7A21" w:rsidRDefault="00F73D5B" w:rsidP="00F73D5B">
      <w:pPr>
        <w:pStyle w:val="enumlev1"/>
        <w:rPr>
          <w:lang w:val="es-ES_tradnl"/>
        </w:rPr>
      </w:pPr>
      <w:r w:rsidRPr="008B7A21">
        <w:rPr>
          <w:lang w:val="es-ES_tradnl"/>
        </w:rPr>
        <w:t>–</w:t>
      </w:r>
      <w:r w:rsidRPr="008B7A21">
        <w:rPr>
          <w:lang w:val="es-ES_tradnl"/>
        </w:rPr>
        <w:tab/>
        <w:t xml:space="preserve">la zona de cobertura incluye zonas urbanas </w:t>
      </w:r>
      <w:r w:rsidRPr="008B7A21">
        <w:rPr>
          <w:i/>
          <w:iCs/>
          <w:sz w:val="28"/>
          <w:lang w:val="es-ES_tradnl"/>
        </w:rPr>
        <w:t>l</w:t>
      </w:r>
      <w:r w:rsidRPr="008B7A21">
        <w:rPr>
          <w:lang w:val="es-ES_tradnl"/>
        </w:rPr>
        <w:t>=1;</w:t>
      </w:r>
    </w:p>
    <w:p w14:paraId="6E81BE5D" w14:textId="77777777" w:rsidR="00F73D5B" w:rsidRPr="008B7A21" w:rsidRDefault="00F73D5B" w:rsidP="00F73D5B">
      <w:pPr>
        <w:pStyle w:val="enumlev1"/>
        <w:rPr>
          <w:lang w:val="es-ES_tradnl"/>
        </w:rPr>
      </w:pPr>
      <w:r w:rsidRPr="008B7A21">
        <w:rPr>
          <w:lang w:val="es-ES_tradnl"/>
        </w:rPr>
        <w:t>–</w:t>
      </w:r>
      <w:r w:rsidRPr="008B7A21">
        <w:rPr>
          <w:lang w:val="es-ES_tradnl"/>
        </w:rPr>
        <w:tab/>
      </w:r>
      <w:r w:rsidRPr="008B7A21">
        <w:rPr>
          <w:sz w:val="28"/>
          <w:szCs w:val="28"/>
          <w:lang w:val="es-ES_tradnl"/>
        </w:rPr>
        <w:t>ρ</w:t>
      </w:r>
      <w:r w:rsidRPr="008B7A21">
        <w:rPr>
          <w:rFonts w:ascii="Garamond" w:hAnsi="Garamond"/>
          <w:lang w:val="es-ES_tradnl"/>
        </w:rPr>
        <w:t xml:space="preserve"> </w:t>
      </w:r>
      <w:r w:rsidRPr="008B7A21">
        <w:rPr>
          <w:szCs w:val="24"/>
          <w:lang w:val="es-ES_tradnl"/>
        </w:rPr>
        <w:t xml:space="preserve">vale 0,05, ya que el ISP da servicio a una de las 20 provincias del año pertinente; </w:t>
      </w:r>
    </w:p>
    <w:p w14:paraId="0270F2B2" w14:textId="77777777" w:rsidR="00F73D5B" w:rsidRPr="008B7A21" w:rsidRDefault="00F73D5B" w:rsidP="00F73D5B">
      <w:pPr>
        <w:pStyle w:val="enumlev1"/>
        <w:rPr>
          <w:lang w:val="es-ES_tradnl"/>
        </w:rPr>
      </w:pPr>
      <w:r w:rsidRPr="008B7A21">
        <w:rPr>
          <w:lang w:val="es-ES_tradnl"/>
        </w:rPr>
        <w:t>–</w:t>
      </w:r>
      <w:r w:rsidRPr="008B7A21">
        <w:rPr>
          <w:lang w:val="es-ES_tradnl"/>
        </w:rPr>
        <w:tab/>
        <w:t xml:space="preserve">σ=1/3 ya que tres operadores utilizan el mismo espectro; </w:t>
      </w:r>
    </w:p>
    <w:p w14:paraId="421B4259" w14:textId="77777777" w:rsidR="00F73D5B" w:rsidRPr="008B7A21" w:rsidRDefault="00F73D5B" w:rsidP="00F73D5B">
      <w:pPr>
        <w:pStyle w:val="enumlev1"/>
        <w:rPr>
          <w:lang w:val="es-ES_tradnl"/>
        </w:rPr>
      </w:pPr>
      <w:r w:rsidRPr="008B7A21">
        <w:rPr>
          <w:lang w:val="es-ES_tradnl"/>
        </w:rPr>
        <w:t>–</w:t>
      </w:r>
      <w:r w:rsidRPr="008B7A21">
        <w:rPr>
          <w:lang w:val="es-ES_tradnl"/>
        </w:rPr>
        <w:tab/>
      </w:r>
      <w:r w:rsidRPr="008B7A21">
        <w:rPr>
          <w:i/>
          <w:iCs/>
          <w:lang w:val="es-ES_tradnl"/>
        </w:rPr>
        <w:t>M</w:t>
      </w:r>
      <w:r w:rsidRPr="008B7A21">
        <w:rPr>
          <w:i/>
          <w:iCs/>
          <w:vertAlign w:val="subscript"/>
          <w:lang w:val="es-ES_tradnl"/>
        </w:rPr>
        <w:t>ISP</w:t>
      </w:r>
      <w:r w:rsidRPr="008B7A21">
        <w:rPr>
          <w:lang w:val="es-ES_tradnl"/>
        </w:rPr>
        <w:t>=0,3, opción nacional.</w:t>
      </w:r>
    </w:p>
    <w:p w14:paraId="2ACD2634" w14:textId="77777777" w:rsidR="00F73D5B" w:rsidRPr="008B7A21" w:rsidRDefault="00F73D5B" w:rsidP="00F73D5B">
      <w:pPr>
        <w:rPr>
          <w:lang w:val="es-ES_tradnl"/>
        </w:rPr>
      </w:pPr>
      <w:r w:rsidRPr="008B7A21">
        <w:rPr>
          <w:lang w:val="es-ES_tradnl"/>
        </w:rPr>
        <w:t xml:space="preserve">El coste por MHz I es igual a: </w:t>
      </w:r>
      <w:r w:rsidRPr="008B7A21">
        <w:rPr>
          <w:position w:val="-24"/>
          <w:lang w:val="es-ES_tradnl"/>
        </w:rPr>
        <w:object w:dxaOrig="3720" w:dyaOrig="620" w14:anchorId="5DDEF408">
          <v:shape id="_x0000_i1705" type="#_x0000_t75" style="width:186.7pt;height:30.15pt" o:ole="">
            <v:imagedata r:id="rId117" o:title=""/>
          </v:shape>
          <o:OLEObject Type="Embed" ProgID="Equation.DSMT4" ShapeID="_x0000_i1705" DrawAspect="Content" ObjectID="_1826705914" r:id="rId118"/>
        </w:object>
      </w:r>
      <w:r w:rsidRPr="008B7A21">
        <w:rPr>
          <w:lang w:val="es-ES_tradnl"/>
        </w:rPr>
        <w:t>.</w:t>
      </w:r>
    </w:p>
    <w:p w14:paraId="1B3F6984" w14:textId="77777777" w:rsidR="00F73D5B" w:rsidRPr="008B7A21" w:rsidRDefault="00F73D5B" w:rsidP="00F73D5B">
      <w:pPr>
        <w:keepNext/>
        <w:keepLines/>
        <w:spacing w:before="200"/>
        <w:ind w:left="1134" w:hanging="1134"/>
        <w:outlineLvl w:val="3"/>
        <w:rPr>
          <w:b/>
          <w:lang w:val="es-ES_tradnl"/>
        </w:rPr>
      </w:pPr>
      <w:r w:rsidRPr="008B7A21">
        <w:rPr>
          <w:b/>
          <w:lang w:val="es-ES_tradnl"/>
        </w:rPr>
        <w:t>4.8.4.2</w:t>
      </w:r>
      <w:r w:rsidRPr="008B7A21">
        <w:rPr>
          <w:b/>
          <w:lang w:val="es-ES_tradnl"/>
        </w:rPr>
        <w:tab/>
        <w:t xml:space="preserve">Cálculo de cánones PtP que dan servicio a escala nacional </w:t>
      </w:r>
    </w:p>
    <w:p w14:paraId="6ABFB183" w14:textId="77777777" w:rsidR="00F73D5B" w:rsidRPr="008B7A21" w:rsidRDefault="00F73D5B" w:rsidP="00F73D5B">
      <w:pPr>
        <w:rPr>
          <w:lang w:val="es-ES_tradnl"/>
        </w:rPr>
      </w:pPr>
      <w:r w:rsidRPr="008B7A21">
        <w:rPr>
          <w:spacing w:val="-2"/>
          <w:lang w:val="es-ES_tradnl"/>
        </w:rPr>
        <w:t xml:space="preserve">Se recurre a la ecuación </w:t>
      </w:r>
      <w:r w:rsidRPr="008B7A21">
        <w:rPr>
          <w:lang w:val="es-ES_tradnl"/>
        </w:rPr>
        <w:fldChar w:fldCharType="begin"/>
      </w:r>
      <w:r w:rsidRPr="008B7A21">
        <w:rPr>
          <w:lang w:val="es-ES_tradnl"/>
        </w:rPr>
        <w:instrText>GOTOBUTTON ZEqnNum821990  \* MERGEFORMAT</w:instrText>
      </w:r>
      <w:r w:rsidRPr="008B7A21">
        <w:rPr>
          <w:lang w:val="es-ES_tradnl"/>
        </w:rPr>
        <w:fldChar w:fldCharType="end"/>
      </w:r>
      <w:bookmarkStart w:id="1679" w:name="__Fieldmark__2424_1906923217"/>
      <w:bookmarkEnd w:id="1679"/>
      <w:r w:rsidRPr="008B7A21">
        <w:rPr>
          <w:lang w:val="es-ES_tradnl"/>
        </w:rPr>
        <w:t xml:space="preserve">(55) </w:t>
      </w:r>
      <w:r w:rsidRPr="008B7A21">
        <w:rPr>
          <w:iCs/>
          <w:spacing w:val="-2"/>
          <w:lang w:val="es-ES_tradnl"/>
        </w:rPr>
        <w:t xml:space="preserve">para calcular los cánones anuales </w:t>
      </w:r>
      <w:r w:rsidRPr="008B7A21">
        <w:rPr>
          <w:spacing w:val="-2"/>
          <w:lang w:val="es-ES_tradnl"/>
        </w:rPr>
        <w:t>PtP</w:t>
      </w:r>
      <w:r w:rsidRPr="008B7A21">
        <w:rPr>
          <w:iCs/>
          <w:spacing w:val="-2"/>
          <w:lang w:val="es-ES_tradnl"/>
        </w:rPr>
        <w:t xml:space="preserve"> propuestos por 1 MHz en el ejemplo de 15 GHz:</w:t>
      </w:r>
    </w:p>
    <w:p w14:paraId="5709D025"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24"/>
          <w:lang w:val="es-ES_tradnl"/>
        </w:rPr>
        <w:object w:dxaOrig="5060" w:dyaOrig="620" w14:anchorId="4D44B757">
          <v:shape id="_x0000_i1706" type="#_x0000_t75" style="width:256.2pt;height:30.15pt" o:ole="">
            <v:imagedata r:id="rId119" o:title=""/>
          </v:shape>
          <o:OLEObject Type="Embed" ProgID="Equation.DSMT4" ShapeID="_x0000_i1706" DrawAspect="Content" ObjectID="_1826705915" r:id="rId120"/>
        </w:object>
      </w:r>
      <w:r w:rsidRPr="008B7A21">
        <w:rPr>
          <w:lang w:val="es-ES_tradnl"/>
        </w:rPr>
        <w:t xml:space="preserve"> </w:t>
      </w:r>
    </w:p>
    <w:p w14:paraId="2E830850" w14:textId="77777777" w:rsidR="00F73D5B" w:rsidRPr="008B7A21" w:rsidRDefault="00F73D5B" w:rsidP="00F73D5B">
      <w:pPr>
        <w:pStyle w:val="Equation"/>
        <w:rPr>
          <w:lang w:val="es-ES_tradnl"/>
        </w:rPr>
      </w:pPr>
      <w:r w:rsidRPr="008B7A21">
        <w:rPr>
          <w:lang w:val="es-ES_tradnl"/>
        </w:rPr>
        <w:t>El costo por MHz de un operador que comparte a escala nacional el espectro con tres operadores (σ = 1/4) PtP (</w:t>
      </w:r>
      <w:r w:rsidRPr="008B7A21">
        <w:rPr>
          <w:i/>
          <w:iCs/>
          <w:lang w:val="es-ES_tradnl"/>
        </w:rPr>
        <w:t>M</w:t>
      </w:r>
      <w:r w:rsidRPr="008B7A21">
        <w:rPr>
          <w:i/>
          <w:iCs/>
          <w:vertAlign w:val="subscript"/>
          <w:lang w:val="es-ES_tradnl"/>
        </w:rPr>
        <w:t>PtP </w:t>
      </w:r>
      <w:r w:rsidRPr="008B7A21">
        <w:rPr>
          <w:lang w:val="es-ES_tradnl"/>
        </w:rPr>
        <w:t>= 0.1) utilizando 1 MHz a escala nacional es:</w:t>
      </w:r>
    </w:p>
    <w:p w14:paraId="73E2BBFA"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24"/>
          <w:lang w:val="es-ES_tradnl"/>
        </w:rPr>
        <w:object w:dxaOrig="2480" w:dyaOrig="620" w14:anchorId="603A55AD">
          <v:shape id="_x0000_i1707" type="#_x0000_t75" style="width:124.75pt;height:30.15pt" o:ole="">
            <v:imagedata r:id="rId121" o:title=""/>
          </v:shape>
          <o:OLEObject Type="Embed" ProgID="Equation.DSMT4" ShapeID="_x0000_i1707" DrawAspect="Content" ObjectID="_1826705916" r:id="rId122"/>
        </w:object>
      </w:r>
      <w:r w:rsidRPr="008B7A21">
        <w:rPr>
          <w:lang w:val="es-ES_tradnl"/>
        </w:rPr>
        <w:t>= 0,01</w:t>
      </w:r>
      <w:r w:rsidRPr="008B7A21">
        <w:rPr>
          <w:i/>
          <w:iCs/>
          <w:sz w:val="28"/>
          <w:lang w:val="es-ES_tradnl"/>
        </w:rPr>
        <w:t>α</w:t>
      </w:r>
      <w:r w:rsidRPr="008B7A21">
        <w:rPr>
          <w:lang w:val="es-ES_tradnl"/>
        </w:rPr>
        <w:t>.</w:t>
      </w:r>
    </w:p>
    <w:p w14:paraId="5C525AA2" w14:textId="77777777" w:rsidR="00F73D5B" w:rsidRPr="008B7A21" w:rsidRDefault="00F73D5B" w:rsidP="00F73D5B">
      <w:pPr>
        <w:pStyle w:val="Heading3"/>
        <w:rPr>
          <w:lang w:val="es-ES_tradnl"/>
        </w:rPr>
      </w:pPr>
      <w:bookmarkStart w:id="1680" w:name="_Toc518394246"/>
      <w:bookmarkStart w:id="1681" w:name="_Toc215835424"/>
      <w:r w:rsidRPr="008B7A21">
        <w:rPr>
          <w:lang w:val="es-ES_tradnl"/>
        </w:rPr>
        <w:t>4.8.5</w:t>
      </w:r>
      <w:r w:rsidRPr="008B7A21">
        <w:rPr>
          <w:lang w:val="es-ES_tradnl"/>
        </w:rPr>
        <w:tab/>
        <w:t>Factores no incluidos en la fórmula</w:t>
      </w:r>
      <w:bookmarkEnd w:id="1680"/>
      <w:bookmarkEnd w:id="1681"/>
    </w:p>
    <w:p w14:paraId="5E6BD995" w14:textId="77777777" w:rsidR="00F73D5B" w:rsidRPr="008B7A21" w:rsidRDefault="00F73D5B" w:rsidP="00F73D5B">
      <w:pPr>
        <w:rPr>
          <w:lang w:val="es-ES_tradnl"/>
        </w:rPr>
      </w:pPr>
      <w:r w:rsidRPr="008B7A21">
        <w:rPr>
          <w:lang w:val="es-ES_tradnl"/>
        </w:rPr>
        <w:t xml:space="preserve">Las ecuaciones (51) </w:t>
      </w:r>
      <w:r w:rsidRPr="008B7A21">
        <w:rPr>
          <w:iCs/>
          <w:lang w:val="es-ES_tradnl"/>
        </w:rPr>
        <w:t xml:space="preserve">y </w:t>
      </w:r>
      <w:r w:rsidRPr="008B7A21">
        <w:rPr>
          <w:lang w:val="es-ES_tradnl"/>
        </w:rPr>
        <w:t>(52)</w:t>
      </w:r>
      <w:r w:rsidRPr="008B7A21">
        <w:rPr>
          <w:iCs/>
          <w:lang w:val="es-ES_tradnl"/>
        </w:rPr>
        <w:t xml:space="preserve"> incluyen parámetros obvios que guardan relación directa con la utilización, y el «precio virtual» de negar a otros operadores la utilización del mismo espectro RF. </w:t>
      </w:r>
      <w:r w:rsidRPr="008B7A21">
        <w:rPr>
          <w:lang w:val="es-ES_tradnl"/>
        </w:rPr>
        <w:t xml:space="preserve">Las ecuaciones (51) </w:t>
      </w:r>
      <w:r w:rsidRPr="008B7A21">
        <w:rPr>
          <w:iCs/>
          <w:lang w:val="es-ES_tradnl"/>
        </w:rPr>
        <w:t xml:space="preserve">y </w:t>
      </w:r>
      <w:r w:rsidRPr="008B7A21">
        <w:rPr>
          <w:lang w:val="es-ES_tradnl"/>
        </w:rPr>
        <w:t>(52)</w:t>
      </w:r>
      <w:r w:rsidRPr="008B7A21">
        <w:rPr>
          <w:iCs/>
          <w:lang w:val="es-ES_tradnl"/>
        </w:rPr>
        <w:t xml:space="preserve"> no tienen en cuenta otros parámetros como: </w:t>
      </w:r>
    </w:p>
    <w:p w14:paraId="6A871613" w14:textId="76995580" w:rsidR="00F73D5B" w:rsidRPr="008B7A21" w:rsidRDefault="00F73D5B" w:rsidP="00F73D5B">
      <w:pPr>
        <w:pStyle w:val="enumlev1"/>
        <w:rPr>
          <w:lang w:val="es-ES_tradnl"/>
        </w:rPr>
      </w:pPr>
      <w:r w:rsidRPr="008B7A21">
        <w:rPr>
          <w:lang w:val="es-ES_tradnl"/>
        </w:rPr>
        <w:t>–</w:t>
      </w:r>
      <w:r w:rsidRPr="008B7A21">
        <w:rPr>
          <w:lang w:val="es-ES_tradnl"/>
        </w:rPr>
        <w:tab/>
        <w:t xml:space="preserve">Número de estaciones base, a fin de promover </w:t>
      </w:r>
      <w:r w:rsidR="00877B7A" w:rsidRPr="008B7A21">
        <w:rPr>
          <w:lang w:val="es-ES_tradnl"/>
        </w:rPr>
        <w:t>las instalaciones</w:t>
      </w:r>
      <w:r w:rsidRPr="008B7A21">
        <w:rPr>
          <w:lang w:val="es-ES_tradnl"/>
        </w:rPr>
        <w:t xml:space="preserve"> de más estaciones y mejorar así la calidad del servicio, y para obtener mayor cobertura y capacidad.</w:t>
      </w:r>
    </w:p>
    <w:p w14:paraId="5B66B4C9" w14:textId="77777777" w:rsidR="00F73D5B" w:rsidRPr="008B7A21" w:rsidRDefault="00F73D5B" w:rsidP="00F73D5B">
      <w:pPr>
        <w:pStyle w:val="enumlev1"/>
        <w:rPr>
          <w:lang w:val="es-ES_tradnl"/>
        </w:rPr>
      </w:pPr>
      <w:r w:rsidRPr="008B7A21">
        <w:rPr>
          <w:lang w:val="es-ES_tradnl"/>
        </w:rPr>
        <w:t>–</w:t>
      </w:r>
      <w:r w:rsidRPr="008B7A21">
        <w:rPr>
          <w:lang w:val="es-ES_tradnl"/>
        </w:rPr>
        <w:tab/>
        <w:t xml:space="preserve">Superficie de cobertura o radio de la célula, ya que es difícil de definir; además, los reguladores prefieren mayor cobertura (superficie y radio). La superficie de cobertura no tienen sentido en el caso de enlaces de microondas. La superficie se incluye en el ponderador </w:t>
      </w:r>
      <w:r w:rsidRPr="008B7A21">
        <w:rPr>
          <w:i/>
          <w:sz w:val="28"/>
          <w:szCs w:val="28"/>
          <w:lang w:val="es-ES_tradnl"/>
        </w:rPr>
        <w:t xml:space="preserve">ρ, </w:t>
      </w:r>
      <w:r w:rsidRPr="008B7A21">
        <w:rPr>
          <w:lang w:val="es-ES_tradnl"/>
        </w:rPr>
        <w:t xml:space="preserve">que representa el número de distritos. </w:t>
      </w:r>
    </w:p>
    <w:p w14:paraId="0E3273B7" w14:textId="77777777" w:rsidR="00F73D5B" w:rsidRPr="008B7A21" w:rsidRDefault="00F73D5B" w:rsidP="00F73D5B">
      <w:pPr>
        <w:pStyle w:val="enumlev1"/>
        <w:rPr>
          <w:lang w:val="es-ES_tradnl"/>
        </w:rPr>
      </w:pPr>
      <w:r w:rsidRPr="008B7A21">
        <w:rPr>
          <w:lang w:val="es-ES_tradnl"/>
        </w:rPr>
        <w:t>–</w:t>
      </w:r>
      <w:r w:rsidRPr="008B7A21">
        <w:rPr>
          <w:lang w:val="es-ES_tradnl"/>
        </w:rPr>
        <w:tab/>
        <w:t>Potencia, ya que la p.i.r.e. total de las estaciones celulares cambio constantemente (debido al control de potencia) y es difícil de controlar la potencia o la p.i.r.e.</w:t>
      </w:r>
    </w:p>
    <w:p w14:paraId="408DEE26" w14:textId="77777777" w:rsidR="00F73D5B" w:rsidRPr="008B7A21" w:rsidRDefault="00F73D5B" w:rsidP="00F73D5B">
      <w:pPr>
        <w:pStyle w:val="enumlev1"/>
        <w:rPr>
          <w:lang w:val="es-ES_tradnl"/>
        </w:rPr>
      </w:pPr>
      <w:r w:rsidRPr="008B7A21">
        <w:rPr>
          <w:lang w:val="es-ES_tradnl"/>
        </w:rPr>
        <w:t>–</w:t>
      </w:r>
      <w:r w:rsidRPr="008B7A21">
        <w:rPr>
          <w:lang w:val="es-ES_tradnl"/>
        </w:rPr>
        <w:tab/>
        <w:t>Altitud efectiva, ya que complica el método y requeriría utilizar mapas digitales del terreno (DTM).</w:t>
      </w:r>
    </w:p>
    <w:p w14:paraId="1FF60A43" w14:textId="77777777" w:rsidR="00F73D5B" w:rsidRPr="008B7A21" w:rsidRDefault="00F73D5B" w:rsidP="00F73D5B">
      <w:pPr>
        <w:pStyle w:val="enumlev1"/>
        <w:rPr>
          <w:lang w:val="es-ES_tradnl"/>
        </w:rPr>
      </w:pPr>
      <w:r w:rsidRPr="008B7A21">
        <w:rPr>
          <w:lang w:val="es-ES_tradnl"/>
        </w:rPr>
        <w:t>–</w:t>
      </w:r>
      <w:r w:rsidRPr="008B7A21">
        <w:rPr>
          <w:lang w:val="es-ES_tradnl"/>
        </w:rPr>
        <w:tab/>
        <w:t>Alcance temporal y ciclo de trabajo, ya que la mayoría de las emisiones (enlaces celulares y de microondas) funcionan a lo largo de todo el día. Para recordar que una frecuencia no utilizada es un desperdicio para la economía.</w:t>
      </w:r>
    </w:p>
    <w:p w14:paraId="3CF479BE" w14:textId="77777777" w:rsidR="00F73D5B" w:rsidRPr="008B7A21" w:rsidRDefault="00F73D5B" w:rsidP="00F73D5B">
      <w:pPr>
        <w:pStyle w:val="Heading2"/>
        <w:rPr>
          <w:lang w:val="es-ES_tradnl"/>
        </w:rPr>
      </w:pPr>
      <w:bookmarkStart w:id="1682" w:name="_Toc215835425"/>
      <w:r w:rsidRPr="008B7A21">
        <w:rPr>
          <w:lang w:val="es-ES_tradnl"/>
        </w:rPr>
        <w:t>4.9</w:t>
      </w:r>
      <w:r w:rsidRPr="008B7A21">
        <w:rPr>
          <w:lang w:val="es-ES_tradnl"/>
        </w:rPr>
        <w:tab/>
        <w:t>Directrices al introducir nuevos sistemas de cánones</w:t>
      </w:r>
      <w:bookmarkEnd w:id="1650"/>
      <w:bookmarkEnd w:id="1651"/>
      <w:bookmarkEnd w:id="1652"/>
      <w:bookmarkEnd w:id="1653"/>
      <w:bookmarkEnd w:id="1654"/>
      <w:bookmarkEnd w:id="1655"/>
      <w:bookmarkEnd w:id="1656"/>
      <w:bookmarkEnd w:id="1657"/>
      <w:bookmarkEnd w:id="1658"/>
      <w:bookmarkEnd w:id="1659"/>
      <w:bookmarkEnd w:id="1682"/>
    </w:p>
    <w:p w14:paraId="09EF39DB" w14:textId="77777777" w:rsidR="00F73D5B" w:rsidRPr="008B7A21" w:rsidRDefault="00F73D5B" w:rsidP="00F73D5B">
      <w:pPr>
        <w:rPr>
          <w:lang w:val="es-ES_tradnl"/>
        </w:rPr>
      </w:pPr>
      <w:r w:rsidRPr="008B7A21">
        <w:rPr>
          <w:lang w:val="es-ES_tradnl"/>
        </w:rPr>
        <w:t>Para evitar introducir perturbaciones en el mercado, el nuevo sistema de cánones no debería imponer a los usuarios un aumento brusco en los importes. Por lo tanto, el organismo encargado del espectro debería diseñar una estrategia de transición que tuviera en cuenta muchos factores, incluidos, aunque no limitados a, el estado del mercado, el número de usuarios para cada servicio, el sistema vigente de cánones y servicios alternativos.</w:t>
      </w:r>
    </w:p>
    <w:p w14:paraId="398B3324" w14:textId="77777777" w:rsidR="00F73D5B" w:rsidRPr="008B7A21" w:rsidRDefault="00F73D5B" w:rsidP="00F73D5B">
      <w:pPr>
        <w:keepNext/>
        <w:keepLines/>
        <w:rPr>
          <w:lang w:val="es-ES_tradnl"/>
        </w:rPr>
      </w:pPr>
      <w:r w:rsidRPr="008B7A21">
        <w:rPr>
          <w:lang w:val="es-ES_tradnl"/>
        </w:rPr>
        <w:t>Al introducir un nuevo sistema de cánones se podrían seguir las etapas siguientes:</w:t>
      </w:r>
    </w:p>
    <w:p w14:paraId="2C35C8D7" w14:textId="77777777" w:rsidR="00F73D5B" w:rsidRPr="008B7A21" w:rsidRDefault="00F73D5B" w:rsidP="00F73D5B">
      <w:pPr>
        <w:pStyle w:val="enumlev1"/>
        <w:keepNext/>
        <w:rPr>
          <w:lang w:val="es-ES_tradnl"/>
        </w:rPr>
      </w:pPr>
      <w:r w:rsidRPr="008B7A21">
        <w:rPr>
          <w:lang w:val="es-ES_tradnl"/>
        </w:rPr>
        <w:t>1)</w:t>
      </w:r>
      <w:r w:rsidRPr="008B7A21">
        <w:rPr>
          <w:lang w:val="es-ES_tradnl"/>
        </w:rPr>
        <w:tab/>
        <w:t>Estudio del empleo vigente del espectro:</w:t>
      </w:r>
    </w:p>
    <w:p w14:paraId="2666B500" w14:textId="77777777" w:rsidR="00F73D5B" w:rsidRPr="008B7A21" w:rsidRDefault="00F73D5B" w:rsidP="00F73D5B">
      <w:pPr>
        <w:pStyle w:val="enumlev2"/>
        <w:keepNext/>
        <w:keepLines/>
        <w:rPr>
          <w:lang w:val="es-ES_tradnl"/>
        </w:rPr>
      </w:pPr>
      <w:r w:rsidRPr="008B7A21">
        <w:rPr>
          <w:lang w:val="es-ES_tradnl"/>
        </w:rPr>
        <w:t>–</w:t>
      </w:r>
      <w:r w:rsidRPr="008B7A21">
        <w:rPr>
          <w:lang w:val="es-ES_tradnl"/>
        </w:rPr>
        <w:tab/>
        <w:t>dividiendo a los usuarios en diferentes grupos;</w:t>
      </w:r>
    </w:p>
    <w:p w14:paraId="4D3A931F" w14:textId="77777777" w:rsidR="00F73D5B" w:rsidRPr="008B7A21" w:rsidRDefault="00F73D5B" w:rsidP="00F73D5B">
      <w:pPr>
        <w:pStyle w:val="enumlev2"/>
        <w:rPr>
          <w:lang w:val="es-ES_tradnl"/>
        </w:rPr>
      </w:pPr>
      <w:r w:rsidRPr="008B7A21">
        <w:rPr>
          <w:lang w:val="es-ES_tradnl"/>
        </w:rPr>
        <w:t>–</w:t>
      </w:r>
      <w:r w:rsidRPr="008B7A21">
        <w:rPr>
          <w:lang w:val="es-ES_tradnl"/>
        </w:rPr>
        <w:tab/>
        <w:t>aplicando la fórmula antigua;</w:t>
      </w:r>
    </w:p>
    <w:p w14:paraId="5B2AE919" w14:textId="77777777" w:rsidR="00F73D5B" w:rsidRPr="008B7A21" w:rsidRDefault="00F73D5B" w:rsidP="00F73D5B">
      <w:pPr>
        <w:pStyle w:val="enumlev2"/>
        <w:rPr>
          <w:lang w:val="es-ES_tradnl"/>
        </w:rPr>
      </w:pPr>
      <w:r w:rsidRPr="008B7A21">
        <w:rPr>
          <w:lang w:val="es-ES_tradnl"/>
        </w:rPr>
        <w:t>–</w:t>
      </w:r>
      <w:r w:rsidRPr="008B7A21">
        <w:rPr>
          <w:lang w:val="es-ES_tradnl"/>
        </w:rPr>
        <w:tab/>
        <w:t>analizando los resultados.</w:t>
      </w:r>
    </w:p>
    <w:p w14:paraId="183D3FF2" w14:textId="77777777" w:rsidR="00F73D5B" w:rsidRPr="008B7A21" w:rsidRDefault="00F73D5B" w:rsidP="00F73D5B">
      <w:pPr>
        <w:pStyle w:val="enumlev1"/>
        <w:keepNext/>
        <w:keepLines/>
        <w:rPr>
          <w:lang w:val="es-ES_tradnl"/>
        </w:rPr>
      </w:pPr>
      <w:r w:rsidRPr="008B7A21">
        <w:rPr>
          <w:lang w:val="es-ES_tradnl"/>
        </w:rPr>
        <w:t>2)</w:t>
      </w:r>
      <w:r w:rsidRPr="008B7A21">
        <w:rPr>
          <w:lang w:val="es-ES_tradnl"/>
        </w:rPr>
        <w:tab/>
        <w:t>Aplicación de la nueva fórmula a los grupos actuales de usuarios:</w:t>
      </w:r>
    </w:p>
    <w:p w14:paraId="00CAF4EB" w14:textId="77777777" w:rsidR="00F73D5B" w:rsidRPr="008B7A21" w:rsidRDefault="00F73D5B" w:rsidP="00F73D5B">
      <w:pPr>
        <w:pStyle w:val="enumlev2"/>
        <w:keepNext/>
        <w:keepLines/>
        <w:rPr>
          <w:lang w:val="es-ES_tradnl"/>
        </w:rPr>
      </w:pPr>
      <w:r w:rsidRPr="008B7A21">
        <w:rPr>
          <w:lang w:val="es-ES_tradnl"/>
        </w:rPr>
        <w:t>–</w:t>
      </w:r>
      <w:r w:rsidRPr="008B7A21">
        <w:rPr>
          <w:lang w:val="es-ES_tradnl"/>
        </w:rPr>
        <w:tab/>
        <w:t>analizando los resultados;</w:t>
      </w:r>
    </w:p>
    <w:p w14:paraId="05229239" w14:textId="77777777" w:rsidR="00F73D5B" w:rsidRPr="008B7A21" w:rsidRDefault="00F73D5B" w:rsidP="00F73D5B">
      <w:pPr>
        <w:pStyle w:val="enumlev2"/>
        <w:rPr>
          <w:lang w:val="es-ES_tradnl"/>
        </w:rPr>
      </w:pPr>
      <w:r w:rsidRPr="008B7A21">
        <w:rPr>
          <w:lang w:val="es-ES_tradnl"/>
        </w:rPr>
        <w:t>–</w:t>
      </w:r>
      <w:r w:rsidRPr="008B7A21">
        <w:rPr>
          <w:lang w:val="es-ES_tradnl"/>
        </w:rPr>
        <w:tab/>
        <w:t>modificando la fórmula para los diferentes grupos;</w:t>
      </w:r>
    </w:p>
    <w:p w14:paraId="1A5046B0" w14:textId="77777777" w:rsidR="00F73D5B" w:rsidRPr="008B7A21" w:rsidRDefault="00F73D5B" w:rsidP="00F73D5B">
      <w:pPr>
        <w:pStyle w:val="enumlev2"/>
        <w:rPr>
          <w:lang w:val="es-ES_tradnl"/>
        </w:rPr>
      </w:pPr>
      <w:r w:rsidRPr="008B7A21">
        <w:rPr>
          <w:lang w:val="es-ES_tradnl"/>
        </w:rPr>
        <w:t>–</w:t>
      </w:r>
      <w:r w:rsidRPr="008B7A21">
        <w:rPr>
          <w:lang w:val="es-ES_tradnl"/>
        </w:rPr>
        <w:tab/>
        <w:t>aplicando políticas de reducción con el fin de no perturbar al mercado.</w:t>
      </w:r>
    </w:p>
    <w:p w14:paraId="14B492D5" w14:textId="77777777" w:rsidR="00F73D5B" w:rsidRPr="008B7A21" w:rsidRDefault="00F73D5B" w:rsidP="00F73D5B">
      <w:pPr>
        <w:pStyle w:val="enumlev1"/>
        <w:rPr>
          <w:lang w:val="es-ES_tradnl"/>
        </w:rPr>
      </w:pPr>
      <w:r w:rsidRPr="008B7A21">
        <w:rPr>
          <w:lang w:val="es-ES_tradnl"/>
        </w:rPr>
        <w:t>3)</w:t>
      </w:r>
      <w:r w:rsidRPr="008B7A21">
        <w:rPr>
          <w:lang w:val="es-ES_tradnl"/>
        </w:rPr>
        <w:tab/>
        <w:t>Diseño de una estrategia de transición basada en la etapa 2.</w:t>
      </w:r>
    </w:p>
    <w:p w14:paraId="6E71B51F" w14:textId="77777777" w:rsidR="00F73D5B" w:rsidRPr="008B7A21" w:rsidRDefault="00F73D5B" w:rsidP="00F73D5B">
      <w:pPr>
        <w:rPr>
          <w:lang w:val="es-ES_tradnl"/>
        </w:rPr>
      </w:pPr>
      <w:r w:rsidRPr="008B7A21">
        <w:rPr>
          <w:lang w:val="es-ES_tradnl"/>
        </w:rPr>
        <w:t>Existen algunos principios que podrían utilizarse al diseñar la estrategia de transición con el fin de trasladar los cánones actuales a los cánones finales basados en el mercado</w:t>
      </w:r>
      <w:r w:rsidRPr="008B7A21">
        <w:rPr>
          <w:vertAlign w:val="superscript"/>
          <w:lang w:val="es-ES_tradnl"/>
        </w:rPr>
        <w:footnoteReference w:id="9"/>
      </w:r>
      <w:r w:rsidRPr="008B7A21">
        <w:rPr>
          <w:lang w:val="es-ES_tradnl"/>
        </w:rPr>
        <w:t>.</w:t>
      </w:r>
    </w:p>
    <w:p w14:paraId="1B3E5E0E" w14:textId="77777777" w:rsidR="00F73D5B" w:rsidRPr="008B7A21" w:rsidRDefault="00F73D5B" w:rsidP="00F73D5B">
      <w:pPr>
        <w:pStyle w:val="enumlev1"/>
        <w:rPr>
          <w:lang w:val="es-ES_tradnl"/>
        </w:rPr>
      </w:pPr>
      <w:r w:rsidRPr="008B7A21">
        <w:rPr>
          <w:lang w:val="es-ES_tradnl"/>
        </w:rPr>
        <w:t>–</w:t>
      </w:r>
      <w:r w:rsidRPr="008B7A21">
        <w:rPr>
          <w:lang w:val="es-ES_tradnl"/>
        </w:rPr>
        <w:tab/>
        <w:t>Debe haber un equilibrio entre aumentar paulatinamente los precios, que podría no ser suficiente para reducir la congestión, y fijar precios altos, lo que podría causar una reacción política adversa.</w:t>
      </w:r>
    </w:p>
    <w:p w14:paraId="42AB0B70" w14:textId="77777777" w:rsidR="00F73D5B" w:rsidRPr="008B7A21" w:rsidRDefault="00F73D5B" w:rsidP="00F73D5B">
      <w:pPr>
        <w:pStyle w:val="enumlev1"/>
        <w:rPr>
          <w:lang w:val="es-ES_tradnl"/>
        </w:rPr>
      </w:pPr>
      <w:r w:rsidRPr="008B7A21">
        <w:rPr>
          <w:lang w:val="es-ES_tradnl"/>
        </w:rPr>
        <w:t>–</w:t>
      </w:r>
      <w:r w:rsidRPr="008B7A21">
        <w:rPr>
          <w:lang w:val="es-ES_tradnl"/>
        </w:rPr>
        <w:tab/>
        <w:t>Los precios deben aumentar paulatinamente hasta alcanzar el objetivo final y, si los precios iniciales fueran demasiado bajos, habría que duplicarlos o triplicarlos.</w:t>
      </w:r>
    </w:p>
    <w:p w14:paraId="36E2A50D" w14:textId="77777777" w:rsidR="00F73D5B" w:rsidRPr="008B7A21" w:rsidRDefault="00F73D5B" w:rsidP="00F73D5B">
      <w:pPr>
        <w:pStyle w:val="enumlev1"/>
        <w:rPr>
          <w:lang w:val="es-ES_tradnl"/>
        </w:rPr>
      </w:pPr>
      <w:r w:rsidRPr="008B7A21">
        <w:rPr>
          <w:lang w:val="es-ES_tradnl"/>
        </w:rPr>
        <w:t>–</w:t>
      </w:r>
      <w:r w:rsidRPr="008B7A21">
        <w:rPr>
          <w:lang w:val="es-ES_tradnl"/>
        </w:rPr>
        <w:tab/>
        <w:t>Si el incremento inicial reduce la congestión, no sería necesario aumentar más los precios.</w:t>
      </w:r>
    </w:p>
    <w:p w14:paraId="2FE2A3A3" w14:textId="77777777" w:rsidR="00F73D5B" w:rsidRPr="008B7A21" w:rsidRDefault="00F73D5B" w:rsidP="00F73D5B">
      <w:pPr>
        <w:pStyle w:val="enumlev1"/>
        <w:rPr>
          <w:lang w:val="es-ES_tradnl"/>
        </w:rPr>
      </w:pPr>
      <w:r w:rsidRPr="008B7A21">
        <w:rPr>
          <w:lang w:val="es-ES_tradnl"/>
        </w:rPr>
        <w:t>–</w:t>
      </w:r>
      <w:r w:rsidRPr="008B7A21">
        <w:rPr>
          <w:lang w:val="es-ES_tradnl"/>
        </w:rPr>
        <w:tab/>
        <w:t>Los usuarios deben conocer de antemano la tendencia de los cambios de precios con el fin de ajustar sus decisiones de inversión.</w:t>
      </w:r>
    </w:p>
    <w:p w14:paraId="24AC7BBC" w14:textId="77777777" w:rsidR="00F73D5B" w:rsidRPr="008B7A21" w:rsidRDefault="00F73D5B" w:rsidP="00F73D5B">
      <w:pPr>
        <w:pStyle w:val="enumlev1"/>
        <w:rPr>
          <w:lang w:val="es-ES_tradnl"/>
        </w:rPr>
      </w:pPr>
      <w:r w:rsidRPr="008B7A21">
        <w:rPr>
          <w:lang w:val="es-ES_tradnl"/>
        </w:rPr>
        <w:t>–</w:t>
      </w:r>
      <w:r w:rsidRPr="008B7A21">
        <w:rPr>
          <w:lang w:val="es-ES_tradnl"/>
        </w:rPr>
        <w:tab/>
        <w:t>Los precios deben estar relacionados con los precios de mercado a largo plazo.</w:t>
      </w:r>
    </w:p>
    <w:p w14:paraId="081394C5" w14:textId="77777777" w:rsidR="00F73D5B" w:rsidRPr="008B7A21" w:rsidRDefault="00F73D5B" w:rsidP="00F73D5B">
      <w:pPr>
        <w:pStyle w:val="enumlev1"/>
        <w:rPr>
          <w:lang w:val="es-ES_tradnl"/>
        </w:rPr>
      </w:pPr>
      <w:r w:rsidRPr="008B7A21">
        <w:rPr>
          <w:lang w:val="es-ES_tradnl"/>
        </w:rPr>
        <w:t>–</w:t>
      </w:r>
      <w:r w:rsidRPr="008B7A21">
        <w:rPr>
          <w:lang w:val="es-ES_tradnl"/>
        </w:rPr>
        <w:tab/>
        <w:t>Se considera razonable un periodo de transición de 5 años.</w:t>
      </w:r>
    </w:p>
    <w:p w14:paraId="723F0941" w14:textId="77777777" w:rsidR="00F73D5B" w:rsidRPr="008B7A21" w:rsidRDefault="00F73D5B" w:rsidP="00F73D5B">
      <w:pPr>
        <w:pStyle w:val="enumlev1"/>
        <w:rPr>
          <w:lang w:val="es-ES_tradnl"/>
        </w:rPr>
      </w:pPr>
      <w:r w:rsidRPr="008B7A21">
        <w:rPr>
          <w:lang w:val="es-ES_tradnl"/>
        </w:rPr>
        <w:t>–</w:t>
      </w:r>
      <w:r w:rsidRPr="008B7A21">
        <w:rPr>
          <w:lang w:val="es-ES_tradnl"/>
        </w:rPr>
        <w:tab/>
        <w:t>La legislación existente debe ser efectiva y compatible con el nuevo plan de fijación de precios.</w:t>
      </w:r>
    </w:p>
    <w:p w14:paraId="7752EB96" w14:textId="77777777" w:rsidR="00F73D5B" w:rsidRPr="008B7A21" w:rsidRDefault="00F73D5B" w:rsidP="00F73D5B">
      <w:pPr>
        <w:pStyle w:val="enumlev1"/>
        <w:rPr>
          <w:lang w:val="es-ES_tradnl"/>
        </w:rPr>
      </w:pPr>
      <w:r w:rsidRPr="008B7A21">
        <w:rPr>
          <w:lang w:val="es-ES_tradnl"/>
        </w:rPr>
        <w:t>–</w:t>
      </w:r>
      <w:r w:rsidRPr="008B7A21">
        <w:rPr>
          <w:lang w:val="es-ES_tradnl"/>
        </w:rPr>
        <w:tab/>
        <w:t>Es fundamental un proceso de consulta con el fin de alcanzar un consenso con todas las partes implicadas.</w:t>
      </w:r>
    </w:p>
    <w:p w14:paraId="4324C5C4" w14:textId="77777777" w:rsidR="00F73D5B" w:rsidRPr="008B7A21" w:rsidRDefault="00F73D5B" w:rsidP="00F73D5B">
      <w:pPr>
        <w:pStyle w:val="enumlev1"/>
        <w:rPr>
          <w:lang w:val="es-ES_tradnl"/>
        </w:rPr>
      </w:pPr>
      <w:r w:rsidRPr="008B7A21">
        <w:rPr>
          <w:lang w:val="es-ES_tradnl"/>
        </w:rPr>
        <w:t>–</w:t>
      </w:r>
      <w:r w:rsidRPr="008B7A21">
        <w:rPr>
          <w:lang w:val="es-ES_tradnl"/>
        </w:rPr>
        <w:tab/>
        <w:t>Se deberán desarrollar y probar nuevos programas informáticos para calcular los precios. Además, el personal del regulador debe estar entrenado con los nuevos programas informáticos.</w:t>
      </w:r>
    </w:p>
    <w:p w14:paraId="74C3B5CF" w14:textId="77777777" w:rsidR="00F73D5B" w:rsidRPr="008B7A21" w:rsidRDefault="00F73D5B" w:rsidP="00F73D5B">
      <w:pPr>
        <w:pStyle w:val="enumlev1"/>
        <w:rPr>
          <w:lang w:val="es-ES_tradnl"/>
        </w:rPr>
      </w:pPr>
      <w:r w:rsidRPr="008B7A21">
        <w:rPr>
          <w:lang w:val="es-ES_tradnl"/>
        </w:rPr>
        <w:t>–</w:t>
      </w:r>
      <w:r w:rsidRPr="008B7A21">
        <w:rPr>
          <w:lang w:val="es-ES_tradnl"/>
        </w:rPr>
        <w:tab/>
        <w:t>El regulador no debe utilizar el nuevo sistema de cánones para mejorar su financiación puesto que las cantidades recaudadas pueden fluctuar con el tiempo, así como con la oferta y la demanda.</w:t>
      </w:r>
    </w:p>
    <w:p w14:paraId="1322BC97" w14:textId="77777777" w:rsidR="00F73D5B" w:rsidRPr="008B7A21" w:rsidRDefault="00F73D5B" w:rsidP="00F73D5B">
      <w:pPr>
        <w:pStyle w:val="ChapNo"/>
        <w:rPr>
          <w:lang w:val="es-ES_tradnl"/>
        </w:rPr>
      </w:pPr>
      <w:bookmarkStart w:id="1683" w:name="_Toc306276879"/>
      <w:bookmarkStart w:id="1684" w:name="_Toc307994046"/>
      <w:bookmarkStart w:id="1685" w:name="_Toc307995266"/>
      <w:bookmarkStart w:id="1686" w:name="_Toc307996452"/>
      <w:bookmarkStart w:id="1687" w:name="_Toc308010385"/>
      <w:bookmarkStart w:id="1688" w:name="_Toc499563090"/>
      <w:bookmarkStart w:id="1689" w:name="_Toc215835426"/>
      <w:bookmarkStart w:id="1690" w:name="_Toc394385981"/>
      <w:bookmarkStart w:id="1691" w:name="_Toc394386068"/>
      <w:bookmarkStart w:id="1692" w:name="_Toc395503172"/>
      <w:bookmarkStart w:id="1693" w:name="_Toc459746722"/>
      <w:bookmarkStart w:id="1694" w:name="_Toc459792655"/>
      <w:bookmarkStart w:id="1695" w:name="_Toc459793821"/>
      <w:bookmarkStart w:id="1696" w:name="_Toc459793963"/>
      <w:bookmarkStart w:id="1697" w:name="_Toc459970425"/>
      <w:r w:rsidRPr="008B7A21">
        <w:rPr>
          <w:lang w:val="es-ES_tradnl"/>
        </w:rPr>
        <w:t>CAPÍTULO 5</w:t>
      </w:r>
      <w:bookmarkEnd w:id="1683"/>
      <w:bookmarkEnd w:id="1684"/>
      <w:bookmarkEnd w:id="1685"/>
      <w:bookmarkEnd w:id="1686"/>
      <w:bookmarkEnd w:id="1687"/>
      <w:bookmarkEnd w:id="1688"/>
      <w:bookmarkEnd w:id="1689"/>
    </w:p>
    <w:p w14:paraId="36A9A008" w14:textId="2EE6B6CA" w:rsidR="00F73D5B" w:rsidRPr="008B7A21" w:rsidRDefault="00F73D5B" w:rsidP="00F73D5B">
      <w:pPr>
        <w:pStyle w:val="Chaptitle"/>
        <w:rPr>
          <w:lang w:val="es-ES_tradnl"/>
        </w:rPr>
      </w:pPr>
      <w:bookmarkStart w:id="1698" w:name="_Toc306276880"/>
      <w:bookmarkStart w:id="1699" w:name="_Toc307994047"/>
      <w:bookmarkStart w:id="1700" w:name="_Toc307995267"/>
      <w:bookmarkStart w:id="1701" w:name="_Toc307996453"/>
      <w:bookmarkStart w:id="1702" w:name="_Toc308010386"/>
      <w:bookmarkStart w:id="1703" w:name="_Toc499563091"/>
      <w:bookmarkStart w:id="1704" w:name="_Toc526166828"/>
      <w:r w:rsidRPr="008B7A21">
        <w:rPr>
          <w:lang w:val="es-ES_tradnl"/>
        </w:rPr>
        <w:t>Experiencia adquirida por las administraciones en lo que concierne</w:t>
      </w:r>
      <w:r w:rsidRPr="008B7A21">
        <w:rPr>
          <w:lang w:val="es-ES_tradnl"/>
        </w:rPr>
        <w:br/>
        <w:t>a los enfoques económicos de la gestión del espectro</w:t>
      </w:r>
      <w:bookmarkStart w:id="1705" w:name="_Toc476537866"/>
      <w:bookmarkStart w:id="1706" w:name="_Toc306276881"/>
      <w:bookmarkStart w:id="1707" w:name="_Toc307921554"/>
      <w:bookmarkStart w:id="1708" w:name="_Toc307922121"/>
      <w:bookmarkStart w:id="1709" w:name="_Toc307922664"/>
      <w:bookmarkStart w:id="1710" w:name="_Toc307992013"/>
      <w:bookmarkStart w:id="1711" w:name="_Toc307994048"/>
      <w:bookmarkStart w:id="1712" w:name="_Toc307995268"/>
      <w:bookmarkStart w:id="1713" w:name="_Toc307996454"/>
      <w:bookmarkStart w:id="1714" w:name="_Toc308010387"/>
      <w:bookmarkEnd w:id="1698"/>
      <w:bookmarkEnd w:id="1699"/>
      <w:bookmarkEnd w:id="1700"/>
      <w:bookmarkEnd w:id="1701"/>
      <w:bookmarkEnd w:id="1702"/>
      <w:r w:rsidRPr="008B7A21">
        <w:rPr>
          <w:rStyle w:val="FootnoteReference"/>
          <w:lang w:val="es-ES_tradnl"/>
        </w:rPr>
        <w:footnoteReference w:id="10"/>
      </w:r>
      <w:bookmarkEnd w:id="1703"/>
      <w:bookmarkEnd w:id="1704"/>
    </w:p>
    <w:p w14:paraId="246D2F12" w14:textId="77777777" w:rsidR="00F73D5B" w:rsidRPr="008B7A21" w:rsidRDefault="00F73D5B" w:rsidP="00F73D5B">
      <w:pPr>
        <w:pStyle w:val="Heading2"/>
        <w:rPr>
          <w:lang w:val="es-ES_tradnl"/>
        </w:rPr>
      </w:pPr>
      <w:bookmarkStart w:id="1715" w:name="_Toc499563092"/>
      <w:bookmarkStart w:id="1716" w:name="_Toc215835427"/>
      <w:r w:rsidRPr="008B7A21">
        <w:rPr>
          <w:lang w:val="es-ES_tradnl"/>
        </w:rPr>
        <w:t>5.1</w:t>
      </w:r>
      <w:r w:rsidRPr="008B7A21">
        <w:rPr>
          <w:lang w:val="es-ES_tradnl"/>
        </w:rPr>
        <w:tab/>
      </w:r>
      <w:bookmarkEnd w:id="1690"/>
      <w:bookmarkEnd w:id="1691"/>
      <w:bookmarkEnd w:id="1692"/>
      <w:bookmarkEnd w:id="1693"/>
      <w:bookmarkEnd w:id="1694"/>
      <w:bookmarkEnd w:id="1695"/>
      <w:bookmarkEnd w:id="1696"/>
      <w:bookmarkEnd w:id="1697"/>
      <w:bookmarkEnd w:id="1705"/>
      <w:r w:rsidRPr="008B7A21">
        <w:rPr>
          <w:lang w:val="es-ES_tradnl"/>
        </w:rPr>
        <w:t>Experiencia en cuanto a subastas y derechos de propiedad transferibles</w:t>
      </w:r>
      <w:bookmarkEnd w:id="1706"/>
      <w:bookmarkEnd w:id="1707"/>
      <w:bookmarkEnd w:id="1708"/>
      <w:bookmarkEnd w:id="1709"/>
      <w:bookmarkEnd w:id="1710"/>
      <w:bookmarkEnd w:id="1711"/>
      <w:bookmarkEnd w:id="1712"/>
      <w:bookmarkEnd w:id="1713"/>
      <w:bookmarkEnd w:id="1714"/>
      <w:bookmarkEnd w:id="1715"/>
      <w:bookmarkEnd w:id="1716"/>
    </w:p>
    <w:p w14:paraId="0BB3890E" w14:textId="77777777" w:rsidR="00F73D5B" w:rsidRPr="008B7A21" w:rsidRDefault="00F73D5B" w:rsidP="00F73D5B">
      <w:pPr>
        <w:rPr>
          <w:lang w:val="es-ES_tradnl"/>
        </w:rPr>
      </w:pPr>
      <w:r w:rsidRPr="008B7A21">
        <w:rPr>
          <w:lang w:val="es-ES_tradnl"/>
        </w:rPr>
        <w:t>Durante los años noventa algunos países han organizado subastas para la asignación de licencias [5] [6]. Además, algunos de estos países han introducido recientemente sistemas de derechos de propiedad transferibles, según los cuales pueden venderse las licencias de utilización del espectro a terceros.</w:t>
      </w:r>
    </w:p>
    <w:p w14:paraId="019D8474" w14:textId="77777777" w:rsidR="00F73D5B" w:rsidRPr="008B7A21" w:rsidRDefault="00F73D5B" w:rsidP="00F73D5B">
      <w:pPr>
        <w:pStyle w:val="Heading3"/>
        <w:rPr>
          <w:lang w:val="es-ES_tradnl"/>
        </w:rPr>
      </w:pPr>
      <w:bookmarkStart w:id="1717" w:name="_Toc459746723"/>
      <w:bookmarkStart w:id="1718" w:name="_Toc459792656"/>
      <w:bookmarkStart w:id="1719" w:name="_Toc459793822"/>
      <w:bookmarkStart w:id="1720" w:name="_Toc459793964"/>
      <w:bookmarkStart w:id="1721" w:name="_Toc459970426"/>
      <w:bookmarkStart w:id="1722" w:name="_Toc476537867"/>
      <w:bookmarkStart w:id="1723" w:name="_Toc306276882"/>
      <w:bookmarkStart w:id="1724" w:name="_Toc307921555"/>
      <w:bookmarkStart w:id="1725" w:name="_Toc307922122"/>
      <w:bookmarkStart w:id="1726" w:name="_Toc307922665"/>
      <w:bookmarkStart w:id="1727" w:name="_Toc307992014"/>
      <w:bookmarkStart w:id="1728" w:name="_Toc307994049"/>
      <w:bookmarkStart w:id="1729" w:name="_Toc307995269"/>
      <w:bookmarkStart w:id="1730" w:name="_Toc307996455"/>
      <w:bookmarkStart w:id="1731" w:name="_Toc308010388"/>
      <w:bookmarkStart w:id="1732" w:name="_Toc499563093"/>
      <w:bookmarkStart w:id="1733" w:name="_Toc215835428"/>
      <w:r w:rsidRPr="008B7A21">
        <w:rPr>
          <w:lang w:val="es-ES_tradnl"/>
        </w:rPr>
        <w:t>5.1.1</w:t>
      </w:r>
      <w:r w:rsidRPr="008B7A21">
        <w:rPr>
          <w:lang w:val="es-ES_tradnl"/>
        </w:rPr>
        <w:tab/>
        <w:t>Australia</w:t>
      </w:r>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p>
    <w:p w14:paraId="12EF099F" w14:textId="77777777" w:rsidR="00F73D5B" w:rsidRPr="008B7A21" w:rsidRDefault="00F73D5B" w:rsidP="00F73D5B">
      <w:pPr>
        <w:rPr>
          <w:lang w:val="es-ES_tradnl"/>
        </w:rPr>
      </w:pPr>
      <w:r w:rsidRPr="008B7A21">
        <w:rPr>
          <w:lang w:val="es-ES_tradnl"/>
        </w:rPr>
        <w:t>En Australia, la Australian Communications and Media Authority (ACMA), como entidad de gestión del espectro, persigue ciertos objetivos entre los que se encuentra la promoción de la eficiencia económica, el fomento de la evolución tecnológica y la ampliación de la libertad de elección. Se pretende desarrollar un sistema eficiente, equitativo y transparente de tasación por la utilización del espectro y de garantizar un rendimiento aceptable para la comunidad. Con el fin de equilibrar estos objetivos potencialmente opuestos, la ACMA tuvo que adoptar una serie de enfoques innovadores de gestión del espectro. A continuación se describen sus enfoques en cuanto a subastas y derechos de propiedad transferibles.</w:t>
      </w:r>
    </w:p>
    <w:p w14:paraId="7750C412" w14:textId="77777777" w:rsidR="00F73D5B" w:rsidRPr="008B7A21" w:rsidRDefault="00F73D5B" w:rsidP="00F73D5B">
      <w:pPr>
        <w:pStyle w:val="Heading4"/>
        <w:rPr>
          <w:lang w:val="es-ES_tradnl"/>
        </w:rPr>
      </w:pPr>
      <w:bookmarkStart w:id="1734" w:name="_Toc391269574"/>
      <w:bookmarkStart w:id="1735" w:name="_Toc459746724"/>
      <w:bookmarkStart w:id="1736" w:name="_Toc476537868"/>
      <w:r w:rsidRPr="008B7A21">
        <w:rPr>
          <w:lang w:val="es-ES_tradnl"/>
        </w:rPr>
        <w:t>5.1.1.1</w:t>
      </w:r>
      <w:r w:rsidRPr="008B7A21">
        <w:rPr>
          <w:lang w:val="es-ES_tradnl"/>
        </w:rPr>
        <w:tab/>
        <w:t>Utilización del precio como instrumento en la asignación de licencias</w:t>
      </w:r>
      <w:bookmarkEnd w:id="1734"/>
      <w:bookmarkEnd w:id="1735"/>
      <w:bookmarkEnd w:id="1736"/>
    </w:p>
    <w:p w14:paraId="707ECB6D" w14:textId="77777777" w:rsidR="00F73D5B" w:rsidRPr="008B7A21" w:rsidRDefault="00F73D5B" w:rsidP="00F73D5B">
      <w:pPr>
        <w:rPr>
          <w:lang w:val="es-ES_tradnl"/>
        </w:rPr>
      </w:pPr>
      <w:r w:rsidRPr="008B7A21">
        <w:rPr>
          <w:lang w:val="es-ES_tradnl"/>
        </w:rPr>
        <w:t>Generalmente, cuando la oferta de una determinada banda de frecuencias supera a la demanda, la ACMA adjudica el espectro directamente, cuando se solicita, por una tasa de emisión y un canon anual. Pero cuando es probable que la demanda de una determinada banda de frecuencias supere a la oferta, la ACMA concederá las licencias mediante subasta.</w:t>
      </w:r>
    </w:p>
    <w:p w14:paraId="4B4F17F2" w14:textId="77777777" w:rsidR="00F73D5B" w:rsidRPr="008B7A21" w:rsidRDefault="00F73D5B" w:rsidP="00F73D5B">
      <w:pPr>
        <w:rPr>
          <w:lang w:val="es-ES_tradnl"/>
        </w:rPr>
      </w:pPr>
      <w:r w:rsidRPr="008B7A21">
        <w:rPr>
          <w:lang w:val="es-ES_tradnl"/>
        </w:rPr>
        <w:t>La ACMA puede subastar el espectro ya sea en forma de licencias de espectro o, lo que es menos común, como licencias de equipos.</w:t>
      </w:r>
    </w:p>
    <w:p w14:paraId="345688CA" w14:textId="77777777" w:rsidR="00F73D5B" w:rsidRPr="008B7A21" w:rsidRDefault="00F73D5B" w:rsidP="00F73D5B">
      <w:pPr>
        <w:rPr>
          <w:lang w:val="es-ES_tradnl"/>
        </w:rPr>
      </w:pPr>
      <w:r w:rsidRPr="008B7A21">
        <w:rPr>
          <w:lang w:val="es-ES_tradnl"/>
        </w:rPr>
        <w:t>Debido a la amplitud de las tareas de planificación, consulta y preparación implicadas, las subastas de espectro son acontecimientos poco corrientes y se utilizan más a menudo cuando existe una fuerte competencia en bandas de frecuencias escasas y con alto valor comercial. Las subastas se consideran como un método transparente, basado en el precio, en una determinada banda por tramos discretos que se denominan lotes de espectro, definidos por su zona geográfica y su anchura de banda. La combinación de anchura de banda y zona geográfica se denomina espacio espectral.</w:t>
      </w:r>
    </w:p>
    <w:p w14:paraId="76CA7A1B" w14:textId="77777777" w:rsidR="00F73D5B" w:rsidRPr="008B7A21" w:rsidRDefault="00F73D5B" w:rsidP="00F73D5B">
      <w:pPr>
        <w:rPr>
          <w:lang w:val="es-ES_tradnl"/>
        </w:rPr>
      </w:pPr>
      <w:r w:rsidRPr="008B7A21">
        <w:rPr>
          <w:lang w:val="es-ES_tradnl"/>
        </w:rPr>
        <w:t>Un licitador que ha obtenido una licencia puede adquirir un cierto número de lotes en la subasta. El comprador puede combinar o agregar cualquier lote contiguo para construir espacios espectrales más amplios y de mayor utilidad. Estos lotes agregados se pueden utilizar de conformidad con las condiciones de las licencias de acceso de forma que pueda utilizarse cualquier tecnología o servicio en ese espacio espectral, en función de su tamaño y forma, sin interferir a servicios adyacentes.</w:t>
      </w:r>
    </w:p>
    <w:p w14:paraId="50BB5E03" w14:textId="77777777" w:rsidR="00F73D5B" w:rsidRPr="008B7A21" w:rsidRDefault="00F73D5B" w:rsidP="00F73D5B">
      <w:pPr>
        <w:rPr>
          <w:lang w:val="es-ES_tradnl"/>
        </w:rPr>
      </w:pPr>
      <w:r w:rsidRPr="008B7A21">
        <w:rPr>
          <w:lang w:val="es-ES_tradnl"/>
        </w:rPr>
        <w:t>De los muchos tipos de subastas que existen, la ACMA sólo ha utilizado dos para subastar el espectro, a saber la puja al alza abierta y la puja simultánea con múltiples vueltas.</w:t>
      </w:r>
    </w:p>
    <w:p w14:paraId="3F126AD6" w14:textId="77777777" w:rsidR="00F73D5B" w:rsidRPr="008B7A21" w:rsidRDefault="00F73D5B" w:rsidP="00F73D5B">
      <w:pPr>
        <w:pStyle w:val="Heading4"/>
        <w:rPr>
          <w:lang w:val="es-ES_tradnl"/>
        </w:rPr>
      </w:pPr>
      <w:r w:rsidRPr="008B7A21">
        <w:rPr>
          <w:lang w:val="es-ES_tradnl"/>
        </w:rPr>
        <w:t>5.1.1.2</w:t>
      </w:r>
      <w:r w:rsidRPr="008B7A21">
        <w:rPr>
          <w:lang w:val="es-ES_tradnl"/>
        </w:rPr>
        <w:tab/>
        <w:t>Introducción de una nueva forma de licencia: la licencia de espectro</w:t>
      </w:r>
    </w:p>
    <w:p w14:paraId="4099741A" w14:textId="77777777" w:rsidR="00F73D5B" w:rsidRPr="008B7A21" w:rsidRDefault="00F73D5B" w:rsidP="00F73D5B">
      <w:pPr>
        <w:rPr>
          <w:lang w:val="es-ES_tradnl"/>
        </w:rPr>
      </w:pPr>
      <w:r w:rsidRPr="008B7A21">
        <w:rPr>
          <w:lang w:val="es-ES_tradnl"/>
        </w:rPr>
        <w:t>El sistema del mercado se basa en el principio de que la comercialización directa del espectro se traducirá en una utilización más eficiente de este. Según el sistema de mercado, los usuarios del espectro adoptarán decisiones sobre su acceso a él en función de las presiones de la demanda y la oferta. Para facilitar un enfoque más orientado al mercado en la atribución y gestión del espectro, la ACMA introdujo un nuevo tipo de licencia, análoga a un derecho de propiedad, denominada licencia de espectro. La concesión de una licencia de espectro, en lugar de centrarse en el equipamiento y sus utilizaciones (que a su vez definen la zona de cobertura y la anchura de banda utilizadas), autoriza la utilización de espectro dentro de unos límites especificados de anchura de banda y de zona de cobertura. Según la concesión de licencias de espectro, los beneficiarios contarán con flexibilidad para modificar su equipo, antenas, emplazamientos y, de hecho, cualquier aspecto de su utilización del espectro, siempre que cumplan con el núcleo de condiciones técnicas de la licencia y todo requisito de coordinación.</w:t>
      </w:r>
    </w:p>
    <w:p w14:paraId="5A07D38C" w14:textId="77777777" w:rsidR="00F73D5B" w:rsidRPr="008B7A21" w:rsidRDefault="00F73D5B" w:rsidP="00F73D5B">
      <w:pPr>
        <w:rPr>
          <w:lang w:val="es-ES_tradnl"/>
        </w:rPr>
      </w:pPr>
      <w:r w:rsidRPr="008B7A21">
        <w:rPr>
          <w:lang w:val="es-ES_tradnl"/>
        </w:rPr>
        <w:t xml:space="preserve">De conformidad con los Artículos 85-88 de la </w:t>
      </w:r>
      <w:r w:rsidRPr="008B7A21">
        <w:rPr>
          <w:i/>
          <w:iCs/>
          <w:lang w:val="es-ES_tradnl"/>
        </w:rPr>
        <w:t>Ley de Radiocomunicaciones de 1992</w:t>
      </w:r>
      <w:r w:rsidRPr="008B7A21">
        <w:rPr>
          <w:lang w:val="es-ES_tradnl"/>
        </w:rPr>
        <w:t>, se pretende que las licencias de espectro se comercialicen en lugar de ser transferidas. Incorporan condiciones básicas que definen un bien espectral o un conjunto de derechos de propiedad expresados en una licencia de espectro. Los beneficiarios tienen libertad para negociar en el libre mercado con las personas interesadas en comprar o vender espacio espectral para cualquier fin legal.</w:t>
      </w:r>
    </w:p>
    <w:p w14:paraId="794B9459" w14:textId="77777777" w:rsidR="00F73D5B" w:rsidRPr="008B7A21" w:rsidRDefault="00F73D5B" w:rsidP="00F73D5B">
      <w:pPr>
        <w:rPr>
          <w:lang w:val="es-ES_tradnl"/>
        </w:rPr>
      </w:pPr>
      <w:r w:rsidRPr="008B7A21">
        <w:rPr>
          <w:lang w:val="es-ES_tradnl"/>
        </w:rPr>
        <w:t>Las licencias de espectro se pueden considerar como bienes financieros debido a los espacios espectrales definidos y al largo periodo de adjudicación que es de 15 años. Estas licencias se pueden combinar o subdividir para formar nuevas licencias, aunque no se pueden subdividir por debajo de una unidad de mercado normalizada. Una vez que se alcanza un acuerdo comercial sobre una determinada mercancía, la transacción se debe notificar a la ACMA. El acuerdo es efectivo sólo después de que aparezcan los detalles de la nueva licencia.</w:t>
      </w:r>
    </w:p>
    <w:p w14:paraId="63870926" w14:textId="77777777" w:rsidR="00F73D5B" w:rsidRPr="008B7A21" w:rsidRDefault="00F73D5B" w:rsidP="00F73D5B">
      <w:pPr>
        <w:pStyle w:val="Heading3"/>
        <w:rPr>
          <w:lang w:val="es-ES_tradnl"/>
        </w:rPr>
      </w:pPr>
      <w:bookmarkStart w:id="1737" w:name="_Toc459746726"/>
      <w:bookmarkStart w:id="1738" w:name="_Toc459792657"/>
      <w:bookmarkStart w:id="1739" w:name="_Toc459793823"/>
      <w:bookmarkStart w:id="1740" w:name="_Toc459793965"/>
      <w:bookmarkStart w:id="1741" w:name="_Toc459970427"/>
      <w:bookmarkStart w:id="1742" w:name="_Toc476537870"/>
      <w:bookmarkStart w:id="1743" w:name="_Toc306276883"/>
      <w:bookmarkStart w:id="1744" w:name="_Toc307921556"/>
      <w:bookmarkStart w:id="1745" w:name="_Toc307922123"/>
      <w:bookmarkStart w:id="1746" w:name="_Toc307922666"/>
      <w:bookmarkStart w:id="1747" w:name="_Toc307992015"/>
      <w:bookmarkStart w:id="1748" w:name="_Toc307994050"/>
      <w:bookmarkStart w:id="1749" w:name="_Toc307995270"/>
      <w:bookmarkStart w:id="1750" w:name="_Toc307996456"/>
      <w:bookmarkStart w:id="1751" w:name="_Toc308010389"/>
      <w:bookmarkStart w:id="1752" w:name="_Toc499563094"/>
      <w:bookmarkStart w:id="1753" w:name="_Toc215835429"/>
      <w:r w:rsidRPr="008B7A21">
        <w:rPr>
          <w:lang w:val="es-ES_tradnl"/>
        </w:rPr>
        <w:t>5.1.2</w:t>
      </w:r>
      <w:r w:rsidRPr="008B7A21">
        <w:rPr>
          <w:lang w:val="es-ES_tradnl"/>
        </w:rPr>
        <w:tab/>
        <w:t>Canad</w:t>
      </w:r>
      <w:bookmarkEnd w:id="1737"/>
      <w:bookmarkEnd w:id="1738"/>
      <w:bookmarkEnd w:id="1739"/>
      <w:bookmarkEnd w:id="1740"/>
      <w:bookmarkEnd w:id="1741"/>
      <w:bookmarkEnd w:id="1742"/>
      <w:r w:rsidRPr="008B7A21">
        <w:rPr>
          <w:lang w:val="es-ES_tradnl"/>
        </w:rPr>
        <w:t>á</w:t>
      </w:r>
      <w:bookmarkEnd w:id="1743"/>
      <w:bookmarkEnd w:id="1744"/>
      <w:bookmarkEnd w:id="1745"/>
      <w:bookmarkEnd w:id="1746"/>
      <w:bookmarkEnd w:id="1747"/>
      <w:bookmarkEnd w:id="1748"/>
      <w:bookmarkEnd w:id="1749"/>
      <w:bookmarkEnd w:id="1750"/>
      <w:bookmarkEnd w:id="1751"/>
      <w:bookmarkEnd w:id="1752"/>
      <w:bookmarkEnd w:id="1753"/>
    </w:p>
    <w:p w14:paraId="4E76E985" w14:textId="77777777" w:rsidR="00F73D5B" w:rsidRPr="008B7A21" w:rsidRDefault="00F73D5B" w:rsidP="00F73D5B">
      <w:pPr>
        <w:rPr>
          <w:lang w:val="es-ES_tradnl"/>
        </w:rPr>
      </w:pPr>
      <w:r w:rsidRPr="008B7A21">
        <w:rPr>
          <w:lang w:val="es-ES_tradnl"/>
        </w:rPr>
        <w:t>La Ley de Radiocomunicaciones canadiense se modificó en junio de 1996 para autorizar explícitamente la organización de subastas de asignación de espectro en circunstancias adecuadas. Las subastas ofrecen ventajas tales como la capacidad de promover un uso eficiente desde el punto de vista económico, su libertad y objetividad como mecanismo de asignación, su eficacia de procedimiento y su capacidad de retornar una compensación adecuada a los contribuyentes canadienses por el uso de un recurso público.</w:t>
      </w:r>
    </w:p>
    <w:p w14:paraId="42E970AD" w14:textId="77777777" w:rsidR="00F73D5B" w:rsidRPr="008B7A21" w:rsidRDefault="00F73D5B" w:rsidP="00F73D5B">
      <w:pPr>
        <w:rPr>
          <w:lang w:val="es-ES_tradnl"/>
        </w:rPr>
      </w:pPr>
      <w:r w:rsidRPr="008B7A21">
        <w:rPr>
          <w:lang w:val="es-ES_tradnl"/>
        </w:rPr>
        <w:t>Industry Canada realizó la primera subasta de espectro en 1999 utilizando una puja al alza simultánea con múltiples vueltas para otorgar espectro en las bandas de 24 y 38 GHz. En un periodo de 10 años, Industry Canada ha realizado siete subastas de espectro, cinco de las cuales se realizaron por Internet, utilizando el formato de puja simultánea de múltiples vueltas y dos utilizaron el formato de puja en oferta cerrada. Mientras los aspectos teóricos y prácticos de las subastas siguen avanzando, Industry Canada examinará nuevos desarrollos en el diseño de las subastas y las adoptará cuando sea preciso.</w:t>
      </w:r>
    </w:p>
    <w:p w14:paraId="10948321" w14:textId="77777777" w:rsidR="00F73D5B" w:rsidRPr="008B7A21" w:rsidRDefault="00F73D5B" w:rsidP="00F73D5B">
      <w:pPr>
        <w:rPr>
          <w:lang w:val="es-ES_tradnl"/>
        </w:rPr>
      </w:pPr>
      <w:r w:rsidRPr="008B7A21">
        <w:rPr>
          <w:lang w:val="es-ES_tradnl"/>
        </w:rPr>
        <w:t>El Cuadro siguiente proporciona detalles de todas las subastas realizadas hasta la fecha por Industry Canada. Las subastas 1 a 5 se llevaron a cabo utilizando la puja simultánea ascendente de múltiples vueltas mientras que las subastas 6 y 7 se llevaron a cabo utilizando una puja en oferta cerrada, segundo precio.</w:t>
      </w:r>
    </w:p>
    <w:p w14:paraId="5C590EB2" w14:textId="77777777" w:rsidR="00F73D5B" w:rsidRPr="008B7A21" w:rsidRDefault="00F73D5B" w:rsidP="008F628B">
      <w:pPr>
        <w:keepNext/>
        <w:keepLines/>
        <w:spacing w:before="0" w:after="120"/>
        <w:jc w:val="center"/>
        <w:rPr>
          <w:lang w:val="es-ES_tradnl"/>
        </w:rPr>
      </w:pPr>
      <w:r w:rsidRPr="008B7A21">
        <w:rPr>
          <w:lang w:val="es-ES_tradnl"/>
        </w:rPr>
        <w:t>CUADRO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7"/>
        <w:gridCol w:w="1020"/>
        <w:gridCol w:w="4025"/>
        <w:gridCol w:w="2324"/>
        <w:gridCol w:w="1191"/>
      </w:tblGrid>
      <w:tr w:rsidR="00F73D5B" w:rsidRPr="008B7A21" w14:paraId="0BF7F3BC" w14:textId="77777777" w:rsidTr="00767A6A">
        <w:trPr>
          <w:jc w:val="center"/>
        </w:trPr>
        <w:tc>
          <w:tcPr>
            <w:tcW w:w="1077" w:type="dxa"/>
            <w:vAlign w:val="center"/>
          </w:tcPr>
          <w:p w14:paraId="5F95ABC9" w14:textId="77777777" w:rsidR="00F73D5B" w:rsidRPr="008B7A21" w:rsidRDefault="00F73D5B" w:rsidP="008F628B">
            <w:pPr>
              <w:pStyle w:val="Tablehead"/>
              <w:keepLines/>
              <w:rPr>
                <w:lang w:val="es-ES_tradnl"/>
              </w:rPr>
            </w:pPr>
            <w:r w:rsidRPr="008B7A21">
              <w:rPr>
                <w:lang w:val="es-ES_tradnl"/>
              </w:rPr>
              <w:t>Subasta N.°</w:t>
            </w:r>
          </w:p>
        </w:tc>
        <w:tc>
          <w:tcPr>
            <w:tcW w:w="1020" w:type="dxa"/>
            <w:vAlign w:val="center"/>
          </w:tcPr>
          <w:p w14:paraId="0BEC3828" w14:textId="77777777" w:rsidR="00F73D5B" w:rsidRPr="008B7A21" w:rsidRDefault="00F73D5B" w:rsidP="008F628B">
            <w:pPr>
              <w:pStyle w:val="Tablehead"/>
              <w:keepLines/>
              <w:rPr>
                <w:lang w:val="es-ES_tradnl"/>
              </w:rPr>
            </w:pPr>
            <w:r w:rsidRPr="008B7A21">
              <w:rPr>
                <w:lang w:val="es-ES_tradnl"/>
              </w:rPr>
              <w:t>Año</w:t>
            </w:r>
          </w:p>
        </w:tc>
        <w:tc>
          <w:tcPr>
            <w:tcW w:w="4025" w:type="dxa"/>
            <w:vAlign w:val="center"/>
          </w:tcPr>
          <w:p w14:paraId="00330CDC" w14:textId="77777777" w:rsidR="00F73D5B" w:rsidRPr="008B7A21" w:rsidRDefault="00F73D5B" w:rsidP="008F628B">
            <w:pPr>
              <w:pStyle w:val="Tablehead"/>
              <w:keepLines/>
              <w:rPr>
                <w:lang w:val="es-ES_tradnl"/>
              </w:rPr>
            </w:pPr>
            <w:r w:rsidRPr="008B7A21">
              <w:rPr>
                <w:lang w:val="es-ES_tradnl"/>
              </w:rPr>
              <w:t>Banda de frecuencias/ámbito</w:t>
            </w:r>
          </w:p>
        </w:tc>
        <w:tc>
          <w:tcPr>
            <w:tcW w:w="2324" w:type="dxa"/>
            <w:vAlign w:val="center"/>
          </w:tcPr>
          <w:p w14:paraId="4180FB7C" w14:textId="77777777" w:rsidR="00F73D5B" w:rsidRPr="008B7A21" w:rsidRDefault="00F73D5B" w:rsidP="008F628B">
            <w:pPr>
              <w:pStyle w:val="Tablehead"/>
              <w:keepLines/>
              <w:rPr>
                <w:lang w:val="es-ES_tradnl"/>
              </w:rPr>
            </w:pPr>
            <w:r w:rsidRPr="008B7A21">
              <w:rPr>
                <w:lang w:val="es-ES_tradnl"/>
              </w:rPr>
              <w:t>N.° de licencias otorgadas/disponibles</w:t>
            </w:r>
          </w:p>
        </w:tc>
        <w:tc>
          <w:tcPr>
            <w:tcW w:w="1191" w:type="dxa"/>
            <w:vAlign w:val="center"/>
          </w:tcPr>
          <w:p w14:paraId="0C3C9A4B" w14:textId="77777777" w:rsidR="00F73D5B" w:rsidRPr="008B7A21" w:rsidRDefault="00F73D5B" w:rsidP="008F628B">
            <w:pPr>
              <w:pStyle w:val="Tablehead"/>
              <w:keepLines/>
              <w:rPr>
                <w:lang w:val="es-ES_tradnl"/>
              </w:rPr>
            </w:pPr>
            <w:r w:rsidRPr="008B7A21">
              <w:rPr>
                <w:lang w:val="es-ES_tradnl"/>
              </w:rPr>
              <w:t>N.° de ganadores</w:t>
            </w:r>
          </w:p>
        </w:tc>
      </w:tr>
      <w:tr w:rsidR="00F73D5B" w:rsidRPr="008B7A21" w14:paraId="18C1DF60" w14:textId="77777777" w:rsidTr="00767A6A">
        <w:trPr>
          <w:jc w:val="center"/>
        </w:trPr>
        <w:tc>
          <w:tcPr>
            <w:tcW w:w="1077" w:type="dxa"/>
          </w:tcPr>
          <w:p w14:paraId="424E2786" w14:textId="77777777" w:rsidR="00F73D5B" w:rsidRPr="008B7A21" w:rsidRDefault="00F73D5B" w:rsidP="00767A6A">
            <w:pPr>
              <w:pStyle w:val="Tabletext"/>
              <w:keepNext/>
              <w:keepLines/>
              <w:jc w:val="center"/>
              <w:rPr>
                <w:lang w:val="es-ES_tradnl"/>
              </w:rPr>
            </w:pPr>
            <w:r w:rsidRPr="008B7A21">
              <w:rPr>
                <w:lang w:val="es-ES_tradnl"/>
              </w:rPr>
              <w:t>1</w:t>
            </w:r>
          </w:p>
        </w:tc>
        <w:tc>
          <w:tcPr>
            <w:tcW w:w="1020" w:type="dxa"/>
          </w:tcPr>
          <w:p w14:paraId="4B4F0A4F" w14:textId="77777777" w:rsidR="00F73D5B" w:rsidRPr="008B7A21" w:rsidRDefault="00F73D5B" w:rsidP="00767A6A">
            <w:pPr>
              <w:pStyle w:val="Tabletext"/>
              <w:keepNext/>
              <w:keepLines/>
              <w:jc w:val="center"/>
              <w:rPr>
                <w:lang w:val="es-ES_tradnl"/>
              </w:rPr>
            </w:pPr>
            <w:r w:rsidRPr="008B7A21">
              <w:rPr>
                <w:lang w:val="es-ES_tradnl"/>
              </w:rPr>
              <w:t>1999</w:t>
            </w:r>
          </w:p>
        </w:tc>
        <w:tc>
          <w:tcPr>
            <w:tcW w:w="4025" w:type="dxa"/>
          </w:tcPr>
          <w:p w14:paraId="324B4F3E" w14:textId="77777777" w:rsidR="00F73D5B" w:rsidRPr="008B7A21" w:rsidRDefault="00F73D5B" w:rsidP="00767A6A">
            <w:pPr>
              <w:pStyle w:val="Tabletext"/>
              <w:keepNext/>
              <w:keepLines/>
              <w:jc w:val="left"/>
              <w:rPr>
                <w:lang w:val="es-ES_tradnl"/>
              </w:rPr>
            </w:pPr>
            <w:r w:rsidRPr="008B7A21">
              <w:rPr>
                <w:lang w:val="es-ES_tradnl"/>
              </w:rPr>
              <w:t>24 y 38 GHz</w:t>
            </w:r>
          </w:p>
        </w:tc>
        <w:tc>
          <w:tcPr>
            <w:tcW w:w="2324" w:type="dxa"/>
          </w:tcPr>
          <w:p w14:paraId="0E2BCF80" w14:textId="77777777" w:rsidR="00F73D5B" w:rsidRPr="008B7A21" w:rsidRDefault="00F73D5B" w:rsidP="00767A6A">
            <w:pPr>
              <w:pStyle w:val="Tabletext"/>
              <w:keepNext/>
              <w:keepLines/>
              <w:jc w:val="center"/>
              <w:rPr>
                <w:lang w:val="es-ES_tradnl"/>
              </w:rPr>
            </w:pPr>
            <w:r w:rsidRPr="008B7A21">
              <w:rPr>
                <w:lang w:val="es-ES_tradnl"/>
              </w:rPr>
              <w:t>260/354</w:t>
            </w:r>
          </w:p>
        </w:tc>
        <w:tc>
          <w:tcPr>
            <w:tcW w:w="1191" w:type="dxa"/>
          </w:tcPr>
          <w:p w14:paraId="41C40A09" w14:textId="77777777" w:rsidR="00F73D5B" w:rsidRPr="008B7A21" w:rsidRDefault="00F73D5B" w:rsidP="00767A6A">
            <w:pPr>
              <w:pStyle w:val="Tabletext"/>
              <w:keepNext/>
              <w:keepLines/>
              <w:jc w:val="center"/>
              <w:rPr>
                <w:lang w:val="es-ES_tradnl"/>
              </w:rPr>
            </w:pPr>
            <w:r w:rsidRPr="008B7A21">
              <w:rPr>
                <w:lang w:val="es-ES_tradnl"/>
              </w:rPr>
              <w:t>12</w:t>
            </w:r>
          </w:p>
        </w:tc>
      </w:tr>
      <w:tr w:rsidR="00F73D5B" w:rsidRPr="008B7A21" w14:paraId="67D7B6E6" w14:textId="77777777" w:rsidTr="00767A6A">
        <w:trPr>
          <w:jc w:val="center"/>
        </w:trPr>
        <w:tc>
          <w:tcPr>
            <w:tcW w:w="1077" w:type="dxa"/>
          </w:tcPr>
          <w:p w14:paraId="60A33320" w14:textId="77777777" w:rsidR="00F73D5B" w:rsidRPr="008B7A21" w:rsidRDefault="00F73D5B" w:rsidP="00767A6A">
            <w:pPr>
              <w:pStyle w:val="Tabletext"/>
              <w:keepNext/>
              <w:keepLines/>
              <w:jc w:val="center"/>
              <w:rPr>
                <w:lang w:val="es-ES_tradnl"/>
              </w:rPr>
            </w:pPr>
            <w:r w:rsidRPr="008B7A21">
              <w:rPr>
                <w:lang w:val="es-ES_tradnl"/>
              </w:rPr>
              <w:t>2</w:t>
            </w:r>
          </w:p>
        </w:tc>
        <w:tc>
          <w:tcPr>
            <w:tcW w:w="1020" w:type="dxa"/>
          </w:tcPr>
          <w:p w14:paraId="6FED36E0" w14:textId="77777777" w:rsidR="00F73D5B" w:rsidRPr="008B7A21" w:rsidRDefault="00F73D5B" w:rsidP="00767A6A">
            <w:pPr>
              <w:pStyle w:val="Tabletext"/>
              <w:keepNext/>
              <w:keepLines/>
              <w:jc w:val="center"/>
              <w:rPr>
                <w:lang w:val="es-ES_tradnl"/>
              </w:rPr>
            </w:pPr>
            <w:r w:rsidRPr="008B7A21">
              <w:rPr>
                <w:lang w:val="es-ES_tradnl"/>
              </w:rPr>
              <w:t>2001</w:t>
            </w:r>
          </w:p>
        </w:tc>
        <w:tc>
          <w:tcPr>
            <w:tcW w:w="4025" w:type="dxa"/>
          </w:tcPr>
          <w:p w14:paraId="7A5F30EC" w14:textId="77777777" w:rsidR="00F73D5B" w:rsidRPr="008B7A21" w:rsidRDefault="00F73D5B" w:rsidP="00767A6A">
            <w:pPr>
              <w:pStyle w:val="Tabletext"/>
              <w:keepNext/>
              <w:keepLines/>
              <w:jc w:val="left"/>
              <w:rPr>
                <w:lang w:val="es-ES_tradnl"/>
              </w:rPr>
            </w:pPr>
            <w:r w:rsidRPr="008B7A21">
              <w:rPr>
                <w:lang w:val="es-ES_tradnl"/>
              </w:rPr>
              <w:t>2 GHz – para servicios de comunicaciones personales (PCS)</w:t>
            </w:r>
          </w:p>
        </w:tc>
        <w:tc>
          <w:tcPr>
            <w:tcW w:w="2324" w:type="dxa"/>
          </w:tcPr>
          <w:p w14:paraId="30E4D030" w14:textId="77777777" w:rsidR="00F73D5B" w:rsidRPr="008B7A21" w:rsidRDefault="00F73D5B" w:rsidP="00767A6A">
            <w:pPr>
              <w:pStyle w:val="Tabletext"/>
              <w:keepNext/>
              <w:keepLines/>
              <w:jc w:val="center"/>
              <w:rPr>
                <w:lang w:val="es-ES_tradnl"/>
              </w:rPr>
            </w:pPr>
            <w:r w:rsidRPr="008B7A21">
              <w:rPr>
                <w:lang w:val="es-ES_tradnl"/>
              </w:rPr>
              <w:t>52/62</w:t>
            </w:r>
          </w:p>
        </w:tc>
        <w:tc>
          <w:tcPr>
            <w:tcW w:w="1191" w:type="dxa"/>
          </w:tcPr>
          <w:p w14:paraId="55137E0E" w14:textId="77777777" w:rsidR="00F73D5B" w:rsidRPr="008B7A21" w:rsidRDefault="00F73D5B" w:rsidP="00767A6A">
            <w:pPr>
              <w:pStyle w:val="Tabletext"/>
              <w:keepNext/>
              <w:keepLines/>
              <w:jc w:val="center"/>
              <w:rPr>
                <w:lang w:val="es-ES_tradnl"/>
              </w:rPr>
            </w:pPr>
            <w:r w:rsidRPr="008B7A21">
              <w:rPr>
                <w:lang w:val="es-ES_tradnl"/>
              </w:rPr>
              <w:t>5</w:t>
            </w:r>
          </w:p>
        </w:tc>
      </w:tr>
      <w:tr w:rsidR="00F73D5B" w:rsidRPr="008B7A21" w14:paraId="0A156339" w14:textId="77777777" w:rsidTr="00767A6A">
        <w:trPr>
          <w:jc w:val="center"/>
        </w:trPr>
        <w:tc>
          <w:tcPr>
            <w:tcW w:w="1077" w:type="dxa"/>
          </w:tcPr>
          <w:p w14:paraId="59909143" w14:textId="77777777" w:rsidR="00F73D5B" w:rsidRPr="008B7A21" w:rsidRDefault="00F73D5B" w:rsidP="00767A6A">
            <w:pPr>
              <w:pStyle w:val="Tabletext"/>
              <w:keepNext/>
              <w:keepLines/>
              <w:jc w:val="center"/>
              <w:rPr>
                <w:lang w:val="es-ES_tradnl"/>
              </w:rPr>
            </w:pPr>
            <w:r w:rsidRPr="008B7A21">
              <w:rPr>
                <w:lang w:val="es-ES_tradnl"/>
              </w:rPr>
              <w:t>3</w:t>
            </w:r>
          </w:p>
        </w:tc>
        <w:tc>
          <w:tcPr>
            <w:tcW w:w="1020" w:type="dxa"/>
          </w:tcPr>
          <w:p w14:paraId="1A218CE9" w14:textId="77777777" w:rsidR="00F73D5B" w:rsidRPr="008B7A21" w:rsidRDefault="00F73D5B" w:rsidP="00767A6A">
            <w:pPr>
              <w:pStyle w:val="Tabletext"/>
              <w:keepNext/>
              <w:keepLines/>
              <w:jc w:val="center"/>
              <w:rPr>
                <w:lang w:val="es-ES_tradnl"/>
              </w:rPr>
            </w:pPr>
            <w:r w:rsidRPr="008B7A21">
              <w:rPr>
                <w:lang w:val="es-ES_tradnl"/>
              </w:rPr>
              <w:t>2004</w:t>
            </w:r>
          </w:p>
        </w:tc>
        <w:tc>
          <w:tcPr>
            <w:tcW w:w="4025" w:type="dxa"/>
          </w:tcPr>
          <w:p w14:paraId="14278AC2" w14:textId="77777777" w:rsidR="00F73D5B" w:rsidRPr="008B7A21" w:rsidRDefault="00F73D5B" w:rsidP="00767A6A">
            <w:pPr>
              <w:pStyle w:val="Tabletext"/>
              <w:keepNext/>
              <w:keepLines/>
              <w:jc w:val="left"/>
              <w:rPr>
                <w:lang w:val="es-ES_tradnl"/>
              </w:rPr>
            </w:pPr>
            <w:r w:rsidRPr="008B7A21">
              <w:rPr>
                <w:lang w:val="es-ES_tradnl"/>
              </w:rPr>
              <w:t>2,3 y 3,5 GHz</w:t>
            </w:r>
          </w:p>
        </w:tc>
        <w:tc>
          <w:tcPr>
            <w:tcW w:w="2324" w:type="dxa"/>
          </w:tcPr>
          <w:p w14:paraId="4C02EC39" w14:textId="77777777" w:rsidR="00F73D5B" w:rsidRPr="008B7A21" w:rsidRDefault="00F73D5B" w:rsidP="00767A6A">
            <w:pPr>
              <w:pStyle w:val="Tabletext"/>
              <w:keepNext/>
              <w:keepLines/>
              <w:jc w:val="center"/>
              <w:rPr>
                <w:lang w:val="es-ES_tradnl"/>
              </w:rPr>
            </w:pPr>
            <w:r w:rsidRPr="008B7A21">
              <w:rPr>
                <w:lang w:val="es-ES_tradnl"/>
              </w:rPr>
              <w:t>392/848</w:t>
            </w:r>
          </w:p>
        </w:tc>
        <w:tc>
          <w:tcPr>
            <w:tcW w:w="1191" w:type="dxa"/>
          </w:tcPr>
          <w:p w14:paraId="272D25F1" w14:textId="77777777" w:rsidR="00F73D5B" w:rsidRPr="008B7A21" w:rsidRDefault="00F73D5B" w:rsidP="00767A6A">
            <w:pPr>
              <w:pStyle w:val="Tabletext"/>
              <w:keepNext/>
              <w:keepLines/>
              <w:jc w:val="center"/>
              <w:rPr>
                <w:lang w:val="es-ES_tradnl"/>
              </w:rPr>
            </w:pPr>
            <w:r w:rsidRPr="008B7A21">
              <w:rPr>
                <w:lang w:val="es-ES_tradnl"/>
              </w:rPr>
              <w:t>22</w:t>
            </w:r>
          </w:p>
        </w:tc>
      </w:tr>
      <w:tr w:rsidR="00F73D5B" w:rsidRPr="008B7A21" w14:paraId="43AEFDEA" w14:textId="77777777" w:rsidTr="00767A6A">
        <w:trPr>
          <w:jc w:val="center"/>
        </w:trPr>
        <w:tc>
          <w:tcPr>
            <w:tcW w:w="1077" w:type="dxa"/>
          </w:tcPr>
          <w:p w14:paraId="718C3EEC" w14:textId="77777777" w:rsidR="00F73D5B" w:rsidRPr="008B7A21" w:rsidRDefault="00F73D5B" w:rsidP="00767A6A">
            <w:pPr>
              <w:pStyle w:val="Tabletext"/>
              <w:keepNext/>
              <w:keepLines/>
              <w:jc w:val="center"/>
              <w:rPr>
                <w:lang w:val="es-ES_tradnl"/>
              </w:rPr>
            </w:pPr>
            <w:r w:rsidRPr="008B7A21">
              <w:rPr>
                <w:lang w:val="es-ES_tradnl"/>
              </w:rPr>
              <w:t>4</w:t>
            </w:r>
          </w:p>
        </w:tc>
        <w:tc>
          <w:tcPr>
            <w:tcW w:w="1020" w:type="dxa"/>
          </w:tcPr>
          <w:p w14:paraId="2C56CCEF" w14:textId="77777777" w:rsidR="00F73D5B" w:rsidRPr="008B7A21" w:rsidRDefault="00F73D5B" w:rsidP="00767A6A">
            <w:pPr>
              <w:pStyle w:val="Tabletext"/>
              <w:keepNext/>
              <w:keepLines/>
              <w:jc w:val="center"/>
              <w:rPr>
                <w:lang w:val="es-ES_tradnl"/>
              </w:rPr>
            </w:pPr>
            <w:r w:rsidRPr="008B7A21">
              <w:rPr>
                <w:lang w:val="es-ES_tradnl"/>
              </w:rPr>
              <w:t>2004/05</w:t>
            </w:r>
          </w:p>
        </w:tc>
        <w:tc>
          <w:tcPr>
            <w:tcW w:w="4025" w:type="dxa"/>
          </w:tcPr>
          <w:p w14:paraId="1900C791" w14:textId="77777777" w:rsidR="00F73D5B" w:rsidRPr="008B7A21" w:rsidRDefault="00F73D5B" w:rsidP="00767A6A">
            <w:pPr>
              <w:pStyle w:val="Tabletext"/>
              <w:keepNext/>
              <w:keepLines/>
              <w:jc w:val="left"/>
              <w:rPr>
                <w:lang w:val="es-ES_tradnl"/>
              </w:rPr>
            </w:pPr>
            <w:r w:rsidRPr="008B7A21">
              <w:rPr>
                <w:lang w:val="es-ES_tradnl"/>
              </w:rPr>
              <w:t>2,3 y 3,5 GHz</w:t>
            </w:r>
          </w:p>
          <w:p w14:paraId="4DF4B7E1" w14:textId="77777777" w:rsidR="00F73D5B" w:rsidRPr="008B7A21" w:rsidRDefault="00F73D5B" w:rsidP="00767A6A">
            <w:pPr>
              <w:pStyle w:val="Tabletext"/>
              <w:keepNext/>
              <w:keepLines/>
              <w:jc w:val="left"/>
              <w:rPr>
                <w:lang w:val="es-ES_tradnl"/>
              </w:rPr>
            </w:pPr>
            <w:r w:rsidRPr="008B7A21">
              <w:rPr>
                <w:lang w:val="es-ES_tradnl"/>
              </w:rPr>
              <w:t>(Fase 2 – residual)</w:t>
            </w:r>
          </w:p>
        </w:tc>
        <w:tc>
          <w:tcPr>
            <w:tcW w:w="2324" w:type="dxa"/>
          </w:tcPr>
          <w:p w14:paraId="403F010A" w14:textId="77777777" w:rsidR="00F73D5B" w:rsidRPr="008B7A21" w:rsidRDefault="00F73D5B" w:rsidP="00767A6A">
            <w:pPr>
              <w:pStyle w:val="Tabletext"/>
              <w:keepNext/>
              <w:keepLines/>
              <w:jc w:val="center"/>
              <w:rPr>
                <w:lang w:val="es-ES_tradnl"/>
              </w:rPr>
            </w:pPr>
            <w:r w:rsidRPr="008B7A21">
              <w:rPr>
                <w:lang w:val="es-ES_tradnl"/>
              </w:rPr>
              <w:t>450/457</w:t>
            </w:r>
          </w:p>
        </w:tc>
        <w:tc>
          <w:tcPr>
            <w:tcW w:w="1191" w:type="dxa"/>
          </w:tcPr>
          <w:p w14:paraId="4C17AF5A" w14:textId="77777777" w:rsidR="00F73D5B" w:rsidRPr="008B7A21" w:rsidRDefault="00F73D5B" w:rsidP="00767A6A">
            <w:pPr>
              <w:pStyle w:val="Tabletext"/>
              <w:keepNext/>
              <w:keepLines/>
              <w:jc w:val="center"/>
              <w:rPr>
                <w:lang w:val="es-ES_tradnl"/>
              </w:rPr>
            </w:pPr>
            <w:r w:rsidRPr="008B7A21">
              <w:rPr>
                <w:lang w:val="es-ES_tradnl"/>
              </w:rPr>
              <w:t>15</w:t>
            </w:r>
          </w:p>
        </w:tc>
      </w:tr>
      <w:tr w:rsidR="00F73D5B" w:rsidRPr="008B7A21" w14:paraId="2BE050A3" w14:textId="77777777" w:rsidTr="00767A6A">
        <w:trPr>
          <w:jc w:val="center"/>
        </w:trPr>
        <w:tc>
          <w:tcPr>
            <w:tcW w:w="1077" w:type="dxa"/>
          </w:tcPr>
          <w:p w14:paraId="2B4FDB44" w14:textId="77777777" w:rsidR="00F73D5B" w:rsidRPr="008B7A21" w:rsidRDefault="00F73D5B" w:rsidP="00767A6A">
            <w:pPr>
              <w:pStyle w:val="Tabletext"/>
              <w:keepNext/>
              <w:keepLines/>
              <w:jc w:val="center"/>
              <w:rPr>
                <w:lang w:val="es-ES_tradnl"/>
              </w:rPr>
            </w:pPr>
            <w:r w:rsidRPr="008B7A21">
              <w:rPr>
                <w:lang w:val="es-ES_tradnl"/>
              </w:rPr>
              <w:t>5</w:t>
            </w:r>
          </w:p>
        </w:tc>
        <w:tc>
          <w:tcPr>
            <w:tcW w:w="1020" w:type="dxa"/>
          </w:tcPr>
          <w:p w14:paraId="319B90B4" w14:textId="77777777" w:rsidR="00F73D5B" w:rsidRPr="008B7A21" w:rsidRDefault="00F73D5B" w:rsidP="00767A6A">
            <w:pPr>
              <w:pStyle w:val="Tabletext"/>
              <w:keepNext/>
              <w:keepLines/>
              <w:jc w:val="center"/>
              <w:rPr>
                <w:lang w:val="es-ES_tradnl"/>
              </w:rPr>
            </w:pPr>
            <w:r w:rsidRPr="008B7A21">
              <w:rPr>
                <w:lang w:val="es-ES_tradnl"/>
              </w:rPr>
              <w:t>2008</w:t>
            </w:r>
          </w:p>
        </w:tc>
        <w:tc>
          <w:tcPr>
            <w:tcW w:w="4025" w:type="dxa"/>
          </w:tcPr>
          <w:p w14:paraId="380B0A6E" w14:textId="77777777" w:rsidR="00F73D5B" w:rsidRPr="008B7A21" w:rsidRDefault="00F73D5B" w:rsidP="00767A6A">
            <w:pPr>
              <w:pStyle w:val="Tabletext"/>
              <w:keepNext/>
              <w:keepLines/>
              <w:jc w:val="left"/>
              <w:rPr>
                <w:lang w:val="es-ES_tradnl"/>
              </w:rPr>
            </w:pPr>
            <w:r w:rsidRPr="008B7A21">
              <w:rPr>
                <w:lang w:val="es-ES_tradnl"/>
              </w:rPr>
              <w:t>2 GHz – para servicios inalámbricos avanzados (AWS)</w:t>
            </w:r>
          </w:p>
        </w:tc>
        <w:tc>
          <w:tcPr>
            <w:tcW w:w="2324" w:type="dxa"/>
          </w:tcPr>
          <w:p w14:paraId="1A9BEAEA" w14:textId="77777777" w:rsidR="00F73D5B" w:rsidRPr="008B7A21" w:rsidRDefault="00F73D5B" w:rsidP="00767A6A">
            <w:pPr>
              <w:pStyle w:val="Tabletext"/>
              <w:keepNext/>
              <w:keepLines/>
              <w:jc w:val="center"/>
              <w:rPr>
                <w:lang w:val="es-ES_tradnl"/>
              </w:rPr>
            </w:pPr>
            <w:r w:rsidRPr="008B7A21">
              <w:rPr>
                <w:lang w:val="es-ES_tradnl"/>
              </w:rPr>
              <w:t>282/292</w:t>
            </w:r>
          </w:p>
        </w:tc>
        <w:tc>
          <w:tcPr>
            <w:tcW w:w="1191" w:type="dxa"/>
          </w:tcPr>
          <w:p w14:paraId="6A8FDB63" w14:textId="77777777" w:rsidR="00F73D5B" w:rsidRPr="008B7A21" w:rsidRDefault="00F73D5B" w:rsidP="00767A6A">
            <w:pPr>
              <w:pStyle w:val="Tabletext"/>
              <w:keepNext/>
              <w:keepLines/>
              <w:jc w:val="center"/>
              <w:rPr>
                <w:lang w:val="es-ES_tradnl"/>
              </w:rPr>
            </w:pPr>
            <w:r w:rsidRPr="008B7A21">
              <w:rPr>
                <w:lang w:val="es-ES_tradnl"/>
              </w:rPr>
              <w:t>15</w:t>
            </w:r>
          </w:p>
        </w:tc>
      </w:tr>
      <w:tr w:rsidR="00F73D5B" w:rsidRPr="008B7A21" w14:paraId="5E112F1F" w14:textId="77777777" w:rsidTr="00767A6A">
        <w:trPr>
          <w:jc w:val="center"/>
        </w:trPr>
        <w:tc>
          <w:tcPr>
            <w:tcW w:w="1077" w:type="dxa"/>
          </w:tcPr>
          <w:p w14:paraId="578257BA" w14:textId="77777777" w:rsidR="00F73D5B" w:rsidRPr="008B7A21" w:rsidRDefault="00F73D5B" w:rsidP="00767A6A">
            <w:pPr>
              <w:pStyle w:val="Tabletext"/>
              <w:keepNext/>
              <w:keepLines/>
              <w:jc w:val="center"/>
              <w:rPr>
                <w:lang w:val="es-ES_tradnl"/>
              </w:rPr>
            </w:pPr>
            <w:r w:rsidRPr="008B7A21">
              <w:rPr>
                <w:lang w:val="es-ES_tradnl"/>
              </w:rPr>
              <w:t>6</w:t>
            </w:r>
          </w:p>
        </w:tc>
        <w:tc>
          <w:tcPr>
            <w:tcW w:w="1020" w:type="dxa"/>
          </w:tcPr>
          <w:p w14:paraId="3E6C6498" w14:textId="77777777" w:rsidR="00F73D5B" w:rsidRPr="008B7A21" w:rsidRDefault="00F73D5B" w:rsidP="00767A6A">
            <w:pPr>
              <w:pStyle w:val="Tabletext"/>
              <w:keepNext/>
              <w:keepLines/>
              <w:jc w:val="center"/>
              <w:rPr>
                <w:lang w:val="es-ES_tradnl"/>
              </w:rPr>
            </w:pPr>
            <w:r w:rsidRPr="008B7A21">
              <w:rPr>
                <w:lang w:val="es-ES_tradnl"/>
              </w:rPr>
              <w:t>2009</w:t>
            </w:r>
          </w:p>
        </w:tc>
        <w:tc>
          <w:tcPr>
            <w:tcW w:w="4025" w:type="dxa"/>
          </w:tcPr>
          <w:p w14:paraId="5F5BF5E1" w14:textId="77777777" w:rsidR="00F73D5B" w:rsidRPr="008B7A21" w:rsidRDefault="00F73D5B" w:rsidP="00767A6A">
            <w:pPr>
              <w:pStyle w:val="Tabletext"/>
              <w:keepNext/>
              <w:keepLines/>
              <w:jc w:val="left"/>
              <w:rPr>
                <w:lang w:val="es-ES_tradnl"/>
              </w:rPr>
            </w:pPr>
            <w:r w:rsidRPr="008B7A21">
              <w:rPr>
                <w:lang w:val="es-ES_tradnl"/>
              </w:rPr>
              <w:t>849-851 MHz y 894</w:t>
            </w:r>
            <w:r w:rsidRPr="008B7A21">
              <w:rPr>
                <w:lang w:val="es-ES_tradnl"/>
              </w:rPr>
              <w:noBreakHyphen/>
              <w:t>896 MHz para servicios tierra-aire</w:t>
            </w:r>
          </w:p>
        </w:tc>
        <w:tc>
          <w:tcPr>
            <w:tcW w:w="2324" w:type="dxa"/>
          </w:tcPr>
          <w:p w14:paraId="65F4B0B2" w14:textId="77777777" w:rsidR="00F73D5B" w:rsidRPr="008B7A21" w:rsidRDefault="00F73D5B" w:rsidP="00767A6A">
            <w:pPr>
              <w:pStyle w:val="Tabletext"/>
              <w:keepNext/>
              <w:keepLines/>
              <w:jc w:val="center"/>
              <w:rPr>
                <w:lang w:val="es-ES_tradnl"/>
              </w:rPr>
            </w:pPr>
            <w:r w:rsidRPr="008B7A21">
              <w:rPr>
                <w:lang w:val="es-ES_tradnl"/>
              </w:rPr>
              <w:t>2/2</w:t>
            </w:r>
          </w:p>
        </w:tc>
        <w:tc>
          <w:tcPr>
            <w:tcW w:w="1191" w:type="dxa"/>
          </w:tcPr>
          <w:p w14:paraId="772B9572" w14:textId="77777777" w:rsidR="00F73D5B" w:rsidRPr="008B7A21" w:rsidRDefault="00F73D5B" w:rsidP="00767A6A">
            <w:pPr>
              <w:pStyle w:val="Tabletext"/>
              <w:keepNext/>
              <w:keepLines/>
              <w:jc w:val="center"/>
              <w:rPr>
                <w:lang w:val="es-ES_tradnl"/>
              </w:rPr>
            </w:pPr>
            <w:r w:rsidRPr="008B7A21">
              <w:rPr>
                <w:lang w:val="es-ES_tradnl"/>
              </w:rPr>
              <w:t>1</w:t>
            </w:r>
          </w:p>
        </w:tc>
      </w:tr>
      <w:tr w:rsidR="00F73D5B" w:rsidRPr="008B7A21" w14:paraId="27299E36" w14:textId="77777777" w:rsidTr="00767A6A">
        <w:trPr>
          <w:jc w:val="center"/>
        </w:trPr>
        <w:tc>
          <w:tcPr>
            <w:tcW w:w="1077" w:type="dxa"/>
          </w:tcPr>
          <w:p w14:paraId="5449AA14" w14:textId="77777777" w:rsidR="00F73D5B" w:rsidRPr="008B7A21" w:rsidRDefault="00F73D5B" w:rsidP="00767A6A">
            <w:pPr>
              <w:pStyle w:val="Tabletext"/>
              <w:keepNext/>
              <w:keepLines/>
              <w:jc w:val="center"/>
              <w:rPr>
                <w:lang w:val="es-ES_tradnl"/>
              </w:rPr>
            </w:pPr>
            <w:r w:rsidRPr="008B7A21">
              <w:rPr>
                <w:lang w:val="es-ES_tradnl"/>
              </w:rPr>
              <w:t>7</w:t>
            </w:r>
          </w:p>
        </w:tc>
        <w:tc>
          <w:tcPr>
            <w:tcW w:w="1020" w:type="dxa"/>
          </w:tcPr>
          <w:p w14:paraId="290E97BC" w14:textId="77777777" w:rsidR="00F73D5B" w:rsidRPr="008B7A21" w:rsidRDefault="00F73D5B" w:rsidP="00767A6A">
            <w:pPr>
              <w:pStyle w:val="Tabletext"/>
              <w:keepNext/>
              <w:keepLines/>
              <w:jc w:val="center"/>
              <w:rPr>
                <w:lang w:val="es-ES_tradnl"/>
              </w:rPr>
            </w:pPr>
            <w:r w:rsidRPr="008B7A21">
              <w:rPr>
                <w:lang w:val="es-ES_tradnl"/>
              </w:rPr>
              <w:t>2009</w:t>
            </w:r>
          </w:p>
        </w:tc>
        <w:tc>
          <w:tcPr>
            <w:tcW w:w="4025" w:type="dxa"/>
          </w:tcPr>
          <w:p w14:paraId="2FDFD24D" w14:textId="77777777" w:rsidR="00F73D5B" w:rsidRPr="008B7A21" w:rsidRDefault="00F73D5B" w:rsidP="00767A6A">
            <w:pPr>
              <w:pStyle w:val="Tabletext"/>
              <w:keepNext/>
              <w:keepLines/>
              <w:jc w:val="left"/>
              <w:rPr>
                <w:lang w:val="es-ES_tradnl"/>
              </w:rPr>
            </w:pPr>
            <w:r w:rsidRPr="008B7A21">
              <w:rPr>
                <w:lang w:val="es-ES_tradnl"/>
              </w:rPr>
              <w:t>2,3 y 3,5 GHz</w:t>
            </w:r>
          </w:p>
          <w:p w14:paraId="3893A6FE" w14:textId="77777777" w:rsidR="00F73D5B" w:rsidRPr="008B7A21" w:rsidRDefault="00F73D5B" w:rsidP="00767A6A">
            <w:pPr>
              <w:pStyle w:val="Tabletext"/>
              <w:keepNext/>
              <w:keepLines/>
              <w:jc w:val="left"/>
              <w:rPr>
                <w:lang w:val="es-ES_tradnl"/>
              </w:rPr>
            </w:pPr>
            <w:r w:rsidRPr="008B7A21">
              <w:rPr>
                <w:lang w:val="es-ES_tradnl"/>
              </w:rPr>
              <w:t>(Fase 3 – residual)</w:t>
            </w:r>
          </w:p>
        </w:tc>
        <w:tc>
          <w:tcPr>
            <w:tcW w:w="2324" w:type="dxa"/>
          </w:tcPr>
          <w:p w14:paraId="137A4202" w14:textId="77777777" w:rsidR="00F73D5B" w:rsidRPr="008B7A21" w:rsidRDefault="00F73D5B" w:rsidP="00767A6A">
            <w:pPr>
              <w:pStyle w:val="Tabletext"/>
              <w:keepNext/>
              <w:keepLines/>
              <w:jc w:val="center"/>
              <w:rPr>
                <w:lang w:val="es-ES_tradnl"/>
              </w:rPr>
            </w:pPr>
            <w:r w:rsidRPr="008B7A21">
              <w:rPr>
                <w:lang w:val="es-ES_tradnl"/>
              </w:rPr>
              <w:t>10/10</w:t>
            </w:r>
          </w:p>
        </w:tc>
        <w:tc>
          <w:tcPr>
            <w:tcW w:w="1191" w:type="dxa"/>
          </w:tcPr>
          <w:p w14:paraId="5442F123" w14:textId="77777777" w:rsidR="00F73D5B" w:rsidRPr="008B7A21" w:rsidRDefault="00F73D5B" w:rsidP="00767A6A">
            <w:pPr>
              <w:pStyle w:val="Tabletext"/>
              <w:keepNext/>
              <w:keepLines/>
              <w:jc w:val="center"/>
              <w:rPr>
                <w:lang w:val="es-ES_tradnl"/>
              </w:rPr>
            </w:pPr>
            <w:r w:rsidRPr="008B7A21">
              <w:rPr>
                <w:lang w:val="es-ES_tradnl"/>
              </w:rPr>
              <w:t>5</w:t>
            </w:r>
          </w:p>
        </w:tc>
      </w:tr>
    </w:tbl>
    <w:p w14:paraId="02A756F0" w14:textId="77777777" w:rsidR="00F73D5B" w:rsidRPr="008B7A21" w:rsidRDefault="00F73D5B" w:rsidP="00F73D5B">
      <w:pPr>
        <w:pStyle w:val="Tablefin"/>
        <w:rPr>
          <w:lang w:val="es-ES_tradnl"/>
        </w:rPr>
      </w:pPr>
    </w:p>
    <w:p w14:paraId="68BED614" w14:textId="77777777" w:rsidR="00F73D5B" w:rsidRPr="008B7A21" w:rsidRDefault="00F73D5B" w:rsidP="00F73D5B">
      <w:pPr>
        <w:rPr>
          <w:lang w:val="es-ES_tradnl"/>
        </w:rPr>
      </w:pPr>
      <w:r w:rsidRPr="008B7A21">
        <w:rPr>
          <w:lang w:val="es-ES_tradnl"/>
        </w:rPr>
        <w:t>Las licencias obtenidas mediante una subasta se pueden transferir en su totalidad o en parte (divisibilidad) tanto en su dimensión de anchura de banda como en la geográfica a un receptor cualificado. Las licencias subastadas generalmente son válidas durante 10 años con gran probabilidad de renovación al final de ese periodo.</w:t>
      </w:r>
    </w:p>
    <w:p w14:paraId="7C27B380" w14:textId="77777777" w:rsidR="00F73D5B" w:rsidRPr="008B7A21" w:rsidRDefault="00F73D5B" w:rsidP="00F73D5B">
      <w:pPr>
        <w:pStyle w:val="Heading3"/>
        <w:rPr>
          <w:lang w:val="es-ES_tradnl"/>
        </w:rPr>
      </w:pPr>
      <w:bookmarkStart w:id="1754" w:name="_Toc459746727"/>
      <w:bookmarkStart w:id="1755" w:name="_Toc459792658"/>
      <w:bookmarkStart w:id="1756" w:name="_Toc459793824"/>
      <w:bookmarkStart w:id="1757" w:name="_Toc459793966"/>
      <w:bookmarkStart w:id="1758" w:name="_Toc459970428"/>
      <w:bookmarkStart w:id="1759" w:name="_Toc476537871"/>
      <w:bookmarkStart w:id="1760" w:name="_Toc306276884"/>
      <w:bookmarkStart w:id="1761" w:name="_Toc307921557"/>
      <w:bookmarkStart w:id="1762" w:name="_Toc307922124"/>
      <w:bookmarkStart w:id="1763" w:name="_Toc307922667"/>
      <w:bookmarkStart w:id="1764" w:name="_Toc307992016"/>
      <w:bookmarkStart w:id="1765" w:name="_Toc307994051"/>
      <w:bookmarkStart w:id="1766" w:name="_Toc307995271"/>
      <w:bookmarkStart w:id="1767" w:name="_Toc307996457"/>
      <w:bookmarkStart w:id="1768" w:name="_Toc308010390"/>
      <w:bookmarkStart w:id="1769" w:name="_Toc499563095"/>
      <w:bookmarkStart w:id="1770" w:name="_Toc215835430"/>
      <w:r w:rsidRPr="008B7A21">
        <w:rPr>
          <w:lang w:val="es-ES_tradnl"/>
        </w:rPr>
        <w:t>5.1.3</w:t>
      </w:r>
      <w:r w:rsidRPr="008B7A21">
        <w:rPr>
          <w:lang w:val="es-ES_tradnl"/>
        </w:rPr>
        <w:tab/>
      </w:r>
      <w:bookmarkEnd w:id="1754"/>
      <w:bookmarkEnd w:id="1755"/>
      <w:bookmarkEnd w:id="1756"/>
      <w:bookmarkEnd w:id="1757"/>
      <w:bookmarkEnd w:id="1758"/>
      <w:bookmarkEnd w:id="1759"/>
      <w:r w:rsidRPr="008B7A21">
        <w:rPr>
          <w:lang w:val="es-ES_tradnl"/>
        </w:rPr>
        <w:t>Experiencia de la Federación de Rusia con las subastas</w:t>
      </w:r>
      <w:bookmarkEnd w:id="1760"/>
      <w:bookmarkEnd w:id="1761"/>
      <w:bookmarkEnd w:id="1762"/>
      <w:bookmarkEnd w:id="1763"/>
      <w:bookmarkEnd w:id="1764"/>
      <w:bookmarkEnd w:id="1765"/>
      <w:bookmarkEnd w:id="1766"/>
      <w:bookmarkEnd w:id="1767"/>
      <w:bookmarkEnd w:id="1768"/>
      <w:bookmarkEnd w:id="1769"/>
      <w:bookmarkEnd w:id="1770"/>
    </w:p>
    <w:p w14:paraId="1A1E3E79" w14:textId="77777777" w:rsidR="00F73D5B" w:rsidRPr="008B7A21" w:rsidRDefault="00F73D5B" w:rsidP="00F73D5B">
      <w:pPr>
        <w:pStyle w:val="Headingb"/>
        <w:rPr>
          <w:lang w:val="es-ES_tradnl"/>
        </w:rPr>
      </w:pPr>
      <w:bookmarkStart w:id="1771" w:name="_Toc499563096"/>
      <w:bookmarkStart w:id="1772" w:name="_Toc476537872"/>
      <w:bookmarkStart w:id="1773" w:name="_Toc459746729"/>
      <w:bookmarkStart w:id="1774" w:name="_Toc307922668"/>
      <w:bookmarkStart w:id="1775" w:name="_Toc307992017"/>
      <w:bookmarkStart w:id="1776" w:name="_Toc307994052"/>
      <w:bookmarkStart w:id="1777" w:name="_Toc307996458"/>
      <w:r w:rsidRPr="008B7A21">
        <w:rPr>
          <w:lang w:val="es-ES_tradnl"/>
        </w:rPr>
        <w:t>Descripción general del sistema para realizar procesos de licitación (concursos, subastas) en la Federación de Rusia</w:t>
      </w:r>
      <w:bookmarkEnd w:id="1771"/>
    </w:p>
    <w:p w14:paraId="154F5CEF" w14:textId="77777777" w:rsidR="00F73D5B" w:rsidRPr="008B7A21" w:rsidRDefault="00F73D5B" w:rsidP="00F73D5B">
      <w:pPr>
        <w:rPr>
          <w:szCs w:val="24"/>
          <w:lang w:val="es-ES_tradnl"/>
        </w:rPr>
      </w:pPr>
      <w:r w:rsidRPr="008B7A21">
        <w:rPr>
          <w:lang w:val="es-ES_tradnl"/>
        </w:rPr>
        <w:t>En la Federación de Rusia, las cuestiones de formulación y ejecución de políticas y reglamentación estatales en el campo de las comunicaciones (incluido el uso y conversión de espectro radioeléctrico) corresponden al Ministerio de Comunicaciones y Medios de Masas de la Federación de Rusia (</w:t>
      </w:r>
      <w:r w:rsidRPr="008B7A21">
        <w:rPr>
          <w:i/>
          <w:iCs/>
          <w:szCs w:val="24"/>
          <w:lang w:val="es-ES_tradnl"/>
        </w:rPr>
        <w:t>Minkomsvyaz</w:t>
      </w:r>
      <w:r w:rsidRPr="008B7A21">
        <w:rPr>
          <w:lang w:val="es-ES_tradnl"/>
        </w:rPr>
        <w:t>).</w:t>
      </w:r>
    </w:p>
    <w:p w14:paraId="20AD0069" w14:textId="77777777" w:rsidR="00F73D5B" w:rsidRPr="008B7A21" w:rsidRDefault="00F73D5B" w:rsidP="00F73D5B">
      <w:pPr>
        <w:rPr>
          <w:szCs w:val="24"/>
          <w:lang w:val="es-ES_tradnl"/>
        </w:rPr>
      </w:pPr>
      <w:r w:rsidRPr="008B7A21">
        <w:rPr>
          <w:lang w:val="es-ES_tradnl"/>
        </w:rPr>
        <w:t>El marco jurídico para toda actividad en el campo de las comunicaciones en la Federación de Rusia se define en la Ley Federal N.° 126-FZ «De comunicaciones», adoptada en julio de 2003.</w:t>
      </w:r>
    </w:p>
    <w:p w14:paraId="27F58FD7" w14:textId="77777777" w:rsidR="00F73D5B" w:rsidRPr="008B7A21" w:rsidRDefault="00F73D5B" w:rsidP="00F73D5B">
      <w:pPr>
        <w:rPr>
          <w:szCs w:val="24"/>
          <w:lang w:val="es-ES_tradnl"/>
        </w:rPr>
      </w:pPr>
      <w:r w:rsidRPr="008B7A21">
        <w:rPr>
          <w:lang w:val="es-ES_tradnl"/>
        </w:rPr>
        <w:t>De conformidad con lo dispuesto en el Artículo 29 de esa Ley, las actividades comerciales relativas a la prestación de servicios de comunicación requieren una licencia adecuada emitida por una autoridad ejecutiva federal competente sobre la base de los resultados de un examen de las solicitudes recibidas.</w:t>
      </w:r>
    </w:p>
    <w:p w14:paraId="129C00D4" w14:textId="77777777" w:rsidR="00F73D5B" w:rsidRPr="008B7A21" w:rsidRDefault="00F73D5B" w:rsidP="00F73D5B">
      <w:pPr>
        <w:rPr>
          <w:szCs w:val="24"/>
          <w:lang w:val="es-ES_tradnl"/>
        </w:rPr>
      </w:pPr>
      <w:r w:rsidRPr="008B7A21">
        <w:rPr>
          <w:lang w:val="es-ES_tradnl"/>
        </w:rPr>
        <w:t>En el Artículo 31 figuran disposiciones para los casos en los que se concede una licencia para prestar servicios de telecomunicaciones sobre la base de procesos de licitación. Uno de esos casos se caracteriza por las siguientes condiciones:</w:t>
      </w:r>
    </w:p>
    <w:p w14:paraId="05D870B4" w14:textId="77777777" w:rsidR="00F73D5B" w:rsidRPr="008B7A21" w:rsidRDefault="00F73D5B" w:rsidP="00F73D5B">
      <w:pPr>
        <w:pStyle w:val="enumlev1"/>
        <w:rPr>
          <w:szCs w:val="24"/>
          <w:lang w:val="es-ES_tradnl"/>
        </w:rPr>
      </w:pPr>
      <w:r w:rsidRPr="008B7A21">
        <w:rPr>
          <w:lang w:val="es-ES_tradnl"/>
        </w:rPr>
        <w:t>–</w:t>
      </w:r>
      <w:r w:rsidRPr="008B7A21">
        <w:rPr>
          <w:lang w:val="es-ES_tradnl"/>
        </w:rPr>
        <w:tab/>
        <w:t>los servicios de comunicación deben prestarse utilizando el espectro de frecuencias radioeléctricas;</w:t>
      </w:r>
    </w:p>
    <w:p w14:paraId="5B6858E5" w14:textId="77777777" w:rsidR="00F73D5B" w:rsidRPr="008B7A21" w:rsidRDefault="00F73D5B" w:rsidP="00F73D5B">
      <w:pPr>
        <w:pStyle w:val="enumlev1"/>
        <w:rPr>
          <w:szCs w:val="24"/>
          <w:lang w:val="es-ES_tradnl"/>
        </w:rPr>
      </w:pPr>
      <w:r w:rsidRPr="008B7A21">
        <w:rPr>
          <w:lang w:val="es-ES_tradnl"/>
        </w:rPr>
        <w:t>–</w:t>
      </w:r>
      <w:r w:rsidRPr="008B7A21">
        <w:rPr>
          <w:lang w:val="es-ES_tradnl"/>
        </w:rPr>
        <w:tab/>
        <w:t>la Comisión de Radiofrecuencia Estatal determina que el espectro disponible para servicios de comunicación restringe el número posible de operadores en un territorio concreto.</w:t>
      </w:r>
    </w:p>
    <w:p w14:paraId="4D27292D" w14:textId="6A4643A0" w:rsidR="00F73D5B" w:rsidRPr="008B7A21" w:rsidRDefault="00F73D5B" w:rsidP="00F73D5B">
      <w:pPr>
        <w:rPr>
          <w:rFonts w:eastAsia="Calibri"/>
          <w:szCs w:val="24"/>
          <w:lang w:val="es-ES_tradnl"/>
        </w:rPr>
      </w:pPr>
      <w:r w:rsidRPr="008B7A21">
        <w:rPr>
          <w:lang w:val="es-ES_tradnl"/>
        </w:rPr>
        <w:t>En el mismo Artículo se dispone que el procedimiento para realizar el proceso de licitación lo determina el Gobierno de la Federación de Rusia. La Orden Gubernamental N.° 8 del 12 de enero de 2006 sobre «Reglamentación de procesos de licitación (subastas, concursos) para la adquisición de licencias para la prestación de servicios de comunicación» se promulgó para aplicar esa disposición. El instrumento en cuestión proporciona dos tipos de procesos de licitación: subastas y concursos (Cuadro 2). Las licitaciones por licencias para prestar servicios de comunicación utilizando el espectro de frecuencias radioeléctricas se realizan mediante subastas si el espectro que se utilizará para prestar servicios de comunicación no se atribuye a los servicios radioeléctricos y/o no se utiliza por sistemas radioeléctricos de ningún propósito designado. En otros casos, las licitaciones para licencias de servicio de comunicación se realizan en forma de concurso.</w:t>
      </w:r>
    </w:p>
    <w:p w14:paraId="726370F8" w14:textId="77777777" w:rsidR="00F73D5B" w:rsidRPr="008B7A21" w:rsidRDefault="00F73D5B" w:rsidP="00F73D5B">
      <w:pPr>
        <w:keepNext/>
        <w:keepLines/>
        <w:rPr>
          <w:rFonts w:eastAsia="Calibri"/>
          <w:szCs w:val="24"/>
          <w:lang w:val="es-ES_tradnl"/>
        </w:rPr>
      </w:pPr>
      <w:r w:rsidRPr="008B7A21">
        <w:rPr>
          <w:lang w:val="es-ES_tradnl"/>
        </w:rPr>
        <w:t>El organizador del proceso de licitación es el Servicio Federal de Supervisión de Comunicaciones, Tecnología de la Información y Medios de Comunicación, que:</w:t>
      </w:r>
    </w:p>
    <w:p w14:paraId="6BF1E130" w14:textId="77777777" w:rsidR="00F73D5B" w:rsidRPr="008B7A21" w:rsidRDefault="00F73D5B" w:rsidP="00F73D5B">
      <w:pPr>
        <w:pStyle w:val="enumlev1"/>
        <w:rPr>
          <w:szCs w:val="24"/>
          <w:lang w:val="es-ES_tradnl"/>
        </w:rPr>
      </w:pPr>
      <w:r w:rsidRPr="008B7A21">
        <w:rPr>
          <w:lang w:val="es-ES_tradnl"/>
        </w:rPr>
        <w:t>–</w:t>
      </w:r>
      <w:r w:rsidRPr="008B7A21">
        <w:rPr>
          <w:lang w:val="es-ES_tradnl"/>
        </w:rPr>
        <w:tab/>
        <w:t>determina el procedimiento, lugar, fecha y hora para iniciar y finalizar el proceso de recepción de solicitudes para participar en la licitación;</w:t>
      </w:r>
    </w:p>
    <w:p w14:paraId="3958DB75" w14:textId="77777777" w:rsidR="00F73D5B" w:rsidRPr="008B7A21" w:rsidRDefault="00F73D5B" w:rsidP="00F73D5B">
      <w:pPr>
        <w:pStyle w:val="enumlev1"/>
        <w:rPr>
          <w:szCs w:val="24"/>
          <w:lang w:val="es-ES_tradnl"/>
        </w:rPr>
      </w:pPr>
      <w:r w:rsidRPr="008B7A21">
        <w:rPr>
          <w:lang w:val="es-ES_tradnl"/>
        </w:rPr>
        <w:t>–</w:t>
      </w:r>
      <w:r w:rsidRPr="008B7A21">
        <w:rPr>
          <w:lang w:val="es-ES_tradnl"/>
        </w:rPr>
        <w:tab/>
        <w:t>organiza la preparación y publicación de anuncios del proceso de licitación, licitaciones repetidas si es necesario, anulación de licitación, conclusión de licitación y cancelación;</w:t>
      </w:r>
    </w:p>
    <w:p w14:paraId="20E7FC6F" w14:textId="77777777" w:rsidR="00F73D5B" w:rsidRPr="008B7A21" w:rsidRDefault="00F73D5B" w:rsidP="00F73D5B">
      <w:pPr>
        <w:pStyle w:val="enumlev1"/>
        <w:rPr>
          <w:szCs w:val="24"/>
          <w:lang w:val="es-ES_tradnl"/>
        </w:rPr>
      </w:pPr>
      <w:r w:rsidRPr="008B7A21">
        <w:rPr>
          <w:lang w:val="es-ES_tradnl"/>
        </w:rPr>
        <w:t>–</w:t>
      </w:r>
      <w:r w:rsidRPr="008B7A21">
        <w:rPr>
          <w:lang w:val="es-ES_tradnl"/>
        </w:rPr>
        <w:tab/>
        <w:t>proporciona aclaraciones relativas a documentos que deben remitirse en el plazo permitido;</w:t>
      </w:r>
    </w:p>
    <w:p w14:paraId="7ECBFB7F" w14:textId="77777777" w:rsidR="00F73D5B" w:rsidRPr="008B7A21" w:rsidRDefault="00F73D5B" w:rsidP="00F73D5B">
      <w:pPr>
        <w:pStyle w:val="enumlev1"/>
        <w:rPr>
          <w:szCs w:val="24"/>
          <w:lang w:val="es-ES_tradnl"/>
        </w:rPr>
      </w:pPr>
      <w:r w:rsidRPr="008B7A21">
        <w:rPr>
          <w:lang w:val="es-ES_tradnl"/>
        </w:rPr>
        <w:t>–</w:t>
      </w:r>
      <w:r w:rsidRPr="008B7A21">
        <w:rPr>
          <w:lang w:val="es-ES_tradnl"/>
        </w:rPr>
        <w:tab/>
        <w:t>concluye acuerdos sobre depósitos;</w:t>
      </w:r>
    </w:p>
    <w:p w14:paraId="727C3AC8" w14:textId="77777777" w:rsidR="00F73D5B" w:rsidRPr="008B7A21" w:rsidRDefault="00F73D5B" w:rsidP="00F73D5B">
      <w:pPr>
        <w:pStyle w:val="enumlev1"/>
        <w:rPr>
          <w:szCs w:val="24"/>
          <w:lang w:val="es-ES_tradnl"/>
        </w:rPr>
      </w:pPr>
      <w:r w:rsidRPr="008B7A21">
        <w:rPr>
          <w:lang w:val="es-ES_tradnl"/>
        </w:rPr>
        <w:t>–</w:t>
      </w:r>
      <w:r w:rsidRPr="008B7A21">
        <w:rPr>
          <w:lang w:val="es-ES_tradnl"/>
        </w:rPr>
        <w:tab/>
        <w:t>vela por la custodia de las solicitudes registradas y la documentación adjunta y por la confidencialidad de los datos que figuran en ellas;</w:t>
      </w:r>
    </w:p>
    <w:p w14:paraId="22E81068" w14:textId="77777777" w:rsidR="00F73D5B" w:rsidRPr="008B7A21" w:rsidRDefault="00F73D5B" w:rsidP="00F73D5B">
      <w:pPr>
        <w:pStyle w:val="enumlev1"/>
        <w:rPr>
          <w:szCs w:val="24"/>
          <w:lang w:val="es-ES_tradnl"/>
        </w:rPr>
      </w:pPr>
      <w:r w:rsidRPr="008B7A21">
        <w:rPr>
          <w:lang w:val="es-ES_tradnl"/>
        </w:rPr>
        <w:t>–</w:t>
      </w:r>
      <w:r w:rsidRPr="008B7A21">
        <w:rPr>
          <w:lang w:val="es-ES_tradnl"/>
        </w:rPr>
        <w:tab/>
        <w:t>crea una comisión para llevar a cabo la licitación que opera en el plazo del proceso de licitación y aprueba su membresía;</w:t>
      </w:r>
    </w:p>
    <w:p w14:paraId="3BCA2219" w14:textId="77777777" w:rsidR="00F73D5B" w:rsidRPr="008B7A21" w:rsidRDefault="00F73D5B" w:rsidP="00F73D5B">
      <w:pPr>
        <w:pStyle w:val="enumlev1"/>
        <w:rPr>
          <w:szCs w:val="24"/>
          <w:lang w:val="es-ES_tradnl"/>
        </w:rPr>
      </w:pPr>
      <w:r w:rsidRPr="008B7A21">
        <w:rPr>
          <w:lang w:val="es-ES_tradnl"/>
        </w:rPr>
        <w:t>–</w:t>
      </w:r>
      <w:r w:rsidRPr="008B7A21">
        <w:rPr>
          <w:lang w:val="es-ES_tradnl"/>
        </w:rPr>
        <w:tab/>
        <w:t>vela por las condiciones técnicas y organizativas necesarias para que opere la comisión;</w:t>
      </w:r>
    </w:p>
    <w:p w14:paraId="548AFB63" w14:textId="77777777" w:rsidR="00F73D5B" w:rsidRPr="008B7A21" w:rsidRDefault="00F73D5B" w:rsidP="00F73D5B">
      <w:pPr>
        <w:pStyle w:val="enumlev1"/>
        <w:rPr>
          <w:szCs w:val="24"/>
          <w:lang w:val="es-ES_tradnl"/>
        </w:rPr>
      </w:pPr>
      <w:r w:rsidRPr="008B7A21">
        <w:rPr>
          <w:lang w:val="es-ES_tradnl"/>
        </w:rPr>
        <w:t>–</w:t>
      </w:r>
      <w:r w:rsidRPr="008B7A21">
        <w:rPr>
          <w:lang w:val="es-ES_tradnl"/>
        </w:rPr>
        <w:tab/>
        <w:t>adopta otras medidas necesarias relativas a la organización de la licitación.</w:t>
      </w:r>
    </w:p>
    <w:p w14:paraId="72DAEACA" w14:textId="77777777" w:rsidR="00F73D5B" w:rsidRPr="008B7A21" w:rsidRDefault="00F73D5B" w:rsidP="00F73D5B">
      <w:pPr>
        <w:keepNext/>
        <w:keepLines/>
        <w:rPr>
          <w:szCs w:val="24"/>
          <w:lang w:val="es-ES_tradnl"/>
        </w:rPr>
      </w:pPr>
      <w:r w:rsidRPr="008B7A21">
        <w:rPr>
          <w:lang w:val="es-ES_tradnl"/>
        </w:rPr>
        <w:t>La Comisión previamente mencionada es la encargada de:</w:t>
      </w:r>
    </w:p>
    <w:p w14:paraId="536E41D1" w14:textId="77777777" w:rsidR="00F73D5B" w:rsidRPr="008B7A21" w:rsidRDefault="00F73D5B" w:rsidP="00F73D5B">
      <w:pPr>
        <w:pStyle w:val="enumlev1"/>
        <w:rPr>
          <w:szCs w:val="24"/>
          <w:lang w:val="es-ES_tradnl"/>
        </w:rPr>
      </w:pPr>
      <w:r w:rsidRPr="008B7A21">
        <w:rPr>
          <w:lang w:val="es-ES_tradnl"/>
        </w:rPr>
        <w:t>–</w:t>
      </w:r>
      <w:r w:rsidRPr="008B7A21">
        <w:rPr>
          <w:lang w:val="es-ES_tradnl"/>
        </w:rPr>
        <w:tab/>
        <w:t>decidir sobre las solicitudes recibidas;</w:t>
      </w:r>
    </w:p>
    <w:p w14:paraId="47DFC146" w14:textId="77777777" w:rsidR="00F73D5B" w:rsidRPr="008B7A21" w:rsidRDefault="00F73D5B" w:rsidP="00F73D5B">
      <w:pPr>
        <w:pStyle w:val="enumlev1"/>
        <w:rPr>
          <w:szCs w:val="24"/>
          <w:lang w:val="es-ES_tradnl"/>
        </w:rPr>
      </w:pPr>
      <w:r w:rsidRPr="008B7A21">
        <w:rPr>
          <w:lang w:val="es-ES_tradnl"/>
        </w:rPr>
        <w:t>–</w:t>
      </w:r>
      <w:r w:rsidRPr="008B7A21">
        <w:rPr>
          <w:lang w:val="es-ES_tradnl"/>
        </w:rPr>
        <w:tab/>
        <w:t>examinar y evaluar propuestas de los licitadores;</w:t>
      </w:r>
    </w:p>
    <w:p w14:paraId="6E0665CE" w14:textId="77777777" w:rsidR="00F73D5B" w:rsidRPr="008B7A21" w:rsidRDefault="00F73D5B" w:rsidP="00F73D5B">
      <w:pPr>
        <w:pStyle w:val="enumlev1"/>
        <w:rPr>
          <w:szCs w:val="24"/>
          <w:lang w:val="es-ES_tradnl"/>
        </w:rPr>
      </w:pPr>
      <w:r w:rsidRPr="008B7A21">
        <w:rPr>
          <w:lang w:val="es-ES_tradnl"/>
        </w:rPr>
        <w:t>–</w:t>
      </w:r>
      <w:r w:rsidRPr="008B7A21">
        <w:rPr>
          <w:lang w:val="es-ES_tradnl"/>
        </w:rPr>
        <w:tab/>
        <w:t>determinar el licitador ganador y presentar los resultados del proceso de licitación;</w:t>
      </w:r>
    </w:p>
    <w:p w14:paraId="067C85B4" w14:textId="77777777" w:rsidR="00F73D5B" w:rsidRPr="008B7A21" w:rsidRDefault="00F73D5B" w:rsidP="00F73D5B">
      <w:pPr>
        <w:pStyle w:val="enumlev1"/>
        <w:rPr>
          <w:szCs w:val="24"/>
          <w:lang w:val="es-ES_tradnl"/>
        </w:rPr>
      </w:pPr>
      <w:r w:rsidRPr="008B7A21">
        <w:rPr>
          <w:lang w:val="es-ES_tradnl"/>
        </w:rPr>
        <w:t>–</w:t>
      </w:r>
      <w:r w:rsidRPr="008B7A21">
        <w:rPr>
          <w:lang w:val="es-ES_tradnl"/>
        </w:rPr>
        <w:tab/>
        <w:t>adoptar otras medidas necesarias en relación con el proceso de licitación.</w:t>
      </w:r>
    </w:p>
    <w:p w14:paraId="7221F339" w14:textId="77777777" w:rsidR="00F73D5B" w:rsidRPr="008B7A21" w:rsidRDefault="00F73D5B" w:rsidP="00F73D5B">
      <w:pPr>
        <w:rPr>
          <w:szCs w:val="24"/>
          <w:lang w:val="es-ES_tradnl"/>
        </w:rPr>
      </w:pPr>
      <w:r w:rsidRPr="008B7A21">
        <w:rPr>
          <w:lang w:val="es-ES_tradnl"/>
        </w:rPr>
        <w:t>La participación en las licitaciones está abierta a las personas físicas y jurídicas que cumplen los requisitos establecidos en el anuncio publicado. Algunos de esos requisitos son: una fecha límite para la presentación de solicitudes, una lista de documentos que debe remitir el solicitante y una suma de dinero que el licitador tiene que pagar en el plazo definido.</w:t>
      </w:r>
    </w:p>
    <w:p w14:paraId="1B7CD1B0" w14:textId="77777777" w:rsidR="00F73D5B" w:rsidRPr="008B7A21" w:rsidRDefault="00F73D5B" w:rsidP="00F73D5B">
      <w:pPr>
        <w:rPr>
          <w:szCs w:val="24"/>
          <w:lang w:val="es-ES_tradnl"/>
        </w:rPr>
      </w:pPr>
      <w:r w:rsidRPr="008B7A21">
        <w:rPr>
          <w:lang w:val="es-ES_tradnl"/>
        </w:rPr>
        <w:t>En el caso de un proceso de licitación mediante concurso, los sobres sellados con propuestas a concurso de los licitadores se abren en una reunión pública de la Comisión el día y a la hora indicadas en el anuncio público. Una vez abiertos los sobres y leídas las propuestas, la Comisión se retira a deliberar y a valorar las propuestas. El ganador es el licitador que ofrece a la Comisión las mejores condiciones.</w:t>
      </w:r>
    </w:p>
    <w:p w14:paraId="1E8509B5" w14:textId="77777777" w:rsidR="00F73D5B" w:rsidRPr="008B7A21" w:rsidRDefault="00F73D5B" w:rsidP="00F73D5B">
      <w:pPr>
        <w:rPr>
          <w:szCs w:val="24"/>
          <w:lang w:val="es-ES_tradnl"/>
        </w:rPr>
      </w:pPr>
      <w:r w:rsidRPr="008B7A21">
        <w:rPr>
          <w:lang w:val="es-ES_tradnl"/>
        </w:rPr>
        <w:t xml:space="preserve">En el caso de un proceso de licitación mediante subasta, en el anuncio inicial se indica el precio de reserva para el objeto de licitación, el incremento en la puja y las condiciones del acuerdo de depósito. El precio de reserva se basa en una estimación del evaluador. El organizador del proceso de licitación celebra un acuerdo con el evaluador. La cantidad del depósito no puede exceder el 25 del precio de reserva. Esa suma se retiene como parte del pago de lote para el licitador ganador, y se devuelve a los demás licitadores a los diez días laborales de la fecha en que se firma el informe oficial sobre los resultados de la subasta. Se invita a un subastador a realizar la subasta y para ello se celebra un contrato con él. El ganador es la persona que ofrece el precio más alto por el lote, a condición de que el precio propuesto no sea inferior al precio de reserva establecido en el anuncio original. </w:t>
      </w:r>
    </w:p>
    <w:p w14:paraId="70D22424" w14:textId="77777777" w:rsidR="00F73D5B" w:rsidRPr="008B7A21" w:rsidRDefault="00F73D5B" w:rsidP="00F73D5B">
      <w:pPr>
        <w:rPr>
          <w:szCs w:val="24"/>
          <w:lang w:val="es-ES_tradnl"/>
        </w:rPr>
      </w:pPr>
      <w:r w:rsidRPr="008B7A21">
        <w:rPr>
          <w:lang w:val="es-ES_tradnl"/>
        </w:rPr>
        <w:t>De conformidad con lo dispuesto en el Artículo 31 de la Ley, al licitador ganador, independientemente de la forma del proceso de licitación, se le otorga una licencia y se le atribuyen las frecuencias radioeléctricas correspondientes.</w:t>
      </w:r>
    </w:p>
    <w:p w14:paraId="48C16C8B" w14:textId="77777777" w:rsidR="00F73D5B" w:rsidRPr="008B7A21" w:rsidRDefault="00F73D5B" w:rsidP="00F73D5B">
      <w:pPr>
        <w:rPr>
          <w:szCs w:val="24"/>
          <w:lang w:val="es-ES_tradnl"/>
        </w:rPr>
      </w:pPr>
      <w:r w:rsidRPr="008B7A21">
        <w:rPr>
          <w:lang w:val="es-ES_tradnl"/>
        </w:rPr>
        <w:t>La Orden Gubernamental N.° 8 del 12 de enero de 2006 ha sido sustituida por la Orden Gubernamental N.° 480 del 24 de mayo de 2014 «Sobre procesos de licitación (subastas, concursos) para la concesión de licencias para la prestación de servicios de comunicación», en la que se aprobó el reglamento vigente de realización de licitaciones. En comparación con la versión previa se realizaron las modificaciones siguientes al reglamento:</w:t>
      </w:r>
    </w:p>
    <w:p w14:paraId="3F6DE6E4" w14:textId="28635645" w:rsidR="00F73D5B" w:rsidRPr="008B7A21" w:rsidRDefault="00F73D5B" w:rsidP="00F73D5B">
      <w:pPr>
        <w:pStyle w:val="enumlev1"/>
        <w:rPr>
          <w:szCs w:val="24"/>
          <w:lang w:val="es-ES_tradnl"/>
        </w:rPr>
      </w:pPr>
      <w:r w:rsidRPr="008B7A21">
        <w:rPr>
          <w:lang w:val="es-ES_tradnl"/>
        </w:rPr>
        <w:t>–</w:t>
      </w:r>
      <w:r w:rsidRPr="008B7A21">
        <w:rPr>
          <w:lang w:val="es-ES_tradnl"/>
        </w:rPr>
        <w:tab/>
        <w:t>Los procesos de licitación para licencias en áreas donde el número de operadores está limitado por la disponibilidad del espectro para su uso en servicios de comunicaciones se realizarán exclusivamente en forma de subasta (Cuadro 16).</w:t>
      </w:r>
    </w:p>
    <w:p w14:paraId="763F7CDC" w14:textId="77777777" w:rsidR="00F73D5B" w:rsidRPr="008B7A21" w:rsidRDefault="00F73D5B" w:rsidP="00F73D5B">
      <w:pPr>
        <w:pStyle w:val="enumlev1"/>
        <w:rPr>
          <w:szCs w:val="24"/>
          <w:lang w:val="es-ES_tradnl"/>
        </w:rPr>
      </w:pPr>
      <w:r w:rsidRPr="008B7A21">
        <w:rPr>
          <w:lang w:val="es-ES_tradnl"/>
        </w:rPr>
        <w:t>–</w:t>
      </w:r>
      <w:r w:rsidRPr="008B7A21">
        <w:rPr>
          <w:lang w:val="es-ES_tradnl"/>
        </w:rPr>
        <w:tab/>
        <w:t>El precio de reserva para el objeto de subasta puede determinarse sobre la base de las conclusiones del evaluador invitado para tal fin o en virtud de una metodología establecida para tal fin.</w:t>
      </w:r>
    </w:p>
    <w:p w14:paraId="7CA6016C" w14:textId="77777777" w:rsidR="00F73D5B" w:rsidRPr="008B7A21" w:rsidRDefault="00F73D5B" w:rsidP="00F73D5B">
      <w:pPr>
        <w:pStyle w:val="enumlev1"/>
        <w:rPr>
          <w:szCs w:val="24"/>
          <w:lang w:val="es-ES_tradnl"/>
        </w:rPr>
      </w:pPr>
      <w:r w:rsidRPr="008B7A21">
        <w:rPr>
          <w:lang w:val="es-ES_tradnl"/>
        </w:rPr>
        <w:t>–</w:t>
      </w:r>
      <w:r w:rsidRPr="008B7A21">
        <w:rPr>
          <w:lang w:val="es-ES_tradnl"/>
        </w:rPr>
        <w:tab/>
        <w:t>Se puede celebrar una subasta electrónica. En esos casos, el Servicio Federal de Supervisión de Comunicaciones, Tecnología de la Información y Medios de Comunicaciones establece y gestiona una plataforma electrónica de licitación o celebra un acuerdo sobre el proceso de licitación con el operador de plataforma electrónica (mercado electrónico).</w:t>
      </w:r>
    </w:p>
    <w:p w14:paraId="07919608" w14:textId="47CE06EA" w:rsidR="00F73D5B" w:rsidRPr="008B7A21" w:rsidRDefault="00F73D5B" w:rsidP="00F73D5B">
      <w:pPr>
        <w:pStyle w:val="TableNo"/>
        <w:rPr>
          <w:lang w:val="es-ES_tradnl"/>
        </w:rPr>
      </w:pPr>
      <w:r w:rsidRPr="008B7A21">
        <w:rPr>
          <w:lang w:val="es-ES_tradnl"/>
        </w:rPr>
        <w:t>CUADRO 16</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8"/>
        <w:gridCol w:w="3855"/>
        <w:gridCol w:w="3855"/>
      </w:tblGrid>
      <w:tr w:rsidR="00F73D5B" w:rsidRPr="008B7A21" w14:paraId="467AFDC8" w14:textId="77777777" w:rsidTr="00767A6A">
        <w:trPr>
          <w:jc w:val="center"/>
        </w:trPr>
        <w:tc>
          <w:tcPr>
            <w:tcW w:w="1928" w:type="dxa"/>
            <w:vMerge w:val="restart"/>
            <w:vAlign w:val="center"/>
          </w:tcPr>
          <w:p w14:paraId="773565E1" w14:textId="77777777" w:rsidR="00F73D5B" w:rsidRPr="008B7A21" w:rsidRDefault="00F73D5B" w:rsidP="00767A6A">
            <w:pPr>
              <w:pStyle w:val="Tablehead"/>
              <w:tabs>
                <w:tab w:val="left" w:pos="1871"/>
              </w:tabs>
              <w:rPr>
                <w:lang w:val="es-ES_tradnl"/>
              </w:rPr>
            </w:pPr>
            <w:r w:rsidRPr="008B7A21">
              <w:rPr>
                <w:lang w:val="es-ES_tradnl"/>
              </w:rPr>
              <w:t xml:space="preserve">Tipo de proceso de licitación </w:t>
            </w:r>
          </w:p>
        </w:tc>
        <w:tc>
          <w:tcPr>
            <w:tcW w:w="7710" w:type="dxa"/>
            <w:gridSpan w:val="2"/>
          </w:tcPr>
          <w:p w14:paraId="569252B0" w14:textId="77777777" w:rsidR="00F73D5B" w:rsidRPr="008B7A21" w:rsidRDefault="00F73D5B" w:rsidP="00767A6A">
            <w:pPr>
              <w:pStyle w:val="Tablehead"/>
              <w:tabs>
                <w:tab w:val="left" w:pos="1871"/>
              </w:tabs>
              <w:rPr>
                <w:lang w:val="es-ES_tradnl"/>
              </w:rPr>
            </w:pPr>
            <w:r w:rsidRPr="008B7A21">
              <w:rPr>
                <w:lang w:val="es-ES_tradnl"/>
              </w:rPr>
              <w:t xml:space="preserve">Cuando se utiliza </w:t>
            </w:r>
          </w:p>
        </w:tc>
      </w:tr>
      <w:tr w:rsidR="00F73D5B" w:rsidRPr="008B7A21" w14:paraId="1B670784" w14:textId="77777777" w:rsidTr="00767A6A">
        <w:trPr>
          <w:jc w:val="center"/>
        </w:trPr>
        <w:tc>
          <w:tcPr>
            <w:tcW w:w="1928" w:type="dxa"/>
            <w:vMerge/>
          </w:tcPr>
          <w:p w14:paraId="7766C54F" w14:textId="77777777" w:rsidR="00F73D5B" w:rsidRPr="008B7A21" w:rsidRDefault="00F73D5B" w:rsidP="00767A6A">
            <w:pPr>
              <w:pStyle w:val="Tablehead"/>
              <w:tabs>
                <w:tab w:val="left" w:pos="1871"/>
              </w:tabs>
              <w:rPr>
                <w:lang w:val="es-ES_tradnl"/>
              </w:rPr>
            </w:pPr>
          </w:p>
        </w:tc>
        <w:tc>
          <w:tcPr>
            <w:tcW w:w="3855" w:type="dxa"/>
          </w:tcPr>
          <w:p w14:paraId="3CAC57DE" w14:textId="77777777" w:rsidR="00F73D5B" w:rsidRPr="008B7A21" w:rsidRDefault="00F73D5B" w:rsidP="00767A6A">
            <w:pPr>
              <w:pStyle w:val="Tablehead"/>
              <w:tabs>
                <w:tab w:val="left" w:pos="1871"/>
              </w:tabs>
              <w:rPr>
                <w:lang w:val="es-ES_tradnl"/>
              </w:rPr>
            </w:pPr>
            <w:r w:rsidRPr="008B7A21">
              <w:rPr>
                <w:lang w:val="es-ES_tradnl"/>
              </w:rPr>
              <w:t>2006</w:t>
            </w:r>
            <w:r w:rsidRPr="008B7A21">
              <w:rPr>
                <w:lang w:val="es-ES_tradnl"/>
              </w:rPr>
              <w:noBreakHyphen/>
              <w:t>2014</w:t>
            </w:r>
          </w:p>
        </w:tc>
        <w:tc>
          <w:tcPr>
            <w:tcW w:w="3855" w:type="dxa"/>
          </w:tcPr>
          <w:p w14:paraId="3AB3B657" w14:textId="77777777" w:rsidR="00F73D5B" w:rsidRPr="008B7A21" w:rsidRDefault="00F73D5B" w:rsidP="00767A6A">
            <w:pPr>
              <w:pStyle w:val="Tablehead"/>
              <w:tabs>
                <w:tab w:val="left" w:pos="1871"/>
              </w:tabs>
              <w:rPr>
                <w:lang w:val="es-ES_tradnl"/>
              </w:rPr>
            </w:pPr>
            <w:r w:rsidRPr="008B7A21">
              <w:rPr>
                <w:lang w:val="es-ES_tradnl"/>
              </w:rPr>
              <w:t>2014 – presente</w:t>
            </w:r>
          </w:p>
        </w:tc>
      </w:tr>
      <w:tr w:rsidR="00F73D5B" w:rsidRPr="008B7A21" w14:paraId="21257FA9" w14:textId="77777777" w:rsidTr="00767A6A">
        <w:trPr>
          <w:jc w:val="center"/>
        </w:trPr>
        <w:tc>
          <w:tcPr>
            <w:tcW w:w="1928" w:type="dxa"/>
          </w:tcPr>
          <w:p w14:paraId="5A98199C" w14:textId="77777777" w:rsidR="00F73D5B" w:rsidRPr="008B7A21" w:rsidRDefault="00F73D5B" w:rsidP="00767A6A">
            <w:pPr>
              <w:pStyle w:val="Tabletext"/>
              <w:tabs>
                <w:tab w:val="left" w:pos="1871"/>
              </w:tabs>
              <w:rPr>
                <w:lang w:val="es-ES_tradnl"/>
              </w:rPr>
            </w:pPr>
            <w:r w:rsidRPr="008B7A21">
              <w:rPr>
                <w:lang w:val="es-ES_tradnl"/>
              </w:rPr>
              <w:t>Concurso</w:t>
            </w:r>
          </w:p>
        </w:tc>
        <w:tc>
          <w:tcPr>
            <w:tcW w:w="3855" w:type="dxa"/>
          </w:tcPr>
          <w:p w14:paraId="181B5A87" w14:textId="77777777" w:rsidR="00F73D5B" w:rsidRPr="008B7A21" w:rsidRDefault="00F73D5B" w:rsidP="00767A6A">
            <w:pPr>
              <w:pStyle w:val="Tabletext"/>
              <w:tabs>
                <w:tab w:val="left" w:pos="1871"/>
              </w:tabs>
              <w:jc w:val="left"/>
              <w:rPr>
                <w:lang w:val="es-ES_tradnl"/>
              </w:rPr>
            </w:pPr>
            <w:r w:rsidRPr="008B7A21">
              <w:rPr>
                <w:lang w:val="es-ES_tradnl"/>
              </w:rPr>
              <w:t>Todos los casos diferentes para los que se requiere una subasta de conformidad con la reglamentación vigente</w:t>
            </w:r>
          </w:p>
        </w:tc>
        <w:tc>
          <w:tcPr>
            <w:tcW w:w="3855" w:type="dxa"/>
          </w:tcPr>
          <w:p w14:paraId="6C6CB340" w14:textId="77777777" w:rsidR="00F73D5B" w:rsidRPr="008B7A21" w:rsidRDefault="00F73D5B" w:rsidP="00767A6A">
            <w:pPr>
              <w:pStyle w:val="Tabletext"/>
              <w:tabs>
                <w:tab w:val="left" w:pos="1871"/>
              </w:tabs>
              <w:rPr>
                <w:lang w:val="es-ES_tradnl"/>
              </w:rPr>
            </w:pPr>
            <w:r w:rsidRPr="008B7A21">
              <w:rPr>
                <w:lang w:val="es-ES_tradnl"/>
              </w:rPr>
              <w:t>No hay disposición</w:t>
            </w:r>
          </w:p>
        </w:tc>
      </w:tr>
      <w:tr w:rsidR="00F73D5B" w:rsidRPr="008B7A21" w14:paraId="171192BF" w14:textId="77777777" w:rsidTr="00767A6A">
        <w:trPr>
          <w:jc w:val="center"/>
        </w:trPr>
        <w:tc>
          <w:tcPr>
            <w:tcW w:w="1928" w:type="dxa"/>
          </w:tcPr>
          <w:p w14:paraId="369F2EF7" w14:textId="77777777" w:rsidR="00F73D5B" w:rsidRPr="008B7A21" w:rsidRDefault="00F73D5B" w:rsidP="00767A6A">
            <w:pPr>
              <w:pStyle w:val="Tabletext"/>
              <w:tabs>
                <w:tab w:val="left" w:pos="1871"/>
              </w:tabs>
              <w:rPr>
                <w:lang w:val="es-ES_tradnl"/>
              </w:rPr>
            </w:pPr>
            <w:r w:rsidRPr="008B7A21">
              <w:rPr>
                <w:lang w:val="es-ES_tradnl"/>
              </w:rPr>
              <w:t>Subasta</w:t>
            </w:r>
          </w:p>
        </w:tc>
        <w:tc>
          <w:tcPr>
            <w:tcW w:w="3855" w:type="dxa"/>
          </w:tcPr>
          <w:p w14:paraId="13D998E4" w14:textId="77777777" w:rsidR="00F73D5B" w:rsidRPr="008B7A21" w:rsidRDefault="00F73D5B" w:rsidP="00767A6A">
            <w:pPr>
              <w:pStyle w:val="Tabletext"/>
              <w:tabs>
                <w:tab w:val="left" w:pos="1871"/>
              </w:tabs>
              <w:jc w:val="left"/>
              <w:rPr>
                <w:lang w:val="es-ES_tradnl"/>
              </w:rPr>
            </w:pPr>
            <w:r w:rsidRPr="008B7A21">
              <w:rPr>
                <w:lang w:val="es-ES_tradnl"/>
              </w:rPr>
              <w:t>Cuando el espectro que se va a utilizar para prestar servicios de comunicación no se atribuye a servicios radioeléctricos y/o no se utiliza mediante sistemas radioeléctricos de ningún propósito</w:t>
            </w:r>
          </w:p>
        </w:tc>
        <w:tc>
          <w:tcPr>
            <w:tcW w:w="3855" w:type="dxa"/>
          </w:tcPr>
          <w:p w14:paraId="1DCB3088" w14:textId="77777777" w:rsidR="00F73D5B" w:rsidRPr="008B7A21" w:rsidRDefault="00F73D5B" w:rsidP="00767A6A">
            <w:pPr>
              <w:pStyle w:val="Tabletext"/>
              <w:tabs>
                <w:tab w:val="left" w:pos="1871"/>
              </w:tabs>
              <w:jc w:val="left"/>
              <w:rPr>
                <w:lang w:val="es-ES_tradnl"/>
              </w:rPr>
            </w:pPr>
            <w:r w:rsidRPr="008B7A21">
              <w:rPr>
                <w:lang w:val="es-ES_tradnl"/>
              </w:rPr>
              <w:t>Subasta únicamente; cuando el número de operadores en el territorio donde están previstos los servicios está limitado por la disponibilidad del espectro radioeléctrico a utilizar en servicios de comunicación</w:t>
            </w:r>
          </w:p>
        </w:tc>
      </w:tr>
    </w:tbl>
    <w:p w14:paraId="18376BDA" w14:textId="77777777" w:rsidR="00F73D5B" w:rsidRPr="008B7A21" w:rsidRDefault="00F73D5B" w:rsidP="00F73D5B">
      <w:pPr>
        <w:pStyle w:val="Tablefin"/>
        <w:rPr>
          <w:lang w:val="es-ES_tradnl"/>
        </w:rPr>
      </w:pPr>
      <w:bookmarkStart w:id="1778" w:name="_Toc454284962"/>
      <w:bookmarkStart w:id="1779" w:name="_Toc462234131"/>
      <w:bookmarkStart w:id="1780" w:name="_Toc499563097"/>
    </w:p>
    <w:p w14:paraId="21314218" w14:textId="77777777" w:rsidR="00F73D5B" w:rsidRPr="008B7A21" w:rsidRDefault="00F73D5B" w:rsidP="00F73D5B">
      <w:pPr>
        <w:pStyle w:val="Headingb"/>
        <w:rPr>
          <w:lang w:val="es-ES_tradnl"/>
        </w:rPr>
      </w:pPr>
      <w:r w:rsidRPr="008B7A21">
        <w:rPr>
          <w:lang w:val="es-ES_tradnl"/>
        </w:rPr>
        <w:t>La experiencia de la Federación de Rusia en la realización de concursos de licencias para la prestación de servicios de comunicación utilizando el espectro de radiofrecuencias</w:t>
      </w:r>
      <w:bookmarkEnd w:id="1778"/>
      <w:bookmarkEnd w:id="1779"/>
      <w:bookmarkEnd w:id="1780"/>
    </w:p>
    <w:p w14:paraId="79C15986" w14:textId="77777777" w:rsidR="00F73D5B" w:rsidRPr="008B7A21" w:rsidRDefault="00F73D5B" w:rsidP="00F73D5B">
      <w:pPr>
        <w:rPr>
          <w:szCs w:val="24"/>
          <w:lang w:val="es-ES_tradnl"/>
        </w:rPr>
      </w:pPr>
      <w:r w:rsidRPr="008B7A21">
        <w:rPr>
          <w:lang w:val="es-ES_tradnl"/>
        </w:rPr>
        <w:t>Los primeros concursos celebrados para la obtención de licencias para la prestación de servicios de comunicaciones utilizando espectro de frecuencias radioeléctricas, de conformidad con el reglamento aprobado por la Orden Gubernamental N.° 8 del 12 de enero de 2006, se celebraron en 2007. Se licitaron tres lotes en la banda de 2 GHz. Cada lote permitió el uso de 15 MHz de espectro para proporcionar los servicios de comunicación IMT</w:t>
      </w:r>
      <w:r w:rsidRPr="008B7A21">
        <w:rPr>
          <w:lang w:val="es-ES_tradnl"/>
        </w:rPr>
        <w:noBreakHyphen/>
        <w:t>2000/UMTS en todo el territorio de la Federación de Rusia. El canon de licencia</w:t>
      </w:r>
      <w:r w:rsidRPr="008B7A21">
        <w:rPr>
          <w:szCs w:val="24"/>
          <w:vertAlign w:val="superscript"/>
          <w:lang w:val="es-ES_tradnl"/>
        </w:rPr>
        <w:footnoteReference w:id="11"/>
      </w:r>
      <w:r w:rsidRPr="008B7A21">
        <w:rPr>
          <w:lang w:val="es-ES_tradnl"/>
        </w:rPr>
        <w:t xml:space="preserve"> para cada lote fue de 2,64 millones de rublos. En el mismo año se organizaron concursos de frecuencias GSM. En ese caso se licitaron cuatro licencias regionales en la banda 900 MHz y 99 licencias regionales en la banda 1 800 MHz. El canon de licencia para cada lote fue de 45 000 rublos. También se celebraron concursos para frecuencias en la banda 1 800 MHz en 2011. En ese caso no hubo canon de licencia pero se establecieron los siguientes requisitos:</w:t>
      </w:r>
    </w:p>
    <w:p w14:paraId="09945C79" w14:textId="77777777" w:rsidR="00F73D5B" w:rsidRPr="008B7A21" w:rsidRDefault="00F73D5B" w:rsidP="00F73D5B">
      <w:pPr>
        <w:pStyle w:val="enumlev1"/>
        <w:keepNext/>
        <w:keepLines/>
        <w:rPr>
          <w:szCs w:val="24"/>
          <w:lang w:val="es-ES_tradnl"/>
        </w:rPr>
      </w:pPr>
      <w:r w:rsidRPr="008B7A21">
        <w:rPr>
          <w:lang w:val="es-ES_tradnl"/>
        </w:rPr>
        <w:t>–</w:t>
      </w:r>
      <w:r w:rsidRPr="008B7A21">
        <w:rPr>
          <w:lang w:val="es-ES_tradnl"/>
        </w:rPr>
        <w:tab/>
        <w:t>Cobertura de población: se concedieron puntos adicionales a los licitadores que ofreciesen servicios móviles a todas las poblaciones con 2 000-100 000 habitantes y, por lo menos, a un 10% de las poblaciones con 200-2 000 habitantes en el territorio del lote en dos a tres años.</w:t>
      </w:r>
    </w:p>
    <w:p w14:paraId="1BAC4BED" w14:textId="77777777" w:rsidR="00F73D5B" w:rsidRPr="008B7A21" w:rsidRDefault="00F73D5B" w:rsidP="00F73D5B">
      <w:pPr>
        <w:pStyle w:val="enumlev1"/>
        <w:rPr>
          <w:szCs w:val="24"/>
          <w:lang w:val="es-ES_tradnl"/>
        </w:rPr>
      </w:pPr>
      <w:r w:rsidRPr="008B7A21">
        <w:rPr>
          <w:lang w:val="es-ES_tradnl"/>
        </w:rPr>
        <w:t>–</w:t>
      </w:r>
      <w:r w:rsidRPr="008B7A21">
        <w:rPr>
          <w:lang w:val="es-ES_tradnl"/>
        </w:rPr>
        <w:tab/>
        <w:t>Inversión en red: se concedieron puntos adicionales a los licitadores con fondos, propios o prestados, suficientes para invertir al menos 1,25 veces el valor mínimo establecido para un lote concreto para cumplir los compromisos de despliegue de red móvil GSM en la banda de 1 800.</w:t>
      </w:r>
    </w:p>
    <w:p w14:paraId="3BE97EE4" w14:textId="77777777" w:rsidR="00F73D5B" w:rsidRPr="008B7A21" w:rsidRDefault="00F73D5B" w:rsidP="00F73D5B">
      <w:pPr>
        <w:pStyle w:val="enumlev1"/>
        <w:rPr>
          <w:szCs w:val="24"/>
          <w:lang w:val="es-ES_tradnl"/>
        </w:rPr>
      </w:pPr>
      <w:r w:rsidRPr="008B7A21">
        <w:rPr>
          <w:lang w:val="es-ES_tradnl"/>
        </w:rPr>
        <w:t>–</w:t>
      </w:r>
      <w:r w:rsidRPr="008B7A21">
        <w:rPr>
          <w:lang w:val="es-ES_tradnl"/>
        </w:rPr>
        <w:tab/>
        <w:t>Fecha límite para el lanzamiento del servicio: no más de dos años a partir de la fecha de la concesión de la licencia.</w:t>
      </w:r>
    </w:p>
    <w:p w14:paraId="07B5C8B9" w14:textId="77777777" w:rsidR="00F73D5B" w:rsidRPr="008B7A21" w:rsidRDefault="00F73D5B" w:rsidP="00F73D5B">
      <w:pPr>
        <w:pStyle w:val="Headingb"/>
        <w:rPr>
          <w:lang w:val="es-ES_tradnl"/>
        </w:rPr>
      </w:pPr>
      <w:bookmarkStart w:id="1781" w:name="_Toc454284963"/>
      <w:bookmarkStart w:id="1782" w:name="_Toc462234132"/>
      <w:bookmarkStart w:id="1783" w:name="_Toc499563098"/>
      <w:r w:rsidRPr="008B7A21">
        <w:rPr>
          <w:lang w:val="es-ES_tradnl"/>
        </w:rPr>
        <w:t>Experiencia de realizar subastas de licencias para prestar servicios de comunicación utilizando espectro radioeléctrico en la Federación de Rusia</w:t>
      </w:r>
      <w:bookmarkEnd w:id="1781"/>
      <w:bookmarkEnd w:id="1782"/>
      <w:bookmarkEnd w:id="1783"/>
    </w:p>
    <w:p w14:paraId="63E21727" w14:textId="044BEDEE" w:rsidR="00F73D5B" w:rsidRPr="008B7A21" w:rsidRDefault="00F73D5B" w:rsidP="00F73D5B">
      <w:pPr>
        <w:rPr>
          <w:szCs w:val="24"/>
          <w:lang w:val="es-ES_tradnl"/>
        </w:rPr>
      </w:pPr>
      <w:r w:rsidRPr="008B7A21">
        <w:rPr>
          <w:lang w:val="es-ES_tradnl"/>
        </w:rPr>
        <w:t>La primera subasta de licencias para prestar servicios de comunicación utilizando espectro radioeléctrico tuvo lugar en otoño de 2015, cuando se subastaron diez lotes regionales. El costo total de licencias calculado a partir de los resultados de la subasta fue de 6 300 millones de rublos. En el Cuadro 17 se muestra información detallada sobre los precios de reserva.</w:t>
      </w:r>
    </w:p>
    <w:p w14:paraId="739F2AFA" w14:textId="763C5292" w:rsidR="00F73D5B" w:rsidRPr="008B7A21" w:rsidRDefault="00F73D5B" w:rsidP="00F73D5B">
      <w:pPr>
        <w:pStyle w:val="TableNo"/>
        <w:rPr>
          <w:lang w:val="es-ES_tradnl"/>
        </w:rPr>
      </w:pPr>
      <w:r w:rsidRPr="008B7A21">
        <w:rPr>
          <w:lang w:val="es-ES_tradnl"/>
        </w:rPr>
        <w:t>CUADRO 17</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4228"/>
        <w:gridCol w:w="1442"/>
        <w:gridCol w:w="1336"/>
        <w:gridCol w:w="1644"/>
      </w:tblGrid>
      <w:tr w:rsidR="00F73D5B" w:rsidRPr="008B7A21" w14:paraId="68A4D9F6" w14:textId="77777777" w:rsidTr="00767A6A">
        <w:trPr>
          <w:trHeight w:val="20"/>
          <w:jc w:val="center"/>
        </w:trPr>
        <w:tc>
          <w:tcPr>
            <w:tcW w:w="988" w:type="dxa"/>
            <w:vAlign w:val="center"/>
          </w:tcPr>
          <w:p w14:paraId="3C40A3AB" w14:textId="77777777" w:rsidR="00F73D5B" w:rsidRPr="008B7A21" w:rsidRDefault="00F73D5B" w:rsidP="00767A6A">
            <w:pPr>
              <w:pStyle w:val="Tablehead"/>
              <w:rPr>
                <w:lang w:val="es-ES_tradnl"/>
              </w:rPr>
            </w:pPr>
            <w:r w:rsidRPr="008B7A21">
              <w:rPr>
                <w:lang w:val="es-ES_tradnl"/>
              </w:rPr>
              <w:t>N.° lote</w:t>
            </w:r>
          </w:p>
        </w:tc>
        <w:tc>
          <w:tcPr>
            <w:tcW w:w="4228" w:type="dxa"/>
            <w:tcBorders>
              <w:bottom w:val="single" w:sz="4" w:space="0" w:color="auto"/>
            </w:tcBorders>
            <w:vAlign w:val="center"/>
          </w:tcPr>
          <w:p w14:paraId="16D3B1DD" w14:textId="77777777" w:rsidR="00F73D5B" w:rsidRPr="008B7A21" w:rsidRDefault="00F73D5B" w:rsidP="00767A6A">
            <w:pPr>
              <w:pStyle w:val="Tablehead"/>
              <w:rPr>
                <w:lang w:val="es-ES_tradnl"/>
              </w:rPr>
            </w:pPr>
            <w:r w:rsidRPr="008B7A21">
              <w:rPr>
                <w:lang w:val="es-ES_tradnl"/>
              </w:rPr>
              <w:t>Territorio</w:t>
            </w:r>
          </w:p>
        </w:tc>
        <w:tc>
          <w:tcPr>
            <w:tcW w:w="1442" w:type="dxa"/>
            <w:vAlign w:val="center"/>
          </w:tcPr>
          <w:p w14:paraId="525B1D7C" w14:textId="77777777" w:rsidR="00F73D5B" w:rsidRPr="008B7A21" w:rsidRDefault="00F73D5B" w:rsidP="00767A6A">
            <w:pPr>
              <w:pStyle w:val="Tablehead"/>
              <w:rPr>
                <w:lang w:val="es-ES_tradnl"/>
              </w:rPr>
            </w:pPr>
            <w:r w:rsidRPr="008B7A21">
              <w:rPr>
                <w:lang w:val="es-ES_tradnl"/>
              </w:rPr>
              <w:t>Tamaño de bloque</w:t>
            </w:r>
          </w:p>
        </w:tc>
        <w:tc>
          <w:tcPr>
            <w:tcW w:w="1336" w:type="dxa"/>
            <w:vAlign w:val="center"/>
          </w:tcPr>
          <w:p w14:paraId="0C8712B7" w14:textId="77777777" w:rsidR="00F73D5B" w:rsidRPr="008B7A21" w:rsidRDefault="00F73D5B" w:rsidP="00767A6A">
            <w:pPr>
              <w:pStyle w:val="Tablehead"/>
              <w:rPr>
                <w:lang w:val="es-ES_tradnl"/>
              </w:rPr>
            </w:pPr>
            <w:r w:rsidRPr="008B7A21">
              <w:rPr>
                <w:lang w:val="es-ES_tradnl"/>
              </w:rPr>
              <w:t>Precio de reserva (millones de rublos)</w:t>
            </w:r>
          </w:p>
        </w:tc>
        <w:tc>
          <w:tcPr>
            <w:tcW w:w="1644" w:type="dxa"/>
            <w:vAlign w:val="center"/>
          </w:tcPr>
          <w:p w14:paraId="34E5A2D7" w14:textId="77777777" w:rsidR="00F73D5B" w:rsidRPr="008B7A21" w:rsidRDefault="00F73D5B" w:rsidP="00767A6A">
            <w:pPr>
              <w:pStyle w:val="Tablehead"/>
              <w:rPr>
                <w:lang w:val="es-ES_tradnl"/>
              </w:rPr>
            </w:pPr>
            <w:r w:rsidRPr="008B7A21">
              <w:rPr>
                <w:lang w:val="es-ES_tradnl"/>
              </w:rPr>
              <w:t>Precio de lote basado en licitación</w:t>
            </w:r>
          </w:p>
        </w:tc>
      </w:tr>
      <w:tr w:rsidR="00F73D5B" w:rsidRPr="008B7A21" w14:paraId="6CEB6DAD" w14:textId="77777777" w:rsidTr="00767A6A">
        <w:trPr>
          <w:trHeight w:val="20"/>
          <w:jc w:val="center"/>
        </w:trPr>
        <w:tc>
          <w:tcPr>
            <w:tcW w:w="988" w:type="dxa"/>
            <w:vAlign w:val="center"/>
          </w:tcPr>
          <w:p w14:paraId="174A93A0" w14:textId="77777777" w:rsidR="00F73D5B" w:rsidRPr="00877B7A" w:rsidRDefault="00F73D5B" w:rsidP="00767A6A">
            <w:pPr>
              <w:pStyle w:val="Tabletext"/>
              <w:jc w:val="left"/>
              <w:rPr>
                <w:lang w:val="es-ES_tradnl"/>
              </w:rPr>
            </w:pPr>
            <w:r w:rsidRPr="00877B7A">
              <w:rPr>
                <w:rStyle w:val="ArialNarrow12pt0pt"/>
                <w:rFonts w:ascii="Times New Roman" w:hAnsi="Times New Roman" w:cs="Times New Roman"/>
                <w:lang w:val="es-ES_tradnl"/>
              </w:rPr>
              <w:t>1</w:t>
            </w:r>
          </w:p>
        </w:tc>
        <w:tc>
          <w:tcPr>
            <w:tcW w:w="4228" w:type="dxa"/>
            <w:vAlign w:val="center"/>
          </w:tcPr>
          <w:p w14:paraId="230E3220" w14:textId="77777777" w:rsidR="00F73D5B" w:rsidRPr="00877B7A" w:rsidRDefault="00F73D5B" w:rsidP="00767A6A">
            <w:pPr>
              <w:pStyle w:val="Tabletext"/>
              <w:jc w:val="left"/>
              <w:rPr>
                <w:lang w:val="es-ES_tradnl"/>
              </w:rPr>
            </w:pPr>
            <w:r w:rsidRPr="00877B7A">
              <w:rPr>
                <w:rStyle w:val="ArialNarrow12pt0pt"/>
                <w:rFonts w:ascii="Times New Roman" w:hAnsi="Times New Roman" w:cs="Times New Roman"/>
                <w:lang w:val="es-ES_tradnl"/>
              </w:rPr>
              <w:t>La República de Dagestán</w:t>
            </w:r>
          </w:p>
        </w:tc>
        <w:tc>
          <w:tcPr>
            <w:tcW w:w="1442" w:type="dxa"/>
            <w:vAlign w:val="center"/>
          </w:tcPr>
          <w:p w14:paraId="72A5B6A9" w14:textId="77777777" w:rsidR="00F73D5B" w:rsidRPr="00877B7A" w:rsidRDefault="00F73D5B" w:rsidP="00767A6A">
            <w:pPr>
              <w:pStyle w:val="Tabletext"/>
              <w:jc w:val="center"/>
              <w:rPr>
                <w:rStyle w:val="ArialNarrow12pt0pt"/>
                <w:rFonts w:ascii="Times New Roman" w:hAnsi="Times New Roman" w:cs="Times New Roman"/>
                <w:lang w:val="es-ES_tradnl"/>
              </w:rPr>
            </w:pPr>
            <w:r w:rsidRPr="00877B7A">
              <w:rPr>
                <w:lang w:val="es-ES_tradnl"/>
              </w:rPr>
              <w:t>2×15 MHz</w:t>
            </w:r>
          </w:p>
        </w:tc>
        <w:tc>
          <w:tcPr>
            <w:tcW w:w="1336" w:type="dxa"/>
            <w:vAlign w:val="center"/>
          </w:tcPr>
          <w:p w14:paraId="5A5D64B5" w14:textId="77777777" w:rsidR="00F73D5B" w:rsidRPr="00877B7A" w:rsidRDefault="00F73D5B" w:rsidP="00767A6A">
            <w:pPr>
              <w:pStyle w:val="Tabletext"/>
              <w:jc w:val="center"/>
              <w:rPr>
                <w:lang w:val="es-ES_tradnl"/>
              </w:rPr>
            </w:pPr>
            <w:r w:rsidRPr="00877B7A">
              <w:rPr>
                <w:rStyle w:val="ArialNarrow12pt0pt"/>
                <w:rFonts w:ascii="Times New Roman" w:hAnsi="Times New Roman" w:cs="Times New Roman"/>
                <w:lang w:val="es-ES_tradnl"/>
              </w:rPr>
              <w:t>240,4</w:t>
            </w:r>
          </w:p>
        </w:tc>
        <w:tc>
          <w:tcPr>
            <w:tcW w:w="1644" w:type="dxa"/>
            <w:vAlign w:val="center"/>
          </w:tcPr>
          <w:p w14:paraId="4BED6293" w14:textId="77777777" w:rsidR="00F73D5B" w:rsidRPr="00877B7A" w:rsidRDefault="00F73D5B" w:rsidP="00767A6A">
            <w:pPr>
              <w:pStyle w:val="Tabletext"/>
              <w:jc w:val="center"/>
              <w:rPr>
                <w:lang w:val="es-ES_tradnl"/>
              </w:rPr>
            </w:pPr>
            <w:r w:rsidRPr="00877B7A">
              <w:rPr>
                <w:rStyle w:val="ArialNarrow12pt0pt"/>
                <w:rFonts w:ascii="Times New Roman" w:hAnsi="Times New Roman" w:cs="Times New Roman"/>
                <w:lang w:val="es-ES_tradnl"/>
              </w:rPr>
              <w:t>1 060,164</w:t>
            </w:r>
          </w:p>
        </w:tc>
      </w:tr>
      <w:tr w:rsidR="00F73D5B" w:rsidRPr="008B7A21" w14:paraId="131F6CB7" w14:textId="77777777" w:rsidTr="00767A6A">
        <w:trPr>
          <w:trHeight w:val="20"/>
          <w:jc w:val="center"/>
        </w:trPr>
        <w:tc>
          <w:tcPr>
            <w:tcW w:w="988" w:type="dxa"/>
            <w:vAlign w:val="center"/>
          </w:tcPr>
          <w:p w14:paraId="1EDB829B" w14:textId="77777777" w:rsidR="00F73D5B" w:rsidRPr="00877B7A" w:rsidRDefault="00F73D5B" w:rsidP="00767A6A">
            <w:pPr>
              <w:pStyle w:val="Tabletext"/>
              <w:jc w:val="left"/>
              <w:rPr>
                <w:lang w:val="es-ES_tradnl"/>
              </w:rPr>
            </w:pPr>
            <w:r w:rsidRPr="00877B7A">
              <w:rPr>
                <w:rStyle w:val="ArialNarrow12pt0pt"/>
                <w:rFonts w:ascii="Times New Roman" w:hAnsi="Times New Roman" w:cs="Times New Roman"/>
                <w:lang w:val="es-ES_tradnl"/>
              </w:rPr>
              <w:t>2</w:t>
            </w:r>
          </w:p>
        </w:tc>
        <w:tc>
          <w:tcPr>
            <w:tcW w:w="4228" w:type="dxa"/>
            <w:vAlign w:val="center"/>
          </w:tcPr>
          <w:p w14:paraId="662E386B" w14:textId="77777777" w:rsidR="00F73D5B" w:rsidRPr="00877B7A" w:rsidRDefault="00F73D5B" w:rsidP="00767A6A">
            <w:pPr>
              <w:pStyle w:val="Tabletext"/>
              <w:jc w:val="left"/>
              <w:rPr>
                <w:lang w:val="es-ES_tradnl"/>
              </w:rPr>
            </w:pPr>
            <w:r w:rsidRPr="00877B7A">
              <w:rPr>
                <w:rStyle w:val="ArialNarrow12pt0pt"/>
                <w:rFonts w:ascii="Times New Roman" w:hAnsi="Times New Roman" w:cs="Times New Roman"/>
                <w:lang w:val="es-ES_tradnl"/>
              </w:rPr>
              <w:t>La República de Karacháyevo-Cherkesia</w:t>
            </w:r>
          </w:p>
        </w:tc>
        <w:tc>
          <w:tcPr>
            <w:tcW w:w="1442" w:type="dxa"/>
            <w:vAlign w:val="center"/>
          </w:tcPr>
          <w:p w14:paraId="16373EFC" w14:textId="77777777" w:rsidR="00F73D5B" w:rsidRPr="00877B7A" w:rsidRDefault="00F73D5B" w:rsidP="00767A6A">
            <w:pPr>
              <w:pStyle w:val="Tabletext"/>
              <w:jc w:val="center"/>
              <w:rPr>
                <w:rStyle w:val="ArialNarrow12pt0pt"/>
                <w:rFonts w:ascii="Times New Roman" w:hAnsi="Times New Roman" w:cs="Times New Roman"/>
                <w:lang w:val="es-ES_tradnl"/>
              </w:rPr>
            </w:pPr>
            <w:r w:rsidRPr="00877B7A">
              <w:rPr>
                <w:lang w:val="es-ES_tradnl"/>
              </w:rPr>
              <w:t>2×13,8 MHz</w:t>
            </w:r>
          </w:p>
        </w:tc>
        <w:tc>
          <w:tcPr>
            <w:tcW w:w="1336" w:type="dxa"/>
            <w:vAlign w:val="center"/>
          </w:tcPr>
          <w:p w14:paraId="6078026A" w14:textId="77777777" w:rsidR="00F73D5B" w:rsidRPr="00877B7A" w:rsidRDefault="00F73D5B" w:rsidP="00767A6A">
            <w:pPr>
              <w:pStyle w:val="Tabletext"/>
              <w:jc w:val="center"/>
              <w:rPr>
                <w:lang w:val="es-ES_tradnl"/>
              </w:rPr>
            </w:pPr>
            <w:r w:rsidRPr="00877B7A">
              <w:rPr>
                <w:rStyle w:val="ArialNarrow12pt0pt"/>
                <w:rFonts w:ascii="Times New Roman" w:hAnsi="Times New Roman" w:cs="Times New Roman"/>
                <w:lang w:val="es-ES_tradnl"/>
              </w:rPr>
              <w:t>31,6</w:t>
            </w:r>
          </w:p>
        </w:tc>
        <w:tc>
          <w:tcPr>
            <w:tcW w:w="1644" w:type="dxa"/>
            <w:vAlign w:val="center"/>
          </w:tcPr>
          <w:p w14:paraId="77019789" w14:textId="77777777" w:rsidR="00F73D5B" w:rsidRPr="00877B7A" w:rsidRDefault="00F73D5B" w:rsidP="00767A6A">
            <w:pPr>
              <w:pStyle w:val="Tabletext"/>
              <w:jc w:val="center"/>
              <w:rPr>
                <w:lang w:val="es-ES_tradnl"/>
              </w:rPr>
            </w:pPr>
            <w:r w:rsidRPr="00877B7A">
              <w:rPr>
                <w:rStyle w:val="ArialNarrow12pt0pt"/>
                <w:rFonts w:ascii="Times New Roman" w:hAnsi="Times New Roman" w:cs="Times New Roman"/>
                <w:lang w:val="es-ES_tradnl"/>
              </w:rPr>
              <w:t>200,344</w:t>
            </w:r>
          </w:p>
        </w:tc>
      </w:tr>
      <w:tr w:rsidR="00F73D5B" w:rsidRPr="008B7A21" w14:paraId="119B92DD" w14:textId="77777777" w:rsidTr="00767A6A">
        <w:trPr>
          <w:trHeight w:val="20"/>
          <w:jc w:val="center"/>
        </w:trPr>
        <w:tc>
          <w:tcPr>
            <w:tcW w:w="988" w:type="dxa"/>
            <w:vAlign w:val="center"/>
          </w:tcPr>
          <w:p w14:paraId="379A6B64" w14:textId="77777777" w:rsidR="00F73D5B" w:rsidRPr="00877B7A" w:rsidRDefault="00F73D5B" w:rsidP="00767A6A">
            <w:pPr>
              <w:pStyle w:val="Tabletext"/>
              <w:jc w:val="left"/>
              <w:rPr>
                <w:lang w:val="es-ES_tradnl"/>
              </w:rPr>
            </w:pPr>
            <w:r w:rsidRPr="00877B7A">
              <w:rPr>
                <w:rStyle w:val="ArialNarrow12pt0pt"/>
                <w:rFonts w:ascii="Times New Roman" w:hAnsi="Times New Roman" w:cs="Times New Roman"/>
                <w:lang w:val="es-ES_tradnl"/>
              </w:rPr>
              <w:t>3</w:t>
            </w:r>
          </w:p>
        </w:tc>
        <w:tc>
          <w:tcPr>
            <w:tcW w:w="4228" w:type="dxa"/>
            <w:vAlign w:val="center"/>
          </w:tcPr>
          <w:p w14:paraId="3A16BD09" w14:textId="77777777" w:rsidR="00F73D5B" w:rsidRPr="00877B7A" w:rsidRDefault="00F73D5B" w:rsidP="00767A6A">
            <w:pPr>
              <w:pStyle w:val="Tabletext"/>
              <w:jc w:val="left"/>
              <w:rPr>
                <w:lang w:val="es-ES_tradnl"/>
              </w:rPr>
            </w:pPr>
            <w:r w:rsidRPr="00877B7A">
              <w:rPr>
                <w:rStyle w:val="ArialNarrow12pt0pt"/>
                <w:rFonts w:ascii="Times New Roman" w:hAnsi="Times New Roman" w:cs="Times New Roman"/>
                <w:lang w:val="es-ES_tradnl"/>
              </w:rPr>
              <w:t>La República de Osetia del Norte-Alania</w:t>
            </w:r>
          </w:p>
        </w:tc>
        <w:tc>
          <w:tcPr>
            <w:tcW w:w="1442" w:type="dxa"/>
            <w:vAlign w:val="center"/>
          </w:tcPr>
          <w:p w14:paraId="155ED6B7" w14:textId="77777777" w:rsidR="00F73D5B" w:rsidRPr="00877B7A" w:rsidRDefault="00F73D5B" w:rsidP="00767A6A">
            <w:pPr>
              <w:pStyle w:val="Tabletext"/>
              <w:jc w:val="center"/>
              <w:rPr>
                <w:lang w:val="es-ES_tradnl"/>
              </w:rPr>
            </w:pPr>
            <w:r w:rsidRPr="00877B7A">
              <w:rPr>
                <w:lang w:val="es-ES_tradnl"/>
              </w:rPr>
              <w:t>2×6,8 MHz</w:t>
            </w:r>
          </w:p>
          <w:p w14:paraId="725FF927" w14:textId="77777777" w:rsidR="00F73D5B" w:rsidRPr="00877B7A" w:rsidRDefault="00F73D5B" w:rsidP="00767A6A">
            <w:pPr>
              <w:pStyle w:val="Tabletext"/>
              <w:jc w:val="center"/>
              <w:rPr>
                <w:rStyle w:val="ArialNarrow12pt0pt"/>
                <w:rFonts w:ascii="Times New Roman" w:hAnsi="Times New Roman" w:cs="Times New Roman"/>
                <w:lang w:val="es-ES_tradnl"/>
              </w:rPr>
            </w:pPr>
            <w:r w:rsidRPr="00877B7A">
              <w:rPr>
                <w:lang w:val="es-ES_tradnl"/>
              </w:rPr>
              <w:t>2×5,2 MHz</w:t>
            </w:r>
          </w:p>
        </w:tc>
        <w:tc>
          <w:tcPr>
            <w:tcW w:w="1336" w:type="dxa"/>
            <w:vAlign w:val="center"/>
          </w:tcPr>
          <w:p w14:paraId="66E642BA" w14:textId="77777777" w:rsidR="00F73D5B" w:rsidRPr="00877B7A" w:rsidRDefault="00F73D5B" w:rsidP="00767A6A">
            <w:pPr>
              <w:pStyle w:val="Tabletext"/>
              <w:jc w:val="center"/>
              <w:rPr>
                <w:lang w:val="es-ES_tradnl"/>
              </w:rPr>
            </w:pPr>
            <w:r w:rsidRPr="00877B7A">
              <w:rPr>
                <w:rStyle w:val="ArialNarrow12pt0pt"/>
                <w:rFonts w:ascii="Times New Roman" w:hAnsi="Times New Roman" w:cs="Times New Roman"/>
                <w:lang w:val="es-ES_tradnl"/>
              </w:rPr>
              <w:t>47,0</w:t>
            </w:r>
          </w:p>
        </w:tc>
        <w:tc>
          <w:tcPr>
            <w:tcW w:w="1644" w:type="dxa"/>
            <w:vAlign w:val="center"/>
          </w:tcPr>
          <w:p w14:paraId="2A9AD9A0" w14:textId="77777777" w:rsidR="00F73D5B" w:rsidRPr="00877B7A" w:rsidRDefault="00F73D5B" w:rsidP="00767A6A">
            <w:pPr>
              <w:pStyle w:val="Tabletext"/>
              <w:jc w:val="center"/>
              <w:rPr>
                <w:lang w:val="es-ES_tradnl"/>
              </w:rPr>
            </w:pPr>
            <w:r w:rsidRPr="00877B7A">
              <w:rPr>
                <w:rStyle w:val="ArialNarrow12pt0pt"/>
                <w:rFonts w:ascii="Times New Roman" w:hAnsi="Times New Roman" w:cs="Times New Roman"/>
                <w:lang w:val="es-ES_tradnl"/>
              </w:rPr>
              <w:t>275,890</w:t>
            </w:r>
          </w:p>
        </w:tc>
      </w:tr>
      <w:tr w:rsidR="00F73D5B" w:rsidRPr="008B7A21" w14:paraId="24B8CACE" w14:textId="77777777" w:rsidTr="00767A6A">
        <w:trPr>
          <w:trHeight w:val="20"/>
          <w:jc w:val="center"/>
        </w:trPr>
        <w:tc>
          <w:tcPr>
            <w:tcW w:w="988" w:type="dxa"/>
            <w:vAlign w:val="center"/>
          </w:tcPr>
          <w:p w14:paraId="185DE38E" w14:textId="77777777" w:rsidR="00F73D5B" w:rsidRPr="00877B7A" w:rsidRDefault="00F73D5B" w:rsidP="00767A6A">
            <w:pPr>
              <w:pStyle w:val="Tabletext"/>
              <w:jc w:val="left"/>
              <w:rPr>
                <w:lang w:val="es-ES_tradnl"/>
              </w:rPr>
            </w:pPr>
            <w:r w:rsidRPr="00877B7A">
              <w:rPr>
                <w:rStyle w:val="ArialNarrow12pt0pt"/>
                <w:rFonts w:ascii="Times New Roman" w:hAnsi="Times New Roman" w:cs="Times New Roman"/>
                <w:lang w:val="es-ES_tradnl"/>
              </w:rPr>
              <w:t>4</w:t>
            </w:r>
          </w:p>
        </w:tc>
        <w:tc>
          <w:tcPr>
            <w:tcW w:w="4228" w:type="dxa"/>
            <w:vAlign w:val="center"/>
          </w:tcPr>
          <w:p w14:paraId="64EF8C0F" w14:textId="77777777" w:rsidR="00F73D5B" w:rsidRPr="00877B7A" w:rsidRDefault="00F73D5B" w:rsidP="00767A6A">
            <w:pPr>
              <w:pStyle w:val="Tabletext"/>
              <w:jc w:val="left"/>
              <w:rPr>
                <w:lang w:val="es-ES_tradnl"/>
              </w:rPr>
            </w:pPr>
            <w:r w:rsidRPr="00877B7A">
              <w:rPr>
                <w:rStyle w:val="ArialNarrow12pt0pt"/>
                <w:rFonts w:ascii="Times New Roman" w:hAnsi="Times New Roman" w:cs="Times New Roman"/>
                <w:lang w:val="es-ES_tradnl"/>
              </w:rPr>
              <w:t>Krai de Stávropol</w:t>
            </w:r>
          </w:p>
        </w:tc>
        <w:tc>
          <w:tcPr>
            <w:tcW w:w="1442" w:type="dxa"/>
            <w:vAlign w:val="center"/>
          </w:tcPr>
          <w:p w14:paraId="54DD149B" w14:textId="77777777" w:rsidR="00F73D5B" w:rsidRPr="00877B7A" w:rsidRDefault="00F73D5B" w:rsidP="00767A6A">
            <w:pPr>
              <w:pStyle w:val="Tabletext"/>
              <w:jc w:val="center"/>
              <w:rPr>
                <w:rStyle w:val="ArialNarrow12pt0pt"/>
                <w:rFonts w:ascii="Times New Roman" w:hAnsi="Times New Roman" w:cs="Times New Roman"/>
                <w:lang w:val="es-ES_tradnl"/>
              </w:rPr>
            </w:pPr>
            <w:r w:rsidRPr="00877B7A">
              <w:rPr>
                <w:lang w:val="es-ES_tradnl"/>
              </w:rPr>
              <w:t>2×13,7 MHz</w:t>
            </w:r>
          </w:p>
        </w:tc>
        <w:tc>
          <w:tcPr>
            <w:tcW w:w="1336" w:type="dxa"/>
            <w:vAlign w:val="center"/>
          </w:tcPr>
          <w:p w14:paraId="406C737F" w14:textId="77777777" w:rsidR="00F73D5B" w:rsidRPr="00877B7A" w:rsidRDefault="00F73D5B" w:rsidP="00767A6A">
            <w:pPr>
              <w:pStyle w:val="Tabletext"/>
              <w:jc w:val="center"/>
              <w:rPr>
                <w:lang w:val="es-ES_tradnl"/>
              </w:rPr>
            </w:pPr>
            <w:r w:rsidRPr="00877B7A">
              <w:rPr>
                <w:rStyle w:val="ArialNarrow12pt0pt"/>
                <w:rFonts w:ascii="Times New Roman" w:hAnsi="Times New Roman" w:cs="Times New Roman"/>
                <w:lang w:val="es-ES_tradnl"/>
              </w:rPr>
              <w:t>210,3</w:t>
            </w:r>
          </w:p>
        </w:tc>
        <w:tc>
          <w:tcPr>
            <w:tcW w:w="1644" w:type="dxa"/>
            <w:vAlign w:val="center"/>
          </w:tcPr>
          <w:p w14:paraId="1B97AC46" w14:textId="77777777" w:rsidR="00F73D5B" w:rsidRPr="00877B7A" w:rsidRDefault="00F73D5B" w:rsidP="00767A6A">
            <w:pPr>
              <w:pStyle w:val="Tabletext"/>
              <w:jc w:val="center"/>
              <w:rPr>
                <w:lang w:val="es-ES_tradnl"/>
              </w:rPr>
            </w:pPr>
            <w:r w:rsidRPr="00877B7A">
              <w:rPr>
                <w:rStyle w:val="ArialNarrow12pt0pt"/>
                <w:rFonts w:ascii="Times New Roman" w:hAnsi="Times New Roman" w:cs="Times New Roman"/>
                <w:lang w:val="es-ES_tradnl"/>
              </w:rPr>
              <w:t>1 701,327</w:t>
            </w:r>
          </w:p>
        </w:tc>
      </w:tr>
      <w:tr w:rsidR="00F73D5B" w:rsidRPr="008B7A21" w14:paraId="772CC8F4" w14:textId="77777777" w:rsidTr="00767A6A">
        <w:trPr>
          <w:trHeight w:val="20"/>
          <w:jc w:val="center"/>
        </w:trPr>
        <w:tc>
          <w:tcPr>
            <w:tcW w:w="988" w:type="dxa"/>
            <w:vAlign w:val="center"/>
          </w:tcPr>
          <w:p w14:paraId="6048FE5A" w14:textId="77777777" w:rsidR="00F73D5B" w:rsidRPr="00877B7A" w:rsidRDefault="00F73D5B" w:rsidP="00767A6A">
            <w:pPr>
              <w:pStyle w:val="Tabletext"/>
              <w:jc w:val="left"/>
              <w:rPr>
                <w:lang w:val="es-ES_tradnl"/>
              </w:rPr>
            </w:pPr>
            <w:r w:rsidRPr="00877B7A">
              <w:rPr>
                <w:rStyle w:val="ArialNarrow12pt0pt"/>
                <w:rFonts w:ascii="Times New Roman" w:hAnsi="Times New Roman" w:cs="Times New Roman"/>
                <w:lang w:val="es-ES_tradnl"/>
              </w:rPr>
              <w:t>5</w:t>
            </w:r>
          </w:p>
        </w:tc>
        <w:tc>
          <w:tcPr>
            <w:tcW w:w="4228" w:type="dxa"/>
            <w:vAlign w:val="center"/>
          </w:tcPr>
          <w:p w14:paraId="6B52A167" w14:textId="77777777" w:rsidR="00F73D5B" w:rsidRPr="00877B7A" w:rsidRDefault="00F73D5B" w:rsidP="00767A6A">
            <w:pPr>
              <w:pStyle w:val="Tabletext"/>
              <w:jc w:val="left"/>
              <w:rPr>
                <w:lang w:val="es-ES_tradnl"/>
              </w:rPr>
            </w:pPr>
            <w:r w:rsidRPr="00877B7A">
              <w:rPr>
                <w:rStyle w:val="ArialNarrow12pt0pt"/>
                <w:rFonts w:ascii="Times New Roman" w:hAnsi="Times New Roman" w:cs="Times New Roman"/>
                <w:lang w:val="es-ES_tradnl"/>
              </w:rPr>
              <w:t>Óblast de Oremburgo</w:t>
            </w:r>
          </w:p>
        </w:tc>
        <w:tc>
          <w:tcPr>
            <w:tcW w:w="1442" w:type="dxa"/>
            <w:vAlign w:val="center"/>
          </w:tcPr>
          <w:p w14:paraId="5C06DD09" w14:textId="77777777" w:rsidR="00F73D5B" w:rsidRPr="00877B7A" w:rsidRDefault="00F73D5B" w:rsidP="00767A6A">
            <w:pPr>
              <w:pStyle w:val="Tabletext"/>
              <w:jc w:val="center"/>
              <w:rPr>
                <w:lang w:val="es-ES_tradnl"/>
              </w:rPr>
            </w:pPr>
            <w:r w:rsidRPr="00877B7A">
              <w:rPr>
                <w:lang w:val="es-ES_tradnl"/>
              </w:rPr>
              <w:t>2×2,8 MHz</w:t>
            </w:r>
          </w:p>
          <w:p w14:paraId="0E5A7C69" w14:textId="77777777" w:rsidR="00F73D5B" w:rsidRPr="00877B7A" w:rsidRDefault="00F73D5B" w:rsidP="00767A6A">
            <w:pPr>
              <w:pStyle w:val="Tabletext"/>
              <w:jc w:val="center"/>
              <w:rPr>
                <w:rStyle w:val="ArialNarrow12pt0pt"/>
                <w:rFonts w:ascii="Times New Roman" w:hAnsi="Times New Roman" w:cs="Times New Roman"/>
                <w:lang w:val="es-ES_tradnl"/>
              </w:rPr>
            </w:pPr>
            <w:r w:rsidRPr="00877B7A">
              <w:rPr>
                <w:lang w:val="es-ES_tradnl"/>
              </w:rPr>
              <w:t>2×6,6 MHz</w:t>
            </w:r>
          </w:p>
        </w:tc>
        <w:tc>
          <w:tcPr>
            <w:tcW w:w="1336" w:type="dxa"/>
            <w:vAlign w:val="center"/>
          </w:tcPr>
          <w:p w14:paraId="40638F54" w14:textId="77777777" w:rsidR="00F73D5B" w:rsidRPr="00877B7A" w:rsidRDefault="00F73D5B" w:rsidP="00767A6A">
            <w:pPr>
              <w:pStyle w:val="Tabletext"/>
              <w:jc w:val="center"/>
              <w:rPr>
                <w:lang w:val="es-ES_tradnl"/>
              </w:rPr>
            </w:pPr>
            <w:r w:rsidRPr="00877B7A">
              <w:rPr>
                <w:rStyle w:val="ArialNarrow12pt0pt"/>
                <w:rFonts w:ascii="Times New Roman" w:hAnsi="Times New Roman" w:cs="Times New Roman"/>
                <w:lang w:val="es-ES_tradnl"/>
              </w:rPr>
              <w:t>66,7</w:t>
            </w:r>
          </w:p>
        </w:tc>
        <w:tc>
          <w:tcPr>
            <w:tcW w:w="1644" w:type="dxa"/>
            <w:vAlign w:val="center"/>
          </w:tcPr>
          <w:p w14:paraId="467E526C" w14:textId="77777777" w:rsidR="00F73D5B" w:rsidRPr="00877B7A" w:rsidRDefault="00F73D5B" w:rsidP="00767A6A">
            <w:pPr>
              <w:pStyle w:val="Tabletext"/>
              <w:jc w:val="center"/>
              <w:rPr>
                <w:lang w:val="es-ES_tradnl"/>
              </w:rPr>
            </w:pPr>
            <w:r w:rsidRPr="00877B7A">
              <w:rPr>
                <w:rStyle w:val="ArialNarrow12pt0pt"/>
                <w:rFonts w:ascii="Times New Roman" w:hAnsi="Times New Roman" w:cs="Times New Roman"/>
                <w:lang w:val="es-ES_tradnl"/>
              </w:rPr>
              <w:t>587,627</w:t>
            </w:r>
          </w:p>
        </w:tc>
      </w:tr>
      <w:tr w:rsidR="00F73D5B" w:rsidRPr="008B7A21" w14:paraId="04061CD3" w14:textId="77777777" w:rsidTr="00767A6A">
        <w:trPr>
          <w:trHeight w:val="20"/>
          <w:jc w:val="center"/>
        </w:trPr>
        <w:tc>
          <w:tcPr>
            <w:tcW w:w="988" w:type="dxa"/>
            <w:vAlign w:val="center"/>
          </w:tcPr>
          <w:p w14:paraId="0C264309" w14:textId="77777777" w:rsidR="00F73D5B" w:rsidRPr="00877B7A" w:rsidRDefault="00F73D5B" w:rsidP="00767A6A">
            <w:pPr>
              <w:pStyle w:val="Tabletext"/>
              <w:jc w:val="left"/>
              <w:rPr>
                <w:lang w:val="es-ES_tradnl"/>
              </w:rPr>
            </w:pPr>
            <w:r w:rsidRPr="00877B7A">
              <w:rPr>
                <w:rStyle w:val="ArialNarrow12pt0pt"/>
                <w:rFonts w:ascii="Times New Roman" w:hAnsi="Times New Roman" w:cs="Times New Roman"/>
                <w:lang w:val="es-ES_tradnl"/>
              </w:rPr>
              <w:t>6</w:t>
            </w:r>
          </w:p>
        </w:tc>
        <w:tc>
          <w:tcPr>
            <w:tcW w:w="4228" w:type="dxa"/>
            <w:vAlign w:val="center"/>
          </w:tcPr>
          <w:p w14:paraId="32E676A1" w14:textId="77777777" w:rsidR="00F73D5B" w:rsidRPr="00877B7A" w:rsidRDefault="00F73D5B" w:rsidP="00767A6A">
            <w:pPr>
              <w:pStyle w:val="Tabletext"/>
              <w:jc w:val="left"/>
              <w:rPr>
                <w:lang w:val="es-ES_tradnl"/>
              </w:rPr>
            </w:pPr>
            <w:r w:rsidRPr="00877B7A">
              <w:rPr>
                <w:rStyle w:val="ArialNarrow12pt0pt"/>
                <w:rFonts w:ascii="Times New Roman" w:hAnsi="Times New Roman" w:cs="Times New Roman"/>
                <w:lang w:val="es-ES_tradnl"/>
              </w:rPr>
              <w:t>Krai de Perm excepto Komi-Permyatski Okrug</w:t>
            </w:r>
          </w:p>
        </w:tc>
        <w:tc>
          <w:tcPr>
            <w:tcW w:w="1442" w:type="dxa"/>
            <w:vAlign w:val="center"/>
          </w:tcPr>
          <w:p w14:paraId="4E61C778" w14:textId="77777777" w:rsidR="00F73D5B" w:rsidRPr="00877B7A" w:rsidRDefault="00F73D5B" w:rsidP="00767A6A">
            <w:pPr>
              <w:pStyle w:val="Tabletext"/>
              <w:jc w:val="center"/>
              <w:rPr>
                <w:lang w:val="es-ES_tradnl"/>
              </w:rPr>
            </w:pPr>
            <w:r w:rsidRPr="00877B7A">
              <w:rPr>
                <w:lang w:val="es-ES_tradnl"/>
              </w:rPr>
              <w:t>2×8 MHz</w:t>
            </w:r>
          </w:p>
          <w:p w14:paraId="182E1D4A" w14:textId="77777777" w:rsidR="00F73D5B" w:rsidRPr="00877B7A" w:rsidRDefault="00F73D5B" w:rsidP="00767A6A">
            <w:pPr>
              <w:pStyle w:val="Tabletext"/>
              <w:jc w:val="center"/>
              <w:rPr>
                <w:lang w:val="es-ES_tradnl"/>
              </w:rPr>
            </w:pPr>
            <w:r w:rsidRPr="00877B7A">
              <w:rPr>
                <w:lang w:val="es-ES_tradnl"/>
              </w:rPr>
              <w:t>2×1,8 MHz</w:t>
            </w:r>
          </w:p>
          <w:p w14:paraId="3C26596E" w14:textId="77777777" w:rsidR="00F73D5B" w:rsidRPr="00877B7A" w:rsidRDefault="00F73D5B" w:rsidP="00767A6A">
            <w:pPr>
              <w:pStyle w:val="Tabletext"/>
              <w:jc w:val="center"/>
              <w:rPr>
                <w:rStyle w:val="ArialNarrow12pt0pt"/>
                <w:rFonts w:ascii="Times New Roman" w:hAnsi="Times New Roman" w:cs="Times New Roman"/>
                <w:lang w:val="es-ES_tradnl"/>
              </w:rPr>
            </w:pPr>
            <w:r w:rsidRPr="00877B7A">
              <w:rPr>
                <w:lang w:val="es-ES_tradnl"/>
              </w:rPr>
              <w:t>2×1 MHz</w:t>
            </w:r>
          </w:p>
        </w:tc>
        <w:tc>
          <w:tcPr>
            <w:tcW w:w="1336" w:type="dxa"/>
            <w:vAlign w:val="center"/>
          </w:tcPr>
          <w:p w14:paraId="2641979F" w14:textId="77777777" w:rsidR="00F73D5B" w:rsidRPr="00877B7A" w:rsidRDefault="00F73D5B" w:rsidP="00767A6A">
            <w:pPr>
              <w:pStyle w:val="Tabletext"/>
              <w:jc w:val="center"/>
              <w:rPr>
                <w:lang w:val="es-ES_tradnl"/>
              </w:rPr>
            </w:pPr>
            <w:r w:rsidRPr="00877B7A">
              <w:rPr>
                <w:rStyle w:val="ArialNarrow12pt0pt"/>
                <w:rFonts w:ascii="Times New Roman" w:hAnsi="Times New Roman" w:cs="Times New Roman"/>
                <w:lang w:val="es-ES_tradnl"/>
              </w:rPr>
              <w:t>183,4</w:t>
            </w:r>
          </w:p>
        </w:tc>
        <w:tc>
          <w:tcPr>
            <w:tcW w:w="1644" w:type="dxa"/>
            <w:vAlign w:val="center"/>
          </w:tcPr>
          <w:p w14:paraId="3D626D41" w14:textId="77777777" w:rsidR="00F73D5B" w:rsidRPr="00877B7A" w:rsidRDefault="00F73D5B" w:rsidP="00767A6A">
            <w:pPr>
              <w:pStyle w:val="Tabletext"/>
              <w:jc w:val="center"/>
              <w:rPr>
                <w:lang w:val="es-ES_tradnl"/>
              </w:rPr>
            </w:pPr>
            <w:r w:rsidRPr="00877B7A">
              <w:rPr>
                <w:rStyle w:val="ArialNarrow12pt0pt"/>
                <w:rFonts w:ascii="Times New Roman" w:hAnsi="Times New Roman" w:cs="Times New Roman"/>
                <w:lang w:val="es-ES_tradnl"/>
              </w:rPr>
              <w:t>744,604</w:t>
            </w:r>
          </w:p>
        </w:tc>
      </w:tr>
      <w:tr w:rsidR="00F73D5B" w:rsidRPr="008B7A21" w14:paraId="401FAB4F" w14:textId="77777777" w:rsidTr="00767A6A">
        <w:trPr>
          <w:trHeight w:val="20"/>
          <w:jc w:val="center"/>
        </w:trPr>
        <w:tc>
          <w:tcPr>
            <w:tcW w:w="988" w:type="dxa"/>
            <w:vAlign w:val="center"/>
          </w:tcPr>
          <w:p w14:paraId="798C85B1" w14:textId="77777777" w:rsidR="00F73D5B" w:rsidRPr="00877B7A" w:rsidRDefault="00F73D5B" w:rsidP="00767A6A">
            <w:pPr>
              <w:pStyle w:val="Tabletext"/>
              <w:jc w:val="left"/>
              <w:rPr>
                <w:lang w:val="es-ES_tradnl"/>
              </w:rPr>
            </w:pPr>
            <w:r w:rsidRPr="00877B7A">
              <w:rPr>
                <w:rStyle w:val="ArialNarrow12pt0pt"/>
                <w:rFonts w:ascii="Times New Roman" w:hAnsi="Times New Roman" w:cs="Times New Roman"/>
                <w:lang w:val="es-ES_tradnl"/>
              </w:rPr>
              <w:t>7</w:t>
            </w:r>
          </w:p>
        </w:tc>
        <w:tc>
          <w:tcPr>
            <w:tcW w:w="4228" w:type="dxa"/>
            <w:vAlign w:val="center"/>
          </w:tcPr>
          <w:p w14:paraId="1EF1DC9A" w14:textId="77777777" w:rsidR="00F73D5B" w:rsidRPr="00877B7A" w:rsidRDefault="00F73D5B" w:rsidP="00767A6A">
            <w:pPr>
              <w:pStyle w:val="Tabletext"/>
              <w:jc w:val="left"/>
              <w:rPr>
                <w:lang w:val="es-ES_tradnl"/>
              </w:rPr>
            </w:pPr>
            <w:r w:rsidRPr="00877B7A">
              <w:rPr>
                <w:rStyle w:val="ArialNarrow12pt0pt"/>
                <w:rFonts w:ascii="Times New Roman" w:hAnsi="Times New Roman" w:cs="Times New Roman"/>
                <w:lang w:val="es-ES_tradnl"/>
              </w:rPr>
              <w:t>Óblast de Samara</w:t>
            </w:r>
          </w:p>
        </w:tc>
        <w:tc>
          <w:tcPr>
            <w:tcW w:w="1442" w:type="dxa"/>
            <w:vAlign w:val="center"/>
          </w:tcPr>
          <w:p w14:paraId="3FA8B8D1" w14:textId="77777777" w:rsidR="00F73D5B" w:rsidRPr="00877B7A" w:rsidRDefault="00F73D5B" w:rsidP="00767A6A">
            <w:pPr>
              <w:pStyle w:val="Tabletext"/>
              <w:jc w:val="center"/>
              <w:rPr>
                <w:rStyle w:val="ArialNarrow12pt0pt"/>
                <w:rFonts w:ascii="Times New Roman" w:hAnsi="Times New Roman" w:cs="Times New Roman"/>
                <w:lang w:val="es-ES_tradnl"/>
              </w:rPr>
            </w:pPr>
            <w:r w:rsidRPr="00877B7A">
              <w:rPr>
                <w:lang w:val="es-ES_tradnl"/>
              </w:rPr>
              <w:t>2×7,6 MHz</w:t>
            </w:r>
          </w:p>
        </w:tc>
        <w:tc>
          <w:tcPr>
            <w:tcW w:w="1336" w:type="dxa"/>
            <w:vAlign w:val="center"/>
          </w:tcPr>
          <w:p w14:paraId="46C6FE98" w14:textId="77777777" w:rsidR="00F73D5B" w:rsidRPr="00877B7A" w:rsidRDefault="00F73D5B" w:rsidP="00767A6A">
            <w:pPr>
              <w:pStyle w:val="Tabletext"/>
              <w:jc w:val="center"/>
              <w:rPr>
                <w:lang w:val="es-ES_tradnl"/>
              </w:rPr>
            </w:pPr>
            <w:r w:rsidRPr="00877B7A">
              <w:rPr>
                <w:rStyle w:val="ArialNarrow12pt0pt"/>
                <w:rFonts w:ascii="Times New Roman" w:hAnsi="Times New Roman" w:cs="Times New Roman"/>
                <w:lang w:val="es-ES_tradnl"/>
              </w:rPr>
              <w:t>101,2</w:t>
            </w:r>
          </w:p>
        </w:tc>
        <w:tc>
          <w:tcPr>
            <w:tcW w:w="1644" w:type="dxa"/>
            <w:vAlign w:val="center"/>
          </w:tcPr>
          <w:p w14:paraId="5B21F0CC" w14:textId="77777777" w:rsidR="00F73D5B" w:rsidRPr="00877B7A" w:rsidRDefault="00F73D5B" w:rsidP="00767A6A">
            <w:pPr>
              <w:pStyle w:val="Tabletext"/>
              <w:jc w:val="center"/>
              <w:rPr>
                <w:lang w:val="es-ES_tradnl"/>
              </w:rPr>
            </w:pPr>
            <w:r w:rsidRPr="00877B7A">
              <w:rPr>
                <w:rStyle w:val="ArialNarrow12pt0pt"/>
                <w:rFonts w:ascii="Times New Roman" w:hAnsi="Times New Roman" w:cs="Times New Roman"/>
                <w:lang w:val="es-ES_tradnl"/>
              </w:rPr>
              <w:t>1 082,840</w:t>
            </w:r>
          </w:p>
        </w:tc>
      </w:tr>
      <w:tr w:rsidR="00F73D5B" w:rsidRPr="008B7A21" w14:paraId="44C1FC88" w14:textId="77777777" w:rsidTr="00767A6A">
        <w:trPr>
          <w:trHeight w:val="20"/>
          <w:jc w:val="center"/>
        </w:trPr>
        <w:tc>
          <w:tcPr>
            <w:tcW w:w="988" w:type="dxa"/>
            <w:vAlign w:val="center"/>
          </w:tcPr>
          <w:p w14:paraId="19FBD071" w14:textId="77777777" w:rsidR="00F73D5B" w:rsidRPr="00877B7A" w:rsidRDefault="00F73D5B" w:rsidP="00767A6A">
            <w:pPr>
              <w:pStyle w:val="Tabletext"/>
              <w:jc w:val="left"/>
              <w:rPr>
                <w:lang w:val="es-ES_tradnl"/>
              </w:rPr>
            </w:pPr>
            <w:r w:rsidRPr="00877B7A">
              <w:rPr>
                <w:rStyle w:val="ArialNarrow12pt0pt"/>
                <w:rFonts w:ascii="Times New Roman" w:hAnsi="Times New Roman" w:cs="Times New Roman"/>
                <w:lang w:val="es-ES_tradnl"/>
              </w:rPr>
              <w:t>8</w:t>
            </w:r>
          </w:p>
        </w:tc>
        <w:tc>
          <w:tcPr>
            <w:tcW w:w="4228" w:type="dxa"/>
            <w:vAlign w:val="center"/>
          </w:tcPr>
          <w:p w14:paraId="6C783140" w14:textId="77777777" w:rsidR="00F73D5B" w:rsidRPr="00877B7A" w:rsidRDefault="00F73D5B" w:rsidP="00767A6A">
            <w:pPr>
              <w:pStyle w:val="Tabletext"/>
              <w:jc w:val="left"/>
              <w:rPr>
                <w:lang w:val="es-ES_tradnl"/>
              </w:rPr>
            </w:pPr>
            <w:r w:rsidRPr="00877B7A">
              <w:rPr>
                <w:rStyle w:val="ArialNarrow12pt0pt"/>
                <w:rFonts w:ascii="Times New Roman" w:hAnsi="Times New Roman" w:cs="Times New Roman"/>
                <w:lang w:val="es-ES_tradnl"/>
              </w:rPr>
              <w:t>Komi-Permyatski Okrug, Krai de Perm</w:t>
            </w:r>
          </w:p>
        </w:tc>
        <w:tc>
          <w:tcPr>
            <w:tcW w:w="1442" w:type="dxa"/>
            <w:vAlign w:val="center"/>
          </w:tcPr>
          <w:p w14:paraId="5A0658E9" w14:textId="77777777" w:rsidR="00F73D5B" w:rsidRPr="00877B7A" w:rsidRDefault="00F73D5B" w:rsidP="00767A6A">
            <w:pPr>
              <w:pStyle w:val="Tabletext"/>
              <w:jc w:val="center"/>
              <w:rPr>
                <w:rStyle w:val="ArialNarrow12pt0pt"/>
                <w:rFonts w:ascii="Times New Roman" w:hAnsi="Times New Roman" w:cs="Times New Roman"/>
                <w:lang w:val="es-ES_tradnl"/>
              </w:rPr>
            </w:pPr>
            <w:r w:rsidRPr="00877B7A">
              <w:rPr>
                <w:lang w:val="es-ES_tradnl"/>
              </w:rPr>
              <w:t>2×1 MHz</w:t>
            </w:r>
          </w:p>
        </w:tc>
        <w:tc>
          <w:tcPr>
            <w:tcW w:w="1336" w:type="dxa"/>
            <w:vAlign w:val="center"/>
          </w:tcPr>
          <w:p w14:paraId="408DDBCE" w14:textId="77777777" w:rsidR="00F73D5B" w:rsidRPr="00877B7A" w:rsidRDefault="00F73D5B" w:rsidP="00767A6A">
            <w:pPr>
              <w:pStyle w:val="Tabletext"/>
              <w:jc w:val="center"/>
              <w:rPr>
                <w:lang w:val="es-ES_tradnl"/>
              </w:rPr>
            </w:pPr>
            <w:r w:rsidRPr="00877B7A">
              <w:rPr>
                <w:rStyle w:val="ArialNarrow12pt0pt"/>
                <w:rFonts w:ascii="Times New Roman" w:hAnsi="Times New Roman" w:cs="Times New Roman"/>
                <w:lang w:val="es-ES_tradnl"/>
              </w:rPr>
              <w:t>0,5</w:t>
            </w:r>
          </w:p>
        </w:tc>
        <w:tc>
          <w:tcPr>
            <w:tcW w:w="1644" w:type="dxa"/>
            <w:vAlign w:val="center"/>
          </w:tcPr>
          <w:p w14:paraId="1D363CAA" w14:textId="77777777" w:rsidR="00F73D5B" w:rsidRPr="00877B7A" w:rsidRDefault="00F73D5B" w:rsidP="00767A6A">
            <w:pPr>
              <w:pStyle w:val="Tabletext"/>
              <w:jc w:val="center"/>
              <w:rPr>
                <w:lang w:val="es-ES_tradnl"/>
              </w:rPr>
            </w:pPr>
            <w:r w:rsidRPr="00877B7A">
              <w:rPr>
                <w:rStyle w:val="ArialNarrow12pt0pt"/>
                <w:rFonts w:ascii="Times New Roman" w:hAnsi="Times New Roman" w:cs="Times New Roman"/>
                <w:lang w:val="es-ES_tradnl"/>
              </w:rPr>
              <w:t>0,545</w:t>
            </w:r>
          </w:p>
        </w:tc>
      </w:tr>
      <w:tr w:rsidR="00F73D5B" w:rsidRPr="008B7A21" w14:paraId="7A74DBF1" w14:textId="77777777" w:rsidTr="00767A6A">
        <w:trPr>
          <w:trHeight w:val="20"/>
          <w:jc w:val="center"/>
        </w:trPr>
        <w:tc>
          <w:tcPr>
            <w:tcW w:w="988" w:type="dxa"/>
            <w:vAlign w:val="center"/>
          </w:tcPr>
          <w:p w14:paraId="6101BEC7" w14:textId="77777777" w:rsidR="00F73D5B" w:rsidRPr="00877B7A" w:rsidRDefault="00F73D5B" w:rsidP="00767A6A">
            <w:pPr>
              <w:pStyle w:val="Tabletext"/>
              <w:jc w:val="left"/>
              <w:rPr>
                <w:lang w:val="es-ES_tradnl"/>
              </w:rPr>
            </w:pPr>
            <w:r w:rsidRPr="00877B7A">
              <w:rPr>
                <w:rStyle w:val="ArialNarrow12pt0pt"/>
                <w:rFonts w:ascii="Times New Roman" w:hAnsi="Times New Roman" w:cs="Times New Roman"/>
                <w:lang w:val="es-ES_tradnl"/>
              </w:rPr>
              <w:t>9</w:t>
            </w:r>
          </w:p>
        </w:tc>
        <w:tc>
          <w:tcPr>
            <w:tcW w:w="4228" w:type="dxa"/>
            <w:vAlign w:val="center"/>
          </w:tcPr>
          <w:p w14:paraId="1B00BC2D" w14:textId="77777777" w:rsidR="00F73D5B" w:rsidRPr="00877B7A" w:rsidRDefault="00F73D5B" w:rsidP="00767A6A">
            <w:pPr>
              <w:pStyle w:val="Tabletext"/>
              <w:jc w:val="left"/>
              <w:rPr>
                <w:lang w:val="es-ES_tradnl"/>
              </w:rPr>
            </w:pPr>
            <w:r w:rsidRPr="00877B7A">
              <w:rPr>
                <w:rStyle w:val="ArialNarrow12pt0pt"/>
                <w:rFonts w:ascii="Times New Roman" w:hAnsi="Times New Roman" w:cs="Times New Roman"/>
                <w:lang w:val="es-ES_tradnl"/>
              </w:rPr>
              <w:t>La República de Buriata</w:t>
            </w:r>
          </w:p>
        </w:tc>
        <w:tc>
          <w:tcPr>
            <w:tcW w:w="1442" w:type="dxa"/>
            <w:vAlign w:val="center"/>
          </w:tcPr>
          <w:p w14:paraId="063FC2B3" w14:textId="77777777" w:rsidR="00F73D5B" w:rsidRPr="00877B7A" w:rsidRDefault="00F73D5B" w:rsidP="00767A6A">
            <w:pPr>
              <w:pStyle w:val="Tabletext"/>
              <w:jc w:val="center"/>
              <w:rPr>
                <w:lang w:val="es-ES_tradnl"/>
              </w:rPr>
            </w:pPr>
            <w:r w:rsidRPr="00877B7A">
              <w:rPr>
                <w:lang w:val="es-ES_tradnl"/>
              </w:rPr>
              <w:t>2×3,6 MHz</w:t>
            </w:r>
          </w:p>
          <w:p w14:paraId="571CF0EB" w14:textId="77777777" w:rsidR="00F73D5B" w:rsidRPr="00877B7A" w:rsidRDefault="00F73D5B" w:rsidP="00767A6A">
            <w:pPr>
              <w:pStyle w:val="Tabletext"/>
              <w:jc w:val="center"/>
              <w:rPr>
                <w:rStyle w:val="ArialNarrow12pt0pt"/>
                <w:rFonts w:ascii="Times New Roman" w:hAnsi="Times New Roman" w:cs="Times New Roman"/>
                <w:lang w:val="es-ES_tradnl"/>
              </w:rPr>
            </w:pPr>
            <w:r w:rsidRPr="00877B7A">
              <w:rPr>
                <w:lang w:val="es-ES_tradnl"/>
              </w:rPr>
              <w:t>2×0,4 MHz</w:t>
            </w:r>
          </w:p>
        </w:tc>
        <w:tc>
          <w:tcPr>
            <w:tcW w:w="1336" w:type="dxa"/>
            <w:vAlign w:val="center"/>
          </w:tcPr>
          <w:p w14:paraId="0C534170" w14:textId="77777777" w:rsidR="00F73D5B" w:rsidRPr="00877B7A" w:rsidRDefault="00F73D5B" w:rsidP="00767A6A">
            <w:pPr>
              <w:pStyle w:val="Tabletext"/>
              <w:jc w:val="center"/>
              <w:rPr>
                <w:lang w:val="es-ES_tradnl"/>
              </w:rPr>
            </w:pPr>
            <w:r w:rsidRPr="00877B7A">
              <w:rPr>
                <w:rStyle w:val="ArialNarrow12pt0pt"/>
                <w:rFonts w:ascii="Times New Roman" w:hAnsi="Times New Roman" w:cs="Times New Roman"/>
                <w:lang w:val="es-ES_tradnl"/>
              </w:rPr>
              <w:t>83,4</w:t>
            </w:r>
          </w:p>
        </w:tc>
        <w:tc>
          <w:tcPr>
            <w:tcW w:w="1644" w:type="dxa"/>
            <w:vAlign w:val="center"/>
          </w:tcPr>
          <w:p w14:paraId="710225E6" w14:textId="77777777" w:rsidR="00F73D5B" w:rsidRPr="00877B7A" w:rsidRDefault="00F73D5B" w:rsidP="00767A6A">
            <w:pPr>
              <w:pStyle w:val="Tabletext"/>
              <w:jc w:val="center"/>
              <w:rPr>
                <w:lang w:val="es-ES_tradnl"/>
              </w:rPr>
            </w:pPr>
            <w:r w:rsidRPr="00877B7A">
              <w:rPr>
                <w:rStyle w:val="ArialNarrow12pt0pt"/>
                <w:rFonts w:ascii="Times New Roman" w:hAnsi="Times New Roman" w:cs="Times New Roman"/>
                <w:lang w:val="es-ES_tradnl"/>
              </w:rPr>
              <w:t>326,094</w:t>
            </w:r>
          </w:p>
        </w:tc>
      </w:tr>
      <w:tr w:rsidR="00F73D5B" w:rsidRPr="008B7A21" w14:paraId="17E9BBBF" w14:textId="77777777" w:rsidTr="00767A6A">
        <w:trPr>
          <w:trHeight w:val="20"/>
          <w:jc w:val="center"/>
        </w:trPr>
        <w:tc>
          <w:tcPr>
            <w:tcW w:w="988" w:type="dxa"/>
            <w:vAlign w:val="center"/>
          </w:tcPr>
          <w:p w14:paraId="7026A243" w14:textId="77777777" w:rsidR="00F73D5B" w:rsidRPr="00877B7A" w:rsidRDefault="00F73D5B" w:rsidP="00767A6A">
            <w:pPr>
              <w:pStyle w:val="Tabletext"/>
              <w:jc w:val="left"/>
              <w:rPr>
                <w:lang w:val="es-ES_tradnl"/>
              </w:rPr>
            </w:pPr>
            <w:r w:rsidRPr="00877B7A">
              <w:rPr>
                <w:rStyle w:val="ArialNarrow12pt0pt"/>
                <w:rFonts w:ascii="Times New Roman" w:hAnsi="Times New Roman" w:cs="Times New Roman"/>
                <w:lang w:val="es-ES_tradnl"/>
              </w:rPr>
              <w:t>10</w:t>
            </w:r>
          </w:p>
        </w:tc>
        <w:tc>
          <w:tcPr>
            <w:tcW w:w="4228" w:type="dxa"/>
            <w:vAlign w:val="center"/>
          </w:tcPr>
          <w:p w14:paraId="152BCBF8" w14:textId="77777777" w:rsidR="00F73D5B" w:rsidRPr="00877B7A" w:rsidRDefault="00F73D5B" w:rsidP="00767A6A">
            <w:pPr>
              <w:pStyle w:val="Tabletext"/>
              <w:jc w:val="left"/>
              <w:rPr>
                <w:lang w:val="es-ES_tradnl"/>
              </w:rPr>
            </w:pPr>
            <w:r w:rsidRPr="00877B7A">
              <w:rPr>
                <w:rStyle w:val="ArialNarrow12pt0pt"/>
                <w:rFonts w:ascii="Times New Roman" w:hAnsi="Times New Roman" w:cs="Times New Roman"/>
                <w:lang w:val="es-ES_tradnl"/>
              </w:rPr>
              <w:t>Óblast de Amur</w:t>
            </w:r>
          </w:p>
        </w:tc>
        <w:tc>
          <w:tcPr>
            <w:tcW w:w="1442" w:type="dxa"/>
            <w:vAlign w:val="center"/>
          </w:tcPr>
          <w:p w14:paraId="4C3CA4A9" w14:textId="77777777" w:rsidR="00F73D5B" w:rsidRPr="00877B7A" w:rsidRDefault="00F73D5B" w:rsidP="00767A6A">
            <w:pPr>
              <w:pStyle w:val="Tabletext"/>
              <w:jc w:val="center"/>
              <w:rPr>
                <w:lang w:val="es-ES_tradnl"/>
              </w:rPr>
            </w:pPr>
            <w:r w:rsidRPr="00877B7A">
              <w:rPr>
                <w:lang w:val="es-ES_tradnl"/>
              </w:rPr>
              <w:t>2×4,6 MHz</w:t>
            </w:r>
          </w:p>
          <w:p w14:paraId="4D85D0BE" w14:textId="77777777" w:rsidR="00F73D5B" w:rsidRPr="00877B7A" w:rsidRDefault="00F73D5B" w:rsidP="00767A6A">
            <w:pPr>
              <w:pStyle w:val="Tabletext"/>
              <w:jc w:val="center"/>
              <w:rPr>
                <w:rStyle w:val="ArialNarrow12pt0pt"/>
                <w:rFonts w:ascii="Times New Roman" w:hAnsi="Times New Roman" w:cs="Times New Roman"/>
                <w:lang w:val="es-ES_tradnl"/>
              </w:rPr>
            </w:pPr>
            <w:r w:rsidRPr="00877B7A">
              <w:rPr>
                <w:lang w:val="es-ES_tradnl"/>
              </w:rPr>
              <w:t>2×8,6 MHz</w:t>
            </w:r>
          </w:p>
        </w:tc>
        <w:tc>
          <w:tcPr>
            <w:tcW w:w="1336" w:type="dxa"/>
            <w:vAlign w:val="center"/>
          </w:tcPr>
          <w:p w14:paraId="21A5F1B3" w14:textId="77777777" w:rsidR="00F73D5B" w:rsidRPr="00877B7A" w:rsidRDefault="00F73D5B" w:rsidP="00767A6A">
            <w:pPr>
              <w:pStyle w:val="Tabletext"/>
              <w:jc w:val="center"/>
              <w:rPr>
                <w:lang w:val="es-ES_tradnl"/>
              </w:rPr>
            </w:pPr>
            <w:r w:rsidRPr="00877B7A">
              <w:rPr>
                <w:rStyle w:val="ArialNarrow12pt0pt"/>
                <w:rFonts w:ascii="Times New Roman" w:hAnsi="Times New Roman" w:cs="Times New Roman"/>
                <w:lang w:val="es-ES_tradnl"/>
              </w:rPr>
              <w:t>69,1</w:t>
            </w:r>
          </w:p>
        </w:tc>
        <w:tc>
          <w:tcPr>
            <w:tcW w:w="1644" w:type="dxa"/>
            <w:vAlign w:val="center"/>
          </w:tcPr>
          <w:p w14:paraId="76363059" w14:textId="77777777" w:rsidR="00F73D5B" w:rsidRPr="00877B7A" w:rsidRDefault="00F73D5B" w:rsidP="00767A6A">
            <w:pPr>
              <w:pStyle w:val="Tabletext"/>
              <w:jc w:val="center"/>
              <w:rPr>
                <w:lang w:val="es-ES_tradnl"/>
              </w:rPr>
            </w:pPr>
            <w:r w:rsidRPr="00877B7A">
              <w:rPr>
                <w:rStyle w:val="ArialNarrow12pt0pt"/>
                <w:rFonts w:ascii="Times New Roman" w:hAnsi="Times New Roman" w:cs="Times New Roman"/>
                <w:lang w:val="es-ES_tradnl"/>
              </w:rPr>
              <w:t>303,349</w:t>
            </w:r>
          </w:p>
        </w:tc>
      </w:tr>
    </w:tbl>
    <w:p w14:paraId="7CD45A23" w14:textId="77777777" w:rsidR="00F73D5B" w:rsidRPr="008B7A21" w:rsidRDefault="00F73D5B" w:rsidP="00F73D5B">
      <w:pPr>
        <w:pStyle w:val="Tablefin"/>
        <w:rPr>
          <w:lang w:val="es-ES_tradnl"/>
        </w:rPr>
      </w:pPr>
    </w:p>
    <w:p w14:paraId="7992E30D" w14:textId="77777777" w:rsidR="00F73D5B" w:rsidRPr="008B7A21" w:rsidRDefault="00F73D5B" w:rsidP="00F73D5B">
      <w:pPr>
        <w:rPr>
          <w:szCs w:val="24"/>
          <w:lang w:val="es-ES_tradnl"/>
        </w:rPr>
      </w:pPr>
      <w:r w:rsidRPr="008B7A21">
        <w:rPr>
          <w:lang w:val="es-ES_tradnl"/>
        </w:rPr>
        <w:t>El licitador ganador, de conformidad con lo estipulado en la documentación pertinente de la subasta, está obligado a:</w:t>
      </w:r>
    </w:p>
    <w:p w14:paraId="131D711F" w14:textId="4CD4CDA3" w:rsidR="00F73D5B" w:rsidRPr="008B7A21" w:rsidRDefault="00F73D5B" w:rsidP="00F73D5B">
      <w:pPr>
        <w:pStyle w:val="enumlev1"/>
        <w:rPr>
          <w:szCs w:val="24"/>
          <w:lang w:val="es-ES_tradnl"/>
        </w:rPr>
      </w:pPr>
      <w:r w:rsidRPr="008B7A21">
        <w:rPr>
          <w:lang w:val="es-ES_tradnl"/>
        </w:rPr>
        <w:t>–</w:t>
      </w:r>
      <w:r w:rsidRPr="008B7A21">
        <w:rPr>
          <w:lang w:val="es-ES_tradnl"/>
        </w:rPr>
        <w:tab/>
        <w:t>prestar servicios a aquellos que vivan en ciudades y poblaciones con al menos 2 000 personas, de conformidad con un calendario establecido por Decisión Gubernamental en el que se establecen las condiciones para el uso de bandas de frecuencias por sistemas radioeléctricos de servicio móvil terrestre para fines civiles para la prestación de servicios de comunicación en poblaciones de la Federación de Rusia (Cuadro 18) aprobados en diciembre de 2013;</w:t>
      </w:r>
    </w:p>
    <w:p w14:paraId="6B896E6D" w14:textId="77777777" w:rsidR="00F73D5B" w:rsidRPr="008B7A21" w:rsidRDefault="00F73D5B" w:rsidP="00F73D5B">
      <w:pPr>
        <w:pStyle w:val="enumlev1"/>
        <w:rPr>
          <w:szCs w:val="24"/>
          <w:lang w:val="es-ES_tradnl"/>
        </w:rPr>
      </w:pPr>
      <w:r w:rsidRPr="008B7A21">
        <w:rPr>
          <w:lang w:val="es-ES_tradnl"/>
        </w:rPr>
        <w:t>–</w:t>
      </w:r>
      <w:r w:rsidRPr="008B7A21">
        <w:rPr>
          <w:lang w:val="es-ES_tradnl"/>
        </w:rPr>
        <w:tab/>
        <w:t>utilizar sistemas radioeléctricos con características especificadas en el Anexo 2 a la Decisión Gubernamental del 13 de octubre de 2014 sobre la adjudicación de las bandas de frecuencias 1 710-1 785 MHz y 1 805-1 880 MHz para sistemas radioeléctricos en redes de comunicación de normas GSM, LTE y modificaciones subsiguientes en sujetos federales de la Federación de Rusia.</w:t>
      </w:r>
    </w:p>
    <w:p w14:paraId="125E4655" w14:textId="4067BB05" w:rsidR="00F73D5B" w:rsidRPr="008B7A21" w:rsidRDefault="00F73D5B" w:rsidP="00F73D5B">
      <w:pPr>
        <w:pStyle w:val="TableNo"/>
        <w:rPr>
          <w:lang w:val="es-ES_tradnl"/>
        </w:rPr>
      </w:pPr>
      <w:r w:rsidRPr="008B7A21">
        <w:rPr>
          <w:lang w:val="es-ES_tradnl"/>
        </w:rPr>
        <w:t>CUADRO 18</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626"/>
        <w:gridCol w:w="3633"/>
        <w:gridCol w:w="2552"/>
      </w:tblGrid>
      <w:tr w:rsidR="00F73D5B" w:rsidRPr="008B7A21" w14:paraId="18C4283B" w14:textId="77777777" w:rsidTr="00767A6A">
        <w:tc>
          <w:tcPr>
            <w:tcW w:w="1795" w:type="dxa"/>
            <w:vAlign w:val="center"/>
          </w:tcPr>
          <w:p w14:paraId="45BCF2BC" w14:textId="77777777" w:rsidR="00F73D5B" w:rsidRPr="008B7A21" w:rsidRDefault="00F73D5B" w:rsidP="00767A6A">
            <w:pPr>
              <w:pStyle w:val="Tablehead"/>
              <w:rPr>
                <w:lang w:val="es-ES_tradnl"/>
              </w:rPr>
            </w:pPr>
            <w:r w:rsidRPr="008B7A21">
              <w:rPr>
                <w:lang w:val="es-ES_tradnl"/>
              </w:rPr>
              <w:t>Banda de frecuencias utilizada</w:t>
            </w:r>
          </w:p>
        </w:tc>
        <w:tc>
          <w:tcPr>
            <w:tcW w:w="1626" w:type="dxa"/>
            <w:vAlign w:val="center"/>
          </w:tcPr>
          <w:p w14:paraId="7CB8F78D" w14:textId="77777777" w:rsidR="00F73D5B" w:rsidRPr="008B7A21" w:rsidRDefault="00F73D5B" w:rsidP="00767A6A">
            <w:pPr>
              <w:pStyle w:val="Tablehead"/>
              <w:rPr>
                <w:lang w:val="es-ES_tradnl"/>
              </w:rPr>
            </w:pPr>
            <w:r w:rsidRPr="008B7A21">
              <w:rPr>
                <w:lang w:val="es-ES_tradnl"/>
              </w:rPr>
              <w:t>Número de habitantes de poblaciones</w:t>
            </w:r>
          </w:p>
        </w:tc>
        <w:tc>
          <w:tcPr>
            <w:tcW w:w="3633" w:type="dxa"/>
            <w:vAlign w:val="center"/>
          </w:tcPr>
          <w:p w14:paraId="5EFDD395" w14:textId="77777777" w:rsidR="00F73D5B" w:rsidRPr="008B7A21" w:rsidRDefault="00F73D5B" w:rsidP="00767A6A">
            <w:pPr>
              <w:pStyle w:val="Tablehead"/>
              <w:rPr>
                <w:lang w:val="es-ES_tradnl"/>
              </w:rPr>
            </w:pPr>
            <w:r w:rsidRPr="008B7A21">
              <w:rPr>
                <w:lang w:val="es-ES_tradnl"/>
              </w:rPr>
              <w:t>Condición de prestación de servicio por un operador</w:t>
            </w:r>
          </w:p>
        </w:tc>
        <w:tc>
          <w:tcPr>
            <w:tcW w:w="2552" w:type="dxa"/>
            <w:vAlign w:val="center"/>
          </w:tcPr>
          <w:p w14:paraId="4AAAE29B" w14:textId="77777777" w:rsidR="00F73D5B" w:rsidRPr="008B7A21" w:rsidRDefault="00F73D5B" w:rsidP="00767A6A">
            <w:pPr>
              <w:pStyle w:val="Tablehead"/>
              <w:rPr>
                <w:lang w:val="es-ES_tradnl"/>
              </w:rPr>
            </w:pPr>
            <w:r w:rsidRPr="008B7A21">
              <w:rPr>
                <w:lang w:val="es-ES_tradnl"/>
              </w:rPr>
              <w:t>Calendario</w:t>
            </w:r>
          </w:p>
        </w:tc>
      </w:tr>
      <w:tr w:rsidR="00F73D5B" w:rsidRPr="008B7A21" w14:paraId="726C18C7" w14:textId="77777777" w:rsidTr="00767A6A">
        <w:tc>
          <w:tcPr>
            <w:tcW w:w="1795" w:type="dxa"/>
          </w:tcPr>
          <w:p w14:paraId="384823B2" w14:textId="77777777" w:rsidR="00F73D5B" w:rsidRPr="008B7A21" w:rsidRDefault="00F73D5B" w:rsidP="00767A6A">
            <w:pPr>
              <w:pStyle w:val="Tabletext"/>
              <w:keepNext/>
              <w:keepLines/>
              <w:jc w:val="left"/>
              <w:rPr>
                <w:lang w:val="es-ES_tradnl"/>
              </w:rPr>
            </w:pPr>
            <w:r w:rsidRPr="008B7A21">
              <w:rPr>
                <w:lang w:val="es-ES_tradnl"/>
              </w:rPr>
              <w:t xml:space="preserve">Inferior a 1 GHz </w:t>
            </w:r>
          </w:p>
        </w:tc>
        <w:tc>
          <w:tcPr>
            <w:tcW w:w="1626" w:type="dxa"/>
          </w:tcPr>
          <w:p w14:paraId="428E2959" w14:textId="77777777" w:rsidR="00F73D5B" w:rsidRPr="008B7A21" w:rsidRDefault="00F73D5B" w:rsidP="00767A6A">
            <w:pPr>
              <w:pStyle w:val="Tabletext"/>
              <w:keepNext/>
              <w:keepLines/>
              <w:jc w:val="left"/>
              <w:rPr>
                <w:lang w:val="es-ES_tradnl"/>
              </w:rPr>
            </w:pPr>
            <w:r w:rsidRPr="008B7A21">
              <w:rPr>
                <w:lang w:val="es-ES_tradnl"/>
              </w:rPr>
              <w:t>1 000 o más habitantes</w:t>
            </w:r>
          </w:p>
        </w:tc>
        <w:tc>
          <w:tcPr>
            <w:tcW w:w="3633" w:type="dxa"/>
            <w:vMerge w:val="restart"/>
          </w:tcPr>
          <w:p w14:paraId="62D51252" w14:textId="77777777" w:rsidR="00F73D5B" w:rsidRPr="008B7A21" w:rsidRDefault="00F73D5B" w:rsidP="00767A6A">
            <w:pPr>
              <w:pStyle w:val="Tabletext"/>
              <w:keepNext/>
              <w:keepLines/>
              <w:jc w:val="left"/>
              <w:rPr>
                <w:lang w:val="es-ES_tradnl"/>
              </w:rPr>
            </w:pPr>
            <w:r w:rsidRPr="008B7A21">
              <w:rPr>
                <w:lang w:val="es-ES_tradnl"/>
              </w:rPr>
              <w:t>Los servicios móviles deben prestarse en todas las poblaciones donde existe la posibilidad de conectar la red móvil de un operador a una red central mediante enlaces existentes con capacidad relevante</w:t>
            </w:r>
          </w:p>
        </w:tc>
        <w:tc>
          <w:tcPr>
            <w:tcW w:w="2552" w:type="dxa"/>
            <w:vMerge w:val="restart"/>
          </w:tcPr>
          <w:p w14:paraId="232CCF93" w14:textId="77777777" w:rsidR="00F73D5B" w:rsidRPr="008B7A21" w:rsidRDefault="00F73D5B" w:rsidP="00767A6A">
            <w:pPr>
              <w:pStyle w:val="Tabletext"/>
              <w:keepNext/>
              <w:keepLines/>
              <w:jc w:val="left"/>
              <w:rPr>
                <w:lang w:val="es-ES_tradnl"/>
              </w:rPr>
            </w:pPr>
            <w:r w:rsidRPr="008B7A21">
              <w:rPr>
                <w:lang w:val="es-ES_tradnl"/>
              </w:rPr>
              <w:t>En un año: al menos 10% de poblaciones</w:t>
            </w:r>
          </w:p>
          <w:p w14:paraId="0923F094" w14:textId="77777777" w:rsidR="00F73D5B" w:rsidRPr="008B7A21" w:rsidRDefault="00F73D5B" w:rsidP="00767A6A">
            <w:pPr>
              <w:pStyle w:val="Tabletext"/>
              <w:keepNext/>
              <w:keepLines/>
              <w:jc w:val="left"/>
              <w:rPr>
                <w:lang w:val="es-ES_tradnl"/>
              </w:rPr>
            </w:pPr>
            <w:r w:rsidRPr="008B7A21">
              <w:rPr>
                <w:lang w:val="es-ES_tradnl"/>
              </w:rPr>
              <w:t>En dos años: 25%</w:t>
            </w:r>
          </w:p>
          <w:p w14:paraId="42D11DC1" w14:textId="77777777" w:rsidR="00F73D5B" w:rsidRPr="008B7A21" w:rsidRDefault="00F73D5B" w:rsidP="00767A6A">
            <w:pPr>
              <w:pStyle w:val="Tabletext"/>
              <w:keepNext/>
              <w:keepLines/>
              <w:jc w:val="left"/>
              <w:rPr>
                <w:lang w:val="es-ES_tradnl"/>
              </w:rPr>
            </w:pPr>
            <w:r w:rsidRPr="008B7A21">
              <w:rPr>
                <w:lang w:val="es-ES_tradnl"/>
              </w:rPr>
              <w:t xml:space="preserve">En tres años: 40% </w:t>
            </w:r>
          </w:p>
          <w:p w14:paraId="6B6F5398" w14:textId="77777777" w:rsidR="00F73D5B" w:rsidRPr="008B7A21" w:rsidRDefault="00F73D5B" w:rsidP="00767A6A">
            <w:pPr>
              <w:pStyle w:val="Tabletext"/>
              <w:keepNext/>
              <w:keepLines/>
              <w:jc w:val="left"/>
              <w:rPr>
                <w:lang w:val="es-ES_tradnl"/>
              </w:rPr>
            </w:pPr>
            <w:r w:rsidRPr="008B7A21">
              <w:rPr>
                <w:lang w:val="es-ES_tradnl"/>
              </w:rPr>
              <w:t>En cuatro años: 65%</w:t>
            </w:r>
          </w:p>
          <w:p w14:paraId="28E6F04C" w14:textId="77777777" w:rsidR="00F73D5B" w:rsidRPr="008B7A21" w:rsidRDefault="00F73D5B" w:rsidP="00767A6A">
            <w:pPr>
              <w:pStyle w:val="Tabletext"/>
              <w:keepNext/>
              <w:keepLines/>
              <w:jc w:val="left"/>
              <w:rPr>
                <w:lang w:val="es-ES_tradnl"/>
              </w:rPr>
            </w:pPr>
            <w:r w:rsidRPr="008B7A21">
              <w:rPr>
                <w:lang w:val="es-ES_tradnl"/>
              </w:rPr>
              <w:t>En cinco años: 85%</w:t>
            </w:r>
          </w:p>
          <w:p w14:paraId="3E9D53AC" w14:textId="77777777" w:rsidR="00F73D5B" w:rsidRPr="008B7A21" w:rsidRDefault="00F73D5B" w:rsidP="00767A6A">
            <w:pPr>
              <w:pStyle w:val="Tabletext"/>
              <w:keepNext/>
              <w:keepLines/>
              <w:jc w:val="left"/>
              <w:rPr>
                <w:lang w:val="es-ES_tradnl"/>
              </w:rPr>
            </w:pPr>
            <w:r w:rsidRPr="008B7A21">
              <w:rPr>
                <w:lang w:val="es-ES_tradnl"/>
              </w:rPr>
              <w:t>En seis años: 95%</w:t>
            </w:r>
          </w:p>
          <w:p w14:paraId="349FD2F0" w14:textId="77777777" w:rsidR="00F73D5B" w:rsidRPr="008B7A21" w:rsidRDefault="00F73D5B" w:rsidP="00767A6A">
            <w:pPr>
              <w:pStyle w:val="Tabletext"/>
              <w:jc w:val="left"/>
              <w:rPr>
                <w:lang w:val="es-ES_tradnl"/>
              </w:rPr>
            </w:pPr>
            <w:r w:rsidRPr="008B7A21">
              <w:rPr>
                <w:lang w:val="es-ES_tradnl"/>
              </w:rPr>
              <w:t>En siete años: 99,9%</w:t>
            </w:r>
          </w:p>
        </w:tc>
      </w:tr>
      <w:tr w:rsidR="00F73D5B" w:rsidRPr="008B7A21" w14:paraId="5910474A" w14:textId="77777777" w:rsidTr="00767A6A">
        <w:tc>
          <w:tcPr>
            <w:tcW w:w="1795" w:type="dxa"/>
          </w:tcPr>
          <w:p w14:paraId="37FF7118" w14:textId="77777777" w:rsidR="00F73D5B" w:rsidRPr="008B7A21" w:rsidRDefault="00F73D5B" w:rsidP="00767A6A">
            <w:pPr>
              <w:pStyle w:val="Tabletext"/>
              <w:keepNext/>
              <w:keepLines/>
              <w:jc w:val="left"/>
              <w:rPr>
                <w:lang w:val="es-ES_tradnl"/>
              </w:rPr>
            </w:pPr>
            <w:r w:rsidRPr="008B7A21">
              <w:rPr>
                <w:lang w:val="es-ES_tradnl"/>
              </w:rPr>
              <w:t>1-2,2 GHz</w:t>
            </w:r>
          </w:p>
        </w:tc>
        <w:tc>
          <w:tcPr>
            <w:tcW w:w="1626" w:type="dxa"/>
          </w:tcPr>
          <w:p w14:paraId="5DA287A6" w14:textId="77777777" w:rsidR="00F73D5B" w:rsidRPr="008B7A21" w:rsidRDefault="00F73D5B" w:rsidP="00767A6A">
            <w:pPr>
              <w:pStyle w:val="Tabletext"/>
              <w:keepNext/>
              <w:keepLines/>
              <w:jc w:val="left"/>
              <w:rPr>
                <w:lang w:val="es-ES_tradnl"/>
              </w:rPr>
            </w:pPr>
            <w:r w:rsidRPr="008B7A21">
              <w:rPr>
                <w:lang w:val="es-ES_tradnl"/>
              </w:rPr>
              <w:t>2 000 o más habitantes</w:t>
            </w:r>
          </w:p>
        </w:tc>
        <w:tc>
          <w:tcPr>
            <w:tcW w:w="3633" w:type="dxa"/>
            <w:vMerge/>
          </w:tcPr>
          <w:p w14:paraId="3F3AD4A7" w14:textId="77777777" w:rsidR="00F73D5B" w:rsidRPr="008B7A21" w:rsidRDefault="00F73D5B" w:rsidP="00767A6A">
            <w:pPr>
              <w:pStyle w:val="Tabletext"/>
              <w:keepNext/>
              <w:keepLines/>
              <w:jc w:val="left"/>
              <w:rPr>
                <w:lang w:val="es-ES_tradnl"/>
              </w:rPr>
            </w:pPr>
          </w:p>
        </w:tc>
        <w:tc>
          <w:tcPr>
            <w:tcW w:w="2552" w:type="dxa"/>
            <w:vMerge/>
          </w:tcPr>
          <w:p w14:paraId="4EFCF358" w14:textId="77777777" w:rsidR="00F73D5B" w:rsidRPr="008B7A21" w:rsidRDefault="00F73D5B" w:rsidP="00767A6A">
            <w:pPr>
              <w:pStyle w:val="Tabletext"/>
              <w:keepNext/>
              <w:keepLines/>
              <w:rPr>
                <w:lang w:val="es-ES_tradnl"/>
              </w:rPr>
            </w:pPr>
          </w:p>
        </w:tc>
      </w:tr>
      <w:tr w:rsidR="00F73D5B" w:rsidRPr="008B7A21" w14:paraId="5DC87778" w14:textId="77777777" w:rsidTr="00767A6A">
        <w:tc>
          <w:tcPr>
            <w:tcW w:w="1795" w:type="dxa"/>
          </w:tcPr>
          <w:p w14:paraId="608BD74B" w14:textId="77777777" w:rsidR="00F73D5B" w:rsidRPr="008B7A21" w:rsidRDefault="00F73D5B" w:rsidP="00767A6A">
            <w:pPr>
              <w:pStyle w:val="Tabletext"/>
              <w:keepNext/>
              <w:keepLines/>
              <w:jc w:val="left"/>
              <w:rPr>
                <w:lang w:val="es-ES_tradnl"/>
              </w:rPr>
            </w:pPr>
            <w:r w:rsidRPr="008B7A21">
              <w:rPr>
                <w:lang w:val="es-ES_tradnl"/>
              </w:rPr>
              <w:t>2,2-3 GHz</w:t>
            </w:r>
          </w:p>
        </w:tc>
        <w:tc>
          <w:tcPr>
            <w:tcW w:w="1626" w:type="dxa"/>
          </w:tcPr>
          <w:p w14:paraId="6FCF4A49" w14:textId="77777777" w:rsidR="00F73D5B" w:rsidRPr="008B7A21" w:rsidRDefault="00F73D5B" w:rsidP="00767A6A">
            <w:pPr>
              <w:pStyle w:val="Tabletext"/>
              <w:keepNext/>
              <w:keepLines/>
              <w:jc w:val="left"/>
              <w:rPr>
                <w:lang w:val="es-ES_tradnl"/>
              </w:rPr>
            </w:pPr>
            <w:r w:rsidRPr="008B7A21">
              <w:rPr>
                <w:lang w:val="es-ES_tradnl"/>
              </w:rPr>
              <w:t xml:space="preserve">10 000 o más habitantes </w:t>
            </w:r>
          </w:p>
        </w:tc>
        <w:tc>
          <w:tcPr>
            <w:tcW w:w="3633" w:type="dxa"/>
            <w:vAlign w:val="center"/>
          </w:tcPr>
          <w:p w14:paraId="7E61BDE3" w14:textId="77777777" w:rsidR="00F73D5B" w:rsidRPr="008B7A21" w:rsidRDefault="00F73D5B" w:rsidP="00767A6A">
            <w:pPr>
              <w:pStyle w:val="Tabletext"/>
              <w:keepNext/>
              <w:keepLines/>
              <w:jc w:val="center"/>
              <w:rPr>
                <w:lang w:val="es-ES_tradnl"/>
              </w:rPr>
            </w:pPr>
            <w:r w:rsidRPr="008B7A21">
              <w:rPr>
                <w:lang w:val="es-ES_tradnl"/>
              </w:rPr>
              <w:t>–</w:t>
            </w:r>
          </w:p>
        </w:tc>
        <w:tc>
          <w:tcPr>
            <w:tcW w:w="2552" w:type="dxa"/>
            <w:vMerge/>
          </w:tcPr>
          <w:p w14:paraId="06BEB8E9" w14:textId="77777777" w:rsidR="00F73D5B" w:rsidRPr="008B7A21" w:rsidRDefault="00F73D5B" w:rsidP="00767A6A">
            <w:pPr>
              <w:pStyle w:val="Tabletext"/>
              <w:keepNext/>
              <w:keepLines/>
              <w:rPr>
                <w:lang w:val="es-ES_tradnl"/>
              </w:rPr>
            </w:pPr>
          </w:p>
        </w:tc>
      </w:tr>
      <w:tr w:rsidR="00F73D5B" w:rsidRPr="008B7A21" w14:paraId="143C11C9" w14:textId="77777777" w:rsidTr="00767A6A">
        <w:tc>
          <w:tcPr>
            <w:tcW w:w="1795" w:type="dxa"/>
          </w:tcPr>
          <w:p w14:paraId="6E9C129A" w14:textId="77777777" w:rsidR="00F73D5B" w:rsidRPr="008B7A21" w:rsidRDefault="00F73D5B" w:rsidP="00767A6A">
            <w:pPr>
              <w:pStyle w:val="Tabletext"/>
              <w:jc w:val="left"/>
              <w:rPr>
                <w:lang w:val="es-ES_tradnl"/>
              </w:rPr>
            </w:pPr>
            <w:r w:rsidRPr="008B7A21">
              <w:rPr>
                <w:lang w:val="es-ES_tradnl"/>
              </w:rPr>
              <w:t>Cualquiera</w:t>
            </w:r>
          </w:p>
        </w:tc>
        <w:tc>
          <w:tcPr>
            <w:tcW w:w="1626" w:type="dxa"/>
          </w:tcPr>
          <w:p w14:paraId="7482A03E" w14:textId="77777777" w:rsidR="00F73D5B" w:rsidRPr="008B7A21" w:rsidRDefault="00F73D5B" w:rsidP="00767A6A">
            <w:pPr>
              <w:pStyle w:val="Tabletext"/>
              <w:jc w:val="left"/>
              <w:rPr>
                <w:lang w:val="es-ES_tradnl"/>
              </w:rPr>
            </w:pPr>
            <w:r w:rsidRPr="008B7A21">
              <w:rPr>
                <w:lang w:val="es-ES_tradnl"/>
              </w:rPr>
              <w:t>10 000 o más habitantes</w:t>
            </w:r>
          </w:p>
        </w:tc>
        <w:tc>
          <w:tcPr>
            <w:tcW w:w="3633" w:type="dxa"/>
          </w:tcPr>
          <w:p w14:paraId="524A65EE" w14:textId="77777777" w:rsidR="00F73D5B" w:rsidRPr="008B7A21" w:rsidRDefault="00F73D5B" w:rsidP="00767A6A">
            <w:pPr>
              <w:pStyle w:val="Tabletext"/>
              <w:jc w:val="left"/>
              <w:rPr>
                <w:lang w:val="es-ES_tradnl"/>
              </w:rPr>
            </w:pPr>
            <w:r w:rsidRPr="008B7A21">
              <w:rPr>
                <w:lang w:val="es-ES_tradnl"/>
              </w:rPr>
              <w:t>Uso de bandas de frecuencias con tecnologías modernas a las que no se hace referencia en decisiones anteriores sobre adjudicación de bandas de frecuencias</w:t>
            </w:r>
          </w:p>
        </w:tc>
        <w:tc>
          <w:tcPr>
            <w:tcW w:w="2552" w:type="dxa"/>
            <w:vMerge/>
          </w:tcPr>
          <w:p w14:paraId="0B353B99" w14:textId="77777777" w:rsidR="00F73D5B" w:rsidRPr="008B7A21" w:rsidRDefault="00F73D5B" w:rsidP="00767A6A">
            <w:pPr>
              <w:pStyle w:val="Tabletext"/>
              <w:keepNext/>
              <w:keepLines/>
              <w:rPr>
                <w:lang w:val="es-ES_tradnl"/>
              </w:rPr>
            </w:pPr>
          </w:p>
        </w:tc>
      </w:tr>
    </w:tbl>
    <w:p w14:paraId="5F82FE25" w14:textId="77777777" w:rsidR="00F73D5B" w:rsidRPr="008B7A21" w:rsidRDefault="00F73D5B" w:rsidP="00F73D5B">
      <w:pPr>
        <w:pStyle w:val="Tablefin"/>
        <w:rPr>
          <w:lang w:val="es-ES_tradnl"/>
        </w:rPr>
      </w:pPr>
    </w:p>
    <w:p w14:paraId="3F5CBF23" w14:textId="7D21560A" w:rsidR="00F73D5B" w:rsidRPr="008B7A21" w:rsidRDefault="00F73D5B" w:rsidP="00F73D5B">
      <w:pPr>
        <w:rPr>
          <w:lang w:val="es-ES_tradnl"/>
        </w:rPr>
      </w:pPr>
      <w:r w:rsidRPr="008B7A21">
        <w:rPr>
          <w:lang w:val="es-ES_tradnl"/>
        </w:rPr>
        <w:t>En febrero de 2016 se celebró la segunda subasta de frecuencias en la Federación de Rusia. Se subastaron un total de 82 licencias para servicios de radiotelefonía móvil, transmisión de datos y servicios telemáticos que utilizan sistemas de radiocomunicaciones basados en LTE y sus modificaciones subsiguientes, y que utilizan espectro en la banda 2 500</w:t>
      </w:r>
      <w:r w:rsidRPr="008B7A21">
        <w:rPr>
          <w:lang w:val="es-ES_tradnl"/>
        </w:rPr>
        <w:noBreakHyphen/>
        <w:t>2 690 MHz. Entre las licencias se subastó una federal y 81 regionales. En el Cuadro 19 se muestran los precios de reserva y los precios de lote basados en el resultado de las licitaciones.</w:t>
      </w:r>
    </w:p>
    <w:p w14:paraId="641D788E" w14:textId="42EA3261" w:rsidR="00F73D5B" w:rsidRPr="008B7A21" w:rsidRDefault="00F73D5B" w:rsidP="00F73D5B">
      <w:pPr>
        <w:pStyle w:val="TableNo"/>
        <w:rPr>
          <w:lang w:val="es-ES_tradnl"/>
        </w:rPr>
      </w:pPr>
      <w:r w:rsidRPr="008B7A21">
        <w:rPr>
          <w:lang w:val="es-ES_tradnl"/>
        </w:rPr>
        <w:t>CUADRO 19</w:t>
      </w:r>
    </w:p>
    <w:tbl>
      <w:tblPr>
        <w:tblW w:w="9649" w:type="dxa"/>
        <w:jc w:val="center"/>
        <w:tblLayout w:type="fixed"/>
        <w:tblLook w:val="04A0" w:firstRow="1" w:lastRow="0" w:firstColumn="1" w:lastColumn="0" w:noHBand="0" w:noVBand="1"/>
      </w:tblPr>
      <w:tblGrid>
        <w:gridCol w:w="794"/>
        <w:gridCol w:w="4143"/>
        <w:gridCol w:w="1729"/>
        <w:gridCol w:w="1418"/>
        <w:gridCol w:w="1565"/>
      </w:tblGrid>
      <w:tr w:rsidR="00F73D5B" w:rsidRPr="008B7A21" w14:paraId="049F72F0" w14:textId="77777777" w:rsidTr="00767A6A">
        <w:trPr>
          <w:cantSplit/>
          <w:jc w:val="center"/>
        </w:trPr>
        <w:tc>
          <w:tcPr>
            <w:tcW w:w="794" w:type="dxa"/>
            <w:tcBorders>
              <w:top w:val="single" w:sz="4" w:space="0" w:color="auto"/>
              <w:left w:val="single" w:sz="4" w:space="0" w:color="auto"/>
              <w:bottom w:val="single" w:sz="4" w:space="0" w:color="auto"/>
              <w:right w:val="single" w:sz="4" w:space="0" w:color="auto"/>
            </w:tcBorders>
            <w:vAlign w:val="center"/>
            <w:hideMark/>
          </w:tcPr>
          <w:p w14:paraId="59A6CD6E" w14:textId="77777777" w:rsidR="00F73D5B" w:rsidRPr="008B7A21" w:rsidRDefault="00F73D5B" w:rsidP="00767A6A">
            <w:pPr>
              <w:pStyle w:val="Tablehead"/>
              <w:rPr>
                <w:lang w:val="es-ES_tradnl"/>
              </w:rPr>
            </w:pPr>
            <w:r w:rsidRPr="008B7A21">
              <w:rPr>
                <w:lang w:val="es-ES_tradnl"/>
              </w:rPr>
              <w:t>N.° lote</w:t>
            </w:r>
          </w:p>
        </w:tc>
        <w:tc>
          <w:tcPr>
            <w:tcW w:w="4143" w:type="dxa"/>
            <w:tcBorders>
              <w:top w:val="single" w:sz="4" w:space="0" w:color="auto"/>
              <w:left w:val="nil"/>
              <w:bottom w:val="single" w:sz="4" w:space="0" w:color="auto"/>
              <w:right w:val="single" w:sz="4" w:space="0" w:color="auto"/>
            </w:tcBorders>
            <w:vAlign w:val="center"/>
            <w:hideMark/>
          </w:tcPr>
          <w:p w14:paraId="6F23D9BD" w14:textId="77777777" w:rsidR="00F73D5B" w:rsidRPr="008B7A21" w:rsidRDefault="00F73D5B" w:rsidP="00767A6A">
            <w:pPr>
              <w:pStyle w:val="Tablehead"/>
              <w:rPr>
                <w:lang w:val="es-ES_tradnl"/>
              </w:rPr>
            </w:pPr>
            <w:r w:rsidRPr="008B7A21">
              <w:rPr>
                <w:lang w:val="es-ES_tradnl"/>
              </w:rPr>
              <w:t>Territorio de la Federación de Rusia</w:t>
            </w:r>
          </w:p>
        </w:tc>
        <w:tc>
          <w:tcPr>
            <w:tcW w:w="1729" w:type="dxa"/>
            <w:tcBorders>
              <w:top w:val="single" w:sz="4" w:space="0" w:color="auto"/>
              <w:left w:val="nil"/>
              <w:bottom w:val="single" w:sz="4" w:space="0" w:color="auto"/>
              <w:right w:val="single" w:sz="4" w:space="0" w:color="auto"/>
            </w:tcBorders>
            <w:vAlign w:val="center"/>
          </w:tcPr>
          <w:p w14:paraId="4D650D43" w14:textId="77777777" w:rsidR="00F73D5B" w:rsidRPr="008B7A21" w:rsidRDefault="00F73D5B" w:rsidP="00767A6A">
            <w:pPr>
              <w:pStyle w:val="Tablehead"/>
              <w:rPr>
                <w:lang w:val="es-ES_tradnl"/>
              </w:rPr>
            </w:pPr>
            <w:r w:rsidRPr="008B7A21">
              <w:rPr>
                <w:lang w:val="es-ES_tradnl"/>
              </w:rPr>
              <w:t>Tamaño de bloque</w:t>
            </w:r>
            <w:r w:rsidRPr="008B7A21">
              <w:rPr>
                <w:lang w:val="es-ES_tradnl"/>
              </w:rPr>
              <w:br/>
              <w:t>(MHz)</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8BAA8DE" w14:textId="77777777" w:rsidR="00F73D5B" w:rsidRPr="008B7A21" w:rsidRDefault="00F73D5B" w:rsidP="00767A6A">
            <w:pPr>
              <w:pStyle w:val="Tablehead"/>
              <w:rPr>
                <w:lang w:val="es-ES_tradnl"/>
              </w:rPr>
            </w:pPr>
            <w:r w:rsidRPr="008B7A21">
              <w:rPr>
                <w:lang w:val="es-ES_tradnl"/>
              </w:rPr>
              <w:t>Precio de reserva (millones de rublos)</w:t>
            </w:r>
          </w:p>
        </w:tc>
        <w:tc>
          <w:tcPr>
            <w:tcW w:w="1565" w:type="dxa"/>
            <w:tcBorders>
              <w:top w:val="single" w:sz="4" w:space="0" w:color="auto"/>
              <w:left w:val="nil"/>
              <w:bottom w:val="single" w:sz="4" w:space="0" w:color="auto"/>
              <w:right w:val="single" w:sz="4" w:space="0" w:color="auto"/>
            </w:tcBorders>
            <w:vAlign w:val="center"/>
          </w:tcPr>
          <w:p w14:paraId="6BED2B35" w14:textId="77777777" w:rsidR="00F73D5B" w:rsidRPr="008B7A21" w:rsidRDefault="00F73D5B" w:rsidP="00767A6A">
            <w:pPr>
              <w:pStyle w:val="Tablehead"/>
              <w:rPr>
                <w:lang w:val="es-ES_tradnl"/>
              </w:rPr>
            </w:pPr>
            <w:r w:rsidRPr="008B7A21">
              <w:rPr>
                <w:lang w:val="es-ES_tradnl"/>
              </w:rPr>
              <w:t>Precio de lote basado en resultados de licitación (millones de rublos)</w:t>
            </w:r>
          </w:p>
        </w:tc>
      </w:tr>
      <w:tr w:rsidR="00F73D5B" w:rsidRPr="008B7A21" w14:paraId="680C7976" w14:textId="77777777" w:rsidTr="00767A6A">
        <w:trPr>
          <w:cantSplit/>
          <w:jc w:val="center"/>
        </w:trPr>
        <w:tc>
          <w:tcPr>
            <w:tcW w:w="794" w:type="dxa"/>
            <w:tcBorders>
              <w:top w:val="nil"/>
              <w:left w:val="single" w:sz="4" w:space="0" w:color="auto"/>
              <w:bottom w:val="single" w:sz="4" w:space="0" w:color="auto"/>
              <w:right w:val="single" w:sz="4" w:space="0" w:color="auto"/>
            </w:tcBorders>
            <w:vAlign w:val="center"/>
            <w:hideMark/>
          </w:tcPr>
          <w:p w14:paraId="74091D34" w14:textId="77777777" w:rsidR="00F73D5B" w:rsidRPr="008B7A21" w:rsidRDefault="00F73D5B" w:rsidP="00767A6A">
            <w:pPr>
              <w:pStyle w:val="Tabletext"/>
              <w:keepNext/>
              <w:keepLines/>
              <w:jc w:val="center"/>
              <w:rPr>
                <w:lang w:val="es-ES_tradnl"/>
              </w:rPr>
            </w:pPr>
            <w:r w:rsidRPr="008B7A21">
              <w:rPr>
                <w:lang w:val="es-ES_tradnl"/>
              </w:rPr>
              <w:t>1</w:t>
            </w:r>
          </w:p>
        </w:tc>
        <w:tc>
          <w:tcPr>
            <w:tcW w:w="4143" w:type="dxa"/>
            <w:tcBorders>
              <w:top w:val="nil"/>
              <w:left w:val="nil"/>
              <w:bottom w:val="single" w:sz="4" w:space="0" w:color="auto"/>
              <w:right w:val="single" w:sz="4" w:space="0" w:color="auto"/>
            </w:tcBorders>
            <w:vAlign w:val="center"/>
            <w:hideMark/>
          </w:tcPr>
          <w:p w14:paraId="1CB240B0" w14:textId="77777777" w:rsidR="00F73D5B" w:rsidRPr="008B7A21" w:rsidRDefault="00F73D5B" w:rsidP="00767A6A">
            <w:pPr>
              <w:pStyle w:val="Tabletext"/>
              <w:keepNext/>
              <w:keepLines/>
              <w:rPr>
                <w:lang w:val="es-ES_tradnl"/>
              </w:rPr>
            </w:pPr>
            <w:r w:rsidRPr="008B7A21">
              <w:rPr>
                <w:lang w:val="es-ES_tradnl"/>
              </w:rPr>
              <w:t xml:space="preserve">Territorio de la Federación de Rusia </w:t>
            </w:r>
          </w:p>
        </w:tc>
        <w:tc>
          <w:tcPr>
            <w:tcW w:w="1729" w:type="dxa"/>
            <w:tcBorders>
              <w:top w:val="single" w:sz="4" w:space="0" w:color="auto"/>
              <w:left w:val="nil"/>
              <w:bottom w:val="single" w:sz="4" w:space="0" w:color="auto"/>
              <w:right w:val="single" w:sz="4" w:space="0" w:color="auto"/>
            </w:tcBorders>
            <w:vAlign w:val="center"/>
          </w:tcPr>
          <w:p w14:paraId="7D686FE2" w14:textId="77777777" w:rsidR="00F73D5B" w:rsidRPr="008B7A21" w:rsidRDefault="00F73D5B" w:rsidP="00767A6A">
            <w:pPr>
              <w:pStyle w:val="Tabletext"/>
              <w:keepNext/>
              <w:keepLines/>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vAlign w:val="center"/>
            <w:hideMark/>
          </w:tcPr>
          <w:p w14:paraId="2A992A0A" w14:textId="77777777" w:rsidR="00F73D5B" w:rsidRPr="008B7A21" w:rsidRDefault="00F73D5B" w:rsidP="00767A6A">
            <w:pPr>
              <w:pStyle w:val="Tabletext"/>
              <w:keepNext/>
              <w:keepLines/>
              <w:jc w:val="center"/>
              <w:rPr>
                <w:lang w:val="es-ES_tradnl"/>
              </w:rPr>
            </w:pPr>
            <w:r w:rsidRPr="008B7A21">
              <w:rPr>
                <w:lang w:val="es-ES_tradnl"/>
              </w:rPr>
              <w:t>2 939,4</w:t>
            </w:r>
          </w:p>
        </w:tc>
        <w:tc>
          <w:tcPr>
            <w:tcW w:w="1565" w:type="dxa"/>
            <w:tcBorders>
              <w:top w:val="nil"/>
              <w:left w:val="nil"/>
              <w:bottom w:val="single" w:sz="4" w:space="0" w:color="auto"/>
              <w:right w:val="single" w:sz="4" w:space="0" w:color="auto"/>
            </w:tcBorders>
            <w:vAlign w:val="center"/>
          </w:tcPr>
          <w:p w14:paraId="50EE7BB4" w14:textId="77777777" w:rsidR="00F73D5B" w:rsidRPr="008B7A21" w:rsidRDefault="00F73D5B" w:rsidP="00767A6A">
            <w:pPr>
              <w:pStyle w:val="Tabletext"/>
              <w:keepNext/>
              <w:keepLines/>
              <w:jc w:val="center"/>
              <w:rPr>
                <w:lang w:val="es-ES_tradnl"/>
              </w:rPr>
            </w:pPr>
            <w:r w:rsidRPr="008B7A21">
              <w:rPr>
                <w:lang w:val="es-ES_tradnl"/>
              </w:rPr>
              <w:t>3 968,19</w:t>
            </w:r>
          </w:p>
        </w:tc>
      </w:tr>
      <w:tr w:rsidR="00F73D5B" w:rsidRPr="008B7A21" w14:paraId="6B06DDEF"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419C923D" w14:textId="77777777" w:rsidR="00F73D5B" w:rsidRPr="008B7A21" w:rsidRDefault="00F73D5B" w:rsidP="00767A6A">
            <w:pPr>
              <w:pStyle w:val="Tabletext"/>
              <w:keepNext/>
              <w:keepLines/>
              <w:jc w:val="center"/>
              <w:rPr>
                <w:lang w:val="es-ES_tradnl"/>
              </w:rPr>
            </w:pPr>
            <w:r w:rsidRPr="008B7A21">
              <w:rPr>
                <w:lang w:val="es-ES_tradnl"/>
              </w:rPr>
              <w:t>2</w:t>
            </w:r>
          </w:p>
        </w:tc>
        <w:tc>
          <w:tcPr>
            <w:tcW w:w="4143" w:type="dxa"/>
            <w:tcBorders>
              <w:top w:val="nil"/>
              <w:left w:val="nil"/>
              <w:bottom w:val="single" w:sz="4" w:space="0" w:color="auto"/>
              <w:right w:val="single" w:sz="4" w:space="0" w:color="auto"/>
            </w:tcBorders>
            <w:noWrap/>
            <w:vAlign w:val="center"/>
            <w:hideMark/>
          </w:tcPr>
          <w:p w14:paraId="2EA2F6FE" w14:textId="77777777" w:rsidR="00F73D5B" w:rsidRPr="008B7A21" w:rsidRDefault="00F73D5B" w:rsidP="00767A6A">
            <w:pPr>
              <w:pStyle w:val="Tabletext"/>
              <w:keepNext/>
              <w:keepLines/>
              <w:rPr>
                <w:lang w:val="es-ES_tradnl"/>
              </w:rPr>
            </w:pPr>
            <w:r w:rsidRPr="008B7A21">
              <w:rPr>
                <w:lang w:val="es-ES_tradnl"/>
              </w:rPr>
              <w:t xml:space="preserve">Krai de Altái </w:t>
            </w:r>
          </w:p>
        </w:tc>
        <w:tc>
          <w:tcPr>
            <w:tcW w:w="1729" w:type="dxa"/>
            <w:tcBorders>
              <w:top w:val="single" w:sz="4" w:space="0" w:color="auto"/>
              <w:left w:val="nil"/>
              <w:bottom w:val="single" w:sz="4" w:space="0" w:color="auto"/>
              <w:right w:val="single" w:sz="4" w:space="0" w:color="auto"/>
            </w:tcBorders>
          </w:tcPr>
          <w:p w14:paraId="3CEA3708" w14:textId="77777777" w:rsidR="00F73D5B" w:rsidRPr="008B7A21" w:rsidRDefault="00F73D5B" w:rsidP="00767A6A">
            <w:pPr>
              <w:pStyle w:val="Tabletext"/>
              <w:keepNext/>
              <w:keepLines/>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004DEFB3" w14:textId="77777777" w:rsidR="00F73D5B" w:rsidRPr="008B7A21" w:rsidRDefault="00F73D5B" w:rsidP="00767A6A">
            <w:pPr>
              <w:pStyle w:val="Tabletext"/>
              <w:keepNext/>
              <w:keepLines/>
              <w:jc w:val="center"/>
              <w:rPr>
                <w:lang w:val="es-ES_tradnl"/>
              </w:rPr>
            </w:pPr>
            <w:r w:rsidRPr="008B7A21">
              <w:rPr>
                <w:lang w:val="es-ES_tradnl"/>
              </w:rPr>
              <w:t>49,7</w:t>
            </w:r>
          </w:p>
        </w:tc>
        <w:tc>
          <w:tcPr>
            <w:tcW w:w="1565" w:type="dxa"/>
            <w:tcBorders>
              <w:top w:val="nil"/>
              <w:left w:val="nil"/>
              <w:bottom w:val="single" w:sz="4" w:space="0" w:color="auto"/>
              <w:right w:val="single" w:sz="4" w:space="0" w:color="auto"/>
            </w:tcBorders>
            <w:vAlign w:val="center"/>
          </w:tcPr>
          <w:p w14:paraId="48F14592" w14:textId="77777777" w:rsidR="00F73D5B" w:rsidRPr="008B7A21" w:rsidRDefault="00F73D5B" w:rsidP="00767A6A">
            <w:pPr>
              <w:pStyle w:val="Tabletext"/>
              <w:keepNext/>
              <w:keepLines/>
              <w:jc w:val="center"/>
              <w:rPr>
                <w:lang w:val="es-ES_tradnl"/>
              </w:rPr>
            </w:pPr>
            <w:r w:rsidRPr="008B7A21">
              <w:rPr>
                <w:lang w:val="es-ES_tradnl"/>
              </w:rPr>
              <w:t>57,155</w:t>
            </w:r>
          </w:p>
        </w:tc>
      </w:tr>
      <w:tr w:rsidR="00F73D5B" w:rsidRPr="008B7A21" w14:paraId="76F9F51E"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017D17A2" w14:textId="77777777" w:rsidR="00F73D5B" w:rsidRPr="008B7A21" w:rsidRDefault="00F73D5B" w:rsidP="00767A6A">
            <w:pPr>
              <w:pStyle w:val="Tabletext"/>
              <w:keepNext/>
              <w:keepLines/>
              <w:jc w:val="center"/>
              <w:rPr>
                <w:lang w:val="es-ES_tradnl"/>
              </w:rPr>
            </w:pPr>
            <w:r w:rsidRPr="008B7A21">
              <w:rPr>
                <w:lang w:val="es-ES_tradnl"/>
              </w:rPr>
              <w:t>3</w:t>
            </w:r>
          </w:p>
        </w:tc>
        <w:tc>
          <w:tcPr>
            <w:tcW w:w="4143" w:type="dxa"/>
            <w:tcBorders>
              <w:top w:val="nil"/>
              <w:left w:val="nil"/>
              <w:bottom w:val="single" w:sz="4" w:space="0" w:color="auto"/>
              <w:right w:val="single" w:sz="4" w:space="0" w:color="auto"/>
            </w:tcBorders>
            <w:noWrap/>
            <w:vAlign w:val="center"/>
            <w:hideMark/>
          </w:tcPr>
          <w:p w14:paraId="3700546E" w14:textId="77777777" w:rsidR="00F73D5B" w:rsidRPr="008B7A21" w:rsidRDefault="00F73D5B" w:rsidP="00767A6A">
            <w:pPr>
              <w:pStyle w:val="Tabletext"/>
              <w:keepNext/>
              <w:keepLines/>
              <w:rPr>
                <w:lang w:val="es-ES_tradnl"/>
              </w:rPr>
            </w:pPr>
            <w:r w:rsidRPr="008B7A21">
              <w:rPr>
                <w:lang w:val="es-ES_tradnl"/>
              </w:rPr>
              <w:t>Óblast de Amur</w:t>
            </w:r>
          </w:p>
        </w:tc>
        <w:tc>
          <w:tcPr>
            <w:tcW w:w="1729" w:type="dxa"/>
            <w:tcBorders>
              <w:top w:val="single" w:sz="4" w:space="0" w:color="auto"/>
              <w:left w:val="nil"/>
              <w:bottom w:val="single" w:sz="4" w:space="0" w:color="auto"/>
              <w:right w:val="single" w:sz="4" w:space="0" w:color="auto"/>
            </w:tcBorders>
          </w:tcPr>
          <w:p w14:paraId="22B3CABE" w14:textId="77777777" w:rsidR="00F73D5B" w:rsidRPr="008B7A21" w:rsidRDefault="00F73D5B" w:rsidP="00767A6A">
            <w:pPr>
              <w:pStyle w:val="Tabletext"/>
              <w:keepNext/>
              <w:keepLines/>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6675A49A" w14:textId="77777777" w:rsidR="00F73D5B" w:rsidRPr="008B7A21" w:rsidRDefault="00F73D5B" w:rsidP="00767A6A">
            <w:pPr>
              <w:pStyle w:val="Tabletext"/>
              <w:keepNext/>
              <w:keepLines/>
              <w:jc w:val="center"/>
              <w:rPr>
                <w:lang w:val="es-ES_tradnl"/>
              </w:rPr>
            </w:pPr>
            <w:r w:rsidRPr="008B7A21">
              <w:rPr>
                <w:lang w:val="es-ES_tradnl"/>
              </w:rPr>
              <w:t>19,6</w:t>
            </w:r>
          </w:p>
        </w:tc>
        <w:tc>
          <w:tcPr>
            <w:tcW w:w="1565" w:type="dxa"/>
            <w:tcBorders>
              <w:top w:val="nil"/>
              <w:left w:val="nil"/>
              <w:bottom w:val="single" w:sz="4" w:space="0" w:color="auto"/>
              <w:right w:val="single" w:sz="4" w:space="0" w:color="auto"/>
            </w:tcBorders>
            <w:vAlign w:val="center"/>
          </w:tcPr>
          <w:p w14:paraId="4A389005" w14:textId="77777777" w:rsidR="00F73D5B" w:rsidRPr="008B7A21" w:rsidRDefault="00F73D5B" w:rsidP="00767A6A">
            <w:pPr>
              <w:pStyle w:val="Tabletext"/>
              <w:keepNext/>
              <w:keepLines/>
              <w:jc w:val="center"/>
              <w:rPr>
                <w:lang w:val="es-ES_tradnl"/>
              </w:rPr>
            </w:pPr>
            <w:r w:rsidRPr="008B7A21">
              <w:rPr>
                <w:lang w:val="es-ES_tradnl"/>
              </w:rPr>
              <w:t>20,58</w:t>
            </w:r>
          </w:p>
        </w:tc>
      </w:tr>
      <w:tr w:rsidR="00F73D5B" w:rsidRPr="008B7A21" w14:paraId="35AF58EE"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6E3D6FEA" w14:textId="77777777" w:rsidR="00F73D5B" w:rsidRPr="008B7A21" w:rsidRDefault="00F73D5B" w:rsidP="00767A6A">
            <w:pPr>
              <w:pStyle w:val="Tabletext"/>
              <w:jc w:val="center"/>
              <w:rPr>
                <w:lang w:val="es-ES_tradnl"/>
              </w:rPr>
            </w:pPr>
            <w:r w:rsidRPr="008B7A21">
              <w:rPr>
                <w:lang w:val="es-ES_tradnl"/>
              </w:rPr>
              <w:t>4</w:t>
            </w:r>
          </w:p>
        </w:tc>
        <w:tc>
          <w:tcPr>
            <w:tcW w:w="4143" w:type="dxa"/>
            <w:tcBorders>
              <w:top w:val="nil"/>
              <w:left w:val="nil"/>
              <w:bottom w:val="single" w:sz="4" w:space="0" w:color="auto"/>
              <w:right w:val="single" w:sz="4" w:space="0" w:color="auto"/>
            </w:tcBorders>
            <w:noWrap/>
            <w:vAlign w:val="center"/>
            <w:hideMark/>
          </w:tcPr>
          <w:p w14:paraId="45FB5320" w14:textId="77777777" w:rsidR="00F73D5B" w:rsidRPr="008B7A21" w:rsidRDefault="00F73D5B" w:rsidP="00767A6A">
            <w:pPr>
              <w:pStyle w:val="Tabletext"/>
              <w:rPr>
                <w:lang w:val="es-ES_tradnl"/>
              </w:rPr>
            </w:pPr>
            <w:r w:rsidRPr="008B7A21">
              <w:rPr>
                <w:lang w:val="es-ES_tradnl"/>
              </w:rPr>
              <w:t>Óblast de Arcángel</w:t>
            </w:r>
          </w:p>
        </w:tc>
        <w:tc>
          <w:tcPr>
            <w:tcW w:w="1729" w:type="dxa"/>
            <w:tcBorders>
              <w:top w:val="single" w:sz="4" w:space="0" w:color="auto"/>
              <w:left w:val="nil"/>
              <w:bottom w:val="single" w:sz="4" w:space="0" w:color="auto"/>
              <w:right w:val="single" w:sz="4" w:space="0" w:color="auto"/>
            </w:tcBorders>
          </w:tcPr>
          <w:p w14:paraId="55B0DAD9"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7CC8AA11" w14:textId="77777777" w:rsidR="00F73D5B" w:rsidRPr="008B7A21" w:rsidRDefault="00F73D5B" w:rsidP="00767A6A">
            <w:pPr>
              <w:pStyle w:val="Tabletext"/>
              <w:jc w:val="center"/>
              <w:rPr>
                <w:lang w:val="es-ES_tradnl"/>
              </w:rPr>
            </w:pPr>
            <w:r w:rsidRPr="008B7A21">
              <w:rPr>
                <w:lang w:val="es-ES_tradnl"/>
              </w:rPr>
              <w:t>28,3</w:t>
            </w:r>
          </w:p>
        </w:tc>
        <w:tc>
          <w:tcPr>
            <w:tcW w:w="1565" w:type="dxa"/>
            <w:tcBorders>
              <w:top w:val="nil"/>
              <w:left w:val="nil"/>
              <w:bottom w:val="single" w:sz="4" w:space="0" w:color="auto"/>
              <w:right w:val="single" w:sz="4" w:space="0" w:color="auto"/>
            </w:tcBorders>
            <w:vAlign w:val="center"/>
          </w:tcPr>
          <w:p w14:paraId="39315C51" w14:textId="77777777" w:rsidR="00F73D5B" w:rsidRPr="008B7A21" w:rsidRDefault="00F73D5B" w:rsidP="00767A6A">
            <w:pPr>
              <w:pStyle w:val="Tabletext"/>
              <w:jc w:val="center"/>
              <w:rPr>
                <w:lang w:val="es-ES_tradnl"/>
              </w:rPr>
            </w:pPr>
            <w:r w:rsidRPr="008B7A21">
              <w:rPr>
                <w:lang w:val="es-ES_tradnl"/>
              </w:rPr>
              <w:t>32,545</w:t>
            </w:r>
          </w:p>
        </w:tc>
      </w:tr>
      <w:tr w:rsidR="00F73D5B" w:rsidRPr="008B7A21" w14:paraId="5CB0C1FF"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22F38392" w14:textId="77777777" w:rsidR="00F73D5B" w:rsidRPr="008B7A21" w:rsidRDefault="00F73D5B" w:rsidP="00767A6A">
            <w:pPr>
              <w:pStyle w:val="Tabletext"/>
              <w:jc w:val="center"/>
              <w:rPr>
                <w:lang w:val="es-ES_tradnl"/>
              </w:rPr>
            </w:pPr>
            <w:r w:rsidRPr="008B7A21">
              <w:rPr>
                <w:lang w:val="es-ES_tradnl"/>
              </w:rPr>
              <w:t>5</w:t>
            </w:r>
          </w:p>
        </w:tc>
        <w:tc>
          <w:tcPr>
            <w:tcW w:w="4143" w:type="dxa"/>
            <w:tcBorders>
              <w:top w:val="nil"/>
              <w:left w:val="nil"/>
              <w:bottom w:val="single" w:sz="4" w:space="0" w:color="auto"/>
              <w:right w:val="single" w:sz="4" w:space="0" w:color="auto"/>
            </w:tcBorders>
            <w:noWrap/>
            <w:vAlign w:val="center"/>
            <w:hideMark/>
          </w:tcPr>
          <w:p w14:paraId="730B3B19" w14:textId="77777777" w:rsidR="00F73D5B" w:rsidRPr="008B7A21" w:rsidRDefault="00F73D5B" w:rsidP="00767A6A">
            <w:pPr>
              <w:pStyle w:val="Tabletext"/>
              <w:rPr>
                <w:lang w:val="es-ES_tradnl"/>
              </w:rPr>
            </w:pPr>
            <w:r w:rsidRPr="008B7A21">
              <w:rPr>
                <w:lang w:val="es-ES_tradnl"/>
              </w:rPr>
              <w:t>Óblast de Astracán</w:t>
            </w:r>
          </w:p>
        </w:tc>
        <w:tc>
          <w:tcPr>
            <w:tcW w:w="1729" w:type="dxa"/>
            <w:tcBorders>
              <w:top w:val="single" w:sz="4" w:space="0" w:color="auto"/>
              <w:left w:val="nil"/>
              <w:bottom w:val="single" w:sz="4" w:space="0" w:color="auto"/>
              <w:right w:val="single" w:sz="4" w:space="0" w:color="auto"/>
            </w:tcBorders>
          </w:tcPr>
          <w:p w14:paraId="10E71DBA"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0D6C34ED" w14:textId="77777777" w:rsidR="00F73D5B" w:rsidRPr="008B7A21" w:rsidRDefault="00F73D5B" w:rsidP="00767A6A">
            <w:pPr>
              <w:pStyle w:val="Tabletext"/>
              <w:jc w:val="center"/>
              <w:rPr>
                <w:lang w:val="es-ES_tradnl"/>
              </w:rPr>
            </w:pPr>
            <w:r w:rsidRPr="008B7A21">
              <w:rPr>
                <w:lang w:val="es-ES_tradnl"/>
              </w:rPr>
              <w:t>22,3</w:t>
            </w:r>
          </w:p>
        </w:tc>
        <w:tc>
          <w:tcPr>
            <w:tcW w:w="1565" w:type="dxa"/>
            <w:tcBorders>
              <w:top w:val="nil"/>
              <w:left w:val="nil"/>
              <w:bottom w:val="single" w:sz="4" w:space="0" w:color="auto"/>
              <w:right w:val="single" w:sz="4" w:space="0" w:color="auto"/>
            </w:tcBorders>
            <w:vAlign w:val="center"/>
          </w:tcPr>
          <w:p w14:paraId="0B371F19" w14:textId="77777777" w:rsidR="00F73D5B" w:rsidRPr="008B7A21" w:rsidRDefault="00F73D5B" w:rsidP="00767A6A">
            <w:pPr>
              <w:pStyle w:val="Tabletext"/>
              <w:jc w:val="center"/>
              <w:rPr>
                <w:lang w:val="es-ES_tradnl"/>
              </w:rPr>
            </w:pPr>
            <w:r w:rsidRPr="008B7A21">
              <w:rPr>
                <w:lang w:val="es-ES_tradnl"/>
              </w:rPr>
              <w:t>25,645</w:t>
            </w:r>
          </w:p>
        </w:tc>
      </w:tr>
      <w:tr w:rsidR="00F73D5B" w:rsidRPr="008B7A21" w14:paraId="63588CD9"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040F2B28" w14:textId="77777777" w:rsidR="00F73D5B" w:rsidRPr="008B7A21" w:rsidRDefault="00F73D5B" w:rsidP="00767A6A">
            <w:pPr>
              <w:pStyle w:val="Tabletext"/>
              <w:jc w:val="center"/>
              <w:rPr>
                <w:lang w:val="es-ES_tradnl"/>
              </w:rPr>
            </w:pPr>
            <w:r w:rsidRPr="008B7A21">
              <w:rPr>
                <w:lang w:val="es-ES_tradnl"/>
              </w:rPr>
              <w:t>6</w:t>
            </w:r>
          </w:p>
        </w:tc>
        <w:tc>
          <w:tcPr>
            <w:tcW w:w="4143" w:type="dxa"/>
            <w:tcBorders>
              <w:top w:val="nil"/>
              <w:left w:val="nil"/>
              <w:bottom w:val="single" w:sz="4" w:space="0" w:color="auto"/>
              <w:right w:val="single" w:sz="4" w:space="0" w:color="auto"/>
            </w:tcBorders>
            <w:noWrap/>
            <w:vAlign w:val="center"/>
            <w:hideMark/>
          </w:tcPr>
          <w:p w14:paraId="54F75700" w14:textId="77777777" w:rsidR="00F73D5B" w:rsidRPr="008B7A21" w:rsidRDefault="00F73D5B" w:rsidP="00767A6A">
            <w:pPr>
              <w:pStyle w:val="Tabletext"/>
              <w:rPr>
                <w:lang w:val="es-ES_tradnl"/>
              </w:rPr>
            </w:pPr>
            <w:r w:rsidRPr="008B7A21">
              <w:rPr>
                <w:lang w:val="es-ES_tradnl"/>
              </w:rPr>
              <w:t>Óblast de Bélgorod</w:t>
            </w:r>
          </w:p>
        </w:tc>
        <w:tc>
          <w:tcPr>
            <w:tcW w:w="1729" w:type="dxa"/>
            <w:tcBorders>
              <w:top w:val="single" w:sz="4" w:space="0" w:color="auto"/>
              <w:left w:val="nil"/>
              <w:bottom w:val="single" w:sz="4" w:space="0" w:color="auto"/>
              <w:right w:val="single" w:sz="4" w:space="0" w:color="auto"/>
            </w:tcBorders>
          </w:tcPr>
          <w:p w14:paraId="2FD1810E"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1350B8B3" w14:textId="77777777" w:rsidR="00F73D5B" w:rsidRPr="008B7A21" w:rsidRDefault="00F73D5B" w:rsidP="00767A6A">
            <w:pPr>
              <w:pStyle w:val="Tabletext"/>
              <w:jc w:val="center"/>
              <w:rPr>
                <w:lang w:val="es-ES_tradnl"/>
              </w:rPr>
            </w:pPr>
            <w:r w:rsidRPr="008B7A21">
              <w:rPr>
                <w:lang w:val="es-ES_tradnl"/>
              </w:rPr>
              <w:t>34,6</w:t>
            </w:r>
          </w:p>
        </w:tc>
        <w:tc>
          <w:tcPr>
            <w:tcW w:w="1565" w:type="dxa"/>
            <w:tcBorders>
              <w:top w:val="nil"/>
              <w:left w:val="nil"/>
              <w:bottom w:val="single" w:sz="4" w:space="0" w:color="auto"/>
              <w:right w:val="single" w:sz="4" w:space="0" w:color="auto"/>
            </w:tcBorders>
            <w:vAlign w:val="center"/>
          </w:tcPr>
          <w:p w14:paraId="1ACA70DD" w14:textId="77777777" w:rsidR="00F73D5B" w:rsidRPr="008B7A21" w:rsidRDefault="00F73D5B" w:rsidP="00767A6A">
            <w:pPr>
              <w:pStyle w:val="Tabletext"/>
              <w:jc w:val="center"/>
              <w:rPr>
                <w:lang w:val="es-ES_tradnl"/>
              </w:rPr>
            </w:pPr>
            <w:r w:rsidRPr="008B7A21">
              <w:rPr>
                <w:lang w:val="es-ES_tradnl"/>
              </w:rPr>
              <w:t>38,06</w:t>
            </w:r>
          </w:p>
        </w:tc>
      </w:tr>
      <w:tr w:rsidR="00F73D5B" w:rsidRPr="008B7A21" w14:paraId="3F371B05"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5720545F" w14:textId="77777777" w:rsidR="00F73D5B" w:rsidRPr="008B7A21" w:rsidRDefault="00F73D5B" w:rsidP="00767A6A">
            <w:pPr>
              <w:pStyle w:val="Tabletext"/>
              <w:jc w:val="center"/>
              <w:rPr>
                <w:lang w:val="es-ES_tradnl"/>
              </w:rPr>
            </w:pPr>
            <w:r w:rsidRPr="008B7A21">
              <w:rPr>
                <w:lang w:val="es-ES_tradnl"/>
              </w:rPr>
              <w:t>7</w:t>
            </w:r>
          </w:p>
        </w:tc>
        <w:tc>
          <w:tcPr>
            <w:tcW w:w="4143" w:type="dxa"/>
            <w:tcBorders>
              <w:top w:val="nil"/>
              <w:left w:val="nil"/>
              <w:bottom w:val="single" w:sz="4" w:space="0" w:color="auto"/>
              <w:right w:val="single" w:sz="4" w:space="0" w:color="auto"/>
            </w:tcBorders>
            <w:noWrap/>
            <w:vAlign w:val="center"/>
            <w:hideMark/>
          </w:tcPr>
          <w:p w14:paraId="0E519DCD" w14:textId="77777777" w:rsidR="00F73D5B" w:rsidRPr="008B7A21" w:rsidRDefault="00F73D5B" w:rsidP="00767A6A">
            <w:pPr>
              <w:pStyle w:val="Tabletext"/>
              <w:rPr>
                <w:lang w:val="es-ES_tradnl"/>
              </w:rPr>
            </w:pPr>
            <w:r w:rsidRPr="008B7A21">
              <w:rPr>
                <w:lang w:val="es-ES_tradnl"/>
              </w:rPr>
              <w:t>Óblast de Briansk</w:t>
            </w:r>
          </w:p>
        </w:tc>
        <w:tc>
          <w:tcPr>
            <w:tcW w:w="1729" w:type="dxa"/>
            <w:tcBorders>
              <w:top w:val="single" w:sz="4" w:space="0" w:color="auto"/>
              <w:left w:val="nil"/>
              <w:bottom w:val="single" w:sz="4" w:space="0" w:color="auto"/>
              <w:right w:val="single" w:sz="4" w:space="0" w:color="auto"/>
            </w:tcBorders>
          </w:tcPr>
          <w:p w14:paraId="6C1F7A6A"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0EA83683" w14:textId="77777777" w:rsidR="00F73D5B" w:rsidRPr="008B7A21" w:rsidRDefault="00F73D5B" w:rsidP="00767A6A">
            <w:pPr>
              <w:pStyle w:val="Tabletext"/>
              <w:jc w:val="center"/>
              <w:rPr>
                <w:lang w:val="es-ES_tradnl"/>
              </w:rPr>
            </w:pPr>
            <w:r w:rsidRPr="008B7A21">
              <w:rPr>
                <w:lang w:val="es-ES_tradnl"/>
              </w:rPr>
              <w:t>27,1</w:t>
            </w:r>
          </w:p>
        </w:tc>
        <w:tc>
          <w:tcPr>
            <w:tcW w:w="1565" w:type="dxa"/>
            <w:tcBorders>
              <w:top w:val="nil"/>
              <w:left w:val="nil"/>
              <w:bottom w:val="single" w:sz="4" w:space="0" w:color="auto"/>
              <w:right w:val="single" w:sz="4" w:space="0" w:color="auto"/>
            </w:tcBorders>
            <w:vAlign w:val="center"/>
          </w:tcPr>
          <w:p w14:paraId="663FF8C2" w14:textId="77777777" w:rsidR="00F73D5B" w:rsidRPr="008B7A21" w:rsidRDefault="00F73D5B" w:rsidP="00767A6A">
            <w:pPr>
              <w:pStyle w:val="Tabletext"/>
              <w:jc w:val="center"/>
              <w:rPr>
                <w:lang w:val="es-ES_tradnl"/>
              </w:rPr>
            </w:pPr>
            <w:r w:rsidRPr="008B7A21">
              <w:rPr>
                <w:lang w:val="es-ES_tradnl"/>
              </w:rPr>
              <w:t>36,585</w:t>
            </w:r>
          </w:p>
        </w:tc>
      </w:tr>
    </w:tbl>
    <w:p w14:paraId="543E14F8" w14:textId="6CE3666A" w:rsidR="00F73D5B" w:rsidRPr="008B7A21" w:rsidRDefault="00F73D5B" w:rsidP="00F73D5B">
      <w:pPr>
        <w:pStyle w:val="TableNo"/>
        <w:rPr>
          <w:lang w:val="es-ES_tradnl"/>
        </w:rPr>
      </w:pPr>
      <w:r w:rsidRPr="008B7A21">
        <w:rPr>
          <w:lang w:val="es-ES_tradnl"/>
        </w:rPr>
        <w:t>CUADRO 19 (</w:t>
      </w:r>
      <w:r w:rsidRPr="008B7A21">
        <w:rPr>
          <w:i/>
          <w:iCs/>
          <w:lang w:val="es-ES_tradnl"/>
        </w:rPr>
        <w:t>continuación</w:t>
      </w:r>
      <w:r w:rsidRPr="008B7A21">
        <w:rPr>
          <w:lang w:val="es-ES_tradnl"/>
        </w:rPr>
        <w:t>)</w:t>
      </w:r>
    </w:p>
    <w:tbl>
      <w:tblPr>
        <w:tblW w:w="9649" w:type="dxa"/>
        <w:jc w:val="center"/>
        <w:tblLayout w:type="fixed"/>
        <w:tblLook w:val="04A0" w:firstRow="1" w:lastRow="0" w:firstColumn="1" w:lastColumn="0" w:noHBand="0" w:noVBand="1"/>
      </w:tblPr>
      <w:tblGrid>
        <w:gridCol w:w="794"/>
        <w:gridCol w:w="4143"/>
        <w:gridCol w:w="1729"/>
        <w:gridCol w:w="1418"/>
        <w:gridCol w:w="1565"/>
      </w:tblGrid>
      <w:tr w:rsidR="00F73D5B" w:rsidRPr="008B7A21" w14:paraId="489C12F0" w14:textId="77777777" w:rsidTr="00767A6A">
        <w:trPr>
          <w:cantSplit/>
          <w:jc w:val="center"/>
        </w:trPr>
        <w:tc>
          <w:tcPr>
            <w:tcW w:w="794" w:type="dxa"/>
            <w:tcBorders>
              <w:top w:val="single" w:sz="4" w:space="0" w:color="auto"/>
              <w:left w:val="single" w:sz="4" w:space="0" w:color="auto"/>
              <w:bottom w:val="single" w:sz="4" w:space="0" w:color="auto"/>
              <w:right w:val="single" w:sz="4" w:space="0" w:color="auto"/>
            </w:tcBorders>
            <w:vAlign w:val="center"/>
            <w:hideMark/>
          </w:tcPr>
          <w:p w14:paraId="6CB7478E" w14:textId="77777777" w:rsidR="00F73D5B" w:rsidRPr="008B7A21" w:rsidRDefault="00F73D5B" w:rsidP="00767A6A">
            <w:pPr>
              <w:pStyle w:val="Tablehead"/>
              <w:rPr>
                <w:lang w:val="es-ES_tradnl"/>
              </w:rPr>
            </w:pPr>
            <w:r w:rsidRPr="008B7A21">
              <w:rPr>
                <w:lang w:val="es-ES_tradnl"/>
              </w:rPr>
              <w:t>N.° lote</w:t>
            </w:r>
          </w:p>
        </w:tc>
        <w:tc>
          <w:tcPr>
            <w:tcW w:w="4143" w:type="dxa"/>
            <w:tcBorders>
              <w:top w:val="single" w:sz="4" w:space="0" w:color="auto"/>
              <w:left w:val="nil"/>
              <w:bottom w:val="single" w:sz="4" w:space="0" w:color="auto"/>
              <w:right w:val="single" w:sz="4" w:space="0" w:color="auto"/>
            </w:tcBorders>
            <w:vAlign w:val="center"/>
            <w:hideMark/>
          </w:tcPr>
          <w:p w14:paraId="4E410E24" w14:textId="77777777" w:rsidR="00F73D5B" w:rsidRPr="008B7A21" w:rsidRDefault="00F73D5B" w:rsidP="00767A6A">
            <w:pPr>
              <w:pStyle w:val="Tablehead"/>
              <w:rPr>
                <w:lang w:val="es-ES_tradnl"/>
              </w:rPr>
            </w:pPr>
            <w:r w:rsidRPr="008B7A21">
              <w:rPr>
                <w:lang w:val="es-ES_tradnl"/>
              </w:rPr>
              <w:t>Territorio de la Federación de Rusia</w:t>
            </w:r>
          </w:p>
        </w:tc>
        <w:tc>
          <w:tcPr>
            <w:tcW w:w="1729" w:type="dxa"/>
            <w:tcBorders>
              <w:top w:val="single" w:sz="4" w:space="0" w:color="auto"/>
              <w:left w:val="nil"/>
              <w:bottom w:val="single" w:sz="4" w:space="0" w:color="auto"/>
              <w:right w:val="single" w:sz="4" w:space="0" w:color="auto"/>
            </w:tcBorders>
            <w:vAlign w:val="center"/>
          </w:tcPr>
          <w:p w14:paraId="30C86926" w14:textId="77777777" w:rsidR="00F73D5B" w:rsidRPr="008B7A21" w:rsidRDefault="00F73D5B" w:rsidP="00767A6A">
            <w:pPr>
              <w:pStyle w:val="Tablehead"/>
              <w:rPr>
                <w:lang w:val="es-ES_tradnl"/>
              </w:rPr>
            </w:pPr>
            <w:r w:rsidRPr="008B7A21">
              <w:rPr>
                <w:lang w:val="es-ES_tradnl"/>
              </w:rPr>
              <w:t>Tamaño de bloque</w:t>
            </w:r>
            <w:r w:rsidRPr="008B7A21">
              <w:rPr>
                <w:lang w:val="es-ES_tradnl"/>
              </w:rPr>
              <w:br/>
              <w:t>(MHz)</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76AA21" w14:textId="77777777" w:rsidR="00F73D5B" w:rsidRPr="008B7A21" w:rsidRDefault="00F73D5B" w:rsidP="00767A6A">
            <w:pPr>
              <w:pStyle w:val="Tablehead"/>
              <w:rPr>
                <w:lang w:val="es-ES_tradnl"/>
              </w:rPr>
            </w:pPr>
            <w:r w:rsidRPr="008B7A21">
              <w:rPr>
                <w:lang w:val="es-ES_tradnl"/>
              </w:rPr>
              <w:t>Precio de reserva (millones de rublos)</w:t>
            </w:r>
          </w:p>
        </w:tc>
        <w:tc>
          <w:tcPr>
            <w:tcW w:w="1565" w:type="dxa"/>
            <w:tcBorders>
              <w:top w:val="single" w:sz="4" w:space="0" w:color="auto"/>
              <w:left w:val="nil"/>
              <w:bottom w:val="single" w:sz="4" w:space="0" w:color="auto"/>
              <w:right w:val="single" w:sz="4" w:space="0" w:color="auto"/>
            </w:tcBorders>
            <w:vAlign w:val="center"/>
          </w:tcPr>
          <w:p w14:paraId="4A6966DD" w14:textId="77777777" w:rsidR="00F73D5B" w:rsidRPr="008B7A21" w:rsidRDefault="00F73D5B" w:rsidP="00767A6A">
            <w:pPr>
              <w:pStyle w:val="Tablehead"/>
              <w:rPr>
                <w:lang w:val="es-ES_tradnl"/>
              </w:rPr>
            </w:pPr>
            <w:r w:rsidRPr="008B7A21">
              <w:rPr>
                <w:lang w:val="es-ES_tradnl"/>
              </w:rPr>
              <w:t>Precio de lote basado en resultados de licitación (millones de rublos)</w:t>
            </w:r>
          </w:p>
        </w:tc>
      </w:tr>
      <w:tr w:rsidR="008F628B" w:rsidRPr="008B7A21" w14:paraId="222C3D03" w14:textId="77777777" w:rsidTr="00AA0D97">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1626DB55" w14:textId="77777777" w:rsidR="008F628B" w:rsidRPr="008B7A21" w:rsidRDefault="008F628B" w:rsidP="00AA0D97">
            <w:pPr>
              <w:pStyle w:val="Tabletext"/>
              <w:jc w:val="center"/>
              <w:rPr>
                <w:lang w:val="es-ES_tradnl"/>
              </w:rPr>
            </w:pPr>
            <w:r w:rsidRPr="008B7A21">
              <w:rPr>
                <w:lang w:val="es-ES_tradnl"/>
              </w:rPr>
              <w:t>8</w:t>
            </w:r>
          </w:p>
        </w:tc>
        <w:tc>
          <w:tcPr>
            <w:tcW w:w="4143" w:type="dxa"/>
            <w:tcBorders>
              <w:top w:val="nil"/>
              <w:left w:val="nil"/>
              <w:bottom w:val="single" w:sz="4" w:space="0" w:color="auto"/>
              <w:right w:val="single" w:sz="4" w:space="0" w:color="auto"/>
            </w:tcBorders>
            <w:noWrap/>
            <w:vAlign w:val="center"/>
            <w:hideMark/>
          </w:tcPr>
          <w:p w14:paraId="6BB902A6" w14:textId="77777777" w:rsidR="008F628B" w:rsidRPr="008B7A21" w:rsidRDefault="008F628B" w:rsidP="00AA0D97">
            <w:pPr>
              <w:pStyle w:val="Tabletext"/>
              <w:rPr>
                <w:lang w:val="es-ES_tradnl"/>
              </w:rPr>
            </w:pPr>
            <w:r w:rsidRPr="008B7A21">
              <w:rPr>
                <w:lang w:val="es-ES_tradnl"/>
              </w:rPr>
              <w:t>Óblast de Vladimir</w:t>
            </w:r>
          </w:p>
        </w:tc>
        <w:tc>
          <w:tcPr>
            <w:tcW w:w="1729" w:type="dxa"/>
            <w:tcBorders>
              <w:top w:val="single" w:sz="4" w:space="0" w:color="auto"/>
              <w:left w:val="nil"/>
              <w:bottom w:val="single" w:sz="4" w:space="0" w:color="auto"/>
              <w:right w:val="single" w:sz="4" w:space="0" w:color="auto"/>
            </w:tcBorders>
          </w:tcPr>
          <w:p w14:paraId="33A7920B" w14:textId="77777777" w:rsidR="008F628B" w:rsidRPr="008B7A21" w:rsidRDefault="008F628B" w:rsidP="00AA0D97">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3E9A6DAA" w14:textId="77777777" w:rsidR="008F628B" w:rsidRPr="008B7A21" w:rsidRDefault="008F628B" w:rsidP="00AA0D97">
            <w:pPr>
              <w:pStyle w:val="Tabletext"/>
              <w:jc w:val="center"/>
              <w:rPr>
                <w:lang w:val="es-ES_tradnl"/>
              </w:rPr>
            </w:pPr>
            <w:r w:rsidRPr="008B7A21">
              <w:rPr>
                <w:lang w:val="es-ES_tradnl"/>
              </w:rPr>
              <w:t>31,3</w:t>
            </w:r>
          </w:p>
        </w:tc>
        <w:tc>
          <w:tcPr>
            <w:tcW w:w="1565" w:type="dxa"/>
            <w:tcBorders>
              <w:top w:val="nil"/>
              <w:left w:val="nil"/>
              <w:bottom w:val="single" w:sz="4" w:space="0" w:color="auto"/>
              <w:right w:val="single" w:sz="4" w:space="0" w:color="auto"/>
            </w:tcBorders>
            <w:vAlign w:val="center"/>
          </w:tcPr>
          <w:p w14:paraId="456DD90A" w14:textId="77777777" w:rsidR="008F628B" w:rsidRPr="008B7A21" w:rsidRDefault="008F628B" w:rsidP="00AA0D97">
            <w:pPr>
              <w:pStyle w:val="Tabletext"/>
              <w:jc w:val="center"/>
              <w:rPr>
                <w:lang w:val="es-ES_tradnl"/>
              </w:rPr>
            </w:pPr>
            <w:r w:rsidRPr="008B7A21">
              <w:rPr>
                <w:lang w:val="es-ES_tradnl"/>
              </w:rPr>
              <w:t>35,995</w:t>
            </w:r>
          </w:p>
        </w:tc>
      </w:tr>
      <w:tr w:rsidR="008F628B" w:rsidRPr="008B7A21" w14:paraId="3E7F5FE6" w14:textId="77777777" w:rsidTr="00AA0D97">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162D508B" w14:textId="77777777" w:rsidR="008F628B" w:rsidRPr="008B7A21" w:rsidRDefault="008F628B" w:rsidP="00AA0D97">
            <w:pPr>
              <w:pStyle w:val="Tabletext"/>
              <w:jc w:val="center"/>
              <w:rPr>
                <w:lang w:val="es-ES_tradnl"/>
              </w:rPr>
            </w:pPr>
            <w:r w:rsidRPr="008B7A21">
              <w:rPr>
                <w:lang w:val="es-ES_tradnl"/>
              </w:rPr>
              <w:t>9</w:t>
            </w:r>
          </w:p>
        </w:tc>
        <w:tc>
          <w:tcPr>
            <w:tcW w:w="4143" w:type="dxa"/>
            <w:tcBorders>
              <w:top w:val="nil"/>
              <w:left w:val="nil"/>
              <w:bottom w:val="single" w:sz="4" w:space="0" w:color="auto"/>
              <w:right w:val="single" w:sz="4" w:space="0" w:color="auto"/>
            </w:tcBorders>
            <w:noWrap/>
            <w:vAlign w:val="center"/>
            <w:hideMark/>
          </w:tcPr>
          <w:p w14:paraId="63779DAA" w14:textId="77777777" w:rsidR="008F628B" w:rsidRPr="008B7A21" w:rsidRDefault="008F628B" w:rsidP="00AA0D97">
            <w:pPr>
              <w:pStyle w:val="Tabletext"/>
              <w:rPr>
                <w:lang w:val="es-ES_tradnl"/>
              </w:rPr>
            </w:pPr>
            <w:r w:rsidRPr="008B7A21">
              <w:rPr>
                <w:lang w:val="es-ES_tradnl"/>
              </w:rPr>
              <w:t>Óblast de Volgogrado</w:t>
            </w:r>
          </w:p>
        </w:tc>
        <w:tc>
          <w:tcPr>
            <w:tcW w:w="1729" w:type="dxa"/>
            <w:tcBorders>
              <w:top w:val="single" w:sz="4" w:space="0" w:color="auto"/>
              <w:left w:val="nil"/>
              <w:bottom w:val="single" w:sz="4" w:space="0" w:color="auto"/>
              <w:right w:val="single" w:sz="4" w:space="0" w:color="auto"/>
            </w:tcBorders>
          </w:tcPr>
          <w:p w14:paraId="7EE8734C" w14:textId="77777777" w:rsidR="008F628B" w:rsidRPr="008B7A21" w:rsidRDefault="008F628B" w:rsidP="00AA0D97">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369C2412" w14:textId="77777777" w:rsidR="008F628B" w:rsidRPr="008B7A21" w:rsidRDefault="008F628B" w:rsidP="00AA0D97">
            <w:pPr>
              <w:pStyle w:val="Tabletext"/>
              <w:jc w:val="center"/>
              <w:rPr>
                <w:lang w:val="es-ES_tradnl"/>
              </w:rPr>
            </w:pPr>
            <w:r w:rsidRPr="008B7A21">
              <w:rPr>
                <w:lang w:val="es-ES_tradnl"/>
              </w:rPr>
              <w:t>58,1</w:t>
            </w:r>
          </w:p>
        </w:tc>
        <w:tc>
          <w:tcPr>
            <w:tcW w:w="1565" w:type="dxa"/>
            <w:tcBorders>
              <w:top w:val="nil"/>
              <w:left w:val="nil"/>
              <w:bottom w:val="single" w:sz="4" w:space="0" w:color="auto"/>
              <w:right w:val="single" w:sz="4" w:space="0" w:color="auto"/>
            </w:tcBorders>
            <w:vAlign w:val="center"/>
          </w:tcPr>
          <w:p w14:paraId="1F208AF3" w14:textId="77777777" w:rsidR="008F628B" w:rsidRPr="008B7A21" w:rsidRDefault="008F628B" w:rsidP="00AA0D97">
            <w:pPr>
              <w:pStyle w:val="Tabletext"/>
              <w:jc w:val="center"/>
              <w:rPr>
                <w:lang w:val="es-ES_tradnl"/>
              </w:rPr>
            </w:pPr>
            <w:r w:rsidRPr="008B7A21">
              <w:rPr>
                <w:lang w:val="es-ES_tradnl"/>
              </w:rPr>
              <w:t>69,72</w:t>
            </w:r>
          </w:p>
        </w:tc>
      </w:tr>
      <w:tr w:rsidR="00F73D5B" w:rsidRPr="008B7A21" w14:paraId="6D85FBDB"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268F552F" w14:textId="77777777" w:rsidR="00F73D5B" w:rsidRPr="008B7A21" w:rsidRDefault="00F73D5B" w:rsidP="00767A6A">
            <w:pPr>
              <w:pStyle w:val="Tabletext"/>
              <w:jc w:val="center"/>
              <w:rPr>
                <w:lang w:val="es-ES_tradnl"/>
              </w:rPr>
            </w:pPr>
            <w:r w:rsidRPr="008B7A21">
              <w:rPr>
                <w:lang w:val="es-ES_tradnl"/>
              </w:rPr>
              <w:t>10</w:t>
            </w:r>
          </w:p>
        </w:tc>
        <w:tc>
          <w:tcPr>
            <w:tcW w:w="4143" w:type="dxa"/>
            <w:tcBorders>
              <w:top w:val="nil"/>
              <w:left w:val="nil"/>
              <w:bottom w:val="single" w:sz="4" w:space="0" w:color="auto"/>
              <w:right w:val="single" w:sz="4" w:space="0" w:color="auto"/>
            </w:tcBorders>
            <w:noWrap/>
            <w:vAlign w:val="center"/>
            <w:hideMark/>
          </w:tcPr>
          <w:p w14:paraId="63C3B74D" w14:textId="77777777" w:rsidR="00F73D5B" w:rsidRPr="008B7A21" w:rsidRDefault="00F73D5B" w:rsidP="00767A6A">
            <w:pPr>
              <w:pStyle w:val="Tabletext"/>
              <w:rPr>
                <w:lang w:val="es-ES_tradnl"/>
              </w:rPr>
            </w:pPr>
            <w:r w:rsidRPr="008B7A21">
              <w:rPr>
                <w:lang w:val="es-ES_tradnl"/>
              </w:rPr>
              <w:t xml:space="preserve">Óblast de Vólogda </w:t>
            </w:r>
          </w:p>
        </w:tc>
        <w:tc>
          <w:tcPr>
            <w:tcW w:w="1729" w:type="dxa"/>
            <w:tcBorders>
              <w:top w:val="single" w:sz="4" w:space="0" w:color="auto"/>
              <w:left w:val="nil"/>
              <w:bottom w:val="single" w:sz="4" w:space="0" w:color="auto"/>
              <w:right w:val="single" w:sz="4" w:space="0" w:color="auto"/>
            </w:tcBorders>
          </w:tcPr>
          <w:p w14:paraId="665BECE5"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6F9C0AEB" w14:textId="77777777" w:rsidR="00F73D5B" w:rsidRPr="008B7A21" w:rsidRDefault="00F73D5B" w:rsidP="00767A6A">
            <w:pPr>
              <w:pStyle w:val="Tabletext"/>
              <w:jc w:val="center"/>
              <w:rPr>
                <w:lang w:val="es-ES_tradnl"/>
              </w:rPr>
            </w:pPr>
            <w:r w:rsidRPr="008B7A21">
              <w:rPr>
                <w:lang w:val="es-ES_tradnl"/>
              </w:rPr>
              <w:t>26,5</w:t>
            </w:r>
          </w:p>
        </w:tc>
        <w:tc>
          <w:tcPr>
            <w:tcW w:w="1565" w:type="dxa"/>
            <w:tcBorders>
              <w:top w:val="nil"/>
              <w:left w:val="nil"/>
              <w:bottom w:val="single" w:sz="4" w:space="0" w:color="auto"/>
              <w:right w:val="single" w:sz="4" w:space="0" w:color="auto"/>
            </w:tcBorders>
            <w:vAlign w:val="center"/>
          </w:tcPr>
          <w:p w14:paraId="505BD1A1" w14:textId="77777777" w:rsidR="00F73D5B" w:rsidRPr="008B7A21" w:rsidRDefault="00F73D5B" w:rsidP="00767A6A">
            <w:pPr>
              <w:pStyle w:val="Tabletext"/>
              <w:jc w:val="center"/>
              <w:rPr>
                <w:lang w:val="es-ES_tradnl"/>
              </w:rPr>
            </w:pPr>
            <w:r w:rsidRPr="008B7A21">
              <w:rPr>
                <w:lang w:val="es-ES_tradnl"/>
              </w:rPr>
              <w:t>27,825</w:t>
            </w:r>
          </w:p>
        </w:tc>
      </w:tr>
      <w:tr w:rsidR="00F73D5B" w:rsidRPr="008B7A21" w14:paraId="61415DB3"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481BEFC1" w14:textId="77777777" w:rsidR="00F73D5B" w:rsidRPr="008B7A21" w:rsidRDefault="00F73D5B" w:rsidP="00767A6A">
            <w:pPr>
              <w:pStyle w:val="Tabletext"/>
              <w:jc w:val="center"/>
              <w:rPr>
                <w:lang w:val="es-ES_tradnl"/>
              </w:rPr>
            </w:pPr>
            <w:r w:rsidRPr="008B7A21">
              <w:rPr>
                <w:lang w:val="es-ES_tradnl"/>
              </w:rPr>
              <w:t>11</w:t>
            </w:r>
          </w:p>
        </w:tc>
        <w:tc>
          <w:tcPr>
            <w:tcW w:w="4143" w:type="dxa"/>
            <w:tcBorders>
              <w:top w:val="nil"/>
              <w:left w:val="nil"/>
              <w:bottom w:val="single" w:sz="4" w:space="0" w:color="auto"/>
              <w:right w:val="single" w:sz="4" w:space="0" w:color="auto"/>
            </w:tcBorders>
            <w:noWrap/>
            <w:vAlign w:val="center"/>
            <w:hideMark/>
          </w:tcPr>
          <w:p w14:paraId="72C987DE" w14:textId="77777777" w:rsidR="00F73D5B" w:rsidRPr="008B7A21" w:rsidRDefault="00F73D5B" w:rsidP="00767A6A">
            <w:pPr>
              <w:pStyle w:val="Tabletext"/>
              <w:rPr>
                <w:lang w:val="es-ES_tradnl"/>
              </w:rPr>
            </w:pPr>
            <w:r w:rsidRPr="008B7A21">
              <w:rPr>
                <w:lang w:val="es-ES_tradnl"/>
              </w:rPr>
              <w:t>Óblast de Vorónezh</w:t>
            </w:r>
          </w:p>
        </w:tc>
        <w:tc>
          <w:tcPr>
            <w:tcW w:w="1729" w:type="dxa"/>
            <w:tcBorders>
              <w:top w:val="single" w:sz="4" w:space="0" w:color="auto"/>
              <w:left w:val="nil"/>
              <w:bottom w:val="single" w:sz="4" w:space="0" w:color="auto"/>
              <w:right w:val="single" w:sz="4" w:space="0" w:color="auto"/>
            </w:tcBorders>
          </w:tcPr>
          <w:p w14:paraId="386E37CD"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775F7987" w14:textId="77777777" w:rsidR="00F73D5B" w:rsidRPr="008B7A21" w:rsidRDefault="00F73D5B" w:rsidP="00767A6A">
            <w:pPr>
              <w:pStyle w:val="Tabletext"/>
              <w:jc w:val="center"/>
              <w:rPr>
                <w:lang w:val="es-ES_tradnl"/>
              </w:rPr>
            </w:pPr>
            <w:r w:rsidRPr="008B7A21">
              <w:rPr>
                <w:lang w:val="es-ES_tradnl"/>
              </w:rPr>
              <w:t>51,4</w:t>
            </w:r>
          </w:p>
        </w:tc>
        <w:tc>
          <w:tcPr>
            <w:tcW w:w="1565" w:type="dxa"/>
            <w:tcBorders>
              <w:top w:val="nil"/>
              <w:left w:val="nil"/>
              <w:bottom w:val="single" w:sz="4" w:space="0" w:color="auto"/>
              <w:right w:val="single" w:sz="4" w:space="0" w:color="auto"/>
            </w:tcBorders>
            <w:vAlign w:val="center"/>
          </w:tcPr>
          <w:p w14:paraId="24C629E1" w14:textId="77777777" w:rsidR="00F73D5B" w:rsidRPr="008B7A21" w:rsidRDefault="00F73D5B" w:rsidP="00767A6A">
            <w:pPr>
              <w:pStyle w:val="Tabletext"/>
              <w:jc w:val="center"/>
              <w:rPr>
                <w:lang w:val="es-ES_tradnl"/>
              </w:rPr>
            </w:pPr>
            <w:r w:rsidRPr="008B7A21">
              <w:rPr>
                <w:lang w:val="es-ES_tradnl"/>
              </w:rPr>
              <w:t>69,39</w:t>
            </w:r>
          </w:p>
        </w:tc>
      </w:tr>
      <w:tr w:rsidR="00F73D5B" w:rsidRPr="008B7A21" w14:paraId="478AA96B"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23B48860" w14:textId="77777777" w:rsidR="00F73D5B" w:rsidRPr="008B7A21" w:rsidRDefault="00F73D5B" w:rsidP="00767A6A">
            <w:pPr>
              <w:pStyle w:val="Tabletext"/>
              <w:jc w:val="center"/>
              <w:rPr>
                <w:lang w:val="es-ES_tradnl"/>
              </w:rPr>
            </w:pPr>
            <w:r w:rsidRPr="008B7A21">
              <w:rPr>
                <w:lang w:val="es-ES_tradnl"/>
              </w:rPr>
              <w:t>12</w:t>
            </w:r>
          </w:p>
        </w:tc>
        <w:tc>
          <w:tcPr>
            <w:tcW w:w="4143" w:type="dxa"/>
            <w:tcBorders>
              <w:top w:val="nil"/>
              <w:left w:val="nil"/>
              <w:bottom w:val="single" w:sz="4" w:space="0" w:color="auto"/>
              <w:right w:val="single" w:sz="4" w:space="0" w:color="auto"/>
            </w:tcBorders>
            <w:noWrap/>
            <w:vAlign w:val="center"/>
            <w:hideMark/>
          </w:tcPr>
          <w:p w14:paraId="5FE09760" w14:textId="77777777" w:rsidR="00F73D5B" w:rsidRPr="008B7A21" w:rsidRDefault="00F73D5B" w:rsidP="00767A6A">
            <w:pPr>
              <w:pStyle w:val="Tabletext"/>
              <w:rPr>
                <w:lang w:val="es-ES_tradnl"/>
              </w:rPr>
            </w:pPr>
            <w:r w:rsidRPr="008B7A21">
              <w:rPr>
                <w:lang w:val="es-ES_tradnl"/>
              </w:rPr>
              <w:t xml:space="preserve">San Petersburgo </w:t>
            </w:r>
          </w:p>
        </w:tc>
        <w:tc>
          <w:tcPr>
            <w:tcW w:w="1729" w:type="dxa"/>
            <w:tcBorders>
              <w:top w:val="single" w:sz="4" w:space="0" w:color="auto"/>
              <w:left w:val="nil"/>
              <w:bottom w:val="single" w:sz="4" w:space="0" w:color="auto"/>
              <w:right w:val="single" w:sz="4" w:space="0" w:color="auto"/>
            </w:tcBorders>
          </w:tcPr>
          <w:p w14:paraId="461C292C"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41645B05" w14:textId="77777777" w:rsidR="00F73D5B" w:rsidRPr="008B7A21" w:rsidRDefault="00F73D5B" w:rsidP="00767A6A">
            <w:pPr>
              <w:pStyle w:val="Tabletext"/>
              <w:jc w:val="center"/>
              <w:rPr>
                <w:lang w:val="es-ES_tradnl"/>
              </w:rPr>
            </w:pPr>
            <w:r w:rsidRPr="008B7A21">
              <w:rPr>
                <w:lang w:val="es-ES_tradnl"/>
              </w:rPr>
              <w:t>134,3</w:t>
            </w:r>
          </w:p>
        </w:tc>
        <w:tc>
          <w:tcPr>
            <w:tcW w:w="1565" w:type="dxa"/>
            <w:tcBorders>
              <w:top w:val="nil"/>
              <w:left w:val="nil"/>
              <w:bottom w:val="single" w:sz="4" w:space="0" w:color="auto"/>
              <w:right w:val="single" w:sz="4" w:space="0" w:color="auto"/>
            </w:tcBorders>
            <w:vAlign w:val="center"/>
          </w:tcPr>
          <w:p w14:paraId="4204A715" w14:textId="77777777" w:rsidR="00F73D5B" w:rsidRPr="008B7A21" w:rsidRDefault="00F73D5B" w:rsidP="00767A6A">
            <w:pPr>
              <w:pStyle w:val="Tabletext"/>
              <w:jc w:val="center"/>
              <w:rPr>
                <w:lang w:val="es-ES_tradnl"/>
              </w:rPr>
            </w:pPr>
            <w:r w:rsidRPr="008B7A21">
              <w:rPr>
                <w:lang w:val="es-ES_tradnl"/>
              </w:rPr>
              <w:t>456,62</w:t>
            </w:r>
          </w:p>
        </w:tc>
      </w:tr>
      <w:tr w:rsidR="00F73D5B" w:rsidRPr="008B7A21" w14:paraId="4814ABCD"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2D925114" w14:textId="77777777" w:rsidR="00F73D5B" w:rsidRPr="008B7A21" w:rsidRDefault="00F73D5B" w:rsidP="00767A6A">
            <w:pPr>
              <w:pStyle w:val="Tabletext"/>
              <w:jc w:val="center"/>
              <w:rPr>
                <w:lang w:val="es-ES_tradnl"/>
              </w:rPr>
            </w:pPr>
            <w:r w:rsidRPr="008B7A21">
              <w:rPr>
                <w:lang w:val="es-ES_tradnl"/>
              </w:rPr>
              <w:t>13</w:t>
            </w:r>
          </w:p>
        </w:tc>
        <w:tc>
          <w:tcPr>
            <w:tcW w:w="4143" w:type="dxa"/>
            <w:tcBorders>
              <w:top w:val="nil"/>
              <w:left w:val="nil"/>
              <w:bottom w:val="single" w:sz="4" w:space="0" w:color="auto"/>
              <w:right w:val="single" w:sz="4" w:space="0" w:color="auto"/>
            </w:tcBorders>
            <w:noWrap/>
            <w:vAlign w:val="center"/>
            <w:hideMark/>
          </w:tcPr>
          <w:p w14:paraId="613D329F" w14:textId="77777777" w:rsidR="00F73D5B" w:rsidRPr="008B7A21" w:rsidRDefault="00F73D5B" w:rsidP="00767A6A">
            <w:pPr>
              <w:pStyle w:val="Tabletext"/>
              <w:rPr>
                <w:lang w:val="es-ES_tradnl"/>
              </w:rPr>
            </w:pPr>
            <w:r w:rsidRPr="008B7A21">
              <w:rPr>
                <w:lang w:val="es-ES_tradnl"/>
              </w:rPr>
              <w:t>Óblast Autónomo Hebreo</w:t>
            </w:r>
          </w:p>
        </w:tc>
        <w:tc>
          <w:tcPr>
            <w:tcW w:w="1729" w:type="dxa"/>
            <w:tcBorders>
              <w:top w:val="single" w:sz="4" w:space="0" w:color="auto"/>
              <w:left w:val="nil"/>
              <w:bottom w:val="single" w:sz="4" w:space="0" w:color="auto"/>
              <w:right w:val="single" w:sz="4" w:space="0" w:color="auto"/>
            </w:tcBorders>
          </w:tcPr>
          <w:p w14:paraId="03CBED1C"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4153FB80" w14:textId="77777777" w:rsidR="00F73D5B" w:rsidRPr="008B7A21" w:rsidRDefault="00F73D5B" w:rsidP="00767A6A">
            <w:pPr>
              <w:pStyle w:val="Tabletext"/>
              <w:jc w:val="center"/>
              <w:rPr>
                <w:lang w:val="es-ES_tradnl"/>
              </w:rPr>
            </w:pPr>
            <w:r w:rsidRPr="008B7A21">
              <w:rPr>
                <w:lang w:val="es-ES_tradnl"/>
              </w:rPr>
              <w:t>3,8</w:t>
            </w:r>
          </w:p>
        </w:tc>
        <w:tc>
          <w:tcPr>
            <w:tcW w:w="1565" w:type="dxa"/>
            <w:tcBorders>
              <w:top w:val="nil"/>
              <w:left w:val="nil"/>
              <w:bottom w:val="single" w:sz="4" w:space="0" w:color="auto"/>
              <w:right w:val="single" w:sz="4" w:space="0" w:color="auto"/>
            </w:tcBorders>
            <w:vAlign w:val="center"/>
          </w:tcPr>
          <w:p w14:paraId="4DE43D68" w14:textId="77777777" w:rsidR="00F73D5B" w:rsidRPr="008B7A21" w:rsidRDefault="00F73D5B" w:rsidP="00767A6A">
            <w:pPr>
              <w:pStyle w:val="Tabletext"/>
              <w:jc w:val="center"/>
              <w:rPr>
                <w:lang w:val="es-ES_tradnl"/>
              </w:rPr>
            </w:pPr>
            <w:r w:rsidRPr="008B7A21">
              <w:rPr>
                <w:lang w:val="es-ES_tradnl"/>
              </w:rPr>
              <w:t>-</w:t>
            </w:r>
          </w:p>
        </w:tc>
      </w:tr>
      <w:tr w:rsidR="00F73D5B" w:rsidRPr="008B7A21" w14:paraId="05324751"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5C0FBC53" w14:textId="77777777" w:rsidR="00F73D5B" w:rsidRPr="008B7A21" w:rsidRDefault="00F73D5B" w:rsidP="00767A6A">
            <w:pPr>
              <w:pStyle w:val="Tabletext"/>
              <w:jc w:val="center"/>
              <w:rPr>
                <w:lang w:val="es-ES_tradnl"/>
              </w:rPr>
            </w:pPr>
            <w:r w:rsidRPr="008B7A21">
              <w:rPr>
                <w:lang w:val="es-ES_tradnl"/>
              </w:rPr>
              <w:t>14</w:t>
            </w:r>
          </w:p>
        </w:tc>
        <w:tc>
          <w:tcPr>
            <w:tcW w:w="4143" w:type="dxa"/>
            <w:tcBorders>
              <w:top w:val="nil"/>
              <w:left w:val="nil"/>
              <w:bottom w:val="single" w:sz="4" w:space="0" w:color="auto"/>
              <w:right w:val="single" w:sz="4" w:space="0" w:color="auto"/>
            </w:tcBorders>
            <w:noWrap/>
            <w:vAlign w:val="center"/>
            <w:hideMark/>
          </w:tcPr>
          <w:p w14:paraId="62B8A8B9" w14:textId="77777777" w:rsidR="00F73D5B" w:rsidRPr="008B7A21" w:rsidRDefault="00F73D5B" w:rsidP="00767A6A">
            <w:pPr>
              <w:pStyle w:val="Tabletext"/>
              <w:rPr>
                <w:lang w:val="es-ES_tradnl"/>
              </w:rPr>
            </w:pPr>
            <w:r w:rsidRPr="008B7A21">
              <w:rPr>
                <w:lang w:val="es-ES_tradnl"/>
              </w:rPr>
              <w:t>Krai de Zabaikalie</w:t>
            </w:r>
          </w:p>
        </w:tc>
        <w:tc>
          <w:tcPr>
            <w:tcW w:w="1729" w:type="dxa"/>
            <w:tcBorders>
              <w:top w:val="single" w:sz="4" w:space="0" w:color="auto"/>
              <w:left w:val="nil"/>
              <w:bottom w:val="single" w:sz="4" w:space="0" w:color="auto"/>
              <w:right w:val="single" w:sz="4" w:space="0" w:color="auto"/>
            </w:tcBorders>
          </w:tcPr>
          <w:p w14:paraId="612DA29D"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2EC43FF8" w14:textId="77777777" w:rsidR="00F73D5B" w:rsidRPr="008B7A21" w:rsidRDefault="00F73D5B" w:rsidP="00767A6A">
            <w:pPr>
              <w:pStyle w:val="Tabletext"/>
              <w:jc w:val="center"/>
              <w:rPr>
                <w:lang w:val="es-ES_tradnl"/>
              </w:rPr>
            </w:pPr>
            <w:r w:rsidRPr="008B7A21">
              <w:rPr>
                <w:lang w:val="es-ES_tradnl"/>
              </w:rPr>
              <w:t>24,9</w:t>
            </w:r>
          </w:p>
        </w:tc>
        <w:tc>
          <w:tcPr>
            <w:tcW w:w="1565" w:type="dxa"/>
            <w:tcBorders>
              <w:top w:val="nil"/>
              <w:left w:val="nil"/>
              <w:bottom w:val="single" w:sz="4" w:space="0" w:color="auto"/>
              <w:right w:val="single" w:sz="4" w:space="0" w:color="auto"/>
            </w:tcBorders>
            <w:vAlign w:val="center"/>
          </w:tcPr>
          <w:p w14:paraId="39D6EC41" w14:textId="77777777" w:rsidR="00F73D5B" w:rsidRPr="008B7A21" w:rsidRDefault="00F73D5B" w:rsidP="00767A6A">
            <w:pPr>
              <w:pStyle w:val="Tabletext"/>
              <w:jc w:val="center"/>
              <w:rPr>
                <w:lang w:val="es-ES_tradnl"/>
              </w:rPr>
            </w:pPr>
            <w:r w:rsidRPr="008B7A21">
              <w:rPr>
                <w:lang w:val="es-ES_tradnl"/>
              </w:rPr>
              <w:t>26,145</w:t>
            </w:r>
          </w:p>
        </w:tc>
      </w:tr>
      <w:tr w:rsidR="00F73D5B" w:rsidRPr="008B7A21" w14:paraId="7CFA25D3"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74E6AFC3" w14:textId="77777777" w:rsidR="00F73D5B" w:rsidRPr="008B7A21" w:rsidRDefault="00F73D5B" w:rsidP="00767A6A">
            <w:pPr>
              <w:pStyle w:val="Tabletext"/>
              <w:jc w:val="center"/>
              <w:rPr>
                <w:lang w:val="es-ES_tradnl"/>
              </w:rPr>
            </w:pPr>
            <w:r w:rsidRPr="008B7A21">
              <w:rPr>
                <w:lang w:val="es-ES_tradnl"/>
              </w:rPr>
              <w:t>15</w:t>
            </w:r>
          </w:p>
        </w:tc>
        <w:tc>
          <w:tcPr>
            <w:tcW w:w="4143" w:type="dxa"/>
            <w:tcBorders>
              <w:top w:val="nil"/>
              <w:left w:val="nil"/>
              <w:bottom w:val="single" w:sz="4" w:space="0" w:color="auto"/>
              <w:right w:val="single" w:sz="4" w:space="0" w:color="auto"/>
            </w:tcBorders>
            <w:noWrap/>
            <w:vAlign w:val="center"/>
            <w:hideMark/>
          </w:tcPr>
          <w:p w14:paraId="50F1B4AA" w14:textId="77777777" w:rsidR="00F73D5B" w:rsidRPr="008B7A21" w:rsidRDefault="00F73D5B" w:rsidP="00767A6A">
            <w:pPr>
              <w:pStyle w:val="Tabletext"/>
              <w:rPr>
                <w:lang w:val="es-ES_tradnl"/>
              </w:rPr>
            </w:pPr>
            <w:r w:rsidRPr="008B7A21">
              <w:rPr>
                <w:lang w:val="es-ES_tradnl"/>
              </w:rPr>
              <w:t>Óblast de Ivánovo</w:t>
            </w:r>
          </w:p>
        </w:tc>
        <w:tc>
          <w:tcPr>
            <w:tcW w:w="1729" w:type="dxa"/>
            <w:tcBorders>
              <w:top w:val="single" w:sz="4" w:space="0" w:color="auto"/>
              <w:left w:val="nil"/>
              <w:bottom w:val="single" w:sz="4" w:space="0" w:color="auto"/>
              <w:right w:val="single" w:sz="4" w:space="0" w:color="auto"/>
            </w:tcBorders>
          </w:tcPr>
          <w:p w14:paraId="63ACBC17"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74B8B27E" w14:textId="77777777" w:rsidR="00F73D5B" w:rsidRPr="008B7A21" w:rsidRDefault="00F73D5B" w:rsidP="00767A6A">
            <w:pPr>
              <w:pStyle w:val="Tabletext"/>
              <w:jc w:val="center"/>
              <w:rPr>
                <w:lang w:val="es-ES_tradnl"/>
              </w:rPr>
            </w:pPr>
            <w:r w:rsidRPr="008B7A21">
              <w:rPr>
                <w:lang w:val="es-ES_tradnl"/>
              </w:rPr>
              <w:t>23,2</w:t>
            </w:r>
          </w:p>
        </w:tc>
        <w:tc>
          <w:tcPr>
            <w:tcW w:w="1565" w:type="dxa"/>
            <w:tcBorders>
              <w:top w:val="nil"/>
              <w:left w:val="nil"/>
              <w:bottom w:val="single" w:sz="4" w:space="0" w:color="auto"/>
              <w:right w:val="single" w:sz="4" w:space="0" w:color="auto"/>
            </w:tcBorders>
            <w:vAlign w:val="center"/>
          </w:tcPr>
          <w:p w14:paraId="6CA47A71" w14:textId="77777777" w:rsidR="00F73D5B" w:rsidRPr="008B7A21" w:rsidRDefault="00F73D5B" w:rsidP="00767A6A">
            <w:pPr>
              <w:pStyle w:val="Tabletext"/>
              <w:jc w:val="center"/>
              <w:rPr>
                <w:lang w:val="es-ES_tradnl"/>
              </w:rPr>
            </w:pPr>
            <w:r w:rsidRPr="008B7A21">
              <w:rPr>
                <w:lang w:val="es-ES_tradnl"/>
              </w:rPr>
              <w:t>25,52</w:t>
            </w:r>
          </w:p>
        </w:tc>
      </w:tr>
      <w:tr w:rsidR="00F73D5B" w:rsidRPr="008B7A21" w14:paraId="3F699956"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238A1BB2" w14:textId="77777777" w:rsidR="00F73D5B" w:rsidRPr="008B7A21" w:rsidRDefault="00F73D5B" w:rsidP="00767A6A">
            <w:pPr>
              <w:pStyle w:val="Tabletext"/>
              <w:jc w:val="center"/>
              <w:rPr>
                <w:lang w:val="es-ES_tradnl"/>
              </w:rPr>
            </w:pPr>
            <w:r w:rsidRPr="008B7A21">
              <w:rPr>
                <w:lang w:val="es-ES_tradnl"/>
              </w:rPr>
              <w:t>16</w:t>
            </w:r>
          </w:p>
        </w:tc>
        <w:tc>
          <w:tcPr>
            <w:tcW w:w="4143" w:type="dxa"/>
            <w:tcBorders>
              <w:top w:val="nil"/>
              <w:left w:val="nil"/>
              <w:bottom w:val="single" w:sz="4" w:space="0" w:color="auto"/>
              <w:right w:val="single" w:sz="4" w:space="0" w:color="auto"/>
            </w:tcBorders>
            <w:noWrap/>
            <w:vAlign w:val="center"/>
            <w:hideMark/>
          </w:tcPr>
          <w:p w14:paraId="045541E0" w14:textId="77777777" w:rsidR="00F73D5B" w:rsidRPr="008B7A21" w:rsidRDefault="00F73D5B" w:rsidP="00767A6A">
            <w:pPr>
              <w:pStyle w:val="Tabletext"/>
              <w:rPr>
                <w:lang w:val="es-ES_tradnl"/>
              </w:rPr>
            </w:pPr>
            <w:r w:rsidRPr="008B7A21">
              <w:rPr>
                <w:lang w:val="es-ES_tradnl"/>
              </w:rPr>
              <w:t>Óblast de Irkutsk</w:t>
            </w:r>
          </w:p>
        </w:tc>
        <w:tc>
          <w:tcPr>
            <w:tcW w:w="1729" w:type="dxa"/>
            <w:tcBorders>
              <w:top w:val="single" w:sz="4" w:space="0" w:color="auto"/>
              <w:left w:val="nil"/>
              <w:bottom w:val="single" w:sz="4" w:space="0" w:color="auto"/>
              <w:right w:val="single" w:sz="4" w:space="0" w:color="auto"/>
            </w:tcBorders>
          </w:tcPr>
          <w:p w14:paraId="55CCE96B"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31238CCE" w14:textId="77777777" w:rsidR="00F73D5B" w:rsidRPr="008B7A21" w:rsidRDefault="00F73D5B" w:rsidP="00767A6A">
            <w:pPr>
              <w:pStyle w:val="Tabletext"/>
              <w:jc w:val="center"/>
              <w:rPr>
                <w:lang w:val="es-ES_tradnl"/>
              </w:rPr>
            </w:pPr>
            <w:r w:rsidRPr="008B7A21">
              <w:rPr>
                <w:lang w:val="es-ES_tradnl"/>
              </w:rPr>
              <w:t>56,4</w:t>
            </w:r>
          </w:p>
        </w:tc>
        <w:tc>
          <w:tcPr>
            <w:tcW w:w="1565" w:type="dxa"/>
            <w:tcBorders>
              <w:top w:val="nil"/>
              <w:left w:val="nil"/>
              <w:bottom w:val="single" w:sz="4" w:space="0" w:color="auto"/>
              <w:right w:val="single" w:sz="4" w:space="0" w:color="auto"/>
            </w:tcBorders>
            <w:vAlign w:val="center"/>
          </w:tcPr>
          <w:p w14:paraId="3BDD99FF" w14:textId="77777777" w:rsidR="00F73D5B" w:rsidRPr="008B7A21" w:rsidRDefault="00F73D5B" w:rsidP="00767A6A">
            <w:pPr>
              <w:pStyle w:val="Tabletext"/>
              <w:jc w:val="center"/>
              <w:rPr>
                <w:lang w:val="es-ES_tradnl"/>
              </w:rPr>
            </w:pPr>
            <w:r w:rsidRPr="008B7A21">
              <w:rPr>
                <w:lang w:val="es-ES_tradnl"/>
              </w:rPr>
              <w:t>64,86</w:t>
            </w:r>
          </w:p>
        </w:tc>
      </w:tr>
      <w:tr w:rsidR="00F73D5B" w:rsidRPr="008B7A21" w14:paraId="00D7B824"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512C5FF1" w14:textId="77777777" w:rsidR="00F73D5B" w:rsidRPr="008B7A21" w:rsidRDefault="00F73D5B" w:rsidP="00767A6A">
            <w:pPr>
              <w:pStyle w:val="Tabletext"/>
              <w:jc w:val="center"/>
              <w:rPr>
                <w:lang w:val="es-ES_tradnl"/>
              </w:rPr>
            </w:pPr>
            <w:r w:rsidRPr="008B7A21">
              <w:rPr>
                <w:lang w:val="es-ES_tradnl"/>
              </w:rPr>
              <w:t>17</w:t>
            </w:r>
          </w:p>
        </w:tc>
        <w:tc>
          <w:tcPr>
            <w:tcW w:w="4143" w:type="dxa"/>
            <w:tcBorders>
              <w:top w:val="nil"/>
              <w:left w:val="nil"/>
              <w:bottom w:val="single" w:sz="4" w:space="0" w:color="auto"/>
              <w:right w:val="single" w:sz="4" w:space="0" w:color="auto"/>
            </w:tcBorders>
            <w:noWrap/>
            <w:vAlign w:val="center"/>
            <w:hideMark/>
          </w:tcPr>
          <w:p w14:paraId="2E698960" w14:textId="77777777" w:rsidR="00F73D5B" w:rsidRPr="008B7A21" w:rsidRDefault="00F73D5B" w:rsidP="00767A6A">
            <w:pPr>
              <w:pStyle w:val="Tabletext"/>
              <w:rPr>
                <w:lang w:val="es-ES_tradnl"/>
              </w:rPr>
            </w:pPr>
            <w:r w:rsidRPr="008B7A21">
              <w:rPr>
                <w:lang w:val="es-ES_tradnl"/>
              </w:rPr>
              <w:t>La República de Kabardia-Balkaria</w:t>
            </w:r>
          </w:p>
        </w:tc>
        <w:tc>
          <w:tcPr>
            <w:tcW w:w="1729" w:type="dxa"/>
            <w:tcBorders>
              <w:top w:val="single" w:sz="4" w:space="0" w:color="auto"/>
              <w:left w:val="nil"/>
              <w:bottom w:val="single" w:sz="4" w:space="0" w:color="auto"/>
              <w:right w:val="single" w:sz="4" w:space="0" w:color="auto"/>
            </w:tcBorders>
          </w:tcPr>
          <w:p w14:paraId="21C80623"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11A03386" w14:textId="77777777" w:rsidR="00F73D5B" w:rsidRPr="008B7A21" w:rsidRDefault="00F73D5B" w:rsidP="00767A6A">
            <w:pPr>
              <w:pStyle w:val="Tabletext"/>
              <w:jc w:val="center"/>
              <w:rPr>
                <w:lang w:val="es-ES_tradnl"/>
              </w:rPr>
            </w:pPr>
            <w:r w:rsidRPr="008B7A21">
              <w:rPr>
                <w:lang w:val="es-ES_tradnl"/>
              </w:rPr>
              <w:t>16,5</w:t>
            </w:r>
          </w:p>
        </w:tc>
        <w:tc>
          <w:tcPr>
            <w:tcW w:w="1565" w:type="dxa"/>
            <w:tcBorders>
              <w:top w:val="nil"/>
              <w:left w:val="nil"/>
              <w:bottom w:val="single" w:sz="4" w:space="0" w:color="auto"/>
              <w:right w:val="single" w:sz="4" w:space="0" w:color="auto"/>
            </w:tcBorders>
            <w:vAlign w:val="center"/>
          </w:tcPr>
          <w:p w14:paraId="49E5681B" w14:textId="77777777" w:rsidR="00F73D5B" w:rsidRPr="008B7A21" w:rsidRDefault="00F73D5B" w:rsidP="00767A6A">
            <w:pPr>
              <w:pStyle w:val="Tabletext"/>
              <w:jc w:val="center"/>
              <w:rPr>
                <w:lang w:val="es-ES_tradnl"/>
              </w:rPr>
            </w:pPr>
            <w:r w:rsidRPr="008B7A21">
              <w:rPr>
                <w:lang w:val="es-ES_tradnl"/>
              </w:rPr>
              <w:t>18,975</w:t>
            </w:r>
          </w:p>
        </w:tc>
      </w:tr>
      <w:tr w:rsidR="00F73D5B" w:rsidRPr="008B7A21" w14:paraId="4BC58282"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6EBFF8DE" w14:textId="77777777" w:rsidR="00F73D5B" w:rsidRPr="008B7A21" w:rsidRDefault="00F73D5B" w:rsidP="00767A6A">
            <w:pPr>
              <w:pStyle w:val="Tabletext"/>
              <w:jc w:val="center"/>
              <w:rPr>
                <w:lang w:val="es-ES_tradnl"/>
              </w:rPr>
            </w:pPr>
            <w:r w:rsidRPr="008B7A21">
              <w:rPr>
                <w:lang w:val="es-ES_tradnl"/>
              </w:rPr>
              <w:t>18</w:t>
            </w:r>
          </w:p>
        </w:tc>
        <w:tc>
          <w:tcPr>
            <w:tcW w:w="4143" w:type="dxa"/>
            <w:tcBorders>
              <w:top w:val="nil"/>
              <w:left w:val="nil"/>
              <w:bottom w:val="single" w:sz="4" w:space="0" w:color="auto"/>
              <w:right w:val="single" w:sz="4" w:space="0" w:color="auto"/>
            </w:tcBorders>
            <w:noWrap/>
            <w:vAlign w:val="center"/>
            <w:hideMark/>
          </w:tcPr>
          <w:p w14:paraId="55BB5AE7" w14:textId="77777777" w:rsidR="00F73D5B" w:rsidRPr="008B7A21" w:rsidRDefault="00F73D5B" w:rsidP="00767A6A">
            <w:pPr>
              <w:pStyle w:val="Tabletext"/>
              <w:rPr>
                <w:lang w:val="es-ES_tradnl"/>
              </w:rPr>
            </w:pPr>
            <w:r w:rsidRPr="008B7A21">
              <w:rPr>
                <w:lang w:val="es-ES_tradnl"/>
              </w:rPr>
              <w:t>Óblast de Kaliningrado</w:t>
            </w:r>
          </w:p>
        </w:tc>
        <w:tc>
          <w:tcPr>
            <w:tcW w:w="1729" w:type="dxa"/>
            <w:tcBorders>
              <w:top w:val="single" w:sz="4" w:space="0" w:color="auto"/>
              <w:left w:val="nil"/>
              <w:bottom w:val="single" w:sz="4" w:space="0" w:color="auto"/>
              <w:right w:val="single" w:sz="4" w:space="0" w:color="auto"/>
            </w:tcBorders>
          </w:tcPr>
          <w:p w14:paraId="0F9B37D9"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50BA30D6" w14:textId="77777777" w:rsidR="00F73D5B" w:rsidRPr="008B7A21" w:rsidRDefault="00F73D5B" w:rsidP="00767A6A">
            <w:pPr>
              <w:pStyle w:val="Tabletext"/>
              <w:jc w:val="center"/>
              <w:rPr>
                <w:lang w:val="es-ES_tradnl"/>
              </w:rPr>
            </w:pPr>
            <w:r w:rsidRPr="008B7A21">
              <w:rPr>
                <w:lang w:val="es-ES_tradnl"/>
              </w:rPr>
              <w:t>22,1</w:t>
            </w:r>
          </w:p>
        </w:tc>
        <w:tc>
          <w:tcPr>
            <w:tcW w:w="1565" w:type="dxa"/>
            <w:tcBorders>
              <w:top w:val="nil"/>
              <w:left w:val="nil"/>
              <w:bottom w:val="single" w:sz="4" w:space="0" w:color="auto"/>
              <w:right w:val="single" w:sz="4" w:space="0" w:color="auto"/>
            </w:tcBorders>
            <w:vAlign w:val="center"/>
          </w:tcPr>
          <w:p w14:paraId="11F053A4" w14:textId="77777777" w:rsidR="00F73D5B" w:rsidRPr="008B7A21" w:rsidRDefault="00F73D5B" w:rsidP="00767A6A">
            <w:pPr>
              <w:pStyle w:val="Tabletext"/>
              <w:jc w:val="center"/>
              <w:rPr>
                <w:lang w:val="es-ES_tradnl"/>
              </w:rPr>
            </w:pPr>
            <w:r w:rsidRPr="008B7A21">
              <w:rPr>
                <w:lang w:val="es-ES_tradnl"/>
              </w:rPr>
              <w:t>25,415</w:t>
            </w:r>
          </w:p>
        </w:tc>
      </w:tr>
      <w:tr w:rsidR="00F73D5B" w:rsidRPr="008B7A21" w14:paraId="188B71EE"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732C9D73" w14:textId="77777777" w:rsidR="00F73D5B" w:rsidRPr="008B7A21" w:rsidRDefault="00F73D5B" w:rsidP="00767A6A">
            <w:pPr>
              <w:pStyle w:val="Tabletext"/>
              <w:jc w:val="center"/>
              <w:rPr>
                <w:lang w:val="es-ES_tradnl"/>
              </w:rPr>
            </w:pPr>
            <w:r w:rsidRPr="008B7A21">
              <w:rPr>
                <w:lang w:val="es-ES_tradnl"/>
              </w:rPr>
              <w:t>19</w:t>
            </w:r>
          </w:p>
        </w:tc>
        <w:tc>
          <w:tcPr>
            <w:tcW w:w="4143" w:type="dxa"/>
            <w:tcBorders>
              <w:top w:val="nil"/>
              <w:left w:val="nil"/>
              <w:bottom w:val="single" w:sz="4" w:space="0" w:color="auto"/>
              <w:right w:val="single" w:sz="4" w:space="0" w:color="auto"/>
            </w:tcBorders>
            <w:noWrap/>
            <w:vAlign w:val="center"/>
            <w:hideMark/>
          </w:tcPr>
          <w:p w14:paraId="11A13805" w14:textId="77777777" w:rsidR="00F73D5B" w:rsidRPr="008B7A21" w:rsidRDefault="00F73D5B" w:rsidP="00767A6A">
            <w:pPr>
              <w:pStyle w:val="Tabletext"/>
              <w:rPr>
                <w:lang w:val="es-ES_tradnl"/>
              </w:rPr>
            </w:pPr>
            <w:r w:rsidRPr="008B7A21">
              <w:rPr>
                <w:lang w:val="es-ES_tradnl"/>
              </w:rPr>
              <w:t xml:space="preserve">Óblast de Kaluga </w:t>
            </w:r>
          </w:p>
        </w:tc>
        <w:tc>
          <w:tcPr>
            <w:tcW w:w="1729" w:type="dxa"/>
            <w:tcBorders>
              <w:top w:val="single" w:sz="4" w:space="0" w:color="auto"/>
              <w:left w:val="nil"/>
              <w:bottom w:val="single" w:sz="4" w:space="0" w:color="auto"/>
              <w:right w:val="single" w:sz="4" w:space="0" w:color="auto"/>
            </w:tcBorders>
          </w:tcPr>
          <w:p w14:paraId="70EED960"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1616359C" w14:textId="77777777" w:rsidR="00F73D5B" w:rsidRPr="008B7A21" w:rsidRDefault="00F73D5B" w:rsidP="00767A6A">
            <w:pPr>
              <w:pStyle w:val="Tabletext"/>
              <w:jc w:val="center"/>
              <w:rPr>
                <w:lang w:val="es-ES_tradnl"/>
              </w:rPr>
            </w:pPr>
            <w:r w:rsidRPr="008B7A21">
              <w:rPr>
                <w:lang w:val="es-ES_tradnl"/>
              </w:rPr>
              <w:t>23,2</w:t>
            </w:r>
          </w:p>
        </w:tc>
        <w:tc>
          <w:tcPr>
            <w:tcW w:w="1565" w:type="dxa"/>
            <w:tcBorders>
              <w:top w:val="nil"/>
              <w:left w:val="nil"/>
              <w:bottom w:val="single" w:sz="4" w:space="0" w:color="auto"/>
              <w:right w:val="single" w:sz="4" w:space="0" w:color="auto"/>
            </w:tcBorders>
            <w:vAlign w:val="center"/>
          </w:tcPr>
          <w:p w14:paraId="6D134D5A" w14:textId="77777777" w:rsidR="00F73D5B" w:rsidRPr="008B7A21" w:rsidRDefault="00F73D5B" w:rsidP="00767A6A">
            <w:pPr>
              <w:pStyle w:val="Tabletext"/>
              <w:jc w:val="center"/>
              <w:rPr>
                <w:lang w:val="es-ES_tradnl"/>
              </w:rPr>
            </w:pPr>
            <w:r w:rsidRPr="008B7A21">
              <w:rPr>
                <w:lang w:val="es-ES_tradnl"/>
              </w:rPr>
              <w:t>26,680</w:t>
            </w:r>
          </w:p>
        </w:tc>
      </w:tr>
      <w:tr w:rsidR="00F73D5B" w:rsidRPr="008B7A21" w14:paraId="7F3B2954"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389E713B" w14:textId="77777777" w:rsidR="00F73D5B" w:rsidRPr="008B7A21" w:rsidRDefault="00F73D5B" w:rsidP="00767A6A">
            <w:pPr>
              <w:pStyle w:val="Tabletext"/>
              <w:jc w:val="center"/>
              <w:rPr>
                <w:lang w:val="es-ES_tradnl"/>
              </w:rPr>
            </w:pPr>
            <w:r w:rsidRPr="008B7A21">
              <w:rPr>
                <w:lang w:val="es-ES_tradnl"/>
              </w:rPr>
              <w:t>20</w:t>
            </w:r>
          </w:p>
        </w:tc>
        <w:tc>
          <w:tcPr>
            <w:tcW w:w="4143" w:type="dxa"/>
            <w:tcBorders>
              <w:top w:val="nil"/>
              <w:left w:val="nil"/>
              <w:bottom w:val="single" w:sz="4" w:space="0" w:color="auto"/>
              <w:right w:val="single" w:sz="4" w:space="0" w:color="auto"/>
            </w:tcBorders>
            <w:noWrap/>
            <w:vAlign w:val="center"/>
            <w:hideMark/>
          </w:tcPr>
          <w:p w14:paraId="316ABFFF" w14:textId="77777777" w:rsidR="00F73D5B" w:rsidRPr="008B7A21" w:rsidRDefault="00F73D5B" w:rsidP="00767A6A">
            <w:pPr>
              <w:pStyle w:val="Tabletext"/>
              <w:rPr>
                <w:lang w:val="es-ES_tradnl"/>
              </w:rPr>
            </w:pPr>
            <w:r w:rsidRPr="008B7A21">
              <w:rPr>
                <w:lang w:val="es-ES_tradnl"/>
              </w:rPr>
              <w:t>Krai de Kamchatka</w:t>
            </w:r>
          </w:p>
        </w:tc>
        <w:tc>
          <w:tcPr>
            <w:tcW w:w="1729" w:type="dxa"/>
            <w:tcBorders>
              <w:top w:val="single" w:sz="4" w:space="0" w:color="auto"/>
              <w:left w:val="nil"/>
              <w:bottom w:val="single" w:sz="4" w:space="0" w:color="auto"/>
              <w:right w:val="single" w:sz="4" w:space="0" w:color="auto"/>
            </w:tcBorders>
          </w:tcPr>
          <w:p w14:paraId="67547220"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2DAB2352" w14:textId="77777777" w:rsidR="00F73D5B" w:rsidRPr="008B7A21" w:rsidRDefault="00F73D5B" w:rsidP="00767A6A">
            <w:pPr>
              <w:pStyle w:val="Tabletext"/>
              <w:jc w:val="center"/>
              <w:rPr>
                <w:lang w:val="es-ES_tradnl"/>
              </w:rPr>
            </w:pPr>
            <w:r w:rsidRPr="008B7A21">
              <w:rPr>
                <w:lang w:val="es-ES_tradnl"/>
              </w:rPr>
              <w:t>9,6</w:t>
            </w:r>
          </w:p>
        </w:tc>
        <w:tc>
          <w:tcPr>
            <w:tcW w:w="1565" w:type="dxa"/>
            <w:tcBorders>
              <w:top w:val="nil"/>
              <w:left w:val="nil"/>
              <w:bottom w:val="single" w:sz="4" w:space="0" w:color="auto"/>
              <w:right w:val="single" w:sz="4" w:space="0" w:color="auto"/>
            </w:tcBorders>
            <w:vAlign w:val="center"/>
          </w:tcPr>
          <w:p w14:paraId="1976D7A2" w14:textId="77777777" w:rsidR="00F73D5B" w:rsidRPr="008B7A21" w:rsidRDefault="00F73D5B" w:rsidP="00767A6A">
            <w:pPr>
              <w:pStyle w:val="Tabletext"/>
              <w:jc w:val="center"/>
              <w:rPr>
                <w:lang w:val="es-ES_tradnl"/>
              </w:rPr>
            </w:pPr>
            <w:r w:rsidRPr="008B7A21">
              <w:rPr>
                <w:lang w:val="es-ES_tradnl"/>
              </w:rPr>
              <w:t>10,08</w:t>
            </w:r>
          </w:p>
        </w:tc>
      </w:tr>
      <w:tr w:rsidR="00F73D5B" w:rsidRPr="008B7A21" w14:paraId="03D87DEF"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1BAD86A9" w14:textId="77777777" w:rsidR="00F73D5B" w:rsidRPr="008B7A21" w:rsidRDefault="00F73D5B" w:rsidP="00767A6A">
            <w:pPr>
              <w:pStyle w:val="Tabletext"/>
              <w:jc w:val="center"/>
              <w:rPr>
                <w:lang w:val="es-ES_tradnl"/>
              </w:rPr>
            </w:pPr>
            <w:r w:rsidRPr="008B7A21">
              <w:rPr>
                <w:lang w:val="es-ES_tradnl"/>
              </w:rPr>
              <w:t>21</w:t>
            </w:r>
          </w:p>
        </w:tc>
        <w:tc>
          <w:tcPr>
            <w:tcW w:w="4143" w:type="dxa"/>
            <w:tcBorders>
              <w:top w:val="nil"/>
              <w:left w:val="nil"/>
              <w:bottom w:val="single" w:sz="4" w:space="0" w:color="auto"/>
              <w:right w:val="single" w:sz="4" w:space="0" w:color="auto"/>
            </w:tcBorders>
            <w:noWrap/>
            <w:vAlign w:val="center"/>
            <w:hideMark/>
          </w:tcPr>
          <w:p w14:paraId="6B13C0B5" w14:textId="77777777" w:rsidR="00F73D5B" w:rsidRPr="008B7A21" w:rsidRDefault="00F73D5B" w:rsidP="00767A6A">
            <w:pPr>
              <w:pStyle w:val="Tabletext"/>
              <w:rPr>
                <w:lang w:val="es-ES_tradnl"/>
              </w:rPr>
            </w:pPr>
            <w:r w:rsidRPr="008B7A21">
              <w:rPr>
                <w:lang w:val="es-ES_tradnl"/>
              </w:rPr>
              <w:t>La República de Karacháyevo-Cherkesia</w:t>
            </w:r>
          </w:p>
        </w:tc>
        <w:tc>
          <w:tcPr>
            <w:tcW w:w="1729" w:type="dxa"/>
            <w:tcBorders>
              <w:top w:val="single" w:sz="4" w:space="0" w:color="auto"/>
              <w:left w:val="nil"/>
              <w:bottom w:val="single" w:sz="4" w:space="0" w:color="auto"/>
              <w:right w:val="single" w:sz="4" w:space="0" w:color="auto"/>
            </w:tcBorders>
          </w:tcPr>
          <w:p w14:paraId="6FD4CC3F"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51AC8DB0" w14:textId="77777777" w:rsidR="00F73D5B" w:rsidRPr="008B7A21" w:rsidRDefault="00F73D5B" w:rsidP="00767A6A">
            <w:pPr>
              <w:pStyle w:val="Tabletext"/>
              <w:jc w:val="center"/>
              <w:rPr>
                <w:lang w:val="es-ES_tradnl"/>
              </w:rPr>
            </w:pPr>
            <w:r w:rsidRPr="008B7A21">
              <w:rPr>
                <w:lang w:val="es-ES_tradnl"/>
              </w:rPr>
              <w:t>8,5</w:t>
            </w:r>
          </w:p>
        </w:tc>
        <w:tc>
          <w:tcPr>
            <w:tcW w:w="1565" w:type="dxa"/>
            <w:tcBorders>
              <w:top w:val="nil"/>
              <w:left w:val="nil"/>
              <w:bottom w:val="single" w:sz="4" w:space="0" w:color="auto"/>
              <w:right w:val="single" w:sz="4" w:space="0" w:color="auto"/>
            </w:tcBorders>
            <w:vAlign w:val="center"/>
          </w:tcPr>
          <w:p w14:paraId="63C47C11" w14:textId="77777777" w:rsidR="00F73D5B" w:rsidRPr="008B7A21" w:rsidRDefault="00F73D5B" w:rsidP="00767A6A">
            <w:pPr>
              <w:pStyle w:val="Tabletext"/>
              <w:jc w:val="center"/>
              <w:rPr>
                <w:lang w:val="es-ES_tradnl"/>
              </w:rPr>
            </w:pPr>
            <w:r w:rsidRPr="008B7A21">
              <w:rPr>
                <w:lang w:val="es-ES_tradnl"/>
              </w:rPr>
              <w:t>9,35</w:t>
            </w:r>
          </w:p>
        </w:tc>
      </w:tr>
      <w:tr w:rsidR="00F73D5B" w:rsidRPr="008B7A21" w14:paraId="4690C332"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2363E090" w14:textId="77777777" w:rsidR="00F73D5B" w:rsidRPr="008B7A21" w:rsidRDefault="00F73D5B" w:rsidP="00767A6A">
            <w:pPr>
              <w:pStyle w:val="Tabletext"/>
              <w:jc w:val="center"/>
              <w:rPr>
                <w:lang w:val="es-ES_tradnl"/>
              </w:rPr>
            </w:pPr>
            <w:r w:rsidRPr="008B7A21">
              <w:rPr>
                <w:lang w:val="es-ES_tradnl"/>
              </w:rPr>
              <w:t>22</w:t>
            </w:r>
          </w:p>
        </w:tc>
        <w:tc>
          <w:tcPr>
            <w:tcW w:w="4143" w:type="dxa"/>
            <w:tcBorders>
              <w:top w:val="nil"/>
              <w:left w:val="nil"/>
              <w:bottom w:val="single" w:sz="4" w:space="0" w:color="auto"/>
              <w:right w:val="single" w:sz="4" w:space="0" w:color="auto"/>
            </w:tcBorders>
            <w:noWrap/>
            <w:vAlign w:val="center"/>
            <w:hideMark/>
          </w:tcPr>
          <w:p w14:paraId="49AACAA1" w14:textId="77777777" w:rsidR="00F73D5B" w:rsidRPr="008B7A21" w:rsidRDefault="00F73D5B" w:rsidP="00767A6A">
            <w:pPr>
              <w:pStyle w:val="Tabletext"/>
              <w:rPr>
                <w:lang w:val="es-ES_tradnl"/>
              </w:rPr>
            </w:pPr>
            <w:r w:rsidRPr="008B7A21">
              <w:rPr>
                <w:lang w:val="es-ES_tradnl"/>
              </w:rPr>
              <w:t xml:space="preserve">Óblast de Kémerovo </w:t>
            </w:r>
          </w:p>
        </w:tc>
        <w:tc>
          <w:tcPr>
            <w:tcW w:w="1729" w:type="dxa"/>
            <w:tcBorders>
              <w:top w:val="single" w:sz="4" w:space="0" w:color="auto"/>
              <w:left w:val="nil"/>
              <w:bottom w:val="single" w:sz="4" w:space="0" w:color="auto"/>
              <w:right w:val="single" w:sz="4" w:space="0" w:color="auto"/>
            </w:tcBorders>
          </w:tcPr>
          <w:p w14:paraId="382C65EB"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1A4EC3A3" w14:textId="77777777" w:rsidR="00F73D5B" w:rsidRPr="008B7A21" w:rsidRDefault="00F73D5B" w:rsidP="00767A6A">
            <w:pPr>
              <w:pStyle w:val="Tabletext"/>
              <w:jc w:val="center"/>
              <w:rPr>
                <w:lang w:val="es-ES_tradnl"/>
              </w:rPr>
            </w:pPr>
            <w:r w:rsidRPr="008B7A21">
              <w:rPr>
                <w:lang w:val="es-ES_tradnl"/>
              </w:rPr>
              <w:t>68,0</w:t>
            </w:r>
          </w:p>
        </w:tc>
        <w:tc>
          <w:tcPr>
            <w:tcW w:w="1565" w:type="dxa"/>
            <w:tcBorders>
              <w:top w:val="nil"/>
              <w:left w:val="nil"/>
              <w:bottom w:val="single" w:sz="4" w:space="0" w:color="auto"/>
              <w:right w:val="single" w:sz="4" w:space="0" w:color="auto"/>
            </w:tcBorders>
            <w:vAlign w:val="center"/>
          </w:tcPr>
          <w:p w14:paraId="5AB400D5" w14:textId="77777777" w:rsidR="00F73D5B" w:rsidRPr="008B7A21" w:rsidRDefault="00F73D5B" w:rsidP="00767A6A">
            <w:pPr>
              <w:pStyle w:val="Tabletext"/>
              <w:jc w:val="center"/>
              <w:rPr>
                <w:lang w:val="es-ES_tradnl"/>
              </w:rPr>
            </w:pPr>
            <w:r w:rsidRPr="008B7A21">
              <w:rPr>
                <w:lang w:val="es-ES_tradnl"/>
              </w:rPr>
              <w:t>81,6</w:t>
            </w:r>
          </w:p>
        </w:tc>
      </w:tr>
      <w:tr w:rsidR="00F73D5B" w:rsidRPr="008B7A21" w14:paraId="4B1B868B"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3A9D2A82" w14:textId="77777777" w:rsidR="00F73D5B" w:rsidRPr="008B7A21" w:rsidRDefault="00F73D5B" w:rsidP="00767A6A">
            <w:pPr>
              <w:pStyle w:val="Tabletext"/>
              <w:jc w:val="center"/>
              <w:rPr>
                <w:lang w:val="es-ES_tradnl"/>
              </w:rPr>
            </w:pPr>
            <w:r w:rsidRPr="008B7A21">
              <w:rPr>
                <w:lang w:val="es-ES_tradnl"/>
              </w:rPr>
              <w:t>23</w:t>
            </w:r>
          </w:p>
        </w:tc>
        <w:tc>
          <w:tcPr>
            <w:tcW w:w="4143" w:type="dxa"/>
            <w:tcBorders>
              <w:top w:val="nil"/>
              <w:left w:val="nil"/>
              <w:bottom w:val="single" w:sz="4" w:space="0" w:color="auto"/>
              <w:right w:val="single" w:sz="4" w:space="0" w:color="auto"/>
            </w:tcBorders>
            <w:noWrap/>
            <w:vAlign w:val="center"/>
            <w:hideMark/>
          </w:tcPr>
          <w:p w14:paraId="3A7492CC" w14:textId="77777777" w:rsidR="00F73D5B" w:rsidRPr="008B7A21" w:rsidRDefault="00F73D5B" w:rsidP="00767A6A">
            <w:pPr>
              <w:pStyle w:val="Tabletext"/>
              <w:rPr>
                <w:lang w:val="es-ES_tradnl"/>
              </w:rPr>
            </w:pPr>
            <w:r w:rsidRPr="008B7A21">
              <w:rPr>
                <w:lang w:val="es-ES_tradnl"/>
              </w:rPr>
              <w:t>Óblast de Kírov</w:t>
            </w:r>
          </w:p>
        </w:tc>
        <w:tc>
          <w:tcPr>
            <w:tcW w:w="1729" w:type="dxa"/>
            <w:tcBorders>
              <w:top w:val="single" w:sz="4" w:space="0" w:color="auto"/>
              <w:left w:val="nil"/>
              <w:bottom w:val="single" w:sz="4" w:space="0" w:color="auto"/>
              <w:right w:val="single" w:sz="4" w:space="0" w:color="auto"/>
            </w:tcBorders>
          </w:tcPr>
          <w:p w14:paraId="25306039"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4BE82274" w14:textId="77777777" w:rsidR="00F73D5B" w:rsidRPr="008B7A21" w:rsidRDefault="00F73D5B" w:rsidP="00767A6A">
            <w:pPr>
              <w:pStyle w:val="Tabletext"/>
              <w:jc w:val="center"/>
              <w:rPr>
                <w:lang w:val="es-ES_tradnl"/>
              </w:rPr>
            </w:pPr>
            <w:r w:rsidRPr="008B7A21">
              <w:rPr>
                <w:lang w:val="es-ES_tradnl"/>
              </w:rPr>
              <w:t>29,6</w:t>
            </w:r>
          </w:p>
        </w:tc>
        <w:tc>
          <w:tcPr>
            <w:tcW w:w="1565" w:type="dxa"/>
            <w:tcBorders>
              <w:top w:val="nil"/>
              <w:left w:val="nil"/>
              <w:bottom w:val="single" w:sz="4" w:space="0" w:color="auto"/>
              <w:right w:val="single" w:sz="4" w:space="0" w:color="auto"/>
            </w:tcBorders>
            <w:vAlign w:val="center"/>
          </w:tcPr>
          <w:p w14:paraId="237E9B60" w14:textId="77777777" w:rsidR="00F73D5B" w:rsidRPr="008B7A21" w:rsidRDefault="00F73D5B" w:rsidP="00767A6A">
            <w:pPr>
              <w:pStyle w:val="Tabletext"/>
              <w:jc w:val="center"/>
              <w:rPr>
                <w:lang w:val="es-ES_tradnl"/>
              </w:rPr>
            </w:pPr>
            <w:r w:rsidRPr="008B7A21">
              <w:rPr>
                <w:lang w:val="es-ES_tradnl"/>
              </w:rPr>
              <w:t>38,48</w:t>
            </w:r>
          </w:p>
        </w:tc>
      </w:tr>
      <w:tr w:rsidR="00F73D5B" w:rsidRPr="008B7A21" w14:paraId="20839276"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7A056613" w14:textId="77777777" w:rsidR="00F73D5B" w:rsidRPr="008B7A21" w:rsidRDefault="00F73D5B" w:rsidP="00767A6A">
            <w:pPr>
              <w:pStyle w:val="Tabletext"/>
              <w:jc w:val="center"/>
              <w:rPr>
                <w:lang w:val="es-ES_tradnl"/>
              </w:rPr>
            </w:pPr>
            <w:r w:rsidRPr="008B7A21">
              <w:rPr>
                <w:lang w:val="es-ES_tradnl"/>
              </w:rPr>
              <w:t>24</w:t>
            </w:r>
          </w:p>
        </w:tc>
        <w:tc>
          <w:tcPr>
            <w:tcW w:w="4143" w:type="dxa"/>
            <w:tcBorders>
              <w:top w:val="nil"/>
              <w:left w:val="nil"/>
              <w:bottom w:val="single" w:sz="4" w:space="0" w:color="auto"/>
              <w:right w:val="single" w:sz="4" w:space="0" w:color="auto"/>
            </w:tcBorders>
            <w:noWrap/>
            <w:vAlign w:val="center"/>
            <w:hideMark/>
          </w:tcPr>
          <w:p w14:paraId="3C29D01A" w14:textId="77777777" w:rsidR="00F73D5B" w:rsidRPr="008B7A21" w:rsidRDefault="00F73D5B" w:rsidP="00767A6A">
            <w:pPr>
              <w:pStyle w:val="Tabletext"/>
              <w:rPr>
                <w:lang w:val="es-ES_tradnl"/>
              </w:rPr>
            </w:pPr>
            <w:r w:rsidRPr="008B7A21">
              <w:rPr>
                <w:lang w:val="es-ES_tradnl"/>
              </w:rPr>
              <w:t>Óblast de Kostromá</w:t>
            </w:r>
          </w:p>
        </w:tc>
        <w:tc>
          <w:tcPr>
            <w:tcW w:w="1729" w:type="dxa"/>
            <w:tcBorders>
              <w:top w:val="single" w:sz="4" w:space="0" w:color="auto"/>
              <w:left w:val="nil"/>
              <w:bottom w:val="single" w:sz="4" w:space="0" w:color="auto"/>
              <w:right w:val="single" w:sz="4" w:space="0" w:color="auto"/>
            </w:tcBorders>
          </w:tcPr>
          <w:p w14:paraId="2B21502F"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380DF3A4" w14:textId="77777777" w:rsidR="00F73D5B" w:rsidRPr="008B7A21" w:rsidRDefault="00F73D5B" w:rsidP="00767A6A">
            <w:pPr>
              <w:pStyle w:val="Tabletext"/>
              <w:jc w:val="center"/>
              <w:rPr>
                <w:lang w:val="es-ES_tradnl"/>
              </w:rPr>
            </w:pPr>
            <w:r w:rsidRPr="008B7A21">
              <w:rPr>
                <w:lang w:val="es-ES_tradnl"/>
              </w:rPr>
              <w:t>13,8</w:t>
            </w:r>
          </w:p>
        </w:tc>
        <w:tc>
          <w:tcPr>
            <w:tcW w:w="1565" w:type="dxa"/>
            <w:tcBorders>
              <w:top w:val="nil"/>
              <w:left w:val="nil"/>
              <w:bottom w:val="single" w:sz="4" w:space="0" w:color="auto"/>
              <w:right w:val="single" w:sz="4" w:space="0" w:color="auto"/>
            </w:tcBorders>
            <w:vAlign w:val="center"/>
          </w:tcPr>
          <w:p w14:paraId="0A48A8E2" w14:textId="77777777" w:rsidR="00F73D5B" w:rsidRPr="008B7A21" w:rsidRDefault="00F73D5B" w:rsidP="00767A6A">
            <w:pPr>
              <w:pStyle w:val="Tabletext"/>
              <w:jc w:val="center"/>
              <w:rPr>
                <w:lang w:val="es-ES_tradnl"/>
              </w:rPr>
            </w:pPr>
            <w:r w:rsidRPr="008B7A21">
              <w:rPr>
                <w:lang w:val="es-ES_tradnl"/>
              </w:rPr>
              <w:t>15,87</w:t>
            </w:r>
          </w:p>
        </w:tc>
      </w:tr>
      <w:tr w:rsidR="00F73D5B" w:rsidRPr="008B7A21" w14:paraId="593E996E"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729680B8" w14:textId="77777777" w:rsidR="00F73D5B" w:rsidRPr="008B7A21" w:rsidRDefault="00F73D5B" w:rsidP="00767A6A">
            <w:pPr>
              <w:pStyle w:val="Tabletext"/>
              <w:jc w:val="center"/>
              <w:rPr>
                <w:lang w:val="es-ES_tradnl"/>
              </w:rPr>
            </w:pPr>
            <w:r w:rsidRPr="008B7A21">
              <w:rPr>
                <w:lang w:val="es-ES_tradnl"/>
              </w:rPr>
              <w:t>25</w:t>
            </w:r>
          </w:p>
        </w:tc>
        <w:tc>
          <w:tcPr>
            <w:tcW w:w="4143" w:type="dxa"/>
            <w:tcBorders>
              <w:top w:val="nil"/>
              <w:left w:val="nil"/>
              <w:bottom w:val="single" w:sz="4" w:space="0" w:color="auto"/>
              <w:right w:val="single" w:sz="4" w:space="0" w:color="auto"/>
            </w:tcBorders>
            <w:noWrap/>
            <w:vAlign w:val="center"/>
            <w:hideMark/>
          </w:tcPr>
          <w:p w14:paraId="12D51A78" w14:textId="77777777" w:rsidR="00F73D5B" w:rsidRPr="008B7A21" w:rsidRDefault="00F73D5B" w:rsidP="00767A6A">
            <w:pPr>
              <w:pStyle w:val="Tabletext"/>
              <w:rPr>
                <w:lang w:val="es-ES_tradnl"/>
              </w:rPr>
            </w:pPr>
            <w:r w:rsidRPr="008B7A21">
              <w:rPr>
                <w:lang w:val="es-ES_tradnl"/>
              </w:rPr>
              <w:t>Krai de Krasnodar</w:t>
            </w:r>
          </w:p>
        </w:tc>
        <w:tc>
          <w:tcPr>
            <w:tcW w:w="1729" w:type="dxa"/>
            <w:tcBorders>
              <w:top w:val="single" w:sz="4" w:space="0" w:color="auto"/>
              <w:left w:val="nil"/>
              <w:bottom w:val="single" w:sz="4" w:space="0" w:color="auto"/>
              <w:right w:val="single" w:sz="4" w:space="0" w:color="auto"/>
            </w:tcBorders>
          </w:tcPr>
          <w:p w14:paraId="14651861"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05651037" w14:textId="77777777" w:rsidR="00F73D5B" w:rsidRPr="008B7A21" w:rsidRDefault="00F73D5B" w:rsidP="00767A6A">
            <w:pPr>
              <w:pStyle w:val="Tabletext"/>
              <w:jc w:val="center"/>
              <w:rPr>
                <w:lang w:val="es-ES_tradnl"/>
              </w:rPr>
            </w:pPr>
            <w:r w:rsidRPr="008B7A21">
              <w:rPr>
                <w:lang w:val="es-ES_tradnl"/>
              </w:rPr>
              <w:t>126,2</w:t>
            </w:r>
          </w:p>
        </w:tc>
        <w:tc>
          <w:tcPr>
            <w:tcW w:w="1565" w:type="dxa"/>
            <w:tcBorders>
              <w:top w:val="nil"/>
              <w:left w:val="nil"/>
              <w:bottom w:val="single" w:sz="4" w:space="0" w:color="auto"/>
              <w:right w:val="single" w:sz="4" w:space="0" w:color="auto"/>
            </w:tcBorders>
            <w:vAlign w:val="center"/>
          </w:tcPr>
          <w:p w14:paraId="112BD2B1" w14:textId="77777777" w:rsidR="00F73D5B" w:rsidRPr="008B7A21" w:rsidRDefault="00F73D5B" w:rsidP="00767A6A">
            <w:pPr>
              <w:pStyle w:val="Tabletext"/>
              <w:jc w:val="center"/>
              <w:rPr>
                <w:lang w:val="es-ES_tradnl"/>
              </w:rPr>
            </w:pPr>
            <w:r w:rsidRPr="008B7A21">
              <w:rPr>
                <w:lang w:val="es-ES_tradnl"/>
              </w:rPr>
              <w:t>170,37</w:t>
            </w:r>
          </w:p>
        </w:tc>
      </w:tr>
      <w:tr w:rsidR="00F73D5B" w:rsidRPr="008B7A21" w14:paraId="2ACF8352"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5190F597" w14:textId="77777777" w:rsidR="00F73D5B" w:rsidRPr="008B7A21" w:rsidRDefault="00F73D5B" w:rsidP="00767A6A">
            <w:pPr>
              <w:pStyle w:val="Tabletext"/>
              <w:jc w:val="center"/>
              <w:rPr>
                <w:lang w:val="es-ES_tradnl"/>
              </w:rPr>
            </w:pPr>
            <w:r w:rsidRPr="008B7A21">
              <w:rPr>
                <w:lang w:val="es-ES_tradnl"/>
              </w:rPr>
              <w:t>26</w:t>
            </w:r>
          </w:p>
        </w:tc>
        <w:tc>
          <w:tcPr>
            <w:tcW w:w="4143" w:type="dxa"/>
            <w:tcBorders>
              <w:top w:val="nil"/>
              <w:left w:val="nil"/>
              <w:bottom w:val="single" w:sz="4" w:space="0" w:color="auto"/>
              <w:right w:val="single" w:sz="4" w:space="0" w:color="auto"/>
            </w:tcBorders>
            <w:noWrap/>
            <w:vAlign w:val="center"/>
            <w:hideMark/>
          </w:tcPr>
          <w:p w14:paraId="412A7986" w14:textId="77777777" w:rsidR="00F73D5B" w:rsidRPr="008B7A21" w:rsidRDefault="00F73D5B" w:rsidP="00767A6A">
            <w:pPr>
              <w:pStyle w:val="Tabletext"/>
              <w:rPr>
                <w:lang w:val="es-ES_tradnl"/>
              </w:rPr>
            </w:pPr>
            <w:r w:rsidRPr="008B7A21">
              <w:rPr>
                <w:lang w:val="es-ES_tradnl"/>
              </w:rPr>
              <w:t>Krai de Krasnoyarsk</w:t>
            </w:r>
          </w:p>
        </w:tc>
        <w:tc>
          <w:tcPr>
            <w:tcW w:w="1729" w:type="dxa"/>
            <w:tcBorders>
              <w:top w:val="single" w:sz="4" w:space="0" w:color="auto"/>
              <w:left w:val="nil"/>
              <w:bottom w:val="single" w:sz="4" w:space="0" w:color="auto"/>
              <w:right w:val="single" w:sz="4" w:space="0" w:color="auto"/>
            </w:tcBorders>
          </w:tcPr>
          <w:p w14:paraId="1584D117"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235616CE" w14:textId="77777777" w:rsidR="00F73D5B" w:rsidRPr="008B7A21" w:rsidRDefault="00F73D5B" w:rsidP="00767A6A">
            <w:pPr>
              <w:pStyle w:val="Tabletext"/>
              <w:jc w:val="center"/>
              <w:rPr>
                <w:lang w:val="es-ES_tradnl"/>
              </w:rPr>
            </w:pPr>
            <w:r w:rsidRPr="008B7A21">
              <w:rPr>
                <w:lang w:val="es-ES_tradnl"/>
              </w:rPr>
              <w:t>70,5</w:t>
            </w:r>
          </w:p>
        </w:tc>
        <w:tc>
          <w:tcPr>
            <w:tcW w:w="1565" w:type="dxa"/>
            <w:tcBorders>
              <w:top w:val="nil"/>
              <w:left w:val="nil"/>
              <w:bottom w:val="single" w:sz="4" w:space="0" w:color="auto"/>
              <w:right w:val="single" w:sz="4" w:space="0" w:color="auto"/>
            </w:tcBorders>
            <w:vAlign w:val="center"/>
          </w:tcPr>
          <w:p w14:paraId="38B5A032" w14:textId="77777777" w:rsidR="00F73D5B" w:rsidRPr="008B7A21" w:rsidRDefault="00F73D5B" w:rsidP="00767A6A">
            <w:pPr>
              <w:pStyle w:val="Tabletext"/>
              <w:jc w:val="center"/>
              <w:rPr>
                <w:lang w:val="es-ES_tradnl"/>
              </w:rPr>
            </w:pPr>
            <w:r w:rsidRPr="008B7A21">
              <w:rPr>
                <w:lang w:val="es-ES_tradnl"/>
              </w:rPr>
              <w:t>84,6</w:t>
            </w:r>
          </w:p>
        </w:tc>
      </w:tr>
      <w:tr w:rsidR="00F73D5B" w:rsidRPr="008B7A21" w14:paraId="2958E7AB"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75ED9C81" w14:textId="77777777" w:rsidR="00F73D5B" w:rsidRPr="008B7A21" w:rsidRDefault="00F73D5B" w:rsidP="00767A6A">
            <w:pPr>
              <w:pStyle w:val="Tabletext"/>
              <w:jc w:val="center"/>
              <w:rPr>
                <w:lang w:val="es-ES_tradnl"/>
              </w:rPr>
            </w:pPr>
            <w:r w:rsidRPr="008B7A21">
              <w:rPr>
                <w:lang w:val="es-ES_tradnl"/>
              </w:rPr>
              <w:t>27</w:t>
            </w:r>
          </w:p>
        </w:tc>
        <w:tc>
          <w:tcPr>
            <w:tcW w:w="4143" w:type="dxa"/>
            <w:tcBorders>
              <w:top w:val="nil"/>
              <w:left w:val="nil"/>
              <w:bottom w:val="single" w:sz="4" w:space="0" w:color="auto"/>
              <w:right w:val="single" w:sz="4" w:space="0" w:color="auto"/>
            </w:tcBorders>
            <w:noWrap/>
            <w:vAlign w:val="center"/>
            <w:hideMark/>
          </w:tcPr>
          <w:p w14:paraId="3799F826" w14:textId="77777777" w:rsidR="00F73D5B" w:rsidRPr="008B7A21" w:rsidRDefault="00F73D5B" w:rsidP="00767A6A">
            <w:pPr>
              <w:pStyle w:val="Tabletext"/>
              <w:rPr>
                <w:lang w:val="es-ES_tradnl"/>
              </w:rPr>
            </w:pPr>
            <w:r w:rsidRPr="008B7A21">
              <w:rPr>
                <w:lang w:val="es-ES_tradnl"/>
              </w:rPr>
              <w:t>Óblast de Kurgán</w:t>
            </w:r>
          </w:p>
        </w:tc>
        <w:tc>
          <w:tcPr>
            <w:tcW w:w="1729" w:type="dxa"/>
            <w:tcBorders>
              <w:top w:val="single" w:sz="4" w:space="0" w:color="auto"/>
              <w:left w:val="nil"/>
              <w:bottom w:val="single" w:sz="4" w:space="0" w:color="auto"/>
              <w:right w:val="single" w:sz="4" w:space="0" w:color="auto"/>
            </w:tcBorders>
          </w:tcPr>
          <w:p w14:paraId="28D1AA3D"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0E7CB73C" w14:textId="77777777" w:rsidR="00F73D5B" w:rsidRPr="008B7A21" w:rsidRDefault="00F73D5B" w:rsidP="00767A6A">
            <w:pPr>
              <w:pStyle w:val="Tabletext"/>
              <w:jc w:val="center"/>
              <w:rPr>
                <w:lang w:val="es-ES_tradnl"/>
              </w:rPr>
            </w:pPr>
            <w:r w:rsidRPr="008B7A21">
              <w:rPr>
                <w:lang w:val="es-ES_tradnl"/>
              </w:rPr>
              <w:t>20,4</w:t>
            </w:r>
          </w:p>
        </w:tc>
        <w:tc>
          <w:tcPr>
            <w:tcW w:w="1565" w:type="dxa"/>
            <w:tcBorders>
              <w:top w:val="nil"/>
              <w:left w:val="nil"/>
              <w:bottom w:val="single" w:sz="4" w:space="0" w:color="auto"/>
              <w:right w:val="single" w:sz="4" w:space="0" w:color="auto"/>
            </w:tcBorders>
            <w:vAlign w:val="center"/>
          </w:tcPr>
          <w:p w14:paraId="618E40CD" w14:textId="77777777" w:rsidR="00F73D5B" w:rsidRPr="008B7A21" w:rsidRDefault="00F73D5B" w:rsidP="00767A6A">
            <w:pPr>
              <w:pStyle w:val="Tabletext"/>
              <w:jc w:val="center"/>
              <w:rPr>
                <w:lang w:val="es-ES_tradnl"/>
              </w:rPr>
            </w:pPr>
            <w:r w:rsidRPr="008B7A21">
              <w:rPr>
                <w:lang w:val="es-ES_tradnl"/>
              </w:rPr>
              <w:t>43,86</w:t>
            </w:r>
          </w:p>
        </w:tc>
      </w:tr>
      <w:tr w:rsidR="00F73D5B" w:rsidRPr="008B7A21" w14:paraId="6A0A7E27"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52BC53E0" w14:textId="77777777" w:rsidR="00F73D5B" w:rsidRPr="008B7A21" w:rsidRDefault="00F73D5B" w:rsidP="00767A6A">
            <w:pPr>
              <w:pStyle w:val="Tabletext"/>
              <w:jc w:val="center"/>
              <w:rPr>
                <w:lang w:val="es-ES_tradnl"/>
              </w:rPr>
            </w:pPr>
            <w:r w:rsidRPr="008B7A21">
              <w:rPr>
                <w:lang w:val="es-ES_tradnl"/>
              </w:rPr>
              <w:t>28</w:t>
            </w:r>
          </w:p>
        </w:tc>
        <w:tc>
          <w:tcPr>
            <w:tcW w:w="4143" w:type="dxa"/>
            <w:tcBorders>
              <w:top w:val="nil"/>
              <w:left w:val="nil"/>
              <w:bottom w:val="single" w:sz="4" w:space="0" w:color="auto"/>
              <w:right w:val="single" w:sz="4" w:space="0" w:color="auto"/>
            </w:tcBorders>
            <w:noWrap/>
            <w:vAlign w:val="center"/>
            <w:hideMark/>
          </w:tcPr>
          <w:p w14:paraId="1DEAA087" w14:textId="77777777" w:rsidR="00F73D5B" w:rsidRPr="008B7A21" w:rsidRDefault="00F73D5B" w:rsidP="00767A6A">
            <w:pPr>
              <w:pStyle w:val="Tabletext"/>
              <w:rPr>
                <w:lang w:val="es-ES_tradnl"/>
              </w:rPr>
            </w:pPr>
            <w:r w:rsidRPr="008B7A21">
              <w:rPr>
                <w:lang w:val="es-ES_tradnl"/>
              </w:rPr>
              <w:t>Óblast de Kursk</w:t>
            </w:r>
          </w:p>
        </w:tc>
        <w:tc>
          <w:tcPr>
            <w:tcW w:w="1729" w:type="dxa"/>
            <w:tcBorders>
              <w:top w:val="single" w:sz="4" w:space="0" w:color="auto"/>
              <w:left w:val="nil"/>
              <w:bottom w:val="single" w:sz="4" w:space="0" w:color="auto"/>
              <w:right w:val="single" w:sz="4" w:space="0" w:color="auto"/>
            </w:tcBorders>
          </w:tcPr>
          <w:p w14:paraId="4D1D20F3"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7185F62C" w14:textId="77777777" w:rsidR="00F73D5B" w:rsidRPr="008B7A21" w:rsidRDefault="00F73D5B" w:rsidP="00767A6A">
            <w:pPr>
              <w:pStyle w:val="Tabletext"/>
              <w:jc w:val="center"/>
              <w:rPr>
                <w:lang w:val="es-ES_tradnl"/>
              </w:rPr>
            </w:pPr>
            <w:r w:rsidRPr="008B7A21">
              <w:rPr>
                <w:lang w:val="es-ES_tradnl"/>
              </w:rPr>
              <w:t>24,3</w:t>
            </w:r>
          </w:p>
        </w:tc>
        <w:tc>
          <w:tcPr>
            <w:tcW w:w="1565" w:type="dxa"/>
            <w:tcBorders>
              <w:top w:val="nil"/>
              <w:left w:val="nil"/>
              <w:bottom w:val="single" w:sz="4" w:space="0" w:color="auto"/>
              <w:right w:val="single" w:sz="4" w:space="0" w:color="auto"/>
            </w:tcBorders>
            <w:vAlign w:val="center"/>
          </w:tcPr>
          <w:p w14:paraId="3B41E567" w14:textId="77777777" w:rsidR="00F73D5B" w:rsidRPr="008B7A21" w:rsidRDefault="00F73D5B" w:rsidP="00767A6A">
            <w:pPr>
              <w:pStyle w:val="Tabletext"/>
              <w:jc w:val="center"/>
              <w:rPr>
                <w:lang w:val="es-ES_tradnl"/>
              </w:rPr>
            </w:pPr>
            <w:r w:rsidRPr="008B7A21">
              <w:rPr>
                <w:lang w:val="es-ES_tradnl"/>
              </w:rPr>
              <w:t>31,59</w:t>
            </w:r>
          </w:p>
        </w:tc>
      </w:tr>
      <w:tr w:rsidR="00F73D5B" w:rsidRPr="008B7A21" w14:paraId="26AFA0B9"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2F9680ED" w14:textId="77777777" w:rsidR="00F73D5B" w:rsidRPr="008B7A21" w:rsidRDefault="00F73D5B" w:rsidP="00767A6A">
            <w:pPr>
              <w:pStyle w:val="Tabletext"/>
              <w:jc w:val="center"/>
              <w:rPr>
                <w:lang w:val="es-ES_tradnl"/>
              </w:rPr>
            </w:pPr>
            <w:r w:rsidRPr="008B7A21">
              <w:rPr>
                <w:lang w:val="es-ES_tradnl"/>
              </w:rPr>
              <w:t>29</w:t>
            </w:r>
          </w:p>
        </w:tc>
        <w:tc>
          <w:tcPr>
            <w:tcW w:w="4143" w:type="dxa"/>
            <w:tcBorders>
              <w:top w:val="nil"/>
              <w:left w:val="nil"/>
              <w:bottom w:val="single" w:sz="4" w:space="0" w:color="auto"/>
              <w:right w:val="single" w:sz="4" w:space="0" w:color="auto"/>
            </w:tcBorders>
            <w:noWrap/>
            <w:vAlign w:val="center"/>
            <w:hideMark/>
          </w:tcPr>
          <w:p w14:paraId="3BDCC702" w14:textId="77777777" w:rsidR="00F73D5B" w:rsidRPr="008B7A21" w:rsidRDefault="00F73D5B" w:rsidP="00767A6A">
            <w:pPr>
              <w:pStyle w:val="Tabletext"/>
              <w:rPr>
                <w:lang w:val="es-ES_tradnl"/>
              </w:rPr>
            </w:pPr>
            <w:r w:rsidRPr="008B7A21">
              <w:rPr>
                <w:lang w:val="es-ES_tradnl"/>
              </w:rPr>
              <w:t>Óblast de Leningrado</w:t>
            </w:r>
          </w:p>
        </w:tc>
        <w:tc>
          <w:tcPr>
            <w:tcW w:w="1729" w:type="dxa"/>
            <w:tcBorders>
              <w:top w:val="single" w:sz="4" w:space="0" w:color="auto"/>
              <w:left w:val="nil"/>
              <w:bottom w:val="single" w:sz="4" w:space="0" w:color="auto"/>
              <w:right w:val="single" w:sz="4" w:space="0" w:color="auto"/>
            </w:tcBorders>
          </w:tcPr>
          <w:p w14:paraId="1FCB796F"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5BFE6BC4" w14:textId="77777777" w:rsidR="00F73D5B" w:rsidRPr="008B7A21" w:rsidRDefault="00F73D5B" w:rsidP="00767A6A">
            <w:pPr>
              <w:pStyle w:val="Tabletext"/>
              <w:jc w:val="center"/>
              <w:rPr>
                <w:lang w:val="es-ES_tradnl"/>
              </w:rPr>
            </w:pPr>
            <w:r w:rsidRPr="008B7A21">
              <w:rPr>
                <w:lang w:val="es-ES_tradnl"/>
              </w:rPr>
              <w:t>46,1</w:t>
            </w:r>
          </w:p>
        </w:tc>
        <w:tc>
          <w:tcPr>
            <w:tcW w:w="1565" w:type="dxa"/>
            <w:tcBorders>
              <w:top w:val="nil"/>
              <w:left w:val="nil"/>
              <w:bottom w:val="single" w:sz="4" w:space="0" w:color="auto"/>
              <w:right w:val="single" w:sz="4" w:space="0" w:color="auto"/>
            </w:tcBorders>
            <w:vAlign w:val="center"/>
          </w:tcPr>
          <w:p w14:paraId="4A79333E" w14:textId="77777777" w:rsidR="00F73D5B" w:rsidRPr="008B7A21" w:rsidRDefault="00F73D5B" w:rsidP="00767A6A">
            <w:pPr>
              <w:pStyle w:val="Tabletext"/>
              <w:jc w:val="center"/>
              <w:rPr>
                <w:lang w:val="es-ES_tradnl"/>
              </w:rPr>
            </w:pPr>
            <w:r w:rsidRPr="008B7A21">
              <w:rPr>
                <w:lang w:val="es-ES_tradnl"/>
              </w:rPr>
              <w:t>53,015</w:t>
            </w:r>
          </w:p>
        </w:tc>
      </w:tr>
      <w:tr w:rsidR="00F73D5B" w:rsidRPr="008B7A21" w14:paraId="0C04BE66"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3AB5B2D2" w14:textId="77777777" w:rsidR="00F73D5B" w:rsidRPr="008B7A21" w:rsidRDefault="00F73D5B" w:rsidP="00767A6A">
            <w:pPr>
              <w:pStyle w:val="Tabletext"/>
              <w:jc w:val="center"/>
              <w:rPr>
                <w:lang w:val="es-ES_tradnl"/>
              </w:rPr>
            </w:pPr>
            <w:r w:rsidRPr="008B7A21">
              <w:rPr>
                <w:lang w:val="es-ES_tradnl"/>
              </w:rPr>
              <w:t>30</w:t>
            </w:r>
          </w:p>
        </w:tc>
        <w:tc>
          <w:tcPr>
            <w:tcW w:w="4143" w:type="dxa"/>
            <w:tcBorders>
              <w:top w:val="nil"/>
              <w:left w:val="nil"/>
              <w:bottom w:val="single" w:sz="4" w:space="0" w:color="auto"/>
              <w:right w:val="single" w:sz="4" w:space="0" w:color="auto"/>
            </w:tcBorders>
            <w:noWrap/>
            <w:vAlign w:val="center"/>
            <w:hideMark/>
          </w:tcPr>
          <w:p w14:paraId="679A056B" w14:textId="77777777" w:rsidR="00F73D5B" w:rsidRPr="008B7A21" w:rsidRDefault="00F73D5B" w:rsidP="00767A6A">
            <w:pPr>
              <w:pStyle w:val="Tabletext"/>
              <w:rPr>
                <w:lang w:val="es-ES_tradnl"/>
              </w:rPr>
            </w:pPr>
            <w:r w:rsidRPr="008B7A21">
              <w:rPr>
                <w:lang w:val="es-ES_tradnl"/>
              </w:rPr>
              <w:t>Óblast de Lípetsk</w:t>
            </w:r>
          </w:p>
        </w:tc>
        <w:tc>
          <w:tcPr>
            <w:tcW w:w="1729" w:type="dxa"/>
            <w:tcBorders>
              <w:top w:val="single" w:sz="4" w:space="0" w:color="auto"/>
              <w:left w:val="nil"/>
              <w:bottom w:val="single" w:sz="4" w:space="0" w:color="auto"/>
              <w:right w:val="single" w:sz="4" w:space="0" w:color="auto"/>
            </w:tcBorders>
          </w:tcPr>
          <w:p w14:paraId="1ACEBFA0"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089A2A3B" w14:textId="77777777" w:rsidR="00F73D5B" w:rsidRPr="008B7A21" w:rsidRDefault="00F73D5B" w:rsidP="00767A6A">
            <w:pPr>
              <w:pStyle w:val="Tabletext"/>
              <w:jc w:val="center"/>
              <w:rPr>
                <w:lang w:val="es-ES_tradnl"/>
              </w:rPr>
            </w:pPr>
            <w:r w:rsidRPr="008B7A21">
              <w:rPr>
                <w:lang w:val="es-ES_tradnl"/>
              </w:rPr>
              <w:t>25,2</w:t>
            </w:r>
          </w:p>
        </w:tc>
        <w:tc>
          <w:tcPr>
            <w:tcW w:w="1565" w:type="dxa"/>
            <w:tcBorders>
              <w:top w:val="nil"/>
              <w:left w:val="nil"/>
              <w:bottom w:val="single" w:sz="4" w:space="0" w:color="auto"/>
              <w:right w:val="single" w:sz="4" w:space="0" w:color="auto"/>
            </w:tcBorders>
            <w:vAlign w:val="center"/>
          </w:tcPr>
          <w:p w14:paraId="1D52C964" w14:textId="77777777" w:rsidR="00F73D5B" w:rsidRPr="008B7A21" w:rsidRDefault="00F73D5B" w:rsidP="00767A6A">
            <w:pPr>
              <w:pStyle w:val="Tabletext"/>
              <w:jc w:val="center"/>
              <w:rPr>
                <w:lang w:val="es-ES_tradnl"/>
              </w:rPr>
            </w:pPr>
            <w:r w:rsidRPr="008B7A21">
              <w:rPr>
                <w:lang w:val="es-ES_tradnl"/>
              </w:rPr>
              <w:t>32,76</w:t>
            </w:r>
          </w:p>
        </w:tc>
      </w:tr>
      <w:tr w:rsidR="00F73D5B" w:rsidRPr="008B7A21" w14:paraId="4C962448"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2D0903F5" w14:textId="77777777" w:rsidR="00F73D5B" w:rsidRPr="008B7A21" w:rsidRDefault="00F73D5B" w:rsidP="00767A6A">
            <w:pPr>
              <w:pStyle w:val="Tabletext"/>
              <w:jc w:val="center"/>
              <w:rPr>
                <w:lang w:val="es-ES_tradnl"/>
              </w:rPr>
            </w:pPr>
            <w:r w:rsidRPr="008B7A21">
              <w:rPr>
                <w:lang w:val="es-ES_tradnl"/>
              </w:rPr>
              <w:t>31</w:t>
            </w:r>
          </w:p>
        </w:tc>
        <w:tc>
          <w:tcPr>
            <w:tcW w:w="4143" w:type="dxa"/>
            <w:tcBorders>
              <w:top w:val="nil"/>
              <w:left w:val="nil"/>
              <w:bottom w:val="single" w:sz="4" w:space="0" w:color="auto"/>
              <w:right w:val="single" w:sz="4" w:space="0" w:color="auto"/>
            </w:tcBorders>
            <w:noWrap/>
            <w:vAlign w:val="center"/>
            <w:hideMark/>
          </w:tcPr>
          <w:p w14:paraId="4DE98A9F" w14:textId="77777777" w:rsidR="00F73D5B" w:rsidRPr="008B7A21" w:rsidRDefault="00F73D5B" w:rsidP="00767A6A">
            <w:pPr>
              <w:pStyle w:val="Tabletext"/>
              <w:rPr>
                <w:lang w:val="es-ES_tradnl"/>
              </w:rPr>
            </w:pPr>
            <w:r w:rsidRPr="008B7A21">
              <w:rPr>
                <w:lang w:val="es-ES_tradnl"/>
              </w:rPr>
              <w:t>Óblast de Magadán</w:t>
            </w:r>
          </w:p>
        </w:tc>
        <w:tc>
          <w:tcPr>
            <w:tcW w:w="1729" w:type="dxa"/>
            <w:tcBorders>
              <w:top w:val="single" w:sz="4" w:space="0" w:color="auto"/>
              <w:left w:val="nil"/>
              <w:bottom w:val="single" w:sz="4" w:space="0" w:color="auto"/>
              <w:right w:val="single" w:sz="4" w:space="0" w:color="auto"/>
            </w:tcBorders>
          </w:tcPr>
          <w:p w14:paraId="1377CD95"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76167C1B" w14:textId="77777777" w:rsidR="00F73D5B" w:rsidRPr="008B7A21" w:rsidRDefault="00F73D5B" w:rsidP="00767A6A">
            <w:pPr>
              <w:pStyle w:val="Tabletext"/>
              <w:jc w:val="center"/>
              <w:rPr>
                <w:lang w:val="es-ES_tradnl"/>
              </w:rPr>
            </w:pPr>
            <w:r w:rsidRPr="008B7A21">
              <w:rPr>
                <w:lang w:val="es-ES_tradnl"/>
              </w:rPr>
              <w:t>5,2</w:t>
            </w:r>
          </w:p>
        </w:tc>
        <w:tc>
          <w:tcPr>
            <w:tcW w:w="1565" w:type="dxa"/>
            <w:tcBorders>
              <w:top w:val="nil"/>
              <w:left w:val="nil"/>
              <w:bottom w:val="single" w:sz="4" w:space="0" w:color="auto"/>
              <w:right w:val="single" w:sz="4" w:space="0" w:color="auto"/>
            </w:tcBorders>
            <w:vAlign w:val="center"/>
          </w:tcPr>
          <w:p w14:paraId="57A413BD" w14:textId="77777777" w:rsidR="00F73D5B" w:rsidRPr="008B7A21" w:rsidRDefault="00F73D5B" w:rsidP="00767A6A">
            <w:pPr>
              <w:pStyle w:val="Tabletext"/>
              <w:jc w:val="center"/>
              <w:rPr>
                <w:lang w:val="es-ES_tradnl"/>
              </w:rPr>
            </w:pPr>
            <w:r w:rsidRPr="008B7A21">
              <w:rPr>
                <w:lang w:val="es-ES_tradnl"/>
              </w:rPr>
              <w:t>-</w:t>
            </w:r>
          </w:p>
        </w:tc>
      </w:tr>
      <w:tr w:rsidR="00F73D5B" w:rsidRPr="008B7A21" w14:paraId="69FB1257"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36FACA34" w14:textId="77777777" w:rsidR="00F73D5B" w:rsidRPr="008B7A21" w:rsidRDefault="00F73D5B" w:rsidP="00767A6A">
            <w:pPr>
              <w:pStyle w:val="Tabletext"/>
              <w:jc w:val="center"/>
              <w:rPr>
                <w:lang w:val="es-ES_tradnl"/>
              </w:rPr>
            </w:pPr>
            <w:r w:rsidRPr="008B7A21">
              <w:rPr>
                <w:lang w:val="es-ES_tradnl"/>
              </w:rPr>
              <w:t>32</w:t>
            </w:r>
          </w:p>
        </w:tc>
        <w:tc>
          <w:tcPr>
            <w:tcW w:w="4143" w:type="dxa"/>
            <w:tcBorders>
              <w:top w:val="nil"/>
              <w:left w:val="nil"/>
              <w:bottom w:val="single" w:sz="4" w:space="0" w:color="auto"/>
              <w:right w:val="single" w:sz="4" w:space="0" w:color="auto"/>
            </w:tcBorders>
            <w:noWrap/>
            <w:vAlign w:val="center"/>
            <w:hideMark/>
          </w:tcPr>
          <w:p w14:paraId="4E2C03E2" w14:textId="77777777" w:rsidR="00F73D5B" w:rsidRPr="008B7A21" w:rsidRDefault="00F73D5B" w:rsidP="00767A6A">
            <w:pPr>
              <w:pStyle w:val="Tabletext"/>
              <w:rPr>
                <w:lang w:val="es-ES_tradnl"/>
              </w:rPr>
            </w:pPr>
            <w:r w:rsidRPr="008B7A21">
              <w:rPr>
                <w:lang w:val="es-ES_tradnl"/>
              </w:rPr>
              <w:t>Óblast de Múrmansk</w:t>
            </w:r>
          </w:p>
        </w:tc>
        <w:tc>
          <w:tcPr>
            <w:tcW w:w="1729" w:type="dxa"/>
            <w:tcBorders>
              <w:top w:val="single" w:sz="4" w:space="0" w:color="auto"/>
              <w:left w:val="nil"/>
              <w:bottom w:val="single" w:sz="4" w:space="0" w:color="auto"/>
              <w:right w:val="single" w:sz="4" w:space="0" w:color="auto"/>
            </w:tcBorders>
          </w:tcPr>
          <w:p w14:paraId="099DCA86"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056F2CDB" w14:textId="77777777" w:rsidR="00F73D5B" w:rsidRPr="008B7A21" w:rsidRDefault="00F73D5B" w:rsidP="00767A6A">
            <w:pPr>
              <w:pStyle w:val="Tabletext"/>
              <w:jc w:val="center"/>
              <w:rPr>
                <w:lang w:val="es-ES_tradnl"/>
              </w:rPr>
            </w:pPr>
            <w:r w:rsidRPr="008B7A21">
              <w:rPr>
                <w:lang w:val="es-ES_tradnl"/>
              </w:rPr>
              <w:t>20,9</w:t>
            </w:r>
          </w:p>
        </w:tc>
        <w:tc>
          <w:tcPr>
            <w:tcW w:w="1565" w:type="dxa"/>
            <w:tcBorders>
              <w:top w:val="nil"/>
              <w:left w:val="nil"/>
              <w:bottom w:val="single" w:sz="4" w:space="0" w:color="auto"/>
              <w:right w:val="single" w:sz="4" w:space="0" w:color="auto"/>
            </w:tcBorders>
            <w:vAlign w:val="center"/>
          </w:tcPr>
          <w:p w14:paraId="15188D8D" w14:textId="77777777" w:rsidR="00F73D5B" w:rsidRPr="008B7A21" w:rsidRDefault="00F73D5B" w:rsidP="00767A6A">
            <w:pPr>
              <w:pStyle w:val="Tabletext"/>
              <w:jc w:val="center"/>
              <w:rPr>
                <w:lang w:val="es-ES_tradnl"/>
              </w:rPr>
            </w:pPr>
            <w:r w:rsidRPr="008B7A21">
              <w:rPr>
                <w:lang w:val="es-ES_tradnl"/>
              </w:rPr>
              <w:t>21,945</w:t>
            </w:r>
          </w:p>
        </w:tc>
      </w:tr>
      <w:tr w:rsidR="00F73D5B" w:rsidRPr="008B7A21" w14:paraId="117E584E"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5FFB95AE" w14:textId="77777777" w:rsidR="00F73D5B" w:rsidRPr="008B7A21" w:rsidRDefault="00F73D5B" w:rsidP="00767A6A">
            <w:pPr>
              <w:pStyle w:val="Tabletext"/>
              <w:jc w:val="center"/>
              <w:rPr>
                <w:lang w:val="es-ES_tradnl"/>
              </w:rPr>
            </w:pPr>
            <w:r w:rsidRPr="008B7A21">
              <w:rPr>
                <w:lang w:val="es-ES_tradnl"/>
              </w:rPr>
              <w:t>33</w:t>
            </w:r>
          </w:p>
        </w:tc>
        <w:tc>
          <w:tcPr>
            <w:tcW w:w="4143" w:type="dxa"/>
            <w:tcBorders>
              <w:top w:val="nil"/>
              <w:left w:val="nil"/>
              <w:bottom w:val="single" w:sz="4" w:space="0" w:color="auto"/>
              <w:right w:val="single" w:sz="4" w:space="0" w:color="auto"/>
            </w:tcBorders>
            <w:noWrap/>
            <w:vAlign w:val="center"/>
            <w:hideMark/>
          </w:tcPr>
          <w:p w14:paraId="51AA1AA3" w14:textId="77777777" w:rsidR="00F73D5B" w:rsidRPr="008B7A21" w:rsidRDefault="00F73D5B" w:rsidP="00767A6A">
            <w:pPr>
              <w:pStyle w:val="Tabletext"/>
              <w:rPr>
                <w:lang w:val="es-ES_tradnl"/>
              </w:rPr>
            </w:pPr>
            <w:r w:rsidRPr="008B7A21">
              <w:rPr>
                <w:lang w:val="es-ES_tradnl"/>
              </w:rPr>
              <w:t>Distrito Autónomo de Nenetsia</w:t>
            </w:r>
          </w:p>
        </w:tc>
        <w:tc>
          <w:tcPr>
            <w:tcW w:w="1729" w:type="dxa"/>
            <w:tcBorders>
              <w:top w:val="single" w:sz="4" w:space="0" w:color="auto"/>
              <w:left w:val="nil"/>
              <w:bottom w:val="single" w:sz="4" w:space="0" w:color="auto"/>
              <w:right w:val="single" w:sz="4" w:space="0" w:color="auto"/>
            </w:tcBorders>
          </w:tcPr>
          <w:p w14:paraId="05CCC4AC"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1BA1ABB7" w14:textId="77777777" w:rsidR="00F73D5B" w:rsidRPr="008B7A21" w:rsidRDefault="00F73D5B" w:rsidP="00767A6A">
            <w:pPr>
              <w:pStyle w:val="Tabletext"/>
              <w:jc w:val="center"/>
              <w:rPr>
                <w:lang w:val="es-ES_tradnl"/>
              </w:rPr>
            </w:pPr>
            <w:r w:rsidRPr="008B7A21">
              <w:rPr>
                <w:lang w:val="es-ES_tradnl"/>
              </w:rPr>
              <w:t>1,1</w:t>
            </w:r>
          </w:p>
        </w:tc>
        <w:tc>
          <w:tcPr>
            <w:tcW w:w="1565" w:type="dxa"/>
            <w:tcBorders>
              <w:top w:val="nil"/>
              <w:left w:val="nil"/>
              <w:bottom w:val="single" w:sz="4" w:space="0" w:color="auto"/>
              <w:right w:val="single" w:sz="4" w:space="0" w:color="auto"/>
            </w:tcBorders>
            <w:vAlign w:val="center"/>
          </w:tcPr>
          <w:p w14:paraId="24454BEC" w14:textId="77777777" w:rsidR="00F73D5B" w:rsidRPr="008B7A21" w:rsidRDefault="00F73D5B" w:rsidP="00767A6A">
            <w:pPr>
              <w:pStyle w:val="Tabletext"/>
              <w:jc w:val="center"/>
              <w:rPr>
                <w:lang w:val="es-ES_tradnl"/>
              </w:rPr>
            </w:pPr>
            <w:r w:rsidRPr="008B7A21">
              <w:rPr>
                <w:lang w:val="es-ES_tradnl"/>
              </w:rPr>
              <w:t>1,155</w:t>
            </w:r>
          </w:p>
        </w:tc>
      </w:tr>
      <w:tr w:rsidR="00F73D5B" w:rsidRPr="008B7A21" w14:paraId="2323CE34"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370E6B53" w14:textId="77777777" w:rsidR="00F73D5B" w:rsidRPr="008B7A21" w:rsidRDefault="00F73D5B" w:rsidP="00767A6A">
            <w:pPr>
              <w:pStyle w:val="Tabletext"/>
              <w:jc w:val="center"/>
              <w:rPr>
                <w:lang w:val="es-ES_tradnl"/>
              </w:rPr>
            </w:pPr>
            <w:r w:rsidRPr="008B7A21">
              <w:rPr>
                <w:lang w:val="es-ES_tradnl"/>
              </w:rPr>
              <w:t>34</w:t>
            </w:r>
          </w:p>
        </w:tc>
        <w:tc>
          <w:tcPr>
            <w:tcW w:w="4143" w:type="dxa"/>
            <w:tcBorders>
              <w:top w:val="nil"/>
              <w:left w:val="nil"/>
              <w:bottom w:val="single" w:sz="4" w:space="0" w:color="auto"/>
              <w:right w:val="single" w:sz="4" w:space="0" w:color="auto"/>
            </w:tcBorders>
            <w:noWrap/>
            <w:vAlign w:val="center"/>
            <w:hideMark/>
          </w:tcPr>
          <w:p w14:paraId="3F381177" w14:textId="77777777" w:rsidR="00F73D5B" w:rsidRPr="008B7A21" w:rsidRDefault="00F73D5B" w:rsidP="00767A6A">
            <w:pPr>
              <w:pStyle w:val="Tabletext"/>
              <w:rPr>
                <w:lang w:val="es-ES_tradnl"/>
              </w:rPr>
            </w:pPr>
            <w:r w:rsidRPr="008B7A21">
              <w:rPr>
                <w:lang w:val="es-ES_tradnl"/>
              </w:rPr>
              <w:t>Óblast de Nizhni Nóvgorod</w:t>
            </w:r>
          </w:p>
        </w:tc>
        <w:tc>
          <w:tcPr>
            <w:tcW w:w="1729" w:type="dxa"/>
            <w:tcBorders>
              <w:top w:val="single" w:sz="4" w:space="0" w:color="auto"/>
              <w:left w:val="nil"/>
              <w:bottom w:val="single" w:sz="4" w:space="0" w:color="auto"/>
              <w:right w:val="single" w:sz="4" w:space="0" w:color="auto"/>
            </w:tcBorders>
          </w:tcPr>
          <w:p w14:paraId="6502D28D"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385460A3" w14:textId="77777777" w:rsidR="00F73D5B" w:rsidRPr="008B7A21" w:rsidRDefault="00F73D5B" w:rsidP="00767A6A">
            <w:pPr>
              <w:pStyle w:val="Tabletext"/>
              <w:jc w:val="center"/>
              <w:rPr>
                <w:lang w:val="es-ES_tradnl"/>
              </w:rPr>
            </w:pPr>
            <w:r w:rsidRPr="008B7A21">
              <w:rPr>
                <w:lang w:val="es-ES_tradnl"/>
              </w:rPr>
              <w:t>83,6</w:t>
            </w:r>
          </w:p>
        </w:tc>
        <w:tc>
          <w:tcPr>
            <w:tcW w:w="1565" w:type="dxa"/>
            <w:tcBorders>
              <w:top w:val="nil"/>
              <w:left w:val="nil"/>
              <w:bottom w:val="single" w:sz="4" w:space="0" w:color="auto"/>
              <w:right w:val="single" w:sz="4" w:space="0" w:color="auto"/>
            </w:tcBorders>
            <w:vAlign w:val="center"/>
          </w:tcPr>
          <w:p w14:paraId="180C18E5" w14:textId="77777777" w:rsidR="00F73D5B" w:rsidRPr="008B7A21" w:rsidRDefault="00F73D5B" w:rsidP="00767A6A">
            <w:pPr>
              <w:pStyle w:val="Tabletext"/>
              <w:jc w:val="center"/>
              <w:rPr>
                <w:lang w:val="es-ES_tradnl"/>
              </w:rPr>
            </w:pPr>
            <w:r w:rsidRPr="008B7A21">
              <w:rPr>
                <w:lang w:val="es-ES_tradnl"/>
              </w:rPr>
              <w:t>112,86</w:t>
            </w:r>
          </w:p>
        </w:tc>
      </w:tr>
      <w:tr w:rsidR="00F73D5B" w:rsidRPr="008B7A21" w14:paraId="6D6CE8F5"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2FAA5F88" w14:textId="77777777" w:rsidR="00F73D5B" w:rsidRPr="008B7A21" w:rsidRDefault="00F73D5B" w:rsidP="00767A6A">
            <w:pPr>
              <w:pStyle w:val="Tabletext"/>
              <w:jc w:val="center"/>
              <w:rPr>
                <w:lang w:val="es-ES_tradnl"/>
              </w:rPr>
            </w:pPr>
            <w:r w:rsidRPr="008B7A21">
              <w:rPr>
                <w:lang w:val="es-ES_tradnl"/>
              </w:rPr>
              <w:t>35</w:t>
            </w:r>
          </w:p>
        </w:tc>
        <w:tc>
          <w:tcPr>
            <w:tcW w:w="4143" w:type="dxa"/>
            <w:tcBorders>
              <w:top w:val="nil"/>
              <w:left w:val="nil"/>
              <w:bottom w:val="single" w:sz="4" w:space="0" w:color="auto"/>
              <w:right w:val="single" w:sz="4" w:space="0" w:color="auto"/>
            </w:tcBorders>
            <w:noWrap/>
            <w:vAlign w:val="center"/>
            <w:hideMark/>
          </w:tcPr>
          <w:p w14:paraId="361FB88D" w14:textId="77777777" w:rsidR="00F73D5B" w:rsidRPr="008B7A21" w:rsidRDefault="00F73D5B" w:rsidP="00767A6A">
            <w:pPr>
              <w:pStyle w:val="Tabletext"/>
              <w:rPr>
                <w:lang w:val="es-ES_tradnl"/>
              </w:rPr>
            </w:pPr>
            <w:r w:rsidRPr="008B7A21">
              <w:rPr>
                <w:lang w:val="es-ES_tradnl"/>
              </w:rPr>
              <w:t>Óblast de Nóvgorod</w:t>
            </w:r>
          </w:p>
        </w:tc>
        <w:tc>
          <w:tcPr>
            <w:tcW w:w="1729" w:type="dxa"/>
            <w:tcBorders>
              <w:top w:val="single" w:sz="4" w:space="0" w:color="auto"/>
              <w:left w:val="nil"/>
              <w:bottom w:val="single" w:sz="4" w:space="0" w:color="auto"/>
              <w:right w:val="single" w:sz="4" w:space="0" w:color="auto"/>
            </w:tcBorders>
          </w:tcPr>
          <w:p w14:paraId="79F7D262"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334EFFA6" w14:textId="77777777" w:rsidR="00F73D5B" w:rsidRPr="008B7A21" w:rsidRDefault="00F73D5B" w:rsidP="00767A6A">
            <w:pPr>
              <w:pStyle w:val="Tabletext"/>
              <w:jc w:val="center"/>
              <w:rPr>
                <w:lang w:val="es-ES_tradnl"/>
              </w:rPr>
            </w:pPr>
            <w:r w:rsidRPr="008B7A21">
              <w:rPr>
                <w:lang w:val="es-ES_tradnl"/>
              </w:rPr>
              <w:t>13,9</w:t>
            </w:r>
          </w:p>
        </w:tc>
        <w:tc>
          <w:tcPr>
            <w:tcW w:w="1565" w:type="dxa"/>
            <w:tcBorders>
              <w:top w:val="nil"/>
              <w:left w:val="nil"/>
              <w:bottom w:val="single" w:sz="4" w:space="0" w:color="auto"/>
              <w:right w:val="single" w:sz="4" w:space="0" w:color="auto"/>
            </w:tcBorders>
            <w:vAlign w:val="center"/>
          </w:tcPr>
          <w:p w14:paraId="78B25B7E" w14:textId="77777777" w:rsidR="00F73D5B" w:rsidRPr="008B7A21" w:rsidRDefault="00F73D5B" w:rsidP="00767A6A">
            <w:pPr>
              <w:pStyle w:val="Tabletext"/>
              <w:jc w:val="center"/>
              <w:rPr>
                <w:lang w:val="es-ES_tradnl"/>
              </w:rPr>
            </w:pPr>
            <w:r w:rsidRPr="008B7A21">
              <w:rPr>
                <w:lang w:val="es-ES_tradnl"/>
              </w:rPr>
              <w:t>14,595</w:t>
            </w:r>
          </w:p>
        </w:tc>
      </w:tr>
      <w:tr w:rsidR="00F73D5B" w:rsidRPr="008B7A21" w14:paraId="5E183780"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0631E655" w14:textId="77777777" w:rsidR="00F73D5B" w:rsidRPr="008B7A21" w:rsidRDefault="00F73D5B" w:rsidP="00767A6A">
            <w:pPr>
              <w:pStyle w:val="Tabletext"/>
              <w:jc w:val="center"/>
              <w:rPr>
                <w:lang w:val="es-ES_tradnl"/>
              </w:rPr>
            </w:pPr>
            <w:r w:rsidRPr="008B7A21">
              <w:rPr>
                <w:lang w:val="es-ES_tradnl"/>
              </w:rPr>
              <w:t>36</w:t>
            </w:r>
          </w:p>
        </w:tc>
        <w:tc>
          <w:tcPr>
            <w:tcW w:w="4143" w:type="dxa"/>
            <w:tcBorders>
              <w:top w:val="nil"/>
              <w:left w:val="nil"/>
              <w:bottom w:val="single" w:sz="4" w:space="0" w:color="auto"/>
              <w:right w:val="single" w:sz="4" w:space="0" w:color="auto"/>
            </w:tcBorders>
            <w:noWrap/>
            <w:vAlign w:val="center"/>
            <w:hideMark/>
          </w:tcPr>
          <w:p w14:paraId="435E10F0" w14:textId="77777777" w:rsidR="00F73D5B" w:rsidRPr="008B7A21" w:rsidRDefault="00F73D5B" w:rsidP="00767A6A">
            <w:pPr>
              <w:pStyle w:val="Tabletext"/>
              <w:rPr>
                <w:lang w:val="es-ES_tradnl"/>
              </w:rPr>
            </w:pPr>
            <w:r w:rsidRPr="008B7A21">
              <w:rPr>
                <w:lang w:val="es-ES_tradnl"/>
              </w:rPr>
              <w:t>Óblast de Novosibirsk</w:t>
            </w:r>
          </w:p>
        </w:tc>
        <w:tc>
          <w:tcPr>
            <w:tcW w:w="1729" w:type="dxa"/>
            <w:tcBorders>
              <w:top w:val="single" w:sz="4" w:space="0" w:color="auto"/>
              <w:left w:val="nil"/>
              <w:bottom w:val="single" w:sz="4" w:space="0" w:color="auto"/>
              <w:right w:val="single" w:sz="4" w:space="0" w:color="auto"/>
            </w:tcBorders>
          </w:tcPr>
          <w:p w14:paraId="0ABC9AA9"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00860636" w14:textId="77777777" w:rsidR="00F73D5B" w:rsidRPr="008B7A21" w:rsidRDefault="00F73D5B" w:rsidP="00767A6A">
            <w:pPr>
              <w:pStyle w:val="Tabletext"/>
              <w:jc w:val="center"/>
              <w:rPr>
                <w:lang w:val="es-ES_tradnl"/>
              </w:rPr>
            </w:pPr>
            <w:r w:rsidRPr="008B7A21">
              <w:rPr>
                <w:lang w:val="es-ES_tradnl"/>
              </w:rPr>
              <w:t>66,7</w:t>
            </w:r>
          </w:p>
        </w:tc>
        <w:tc>
          <w:tcPr>
            <w:tcW w:w="1565" w:type="dxa"/>
            <w:tcBorders>
              <w:top w:val="nil"/>
              <w:left w:val="nil"/>
              <w:bottom w:val="single" w:sz="4" w:space="0" w:color="auto"/>
              <w:right w:val="single" w:sz="4" w:space="0" w:color="auto"/>
            </w:tcBorders>
            <w:vAlign w:val="center"/>
          </w:tcPr>
          <w:p w14:paraId="30A8FDAA" w14:textId="77777777" w:rsidR="00F73D5B" w:rsidRPr="008B7A21" w:rsidRDefault="00F73D5B" w:rsidP="00767A6A">
            <w:pPr>
              <w:pStyle w:val="Tabletext"/>
              <w:jc w:val="center"/>
              <w:rPr>
                <w:lang w:val="es-ES_tradnl"/>
              </w:rPr>
            </w:pPr>
            <w:r w:rsidRPr="008B7A21">
              <w:rPr>
                <w:lang w:val="es-ES_tradnl"/>
              </w:rPr>
              <w:t>93,38</w:t>
            </w:r>
          </w:p>
        </w:tc>
      </w:tr>
      <w:tr w:rsidR="00F73D5B" w:rsidRPr="008B7A21" w14:paraId="296DAAE2"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62161F8C" w14:textId="77777777" w:rsidR="00F73D5B" w:rsidRPr="008B7A21" w:rsidRDefault="00F73D5B" w:rsidP="00767A6A">
            <w:pPr>
              <w:pStyle w:val="Tabletext"/>
              <w:jc w:val="center"/>
              <w:rPr>
                <w:lang w:val="es-ES_tradnl"/>
              </w:rPr>
            </w:pPr>
            <w:r w:rsidRPr="008B7A21">
              <w:rPr>
                <w:lang w:val="es-ES_tradnl"/>
              </w:rPr>
              <w:t>37</w:t>
            </w:r>
          </w:p>
        </w:tc>
        <w:tc>
          <w:tcPr>
            <w:tcW w:w="4143" w:type="dxa"/>
            <w:tcBorders>
              <w:top w:val="nil"/>
              <w:left w:val="nil"/>
              <w:bottom w:val="single" w:sz="4" w:space="0" w:color="auto"/>
              <w:right w:val="single" w:sz="4" w:space="0" w:color="auto"/>
            </w:tcBorders>
            <w:noWrap/>
            <w:vAlign w:val="center"/>
            <w:hideMark/>
          </w:tcPr>
          <w:p w14:paraId="05C5318D" w14:textId="77777777" w:rsidR="00F73D5B" w:rsidRPr="008B7A21" w:rsidRDefault="00F73D5B" w:rsidP="00767A6A">
            <w:pPr>
              <w:pStyle w:val="Tabletext"/>
              <w:rPr>
                <w:lang w:val="es-ES_tradnl"/>
              </w:rPr>
            </w:pPr>
            <w:r w:rsidRPr="008B7A21">
              <w:rPr>
                <w:lang w:val="es-ES_tradnl"/>
              </w:rPr>
              <w:t>Óblast de Omsk</w:t>
            </w:r>
          </w:p>
        </w:tc>
        <w:tc>
          <w:tcPr>
            <w:tcW w:w="1729" w:type="dxa"/>
            <w:tcBorders>
              <w:top w:val="single" w:sz="4" w:space="0" w:color="auto"/>
              <w:left w:val="nil"/>
              <w:bottom w:val="single" w:sz="4" w:space="0" w:color="auto"/>
              <w:right w:val="single" w:sz="4" w:space="0" w:color="auto"/>
            </w:tcBorders>
          </w:tcPr>
          <w:p w14:paraId="790AB314"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2A8503B2" w14:textId="77777777" w:rsidR="00F73D5B" w:rsidRPr="008B7A21" w:rsidRDefault="00F73D5B" w:rsidP="00767A6A">
            <w:pPr>
              <w:pStyle w:val="Tabletext"/>
              <w:jc w:val="center"/>
              <w:rPr>
                <w:lang w:val="es-ES_tradnl"/>
              </w:rPr>
            </w:pPr>
            <w:r w:rsidRPr="008B7A21">
              <w:rPr>
                <w:lang w:val="es-ES_tradnl"/>
              </w:rPr>
              <w:t>45,6</w:t>
            </w:r>
          </w:p>
        </w:tc>
        <w:tc>
          <w:tcPr>
            <w:tcW w:w="1565" w:type="dxa"/>
            <w:tcBorders>
              <w:top w:val="nil"/>
              <w:left w:val="nil"/>
              <w:bottom w:val="single" w:sz="4" w:space="0" w:color="auto"/>
              <w:right w:val="single" w:sz="4" w:space="0" w:color="auto"/>
            </w:tcBorders>
            <w:vAlign w:val="center"/>
          </w:tcPr>
          <w:p w14:paraId="4BEBA033" w14:textId="77777777" w:rsidR="00F73D5B" w:rsidRPr="008B7A21" w:rsidRDefault="00F73D5B" w:rsidP="00767A6A">
            <w:pPr>
              <w:pStyle w:val="Tabletext"/>
              <w:jc w:val="center"/>
              <w:rPr>
                <w:lang w:val="es-ES_tradnl"/>
              </w:rPr>
            </w:pPr>
            <w:r w:rsidRPr="008B7A21">
              <w:rPr>
                <w:lang w:val="es-ES_tradnl"/>
              </w:rPr>
              <w:t>61,56</w:t>
            </w:r>
          </w:p>
        </w:tc>
      </w:tr>
      <w:tr w:rsidR="00F73D5B" w:rsidRPr="008B7A21" w14:paraId="41933938"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6F415838" w14:textId="77777777" w:rsidR="00F73D5B" w:rsidRPr="008B7A21" w:rsidRDefault="00F73D5B" w:rsidP="00767A6A">
            <w:pPr>
              <w:pStyle w:val="Tabletext"/>
              <w:jc w:val="center"/>
              <w:rPr>
                <w:lang w:val="es-ES_tradnl"/>
              </w:rPr>
            </w:pPr>
            <w:r w:rsidRPr="008B7A21">
              <w:rPr>
                <w:lang w:val="es-ES_tradnl"/>
              </w:rPr>
              <w:t>38</w:t>
            </w:r>
          </w:p>
        </w:tc>
        <w:tc>
          <w:tcPr>
            <w:tcW w:w="4143" w:type="dxa"/>
            <w:tcBorders>
              <w:top w:val="nil"/>
              <w:left w:val="nil"/>
              <w:bottom w:val="single" w:sz="4" w:space="0" w:color="auto"/>
              <w:right w:val="single" w:sz="4" w:space="0" w:color="auto"/>
            </w:tcBorders>
            <w:noWrap/>
            <w:vAlign w:val="center"/>
            <w:hideMark/>
          </w:tcPr>
          <w:p w14:paraId="38E25E6C" w14:textId="77777777" w:rsidR="00F73D5B" w:rsidRPr="008B7A21" w:rsidRDefault="00F73D5B" w:rsidP="00767A6A">
            <w:pPr>
              <w:pStyle w:val="Tabletext"/>
              <w:rPr>
                <w:lang w:val="es-ES_tradnl"/>
              </w:rPr>
            </w:pPr>
            <w:r w:rsidRPr="008B7A21">
              <w:rPr>
                <w:lang w:val="es-ES_tradnl"/>
              </w:rPr>
              <w:t>Óblast de Oremburgo</w:t>
            </w:r>
          </w:p>
        </w:tc>
        <w:tc>
          <w:tcPr>
            <w:tcW w:w="1729" w:type="dxa"/>
            <w:tcBorders>
              <w:top w:val="single" w:sz="4" w:space="0" w:color="auto"/>
              <w:left w:val="nil"/>
              <w:bottom w:val="single" w:sz="4" w:space="0" w:color="auto"/>
              <w:right w:val="single" w:sz="4" w:space="0" w:color="auto"/>
            </w:tcBorders>
          </w:tcPr>
          <w:p w14:paraId="5F4D154C"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2B36EA10" w14:textId="77777777" w:rsidR="00F73D5B" w:rsidRPr="008B7A21" w:rsidRDefault="00F73D5B" w:rsidP="00767A6A">
            <w:pPr>
              <w:pStyle w:val="Tabletext"/>
              <w:jc w:val="center"/>
              <w:rPr>
                <w:lang w:val="es-ES_tradnl"/>
              </w:rPr>
            </w:pPr>
            <w:r w:rsidRPr="008B7A21">
              <w:rPr>
                <w:lang w:val="es-ES_tradnl"/>
              </w:rPr>
              <w:t>43,4</w:t>
            </w:r>
          </w:p>
        </w:tc>
        <w:tc>
          <w:tcPr>
            <w:tcW w:w="1565" w:type="dxa"/>
            <w:tcBorders>
              <w:top w:val="nil"/>
              <w:left w:val="nil"/>
              <w:bottom w:val="single" w:sz="4" w:space="0" w:color="auto"/>
              <w:right w:val="single" w:sz="4" w:space="0" w:color="auto"/>
            </w:tcBorders>
            <w:vAlign w:val="center"/>
          </w:tcPr>
          <w:p w14:paraId="74BE3F67" w14:textId="77777777" w:rsidR="00F73D5B" w:rsidRPr="008B7A21" w:rsidRDefault="00F73D5B" w:rsidP="00767A6A">
            <w:pPr>
              <w:pStyle w:val="Tabletext"/>
              <w:jc w:val="center"/>
              <w:rPr>
                <w:lang w:val="es-ES_tradnl"/>
              </w:rPr>
            </w:pPr>
            <w:r w:rsidRPr="008B7A21">
              <w:rPr>
                <w:lang w:val="es-ES_tradnl"/>
              </w:rPr>
              <w:t>56,42</w:t>
            </w:r>
          </w:p>
        </w:tc>
      </w:tr>
      <w:tr w:rsidR="00F73D5B" w:rsidRPr="008B7A21" w14:paraId="6A77D569"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4806FB46" w14:textId="77777777" w:rsidR="00F73D5B" w:rsidRPr="008B7A21" w:rsidRDefault="00F73D5B" w:rsidP="00767A6A">
            <w:pPr>
              <w:pStyle w:val="Tabletext"/>
              <w:jc w:val="center"/>
              <w:rPr>
                <w:lang w:val="es-ES_tradnl"/>
              </w:rPr>
            </w:pPr>
            <w:r w:rsidRPr="008B7A21">
              <w:rPr>
                <w:lang w:val="es-ES_tradnl"/>
              </w:rPr>
              <w:t>39</w:t>
            </w:r>
          </w:p>
        </w:tc>
        <w:tc>
          <w:tcPr>
            <w:tcW w:w="4143" w:type="dxa"/>
            <w:tcBorders>
              <w:top w:val="nil"/>
              <w:left w:val="nil"/>
              <w:bottom w:val="single" w:sz="4" w:space="0" w:color="auto"/>
              <w:right w:val="single" w:sz="4" w:space="0" w:color="auto"/>
            </w:tcBorders>
            <w:noWrap/>
            <w:vAlign w:val="center"/>
            <w:hideMark/>
          </w:tcPr>
          <w:p w14:paraId="4EE295C7" w14:textId="77777777" w:rsidR="00F73D5B" w:rsidRPr="008B7A21" w:rsidRDefault="00F73D5B" w:rsidP="00767A6A">
            <w:pPr>
              <w:pStyle w:val="Tabletext"/>
              <w:rPr>
                <w:lang w:val="es-ES_tradnl"/>
              </w:rPr>
            </w:pPr>
            <w:r w:rsidRPr="008B7A21">
              <w:rPr>
                <w:lang w:val="es-ES_tradnl"/>
              </w:rPr>
              <w:t>Óblast de Oriol</w:t>
            </w:r>
          </w:p>
        </w:tc>
        <w:tc>
          <w:tcPr>
            <w:tcW w:w="1729" w:type="dxa"/>
            <w:tcBorders>
              <w:top w:val="single" w:sz="4" w:space="0" w:color="auto"/>
              <w:left w:val="nil"/>
              <w:bottom w:val="single" w:sz="4" w:space="0" w:color="auto"/>
              <w:right w:val="single" w:sz="4" w:space="0" w:color="auto"/>
            </w:tcBorders>
          </w:tcPr>
          <w:p w14:paraId="6598DBF7"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343B896B" w14:textId="77777777" w:rsidR="00F73D5B" w:rsidRPr="008B7A21" w:rsidRDefault="00F73D5B" w:rsidP="00767A6A">
            <w:pPr>
              <w:pStyle w:val="Tabletext"/>
              <w:jc w:val="center"/>
              <w:rPr>
                <w:lang w:val="es-ES_tradnl"/>
              </w:rPr>
            </w:pPr>
            <w:r w:rsidRPr="008B7A21">
              <w:rPr>
                <w:lang w:val="es-ES_tradnl"/>
              </w:rPr>
              <w:t>16,2</w:t>
            </w:r>
          </w:p>
        </w:tc>
        <w:tc>
          <w:tcPr>
            <w:tcW w:w="1565" w:type="dxa"/>
            <w:tcBorders>
              <w:top w:val="nil"/>
              <w:left w:val="nil"/>
              <w:bottom w:val="single" w:sz="4" w:space="0" w:color="auto"/>
              <w:right w:val="single" w:sz="4" w:space="0" w:color="auto"/>
            </w:tcBorders>
            <w:vAlign w:val="center"/>
          </w:tcPr>
          <w:p w14:paraId="6B139CEB" w14:textId="77777777" w:rsidR="00F73D5B" w:rsidRPr="008B7A21" w:rsidRDefault="00F73D5B" w:rsidP="00767A6A">
            <w:pPr>
              <w:pStyle w:val="Tabletext"/>
              <w:jc w:val="center"/>
              <w:rPr>
                <w:lang w:val="es-ES_tradnl"/>
              </w:rPr>
            </w:pPr>
            <w:r w:rsidRPr="008B7A21">
              <w:rPr>
                <w:lang w:val="es-ES_tradnl"/>
              </w:rPr>
              <w:t>17,82</w:t>
            </w:r>
          </w:p>
        </w:tc>
      </w:tr>
      <w:tr w:rsidR="00F73D5B" w:rsidRPr="008B7A21" w14:paraId="0C495A4D"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124308AB" w14:textId="77777777" w:rsidR="00F73D5B" w:rsidRPr="008B7A21" w:rsidRDefault="00F73D5B" w:rsidP="00767A6A">
            <w:pPr>
              <w:pStyle w:val="Tabletext"/>
              <w:jc w:val="center"/>
              <w:rPr>
                <w:lang w:val="es-ES_tradnl"/>
              </w:rPr>
            </w:pPr>
            <w:r w:rsidRPr="008B7A21">
              <w:rPr>
                <w:lang w:val="es-ES_tradnl"/>
              </w:rPr>
              <w:t>40</w:t>
            </w:r>
          </w:p>
        </w:tc>
        <w:tc>
          <w:tcPr>
            <w:tcW w:w="4143" w:type="dxa"/>
            <w:tcBorders>
              <w:top w:val="nil"/>
              <w:left w:val="nil"/>
              <w:bottom w:val="single" w:sz="4" w:space="0" w:color="auto"/>
              <w:right w:val="single" w:sz="4" w:space="0" w:color="auto"/>
            </w:tcBorders>
            <w:noWrap/>
            <w:vAlign w:val="center"/>
            <w:hideMark/>
          </w:tcPr>
          <w:p w14:paraId="30B054B3" w14:textId="77777777" w:rsidR="00F73D5B" w:rsidRPr="008B7A21" w:rsidRDefault="00F73D5B" w:rsidP="00767A6A">
            <w:pPr>
              <w:pStyle w:val="Tabletext"/>
              <w:rPr>
                <w:lang w:val="es-ES_tradnl"/>
              </w:rPr>
            </w:pPr>
            <w:r w:rsidRPr="008B7A21">
              <w:rPr>
                <w:lang w:val="es-ES_tradnl"/>
              </w:rPr>
              <w:t>Óblast de Penza</w:t>
            </w:r>
          </w:p>
        </w:tc>
        <w:tc>
          <w:tcPr>
            <w:tcW w:w="1729" w:type="dxa"/>
            <w:tcBorders>
              <w:top w:val="single" w:sz="4" w:space="0" w:color="auto"/>
              <w:left w:val="nil"/>
              <w:bottom w:val="single" w:sz="4" w:space="0" w:color="auto"/>
              <w:right w:val="single" w:sz="4" w:space="0" w:color="auto"/>
            </w:tcBorders>
          </w:tcPr>
          <w:p w14:paraId="77AE22ED"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6E7EDE5F" w14:textId="77777777" w:rsidR="00F73D5B" w:rsidRPr="008B7A21" w:rsidRDefault="00F73D5B" w:rsidP="00767A6A">
            <w:pPr>
              <w:pStyle w:val="Tabletext"/>
              <w:jc w:val="center"/>
              <w:rPr>
                <w:lang w:val="es-ES_tradnl"/>
              </w:rPr>
            </w:pPr>
            <w:r w:rsidRPr="008B7A21">
              <w:rPr>
                <w:lang w:val="es-ES_tradnl"/>
              </w:rPr>
              <w:t>30,9</w:t>
            </w:r>
          </w:p>
        </w:tc>
        <w:tc>
          <w:tcPr>
            <w:tcW w:w="1565" w:type="dxa"/>
            <w:tcBorders>
              <w:top w:val="nil"/>
              <w:left w:val="nil"/>
              <w:bottom w:val="single" w:sz="4" w:space="0" w:color="auto"/>
              <w:right w:val="single" w:sz="4" w:space="0" w:color="auto"/>
            </w:tcBorders>
            <w:vAlign w:val="center"/>
          </w:tcPr>
          <w:p w14:paraId="1425E185" w14:textId="77777777" w:rsidR="00F73D5B" w:rsidRPr="008B7A21" w:rsidRDefault="00F73D5B" w:rsidP="00767A6A">
            <w:pPr>
              <w:pStyle w:val="Tabletext"/>
              <w:jc w:val="center"/>
              <w:rPr>
                <w:lang w:val="es-ES_tradnl"/>
              </w:rPr>
            </w:pPr>
            <w:r w:rsidRPr="008B7A21">
              <w:rPr>
                <w:lang w:val="es-ES_tradnl"/>
              </w:rPr>
              <w:t>33,99</w:t>
            </w:r>
          </w:p>
        </w:tc>
      </w:tr>
      <w:tr w:rsidR="00F73D5B" w:rsidRPr="008B7A21" w14:paraId="182EEAE6"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7519EB2D" w14:textId="77777777" w:rsidR="00F73D5B" w:rsidRPr="008B7A21" w:rsidRDefault="00F73D5B" w:rsidP="00767A6A">
            <w:pPr>
              <w:pStyle w:val="Tabletext"/>
              <w:jc w:val="center"/>
              <w:rPr>
                <w:lang w:val="es-ES_tradnl"/>
              </w:rPr>
            </w:pPr>
            <w:r w:rsidRPr="008B7A21">
              <w:rPr>
                <w:lang w:val="es-ES_tradnl"/>
              </w:rPr>
              <w:t>41</w:t>
            </w:r>
          </w:p>
        </w:tc>
        <w:tc>
          <w:tcPr>
            <w:tcW w:w="4143" w:type="dxa"/>
            <w:tcBorders>
              <w:top w:val="nil"/>
              <w:left w:val="nil"/>
              <w:bottom w:val="single" w:sz="4" w:space="0" w:color="auto"/>
              <w:right w:val="single" w:sz="4" w:space="0" w:color="auto"/>
            </w:tcBorders>
            <w:noWrap/>
            <w:vAlign w:val="center"/>
            <w:hideMark/>
          </w:tcPr>
          <w:p w14:paraId="7E6007D1" w14:textId="77777777" w:rsidR="00F73D5B" w:rsidRPr="008B7A21" w:rsidRDefault="00F73D5B" w:rsidP="00767A6A">
            <w:pPr>
              <w:pStyle w:val="Tabletext"/>
              <w:rPr>
                <w:lang w:val="es-ES_tradnl"/>
              </w:rPr>
            </w:pPr>
            <w:r w:rsidRPr="008B7A21">
              <w:rPr>
                <w:lang w:val="es-ES_tradnl"/>
              </w:rPr>
              <w:t>Krai de Perm</w:t>
            </w:r>
          </w:p>
        </w:tc>
        <w:tc>
          <w:tcPr>
            <w:tcW w:w="1729" w:type="dxa"/>
            <w:tcBorders>
              <w:top w:val="single" w:sz="4" w:space="0" w:color="auto"/>
              <w:left w:val="nil"/>
              <w:bottom w:val="single" w:sz="4" w:space="0" w:color="auto"/>
              <w:right w:val="single" w:sz="4" w:space="0" w:color="auto"/>
            </w:tcBorders>
          </w:tcPr>
          <w:p w14:paraId="4518E179"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668EC53B" w14:textId="77777777" w:rsidR="00F73D5B" w:rsidRPr="008B7A21" w:rsidRDefault="00F73D5B" w:rsidP="00767A6A">
            <w:pPr>
              <w:pStyle w:val="Tabletext"/>
              <w:jc w:val="center"/>
              <w:rPr>
                <w:lang w:val="es-ES_tradnl"/>
              </w:rPr>
            </w:pPr>
            <w:r w:rsidRPr="008B7A21">
              <w:rPr>
                <w:lang w:val="es-ES_tradnl"/>
              </w:rPr>
              <w:t>66,3</w:t>
            </w:r>
          </w:p>
        </w:tc>
        <w:tc>
          <w:tcPr>
            <w:tcW w:w="1565" w:type="dxa"/>
            <w:tcBorders>
              <w:top w:val="nil"/>
              <w:left w:val="nil"/>
              <w:bottom w:val="single" w:sz="4" w:space="0" w:color="auto"/>
              <w:right w:val="single" w:sz="4" w:space="0" w:color="auto"/>
            </w:tcBorders>
            <w:vAlign w:val="center"/>
          </w:tcPr>
          <w:p w14:paraId="0E316651" w14:textId="77777777" w:rsidR="00F73D5B" w:rsidRPr="008B7A21" w:rsidRDefault="00F73D5B" w:rsidP="00767A6A">
            <w:pPr>
              <w:pStyle w:val="Tabletext"/>
              <w:jc w:val="center"/>
              <w:rPr>
                <w:lang w:val="es-ES_tradnl"/>
              </w:rPr>
            </w:pPr>
            <w:r w:rsidRPr="008B7A21">
              <w:rPr>
                <w:lang w:val="es-ES_tradnl"/>
              </w:rPr>
              <w:t>89,505</w:t>
            </w:r>
          </w:p>
        </w:tc>
      </w:tr>
      <w:tr w:rsidR="00F73D5B" w:rsidRPr="008B7A21" w14:paraId="18E4FF09"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5AF6393E" w14:textId="77777777" w:rsidR="00F73D5B" w:rsidRPr="008B7A21" w:rsidRDefault="00F73D5B" w:rsidP="00767A6A">
            <w:pPr>
              <w:pStyle w:val="Tabletext"/>
              <w:jc w:val="center"/>
              <w:rPr>
                <w:lang w:val="es-ES_tradnl"/>
              </w:rPr>
            </w:pPr>
            <w:r w:rsidRPr="008B7A21">
              <w:rPr>
                <w:lang w:val="es-ES_tradnl"/>
              </w:rPr>
              <w:t>42</w:t>
            </w:r>
          </w:p>
        </w:tc>
        <w:tc>
          <w:tcPr>
            <w:tcW w:w="4143" w:type="dxa"/>
            <w:tcBorders>
              <w:top w:val="nil"/>
              <w:left w:val="nil"/>
              <w:bottom w:val="single" w:sz="4" w:space="0" w:color="auto"/>
              <w:right w:val="single" w:sz="4" w:space="0" w:color="auto"/>
            </w:tcBorders>
            <w:noWrap/>
            <w:vAlign w:val="center"/>
            <w:hideMark/>
          </w:tcPr>
          <w:p w14:paraId="32FEE880" w14:textId="77777777" w:rsidR="00F73D5B" w:rsidRPr="008B7A21" w:rsidRDefault="00F73D5B" w:rsidP="00767A6A">
            <w:pPr>
              <w:pStyle w:val="Tabletext"/>
              <w:rPr>
                <w:lang w:val="es-ES_tradnl"/>
              </w:rPr>
            </w:pPr>
            <w:r w:rsidRPr="008B7A21">
              <w:rPr>
                <w:lang w:val="es-ES_tradnl"/>
              </w:rPr>
              <w:t>Krai de Primorie</w:t>
            </w:r>
          </w:p>
        </w:tc>
        <w:tc>
          <w:tcPr>
            <w:tcW w:w="1729" w:type="dxa"/>
            <w:tcBorders>
              <w:top w:val="single" w:sz="4" w:space="0" w:color="auto"/>
              <w:left w:val="nil"/>
              <w:bottom w:val="single" w:sz="4" w:space="0" w:color="auto"/>
              <w:right w:val="single" w:sz="4" w:space="0" w:color="auto"/>
            </w:tcBorders>
          </w:tcPr>
          <w:p w14:paraId="782A3C54"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07596DD0" w14:textId="77777777" w:rsidR="00F73D5B" w:rsidRPr="008B7A21" w:rsidRDefault="00F73D5B" w:rsidP="00767A6A">
            <w:pPr>
              <w:pStyle w:val="Tabletext"/>
              <w:jc w:val="center"/>
              <w:rPr>
                <w:lang w:val="es-ES_tradnl"/>
              </w:rPr>
            </w:pPr>
            <w:r w:rsidRPr="008B7A21">
              <w:rPr>
                <w:lang w:val="es-ES_tradnl"/>
              </w:rPr>
              <w:t>50,1</w:t>
            </w:r>
          </w:p>
        </w:tc>
        <w:tc>
          <w:tcPr>
            <w:tcW w:w="1565" w:type="dxa"/>
            <w:tcBorders>
              <w:top w:val="nil"/>
              <w:left w:val="nil"/>
              <w:bottom w:val="single" w:sz="4" w:space="0" w:color="auto"/>
              <w:right w:val="single" w:sz="4" w:space="0" w:color="auto"/>
            </w:tcBorders>
            <w:vAlign w:val="center"/>
          </w:tcPr>
          <w:p w14:paraId="0CD66B74" w14:textId="77777777" w:rsidR="00F73D5B" w:rsidRPr="008B7A21" w:rsidRDefault="00F73D5B" w:rsidP="00767A6A">
            <w:pPr>
              <w:pStyle w:val="Tabletext"/>
              <w:jc w:val="center"/>
              <w:rPr>
                <w:lang w:val="es-ES_tradnl"/>
              </w:rPr>
            </w:pPr>
            <w:r w:rsidRPr="008B7A21">
              <w:rPr>
                <w:lang w:val="es-ES_tradnl"/>
              </w:rPr>
              <w:t>55,11</w:t>
            </w:r>
          </w:p>
        </w:tc>
      </w:tr>
    </w:tbl>
    <w:p w14:paraId="6E2A5CF9" w14:textId="1BAF5953" w:rsidR="00F73D5B" w:rsidRPr="008B7A21" w:rsidRDefault="00F73D5B" w:rsidP="00F73D5B">
      <w:pPr>
        <w:pStyle w:val="TableNo"/>
        <w:rPr>
          <w:lang w:val="es-ES_tradnl"/>
        </w:rPr>
      </w:pPr>
      <w:r w:rsidRPr="008B7A21">
        <w:rPr>
          <w:lang w:val="es-ES_tradnl"/>
        </w:rPr>
        <w:t>CUADRO 19 (</w:t>
      </w:r>
      <w:r w:rsidRPr="008B7A21">
        <w:rPr>
          <w:i/>
          <w:iCs/>
          <w:lang w:val="es-ES_tradnl"/>
        </w:rPr>
        <w:t>continuación</w:t>
      </w:r>
      <w:r w:rsidRPr="008B7A21">
        <w:rPr>
          <w:lang w:val="es-ES_tradnl"/>
        </w:rPr>
        <w:t>)</w:t>
      </w:r>
    </w:p>
    <w:tbl>
      <w:tblPr>
        <w:tblW w:w="9649" w:type="dxa"/>
        <w:jc w:val="center"/>
        <w:tblLayout w:type="fixed"/>
        <w:tblLook w:val="04A0" w:firstRow="1" w:lastRow="0" w:firstColumn="1" w:lastColumn="0" w:noHBand="0" w:noVBand="1"/>
      </w:tblPr>
      <w:tblGrid>
        <w:gridCol w:w="794"/>
        <w:gridCol w:w="4143"/>
        <w:gridCol w:w="1729"/>
        <w:gridCol w:w="1418"/>
        <w:gridCol w:w="1565"/>
      </w:tblGrid>
      <w:tr w:rsidR="00F73D5B" w:rsidRPr="008B7A21" w14:paraId="6CDC62CB" w14:textId="77777777" w:rsidTr="00767A6A">
        <w:trPr>
          <w:cantSplit/>
          <w:jc w:val="center"/>
        </w:trPr>
        <w:tc>
          <w:tcPr>
            <w:tcW w:w="794" w:type="dxa"/>
            <w:tcBorders>
              <w:top w:val="single" w:sz="4" w:space="0" w:color="auto"/>
              <w:left w:val="single" w:sz="4" w:space="0" w:color="auto"/>
              <w:bottom w:val="single" w:sz="4" w:space="0" w:color="auto"/>
              <w:right w:val="single" w:sz="4" w:space="0" w:color="auto"/>
            </w:tcBorders>
            <w:vAlign w:val="center"/>
            <w:hideMark/>
          </w:tcPr>
          <w:p w14:paraId="6A3DAE45" w14:textId="77777777" w:rsidR="00F73D5B" w:rsidRPr="008B7A21" w:rsidRDefault="00F73D5B" w:rsidP="00767A6A">
            <w:pPr>
              <w:pStyle w:val="Tablehead"/>
              <w:rPr>
                <w:lang w:val="es-ES_tradnl"/>
              </w:rPr>
            </w:pPr>
            <w:r w:rsidRPr="008B7A21">
              <w:rPr>
                <w:lang w:val="es-ES_tradnl"/>
              </w:rPr>
              <w:t>N.° lote</w:t>
            </w:r>
          </w:p>
        </w:tc>
        <w:tc>
          <w:tcPr>
            <w:tcW w:w="4143" w:type="dxa"/>
            <w:tcBorders>
              <w:top w:val="single" w:sz="4" w:space="0" w:color="auto"/>
              <w:left w:val="nil"/>
              <w:bottom w:val="single" w:sz="4" w:space="0" w:color="auto"/>
              <w:right w:val="single" w:sz="4" w:space="0" w:color="auto"/>
            </w:tcBorders>
            <w:vAlign w:val="center"/>
            <w:hideMark/>
          </w:tcPr>
          <w:p w14:paraId="5B5389F8" w14:textId="77777777" w:rsidR="00F73D5B" w:rsidRPr="008B7A21" w:rsidRDefault="00F73D5B" w:rsidP="00767A6A">
            <w:pPr>
              <w:pStyle w:val="Tablehead"/>
              <w:rPr>
                <w:lang w:val="es-ES_tradnl"/>
              </w:rPr>
            </w:pPr>
            <w:r w:rsidRPr="008B7A21">
              <w:rPr>
                <w:lang w:val="es-ES_tradnl"/>
              </w:rPr>
              <w:t>Territorio de la Federación de Rusia</w:t>
            </w:r>
          </w:p>
        </w:tc>
        <w:tc>
          <w:tcPr>
            <w:tcW w:w="1729" w:type="dxa"/>
            <w:tcBorders>
              <w:top w:val="single" w:sz="4" w:space="0" w:color="auto"/>
              <w:left w:val="nil"/>
              <w:bottom w:val="single" w:sz="4" w:space="0" w:color="auto"/>
              <w:right w:val="single" w:sz="4" w:space="0" w:color="auto"/>
            </w:tcBorders>
            <w:vAlign w:val="center"/>
          </w:tcPr>
          <w:p w14:paraId="2EE0E76E" w14:textId="77777777" w:rsidR="00F73D5B" w:rsidRPr="008B7A21" w:rsidRDefault="00F73D5B" w:rsidP="00767A6A">
            <w:pPr>
              <w:pStyle w:val="Tablehead"/>
              <w:rPr>
                <w:lang w:val="es-ES_tradnl"/>
              </w:rPr>
            </w:pPr>
            <w:r w:rsidRPr="008B7A21">
              <w:rPr>
                <w:lang w:val="es-ES_tradnl"/>
              </w:rPr>
              <w:t>Tamaño de bloque</w:t>
            </w:r>
            <w:r w:rsidRPr="008B7A21">
              <w:rPr>
                <w:lang w:val="es-ES_tradnl"/>
              </w:rPr>
              <w:br/>
              <w:t>(MHz)</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51B35DD" w14:textId="77777777" w:rsidR="00F73D5B" w:rsidRPr="008B7A21" w:rsidRDefault="00F73D5B" w:rsidP="00767A6A">
            <w:pPr>
              <w:pStyle w:val="Tablehead"/>
              <w:rPr>
                <w:lang w:val="es-ES_tradnl"/>
              </w:rPr>
            </w:pPr>
            <w:r w:rsidRPr="008B7A21">
              <w:rPr>
                <w:lang w:val="es-ES_tradnl"/>
              </w:rPr>
              <w:t>Precio de reserva (millones de rublos)</w:t>
            </w:r>
          </w:p>
        </w:tc>
        <w:tc>
          <w:tcPr>
            <w:tcW w:w="1565" w:type="dxa"/>
            <w:tcBorders>
              <w:top w:val="single" w:sz="4" w:space="0" w:color="auto"/>
              <w:left w:val="nil"/>
              <w:bottom w:val="single" w:sz="4" w:space="0" w:color="auto"/>
              <w:right w:val="single" w:sz="4" w:space="0" w:color="auto"/>
            </w:tcBorders>
            <w:vAlign w:val="center"/>
          </w:tcPr>
          <w:p w14:paraId="7FEE1D06" w14:textId="77777777" w:rsidR="00F73D5B" w:rsidRPr="008B7A21" w:rsidRDefault="00F73D5B" w:rsidP="00767A6A">
            <w:pPr>
              <w:pStyle w:val="Tablehead"/>
              <w:rPr>
                <w:lang w:val="es-ES_tradnl"/>
              </w:rPr>
            </w:pPr>
            <w:r w:rsidRPr="008B7A21">
              <w:rPr>
                <w:lang w:val="es-ES_tradnl"/>
              </w:rPr>
              <w:t>Precio de lote basado en resultados de licitación (millones de rublos)</w:t>
            </w:r>
          </w:p>
        </w:tc>
      </w:tr>
      <w:tr w:rsidR="008F628B" w:rsidRPr="008B7A21" w14:paraId="50E51980" w14:textId="77777777" w:rsidTr="00AA0D97">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4FD7BA62" w14:textId="77777777" w:rsidR="008F628B" w:rsidRPr="008B7A21" w:rsidRDefault="008F628B" w:rsidP="00AA0D97">
            <w:pPr>
              <w:pStyle w:val="Tabletext"/>
              <w:jc w:val="center"/>
              <w:rPr>
                <w:lang w:val="es-ES_tradnl"/>
              </w:rPr>
            </w:pPr>
            <w:r w:rsidRPr="008B7A21">
              <w:rPr>
                <w:lang w:val="es-ES_tradnl"/>
              </w:rPr>
              <w:t>43</w:t>
            </w:r>
          </w:p>
        </w:tc>
        <w:tc>
          <w:tcPr>
            <w:tcW w:w="4143" w:type="dxa"/>
            <w:tcBorders>
              <w:top w:val="nil"/>
              <w:left w:val="nil"/>
              <w:bottom w:val="single" w:sz="4" w:space="0" w:color="auto"/>
              <w:right w:val="single" w:sz="4" w:space="0" w:color="auto"/>
            </w:tcBorders>
            <w:noWrap/>
            <w:vAlign w:val="center"/>
            <w:hideMark/>
          </w:tcPr>
          <w:p w14:paraId="22162C00" w14:textId="77777777" w:rsidR="008F628B" w:rsidRPr="008B7A21" w:rsidRDefault="008F628B" w:rsidP="00AA0D97">
            <w:pPr>
              <w:pStyle w:val="Tabletext"/>
              <w:rPr>
                <w:lang w:val="es-ES_tradnl"/>
              </w:rPr>
            </w:pPr>
            <w:r w:rsidRPr="008B7A21">
              <w:rPr>
                <w:lang w:val="es-ES_tradnl"/>
              </w:rPr>
              <w:t xml:space="preserve">Óblast de Pskov </w:t>
            </w:r>
          </w:p>
        </w:tc>
        <w:tc>
          <w:tcPr>
            <w:tcW w:w="1729" w:type="dxa"/>
            <w:tcBorders>
              <w:top w:val="single" w:sz="4" w:space="0" w:color="auto"/>
              <w:left w:val="nil"/>
              <w:bottom w:val="single" w:sz="4" w:space="0" w:color="auto"/>
              <w:right w:val="single" w:sz="4" w:space="0" w:color="auto"/>
            </w:tcBorders>
          </w:tcPr>
          <w:p w14:paraId="47A2D324" w14:textId="77777777" w:rsidR="008F628B" w:rsidRPr="008B7A21" w:rsidRDefault="008F628B" w:rsidP="00AA0D97">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4C8AEF6F" w14:textId="77777777" w:rsidR="008F628B" w:rsidRPr="008B7A21" w:rsidRDefault="008F628B" w:rsidP="00AA0D97">
            <w:pPr>
              <w:pStyle w:val="Tabletext"/>
              <w:jc w:val="center"/>
              <w:rPr>
                <w:lang w:val="es-ES_tradnl"/>
              </w:rPr>
            </w:pPr>
            <w:r w:rsidRPr="008B7A21">
              <w:rPr>
                <w:lang w:val="es-ES_tradnl"/>
              </w:rPr>
              <w:t>13,8</w:t>
            </w:r>
          </w:p>
        </w:tc>
        <w:tc>
          <w:tcPr>
            <w:tcW w:w="1565" w:type="dxa"/>
            <w:tcBorders>
              <w:top w:val="nil"/>
              <w:left w:val="nil"/>
              <w:bottom w:val="single" w:sz="4" w:space="0" w:color="auto"/>
              <w:right w:val="single" w:sz="4" w:space="0" w:color="auto"/>
            </w:tcBorders>
            <w:vAlign w:val="center"/>
          </w:tcPr>
          <w:p w14:paraId="0910499F" w14:textId="77777777" w:rsidR="008F628B" w:rsidRPr="008B7A21" w:rsidRDefault="008F628B" w:rsidP="00AA0D97">
            <w:pPr>
              <w:pStyle w:val="Tabletext"/>
              <w:jc w:val="center"/>
              <w:rPr>
                <w:lang w:val="es-ES_tradnl"/>
              </w:rPr>
            </w:pPr>
            <w:r w:rsidRPr="008B7A21">
              <w:rPr>
                <w:lang w:val="es-ES_tradnl"/>
              </w:rPr>
              <w:t>15,87</w:t>
            </w:r>
          </w:p>
        </w:tc>
      </w:tr>
      <w:tr w:rsidR="00F73D5B" w:rsidRPr="008B7A21" w14:paraId="672C8924"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5DC6EA13" w14:textId="77777777" w:rsidR="00F73D5B" w:rsidRPr="008B7A21" w:rsidRDefault="00F73D5B" w:rsidP="00767A6A">
            <w:pPr>
              <w:pStyle w:val="Tabletext"/>
              <w:jc w:val="center"/>
              <w:rPr>
                <w:lang w:val="es-ES_tradnl"/>
              </w:rPr>
            </w:pPr>
            <w:r w:rsidRPr="008B7A21">
              <w:rPr>
                <w:lang w:val="es-ES_tradnl"/>
              </w:rPr>
              <w:t>44</w:t>
            </w:r>
          </w:p>
        </w:tc>
        <w:tc>
          <w:tcPr>
            <w:tcW w:w="4143" w:type="dxa"/>
            <w:tcBorders>
              <w:top w:val="nil"/>
              <w:left w:val="nil"/>
              <w:bottom w:val="single" w:sz="4" w:space="0" w:color="auto"/>
              <w:right w:val="single" w:sz="4" w:space="0" w:color="auto"/>
            </w:tcBorders>
            <w:noWrap/>
            <w:vAlign w:val="center"/>
            <w:hideMark/>
          </w:tcPr>
          <w:p w14:paraId="330EBD22" w14:textId="77777777" w:rsidR="00F73D5B" w:rsidRPr="008B7A21" w:rsidRDefault="00F73D5B" w:rsidP="00767A6A">
            <w:pPr>
              <w:pStyle w:val="Tabletext"/>
              <w:rPr>
                <w:lang w:val="es-ES_tradnl"/>
              </w:rPr>
            </w:pPr>
            <w:r w:rsidRPr="008B7A21">
              <w:rPr>
                <w:lang w:val="es-ES_tradnl"/>
              </w:rPr>
              <w:t xml:space="preserve">La República de Adigueya (Adigueya) </w:t>
            </w:r>
          </w:p>
        </w:tc>
        <w:tc>
          <w:tcPr>
            <w:tcW w:w="1729" w:type="dxa"/>
            <w:tcBorders>
              <w:top w:val="single" w:sz="4" w:space="0" w:color="auto"/>
              <w:left w:val="nil"/>
              <w:bottom w:val="single" w:sz="4" w:space="0" w:color="auto"/>
              <w:right w:val="single" w:sz="4" w:space="0" w:color="auto"/>
            </w:tcBorders>
          </w:tcPr>
          <w:p w14:paraId="577AA036"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16610FD0" w14:textId="77777777" w:rsidR="00F73D5B" w:rsidRPr="008B7A21" w:rsidRDefault="00F73D5B" w:rsidP="00767A6A">
            <w:pPr>
              <w:pStyle w:val="Tabletext"/>
              <w:jc w:val="center"/>
              <w:rPr>
                <w:lang w:val="es-ES_tradnl"/>
              </w:rPr>
            </w:pPr>
            <w:r w:rsidRPr="008B7A21">
              <w:rPr>
                <w:lang w:val="es-ES_tradnl"/>
              </w:rPr>
              <w:t>9,0</w:t>
            </w:r>
          </w:p>
        </w:tc>
        <w:tc>
          <w:tcPr>
            <w:tcW w:w="1565" w:type="dxa"/>
            <w:tcBorders>
              <w:top w:val="nil"/>
              <w:left w:val="nil"/>
              <w:bottom w:val="single" w:sz="4" w:space="0" w:color="auto"/>
              <w:right w:val="single" w:sz="4" w:space="0" w:color="auto"/>
            </w:tcBorders>
            <w:vAlign w:val="center"/>
          </w:tcPr>
          <w:p w14:paraId="24A84A06" w14:textId="77777777" w:rsidR="00F73D5B" w:rsidRPr="008B7A21" w:rsidRDefault="00F73D5B" w:rsidP="00767A6A">
            <w:pPr>
              <w:pStyle w:val="Tabletext"/>
              <w:jc w:val="center"/>
              <w:rPr>
                <w:lang w:val="es-ES_tradnl"/>
              </w:rPr>
            </w:pPr>
            <w:r w:rsidRPr="008B7A21">
              <w:rPr>
                <w:lang w:val="es-ES_tradnl"/>
              </w:rPr>
              <w:t>9,9</w:t>
            </w:r>
          </w:p>
        </w:tc>
      </w:tr>
      <w:tr w:rsidR="00F73D5B" w:rsidRPr="008B7A21" w14:paraId="0C82B79B"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3296166D" w14:textId="77777777" w:rsidR="00F73D5B" w:rsidRPr="008B7A21" w:rsidRDefault="00F73D5B" w:rsidP="00767A6A">
            <w:pPr>
              <w:pStyle w:val="Tabletext"/>
              <w:jc w:val="center"/>
              <w:rPr>
                <w:lang w:val="es-ES_tradnl"/>
              </w:rPr>
            </w:pPr>
            <w:r w:rsidRPr="008B7A21">
              <w:rPr>
                <w:lang w:val="es-ES_tradnl"/>
              </w:rPr>
              <w:t>45</w:t>
            </w:r>
          </w:p>
        </w:tc>
        <w:tc>
          <w:tcPr>
            <w:tcW w:w="4143" w:type="dxa"/>
            <w:tcBorders>
              <w:top w:val="nil"/>
              <w:left w:val="nil"/>
              <w:bottom w:val="single" w:sz="4" w:space="0" w:color="auto"/>
              <w:right w:val="single" w:sz="4" w:space="0" w:color="auto"/>
            </w:tcBorders>
            <w:noWrap/>
            <w:vAlign w:val="center"/>
            <w:hideMark/>
          </w:tcPr>
          <w:p w14:paraId="42E72019" w14:textId="77777777" w:rsidR="00F73D5B" w:rsidRPr="008B7A21" w:rsidRDefault="00F73D5B" w:rsidP="00767A6A">
            <w:pPr>
              <w:pStyle w:val="Tabletext"/>
              <w:rPr>
                <w:lang w:val="es-ES_tradnl"/>
              </w:rPr>
            </w:pPr>
            <w:r w:rsidRPr="008B7A21">
              <w:rPr>
                <w:lang w:val="es-ES_tradnl"/>
              </w:rPr>
              <w:t>La República de Altái</w:t>
            </w:r>
          </w:p>
        </w:tc>
        <w:tc>
          <w:tcPr>
            <w:tcW w:w="1729" w:type="dxa"/>
            <w:tcBorders>
              <w:top w:val="single" w:sz="4" w:space="0" w:color="auto"/>
              <w:left w:val="nil"/>
              <w:bottom w:val="single" w:sz="4" w:space="0" w:color="auto"/>
              <w:right w:val="single" w:sz="4" w:space="0" w:color="auto"/>
            </w:tcBorders>
          </w:tcPr>
          <w:p w14:paraId="37C74A61"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737D4945" w14:textId="77777777" w:rsidR="00F73D5B" w:rsidRPr="008B7A21" w:rsidRDefault="00F73D5B" w:rsidP="00767A6A">
            <w:pPr>
              <w:pStyle w:val="Tabletext"/>
              <w:jc w:val="center"/>
              <w:rPr>
                <w:lang w:val="es-ES_tradnl"/>
              </w:rPr>
            </w:pPr>
            <w:r w:rsidRPr="008B7A21">
              <w:rPr>
                <w:lang w:val="es-ES_tradnl"/>
              </w:rPr>
              <w:t>3,4</w:t>
            </w:r>
          </w:p>
        </w:tc>
        <w:tc>
          <w:tcPr>
            <w:tcW w:w="1565" w:type="dxa"/>
            <w:tcBorders>
              <w:top w:val="nil"/>
              <w:left w:val="nil"/>
              <w:bottom w:val="single" w:sz="4" w:space="0" w:color="auto"/>
              <w:right w:val="single" w:sz="4" w:space="0" w:color="auto"/>
            </w:tcBorders>
            <w:vAlign w:val="center"/>
          </w:tcPr>
          <w:p w14:paraId="2870DAB2" w14:textId="77777777" w:rsidR="00F73D5B" w:rsidRPr="008B7A21" w:rsidRDefault="00F73D5B" w:rsidP="00767A6A">
            <w:pPr>
              <w:pStyle w:val="Tabletext"/>
              <w:jc w:val="center"/>
              <w:rPr>
                <w:lang w:val="es-ES_tradnl"/>
              </w:rPr>
            </w:pPr>
            <w:r w:rsidRPr="008B7A21">
              <w:rPr>
                <w:lang w:val="es-ES_tradnl"/>
              </w:rPr>
              <w:t>3,74</w:t>
            </w:r>
          </w:p>
        </w:tc>
      </w:tr>
      <w:tr w:rsidR="00F73D5B" w:rsidRPr="008B7A21" w14:paraId="7C8BDAFD"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0DCA8017" w14:textId="77777777" w:rsidR="00F73D5B" w:rsidRPr="008B7A21" w:rsidRDefault="00F73D5B" w:rsidP="00767A6A">
            <w:pPr>
              <w:pStyle w:val="Tabletext"/>
              <w:jc w:val="center"/>
              <w:rPr>
                <w:lang w:val="es-ES_tradnl"/>
              </w:rPr>
            </w:pPr>
            <w:r w:rsidRPr="008B7A21">
              <w:rPr>
                <w:lang w:val="es-ES_tradnl"/>
              </w:rPr>
              <w:t>46</w:t>
            </w:r>
          </w:p>
        </w:tc>
        <w:tc>
          <w:tcPr>
            <w:tcW w:w="4143" w:type="dxa"/>
            <w:tcBorders>
              <w:top w:val="nil"/>
              <w:left w:val="nil"/>
              <w:bottom w:val="single" w:sz="4" w:space="0" w:color="auto"/>
              <w:right w:val="single" w:sz="4" w:space="0" w:color="auto"/>
            </w:tcBorders>
            <w:noWrap/>
            <w:vAlign w:val="center"/>
            <w:hideMark/>
          </w:tcPr>
          <w:p w14:paraId="2CA0B079" w14:textId="77777777" w:rsidR="00F73D5B" w:rsidRPr="008B7A21" w:rsidRDefault="00F73D5B" w:rsidP="00767A6A">
            <w:pPr>
              <w:pStyle w:val="Tabletext"/>
              <w:rPr>
                <w:lang w:val="es-ES_tradnl"/>
              </w:rPr>
            </w:pPr>
            <w:r w:rsidRPr="008B7A21">
              <w:rPr>
                <w:lang w:val="es-ES_tradnl"/>
              </w:rPr>
              <w:t>La República de Baskortostán</w:t>
            </w:r>
          </w:p>
        </w:tc>
        <w:tc>
          <w:tcPr>
            <w:tcW w:w="1729" w:type="dxa"/>
            <w:tcBorders>
              <w:top w:val="single" w:sz="4" w:space="0" w:color="auto"/>
              <w:left w:val="nil"/>
              <w:bottom w:val="single" w:sz="4" w:space="0" w:color="auto"/>
              <w:right w:val="single" w:sz="4" w:space="0" w:color="auto"/>
            </w:tcBorders>
          </w:tcPr>
          <w:p w14:paraId="2B9EDBB0"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085EBE97" w14:textId="77777777" w:rsidR="00F73D5B" w:rsidRPr="008B7A21" w:rsidRDefault="00F73D5B" w:rsidP="00767A6A">
            <w:pPr>
              <w:pStyle w:val="Tabletext"/>
              <w:jc w:val="center"/>
              <w:rPr>
                <w:lang w:val="es-ES_tradnl"/>
              </w:rPr>
            </w:pPr>
            <w:r w:rsidRPr="008B7A21">
              <w:rPr>
                <w:lang w:val="es-ES_tradnl"/>
              </w:rPr>
              <w:t>90,1</w:t>
            </w:r>
          </w:p>
        </w:tc>
        <w:tc>
          <w:tcPr>
            <w:tcW w:w="1565" w:type="dxa"/>
            <w:tcBorders>
              <w:top w:val="nil"/>
              <w:left w:val="nil"/>
              <w:bottom w:val="single" w:sz="4" w:space="0" w:color="auto"/>
              <w:right w:val="single" w:sz="4" w:space="0" w:color="auto"/>
            </w:tcBorders>
            <w:vAlign w:val="center"/>
          </w:tcPr>
          <w:p w14:paraId="35C25D8E" w14:textId="77777777" w:rsidR="00F73D5B" w:rsidRPr="008B7A21" w:rsidRDefault="00F73D5B" w:rsidP="00767A6A">
            <w:pPr>
              <w:pStyle w:val="Tabletext"/>
              <w:jc w:val="center"/>
              <w:rPr>
                <w:lang w:val="es-ES_tradnl"/>
              </w:rPr>
            </w:pPr>
            <w:r w:rsidRPr="008B7A21">
              <w:rPr>
                <w:lang w:val="es-ES_tradnl"/>
              </w:rPr>
              <w:t>121,635</w:t>
            </w:r>
          </w:p>
        </w:tc>
      </w:tr>
      <w:tr w:rsidR="00F73D5B" w:rsidRPr="008B7A21" w14:paraId="1FE3DD13"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1C5D03EA" w14:textId="77777777" w:rsidR="00F73D5B" w:rsidRPr="008B7A21" w:rsidRDefault="00F73D5B" w:rsidP="00767A6A">
            <w:pPr>
              <w:pStyle w:val="Tabletext"/>
              <w:jc w:val="center"/>
              <w:rPr>
                <w:lang w:val="es-ES_tradnl"/>
              </w:rPr>
            </w:pPr>
            <w:r w:rsidRPr="008B7A21">
              <w:rPr>
                <w:lang w:val="es-ES_tradnl"/>
              </w:rPr>
              <w:t>47</w:t>
            </w:r>
          </w:p>
        </w:tc>
        <w:tc>
          <w:tcPr>
            <w:tcW w:w="4143" w:type="dxa"/>
            <w:tcBorders>
              <w:top w:val="nil"/>
              <w:left w:val="nil"/>
              <w:bottom w:val="single" w:sz="4" w:space="0" w:color="auto"/>
              <w:right w:val="single" w:sz="4" w:space="0" w:color="auto"/>
            </w:tcBorders>
            <w:noWrap/>
            <w:vAlign w:val="center"/>
            <w:hideMark/>
          </w:tcPr>
          <w:p w14:paraId="376BDFFB" w14:textId="77777777" w:rsidR="00F73D5B" w:rsidRPr="008B7A21" w:rsidRDefault="00F73D5B" w:rsidP="00767A6A">
            <w:pPr>
              <w:pStyle w:val="Tabletext"/>
              <w:rPr>
                <w:lang w:val="es-ES_tradnl"/>
              </w:rPr>
            </w:pPr>
            <w:r w:rsidRPr="008B7A21">
              <w:rPr>
                <w:lang w:val="es-ES_tradnl"/>
              </w:rPr>
              <w:t>La República de Buriata</w:t>
            </w:r>
          </w:p>
        </w:tc>
        <w:tc>
          <w:tcPr>
            <w:tcW w:w="1729" w:type="dxa"/>
            <w:tcBorders>
              <w:top w:val="single" w:sz="4" w:space="0" w:color="auto"/>
              <w:left w:val="nil"/>
              <w:bottom w:val="single" w:sz="4" w:space="0" w:color="auto"/>
              <w:right w:val="single" w:sz="4" w:space="0" w:color="auto"/>
            </w:tcBorders>
          </w:tcPr>
          <w:p w14:paraId="407C6DF6"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00933EAD" w14:textId="77777777" w:rsidR="00F73D5B" w:rsidRPr="008B7A21" w:rsidRDefault="00F73D5B" w:rsidP="00767A6A">
            <w:pPr>
              <w:pStyle w:val="Tabletext"/>
              <w:jc w:val="center"/>
              <w:rPr>
                <w:lang w:val="es-ES_tradnl"/>
              </w:rPr>
            </w:pPr>
            <w:r w:rsidRPr="008B7A21">
              <w:rPr>
                <w:lang w:val="es-ES_tradnl"/>
              </w:rPr>
              <w:t>22,0</w:t>
            </w:r>
          </w:p>
        </w:tc>
        <w:tc>
          <w:tcPr>
            <w:tcW w:w="1565" w:type="dxa"/>
            <w:tcBorders>
              <w:top w:val="nil"/>
              <w:left w:val="nil"/>
              <w:bottom w:val="single" w:sz="4" w:space="0" w:color="auto"/>
              <w:right w:val="single" w:sz="4" w:space="0" w:color="auto"/>
            </w:tcBorders>
            <w:vAlign w:val="center"/>
          </w:tcPr>
          <w:p w14:paraId="2BD83131" w14:textId="77777777" w:rsidR="00F73D5B" w:rsidRPr="008B7A21" w:rsidRDefault="00F73D5B" w:rsidP="00767A6A">
            <w:pPr>
              <w:pStyle w:val="Tabletext"/>
              <w:jc w:val="center"/>
              <w:rPr>
                <w:lang w:val="es-ES_tradnl"/>
              </w:rPr>
            </w:pPr>
            <w:r w:rsidRPr="008B7A21">
              <w:rPr>
                <w:lang w:val="es-ES_tradnl"/>
              </w:rPr>
              <w:t>23,1</w:t>
            </w:r>
          </w:p>
        </w:tc>
      </w:tr>
      <w:tr w:rsidR="00F73D5B" w:rsidRPr="008B7A21" w14:paraId="51138A00"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03A4F0B2" w14:textId="77777777" w:rsidR="00F73D5B" w:rsidRPr="008B7A21" w:rsidRDefault="00F73D5B" w:rsidP="00767A6A">
            <w:pPr>
              <w:pStyle w:val="Tabletext"/>
              <w:jc w:val="center"/>
              <w:rPr>
                <w:lang w:val="es-ES_tradnl"/>
              </w:rPr>
            </w:pPr>
            <w:r w:rsidRPr="008B7A21">
              <w:rPr>
                <w:lang w:val="es-ES_tradnl"/>
              </w:rPr>
              <w:t>48</w:t>
            </w:r>
          </w:p>
        </w:tc>
        <w:tc>
          <w:tcPr>
            <w:tcW w:w="4143" w:type="dxa"/>
            <w:tcBorders>
              <w:top w:val="nil"/>
              <w:left w:val="nil"/>
              <w:bottom w:val="single" w:sz="4" w:space="0" w:color="auto"/>
              <w:right w:val="single" w:sz="4" w:space="0" w:color="auto"/>
            </w:tcBorders>
            <w:noWrap/>
            <w:vAlign w:val="center"/>
            <w:hideMark/>
          </w:tcPr>
          <w:p w14:paraId="69B27CC5" w14:textId="77777777" w:rsidR="00F73D5B" w:rsidRPr="008B7A21" w:rsidRDefault="00F73D5B" w:rsidP="00767A6A">
            <w:pPr>
              <w:pStyle w:val="Tabletext"/>
              <w:rPr>
                <w:lang w:val="es-ES_tradnl"/>
              </w:rPr>
            </w:pPr>
            <w:r w:rsidRPr="008B7A21">
              <w:rPr>
                <w:lang w:val="es-ES_tradnl"/>
              </w:rPr>
              <w:t>La República de Dagestán</w:t>
            </w:r>
          </w:p>
        </w:tc>
        <w:tc>
          <w:tcPr>
            <w:tcW w:w="1729" w:type="dxa"/>
            <w:tcBorders>
              <w:top w:val="single" w:sz="4" w:space="0" w:color="auto"/>
              <w:left w:val="nil"/>
              <w:bottom w:val="single" w:sz="4" w:space="0" w:color="auto"/>
              <w:right w:val="single" w:sz="4" w:space="0" w:color="auto"/>
            </w:tcBorders>
          </w:tcPr>
          <w:p w14:paraId="7F69782D"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0C34605E" w14:textId="77777777" w:rsidR="00F73D5B" w:rsidRPr="008B7A21" w:rsidRDefault="00F73D5B" w:rsidP="00767A6A">
            <w:pPr>
              <w:pStyle w:val="Tabletext"/>
              <w:jc w:val="center"/>
              <w:rPr>
                <w:lang w:val="es-ES_tradnl"/>
              </w:rPr>
            </w:pPr>
            <w:r w:rsidRPr="008B7A21">
              <w:rPr>
                <w:lang w:val="es-ES_tradnl"/>
              </w:rPr>
              <w:t>59,9</w:t>
            </w:r>
          </w:p>
        </w:tc>
        <w:tc>
          <w:tcPr>
            <w:tcW w:w="1565" w:type="dxa"/>
            <w:tcBorders>
              <w:top w:val="nil"/>
              <w:left w:val="nil"/>
              <w:bottom w:val="single" w:sz="4" w:space="0" w:color="auto"/>
              <w:right w:val="single" w:sz="4" w:space="0" w:color="auto"/>
            </w:tcBorders>
            <w:vAlign w:val="center"/>
          </w:tcPr>
          <w:p w14:paraId="5061C01A" w14:textId="77777777" w:rsidR="00F73D5B" w:rsidRPr="008B7A21" w:rsidRDefault="00F73D5B" w:rsidP="00767A6A">
            <w:pPr>
              <w:pStyle w:val="Tabletext"/>
              <w:jc w:val="center"/>
              <w:rPr>
                <w:lang w:val="es-ES_tradnl"/>
              </w:rPr>
            </w:pPr>
            <w:r w:rsidRPr="008B7A21">
              <w:rPr>
                <w:lang w:val="es-ES_tradnl"/>
              </w:rPr>
              <w:t>74,875</w:t>
            </w:r>
          </w:p>
        </w:tc>
      </w:tr>
      <w:tr w:rsidR="00F73D5B" w:rsidRPr="008B7A21" w14:paraId="7BAA1C75"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75A1F2B2" w14:textId="77777777" w:rsidR="00F73D5B" w:rsidRPr="008B7A21" w:rsidRDefault="00F73D5B" w:rsidP="00767A6A">
            <w:pPr>
              <w:pStyle w:val="Tabletext"/>
              <w:jc w:val="center"/>
              <w:rPr>
                <w:lang w:val="es-ES_tradnl"/>
              </w:rPr>
            </w:pPr>
            <w:r w:rsidRPr="008B7A21">
              <w:rPr>
                <w:lang w:val="es-ES_tradnl"/>
              </w:rPr>
              <w:t>49</w:t>
            </w:r>
          </w:p>
        </w:tc>
        <w:tc>
          <w:tcPr>
            <w:tcW w:w="4143" w:type="dxa"/>
            <w:tcBorders>
              <w:top w:val="nil"/>
              <w:left w:val="nil"/>
              <w:bottom w:val="single" w:sz="4" w:space="0" w:color="auto"/>
              <w:right w:val="single" w:sz="4" w:space="0" w:color="auto"/>
            </w:tcBorders>
            <w:noWrap/>
            <w:vAlign w:val="center"/>
            <w:hideMark/>
          </w:tcPr>
          <w:p w14:paraId="60E8888E" w14:textId="77777777" w:rsidR="00F73D5B" w:rsidRPr="008B7A21" w:rsidRDefault="00F73D5B" w:rsidP="00767A6A">
            <w:pPr>
              <w:pStyle w:val="Tabletext"/>
              <w:rPr>
                <w:lang w:val="es-ES_tradnl"/>
              </w:rPr>
            </w:pPr>
            <w:r w:rsidRPr="008B7A21">
              <w:rPr>
                <w:lang w:val="es-ES_tradnl"/>
              </w:rPr>
              <w:t>La República de Ingusetia</w:t>
            </w:r>
          </w:p>
        </w:tc>
        <w:tc>
          <w:tcPr>
            <w:tcW w:w="1729" w:type="dxa"/>
            <w:tcBorders>
              <w:top w:val="single" w:sz="4" w:space="0" w:color="auto"/>
              <w:left w:val="nil"/>
              <w:bottom w:val="single" w:sz="4" w:space="0" w:color="auto"/>
              <w:right w:val="single" w:sz="4" w:space="0" w:color="auto"/>
            </w:tcBorders>
          </w:tcPr>
          <w:p w14:paraId="53CB8D05"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42EDE610" w14:textId="77777777" w:rsidR="00F73D5B" w:rsidRPr="008B7A21" w:rsidRDefault="00F73D5B" w:rsidP="00767A6A">
            <w:pPr>
              <w:pStyle w:val="Tabletext"/>
              <w:jc w:val="center"/>
              <w:rPr>
                <w:lang w:val="es-ES_tradnl"/>
              </w:rPr>
            </w:pPr>
            <w:r w:rsidRPr="008B7A21">
              <w:rPr>
                <w:lang w:val="es-ES_tradnl"/>
              </w:rPr>
              <w:t>8,1</w:t>
            </w:r>
          </w:p>
        </w:tc>
        <w:tc>
          <w:tcPr>
            <w:tcW w:w="1565" w:type="dxa"/>
            <w:tcBorders>
              <w:top w:val="nil"/>
              <w:left w:val="nil"/>
              <w:bottom w:val="single" w:sz="4" w:space="0" w:color="auto"/>
              <w:right w:val="single" w:sz="4" w:space="0" w:color="auto"/>
            </w:tcBorders>
            <w:vAlign w:val="center"/>
          </w:tcPr>
          <w:p w14:paraId="3B9FC735" w14:textId="77777777" w:rsidR="00F73D5B" w:rsidRPr="008B7A21" w:rsidRDefault="00F73D5B" w:rsidP="00767A6A">
            <w:pPr>
              <w:pStyle w:val="Tabletext"/>
              <w:jc w:val="center"/>
              <w:rPr>
                <w:lang w:val="es-ES_tradnl"/>
              </w:rPr>
            </w:pPr>
            <w:r w:rsidRPr="008B7A21">
              <w:rPr>
                <w:lang w:val="es-ES_tradnl"/>
              </w:rPr>
              <w:t>8,91</w:t>
            </w:r>
          </w:p>
        </w:tc>
      </w:tr>
      <w:tr w:rsidR="00F73D5B" w:rsidRPr="008B7A21" w14:paraId="705F5516"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4812BD66" w14:textId="77777777" w:rsidR="00F73D5B" w:rsidRPr="008B7A21" w:rsidRDefault="00F73D5B" w:rsidP="00767A6A">
            <w:pPr>
              <w:pStyle w:val="Tabletext"/>
              <w:jc w:val="center"/>
              <w:rPr>
                <w:lang w:val="es-ES_tradnl"/>
              </w:rPr>
            </w:pPr>
            <w:r w:rsidRPr="008B7A21">
              <w:rPr>
                <w:lang w:val="es-ES_tradnl"/>
              </w:rPr>
              <w:t>50</w:t>
            </w:r>
          </w:p>
        </w:tc>
        <w:tc>
          <w:tcPr>
            <w:tcW w:w="4143" w:type="dxa"/>
            <w:tcBorders>
              <w:top w:val="nil"/>
              <w:left w:val="nil"/>
              <w:bottom w:val="single" w:sz="4" w:space="0" w:color="auto"/>
              <w:right w:val="single" w:sz="4" w:space="0" w:color="auto"/>
            </w:tcBorders>
            <w:noWrap/>
            <w:vAlign w:val="center"/>
            <w:hideMark/>
          </w:tcPr>
          <w:p w14:paraId="11F8C681" w14:textId="77777777" w:rsidR="00F73D5B" w:rsidRPr="008B7A21" w:rsidRDefault="00F73D5B" w:rsidP="00767A6A">
            <w:pPr>
              <w:pStyle w:val="Tabletext"/>
              <w:rPr>
                <w:lang w:val="es-ES_tradnl"/>
              </w:rPr>
            </w:pPr>
            <w:r w:rsidRPr="008B7A21">
              <w:rPr>
                <w:lang w:val="es-ES_tradnl"/>
              </w:rPr>
              <w:t>La República de Kalmukia</w:t>
            </w:r>
          </w:p>
        </w:tc>
        <w:tc>
          <w:tcPr>
            <w:tcW w:w="1729" w:type="dxa"/>
            <w:tcBorders>
              <w:top w:val="single" w:sz="4" w:space="0" w:color="auto"/>
              <w:left w:val="nil"/>
              <w:bottom w:val="single" w:sz="4" w:space="0" w:color="auto"/>
              <w:right w:val="single" w:sz="4" w:space="0" w:color="auto"/>
            </w:tcBorders>
          </w:tcPr>
          <w:p w14:paraId="0FE3EB2E"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35C1EC8C" w14:textId="77777777" w:rsidR="00F73D5B" w:rsidRPr="008B7A21" w:rsidRDefault="00F73D5B" w:rsidP="00767A6A">
            <w:pPr>
              <w:pStyle w:val="Tabletext"/>
              <w:jc w:val="center"/>
              <w:rPr>
                <w:lang w:val="es-ES_tradnl"/>
              </w:rPr>
            </w:pPr>
            <w:r w:rsidRPr="008B7A21">
              <w:rPr>
                <w:lang w:val="es-ES_tradnl"/>
              </w:rPr>
              <w:t>5,1</w:t>
            </w:r>
          </w:p>
        </w:tc>
        <w:tc>
          <w:tcPr>
            <w:tcW w:w="1565" w:type="dxa"/>
            <w:tcBorders>
              <w:top w:val="nil"/>
              <w:left w:val="nil"/>
              <w:bottom w:val="single" w:sz="4" w:space="0" w:color="auto"/>
              <w:right w:val="single" w:sz="4" w:space="0" w:color="auto"/>
            </w:tcBorders>
            <w:vAlign w:val="center"/>
          </w:tcPr>
          <w:p w14:paraId="6B9C9079" w14:textId="77777777" w:rsidR="00F73D5B" w:rsidRPr="008B7A21" w:rsidRDefault="00F73D5B" w:rsidP="00767A6A">
            <w:pPr>
              <w:pStyle w:val="Tabletext"/>
              <w:jc w:val="center"/>
              <w:rPr>
                <w:lang w:val="es-ES_tradnl"/>
              </w:rPr>
            </w:pPr>
            <w:r w:rsidRPr="008B7A21">
              <w:rPr>
                <w:lang w:val="es-ES_tradnl"/>
              </w:rPr>
              <w:t>5,61</w:t>
            </w:r>
          </w:p>
        </w:tc>
      </w:tr>
      <w:tr w:rsidR="00F73D5B" w:rsidRPr="008B7A21" w14:paraId="70C75C98"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145012D3" w14:textId="77777777" w:rsidR="00F73D5B" w:rsidRPr="008B7A21" w:rsidRDefault="00F73D5B" w:rsidP="00767A6A">
            <w:pPr>
              <w:pStyle w:val="Tabletext"/>
              <w:jc w:val="center"/>
              <w:rPr>
                <w:lang w:val="es-ES_tradnl"/>
              </w:rPr>
            </w:pPr>
            <w:r w:rsidRPr="008B7A21">
              <w:rPr>
                <w:lang w:val="es-ES_tradnl"/>
              </w:rPr>
              <w:t>51</w:t>
            </w:r>
          </w:p>
        </w:tc>
        <w:tc>
          <w:tcPr>
            <w:tcW w:w="4143" w:type="dxa"/>
            <w:tcBorders>
              <w:top w:val="nil"/>
              <w:left w:val="nil"/>
              <w:bottom w:val="single" w:sz="4" w:space="0" w:color="auto"/>
              <w:right w:val="single" w:sz="4" w:space="0" w:color="auto"/>
            </w:tcBorders>
            <w:noWrap/>
            <w:vAlign w:val="center"/>
            <w:hideMark/>
          </w:tcPr>
          <w:p w14:paraId="5EEED66F" w14:textId="77777777" w:rsidR="00F73D5B" w:rsidRPr="008B7A21" w:rsidRDefault="00F73D5B" w:rsidP="00767A6A">
            <w:pPr>
              <w:pStyle w:val="Tabletext"/>
              <w:rPr>
                <w:lang w:val="es-ES_tradnl"/>
              </w:rPr>
            </w:pPr>
            <w:r w:rsidRPr="008B7A21">
              <w:rPr>
                <w:lang w:val="es-ES_tradnl"/>
              </w:rPr>
              <w:t>La República de Carelia</w:t>
            </w:r>
          </w:p>
        </w:tc>
        <w:tc>
          <w:tcPr>
            <w:tcW w:w="1729" w:type="dxa"/>
            <w:tcBorders>
              <w:top w:val="single" w:sz="4" w:space="0" w:color="auto"/>
              <w:left w:val="nil"/>
              <w:bottom w:val="single" w:sz="4" w:space="0" w:color="auto"/>
              <w:right w:val="single" w:sz="4" w:space="0" w:color="auto"/>
            </w:tcBorders>
          </w:tcPr>
          <w:p w14:paraId="0BA5397E"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5C9B5018" w14:textId="77777777" w:rsidR="00F73D5B" w:rsidRPr="008B7A21" w:rsidRDefault="00F73D5B" w:rsidP="00767A6A">
            <w:pPr>
              <w:pStyle w:val="Tabletext"/>
              <w:jc w:val="center"/>
              <w:rPr>
                <w:lang w:val="es-ES_tradnl"/>
              </w:rPr>
            </w:pPr>
            <w:r w:rsidRPr="008B7A21">
              <w:rPr>
                <w:lang w:val="es-ES_tradnl"/>
              </w:rPr>
              <w:t>14,6</w:t>
            </w:r>
          </w:p>
        </w:tc>
        <w:tc>
          <w:tcPr>
            <w:tcW w:w="1565" w:type="dxa"/>
            <w:tcBorders>
              <w:top w:val="nil"/>
              <w:left w:val="nil"/>
              <w:bottom w:val="single" w:sz="4" w:space="0" w:color="auto"/>
              <w:right w:val="single" w:sz="4" w:space="0" w:color="auto"/>
            </w:tcBorders>
            <w:vAlign w:val="center"/>
          </w:tcPr>
          <w:p w14:paraId="4D5C80D5" w14:textId="77777777" w:rsidR="00F73D5B" w:rsidRPr="008B7A21" w:rsidRDefault="00F73D5B" w:rsidP="00767A6A">
            <w:pPr>
              <w:pStyle w:val="Tabletext"/>
              <w:jc w:val="center"/>
              <w:rPr>
                <w:lang w:val="es-ES_tradnl"/>
              </w:rPr>
            </w:pPr>
            <w:r w:rsidRPr="008B7A21">
              <w:rPr>
                <w:lang w:val="es-ES_tradnl"/>
              </w:rPr>
              <w:t>16,06</w:t>
            </w:r>
          </w:p>
        </w:tc>
      </w:tr>
      <w:tr w:rsidR="00F73D5B" w:rsidRPr="008B7A21" w14:paraId="3C2A29A5"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2B381EAB" w14:textId="77777777" w:rsidR="00F73D5B" w:rsidRPr="008B7A21" w:rsidRDefault="00F73D5B" w:rsidP="00767A6A">
            <w:pPr>
              <w:pStyle w:val="Tabletext"/>
              <w:jc w:val="center"/>
              <w:rPr>
                <w:lang w:val="es-ES_tradnl"/>
              </w:rPr>
            </w:pPr>
            <w:r w:rsidRPr="008B7A21">
              <w:rPr>
                <w:lang w:val="es-ES_tradnl"/>
              </w:rPr>
              <w:t>52</w:t>
            </w:r>
          </w:p>
        </w:tc>
        <w:tc>
          <w:tcPr>
            <w:tcW w:w="4143" w:type="dxa"/>
            <w:tcBorders>
              <w:top w:val="nil"/>
              <w:left w:val="nil"/>
              <w:bottom w:val="single" w:sz="4" w:space="0" w:color="auto"/>
              <w:right w:val="single" w:sz="4" w:space="0" w:color="auto"/>
            </w:tcBorders>
            <w:noWrap/>
            <w:vAlign w:val="center"/>
            <w:hideMark/>
          </w:tcPr>
          <w:p w14:paraId="22FD4BE2" w14:textId="77777777" w:rsidR="00F73D5B" w:rsidRPr="008B7A21" w:rsidRDefault="00F73D5B" w:rsidP="00767A6A">
            <w:pPr>
              <w:pStyle w:val="Tabletext"/>
              <w:rPr>
                <w:lang w:val="es-ES_tradnl"/>
              </w:rPr>
            </w:pPr>
            <w:r w:rsidRPr="008B7A21">
              <w:rPr>
                <w:lang w:val="es-ES_tradnl"/>
              </w:rPr>
              <w:t>La República de Komi</w:t>
            </w:r>
          </w:p>
        </w:tc>
        <w:tc>
          <w:tcPr>
            <w:tcW w:w="1729" w:type="dxa"/>
            <w:tcBorders>
              <w:top w:val="single" w:sz="4" w:space="0" w:color="auto"/>
              <w:left w:val="nil"/>
              <w:bottom w:val="single" w:sz="4" w:space="0" w:color="auto"/>
              <w:right w:val="single" w:sz="4" w:space="0" w:color="auto"/>
            </w:tcBorders>
          </w:tcPr>
          <w:p w14:paraId="6A54D4B2"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5370A853" w14:textId="77777777" w:rsidR="00F73D5B" w:rsidRPr="008B7A21" w:rsidRDefault="00F73D5B" w:rsidP="00767A6A">
            <w:pPr>
              <w:pStyle w:val="Tabletext"/>
              <w:jc w:val="center"/>
              <w:rPr>
                <w:lang w:val="es-ES_tradnl"/>
              </w:rPr>
            </w:pPr>
            <w:r w:rsidRPr="008B7A21">
              <w:rPr>
                <w:lang w:val="es-ES_tradnl"/>
              </w:rPr>
              <w:t>22,8</w:t>
            </w:r>
          </w:p>
        </w:tc>
        <w:tc>
          <w:tcPr>
            <w:tcW w:w="1565" w:type="dxa"/>
            <w:tcBorders>
              <w:top w:val="nil"/>
              <w:left w:val="nil"/>
              <w:bottom w:val="single" w:sz="4" w:space="0" w:color="auto"/>
              <w:right w:val="single" w:sz="4" w:space="0" w:color="auto"/>
            </w:tcBorders>
            <w:vAlign w:val="center"/>
          </w:tcPr>
          <w:p w14:paraId="23F65511" w14:textId="77777777" w:rsidR="00F73D5B" w:rsidRPr="008B7A21" w:rsidRDefault="00F73D5B" w:rsidP="00767A6A">
            <w:pPr>
              <w:pStyle w:val="Tabletext"/>
              <w:jc w:val="center"/>
              <w:rPr>
                <w:lang w:val="es-ES_tradnl"/>
              </w:rPr>
            </w:pPr>
            <w:r w:rsidRPr="008B7A21">
              <w:rPr>
                <w:lang w:val="es-ES_tradnl"/>
              </w:rPr>
              <w:t>23,94</w:t>
            </w:r>
          </w:p>
        </w:tc>
      </w:tr>
      <w:tr w:rsidR="00F73D5B" w:rsidRPr="008B7A21" w14:paraId="02F4FB18"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388C68D2" w14:textId="77777777" w:rsidR="00F73D5B" w:rsidRPr="008B7A21" w:rsidRDefault="00F73D5B" w:rsidP="00767A6A">
            <w:pPr>
              <w:pStyle w:val="Tabletext"/>
              <w:jc w:val="center"/>
              <w:rPr>
                <w:lang w:val="es-ES_tradnl"/>
              </w:rPr>
            </w:pPr>
            <w:r w:rsidRPr="008B7A21">
              <w:rPr>
                <w:lang w:val="es-ES_tradnl"/>
              </w:rPr>
              <w:t>53</w:t>
            </w:r>
          </w:p>
        </w:tc>
        <w:tc>
          <w:tcPr>
            <w:tcW w:w="4143" w:type="dxa"/>
            <w:tcBorders>
              <w:top w:val="nil"/>
              <w:left w:val="nil"/>
              <w:bottom w:val="single" w:sz="4" w:space="0" w:color="auto"/>
              <w:right w:val="single" w:sz="4" w:space="0" w:color="auto"/>
            </w:tcBorders>
            <w:noWrap/>
            <w:vAlign w:val="center"/>
            <w:hideMark/>
          </w:tcPr>
          <w:p w14:paraId="7D9E1DDF" w14:textId="77777777" w:rsidR="00F73D5B" w:rsidRPr="008B7A21" w:rsidRDefault="00F73D5B" w:rsidP="00767A6A">
            <w:pPr>
              <w:pStyle w:val="Tabletext"/>
              <w:rPr>
                <w:lang w:val="es-ES_tradnl"/>
              </w:rPr>
            </w:pPr>
            <w:r w:rsidRPr="008B7A21">
              <w:rPr>
                <w:lang w:val="es-ES_tradnl"/>
              </w:rPr>
              <w:t>La República de Mari-El</w:t>
            </w:r>
          </w:p>
        </w:tc>
        <w:tc>
          <w:tcPr>
            <w:tcW w:w="1729" w:type="dxa"/>
            <w:tcBorders>
              <w:top w:val="single" w:sz="4" w:space="0" w:color="auto"/>
              <w:left w:val="nil"/>
              <w:bottom w:val="single" w:sz="4" w:space="0" w:color="auto"/>
              <w:right w:val="single" w:sz="4" w:space="0" w:color="auto"/>
            </w:tcBorders>
          </w:tcPr>
          <w:p w14:paraId="35ECEF32"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5DA11C51" w14:textId="77777777" w:rsidR="00F73D5B" w:rsidRPr="008B7A21" w:rsidRDefault="00F73D5B" w:rsidP="00767A6A">
            <w:pPr>
              <w:pStyle w:val="Tabletext"/>
              <w:jc w:val="center"/>
              <w:rPr>
                <w:lang w:val="es-ES_tradnl"/>
              </w:rPr>
            </w:pPr>
            <w:r w:rsidRPr="008B7A21">
              <w:rPr>
                <w:lang w:val="es-ES_tradnl"/>
              </w:rPr>
              <w:t>14,9</w:t>
            </w:r>
          </w:p>
        </w:tc>
        <w:tc>
          <w:tcPr>
            <w:tcW w:w="1565" w:type="dxa"/>
            <w:tcBorders>
              <w:top w:val="nil"/>
              <w:left w:val="nil"/>
              <w:bottom w:val="single" w:sz="4" w:space="0" w:color="auto"/>
              <w:right w:val="single" w:sz="4" w:space="0" w:color="auto"/>
            </w:tcBorders>
            <w:vAlign w:val="center"/>
          </w:tcPr>
          <w:p w14:paraId="08C83063" w14:textId="77777777" w:rsidR="00F73D5B" w:rsidRPr="008B7A21" w:rsidRDefault="00F73D5B" w:rsidP="00767A6A">
            <w:pPr>
              <w:pStyle w:val="Tabletext"/>
              <w:jc w:val="center"/>
              <w:rPr>
                <w:lang w:val="es-ES_tradnl"/>
              </w:rPr>
            </w:pPr>
            <w:r w:rsidRPr="008B7A21">
              <w:rPr>
                <w:lang w:val="es-ES_tradnl"/>
              </w:rPr>
              <w:t>15,645</w:t>
            </w:r>
          </w:p>
        </w:tc>
      </w:tr>
      <w:tr w:rsidR="00F73D5B" w:rsidRPr="008B7A21" w14:paraId="32A8F432"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0B5172E2" w14:textId="77777777" w:rsidR="00F73D5B" w:rsidRPr="008B7A21" w:rsidRDefault="00F73D5B" w:rsidP="00767A6A">
            <w:pPr>
              <w:pStyle w:val="Tabletext"/>
              <w:jc w:val="center"/>
              <w:rPr>
                <w:lang w:val="es-ES_tradnl"/>
              </w:rPr>
            </w:pPr>
            <w:r w:rsidRPr="008B7A21">
              <w:rPr>
                <w:lang w:val="es-ES_tradnl"/>
              </w:rPr>
              <w:t>54</w:t>
            </w:r>
          </w:p>
        </w:tc>
        <w:tc>
          <w:tcPr>
            <w:tcW w:w="4143" w:type="dxa"/>
            <w:tcBorders>
              <w:top w:val="nil"/>
              <w:left w:val="nil"/>
              <w:bottom w:val="single" w:sz="4" w:space="0" w:color="auto"/>
              <w:right w:val="single" w:sz="4" w:space="0" w:color="auto"/>
            </w:tcBorders>
            <w:noWrap/>
            <w:vAlign w:val="center"/>
            <w:hideMark/>
          </w:tcPr>
          <w:p w14:paraId="4EB0ED31" w14:textId="77777777" w:rsidR="00F73D5B" w:rsidRPr="008B7A21" w:rsidRDefault="00F73D5B" w:rsidP="00767A6A">
            <w:pPr>
              <w:pStyle w:val="Tabletext"/>
              <w:rPr>
                <w:lang w:val="es-ES_tradnl"/>
              </w:rPr>
            </w:pPr>
            <w:r w:rsidRPr="008B7A21">
              <w:rPr>
                <w:lang w:val="es-ES_tradnl"/>
              </w:rPr>
              <w:t>La República de Mordovia</w:t>
            </w:r>
          </w:p>
        </w:tc>
        <w:tc>
          <w:tcPr>
            <w:tcW w:w="1729" w:type="dxa"/>
            <w:tcBorders>
              <w:top w:val="single" w:sz="4" w:space="0" w:color="auto"/>
              <w:left w:val="nil"/>
              <w:bottom w:val="single" w:sz="4" w:space="0" w:color="auto"/>
              <w:right w:val="single" w:sz="4" w:space="0" w:color="auto"/>
            </w:tcBorders>
          </w:tcPr>
          <w:p w14:paraId="74885E42"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2E95095B" w14:textId="77777777" w:rsidR="00F73D5B" w:rsidRPr="008B7A21" w:rsidRDefault="00F73D5B" w:rsidP="00767A6A">
            <w:pPr>
              <w:pStyle w:val="Tabletext"/>
              <w:jc w:val="center"/>
              <w:rPr>
                <w:lang w:val="es-ES_tradnl"/>
              </w:rPr>
            </w:pPr>
            <w:r w:rsidRPr="008B7A21">
              <w:rPr>
                <w:lang w:val="es-ES_tradnl"/>
              </w:rPr>
              <w:t>17,2</w:t>
            </w:r>
          </w:p>
        </w:tc>
        <w:tc>
          <w:tcPr>
            <w:tcW w:w="1565" w:type="dxa"/>
            <w:tcBorders>
              <w:top w:val="nil"/>
              <w:left w:val="nil"/>
              <w:bottom w:val="single" w:sz="4" w:space="0" w:color="auto"/>
              <w:right w:val="single" w:sz="4" w:space="0" w:color="auto"/>
            </w:tcBorders>
            <w:vAlign w:val="center"/>
          </w:tcPr>
          <w:p w14:paraId="2694B9CF" w14:textId="77777777" w:rsidR="00F73D5B" w:rsidRPr="008B7A21" w:rsidRDefault="00F73D5B" w:rsidP="00767A6A">
            <w:pPr>
              <w:pStyle w:val="Tabletext"/>
              <w:jc w:val="center"/>
              <w:rPr>
                <w:lang w:val="es-ES_tradnl"/>
              </w:rPr>
            </w:pPr>
            <w:r w:rsidRPr="008B7A21">
              <w:rPr>
                <w:lang w:val="es-ES_tradnl"/>
              </w:rPr>
              <w:t>18,92</w:t>
            </w:r>
          </w:p>
        </w:tc>
      </w:tr>
      <w:tr w:rsidR="00F73D5B" w:rsidRPr="008B7A21" w14:paraId="0DD273D3"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16ACEC45" w14:textId="77777777" w:rsidR="00F73D5B" w:rsidRPr="008B7A21" w:rsidRDefault="00F73D5B" w:rsidP="00767A6A">
            <w:pPr>
              <w:pStyle w:val="Tabletext"/>
              <w:jc w:val="center"/>
              <w:rPr>
                <w:lang w:val="es-ES_tradnl"/>
              </w:rPr>
            </w:pPr>
            <w:r w:rsidRPr="008B7A21">
              <w:rPr>
                <w:lang w:val="es-ES_tradnl"/>
              </w:rPr>
              <w:t>55</w:t>
            </w:r>
          </w:p>
        </w:tc>
        <w:tc>
          <w:tcPr>
            <w:tcW w:w="4143" w:type="dxa"/>
            <w:tcBorders>
              <w:top w:val="nil"/>
              <w:left w:val="nil"/>
              <w:bottom w:val="single" w:sz="4" w:space="0" w:color="auto"/>
              <w:right w:val="single" w:sz="4" w:space="0" w:color="auto"/>
            </w:tcBorders>
            <w:noWrap/>
            <w:vAlign w:val="center"/>
            <w:hideMark/>
          </w:tcPr>
          <w:p w14:paraId="02F0DF33" w14:textId="77777777" w:rsidR="00F73D5B" w:rsidRPr="008B7A21" w:rsidRDefault="00F73D5B" w:rsidP="00767A6A">
            <w:pPr>
              <w:pStyle w:val="Tabletext"/>
              <w:rPr>
                <w:lang w:val="es-ES_tradnl"/>
              </w:rPr>
            </w:pPr>
            <w:r w:rsidRPr="008B7A21">
              <w:rPr>
                <w:lang w:val="es-ES_tradnl"/>
              </w:rPr>
              <w:t>La República de Sajá (Yakutia)</w:t>
            </w:r>
          </w:p>
        </w:tc>
        <w:tc>
          <w:tcPr>
            <w:tcW w:w="1729" w:type="dxa"/>
            <w:tcBorders>
              <w:top w:val="single" w:sz="4" w:space="0" w:color="auto"/>
              <w:left w:val="nil"/>
              <w:bottom w:val="single" w:sz="4" w:space="0" w:color="auto"/>
              <w:right w:val="single" w:sz="4" w:space="0" w:color="auto"/>
            </w:tcBorders>
          </w:tcPr>
          <w:p w14:paraId="6DAF499E"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78A8250A" w14:textId="77777777" w:rsidR="00F73D5B" w:rsidRPr="008B7A21" w:rsidRDefault="00F73D5B" w:rsidP="00767A6A">
            <w:pPr>
              <w:pStyle w:val="Tabletext"/>
              <w:jc w:val="center"/>
              <w:rPr>
                <w:lang w:val="es-ES_tradnl"/>
              </w:rPr>
            </w:pPr>
            <w:r w:rsidRPr="008B7A21">
              <w:rPr>
                <w:lang w:val="es-ES_tradnl"/>
              </w:rPr>
              <w:t>26,9</w:t>
            </w:r>
          </w:p>
        </w:tc>
        <w:tc>
          <w:tcPr>
            <w:tcW w:w="1565" w:type="dxa"/>
            <w:tcBorders>
              <w:top w:val="nil"/>
              <w:left w:val="nil"/>
              <w:bottom w:val="single" w:sz="4" w:space="0" w:color="auto"/>
              <w:right w:val="single" w:sz="4" w:space="0" w:color="auto"/>
            </w:tcBorders>
            <w:vAlign w:val="center"/>
          </w:tcPr>
          <w:p w14:paraId="65A1DE1A" w14:textId="77777777" w:rsidR="00F73D5B" w:rsidRPr="008B7A21" w:rsidRDefault="00F73D5B" w:rsidP="00767A6A">
            <w:pPr>
              <w:pStyle w:val="Tabletext"/>
              <w:jc w:val="center"/>
              <w:rPr>
                <w:lang w:val="es-ES_tradnl"/>
              </w:rPr>
            </w:pPr>
            <w:r w:rsidRPr="008B7A21">
              <w:rPr>
                <w:lang w:val="es-ES_tradnl"/>
              </w:rPr>
              <w:t>29,59</w:t>
            </w:r>
          </w:p>
        </w:tc>
      </w:tr>
      <w:tr w:rsidR="00F73D5B" w:rsidRPr="008B7A21" w14:paraId="0850DA58"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5DB21A1A" w14:textId="77777777" w:rsidR="00F73D5B" w:rsidRPr="008B7A21" w:rsidRDefault="00F73D5B" w:rsidP="00767A6A">
            <w:pPr>
              <w:pStyle w:val="Tabletext"/>
              <w:jc w:val="center"/>
              <w:rPr>
                <w:lang w:val="es-ES_tradnl"/>
              </w:rPr>
            </w:pPr>
            <w:r w:rsidRPr="008B7A21">
              <w:rPr>
                <w:lang w:val="es-ES_tradnl"/>
              </w:rPr>
              <w:t>56</w:t>
            </w:r>
          </w:p>
        </w:tc>
        <w:tc>
          <w:tcPr>
            <w:tcW w:w="4143" w:type="dxa"/>
            <w:tcBorders>
              <w:top w:val="nil"/>
              <w:left w:val="nil"/>
              <w:bottom w:val="single" w:sz="4" w:space="0" w:color="auto"/>
              <w:right w:val="single" w:sz="4" w:space="0" w:color="auto"/>
            </w:tcBorders>
            <w:noWrap/>
            <w:vAlign w:val="center"/>
            <w:hideMark/>
          </w:tcPr>
          <w:p w14:paraId="14A036FB" w14:textId="77777777" w:rsidR="00F73D5B" w:rsidRPr="008B7A21" w:rsidRDefault="00F73D5B" w:rsidP="00767A6A">
            <w:pPr>
              <w:pStyle w:val="Tabletext"/>
              <w:rPr>
                <w:lang w:val="es-ES_tradnl"/>
              </w:rPr>
            </w:pPr>
            <w:r w:rsidRPr="008B7A21">
              <w:rPr>
                <w:lang w:val="es-ES_tradnl"/>
              </w:rPr>
              <w:t>La República de Osetia del Norte-Alania</w:t>
            </w:r>
          </w:p>
        </w:tc>
        <w:tc>
          <w:tcPr>
            <w:tcW w:w="1729" w:type="dxa"/>
            <w:tcBorders>
              <w:top w:val="single" w:sz="4" w:space="0" w:color="auto"/>
              <w:left w:val="nil"/>
              <w:bottom w:val="single" w:sz="4" w:space="0" w:color="auto"/>
              <w:right w:val="single" w:sz="4" w:space="0" w:color="auto"/>
            </w:tcBorders>
          </w:tcPr>
          <w:p w14:paraId="616A055C"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3B5C93E2" w14:textId="77777777" w:rsidR="00F73D5B" w:rsidRPr="008B7A21" w:rsidRDefault="00F73D5B" w:rsidP="00767A6A">
            <w:pPr>
              <w:pStyle w:val="Tabletext"/>
              <w:jc w:val="center"/>
              <w:rPr>
                <w:lang w:val="es-ES_tradnl"/>
              </w:rPr>
            </w:pPr>
            <w:r w:rsidRPr="008B7A21">
              <w:rPr>
                <w:lang w:val="es-ES_tradnl"/>
              </w:rPr>
              <w:t>14,6</w:t>
            </w:r>
          </w:p>
        </w:tc>
        <w:tc>
          <w:tcPr>
            <w:tcW w:w="1565" w:type="dxa"/>
            <w:tcBorders>
              <w:top w:val="nil"/>
              <w:left w:val="nil"/>
              <w:bottom w:val="single" w:sz="4" w:space="0" w:color="auto"/>
              <w:right w:val="single" w:sz="4" w:space="0" w:color="auto"/>
            </w:tcBorders>
            <w:vAlign w:val="center"/>
          </w:tcPr>
          <w:p w14:paraId="69A2096F" w14:textId="77777777" w:rsidR="00F73D5B" w:rsidRPr="008B7A21" w:rsidRDefault="00F73D5B" w:rsidP="00767A6A">
            <w:pPr>
              <w:pStyle w:val="Tabletext"/>
              <w:jc w:val="center"/>
              <w:rPr>
                <w:lang w:val="es-ES_tradnl"/>
              </w:rPr>
            </w:pPr>
            <w:r w:rsidRPr="008B7A21">
              <w:rPr>
                <w:lang w:val="es-ES_tradnl"/>
              </w:rPr>
              <w:t>16,06</w:t>
            </w:r>
          </w:p>
        </w:tc>
      </w:tr>
      <w:tr w:rsidR="00F73D5B" w:rsidRPr="008B7A21" w14:paraId="76B6393E"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20D50E7A" w14:textId="77777777" w:rsidR="00F73D5B" w:rsidRPr="008B7A21" w:rsidRDefault="00F73D5B" w:rsidP="00767A6A">
            <w:pPr>
              <w:pStyle w:val="Tabletext"/>
              <w:jc w:val="center"/>
              <w:rPr>
                <w:lang w:val="es-ES_tradnl"/>
              </w:rPr>
            </w:pPr>
            <w:r w:rsidRPr="008B7A21">
              <w:rPr>
                <w:lang w:val="es-ES_tradnl"/>
              </w:rPr>
              <w:t>57</w:t>
            </w:r>
          </w:p>
        </w:tc>
        <w:tc>
          <w:tcPr>
            <w:tcW w:w="4143" w:type="dxa"/>
            <w:tcBorders>
              <w:top w:val="nil"/>
              <w:left w:val="nil"/>
              <w:bottom w:val="single" w:sz="4" w:space="0" w:color="auto"/>
              <w:right w:val="single" w:sz="4" w:space="0" w:color="auto"/>
            </w:tcBorders>
            <w:noWrap/>
            <w:vAlign w:val="center"/>
            <w:hideMark/>
          </w:tcPr>
          <w:p w14:paraId="2899341D" w14:textId="77777777" w:rsidR="00F73D5B" w:rsidRPr="008B7A21" w:rsidRDefault="00F73D5B" w:rsidP="00767A6A">
            <w:pPr>
              <w:pStyle w:val="Tabletext"/>
              <w:rPr>
                <w:lang w:val="es-ES_tradnl"/>
              </w:rPr>
            </w:pPr>
            <w:r w:rsidRPr="008B7A21">
              <w:rPr>
                <w:lang w:val="es-ES_tradnl"/>
              </w:rPr>
              <w:t>La República de Tartaristán (Tartaristán)</w:t>
            </w:r>
          </w:p>
        </w:tc>
        <w:tc>
          <w:tcPr>
            <w:tcW w:w="1729" w:type="dxa"/>
            <w:tcBorders>
              <w:top w:val="single" w:sz="4" w:space="0" w:color="auto"/>
              <w:left w:val="nil"/>
              <w:bottom w:val="single" w:sz="4" w:space="0" w:color="auto"/>
              <w:right w:val="single" w:sz="4" w:space="0" w:color="auto"/>
            </w:tcBorders>
          </w:tcPr>
          <w:p w14:paraId="1871158D"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455493F8" w14:textId="77777777" w:rsidR="00F73D5B" w:rsidRPr="008B7A21" w:rsidRDefault="00F73D5B" w:rsidP="00767A6A">
            <w:pPr>
              <w:pStyle w:val="Tabletext"/>
              <w:jc w:val="center"/>
              <w:rPr>
                <w:lang w:val="es-ES_tradnl"/>
              </w:rPr>
            </w:pPr>
            <w:r w:rsidRPr="008B7A21">
              <w:rPr>
                <w:lang w:val="es-ES_tradnl"/>
              </w:rPr>
              <w:t>100,0</w:t>
            </w:r>
          </w:p>
        </w:tc>
        <w:tc>
          <w:tcPr>
            <w:tcW w:w="1565" w:type="dxa"/>
            <w:tcBorders>
              <w:top w:val="nil"/>
              <w:left w:val="nil"/>
              <w:bottom w:val="single" w:sz="4" w:space="0" w:color="auto"/>
              <w:right w:val="single" w:sz="4" w:space="0" w:color="auto"/>
            </w:tcBorders>
            <w:vAlign w:val="center"/>
          </w:tcPr>
          <w:p w14:paraId="58BD7173" w14:textId="77777777" w:rsidR="00F73D5B" w:rsidRPr="008B7A21" w:rsidRDefault="00F73D5B" w:rsidP="00767A6A">
            <w:pPr>
              <w:pStyle w:val="Tabletext"/>
              <w:jc w:val="center"/>
              <w:rPr>
                <w:lang w:val="es-ES_tradnl"/>
              </w:rPr>
            </w:pPr>
            <w:r w:rsidRPr="008B7A21">
              <w:rPr>
                <w:lang w:val="es-ES_tradnl"/>
              </w:rPr>
              <w:t>155</w:t>
            </w:r>
          </w:p>
        </w:tc>
      </w:tr>
      <w:tr w:rsidR="00F73D5B" w:rsidRPr="008B7A21" w14:paraId="564D7852"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47BEF204" w14:textId="77777777" w:rsidR="00F73D5B" w:rsidRPr="008B7A21" w:rsidRDefault="00F73D5B" w:rsidP="00767A6A">
            <w:pPr>
              <w:pStyle w:val="Tabletext"/>
              <w:jc w:val="center"/>
              <w:rPr>
                <w:lang w:val="es-ES_tradnl"/>
              </w:rPr>
            </w:pPr>
            <w:r w:rsidRPr="008B7A21">
              <w:rPr>
                <w:lang w:val="es-ES_tradnl"/>
              </w:rPr>
              <w:t>58</w:t>
            </w:r>
          </w:p>
        </w:tc>
        <w:tc>
          <w:tcPr>
            <w:tcW w:w="4143" w:type="dxa"/>
            <w:tcBorders>
              <w:top w:val="nil"/>
              <w:left w:val="nil"/>
              <w:bottom w:val="single" w:sz="4" w:space="0" w:color="auto"/>
              <w:right w:val="single" w:sz="4" w:space="0" w:color="auto"/>
            </w:tcBorders>
            <w:noWrap/>
            <w:vAlign w:val="center"/>
            <w:hideMark/>
          </w:tcPr>
          <w:p w14:paraId="03574BEA" w14:textId="77777777" w:rsidR="00F73D5B" w:rsidRPr="008B7A21" w:rsidRDefault="00F73D5B" w:rsidP="00767A6A">
            <w:pPr>
              <w:pStyle w:val="Tabletext"/>
              <w:rPr>
                <w:lang w:val="es-ES_tradnl"/>
              </w:rPr>
            </w:pPr>
            <w:r w:rsidRPr="008B7A21">
              <w:rPr>
                <w:lang w:val="es-ES_tradnl"/>
              </w:rPr>
              <w:t>La República de Tuvá</w:t>
            </w:r>
          </w:p>
        </w:tc>
        <w:tc>
          <w:tcPr>
            <w:tcW w:w="1729" w:type="dxa"/>
            <w:tcBorders>
              <w:top w:val="single" w:sz="4" w:space="0" w:color="auto"/>
              <w:left w:val="nil"/>
              <w:bottom w:val="single" w:sz="4" w:space="0" w:color="auto"/>
              <w:right w:val="single" w:sz="4" w:space="0" w:color="auto"/>
            </w:tcBorders>
          </w:tcPr>
          <w:p w14:paraId="4707F5EC"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17723521" w14:textId="77777777" w:rsidR="00F73D5B" w:rsidRPr="008B7A21" w:rsidRDefault="00F73D5B" w:rsidP="00767A6A">
            <w:pPr>
              <w:pStyle w:val="Tabletext"/>
              <w:jc w:val="center"/>
              <w:rPr>
                <w:lang w:val="es-ES_tradnl"/>
              </w:rPr>
            </w:pPr>
            <w:r w:rsidRPr="008B7A21">
              <w:rPr>
                <w:lang w:val="es-ES_tradnl"/>
              </w:rPr>
              <w:t>6,2</w:t>
            </w:r>
          </w:p>
        </w:tc>
        <w:tc>
          <w:tcPr>
            <w:tcW w:w="1565" w:type="dxa"/>
            <w:tcBorders>
              <w:top w:val="nil"/>
              <w:left w:val="nil"/>
              <w:bottom w:val="single" w:sz="4" w:space="0" w:color="auto"/>
              <w:right w:val="single" w:sz="4" w:space="0" w:color="auto"/>
            </w:tcBorders>
            <w:vAlign w:val="center"/>
          </w:tcPr>
          <w:p w14:paraId="136CF707" w14:textId="77777777" w:rsidR="00F73D5B" w:rsidRPr="008B7A21" w:rsidRDefault="00F73D5B" w:rsidP="00767A6A">
            <w:pPr>
              <w:pStyle w:val="Tabletext"/>
              <w:jc w:val="center"/>
              <w:rPr>
                <w:lang w:val="es-ES_tradnl"/>
              </w:rPr>
            </w:pPr>
            <w:r w:rsidRPr="008B7A21">
              <w:rPr>
                <w:lang w:val="es-ES_tradnl"/>
              </w:rPr>
              <w:t>6,51</w:t>
            </w:r>
          </w:p>
        </w:tc>
      </w:tr>
      <w:tr w:rsidR="00F73D5B" w:rsidRPr="008B7A21" w14:paraId="27526661"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750DC524" w14:textId="77777777" w:rsidR="00F73D5B" w:rsidRPr="008B7A21" w:rsidRDefault="00F73D5B" w:rsidP="00767A6A">
            <w:pPr>
              <w:pStyle w:val="Tabletext"/>
              <w:jc w:val="center"/>
              <w:rPr>
                <w:lang w:val="es-ES_tradnl"/>
              </w:rPr>
            </w:pPr>
            <w:r w:rsidRPr="008B7A21">
              <w:rPr>
                <w:lang w:val="es-ES_tradnl"/>
              </w:rPr>
              <w:t>59</w:t>
            </w:r>
          </w:p>
        </w:tc>
        <w:tc>
          <w:tcPr>
            <w:tcW w:w="4143" w:type="dxa"/>
            <w:tcBorders>
              <w:top w:val="nil"/>
              <w:left w:val="nil"/>
              <w:bottom w:val="single" w:sz="4" w:space="0" w:color="auto"/>
              <w:right w:val="single" w:sz="4" w:space="0" w:color="auto"/>
            </w:tcBorders>
            <w:noWrap/>
            <w:vAlign w:val="center"/>
            <w:hideMark/>
          </w:tcPr>
          <w:p w14:paraId="2C50F0BD" w14:textId="77777777" w:rsidR="00F73D5B" w:rsidRPr="008B7A21" w:rsidRDefault="00F73D5B" w:rsidP="00767A6A">
            <w:pPr>
              <w:pStyle w:val="Tabletext"/>
              <w:rPr>
                <w:lang w:val="es-ES_tradnl"/>
              </w:rPr>
            </w:pPr>
            <w:r w:rsidRPr="008B7A21">
              <w:rPr>
                <w:lang w:val="es-ES_tradnl"/>
              </w:rPr>
              <w:t>La República de Jakasia</w:t>
            </w:r>
          </w:p>
        </w:tc>
        <w:tc>
          <w:tcPr>
            <w:tcW w:w="1729" w:type="dxa"/>
            <w:tcBorders>
              <w:top w:val="single" w:sz="4" w:space="0" w:color="auto"/>
              <w:left w:val="nil"/>
              <w:bottom w:val="single" w:sz="4" w:space="0" w:color="auto"/>
              <w:right w:val="single" w:sz="4" w:space="0" w:color="auto"/>
            </w:tcBorders>
          </w:tcPr>
          <w:p w14:paraId="38304379"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2E99575E" w14:textId="77777777" w:rsidR="00F73D5B" w:rsidRPr="008B7A21" w:rsidRDefault="00F73D5B" w:rsidP="00767A6A">
            <w:pPr>
              <w:pStyle w:val="Tabletext"/>
              <w:jc w:val="center"/>
              <w:rPr>
                <w:lang w:val="es-ES_tradnl"/>
              </w:rPr>
            </w:pPr>
            <w:r w:rsidRPr="008B7A21">
              <w:rPr>
                <w:lang w:val="es-ES_tradnl"/>
              </w:rPr>
              <w:t>11,9</w:t>
            </w:r>
          </w:p>
        </w:tc>
        <w:tc>
          <w:tcPr>
            <w:tcW w:w="1565" w:type="dxa"/>
            <w:tcBorders>
              <w:top w:val="nil"/>
              <w:left w:val="nil"/>
              <w:bottom w:val="single" w:sz="4" w:space="0" w:color="auto"/>
              <w:right w:val="single" w:sz="4" w:space="0" w:color="auto"/>
            </w:tcBorders>
            <w:vAlign w:val="center"/>
          </w:tcPr>
          <w:p w14:paraId="4BB985E4" w14:textId="77777777" w:rsidR="00F73D5B" w:rsidRPr="008B7A21" w:rsidRDefault="00F73D5B" w:rsidP="00767A6A">
            <w:pPr>
              <w:pStyle w:val="Tabletext"/>
              <w:jc w:val="center"/>
              <w:rPr>
                <w:lang w:val="es-ES_tradnl"/>
              </w:rPr>
            </w:pPr>
            <w:r w:rsidRPr="008B7A21">
              <w:rPr>
                <w:lang w:val="es-ES_tradnl"/>
              </w:rPr>
              <w:t>12,495</w:t>
            </w:r>
          </w:p>
        </w:tc>
      </w:tr>
      <w:tr w:rsidR="00F73D5B" w:rsidRPr="008B7A21" w14:paraId="65687821"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1F2E55F5" w14:textId="77777777" w:rsidR="00F73D5B" w:rsidRPr="008B7A21" w:rsidRDefault="00F73D5B" w:rsidP="00767A6A">
            <w:pPr>
              <w:pStyle w:val="Tabletext"/>
              <w:jc w:val="center"/>
              <w:rPr>
                <w:lang w:val="es-ES_tradnl"/>
              </w:rPr>
            </w:pPr>
            <w:r w:rsidRPr="008B7A21">
              <w:rPr>
                <w:lang w:val="es-ES_tradnl"/>
              </w:rPr>
              <w:t>60</w:t>
            </w:r>
          </w:p>
        </w:tc>
        <w:tc>
          <w:tcPr>
            <w:tcW w:w="4143" w:type="dxa"/>
            <w:tcBorders>
              <w:top w:val="nil"/>
              <w:left w:val="nil"/>
              <w:bottom w:val="single" w:sz="4" w:space="0" w:color="auto"/>
              <w:right w:val="single" w:sz="4" w:space="0" w:color="auto"/>
            </w:tcBorders>
            <w:noWrap/>
            <w:vAlign w:val="center"/>
            <w:hideMark/>
          </w:tcPr>
          <w:p w14:paraId="4FA44CC1" w14:textId="77777777" w:rsidR="00F73D5B" w:rsidRPr="008B7A21" w:rsidRDefault="00F73D5B" w:rsidP="00767A6A">
            <w:pPr>
              <w:pStyle w:val="Tabletext"/>
              <w:rPr>
                <w:lang w:val="es-ES_tradnl"/>
              </w:rPr>
            </w:pPr>
            <w:r w:rsidRPr="008B7A21">
              <w:rPr>
                <w:lang w:val="es-ES_tradnl"/>
              </w:rPr>
              <w:t>Óblast de Rostov</w:t>
            </w:r>
          </w:p>
        </w:tc>
        <w:tc>
          <w:tcPr>
            <w:tcW w:w="1729" w:type="dxa"/>
            <w:tcBorders>
              <w:top w:val="single" w:sz="4" w:space="0" w:color="auto"/>
              <w:left w:val="nil"/>
              <w:bottom w:val="single" w:sz="4" w:space="0" w:color="auto"/>
              <w:right w:val="single" w:sz="4" w:space="0" w:color="auto"/>
            </w:tcBorders>
          </w:tcPr>
          <w:p w14:paraId="6D215D28"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33FFA797" w14:textId="77777777" w:rsidR="00F73D5B" w:rsidRPr="008B7A21" w:rsidRDefault="00F73D5B" w:rsidP="00767A6A">
            <w:pPr>
              <w:pStyle w:val="Tabletext"/>
              <w:jc w:val="center"/>
              <w:rPr>
                <w:lang w:val="es-ES_tradnl"/>
              </w:rPr>
            </w:pPr>
            <w:r w:rsidRPr="008B7A21">
              <w:rPr>
                <w:lang w:val="es-ES_tradnl"/>
              </w:rPr>
              <w:t>95,8</w:t>
            </w:r>
          </w:p>
        </w:tc>
        <w:tc>
          <w:tcPr>
            <w:tcW w:w="1565" w:type="dxa"/>
            <w:tcBorders>
              <w:top w:val="nil"/>
              <w:left w:val="nil"/>
              <w:bottom w:val="single" w:sz="4" w:space="0" w:color="auto"/>
              <w:right w:val="single" w:sz="4" w:space="0" w:color="auto"/>
            </w:tcBorders>
            <w:vAlign w:val="center"/>
          </w:tcPr>
          <w:p w14:paraId="71CD2099" w14:textId="77777777" w:rsidR="00F73D5B" w:rsidRPr="008B7A21" w:rsidRDefault="00F73D5B" w:rsidP="00767A6A">
            <w:pPr>
              <w:pStyle w:val="Tabletext"/>
              <w:jc w:val="center"/>
              <w:rPr>
                <w:lang w:val="es-ES_tradnl"/>
              </w:rPr>
            </w:pPr>
            <w:r w:rsidRPr="008B7A21">
              <w:rPr>
                <w:lang w:val="es-ES_tradnl"/>
              </w:rPr>
              <w:t>134,12</w:t>
            </w:r>
          </w:p>
        </w:tc>
      </w:tr>
      <w:tr w:rsidR="00F73D5B" w:rsidRPr="008B7A21" w14:paraId="00A72A46"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73D56F37" w14:textId="77777777" w:rsidR="00F73D5B" w:rsidRPr="008B7A21" w:rsidRDefault="00F73D5B" w:rsidP="00767A6A">
            <w:pPr>
              <w:pStyle w:val="Tabletext"/>
              <w:jc w:val="center"/>
              <w:rPr>
                <w:lang w:val="es-ES_tradnl"/>
              </w:rPr>
            </w:pPr>
            <w:r w:rsidRPr="008B7A21">
              <w:rPr>
                <w:lang w:val="es-ES_tradnl"/>
              </w:rPr>
              <w:t>61</w:t>
            </w:r>
          </w:p>
        </w:tc>
        <w:tc>
          <w:tcPr>
            <w:tcW w:w="4143" w:type="dxa"/>
            <w:tcBorders>
              <w:top w:val="nil"/>
              <w:left w:val="nil"/>
              <w:bottom w:val="single" w:sz="4" w:space="0" w:color="auto"/>
              <w:right w:val="single" w:sz="4" w:space="0" w:color="auto"/>
            </w:tcBorders>
            <w:noWrap/>
            <w:vAlign w:val="center"/>
            <w:hideMark/>
          </w:tcPr>
          <w:p w14:paraId="5E187A07" w14:textId="77777777" w:rsidR="00F73D5B" w:rsidRPr="008B7A21" w:rsidRDefault="00F73D5B" w:rsidP="00767A6A">
            <w:pPr>
              <w:pStyle w:val="Tabletext"/>
              <w:rPr>
                <w:lang w:val="es-ES_tradnl"/>
              </w:rPr>
            </w:pPr>
            <w:r w:rsidRPr="008B7A21">
              <w:rPr>
                <w:lang w:val="es-ES_tradnl"/>
              </w:rPr>
              <w:t>Óblast de Riazán</w:t>
            </w:r>
          </w:p>
        </w:tc>
        <w:tc>
          <w:tcPr>
            <w:tcW w:w="1729" w:type="dxa"/>
            <w:tcBorders>
              <w:top w:val="single" w:sz="4" w:space="0" w:color="auto"/>
              <w:left w:val="nil"/>
              <w:bottom w:val="single" w:sz="4" w:space="0" w:color="auto"/>
              <w:right w:val="single" w:sz="4" w:space="0" w:color="auto"/>
            </w:tcBorders>
          </w:tcPr>
          <w:p w14:paraId="6C0E51DB"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7C672D4D" w14:textId="77777777" w:rsidR="00F73D5B" w:rsidRPr="008B7A21" w:rsidRDefault="00F73D5B" w:rsidP="00767A6A">
            <w:pPr>
              <w:pStyle w:val="Tabletext"/>
              <w:jc w:val="center"/>
              <w:rPr>
                <w:lang w:val="es-ES_tradnl"/>
              </w:rPr>
            </w:pPr>
            <w:r w:rsidRPr="008B7A21">
              <w:rPr>
                <w:lang w:val="es-ES_tradnl"/>
              </w:rPr>
              <w:t>25,0</w:t>
            </w:r>
          </w:p>
        </w:tc>
        <w:tc>
          <w:tcPr>
            <w:tcW w:w="1565" w:type="dxa"/>
            <w:tcBorders>
              <w:top w:val="nil"/>
              <w:left w:val="nil"/>
              <w:bottom w:val="single" w:sz="4" w:space="0" w:color="auto"/>
              <w:right w:val="single" w:sz="4" w:space="0" w:color="auto"/>
            </w:tcBorders>
            <w:vAlign w:val="center"/>
          </w:tcPr>
          <w:p w14:paraId="1D41CECC" w14:textId="77777777" w:rsidR="00F73D5B" w:rsidRPr="008B7A21" w:rsidRDefault="00F73D5B" w:rsidP="00767A6A">
            <w:pPr>
              <w:pStyle w:val="Tabletext"/>
              <w:jc w:val="center"/>
              <w:rPr>
                <w:lang w:val="es-ES_tradnl"/>
              </w:rPr>
            </w:pPr>
            <w:r w:rsidRPr="008B7A21">
              <w:rPr>
                <w:lang w:val="es-ES_tradnl"/>
              </w:rPr>
              <w:t>27,5</w:t>
            </w:r>
          </w:p>
        </w:tc>
      </w:tr>
      <w:tr w:rsidR="00F73D5B" w:rsidRPr="008B7A21" w14:paraId="55A1CF41"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280D81D1" w14:textId="77777777" w:rsidR="00F73D5B" w:rsidRPr="008B7A21" w:rsidRDefault="00F73D5B" w:rsidP="00767A6A">
            <w:pPr>
              <w:pStyle w:val="Tabletext"/>
              <w:jc w:val="center"/>
              <w:rPr>
                <w:lang w:val="es-ES_tradnl"/>
              </w:rPr>
            </w:pPr>
            <w:r w:rsidRPr="008B7A21">
              <w:rPr>
                <w:lang w:val="es-ES_tradnl"/>
              </w:rPr>
              <w:t>62</w:t>
            </w:r>
          </w:p>
        </w:tc>
        <w:tc>
          <w:tcPr>
            <w:tcW w:w="4143" w:type="dxa"/>
            <w:tcBorders>
              <w:top w:val="nil"/>
              <w:left w:val="nil"/>
              <w:bottom w:val="single" w:sz="4" w:space="0" w:color="auto"/>
              <w:right w:val="single" w:sz="4" w:space="0" w:color="auto"/>
            </w:tcBorders>
            <w:noWrap/>
            <w:vAlign w:val="center"/>
            <w:hideMark/>
          </w:tcPr>
          <w:p w14:paraId="293A0638" w14:textId="77777777" w:rsidR="00F73D5B" w:rsidRPr="008B7A21" w:rsidRDefault="00F73D5B" w:rsidP="00767A6A">
            <w:pPr>
              <w:pStyle w:val="Tabletext"/>
              <w:rPr>
                <w:lang w:val="es-ES_tradnl"/>
              </w:rPr>
            </w:pPr>
            <w:r w:rsidRPr="008B7A21">
              <w:rPr>
                <w:lang w:val="es-ES_tradnl"/>
              </w:rPr>
              <w:t>Óblast de Samara</w:t>
            </w:r>
          </w:p>
        </w:tc>
        <w:tc>
          <w:tcPr>
            <w:tcW w:w="1729" w:type="dxa"/>
            <w:tcBorders>
              <w:top w:val="single" w:sz="4" w:space="0" w:color="auto"/>
              <w:left w:val="nil"/>
              <w:bottom w:val="single" w:sz="4" w:space="0" w:color="auto"/>
              <w:right w:val="single" w:sz="4" w:space="0" w:color="auto"/>
            </w:tcBorders>
          </w:tcPr>
          <w:p w14:paraId="320D68C6"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47794EA1" w14:textId="77777777" w:rsidR="00F73D5B" w:rsidRPr="008B7A21" w:rsidRDefault="00F73D5B" w:rsidP="00767A6A">
            <w:pPr>
              <w:pStyle w:val="Tabletext"/>
              <w:jc w:val="center"/>
              <w:rPr>
                <w:lang w:val="es-ES_tradnl"/>
              </w:rPr>
            </w:pPr>
            <w:r w:rsidRPr="008B7A21">
              <w:rPr>
                <w:lang w:val="es-ES_tradnl"/>
              </w:rPr>
              <w:t>81,5</w:t>
            </w:r>
          </w:p>
        </w:tc>
        <w:tc>
          <w:tcPr>
            <w:tcW w:w="1565" w:type="dxa"/>
            <w:tcBorders>
              <w:top w:val="nil"/>
              <w:left w:val="nil"/>
              <w:bottom w:val="single" w:sz="4" w:space="0" w:color="auto"/>
              <w:right w:val="single" w:sz="4" w:space="0" w:color="auto"/>
            </w:tcBorders>
            <w:vAlign w:val="center"/>
          </w:tcPr>
          <w:p w14:paraId="13CA5EC1" w14:textId="77777777" w:rsidR="00F73D5B" w:rsidRPr="008B7A21" w:rsidRDefault="00F73D5B" w:rsidP="00767A6A">
            <w:pPr>
              <w:pStyle w:val="Tabletext"/>
              <w:jc w:val="center"/>
              <w:rPr>
                <w:lang w:val="es-ES_tradnl"/>
              </w:rPr>
            </w:pPr>
            <w:r w:rsidRPr="008B7A21">
              <w:rPr>
                <w:lang w:val="es-ES_tradnl"/>
              </w:rPr>
              <w:t>110,025</w:t>
            </w:r>
          </w:p>
        </w:tc>
      </w:tr>
      <w:tr w:rsidR="00F73D5B" w:rsidRPr="008B7A21" w14:paraId="685B21AD"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3B98D2D8" w14:textId="77777777" w:rsidR="00F73D5B" w:rsidRPr="008B7A21" w:rsidRDefault="00F73D5B" w:rsidP="00767A6A">
            <w:pPr>
              <w:pStyle w:val="Tabletext"/>
              <w:jc w:val="center"/>
              <w:rPr>
                <w:lang w:val="es-ES_tradnl"/>
              </w:rPr>
            </w:pPr>
            <w:r w:rsidRPr="008B7A21">
              <w:rPr>
                <w:lang w:val="es-ES_tradnl"/>
              </w:rPr>
              <w:t>63</w:t>
            </w:r>
          </w:p>
        </w:tc>
        <w:tc>
          <w:tcPr>
            <w:tcW w:w="4143" w:type="dxa"/>
            <w:tcBorders>
              <w:top w:val="nil"/>
              <w:left w:val="nil"/>
              <w:bottom w:val="single" w:sz="4" w:space="0" w:color="auto"/>
              <w:right w:val="single" w:sz="4" w:space="0" w:color="auto"/>
            </w:tcBorders>
            <w:noWrap/>
            <w:vAlign w:val="center"/>
            <w:hideMark/>
          </w:tcPr>
          <w:p w14:paraId="70DD8753" w14:textId="77777777" w:rsidR="00F73D5B" w:rsidRPr="008B7A21" w:rsidRDefault="00F73D5B" w:rsidP="00767A6A">
            <w:pPr>
              <w:pStyle w:val="Tabletext"/>
              <w:rPr>
                <w:lang w:val="es-ES_tradnl"/>
              </w:rPr>
            </w:pPr>
            <w:r w:rsidRPr="008B7A21">
              <w:rPr>
                <w:lang w:val="es-ES_tradnl"/>
              </w:rPr>
              <w:t>Óblast de Sarátov</w:t>
            </w:r>
          </w:p>
        </w:tc>
        <w:tc>
          <w:tcPr>
            <w:tcW w:w="1729" w:type="dxa"/>
            <w:tcBorders>
              <w:top w:val="single" w:sz="4" w:space="0" w:color="auto"/>
              <w:left w:val="nil"/>
              <w:bottom w:val="single" w:sz="4" w:space="0" w:color="auto"/>
              <w:right w:val="single" w:sz="4" w:space="0" w:color="auto"/>
            </w:tcBorders>
          </w:tcPr>
          <w:p w14:paraId="7D9D79B4"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1D52E6A7" w14:textId="77777777" w:rsidR="00F73D5B" w:rsidRPr="008B7A21" w:rsidRDefault="00F73D5B" w:rsidP="00767A6A">
            <w:pPr>
              <w:pStyle w:val="Tabletext"/>
              <w:jc w:val="center"/>
              <w:rPr>
                <w:lang w:val="es-ES_tradnl"/>
              </w:rPr>
            </w:pPr>
            <w:r w:rsidRPr="008B7A21">
              <w:rPr>
                <w:lang w:val="es-ES_tradnl"/>
              </w:rPr>
              <w:t>57,2</w:t>
            </w:r>
          </w:p>
        </w:tc>
        <w:tc>
          <w:tcPr>
            <w:tcW w:w="1565" w:type="dxa"/>
            <w:tcBorders>
              <w:top w:val="nil"/>
              <w:left w:val="nil"/>
              <w:bottom w:val="single" w:sz="4" w:space="0" w:color="auto"/>
              <w:right w:val="single" w:sz="4" w:space="0" w:color="auto"/>
            </w:tcBorders>
            <w:vAlign w:val="center"/>
          </w:tcPr>
          <w:p w14:paraId="10675CAD" w14:textId="77777777" w:rsidR="00F73D5B" w:rsidRPr="008B7A21" w:rsidRDefault="00F73D5B" w:rsidP="00767A6A">
            <w:pPr>
              <w:pStyle w:val="Tabletext"/>
              <w:jc w:val="center"/>
              <w:rPr>
                <w:lang w:val="es-ES_tradnl"/>
              </w:rPr>
            </w:pPr>
            <w:r w:rsidRPr="008B7A21">
              <w:rPr>
                <w:lang w:val="es-ES_tradnl"/>
              </w:rPr>
              <w:t>68,64</w:t>
            </w:r>
          </w:p>
        </w:tc>
      </w:tr>
      <w:tr w:rsidR="00F73D5B" w:rsidRPr="008B7A21" w14:paraId="67F3985F"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0B27D8F8" w14:textId="77777777" w:rsidR="00F73D5B" w:rsidRPr="008B7A21" w:rsidRDefault="00F73D5B" w:rsidP="00767A6A">
            <w:pPr>
              <w:pStyle w:val="Tabletext"/>
              <w:jc w:val="center"/>
              <w:rPr>
                <w:lang w:val="es-ES_tradnl"/>
              </w:rPr>
            </w:pPr>
            <w:r w:rsidRPr="008B7A21">
              <w:rPr>
                <w:lang w:val="es-ES_tradnl"/>
              </w:rPr>
              <w:t>64</w:t>
            </w:r>
          </w:p>
        </w:tc>
        <w:tc>
          <w:tcPr>
            <w:tcW w:w="4143" w:type="dxa"/>
            <w:tcBorders>
              <w:top w:val="nil"/>
              <w:left w:val="nil"/>
              <w:bottom w:val="single" w:sz="4" w:space="0" w:color="auto"/>
              <w:right w:val="single" w:sz="4" w:space="0" w:color="auto"/>
            </w:tcBorders>
            <w:noWrap/>
            <w:vAlign w:val="center"/>
            <w:hideMark/>
          </w:tcPr>
          <w:p w14:paraId="12BB63E2" w14:textId="77777777" w:rsidR="00F73D5B" w:rsidRPr="008B7A21" w:rsidRDefault="00F73D5B" w:rsidP="00767A6A">
            <w:pPr>
              <w:pStyle w:val="Tabletext"/>
              <w:rPr>
                <w:lang w:val="es-ES_tradnl"/>
              </w:rPr>
            </w:pPr>
            <w:r w:rsidRPr="008B7A21">
              <w:rPr>
                <w:lang w:val="es-ES_tradnl"/>
              </w:rPr>
              <w:t>Óblast de Sajalín</w:t>
            </w:r>
          </w:p>
        </w:tc>
        <w:tc>
          <w:tcPr>
            <w:tcW w:w="1729" w:type="dxa"/>
            <w:tcBorders>
              <w:top w:val="single" w:sz="4" w:space="0" w:color="auto"/>
              <w:left w:val="nil"/>
              <w:bottom w:val="single" w:sz="4" w:space="0" w:color="auto"/>
              <w:right w:val="single" w:sz="4" w:space="0" w:color="auto"/>
            </w:tcBorders>
          </w:tcPr>
          <w:p w14:paraId="39F39B03"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518E879F" w14:textId="77777777" w:rsidR="00F73D5B" w:rsidRPr="008B7A21" w:rsidRDefault="00F73D5B" w:rsidP="00767A6A">
            <w:pPr>
              <w:pStyle w:val="Tabletext"/>
              <w:jc w:val="center"/>
              <w:rPr>
                <w:lang w:val="es-ES_tradnl"/>
              </w:rPr>
            </w:pPr>
            <w:r w:rsidRPr="008B7A21">
              <w:rPr>
                <w:lang w:val="es-ES_tradnl"/>
              </w:rPr>
              <w:t>15,9</w:t>
            </w:r>
          </w:p>
        </w:tc>
        <w:tc>
          <w:tcPr>
            <w:tcW w:w="1565" w:type="dxa"/>
            <w:tcBorders>
              <w:top w:val="nil"/>
              <w:left w:val="nil"/>
              <w:bottom w:val="single" w:sz="4" w:space="0" w:color="auto"/>
              <w:right w:val="single" w:sz="4" w:space="0" w:color="auto"/>
            </w:tcBorders>
            <w:vAlign w:val="center"/>
          </w:tcPr>
          <w:p w14:paraId="63F5CE2E" w14:textId="77777777" w:rsidR="00F73D5B" w:rsidRPr="008B7A21" w:rsidRDefault="00F73D5B" w:rsidP="00767A6A">
            <w:pPr>
              <w:pStyle w:val="Tabletext"/>
              <w:jc w:val="center"/>
              <w:rPr>
                <w:lang w:val="es-ES_tradnl"/>
              </w:rPr>
            </w:pPr>
            <w:r w:rsidRPr="008B7A21">
              <w:rPr>
                <w:lang w:val="es-ES_tradnl"/>
              </w:rPr>
              <w:t>17,49</w:t>
            </w:r>
          </w:p>
        </w:tc>
      </w:tr>
      <w:tr w:rsidR="00F73D5B" w:rsidRPr="008B7A21" w14:paraId="49B261E4"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0729504D" w14:textId="77777777" w:rsidR="00F73D5B" w:rsidRPr="008B7A21" w:rsidRDefault="00F73D5B" w:rsidP="00767A6A">
            <w:pPr>
              <w:pStyle w:val="Tabletext"/>
              <w:jc w:val="center"/>
              <w:rPr>
                <w:lang w:val="es-ES_tradnl"/>
              </w:rPr>
            </w:pPr>
            <w:r w:rsidRPr="008B7A21">
              <w:rPr>
                <w:lang w:val="es-ES_tradnl"/>
              </w:rPr>
              <w:t>65</w:t>
            </w:r>
          </w:p>
        </w:tc>
        <w:tc>
          <w:tcPr>
            <w:tcW w:w="4143" w:type="dxa"/>
            <w:tcBorders>
              <w:top w:val="nil"/>
              <w:left w:val="nil"/>
              <w:bottom w:val="single" w:sz="4" w:space="0" w:color="auto"/>
              <w:right w:val="single" w:sz="4" w:space="0" w:color="auto"/>
            </w:tcBorders>
            <w:noWrap/>
            <w:vAlign w:val="center"/>
            <w:hideMark/>
          </w:tcPr>
          <w:p w14:paraId="56FA6101" w14:textId="77777777" w:rsidR="00F73D5B" w:rsidRPr="008B7A21" w:rsidRDefault="00F73D5B" w:rsidP="00767A6A">
            <w:pPr>
              <w:pStyle w:val="Tabletext"/>
              <w:rPr>
                <w:lang w:val="es-ES_tradnl"/>
              </w:rPr>
            </w:pPr>
            <w:r w:rsidRPr="008B7A21">
              <w:rPr>
                <w:lang w:val="es-ES_tradnl"/>
              </w:rPr>
              <w:t>Óblast de Sverdlovsk</w:t>
            </w:r>
          </w:p>
        </w:tc>
        <w:tc>
          <w:tcPr>
            <w:tcW w:w="1729" w:type="dxa"/>
            <w:tcBorders>
              <w:top w:val="single" w:sz="4" w:space="0" w:color="auto"/>
              <w:left w:val="nil"/>
              <w:bottom w:val="single" w:sz="4" w:space="0" w:color="auto"/>
              <w:right w:val="single" w:sz="4" w:space="0" w:color="auto"/>
            </w:tcBorders>
          </w:tcPr>
          <w:p w14:paraId="5E6844B2"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612038A1" w14:textId="77777777" w:rsidR="00F73D5B" w:rsidRPr="008B7A21" w:rsidRDefault="00F73D5B" w:rsidP="00767A6A">
            <w:pPr>
              <w:pStyle w:val="Tabletext"/>
              <w:jc w:val="center"/>
              <w:rPr>
                <w:lang w:val="es-ES_tradnl"/>
              </w:rPr>
            </w:pPr>
            <w:r w:rsidRPr="008B7A21">
              <w:rPr>
                <w:lang w:val="es-ES_tradnl"/>
              </w:rPr>
              <w:t>122,9</w:t>
            </w:r>
          </w:p>
        </w:tc>
        <w:tc>
          <w:tcPr>
            <w:tcW w:w="1565" w:type="dxa"/>
            <w:tcBorders>
              <w:top w:val="nil"/>
              <w:left w:val="nil"/>
              <w:bottom w:val="single" w:sz="4" w:space="0" w:color="auto"/>
              <w:right w:val="single" w:sz="4" w:space="0" w:color="auto"/>
            </w:tcBorders>
            <w:vAlign w:val="center"/>
          </w:tcPr>
          <w:p w14:paraId="2C295BC5" w14:textId="77777777" w:rsidR="00F73D5B" w:rsidRPr="008B7A21" w:rsidRDefault="00F73D5B" w:rsidP="00767A6A">
            <w:pPr>
              <w:pStyle w:val="Tabletext"/>
              <w:jc w:val="center"/>
              <w:rPr>
                <w:lang w:val="es-ES_tradnl"/>
              </w:rPr>
            </w:pPr>
            <w:r w:rsidRPr="008B7A21">
              <w:rPr>
                <w:lang w:val="es-ES_tradnl"/>
              </w:rPr>
              <w:t>356,41</w:t>
            </w:r>
          </w:p>
        </w:tc>
      </w:tr>
      <w:tr w:rsidR="00F73D5B" w:rsidRPr="008B7A21" w14:paraId="4972F69B"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5B62530D" w14:textId="77777777" w:rsidR="00F73D5B" w:rsidRPr="008B7A21" w:rsidRDefault="00F73D5B" w:rsidP="00767A6A">
            <w:pPr>
              <w:pStyle w:val="Tabletext"/>
              <w:jc w:val="center"/>
              <w:rPr>
                <w:lang w:val="es-ES_tradnl"/>
              </w:rPr>
            </w:pPr>
            <w:r w:rsidRPr="008B7A21">
              <w:rPr>
                <w:lang w:val="es-ES_tradnl"/>
              </w:rPr>
              <w:t>66</w:t>
            </w:r>
          </w:p>
        </w:tc>
        <w:tc>
          <w:tcPr>
            <w:tcW w:w="4143" w:type="dxa"/>
            <w:tcBorders>
              <w:top w:val="nil"/>
              <w:left w:val="nil"/>
              <w:bottom w:val="single" w:sz="4" w:space="0" w:color="auto"/>
              <w:right w:val="single" w:sz="4" w:space="0" w:color="auto"/>
            </w:tcBorders>
            <w:noWrap/>
            <w:vAlign w:val="center"/>
            <w:hideMark/>
          </w:tcPr>
          <w:p w14:paraId="6618F0CA" w14:textId="77777777" w:rsidR="00F73D5B" w:rsidRPr="008B7A21" w:rsidRDefault="00F73D5B" w:rsidP="00767A6A">
            <w:pPr>
              <w:pStyle w:val="Tabletext"/>
              <w:rPr>
                <w:lang w:val="es-ES_tradnl"/>
              </w:rPr>
            </w:pPr>
            <w:r w:rsidRPr="008B7A21">
              <w:rPr>
                <w:lang w:val="es-ES_tradnl"/>
              </w:rPr>
              <w:t>Óblast de Smolensk</w:t>
            </w:r>
          </w:p>
        </w:tc>
        <w:tc>
          <w:tcPr>
            <w:tcW w:w="1729" w:type="dxa"/>
            <w:tcBorders>
              <w:top w:val="single" w:sz="4" w:space="0" w:color="auto"/>
              <w:left w:val="nil"/>
              <w:bottom w:val="single" w:sz="4" w:space="0" w:color="auto"/>
              <w:right w:val="single" w:sz="4" w:space="0" w:color="auto"/>
            </w:tcBorders>
          </w:tcPr>
          <w:p w14:paraId="65DA51C4"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037FCAFC" w14:textId="77777777" w:rsidR="00F73D5B" w:rsidRPr="008B7A21" w:rsidRDefault="00F73D5B" w:rsidP="00767A6A">
            <w:pPr>
              <w:pStyle w:val="Tabletext"/>
              <w:jc w:val="center"/>
              <w:rPr>
                <w:lang w:val="es-ES_tradnl"/>
              </w:rPr>
            </w:pPr>
            <w:r w:rsidRPr="008B7A21">
              <w:rPr>
                <w:lang w:val="es-ES_tradnl"/>
              </w:rPr>
              <w:t>21,1</w:t>
            </w:r>
          </w:p>
        </w:tc>
        <w:tc>
          <w:tcPr>
            <w:tcW w:w="1565" w:type="dxa"/>
            <w:tcBorders>
              <w:top w:val="nil"/>
              <w:left w:val="nil"/>
              <w:bottom w:val="single" w:sz="4" w:space="0" w:color="auto"/>
              <w:right w:val="single" w:sz="4" w:space="0" w:color="auto"/>
            </w:tcBorders>
            <w:vAlign w:val="center"/>
          </w:tcPr>
          <w:p w14:paraId="589AE5E9" w14:textId="77777777" w:rsidR="00F73D5B" w:rsidRPr="008B7A21" w:rsidRDefault="00F73D5B" w:rsidP="00767A6A">
            <w:pPr>
              <w:pStyle w:val="Tabletext"/>
              <w:jc w:val="center"/>
              <w:rPr>
                <w:lang w:val="es-ES_tradnl"/>
              </w:rPr>
            </w:pPr>
            <w:r w:rsidRPr="008B7A21">
              <w:rPr>
                <w:lang w:val="es-ES_tradnl"/>
              </w:rPr>
              <w:t>24,265</w:t>
            </w:r>
          </w:p>
        </w:tc>
      </w:tr>
      <w:tr w:rsidR="00F73D5B" w:rsidRPr="008B7A21" w14:paraId="4F2AC36A"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5A6B85C7" w14:textId="77777777" w:rsidR="00F73D5B" w:rsidRPr="008B7A21" w:rsidRDefault="00F73D5B" w:rsidP="00767A6A">
            <w:pPr>
              <w:pStyle w:val="Tabletext"/>
              <w:jc w:val="center"/>
              <w:rPr>
                <w:lang w:val="es-ES_tradnl"/>
              </w:rPr>
            </w:pPr>
            <w:r w:rsidRPr="008B7A21">
              <w:rPr>
                <w:lang w:val="es-ES_tradnl"/>
              </w:rPr>
              <w:t>67</w:t>
            </w:r>
          </w:p>
        </w:tc>
        <w:tc>
          <w:tcPr>
            <w:tcW w:w="4143" w:type="dxa"/>
            <w:tcBorders>
              <w:top w:val="nil"/>
              <w:left w:val="nil"/>
              <w:bottom w:val="single" w:sz="4" w:space="0" w:color="auto"/>
              <w:right w:val="single" w:sz="4" w:space="0" w:color="auto"/>
            </w:tcBorders>
            <w:noWrap/>
            <w:vAlign w:val="center"/>
            <w:hideMark/>
          </w:tcPr>
          <w:p w14:paraId="69F80B97" w14:textId="77777777" w:rsidR="00F73D5B" w:rsidRPr="008B7A21" w:rsidRDefault="00F73D5B" w:rsidP="00767A6A">
            <w:pPr>
              <w:pStyle w:val="Tabletext"/>
              <w:rPr>
                <w:lang w:val="es-ES_tradnl"/>
              </w:rPr>
            </w:pPr>
            <w:r w:rsidRPr="008B7A21">
              <w:rPr>
                <w:lang w:val="es-ES_tradnl"/>
              </w:rPr>
              <w:t>Krai de Stávropol</w:t>
            </w:r>
          </w:p>
        </w:tc>
        <w:tc>
          <w:tcPr>
            <w:tcW w:w="1729" w:type="dxa"/>
            <w:tcBorders>
              <w:top w:val="single" w:sz="4" w:space="0" w:color="auto"/>
              <w:left w:val="nil"/>
              <w:bottom w:val="single" w:sz="4" w:space="0" w:color="auto"/>
              <w:right w:val="single" w:sz="4" w:space="0" w:color="auto"/>
            </w:tcBorders>
          </w:tcPr>
          <w:p w14:paraId="6BE19A10"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48E03B78" w14:textId="77777777" w:rsidR="00F73D5B" w:rsidRPr="008B7A21" w:rsidRDefault="00F73D5B" w:rsidP="00767A6A">
            <w:pPr>
              <w:pStyle w:val="Tabletext"/>
              <w:jc w:val="center"/>
              <w:rPr>
                <w:lang w:val="es-ES_tradnl"/>
              </w:rPr>
            </w:pPr>
            <w:r w:rsidRPr="008B7A21">
              <w:rPr>
                <w:lang w:val="es-ES_tradnl"/>
              </w:rPr>
              <w:t>57,4</w:t>
            </w:r>
          </w:p>
        </w:tc>
        <w:tc>
          <w:tcPr>
            <w:tcW w:w="1565" w:type="dxa"/>
            <w:tcBorders>
              <w:top w:val="nil"/>
              <w:left w:val="nil"/>
              <w:bottom w:val="single" w:sz="4" w:space="0" w:color="auto"/>
              <w:right w:val="single" w:sz="4" w:space="0" w:color="auto"/>
            </w:tcBorders>
            <w:vAlign w:val="center"/>
          </w:tcPr>
          <w:p w14:paraId="5D56348C" w14:textId="77777777" w:rsidR="00F73D5B" w:rsidRPr="008B7A21" w:rsidRDefault="00F73D5B" w:rsidP="00767A6A">
            <w:pPr>
              <w:pStyle w:val="Tabletext"/>
              <w:jc w:val="center"/>
              <w:rPr>
                <w:lang w:val="es-ES_tradnl"/>
              </w:rPr>
            </w:pPr>
            <w:r w:rsidRPr="008B7A21">
              <w:rPr>
                <w:lang w:val="es-ES_tradnl"/>
              </w:rPr>
              <w:t>66,01</w:t>
            </w:r>
          </w:p>
        </w:tc>
      </w:tr>
      <w:tr w:rsidR="00F73D5B" w:rsidRPr="008B7A21" w14:paraId="64ED41B4"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36978A35" w14:textId="77777777" w:rsidR="00F73D5B" w:rsidRPr="008B7A21" w:rsidRDefault="00F73D5B" w:rsidP="00767A6A">
            <w:pPr>
              <w:pStyle w:val="Tabletext"/>
              <w:jc w:val="center"/>
              <w:rPr>
                <w:lang w:val="es-ES_tradnl"/>
              </w:rPr>
            </w:pPr>
            <w:r w:rsidRPr="008B7A21">
              <w:rPr>
                <w:lang w:val="es-ES_tradnl"/>
              </w:rPr>
              <w:t>68</w:t>
            </w:r>
          </w:p>
        </w:tc>
        <w:tc>
          <w:tcPr>
            <w:tcW w:w="4143" w:type="dxa"/>
            <w:tcBorders>
              <w:top w:val="nil"/>
              <w:left w:val="nil"/>
              <w:bottom w:val="single" w:sz="4" w:space="0" w:color="auto"/>
              <w:right w:val="single" w:sz="4" w:space="0" w:color="auto"/>
            </w:tcBorders>
            <w:noWrap/>
            <w:vAlign w:val="center"/>
            <w:hideMark/>
          </w:tcPr>
          <w:p w14:paraId="6E9DDEC7" w14:textId="77777777" w:rsidR="00F73D5B" w:rsidRPr="008B7A21" w:rsidRDefault="00F73D5B" w:rsidP="00767A6A">
            <w:pPr>
              <w:pStyle w:val="Tabletext"/>
              <w:rPr>
                <w:lang w:val="es-ES_tradnl"/>
              </w:rPr>
            </w:pPr>
            <w:r w:rsidRPr="008B7A21">
              <w:rPr>
                <w:lang w:val="es-ES_tradnl"/>
              </w:rPr>
              <w:t>Óblast de Tambov</w:t>
            </w:r>
          </w:p>
        </w:tc>
        <w:tc>
          <w:tcPr>
            <w:tcW w:w="1729" w:type="dxa"/>
            <w:tcBorders>
              <w:top w:val="single" w:sz="4" w:space="0" w:color="auto"/>
              <w:left w:val="nil"/>
              <w:bottom w:val="single" w:sz="4" w:space="0" w:color="auto"/>
              <w:right w:val="single" w:sz="4" w:space="0" w:color="auto"/>
            </w:tcBorders>
          </w:tcPr>
          <w:p w14:paraId="39787C18"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5E3D6BAD" w14:textId="77777777" w:rsidR="00F73D5B" w:rsidRPr="008B7A21" w:rsidRDefault="00F73D5B" w:rsidP="00767A6A">
            <w:pPr>
              <w:pStyle w:val="Tabletext"/>
              <w:jc w:val="center"/>
              <w:rPr>
                <w:lang w:val="es-ES_tradnl"/>
              </w:rPr>
            </w:pPr>
            <w:r w:rsidRPr="008B7A21">
              <w:rPr>
                <w:lang w:val="es-ES_tradnl"/>
              </w:rPr>
              <w:t>23,7</w:t>
            </w:r>
          </w:p>
        </w:tc>
        <w:tc>
          <w:tcPr>
            <w:tcW w:w="1565" w:type="dxa"/>
            <w:tcBorders>
              <w:top w:val="nil"/>
              <w:left w:val="nil"/>
              <w:bottom w:val="single" w:sz="4" w:space="0" w:color="auto"/>
              <w:right w:val="single" w:sz="4" w:space="0" w:color="auto"/>
            </w:tcBorders>
            <w:vAlign w:val="center"/>
          </w:tcPr>
          <w:p w14:paraId="7558A635" w14:textId="77777777" w:rsidR="00F73D5B" w:rsidRPr="008B7A21" w:rsidRDefault="00F73D5B" w:rsidP="00767A6A">
            <w:pPr>
              <w:pStyle w:val="Tabletext"/>
              <w:jc w:val="center"/>
              <w:rPr>
                <w:lang w:val="es-ES_tradnl"/>
              </w:rPr>
            </w:pPr>
            <w:r w:rsidRPr="008B7A21">
              <w:rPr>
                <w:lang w:val="es-ES_tradnl"/>
              </w:rPr>
              <w:t>26,07</w:t>
            </w:r>
          </w:p>
        </w:tc>
      </w:tr>
      <w:tr w:rsidR="00F73D5B" w:rsidRPr="008B7A21" w14:paraId="332B1236"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7CFE795E" w14:textId="77777777" w:rsidR="00F73D5B" w:rsidRPr="008B7A21" w:rsidRDefault="00F73D5B" w:rsidP="00767A6A">
            <w:pPr>
              <w:pStyle w:val="Tabletext"/>
              <w:jc w:val="center"/>
              <w:rPr>
                <w:lang w:val="es-ES_tradnl"/>
              </w:rPr>
            </w:pPr>
            <w:r w:rsidRPr="008B7A21">
              <w:rPr>
                <w:lang w:val="es-ES_tradnl"/>
              </w:rPr>
              <w:t>69</w:t>
            </w:r>
          </w:p>
        </w:tc>
        <w:tc>
          <w:tcPr>
            <w:tcW w:w="4143" w:type="dxa"/>
            <w:tcBorders>
              <w:top w:val="nil"/>
              <w:left w:val="nil"/>
              <w:bottom w:val="single" w:sz="4" w:space="0" w:color="auto"/>
              <w:right w:val="single" w:sz="4" w:space="0" w:color="auto"/>
            </w:tcBorders>
            <w:noWrap/>
            <w:vAlign w:val="center"/>
            <w:hideMark/>
          </w:tcPr>
          <w:p w14:paraId="49830954" w14:textId="77777777" w:rsidR="00F73D5B" w:rsidRPr="008B7A21" w:rsidRDefault="00F73D5B" w:rsidP="00767A6A">
            <w:pPr>
              <w:pStyle w:val="Tabletext"/>
              <w:rPr>
                <w:lang w:val="es-ES_tradnl"/>
              </w:rPr>
            </w:pPr>
            <w:r w:rsidRPr="008B7A21">
              <w:rPr>
                <w:lang w:val="es-ES_tradnl"/>
              </w:rPr>
              <w:t>Óblast de Tver</w:t>
            </w:r>
          </w:p>
        </w:tc>
        <w:tc>
          <w:tcPr>
            <w:tcW w:w="1729" w:type="dxa"/>
            <w:tcBorders>
              <w:top w:val="single" w:sz="4" w:space="0" w:color="auto"/>
              <w:left w:val="nil"/>
              <w:bottom w:val="single" w:sz="4" w:space="0" w:color="auto"/>
              <w:right w:val="single" w:sz="4" w:space="0" w:color="auto"/>
            </w:tcBorders>
          </w:tcPr>
          <w:p w14:paraId="4309B0DC"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65D2BD7D" w14:textId="77777777" w:rsidR="00F73D5B" w:rsidRPr="008B7A21" w:rsidRDefault="00F73D5B" w:rsidP="00767A6A">
            <w:pPr>
              <w:pStyle w:val="Tabletext"/>
              <w:jc w:val="center"/>
              <w:rPr>
                <w:lang w:val="es-ES_tradnl"/>
              </w:rPr>
            </w:pPr>
            <w:r w:rsidRPr="008B7A21">
              <w:rPr>
                <w:lang w:val="es-ES_tradnl"/>
              </w:rPr>
              <w:t>28,9</w:t>
            </w:r>
          </w:p>
        </w:tc>
        <w:tc>
          <w:tcPr>
            <w:tcW w:w="1565" w:type="dxa"/>
            <w:tcBorders>
              <w:top w:val="nil"/>
              <w:left w:val="nil"/>
              <w:bottom w:val="single" w:sz="4" w:space="0" w:color="auto"/>
              <w:right w:val="single" w:sz="4" w:space="0" w:color="auto"/>
            </w:tcBorders>
            <w:vAlign w:val="center"/>
          </w:tcPr>
          <w:p w14:paraId="60BC4EE2" w14:textId="77777777" w:rsidR="00F73D5B" w:rsidRPr="008B7A21" w:rsidRDefault="00F73D5B" w:rsidP="00767A6A">
            <w:pPr>
              <w:pStyle w:val="Tabletext"/>
              <w:jc w:val="center"/>
              <w:rPr>
                <w:lang w:val="es-ES_tradnl"/>
              </w:rPr>
            </w:pPr>
            <w:r w:rsidRPr="008B7A21">
              <w:rPr>
                <w:lang w:val="es-ES_tradnl"/>
              </w:rPr>
              <w:t>31,79</w:t>
            </w:r>
          </w:p>
        </w:tc>
      </w:tr>
      <w:tr w:rsidR="00F73D5B" w:rsidRPr="008B7A21" w14:paraId="46784759"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166680DB" w14:textId="77777777" w:rsidR="00F73D5B" w:rsidRPr="008B7A21" w:rsidRDefault="00F73D5B" w:rsidP="00767A6A">
            <w:pPr>
              <w:pStyle w:val="Tabletext"/>
              <w:jc w:val="center"/>
              <w:rPr>
                <w:lang w:val="es-ES_tradnl"/>
              </w:rPr>
            </w:pPr>
            <w:r w:rsidRPr="008B7A21">
              <w:rPr>
                <w:lang w:val="es-ES_tradnl"/>
              </w:rPr>
              <w:t>70</w:t>
            </w:r>
          </w:p>
        </w:tc>
        <w:tc>
          <w:tcPr>
            <w:tcW w:w="4143" w:type="dxa"/>
            <w:tcBorders>
              <w:top w:val="nil"/>
              <w:left w:val="nil"/>
              <w:bottom w:val="single" w:sz="4" w:space="0" w:color="auto"/>
              <w:right w:val="single" w:sz="4" w:space="0" w:color="auto"/>
            </w:tcBorders>
            <w:noWrap/>
            <w:vAlign w:val="center"/>
            <w:hideMark/>
          </w:tcPr>
          <w:p w14:paraId="7569FFDD" w14:textId="77777777" w:rsidR="00F73D5B" w:rsidRPr="008B7A21" w:rsidRDefault="00F73D5B" w:rsidP="00767A6A">
            <w:pPr>
              <w:pStyle w:val="Tabletext"/>
              <w:rPr>
                <w:lang w:val="es-ES_tradnl"/>
              </w:rPr>
            </w:pPr>
            <w:r w:rsidRPr="008B7A21">
              <w:rPr>
                <w:lang w:val="es-ES_tradnl"/>
              </w:rPr>
              <w:t>Óblast de Tomsk</w:t>
            </w:r>
          </w:p>
        </w:tc>
        <w:tc>
          <w:tcPr>
            <w:tcW w:w="1729" w:type="dxa"/>
            <w:tcBorders>
              <w:top w:val="single" w:sz="4" w:space="0" w:color="auto"/>
              <w:left w:val="nil"/>
              <w:bottom w:val="single" w:sz="4" w:space="0" w:color="auto"/>
              <w:right w:val="single" w:sz="4" w:space="0" w:color="auto"/>
            </w:tcBorders>
          </w:tcPr>
          <w:p w14:paraId="7E89A4DD"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01869B90" w14:textId="77777777" w:rsidR="00F73D5B" w:rsidRPr="008B7A21" w:rsidRDefault="00F73D5B" w:rsidP="00767A6A">
            <w:pPr>
              <w:pStyle w:val="Tabletext"/>
              <w:jc w:val="center"/>
              <w:rPr>
                <w:lang w:val="es-ES_tradnl"/>
              </w:rPr>
            </w:pPr>
            <w:r w:rsidRPr="008B7A21">
              <w:rPr>
                <w:lang w:val="es-ES_tradnl"/>
              </w:rPr>
              <w:t>24,4</w:t>
            </w:r>
          </w:p>
        </w:tc>
        <w:tc>
          <w:tcPr>
            <w:tcW w:w="1565" w:type="dxa"/>
            <w:tcBorders>
              <w:top w:val="nil"/>
              <w:left w:val="nil"/>
              <w:bottom w:val="single" w:sz="4" w:space="0" w:color="auto"/>
              <w:right w:val="single" w:sz="4" w:space="0" w:color="auto"/>
            </w:tcBorders>
            <w:vAlign w:val="center"/>
          </w:tcPr>
          <w:p w14:paraId="240A9EBC" w14:textId="77777777" w:rsidR="00F73D5B" w:rsidRPr="008B7A21" w:rsidRDefault="00F73D5B" w:rsidP="00767A6A">
            <w:pPr>
              <w:pStyle w:val="Tabletext"/>
              <w:jc w:val="center"/>
              <w:rPr>
                <w:lang w:val="es-ES_tradnl"/>
              </w:rPr>
            </w:pPr>
            <w:r w:rsidRPr="008B7A21">
              <w:rPr>
                <w:lang w:val="es-ES_tradnl"/>
              </w:rPr>
              <w:t>28,06</w:t>
            </w:r>
          </w:p>
        </w:tc>
      </w:tr>
      <w:tr w:rsidR="00F73D5B" w:rsidRPr="008B7A21" w14:paraId="41BC6F8A"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0F55F764" w14:textId="77777777" w:rsidR="00F73D5B" w:rsidRPr="008B7A21" w:rsidRDefault="00F73D5B" w:rsidP="00767A6A">
            <w:pPr>
              <w:pStyle w:val="Tabletext"/>
              <w:jc w:val="center"/>
              <w:rPr>
                <w:lang w:val="es-ES_tradnl"/>
              </w:rPr>
            </w:pPr>
            <w:r w:rsidRPr="008B7A21">
              <w:rPr>
                <w:lang w:val="es-ES_tradnl"/>
              </w:rPr>
              <w:t>71</w:t>
            </w:r>
          </w:p>
        </w:tc>
        <w:tc>
          <w:tcPr>
            <w:tcW w:w="4143" w:type="dxa"/>
            <w:tcBorders>
              <w:top w:val="nil"/>
              <w:left w:val="nil"/>
              <w:bottom w:val="single" w:sz="4" w:space="0" w:color="auto"/>
              <w:right w:val="single" w:sz="4" w:space="0" w:color="auto"/>
            </w:tcBorders>
            <w:noWrap/>
            <w:vAlign w:val="center"/>
            <w:hideMark/>
          </w:tcPr>
          <w:p w14:paraId="70006F39" w14:textId="77777777" w:rsidR="00F73D5B" w:rsidRPr="008B7A21" w:rsidRDefault="00F73D5B" w:rsidP="00767A6A">
            <w:pPr>
              <w:pStyle w:val="Tabletext"/>
              <w:rPr>
                <w:lang w:val="es-ES_tradnl"/>
              </w:rPr>
            </w:pPr>
            <w:r w:rsidRPr="008B7A21">
              <w:rPr>
                <w:lang w:val="es-ES_tradnl"/>
              </w:rPr>
              <w:t>Óblast de Tula</w:t>
            </w:r>
          </w:p>
        </w:tc>
        <w:tc>
          <w:tcPr>
            <w:tcW w:w="1729" w:type="dxa"/>
            <w:tcBorders>
              <w:top w:val="single" w:sz="4" w:space="0" w:color="auto"/>
              <w:left w:val="nil"/>
              <w:bottom w:val="single" w:sz="4" w:space="0" w:color="auto"/>
              <w:right w:val="single" w:sz="4" w:space="0" w:color="auto"/>
            </w:tcBorders>
          </w:tcPr>
          <w:p w14:paraId="5BB7CAE0"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34EEE63E" w14:textId="77777777" w:rsidR="00F73D5B" w:rsidRPr="008B7A21" w:rsidRDefault="00F73D5B" w:rsidP="00767A6A">
            <w:pPr>
              <w:pStyle w:val="Tabletext"/>
              <w:jc w:val="center"/>
              <w:rPr>
                <w:lang w:val="es-ES_tradnl"/>
              </w:rPr>
            </w:pPr>
            <w:r w:rsidRPr="008B7A21">
              <w:rPr>
                <w:lang w:val="es-ES_tradnl"/>
              </w:rPr>
              <w:t>34,4</w:t>
            </w:r>
          </w:p>
        </w:tc>
        <w:tc>
          <w:tcPr>
            <w:tcW w:w="1565" w:type="dxa"/>
            <w:tcBorders>
              <w:top w:val="nil"/>
              <w:left w:val="nil"/>
              <w:bottom w:val="single" w:sz="4" w:space="0" w:color="auto"/>
              <w:right w:val="single" w:sz="4" w:space="0" w:color="auto"/>
            </w:tcBorders>
            <w:vAlign w:val="center"/>
          </w:tcPr>
          <w:p w14:paraId="4C039D75" w14:textId="77777777" w:rsidR="00F73D5B" w:rsidRPr="008B7A21" w:rsidRDefault="00F73D5B" w:rsidP="00767A6A">
            <w:pPr>
              <w:pStyle w:val="Tabletext"/>
              <w:jc w:val="center"/>
              <w:rPr>
                <w:lang w:val="es-ES_tradnl"/>
              </w:rPr>
            </w:pPr>
            <w:r w:rsidRPr="008B7A21">
              <w:rPr>
                <w:lang w:val="es-ES_tradnl"/>
              </w:rPr>
              <w:t>39,56</w:t>
            </w:r>
          </w:p>
        </w:tc>
      </w:tr>
      <w:tr w:rsidR="00F73D5B" w:rsidRPr="008B7A21" w14:paraId="7145C694"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750FD965" w14:textId="77777777" w:rsidR="00F73D5B" w:rsidRPr="008B7A21" w:rsidRDefault="00F73D5B" w:rsidP="00767A6A">
            <w:pPr>
              <w:pStyle w:val="Tabletext"/>
              <w:jc w:val="center"/>
              <w:rPr>
                <w:lang w:val="es-ES_tradnl"/>
              </w:rPr>
            </w:pPr>
            <w:r w:rsidRPr="008B7A21">
              <w:rPr>
                <w:lang w:val="es-ES_tradnl"/>
              </w:rPr>
              <w:t>72</w:t>
            </w:r>
          </w:p>
        </w:tc>
        <w:tc>
          <w:tcPr>
            <w:tcW w:w="4143" w:type="dxa"/>
            <w:tcBorders>
              <w:top w:val="nil"/>
              <w:left w:val="nil"/>
              <w:bottom w:val="single" w:sz="4" w:space="0" w:color="auto"/>
              <w:right w:val="single" w:sz="4" w:space="0" w:color="auto"/>
            </w:tcBorders>
            <w:noWrap/>
            <w:vAlign w:val="center"/>
            <w:hideMark/>
          </w:tcPr>
          <w:p w14:paraId="7C13F6D7" w14:textId="77777777" w:rsidR="00F73D5B" w:rsidRPr="008B7A21" w:rsidRDefault="00F73D5B" w:rsidP="00767A6A">
            <w:pPr>
              <w:pStyle w:val="Tabletext"/>
              <w:rPr>
                <w:lang w:val="es-ES_tradnl"/>
              </w:rPr>
            </w:pPr>
            <w:r w:rsidRPr="008B7A21">
              <w:rPr>
                <w:lang w:val="es-ES_tradnl"/>
              </w:rPr>
              <w:t>Óblast de Tiumén</w:t>
            </w:r>
          </w:p>
        </w:tc>
        <w:tc>
          <w:tcPr>
            <w:tcW w:w="1729" w:type="dxa"/>
            <w:tcBorders>
              <w:top w:val="single" w:sz="4" w:space="0" w:color="auto"/>
              <w:left w:val="nil"/>
              <w:bottom w:val="single" w:sz="4" w:space="0" w:color="auto"/>
              <w:right w:val="single" w:sz="4" w:space="0" w:color="auto"/>
            </w:tcBorders>
          </w:tcPr>
          <w:p w14:paraId="24F19FC0"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648A5626" w14:textId="77777777" w:rsidR="00F73D5B" w:rsidRPr="008B7A21" w:rsidRDefault="00F73D5B" w:rsidP="00767A6A">
            <w:pPr>
              <w:pStyle w:val="Tabletext"/>
              <w:jc w:val="center"/>
              <w:rPr>
                <w:lang w:val="es-ES_tradnl"/>
              </w:rPr>
            </w:pPr>
            <w:r w:rsidRPr="008B7A21">
              <w:rPr>
                <w:lang w:val="es-ES_tradnl"/>
              </w:rPr>
              <w:t>34,2</w:t>
            </w:r>
          </w:p>
        </w:tc>
        <w:tc>
          <w:tcPr>
            <w:tcW w:w="1565" w:type="dxa"/>
            <w:tcBorders>
              <w:top w:val="nil"/>
              <w:left w:val="nil"/>
              <w:bottom w:val="single" w:sz="4" w:space="0" w:color="auto"/>
              <w:right w:val="single" w:sz="4" w:space="0" w:color="auto"/>
            </w:tcBorders>
            <w:vAlign w:val="center"/>
          </w:tcPr>
          <w:p w14:paraId="2A17E1FF" w14:textId="77777777" w:rsidR="00F73D5B" w:rsidRPr="008B7A21" w:rsidRDefault="00F73D5B" w:rsidP="00767A6A">
            <w:pPr>
              <w:pStyle w:val="Tabletext"/>
              <w:jc w:val="center"/>
              <w:rPr>
                <w:lang w:val="es-ES_tradnl"/>
              </w:rPr>
            </w:pPr>
            <w:r w:rsidRPr="008B7A21">
              <w:rPr>
                <w:lang w:val="es-ES_tradnl"/>
              </w:rPr>
              <w:t>97,47</w:t>
            </w:r>
          </w:p>
        </w:tc>
      </w:tr>
      <w:tr w:rsidR="00F73D5B" w:rsidRPr="008B7A21" w14:paraId="3CC8B98F"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1CE01EE5" w14:textId="77777777" w:rsidR="00F73D5B" w:rsidRPr="008B7A21" w:rsidRDefault="00F73D5B" w:rsidP="00767A6A">
            <w:pPr>
              <w:pStyle w:val="Tabletext"/>
              <w:jc w:val="center"/>
              <w:rPr>
                <w:lang w:val="es-ES_tradnl"/>
              </w:rPr>
            </w:pPr>
            <w:r w:rsidRPr="008B7A21">
              <w:rPr>
                <w:lang w:val="es-ES_tradnl"/>
              </w:rPr>
              <w:t>73</w:t>
            </w:r>
          </w:p>
        </w:tc>
        <w:tc>
          <w:tcPr>
            <w:tcW w:w="4143" w:type="dxa"/>
            <w:tcBorders>
              <w:top w:val="nil"/>
              <w:left w:val="nil"/>
              <w:bottom w:val="single" w:sz="4" w:space="0" w:color="auto"/>
              <w:right w:val="single" w:sz="4" w:space="0" w:color="auto"/>
            </w:tcBorders>
            <w:noWrap/>
            <w:vAlign w:val="center"/>
            <w:hideMark/>
          </w:tcPr>
          <w:p w14:paraId="5D0DE5DF" w14:textId="77777777" w:rsidR="00F73D5B" w:rsidRPr="008B7A21" w:rsidRDefault="00F73D5B" w:rsidP="00767A6A">
            <w:pPr>
              <w:pStyle w:val="Tabletext"/>
              <w:rPr>
                <w:lang w:val="es-ES_tradnl"/>
              </w:rPr>
            </w:pPr>
            <w:r w:rsidRPr="008B7A21">
              <w:rPr>
                <w:lang w:val="es-ES_tradnl"/>
              </w:rPr>
              <w:t>La República de Udmurtia</w:t>
            </w:r>
          </w:p>
        </w:tc>
        <w:tc>
          <w:tcPr>
            <w:tcW w:w="1729" w:type="dxa"/>
            <w:tcBorders>
              <w:top w:val="single" w:sz="4" w:space="0" w:color="auto"/>
              <w:left w:val="nil"/>
              <w:bottom w:val="single" w:sz="4" w:space="0" w:color="auto"/>
              <w:right w:val="single" w:sz="4" w:space="0" w:color="auto"/>
            </w:tcBorders>
          </w:tcPr>
          <w:p w14:paraId="79387C11"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06FC9323" w14:textId="77777777" w:rsidR="00F73D5B" w:rsidRPr="008B7A21" w:rsidRDefault="00F73D5B" w:rsidP="00767A6A">
            <w:pPr>
              <w:pStyle w:val="Tabletext"/>
              <w:jc w:val="center"/>
              <w:rPr>
                <w:lang w:val="es-ES_tradnl"/>
              </w:rPr>
            </w:pPr>
            <w:r w:rsidRPr="008B7A21">
              <w:rPr>
                <w:lang w:val="es-ES_tradnl"/>
              </w:rPr>
              <w:t>32,1</w:t>
            </w:r>
          </w:p>
        </w:tc>
        <w:tc>
          <w:tcPr>
            <w:tcW w:w="1565" w:type="dxa"/>
            <w:tcBorders>
              <w:top w:val="nil"/>
              <w:left w:val="nil"/>
              <w:bottom w:val="single" w:sz="4" w:space="0" w:color="auto"/>
              <w:right w:val="single" w:sz="4" w:space="0" w:color="auto"/>
            </w:tcBorders>
            <w:vAlign w:val="center"/>
          </w:tcPr>
          <w:p w14:paraId="22A55C0A" w14:textId="77777777" w:rsidR="00F73D5B" w:rsidRPr="008B7A21" w:rsidRDefault="00F73D5B" w:rsidP="00767A6A">
            <w:pPr>
              <w:pStyle w:val="Tabletext"/>
              <w:jc w:val="center"/>
              <w:rPr>
                <w:lang w:val="es-ES_tradnl"/>
              </w:rPr>
            </w:pPr>
            <w:r w:rsidRPr="008B7A21">
              <w:rPr>
                <w:lang w:val="es-ES_tradnl"/>
              </w:rPr>
              <w:t>38,52</w:t>
            </w:r>
          </w:p>
        </w:tc>
      </w:tr>
      <w:tr w:rsidR="00F73D5B" w:rsidRPr="008B7A21" w14:paraId="42B952CD"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7B837930" w14:textId="77777777" w:rsidR="00F73D5B" w:rsidRPr="008B7A21" w:rsidRDefault="00F73D5B" w:rsidP="00767A6A">
            <w:pPr>
              <w:pStyle w:val="Tabletext"/>
              <w:jc w:val="center"/>
              <w:rPr>
                <w:lang w:val="es-ES_tradnl"/>
              </w:rPr>
            </w:pPr>
            <w:r w:rsidRPr="008B7A21">
              <w:rPr>
                <w:lang w:val="es-ES_tradnl"/>
              </w:rPr>
              <w:t>74</w:t>
            </w:r>
          </w:p>
        </w:tc>
        <w:tc>
          <w:tcPr>
            <w:tcW w:w="4143" w:type="dxa"/>
            <w:tcBorders>
              <w:top w:val="nil"/>
              <w:left w:val="nil"/>
              <w:bottom w:val="single" w:sz="4" w:space="0" w:color="auto"/>
              <w:right w:val="single" w:sz="4" w:space="0" w:color="auto"/>
            </w:tcBorders>
            <w:noWrap/>
            <w:vAlign w:val="center"/>
            <w:hideMark/>
          </w:tcPr>
          <w:p w14:paraId="7DCD2942" w14:textId="77777777" w:rsidR="00F73D5B" w:rsidRPr="008B7A21" w:rsidRDefault="00F73D5B" w:rsidP="00767A6A">
            <w:pPr>
              <w:pStyle w:val="Tabletext"/>
              <w:rPr>
                <w:lang w:val="es-ES_tradnl"/>
              </w:rPr>
            </w:pPr>
            <w:r w:rsidRPr="008B7A21">
              <w:rPr>
                <w:lang w:val="es-ES_tradnl"/>
              </w:rPr>
              <w:t>Óblast de Uliánovsk</w:t>
            </w:r>
          </w:p>
        </w:tc>
        <w:tc>
          <w:tcPr>
            <w:tcW w:w="1729" w:type="dxa"/>
            <w:tcBorders>
              <w:top w:val="single" w:sz="4" w:space="0" w:color="auto"/>
              <w:left w:val="nil"/>
              <w:bottom w:val="single" w:sz="4" w:space="0" w:color="auto"/>
              <w:right w:val="single" w:sz="4" w:space="0" w:color="auto"/>
            </w:tcBorders>
          </w:tcPr>
          <w:p w14:paraId="42B4CEE0"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2D7131A1" w14:textId="77777777" w:rsidR="00F73D5B" w:rsidRPr="008B7A21" w:rsidRDefault="00F73D5B" w:rsidP="00767A6A">
            <w:pPr>
              <w:pStyle w:val="Tabletext"/>
              <w:jc w:val="center"/>
              <w:rPr>
                <w:lang w:val="es-ES_tradnl"/>
              </w:rPr>
            </w:pPr>
            <w:r w:rsidRPr="008B7A21">
              <w:rPr>
                <w:lang w:val="es-ES_tradnl"/>
              </w:rPr>
              <w:t>29,7</w:t>
            </w:r>
          </w:p>
        </w:tc>
        <w:tc>
          <w:tcPr>
            <w:tcW w:w="1565" w:type="dxa"/>
            <w:tcBorders>
              <w:top w:val="nil"/>
              <w:left w:val="nil"/>
              <w:bottom w:val="single" w:sz="4" w:space="0" w:color="auto"/>
              <w:right w:val="single" w:sz="4" w:space="0" w:color="auto"/>
            </w:tcBorders>
            <w:vAlign w:val="center"/>
          </w:tcPr>
          <w:p w14:paraId="6A89C78D" w14:textId="77777777" w:rsidR="00F73D5B" w:rsidRPr="008B7A21" w:rsidRDefault="00F73D5B" w:rsidP="00767A6A">
            <w:pPr>
              <w:pStyle w:val="Tabletext"/>
              <w:jc w:val="center"/>
              <w:rPr>
                <w:lang w:val="es-ES_tradnl"/>
              </w:rPr>
            </w:pPr>
            <w:r w:rsidRPr="008B7A21">
              <w:rPr>
                <w:lang w:val="es-ES_tradnl"/>
              </w:rPr>
              <w:t>32,67</w:t>
            </w:r>
          </w:p>
        </w:tc>
      </w:tr>
      <w:tr w:rsidR="00F73D5B" w:rsidRPr="008B7A21" w14:paraId="1AEF7A12"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5AAA4F7F" w14:textId="77777777" w:rsidR="00F73D5B" w:rsidRPr="008B7A21" w:rsidRDefault="00F73D5B" w:rsidP="00767A6A">
            <w:pPr>
              <w:pStyle w:val="Tabletext"/>
              <w:jc w:val="center"/>
              <w:rPr>
                <w:lang w:val="es-ES_tradnl"/>
              </w:rPr>
            </w:pPr>
            <w:r w:rsidRPr="008B7A21">
              <w:rPr>
                <w:lang w:val="es-ES_tradnl"/>
              </w:rPr>
              <w:t>75</w:t>
            </w:r>
          </w:p>
        </w:tc>
        <w:tc>
          <w:tcPr>
            <w:tcW w:w="4143" w:type="dxa"/>
            <w:tcBorders>
              <w:top w:val="nil"/>
              <w:left w:val="nil"/>
              <w:bottom w:val="single" w:sz="4" w:space="0" w:color="auto"/>
              <w:right w:val="single" w:sz="4" w:space="0" w:color="auto"/>
            </w:tcBorders>
            <w:noWrap/>
            <w:vAlign w:val="center"/>
            <w:hideMark/>
          </w:tcPr>
          <w:p w14:paraId="52B8B0D9" w14:textId="77777777" w:rsidR="00F73D5B" w:rsidRPr="008B7A21" w:rsidRDefault="00F73D5B" w:rsidP="00767A6A">
            <w:pPr>
              <w:pStyle w:val="Tabletext"/>
              <w:rPr>
                <w:lang w:val="es-ES_tradnl"/>
              </w:rPr>
            </w:pPr>
            <w:r w:rsidRPr="008B7A21">
              <w:rPr>
                <w:lang w:val="es-ES_tradnl"/>
              </w:rPr>
              <w:t>Krai de Jabárovsk</w:t>
            </w:r>
          </w:p>
        </w:tc>
        <w:tc>
          <w:tcPr>
            <w:tcW w:w="1729" w:type="dxa"/>
            <w:tcBorders>
              <w:top w:val="single" w:sz="4" w:space="0" w:color="auto"/>
              <w:left w:val="nil"/>
              <w:bottom w:val="single" w:sz="4" w:space="0" w:color="auto"/>
              <w:right w:val="single" w:sz="4" w:space="0" w:color="auto"/>
            </w:tcBorders>
          </w:tcPr>
          <w:p w14:paraId="12655C63"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5595F67D" w14:textId="77777777" w:rsidR="00F73D5B" w:rsidRPr="008B7A21" w:rsidRDefault="00F73D5B" w:rsidP="00767A6A">
            <w:pPr>
              <w:pStyle w:val="Tabletext"/>
              <w:jc w:val="center"/>
              <w:rPr>
                <w:lang w:val="es-ES_tradnl"/>
              </w:rPr>
            </w:pPr>
            <w:r w:rsidRPr="008B7A21">
              <w:rPr>
                <w:lang w:val="es-ES_tradnl"/>
              </w:rPr>
              <w:t>35,1</w:t>
            </w:r>
          </w:p>
        </w:tc>
        <w:tc>
          <w:tcPr>
            <w:tcW w:w="1565" w:type="dxa"/>
            <w:tcBorders>
              <w:top w:val="nil"/>
              <w:left w:val="nil"/>
              <w:bottom w:val="single" w:sz="4" w:space="0" w:color="auto"/>
              <w:right w:val="single" w:sz="4" w:space="0" w:color="auto"/>
            </w:tcBorders>
            <w:vAlign w:val="center"/>
          </w:tcPr>
          <w:p w14:paraId="751DFFE9" w14:textId="77777777" w:rsidR="00F73D5B" w:rsidRPr="008B7A21" w:rsidRDefault="00F73D5B" w:rsidP="00767A6A">
            <w:pPr>
              <w:pStyle w:val="Tabletext"/>
              <w:jc w:val="center"/>
              <w:rPr>
                <w:lang w:val="es-ES_tradnl"/>
              </w:rPr>
            </w:pPr>
            <w:r w:rsidRPr="008B7A21">
              <w:rPr>
                <w:lang w:val="es-ES_tradnl"/>
              </w:rPr>
              <w:t>36,855</w:t>
            </w:r>
          </w:p>
        </w:tc>
      </w:tr>
      <w:tr w:rsidR="00F73D5B" w:rsidRPr="008B7A21" w14:paraId="6FCDECF8"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702AB1B8" w14:textId="77777777" w:rsidR="00F73D5B" w:rsidRPr="008B7A21" w:rsidRDefault="00F73D5B" w:rsidP="00767A6A">
            <w:pPr>
              <w:pStyle w:val="Tabletext"/>
              <w:jc w:val="center"/>
              <w:rPr>
                <w:lang w:val="es-ES_tradnl"/>
              </w:rPr>
            </w:pPr>
            <w:r w:rsidRPr="008B7A21">
              <w:rPr>
                <w:lang w:val="es-ES_tradnl"/>
              </w:rPr>
              <w:t>76</w:t>
            </w:r>
          </w:p>
        </w:tc>
        <w:tc>
          <w:tcPr>
            <w:tcW w:w="4143" w:type="dxa"/>
            <w:tcBorders>
              <w:top w:val="nil"/>
              <w:left w:val="nil"/>
              <w:bottom w:val="single" w:sz="4" w:space="0" w:color="auto"/>
              <w:right w:val="single" w:sz="4" w:space="0" w:color="auto"/>
            </w:tcBorders>
            <w:noWrap/>
            <w:vAlign w:val="center"/>
            <w:hideMark/>
          </w:tcPr>
          <w:p w14:paraId="30F0CDFD" w14:textId="77777777" w:rsidR="00F73D5B" w:rsidRPr="008B7A21" w:rsidRDefault="00F73D5B" w:rsidP="00767A6A">
            <w:pPr>
              <w:pStyle w:val="Tabletext"/>
              <w:rPr>
                <w:lang w:val="es-ES_tradnl"/>
              </w:rPr>
            </w:pPr>
            <w:r w:rsidRPr="008B7A21">
              <w:rPr>
                <w:lang w:val="es-ES_tradnl"/>
              </w:rPr>
              <w:t>Distrito autónomo de Janty-Mansi Yugrá</w:t>
            </w:r>
          </w:p>
        </w:tc>
        <w:tc>
          <w:tcPr>
            <w:tcW w:w="1729" w:type="dxa"/>
            <w:tcBorders>
              <w:top w:val="single" w:sz="4" w:space="0" w:color="auto"/>
              <w:left w:val="nil"/>
              <w:bottom w:val="single" w:sz="4" w:space="0" w:color="auto"/>
              <w:right w:val="single" w:sz="4" w:space="0" w:color="auto"/>
            </w:tcBorders>
          </w:tcPr>
          <w:p w14:paraId="211B3D5A"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2D0D6264" w14:textId="77777777" w:rsidR="00F73D5B" w:rsidRPr="008B7A21" w:rsidRDefault="00F73D5B" w:rsidP="00767A6A">
            <w:pPr>
              <w:pStyle w:val="Tabletext"/>
              <w:jc w:val="center"/>
              <w:rPr>
                <w:lang w:val="es-ES_tradnl"/>
              </w:rPr>
            </w:pPr>
            <w:r w:rsidRPr="008B7A21">
              <w:rPr>
                <w:lang w:val="es-ES_tradnl"/>
              </w:rPr>
              <w:t>51,8</w:t>
            </w:r>
          </w:p>
        </w:tc>
        <w:tc>
          <w:tcPr>
            <w:tcW w:w="1565" w:type="dxa"/>
            <w:tcBorders>
              <w:top w:val="nil"/>
              <w:left w:val="nil"/>
              <w:bottom w:val="single" w:sz="4" w:space="0" w:color="auto"/>
              <w:right w:val="single" w:sz="4" w:space="0" w:color="auto"/>
            </w:tcBorders>
            <w:vAlign w:val="center"/>
          </w:tcPr>
          <w:p w14:paraId="75844EBF" w14:textId="77777777" w:rsidR="00F73D5B" w:rsidRPr="008B7A21" w:rsidRDefault="00F73D5B" w:rsidP="00767A6A">
            <w:pPr>
              <w:pStyle w:val="Tabletext"/>
              <w:jc w:val="center"/>
              <w:rPr>
                <w:lang w:val="es-ES_tradnl"/>
              </w:rPr>
            </w:pPr>
            <w:r w:rsidRPr="008B7A21">
              <w:rPr>
                <w:lang w:val="es-ES_tradnl"/>
              </w:rPr>
              <w:t>119,14</w:t>
            </w:r>
          </w:p>
        </w:tc>
      </w:tr>
      <w:tr w:rsidR="00F73D5B" w:rsidRPr="008B7A21" w14:paraId="163F1979"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4A08E266" w14:textId="77777777" w:rsidR="00F73D5B" w:rsidRPr="008B7A21" w:rsidRDefault="00F73D5B" w:rsidP="00767A6A">
            <w:pPr>
              <w:pStyle w:val="Tabletext"/>
              <w:jc w:val="center"/>
              <w:rPr>
                <w:lang w:val="es-ES_tradnl"/>
              </w:rPr>
            </w:pPr>
            <w:r w:rsidRPr="008B7A21">
              <w:rPr>
                <w:lang w:val="es-ES_tradnl"/>
              </w:rPr>
              <w:t>77</w:t>
            </w:r>
          </w:p>
        </w:tc>
        <w:tc>
          <w:tcPr>
            <w:tcW w:w="4143" w:type="dxa"/>
            <w:tcBorders>
              <w:top w:val="nil"/>
              <w:left w:val="nil"/>
              <w:bottom w:val="single" w:sz="4" w:space="0" w:color="auto"/>
              <w:right w:val="single" w:sz="4" w:space="0" w:color="auto"/>
            </w:tcBorders>
            <w:noWrap/>
            <w:vAlign w:val="center"/>
            <w:hideMark/>
          </w:tcPr>
          <w:p w14:paraId="51E24A15" w14:textId="77777777" w:rsidR="00F73D5B" w:rsidRPr="008B7A21" w:rsidRDefault="00F73D5B" w:rsidP="00767A6A">
            <w:pPr>
              <w:pStyle w:val="Tabletext"/>
              <w:rPr>
                <w:lang w:val="es-ES_tradnl"/>
              </w:rPr>
            </w:pPr>
            <w:r w:rsidRPr="008B7A21">
              <w:rPr>
                <w:lang w:val="es-ES_tradnl"/>
              </w:rPr>
              <w:t>Óblast de Cheliábinsk</w:t>
            </w:r>
          </w:p>
        </w:tc>
        <w:tc>
          <w:tcPr>
            <w:tcW w:w="1729" w:type="dxa"/>
            <w:tcBorders>
              <w:top w:val="single" w:sz="4" w:space="0" w:color="auto"/>
              <w:left w:val="nil"/>
              <w:bottom w:val="single" w:sz="4" w:space="0" w:color="auto"/>
              <w:right w:val="single" w:sz="4" w:space="0" w:color="auto"/>
            </w:tcBorders>
          </w:tcPr>
          <w:p w14:paraId="7140D819"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5FAF3A6E" w14:textId="77777777" w:rsidR="00F73D5B" w:rsidRPr="008B7A21" w:rsidRDefault="00F73D5B" w:rsidP="00767A6A">
            <w:pPr>
              <w:pStyle w:val="Tabletext"/>
              <w:jc w:val="center"/>
              <w:rPr>
                <w:lang w:val="es-ES_tradnl"/>
              </w:rPr>
            </w:pPr>
            <w:r w:rsidRPr="008B7A21">
              <w:rPr>
                <w:lang w:val="es-ES_tradnl"/>
              </w:rPr>
              <w:t>87,2</w:t>
            </w:r>
          </w:p>
        </w:tc>
        <w:tc>
          <w:tcPr>
            <w:tcW w:w="1565" w:type="dxa"/>
            <w:tcBorders>
              <w:top w:val="nil"/>
              <w:left w:val="nil"/>
              <w:bottom w:val="single" w:sz="4" w:space="0" w:color="auto"/>
              <w:right w:val="single" w:sz="4" w:space="0" w:color="auto"/>
            </w:tcBorders>
            <w:vAlign w:val="center"/>
          </w:tcPr>
          <w:p w14:paraId="606177D5" w14:textId="77777777" w:rsidR="00F73D5B" w:rsidRPr="008B7A21" w:rsidRDefault="00F73D5B" w:rsidP="00767A6A">
            <w:pPr>
              <w:pStyle w:val="Tabletext"/>
              <w:jc w:val="center"/>
              <w:rPr>
                <w:lang w:val="es-ES_tradnl"/>
              </w:rPr>
            </w:pPr>
            <w:r w:rsidRPr="008B7A21">
              <w:rPr>
                <w:lang w:val="es-ES_tradnl"/>
              </w:rPr>
              <w:t>117,72</w:t>
            </w:r>
          </w:p>
        </w:tc>
      </w:tr>
    </w:tbl>
    <w:p w14:paraId="0DC0EA70" w14:textId="228EB14E" w:rsidR="00F73D5B" w:rsidRPr="008B7A21" w:rsidRDefault="00F73D5B" w:rsidP="00F73D5B">
      <w:pPr>
        <w:pStyle w:val="TableNo"/>
        <w:rPr>
          <w:lang w:val="es-ES_tradnl"/>
        </w:rPr>
      </w:pPr>
      <w:r w:rsidRPr="008B7A21">
        <w:rPr>
          <w:lang w:val="es-ES_tradnl"/>
        </w:rPr>
        <w:t>CUADRO 19 (</w:t>
      </w:r>
      <w:r w:rsidR="008F628B">
        <w:rPr>
          <w:i/>
          <w:iCs/>
          <w:lang w:val="es-ES_tradnl"/>
        </w:rPr>
        <w:t>fin</w:t>
      </w:r>
      <w:r w:rsidRPr="008B7A21">
        <w:rPr>
          <w:lang w:val="es-ES_tradnl"/>
        </w:rPr>
        <w:t>)</w:t>
      </w:r>
    </w:p>
    <w:tbl>
      <w:tblPr>
        <w:tblW w:w="9649" w:type="dxa"/>
        <w:jc w:val="center"/>
        <w:tblLayout w:type="fixed"/>
        <w:tblLook w:val="04A0" w:firstRow="1" w:lastRow="0" w:firstColumn="1" w:lastColumn="0" w:noHBand="0" w:noVBand="1"/>
      </w:tblPr>
      <w:tblGrid>
        <w:gridCol w:w="794"/>
        <w:gridCol w:w="4143"/>
        <w:gridCol w:w="1729"/>
        <w:gridCol w:w="1418"/>
        <w:gridCol w:w="1565"/>
      </w:tblGrid>
      <w:tr w:rsidR="00F73D5B" w:rsidRPr="008B7A21" w14:paraId="01CF1D17" w14:textId="77777777" w:rsidTr="00767A6A">
        <w:trPr>
          <w:cantSplit/>
          <w:jc w:val="center"/>
        </w:trPr>
        <w:tc>
          <w:tcPr>
            <w:tcW w:w="794" w:type="dxa"/>
            <w:tcBorders>
              <w:top w:val="single" w:sz="4" w:space="0" w:color="auto"/>
              <w:left w:val="single" w:sz="4" w:space="0" w:color="auto"/>
              <w:bottom w:val="single" w:sz="4" w:space="0" w:color="auto"/>
              <w:right w:val="single" w:sz="4" w:space="0" w:color="auto"/>
            </w:tcBorders>
            <w:vAlign w:val="center"/>
            <w:hideMark/>
          </w:tcPr>
          <w:p w14:paraId="3CEE75FF" w14:textId="77777777" w:rsidR="00F73D5B" w:rsidRPr="008B7A21" w:rsidRDefault="00F73D5B" w:rsidP="00767A6A">
            <w:pPr>
              <w:pStyle w:val="Tablehead"/>
              <w:rPr>
                <w:lang w:val="es-ES_tradnl"/>
              </w:rPr>
            </w:pPr>
            <w:r w:rsidRPr="008B7A21">
              <w:rPr>
                <w:lang w:val="es-ES_tradnl"/>
              </w:rPr>
              <w:t>N.° lote</w:t>
            </w:r>
          </w:p>
        </w:tc>
        <w:tc>
          <w:tcPr>
            <w:tcW w:w="4143" w:type="dxa"/>
            <w:tcBorders>
              <w:top w:val="single" w:sz="4" w:space="0" w:color="auto"/>
              <w:left w:val="nil"/>
              <w:bottom w:val="single" w:sz="4" w:space="0" w:color="auto"/>
              <w:right w:val="single" w:sz="4" w:space="0" w:color="auto"/>
            </w:tcBorders>
            <w:vAlign w:val="center"/>
            <w:hideMark/>
          </w:tcPr>
          <w:p w14:paraId="23319107" w14:textId="77777777" w:rsidR="00F73D5B" w:rsidRPr="008B7A21" w:rsidRDefault="00F73D5B" w:rsidP="00767A6A">
            <w:pPr>
              <w:pStyle w:val="Tablehead"/>
              <w:rPr>
                <w:lang w:val="es-ES_tradnl"/>
              </w:rPr>
            </w:pPr>
            <w:r w:rsidRPr="008B7A21">
              <w:rPr>
                <w:lang w:val="es-ES_tradnl"/>
              </w:rPr>
              <w:t>Territorio de la Federación de Rusia</w:t>
            </w:r>
          </w:p>
        </w:tc>
        <w:tc>
          <w:tcPr>
            <w:tcW w:w="1729" w:type="dxa"/>
            <w:tcBorders>
              <w:top w:val="single" w:sz="4" w:space="0" w:color="auto"/>
              <w:left w:val="nil"/>
              <w:bottom w:val="single" w:sz="4" w:space="0" w:color="auto"/>
              <w:right w:val="single" w:sz="4" w:space="0" w:color="auto"/>
            </w:tcBorders>
            <w:vAlign w:val="center"/>
          </w:tcPr>
          <w:p w14:paraId="3F9587C5" w14:textId="77777777" w:rsidR="00F73D5B" w:rsidRPr="008B7A21" w:rsidRDefault="00F73D5B" w:rsidP="00767A6A">
            <w:pPr>
              <w:pStyle w:val="Tablehead"/>
              <w:rPr>
                <w:lang w:val="es-ES_tradnl"/>
              </w:rPr>
            </w:pPr>
            <w:r w:rsidRPr="008B7A21">
              <w:rPr>
                <w:lang w:val="es-ES_tradnl"/>
              </w:rPr>
              <w:t>Tamaño de bloque</w:t>
            </w:r>
            <w:r w:rsidRPr="008B7A21">
              <w:rPr>
                <w:lang w:val="es-ES_tradnl"/>
              </w:rPr>
              <w:br/>
              <w:t>(MHz)</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865C51" w14:textId="77777777" w:rsidR="00F73D5B" w:rsidRPr="008B7A21" w:rsidRDefault="00F73D5B" w:rsidP="00767A6A">
            <w:pPr>
              <w:pStyle w:val="Tablehead"/>
              <w:rPr>
                <w:lang w:val="es-ES_tradnl"/>
              </w:rPr>
            </w:pPr>
            <w:r w:rsidRPr="008B7A21">
              <w:rPr>
                <w:lang w:val="es-ES_tradnl"/>
              </w:rPr>
              <w:t>Precio de reserva (millones de rublos)</w:t>
            </w:r>
          </w:p>
        </w:tc>
        <w:tc>
          <w:tcPr>
            <w:tcW w:w="1565" w:type="dxa"/>
            <w:tcBorders>
              <w:top w:val="single" w:sz="4" w:space="0" w:color="auto"/>
              <w:left w:val="nil"/>
              <w:bottom w:val="single" w:sz="4" w:space="0" w:color="auto"/>
              <w:right w:val="single" w:sz="4" w:space="0" w:color="auto"/>
            </w:tcBorders>
            <w:vAlign w:val="center"/>
          </w:tcPr>
          <w:p w14:paraId="4B9081C4" w14:textId="77777777" w:rsidR="00F73D5B" w:rsidRPr="008B7A21" w:rsidRDefault="00F73D5B" w:rsidP="00767A6A">
            <w:pPr>
              <w:pStyle w:val="Tablehead"/>
              <w:rPr>
                <w:lang w:val="es-ES_tradnl"/>
              </w:rPr>
            </w:pPr>
            <w:r w:rsidRPr="008B7A21">
              <w:rPr>
                <w:lang w:val="es-ES_tradnl"/>
              </w:rPr>
              <w:t>Precio de lote basado en resultados de licitación (millones de rublos)</w:t>
            </w:r>
          </w:p>
        </w:tc>
      </w:tr>
      <w:tr w:rsidR="00F73D5B" w:rsidRPr="008B7A21" w14:paraId="13D799F4"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019BA984" w14:textId="77777777" w:rsidR="00F73D5B" w:rsidRPr="008B7A21" w:rsidRDefault="00F73D5B" w:rsidP="00767A6A">
            <w:pPr>
              <w:pStyle w:val="Tabletext"/>
              <w:jc w:val="center"/>
              <w:rPr>
                <w:lang w:val="es-ES_tradnl"/>
              </w:rPr>
            </w:pPr>
            <w:r w:rsidRPr="008B7A21">
              <w:rPr>
                <w:lang w:val="es-ES_tradnl"/>
              </w:rPr>
              <w:t>78</w:t>
            </w:r>
          </w:p>
        </w:tc>
        <w:tc>
          <w:tcPr>
            <w:tcW w:w="4143" w:type="dxa"/>
            <w:tcBorders>
              <w:top w:val="nil"/>
              <w:left w:val="nil"/>
              <w:bottom w:val="single" w:sz="4" w:space="0" w:color="auto"/>
              <w:right w:val="single" w:sz="4" w:space="0" w:color="auto"/>
            </w:tcBorders>
            <w:noWrap/>
            <w:vAlign w:val="center"/>
            <w:hideMark/>
          </w:tcPr>
          <w:p w14:paraId="4BC2DC3C" w14:textId="77777777" w:rsidR="00F73D5B" w:rsidRPr="008B7A21" w:rsidRDefault="00F73D5B" w:rsidP="00767A6A">
            <w:pPr>
              <w:pStyle w:val="Tabletext"/>
              <w:rPr>
                <w:lang w:val="es-ES_tradnl"/>
              </w:rPr>
            </w:pPr>
            <w:r w:rsidRPr="008B7A21">
              <w:rPr>
                <w:lang w:val="es-ES_tradnl"/>
              </w:rPr>
              <w:t>La República de Chechenia</w:t>
            </w:r>
          </w:p>
        </w:tc>
        <w:tc>
          <w:tcPr>
            <w:tcW w:w="1729" w:type="dxa"/>
            <w:tcBorders>
              <w:top w:val="single" w:sz="4" w:space="0" w:color="auto"/>
              <w:left w:val="nil"/>
              <w:bottom w:val="single" w:sz="4" w:space="0" w:color="auto"/>
              <w:right w:val="single" w:sz="4" w:space="0" w:color="auto"/>
            </w:tcBorders>
          </w:tcPr>
          <w:p w14:paraId="0D87CBE0"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2DA50E31" w14:textId="77777777" w:rsidR="00F73D5B" w:rsidRPr="008B7A21" w:rsidRDefault="00F73D5B" w:rsidP="00767A6A">
            <w:pPr>
              <w:pStyle w:val="Tabletext"/>
              <w:jc w:val="center"/>
              <w:rPr>
                <w:lang w:val="es-ES_tradnl"/>
              </w:rPr>
            </w:pPr>
            <w:r w:rsidRPr="008B7A21">
              <w:rPr>
                <w:lang w:val="es-ES_tradnl"/>
              </w:rPr>
              <w:t>24,5</w:t>
            </w:r>
          </w:p>
        </w:tc>
        <w:tc>
          <w:tcPr>
            <w:tcW w:w="1565" w:type="dxa"/>
            <w:tcBorders>
              <w:top w:val="nil"/>
              <w:left w:val="nil"/>
              <w:bottom w:val="single" w:sz="4" w:space="0" w:color="auto"/>
              <w:right w:val="single" w:sz="4" w:space="0" w:color="auto"/>
            </w:tcBorders>
            <w:vAlign w:val="center"/>
          </w:tcPr>
          <w:p w14:paraId="301E4205" w14:textId="77777777" w:rsidR="00F73D5B" w:rsidRPr="008B7A21" w:rsidRDefault="00F73D5B" w:rsidP="00767A6A">
            <w:pPr>
              <w:pStyle w:val="Tabletext"/>
              <w:jc w:val="center"/>
              <w:rPr>
                <w:lang w:val="es-ES_tradnl"/>
              </w:rPr>
            </w:pPr>
            <w:r w:rsidRPr="008B7A21">
              <w:rPr>
                <w:lang w:val="es-ES_tradnl"/>
              </w:rPr>
              <w:t>50,225</w:t>
            </w:r>
          </w:p>
        </w:tc>
      </w:tr>
      <w:tr w:rsidR="00F73D5B" w:rsidRPr="008B7A21" w14:paraId="3CF000A0"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5139DAD7" w14:textId="77777777" w:rsidR="00F73D5B" w:rsidRPr="008B7A21" w:rsidRDefault="00F73D5B" w:rsidP="00767A6A">
            <w:pPr>
              <w:pStyle w:val="Tabletext"/>
              <w:jc w:val="center"/>
              <w:rPr>
                <w:lang w:val="es-ES_tradnl"/>
              </w:rPr>
            </w:pPr>
            <w:r w:rsidRPr="008B7A21">
              <w:rPr>
                <w:lang w:val="es-ES_tradnl"/>
              </w:rPr>
              <w:t>79</w:t>
            </w:r>
          </w:p>
        </w:tc>
        <w:tc>
          <w:tcPr>
            <w:tcW w:w="4143" w:type="dxa"/>
            <w:tcBorders>
              <w:top w:val="nil"/>
              <w:left w:val="nil"/>
              <w:bottom w:val="single" w:sz="4" w:space="0" w:color="auto"/>
              <w:right w:val="single" w:sz="4" w:space="0" w:color="auto"/>
            </w:tcBorders>
            <w:noWrap/>
            <w:vAlign w:val="center"/>
            <w:hideMark/>
          </w:tcPr>
          <w:p w14:paraId="338D4299" w14:textId="77777777" w:rsidR="00F73D5B" w:rsidRPr="008B7A21" w:rsidRDefault="00F73D5B" w:rsidP="00767A6A">
            <w:pPr>
              <w:pStyle w:val="Tabletext"/>
              <w:rPr>
                <w:lang w:val="es-ES_tradnl"/>
              </w:rPr>
            </w:pPr>
            <w:r w:rsidRPr="008B7A21">
              <w:rPr>
                <w:lang w:val="es-ES_tradnl"/>
              </w:rPr>
              <w:t>La República de Chuvasia (Chuvasia)</w:t>
            </w:r>
          </w:p>
        </w:tc>
        <w:tc>
          <w:tcPr>
            <w:tcW w:w="1729" w:type="dxa"/>
            <w:tcBorders>
              <w:top w:val="single" w:sz="4" w:space="0" w:color="auto"/>
              <w:left w:val="nil"/>
              <w:bottom w:val="single" w:sz="4" w:space="0" w:color="auto"/>
              <w:right w:val="single" w:sz="4" w:space="0" w:color="auto"/>
            </w:tcBorders>
          </w:tcPr>
          <w:p w14:paraId="4D40AEEA"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45831DDA" w14:textId="77777777" w:rsidR="00F73D5B" w:rsidRPr="008B7A21" w:rsidRDefault="00F73D5B" w:rsidP="00767A6A">
            <w:pPr>
              <w:pStyle w:val="Tabletext"/>
              <w:jc w:val="center"/>
              <w:rPr>
                <w:lang w:val="es-ES_tradnl"/>
              </w:rPr>
            </w:pPr>
            <w:r w:rsidRPr="008B7A21">
              <w:rPr>
                <w:lang w:val="es-ES_tradnl"/>
              </w:rPr>
              <w:t>26,0</w:t>
            </w:r>
          </w:p>
        </w:tc>
        <w:tc>
          <w:tcPr>
            <w:tcW w:w="1565" w:type="dxa"/>
            <w:tcBorders>
              <w:top w:val="nil"/>
              <w:left w:val="nil"/>
              <w:bottom w:val="single" w:sz="4" w:space="0" w:color="auto"/>
              <w:right w:val="single" w:sz="4" w:space="0" w:color="auto"/>
            </w:tcBorders>
            <w:vAlign w:val="center"/>
          </w:tcPr>
          <w:p w14:paraId="521CFBAD" w14:textId="77777777" w:rsidR="00F73D5B" w:rsidRPr="008B7A21" w:rsidRDefault="00F73D5B" w:rsidP="00767A6A">
            <w:pPr>
              <w:pStyle w:val="Tabletext"/>
              <w:jc w:val="center"/>
              <w:rPr>
                <w:lang w:val="es-ES_tradnl"/>
              </w:rPr>
            </w:pPr>
            <w:r w:rsidRPr="008B7A21">
              <w:rPr>
                <w:lang w:val="es-ES_tradnl"/>
              </w:rPr>
              <w:t>29,9</w:t>
            </w:r>
          </w:p>
        </w:tc>
      </w:tr>
      <w:tr w:rsidR="00F73D5B" w:rsidRPr="008B7A21" w14:paraId="09B370C5"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5E54DFBA" w14:textId="77777777" w:rsidR="00F73D5B" w:rsidRPr="008B7A21" w:rsidRDefault="00F73D5B" w:rsidP="00767A6A">
            <w:pPr>
              <w:pStyle w:val="Tabletext"/>
              <w:jc w:val="center"/>
              <w:rPr>
                <w:lang w:val="es-ES_tradnl"/>
              </w:rPr>
            </w:pPr>
            <w:r w:rsidRPr="008B7A21">
              <w:rPr>
                <w:lang w:val="es-ES_tradnl"/>
              </w:rPr>
              <w:t>80</w:t>
            </w:r>
          </w:p>
        </w:tc>
        <w:tc>
          <w:tcPr>
            <w:tcW w:w="4143" w:type="dxa"/>
            <w:tcBorders>
              <w:top w:val="nil"/>
              <w:left w:val="nil"/>
              <w:bottom w:val="single" w:sz="4" w:space="0" w:color="auto"/>
              <w:right w:val="single" w:sz="4" w:space="0" w:color="auto"/>
            </w:tcBorders>
            <w:noWrap/>
            <w:vAlign w:val="center"/>
            <w:hideMark/>
          </w:tcPr>
          <w:p w14:paraId="7917C818" w14:textId="77777777" w:rsidR="00F73D5B" w:rsidRPr="008B7A21" w:rsidRDefault="00F73D5B" w:rsidP="00767A6A">
            <w:pPr>
              <w:pStyle w:val="Tabletext"/>
              <w:rPr>
                <w:lang w:val="es-ES_tradnl"/>
              </w:rPr>
            </w:pPr>
            <w:r w:rsidRPr="008B7A21">
              <w:rPr>
                <w:lang w:val="es-ES_tradnl"/>
              </w:rPr>
              <w:t>Distrito Autónomo de Chukotka</w:t>
            </w:r>
          </w:p>
        </w:tc>
        <w:tc>
          <w:tcPr>
            <w:tcW w:w="1729" w:type="dxa"/>
            <w:tcBorders>
              <w:top w:val="single" w:sz="4" w:space="0" w:color="auto"/>
              <w:left w:val="nil"/>
              <w:bottom w:val="single" w:sz="4" w:space="0" w:color="auto"/>
              <w:right w:val="single" w:sz="4" w:space="0" w:color="auto"/>
            </w:tcBorders>
          </w:tcPr>
          <w:p w14:paraId="206445A5"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41D08769" w14:textId="77777777" w:rsidR="00F73D5B" w:rsidRPr="008B7A21" w:rsidRDefault="00F73D5B" w:rsidP="00767A6A">
            <w:pPr>
              <w:pStyle w:val="Tabletext"/>
              <w:jc w:val="center"/>
              <w:rPr>
                <w:lang w:val="es-ES_tradnl"/>
              </w:rPr>
            </w:pPr>
            <w:r w:rsidRPr="008B7A21">
              <w:rPr>
                <w:lang w:val="es-ES_tradnl"/>
              </w:rPr>
              <w:t>1,7</w:t>
            </w:r>
          </w:p>
        </w:tc>
        <w:tc>
          <w:tcPr>
            <w:tcW w:w="1565" w:type="dxa"/>
            <w:tcBorders>
              <w:top w:val="nil"/>
              <w:left w:val="nil"/>
              <w:bottom w:val="single" w:sz="4" w:space="0" w:color="auto"/>
              <w:right w:val="single" w:sz="4" w:space="0" w:color="auto"/>
            </w:tcBorders>
            <w:vAlign w:val="center"/>
          </w:tcPr>
          <w:p w14:paraId="77E79105" w14:textId="77777777" w:rsidR="00F73D5B" w:rsidRPr="008B7A21" w:rsidRDefault="00F73D5B" w:rsidP="00767A6A">
            <w:pPr>
              <w:pStyle w:val="Tabletext"/>
              <w:jc w:val="center"/>
              <w:rPr>
                <w:lang w:val="es-ES_tradnl"/>
              </w:rPr>
            </w:pPr>
            <w:r w:rsidRPr="008B7A21">
              <w:rPr>
                <w:lang w:val="es-ES_tradnl"/>
              </w:rPr>
              <w:t>1,785</w:t>
            </w:r>
          </w:p>
        </w:tc>
      </w:tr>
      <w:tr w:rsidR="00F73D5B" w:rsidRPr="008B7A21" w14:paraId="58F9885D"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43F9E419" w14:textId="77777777" w:rsidR="00F73D5B" w:rsidRPr="008B7A21" w:rsidRDefault="00F73D5B" w:rsidP="00767A6A">
            <w:pPr>
              <w:pStyle w:val="Tabletext"/>
              <w:jc w:val="center"/>
              <w:rPr>
                <w:lang w:val="es-ES_tradnl"/>
              </w:rPr>
            </w:pPr>
            <w:r w:rsidRPr="008B7A21">
              <w:rPr>
                <w:lang w:val="es-ES_tradnl"/>
              </w:rPr>
              <w:t>81</w:t>
            </w:r>
          </w:p>
        </w:tc>
        <w:tc>
          <w:tcPr>
            <w:tcW w:w="4143" w:type="dxa"/>
            <w:tcBorders>
              <w:top w:val="nil"/>
              <w:left w:val="nil"/>
              <w:bottom w:val="single" w:sz="4" w:space="0" w:color="auto"/>
              <w:right w:val="single" w:sz="4" w:space="0" w:color="auto"/>
            </w:tcBorders>
            <w:noWrap/>
            <w:vAlign w:val="center"/>
            <w:hideMark/>
          </w:tcPr>
          <w:p w14:paraId="64B06534" w14:textId="77777777" w:rsidR="00F73D5B" w:rsidRPr="008B7A21" w:rsidRDefault="00F73D5B" w:rsidP="00767A6A">
            <w:pPr>
              <w:pStyle w:val="Tabletext"/>
              <w:rPr>
                <w:lang w:val="es-ES_tradnl"/>
              </w:rPr>
            </w:pPr>
            <w:r w:rsidRPr="008B7A21">
              <w:rPr>
                <w:lang w:val="es-ES_tradnl"/>
              </w:rPr>
              <w:t>Distrito Autónomo de Yamalia-Nenetsia</w:t>
            </w:r>
          </w:p>
        </w:tc>
        <w:tc>
          <w:tcPr>
            <w:tcW w:w="1729" w:type="dxa"/>
            <w:tcBorders>
              <w:top w:val="single" w:sz="4" w:space="0" w:color="auto"/>
              <w:left w:val="nil"/>
              <w:bottom w:val="single" w:sz="4" w:space="0" w:color="auto"/>
              <w:right w:val="single" w:sz="4" w:space="0" w:color="auto"/>
            </w:tcBorders>
          </w:tcPr>
          <w:p w14:paraId="5E2758BA"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2683B36F" w14:textId="77777777" w:rsidR="00F73D5B" w:rsidRPr="008B7A21" w:rsidRDefault="00F73D5B" w:rsidP="00767A6A">
            <w:pPr>
              <w:pStyle w:val="Tabletext"/>
              <w:jc w:val="center"/>
              <w:rPr>
                <w:lang w:val="es-ES_tradnl"/>
              </w:rPr>
            </w:pPr>
            <w:r w:rsidRPr="008B7A21">
              <w:rPr>
                <w:lang w:val="es-ES_tradnl"/>
              </w:rPr>
              <w:t>19,6</w:t>
            </w:r>
          </w:p>
        </w:tc>
        <w:tc>
          <w:tcPr>
            <w:tcW w:w="1565" w:type="dxa"/>
            <w:tcBorders>
              <w:top w:val="nil"/>
              <w:left w:val="nil"/>
              <w:bottom w:val="single" w:sz="4" w:space="0" w:color="auto"/>
              <w:right w:val="single" w:sz="4" w:space="0" w:color="auto"/>
            </w:tcBorders>
            <w:vAlign w:val="center"/>
          </w:tcPr>
          <w:p w14:paraId="25877754" w14:textId="77777777" w:rsidR="00F73D5B" w:rsidRPr="008B7A21" w:rsidRDefault="00F73D5B" w:rsidP="00767A6A">
            <w:pPr>
              <w:pStyle w:val="Tabletext"/>
              <w:jc w:val="center"/>
              <w:rPr>
                <w:lang w:val="es-ES_tradnl"/>
              </w:rPr>
            </w:pPr>
            <w:r w:rsidRPr="008B7A21">
              <w:rPr>
                <w:lang w:val="es-ES_tradnl"/>
              </w:rPr>
              <w:t>47,04</w:t>
            </w:r>
          </w:p>
        </w:tc>
      </w:tr>
      <w:tr w:rsidR="00F73D5B" w:rsidRPr="008B7A21" w14:paraId="2FBA364C" w14:textId="77777777" w:rsidTr="00767A6A">
        <w:trPr>
          <w:cantSplit/>
          <w:jc w:val="center"/>
        </w:trPr>
        <w:tc>
          <w:tcPr>
            <w:tcW w:w="794" w:type="dxa"/>
            <w:tcBorders>
              <w:top w:val="nil"/>
              <w:left w:val="single" w:sz="4" w:space="0" w:color="auto"/>
              <w:bottom w:val="single" w:sz="4" w:space="0" w:color="auto"/>
              <w:right w:val="single" w:sz="4" w:space="0" w:color="auto"/>
            </w:tcBorders>
            <w:noWrap/>
            <w:vAlign w:val="center"/>
            <w:hideMark/>
          </w:tcPr>
          <w:p w14:paraId="77F1301F" w14:textId="77777777" w:rsidR="00F73D5B" w:rsidRPr="008B7A21" w:rsidRDefault="00F73D5B" w:rsidP="00767A6A">
            <w:pPr>
              <w:pStyle w:val="Tabletext"/>
              <w:jc w:val="center"/>
              <w:rPr>
                <w:lang w:val="es-ES_tradnl"/>
              </w:rPr>
            </w:pPr>
            <w:r w:rsidRPr="008B7A21">
              <w:rPr>
                <w:lang w:val="es-ES_tradnl"/>
              </w:rPr>
              <w:t>82</w:t>
            </w:r>
          </w:p>
        </w:tc>
        <w:tc>
          <w:tcPr>
            <w:tcW w:w="4143" w:type="dxa"/>
            <w:tcBorders>
              <w:top w:val="nil"/>
              <w:left w:val="nil"/>
              <w:bottom w:val="single" w:sz="4" w:space="0" w:color="auto"/>
              <w:right w:val="single" w:sz="4" w:space="0" w:color="auto"/>
            </w:tcBorders>
            <w:noWrap/>
            <w:vAlign w:val="center"/>
            <w:hideMark/>
          </w:tcPr>
          <w:p w14:paraId="7AD01B61" w14:textId="77777777" w:rsidR="00F73D5B" w:rsidRPr="008B7A21" w:rsidRDefault="00F73D5B" w:rsidP="00767A6A">
            <w:pPr>
              <w:pStyle w:val="Tabletext"/>
              <w:rPr>
                <w:lang w:val="es-ES_tradnl"/>
              </w:rPr>
            </w:pPr>
            <w:r w:rsidRPr="008B7A21">
              <w:rPr>
                <w:lang w:val="es-ES_tradnl"/>
              </w:rPr>
              <w:t>Óblast de Yaroslavl</w:t>
            </w:r>
          </w:p>
        </w:tc>
        <w:tc>
          <w:tcPr>
            <w:tcW w:w="1729" w:type="dxa"/>
            <w:tcBorders>
              <w:top w:val="single" w:sz="4" w:space="0" w:color="auto"/>
              <w:left w:val="nil"/>
              <w:bottom w:val="single" w:sz="4" w:space="0" w:color="auto"/>
              <w:right w:val="single" w:sz="4" w:space="0" w:color="auto"/>
            </w:tcBorders>
          </w:tcPr>
          <w:p w14:paraId="1CB75DD7" w14:textId="77777777" w:rsidR="00F73D5B" w:rsidRPr="008B7A21" w:rsidRDefault="00F73D5B" w:rsidP="00767A6A">
            <w:pPr>
              <w:pStyle w:val="Tabletext"/>
              <w:jc w:val="center"/>
              <w:rPr>
                <w:lang w:val="es-ES_tradnl"/>
              </w:rPr>
            </w:pPr>
            <w:r w:rsidRPr="008B7A21">
              <w:rPr>
                <w:lang w:val="es-ES_tradnl"/>
              </w:rPr>
              <w:t>1×25 MHz</w:t>
            </w:r>
          </w:p>
        </w:tc>
        <w:tc>
          <w:tcPr>
            <w:tcW w:w="1418" w:type="dxa"/>
            <w:tcBorders>
              <w:top w:val="nil"/>
              <w:left w:val="single" w:sz="4" w:space="0" w:color="auto"/>
              <w:bottom w:val="single" w:sz="4" w:space="0" w:color="auto"/>
              <w:right w:val="single" w:sz="4" w:space="0" w:color="auto"/>
            </w:tcBorders>
            <w:noWrap/>
            <w:vAlign w:val="center"/>
            <w:hideMark/>
          </w:tcPr>
          <w:p w14:paraId="4197AF7C" w14:textId="77777777" w:rsidR="00F73D5B" w:rsidRPr="008B7A21" w:rsidRDefault="00F73D5B" w:rsidP="00767A6A">
            <w:pPr>
              <w:pStyle w:val="Tabletext"/>
              <w:jc w:val="center"/>
              <w:rPr>
                <w:lang w:val="es-ES_tradnl"/>
              </w:rPr>
            </w:pPr>
            <w:r w:rsidRPr="008B7A21">
              <w:rPr>
                <w:lang w:val="es-ES_tradnl"/>
              </w:rPr>
              <w:t>29,4</w:t>
            </w:r>
          </w:p>
        </w:tc>
        <w:tc>
          <w:tcPr>
            <w:tcW w:w="1565" w:type="dxa"/>
            <w:tcBorders>
              <w:top w:val="nil"/>
              <w:left w:val="nil"/>
              <w:bottom w:val="single" w:sz="4" w:space="0" w:color="auto"/>
              <w:right w:val="single" w:sz="4" w:space="0" w:color="auto"/>
            </w:tcBorders>
            <w:vAlign w:val="center"/>
          </w:tcPr>
          <w:p w14:paraId="73341298" w14:textId="77777777" w:rsidR="00F73D5B" w:rsidRPr="008B7A21" w:rsidRDefault="00F73D5B" w:rsidP="00767A6A">
            <w:pPr>
              <w:pStyle w:val="Tabletext"/>
              <w:jc w:val="center"/>
              <w:rPr>
                <w:lang w:val="es-ES_tradnl"/>
              </w:rPr>
            </w:pPr>
            <w:r w:rsidRPr="008B7A21">
              <w:rPr>
                <w:lang w:val="es-ES_tradnl"/>
              </w:rPr>
              <w:t>33,81</w:t>
            </w:r>
          </w:p>
        </w:tc>
      </w:tr>
    </w:tbl>
    <w:p w14:paraId="15C1DCCD" w14:textId="77777777" w:rsidR="00F73D5B" w:rsidRPr="008B7A21" w:rsidRDefault="00F73D5B" w:rsidP="00F73D5B">
      <w:pPr>
        <w:pStyle w:val="Tablefin"/>
        <w:rPr>
          <w:sz w:val="6"/>
          <w:szCs w:val="6"/>
          <w:lang w:val="es-ES_tradnl"/>
        </w:rPr>
      </w:pPr>
      <w:bookmarkStart w:id="1784" w:name="_Toc454284964"/>
      <w:bookmarkStart w:id="1785" w:name="_Toc462234133"/>
    </w:p>
    <w:p w14:paraId="49405A1F" w14:textId="77777777" w:rsidR="00F73D5B" w:rsidRPr="008B7A21" w:rsidRDefault="00F73D5B" w:rsidP="00F73D5B">
      <w:pPr>
        <w:pStyle w:val="Headingb"/>
        <w:rPr>
          <w:lang w:val="es-ES_tradnl"/>
        </w:rPr>
      </w:pPr>
      <w:bookmarkStart w:id="1786" w:name="_Toc499563099"/>
      <w:r w:rsidRPr="008B7A21">
        <w:rPr>
          <w:lang w:val="es-ES_tradnl"/>
        </w:rPr>
        <w:t>Los licitadores ganadores de la segunda subasta tienen que pagar una compensación a los operadores MMDS con licencias en la banda de frecuencias subastada. Análisis de los resultados de concursos y subastas</w:t>
      </w:r>
      <w:bookmarkEnd w:id="1784"/>
      <w:bookmarkEnd w:id="1785"/>
      <w:bookmarkEnd w:id="1786"/>
    </w:p>
    <w:p w14:paraId="44CE3333" w14:textId="44FE3D58" w:rsidR="00F73D5B" w:rsidRPr="008B7A21" w:rsidRDefault="00F73D5B" w:rsidP="00F73D5B">
      <w:pPr>
        <w:rPr>
          <w:lang w:val="es-ES_tradnl"/>
        </w:rPr>
      </w:pPr>
      <w:r w:rsidRPr="008B7A21">
        <w:rPr>
          <w:lang w:val="es-ES_tradnl"/>
        </w:rPr>
        <w:t>En el Cuadro 20 se comparan las condiciones de concesión de licencias de servicios de comunicación móvil en la banda de 1 800 MHz en Óblast de Amur basándose en los resultados de una subasta y un concurso.</w:t>
      </w:r>
    </w:p>
    <w:p w14:paraId="358F007F" w14:textId="44D28E2C" w:rsidR="00F73D5B" w:rsidRPr="008B7A21" w:rsidRDefault="00F73D5B" w:rsidP="008F628B">
      <w:pPr>
        <w:pStyle w:val="TableNo"/>
        <w:keepLines/>
        <w:spacing w:before="120"/>
        <w:rPr>
          <w:lang w:val="es-ES_tradnl"/>
        </w:rPr>
      </w:pPr>
      <w:r w:rsidRPr="008B7A21">
        <w:rPr>
          <w:lang w:val="es-ES_tradnl"/>
        </w:rPr>
        <w:t>CUADRO 20</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835"/>
        <w:gridCol w:w="3119"/>
      </w:tblGrid>
      <w:tr w:rsidR="00F73D5B" w:rsidRPr="008B7A21" w14:paraId="6129D374" w14:textId="77777777" w:rsidTr="00767A6A">
        <w:tc>
          <w:tcPr>
            <w:tcW w:w="3936" w:type="dxa"/>
          </w:tcPr>
          <w:p w14:paraId="4A12E13A" w14:textId="77777777" w:rsidR="00F73D5B" w:rsidRPr="008B7A21" w:rsidRDefault="00F73D5B" w:rsidP="008F628B">
            <w:pPr>
              <w:pStyle w:val="Tablehead"/>
              <w:keepLines/>
              <w:rPr>
                <w:lang w:val="es-ES_tradnl"/>
              </w:rPr>
            </w:pPr>
            <w:r w:rsidRPr="008B7A21">
              <w:rPr>
                <w:lang w:val="es-ES_tradnl"/>
              </w:rPr>
              <w:t>Parámetro de comparación</w:t>
            </w:r>
          </w:p>
        </w:tc>
        <w:tc>
          <w:tcPr>
            <w:tcW w:w="2835" w:type="dxa"/>
          </w:tcPr>
          <w:p w14:paraId="515746C9" w14:textId="77777777" w:rsidR="00F73D5B" w:rsidRPr="008B7A21" w:rsidRDefault="00F73D5B" w:rsidP="008F628B">
            <w:pPr>
              <w:pStyle w:val="Tablehead"/>
              <w:keepLines/>
              <w:rPr>
                <w:lang w:val="es-ES_tradnl"/>
              </w:rPr>
            </w:pPr>
            <w:r w:rsidRPr="008B7A21">
              <w:rPr>
                <w:lang w:val="es-ES_tradnl"/>
              </w:rPr>
              <w:t>Concurso</w:t>
            </w:r>
          </w:p>
        </w:tc>
        <w:tc>
          <w:tcPr>
            <w:tcW w:w="3119" w:type="dxa"/>
          </w:tcPr>
          <w:p w14:paraId="1C436942" w14:textId="77777777" w:rsidR="00F73D5B" w:rsidRPr="008B7A21" w:rsidRDefault="00F73D5B" w:rsidP="008F628B">
            <w:pPr>
              <w:pStyle w:val="Tablehead"/>
              <w:keepLines/>
              <w:rPr>
                <w:lang w:val="es-ES_tradnl"/>
              </w:rPr>
            </w:pPr>
            <w:r w:rsidRPr="008B7A21">
              <w:rPr>
                <w:lang w:val="es-ES_tradnl"/>
              </w:rPr>
              <w:t>Subasta</w:t>
            </w:r>
          </w:p>
        </w:tc>
      </w:tr>
      <w:tr w:rsidR="00F73D5B" w:rsidRPr="008B7A21" w14:paraId="599C1BAE" w14:textId="77777777" w:rsidTr="00767A6A">
        <w:tc>
          <w:tcPr>
            <w:tcW w:w="3936" w:type="dxa"/>
          </w:tcPr>
          <w:p w14:paraId="1CA1F81D" w14:textId="77777777" w:rsidR="00F73D5B" w:rsidRPr="008B7A21" w:rsidRDefault="00F73D5B" w:rsidP="008F628B">
            <w:pPr>
              <w:pStyle w:val="Tabletext"/>
              <w:keepNext/>
              <w:keepLines/>
              <w:tabs>
                <w:tab w:val="left" w:pos="1871"/>
              </w:tabs>
              <w:rPr>
                <w:lang w:val="es-ES_tradnl"/>
              </w:rPr>
            </w:pPr>
            <w:r w:rsidRPr="008B7A21">
              <w:rPr>
                <w:lang w:val="es-ES_tradnl"/>
              </w:rPr>
              <w:t>Banda de frecuencias</w:t>
            </w:r>
          </w:p>
        </w:tc>
        <w:tc>
          <w:tcPr>
            <w:tcW w:w="2835" w:type="dxa"/>
          </w:tcPr>
          <w:p w14:paraId="0CB82464" w14:textId="77777777" w:rsidR="00F73D5B" w:rsidRPr="008B7A21" w:rsidRDefault="00F73D5B" w:rsidP="008F628B">
            <w:pPr>
              <w:pStyle w:val="Tabletext"/>
              <w:keepNext/>
              <w:keepLines/>
              <w:tabs>
                <w:tab w:val="left" w:pos="1871"/>
              </w:tabs>
              <w:jc w:val="center"/>
              <w:rPr>
                <w:lang w:val="es-ES_tradnl"/>
              </w:rPr>
            </w:pPr>
            <w:r w:rsidRPr="008B7A21">
              <w:rPr>
                <w:lang w:val="es-ES_tradnl"/>
              </w:rPr>
              <w:t>1 800 MHz</w:t>
            </w:r>
          </w:p>
        </w:tc>
        <w:tc>
          <w:tcPr>
            <w:tcW w:w="3119" w:type="dxa"/>
          </w:tcPr>
          <w:p w14:paraId="0F58B81E" w14:textId="77777777" w:rsidR="00F73D5B" w:rsidRPr="008B7A21" w:rsidRDefault="00F73D5B" w:rsidP="008F628B">
            <w:pPr>
              <w:pStyle w:val="Tabletext"/>
              <w:keepNext/>
              <w:keepLines/>
              <w:tabs>
                <w:tab w:val="left" w:pos="1871"/>
              </w:tabs>
              <w:jc w:val="center"/>
              <w:rPr>
                <w:lang w:val="es-ES_tradnl"/>
              </w:rPr>
            </w:pPr>
            <w:r w:rsidRPr="008B7A21">
              <w:rPr>
                <w:lang w:val="es-ES_tradnl"/>
              </w:rPr>
              <w:t>1 800 MHz</w:t>
            </w:r>
          </w:p>
        </w:tc>
      </w:tr>
      <w:tr w:rsidR="00F73D5B" w:rsidRPr="008B7A21" w14:paraId="0807BD51" w14:textId="77777777" w:rsidTr="00767A6A">
        <w:tc>
          <w:tcPr>
            <w:tcW w:w="3936" w:type="dxa"/>
          </w:tcPr>
          <w:p w14:paraId="54DED8AC" w14:textId="77777777" w:rsidR="00F73D5B" w:rsidRPr="008B7A21" w:rsidRDefault="00F73D5B" w:rsidP="008F628B">
            <w:pPr>
              <w:pStyle w:val="Tabletext"/>
              <w:keepNext/>
              <w:keepLines/>
              <w:tabs>
                <w:tab w:val="left" w:pos="1871"/>
              </w:tabs>
              <w:rPr>
                <w:lang w:val="es-ES_tradnl"/>
              </w:rPr>
            </w:pPr>
            <w:r w:rsidRPr="008B7A21">
              <w:rPr>
                <w:lang w:val="es-ES_tradnl"/>
              </w:rPr>
              <w:t>Tecnología</w:t>
            </w:r>
          </w:p>
        </w:tc>
        <w:tc>
          <w:tcPr>
            <w:tcW w:w="2835" w:type="dxa"/>
          </w:tcPr>
          <w:p w14:paraId="042B1EFF" w14:textId="77777777" w:rsidR="00F73D5B" w:rsidRPr="008B7A21" w:rsidRDefault="00F73D5B" w:rsidP="008F628B">
            <w:pPr>
              <w:pStyle w:val="Tabletext"/>
              <w:keepNext/>
              <w:keepLines/>
              <w:tabs>
                <w:tab w:val="left" w:pos="1871"/>
              </w:tabs>
              <w:jc w:val="center"/>
              <w:rPr>
                <w:lang w:val="es-ES_tradnl"/>
              </w:rPr>
            </w:pPr>
            <w:r w:rsidRPr="008B7A21">
              <w:rPr>
                <w:lang w:val="es-ES_tradnl"/>
              </w:rPr>
              <w:t>GSM</w:t>
            </w:r>
          </w:p>
        </w:tc>
        <w:tc>
          <w:tcPr>
            <w:tcW w:w="3119" w:type="dxa"/>
          </w:tcPr>
          <w:p w14:paraId="0550CE51" w14:textId="77777777" w:rsidR="00F73D5B" w:rsidRPr="008B7A21" w:rsidRDefault="00F73D5B" w:rsidP="008F628B">
            <w:pPr>
              <w:pStyle w:val="Tabletext"/>
              <w:keepNext/>
              <w:keepLines/>
              <w:tabs>
                <w:tab w:val="left" w:pos="1871"/>
              </w:tabs>
              <w:jc w:val="center"/>
              <w:rPr>
                <w:lang w:val="es-ES_tradnl"/>
              </w:rPr>
            </w:pPr>
            <w:r w:rsidRPr="008B7A21">
              <w:rPr>
                <w:lang w:val="es-ES_tradnl"/>
              </w:rPr>
              <w:t>GSM, LTE y modificaciones subsiguientes</w:t>
            </w:r>
          </w:p>
        </w:tc>
      </w:tr>
      <w:tr w:rsidR="00F73D5B" w:rsidRPr="008B7A21" w14:paraId="2921A619" w14:textId="77777777" w:rsidTr="00767A6A">
        <w:tc>
          <w:tcPr>
            <w:tcW w:w="3936" w:type="dxa"/>
          </w:tcPr>
          <w:p w14:paraId="2BF66F45" w14:textId="77777777" w:rsidR="00F73D5B" w:rsidRPr="008B7A21" w:rsidRDefault="00F73D5B" w:rsidP="008F628B">
            <w:pPr>
              <w:pStyle w:val="Tabletext"/>
              <w:keepNext/>
              <w:keepLines/>
              <w:rPr>
                <w:lang w:val="es-ES_tradnl"/>
              </w:rPr>
            </w:pPr>
            <w:r w:rsidRPr="008B7A21">
              <w:rPr>
                <w:lang w:val="es-ES_tradnl"/>
              </w:rPr>
              <w:t>Región</w:t>
            </w:r>
          </w:p>
        </w:tc>
        <w:tc>
          <w:tcPr>
            <w:tcW w:w="2835" w:type="dxa"/>
          </w:tcPr>
          <w:p w14:paraId="28176F4D" w14:textId="77777777" w:rsidR="00F73D5B" w:rsidRPr="008B7A21" w:rsidRDefault="00F73D5B" w:rsidP="008F628B">
            <w:pPr>
              <w:pStyle w:val="Tabletext"/>
              <w:keepNext/>
              <w:keepLines/>
              <w:tabs>
                <w:tab w:val="left" w:pos="1871"/>
              </w:tabs>
              <w:jc w:val="center"/>
              <w:rPr>
                <w:lang w:val="es-ES_tradnl"/>
              </w:rPr>
            </w:pPr>
            <w:r w:rsidRPr="008B7A21">
              <w:rPr>
                <w:lang w:val="es-ES_tradnl"/>
              </w:rPr>
              <w:t>Óblast de Amur</w:t>
            </w:r>
          </w:p>
        </w:tc>
        <w:tc>
          <w:tcPr>
            <w:tcW w:w="3119" w:type="dxa"/>
          </w:tcPr>
          <w:p w14:paraId="2615B085" w14:textId="77777777" w:rsidR="00F73D5B" w:rsidRPr="008B7A21" w:rsidRDefault="00F73D5B" w:rsidP="008F628B">
            <w:pPr>
              <w:pStyle w:val="Tabletext"/>
              <w:keepNext/>
              <w:keepLines/>
              <w:tabs>
                <w:tab w:val="left" w:pos="1871"/>
              </w:tabs>
              <w:jc w:val="center"/>
              <w:rPr>
                <w:lang w:val="es-ES_tradnl"/>
              </w:rPr>
            </w:pPr>
            <w:r w:rsidRPr="008B7A21">
              <w:rPr>
                <w:lang w:val="es-ES_tradnl"/>
              </w:rPr>
              <w:t>Óblast de Amur</w:t>
            </w:r>
          </w:p>
        </w:tc>
      </w:tr>
      <w:tr w:rsidR="00F73D5B" w:rsidRPr="008B7A21" w14:paraId="6188FF6D" w14:textId="77777777" w:rsidTr="00767A6A">
        <w:tc>
          <w:tcPr>
            <w:tcW w:w="3936" w:type="dxa"/>
          </w:tcPr>
          <w:p w14:paraId="0AEDE760" w14:textId="77777777" w:rsidR="00F73D5B" w:rsidRPr="008B7A21" w:rsidRDefault="00F73D5B" w:rsidP="008F628B">
            <w:pPr>
              <w:pStyle w:val="Tabletext"/>
              <w:keepNext/>
              <w:keepLines/>
              <w:rPr>
                <w:lang w:val="es-ES_tradnl"/>
              </w:rPr>
            </w:pPr>
            <w:r w:rsidRPr="008B7A21">
              <w:rPr>
                <w:lang w:val="es-ES_tradnl"/>
              </w:rPr>
              <w:t>Canon de licencia (</w:t>
            </w:r>
            <w:r w:rsidRPr="008B7A21">
              <w:rPr>
                <w:lang w:val="es-ES_tradnl"/>
              </w:rPr>
              <w:sym w:font="Symbol" w:char="F0B4"/>
            </w:r>
            <w:r w:rsidRPr="008B7A21">
              <w:rPr>
                <w:lang w:val="es-ES_tradnl"/>
              </w:rPr>
              <w:t xml:space="preserve"> 1 000 rublos)</w:t>
            </w:r>
          </w:p>
        </w:tc>
        <w:tc>
          <w:tcPr>
            <w:tcW w:w="2835" w:type="dxa"/>
            <w:vAlign w:val="center"/>
          </w:tcPr>
          <w:p w14:paraId="63D1FCA1" w14:textId="77777777" w:rsidR="00F73D5B" w:rsidRPr="008B7A21" w:rsidRDefault="00F73D5B" w:rsidP="008F628B">
            <w:pPr>
              <w:pStyle w:val="Tabletext"/>
              <w:keepNext/>
              <w:keepLines/>
              <w:tabs>
                <w:tab w:val="left" w:pos="1871"/>
              </w:tabs>
              <w:jc w:val="center"/>
              <w:rPr>
                <w:lang w:val="es-ES_tradnl"/>
              </w:rPr>
            </w:pPr>
            <w:r w:rsidRPr="008B7A21">
              <w:rPr>
                <w:lang w:val="es-ES_tradnl"/>
              </w:rPr>
              <w:t>45</w:t>
            </w:r>
          </w:p>
        </w:tc>
        <w:tc>
          <w:tcPr>
            <w:tcW w:w="3119" w:type="dxa"/>
            <w:vAlign w:val="center"/>
          </w:tcPr>
          <w:p w14:paraId="09D59385" w14:textId="77777777" w:rsidR="00F73D5B" w:rsidRPr="008B7A21" w:rsidRDefault="00F73D5B" w:rsidP="008F628B">
            <w:pPr>
              <w:pStyle w:val="Tabletext"/>
              <w:keepNext/>
              <w:keepLines/>
              <w:tabs>
                <w:tab w:val="left" w:pos="1871"/>
              </w:tabs>
              <w:jc w:val="center"/>
              <w:rPr>
                <w:lang w:val="es-ES_tradnl"/>
              </w:rPr>
            </w:pPr>
            <w:r w:rsidRPr="008B7A21">
              <w:rPr>
                <w:lang w:val="es-ES_tradnl"/>
              </w:rPr>
              <w:t>303 349</w:t>
            </w:r>
            <w:r w:rsidRPr="008B7A21">
              <w:rPr>
                <w:rStyle w:val="FootnoteReference"/>
                <w:lang w:val="es-ES_tradnl"/>
              </w:rPr>
              <w:footnoteReference w:id="12"/>
            </w:r>
          </w:p>
        </w:tc>
      </w:tr>
      <w:tr w:rsidR="00F73D5B" w:rsidRPr="008B7A21" w14:paraId="2E15004E" w14:textId="77777777" w:rsidTr="00767A6A">
        <w:tc>
          <w:tcPr>
            <w:tcW w:w="3936" w:type="dxa"/>
          </w:tcPr>
          <w:p w14:paraId="5FBBD595" w14:textId="77777777" w:rsidR="00F73D5B" w:rsidRPr="008B7A21" w:rsidRDefault="00F73D5B" w:rsidP="008F628B">
            <w:pPr>
              <w:pStyle w:val="Tabletext"/>
              <w:keepNext/>
              <w:keepLines/>
              <w:rPr>
                <w:lang w:val="es-ES_tradnl"/>
              </w:rPr>
            </w:pPr>
            <w:r w:rsidRPr="008B7A21">
              <w:rPr>
                <w:lang w:val="es-ES_tradnl"/>
              </w:rPr>
              <w:t>Pago único para uso de frecuencias</w:t>
            </w:r>
          </w:p>
        </w:tc>
        <w:tc>
          <w:tcPr>
            <w:tcW w:w="2835" w:type="dxa"/>
            <w:vAlign w:val="center"/>
          </w:tcPr>
          <w:p w14:paraId="43FD9EEE" w14:textId="77777777" w:rsidR="00F73D5B" w:rsidRPr="008B7A21" w:rsidRDefault="00F73D5B" w:rsidP="008F628B">
            <w:pPr>
              <w:pStyle w:val="Tabletext"/>
              <w:keepNext/>
              <w:keepLines/>
              <w:tabs>
                <w:tab w:val="left" w:pos="1871"/>
              </w:tabs>
              <w:jc w:val="center"/>
              <w:rPr>
                <w:lang w:val="es-ES_tradnl"/>
              </w:rPr>
            </w:pPr>
            <w:r w:rsidRPr="008B7A21">
              <w:rPr>
                <w:lang w:val="es-ES_tradnl"/>
              </w:rPr>
              <w:t>Sí</w:t>
            </w:r>
          </w:p>
        </w:tc>
        <w:tc>
          <w:tcPr>
            <w:tcW w:w="3119" w:type="dxa"/>
            <w:vAlign w:val="center"/>
          </w:tcPr>
          <w:p w14:paraId="73C6D637" w14:textId="77777777" w:rsidR="00F73D5B" w:rsidRPr="008B7A21" w:rsidRDefault="00F73D5B" w:rsidP="008F628B">
            <w:pPr>
              <w:pStyle w:val="Tabletext"/>
              <w:keepNext/>
              <w:keepLines/>
              <w:tabs>
                <w:tab w:val="left" w:pos="1871"/>
              </w:tabs>
              <w:jc w:val="center"/>
              <w:rPr>
                <w:lang w:val="es-ES_tradnl"/>
              </w:rPr>
            </w:pPr>
            <w:r w:rsidRPr="008B7A21">
              <w:rPr>
                <w:lang w:val="es-ES_tradnl"/>
              </w:rPr>
              <w:t>No</w:t>
            </w:r>
          </w:p>
        </w:tc>
      </w:tr>
      <w:tr w:rsidR="00F73D5B" w:rsidRPr="008B7A21" w14:paraId="2979BF83" w14:textId="77777777" w:rsidTr="00767A6A">
        <w:tc>
          <w:tcPr>
            <w:tcW w:w="3936" w:type="dxa"/>
          </w:tcPr>
          <w:p w14:paraId="76B981C8" w14:textId="77777777" w:rsidR="00F73D5B" w:rsidRPr="008B7A21" w:rsidRDefault="00F73D5B" w:rsidP="008F628B">
            <w:pPr>
              <w:pStyle w:val="Tabletext"/>
              <w:keepNext/>
              <w:keepLines/>
              <w:rPr>
                <w:lang w:val="es-ES_tradnl"/>
              </w:rPr>
            </w:pPr>
            <w:r w:rsidRPr="008B7A21">
              <w:rPr>
                <w:lang w:val="es-ES_tradnl"/>
              </w:rPr>
              <w:t>Pago anual para uso de frecuencias</w:t>
            </w:r>
            <w:r w:rsidRPr="008B7A21">
              <w:rPr>
                <w:rStyle w:val="FootnoteReference"/>
                <w:lang w:val="es-ES_tradnl"/>
              </w:rPr>
              <w:footnoteReference w:id="13"/>
            </w:r>
          </w:p>
        </w:tc>
        <w:tc>
          <w:tcPr>
            <w:tcW w:w="2835" w:type="dxa"/>
            <w:vAlign w:val="center"/>
          </w:tcPr>
          <w:p w14:paraId="45B4C081" w14:textId="77777777" w:rsidR="00F73D5B" w:rsidRPr="008B7A21" w:rsidRDefault="00F73D5B" w:rsidP="008F628B">
            <w:pPr>
              <w:pStyle w:val="Tabletext"/>
              <w:keepNext/>
              <w:keepLines/>
              <w:tabs>
                <w:tab w:val="left" w:pos="1871"/>
              </w:tabs>
              <w:jc w:val="center"/>
              <w:rPr>
                <w:lang w:val="es-ES_tradnl"/>
              </w:rPr>
            </w:pPr>
            <w:r w:rsidRPr="008B7A21">
              <w:rPr>
                <w:lang w:val="es-ES_tradnl"/>
              </w:rPr>
              <w:t>Sí</w:t>
            </w:r>
          </w:p>
        </w:tc>
        <w:tc>
          <w:tcPr>
            <w:tcW w:w="3119" w:type="dxa"/>
            <w:vAlign w:val="center"/>
          </w:tcPr>
          <w:p w14:paraId="4249EF9A" w14:textId="77777777" w:rsidR="00F73D5B" w:rsidRPr="008B7A21" w:rsidRDefault="00F73D5B" w:rsidP="008F628B">
            <w:pPr>
              <w:pStyle w:val="Tabletext"/>
              <w:keepNext/>
              <w:keepLines/>
              <w:tabs>
                <w:tab w:val="left" w:pos="1871"/>
              </w:tabs>
              <w:jc w:val="center"/>
              <w:rPr>
                <w:lang w:val="es-ES_tradnl"/>
              </w:rPr>
            </w:pPr>
            <w:r w:rsidRPr="008B7A21">
              <w:rPr>
                <w:lang w:val="es-ES_tradnl"/>
              </w:rPr>
              <w:t>Sí</w:t>
            </w:r>
          </w:p>
        </w:tc>
      </w:tr>
      <w:tr w:rsidR="00F73D5B" w:rsidRPr="008B7A21" w14:paraId="5E3D4485" w14:textId="77777777" w:rsidTr="00767A6A">
        <w:tc>
          <w:tcPr>
            <w:tcW w:w="3936" w:type="dxa"/>
          </w:tcPr>
          <w:p w14:paraId="3EB4D2E4" w14:textId="77777777" w:rsidR="00F73D5B" w:rsidRPr="008B7A21" w:rsidRDefault="00F73D5B" w:rsidP="008F628B">
            <w:pPr>
              <w:pStyle w:val="Tabletext"/>
              <w:keepNext/>
              <w:keepLines/>
              <w:rPr>
                <w:lang w:val="es-ES_tradnl"/>
              </w:rPr>
            </w:pPr>
            <w:r w:rsidRPr="008B7A21">
              <w:rPr>
                <w:lang w:val="es-ES_tradnl"/>
              </w:rPr>
              <w:t>Obligaciones del ganador:</w:t>
            </w:r>
          </w:p>
        </w:tc>
        <w:tc>
          <w:tcPr>
            <w:tcW w:w="2835" w:type="dxa"/>
            <w:vAlign w:val="center"/>
          </w:tcPr>
          <w:p w14:paraId="3A0B478D" w14:textId="77777777" w:rsidR="00F73D5B" w:rsidRPr="008B7A21" w:rsidRDefault="00F73D5B" w:rsidP="008F628B">
            <w:pPr>
              <w:pStyle w:val="Tabletext"/>
              <w:keepNext/>
              <w:keepLines/>
              <w:tabs>
                <w:tab w:val="left" w:pos="1871"/>
              </w:tabs>
              <w:jc w:val="center"/>
              <w:rPr>
                <w:lang w:val="es-ES_tradnl"/>
              </w:rPr>
            </w:pPr>
          </w:p>
        </w:tc>
        <w:tc>
          <w:tcPr>
            <w:tcW w:w="3119" w:type="dxa"/>
            <w:vAlign w:val="center"/>
          </w:tcPr>
          <w:p w14:paraId="5DC4B414" w14:textId="77777777" w:rsidR="00F73D5B" w:rsidRPr="008B7A21" w:rsidRDefault="00F73D5B" w:rsidP="008F628B">
            <w:pPr>
              <w:pStyle w:val="Tabletext"/>
              <w:keepNext/>
              <w:keepLines/>
              <w:tabs>
                <w:tab w:val="left" w:pos="1871"/>
              </w:tabs>
              <w:jc w:val="center"/>
              <w:rPr>
                <w:lang w:val="es-ES_tradnl"/>
              </w:rPr>
            </w:pPr>
          </w:p>
        </w:tc>
      </w:tr>
      <w:tr w:rsidR="00F73D5B" w:rsidRPr="008B7A21" w14:paraId="7CFC5845" w14:textId="77777777" w:rsidTr="00767A6A">
        <w:tc>
          <w:tcPr>
            <w:tcW w:w="3936" w:type="dxa"/>
          </w:tcPr>
          <w:p w14:paraId="6F7A99AD" w14:textId="77777777" w:rsidR="00F73D5B" w:rsidRPr="008B7A21" w:rsidRDefault="00F73D5B" w:rsidP="008F628B">
            <w:pPr>
              <w:pStyle w:val="Tabletext"/>
              <w:keepNext/>
              <w:keepLines/>
              <w:tabs>
                <w:tab w:val="left" w:pos="1871"/>
              </w:tabs>
              <w:rPr>
                <w:lang w:val="es-ES_tradnl"/>
              </w:rPr>
            </w:pPr>
            <w:r w:rsidRPr="008B7A21">
              <w:rPr>
                <w:lang w:val="es-ES_tradnl"/>
              </w:rPr>
              <w:tab/>
              <w:t xml:space="preserve">Inversión en red </w:t>
            </w:r>
          </w:p>
        </w:tc>
        <w:tc>
          <w:tcPr>
            <w:tcW w:w="2835" w:type="dxa"/>
            <w:vAlign w:val="center"/>
          </w:tcPr>
          <w:p w14:paraId="4D666940" w14:textId="77777777" w:rsidR="00F73D5B" w:rsidRPr="008B7A21" w:rsidRDefault="00F73D5B" w:rsidP="008F628B">
            <w:pPr>
              <w:pStyle w:val="Tabletext"/>
              <w:keepNext/>
              <w:keepLines/>
              <w:tabs>
                <w:tab w:val="left" w:pos="1871"/>
              </w:tabs>
              <w:jc w:val="center"/>
              <w:rPr>
                <w:lang w:val="es-ES_tradnl"/>
              </w:rPr>
            </w:pPr>
            <w:r w:rsidRPr="008B7A21">
              <w:rPr>
                <w:lang w:val="es-ES_tradnl"/>
              </w:rPr>
              <w:t>Sí</w:t>
            </w:r>
            <w:r w:rsidRPr="008B7A21">
              <w:rPr>
                <w:rStyle w:val="FootnoteReference"/>
                <w:sz w:val="14"/>
                <w:szCs w:val="14"/>
                <w:lang w:val="es-ES_tradnl"/>
              </w:rPr>
              <w:footnoteReference w:id="14"/>
            </w:r>
          </w:p>
        </w:tc>
        <w:tc>
          <w:tcPr>
            <w:tcW w:w="3119" w:type="dxa"/>
            <w:vAlign w:val="center"/>
          </w:tcPr>
          <w:p w14:paraId="6CE08933" w14:textId="77777777" w:rsidR="00F73D5B" w:rsidRPr="008B7A21" w:rsidRDefault="00F73D5B" w:rsidP="008F628B">
            <w:pPr>
              <w:pStyle w:val="Tabletext"/>
              <w:keepNext/>
              <w:keepLines/>
              <w:tabs>
                <w:tab w:val="left" w:pos="1871"/>
              </w:tabs>
              <w:jc w:val="center"/>
              <w:rPr>
                <w:lang w:val="es-ES_tradnl"/>
              </w:rPr>
            </w:pPr>
            <w:r w:rsidRPr="008B7A21">
              <w:rPr>
                <w:lang w:val="es-ES_tradnl"/>
              </w:rPr>
              <w:t>No</w:t>
            </w:r>
          </w:p>
        </w:tc>
      </w:tr>
      <w:tr w:rsidR="00F73D5B" w:rsidRPr="008B7A21" w14:paraId="424EC2A2" w14:textId="77777777" w:rsidTr="00767A6A">
        <w:tc>
          <w:tcPr>
            <w:tcW w:w="3936" w:type="dxa"/>
          </w:tcPr>
          <w:p w14:paraId="77D33AE3" w14:textId="77777777" w:rsidR="00F73D5B" w:rsidRPr="008B7A21" w:rsidRDefault="00F73D5B" w:rsidP="008F628B">
            <w:pPr>
              <w:pStyle w:val="Tabletext"/>
              <w:keepNext/>
              <w:keepLines/>
              <w:tabs>
                <w:tab w:val="left" w:pos="1871"/>
              </w:tabs>
              <w:ind w:left="284" w:hanging="284"/>
              <w:rPr>
                <w:lang w:val="es-ES_tradnl"/>
              </w:rPr>
            </w:pPr>
            <w:r w:rsidRPr="008B7A21">
              <w:rPr>
                <w:lang w:val="es-ES_tradnl"/>
              </w:rPr>
              <w:tab/>
              <w:t>Servicios para ciudades y poblaciones con un cierto número de habitantes</w:t>
            </w:r>
          </w:p>
        </w:tc>
        <w:tc>
          <w:tcPr>
            <w:tcW w:w="2835" w:type="dxa"/>
            <w:vAlign w:val="center"/>
          </w:tcPr>
          <w:p w14:paraId="7D86FEFD" w14:textId="77777777" w:rsidR="00F73D5B" w:rsidRPr="008B7A21" w:rsidRDefault="00F73D5B" w:rsidP="008F628B">
            <w:pPr>
              <w:pStyle w:val="Tabletext"/>
              <w:keepNext/>
              <w:keepLines/>
              <w:tabs>
                <w:tab w:val="left" w:pos="1871"/>
              </w:tabs>
              <w:jc w:val="center"/>
              <w:rPr>
                <w:lang w:val="es-ES_tradnl"/>
              </w:rPr>
            </w:pPr>
            <w:r w:rsidRPr="008B7A21">
              <w:rPr>
                <w:lang w:val="es-ES_tradnl"/>
              </w:rPr>
              <w:t>Sí</w:t>
            </w:r>
            <w:r w:rsidRPr="008B7A21">
              <w:rPr>
                <w:rStyle w:val="FootnoteReference"/>
                <w:sz w:val="14"/>
                <w:szCs w:val="14"/>
                <w:lang w:val="es-ES_tradnl"/>
              </w:rPr>
              <w:footnoteReference w:id="15"/>
            </w:r>
          </w:p>
        </w:tc>
        <w:tc>
          <w:tcPr>
            <w:tcW w:w="3119" w:type="dxa"/>
            <w:vAlign w:val="center"/>
          </w:tcPr>
          <w:p w14:paraId="3EF118BC" w14:textId="77777777" w:rsidR="00F73D5B" w:rsidRPr="008B7A21" w:rsidRDefault="00F73D5B" w:rsidP="008F628B">
            <w:pPr>
              <w:pStyle w:val="Tabletext"/>
              <w:keepNext/>
              <w:keepLines/>
              <w:tabs>
                <w:tab w:val="left" w:pos="1871"/>
              </w:tabs>
              <w:jc w:val="center"/>
              <w:rPr>
                <w:lang w:val="es-ES_tradnl"/>
              </w:rPr>
            </w:pPr>
            <w:r w:rsidRPr="008B7A21">
              <w:rPr>
                <w:lang w:val="es-ES_tradnl"/>
              </w:rPr>
              <w:t>Sí</w:t>
            </w:r>
            <w:r w:rsidRPr="008B7A21">
              <w:rPr>
                <w:rStyle w:val="FootnoteReference"/>
                <w:sz w:val="14"/>
                <w:szCs w:val="14"/>
                <w:lang w:val="es-ES_tradnl"/>
              </w:rPr>
              <w:footnoteReference w:id="16"/>
            </w:r>
          </w:p>
        </w:tc>
      </w:tr>
    </w:tbl>
    <w:p w14:paraId="628D8EA0" w14:textId="1CF2067B" w:rsidR="00F73D5B" w:rsidRPr="008B7A21" w:rsidRDefault="00F73D5B" w:rsidP="00F73D5B">
      <w:pPr>
        <w:spacing w:before="240"/>
        <w:rPr>
          <w:szCs w:val="24"/>
          <w:lang w:val="es-ES_tradnl"/>
        </w:rPr>
      </w:pPr>
      <w:r w:rsidRPr="008B7A21">
        <w:rPr>
          <w:lang w:val="es-ES_tradnl"/>
        </w:rPr>
        <w:t>Al analizar los datos del Cuadro 20, deberá recordarse que de conformidad con la legislación vigente, los procesos de licitación de licencias para prestar servicios de comunicación utilizando espectro de frecuencias radioeléctricas se llevan a cabo únicamente en forma de subastas. Como resultado, el análisis se basó en datos de un concurso celebrado en 2007.</w:t>
      </w:r>
    </w:p>
    <w:p w14:paraId="6BA57ECB" w14:textId="342F48F2" w:rsidR="00F73D5B" w:rsidRPr="008B7A21" w:rsidRDefault="00F73D5B" w:rsidP="00F73D5B">
      <w:pPr>
        <w:rPr>
          <w:szCs w:val="24"/>
          <w:lang w:val="es-ES_tradnl"/>
        </w:rPr>
      </w:pPr>
      <w:r w:rsidRPr="008B7A21">
        <w:rPr>
          <w:lang w:val="es-ES_tradnl"/>
        </w:rPr>
        <w:t>Los datos en el Cuadro 20 muestran que cuando el proceso de licitación es una subasta, los ingresos para el presupuesto del Estado son considerablemente superiores a los de un concurso.</w:t>
      </w:r>
    </w:p>
    <w:p w14:paraId="46FE1673" w14:textId="77777777" w:rsidR="00F73D5B" w:rsidRPr="008B7A21" w:rsidRDefault="00F73D5B" w:rsidP="00F73D5B">
      <w:pPr>
        <w:pStyle w:val="Headingb"/>
        <w:rPr>
          <w:lang w:val="es-ES_tradnl"/>
        </w:rPr>
      </w:pPr>
      <w:bookmarkStart w:id="1787" w:name="_Toc499563100"/>
      <w:r w:rsidRPr="008B7A21">
        <w:rPr>
          <w:lang w:val="es-ES_tradnl"/>
        </w:rPr>
        <w:t>Método para determinar la oferta mínima</w:t>
      </w:r>
      <w:bookmarkEnd w:id="1772"/>
      <w:bookmarkEnd w:id="1773"/>
      <w:r w:rsidRPr="008B7A21">
        <w:rPr>
          <w:lang w:val="es-ES_tradnl"/>
        </w:rPr>
        <w:t>, basándose en una evaluación del «precio sombra» del espectro de radiofrecuencias</w:t>
      </w:r>
      <w:bookmarkEnd w:id="1774"/>
      <w:bookmarkEnd w:id="1775"/>
      <w:bookmarkEnd w:id="1776"/>
      <w:bookmarkEnd w:id="1777"/>
      <w:bookmarkEnd w:id="1787"/>
    </w:p>
    <w:p w14:paraId="1CB0186A" w14:textId="77777777" w:rsidR="00F73D5B" w:rsidRPr="008B7A21" w:rsidRDefault="00F73D5B" w:rsidP="00F73D5B">
      <w:pPr>
        <w:rPr>
          <w:lang w:val="es-ES_tradnl"/>
        </w:rPr>
      </w:pPr>
      <w:r w:rsidRPr="008B7A21">
        <w:rPr>
          <w:lang w:val="es-ES_tradnl"/>
        </w:rPr>
        <w:t>Aunque la Federación de Rusia no ha realizado hasta el momento subastas, la administración ha preparado un método para determinar la oferta mínima [7]. El método propuesto se basa en una evaluación del índice de ingresos de la red de telecomunicaciones móviles considerada como función de la anchura de banda del sistema utilizado. Este índice de ingresos es un factor para determinar el efecto anual de la inversión en el correspondiente proyecto, expresado en una determinada unidad monetaria, en este caso, 1 dólar de los Estados Unidos de América.</w:t>
      </w:r>
    </w:p>
    <w:p w14:paraId="2AA55DCC" w14:textId="77777777" w:rsidR="00F73D5B" w:rsidRPr="008B7A21" w:rsidRDefault="00F73D5B" w:rsidP="00F73D5B">
      <w:pPr>
        <w:keepNext/>
        <w:keepLines/>
        <w:rPr>
          <w:lang w:val="es-ES_tradnl"/>
        </w:rPr>
      </w:pPr>
      <w:r w:rsidRPr="008B7A21">
        <w:rPr>
          <w:lang w:val="es-ES_tradnl"/>
        </w:rPr>
        <w:t>Los datos básicos requeridos para efectuar el análisis pueden dividirse en tres categorías:</w:t>
      </w:r>
    </w:p>
    <w:p w14:paraId="250C12EF" w14:textId="77777777" w:rsidR="00F73D5B" w:rsidRPr="008B7A21" w:rsidRDefault="00F73D5B" w:rsidP="00F73D5B">
      <w:pPr>
        <w:pStyle w:val="enumlev1"/>
        <w:rPr>
          <w:lang w:val="es-ES_tradnl"/>
        </w:rPr>
      </w:pPr>
      <w:r w:rsidRPr="008B7A21">
        <w:rPr>
          <w:lang w:val="es-ES_tradnl"/>
        </w:rPr>
        <w:t>–</w:t>
      </w:r>
      <w:r w:rsidRPr="008B7A21">
        <w:rPr>
          <w:lang w:val="es-ES_tradnl"/>
        </w:rPr>
        <w:tab/>
        <w:t>los datos que corresponden al plan de frecuencias de la red;</w:t>
      </w:r>
    </w:p>
    <w:p w14:paraId="5B3F1AA9" w14:textId="77777777" w:rsidR="00F73D5B" w:rsidRPr="008B7A21" w:rsidRDefault="00F73D5B" w:rsidP="00F73D5B">
      <w:pPr>
        <w:pStyle w:val="enumlev1"/>
        <w:rPr>
          <w:lang w:val="es-ES_tradnl"/>
        </w:rPr>
      </w:pPr>
      <w:r w:rsidRPr="008B7A21">
        <w:rPr>
          <w:lang w:val="es-ES_tradnl"/>
        </w:rPr>
        <w:t>–</w:t>
      </w:r>
      <w:r w:rsidRPr="008B7A21">
        <w:rPr>
          <w:lang w:val="es-ES_tradnl"/>
        </w:rPr>
        <w:tab/>
        <w:t>los parámetros que definen la cantidad requerida de inversión para establecer la red;</w:t>
      </w:r>
    </w:p>
    <w:p w14:paraId="1EEEBC4F" w14:textId="77777777" w:rsidR="00F73D5B" w:rsidRPr="008B7A21" w:rsidRDefault="00F73D5B" w:rsidP="00F73D5B">
      <w:pPr>
        <w:pStyle w:val="enumlev1"/>
        <w:rPr>
          <w:lang w:val="es-ES_tradnl"/>
        </w:rPr>
      </w:pPr>
      <w:r w:rsidRPr="008B7A21">
        <w:rPr>
          <w:lang w:val="es-ES_tradnl"/>
        </w:rPr>
        <w:t>–</w:t>
      </w:r>
      <w:r w:rsidRPr="008B7A21">
        <w:rPr>
          <w:lang w:val="es-ES_tradnl"/>
        </w:rPr>
        <w:tab/>
        <w:t>los parámetros que definen los ingresos necesarios para explotar la red.</w:t>
      </w:r>
    </w:p>
    <w:p w14:paraId="47BAE04A" w14:textId="77777777" w:rsidR="00F73D5B" w:rsidRPr="008B7A21" w:rsidRDefault="00F73D5B" w:rsidP="00F73D5B">
      <w:pPr>
        <w:rPr>
          <w:lang w:val="es-ES_tradnl"/>
        </w:rPr>
      </w:pPr>
      <w:r w:rsidRPr="008B7A21">
        <w:rPr>
          <w:lang w:val="es-ES_tradnl"/>
        </w:rPr>
        <w:t>En el siguiente ejemplo se utilizan los parámetros técnicos de una red celular GSM. Sin embargo, este método puede aplicarse a otras normas de redes celulares e interurbanas.</w:t>
      </w:r>
    </w:p>
    <w:p w14:paraId="673B5C8F" w14:textId="77777777" w:rsidR="00F73D5B" w:rsidRPr="008B7A21" w:rsidRDefault="00F73D5B" w:rsidP="00F73D5B">
      <w:pPr>
        <w:pStyle w:val="Headingi"/>
        <w:rPr>
          <w:lang w:val="es-ES_tradnl"/>
        </w:rPr>
      </w:pPr>
      <w:bookmarkStart w:id="1788" w:name="_Toc526166833"/>
      <w:bookmarkStart w:id="1789" w:name="_Toc215835431"/>
      <w:r w:rsidRPr="008B7A21">
        <w:rPr>
          <w:i w:val="0"/>
          <w:iCs/>
          <w:lang w:val="es-ES_tradnl"/>
        </w:rPr>
        <w:t>a)</w:t>
      </w:r>
      <w:r w:rsidRPr="008B7A21">
        <w:rPr>
          <w:lang w:val="es-ES_tradnl"/>
        </w:rPr>
        <w:tab/>
        <w:t>Número de estaciones de base (EB) en la red móvil como función de la anchura de banda</w:t>
      </w:r>
      <w:bookmarkEnd w:id="1788"/>
      <w:bookmarkEnd w:id="1789"/>
    </w:p>
    <w:p w14:paraId="6B5AC671" w14:textId="740EF0A5" w:rsidR="00F73D5B" w:rsidRPr="008B7A21" w:rsidRDefault="00F73D5B" w:rsidP="00F73D5B">
      <w:pPr>
        <w:rPr>
          <w:lang w:val="es-ES_tradnl"/>
        </w:rPr>
      </w:pPr>
      <w:r w:rsidRPr="008B7A21">
        <w:rPr>
          <w:lang w:val="es-ES_tradnl"/>
        </w:rPr>
        <w:t>El primer grupo de datos básicos incluye los parámetros indicados en el Cuadro 21, que se utilizan para determinar los siguientes parámetros clave de la red de comunicaciones móviles considerada:</w:t>
      </w:r>
    </w:p>
    <w:p w14:paraId="147BDDDB" w14:textId="77777777" w:rsidR="00F73D5B" w:rsidRPr="008B7A21" w:rsidRDefault="00F73D5B" w:rsidP="00F73D5B">
      <w:pPr>
        <w:pStyle w:val="enumlev1"/>
        <w:rPr>
          <w:lang w:val="es-ES_tradnl"/>
        </w:rPr>
      </w:pPr>
      <w:r w:rsidRPr="008B7A21">
        <w:rPr>
          <w:lang w:val="es-ES_tradnl"/>
        </w:rPr>
        <w:tab/>
      </w:r>
      <w:r w:rsidRPr="008B7A21">
        <w:rPr>
          <w:i/>
          <w:iCs/>
          <w:lang w:val="es-ES_tradnl"/>
        </w:rPr>
        <w:t>N</w:t>
      </w:r>
      <w:r w:rsidRPr="008B7A21">
        <w:rPr>
          <w:lang w:val="es-ES_tradnl"/>
        </w:rPr>
        <w:t>:</w:t>
      </w:r>
      <w:r w:rsidRPr="008B7A21">
        <w:rPr>
          <w:lang w:val="es-ES_tradnl"/>
        </w:rPr>
        <w:tab/>
        <w:t>tamaño de la agrupación de haces</w:t>
      </w:r>
    </w:p>
    <w:p w14:paraId="6EFAD753" w14:textId="77777777" w:rsidR="00F73D5B" w:rsidRPr="008B7A21" w:rsidRDefault="00F73D5B" w:rsidP="00F73D5B">
      <w:pPr>
        <w:pStyle w:val="enumlev1"/>
        <w:rPr>
          <w:lang w:val="es-ES_tradnl"/>
        </w:rPr>
      </w:pPr>
      <w:r w:rsidRPr="008B7A21">
        <w:rPr>
          <w:lang w:val="es-ES_tradnl"/>
        </w:rPr>
        <w:tab/>
      </w:r>
      <w:r w:rsidRPr="008B7A21">
        <w:rPr>
          <w:i/>
          <w:iCs/>
          <w:lang w:val="es-ES_tradnl"/>
        </w:rPr>
        <w:t>C</w:t>
      </w:r>
      <w:r w:rsidRPr="008B7A21">
        <w:rPr>
          <w:lang w:val="es-ES_tradnl"/>
        </w:rPr>
        <w:t>:</w:t>
      </w:r>
      <w:r w:rsidRPr="008B7A21">
        <w:rPr>
          <w:lang w:val="es-ES_tradnl"/>
        </w:rPr>
        <w:tab/>
        <w:t>número de EB que deben instalarse en una ciudad</w:t>
      </w:r>
    </w:p>
    <w:p w14:paraId="282370E8" w14:textId="77777777" w:rsidR="00F73D5B" w:rsidRPr="008B7A21" w:rsidRDefault="00F73D5B" w:rsidP="00F73D5B">
      <w:pPr>
        <w:pStyle w:val="enumlev1"/>
        <w:rPr>
          <w:lang w:val="es-ES_tradnl"/>
        </w:rPr>
      </w:pPr>
      <w:r w:rsidRPr="008B7A21">
        <w:rPr>
          <w:lang w:val="es-ES_tradnl"/>
        </w:rPr>
        <w:tab/>
      </w:r>
      <w:r w:rsidRPr="008B7A21">
        <w:rPr>
          <w:i/>
          <w:iCs/>
          <w:lang w:val="es-ES_tradnl"/>
        </w:rPr>
        <w:t>n</w:t>
      </w:r>
      <w:r w:rsidRPr="008B7A21">
        <w:rPr>
          <w:i/>
          <w:iCs/>
          <w:vertAlign w:val="subscript"/>
          <w:lang w:val="es-ES_tradnl"/>
        </w:rPr>
        <w:t>c</w:t>
      </w:r>
      <w:r w:rsidRPr="008B7A21">
        <w:rPr>
          <w:lang w:val="es-ES_tradnl"/>
        </w:rPr>
        <w:t>:</w:t>
      </w:r>
      <w:r w:rsidRPr="008B7A21">
        <w:rPr>
          <w:lang w:val="es-ES_tradnl"/>
        </w:rPr>
        <w:tab/>
        <w:t>número de canales telefónicos.</w:t>
      </w:r>
    </w:p>
    <w:p w14:paraId="72AF4188" w14:textId="23A3BB1B" w:rsidR="00F73D5B" w:rsidRPr="008B7A21" w:rsidRDefault="00F73D5B" w:rsidP="00F73D5B">
      <w:pPr>
        <w:pStyle w:val="TableNo"/>
        <w:rPr>
          <w:lang w:val="es-ES_tradnl"/>
        </w:rPr>
      </w:pPr>
      <w:r w:rsidRPr="008B7A21">
        <w:rPr>
          <w:lang w:val="es-ES_tradnl"/>
        </w:rPr>
        <w:t>CUADRO 21</w:t>
      </w:r>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34"/>
        <w:gridCol w:w="6917"/>
        <w:gridCol w:w="1587"/>
      </w:tblGrid>
      <w:tr w:rsidR="00F73D5B" w:rsidRPr="008B7A21" w14:paraId="08410CCD" w14:textId="77777777" w:rsidTr="00767A6A">
        <w:trPr>
          <w:cantSplit/>
          <w:tblHeader/>
          <w:jc w:val="center"/>
        </w:trPr>
        <w:tc>
          <w:tcPr>
            <w:tcW w:w="1134" w:type="dxa"/>
            <w:vAlign w:val="center"/>
          </w:tcPr>
          <w:p w14:paraId="4871E2A9" w14:textId="77777777" w:rsidR="00F73D5B" w:rsidRPr="008B7A21" w:rsidRDefault="00F73D5B" w:rsidP="00767A6A">
            <w:pPr>
              <w:pStyle w:val="Tablehead"/>
              <w:rPr>
                <w:lang w:val="es-ES_tradnl"/>
              </w:rPr>
            </w:pPr>
            <w:r w:rsidRPr="008B7A21">
              <w:rPr>
                <w:lang w:val="es-ES_tradnl"/>
              </w:rPr>
              <w:t>Símbolo</w:t>
            </w:r>
          </w:p>
        </w:tc>
        <w:tc>
          <w:tcPr>
            <w:tcW w:w="6917" w:type="dxa"/>
            <w:vAlign w:val="center"/>
          </w:tcPr>
          <w:p w14:paraId="541148BB" w14:textId="77777777" w:rsidR="00F73D5B" w:rsidRPr="008B7A21" w:rsidRDefault="00F73D5B" w:rsidP="00767A6A">
            <w:pPr>
              <w:pStyle w:val="Tablehead"/>
              <w:rPr>
                <w:lang w:val="es-ES_tradnl"/>
              </w:rPr>
            </w:pPr>
            <w:r w:rsidRPr="008B7A21">
              <w:rPr>
                <w:lang w:val="es-ES_tradnl"/>
              </w:rPr>
              <w:t>Parámetros</w:t>
            </w:r>
          </w:p>
        </w:tc>
        <w:tc>
          <w:tcPr>
            <w:tcW w:w="1587" w:type="dxa"/>
            <w:vAlign w:val="center"/>
          </w:tcPr>
          <w:p w14:paraId="362017E2" w14:textId="77777777" w:rsidR="00F73D5B" w:rsidRPr="008B7A21" w:rsidRDefault="00F73D5B" w:rsidP="00767A6A">
            <w:pPr>
              <w:pStyle w:val="Tablehead"/>
              <w:rPr>
                <w:lang w:val="es-ES_tradnl"/>
              </w:rPr>
            </w:pPr>
            <w:r w:rsidRPr="008B7A21">
              <w:rPr>
                <w:lang w:val="es-ES_tradnl"/>
              </w:rPr>
              <w:t>Valor calculado</w:t>
            </w:r>
          </w:p>
        </w:tc>
      </w:tr>
      <w:tr w:rsidR="00F73D5B" w:rsidRPr="008B7A21" w14:paraId="5B2EC031" w14:textId="77777777" w:rsidTr="00767A6A">
        <w:trPr>
          <w:cantSplit/>
          <w:jc w:val="center"/>
        </w:trPr>
        <w:tc>
          <w:tcPr>
            <w:tcW w:w="1134" w:type="dxa"/>
          </w:tcPr>
          <w:p w14:paraId="4294C3D4" w14:textId="77777777" w:rsidR="00F73D5B" w:rsidRPr="008B7A21" w:rsidRDefault="00F73D5B" w:rsidP="00767A6A">
            <w:pPr>
              <w:pStyle w:val="Tabletext"/>
              <w:jc w:val="center"/>
              <w:rPr>
                <w:i/>
                <w:iCs/>
                <w:lang w:val="es-ES_tradnl"/>
              </w:rPr>
            </w:pPr>
            <w:r w:rsidRPr="008B7A21">
              <w:rPr>
                <w:i/>
                <w:iCs/>
                <w:lang w:val="es-ES_tradnl"/>
              </w:rPr>
              <w:t>F</w:t>
            </w:r>
          </w:p>
        </w:tc>
        <w:tc>
          <w:tcPr>
            <w:tcW w:w="6917" w:type="dxa"/>
          </w:tcPr>
          <w:p w14:paraId="60296E0F" w14:textId="77777777" w:rsidR="00F73D5B" w:rsidRPr="008B7A21" w:rsidRDefault="00F73D5B" w:rsidP="00767A6A">
            <w:pPr>
              <w:pStyle w:val="Tabletext"/>
              <w:jc w:val="left"/>
              <w:rPr>
                <w:lang w:val="es-ES_tradnl"/>
              </w:rPr>
            </w:pPr>
            <w:r w:rsidRPr="008B7A21">
              <w:rPr>
                <w:lang w:val="es-ES_tradnl"/>
              </w:rPr>
              <w:t>Anchura de banda para la red móvil en la zona de servicio</w:t>
            </w:r>
          </w:p>
        </w:tc>
        <w:tc>
          <w:tcPr>
            <w:tcW w:w="1587" w:type="dxa"/>
          </w:tcPr>
          <w:p w14:paraId="307031AE" w14:textId="77777777" w:rsidR="00F73D5B" w:rsidRPr="008B7A21" w:rsidRDefault="00F73D5B" w:rsidP="00767A6A">
            <w:pPr>
              <w:pStyle w:val="Tabletext"/>
              <w:jc w:val="center"/>
              <w:rPr>
                <w:lang w:val="es-ES_tradnl"/>
              </w:rPr>
            </w:pPr>
            <w:r w:rsidRPr="008B7A21">
              <w:rPr>
                <w:lang w:val="es-ES_tradnl"/>
              </w:rPr>
              <w:t>2-25 MHz</w:t>
            </w:r>
          </w:p>
        </w:tc>
      </w:tr>
      <w:tr w:rsidR="00F73D5B" w:rsidRPr="008B7A21" w14:paraId="7DFA6A91" w14:textId="77777777" w:rsidTr="00767A6A">
        <w:trPr>
          <w:cantSplit/>
          <w:jc w:val="center"/>
        </w:trPr>
        <w:tc>
          <w:tcPr>
            <w:tcW w:w="1134" w:type="dxa"/>
          </w:tcPr>
          <w:p w14:paraId="2B900BCB" w14:textId="77777777" w:rsidR="00F73D5B" w:rsidRPr="008B7A21" w:rsidRDefault="00F73D5B" w:rsidP="00767A6A">
            <w:pPr>
              <w:pStyle w:val="Tabletext"/>
              <w:jc w:val="center"/>
              <w:rPr>
                <w:i/>
                <w:iCs/>
                <w:lang w:val="es-ES_tradnl"/>
              </w:rPr>
            </w:pPr>
            <w:r w:rsidRPr="008B7A21">
              <w:rPr>
                <w:i/>
                <w:iCs/>
                <w:lang w:val="es-ES_tradnl"/>
              </w:rPr>
              <w:t>F</w:t>
            </w:r>
            <w:r w:rsidRPr="008B7A21">
              <w:rPr>
                <w:i/>
                <w:iCs/>
                <w:position w:val="-4"/>
                <w:sz w:val="14"/>
                <w:lang w:val="es-ES_tradnl"/>
              </w:rPr>
              <w:t>k</w:t>
            </w:r>
          </w:p>
        </w:tc>
        <w:tc>
          <w:tcPr>
            <w:tcW w:w="6917" w:type="dxa"/>
          </w:tcPr>
          <w:p w14:paraId="5021251D" w14:textId="77777777" w:rsidR="00F73D5B" w:rsidRPr="008B7A21" w:rsidRDefault="00F73D5B" w:rsidP="00767A6A">
            <w:pPr>
              <w:pStyle w:val="Tabletext"/>
              <w:jc w:val="left"/>
              <w:rPr>
                <w:lang w:val="es-ES_tradnl"/>
              </w:rPr>
            </w:pPr>
            <w:r w:rsidRPr="008B7A21">
              <w:rPr>
                <w:lang w:val="es-ES_tradnl"/>
              </w:rPr>
              <w:t>Anchura de banda de canal del sistema de la red móvil (para los sistemas de NMT, AMPS</w:t>
            </w:r>
            <w:r w:rsidRPr="008B7A21">
              <w:rPr>
                <w:lang w:val="es-ES_tradnl"/>
              </w:rPr>
              <w:noBreakHyphen/>
              <w:t>D, GSM, F</w:t>
            </w:r>
            <w:r w:rsidRPr="008B7A21">
              <w:rPr>
                <w:vertAlign w:val="subscript"/>
                <w:lang w:val="es-ES_tradnl"/>
              </w:rPr>
              <w:t>k</w:t>
            </w:r>
            <w:r w:rsidRPr="008B7A21">
              <w:rPr>
                <w:lang w:val="es-ES_tradnl"/>
              </w:rPr>
              <w:t> = 25, 300 y 200 kHz, respectivamente)</w:t>
            </w:r>
          </w:p>
        </w:tc>
        <w:tc>
          <w:tcPr>
            <w:tcW w:w="1587" w:type="dxa"/>
          </w:tcPr>
          <w:p w14:paraId="2299B67C" w14:textId="77777777" w:rsidR="00F73D5B" w:rsidRPr="008B7A21" w:rsidRDefault="00F73D5B" w:rsidP="00767A6A">
            <w:pPr>
              <w:pStyle w:val="Tabletext"/>
              <w:jc w:val="center"/>
              <w:rPr>
                <w:lang w:val="es-ES_tradnl"/>
              </w:rPr>
            </w:pPr>
            <w:r w:rsidRPr="008B7A21">
              <w:rPr>
                <w:lang w:val="es-ES_tradnl"/>
              </w:rPr>
              <w:t>0,2 MHz</w:t>
            </w:r>
          </w:p>
        </w:tc>
      </w:tr>
      <w:tr w:rsidR="00F73D5B" w:rsidRPr="008B7A21" w14:paraId="42AF5A2C" w14:textId="77777777" w:rsidTr="00767A6A">
        <w:trPr>
          <w:cantSplit/>
          <w:jc w:val="center"/>
        </w:trPr>
        <w:tc>
          <w:tcPr>
            <w:tcW w:w="1134" w:type="dxa"/>
          </w:tcPr>
          <w:p w14:paraId="0AD72D5F" w14:textId="77777777" w:rsidR="00F73D5B" w:rsidRPr="008B7A21" w:rsidRDefault="00F73D5B" w:rsidP="00767A6A">
            <w:pPr>
              <w:pStyle w:val="Tabletext"/>
              <w:jc w:val="center"/>
              <w:rPr>
                <w:i/>
                <w:iCs/>
                <w:lang w:val="es-ES_tradnl"/>
              </w:rPr>
            </w:pPr>
            <w:r w:rsidRPr="008B7A21">
              <w:rPr>
                <w:i/>
                <w:iCs/>
                <w:lang w:val="es-ES_tradnl"/>
              </w:rPr>
              <w:t>M</w:t>
            </w:r>
          </w:p>
        </w:tc>
        <w:tc>
          <w:tcPr>
            <w:tcW w:w="6917" w:type="dxa"/>
          </w:tcPr>
          <w:p w14:paraId="7BF4502D" w14:textId="77777777" w:rsidR="00F73D5B" w:rsidRPr="008B7A21" w:rsidRDefault="00F73D5B" w:rsidP="00767A6A">
            <w:pPr>
              <w:pStyle w:val="Tabletext"/>
              <w:jc w:val="left"/>
              <w:rPr>
                <w:lang w:val="es-ES_tradnl"/>
              </w:rPr>
            </w:pPr>
            <w:r w:rsidRPr="008B7A21">
              <w:rPr>
                <w:lang w:val="es-ES_tradnl"/>
              </w:rPr>
              <w:t xml:space="preserve">Número de sectores atendido en una célula (M = 1 para </w:t>
            </w:r>
            <w:r w:rsidRPr="008B7A21">
              <w:rPr>
                <w:lang w:val="es-ES_tradnl"/>
              </w:rPr>
              <w:sym w:font="Symbol" w:char="F071"/>
            </w:r>
            <w:r w:rsidRPr="008B7A21">
              <w:rPr>
                <w:lang w:val="es-ES_tradnl"/>
              </w:rPr>
              <w:t> = 360°; M = 3 para </w:t>
            </w:r>
            <w:r w:rsidRPr="008B7A21">
              <w:rPr>
                <w:lang w:val="es-ES_tradnl"/>
              </w:rPr>
              <w:sym w:font="Symbol" w:char="F071"/>
            </w:r>
            <w:r w:rsidRPr="008B7A21">
              <w:rPr>
                <w:lang w:val="es-ES_tradnl"/>
              </w:rPr>
              <w:t xml:space="preserve"> = 120°; M = 6 para </w:t>
            </w:r>
            <w:r w:rsidRPr="008B7A21">
              <w:rPr>
                <w:lang w:val="es-ES_tradnl"/>
              </w:rPr>
              <w:sym w:font="Symbol" w:char="F071"/>
            </w:r>
            <w:r w:rsidRPr="008B7A21">
              <w:rPr>
                <w:lang w:val="es-ES_tradnl"/>
              </w:rPr>
              <w:t xml:space="preserve"> = 60°, donde </w:t>
            </w:r>
            <w:r w:rsidRPr="008B7A21">
              <w:rPr>
                <w:lang w:val="es-ES_tradnl"/>
              </w:rPr>
              <w:sym w:font="Symbol" w:char="F071"/>
            </w:r>
            <w:r w:rsidRPr="008B7A21">
              <w:rPr>
                <w:lang w:val="es-ES_tradnl"/>
              </w:rPr>
              <w:t xml:space="preserve"> es la anchura del diagrama de radiación de antena de la EB)</w:t>
            </w:r>
          </w:p>
        </w:tc>
        <w:tc>
          <w:tcPr>
            <w:tcW w:w="1587" w:type="dxa"/>
          </w:tcPr>
          <w:p w14:paraId="66B4D72A" w14:textId="77777777" w:rsidR="00F73D5B" w:rsidRPr="008B7A21" w:rsidRDefault="00F73D5B" w:rsidP="00767A6A">
            <w:pPr>
              <w:pStyle w:val="Tabletext"/>
              <w:jc w:val="center"/>
              <w:rPr>
                <w:lang w:val="es-ES_tradnl"/>
              </w:rPr>
            </w:pPr>
            <w:r w:rsidRPr="008B7A21">
              <w:rPr>
                <w:lang w:val="es-ES_tradnl"/>
              </w:rPr>
              <w:t>1-6</w:t>
            </w:r>
          </w:p>
        </w:tc>
      </w:tr>
      <w:tr w:rsidR="00F73D5B" w:rsidRPr="008B7A21" w14:paraId="7E767684" w14:textId="77777777" w:rsidTr="00767A6A">
        <w:trPr>
          <w:cantSplit/>
          <w:jc w:val="center"/>
        </w:trPr>
        <w:tc>
          <w:tcPr>
            <w:tcW w:w="1134" w:type="dxa"/>
          </w:tcPr>
          <w:p w14:paraId="5C2323BF" w14:textId="77777777" w:rsidR="00F73D5B" w:rsidRPr="008B7A21" w:rsidRDefault="00F73D5B" w:rsidP="00767A6A">
            <w:pPr>
              <w:pStyle w:val="Tabletext"/>
              <w:jc w:val="center"/>
              <w:rPr>
                <w:i/>
                <w:iCs/>
                <w:lang w:val="es-ES_tradnl"/>
              </w:rPr>
            </w:pPr>
            <w:r w:rsidRPr="008B7A21">
              <w:rPr>
                <w:i/>
                <w:iCs/>
                <w:lang w:val="es-ES_tradnl"/>
              </w:rPr>
              <w:t>n</w:t>
            </w:r>
            <w:r w:rsidRPr="008B7A21">
              <w:rPr>
                <w:i/>
                <w:iCs/>
                <w:vertAlign w:val="subscript"/>
                <w:lang w:val="es-ES_tradnl"/>
              </w:rPr>
              <w:sym w:font="Symbol" w:char="F061"/>
            </w:r>
          </w:p>
        </w:tc>
        <w:tc>
          <w:tcPr>
            <w:tcW w:w="6917" w:type="dxa"/>
          </w:tcPr>
          <w:p w14:paraId="4B1F4774" w14:textId="77777777" w:rsidR="00F73D5B" w:rsidRPr="008B7A21" w:rsidRDefault="00F73D5B" w:rsidP="00767A6A">
            <w:pPr>
              <w:pStyle w:val="Tabletext"/>
              <w:jc w:val="left"/>
              <w:rPr>
                <w:lang w:val="es-ES_tradnl"/>
              </w:rPr>
            </w:pPr>
            <w:r w:rsidRPr="008B7A21">
              <w:rPr>
                <w:lang w:val="es-ES_tradnl"/>
              </w:rPr>
              <w:t>Número de abonados que pueden utilizar simultáneamente un canal de frecuencias (para sistemas NMT, AMPS-D y GSM, n</w:t>
            </w:r>
            <w:r w:rsidRPr="008B7A21">
              <w:rPr>
                <w:position w:val="-4"/>
                <w:sz w:val="14"/>
                <w:lang w:val="es-ES_tradnl"/>
              </w:rPr>
              <w:sym w:font="Symbol" w:char="F061"/>
            </w:r>
            <w:r w:rsidRPr="008B7A21">
              <w:rPr>
                <w:lang w:val="es-ES_tradnl"/>
              </w:rPr>
              <w:t> = 1, 3 y 8, respectivamente)</w:t>
            </w:r>
          </w:p>
        </w:tc>
        <w:tc>
          <w:tcPr>
            <w:tcW w:w="1587" w:type="dxa"/>
          </w:tcPr>
          <w:p w14:paraId="0A050AA8" w14:textId="77777777" w:rsidR="00F73D5B" w:rsidRPr="008B7A21" w:rsidRDefault="00F73D5B" w:rsidP="00767A6A">
            <w:pPr>
              <w:pStyle w:val="Tabletext"/>
              <w:jc w:val="center"/>
              <w:rPr>
                <w:lang w:val="es-ES_tradnl"/>
              </w:rPr>
            </w:pPr>
            <w:r w:rsidRPr="008B7A21">
              <w:rPr>
                <w:lang w:val="es-ES_tradnl"/>
              </w:rPr>
              <w:t>8</w:t>
            </w:r>
          </w:p>
        </w:tc>
      </w:tr>
      <w:tr w:rsidR="00F73D5B" w:rsidRPr="008B7A21" w14:paraId="06DD6194" w14:textId="77777777" w:rsidTr="00767A6A">
        <w:trPr>
          <w:cantSplit/>
          <w:jc w:val="center"/>
        </w:trPr>
        <w:tc>
          <w:tcPr>
            <w:tcW w:w="1134" w:type="dxa"/>
          </w:tcPr>
          <w:p w14:paraId="21AD9B98" w14:textId="77777777" w:rsidR="00F73D5B" w:rsidRPr="008B7A21" w:rsidRDefault="00F73D5B" w:rsidP="00767A6A">
            <w:pPr>
              <w:pStyle w:val="Tabletext"/>
              <w:jc w:val="center"/>
              <w:rPr>
                <w:i/>
                <w:iCs/>
                <w:lang w:val="es-ES_tradnl"/>
              </w:rPr>
            </w:pPr>
            <w:r w:rsidRPr="008B7A21">
              <w:rPr>
                <w:i/>
                <w:iCs/>
                <w:lang w:val="es-ES_tradnl"/>
              </w:rPr>
              <w:t>N</w:t>
            </w:r>
            <w:r w:rsidRPr="008B7A21">
              <w:rPr>
                <w:i/>
                <w:iCs/>
                <w:vertAlign w:val="subscript"/>
                <w:lang w:val="es-ES_tradnl"/>
              </w:rPr>
              <w:sym w:font="Symbol" w:char="F061"/>
            </w:r>
          </w:p>
        </w:tc>
        <w:tc>
          <w:tcPr>
            <w:tcW w:w="6917" w:type="dxa"/>
          </w:tcPr>
          <w:p w14:paraId="1C36D097" w14:textId="77777777" w:rsidR="00F73D5B" w:rsidRPr="008B7A21" w:rsidRDefault="00F73D5B" w:rsidP="00767A6A">
            <w:pPr>
              <w:pStyle w:val="Tabletext"/>
              <w:jc w:val="left"/>
              <w:rPr>
                <w:lang w:val="es-ES_tradnl"/>
              </w:rPr>
            </w:pPr>
            <w:r w:rsidRPr="008B7A21">
              <w:rPr>
                <w:lang w:val="es-ES_tradnl"/>
              </w:rPr>
              <w:t>Número de abonados que debe atender la red móvil celular en una ciudad</w:t>
            </w:r>
          </w:p>
        </w:tc>
        <w:tc>
          <w:tcPr>
            <w:tcW w:w="1587" w:type="dxa"/>
          </w:tcPr>
          <w:p w14:paraId="7DECF76F" w14:textId="77777777" w:rsidR="00F73D5B" w:rsidRPr="008B7A21" w:rsidRDefault="00F73D5B" w:rsidP="00767A6A">
            <w:pPr>
              <w:pStyle w:val="Tabletext"/>
              <w:jc w:val="center"/>
              <w:rPr>
                <w:lang w:val="es-ES_tradnl"/>
              </w:rPr>
            </w:pPr>
            <w:r w:rsidRPr="008B7A21">
              <w:rPr>
                <w:lang w:val="es-ES_tradnl"/>
              </w:rPr>
              <w:t>10</w:t>
            </w:r>
            <w:r w:rsidRPr="008B7A21">
              <w:rPr>
                <w:color w:val="000000"/>
                <w:sz w:val="16"/>
                <w:lang w:val="es-ES_tradnl"/>
              </w:rPr>
              <w:t> </w:t>
            </w:r>
            <w:r w:rsidRPr="008B7A21">
              <w:rPr>
                <w:lang w:val="es-ES_tradnl"/>
              </w:rPr>
              <w:t>000-150</w:t>
            </w:r>
            <w:r w:rsidRPr="008B7A21">
              <w:rPr>
                <w:color w:val="000000"/>
                <w:sz w:val="16"/>
                <w:lang w:val="es-ES_tradnl"/>
              </w:rPr>
              <w:t> </w:t>
            </w:r>
            <w:r w:rsidRPr="008B7A21">
              <w:rPr>
                <w:lang w:val="es-ES_tradnl"/>
              </w:rPr>
              <w:t>000 personas</w:t>
            </w:r>
          </w:p>
        </w:tc>
      </w:tr>
      <w:tr w:rsidR="00F73D5B" w:rsidRPr="008B7A21" w14:paraId="5148B90A" w14:textId="77777777" w:rsidTr="00767A6A">
        <w:trPr>
          <w:cantSplit/>
          <w:jc w:val="center"/>
        </w:trPr>
        <w:tc>
          <w:tcPr>
            <w:tcW w:w="1134" w:type="dxa"/>
          </w:tcPr>
          <w:p w14:paraId="75F50ECE" w14:textId="77777777" w:rsidR="00F73D5B" w:rsidRPr="008B7A21" w:rsidRDefault="00F73D5B" w:rsidP="00767A6A">
            <w:pPr>
              <w:pStyle w:val="Tabletext"/>
              <w:jc w:val="center"/>
              <w:rPr>
                <w:lang w:val="es-ES_tradnl"/>
              </w:rPr>
            </w:pPr>
            <w:r w:rsidRPr="008B7A21">
              <w:rPr>
                <w:lang w:val="es-ES_tradnl"/>
              </w:rPr>
              <w:sym w:font="Symbol" w:char="F062"/>
            </w:r>
          </w:p>
        </w:tc>
        <w:tc>
          <w:tcPr>
            <w:tcW w:w="6917" w:type="dxa"/>
          </w:tcPr>
          <w:p w14:paraId="5545DCD6" w14:textId="77777777" w:rsidR="00F73D5B" w:rsidRPr="008B7A21" w:rsidRDefault="00F73D5B" w:rsidP="00767A6A">
            <w:pPr>
              <w:pStyle w:val="Tabletext"/>
              <w:jc w:val="left"/>
              <w:rPr>
                <w:lang w:val="es-ES_tradnl"/>
              </w:rPr>
            </w:pPr>
            <w:r w:rsidRPr="008B7A21">
              <w:rPr>
                <w:lang w:val="es-ES_tradnl"/>
              </w:rPr>
              <w:t>Actividades de un abonado en horas punta de tráfico</w:t>
            </w:r>
          </w:p>
        </w:tc>
        <w:tc>
          <w:tcPr>
            <w:tcW w:w="1587" w:type="dxa"/>
          </w:tcPr>
          <w:p w14:paraId="7435DC13" w14:textId="77777777" w:rsidR="00F73D5B" w:rsidRPr="008B7A21" w:rsidRDefault="00F73D5B" w:rsidP="00767A6A">
            <w:pPr>
              <w:pStyle w:val="Tabletext"/>
              <w:jc w:val="center"/>
              <w:rPr>
                <w:lang w:val="es-ES_tradnl"/>
              </w:rPr>
            </w:pPr>
            <w:r w:rsidRPr="008B7A21">
              <w:rPr>
                <w:lang w:val="es-ES_tradnl"/>
              </w:rPr>
              <w:t>0,025 E</w:t>
            </w:r>
          </w:p>
        </w:tc>
      </w:tr>
      <w:tr w:rsidR="00F73D5B" w:rsidRPr="008B7A21" w14:paraId="5862047A" w14:textId="77777777" w:rsidTr="00767A6A">
        <w:trPr>
          <w:cantSplit/>
          <w:jc w:val="center"/>
        </w:trPr>
        <w:tc>
          <w:tcPr>
            <w:tcW w:w="1134" w:type="dxa"/>
          </w:tcPr>
          <w:p w14:paraId="6DEFA373" w14:textId="77777777" w:rsidR="00F73D5B" w:rsidRPr="008B7A21" w:rsidRDefault="00F73D5B" w:rsidP="00767A6A">
            <w:pPr>
              <w:pStyle w:val="Tabletext"/>
              <w:jc w:val="center"/>
              <w:rPr>
                <w:i/>
                <w:iCs/>
                <w:lang w:val="es-ES_tradnl"/>
              </w:rPr>
            </w:pPr>
            <w:r w:rsidRPr="008B7A21">
              <w:rPr>
                <w:i/>
                <w:iCs/>
                <w:lang w:val="es-ES_tradnl"/>
              </w:rPr>
              <w:t>P</w:t>
            </w:r>
            <w:r w:rsidRPr="008B7A21">
              <w:rPr>
                <w:i/>
                <w:iCs/>
                <w:vertAlign w:val="subscript"/>
                <w:lang w:val="es-ES_tradnl"/>
              </w:rPr>
              <w:sym w:font="Symbol" w:char="F061"/>
            </w:r>
          </w:p>
        </w:tc>
        <w:tc>
          <w:tcPr>
            <w:tcW w:w="6917" w:type="dxa"/>
          </w:tcPr>
          <w:p w14:paraId="1D5E656C" w14:textId="77777777" w:rsidR="00F73D5B" w:rsidRPr="008B7A21" w:rsidRDefault="00F73D5B" w:rsidP="00767A6A">
            <w:pPr>
              <w:pStyle w:val="Tabletext"/>
              <w:jc w:val="left"/>
              <w:rPr>
                <w:lang w:val="es-ES_tradnl"/>
              </w:rPr>
            </w:pPr>
            <w:r w:rsidRPr="008B7A21">
              <w:rPr>
                <w:lang w:val="es-ES_tradnl"/>
              </w:rPr>
              <w:t>Probabilidad permisible del bloqueo de llamada en la red móvil</w:t>
            </w:r>
          </w:p>
        </w:tc>
        <w:tc>
          <w:tcPr>
            <w:tcW w:w="1587" w:type="dxa"/>
          </w:tcPr>
          <w:p w14:paraId="4965906A" w14:textId="77777777" w:rsidR="00F73D5B" w:rsidRPr="008B7A21" w:rsidRDefault="00F73D5B" w:rsidP="00767A6A">
            <w:pPr>
              <w:pStyle w:val="Tabletext"/>
              <w:jc w:val="center"/>
              <w:rPr>
                <w:lang w:val="es-ES_tradnl"/>
              </w:rPr>
            </w:pPr>
            <w:r w:rsidRPr="008B7A21">
              <w:rPr>
                <w:lang w:val="es-ES_tradnl"/>
              </w:rPr>
              <w:t>0,1</w:t>
            </w:r>
          </w:p>
        </w:tc>
      </w:tr>
      <w:tr w:rsidR="00F73D5B" w:rsidRPr="008B7A21" w14:paraId="73BF565D" w14:textId="77777777" w:rsidTr="00767A6A">
        <w:trPr>
          <w:cantSplit/>
          <w:jc w:val="center"/>
        </w:trPr>
        <w:tc>
          <w:tcPr>
            <w:tcW w:w="1134" w:type="dxa"/>
          </w:tcPr>
          <w:p w14:paraId="5228BCB8" w14:textId="77777777" w:rsidR="00F73D5B" w:rsidRPr="008B7A21" w:rsidRDefault="00F73D5B" w:rsidP="00767A6A">
            <w:pPr>
              <w:pStyle w:val="Tabletext"/>
              <w:jc w:val="center"/>
              <w:rPr>
                <w:lang w:val="es-ES_tradnl"/>
              </w:rPr>
            </w:pPr>
            <w:r w:rsidRPr="008B7A21">
              <w:rPr>
                <w:lang w:val="es-ES_tradnl"/>
              </w:rPr>
              <w:sym w:font="Symbol" w:char="F072"/>
            </w:r>
            <w:r w:rsidRPr="008B7A21">
              <w:rPr>
                <w:position w:val="-4"/>
                <w:sz w:val="14"/>
                <w:lang w:val="es-ES_tradnl"/>
              </w:rPr>
              <w:t>0</w:t>
            </w:r>
          </w:p>
        </w:tc>
        <w:tc>
          <w:tcPr>
            <w:tcW w:w="6917" w:type="dxa"/>
          </w:tcPr>
          <w:p w14:paraId="7FDCBAC7" w14:textId="77777777" w:rsidR="00F73D5B" w:rsidRPr="008B7A21" w:rsidRDefault="00F73D5B" w:rsidP="00767A6A">
            <w:pPr>
              <w:pStyle w:val="Tabletext"/>
              <w:jc w:val="left"/>
              <w:rPr>
                <w:lang w:val="es-ES_tradnl"/>
              </w:rPr>
            </w:pPr>
            <w:r w:rsidRPr="008B7A21">
              <w:rPr>
                <w:lang w:val="es-ES_tradnl"/>
              </w:rPr>
              <w:t xml:space="preserve">Relación de protección requerida para los receptores de la red móvil (para sistemas NMT, AMPS-D y GSM, </w:t>
            </w:r>
            <w:r w:rsidRPr="008B7A21">
              <w:rPr>
                <w:lang w:val="es-ES_tradnl"/>
              </w:rPr>
              <w:sym w:font="Symbol" w:char="F072"/>
            </w:r>
            <w:r w:rsidRPr="008B7A21">
              <w:rPr>
                <w:vertAlign w:val="subscript"/>
                <w:lang w:val="es-ES_tradnl"/>
              </w:rPr>
              <w:t>0</w:t>
            </w:r>
            <w:r w:rsidRPr="008B7A21">
              <w:rPr>
                <w:lang w:val="es-ES_tradnl"/>
              </w:rPr>
              <w:t> = 18,9 y 9 dB, respectivamente)</w:t>
            </w:r>
          </w:p>
        </w:tc>
        <w:tc>
          <w:tcPr>
            <w:tcW w:w="1587" w:type="dxa"/>
          </w:tcPr>
          <w:p w14:paraId="51F65FA0" w14:textId="77777777" w:rsidR="00F73D5B" w:rsidRPr="008B7A21" w:rsidRDefault="00F73D5B" w:rsidP="00767A6A">
            <w:pPr>
              <w:pStyle w:val="Tabletext"/>
              <w:jc w:val="center"/>
              <w:rPr>
                <w:lang w:val="es-ES_tradnl"/>
              </w:rPr>
            </w:pPr>
            <w:r w:rsidRPr="008B7A21">
              <w:rPr>
                <w:lang w:val="es-ES_tradnl"/>
              </w:rPr>
              <w:t>9 dB</w:t>
            </w:r>
          </w:p>
        </w:tc>
      </w:tr>
      <w:tr w:rsidR="00F73D5B" w:rsidRPr="008B7A21" w14:paraId="456DC82E" w14:textId="77777777" w:rsidTr="00767A6A">
        <w:trPr>
          <w:cantSplit/>
          <w:jc w:val="center"/>
        </w:trPr>
        <w:tc>
          <w:tcPr>
            <w:tcW w:w="1134" w:type="dxa"/>
          </w:tcPr>
          <w:p w14:paraId="0E611471" w14:textId="77777777" w:rsidR="00F73D5B" w:rsidRPr="008B7A21" w:rsidRDefault="00F73D5B" w:rsidP="00767A6A">
            <w:pPr>
              <w:pStyle w:val="Tabletext"/>
              <w:jc w:val="center"/>
              <w:rPr>
                <w:i/>
                <w:iCs/>
                <w:lang w:val="es-ES_tradnl"/>
              </w:rPr>
            </w:pPr>
            <w:r w:rsidRPr="008B7A21">
              <w:rPr>
                <w:i/>
                <w:iCs/>
                <w:lang w:val="es-ES_tradnl"/>
              </w:rPr>
              <w:t>P</w:t>
            </w:r>
            <w:r w:rsidRPr="008B7A21">
              <w:rPr>
                <w:i/>
                <w:iCs/>
                <w:position w:val="-4"/>
                <w:sz w:val="14"/>
                <w:lang w:val="es-ES_tradnl"/>
              </w:rPr>
              <w:t>t</w:t>
            </w:r>
          </w:p>
        </w:tc>
        <w:tc>
          <w:tcPr>
            <w:tcW w:w="6917" w:type="dxa"/>
          </w:tcPr>
          <w:p w14:paraId="3D59E0D5" w14:textId="77777777" w:rsidR="00F73D5B" w:rsidRPr="008B7A21" w:rsidRDefault="00F73D5B" w:rsidP="00767A6A">
            <w:pPr>
              <w:pStyle w:val="Tabletext"/>
              <w:jc w:val="left"/>
              <w:rPr>
                <w:lang w:val="es-ES_tradnl"/>
              </w:rPr>
            </w:pPr>
            <w:r w:rsidRPr="008B7A21">
              <w:rPr>
                <w:lang w:val="es-ES_tradnl"/>
              </w:rPr>
              <w:t>Porcentaje del tiempo durante el cual se permite que la relación señal/</w:t>
            </w:r>
            <w:r w:rsidRPr="008B7A21">
              <w:rPr>
                <w:lang w:val="es-ES_tradnl"/>
              </w:rPr>
              <w:br/>
              <w:t xml:space="preserve">interferencia en la entrada del transmisor de la red móvil sea inferior a la relación de protección, </w:t>
            </w:r>
            <w:r w:rsidRPr="008B7A21">
              <w:rPr>
                <w:lang w:val="es-ES_tradnl"/>
              </w:rPr>
              <w:sym w:font="Symbol" w:char="F072"/>
            </w:r>
            <w:r w:rsidRPr="008B7A21">
              <w:rPr>
                <w:vertAlign w:val="subscript"/>
                <w:lang w:val="es-ES_tradnl"/>
              </w:rPr>
              <w:t>0</w:t>
            </w:r>
          </w:p>
        </w:tc>
        <w:tc>
          <w:tcPr>
            <w:tcW w:w="1587" w:type="dxa"/>
          </w:tcPr>
          <w:p w14:paraId="3C13248B" w14:textId="77777777" w:rsidR="00F73D5B" w:rsidRPr="008B7A21" w:rsidRDefault="00F73D5B" w:rsidP="00767A6A">
            <w:pPr>
              <w:pStyle w:val="Tabletext"/>
              <w:jc w:val="center"/>
              <w:rPr>
                <w:lang w:val="es-ES_tradnl"/>
              </w:rPr>
            </w:pPr>
            <w:r w:rsidRPr="008B7A21">
              <w:rPr>
                <w:lang w:val="es-ES_tradnl"/>
              </w:rPr>
              <w:t>10%</w:t>
            </w:r>
          </w:p>
        </w:tc>
      </w:tr>
      <w:tr w:rsidR="00F73D5B" w:rsidRPr="008B7A21" w14:paraId="02E22FB2" w14:textId="77777777" w:rsidTr="00767A6A">
        <w:trPr>
          <w:cantSplit/>
          <w:jc w:val="center"/>
        </w:trPr>
        <w:tc>
          <w:tcPr>
            <w:tcW w:w="1134" w:type="dxa"/>
          </w:tcPr>
          <w:p w14:paraId="1FA564D4" w14:textId="77777777" w:rsidR="00F73D5B" w:rsidRPr="008B7A21" w:rsidRDefault="00F73D5B" w:rsidP="00767A6A">
            <w:pPr>
              <w:pStyle w:val="Tabletext"/>
              <w:jc w:val="center"/>
              <w:rPr>
                <w:lang w:val="es-ES_tradnl"/>
              </w:rPr>
            </w:pPr>
            <w:r w:rsidRPr="008B7A21">
              <w:rPr>
                <w:lang w:val="es-ES_tradnl"/>
              </w:rPr>
              <w:sym w:font="Symbol" w:char="F073"/>
            </w:r>
          </w:p>
        </w:tc>
        <w:tc>
          <w:tcPr>
            <w:tcW w:w="6917" w:type="dxa"/>
          </w:tcPr>
          <w:p w14:paraId="2719E3DF" w14:textId="77777777" w:rsidR="00F73D5B" w:rsidRPr="008B7A21" w:rsidRDefault="00F73D5B" w:rsidP="00767A6A">
            <w:pPr>
              <w:pStyle w:val="Tabletext"/>
              <w:jc w:val="left"/>
              <w:rPr>
                <w:lang w:val="es-ES_tradnl"/>
              </w:rPr>
            </w:pPr>
            <w:r w:rsidRPr="008B7A21">
              <w:rPr>
                <w:lang w:val="es-ES_tradnl"/>
              </w:rPr>
              <w:t xml:space="preserve">Parámetro que determina la gama de las variaciones aleatorias del nivel de la señal recibida en el emplazamiento de recepción (para sistemas de redes móviles, </w:t>
            </w:r>
            <w:r w:rsidRPr="008B7A21">
              <w:rPr>
                <w:lang w:val="es-ES_tradnl"/>
              </w:rPr>
              <w:sym w:font="Symbol" w:char="F073"/>
            </w:r>
            <w:r w:rsidRPr="008B7A21">
              <w:rPr>
                <w:lang w:val="es-ES_tradnl"/>
              </w:rPr>
              <w:t> = 4–10 dB)</w:t>
            </w:r>
          </w:p>
        </w:tc>
        <w:tc>
          <w:tcPr>
            <w:tcW w:w="1587" w:type="dxa"/>
          </w:tcPr>
          <w:p w14:paraId="2747A719" w14:textId="77777777" w:rsidR="00F73D5B" w:rsidRPr="008B7A21" w:rsidRDefault="00F73D5B" w:rsidP="00767A6A">
            <w:pPr>
              <w:pStyle w:val="Tabletext"/>
              <w:jc w:val="center"/>
              <w:rPr>
                <w:lang w:val="es-ES_tradnl"/>
              </w:rPr>
            </w:pPr>
            <w:r w:rsidRPr="008B7A21">
              <w:rPr>
                <w:lang w:val="es-ES_tradnl"/>
              </w:rPr>
              <w:t>6 dB</w:t>
            </w:r>
          </w:p>
        </w:tc>
      </w:tr>
    </w:tbl>
    <w:p w14:paraId="3A4C6953" w14:textId="77777777" w:rsidR="00F73D5B" w:rsidRPr="008B7A21" w:rsidRDefault="00F73D5B" w:rsidP="00F73D5B">
      <w:pPr>
        <w:pStyle w:val="Tablefin"/>
        <w:rPr>
          <w:lang w:val="es-ES_tradnl"/>
        </w:rPr>
      </w:pPr>
    </w:p>
    <w:p w14:paraId="20716EB2" w14:textId="77777777" w:rsidR="00F73D5B" w:rsidRPr="008B7A21" w:rsidRDefault="00F73D5B" w:rsidP="00F73D5B">
      <w:pPr>
        <w:keepNext/>
        <w:keepLines/>
        <w:rPr>
          <w:lang w:val="es-ES_tradnl"/>
        </w:rPr>
      </w:pPr>
      <w:r w:rsidRPr="008B7A21">
        <w:rPr>
          <w:lang w:val="es-ES_tradnl"/>
        </w:rPr>
        <w:t>Uno de los procedimientos [8] para determinar los parámetros básicos en una red móvil celular es el siguiente:</w:t>
      </w:r>
    </w:p>
    <w:p w14:paraId="3AB06F77" w14:textId="77777777" w:rsidR="00F73D5B" w:rsidRPr="008B7A21" w:rsidRDefault="00F73D5B" w:rsidP="00F73D5B">
      <w:pPr>
        <w:pStyle w:val="enumlev1"/>
        <w:keepNext/>
        <w:keepLines/>
        <w:rPr>
          <w:lang w:val="es-ES_tradnl"/>
        </w:rPr>
      </w:pPr>
      <w:r w:rsidRPr="008B7A21">
        <w:rPr>
          <w:lang w:val="es-ES_tradnl"/>
        </w:rPr>
        <w:t>–</w:t>
      </w:r>
      <w:r w:rsidRPr="008B7A21">
        <w:rPr>
          <w:lang w:val="es-ES_tradnl"/>
        </w:rPr>
        <w:tab/>
        <w:t>Número total de canales de frecuencias en una red móvil celular de una ciudad:</w:t>
      </w:r>
    </w:p>
    <w:p w14:paraId="5E0B839E" w14:textId="77777777" w:rsidR="008F628B" w:rsidRPr="008F628B" w:rsidRDefault="008F628B" w:rsidP="008F628B">
      <w:pPr>
        <w:pStyle w:val="Equation"/>
        <w:rPr>
          <w:lang w:val="en-GB"/>
        </w:rPr>
      </w:pPr>
      <w:r w:rsidRPr="008F628B">
        <w:rPr>
          <w:iCs/>
          <w:lang w:val="en-GB"/>
        </w:rPr>
        <w:tab/>
      </w:r>
      <w:r w:rsidRPr="008F628B">
        <w:rPr>
          <w:iCs/>
          <w:lang w:val="en-GB"/>
        </w:rPr>
        <w:tab/>
      </w:r>
      <m:oMath>
        <m:sSub>
          <m:sSubPr>
            <m:ctrlPr>
              <w:rPr>
                <w:rFonts w:ascii="Cambria Math" w:hAnsi="Cambria Math"/>
                <w:iCs/>
                <w:lang w:val="en-GB"/>
              </w:rPr>
            </m:ctrlPr>
          </m:sSubPr>
          <m:e>
            <m:r>
              <w:rPr>
                <w:rFonts w:ascii="Cambria Math" w:hAnsi="Cambria Math"/>
                <w:lang w:val="en-GB"/>
              </w:rPr>
              <m:t>n</m:t>
            </m:r>
          </m:e>
          <m:sub>
            <m:r>
              <w:rPr>
                <w:rFonts w:ascii="Cambria Math" w:hAnsi="Cambria Math"/>
                <w:lang w:val="en-GB"/>
              </w:rPr>
              <m:t>k</m:t>
            </m:r>
          </m:sub>
        </m:sSub>
        <m:r>
          <m:rPr>
            <m:sty m:val="p"/>
          </m:rPr>
          <w:rPr>
            <w:rFonts w:ascii="Cambria Math" w:hAnsi="Cambria Math"/>
            <w:lang w:val="en-GB"/>
          </w:rPr>
          <m:t>=int</m:t>
        </m:r>
        <m:d>
          <m:dPr>
            <m:ctrlPr>
              <w:rPr>
                <w:rFonts w:ascii="Cambria Math" w:hAnsi="Cambria Math"/>
                <w:iCs/>
                <w:lang w:val="en-GB"/>
              </w:rPr>
            </m:ctrlPr>
          </m:dPr>
          <m:e>
            <m:f>
              <m:fPr>
                <m:type m:val="lin"/>
                <m:ctrlPr>
                  <w:rPr>
                    <w:rFonts w:ascii="Cambria Math" w:hAnsi="Cambria Math"/>
                    <w:iCs/>
                    <w:lang w:val="en-GB"/>
                  </w:rPr>
                </m:ctrlPr>
              </m:fPr>
              <m:num>
                <m:r>
                  <w:rPr>
                    <w:rFonts w:ascii="Cambria Math" w:hAnsi="Cambria Math"/>
                    <w:lang w:val="en-GB"/>
                  </w:rPr>
                  <m:t>F</m:t>
                </m:r>
              </m:num>
              <m:den>
                <m:sSub>
                  <m:sSubPr>
                    <m:ctrlPr>
                      <w:rPr>
                        <w:rFonts w:ascii="Cambria Math" w:hAnsi="Cambria Math"/>
                        <w:iCs/>
                        <w:lang w:val="en-GB"/>
                      </w:rPr>
                    </m:ctrlPr>
                  </m:sSubPr>
                  <m:e>
                    <m:r>
                      <w:rPr>
                        <w:rFonts w:ascii="Cambria Math" w:hAnsi="Cambria Math"/>
                        <w:lang w:val="en-GB"/>
                      </w:rPr>
                      <m:t>F</m:t>
                    </m:r>
                  </m:e>
                  <m:sub>
                    <m:r>
                      <w:rPr>
                        <w:rFonts w:ascii="Cambria Math" w:hAnsi="Cambria Math"/>
                        <w:lang w:val="en-GB"/>
                      </w:rPr>
                      <m:t>k</m:t>
                    </m:r>
                  </m:sub>
                </m:sSub>
              </m:den>
            </m:f>
          </m:e>
        </m:d>
      </m:oMath>
    </w:p>
    <w:p w14:paraId="2BB4922F" w14:textId="77777777" w:rsidR="00F73D5B" w:rsidRPr="008B7A21" w:rsidRDefault="00F73D5B" w:rsidP="00F73D5B">
      <w:pPr>
        <w:pStyle w:val="enumlev1"/>
        <w:rPr>
          <w:lang w:val="es-ES_tradnl"/>
        </w:rPr>
      </w:pPr>
      <w:r w:rsidRPr="008B7A21">
        <w:rPr>
          <w:lang w:val="es-ES_tradnl"/>
        </w:rPr>
        <w:tab/>
        <w:t>donde int(</w:t>
      </w:r>
      <w:r w:rsidRPr="008B7A21">
        <w:rPr>
          <w:i/>
          <w:iCs/>
          <w:lang w:val="es-ES_tradnl"/>
        </w:rPr>
        <w:t>x</w:t>
      </w:r>
      <w:r w:rsidRPr="008B7A21">
        <w:rPr>
          <w:lang w:val="es-ES_tradnl"/>
        </w:rPr>
        <w:t>) es la parte íntegra del número </w:t>
      </w:r>
      <w:r w:rsidRPr="008B7A21">
        <w:rPr>
          <w:i/>
          <w:iCs/>
          <w:lang w:val="es-ES_tradnl"/>
        </w:rPr>
        <w:t>x</w:t>
      </w:r>
      <w:r w:rsidRPr="008B7A21">
        <w:rPr>
          <w:lang w:val="es-ES_tradnl"/>
        </w:rPr>
        <w:t>.</w:t>
      </w:r>
    </w:p>
    <w:p w14:paraId="4958EED7" w14:textId="2493635B" w:rsidR="00F73D5B" w:rsidRPr="008B7A21" w:rsidRDefault="00F73D5B" w:rsidP="00F73D5B">
      <w:pPr>
        <w:pStyle w:val="enumlev1"/>
        <w:rPr>
          <w:lang w:val="es-ES_tradnl"/>
        </w:rPr>
      </w:pPr>
      <w:r w:rsidRPr="008B7A21">
        <w:rPr>
          <w:lang w:val="es-ES_tradnl"/>
        </w:rPr>
        <w:t>–</w:t>
      </w:r>
      <w:r w:rsidRPr="008B7A21">
        <w:rPr>
          <w:lang w:val="es-ES_tradnl"/>
        </w:rPr>
        <w:tab/>
        <w:t xml:space="preserve">Tamaño requerido de la agrupación de haces para valores dados de </w:t>
      </w:r>
      <w:r w:rsidR="00386EEF" w:rsidRPr="00386EEF">
        <w:sym w:font="Symbol" w:char="F072"/>
      </w:r>
      <w:r w:rsidRPr="008B7A21">
        <w:rPr>
          <w:vertAlign w:val="subscript"/>
          <w:lang w:val="es-ES_tradnl"/>
        </w:rPr>
        <w:t>0</w:t>
      </w:r>
      <w:r w:rsidRPr="008B7A21">
        <w:rPr>
          <w:lang w:val="es-ES_tradnl"/>
        </w:rPr>
        <w:t xml:space="preserve"> y </w:t>
      </w:r>
      <w:r w:rsidRPr="008B7A21">
        <w:rPr>
          <w:i/>
          <w:iCs/>
          <w:lang w:val="es-ES_tradnl"/>
        </w:rPr>
        <w:t>P</w:t>
      </w:r>
      <w:r w:rsidRPr="008B7A21">
        <w:rPr>
          <w:i/>
          <w:iCs/>
          <w:vertAlign w:val="subscript"/>
          <w:lang w:val="es-ES_tradnl"/>
        </w:rPr>
        <w:t>T</w:t>
      </w:r>
      <w:r w:rsidRPr="008B7A21">
        <w:rPr>
          <w:lang w:val="es-ES_tradnl"/>
        </w:rPr>
        <w:t>:</w:t>
      </w:r>
    </w:p>
    <w:p w14:paraId="73CF78CE"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58"/>
          <w:sz w:val="20"/>
          <w:lang w:val="es-ES_tradnl"/>
        </w:rPr>
        <w:object w:dxaOrig="3140" w:dyaOrig="1180" w14:anchorId="38F5BC38">
          <v:shape id="_x0000_i1708" type="#_x0000_t75" style="width:187.55pt;height:65.3pt" o:ole="" fillcolor="window">
            <v:imagedata r:id="rId123" o:title=""/>
          </v:shape>
          <o:OLEObject Type="Embed" ProgID="Equation.3" ShapeID="_x0000_i1708" DrawAspect="Content" ObjectID="_1826705917" r:id="rId124"/>
        </w:object>
      </w:r>
    </w:p>
    <w:p w14:paraId="795A7AB5" w14:textId="77777777" w:rsidR="00F73D5B" w:rsidRPr="008B7A21" w:rsidRDefault="00F73D5B" w:rsidP="00F73D5B">
      <w:pPr>
        <w:rPr>
          <w:lang w:val="es-ES_tradnl"/>
        </w:rPr>
      </w:pPr>
      <w:r w:rsidRPr="008B7A21">
        <w:rPr>
          <w:lang w:val="es-ES_tradnl"/>
        </w:rPr>
        <w:t xml:space="preserve">donde </w:t>
      </w:r>
      <w:r w:rsidRPr="008B7A21">
        <w:rPr>
          <w:i/>
          <w:iCs/>
          <w:lang w:val="es-ES_tradnl"/>
        </w:rPr>
        <w:t>p</w:t>
      </w:r>
      <w:r w:rsidRPr="008B7A21">
        <w:rPr>
          <w:lang w:val="es-ES_tradnl"/>
        </w:rPr>
        <w:t>(</w:t>
      </w:r>
      <w:r w:rsidRPr="008B7A21">
        <w:rPr>
          <w:i/>
          <w:iCs/>
          <w:lang w:val="es-ES_tradnl"/>
        </w:rPr>
        <w:t>N</w:t>
      </w:r>
      <w:r w:rsidRPr="008B7A21">
        <w:rPr>
          <w:lang w:val="es-ES_tradnl"/>
        </w:rPr>
        <w:t xml:space="preserve">) es el porcentaje del tiempo durante el cual la relación señal/interferencia en la entrada al receptor de la estación móvil está por debajo de la relación de protección </w:t>
      </w:r>
      <w:r w:rsidRPr="008B7A21">
        <w:rPr>
          <w:lang w:val="es-ES_tradnl"/>
        </w:rPr>
        <w:sym w:font="Symbol" w:char="F072"/>
      </w:r>
      <w:r w:rsidRPr="008B7A21">
        <w:rPr>
          <w:vertAlign w:val="subscript"/>
          <w:lang w:val="es-ES_tradnl"/>
        </w:rPr>
        <w:t>0</w:t>
      </w:r>
      <w:r w:rsidRPr="008B7A21">
        <w:rPr>
          <w:lang w:val="es-ES_tradnl"/>
        </w:rPr>
        <w:t xml:space="preserve">. Los valores </w:t>
      </w:r>
      <w:r w:rsidRPr="008B7A21">
        <w:rPr>
          <w:lang w:val="es-ES_tradnl"/>
        </w:rPr>
        <w:sym w:font="Symbol" w:char="F062"/>
      </w:r>
      <w:r w:rsidRPr="008B7A21">
        <w:rPr>
          <w:i/>
          <w:iCs/>
          <w:vertAlign w:val="subscript"/>
          <w:lang w:val="es-ES_tradnl"/>
        </w:rPr>
        <w:t>e</w:t>
      </w:r>
      <w:r w:rsidRPr="008B7A21">
        <w:rPr>
          <w:lang w:val="es-ES_tradnl"/>
        </w:rPr>
        <w:t xml:space="preserve"> y </w:t>
      </w:r>
      <w:r w:rsidRPr="008B7A21">
        <w:rPr>
          <w:lang w:val="es-ES_tradnl"/>
        </w:rPr>
        <w:sym w:font="Symbol" w:char="F073"/>
      </w:r>
      <w:r w:rsidRPr="008B7A21">
        <w:rPr>
          <w:i/>
          <w:iCs/>
          <w:vertAlign w:val="subscript"/>
          <w:lang w:val="es-ES_tradnl"/>
        </w:rPr>
        <w:t>p</w:t>
      </w:r>
      <w:r w:rsidRPr="008B7A21">
        <w:rPr>
          <w:lang w:val="es-ES_tradnl"/>
        </w:rPr>
        <w:t xml:space="preserve"> dependen de los parámetros </w:t>
      </w:r>
      <w:r w:rsidRPr="008B7A21">
        <w:rPr>
          <w:position w:val="-10"/>
          <w:lang w:val="es-ES_tradnl"/>
        </w:rPr>
        <w:object w:dxaOrig="940" w:dyaOrig="380" w14:anchorId="4642792D">
          <v:shape id="_x0000_i1709" type="#_x0000_t75" style="width:46.9pt;height:19.25pt" o:ole="">
            <v:imagedata r:id="rId125" o:title=""/>
          </v:shape>
          <o:OLEObject Type="Embed" ProgID="Equation.3" ShapeID="_x0000_i1709" DrawAspect="Content" ObjectID="_1826705918" r:id="rId126"/>
        </w:object>
      </w:r>
      <w:r w:rsidRPr="008B7A21">
        <w:rPr>
          <w:lang w:val="es-ES_tradnl"/>
        </w:rPr>
        <w:t xml:space="preserve"> </w:t>
      </w:r>
      <w:r w:rsidRPr="008B7A21">
        <w:rPr>
          <w:lang w:val="es-ES_tradnl"/>
        </w:rPr>
        <w:sym w:font="Symbol" w:char="F073"/>
      </w:r>
      <w:r w:rsidRPr="008B7A21">
        <w:rPr>
          <w:lang w:val="es-ES_tradnl"/>
        </w:rPr>
        <w:t xml:space="preserve"> y </w:t>
      </w:r>
      <w:r w:rsidRPr="008B7A21">
        <w:rPr>
          <w:i/>
          <w:iCs/>
          <w:lang w:val="es-ES_tradnl"/>
        </w:rPr>
        <w:t>M</w:t>
      </w:r>
      <w:r w:rsidRPr="008B7A21">
        <w:rPr>
          <w:lang w:val="es-ES_tradnl"/>
        </w:rPr>
        <w:t xml:space="preserve">. El valor de </w:t>
      </w:r>
      <w:r w:rsidRPr="008B7A21">
        <w:rPr>
          <w:i/>
          <w:iCs/>
          <w:lang w:val="es-ES_tradnl"/>
        </w:rPr>
        <w:t>p</w:t>
      </w:r>
      <w:r w:rsidRPr="008B7A21">
        <w:rPr>
          <w:lang w:val="es-ES_tradnl"/>
        </w:rPr>
        <w:t>(</w:t>
      </w:r>
      <w:r w:rsidRPr="008B7A21">
        <w:rPr>
          <w:i/>
          <w:iCs/>
          <w:lang w:val="es-ES_tradnl"/>
        </w:rPr>
        <w:t>N</w:t>
      </w:r>
      <w:r w:rsidRPr="008B7A21">
        <w:rPr>
          <w:lang w:val="es-ES_tradnl"/>
        </w:rPr>
        <w:t xml:space="preserve">) disminuye a medida que </w:t>
      </w:r>
      <w:r w:rsidRPr="008B7A21">
        <w:rPr>
          <w:i/>
          <w:iCs/>
          <w:lang w:val="es-ES_tradnl"/>
        </w:rPr>
        <w:t>N</w:t>
      </w:r>
      <w:r w:rsidRPr="008B7A21">
        <w:rPr>
          <w:lang w:val="es-ES_tradnl"/>
        </w:rPr>
        <w:t xml:space="preserve"> aumenta. Dados los valores de </w:t>
      </w:r>
      <w:r w:rsidRPr="008B7A21">
        <w:rPr>
          <w:lang w:val="es-ES_tradnl"/>
        </w:rPr>
        <w:sym w:font="Symbol" w:char="F072"/>
      </w:r>
      <w:r w:rsidRPr="008B7A21">
        <w:rPr>
          <w:vertAlign w:val="subscript"/>
          <w:lang w:val="es-ES_tradnl"/>
        </w:rPr>
        <w:t>0</w:t>
      </w:r>
      <w:r w:rsidRPr="008B7A21">
        <w:rPr>
          <w:lang w:val="es-ES_tradnl"/>
        </w:rPr>
        <w:t xml:space="preserve">, </w:t>
      </w:r>
      <w:r w:rsidRPr="008B7A21">
        <w:rPr>
          <w:lang w:val="es-ES_tradnl"/>
        </w:rPr>
        <w:sym w:font="Symbol" w:char="F073"/>
      </w:r>
      <w:r w:rsidRPr="008B7A21">
        <w:rPr>
          <w:lang w:val="es-ES_tradnl"/>
        </w:rPr>
        <w:t xml:space="preserve"> y </w:t>
      </w:r>
      <w:r w:rsidRPr="008B7A21">
        <w:rPr>
          <w:i/>
          <w:iCs/>
          <w:lang w:val="es-ES_tradnl"/>
        </w:rPr>
        <w:t>M</w:t>
      </w:r>
      <w:r w:rsidRPr="008B7A21">
        <w:rPr>
          <w:lang w:val="es-ES_tradnl"/>
        </w:rPr>
        <w:t xml:space="preserve"> = 1, 3 y 6, se calculan los valores de </w:t>
      </w:r>
      <w:r w:rsidRPr="008B7A21">
        <w:rPr>
          <w:i/>
          <w:iCs/>
          <w:lang w:val="es-ES_tradnl"/>
        </w:rPr>
        <w:t>p</w:t>
      </w:r>
      <w:r w:rsidRPr="008B7A21">
        <w:rPr>
          <w:lang w:val="es-ES_tradnl"/>
        </w:rPr>
        <w:t>(</w:t>
      </w:r>
      <w:r w:rsidRPr="008B7A21">
        <w:rPr>
          <w:i/>
          <w:iCs/>
          <w:lang w:val="es-ES_tradnl"/>
        </w:rPr>
        <w:t>N</w:t>
      </w:r>
      <w:r w:rsidRPr="008B7A21">
        <w:rPr>
          <w:lang w:val="es-ES_tradnl"/>
        </w:rPr>
        <w:t xml:space="preserve">) para un número de valores de </w:t>
      </w:r>
      <w:r w:rsidRPr="008B7A21">
        <w:rPr>
          <w:i/>
          <w:iCs/>
          <w:lang w:val="es-ES_tradnl"/>
        </w:rPr>
        <w:t>N</w:t>
      </w:r>
      <w:r w:rsidRPr="008B7A21">
        <w:rPr>
          <w:lang w:val="es-ES_tradnl"/>
        </w:rPr>
        <w:t xml:space="preserve"> (esto es: </w:t>
      </w:r>
      <w:r w:rsidRPr="008B7A21">
        <w:rPr>
          <w:i/>
          <w:iCs/>
          <w:lang w:val="es-ES_tradnl"/>
        </w:rPr>
        <w:t>q</w:t>
      </w:r>
      <w:r w:rsidRPr="008B7A21">
        <w:rPr>
          <w:lang w:val="es-ES_tradnl"/>
        </w:rPr>
        <w:t xml:space="preserve">). El valor de </w:t>
      </w:r>
      <w:r w:rsidRPr="008B7A21">
        <w:rPr>
          <w:i/>
          <w:iCs/>
          <w:lang w:val="es-ES_tradnl"/>
        </w:rPr>
        <w:t>N</w:t>
      </w:r>
      <w:r w:rsidRPr="008B7A21">
        <w:rPr>
          <w:lang w:val="es-ES_tradnl"/>
        </w:rPr>
        <w:t xml:space="preserve"> para el cual se cumple la condición </w:t>
      </w:r>
      <w:r w:rsidRPr="008B7A21">
        <w:rPr>
          <w:i/>
          <w:iCs/>
          <w:lang w:val="es-ES_tradnl"/>
        </w:rPr>
        <w:t>p</w:t>
      </w:r>
      <w:r w:rsidRPr="008B7A21">
        <w:rPr>
          <w:lang w:val="es-ES_tradnl"/>
        </w:rPr>
        <w:t>(</w:t>
      </w:r>
      <w:r w:rsidRPr="008B7A21">
        <w:rPr>
          <w:i/>
          <w:iCs/>
          <w:lang w:val="es-ES_tradnl"/>
        </w:rPr>
        <w:t>N</w:t>
      </w:r>
      <w:r w:rsidRPr="008B7A21">
        <w:rPr>
          <w:lang w:val="es-ES_tradnl"/>
        </w:rPr>
        <w:t>) </w:t>
      </w:r>
      <w:r w:rsidRPr="008B7A21">
        <w:rPr>
          <w:lang w:val="es-ES_tradnl"/>
        </w:rPr>
        <w:sym w:font="Symbol" w:char="F0A3"/>
      </w:r>
      <w:r w:rsidRPr="008B7A21">
        <w:rPr>
          <w:lang w:val="es-ES_tradnl"/>
        </w:rPr>
        <w:t> </w:t>
      </w:r>
      <w:r w:rsidRPr="008B7A21">
        <w:rPr>
          <w:i/>
          <w:iCs/>
          <w:lang w:val="es-ES_tradnl"/>
        </w:rPr>
        <w:t>P</w:t>
      </w:r>
      <w:r w:rsidRPr="008B7A21">
        <w:rPr>
          <w:i/>
          <w:iCs/>
          <w:vertAlign w:val="subscript"/>
          <w:lang w:val="es-ES_tradnl"/>
        </w:rPr>
        <w:t>t</w:t>
      </w:r>
      <w:r w:rsidRPr="008B7A21">
        <w:rPr>
          <w:lang w:val="es-ES_tradnl"/>
        </w:rPr>
        <w:t xml:space="preserve"> se considera como el tamaño de la agrupación de haces para la red móvil.</w:t>
      </w:r>
    </w:p>
    <w:p w14:paraId="1F2265F8" w14:textId="77777777" w:rsidR="00F73D5B" w:rsidRPr="008B7A21" w:rsidRDefault="00F73D5B" w:rsidP="00F73D5B">
      <w:pPr>
        <w:keepNext/>
        <w:keepLines/>
        <w:rPr>
          <w:rFonts w:asciiTheme="majorBidi" w:hAnsiTheme="majorBidi" w:cstheme="majorBidi"/>
          <w:szCs w:val="24"/>
          <w:lang w:val="es-ES_tradnl"/>
        </w:rPr>
      </w:pPr>
      <w:r w:rsidRPr="008B7A21">
        <w:rPr>
          <w:rFonts w:asciiTheme="majorBidi" w:hAnsiTheme="majorBidi" w:cstheme="majorBidi"/>
          <w:szCs w:val="24"/>
          <w:lang w:val="es-ES_tradnl"/>
        </w:rPr>
        <w:t xml:space="preserve">Los parámetros </w:t>
      </w:r>
      <w:r w:rsidRPr="008B7A21">
        <w:rPr>
          <w:rFonts w:asciiTheme="majorBidi" w:hAnsiTheme="majorBidi" w:cstheme="majorBidi"/>
          <w:szCs w:val="24"/>
          <w:lang w:val="es-ES_tradnl"/>
        </w:rPr>
        <w:sym w:font="Symbol" w:char="F062"/>
      </w:r>
      <w:r w:rsidRPr="008B7A21">
        <w:rPr>
          <w:rFonts w:asciiTheme="majorBidi" w:hAnsiTheme="majorBidi" w:cstheme="majorBidi"/>
          <w:i/>
          <w:iCs/>
          <w:szCs w:val="24"/>
          <w:vertAlign w:val="subscript"/>
          <w:lang w:val="es-ES_tradnl"/>
        </w:rPr>
        <w:t>e</w:t>
      </w:r>
      <w:r w:rsidRPr="008B7A21">
        <w:rPr>
          <w:rFonts w:asciiTheme="majorBidi" w:hAnsiTheme="majorBidi" w:cstheme="majorBidi"/>
          <w:szCs w:val="24"/>
          <w:lang w:val="es-ES_tradnl"/>
        </w:rPr>
        <w:t xml:space="preserve"> y </w:t>
      </w:r>
      <w:r w:rsidRPr="008B7A21">
        <w:rPr>
          <w:rFonts w:asciiTheme="majorBidi" w:hAnsiTheme="majorBidi" w:cstheme="majorBidi"/>
          <w:szCs w:val="24"/>
          <w:lang w:val="es-ES_tradnl"/>
        </w:rPr>
        <w:sym w:font="Symbol" w:char="F073"/>
      </w:r>
      <w:r w:rsidRPr="008B7A21">
        <w:rPr>
          <w:rFonts w:asciiTheme="majorBidi" w:hAnsiTheme="majorBidi" w:cstheme="majorBidi"/>
          <w:i/>
          <w:iCs/>
          <w:szCs w:val="24"/>
          <w:vertAlign w:val="subscript"/>
          <w:lang w:val="es-ES_tradnl"/>
        </w:rPr>
        <w:t>p</w:t>
      </w:r>
      <w:r w:rsidRPr="008B7A21">
        <w:rPr>
          <w:rFonts w:asciiTheme="majorBidi" w:hAnsiTheme="majorBidi" w:cstheme="majorBidi"/>
          <w:szCs w:val="24"/>
          <w:lang w:val="es-ES_tradnl"/>
        </w:rPr>
        <w:t xml:space="preserve"> utilizados en la ecuación para </w:t>
      </w:r>
      <w:r w:rsidRPr="008B7A21">
        <w:rPr>
          <w:rFonts w:asciiTheme="majorBidi" w:hAnsiTheme="majorBidi" w:cstheme="majorBidi"/>
          <w:i/>
          <w:iCs/>
          <w:szCs w:val="24"/>
          <w:lang w:val="es-ES_tradnl"/>
        </w:rPr>
        <w:t>p</w:t>
      </w:r>
      <w:r w:rsidRPr="008B7A21">
        <w:rPr>
          <w:rFonts w:asciiTheme="majorBidi" w:hAnsiTheme="majorBidi" w:cstheme="majorBidi"/>
          <w:szCs w:val="24"/>
          <w:lang w:val="es-ES_tradnl"/>
        </w:rPr>
        <w:t>(</w:t>
      </w:r>
      <w:r w:rsidRPr="008B7A21">
        <w:rPr>
          <w:rFonts w:asciiTheme="majorBidi" w:hAnsiTheme="majorBidi" w:cstheme="majorBidi"/>
          <w:i/>
          <w:iCs/>
          <w:szCs w:val="24"/>
          <w:lang w:val="es-ES_tradnl"/>
        </w:rPr>
        <w:t>N</w:t>
      </w:r>
      <w:r w:rsidRPr="008B7A21">
        <w:rPr>
          <w:rFonts w:asciiTheme="majorBidi" w:hAnsiTheme="majorBidi" w:cstheme="majorBidi"/>
          <w:szCs w:val="24"/>
          <w:lang w:val="es-ES_tradnl"/>
        </w:rPr>
        <w:t>) se determinan utilizando las siguientes expresiones:</w:t>
      </w:r>
    </w:p>
    <w:p w14:paraId="05AEAA72"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2"/>
          <w:lang w:val="es-ES_tradnl"/>
        </w:rPr>
        <w:object w:dxaOrig="1500" w:dyaOrig="420" w14:anchorId="7F2F7C19">
          <v:shape id="_x0000_i1710" type="#_x0000_t75" style="width:78.7pt;height:21.75pt" o:ole="">
            <v:imagedata r:id="rId127" o:title=""/>
          </v:shape>
          <o:OLEObject Type="Embed" ProgID="Equation.3" ShapeID="_x0000_i1710" DrawAspect="Content" ObjectID="_1826705919" r:id="rId128"/>
        </w:object>
      </w:r>
    </w:p>
    <w:p w14:paraId="18CD989B" w14:textId="77777777" w:rsidR="00F73D5B" w:rsidRPr="008B7A21" w:rsidRDefault="00F73D5B" w:rsidP="00F73D5B">
      <w:pPr>
        <w:pStyle w:val="Blanc"/>
        <w:rPr>
          <w:lang w:val="es-ES_tradnl"/>
        </w:rPr>
      </w:pPr>
    </w:p>
    <w:p w14:paraId="226426D6"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90"/>
          <w:sz w:val="20"/>
          <w:lang w:val="es-ES_tradnl"/>
        </w:rPr>
        <w:object w:dxaOrig="3720" w:dyaOrig="1920" w14:anchorId="5BB8D998">
          <v:shape id="_x0000_i1711" type="#_x0000_t75" style="width:209.3pt;height:93.75pt" o:ole="" fillcolor="window">
            <v:imagedata r:id="rId129" o:title=""/>
          </v:shape>
          <o:OLEObject Type="Embed" ProgID="Equation.3" ShapeID="_x0000_i1711" DrawAspect="Content" ObjectID="_1826705920" r:id="rId130"/>
        </w:object>
      </w:r>
    </w:p>
    <w:p w14:paraId="77329FE1" w14:textId="77777777" w:rsidR="00F73D5B" w:rsidRPr="008B7A21" w:rsidRDefault="00F73D5B" w:rsidP="00F73D5B">
      <w:pPr>
        <w:pStyle w:val="Blanc"/>
        <w:rPr>
          <w:lang w:val="es-ES_tradnl"/>
        </w:rPr>
      </w:pPr>
    </w:p>
    <w:p w14:paraId="6C2C6728"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38"/>
          <w:sz w:val="20"/>
          <w:lang w:val="es-ES_tradnl"/>
        </w:rPr>
        <w:object w:dxaOrig="3200" w:dyaOrig="880" w14:anchorId="5D8088A3">
          <v:shape id="_x0000_i1712" type="#_x0000_t75" style="width:159.05pt;height:42.7pt" o:ole="" fillcolor="window">
            <v:imagedata r:id="rId131" o:title=""/>
          </v:shape>
          <o:OLEObject Type="Embed" ProgID="Equation.3" ShapeID="_x0000_i1712" DrawAspect="Content" ObjectID="_1826705921" r:id="rId132"/>
        </w:object>
      </w:r>
    </w:p>
    <w:p w14:paraId="7E7E6370" w14:textId="579988F5" w:rsidR="00F73D5B" w:rsidRPr="008B7A21" w:rsidRDefault="00F73D5B" w:rsidP="00F73D5B">
      <w:pPr>
        <w:rPr>
          <w:lang w:val="es-ES_tradnl"/>
        </w:rPr>
      </w:pPr>
      <w:r w:rsidRPr="008B7A21">
        <w:rPr>
          <w:lang w:val="es-ES_tradnl"/>
        </w:rPr>
        <w:t xml:space="preserve">Siendo </w:t>
      </w:r>
      <w:r w:rsidR="00386EEF">
        <w:rPr>
          <w:lang w:val="es-ES_tradnl"/>
        </w:rPr>
        <w:t>λ</w:t>
      </w:r>
      <w:r w:rsidRPr="008B7A21">
        <w:rPr>
          <w:lang w:val="es-ES_tradnl"/>
        </w:rPr>
        <w:t> </w:t>
      </w:r>
      <w:r w:rsidR="00386EEF">
        <w:rPr>
          <w:lang w:val="es-ES_tradnl"/>
        </w:rPr>
        <w:t>=</w:t>
      </w:r>
      <w:r w:rsidRPr="008B7A21">
        <w:rPr>
          <w:lang w:val="es-ES_tradnl"/>
        </w:rPr>
        <w:t xml:space="preserve"> (0,1 ln(10)), y los valores </w:t>
      </w:r>
      <w:r w:rsidR="00386EEF">
        <w:rPr>
          <w:lang w:val="es-ES_tradnl"/>
        </w:rPr>
        <w:t>λ</w:t>
      </w:r>
      <w:r w:rsidRPr="008B7A21">
        <w:rPr>
          <w:lang w:val="es-ES_tradnl"/>
        </w:rPr>
        <w:t xml:space="preserve"> y </w:t>
      </w:r>
      <w:r w:rsidRPr="008B7A21">
        <w:rPr>
          <w:lang w:val="es-ES_tradnl"/>
        </w:rPr>
        <w:sym w:font="Symbol" w:char="F062"/>
      </w:r>
      <w:r w:rsidRPr="008B7A21">
        <w:rPr>
          <w:i/>
          <w:iCs/>
          <w:vertAlign w:val="subscript"/>
          <w:lang w:val="es-ES_tradnl"/>
        </w:rPr>
        <w:t>i</w:t>
      </w:r>
      <w:r w:rsidRPr="008B7A21">
        <w:rPr>
          <w:lang w:val="es-ES_tradnl"/>
        </w:rPr>
        <w:t xml:space="preserve"> dependen de </w:t>
      </w:r>
      <w:r w:rsidRPr="008B7A21">
        <w:rPr>
          <w:i/>
          <w:iCs/>
          <w:lang w:val="es-ES_tradnl"/>
        </w:rPr>
        <w:t>M</w:t>
      </w:r>
      <w:r w:rsidRPr="008B7A21">
        <w:rPr>
          <w:lang w:val="es-ES_tradnl"/>
        </w:rPr>
        <w:t xml:space="preserve"> y pueden calcularse utilizando las siguientes ecuaciones:</w:t>
      </w:r>
    </w:p>
    <w:p w14:paraId="51B9ADE8" w14:textId="77777777" w:rsidR="00F73D5B" w:rsidRPr="008B7A21" w:rsidRDefault="00F73D5B" w:rsidP="00F73D5B">
      <w:pPr>
        <w:pStyle w:val="Blanc"/>
        <w:rPr>
          <w:lang w:val="es-ES_tradnl"/>
        </w:rPr>
      </w:pPr>
    </w:p>
    <w:p w14:paraId="5B517E9D" w14:textId="77777777" w:rsidR="00F73D5B" w:rsidRPr="008B7A21" w:rsidRDefault="00F73D5B" w:rsidP="00F73D5B">
      <w:pPr>
        <w:pStyle w:val="Equation"/>
        <w:rPr>
          <w:lang w:val="es-ES_tradnl"/>
        </w:rPr>
      </w:pPr>
      <w:r w:rsidRPr="008B7A21">
        <w:rPr>
          <w:lang w:val="es-ES_tradnl"/>
        </w:rPr>
        <w:tab/>
      </w:r>
      <w:r w:rsidRPr="008B7A21">
        <w:rPr>
          <w:position w:val="-62"/>
          <w:lang w:val="es-ES_tradnl"/>
        </w:rPr>
        <w:object w:dxaOrig="8059" w:dyaOrig="1359" w14:anchorId="2706CF0D">
          <v:shape id="_x0000_i1713" type="#_x0000_t75" style="width:403.55pt;height:65.3pt" o:ole="" fillcolor="window">
            <v:imagedata r:id="rId133" o:title=""/>
          </v:shape>
          <o:OLEObject Type="Embed" ProgID="Equation.3" ShapeID="_x0000_i1713" DrawAspect="Content" ObjectID="_1826705922" r:id="rId134"/>
        </w:object>
      </w:r>
    </w:p>
    <w:p w14:paraId="60732500" w14:textId="77777777" w:rsidR="00F73D5B" w:rsidRPr="008B7A21" w:rsidRDefault="00F73D5B" w:rsidP="00F73D5B">
      <w:pPr>
        <w:pStyle w:val="Blanc"/>
        <w:rPr>
          <w:lang w:val="es-ES_tradnl"/>
        </w:rPr>
      </w:pPr>
    </w:p>
    <w:p w14:paraId="3C5F5448" w14:textId="77777777" w:rsidR="00F73D5B" w:rsidRPr="008B7A21" w:rsidRDefault="00F73D5B" w:rsidP="00F73D5B">
      <w:pPr>
        <w:pStyle w:val="enumlev1"/>
        <w:rPr>
          <w:lang w:val="es-ES_tradnl"/>
        </w:rPr>
      </w:pPr>
      <w:r w:rsidRPr="008B7A21">
        <w:rPr>
          <w:lang w:val="es-ES_tradnl"/>
        </w:rPr>
        <w:tab/>
        <w:t>donde:</w:t>
      </w:r>
    </w:p>
    <w:p w14:paraId="30311B7C"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0"/>
          <w:lang w:val="es-ES_tradnl"/>
        </w:rPr>
        <w:object w:dxaOrig="1080" w:dyaOrig="380" w14:anchorId="4B41E689">
          <v:shape id="_x0000_i1714" type="#_x0000_t75" style="width:52.75pt;height:19.25pt" o:ole="">
            <v:imagedata r:id="rId135" o:title=""/>
          </v:shape>
          <o:OLEObject Type="Embed" ProgID="Equation.3" ShapeID="_x0000_i1714" DrawAspect="Content" ObjectID="_1826705923" r:id="rId136"/>
        </w:object>
      </w:r>
    </w:p>
    <w:p w14:paraId="66F828E7" w14:textId="77777777" w:rsidR="00F73D5B" w:rsidRPr="008B7A21" w:rsidRDefault="00F73D5B" w:rsidP="00F73D5B">
      <w:pPr>
        <w:pStyle w:val="enumlev1"/>
        <w:keepNext/>
        <w:keepLines/>
        <w:rPr>
          <w:lang w:val="es-ES_tradnl"/>
        </w:rPr>
      </w:pPr>
      <w:r w:rsidRPr="008B7A21">
        <w:rPr>
          <w:lang w:val="es-ES_tradnl"/>
        </w:rPr>
        <w:t>–</w:t>
      </w:r>
      <w:r w:rsidRPr="008B7A21">
        <w:rPr>
          <w:lang w:val="es-ES_tradnl"/>
        </w:rPr>
        <w:tab/>
        <w:t xml:space="preserve">El número de canales de frecuencias, </w:t>
      </w:r>
      <w:r w:rsidRPr="008B7A21">
        <w:rPr>
          <w:i/>
          <w:iCs/>
          <w:lang w:val="es-ES_tradnl"/>
        </w:rPr>
        <w:t>n</w:t>
      </w:r>
      <w:r w:rsidRPr="008B7A21">
        <w:rPr>
          <w:i/>
          <w:iCs/>
          <w:vertAlign w:val="subscript"/>
          <w:lang w:val="es-ES_tradnl"/>
        </w:rPr>
        <w:t>s</w:t>
      </w:r>
      <w:r w:rsidRPr="008B7A21">
        <w:rPr>
          <w:lang w:val="es-ES_tradnl"/>
        </w:rPr>
        <w:t xml:space="preserve">, y telefónicos, </w:t>
      </w:r>
      <w:r w:rsidRPr="008B7A21">
        <w:rPr>
          <w:i/>
          <w:iCs/>
          <w:lang w:val="es-ES_tradnl"/>
        </w:rPr>
        <w:t>n</w:t>
      </w:r>
      <w:r w:rsidRPr="008B7A21">
        <w:rPr>
          <w:i/>
          <w:iCs/>
          <w:vertAlign w:val="subscript"/>
          <w:lang w:val="es-ES_tradnl"/>
        </w:rPr>
        <w:t>c</w:t>
      </w:r>
      <w:r w:rsidRPr="008B7A21">
        <w:rPr>
          <w:lang w:val="es-ES_tradnl"/>
        </w:rPr>
        <w:t>, utilizados para atender a los abonados en un sector de una célula es el siguiente:</w:t>
      </w:r>
    </w:p>
    <w:p w14:paraId="59462359" w14:textId="77777777" w:rsidR="00F73D5B" w:rsidRPr="008B7A21" w:rsidRDefault="00F73D5B" w:rsidP="00F73D5B">
      <w:pPr>
        <w:pStyle w:val="Equation"/>
        <w:rPr>
          <w:lang w:val="es-ES_tradnl"/>
        </w:rPr>
      </w:pPr>
      <w:r w:rsidRPr="008B7A21">
        <w:rPr>
          <w:position w:val="-10"/>
          <w:lang w:val="es-ES_tradnl"/>
        </w:rPr>
        <w:tab/>
      </w:r>
      <w:r w:rsidRPr="008B7A21">
        <w:rPr>
          <w:position w:val="-10"/>
          <w:lang w:val="es-ES_tradnl"/>
        </w:rPr>
        <w:tab/>
      </w:r>
      <w:r w:rsidRPr="008B7A21">
        <w:rPr>
          <w:position w:val="-12"/>
          <w:lang w:val="es-ES_tradnl"/>
        </w:rPr>
        <w:object w:dxaOrig="2100" w:dyaOrig="360" w14:anchorId="3A35F42E">
          <v:shape id="_x0000_i1715" type="#_x0000_t75" style="width:105.5pt;height:19.25pt" o:ole="">
            <v:imagedata r:id="rId137" o:title=""/>
          </v:shape>
          <o:OLEObject Type="Embed" ProgID="Equation.3" ShapeID="_x0000_i1715" DrawAspect="Content" ObjectID="_1826705924" r:id="rId138"/>
        </w:object>
      </w:r>
    </w:p>
    <w:p w14:paraId="72C6E9B7" w14:textId="77777777" w:rsidR="00F73D5B" w:rsidRPr="008B7A21" w:rsidRDefault="00F73D5B" w:rsidP="00F73D5B">
      <w:pPr>
        <w:pStyle w:val="Equation"/>
        <w:rPr>
          <w:lang w:val="es-ES_tradnl"/>
        </w:rPr>
      </w:pPr>
      <w:r w:rsidRPr="008B7A21">
        <w:rPr>
          <w:position w:val="-10"/>
          <w:lang w:val="es-ES_tradnl"/>
        </w:rPr>
        <w:tab/>
      </w:r>
      <w:r w:rsidRPr="008B7A21">
        <w:rPr>
          <w:position w:val="-10"/>
          <w:lang w:val="es-ES_tradnl"/>
        </w:rPr>
        <w:tab/>
      </w:r>
      <w:r w:rsidRPr="008B7A21">
        <w:rPr>
          <w:position w:val="-12"/>
          <w:lang w:val="es-ES_tradnl"/>
        </w:rPr>
        <w:object w:dxaOrig="1260" w:dyaOrig="360" w14:anchorId="42E55D74">
          <v:shape id="_x0000_i1716" type="#_x0000_t75" style="width:61.95pt;height:19.25pt" o:ole="">
            <v:imagedata r:id="rId139" o:title=""/>
          </v:shape>
          <o:OLEObject Type="Embed" ProgID="Equation.3" ShapeID="_x0000_i1716" DrawAspect="Content" ObjectID="_1826705925" r:id="rId140"/>
        </w:object>
      </w:r>
    </w:p>
    <w:p w14:paraId="54011042" w14:textId="77777777" w:rsidR="00F73D5B" w:rsidRPr="008B7A21" w:rsidRDefault="00F73D5B" w:rsidP="00F73D5B">
      <w:pPr>
        <w:pStyle w:val="Blanc"/>
        <w:rPr>
          <w:lang w:val="es-ES_tradnl"/>
        </w:rPr>
      </w:pPr>
    </w:p>
    <w:p w14:paraId="47D99AB4" w14:textId="77777777" w:rsidR="00F73D5B" w:rsidRPr="008B7A21" w:rsidRDefault="00F73D5B" w:rsidP="008F628B">
      <w:pPr>
        <w:pStyle w:val="enumlev1"/>
        <w:keepNext/>
        <w:keepLines/>
        <w:rPr>
          <w:lang w:val="es-ES_tradnl"/>
        </w:rPr>
      </w:pPr>
      <w:r w:rsidRPr="008B7A21">
        <w:rPr>
          <w:lang w:val="es-ES_tradnl"/>
        </w:rPr>
        <w:t>–</w:t>
      </w:r>
      <w:r w:rsidRPr="008B7A21">
        <w:rPr>
          <w:lang w:val="es-ES_tradnl"/>
        </w:rPr>
        <w:tab/>
        <w:t>El tráfico telefónico admisible en un sector de una célula (E):</w:t>
      </w:r>
    </w:p>
    <w:p w14:paraId="0210C65C" w14:textId="77777777" w:rsidR="00F73D5B" w:rsidRPr="008B7A21" w:rsidRDefault="00F73D5B" w:rsidP="008F628B">
      <w:pPr>
        <w:pStyle w:val="Blanc"/>
        <w:rPr>
          <w:lang w:val="es-ES_tradnl"/>
        </w:rPr>
      </w:pPr>
    </w:p>
    <w:p w14:paraId="5896582A" w14:textId="77777777" w:rsidR="00F73D5B" w:rsidRPr="008B7A21" w:rsidRDefault="00F73D5B" w:rsidP="008F628B">
      <w:pPr>
        <w:pStyle w:val="Equation"/>
        <w:keepNext/>
        <w:keepLines/>
        <w:rPr>
          <w:lang w:val="es-ES_tradnl"/>
        </w:rPr>
      </w:pPr>
      <w:r w:rsidRPr="008B7A21">
        <w:rPr>
          <w:lang w:val="es-ES_tradnl"/>
        </w:rPr>
        <w:tab/>
      </w:r>
      <w:r w:rsidRPr="008B7A21">
        <w:rPr>
          <w:lang w:val="es-ES_tradnl"/>
        </w:rPr>
        <w:tab/>
      </w:r>
      <w:r w:rsidRPr="008B7A21">
        <w:rPr>
          <w:position w:val="-58"/>
          <w:lang w:val="es-ES_tradnl"/>
        </w:rPr>
        <w:object w:dxaOrig="7320" w:dyaOrig="1280" w14:anchorId="743F15B0">
          <v:shape id="_x0000_i1717" type="#_x0000_t75" style="width:365.85pt;height:65.3pt" o:ole="" fillcolor="window">
            <v:imagedata r:id="rId141" o:title=""/>
          </v:shape>
          <o:OLEObject Type="Embed" ProgID="Equation.3" ShapeID="_x0000_i1717" DrawAspect="Content" ObjectID="_1826705926" r:id="rId142"/>
        </w:object>
      </w:r>
    </w:p>
    <w:p w14:paraId="1AC12B90" w14:textId="77777777" w:rsidR="00F73D5B" w:rsidRPr="008B7A21" w:rsidRDefault="00F73D5B" w:rsidP="00F73D5B">
      <w:pPr>
        <w:pStyle w:val="Blanc"/>
        <w:rPr>
          <w:lang w:val="es-ES_tradnl"/>
        </w:rPr>
      </w:pPr>
    </w:p>
    <w:p w14:paraId="7FB0F7CB" w14:textId="77777777" w:rsidR="00F73D5B" w:rsidRPr="008B7A21" w:rsidRDefault="00F73D5B" w:rsidP="00F73D5B">
      <w:pPr>
        <w:pStyle w:val="enumlev1"/>
        <w:rPr>
          <w:lang w:val="es-ES_tradnl"/>
        </w:rPr>
      </w:pPr>
      <w:r w:rsidRPr="008B7A21">
        <w:rPr>
          <w:lang w:val="es-ES_tradnl"/>
        </w:rPr>
        <w:t>–</w:t>
      </w:r>
      <w:r w:rsidRPr="008B7A21">
        <w:rPr>
          <w:lang w:val="es-ES_tradnl"/>
        </w:rPr>
        <w:tab/>
        <w:t>El número de abonados atendidos por una EB para un determinado valor de la probabilidad de bloqueo:</w:t>
      </w:r>
    </w:p>
    <w:p w14:paraId="431F27B3"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2"/>
          <w:lang w:val="es-ES_tradnl"/>
        </w:rPr>
        <w:object w:dxaOrig="2100" w:dyaOrig="360" w14:anchorId="332FE604">
          <v:shape id="_x0000_i1718" type="#_x0000_t75" style="width:105.5pt;height:19.25pt" o:ole="">
            <v:imagedata r:id="rId137" o:title=""/>
          </v:shape>
          <o:OLEObject Type="Embed" ProgID="Equation.3" ShapeID="_x0000_i1718" DrawAspect="Content" ObjectID="_1826705927" r:id="rId143"/>
        </w:object>
      </w:r>
    </w:p>
    <w:p w14:paraId="1D42C8BC" w14:textId="77777777" w:rsidR="00F73D5B" w:rsidRPr="008B7A21" w:rsidRDefault="00F73D5B" w:rsidP="00F73D5B">
      <w:pPr>
        <w:pStyle w:val="Blanc"/>
        <w:rPr>
          <w:lang w:val="es-ES_tradnl"/>
        </w:rPr>
      </w:pPr>
    </w:p>
    <w:p w14:paraId="261B8B72" w14:textId="77777777" w:rsidR="00F73D5B" w:rsidRPr="008B7A21" w:rsidRDefault="00F73D5B" w:rsidP="00F73D5B">
      <w:pPr>
        <w:pStyle w:val="enumlev1"/>
        <w:keepNext/>
        <w:keepLines/>
        <w:rPr>
          <w:lang w:val="es-ES_tradnl"/>
        </w:rPr>
      </w:pPr>
      <w:r w:rsidRPr="008B7A21">
        <w:rPr>
          <w:lang w:val="es-ES_tradnl"/>
        </w:rPr>
        <w:t>–</w:t>
      </w:r>
      <w:r w:rsidRPr="008B7A21">
        <w:rPr>
          <w:lang w:val="es-ES_tradnl"/>
        </w:rPr>
        <w:tab/>
        <w:t>El número de EB en la red celular se determina como sigue:</w:t>
      </w:r>
    </w:p>
    <w:p w14:paraId="09C16245"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2"/>
          <w:lang w:val="es-ES_tradnl"/>
        </w:rPr>
        <w:object w:dxaOrig="2240" w:dyaOrig="360" w14:anchorId="4F9802A4">
          <v:shape id="_x0000_i1719" type="#_x0000_t75" style="width:112.2pt;height:19.25pt" o:ole="">
            <v:imagedata r:id="rId144" o:title=""/>
          </v:shape>
          <o:OLEObject Type="Embed" ProgID="Equation.3" ShapeID="_x0000_i1719" DrawAspect="Content" ObjectID="_1826705928" r:id="rId145"/>
        </w:object>
      </w:r>
    </w:p>
    <w:p w14:paraId="5AE399FA" w14:textId="77777777" w:rsidR="00F73D5B" w:rsidRPr="008B7A21" w:rsidRDefault="00F73D5B" w:rsidP="00F73D5B">
      <w:pPr>
        <w:rPr>
          <w:lang w:val="es-ES_tradnl"/>
        </w:rPr>
      </w:pPr>
      <w:r w:rsidRPr="008B7A21">
        <w:rPr>
          <w:lang w:val="es-ES_tradnl"/>
        </w:rPr>
        <w:t>Por consiguiente, el método propuesto permite calcular el número requerido de estaciones de base y el número de canales para una serie dada de parámetros de calidad de funcionamiento de la red y un número previsto de abonados.</w:t>
      </w:r>
    </w:p>
    <w:p w14:paraId="6896EC67" w14:textId="77777777" w:rsidR="00F73D5B" w:rsidRPr="008B7A21" w:rsidRDefault="00F73D5B" w:rsidP="00F73D5B">
      <w:pPr>
        <w:pStyle w:val="Headingi"/>
        <w:rPr>
          <w:lang w:val="es-ES_tradnl"/>
        </w:rPr>
      </w:pPr>
      <w:bookmarkStart w:id="1790" w:name="_Toc526166834"/>
      <w:bookmarkStart w:id="1791" w:name="_Toc215835432"/>
      <w:r w:rsidRPr="008B7A21">
        <w:rPr>
          <w:i w:val="0"/>
          <w:iCs/>
          <w:lang w:val="es-ES_tradnl"/>
        </w:rPr>
        <w:t>b)</w:t>
      </w:r>
      <w:r w:rsidRPr="008B7A21">
        <w:rPr>
          <w:lang w:val="es-ES_tradnl"/>
        </w:rPr>
        <w:tab/>
        <w:t>Determinación de los gastos dimanantes del establecimiento de una red móvil</w:t>
      </w:r>
      <w:bookmarkEnd w:id="1790"/>
      <w:bookmarkEnd w:id="1791"/>
    </w:p>
    <w:p w14:paraId="00F80A6E" w14:textId="7F96910F" w:rsidR="00F73D5B" w:rsidRPr="008B7A21" w:rsidRDefault="00F73D5B" w:rsidP="00F73D5B">
      <w:pPr>
        <w:rPr>
          <w:lang w:val="es-ES_tradnl"/>
        </w:rPr>
      </w:pPr>
      <w:r w:rsidRPr="008B7A21">
        <w:rPr>
          <w:lang w:val="es-ES_tradnl"/>
        </w:rPr>
        <w:t>Los datos básicos de la segunda categoría se indican en el Cuadro 22.</w:t>
      </w:r>
    </w:p>
    <w:p w14:paraId="46B4DDBA" w14:textId="52F5AFA0" w:rsidR="00F73D5B" w:rsidRPr="008B7A21" w:rsidRDefault="00F73D5B" w:rsidP="00F73D5B">
      <w:pPr>
        <w:pStyle w:val="TableNo"/>
        <w:rPr>
          <w:lang w:val="es-ES_tradnl"/>
        </w:rPr>
      </w:pPr>
      <w:r w:rsidRPr="008B7A21">
        <w:rPr>
          <w:sz w:val="22"/>
          <w:szCs w:val="22"/>
          <w:lang w:val="es-ES_tradnl"/>
        </w:rPr>
        <w:t>CUADRO 22</w:t>
      </w:r>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134"/>
        <w:gridCol w:w="4819"/>
        <w:gridCol w:w="3685"/>
      </w:tblGrid>
      <w:tr w:rsidR="00F73D5B" w:rsidRPr="008B7A21" w14:paraId="27569D00" w14:textId="77777777" w:rsidTr="00767A6A">
        <w:trPr>
          <w:jc w:val="center"/>
        </w:trPr>
        <w:tc>
          <w:tcPr>
            <w:tcW w:w="1134" w:type="dxa"/>
          </w:tcPr>
          <w:p w14:paraId="23AAF227" w14:textId="77777777" w:rsidR="00F73D5B" w:rsidRPr="008B7A21" w:rsidRDefault="00F73D5B" w:rsidP="00767A6A">
            <w:pPr>
              <w:pStyle w:val="Tablehead"/>
              <w:rPr>
                <w:lang w:val="es-ES_tradnl"/>
              </w:rPr>
            </w:pPr>
            <w:r w:rsidRPr="008B7A21">
              <w:rPr>
                <w:lang w:val="es-ES_tradnl"/>
              </w:rPr>
              <w:t>Símbolo</w:t>
            </w:r>
          </w:p>
        </w:tc>
        <w:tc>
          <w:tcPr>
            <w:tcW w:w="4819" w:type="dxa"/>
          </w:tcPr>
          <w:p w14:paraId="70188F57" w14:textId="77777777" w:rsidR="00F73D5B" w:rsidRPr="008B7A21" w:rsidRDefault="00F73D5B" w:rsidP="00767A6A">
            <w:pPr>
              <w:pStyle w:val="Tablehead"/>
              <w:rPr>
                <w:lang w:val="es-ES_tradnl"/>
              </w:rPr>
            </w:pPr>
            <w:r w:rsidRPr="008B7A21">
              <w:rPr>
                <w:lang w:val="es-ES_tradnl"/>
              </w:rPr>
              <w:t>Parámetro</w:t>
            </w:r>
          </w:p>
        </w:tc>
        <w:tc>
          <w:tcPr>
            <w:tcW w:w="3685" w:type="dxa"/>
          </w:tcPr>
          <w:p w14:paraId="79400040" w14:textId="77777777" w:rsidR="00F73D5B" w:rsidRPr="008B7A21" w:rsidRDefault="00F73D5B" w:rsidP="00767A6A">
            <w:pPr>
              <w:pStyle w:val="Tablehead"/>
              <w:rPr>
                <w:lang w:val="es-ES_tradnl"/>
              </w:rPr>
            </w:pPr>
            <w:r w:rsidRPr="008B7A21">
              <w:rPr>
                <w:lang w:val="es-ES_tradnl"/>
              </w:rPr>
              <w:t>Valor de cálculo</w:t>
            </w:r>
          </w:p>
        </w:tc>
      </w:tr>
      <w:tr w:rsidR="00F73D5B" w:rsidRPr="008B7A21" w14:paraId="0B4031EA" w14:textId="77777777" w:rsidTr="00767A6A">
        <w:trPr>
          <w:jc w:val="center"/>
        </w:trPr>
        <w:tc>
          <w:tcPr>
            <w:tcW w:w="1134" w:type="dxa"/>
          </w:tcPr>
          <w:p w14:paraId="40D1C551" w14:textId="77777777" w:rsidR="00F73D5B" w:rsidRPr="008B7A21" w:rsidRDefault="00F73D5B" w:rsidP="00767A6A">
            <w:pPr>
              <w:pStyle w:val="Tabletext"/>
              <w:jc w:val="center"/>
              <w:rPr>
                <w:i/>
                <w:iCs/>
                <w:lang w:val="es-ES_tradnl"/>
              </w:rPr>
            </w:pPr>
            <w:r w:rsidRPr="008B7A21">
              <w:rPr>
                <w:i/>
                <w:iCs/>
                <w:lang w:val="es-ES_tradnl"/>
              </w:rPr>
              <w:t>K</w:t>
            </w:r>
            <w:r w:rsidRPr="008B7A21">
              <w:rPr>
                <w:i/>
                <w:iCs/>
                <w:vertAlign w:val="subscript"/>
                <w:lang w:val="es-ES_tradnl"/>
              </w:rPr>
              <w:t>h</w:t>
            </w:r>
          </w:p>
        </w:tc>
        <w:tc>
          <w:tcPr>
            <w:tcW w:w="4819" w:type="dxa"/>
          </w:tcPr>
          <w:p w14:paraId="4A8B96BB" w14:textId="77777777" w:rsidR="00F73D5B" w:rsidRPr="008B7A21" w:rsidRDefault="00F73D5B" w:rsidP="00767A6A">
            <w:pPr>
              <w:pStyle w:val="Tabletext"/>
              <w:jc w:val="left"/>
              <w:rPr>
                <w:lang w:val="es-ES_tradnl"/>
              </w:rPr>
            </w:pPr>
            <w:r w:rsidRPr="008B7A21">
              <w:rPr>
                <w:lang w:val="es-ES_tradnl"/>
              </w:rPr>
              <w:t xml:space="preserve">Tarifa horaria media de un instalador </w:t>
            </w:r>
          </w:p>
        </w:tc>
        <w:tc>
          <w:tcPr>
            <w:tcW w:w="3685" w:type="dxa"/>
          </w:tcPr>
          <w:p w14:paraId="682269C2" w14:textId="77777777" w:rsidR="00F73D5B" w:rsidRPr="008B7A21" w:rsidRDefault="00F73D5B" w:rsidP="00767A6A">
            <w:pPr>
              <w:pStyle w:val="Tabletext"/>
              <w:jc w:val="left"/>
              <w:rPr>
                <w:lang w:val="es-ES_tradnl"/>
              </w:rPr>
            </w:pPr>
            <w:r w:rsidRPr="008B7A21">
              <w:rPr>
                <w:lang w:val="es-ES_tradnl"/>
              </w:rPr>
              <w:t>3 (dólares de los Estados Unidos de América/h)</w:t>
            </w:r>
          </w:p>
        </w:tc>
      </w:tr>
      <w:tr w:rsidR="00F73D5B" w:rsidRPr="008B7A21" w14:paraId="4487FE57" w14:textId="77777777" w:rsidTr="00767A6A">
        <w:trPr>
          <w:jc w:val="center"/>
        </w:trPr>
        <w:tc>
          <w:tcPr>
            <w:tcW w:w="1134" w:type="dxa"/>
          </w:tcPr>
          <w:p w14:paraId="38C789D7" w14:textId="77777777" w:rsidR="00F73D5B" w:rsidRPr="008B7A21" w:rsidRDefault="00F73D5B" w:rsidP="00767A6A">
            <w:pPr>
              <w:pStyle w:val="Tabletext"/>
              <w:jc w:val="center"/>
              <w:rPr>
                <w:i/>
                <w:iCs/>
                <w:lang w:val="es-ES_tradnl"/>
              </w:rPr>
            </w:pPr>
            <w:r w:rsidRPr="008B7A21">
              <w:rPr>
                <w:i/>
                <w:iCs/>
                <w:lang w:val="es-ES_tradnl"/>
              </w:rPr>
              <w:t>K</w:t>
            </w:r>
            <w:r w:rsidRPr="008B7A21">
              <w:rPr>
                <w:i/>
                <w:iCs/>
                <w:vertAlign w:val="subscript"/>
                <w:lang w:val="es-ES_tradnl"/>
              </w:rPr>
              <w:t>EB</w:t>
            </w:r>
          </w:p>
        </w:tc>
        <w:tc>
          <w:tcPr>
            <w:tcW w:w="4819" w:type="dxa"/>
          </w:tcPr>
          <w:p w14:paraId="59FFE0E9" w14:textId="77777777" w:rsidR="00F73D5B" w:rsidRPr="008B7A21" w:rsidRDefault="00F73D5B" w:rsidP="00767A6A">
            <w:pPr>
              <w:pStyle w:val="Tabletext"/>
              <w:jc w:val="left"/>
              <w:rPr>
                <w:lang w:val="es-ES_tradnl"/>
              </w:rPr>
            </w:pPr>
            <w:r w:rsidRPr="008B7A21">
              <w:rPr>
                <w:lang w:val="es-ES_tradnl"/>
              </w:rPr>
              <w:t>Precio de la instalación de un canal único típico en una EB</w:t>
            </w:r>
          </w:p>
        </w:tc>
        <w:tc>
          <w:tcPr>
            <w:tcW w:w="3685" w:type="dxa"/>
          </w:tcPr>
          <w:p w14:paraId="48642263" w14:textId="77777777" w:rsidR="00F73D5B" w:rsidRPr="008B7A21" w:rsidRDefault="00F73D5B" w:rsidP="00767A6A">
            <w:pPr>
              <w:pStyle w:val="Tabletext"/>
              <w:jc w:val="left"/>
              <w:rPr>
                <w:lang w:val="es-ES_tradnl"/>
              </w:rPr>
            </w:pPr>
            <w:r w:rsidRPr="008B7A21">
              <w:rPr>
                <w:lang w:val="es-ES_tradnl"/>
              </w:rPr>
              <w:t>230</w:t>
            </w:r>
            <w:r w:rsidRPr="008B7A21">
              <w:rPr>
                <w:rFonts w:ascii="Tms Rmn" w:hAnsi="Tms Rmn"/>
                <w:lang w:val="es-ES_tradnl"/>
              </w:rPr>
              <w:t> </w:t>
            </w:r>
            <w:r w:rsidRPr="008B7A21">
              <w:rPr>
                <w:lang w:val="es-ES_tradnl"/>
              </w:rPr>
              <w:t>000 (dólares de los Estados Unidos de América)</w:t>
            </w:r>
          </w:p>
        </w:tc>
      </w:tr>
      <w:tr w:rsidR="00F73D5B" w:rsidRPr="008B7A21" w14:paraId="133C7FCF" w14:textId="77777777" w:rsidTr="00767A6A">
        <w:trPr>
          <w:jc w:val="center"/>
        </w:trPr>
        <w:tc>
          <w:tcPr>
            <w:tcW w:w="1134" w:type="dxa"/>
          </w:tcPr>
          <w:p w14:paraId="1924FE08" w14:textId="77777777" w:rsidR="00F73D5B" w:rsidRPr="008B7A21" w:rsidRDefault="00F73D5B" w:rsidP="00767A6A">
            <w:pPr>
              <w:pStyle w:val="Tabletext"/>
              <w:jc w:val="center"/>
              <w:rPr>
                <w:i/>
                <w:iCs/>
                <w:lang w:val="es-ES_tradnl"/>
              </w:rPr>
            </w:pPr>
            <w:r w:rsidRPr="008B7A21">
              <w:rPr>
                <w:i/>
                <w:iCs/>
                <w:lang w:val="es-ES_tradnl"/>
              </w:rPr>
              <w:t>K</w:t>
            </w:r>
            <w:r w:rsidRPr="008B7A21">
              <w:rPr>
                <w:i/>
                <w:iCs/>
                <w:vertAlign w:val="subscript"/>
                <w:lang w:val="es-ES_tradnl"/>
              </w:rPr>
              <w:t>E</w:t>
            </w:r>
          </w:p>
        </w:tc>
        <w:tc>
          <w:tcPr>
            <w:tcW w:w="4819" w:type="dxa"/>
          </w:tcPr>
          <w:p w14:paraId="3B323081" w14:textId="77777777" w:rsidR="00F73D5B" w:rsidRPr="008B7A21" w:rsidRDefault="00F73D5B" w:rsidP="00767A6A">
            <w:pPr>
              <w:pStyle w:val="Tabletext"/>
              <w:jc w:val="left"/>
              <w:rPr>
                <w:lang w:val="es-ES_tradnl"/>
              </w:rPr>
            </w:pPr>
            <w:r w:rsidRPr="008B7A21">
              <w:rPr>
                <w:lang w:val="es-ES_tradnl"/>
              </w:rPr>
              <w:t>Coste de una unidad receptora/transmisora</w:t>
            </w:r>
          </w:p>
        </w:tc>
        <w:tc>
          <w:tcPr>
            <w:tcW w:w="3685" w:type="dxa"/>
          </w:tcPr>
          <w:p w14:paraId="0F7B962A" w14:textId="77777777" w:rsidR="00F73D5B" w:rsidRPr="008B7A21" w:rsidRDefault="00F73D5B" w:rsidP="00767A6A">
            <w:pPr>
              <w:pStyle w:val="Tabletext"/>
              <w:jc w:val="left"/>
              <w:rPr>
                <w:lang w:val="es-ES_tradnl"/>
              </w:rPr>
            </w:pPr>
            <w:r w:rsidRPr="008B7A21">
              <w:rPr>
                <w:lang w:val="es-ES_tradnl"/>
              </w:rPr>
              <w:t>11</w:t>
            </w:r>
            <w:r w:rsidRPr="008B7A21">
              <w:rPr>
                <w:rFonts w:ascii="Tms Rmn" w:hAnsi="Tms Rmn"/>
                <w:lang w:val="es-ES_tradnl"/>
              </w:rPr>
              <w:t> </w:t>
            </w:r>
            <w:r w:rsidRPr="008B7A21">
              <w:rPr>
                <w:lang w:val="es-ES_tradnl"/>
              </w:rPr>
              <w:t>000 (dólares de los Estados Unidos de América)</w:t>
            </w:r>
          </w:p>
        </w:tc>
      </w:tr>
      <w:tr w:rsidR="00F73D5B" w:rsidRPr="008B7A21" w14:paraId="1F317BE4" w14:textId="77777777" w:rsidTr="00767A6A">
        <w:trPr>
          <w:jc w:val="center"/>
        </w:trPr>
        <w:tc>
          <w:tcPr>
            <w:tcW w:w="1134" w:type="dxa"/>
          </w:tcPr>
          <w:p w14:paraId="12FFE4AB" w14:textId="77777777" w:rsidR="00F73D5B" w:rsidRPr="008B7A21" w:rsidRDefault="00F73D5B" w:rsidP="00767A6A">
            <w:pPr>
              <w:pStyle w:val="Tabletext"/>
              <w:jc w:val="center"/>
              <w:rPr>
                <w:lang w:val="es-ES_tradnl"/>
              </w:rPr>
            </w:pPr>
            <w:r w:rsidRPr="008B7A21">
              <w:rPr>
                <w:lang w:val="es-ES_tradnl"/>
              </w:rPr>
              <w:br/>
            </w:r>
          </w:p>
          <w:p w14:paraId="7DF43DFF" w14:textId="77777777" w:rsidR="00F73D5B" w:rsidRPr="008B7A21" w:rsidRDefault="00F73D5B" w:rsidP="00767A6A">
            <w:pPr>
              <w:pStyle w:val="Tabletext"/>
              <w:jc w:val="center"/>
              <w:rPr>
                <w:lang w:val="es-ES_tradnl"/>
              </w:rPr>
            </w:pPr>
            <w:r w:rsidRPr="008B7A21">
              <w:rPr>
                <w:i/>
                <w:iCs/>
                <w:lang w:val="es-ES_tradnl"/>
              </w:rPr>
              <w:t>A</w:t>
            </w:r>
            <w:r w:rsidRPr="008B7A21">
              <w:rPr>
                <w:vertAlign w:val="subscript"/>
                <w:lang w:val="es-ES_tradnl"/>
              </w:rPr>
              <w:t>1</w:t>
            </w:r>
            <w:r w:rsidRPr="008B7A21">
              <w:rPr>
                <w:lang w:val="es-ES_tradnl"/>
              </w:rPr>
              <w:br/>
            </w:r>
          </w:p>
          <w:p w14:paraId="1DFB6396" w14:textId="77777777" w:rsidR="00F73D5B" w:rsidRPr="008B7A21" w:rsidRDefault="00F73D5B" w:rsidP="00767A6A">
            <w:pPr>
              <w:pStyle w:val="Tabletext"/>
              <w:jc w:val="center"/>
              <w:rPr>
                <w:lang w:val="es-ES_tradnl"/>
              </w:rPr>
            </w:pPr>
            <w:r w:rsidRPr="008B7A21">
              <w:rPr>
                <w:i/>
                <w:iCs/>
                <w:lang w:val="es-ES_tradnl"/>
              </w:rPr>
              <w:t>A</w:t>
            </w:r>
            <w:r w:rsidRPr="008B7A21">
              <w:rPr>
                <w:vertAlign w:val="subscript"/>
                <w:lang w:val="es-ES_tradnl"/>
              </w:rPr>
              <w:t>2</w:t>
            </w:r>
          </w:p>
        </w:tc>
        <w:tc>
          <w:tcPr>
            <w:tcW w:w="4819" w:type="dxa"/>
          </w:tcPr>
          <w:p w14:paraId="50284663" w14:textId="77777777" w:rsidR="00F73D5B" w:rsidRPr="008B7A21" w:rsidRDefault="00F73D5B" w:rsidP="00767A6A">
            <w:pPr>
              <w:pStyle w:val="Tabletext"/>
              <w:jc w:val="left"/>
              <w:rPr>
                <w:lang w:val="es-ES_tradnl"/>
              </w:rPr>
            </w:pPr>
            <w:r w:rsidRPr="008B7A21">
              <w:rPr>
                <w:lang w:val="es-ES_tradnl"/>
              </w:rPr>
              <w:t>Parte fija del coste de los enlaces de conexión, independiente de la longitud de los enlaces</w:t>
            </w:r>
          </w:p>
        </w:tc>
        <w:tc>
          <w:tcPr>
            <w:tcW w:w="3685" w:type="dxa"/>
          </w:tcPr>
          <w:p w14:paraId="34211616" w14:textId="77777777" w:rsidR="00F73D5B" w:rsidRPr="008B7A21" w:rsidRDefault="00F73D5B" w:rsidP="00767A6A">
            <w:pPr>
              <w:pStyle w:val="Tabletext"/>
              <w:jc w:val="left"/>
              <w:rPr>
                <w:lang w:val="es-ES_tradnl"/>
              </w:rPr>
            </w:pPr>
            <w:r w:rsidRPr="008B7A21">
              <w:rPr>
                <w:lang w:val="es-ES_tradnl"/>
              </w:rPr>
              <w:t>Para radioenlaces digitales</w:t>
            </w:r>
            <w:r w:rsidRPr="008B7A21">
              <w:rPr>
                <w:lang w:val="es-ES_tradnl"/>
              </w:rPr>
              <w:br/>
            </w:r>
          </w:p>
          <w:p w14:paraId="745926D3" w14:textId="77777777" w:rsidR="00F73D5B" w:rsidRPr="008B7A21" w:rsidRDefault="00F73D5B" w:rsidP="00767A6A">
            <w:pPr>
              <w:pStyle w:val="Tabletext"/>
              <w:jc w:val="left"/>
              <w:rPr>
                <w:lang w:val="es-ES_tradnl"/>
              </w:rPr>
            </w:pPr>
            <w:r w:rsidRPr="008B7A21">
              <w:rPr>
                <w:lang w:val="es-ES_tradnl"/>
              </w:rPr>
              <w:t>351 (dólares de los Estados Unidos de América/canal)</w:t>
            </w:r>
          </w:p>
          <w:p w14:paraId="1B336EE1" w14:textId="77777777" w:rsidR="00F73D5B" w:rsidRPr="008B7A21" w:rsidRDefault="00F73D5B" w:rsidP="00767A6A">
            <w:pPr>
              <w:pStyle w:val="Tabletext"/>
              <w:jc w:val="left"/>
              <w:rPr>
                <w:lang w:val="es-ES_tradnl"/>
              </w:rPr>
            </w:pPr>
            <w:r w:rsidRPr="008B7A21">
              <w:rPr>
                <w:lang w:val="es-ES_tradnl"/>
              </w:rPr>
              <w:t>176 (dólares de los Estados Unidos de América/canal)</w:t>
            </w:r>
          </w:p>
        </w:tc>
      </w:tr>
      <w:tr w:rsidR="00F73D5B" w:rsidRPr="008B7A21" w14:paraId="0C6DE00B" w14:textId="77777777" w:rsidTr="00767A6A">
        <w:trPr>
          <w:jc w:val="center"/>
        </w:trPr>
        <w:tc>
          <w:tcPr>
            <w:tcW w:w="1134" w:type="dxa"/>
          </w:tcPr>
          <w:p w14:paraId="486A9E9D" w14:textId="77777777" w:rsidR="00F73D5B" w:rsidRPr="008B7A21" w:rsidRDefault="00F73D5B" w:rsidP="00767A6A">
            <w:pPr>
              <w:pStyle w:val="Tabletext"/>
              <w:jc w:val="center"/>
              <w:rPr>
                <w:lang w:val="es-ES_tradnl"/>
              </w:rPr>
            </w:pPr>
            <w:r w:rsidRPr="008B7A21">
              <w:rPr>
                <w:lang w:val="es-ES_tradnl"/>
              </w:rPr>
              <w:br/>
            </w:r>
          </w:p>
          <w:p w14:paraId="3D53BD22" w14:textId="77777777" w:rsidR="00F73D5B" w:rsidRPr="008B7A21" w:rsidRDefault="00F73D5B" w:rsidP="00767A6A">
            <w:pPr>
              <w:pStyle w:val="Tabletext"/>
              <w:jc w:val="center"/>
              <w:rPr>
                <w:lang w:val="es-ES_tradnl"/>
              </w:rPr>
            </w:pPr>
            <w:r w:rsidRPr="008B7A21">
              <w:rPr>
                <w:i/>
                <w:iCs/>
                <w:lang w:val="es-ES_tradnl"/>
              </w:rPr>
              <w:t>B</w:t>
            </w:r>
            <w:r w:rsidRPr="008B7A21">
              <w:rPr>
                <w:vertAlign w:val="subscript"/>
                <w:lang w:val="es-ES_tradnl"/>
              </w:rPr>
              <w:t>1</w:t>
            </w:r>
            <w:r w:rsidRPr="008B7A21">
              <w:rPr>
                <w:lang w:val="es-ES_tradnl"/>
              </w:rPr>
              <w:br/>
            </w:r>
          </w:p>
          <w:p w14:paraId="508BA1DC" w14:textId="77777777" w:rsidR="00F73D5B" w:rsidRPr="008B7A21" w:rsidRDefault="00F73D5B" w:rsidP="00767A6A">
            <w:pPr>
              <w:pStyle w:val="Tabletext"/>
              <w:jc w:val="center"/>
              <w:rPr>
                <w:lang w:val="es-ES_tradnl"/>
              </w:rPr>
            </w:pPr>
            <w:r w:rsidRPr="008B7A21">
              <w:rPr>
                <w:i/>
                <w:iCs/>
                <w:lang w:val="es-ES_tradnl"/>
              </w:rPr>
              <w:t>B</w:t>
            </w:r>
            <w:r w:rsidRPr="008B7A21">
              <w:rPr>
                <w:vertAlign w:val="subscript"/>
                <w:lang w:val="es-ES_tradnl"/>
              </w:rPr>
              <w:t>2</w:t>
            </w:r>
          </w:p>
        </w:tc>
        <w:tc>
          <w:tcPr>
            <w:tcW w:w="4819" w:type="dxa"/>
          </w:tcPr>
          <w:p w14:paraId="17CD4CF7" w14:textId="77777777" w:rsidR="00F73D5B" w:rsidRPr="008B7A21" w:rsidRDefault="00F73D5B" w:rsidP="00767A6A">
            <w:pPr>
              <w:pStyle w:val="Tabletext"/>
              <w:jc w:val="left"/>
              <w:rPr>
                <w:lang w:val="es-ES_tradnl"/>
              </w:rPr>
            </w:pPr>
            <w:r w:rsidRPr="008B7A21">
              <w:rPr>
                <w:lang w:val="es-ES_tradnl"/>
              </w:rPr>
              <w:t>Parte variable del coste de los enlaces de conexión, dependiente de la longitud de los enlaces</w:t>
            </w:r>
          </w:p>
        </w:tc>
        <w:tc>
          <w:tcPr>
            <w:tcW w:w="3685" w:type="dxa"/>
          </w:tcPr>
          <w:p w14:paraId="3A0E639E" w14:textId="77777777" w:rsidR="00F73D5B" w:rsidRPr="008B7A21" w:rsidRDefault="00F73D5B" w:rsidP="00767A6A">
            <w:pPr>
              <w:pStyle w:val="Tabletext"/>
              <w:jc w:val="left"/>
              <w:rPr>
                <w:lang w:val="es-ES_tradnl"/>
              </w:rPr>
            </w:pPr>
            <w:r w:rsidRPr="008B7A21">
              <w:rPr>
                <w:lang w:val="es-ES_tradnl"/>
              </w:rPr>
              <w:t>Para radioenlaces digitales</w:t>
            </w:r>
            <w:r w:rsidRPr="008B7A21">
              <w:rPr>
                <w:lang w:val="es-ES_tradnl"/>
              </w:rPr>
              <w:br/>
            </w:r>
          </w:p>
          <w:p w14:paraId="55106D9A" w14:textId="77777777" w:rsidR="00F73D5B" w:rsidRPr="008B7A21" w:rsidRDefault="00F73D5B" w:rsidP="00767A6A">
            <w:pPr>
              <w:pStyle w:val="Tabletext"/>
              <w:jc w:val="left"/>
              <w:rPr>
                <w:lang w:val="es-ES_tradnl"/>
              </w:rPr>
            </w:pPr>
            <w:r w:rsidRPr="008B7A21">
              <w:rPr>
                <w:lang w:val="es-ES_tradnl"/>
              </w:rPr>
              <w:t>23 (dólares de los Estados Unidos de América/km canal)</w:t>
            </w:r>
          </w:p>
          <w:p w14:paraId="7249988A" w14:textId="77777777" w:rsidR="00F73D5B" w:rsidRPr="008B7A21" w:rsidRDefault="00F73D5B" w:rsidP="00767A6A">
            <w:pPr>
              <w:pStyle w:val="Tabletext"/>
              <w:jc w:val="left"/>
              <w:rPr>
                <w:lang w:val="es-ES_tradnl"/>
              </w:rPr>
            </w:pPr>
            <w:r w:rsidRPr="008B7A21">
              <w:rPr>
                <w:lang w:val="es-ES_tradnl"/>
              </w:rPr>
              <w:t>12 (dólares de los Estados Unidos de América/km canal)</w:t>
            </w:r>
          </w:p>
        </w:tc>
      </w:tr>
    </w:tbl>
    <w:p w14:paraId="6E38CDDA" w14:textId="77777777" w:rsidR="00F73D5B" w:rsidRPr="008B7A21" w:rsidRDefault="00F73D5B" w:rsidP="00F73D5B">
      <w:pPr>
        <w:keepNext/>
        <w:keepLines/>
        <w:rPr>
          <w:lang w:val="es-ES_tradnl"/>
        </w:rPr>
      </w:pPr>
      <w:r w:rsidRPr="008B7A21">
        <w:rPr>
          <w:lang w:val="es-ES_tradnl"/>
        </w:rPr>
        <w:t>Los gastos constan de cinco componentes y se determinan como sigue:</w:t>
      </w:r>
    </w:p>
    <w:p w14:paraId="143E0575"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2"/>
          <w:lang w:val="es-ES_tradnl"/>
        </w:rPr>
        <w:object w:dxaOrig="3140" w:dyaOrig="360" w14:anchorId="15AA2998">
          <v:shape id="_x0000_i1720" type="#_x0000_t75" style="width:156.55pt;height:19.25pt" o:ole="">
            <v:imagedata r:id="rId146" o:title=""/>
          </v:shape>
          <o:OLEObject Type="Embed" ProgID="Equation.3" ShapeID="_x0000_i1720" DrawAspect="Content" ObjectID="_1826705929" r:id="rId147"/>
        </w:object>
      </w:r>
    </w:p>
    <w:p w14:paraId="2A64044A" w14:textId="77777777" w:rsidR="00F73D5B" w:rsidRPr="008B7A21" w:rsidRDefault="00F73D5B" w:rsidP="00F73D5B">
      <w:pPr>
        <w:rPr>
          <w:lang w:val="es-ES_tradnl"/>
        </w:rPr>
      </w:pPr>
      <w:r w:rsidRPr="008B7A21">
        <w:rPr>
          <w:lang w:val="es-ES_tradnl"/>
        </w:rPr>
        <w:t>donde:</w:t>
      </w:r>
    </w:p>
    <w:p w14:paraId="5A0559DB" w14:textId="77777777" w:rsidR="00F73D5B" w:rsidRPr="008B7A21" w:rsidRDefault="00F73D5B" w:rsidP="00F73D5B">
      <w:pPr>
        <w:pStyle w:val="Equationlegend"/>
        <w:rPr>
          <w:lang w:val="es-ES_tradnl"/>
        </w:rPr>
      </w:pPr>
      <w:r w:rsidRPr="008B7A21">
        <w:rPr>
          <w:lang w:val="es-ES_tradnl"/>
        </w:rPr>
        <w:tab/>
      </w:r>
      <w:r w:rsidRPr="008B7A21">
        <w:rPr>
          <w:i/>
          <w:iCs/>
          <w:lang w:val="es-ES_tradnl"/>
        </w:rPr>
        <w:t>K</w:t>
      </w:r>
      <w:r w:rsidRPr="008B7A21">
        <w:rPr>
          <w:vertAlign w:val="subscript"/>
          <w:lang w:val="es-ES_tradnl"/>
        </w:rPr>
        <w:t>1</w:t>
      </w:r>
      <w:r w:rsidRPr="008B7A21">
        <w:rPr>
          <w:lang w:val="es-ES_tradnl"/>
        </w:rPr>
        <w:t>:</w:t>
      </w:r>
      <w:r w:rsidRPr="008B7A21">
        <w:rPr>
          <w:rFonts w:ascii="Tms Rmn" w:hAnsi="Tms Rmn"/>
          <w:lang w:val="es-ES_tradnl"/>
        </w:rPr>
        <w:tab/>
      </w:r>
      <w:r w:rsidRPr="008B7A21">
        <w:rPr>
          <w:lang w:val="es-ES_tradnl"/>
        </w:rPr>
        <w:t>coste del trabajo de construcción y ensamblaje</w:t>
      </w:r>
    </w:p>
    <w:p w14:paraId="1A5511A2" w14:textId="77777777" w:rsidR="00F73D5B" w:rsidRPr="008B7A21" w:rsidRDefault="00F73D5B" w:rsidP="00F73D5B">
      <w:pPr>
        <w:pStyle w:val="Equationlegend"/>
        <w:rPr>
          <w:lang w:val="es-ES_tradnl"/>
        </w:rPr>
      </w:pPr>
      <w:r w:rsidRPr="008B7A21">
        <w:rPr>
          <w:lang w:val="es-ES_tradnl"/>
        </w:rPr>
        <w:tab/>
      </w:r>
      <w:r w:rsidRPr="008B7A21">
        <w:rPr>
          <w:i/>
          <w:iCs/>
          <w:lang w:val="es-ES_tradnl"/>
        </w:rPr>
        <w:t>K</w:t>
      </w:r>
      <w:r w:rsidRPr="008B7A21">
        <w:rPr>
          <w:vertAlign w:val="subscript"/>
          <w:lang w:val="es-ES_tradnl"/>
        </w:rPr>
        <w:t>2</w:t>
      </w:r>
      <w:r w:rsidRPr="008B7A21">
        <w:rPr>
          <w:lang w:val="es-ES_tradnl"/>
        </w:rPr>
        <w:t>:</w:t>
      </w:r>
      <w:r w:rsidRPr="008B7A21">
        <w:rPr>
          <w:rFonts w:ascii="Tms Rmn" w:hAnsi="Tms Rmn"/>
          <w:lang w:val="es-ES_tradnl"/>
        </w:rPr>
        <w:tab/>
      </w:r>
      <w:r w:rsidRPr="008B7A21">
        <w:rPr>
          <w:lang w:val="es-ES_tradnl"/>
        </w:rPr>
        <w:t>coste del equipo EB</w:t>
      </w:r>
    </w:p>
    <w:p w14:paraId="4C923CFB" w14:textId="77777777" w:rsidR="00F73D5B" w:rsidRPr="008B7A21" w:rsidRDefault="00F73D5B" w:rsidP="00F73D5B">
      <w:pPr>
        <w:pStyle w:val="Equationlegend"/>
        <w:rPr>
          <w:lang w:val="es-ES_tradnl"/>
        </w:rPr>
      </w:pPr>
      <w:r w:rsidRPr="008B7A21">
        <w:rPr>
          <w:lang w:val="es-ES_tradnl"/>
        </w:rPr>
        <w:tab/>
      </w:r>
      <w:r w:rsidRPr="008B7A21">
        <w:rPr>
          <w:i/>
          <w:iCs/>
          <w:lang w:val="es-ES_tradnl"/>
        </w:rPr>
        <w:t>K</w:t>
      </w:r>
      <w:r w:rsidRPr="008B7A21">
        <w:rPr>
          <w:vertAlign w:val="subscript"/>
          <w:lang w:val="es-ES_tradnl"/>
        </w:rPr>
        <w:t>3</w:t>
      </w:r>
      <w:r w:rsidRPr="008B7A21">
        <w:rPr>
          <w:lang w:val="es-ES_tradnl"/>
        </w:rPr>
        <w:t>:</w:t>
      </w:r>
      <w:r w:rsidRPr="008B7A21">
        <w:rPr>
          <w:rFonts w:ascii="Tms Rmn" w:hAnsi="Tms Rmn"/>
          <w:lang w:val="es-ES_tradnl"/>
        </w:rPr>
        <w:tab/>
      </w:r>
      <w:r w:rsidRPr="008B7A21">
        <w:rPr>
          <w:lang w:val="es-ES_tradnl"/>
        </w:rPr>
        <w:t>coste del establecimiento de un centro conmutación (SC)</w:t>
      </w:r>
    </w:p>
    <w:p w14:paraId="213A4DD1" w14:textId="77777777" w:rsidR="00F73D5B" w:rsidRPr="008B7A21" w:rsidRDefault="00F73D5B" w:rsidP="00F73D5B">
      <w:pPr>
        <w:pStyle w:val="Equationlegend"/>
        <w:rPr>
          <w:lang w:val="es-ES_tradnl"/>
        </w:rPr>
      </w:pPr>
      <w:r w:rsidRPr="008B7A21">
        <w:rPr>
          <w:lang w:val="es-ES_tradnl"/>
        </w:rPr>
        <w:tab/>
      </w:r>
      <w:r w:rsidRPr="008B7A21">
        <w:rPr>
          <w:i/>
          <w:iCs/>
          <w:lang w:val="es-ES_tradnl"/>
        </w:rPr>
        <w:t>K</w:t>
      </w:r>
      <w:r w:rsidRPr="008B7A21">
        <w:rPr>
          <w:vertAlign w:val="subscript"/>
          <w:lang w:val="es-ES_tradnl"/>
        </w:rPr>
        <w:t>4</w:t>
      </w:r>
      <w:r w:rsidRPr="008B7A21">
        <w:rPr>
          <w:lang w:val="es-ES_tradnl"/>
        </w:rPr>
        <w:t>:</w:t>
      </w:r>
      <w:r w:rsidRPr="008B7A21">
        <w:rPr>
          <w:rFonts w:ascii="Tms Rmn" w:hAnsi="Tms Rmn"/>
          <w:lang w:val="es-ES_tradnl"/>
        </w:rPr>
        <w:tab/>
      </w:r>
      <w:r w:rsidRPr="008B7A21">
        <w:rPr>
          <w:lang w:val="es-ES_tradnl"/>
        </w:rPr>
        <w:t>gastos incurridos para adquirir programas informáticos y facilidades técnicas con destino a los sistemas de facturación</w:t>
      </w:r>
    </w:p>
    <w:p w14:paraId="54C7FC3A" w14:textId="77777777" w:rsidR="00F73D5B" w:rsidRPr="008B7A21" w:rsidRDefault="00F73D5B" w:rsidP="00F73D5B">
      <w:pPr>
        <w:pStyle w:val="Equationlegend"/>
        <w:rPr>
          <w:lang w:val="es-ES_tradnl"/>
        </w:rPr>
      </w:pPr>
      <w:r w:rsidRPr="008B7A21">
        <w:rPr>
          <w:lang w:val="es-ES_tradnl"/>
        </w:rPr>
        <w:tab/>
      </w:r>
      <w:r w:rsidRPr="008B7A21">
        <w:rPr>
          <w:i/>
          <w:iCs/>
          <w:lang w:val="es-ES_tradnl"/>
        </w:rPr>
        <w:t>K</w:t>
      </w:r>
      <w:r w:rsidRPr="008B7A21">
        <w:rPr>
          <w:vertAlign w:val="subscript"/>
          <w:lang w:val="es-ES_tradnl"/>
        </w:rPr>
        <w:t>5</w:t>
      </w:r>
      <w:r w:rsidRPr="008B7A21">
        <w:rPr>
          <w:lang w:val="es-ES_tradnl"/>
        </w:rPr>
        <w:t>:</w:t>
      </w:r>
      <w:r w:rsidRPr="008B7A21">
        <w:rPr>
          <w:rFonts w:ascii="Tms Rmn" w:hAnsi="Tms Rmn"/>
          <w:lang w:val="es-ES_tradnl"/>
        </w:rPr>
        <w:tab/>
      </w:r>
      <w:r w:rsidRPr="008B7A21">
        <w:rPr>
          <w:lang w:val="es-ES_tradnl"/>
        </w:rPr>
        <w:t>coste del establecimiento de enlaces de comunicación entre la EB y el SC.</w:t>
      </w:r>
    </w:p>
    <w:p w14:paraId="17242AD8" w14:textId="77777777" w:rsidR="00F73D5B" w:rsidRPr="008B7A21" w:rsidRDefault="00F73D5B" w:rsidP="00F73D5B">
      <w:pPr>
        <w:rPr>
          <w:lang w:val="es-ES_tradnl"/>
        </w:rPr>
      </w:pPr>
      <w:r w:rsidRPr="008B7A21">
        <w:rPr>
          <w:lang w:val="es-ES_tradnl"/>
        </w:rPr>
        <w:t xml:space="preserve">Los costes de construcción y ensamblaje, </w:t>
      </w:r>
      <w:r w:rsidRPr="008B7A21">
        <w:rPr>
          <w:i/>
          <w:iCs/>
          <w:lang w:val="es-ES_tradnl"/>
        </w:rPr>
        <w:t>K</w:t>
      </w:r>
      <w:r w:rsidRPr="008B7A21">
        <w:rPr>
          <w:position w:val="-4"/>
          <w:sz w:val="16"/>
          <w:lang w:val="es-ES_tradnl"/>
        </w:rPr>
        <w:t>1</w:t>
      </w:r>
      <w:r w:rsidRPr="008B7A21">
        <w:rPr>
          <w:lang w:val="es-ES_tradnl"/>
        </w:rPr>
        <w:t>, se basan en datos estadísticos [Boucher, 1992 y 1995] sobre el consumo de trabajo en las diferentes fases de actividad. Estos costes son proporcionales a </w:t>
      </w:r>
      <w:r w:rsidRPr="008B7A21">
        <w:rPr>
          <w:i/>
          <w:iCs/>
          <w:lang w:val="es-ES_tradnl"/>
        </w:rPr>
        <w:t>C</w:t>
      </w:r>
      <w:r w:rsidRPr="008B7A21">
        <w:rPr>
          <w:lang w:val="es-ES_tradnl"/>
        </w:rPr>
        <w:t>, que es el número de EB en la red móvil y puede calcularse mediante la ecuación:</w:t>
      </w:r>
    </w:p>
    <w:p w14:paraId="618C57EA"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42"/>
          <w:lang w:val="es-ES_tradnl"/>
        </w:rPr>
        <w:object w:dxaOrig="5000" w:dyaOrig="960" w14:anchorId="3C0A61CB">
          <v:shape id="_x0000_i1721" type="#_x0000_t75" style="width:226.9pt;height:48.55pt" o:ole="" fillcolor="window">
            <v:imagedata r:id="rId148" o:title=""/>
          </v:shape>
          <o:OLEObject Type="Embed" ProgID="Equation.3" ShapeID="_x0000_i1721" DrawAspect="Content" ObjectID="_1826705930" r:id="rId149"/>
        </w:object>
      </w:r>
    </w:p>
    <w:p w14:paraId="601595BB" w14:textId="77777777" w:rsidR="00F73D5B" w:rsidRPr="008B7A21" w:rsidRDefault="00F73D5B" w:rsidP="00F73D5B">
      <w:pPr>
        <w:keepNext/>
        <w:keepLines/>
        <w:rPr>
          <w:lang w:val="es-ES_tradnl"/>
        </w:rPr>
      </w:pPr>
      <w:r w:rsidRPr="008B7A21">
        <w:rPr>
          <w:lang w:val="es-ES_tradnl"/>
        </w:rPr>
        <w:t>Los costes de capital para el equipo de la EB vienen determinados por la ecuación:</w:t>
      </w:r>
    </w:p>
    <w:p w14:paraId="371E0C16"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2"/>
          <w:lang w:val="es-ES_tradnl"/>
        </w:rPr>
        <w:object w:dxaOrig="3180" w:dyaOrig="360" w14:anchorId="75567DB6">
          <v:shape id="_x0000_i1722" type="#_x0000_t75" style="width:135.65pt;height:16.75pt;mso-position-vertical:absolute" o:ole="">
            <v:imagedata r:id="rId150" o:title=""/>
          </v:shape>
          <o:OLEObject Type="Embed" ProgID="Equation.3" ShapeID="_x0000_i1722" DrawAspect="Content" ObjectID="_1826705931" r:id="rId151"/>
        </w:object>
      </w:r>
    </w:p>
    <w:p w14:paraId="16C28A13" w14:textId="21D42ED8" w:rsidR="00F73D5B" w:rsidRPr="008B7A21" w:rsidRDefault="00F73D5B" w:rsidP="00F73D5B">
      <w:pPr>
        <w:rPr>
          <w:lang w:val="es-ES_tradnl"/>
        </w:rPr>
      </w:pPr>
      <w:r w:rsidRPr="008B7A21">
        <w:rPr>
          <w:lang w:val="es-ES_tradnl"/>
        </w:rPr>
        <w:t>donde (</w:t>
      </w:r>
      <w:r w:rsidR="00386EEF" w:rsidRPr="00386EEF">
        <w:rPr>
          <w:i/>
          <w:iCs/>
          <w:lang w:val="es-ES_tradnl"/>
        </w:rPr>
        <w:t>M</w:t>
      </w:r>
      <w:r w:rsidRPr="008B7A21">
        <w:rPr>
          <w:lang w:val="es-ES_tradnl"/>
        </w:rPr>
        <w:t xml:space="preserve"> </w:t>
      </w:r>
      <w:r w:rsidRPr="008B7A21">
        <w:rPr>
          <w:lang w:val="es-ES_tradnl"/>
        </w:rPr>
        <w:sym w:font="Symbol" w:char="F0B4"/>
      </w:r>
      <w:r w:rsidRPr="008B7A21">
        <w:rPr>
          <w:lang w:val="es-ES_tradnl"/>
        </w:rPr>
        <w:t xml:space="preserve"> </w:t>
      </w:r>
      <w:r w:rsidRPr="008B7A21">
        <w:rPr>
          <w:i/>
          <w:iCs/>
          <w:lang w:val="es-ES_tradnl"/>
        </w:rPr>
        <w:t>n</w:t>
      </w:r>
      <w:r w:rsidRPr="008B7A21">
        <w:rPr>
          <w:i/>
          <w:iCs/>
          <w:vertAlign w:val="subscript"/>
          <w:lang w:val="es-ES_tradnl"/>
        </w:rPr>
        <w:t>s</w:t>
      </w:r>
      <w:r w:rsidRPr="008B7A21">
        <w:rPr>
          <w:lang w:val="es-ES_tradnl"/>
        </w:rPr>
        <w:t>) es el número de canales de frecuencias en una célula.</w:t>
      </w:r>
    </w:p>
    <w:p w14:paraId="4037CBD3" w14:textId="6D5C075B" w:rsidR="00F73D5B" w:rsidRPr="008B7A21" w:rsidRDefault="00F73D5B" w:rsidP="00F73D5B">
      <w:pPr>
        <w:rPr>
          <w:lang w:val="es-ES_tradnl"/>
        </w:rPr>
      </w:pPr>
      <w:r w:rsidRPr="008B7A21">
        <w:rPr>
          <w:lang w:val="es-ES_tradnl"/>
        </w:rPr>
        <w:t xml:space="preserve">El coste, </w:t>
      </w:r>
      <w:r w:rsidRPr="008B7A21">
        <w:rPr>
          <w:i/>
          <w:iCs/>
          <w:lang w:val="es-ES_tradnl"/>
        </w:rPr>
        <w:t>K</w:t>
      </w:r>
      <w:r w:rsidRPr="008B7A21">
        <w:rPr>
          <w:vertAlign w:val="subscript"/>
          <w:lang w:val="es-ES_tradnl"/>
        </w:rPr>
        <w:t>3</w:t>
      </w:r>
      <w:r w:rsidRPr="008B7A21">
        <w:rPr>
          <w:lang w:val="es-ES_tradnl"/>
        </w:rPr>
        <w:t>, de establecer un centro de conmutación en una red móvil viene determinado por los datos que figuran en el Cuadro 23 sobre el número de abonados de la red.</w:t>
      </w:r>
    </w:p>
    <w:p w14:paraId="37933E16" w14:textId="002657EC" w:rsidR="00F73D5B" w:rsidRPr="008B7A21" w:rsidRDefault="00F73D5B" w:rsidP="00F73D5B">
      <w:pPr>
        <w:pStyle w:val="TableNo"/>
        <w:rPr>
          <w:lang w:val="es-ES_tradnl"/>
        </w:rPr>
      </w:pPr>
      <w:r w:rsidRPr="008B7A21">
        <w:rPr>
          <w:sz w:val="22"/>
          <w:szCs w:val="22"/>
          <w:lang w:val="es-ES_tradnl"/>
        </w:rPr>
        <w:t>CUADRO 23</w:t>
      </w:r>
    </w:p>
    <w:tbl>
      <w:tblPr>
        <w:tblW w:w="76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3118"/>
        <w:gridCol w:w="2268"/>
        <w:gridCol w:w="2268"/>
      </w:tblGrid>
      <w:tr w:rsidR="00F73D5B" w:rsidRPr="008B7A21" w14:paraId="367D52E8" w14:textId="77777777" w:rsidTr="00767A6A">
        <w:trPr>
          <w:jc w:val="center"/>
        </w:trPr>
        <w:tc>
          <w:tcPr>
            <w:tcW w:w="3118" w:type="dxa"/>
            <w:vMerge w:val="restart"/>
            <w:vAlign w:val="center"/>
          </w:tcPr>
          <w:p w14:paraId="26C1A311" w14:textId="77777777" w:rsidR="00F73D5B" w:rsidRPr="008B7A21" w:rsidRDefault="00F73D5B" w:rsidP="00767A6A">
            <w:pPr>
              <w:pStyle w:val="Tablehead"/>
              <w:rPr>
                <w:lang w:val="es-ES_tradnl"/>
              </w:rPr>
            </w:pPr>
            <w:r w:rsidRPr="008B7A21">
              <w:rPr>
                <w:lang w:val="es-ES_tradnl"/>
              </w:rPr>
              <w:t>Número requerido de canales telefónicos en la red</w:t>
            </w:r>
          </w:p>
        </w:tc>
        <w:tc>
          <w:tcPr>
            <w:tcW w:w="4536" w:type="dxa"/>
            <w:gridSpan w:val="2"/>
            <w:vAlign w:val="center"/>
          </w:tcPr>
          <w:p w14:paraId="6D998B2E" w14:textId="77777777" w:rsidR="00F73D5B" w:rsidRPr="008B7A21" w:rsidRDefault="00F73D5B" w:rsidP="00767A6A">
            <w:pPr>
              <w:pStyle w:val="Tablehead"/>
              <w:rPr>
                <w:lang w:val="es-ES_tradnl"/>
              </w:rPr>
            </w:pPr>
            <w:r w:rsidRPr="008B7A21">
              <w:rPr>
                <w:lang w:val="es-ES_tradnl"/>
              </w:rPr>
              <w:t>Costes del centro de conmutación K3</w:t>
            </w:r>
            <w:r w:rsidRPr="008B7A21">
              <w:rPr>
                <w:lang w:val="es-ES_tradnl"/>
              </w:rPr>
              <w:br/>
              <w:t>(dólares de los Estados Unidos de América)</w:t>
            </w:r>
          </w:p>
        </w:tc>
      </w:tr>
      <w:tr w:rsidR="00F73D5B" w:rsidRPr="008B7A21" w14:paraId="1187197A" w14:textId="77777777" w:rsidTr="00767A6A">
        <w:trPr>
          <w:jc w:val="center"/>
        </w:trPr>
        <w:tc>
          <w:tcPr>
            <w:tcW w:w="3118" w:type="dxa"/>
            <w:vMerge/>
            <w:vAlign w:val="center"/>
          </w:tcPr>
          <w:p w14:paraId="00E2570A" w14:textId="77777777" w:rsidR="00F73D5B" w:rsidRPr="008B7A21" w:rsidRDefault="00F73D5B" w:rsidP="00767A6A">
            <w:pPr>
              <w:pStyle w:val="Tablehead"/>
              <w:rPr>
                <w:lang w:val="es-ES_tradnl"/>
              </w:rPr>
            </w:pPr>
          </w:p>
        </w:tc>
        <w:tc>
          <w:tcPr>
            <w:tcW w:w="2268" w:type="dxa"/>
            <w:vAlign w:val="center"/>
          </w:tcPr>
          <w:p w14:paraId="0631DC6C" w14:textId="77777777" w:rsidR="00F73D5B" w:rsidRPr="008B7A21" w:rsidRDefault="00F73D5B" w:rsidP="00767A6A">
            <w:pPr>
              <w:pStyle w:val="Tablehead"/>
              <w:rPr>
                <w:lang w:val="es-ES_tradnl"/>
              </w:rPr>
            </w:pPr>
            <w:r w:rsidRPr="008B7A21">
              <w:rPr>
                <w:lang w:val="es-ES_tradnl"/>
              </w:rPr>
              <w:t>Analógico</w:t>
            </w:r>
          </w:p>
        </w:tc>
        <w:tc>
          <w:tcPr>
            <w:tcW w:w="2268" w:type="dxa"/>
            <w:vAlign w:val="center"/>
          </w:tcPr>
          <w:p w14:paraId="41E1E125" w14:textId="77777777" w:rsidR="00F73D5B" w:rsidRPr="008B7A21" w:rsidRDefault="00F73D5B" w:rsidP="00767A6A">
            <w:pPr>
              <w:pStyle w:val="Tablehead"/>
              <w:rPr>
                <w:lang w:val="es-ES_tradnl"/>
              </w:rPr>
            </w:pPr>
            <w:r w:rsidRPr="008B7A21">
              <w:rPr>
                <w:lang w:val="es-ES_tradnl"/>
              </w:rPr>
              <w:t>Digital</w:t>
            </w:r>
          </w:p>
        </w:tc>
      </w:tr>
      <w:tr w:rsidR="00F73D5B" w:rsidRPr="008B7A21" w14:paraId="493D353A" w14:textId="77777777" w:rsidTr="00767A6A">
        <w:trPr>
          <w:jc w:val="center"/>
        </w:trPr>
        <w:tc>
          <w:tcPr>
            <w:tcW w:w="3118" w:type="dxa"/>
          </w:tcPr>
          <w:p w14:paraId="06E9070F" w14:textId="77777777" w:rsidR="00F73D5B" w:rsidRPr="008B7A21" w:rsidRDefault="00F73D5B" w:rsidP="00767A6A">
            <w:pPr>
              <w:pStyle w:val="Tabletext"/>
              <w:jc w:val="center"/>
              <w:rPr>
                <w:lang w:val="es-ES_tradnl"/>
              </w:rPr>
            </w:pPr>
            <w:r w:rsidRPr="008B7A21">
              <w:rPr>
                <w:i/>
                <w:iCs/>
                <w:lang w:val="es-ES_tradnl"/>
              </w:rPr>
              <w:t>N</w:t>
            </w:r>
            <w:r w:rsidRPr="008B7A21">
              <w:rPr>
                <w:i/>
                <w:iCs/>
                <w:vertAlign w:val="subscript"/>
                <w:lang w:val="es-ES_tradnl"/>
              </w:rPr>
              <w:t>a</w:t>
            </w:r>
            <w:r w:rsidRPr="008B7A21">
              <w:rPr>
                <w:lang w:val="es-ES_tradnl"/>
              </w:rPr>
              <w:t> </w:t>
            </w:r>
            <w:r w:rsidRPr="008B7A21">
              <w:rPr>
                <w:lang w:val="es-ES_tradnl"/>
              </w:rPr>
              <w:sym w:font="Symbol" w:char="F0A3"/>
            </w:r>
            <w:r w:rsidRPr="008B7A21">
              <w:rPr>
                <w:lang w:val="es-ES_tradnl"/>
              </w:rPr>
              <w:t> 500</w:t>
            </w:r>
          </w:p>
        </w:tc>
        <w:tc>
          <w:tcPr>
            <w:tcW w:w="2268" w:type="dxa"/>
          </w:tcPr>
          <w:p w14:paraId="34C08498" w14:textId="77777777" w:rsidR="00F73D5B" w:rsidRPr="008B7A21" w:rsidRDefault="00F73D5B" w:rsidP="00767A6A">
            <w:pPr>
              <w:pStyle w:val="Tabletext"/>
              <w:jc w:val="center"/>
              <w:rPr>
                <w:lang w:val="es-ES_tradnl"/>
              </w:rPr>
            </w:pPr>
            <w:r w:rsidRPr="008B7A21">
              <w:rPr>
                <w:lang w:val="es-ES_tradnl"/>
              </w:rPr>
              <w:t>300 000</w:t>
            </w:r>
          </w:p>
        </w:tc>
        <w:tc>
          <w:tcPr>
            <w:tcW w:w="2268" w:type="dxa"/>
          </w:tcPr>
          <w:p w14:paraId="58AB9342" w14:textId="77777777" w:rsidR="00F73D5B" w:rsidRPr="008B7A21" w:rsidRDefault="00F73D5B" w:rsidP="00767A6A">
            <w:pPr>
              <w:pStyle w:val="Tabletext"/>
              <w:jc w:val="center"/>
              <w:rPr>
                <w:lang w:val="es-ES_tradnl"/>
              </w:rPr>
            </w:pPr>
            <w:r w:rsidRPr="008B7A21">
              <w:rPr>
                <w:lang w:val="es-ES_tradnl"/>
              </w:rPr>
              <w:t>3 500 000</w:t>
            </w:r>
          </w:p>
        </w:tc>
      </w:tr>
      <w:tr w:rsidR="00F73D5B" w:rsidRPr="008B7A21" w14:paraId="4B47B223" w14:textId="77777777" w:rsidTr="00767A6A">
        <w:trPr>
          <w:jc w:val="center"/>
        </w:trPr>
        <w:tc>
          <w:tcPr>
            <w:tcW w:w="3118" w:type="dxa"/>
          </w:tcPr>
          <w:p w14:paraId="4C2FBB46" w14:textId="77777777" w:rsidR="00F73D5B" w:rsidRPr="008B7A21" w:rsidRDefault="00F73D5B" w:rsidP="00767A6A">
            <w:pPr>
              <w:pStyle w:val="Tabletext"/>
              <w:jc w:val="center"/>
              <w:rPr>
                <w:lang w:val="es-ES_tradnl"/>
              </w:rPr>
            </w:pPr>
            <w:r w:rsidRPr="008B7A21">
              <w:rPr>
                <w:i/>
                <w:iCs/>
                <w:lang w:val="es-ES_tradnl"/>
              </w:rPr>
              <w:t>N</w:t>
            </w:r>
            <w:r w:rsidRPr="008B7A21">
              <w:rPr>
                <w:i/>
                <w:iCs/>
                <w:vertAlign w:val="subscript"/>
                <w:lang w:val="es-ES_tradnl"/>
              </w:rPr>
              <w:t>a</w:t>
            </w:r>
            <w:r w:rsidRPr="008B7A21">
              <w:rPr>
                <w:lang w:val="es-ES_tradnl"/>
              </w:rPr>
              <w:t> </w:t>
            </w:r>
            <w:r w:rsidRPr="008B7A21">
              <w:rPr>
                <w:lang w:val="es-ES_tradnl"/>
              </w:rPr>
              <w:sym w:font="Symbol" w:char="F0A3"/>
            </w:r>
            <w:r w:rsidRPr="008B7A21">
              <w:rPr>
                <w:lang w:val="es-ES_tradnl"/>
              </w:rPr>
              <w:t> 2 000</w:t>
            </w:r>
          </w:p>
        </w:tc>
        <w:tc>
          <w:tcPr>
            <w:tcW w:w="2268" w:type="dxa"/>
          </w:tcPr>
          <w:p w14:paraId="5E305806" w14:textId="77777777" w:rsidR="00F73D5B" w:rsidRPr="008B7A21" w:rsidRDefault="00F73D5B" w:rsidP="00767A6A">
            <w:pPr>
              <w:pStyle w:val="Tabletext"/>
              <w:jc w:val="center"/>
              <w:rPr>
                <w:lang w:val="es-ES_tradnl"/>
              </w:rPr>
            </w:pPr>
            <w:r w:rsidRPr="008B7A21">
              <w:rPr>
                <w:lang w:val="es-ES_tradnl"/>
              </w:rPr>
              <w:t>500 000</w:t>
            </w:r>
          </w:p>
        </w:tc>
        <w:tc>
          <w:tcPr>
            <w:tcW w:w="2268" w:type="dxa"/>
          </w:tcPr>
          <w:p w14:paraId="7FADD816" w14:textId="77777777" w:rsidR="00F73D5B" w:rsidRPr="008B7A21" w:rsidRDefault="00F73D5B" w:rsidP="00767A6A">
            <w:pPr>
              <w:pStyle w:val="Tabletext"/>
              <w:jc w:val="center"/>
              <w:rPr>
                <w:lang w:val="es-ES_tradnl"/>
              </w:rPr>
            </w:pPr>
            <w:r w:rsidRPr="008B7A21">
              <w:rPr>
                <w:lang w:val="es-ES_tradnl"/>
              </w:rPr>
              <w:t>3 600 000</w:t>
            </w:r>
          </w:p>
        </w:tc>
      </w:tr>
      <w:tr w:rsidR="00F73D5B" w:rsidRPr="008B7A21" w14:paraId="0E497A13" w14:textId="77777777" w:rsidTr="00767A6A">
        <w:trPr>
          <w:jc w:val="center"/>
        </w:trPr>
        <w:tc>
          <w:tcPr>
            <w:tcW w:w="3118" w:type="dxa"/>
          </w:tcPr>
          <w:p w14:paraId="1889C328" w14:textId="77777777" w:rsidR="00F73D5B" w:rsidRPr="008B7A21" w:rsidRDefault="00F73D5B" w:rsidP="00767A6A">
            <w:pPr>
              <w:pStyle w:val="Tabletext"/>
              <w:jc w:val="center"/>
              <w:rPr>
                <w:lang w:val="es-ES_tradnl"/>
              </w:rPr>
            </w:pPr>
            <w:r w:rsidRPr="008B7A21">
              <w:rPr>
                <w:i/>
                <w:iCs/>
                <w:lang w:val="es-ES_tradnl"/>
              </w:rPr>
              <w:t>N</w:t>
            </w:r>
            <w:r w:rsidRPr="008B7A21">
              <w:rPr>
                <w:i/>
                <w:iCs/>
                <w:vertAlign w:val="subscript"/>
                <w:lang w:val="es-ES_tradnl"/>
              </w:rPr>
              <w:t>a</w:t>
            </w:r>
            <w:r w:rsidRPr="008B7A21">
              <w:rPr>
                <w:lang w:val="es-ES_tradnl"/>
              </w:rPr>
              <w:t> </w:t>
            </w:r>
            <w:r w:rsidRPr="008B7A21">
              <w:rPr>
                <w:lang w:val="es-ES_tradnl"/>
              </w:rPr>
              <w:sym w:font="Symbol" w:char="F0A3"/>
            </w:r>
            <w:r w:rsidRPr="008B7A21">
              <w:rPr>
                <w:lang w:val="es-ES_tradnl"/>
              </w:rPr>
              <w:t> 10 000</w:t>
            </w:r>
          </w:p>
        </w:tc>
        <w:tc>
          <w:tcPr>
            <w:tcW w:w="2268" w:type="dxa"/>
          </w:tcPr>
          <w:p w14:paraId="78109238" w14:textId="77777777" w:rsidR="00F73D5B" w:rsidRPr="008B7A21" w:rsidRDefault="00F73D5B" w:rsidP="00767A6A">
            <w:pPr>
              <w:pStyle w:val="Tabletext"/>
              <w:jc w:val="center"/>
              <w:rPr>
                <w:lang w:val="es-ES_tradnl"/>
              </w:rPr>
            </w:pPr>
            <w:r w:rsidRPr="008B7A21">
              <w:rPr>
                <w:lang w:val="es-ES_tradnl"/>
              </w:rPr>
              <w:t>1 300 000</w:t>
            </w:r>
          </w:p>
        </w:tc>
        <w:tc>
          <w:tcPr>
            <w:tcW w:w="2268" w:type="dxa"/>
          </w:tcPr>
          <w:p w14:paraId="2EC6737E" w14:textId="77777777" w:rsidR="00F73D5B" w:rsidRPr="008B7A21" w:rsidRDefault="00F73D5B" w:rsidP="00767A6A">
            <w:pPr>
              <w:pStyle w:val="Tabletext"/>
              <w:jc w:val="center"/>
              <w:rPr>
                <w:lang w:val="es-ES_tradnl"/>
              </w:rPr>
            </w:pPr>
            <w:r w:rsidRPr="008B7A21">
              <w:rPr>
                <w:lang w:val="es-ES_tradnl"/>
              </w:rPr>
              <w:t>4 000 000</w:t>
            </w:r>
          </w:p>
        </w:tc>
      </w:tr>
      <w:tr w:rsidR="00F73D5B" w:rsidRPr="008B7A21" w14:paraId="446533CF" w14:textId="77777777" w:rsidTr="00767A6A">
        <w:trPr>
          <w:jc w:val="center"/>
        </w:trPr>
        <w:tc>
          <w:tcPr>
            <w:tcW w:w="3118" w:type="dxa"/>
          </w:tcPr>
          <w:p w14:paraId="33DCE174" w14:textId="77777777" w:rsidR="00F73D5B" w:rsidRPr="008B7A21" w:rsidRDefault="00F73D5B" w:rsidP="00767A6A">
            <w:pPr>
              <w:pStyle w:val="Tabletext"/>
              <w:jc w:val="center"/>
              <w:rPr>
                <w:lang w:val="es-ES_tradnl"/>
              </w:rPr>
            </w:pPr>
            <w:r w:rsidRPr="008B7A21">
              <w:rPr>
                <w:i/>
                <w:iCs/>
                <w:lang w:val="es-ES_tradnl"/>
              </w:rPr>
              <w:t>N</w:t>
            </w:r>
            <w:r w:rsidRPr="008B7A21">
              <w:rPr>
                <w:i/>
                <w:iCs/>
                <w:vertAlign w:val="subscript"/>
                <w:lang w:val="es-ES_tradnl"/>
              </w:rPr>
              <w:t>a</w:t>
            </w:r>
            <w:r w:rsidRPr="008B7A21">
              <w:rPr>
                <w:lang w:val="es-ES_tradnl"/>
              </w:rPr>
              <w:t> </w:t>
            </w:r>
            <w:r w:rsidRPr="008B7A21">
              <w:rPr>
                <w:lang w:val="es-ES_tradnl"/>
              </w:rPr>
              <w:sym w:font="Symbol" w:char="F0A3"/>
            </w:r>
            <w:r w:rsidRPr="008B7A21">
              <w:rPr>
                <w:lang w:val="es-ES_tradnl"/>
              </w:rPr>
              <w:t> 50 000</w:t>
            </w:r>
          </w:p>
        </w:tc>
        <w:tc>
          <w:tcPr>
            <w:tcW w:w="2268" w:type="dxa"/>
          </w:tcPr>
          <w:p w14:paraId="3BC1DB9C" w14:textId="77777777" w:rsidR="00F73D5B" w:rsidRPr="008B7A21" w:rsidRDefault="00F73D5B" w:rsidP="00767A6A">
            <w:pPr>
              <w:pStyle w:val="Tabletext"/>
              <w:jc w:val="center"/>
              <w:rPr>
                <w:lang w:val="es-ES_tradnl"/>
              </w:rPr>
            </w:pPr>
            <w:r w:rsidRPr="008B7A21">
              <w:rPr>
                <w:lang w:val="es-ES_tradnl"/>
              </w:rPr>
              <w:t>3 000 000</w:t>
            </w:r>
          </w:p>
        </w:tc>
        <w:tc>
          <w:tcPr>
            <w:tcW w:w="2268" w:type="dxa"/>
          </w:tcPr>
          <w:p w14:paraId="1712B98E" w14:textId="77777777" w:rsidR="00F73D5B" w:rsidRPr="008B7A21" w:rsidRDefault="00F73D5B" w:rsidP="00767A6A">
            <w:pPr>
              <w:pStyle w:val="Tabletext"/>
              <w:jc w:val="center"/>
              <w:rPr>
                <w:lang w:val="es-ES_tradnl"/>
              </w:rPr>
            </w:pPr>
            <w:r w:rsidRPr="008B7A21">
              <w:rPr>
                <w:lang w:val="es-ES_tradnl"/>
              </w:rPr>
              <w:t>5 000 000</w:t>
            </w:r>
          </w:p>
        </w:tc>
      </w:tr>
    </w:tbl>
    <w:p w14:paraId="79816104" w14:textId="77777777" w:rsidR="00F73D5B" w:rsidRPr="008B7A21" w:rsidRDefault="00F73D5B" w:rsidP="00F73D5B">
      <w:pPr>
        <w:pStyle w:val="Tablefin"/>
        <w:jc w:val="left"/>
        <w:rPr>
          <w:lang w:val="es-ES_tradnl"/>
        </w:rPr>
      </w:pPr>
    </w:p>
    <w:p w14:paraId="7373C7F7" w14:textId="0FA5574A" w:rsidR="00F73D5B" w:rsidRPr="008B7A21" w:rsidRDefault="00F73D5B" w:rsidP="00F73D5B">
      <w:pPr>
        <w:rPr>
          <w:lang w:val="es-ES_tradnl"/>
        </w:rPr>
      </w:pPr>
      <w:r w:rsidRPr="008B7A21">
        <w:rPr>
          <w:lang w:val="es-ES_tradnl"/>
        </w:rPr>
        <w:t xml:space="preserve">El coste </w:t>
      </w:r>
      <w:r w:rsidRPr="008B7A21">
        <w:rPr>
          <w:i/>
          <w:iCs/>
          <w:lang w:val="es-ES_tradnl"/>
        </w:rPr>
        <w:t>K</w:t>
      </w:r>
      <w:r w:rsidRPr="008B7A21">
        <w:rPr>
          <w:vertAlign w:val="subscript"/>
          <w:lang w:val="es-ES_tradnl"/>
        </w:rPr>
        <w:t>4</w:t>
      </w:r>
      <w:r w:rsidRPr="008B7A21">
        <w:rPr>
          <w:lang w:val="es-ES_tradnl"/>
        </w:rPr>
        <w:t xml:space="preserve"> viene determinado por los datos consignados en el Cuadro 24. Los cálculos se han efectuado para el caso en que la red móvil utilice un sistema muy simple de facturación para 10</w:t>
      </w:r>
      <w:r w:rsidRPr="008B7A21">
        <w:rPr>
          <w:color w:val="000000"/>
          <w:lang w:val="es-ES_tradnl"/>
        </w:rPr>
        <w:t> </w:t>
      </w:r>
      <w:r w:rsidRPr="008B7A21">
        <w:rPr>
          <w:lang w:val="es-ES_tradnl"/>
        </w:rPr>
        <w:t>000 abonados, que puede ampliarse a medida en que se aumente el número de abonados.</w:t>
      </w:r>
    </w:p>
    <w:p w14:paraId="3BCB5620" w14:textId="73ED4F20" w:rsidR="00F73D5B" w:rsidRPr="008B7A21" w:rsidRDefault="00F73D5B" w:rsidP="00F73D5B">
      <w:pPr>
        <w:pStyle w:val="TableNo"/>
        <w:rPr>
          <w:lang w:val="es-ES_tradnl"/>
        </w:rPr>
      </w:pPr>
      <w:r w:rsidRPr="008B7A21">
        <w:rPr>
          <w:sz w:val="22"/>
          <w:szCs w:val="22"/>
          <w:lang w:val="es-ES_tradnl"/>
        </w:rPr>
        <w:t>CUADRO 24</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842"/>
        <w:gridCol w:w="2797"/>
      </w:tblGrid>
      <w:tr w:rsidR="00F73D5B" w:rsidRPr="008B7A21" w14:paraId="44B1FBA0" w14:textId="77777777" w:rsidTr="008F628B">
        <w:trPr>
          <w:jc w:val="center"/>
        </w:trPr>
        <w:tc>
          <w:tcPr>
            <w:tcW w:w="6520" w:type="dxa"/>
            <w:vAlign w:val="center"/>
          </w:tcPr>
          <w:p w14:paraId="02B3EC29" w14:textId="77777777" w:rsidR="00F73D5B" w:rsidRPr="008B7A21" w:rsidRDefault="00F73D5B" w:rsidP="00767A6A">
            <w:pPr>
              <w:pStyle w:val="Tablehead"/>
              <w:rPr>
                <w:lang w:val="es-ES_tradnl"/>
              </w:rPr>
            </w:pPr>
            <w:r w:rsidRPr="008B7A21">
              <w:rPr>
                <w:lang w:val="es-ES_tradnl"/>
              </w:rPr>
              <w:t>Tipo de sistema</w:t>
            </w:r>
          </w:p>
        </w:tc>
        <w:tc>
          <w:tcPr>
            <w:tcW w:w="2665" w:type="dxa"/>
            <w:vAlign w:val="center"/>
          </w:tcPr>
          <w:p w14:paraId="4B778EE6" w14:textId="77777777" w:rsidR="00F73D5B" w:rsidRPr="008B7A21" w:rsidRDefault="00F73D5B" w:rsidP="00767A6A">
            <w:pPr>
              <w:pStyle w:val="Tablehead"/>
              <w:rPr>
                <w:lang w:val="es-ES_tradnl"/>
              </w:rPr>
            </w:pPr>
            <w:r w:rsidRPr="008B7A21">
              <w:rPr>
                <w:lang w:val="es-ES_tradnl"/>
              </w:rPr>
              <w:t>Coste K4</w:t>
            </w:r>
            <w:r w:rsidRPr="008B7A21">
              <w:rPr>
                <w:lang w:val="es-ES_tradnl"/>
              </w:rPr>
              <w:br/>
              <w:t>(dólares de los Estados Unidos de América)</w:t>
            </w:r>
          </w:p>
        </w:tc>
      </w:tr>
      <w:tr w:rsidR="00F73D5B" w:rsidRPr="008B7A21" w14:paraId="579A3BE7" w14:textId="77777777" w:rsidTr="008F628B">
        <w:trPr>
          <w:jc w:val="center"/>
        </w:trPr>
        <w:tc>
          <w:tcPr>
            <w:tcW w:w="6520" w:type="dxa"/>
          </w:tcPr>
          <w:p w14:paraId="7B0F1372" w14:textId="77777777" w:rsidR="00F73D5B" w:rsidRPr="008B7A21" w:rsidRDefault="00F73D5B" w:rsidP="00767A6A">
            <w:pPr>
              <w:pStyle w:val="Tabletext"/>
              <w:keepNext/>
              <w:keepLines/>
              <w:rPr>
                <w:lang w:val="es-ES_tradnl"/>
              </w:rPr>
            </w:pPr>
            <w:r w:rsidRPr="008B7A21">
              <w:rPr>
                <w:lang w:val="es-ES_tradnl"/>
              </w:rPr>
              <w:t>Sistema de facturación simple para 5 000 abonados</w:t>
            </w:r>
          </w:p>
        </w:tc>
        <w:tc>
          <w:tcPr>
            <w:tcW w:w="2665" w:type="dxa"/>
          </w:tcPr>
          <w:p w14:paraId="0C69F2F4" w14:textId="77777777" w:rsidR="00F73D5B" w:rsidRPr="008B7A21" w:rsidRDefault="00F73D5B" w:rsidP="00767A6A">
            <w:pPr>
              <w:pStyle w:val="Tabletext"/>
              <w:keepNext/>
              <w:keepLines/>
              <w:jc w:val="center"/>
              <w:rPr>
                <w:lang w:val="es-ES_tradnl"/>
              </w:rPr>
            </w:pPr>
            <w:r w:rsidRPr="008B7A21">
              <w:rPr>
                <w:lang w:val="es-ES_tradnl"/>
              </w:rPr>
              <w:t>130 000</w:t>
            </w:r>
          </w:p>
        </w:tc>
      </w:tr>
      <w:tr w:rsidR="00F73D5B" w:rsidRPr="008B7A21" w14:paraId="49CB377F" w14:textId="77777777" w:rsidTr="008F628B">
        <w:trPr>
          <w:jc w:val="center"/>
        </w:trPr>
        <w:tc>
          <w:tcPr>
            <w:tcW w:w="6520" w:type="dxa"/>
          </w:tcPr>
          <w:p w14:paraId="52F8EEC6" w14:textId="77777777" w:rsidR="00F73D5B" w:rsidRPr="008B7A21" w:rsidRDefault="00F73D5B" w:rsidP="00767A6A">
            <w:pPr>
              <w:pStyle w:val="Tabletext"/>
              <w:keepNext/>
              <w:keepLines/>
              <w:rPr>
                <w:lang w:val="es-ES_tradnl"/>
              </w:rPr>
            </w:pPr>
            <w:r w:rsidRPr="008B7A21">
              <w:rPr>
                <w:lang w:val="es-ES_tradnl"/>
              </w:rPr>
              <w:t>Sistema de facturación simple para 10 000 abonados</w:t>
            </w:r>
          </w:p>
        </w:tc>
        <w:tc>
          <w:tcPr>
            <w:tcW w:w="2665" w:type="dxa"/>
          </w:tcPr>
          <w:p w14:paraId="32ED0450" w14:textId="77777777" w:rsidR="00F73D5B" w:rsidRPr="008B7A21" w:rsidRDefault="00F73D5B" w:rsidP="00767A6A">
            <w:pPr>
              <w:pStyle w:val="Tabletext"/>
              <w:keepNext/>
              <w:keepLines/>
              <w:jc w:val="center"/>
              <w:rPr>
                <w:lang w:val="es-ES_tradnl"/>
              </w:rPr>
            </w:pPr>
            <w:r w:rsidRPr="008B7A21">
              <w:rPr>
                <w:lang w:val="es-ES_tradnl"/>
              </w:rPr>
              <w:t>240 000</w:t>
            </w:r>
          </w:p>
        </w:tc>
      </w:tr>
      <w:tr w:rsidR="00F73D5B" w:rsidRPr="008B7A21" w14:paraId="53DA0598" w14:textId="77777777" w:rsidTr="008F628B">
        <w:trPr>
          <w:jc w:val="center"/>
        </w:trPr>
        <w:tc>
          <w:tcPr>
            <w:tcW w:w="6520" w:type="dxa"/>
          </w:tcPr>
          <w:p w14:paraId="141CD317" w14:textId="77777777" w:rsidR="00F73D5B" w:rsidRPr="008B7A21" w:rsidRDefault="00F73D5B" w:rsidP="00767A6A">
            <w:pPr>
              <w:pStyle w:val="Tabletext"/>
              <w:rPr>
                <w:lang w:val="es-ES_tradnl"/>
              </w:rPr>
            </w:pPr>
            <w:r w:rsidRPr="008B7A21">
              <w:rPr>
                <w:lang w:val="es-ES_tradnl"/>
              </w:rPr>
              <w:t>Sistema con capacidades adicionales para hasta 10 000 abonados</w:t>
            </w:r>
          </w:p>
        </w:tc>
        <w:tc>
          <w:tcPr>
            <w:tcW w:w="2665" w:type="dxa"/>
          </w:tcPr>
          <w:p w14:paraId="30DAC590" w14:textId="77777777" w:rsidR="00F73D5B" w:rsidRPr="008B7A21" w:rsidRDefault="00F73D5B" w:rsidP="00767A6A">
            <w:pPr>
              <w:pStyle w:val="Tabletext"/>
              <w:jc w:val="center"/>
              <w:rPr>
                <w:lang w:val="es-ES_tradnl"/>
              </w:rPr>
            </w:pPr>
            <w:r w:rsidRPr="008B7A21">
              <w:rPr>
                <w:lang w:val="es-ES_tradnl"/>
              </w:rPr>
              <w:t>750 000</w:t>
            </w:r>
          </w:p>
        </w:tc>
      </w:tr>
      <w:tr w:rsidR="00F73D5B" w:rsidRPr="008B7A21" w14:paraId="058DA0E1" w14:textId="77777777" w:rsidTr="008F628B">
        <w:trPr>
          <w:jc w:val="center"/>
        </w:trPr>
        <w:tc>
          <w:tcPr>
            <w:tcW w:w="6520" w:type="dxa"/>
          </w:tcPr>
          <w:p w14:paraId="6E1581B7" w14:textId="77777777" w:rsidR="00F73D5B" w:rsidRPr="008B7A21" w:rsidRDefault="00F73D5B" w:rsidP="00767A6A">
            <w:pPr>
              <w:pStyle w:val="Tabletext"/>
              <w:rPr>
                <w:lang w:val="es-ES_tradnl"/>
              </w:rPr>
            </w:pPr>
            <w:r w:rsidRPr="008B7A21">
              <w:rPr>
                <w:lang w:val="es-ES_tradnl"/>
              </w:rPr>
              <w:t>Sistema con capacidades adicionales para hasta 100 000 abonados</w:t>
            </w:r>
          </w:p>
        </w:tc>
        <w:tc>
          <w:tcPr>
            <w:tcW w:w="2665" w:type="dxa"/>
          </w:tcPr>
          <w:p w14:paraId="4A1E4017" w14:textId="77777777" w:rsidR="00F73D5B" w:rsidRPr="008B7A21" w:rsidRDefault="00F73D5B" w:rsidP="00767A6A">
            <w:pPr>
              <w:pStyle w:val="Tabletext"/>
              <w:jc w:val="center"/>
              <w:rPr>
                <w:lang w:val="es-ES_tradnl"/>
              </w:rPr>
            </w:pPr>
            <w:r w:rsidRPr="008B7A21">
              <w:rPr>
                <w:lang w:val="es-ES_tradnl"/>
              </w:rPr>
              <w:t>1 400 000</w:t>
            </w:r>
          </w:p>
        </w:tc>
      </w:tr>
    </w:tbl>
    <w:p w14:paraId="25618825" w14:textId="77777777" w:rsidR="00F73D5B" w:rsidRPr="008B7A21" w:rsidRDefault="00F73D5B" w:rsidP="00F73D5B">
      <w:pPr>
        <w:pStyle w:val="Tablefin"/>
        <w:rPr>
          <w:lang w:val="es-ES_tradnl"/>
        </w:rPr>
      </w:pPr>
    </w:p>
    <w:p w14:paraId="29B0B3F5" w14:textId="77777777" w:rsidR="00F73D5B" w:rsidRPr="008B7A21" w:rsidRDefault="00F73D5B" w:rsidP="00F73D5B">
      <w:pPr>
        <w:rPr>
          <w:lang w:val="es-ES_tradnl"/>
        </w:rPr>
      </w:pPr>
      <w:r w:rsidRPr="008B7A21">
        <w:rPr>
          <w:lang w:val="es-ES_tradnl"/>
        </w:rPr>
        <w:t xml:space="preserve">Con el fin de calcular los costes de establecimiento de enlaces de comunicación entre la EB y el SC, puede determinarse el número requerido de enlaces de comunicación, </w:t>
      </w:r>
      <w:r w:rsidRPr="008B7A21">
        <w:rPr>
          <w:i/>
          <w:iCs/>
          <w:lang w:val="es-ES_tradnl"/>
        </w:rPr>
        <w:t>N</w:t>
      </w:r>
      <w:r w:rsidRPr="008B7A21">
        <w:rPr>
          <w:i/>
          <w:iCs/>
          <w:vertAlign w:val="subscript"/>
          <w:lang w:val="es-ES_tradnl"/>
        </w:rPr>
        <w:t>ck</w:t>
      </w:r>
      <w:r w:rsidRPr="008B7A21">
        <w:rPr>
          <w:lang w:val="es-ES_tradnl"/>
        </w:rPr>
        <w:t>, para conectar una EB al SC. En las redes móviles celulares pueden utilizarse dos tipos de enlaces de comunicación, con capacidades de 60 ó 30 canales telefónicos, respectivamente (y velocidades de transmisión de 2 a 4 Mbit/s). El número necesario de enlaces de comunicación con capacidad de 30 canales telefónicos es el siguiente:</w:t>
      </w:r>
    </w:p>
    <w:p w14:paraId="7AF48089" w14:textId="3CA9C903" w:rsidR="00F73D5B" w:rsidRPr="008B7A21" w:rsidRDefault="00F73D5B" w:rsidP="00F73D5B">
      <w:pPr>
        <w:pStyle w:val="Equation"/>
        <w:rPr>
          <w:lang w:val="es-ES_tradnl"/>
        </w:rPr>
      </w:pPr>
      <w:r w:rsidRPr="008B7A21">
        <w:rPr>
          <w:lang w:val="es-ES_tradnl"/>
        </w:rPr>
        <w:tab/>
      </w:r>
      <w:r w:rsidRPr="008B7A21">
        <w:rPr>
          <w:lang w:val="es-ES_tradnl"/>
        </w:rPr>
        <w:tab/>
      </w:r>
      <w:r w:rsidR="008F628B">
        <w:rPr>
          <w:noProof/>
          <w:position w:val="-12"/>
        </w:rPr>
        <w:drawing>
          <wp:inline distT="0" distB="0" distL="0" distR="0" wp14:anchorId="589155E6" wp14:editId="5A994247">
            <wp:extent cx="1690370" cy="25527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690370" cy="255270"/>
                    </a:xfrm>
                    <a:prstGeom prst="rect">
                      <a:avLst/>
                    </a:prstGeom>
                    <a:noFill/>
                    <a:ln>
                      <a:noFill/>
                    </a:ln>
                  </pic:spPr>
                </pic:pic>
              </a:graphicData>
            </a:graphic>
          </wp:inline>
        </w:drawing>
      </w:r>
    </w:p>
    <w:p w14:paraId="10F4135D" w14:textId="77777777" w:rsidR="00F73D5B" w:rsidRPr="008B7A21" w:rsidRDefault="00F73D5B" w:rsidP="00F73D5B">
      <w:pPr>
        <w:rPr>
          <w:lang w:val="es-ES_tradnl"/>
        </w:rPr>
      </w:pPr>
      <w:r w:rsidRPr="008B7A21">
        <w:rPr>
          <w:lang w:val="es-ES_tradnl"/>
        </w:rPr>
        <w:t>Para reducir los gastos de capital correspondientes a las conexiones EB-SC, deberían utilizarse en la mayor medida posible enlaces de comunicación del tipo 1. El número de dichos enlaces será:</w:t>
      </w:r>
    </w:p>
    <w:p w14:paraId="7E97998B" w14:textId="1D13DD10" w:rsidR="00F73D5B" w:rsidRPr="008B7A21" w:rsidRDefault="00F73D5B" w:rsidP="00F73D5B">
      <w:pPr>
        <w:pStyle w:val="Equation"/>
        <w:rPr>
          <w:lang w:val="es-ES_tradnl"/>
        </w:rPr>
      </w:pPr>
      <w:r w:rsidRPr="008B7A21">
        <w:rPr>
          <w:lang w:val="es-ES_tradnl"/>
        </w:rPr>
        <w:tab/>
      </w:r>
      <w:r w:rsidRPr="008B7A21">
        <w:rPr>
          <w:lang w:val="es-ES_tradnl"/>
        </w:rPr>
        <w:tab/>
      </w:r>
      <w:r w:rsidR="008F628B">
        <w:rPr>
          <w:noProof/>
          <w:position w:val="-12"/>
        </w:rPr>
        <w:drawing>
          <wp:inline distT="0" distB="0" distL="0" distR="0" wp14:anchorId="1E146237" wp14:editId="0F08A2B0">
            <wp:extent cx="1169670"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169670" cy="255270"/>
                    </a:xfrm>
                    <a:prstGeom prst="rect">
                      <a:avLst/>
                    </a:prstGeom>
                    <a:noFill/>
                    <a:ln>
                      <a:noFill/>
                    </a:ln>
                  </pic:spPr>
                </pic:pic>
              </a:graphicData>
            </a:graphic>
          </wp:inline>
        </w:drawing>
      </w:r>
    </w:p>
    <w:p w14:paraId="18EA63A2" w14:textId="77777777" w:rsidR="00F73D5B" w:rsidRPr="008B7A21" w:rsidRDefault="00F73D5B" w:rsidP="00F73D5B">
      <w:pPr>
        <w:rPr>
          <w:lang w:val="es-ES_tradnl"/>
        </w:rPr>
      </w:pPr>
      <w:r w:rsidRPr="008B7A21">
        <w:rPr>
          <w:lang w:val="es-ES_tradnl"/>
        </w:rPr>
        <w:t xml:space="preserve">Si </w:t>
      </w:r>
      <w:r w:rsidRPr="008B7A21">
        <w:rPr>
          <w:i/>
          <w:iCs/>
          <w:lang w:val="es-ES_tradnl"/>
        </w:rPr>
        <w:t>N</w:t>
      </w:r>
      <w:r w:rsidRPr="008B7A21">
        <w:rPr>
          <w:vertAlign w:val="subscript"/>
          <w:lang w:val="es-ES_tradnl"/>
        </w:rPr>
        <w:t>30</w:t>
      </w:r>
      <w:r w:rsidRPr="008B7A21">
        <w:rPr>
          <w:lang w:val="es-ES_tradnl"/>
        </w:rPr>
        <w:t xml:space="preserve"> es un número par, el número dado de enlaces de comunicación del tipo 1 es suficiente para las conexiones EB</w:t>
      </w:r>
      <w:r w:rsidRPr="008B7A21">
        <w:rPr>
          <w:lang w:val="es-ES_tradnl"/>
        </w:rPr>
        <w:noBreakHyphen/>
        <w:t xml:space="preserve">SC. Si se trata de un número impar, se requerirá un enlace de conexión más con una capacidad de 30 canales telefónicos. En consecuencia, para las conexiones EB-SC, es necesario contar con </w:t>
      </w:r>
      <w:r w:rsidRPr="008B7A21">
        <w:rPr>
          <w:i/>
          <w:iCs/>
          <w:lang w:val="es-ES_tradnl"/>
        </w:rPr>
        <w:t>N</w:t>
      </w:r>
      <w:r w:rsidRPr="008B7A21">
        <w:rPr>
          <w:vertAlign w:val="subscript"/>
          <w:lang w:val="es-ES_tradnl"/>
        </w:rPr>
        <w:t>1</w:t>
      </w:r>
      <w:r w:rsidRPr="008B7A21">
        <w:rPr>
          <w:lang w:val="es-ES_tradnl"/>
        </w:rPr>
        <w:t xml:space="preserve"> enlaces de comunicación del tipo 1 y </w:t>
      </w:r>
      <w:r w:rsidRPr="008B7A21">
        <w:rPr>
          <w:i/>
          <w:iCs/>
          <w:lang w:val="es-ES_tradnl"/>
        </w:rPr>
        <w:t>N</w:t>
      </w:r>
      <w:r w:rsidRPr="008B7A21">
        <w:rPr>
          <w:vertAlign w:val="subscript"/>
          <w:lang w:val="es-ES_tradnl"/>
        </w:rPr>
        <w:t>2</w:t>
      </w:r>
      <w:r w:rsidRPr="008B7A21">
        <w:rPr>
          <w:lang w:val="es-ES_tradnl"/>
        </w:rPr>
        <w:t xml:space="preserve"> enlaces de comunicación del tipo 2.</w:t>
      </w:r>
    </w:p>
    <w:p w14:paraId="72FCF452" w14:textId="77777777" w:rsidR="00F73D5B" w:rsidRPr="008B7A21" w:rsidRDefault="00F73D5B" w:rsidP="00F73D5B">
      <w:pPr>
        <w:keepNext/>
        <w:keepLines/>
        <w:rPr>
          <w:lang w:val="es-ES_tradnl"/>
        </w:rPr>
      </w:pPr>
      <w:r w:rsidRPr="008B7A21">
        <w:rPr>
          <w:lang w:val="es-ES_tradnl"/>
        </w:rPr>
        <w:t xml:space="preserve">Los costes medios por canal telefónico con enlaces del tipo 1 o el tipo 2 de longitud </w:t>
      </w:r>
      <w:r w:rsidRPr="008B7A21">
        <w:rPr>
          <w:i/>
          <w:iCs/>
          <w:lang w:val="es-ES_tradnl"/>
        </w:rPr>
        <w:t>L</w:t>
      </w:r>
      <w:r w:rsidRPr="008B7A21">
        <w:rPr>
          <w:i/>
          <w:iCs/>
          <w:vertAlign w:val="subscript"/>
          <w:lang w:val="es-ES_tradnl"/>
        </w:rPr>
        <w:t>i</w:t>
      </w:r>
      <w:r w:rsidRPr="008B7A21">
        <w:rPr>
          <w:lang w:val="es-ES_tradnl"/>
        </w:rPr>
        <w:t xml:space="preserve"> vienen determinados por la siguiente ecuación:</w:t>
      </w:r>
    </w:p>
    <w:p w14:paraId="6D35F003"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2"/>
          <w:lang w:val="es-ES_tradnl"/>
        </w:rPr>
        <w:object w:dxaOrig="1820" w:dyaOrig="360" w14:anchorId="0A277B39">
          <v:shape id="_x0000_i1723" type="#_x0000_t75" style="width:77pt;height:16.75pt" o:ole="">
            <v:imagedata r:id="rId154" o:title=""/>
          </v:shape>
          <o:OLEObject Type="Embed" ProgID="Equation.3" ShapeID="_x0000_i1723" DrawAspect="Content" ObjectID="_1826705932" r:id="rId155"/>
        </w:object>
      </w:r>
    </w:p>
    <w:p w14:paraId="4945979A"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2"/>
          <w:lang w:val="es-ES_tradnl"/>
        </w:rPr>
        <w:object w:dxaOrig="1920" w:dyaOrig="360" w14:anchorId="27AF0011">
          <v:shape id="_x0000_i1724" type="#_x0000_t75" style="width:80.35pt;height:16.75pt" o:ole="">
            <v:imagedata r:id="rId156" o:title=""/>
          </v:shape>
          <o:OLEObject Type="Embed" ProgID="Equation.3" ShapeID="_x0000_i1724" DrawAspect="Content" ObjectID="_1826705933" r:id="rId157"/>
        </w:object>
      </w:r>
    </w:p>
    <w:p w14:paraId="0DD5DA2C" w14:textId="77777777" w:rsidR="00F73D5B" w:rsidRPr="008B7A21" w:rsidRDefault="00F73D5B" w:rsidP="00F73D5B">
      <w:pPr>
        <w:rPr>
          <w:lang w:val="es-ES_tradnl"/>
        </w:rPr>
      </w:pPr>
      <w:r w:rsidRPr="008B7A21">
        <w:rPr>
          <w:lang w:val="es-ES_tradnl"/>
        </w:rPr>
        <w:t xml:space="preserve">donde </w:t>
      </w:r>
      <w:r w:rsidRPr="008B7A21">
        <w:rPr>
          <w:i/>
          <w:iCs/>
          <w:lang w:val="es-ES_tradnl"/>
        </w:rPr>
        <w:t>A</w:t>
      </w:r>
      <w:r w:rsidRPr="008B7A21">
        <w:rPr>
          <w:vertAlign w:val="subscript"/>
          <w:lang w:val="es-ES_tradnl"/>
        </w:rPr>
        <w:t>1</w:t>
      </w:r>
      <w:r w:rsidRPr="008B7A21">
        <w:rPr>
          <w:lang w:val="es-ES_tradnl"/>
        </w:rPr>
        <w:t xml:space="preserve">, </w:t>
      </w:r>
      <w:r w:rsidRPr="008B7A21">
        <w:rPr>
          <w:i/>
          <w:iCs/>
          <w:lang w:val="es-ES_tradnl"/>
        </w:rPr>
        <w:t>B</w:t>
      </w:r>
      <w:r w:rsidRPr="008B7A21">
        <w:rPr>
          <w:vertAlign w:val="subscript"/>
          <w:lang w:val="es-ES_tradnl"/>
        </w:rPr>
        <w:t>1</w:t>
      </w:r>
      <w:r w:rsidRPr="008B7A21">
        <w:rPr>
          <w:lang w:val="es-ES_tradnl"/>
        </w:rPr>
        <w:t xml:space="preserve">, </w:t>
      </w:r>
      <w:r w:rsidRPr="008B7A21">
        <w:rPr>
          <w:i/>
          <w:iCs/>
          <w:lang w:val="es-ES_tradnl"/>
        </w:rPr>
        <w:t>A</w:t>
      </w:r>
      <w:r w:rsidRPr="008B7A21">
        <w:rPr>
          <w:vertAlign w:val="subscript"/>
          <w:lang w:val="es-ES_tradnl"/>
        </w:rPr>
        <w:t>2</w:t>
      </w:r>
      <w:r w:rsidRPr="008B7A21">
        <w:rPr>
          <w:lang w:val="es-ES_tradnl"/>
        </w:rPr>
        <w:t xml:space="preserve"> y </w:t>
      </w:r>
      <w:r w:rsidRPr="008B7A21">
        <w:rPr>
          <w:i/>
          <w:iCs/>
          <w:lang w:val="es-ES_tradnl"/>
        </w:rPr>
        <w:t>B</w:t>
      </w:r>
      <w:r w:rsidRPr="008B7A21">
        <w:rPr>
          <w:vertAlign w:val="subscript"/>
          <w:lang w:val="es-ES_tradnl"/>
        </w:rPr>
        <w:t>2</w:t>
      </w:r>
      <w:r w:rsidRPr="008B7A21">
        <w:rPr>
          <w:lang w:val="es-ES_tradnl"/>
        </w:rPr>
        <w:t xml:space="preserve"> para los enlaces de cable y ópticos y los radioenlaces pueden determinarse basándose en datos estadísticos.</w:t>
      </w:r>
    </w:p>
    <w:p w14:paraId="601F7AB0" w14:textId="77777777" w:rsidR="00F73D5B" w:rsidRPr="008B7A21" w:rsidRDefault="00F73D5B" w:rsidP="00F73D5B">
      <w:pPr>
        <w:rPr>
          <w:lang w:val="es-ES_tradnl"/>
        </w:rPr>
      </w:pPr>
      <w:r w:rsidRPr="008B7A21">
        <w:rPr>
          <w:lang w:val="es-ES_tradnl"/>
        </w:rPr>
        <w:t xml:space="preserve">El coste del establecimiento de enlaces de comunicaciones entre EB </w:t>
      </w:r>
      <w:r w:rsidRPr="008B7A21">
        <w:rPr>
          <w:i/>
          <w:iCs/>
          <w:lang w:val="es-ES_tradnl"/>
        </w:rPr>
        <w:t>i</w:t>
      </w:r>
      <w:r w:rsidRPr="008B7A21">
        <w:rPr>
          <w:lang w:val="es-ES_tradnl"/>
        </w:rPr>
        <w:t>-ésima y el SC viene dado por:</w:t>
      </w:r>
    </w:p>
    <w:p w14:paraId="32B28E53"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2"/>
          <w:lang w:val="es-ES_tradnl"/>
        </w:rPr>
        <w:object w:dxaOrig="4760" w:dyaOrig="360" w14:anchorId="7FA25527">
          <v:shape id="_x0000_i1725" type="#_x0000_t75" style="width:200.1pt;height:16.75pt" o:ole="">
            <v:imagedata r:id="rId158" o:title=""/>
          </v:shape>
          <o:OLEObject Type="Embed" ProgID="Equation.3" ShapeID="_x0000_i1725" DrawAspect="Content" ObjectID="_1826705934" r:id="rId159"/>
        </w:object>
      </w:r>
    </w:p>
    <w:p w14:paraId="070ADE92" w14:textId="77777777" w:rsidR="00F73D5B" w:rsidRPr="008B7A21" w:rsidRDefault="00F73D5B" w:rsidP="00F73D5B">
      <w:pPr>
        <w:rPr>
          <w:lang w:val="es-ES_tradnl"/>
        </w:rPr>
      </w:pPr>
      <w:r w:rsidRPr="008B7A21">
        <w:rPr>
          <w:lang w:val="es-ES_tradnl"/>
        </w:rPr>
        <w:t>siendo:</w:t>
      </w:r>
    </w:p>
    <w:p w14:paraId="47094767"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0"/>
          <w:lang w:val="es-ES_tradnl"/>
        </w:rPr>
        <w:object w:dxaOrig="7220" w:dyaOrig="340" w14:anchorId="11A9B63A">
          <v:shape id="_x0000_i1726" type="#_x0000_t75" style="width:330.7pt;height:17.6pt;mso-position-horizontal:absolute" o:ole="">
            <v:imagedata r:id="rId160" o:title=""/>
          </v:shape>
          <o:OLEObject Type="Embed" ProgID="Equation.3" ShapeID="_x0000_i1726" DrawAspect="Content" ObjectID="_1826705935" r:id="rId161"/>
        </w:object>
      </w:r>
    </w:p>
    <w:p w14:paraId="4A051561" w14:textId="77777777" w:rsidR="00F73D5B" w:rsidRPr="008B7A21" w:rsidRDefault="00F73D5B" w:rsidP="00F73D5B">
      <w:pPr>
        <w:rPr>
          <w:lang w:val="es-ES_tradnl"/>
        </w:rPr>
      </w:pPr>
      <w:r w:rsidRPr="008B7A21">
        <w:rPr>
          <w:lang w:val="es-ES_tradnl"/>
        </w:rPr>
        <w:t>El coste total del establecimiento de enlaces de comunicación para conectar todas las estaciones de base al centro de conmutación puede calcularse utilizando la siguiente ecuación:</w:t>
      </w:r>
    </w:p>
    <w:p w14:paraId="401217B5"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32"/>
          <w:sz w:val="20"/>
          <w:lang w:val="es-ES_tradnl"/>
        </w:rPr>
        <w:object w:dxaOrig="3200" w:dyaOrig="760" w14:anchorId="36C088B1">
          <v:shape id="_x0000_i1727" type="#_x0000_t75" style="width:146.5pt;height:32.65pt;mso-position-vertical:absolute" o:ole="" fillcolor="window">
            <v:imagedata r:id="rId162" o:title=""/>
          </v:shape>
          <o:OLEObject Type="Embed" ProgID="Equation.3" ShapeID="_x0000_i1727" DrawAspect="Content" ObjectID="_1826705936" r:id="rId163"/>
        </w:object>
      </w:r>
    </w:p>
    <w:p w14:paraId="1124630F" w14:textId="77777777" w:rsidR="00F73D5B" w:rsidRPr="008B7A21" w:rsidRDefault="00F73D5B" w:rsidP="00F73D5B">
      <w:pPr>
        <w:keepNext/>
        <w:keepLines/>
        <w:rPr>
          <w:lang w:val="es-ES_tradnl"/>
        </w:rPr>
      </w:pPr>
      <w:r w:rsidRPr="008B7A21">
        <w:rPr>
          <w:lang w:val="es-ES_tradnl"/>
        </w:rPr>
        <w:t xml:space="preserve">donde: </w:t>
      </w:r>
      <w:r w:rsidRPr="008B7A21">
        <w:rPr>
          <w:position w:val="-24"/>
          <w:lang w:val="es-ES_tradnl"/>
        </w:rPr>
        <w:object w:dxaOrig="1460" w:dyaOrig="600" w14:anchorId="1348BBEE">
          <v:shape id="_x0000_i1728" type="#_x0000_t75" style="width:78.7pt;height:31.8pt" o:ole="" fillcolor="window">
            <v:imagedata r:id="rId164" o:title=""/>
          </v:shape>
          <o:OLEObject Type="Embed" ProgID="Equation.3" ShapeID="_x0000_i1728" DrawAspect="Content" ObjectID="_1826705937" r:id="rId165"/>
        </w:object>
      </w:r>
      <w:r w:rsidRPr="008B7A21">
        <w:rPr>
          <w:lang w:val="es-ES_tradnl"/>
        </w:rPr>
        <w:t xml:space="preserve"> es la longitud media de todos los enlaces de conexión EB-SC. La longitud de estos enlaces puede ir de 5 a 25 km. Si supone que la zona de cobertura de la red móvil es un círculo y que las estaciones de base se distribuyen uniformemente en dicha zona:</w:t>
      </w:r>
    </w:p>
    <w:p w14:paraId="3BF8E3EE"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2"/>
          <w:lang w:val="es-ES_tradnl"/>
        </w:rPr>
        <w:object w:dxaOrig="3820" w:dyaOrig="420" w14:anchorId="685E53D4">
          <v:shape id="_x0000_i1729" type="#_x0000_t75" style="width:195.05pt;height:21.75pt" o:ole="">
            <v:imagedata r:id="rId166" o:title=""/>
          </v:shape>
          <o:OLEObject Type="Embed" ProgID="Equation.3" ShapeID="_x0000_i1729" DrawAspect="Content" ObjectID="_1826705938" r:id="rId167"/>
        </w:object>
      </w:r>
    </w:p>
    <w:p w14:paraId="564D051D" w14:textId="498285AD" w:rsidR="00F73D5B" w:rsidRPr="008B7A21" w:rsidRDefault="00F73D5B" w:rsidP="00F73D5B">
      <w:pPr>
        <w:rPr>
          <w:lang w:val="es-ES_tradnl"/>
        </w:rPr>
      </w:pPr>
      <w:r w:rsidRPr="008B7A21">
        <w:rPr>
          <w:lang w:val="es-ES_tradnl"/>
        </w:rPr>
        <w:t xml:space="preserve">En la Fig. 12 se indica el gasto de capital </w:t>
      </w:r>
      <w:r w:rsidRPr="008B7A21">
        <w:rPr>
          <w:i/>
          <w:iCs/>
          <w:lang w:val="es-ES_tradnl"/>
        </w:rPr>
        <w:t>K</w:t>
      </w:r>
      <w:r w:rsidR="00386EEF" w:rsidRPr="00386EEF">
        <w:rPr>
          <w:vertAlign w:val="subscript"/>
        </w:rPr>
        <w:sym w:font="Symbol" w:char="F053"/>
      </w:r>
      <w:r w:rsidRPr="008B7A21">
        <w:rPr>
          <w:lang w:val="es-ES_tradnl"/>
        </w:rPr>
        <w:t xml:space="preserve"> en función de la anchura de banda </w:t>
      </w:r>
      <w:r w:rsidRPr="008B7A21">
        <w:rPr>
          <w:i/>
          <w:iCs/>
          <w:lang w:val="es-ES_tradnl"/>
        </w:rPr>
        <w:t>F</w:t>
      </w:r>
      <w:r w:rsidRPr="008B7A21">
        <w:rPr>
          <w:lang w:val="es-ES_tradnl"/>
        </w:rPr>
        <w:t xml:space="preserve"> y el número de abonados que deben ser atendidos </w:t>
      </w:r>
      <w:r w:rsidRPr="008B7A21">
        <w:rPr>
          <w:i/>
          <w:iCs/>
          <w:lang w:val="es-ES_tradnl"/>
        </w:rPr>
        <w:t>N</w:t>
      </w:r>
      <w:r w:rsidRPr="008B7A21">
        <w:rPr>
          <w:i/>
          <w:iCs/>
          <w:vertAlign w:val="subscript"/>
          <w:lang w:val="es-ES_tradnl"/>
        </w:rPr>
        <w:t>a</w:t>
      </w:r>
      <w:r w:rsidRPr="008B7A21">
        <w:rPr>
          <w:lang w:val="es-ES_tradnl"/>
        </w:rPr>
        <w:t>. En esta figura puede verse que el operador está en condiciones de reducir muy significativamente los gastos necesarios para establecer una red, utilizando una anchura de banda mayor, esto es, haciendo un uso menos eficaz del espectro.</w:t>
      </w:r>
    </w:p>
    <w:p w14:paraId="63CA19B3" w14:textId="77777777" w:rsidR="00F73D5B" w:rsidRPr="008B7A21" w:rsidRDefault="00F73D5B" w:rsidP="00F73D5B">
      <w:pPr>
        <w:pStyle w:val="FigureNo"/>
        <w:rPr>
          <w:lang w:val="es-ES_tradnl"/>
        </w:rPr>
      </w:pPr>
      <w:r w:rsidRPr="008B7A21">
        <w:rPr>
          <w:lang w:val="es-ES_tradnl"/>
        </w:rPr>
        <w:t>fIGURA 12</w:t>
      </w:r>
    </w:p>
    <w:p w14:paraId="5B48E502" w14:textId="77777777" w:rsidR="00F73D5B" w:rsidRPr="008B7A21" w:rsidRDefault="00F73D5B" w:rsidP="00F73D5B">
      <w:pPr>
        <w:pStyle w:val="Figuretitle"/>
        <w:rPr>
          <w:lang w:val="es-ES_tradnl"/>
        </w:rPr>
      </w:pPr>
      <w:r w:rsidRPr="008B7A21">
        <w:rPr>
          <w:lang w:val="es-ES_tradnl"/>
        </w:rPr>
        <w:t>Inversión de capital en función de la anchura de banda</w:t>
      </w:r>
    </w:p>
    <w:p w14:paraId="168656AB" w14:textId="7D846C66" w:rsidR="00F73D5B" w:rsidRPr="008B7A21" w:rsidRDefault="002A1F3D" w:rsidP="00F73D5B">
      <w:pPr>
        <w:pStyle w:val="Figure"/>
        <w:rPr>
          <w:lang w:val="es-ES_tradnl"/>
        </w:rPr>
      </w:pPr>
      <w:r w:rsidRPr="008B7A21">
        <w:rPr>
          <w:lang w:val="es-ES_tradnl"/>
        </w:rPr>
        <w:object w:dxaOrig="4455" w:dyaOrig="5927" w14:anchorId="05C2D8F7">
          <v:shape id="_x0000_i1730" type="#_x0000_t75" alt="La Figura 12 muestra la inversión de capital en función de la anchura de banda" style="width:374.25pt;height:499.8pt" o:ole="">
            <v:imagedata r:id="rId168" o:title=""/>
          </v:shape>
          <o:OLEObject Type="Embed" ProgID="CorelDRAW.Graphic.14" ShapeID="_x0000_i1730" DrawAspect="Content" ObjectID="_1826705939" r:id="rId169"/>
        </w:object>
      </w:r>
    </w:p>
    <w:p w14:paraId="3AB7A8E6" w14:textId="77777777" w:rsidR="00F73D5B" w:rsidRPr="008B7A21" w:rsidRDefault="00F73D5B" w:rsidP="008F628B">
      <w:pPr>
        <w:pStyle w:val="Headingi"/>
        <w:rPr>
          <w:lang w:val="es-ES_tradnl"/>
        </w:rPr>
      </w:pPr>
      <w:bookmarkStart w:id="1792" w:name="_Toc526166835"/>
      <w:bookmarkStart w:id="1793" w:name="_Toc215835433"/>
      <w:r w:rsidRPr="008B7A21">
        <w:rPr>
          <w:i w:val="0"/>
          <w:iCs/>
          <w:lang w:val="es-ES_tradnl"/>
        </w:rPr>
        <w:t>c)</w:t>
      </w:r>
      <w:r w:rsidRPr="008B7A21">
        <w:rPr>
          <w:lang w:val="es-ES_tradnl"/>
        </w:rPr>
        <w:tab/>
        <w:t>Determinación del índice de ingresos descontados de un proyecto de red móvil</w:t>
      </w:r>
      <w:bookmarkEnd w:id="1792"/>
      <w:bookmarkEnd w:id="1793"/>
    </w:p>
    <w:p w14:paraId="32D76409" w14:textId="1D19B4D8" w:rsidR="00F73D5B" w:rsidRPr="008B7A21" w:rsidRDefault="00F73D5B" w:rsidP="008F628B">
      <w:pPr>
        <w:keepNext/>
        <w:keepLines/>
        <w:rPr>
          <w:lang w:val="es-ES_tradnl"/>
        </w:rPr>
      </w:pPr>
      <w:r w:rsidRPr="008B7A21">
        <w:rPr>
          <w:lang w:val="es-ES_tradnl"/>
        </w:rPr>
        <w:t>En el Cuadro 25 figura un conjunto de parámetros de cálculo basados en los datos estadísticos y las normas utilizadas en la Federación de Rusia:</w:t>
      </w:r>
    </w:p>
    <w:p w14:paraId="0C257701" w14:textId="3A4EB0D7" w:rsidR="00F73D5B" w:rsidRPr="008B7A21" w:rsidRDefault="00F73D5B" w:rsidP="008F628B">
      <w:pPr>
        <w:pStyle w:val="TableNo"/>
        <w:keepLines/>
        <w:rPr>
          <w:lang w:val="es-ES_tradnl"/>
        </w:rPr>
      </w:pPr>
      <w:bookmarkStart w:id="1794" w:name="_Toc459746730"/>
      <w:bookmarkStart w:id="1795" w:name="_Toc459792660"/>
      <w:bookmarkStart w:id="1796" w:name="_Toc459793826"/>
      <w:bookmarkStart w:id="1797" w:name="_Toc459793968"/>
      <w:bookmarkStart w:id="1798" w:name="_Toc459970429"/>
      <w:bookmarkStart w:id="1799" w:name="_Toc476537873"/>
      <w:r w:rsidRPr="008B7A21">
        <w:rPr>
          <w:lang w:val="es-ES_tradnl"/>
        </w:rPr>
        <w:t>CUADRO 25</w:t>
      </w:r>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077"/>
        <w:gridCol w:w="5159"/>
        <w:gridCol w:w="3402"/>
      </w:tblGrid>
      <w:tr w:rsidR="00F73D5B" w:rsidRPr="008B7A21" w14:paraId="24BF003A" w14:textId="77777777" w:rsidTr="00767A6A">
        <w:trPr>
          <w:jc w:val="center"/>
        </w:trPr>
        <w:tc>
          <w:tcPr>
            <w:tcW w:w="1077" w:type="dxa"/>
          </w:tcPr>
          <w:p w14:paraId="14530AA7" w14:textId="77777777" w:rsidR="00F73D5B" w:rsidRPr="008B7A21" w:rsidRDefault="00F73D5B" w:rsidP="008F628B">
            <w:pPr>
              <w:pStyle w:val="Tablehead"/>
              <w:keepLines/>
              <w:rPr>
                <w:lang w:val="es-ES_tradnl"/>
              </w:rPr>
            </w:pPr>
            <w:r w:rsidRPr="008B7A21">
              <w:rPr>
                <w:lang w:val="es-ES_tradnl"/>
              </w:rPr>
              <w:t>Símbolo</w:t>
            </w:r>
          </w:p>
        </w:tc>
        <w:tc>
          <w:tcPr>
            <w:tcW w:w="5159" w:type="dxa"/>
          </w:tcPr>
          <w:p w14:paraId="50CC5F5D" w14:textId="77777777" w:rsidR="00F73D5B" w:rsidRPr="008B7A21" w:rsidRDefault="00F73D5B" w:rsidP="008F628B">
            <w:pPr>
              <w:pStyle w:val="Tablehead"/>
              <w:keepLines/>
              <w:rPr>
                <w:lang w:val="es-ES_tradnl"/>
              </w:rPr>
            </w:pPr>
            <w:r w:rsidRPr="008B7A21">
              <w:rPr>
                <w:lang w:val="es-ES_tradnl"/>
              </w:rPr>
              <w:t>Parámetro</w:t>
            </w:r>
          </w:p>
        </w:tc>
        <w:tc>
          <w:tcPr>
            <w:tcW w:w="3402" w:type="dxa"/>
          </w:tcPr>
          <w:p w14:paraId="4B73638D" w14:textId="77777777" w:rsidR="00F73D5B" w:rsidRPr="008B7A21" w:rsidRDefault="00F73D5B" w:rsidP="008F628B">
            <w:pPr>
              <w:pStyle w:val="Tablehead"/>
              <w:keepLines/>
              <w:rPr>
                <w:lang w:val="es-ES_tradnl"/>
              </w:rPr>
            </w:pPr>
            <w:r w:rsidRPr="008B7A21">
              <w:rPr>
                <w:lang w:val="es-ES_tradnl"/>
              </w:rPr>
              <w:t>Valor de cálculo</w:t>
            </w:r>
          </w:p>
        </w:tc>
      </w:tr>
      <w:tr w:rsidR="00F73D5B" w:rsidRPr="008B7A21" w14:paraId="225B5E94" w14:textId="77777777" w:rsidTr="00767A6A">
        <w:trPr>
          <w:jc w:val="center"/>
        </w:trPr>
        <w:tc>
          <w:tcPr>
            <w:tcW w:w="1077" w:type="dxa"/>
          </w:tcPr>
          <w:p w14:paraId="4E78690B" w14:textId="77777777" w:rsidR="00F73D5B" w:rsidRPr="008B7A21" w:rsidRDefault="00F73D5B" w:rsidP="00767A6A">
            <w:pPr>
              <w:pStyle w:val="Tabletext"/>
              <w:keepNext/>
              <w:keepLines/>
              <w:jc w:val="center"/>
              <w:rPr>
                <w:lang w:val="es-ES_tradnl"/>
              </w:rPr>
            </w:pPr>
            <w:r w:rsidRPr="008B7A21">
              <w:rPr>
                <w:i/>
                <w:iCs/>
                <w:lang w:val="es-ES_tradnl"/>
              </w:rPr>
              <w:t>N</w:t>
            </w:r>
            <w:r w:rsidRPr="008B7A21">
              <w:rPr>
                <w:vertAlign w:val="subscript"/>
                <w:lang w:val="es-ES_tradnl"/>
              </w:rPr>
              <w:t>0</w:t>
            </w:r>
          </w:p>
        </w:tc>
        <w:tc>
          <w:tcPr>
            <w:tcW w:w="5159" w:type="dxa"/>
          </w:tcPr>
          <w:p w14:paraId="7C6298C5" w14:textId="77777777" w:rsidR="00F73D5B" w:rsidRPr="008B7A21" w:rsidRDefault="00F73D5B" w:rsidP="00767A6A">
            <w:pPr>
              <w:pStyle w:val="Tabletext"/>
              <w:keepNext/>
              <w:keepLines/>
              <w:jc w:val="left"/>
              <w:rPr>
                <w:lang w:val="es-ES_tradnl"/>
              </w:rPr>
            </w:pPr>
            <w:r w:rsidRPr="008B7A21">
              <w:rPr>
                <w:lang w:val="es-ES_tradnl"/>
              </w:rPr>
              <w:t xml:space="preserve">Número inicial de abonados en la red móvil </w:t>
            </w:r>
          </w:p>
        </w:tc>
        <w:tc>
          <w:tcPr>
            <w:tcW w:w="3402" w:type="dxa"/>
          </w:tcPr>
          <w:p w14:paraId="6D8BAC3C" w14:textId="77777777" w:rsidR="00F73D5B" w:rsidRPr="008B7A21" w:rsidRDefault="00F73D5B" w:rsidP="00767A6A">
            <w:pPr>
              <w:pStyle w:val="Tabletext"/>
              <w:keepNext/>
              <w:keepLines/>
              <w:jc w:val="left"/>
              <w:rPr>
                <w:lang w:val="es-ES_tradnl"/>
              </w:rPr>
            </w:pPr>
            <w:r w:rsidRPr="008B7A21">
              <w:rPr>
                <w:lang w:val="es-ES_tradnl"/>
              </w:rPr>
              <w:t>300 abonados</w:t>
            </w:r>
          </w:p>
        </w:tc>
      </w:tr>
      <w:tr w:rsidR="00F73D5B" w:rsidRPr="008B7A21" w14:paraId="44714FD9" w14:textId="77777777" w:rsidTr="00767A6A">
        <w:trPr>
          <w:jc w:val="center"/>
        </w:trPr>
        <w:tc>
          <w:tcPr>
            <w:tcW w:w="1077" w:type="dxa"/>
          </w:tcPr>
          <w:p w14:paraId="26481315" w14:textId="77777777" w:rsidR="00F73D5B" w:rsidRPr="008B7A21" w:rsidRDefault="00F73D5B" w:rsidP="00767A6A">
            <w:pPr>
              <w:pStyle w:val="Tabletext"/>
              <w:keepNext/>
              <w:keepLines/>
              <w:jc w:val="center"/>
              <w:rPr>
                <w:lang w:val="es-ES_tradnl"/>
              </w:rPr>
            </w:pPr>
            <w:r w:rsidRPr="008B7A21">
              <w:rPr>
                <w:i/>
                <w:iCs/>
                <w:lang w:val="es-ES_tradnl"/>
              </w:rPr>
              <w:t>T</w:t>
            </w:r>
            <w:r w:rsidRPr="008B7A21">
              <w:rPr>
                <w:vertAlign w:val="subscript"/>
                <w:lang w:val="es-ES_tradnl"/>
              </w:rPr>
              <w:t>1</w:t>
            </w:r>
          </w:p>
        </w:tc>
        <w:tc>
          <w:tcPr>
            <w:tcW w:w="5159" w:type="dxa"/>
          </w:tcPr>
          <w:p w14:paraId="3610D2C3" w14:textId="77777777" w:rsidR="00F73D5B" w:rsidRPr="008B7A21" w:rsidRDefault="00F73D5B" w:rsidP="00767A6A">
            <w:pPr>
              <w:pStyle w:val="Tabletext"/>
              <w:keepNext/>
              <w:keepLines/>
              <w:jc w:val="left"/>
              <w:rPr>
                <w:lang w:val="es-ES_tradnl"/>
              </w:rPr>
            </w:pPr>
            <w:r w:rsidRPr="008B7A21">
              <w:rPr>
                <w:lang w:val="es-ES_tradnl"/>
              </w:rPr>
              <w:t>Tarifa por minuto del arrendamiento de un canal en la red pública</w:t>
            </w:r>
          </w:p>
        </w:tc>
        <w:tc>
          <w:tcPr>
            <w:tcW w:w="3402" w:type="dxa"/>
          </w:tcPr>
          <w:p w14:paraId="3E725D47" w14:textId="77777777" w:rsidR="00F73D5B" w:rsidRPr="008B7A21" w:rsidRDefault="00F73D5B" w:rsidP="00767A6A">
            <w:pPr>
              <w:pStyle w:val="Tabletext"/>
              <w:keepNext/>
              <w:keepLines/>
              <w:jc w:val="left"/>
              <w:rPr>
                <w:lang w:val="es-ES_tradnl"/>
              </w:rPr>
            </w:pPr>
            <w:r w:rsidRPr="008B7A21">
              <w:rPr>
                <w:lang w:val="es-ES_tradnl"/>
              </w:rPr>
              <w:t>0,05 (dólares de los Estados Unidos de América/min)</w:t>
            </w:r>
          </w:p>
        </w:tc>
      </w:tr>
      <w:tr w:rsidR="00F73D5B" w:rsidRPr="008B7A21" w14:paraId="18C1A158" w14:textId="77777777" w:rsidTr="00767A6A">
        <w:trPr>
          <w:jc w:val="center"/>
        </w:trPr>
        <w:tc>
          <w:tcPr>
            <w:tcW w:w="1077" w:type="dxa"/>
          </w:tcPr>
          <w:p w14:paraId="4A11169E" w14:textId="77777777" w:rsidR="00F73D5B" w:rsidRPr="008B7A21" w:rsidRDefault="00F73D5B" w:rsidP="00767A6A">
            <w:pPr>
              <w:pStyle w:val="Tabletext"/>
              <w:jc w:val="center"/>
              <w:rPr>
                <w:i/>
                <w:iCs/>
                <w:lang w:val="es-ES_tradnl"/>
              </w:rPr>
            </w:pPr>
            <w:r w:rsidRPr="008B7A21">
              <w:rPr>
                <w:i/>
                <w:iCs/>
                <w:lang w:val="es-ES_tradnl"/>
              </w:rPr>
              <w:t>X</w:t>
            </w:r>
          </w:p>
        </w:tc>
        <w:tc>
          <w:tcPr>
            <w:tcW w:w="5159" w:type="dxa"/>
          </w:tcPr>
          <w:p w14:paraId="0C9D7CA0" w14:textId="77777777" w:rsidR="00F73D5B" w:rsidRPr="008B7A21" w:rsidRDefault="00F73D5B" w:rsidP="00767A6A">
            <w:pPr>
              <w:pStyle w:val="Tabletext"/>
              <w:jc w:val="left"/>
              <w:rPr>
                <w:lang w:val="es-ES_tradnl"/>
              </w:rPr>
            </w:pPr>
            <w:r w:rsidRPr="008B7A21">
              <w:rPr>
                <w:lang w:val="es-ES_tradnl"/>
              </w:rPr>
              <w:t>Coeficiente que caracteriza la proporción de llamadas entrantes a la red pública</w:t>
            </w:r>
          </w:p>
        </w:tc>
        <w:tc>
          <w:tcPr>
            <w:tcW w:w="3402" w:type="dxa"/>
          </w:tcPr>
          <w:p w14:paraId="10C2B5B5" w14:textId="77777777" w:rsidR="00F73D5B" w:rsidRPr="008B7A21" w:rsidRDefault="00F73D5B" w:rsidP="00767A6A">
            <w:pPr>
              <w:pStyle w:val="Tabletext"/>
              <w:jc w:val="left"/>
              <w:rPr>
                <w:lang w:val="es-ES_tradnl"/>
              </w:rPr>
            </w:pPr>
            <w:r w:rsidRPr="008B7A21">
              <w:rPr>
                <w:lang w:val="es-ES_tradnl"/>
              </w:rPr>
              <w:t>0,7</w:t>
            </w:r>
          </w:p>
        </w:tc>
      </w:tr>
      <w:tr w:rsidR="00F73D5B" w:rsidRPr="008B7A21" w14:paraId="6DD54970" w14:textId="77777777" w:rsidTr="00767A6A">
        <w:trPr>
          <w:jc w:val="center"/>
        </w:trPr>
        <w:tc>
          <w:tcPr>
            <w:tcW w:w="1077" w:type="dxa"/>
          </w:tcPr>
          <w:p w14:paraId="57577679" w14:textId="77777777" w:rsidR="00F73D5B" w:rsidRPr="008B7A21" w:rsidRDefault="00F73D5B" w:rsidP="00767A6A">
            <w:pPr>
              <w:pStyle w:val="Tabletext"/>
              <w:jc w:val="center"/>
              <w:rPr>
                <w:lang w:val="es-ES_tradnl"/>
              </w:rPr>
            </w:pPr>
            <w:r w:rsidRPr="008B7A21">
              <w:rPr>
                <w:i/>
                <w:iCs/>
                <w:lang w:val="es-ES_tradnl"/>
              </w:rPr>
              <w:t>K</w:t>
            </w:r>
            <w:r w:rsidRPr="008B7A21">
              <w:rPr>
                <w:i/>
                <w:iCs/>
                <w:vertAlign w:val="subscript"/>
                <w:lang w:val="es-ES_tradnl"/>
              </w:rPr>
              <w:t>PH</w:t>
            </w:r>
          </w:p>
        </w:tc>
        <w:tc>
          <w:tcPr>
            <w:tcW w:w="5159" w:type="dxa"/>
          </w:tcPr>
          <w:p w14:paraId="5168E110" w14:textId="77777777" w:rsidR="00F73D5B" w:rsidRPr="008B7A21" w:rsidRDefault="00F73D5B" w:rsidP="00767A6A">
            <w:pPr>
              <w:pStyle w:val="Tabletext"/>
              <w:jc w:val="left"/>
              <w:rPr>
                <w:lang w:val="es-ES_tradnl"/>
              </w:rPr>
            </w:pPr>
            <w:r w:rsidRPr="008B7A21">
              <w:rPr>
                <w:lang w:val="es-ES_tradnl"/>
              </w:rPr>
              <w:t>Coeficiente de concentración de tráfico, que caracteriza la proporción del tráfico diario medio durante la hora punta; se trata de la relación tiempo de llamada en hora punta/tiempo de llamada medio diario</w:t>
            </w:r>
          </w:p>
        </w:tc>
        <w:tc>
          <w:tcPr>
            <w:tcW w:w="3402" w:type="dxa"/>
          </w:tcPr>
          <w:p w14:paraId="3F8F0C3D" w14:textId="77777777" w:rsidR="00F73D5B" w:rsidRPr="008B7A21" w:rsidRDefault="00F73D5B" w:rsidP="00767A6A">
            <w:pPr>
              <w:pStyle w:val="Tabletext"/>
              <w:jc w:val="left"/>
              <w:rPr>
                <w:lang w:val="es-ES_tradnl"/>
              </w:rPr>
            </w:pPr>
            <w:r w:rsidRPr="008B7A21">
              <w:rPr>
                <w:lang w:val="es-ES_tradnl"/>
              </w:rPr>
              <w:t>0,18</w:t>
            </w:r>
          </w:p>
        </w:tc>
      </w:tr>
      <w:tr w:rsidR="00F73D5B" w:rsidRPr="008B7A21" w14:paraId="1825460B" w14:textId="77777777" w:rsidTr="00767A6A">
        <w:trPr>
          <w:jc w:val="center"/>
        </w:trPr>
        <w:tc>
          <w:tcPr>
            <w:tcW w:w="1077" w:type="dxa"/>
          </w:tcPr>
          <w:p w14:paraId="2A6F4041" w14:textId="77777777" w:rsidR="00F73D5B" w:rsidRPr="008B7A21" w:rsidRDefault="00F73D5B" w:rsidP="00767A6A">
            <w:pPr>
              <w:pStyle w:val="Tabletext"/>
              <w:jc w:val="center"/>
              <w:rPr>
                <w:lang w:val="es-ES_tradnl"/>
              </w:rPr>
            </w:pPr>
            <w:r w:rsidRPr="008B7A21">
              <w:rPr>
                <w:lang w:val="es-ES_tradnl"/>
              </w:rPr>
              <w:sym w:font="Symbol" w:char="F062"/>
            </w:r>
          </w:p>
        </w:tc>
        <w:tc>
          <w:tcPr>
            <w:tcW w:w="5159" w:type="dxa"/>
          </w:tcPr>
          <w:p w14:paraId="0900CD1E" w14:textId="77777777" w:rsidR="00F73D5B" w:rsidRPr="008B7A21" w:rsidRDefault="00F73D5B" w:rsidP="00767A6A">
            <w:pPr>
              <w:pStyle w:val="Tabletext"/>
              <w:jc w:val="left"/>
              <w:rPr>
                <w:lang w:val="es-ES_tradnl"/>
              </w:rPr>
            </w:pPr>
            <w:r w:rsidRPr="008B7A21">
              <w:rPr>
                <w:lang w:val="es-ES_tradnl"/>
              </w:rPr>
              <w:t>Actividad del abonado durante la hora punta</w:t>
            </w:r>
          </w:p>
        </w:tc>
        <w:tc>
          <w:tcPr>
            <w:tcW w:w="3402" w:type="dxa"/>
          </w:tcPr>
          <w:p w14:paraId="7EC9A0A8" w14:textId="77777777" w:rsidR="00F73D5B" w:rsidRPr="008B7A21" w:rsidRDefault="00F73D5B" w:rsidP="00767A6A">
            <w:pPr>
              <w:pStyle w:val="Tabletext"/>
              <w:jc w:val="left"/>
              <w:rPr>
                <w:lang w:val="es-ES_tradnl"/>
              </w:rPr>
            </w:pPr>
            <w:r w:rsidRPr="008B7A21">
              <w:rPr>
                <w:lang w:val="es-ES_tradnl"/>
              </w:rPr>
              <w:t>0,025</w:t>
            </w:r>
          </w:p>
        </w:tc>
      </w:tr>
      <w:tr w:rsidR="00F73D5B" w:rsidRPr="008B7A21" w14:paraId="45570D76" w14:textId="77777777" w:rsidTr="00767A6A">
        <w:trPr>
          <w:jc w:val="center"/>
        </w:trPr>
        <w:tc>
          <w:tcPr>
            <w:tcW w:w="1077" w:type="dxa"/>
          </w:tcPr>
          <w:p w14:paraId="68FCD4F5" w14:textId="77777777" w:rsidR="00F73D5B" w:rsidRPr="008B7A21" w:rsidRDefault="00F73D5B" w:rsidP="00767A6A">
            <w:pPr>
              <w:pStyle w:val="Tabletext"/>
              <w:jc w:val="center"/>
              <w:rPr>
                <w:lang w:val="es-ES_tradnl"/>
              </w:rPr>
            </w:pPr>
            <w:r w:rsidRPr="008B7A21">
              <w:rPr>
                <w:i/>
                <w:iCs/>
                <w:lang w:val="es-ES_tradnl"/>
              </w:rPr>
              <w:t>P</w:t>
            </w:r>
            <w:r w:rsidRPr="008B7A21">
              <w:rPr>
                <w:vertAlign w:val="subscript"/>
                <w:lang w:val="es-ES_tradnl"/>
              </w:rPr>
              <w:t>1</w:t>
            </w:r>
          </w:p>
        </w:tc>
        <w:tc>
          <w:tcPr>
            <w:tcW w:w="5159" w:type="dxa"/>
          </w:tcPr>
          <w:p w14:paraId="4682A75A" w14:textId="77777777" w:rsidR="00F73D5B" w:rsidRPr="008B7A21" w:rsidRDefault="00F73D5B" w:rsidP="00767A6A">
            <w:pPr>
              <w:pStyle w:val="Tabletext"/>
              <w:jc w:val="left"/>
              <w:rPr>
                <w:lang w:val="es-ES_tradnl"/>
              </w:rPr>
            </w:pPr>
            <w:r w:rsidRPr="008B7A21">
              <w:rPr>
                <w:lang w:val="es-ES_tradnl"/>
              </w:rPr>
              <w:t>Pago puntual medio de conexión a la red</w:t>
            </w:r>
          </w:p>
        </w:tc>
        <w:tc>
          <w:tcPr>
            <w:tcW w:w="3402" w:type="dxa"/>
          </w:tcPr>
          <w:p w14:paraId="1D5AF433" w14:textId="77777777" w:rsidR="00F73D5B" w:rsidRPr="008B7A21" w:rsidRDefault="00F73D5B" w:rsidP="00767A6A">
            <w:pPr>
              <w:pStyle w:val="Tabletext"/>
              <w:jc w:val="left"/>
              <w:rPr>
                <w:lang w:val="es-ES_tradnl"/>
              </w:rPr>
            </w:pPr>
            <w:r w:rsidRPr="008B7A21">
              <w:rPr>
                <w:lang w:val="es-ES_tradnl"/>
              </w:rPr>
              <w:t>200 (dólares de los Estados Unidos de América)</w:t>
            </w:r>
          </w:p>
        </w:tc>
      </w:tr>
      <w:tr w:rsidR="00F73D5B" w:rsidRPr="008B7A21" w14:paraId="5CC0777D" w14:textId="77777777" w:rsidTr="00767A6A">
        <w:trPr>
          <w:jc w:val="center"/>
        </w:trPr>
        <w:tc>
          <w:tcPr>
            <w:tcW w:w="1077" w:type="dxa"/>
          </w:tcPr>
          <w:p w14:paraId="37AC45E7" w14:textId="77777777" w:rsidR="00F73D5B" w:rsidRPr="008B7A21" w:rsidRDefault="00F73D5B" w:rsidP="00767A6A">
            <w:pPr>
              <w:pStyle w:val="Tabletext"/>
              <w:jc w:val="center"/>
              <w:rPr>
                <w:lang w:val="es-ES_tradnl"/>
              </w:rPr>
            </w:pPr>
            <w:r w:rsidRPr="008B7A21">
              <w:rPr>
                <w:i/>
                <w:iCs/>
                <w:lang w:val="es-ES_tradnl"/>
              </w:rPr>
              <w:t>P</w:t>
            </w:r>
            <w:r w:rsidRPr="008B7A21">
              <w:rPr>
                <w:vertAlign w:val="subscript"/>
                <w:lang w:val="es-ES_tradnl"/>
              </w:rPr>
              <w:t>2</w:t>
            </w:r>
          </w:p>
        </w:tc>
        <w:tc>
          <w:tcPr>
            <w:tcW w:w="5159" w:type="dxa"/>
          </w:tcPr>
          <w:p w14:paraId="6702872E" w14:textId="77777777" w:rsidR="00F73D5B" w:rsidRPr="008B7A21" w:rsidRDefault="00F73D5B" w:rsidP="00767A6A">
            <w:pPr>
              <w:pStyle w:val="Tabletext"/>
              <w:jc w:val="left"/>
              <w:rPr>
                <w:lang w:val="es-ES_tradnl"/>
              </w:rPr>
            </w:pPr>
            <w:r w:rsidRPr="008B7A21">
              <w:rPr>
                <w:lang w:val="es-ES_tradnl"/>
              </w:rPr>
              <w:t>Tasa de abono medio mensual</w:t>
            </w:r>
          </w:p>
        </w:tc>
        <w:tc>
          <w:tcPr>
            <w:tcW w:w="3402" w:type="dxa"/>
          </w:tcPr>
          <w:p w14:paraId="6708EEDD" w14:textId="77777777" w:rsidR="00F73D5B" w:rsidRPr="008B7A21" w:rsidRDefault="00F73D5B" w:rsidP="00767A6A">
            <w:pPr>
              <w:pStyle w:val="Tabletext"/>
              <w:jc w:val="left"/>
              <w:rPr>
                <w:lang w:val="es-ES_tradnl"/>
              </w:rPr>
            </w:pPr>
            <w:r w:rsidRPr="008B7A21">
              <w:rPr>
                <w:lang w:val="es-ES_tradnl"/>
              </w:rPr>
              <w:t>50 (dólares de los Estados Unidos de América/mes)</w:t>
            </w:r>
          </w:p>
        </w:tc>
      </w:tr>
      <w:tr w:rsidR="00F73D5B" w:rsidRPr="008B7A21" w14:paraId="56463FF2" w14:textId="77777777" w:rsidTr="00767A6A">
        <w:trPr>
          <w:jc w:val="center"/>
        </w:trPr>
        <w:tc>
          <w:tcPr>
            <w:tcW w:w="1077" w:type="dxa"/>
          </w:tcPr>
          <w:p w14:paraId="5EB4E321" w14:textId="77777777" w:rsidR="00F73D5B" w:rsidRPr="008B7A21" w:rsidRDefault="00F73D5B" w:rsidP="00767A6A">
            <w:pPr>
              <w:pStyle w:val="Tabletext"/>
              <w:jc w:val="center"/>
              <w:rPr>
                <w:lang w:val="es-ES_tradnl"/>
              </w:rPr>
            </w:pPr>
            <w:r w:rsidRPr="008B7A21">
              <w:rPr>
                <w:i/>
                <w:iCs/>
                <w:lang w:val="es-ES_tradnl"/>
              </w:rPr>
              <w:t>P</w:t>
            </w:r>
            <w:r w:rsidRPr="008B7A21">
              <w:rPr>
                <w:vertAlign w:val="subscript"/>
                <w:lang w:val="es-ES_tradnl"/>
              </w:rPr>
              <w:t>3</w:t>
            </w:r>
          </w:p>
        </w:tc>
        <w:tc>
          <w:tcPr>
            <w:tcW w:w="5159" w:type="dxa"/>
          </w:tcPr>
          <w:p w14:paraId="5C7A5855" w14:textId="77777777" w:rsidR="00F73D5B" w:rsidRPr="008B7A21" w:rsidRDefault="00F73D5B" w:rsidP="00767A6A">
            <w:pPr>
              <w:pStyle w:val="Tabletext"/>
              <w:jc w:val="left"/>
              <w:rPr>
                <w:lang w:val="es-ES_tradnl"/>
              </w:rPr>
            </w:pPr>
            <w:r w:rsidRPr="008B7A21">
              <w:rPr>
                <w:lang w:val="es-ES_tradnl"/>
              </w:rPr>
              <w:t>Tasa media de llamada</w:t>
            </w:r>
          </w:p>
        </w:tc>
        <w:tc>
          <w:tcPr>
            <w:tcW w:w="3402" w:type="dxa"/>
          </w:tcPr>
          <w:p w14:paraId="5C9B8B92" w14:textId="77777777" w:rsidR="00F73D5B" w:rsidRPr="008B7A21" w:rsidRDefault="00F73D5B" w:rsidP="00767A6A">
            <w:pPr>
              <w:pStyle w:val="Tabletext"/>
              <w:jc w:val="left"/>
              <w:rPr>
                <w:lang w:val="es-ES_tradnl"/>
              </w:rPr>
            </w:pPr>
            <w:r w:rsidRPr="008B7A21">
              <w:rPr>
                <w:lang w:val="es-ES_tradnl"/>
              </w:rPr>
              <w:t>0,35 (dólares de los Estados Unidos de América/min)</w:t>
            </w:r>
          </w:p>
        </w:tc>
      </w:tr>
      <w:tr w:rsidR="00F73D5B" w:rsidRPr="008B7A21" w14:paraId="2E773B47" w14:textId="77777777" w:rsidTr="00767A6A">
        <w:trPr>
          <w:jc w:val="center"/>
        </w:trPr>
        <w:tc>
          <w:tcPr>
            <w:tcW w:w="1077" w:type="dxa"/>
          </w:tcPr>
          <w:p w14:paraId="601013EF" w14:textId="77777777" w:rsidR="00F73D5B" w:rsidRPr="008B7A21" w:rsidRDefault="00F73D5B" w:rsidP="00767A6A">
            <w:pPr>
              <w:pStyle w:val="Tabletext"/>
              <w:jc w:val="center"/>
              <w:rPr>
                <w:i/>
                <w:iCs/>
                <w:lang w:val="es-ES_tradnl"/>
              </w:rPr>
            </w:pPr>
            <w:r w:rsidRPr="008B7A21">
              <w:rPr>
                <w:i/>
                <w:iCs/>
                <w:lang w:val="es-ES_tradnl"/>
              </w:rPr>
              <w:t>n</w:t>
            </w:r>
          </w:p>
        </w:tc>
        <w:tc>
          <w:tcPr>
            <w:tcW w:w="5159" w:type="dxa"/>
          </w:tcPr>
          <w:p w14:paraId="63D99CAD" w14:textId="77777777" w:rsidR="00F73D5B" w:rsidRPr="008B7A21" w:rsidRDefault="00F73D5B" w:rsidP="00767A6A">
            <w:pPr>
              <w:pStyle w:val="Tabletext"/>
              <w:jc w:val="left"/>
              <w:rPr>
                <w:lang w:val="es-ES_tradnl"/>
              </w:rPr>
            </w:pPr>
            <w:r w:rsidRPr="008B7A21">
              <w:rPr>
                <w:lang w:val="es-ES_tradnl"/>
              </w:rPr>
              <w:t>Periodo de la licencia</w:t>
            </w:r>
          </w:p>
        </w:tc>
        <w:tc>
          <w:tcPr>
            <w:tcW w:w="3402" w:type="dxa"/>
          </w:tcPr>
          <w:p w14:paraId="2E5C856C" w14:textId="77777777" w:rsidR="00F73D5B" w:rsidRPr="008B7A21" w:rsidRDefault="00F73D5B" w:rsidP="00767A6A">
            <w:pPr>
              <w:pStyle w:val="Tabletext"/>
              <w:jc w:val="left"/>
              <w:rPr>
                <w:lang w:val="es-ES_tradnl"/>
              </w:rPr>
            </w:pPr>
            <w:r w:rsidRPr="008B7A21">
              <w:rPr>
                <w:lang w:val="es-ES_tradnl"/>
              </w:rPr>
              <w:t>10 años</w:t>
            </w:r>
          </w:p>
        </w:tc>
      </w:tr>
      <w:tr w:rsidR="00F73D5B" w:rsidRPr="008B7A21" w14:paraId="04A8B8A2" w14:textId="77777777" w:rsidTr="00767A6A">
        <w:trPr>
          <w:jc w:val="center"/>
        </w:trPr>
        <w:tc>
          <w:tcPr>
            <w:tcW w:w="1077" w:type="dxa"/>
          </w:tcPr>
          <w:p w14:paraId="2F29F1BA" w14:textId="77777777" w:rsidR="00F73D5B" w:rsidRPr="008B7A21" w:rsidRDefault="00F73D5B" w:rsidP="00767A6A">
            <w:pPr>
              <w:pStyle w:val="Tabletext"/>
              <w:jc w:val="center"/>
              <w:rPr>
                <w:lang w:val="es-ES_tradnl"/>
              </w:rPr>
            </w:pPr>
            <w:r w:rsidRPr="008B7A21">
              <w:rPr>
                <w:lang w:val="es-ES_tradnl"/>
              </w:rPr>
              <w:sym w:font="Symbol" w:char="F064"/>
            </w:r>
          </w:p>
        </w:tc>
        <w:tc>
          <w:tcPr>
            <w:tcW w:w="5159" w:type="dxa"/>
          </w:tcPr>
          <w:p w14:paraId="772B4BBA" w14:textId="77777777" w:rsidR="00F73D5B" w:rsidRPr="008B7A21" w:rsidRDefault="00F73D5B" w:rsidP="00767A6A">
            <w:pPr>
              <w:pStyle w:val="Tabletext"/>
              <w:jc w:val="left"/>
              <w:rPr>
                <w:lang w:val="es-ES_tradnl"/>
              </w:rPr>
            </w:pPr>
            <w:r w:rsidRPr="008B7A21">
              <w:rPr>
                <w:lang w:val="es-ES_tradnl"/>
              </w:rPr>
              <w:t>Tasa de imposición nacional sobre los beneficios</w:t>
            </w:r>
          </w:p>
        </w:tc>
        <w:tc>
          <w:tcPr>
            <w:tcW w:w="3402" w:type="dxa"/>
          </w:tcPr>
          <w:p w14:paraId="530512A2" w14:textId="77777777" w:rsidR="00F73D5B" w:rsidRPr="008B7A21" w:rsidRDefault="00F73D5B" w:rsidP="00767A6A">
            <w:pPr>
              <w:pStyle w:val="Tabletext"/>
              <w:jc w:val="left"/>
              <w:rPr>
                <w:lang w:val="es-ES_tradnl"/>
              </w:rPr>
            </w:pPr>
            <w:r w:rsidRPr="008B7A21">
              <w:rPr>
                <w:lang w:val="es-ES_tradnl"/>
              </w:rPr>
              <w:t>0,38</w:t>
            </w:r>
          </w:p>
        </w:tc>
      </w:tr>
      <w:tr w:rsidR="00F73D5B" w:rsidRPr="008B7A21" w14:paraId="62315AFC" w14:textId="77777777" w:rsidTr="00767A6A">
        <w:trPr>
          <w:jc w:val="center"/>
        </w:trPr>
        <w:tc>
          <w:tcPr>
            <w:tcW w:w="1077" w:type="dxa"/>
          </w:tcPr>
          <w:p w14:paraId="57BFC1EB" w14:textId="77777777" w:rsidR="00F73D5B" w:rsidRPr="008B7A21" w:rsidRDefault="00F73D5B" w:rsidP="00767A6A">
            <w:pPr>
              <w:pStyle w:val="Tabletext"/>
              <w:jc w:val="center"/>
              <w:rPr>
                <w:lang w:val="es-ES_tradnl"/>
              </w:rPr>
            </w:pPr>
            <w:r w:rsidRPr="008B7A21">
              <w:rPr>
                <w:i/>
                <w:iCs/>
                <w:lang w:val="es-ES_tradnl"/>
              </w:rPr>
              <w:t>E</w:t>
            </w:r>
            <w:r w:rsidRPr="008B7A21">
              <w:rPr>
                <w:i/>
                <w:iCs/>
                <w:vertAlign w:val="subscript"/>
                <w:lang w:val="es-ES_tradnl"/>
              </w:rPr>
              <w:t>n</w:t>
            </w:r>
          </w:p>
        </w:tc>
        <w:tc>
          <w:tcPr>
            <w:tcW w:w="5159" w:type="dxa"/>
          </w:tcPr>
          <w:p w14:paraId="727F2E82" w14:textId="77777777" w:rsidR="00F73D5B" w:rsidRPr="008B7A21" w:rsidRDefault="00F73D5B" w:rsidP="00767A6A">
            <w:pPr>
              <w:pStyle w:val="Tabletext"/>
              <w:jc w:val="left"/>
              <w:rPr>
                <w:lang w:val="es-ES_tradnl"/>
              </w:rPr>
            </w:pPr>
            <w:r w:rsidRPr="008B7A21">
              <w:rPr>
                <w:lang w:val="es-ES_tradnl"/>
              </w:rPr>
              <w:t>Tasa de descuento, igual al tipo bancario anual medio</w:t>
            </w:r>
          </w:p>
        </w:tc>
        <w:tc>
          <w:tcPr>
            <w:tcW w:w="3402" w:type="dxa"/>
          </w:tcPr>
          <w:p w14:paraId="14281EC6" w14:textId="77777777" w:rsidR="00F73D5B" w:rsidRPr="008B7A21" w:rsidRDefault="00F73D5B" w:rsidP="00767A6A">
            <w:pPr>
              <w:pStyle w:val="Tabletext"/>
              <w:jc w:val="left"/>
              <w:rPr>
                <w:lang w:val="es-ES_tradnl"/>
              </w:rPr>
            </w:pPr>
            <w:r w:rsidRPr="008B7A21">
              <w:rPr>
                <w:lang w:val="es-ES_tradnl"/>
              </w:rPr>
              <w:t>0,1</w:t>
            </w:r>
          </w:p>
        </w:tc>
      </w:tr>
    </w:tbl>
    <w:p w14:paraId="1A7C5336" w14:textId="77777777" w:rsidR="00F73D5B" w:rsidRPr="008B7A21" w:rsidRDefault="00F73D5B" w:rsidP="00F73D5B">
      <w:pPr>
        <w:pStyle w:val="Tablefin"/>
        <w:rPr>
          <w:lang w:val="es-ES_tradnl"/>
        </w:rPr>
      </w:pPr>
    </w:p>
    <w:p w14:paraId="2E90F40B" w14:textId="77777777" w:rsidR="00F73D5B" w:rsidRPr="008B7A21" w:rsidRDefault="00F73D5B" w:rsidP="00F73D5B">
      <w:pPr>
        <w:rPr>
          <w:lang w:val="es-ES_tradnl"/>
        </w:rPr>
      </w:pPr>
      <w:r w:rsidRPr="008B7A21">
        <w:rPr>
          <w:lang w:val="es-ES_tradnl"/>
        </w:rPr>
        <w:t xml:space="preserve">Para determinar los ingresos de los operadores y sus gastos anuales, hay que tener presente que el número de abonados de la red varía constantemente en el tiempo con arreglo a una ecuación específica </w:t>
      </w:r>
      <w:r w:rsidRPr="008B7A21">
        <w:rPr>
          <w:i/>
          <w:iCs/>
          <w:lang w:val="es-ES_tradnl"/>
        </w:rPr>
        <w:t>N</w:t>
      </w:r>
      <w:r w:rsidRPr="008B7A21">
        <w:rPr>
          <w:i/>
          <w:iCs/>
          <w:vertAlign w:val="subscript"/>
          <w:lang w:val="es-ES_tradnl"/>
        </w:rPr>
        <w:t>a</w:t>
      </w:r>
      <w:r w:rsidRPr="008B7A21">
        <w:rPr>
          <w:lang w:val="es-ES_tradnl"/>
        </w:rPr>
        <w:t>(</w:t>
      </w:r>
      <w:r w:rsidRPr="008B7A21">
        <w:rPr>
          <w:i/>
          <w:iCs/>
          <w:lang w:val="es-ES_tradnl"/>
        </w:rPr>
        <w:t>t</w:t>
      </w:r>
      <w:r w:rsidRPr="008B7A21">
        <w:rPr>
          <w:rFonts w:ascii="Tms Rmn" w:hAnsi="Tms Rmn"/>
          <w:sz w:val="2"/>
          <w:lang w:val="es-ES_tradnl"/>
        </w:rPr>
        <w:t> </w:t>
      </w:r>
      <w:r w:rsidRPr="008B7A21">
        <w:rPr>
          <w:lang w:val="es-ES_tradnl"/>
        </w:rPr>
        <w:t>), que puede calcularse basándose en los datos estadísticos sobre el desarrollo de redes móviles. Tratándose de las redes móviles celulares que se están desarrollando en la Federación de Rusia, esto puede expresarse de la forma siguiente:</w:t>
      </w:r>
    </w:p>
    <w:p w14:paraId="09EF1108" w14:textId="77777777" w:rsidR="00F73D5B" w:rsidRPr="008B7A21" w:rsidRDefault="00F73D5B" w:rsidP="00F73D5B">
      <w:pPr>
        <w:pStyle w:val="Blanc"/>
        <w:rPr>
          <w:lang w:val="es-ES_tradnl"/>
        </w:rPr>
      </w:pPr>
    </w:p>
    <w:p w14:paraId="336D1AE0"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2"/>
          <w:lang w:val="es-ES_tradnl"/>
        </w:rPr>
        <w:object w:dxaOrig="6360" w:dyaOrig="360" w14:anchorId="1F0A3341">
          <v:shape id="_x0000_i1731" type="#_x0000_t75" style="width:294.7pt;height:18.4pt" o:ole="">
            <v:imagedata r:id="rId170" o:title=""/>
          </v:shape>
          <o:OLEObject Type="Embed" ProgID="Equation.3" ShapeID="_x0000_i1731" DrawAspect="Content" ObjectID="_1826705940" r:id="rId171"/>
        </w:object>
      </w:r>
    </w:p>
    <w:p w14:paraId="7BACDB56" w14:textId="77777777" w:rsidR="00F73D5B" w:rsidRPr="008B7A21" w:rsidRDefault="00F73D5B" w:rsidP="00F73D5B">
      <w:pPr>
        <w:pStyle w:val="Blanc"/>
        <w:rPr>
          <w:lang w:val="es-ES_tradnl"/>
        </w:rPr>
      </w:pPr>
    </w:p>
    <w:p w14:paraId="31677BE3" w14:textId="7A632743" w:rsidR="00F73D5B" w:rsidRPr="008B7A21" w:rsidRDefault="00F73D5B" w:rsidP="00F73D5B">
      <w:pPr>
        <w:rPr>
          <w:lang w:val="es-ES_tradnl"/>
        </w:rPr>
      </w:pPr>
      <w:r w:rsidRPr="008B7A21">
        <w:rPr>
          <w:lang w:val="es-ES_tradnl"/>
        </w:rPr>
        <w:t>En el Cuadro 26 se proporciona los datos sobre la evolución del número de abonados a redes normalizadas GSM en la Federación de Rusia, junto con los correspondientes valores calculados para </w:t>
      </w:r>
      <w:r w:rsidR="00386EEF" w:rsidRPr="00386EEF">
        <w:sym w:font="Symbol" w:char="F075"/>
      </w:r>
      <w:r w:rsidRPr="008B7A21">
        <w:rPr>
          <w:i/>
          <w:iCs/>
          <w:vertAlign w:val="subscript"/>
          <w:lang w:val="es-ES_tradnl"/>
        </w:rPr>
        <w:t>k</w:t>
      </w:r>
      <w:r w:rsidRPr="008B7A21">
        <w:rPr>
          <w:lang w:val="es-ES_tradnl"/>
        </w:rPr>
        <w:t>.</w:t>
      </w:r>
    </w:p>
    <w:p w14:paraId="6A0880DD" w14:textId="1A5E03F6" w:rsidR="00F73D5B" w:rsidRPr="008B7A21" w:rsidRDefault="00F73D5B" w:rsidP="00F73D5B">
      <w:pPr>
        <w:pStyle w:val="TableNo"/>
        <w:rPr>
          <w:lang w:val="es-ES_tradnl"/>
        </w:rPr>
      </w:pPr>
      <w:r w:rsidRPr="008B7A21">
        <w:rPr>
          <w:lang w:val="es-ES_tradnl"/>
        </w:rPr>
        <w:t>CUADRO 26</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67"/>
        <w:gridCol w:w="1566"/>
        <w:gridCol w:w="1566"/>
        <w:gridCol w:w="1566"/>
        <w:gridCol w:w="1566"/>
        <w:gridCol w:w="1808"/>
      </w:tblGrid>
      <w:tr w:rsidR="00F73D5B" w:rsidRPr="008B7A21" w14:paraId="2914B592" w14:textId="77777777" w:rsidTr="008F628B">
        <w:trPr>
          <w:jc w:val="center"/>
        </w:trPr>
        <w:tc>
          <w:tcPr>
            <w:tcW w:w="1474" w:type="dxa"/>
          </w:tcPr>
          <w:p w14:paraId="63449079" w14:textId="77777777" w:rsidR="00F73D5B" w:rsidRPr="008B7A21" w:rsidRDefault="00F73D5B" w:rsidP="00767A6A">
            <w:pPr>
              <w:pStyle w:val="Tablehead"/>
              <w:rPr>
                <w:lang w:val="es-ES_tradnl"/>
              </w:rPr>
            </w:pPr>
            <w:r w:rsidRPr="008B7A21">
              <w:rPr>
                <w:lang w:val="es-ES_tradnl"/>
              </w:rPr>
              <w:t>Año</w:t>
            </w:r>
          </w:p>
        </w:tc>
        <w:tc>
          <w:tcPr>
            <w:tcW w:w="1474" w:type="dxa"/>
          </w:tcPr>
          <w:p w14:paraId="58676B44" w14:textId="77777777" w:rsidR="00F73D5B" w:rsidRPr="008B7A21" w:rsidRDefault="00F73D5B" w:rsidP="00767A6A">
            <w:pPr>
              <w:pStyle w:val="Tablehead"/>
              <w:rPr>
                <w:lang w:val="es-ES_tradnl"/>
              </w:rPr>
            </w:pPr>
            <w:r w:rsidRPr="008B7A21">
              <w:rPr>
                <w:lang w:val="es-ES_tradnl"/>
              </w:rPr>
              <w:t>1994</w:t>
            </w:r>
          </w:p>
        </w:tc>
        <w:tc>
          <w:tcPr>
            <w:tcW w:w="1474" w:type="dxa"/>
          </w:tcPr>
          <w:p w14:paraId="128AEC78" w14:textId="77777777" w:rsidR="00F73D5B" w:rsidRPr="008B7A21" w:rsidRDefault="00F73D5B" w:rsidP="00767A6A">
            <w:pPr>
              <w:pStyle w:val="Tablehead"/>
              <w:rPr>
                <w:lang w:val="es-ES_tradnl"/>
              </w:rPr>
            </w:pPr>
            <w:r w:rsidRPr="008B7A21">
              <w:rPr>
                <w:lang w:val="es-ES_tradnl"/>
              </w:rPr>
              <w:t>1995</w:t>
            </w:r>
          </w:p>
        </w:tc>
        <w:tc>
          <w:tcPr>
            <w:tcW w:w="1474" w:type="dxa"/>
          </w:tcPr>
          <w:p w14:paraId="769E661F" w14:textId="77777777" w:rsidR="00F73D5B" w:rsidRPr="008B7A21" w:rsidRDefault="00F73D5B" w:rsidP="00767A6A">
            <w:pPr>
              <w:pStyle w:val="Tablehead"/>
              <w:rPr>
                <w:lang w:val="es-ES_tradnl"/>
              </w:rPr>
            </w:pPr>
            <w:r w:rsidRPr="008B7A21">
              <w:rPr>
                <w:lang w:val="es-ES_tradnl"/>
              </w:rPr>
              <w:t>1996</w:t>
            </w:r>
          </w:p>
        </w:tc>
        <w:tc>
          <w:tcPr>
            <w:tcW w:w="1474" w:type="dxa"/>
          </w:tcPr>
          <w:p w14:paraId="35C0ABBF" w14:textId="77777777" w:rsidR="00F73D5B" w:rsidRPr="008B7A21" w:rsidRDefault="00F73D5B" w:rsidP="00767A6A">
            <w:pPr>
              <w:pStyle w:val="Tablehead"/>
              <w:rPr>
                <w:lang w:val="es-ES_tradnl"/>
              </w:rPr>
            </w:pPr>
            <w:r w:rsidRPr="008B7A21">
              <w:rPr>
                <w:lang w:val="es-ES_tradnl"/>
              </w:rPr>
              <w:t>1997</w:t>
            </w:r>
          </w:p>
        </w:tc>
        <w:tc>
          <w:tcPr>
            <w:tcW w:w="1701" w:type="dxa"/>
          </w:tcPr>
          <w:p w14:paraId="3B899B39" w14:textId="77777777" w:rsidR="00F73D5B" w:rsidRPr="008B7A21" w:rsidRDefault="00F73D5B" w:rsidP="00767A6A">
            <w:pPr>
              <w:pStyle w:val="Tablehead"/>
              <w:rPr>
                <w:lang w:val="es-ES_tradnl"/>
              </w:rPr>
            </w:pPr>
            <w:r w:rsidRPr="008B7A21">
              <w:rPr>
                <w:lang w:val="es-ES_tradnl"/>
              </w:rPr>
              <w:t>1998-2005</w:t>
            </w:r>
          </w:p>
        </w:tc>
      </w:tr>
      <w:tr w:rsidR="00F73D5B" w:rsidRPr="008B7A21" w14:paraId="38B258D1" w14:textId="77777777" w:rsidTr="008F628B">
        <w:trPr>
          <w:jc w:val="center"/>
        </w:trPr>
        <w:tc>
          <w:tcPr>
            <w:tcW w:w="1474" w:type="dxa"/>
          </w:tcPr>
          <w:p w14:paraId="1A86700B" w14:textId="77777777" w:rsidR="00F73D5B" w:rsidRPr="008B7A21" w:rsidRDefault="00F73D5B" w:rsidP="00767A6A">
            <w:pPr>
              <w:pStyle w:val="Tabletext"/>
              <w:rPr>
                <w:lang w:val="es-ES_tradnl"/>
              </w:rPr>
            </w:pPr>
            <w:r w:rsidRPr="008B7A21">
              <w:rPr>
                <w:lang w:val="es-ES_tradnl"/>
              </w:rPr>
              <w:t>k</w:t>
            </w:r>
          </w:p>
        </w:tc>
        <w:tc>
          <w:tcPr>
            <w:tcW w:w="1474" w:type="dxa"/>
          </w:tcPr>
          <w:p w14:paraId="32850CD8" w14:textId="77777777" w:rsidR="00F73D5B" w:rsidRPr="008B7A21" w:rsidRDefault="00F73D5B" w:rsidP="00767A6A">
            <w:pPr>
              <w:pStyle w:val="Tabletext"/>
              <w:jc w:val="center"/>
              <w:rPr>
                <w:lang w:val="es-ES_tradnl"/>
              </w:rPr>
            </w:pPr>
            <w:r w:rsidRPr="008B7A21">
              <w:rPr>
                <w:lang w:val="es-ES_tradnl"/>
              </w:rPr>
              <w:t>0</w:t>
            </w:r>
          </w:p>
        </w:tc>
        <w:tc>
          <w:tcPr>
            <w:tcW w:w="1474" w:type="dxa"/>
          </w:tcPr>
          <w:p w14:paraId="354A92CF" w14:textId="77777777" w:rsidR="00F73D5B" w:rsidRPr="008B7A21" w:rsidRDefault="00F73D5B" w:rsidP="00767A6A">
            <w:pPr>
              <w:pStyle w:val="Tabletext"/>
              <w:jc w:val="center"/>
              <w:rPr>
                <w:lang w:val="es-ES_tradnl"/>
              </w:rPr>
            </w:pPr>
            <w:r w:rsidRPr="008B7A21">
              <w:rPr>
                <w:lang w:val="es-ES_tradnl"/>
              </w:rPr>
              <w:t>1</w:t>
            </w:r>
          </w:p>
        </w:tc>
        <w:tc>
          <w:tcPr>
            <w:tcW w:w="1474" w:type="dxa"/>
          </w:tcPr>
          <w:p w14:paraId="08EEEEF6" w14:textId="77777777" w:rsidR="00F73D5B" w:rsidRPr="008B7A21" w:rsidRDefault="00F73D5B" w:rsidP="00767A6A">
            <w:pPr>
              <w:pStyle w:val="Tabletext"/>
              <w:jc w:val="center"/>
              <w:rPr>
                <w:lang w:val="es-ES_tradnl"/>
              </w:rPr>
            </w:pPr>
            <w:r w:rsidRPr="008B7A21">
              <w:rPr>
                <w:lang w:val="es-ES_tradnl"/>
              </w:rPr>
              <w:t>2</w:t>
            </w:r>
          </w:p>
        </w:tc>
        <w:tc>
          <w:tcPr>
            <w:tcW w:w="1474" w:type="dxa"/>
          </w:tcPr>
          <w:p w14:paraId="51520C16" w14:textId="77777777" w:rsidR="00F73D5B" w:rsidRPr="008B7A21" w:rsidRDefault="00F73D5B" w:rsidP="00767A6A">
            <w:pPr>
              <w:pStyle w:val="Tabletext"/>
              <w:jc w:val="center"/>
              <w:rPr>
                <w:lang w:val="es-ES_tradnl"/>
              </w:rPr>
            </w:pPr>
            <w:r w:rsidRPr="008B7A21">
              <w:rPr>
                <w:lang w:val="es-ES_tradnl"/>
              </w:rPr>
              <w:t>3</w:t>
            </w:r>
          </w:p>
        </w:tc>
        <w:tc>
          <w:tcPr>
            <w:tcW w:w="1701" w:type="dxa"/>
          </w:tcPr>
          <w:p w14:paraId="53A69516" w14:textId="77777777" w:rsidR="00F73D5B" w:rsidRPr="008B7A21" w:rsidRDefault="00F73D5B" w:rsidP="00767A6A">
            <w:pPr>
              <w:pStyle w:val="Tabletext"/>
              <w:jc w:val="center"/>
              <w:rPr>
                <w:lang w:val="es-ES_tradnl"/>
              </w:rPr>
            </w:pPr>
            <w:r w:rsidRPr="008B7A21">
              <w:rPr>
                <w:lang w:val="es-ES_tradnl"/>
              </w:rPr>
              <w:t>4-11</w:t>
            </w:r>
          </w:p>
        </w:tc>
      </w:tr>
      <w:tr w:rsidR="00F73D5B" w:rsidRPr="008B7A21" w14:paraId="6A9DD56C" w14:textId="77777777" w:rsidTr="008F628B">
        <w:trPr>
          <w:jc w:val="center"/>
        </w:trPr>
        <w:tc>
          <w:tcPr>
            <w:tcW w:w="1474" w:type="dxa"/>
          </w:tcPr>
          <w:p w14:paraId="2D060C04" w14:textId="0ADA5E82" w:rsidR="00F73D5B" w:rsidRPr="008B7A21" w:rsidRDefault="00F73D5B" w:rsidP="00767A6A">
            <w:pPr>
              <w:pStyle w:val="Tabletext"/>
              <w:rPr>
                <w:lang w:val="es-ES_tradnl"/>
              </w:rPr>
            </w:pPr>
            <w:r w:rsidRPr="008B7A21">
              <w:rPr>
                <w:i/>
                <w:iCs/>
                <w:lang w:val="es-ES_tradnl"/>
              </w:rPr>
              <w:t>N</w:t>
            </w:r>
            <w:r w:rsidRPr="008B7A21">
              <w:rPr>
                <w:i/>
                <w:iCs/>
                <w:vertAlign w:val="subscript"/>
                <w:lang w:val="es-ES_tradnl"/>
              </w:rPr>
              <w:t>ak</w:t>
            </w:r>
            <w:r w:rsidRPr="008B7A21">
              <w:rPr>
                <w:vertAlign w:val="subscript"/>
                <w:lang w:val="es-ES_tradnl"/>
              </w:rPr>
              <w:t> </w:t>
            </w:r>
            <w:r w:rsidR="00386EEF">
              <w:rPr>
                <w:lang w:val="es-ES_tradnl"/>
              </w:rPr>
              <w:t>=</w:t>
            </w:r>
            <w:r w:rsidRPr="008B7A21">
              <w:rPr>
                <w:lang w:val="es-ES_tradnl"/>
              </w:rPr>
              <w:t> </w:t>
            </w:r>
            <w:r w:rsidRPr="008B7A21">
              <w:rPr>
                <w:i/>
                <w:iCs/>
                <w:lang w:val="es-ES_tradnl"/>
              </w:rPr>
              <w:t>N</w:t>
            </w:r>
            <w:r w:rsidRPr="008B7A21">
              <w:rPr>
                <w:i/>
                <w:iCs/>
                <w:vertAlign w:val="subscript"/>
                <w:lang w:val="es-ES_tradnl"/>
              </w:rPr>
              <w:t>a</w:t>
            </w:r>
            <w:r w:rsidRPr="008B7A21">
              <w:rPr>
                <w:lang w:val="es-ES_tradnl"/>
              </w:rPr>
              <w:t>(k)</w:t>
            </w:r>
          </w:p>
        </w:tc>
        <w:tc>
          <w:tcPr>
            <w:tcW w:w="1474" w:type="dxa"/>
          </w:tcPr>
          <w:p w14:paraId="5C07B0DF" w14:textId="430C724D" w:rsidR="00F73D5B" w:rsidRPr="008B7A21" w:rsidRDefault="00F73D5B" w:rsidP="00767A6A">
            <w:pPr>
              <w:pStyle w:val="Tabletext"/>
              <w:jc w:val="center"/>
              <w:rPr>
                <w:lang w:val="es-ES_tradnl"/>
              </w:rPr>
            </w:pPr>
            <w:r w:rsidRPr="008B7A21">
              <w:rPr>
                <w:lang w:val="es-ES_tradnl"/>
              </w:rPr>
              <w:t>2 </w:t>
            </w:r>
            <w:r w:rsidR="00386EEF">
              <w:rPr>
                <w:lang w:val="es-ES_tradnl"/>
              </w:rPr>
              <w:t>×</w:t>
            </w:r>
            <w:r w:rsidRPr="008B7A21">
              <w:rPr>
                <w:lang w:val="es-ES_tradnl"/>
              </w:rPr>
              <w:t> 10</w:t>
            </w:r>
            <w:r w:rsidRPr="008B7A21">
              <w:rPr>
                <w:vertAlign w:val="superscript"/>
                <w:lang w:val="es-ES_tradnl"/>
              </w:rPr>
              <w:t>3</w:t>
            </w:r>
          </w:p>
        </w:tc>
        <w:tc>
          <w:tcPr>
            <w:tcW w:w="1474" w:type="dxa"/>
          </w:tcPr>
          <w:p w14:paraId="2E19366D" w14:textId="2A437A1B" w:rsidR="00F73D5B" w:rsidRPr="008B7A21" w:rsidRDefault="00F73D5B" w:rsidP="00767A6A">
            <w:pPr>
              <w:pStyle w:val="Tabletext"/>
              <w:jc w:val="center"/>
              <w:rPr>
                <w:lang w:val="es-ES_tradnl"/>
              </w:rPr>
            </w:pPr>
            <w:r w:rsidRPr="008B7A21">
              <w:rPr>
                <w:lang w:val="es-ES_tradnl"/>
              </w:rPr>
              <w:t>13 </w:t>
            </w:r>
            <w:r w:rsidR="00386EEF">
              <w:rPr>
                <w:lang w:val="es-ES_tradnl"/>
              </w:rPr>
              <w:t>×</w:t>
            </w:r>
            <w:r w:rsidRPr="008B7A21">
              <w:rPr>
                <w:lang w:val="es-ES_tradnl"/>
              </w:rPr>
              <w:t> 10</w:t>
            </w:r>
            <w:r w:rsidRPr="008B7A21">
              <w:rPr>
                <w:vertAlign w:val="superscript"/>
                <w:lang w:val="es-ES_tradnl"/>
              </w:rPr>
              <w:t>3</w:t>
            </w:r>
          </w:p>
        </w:tc>
        <w:tc>
          <w:tcPr>
            <w:tcW w:w="1474" w:type="dxa"/>
          </w:tcPr>
          <w:p w14:paraId="1849BE27" w14:textId="7B68244F" w:rsidR="00F73D5B" w:rsidRPr="008B7A21" w:rsidRDefault="00F73D5B" w:rsidP="00767A6A">
            <w:pPr>
              <w:pStyle w:val="Tabletext"/>
              <w:jc w:val="center"/>
              <w:rPr>
                <w:lang w:val="es-ES_tradnl"/>
              </w:rPr>
            </w:pPr>
            <w:r w:rsidRPr="008B7A21">
              <w:rPr>
                <w:lang w:val="es-ES_tradnl"/>
              </w:rPr>
              <w:t>53 </w:t>
            </w:r>
            <w:r w:rsidR="00386EEF">
              <w:rPr>
                <w:lang w:val="es-ES_tradnl"/>
              </w:rPr>
              <w:t>×</w:t>
            </w:r>
            <w:r w:rsidRPr="008B7A21">
              <w:rPr>
                <w:lang w:val="es-ES_tradnl"/>
              </w:rPr>
              <w:t> 10</w:t>
            </w:r>
            <w:r w:rsidRPr="008B7A21">
              <w:rPr>
                <w:vertAlign w:val="superscript"/>
                <w:lang w:val="es-ES_tradnl"/>
              </w:rPr>
              <w:t>3</w:t>
            </w:r>
          </w:p>
        </w:tc>
        <w:tc>
          <w:tcPr>
            <w:tcW w:w="1474" w:type="dxa"/>
          </w:tcPr>
          <w:p w14:paraId="6010ADBD" w14:textId="442D1CFF" w:rsidR="00F73D5B" w:rsidRPr="008B7A21" w:rsidRDefault="00F73D5B" w:rsidP="00767A6A">
            <w:pPr>
              <w:pStyle w:val="Tabletext"/>
              <w:jc w:val="center"/>
              <w:rPr>
                <w:lang w:val="es-ES_tradnl"/>
              </w:rPr>
            </w:pPr>
            <w:r w:rsidRPr="008B7A21">
              <w:rPr>
                <w:lang w:val="es-ES_tradnl"/>
              </w:rPr>
              <w:t>132 </w:t>
            </w:r>
            <w:r w:rsidR="00386EEF">
              <w:rPr>
                <w:lang w:val="es-ES_tradnl"/>
              </w:rPr>
              <w:t>×</w:t>
            </w:r>
            <w:r w:rsidRPr="008B7A21">
              <w:rPr>
                <w:lang w:val="es-ES_tradnl"/>
              </w:rPr>
              <w:t> 10</w:t>
            </w:r>
            <w:r w:rsidRPr="008B7A21">
              <w:rPr>
                <w:vertAlign w:val="superscript"/>
                <w:lang w:val="es-ES_tradnl"/>
              </w:rPr>
              <w:t>3</w:t>
            </w:r>
          </w:p>
        </w:tc>
        <w:tc>
          <w:tcPr>
            <w:tcW w:w="1701" w:type="dxa"/>
          </w:tcPr>
          <w:p w14:paraId="7AE6281D" w14:textId="5CA384A1" w:rsidR="00F73D5B" w:rsidRPr="008B7A21" w:rsidRDefault="00F73D5B" w:rsidP="00767A6A">
            <w:pPr>
              <w:pStyle w:val="Tabletext"/>
              <w:jc w:val="center"/>
              <w:rPr>
                <w:lang w:val="es-ES_tradnl"/>
              </w:rPr>
            </w:pPr>
            <w:r w:rsidRPr="008B7A21">
              <w:rPr>
                <w:i/>
                <w:iCs/>
                <w:lang w:val="es-ES_tradnl"/>
              </w:rPr>
              <w:t>N</w:t>
            </w:r>
            <w:r w:rsidRPr="008B7A21">
              <w:rPr>
                <w:vertAlign w:val="subscript"/>
                <w:lang w:val="es-ES_tradnl"/>
              </w:rPr>
              <w:t>a11</w:t>
            </w:r>
            <w:r w:rsidRPr="008B7A21">
              <w:rPr>
                <w:lang w:val="es-ES_tradnl"/>
              </w:rPr>
              <w:t> </w:t>
            </w:r>
            <w:r w:rsidR="00386EEF">
              <w:rPr>
                <w:lang w:val="es-ES_tradnl"/>
              </w:rPr>
              <w:t>=</w:t>
            </w:r>
            <w:r w:rsidRPr="008B7A21">
              <w:rPr>
                <w:lang w:val="es-ES_tradnl"/>
              </w:rPr>
              <w:t> 2 </w:t>
            </w:r>
            <w:r w:rsidR="00386EEF">
              <w:rPr>
                <w:lang w:val="es-ES_tradnl"/>
              </w:rPr>
              <w:t>×</w:t>
            </w:r>
            <w:r w:rsidRPr="008B7A21">
              <w:rPr>
                <w:lang w:val="es-ES_tradnl"/>
              </w:rPr>
              <w:t> 10</w:t>
            </w:r>
            <w:r w:rsidRPr="008B7A21">
              <w:rPr>
                <w:vertAlign w:val="superscript"/>
                <w:lang w:val="es-ES_tradnl"/>
              </w:rPr>
              <w:t>6</w:t>
            </w:r>
          </w:p>
        </w:tc>
      </w:tr>
      <w:tr w:rsidR="00F73D5B" w:rsidRPr="008B7A21" w14:paraId="31CB40BA" w14:textId="77777777" w:rsidTr="008F628B">
        <w:trPr>
          <w:jc w:val="center"/>
        </w:trPr>
        <w:tc>
          <w:tcPr>
            <w:tcW w:w="1474" w:type="dxa"/>
          </w:tcPr>
          <w:p w14:paraId="441177DC" w14:textId="04DFCF8A" w:rsidR="00F73D5B" w:rsidRPr="008B7A21" w:rsidRDefault="00386EEF" w:rsidP="00767A6A">
            <w:pPr>
              <w:pStyle w:val="Tabletext"/>
              <w:rPr>
                <w:lang w:val="es-ES_tradnl"/>
              </w:rPr>
            </w:pPr>
            <w:r w:rsidRPr="00386EEF">
              <w:sym w:font="Symbol" w:char="F075"/>
            </w:r>
            <w:r w:rsidR="00F73D5B" w:rsidRPr="008B7A21">
              <w:rPr>
                <w:i/>
                <w:iCs/>
                <w:vertAlign w:val="subscript"/>
                <w:lang w:val="es-ES_tradnl"/>
              </w:rPr>
              <w:t>k</w:t>
            </w:r>
          </w:p>
        </w:tc>
        <w:tc>
          <w:tcPr>
            <w:tcW w:w="1474" w:type="dxa"/>
          </w:tcPr>
          <w:p w14:paraId="6D3014C7" w14:textId="77777777" w:rsidR="00F73D5B" w:rsidRPr="008B7A21" w:rsidRDefault="00F73D5B" w:rsidP="00767A6A">
            <w:pPr>
              <w:pStyle w:val="Tabletext"/>
              <w:jc w:val="center"/>
              <w:rPr>
                <w:lang w:val="es-ES_tradnl"/>
              </w:rPr>
            </w:pPr>
            <w:r w:rsidRPr="008B7A21">
              <w:rPr>
                <w:lang w:val="es-ES_tradnl"/>
              </w:rPr>
              <w:t>0</w:t>
            </w:r>
          </w:p>
        </w:tc>
        <w:tc>
          <w:tcPr>
            <w:tcW w:w="1474" w:type="dxa"/>
          </w:tcPr>
          <w:p w14:paraId="6899F8AC" w14:textId="77777777" w:rsidR="00F73D5B" w:rsidRPr="008B7A21" w:rsidRDefault="00F73D5B" w:rsidP="00767A6A">
            <w:pPr>
              <w:pStyle w:val="Tabletext"/>
              <w:jc w:val="center"/>
              <w:rPr>
                <w:lang w:val="es-ES_tradnl"/>
              </w:rPr>
            </w:pPr>
            <w:r w:rsidRPr="008B7A21">
              <w:rPr>
                <w:lang w:val="es-ES_tradnl"/>
              </w:rPr>
              <w:t>1,87</w:t>
            </w:r>
          </w:p>
        </w:tc>
        <w:tc>
          <w:tcPr>
            <w:tcW w:w="1474" w:type="dxa"/>
          </w:tcPr>
          <w:p w14:paraId="75E5CB5A" w14:textId="77777777" w:rsidR="00F73D5B" w:rsidRPr="008B7A21" w:rsidRDefault="00F73D5B" w:rsidP="00767A6A">
            <w:pPr>
              <w:pStyle w:val="Tabletext"/>
              <w:jc w:val="center"/>
              <w:rPr>
                <w:lang w:val="es-ES_tradnl"/>
              </w:rPr>
            </w:pPr>
            <w:r w:rsidRPr="008B7A21">
              <w:rPr>
                <w:lang w:val="es-ES_tradnl"/>
              </w:rPr>
              <w:t>1,48</w:t>
            </w:r>
          </w:p>
        </w:tc>
        <w:tc>
          <w:tcPr>
            <w:tcW w:w="1474" w:type="dxa"/>
          </w:tcPr>
          <w:p w14:paraId="0BB738FB" w14:textId="77777777" w:rsidR="00F73D5B" w:rsidRPr="008B7A21" w:rsidRDefault="00F73D5B" w:rsidP="00767A6A">
            <w:pPr>
              <w:pStyle w:val="Tabletext"/>
              <w:jc w:val="center"/>
              <w:rPr>
                <w:lang w:val="es-ES_tradnl"/>
              </w:rPr>
            </w:pPr>
            <w:r w:rsidRPr="008B7A21">
              <w:rPr>
                <w:lang w:val="es-ES_tradnl"/>
              </w:rPr>
              <w:t>0,92</w:t>
            </w:r>
          </w:p>
        </w:tc>
        <w:tc>
          <w:tcPr>
            <w:tcW w:w="1701" w:type="dxa"/>
          </w:tcPr>
          <w:p w14:paraId="0F119D46" w14:textId="77777777" w:rsidR="00F73D5B" w:rsidRPr="008B7A21" w:rsidRDefault="00F73D5B" w:rsidP="00767A6A">
            <w:pPr>
              <w:pStyle w:val="Tabletext"/>
              <w:jc w:val="center"/>
              <w:rPr>
                <w:lang w:val="es-ES_tradnl"/>
              </w:rPr>
            </w:pPr>
            <w:r w:rsidRPr="008B7A21">
              <w:rPr>
                <w:lang w:val="es-ES_tradnl"/>
              </w:rPr>
              <w:t>0,34</w:t>
            </w:r>
          </w:p>
        </w:tc>
      </w:tr>
    </w:tbl>
    <w:p w14:paraId="5D7EDF2F" w14:textId="046066FB" w:rsidR="00F73D5B" w:rsidRPr="008B7A21" w:rsidRDefault="00F73D5B" w:rsidP="00F73D5B">
      <w:pPr>
        <w:keepNext/>
        <w:keepLines/>
        <w:rPr>
          <w:lang w:val="es-ES_tradnl"/>
        </w:rPr>
      </w:pPr>
      <w:r w:rsidRPr="008B7A21">
        <w:rPr>
          <w:lang w:val="es-ES_tradnl"/>
        </w:rPr>
        <w:t xml:space="preserve">El gasto corriente anual, </w:t>
      </w:r>
      <w:r w:rsidRPr="008B7A21">
        <w:rPr>
          <w:i/>
          <w:iCs/>
          <w:lang w:val="es-ES_tradnl"/>
        </w:rPr>
        <w:t>Z</w:t>
      </w:r>
      <w:r w:rsidR="00386EEF" w:rsidRPr="00386EEF">
        <w:rPr>
          <w:vertAlign w:val="subscript"/>
        </w:rPr>
        <w:sym w:font="Symbol" w:char="F053"/>
      </w:r>
      <w:r w:rsidRPr="008B7A21">
        <w:rPr>
          <w:i/>
          <w:iCs/>
          <w:vertAlign w:val="subscript"/>
          <w:lang w:val="es-ES_tradnl"/>
        </w:rPr>
        <w:t>k</w:t>
      </w:r>
      <w:r w:rsidRPr="008B7A21">
        <w:rPr>
          <w:iCs/>
          <w:vertAlign w:val="subscript"/>
          <w:lang w:val="es-ES_tradnl"/>
        </w:rPr>
        <w:t>,</w:t>
      </w:r>
      <w:r w:rsidRPr="008B7A21">
        <w:rPr>
          <w:lang w:val="es-ES_tradnl"/>
        </w:rPr>
        <w:t xml:space="preserve"> está integrado por tres componentes:</w:t>
      </w:r>
    </w:p>
    <w:p w14:paraId="6744F014" w14:textId="77777777" w:rsidR="00F73D5B" w:rsidRPr="008B7A21" w:rsidRDefault="00F73D5B" w:rsidP="00F73D5B">
      <w:pPr>
        <w:pStyle w:val="Equation"/>
        <w:keepNext/>
        <w:keepLines/>
        <w:rPr>
          <w:lang w:val="es-ES_tradnl"/>
        </w:rPr>
      </w:pPr>
      <w:r w:rsidRPr="008B7A21">
        <w:rPr>
          <w:lang w:val="es-ES_tradnl"/>
        </w:rPr>
        <w:tab/>
      </w:r>
      <w:r w:rsidRPr="008B7A21">
        <w:rPr>
          <w:lang w:val="es-ES_tradnl"/>
        </w:rPr>
        <w:tab/>
      </w:r>
      <w:r w:rsidRPr="008B7A21">
        <w:rPr>
          <w:position w:val="-12"/>
          <w:lang w:val="es-ES_tradnl"/>
        </w:rPr>
        <w:object w:dxaOrig="2360" w:dyaOrig="360" w14:anchorId="655D0EF1">
          <v:shape id="_x0000_i1732" type="#_x0000_t75" style="width:111.35pt;height:18.4pt" o:ole="">
            <v:imagedata r:id="rId172" o:title=""/>
          </v:shape>
          <o:OLEObject Type="Embed" ProgID="Equation.3" ShapeID="_x0000_i1732" DrawAspect="Content" ObjectID="_1826705941" r:id="rId173"/>
        </w:object>
      </w:r>
    </w:p>
    <w:p w14:paraId="5ABB1F95" w14:textId="77777777" w:rsidR="00F73D5B" w:rsidRPr="008B7A21" w:rsidRDefault="00F73D5B" w:rsidP="00F73D5B">
      <w:pPr>
        <w:keepNext/>
        <w:keepLines/>
        <w:rPr>
          <w:lang w:val="es-ES_tradnl"/>
        </w:rPr>
      </w:pPr>
      <w:r w:rsidRPr="008B7A21">
        <w:rPr>
          <w:lang w:val="es-ES_tradnl"/>
        </w:rPr>
        <w:t>donde:</w:t>
      </w:r>
    </w:p>
    <w:p w14:paraId="57B77BAE" w14:textId="77777777" w:rsidR="00F73D5B" w:rsidRPr="008B7A21" w:rsidRDefault="00F73D5B" w:rsidP="00F73D5B">
      <w:pPr>
        <w:pStyle w:val="Equationlegend"/>
        <w:rPr>
          <w:lang w:val="es-ES_tradnl"/>
        </w:rPr>
      </w:pPr>
      <w:r w:rsidRPr="008B7A21">
        <w:rPr>
          <w:lang w:val="es-ES_tradnl"/>
        </w:rPr>
        <w:tab/>
      </w:r>
      <w:r w:rsidRPr="008B7A21">
        <w:rPr>
          <w:i/>
          <w:iCs/>
          <w:lang w:val="es-ES_tradnl"/>
        </w:rPr>
        <w:t>Z</w:t>
      </w:r>
      <w:r w:rsidRPr="008B7A21">
        <w:rPr>
          <w:vertAlign w:val="subscript"/>
          <w:lang w:val="es-ES_tradnl"/>
        </w:rPr>
        <w:t>1</w:t>
      </w:r>
      <w:r w:rsidRPr="008B7A21">
        <w:rPr>
          <w:i/>
          <w:iCs/>
          <w:vertAlign w:val="subscript"/>
          <w:lang w:val="es-ES_tradnl"/>
        </w:rPr>
        <w:t>k</w:t>
      </w:r>
      <w:r w:rsidRPr="008B7A21">
        <w:rPr>
          <w:lang w:val="es-ES_tradnl"/>
        </w:rPr>
        <w:t>:</w:t>
      </w:r>
      <w:r w:rsidRPr="008B7A21">
        <w:rPr>
          <w:rFonts w:ascii="Tms Rmn" w:hAnsi="Tms Rmn"/>
          <w:lang w:val="es-ES_tradnl"/>
        </w:rPr>
        <w:tab/>
      </w:r>
      <w:r w:rsidRPr="008B7A21">
        <w:rPr>
          <w:lang w:val="es-ES_tradnl"/>
        </w:rPr>
        <w:t>gastos anuales de explotación, amortización y mantenimiento de equipos, los costes administrativos, los sueldos, los dividendos de las acciones o los intereses de préstamos, los pagos en concepto de servicios públicos y el arrendamiento de terrenos. Basándose en los datos estadísticos, puede recurrirse a la siguiente aproximación:</w:t>
      </w:r>
    </w:p>
    <w:p w14:paraId="3510B946"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2"/>
          <w:lang w:val="es-ES_tradnl"/>
        </w:rPr>
        <w:object w:dxaOrig="1740" w:dyaOrig="360" w14:anchorId="3E131495">
          <v:shape id="_x0000_i1733" type="#_x0000_t75" style="width:74.5pt;height:18.4pt" o:ole="">
            <v:imagedata r:id="rId174" o:title=""/>
          </v:shape>
          <o:OLEObject Type="Embed" ProgID="Equation.3" ShapeID="_x0000_i1733" DrawAspect="Content" ObjectID="_1826705942" r:id="rId175"/>
        </w:object>
      </w:r>
    </w:p>
    <w:p w14:paraId="5DA07DF5" w14:textId="77777777" w:rsidR="00F73D5B" w:rsidRPr="008B7A21" w:rsidRDefault="00F73D5B" w:rsidP="00F73D5B">
      <w:pPr>
        <w:pStyle w:val="Equationlegend"/>
        <w:rPr>
          <w:lang w:val="es-ES_tradnl"/>
        </w:rPr>
      </w:pPr>
      <w:r w:rsidRPr="008B7A21">
        <w:rPr>
          <w:lang w:val="es-ES_tradnl"/>
        </w:rPr>
        <w:tab/>
      </w:r>
      <w:r w:rsidRPr="008B7A21">
        <w:rPr>
          <w:i/>
          <w:iCs/>
          <w:lang w:val="es-ES_tradnl"/>
        </w:rPr>
        <w:t>Z</w:t>
      </w:r>
      <w:r w:rsidRPr="008B7A21">
        <w:rPr>
          <w:vertAlign w:val="subscript"/>
          <w:lang w:val="es-ES_tradnl"/>
        </w:rPr>
        <w:t>2</w:t>
      </w:r>
      <w:r w:rsidRPr="008B7A21">
        <w:rPr>
          <w:i/>
          <w:iCs/>
          <w:vertAlign w:val="subscript"/>
          <w:lang w:val="es-ES_tradnl"/>
        </w:rPr>
        <w:t>k</w:t>
      </w:r>
      <w:r w:rsidRPr="008B7A21">
        <w:rPr>
          <w:lang w:val="es-ES_tradnl"/>
        </w:rPr>
        <w:t>:</w:t>
      </w:r>
      <w:r w:rsidRPr="008B7A21">
        <w:rPr>
          <w:rFonts w:ascii="Tms Rmn" w:hAnsi="Tms Rmn"/>
          <w:lang w:val="es-ES_tradnl"/>
        </w:rPr>
        <w:tab/>
      </w:r>
      <w:r w:rsidRPr="008B7A21">
        <w:rPr>
          <w:lang w:val="es-ES_tradnl"/>
        </w:rPr>
        <w:t>gasto anual del mantenimiento del sistema de facturación, que puede suponerse:</w:t>
      </w:r>
    </w:p>
    <w:p w14:paraId="710CFD70"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0"/>
          <w:lang w:val="es-ES_tradnl"/>
        </w:rPr>
        <w:object w:dxaOrig="1920" w:dyaOrig="340" w14:anchorId="7D097A95">
          <v:shape id="_x0000_i1734" type="#_x0000_t75" style="width:93.75pt;height:18.4pt" o:ole="">
            <v:imagedata r:id="rId176" o:title=""/>
          </v:shape>
          <o:OLEObject Type="Embed" ProgID="Equation.3" ShapeID="_x0000_i1734" DrawAspect="Content" ObjectID="_1826705943" r:id="rId177"/>
        </w:object>
      </w:r>
    </w:p>
    <w:p w14:paraId="1A639EF0" w14:textId="77777777" w:rsidR="00F73D5B" w:rsidRPr="008B7A21" w:rsidRDefault="00F73D5B" w:rsidP="00F73D5B">
      <w:pPr>
        <w:pStyle w:val="Equationlegend"/>
        <w:rPr>
          <w:lang w:val="es-ES_tradnl"/>
        </w:rPr>
      </w:pPr>
      <w:r w:rsidRPr="008B7A21">
        <w:rPr>
          <w:lang w:val="es-ES_tradnl"/>
        </w:rPr>
        <w:tab/>
      </w:r>
      <w:r w:rsidRPr="008B7A21">
        <w:rPr>
          <w:i/>
          <w:iCs/>
          <w:lang w:val="es-ES_tradnl"/>
        </w:rPr>
        <w:t>Z</w:t>
      </w:r>
      <w:r w:rsidRPr="008B7A21">
        <w:rPr>
          <w:vertAlign w:val="subscript"/>
          <w:lang w:val="es-ES_tradnl"/>
        </w:rPr>
        <w:t>3</w:t>
      </w:r>
      <w:r w:rsidRPr="008B7A21">
        <w:rPr>
          <w:i/>
          <w:iCs/>
          <w:vertAlign w:val="subscript"/>
          <w:lang w:val="es-ES_tradnl"/>
        </w:rPr>
        <w:t>k</w:t>
      </w:r>
      <w:r w:rsidRPr="008B7A21">
        <w:rPr>
          <w:lang w:val="es-ES_tradnl"/>
        </w:rPr>
        <w:t>:</w:t>
      </w:r>
      <w:r w:rsidRPr="008B7A21">
        <w:rPr>
          <w:rFonts w:ascii="Tms Rmn" w:hAnsi="Tms Rmn"/>
          <w:lang w:val="es-ES_tradnl"/>
        </w:rPr>
        <w:tab/>
      </w:r>
      <w:r w:rsidRPr="008B7A21">
        <w:rPr>
          <w:lang w:val="es-ES_tradnl"/>
        </w:rPr>
        <w:t>gasto anual a que da lugar el arrendamiento de canales de la red pública durante un año (12 meses):</w:t>
      </w:r>
    </w:p>
    <w:p w14:paraId="7AD50A5E"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2"/>
          <w:lang w:val="es-ES_tradnl"/>
        </w:rPr>
        <w:object w:dxaOrig="3080" w:dyaOrig="360" w14:anchorId="6FB099E4">
          <v:shape id="_x0000_i1735" type="#_x0000_t75" style="width:151.55pt;height:18.4pt" o:ole="">
            <v:imagedata r:id="rId178" o:title=""/>
          </v:shape>
          <o:OLEObject Type="Embed" ProgID="Equation.3" ShapeID="_x0000_i1735" DrawAspect="Content" ObjectID="_1826705944" r:id="rId179"/>
        </w:object>
      </w:r>
    </w:p>
    <w:p w14:paraId="59FBA64B" w14:textId="77777777" w:rsidR="00F73D5B" w:rsidRPr="008B7A21" w:rsidRDefault="00F73D5B" w:rsidP="00F73D5B">
      <w:pPr>
        <w:rPr>
          <w:lang w:val="es-ES_tradnl"/>
        </w:rPr>
      </w:pPr>
      <w:r w:rsidRPr="008B7A21">
        <w:rPr>
          <w:lang w:val="es-ES_tradnl"/>
        </w:rPr>
        <w:t xml:space="preserve">El valor de </w:t>
      </w:r>
      <w:r w:rsidRPr="008B7A21">
        <w:rPr>
          <w:i/>
          <w:iCs/>
          <w:lang w:val="es-ES_tradnl"/>
        </w:rPr>
        <w:t>Y</w:t>
      </w:r>
      <w:r w:rsidRPr="008B7A21">
        <w:rPr>
          <w:i/>
          <w:iCs/>
          <w:vertAlign w:val="subscript"/>
          <w:lang w:val="es-ES_tradnl"/>
        </w:rPr>
        <w:t>M</w:t>
      </w:r>
      <w:r w:rsidRPr="008B7A21">
        <w:rPr>
          <w:lang w:val="es-ES_tradnl"/>
        </w:rPr>
        <w:t>, tráfico mensual para un abonado, es el número de minutos por mes durante los cuales un abonado ocupa un canal de comunicación y viene determinado por la ecuación:</w:t>
      </w:r>
    </w:p>
    <w:p w14:paraId="262765B0"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0"/>
          <w:lang w:val="es-ES_tradnl"/>
        </w:rPr>
        <w:object w:dxaOrig="1960" w:dyaOrig="340" w14:anchorId="650CB218">
          <v:shape id="_x0000_i1736" type="#_x0000_t75" style="width:98.8pt;height:18.4pt" o:ole="">
            <v:imagedata r:id="rId180" o:title=""/>
          </v:shape>
          <o:OLEObject Type="Embed" ProgID="Equation.3" ShapeID="_x0000_i1736" DrawAspect="Content" ObjectID="_1826705945" r:id="rId181"/>
        </w:object>
      </w:r>
    </w:p>
    <w:p w14:paraId="5074CDA1" w14:textId="77777777" w:rsidR="00F73D5B" w:rsidRPr="008B7A21" w:rsidRDefault="00F73D5B" w:rsidP="00F73D5B">
      <w:pPr>
        <w:rPr>
          <w:lang w:val="es-ES_tradnl"/>
        </w:rPr>
      </w:pPr>
      <w:r w:rsidRPr="008B7A21">
        <w:rPr>
          <w:lang w:val="es-ES_tradnl"/>
        </w:rPr>
        <w:t xml:space="preserve">Los ingresos dimanantes de la explotación de una red móvil varían en función del número de abonados que utilizan los servicios de la red y se calculan mediante la siguiente ecuación para </w:t>
      </w:r>
      <w:r w:rsidRPr="008B7A21">
        <w:rPr>
          <w:i/>
          <w:iCs/>
          <w:lang w:val="es-ES_tradnl"/>
        </w:rPr>
        <w:t>k</w:t>
      </w:r>
      <w:r w:rsidRPr="008B7A21">
        <w:rPr>
          <w:lang w:val="es-ES_tradnl"/>
        </w:rPr>
        <w:t xml:space="preserve"> años de explotación:</w:t>
      </w:r>
    </w:p>
    <w:p w14:paraId="2C017846"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2"/>
          <w:lang w:val="es-ES_tradnl"/>
        </w:rPr>
        <w:object w:dxaOrig="2540" w:dyaOrig="360" w14:anchorId="33191CB5">
          <v:shape id="_x0000_i1737" type="#_x0000_t75" style="width:126.4pt;height:18.4pt" o:ole="">
            <v:imagedata r:id="rId182" o:title=""/>
          </v:shape>
          <o:OLEObject Type="Embed" ProgID="Equation.3" ShapeID="_x0000_i1737" DrawAspect="Content" ObjectID="_1826705946" r:id="rId183"/>
        </w:object>
      </w:r>
    </w:p>
    <w:p w14:paraId="4F6FE6A7" w14:textId="77777777" w:rsidR="00F73D5B" w:rsidRPr="008B7A21" w:rsidRDefault="00F73D5B" w:rsidP="00F73D5B">
      <w:pPr>
        <w:rPr>
          <w:lang w:val="es-ES_tradnl"/>
        </w:rPr>
      </w:pPr>
      <w:r w:rsidRPr="008B7A21">
        <w:rPr>
          <w:lang w:val="es-ES_tradnl"/>
        </w:rPr>
        <w:t>donde:</w:t>
      </w:r>
    </w:p>
    <w:p w14:paraId="12F06A9D" w14:textId="77777777" w:rsidR="00F73D5B" w:rsidRPr="008B7A21" w:rsidRDefault="00F73D5B" w:rsidP="00F73D5B">
      <w:pPr>
        <w:pStyle w:val="Equationlegend"/>
        <w:rPr>
          <w:lang w:val="es-ES_tradnl"/>
        </w:rPr>
      </w:pPr>
      <w:r w:rsidRPr="008B7A21">
        <w:rPr>
          <w:lang w:val="es-ES_tradnl"/>
        </w:rPr>
        <w:tab/>
      </w:r>
      <w:r w:rsidRPr="008B7A21">
        <w:rPr>
          <w:i/>
          <w:iCs/>
          <w:lang w:val="es-ES_tradnl"/>
        </w:rPr>
        <w:t>D</w:t>
      </w:r>
      <w:r w:rsidRPr="008B7A21">
        <w:rPr>
          <w:vertAlign w:val="subscript"/>
          <w:lang w:val="es-ES_tradnl"/>
        </w:rPr>
        <w:t>1</w:t>
      </w:r>
      <w:r w:rsidRPr="008B7A21">
        <w:rPr>
          <w:i/>
          <w:iCs/>
          <w:vertAlign w:val="subscript"/>
          <w:lang w:val="es-ES_tradnl"/>
        </w:rPr>
        <w:t>k</w:t>
      </w:r>
      <w:r w:rsidRPr="008B7A21">
        <w:rPr>
          <w:lang w:val="es-ES_tradnl"/>
        </w:rPr>
        <w:t>:</w:t>
      </w:r>
      <w:r w:rsidRPr="008B7A21">
        <w:rPr>
          <w:rFonts w:ascii="Tms Rmn" w:hAnsi="Tms Rmn"/>
          <w:lang w:val="es-ES_tradnl"/>
        </w:rPr>
        <w:tab/>
      </w:r>
      <w:r w:rsidRPr="008B7A21">
        <w:rPr>
          <w:lang w:val="es-ES_tradnl"/>
        </w:rPr>
        <w:t xml:space="preserve">ingresos derivados de los pagos puntuales de conexión a la red móvil durante </w:t>
      </w:r>
      <w:r w:rsidRPr="008B7A21">
        <w:rPr>
          <w:i/>
          <w:iCs/>
          <w:lang w:val="es-ES_tradnl"/>
        </w:rPr>
        <w:t>k</w:t>
      </w:r>
      <w:r w:rsidRPr="008B7A21">
        <w:rPr>
          <w:lang w:val="es-ES_tradnl"/>
        </w:rPr>
        <w:t xml:space="preserve"> años de explotación, lo que incluye directamente: la tasa de conexión, el depósito de garantía, el número de acceso, la utilización de línea en la red pública local del operador y un margen de ventas en relación con el equipo del abonado. </w:t>
      </w:r>
      <w:r w:rsidRPr="008B7A21">
        <w:rPr>
          <w:i/>
          <w:iCs/>
          <w:lang w:val="es-ES_tradnl"/>
        </w:rPr>
        <w:t>D</w:t>
      </w:r>
      <w:r w:rsidRPr="008B7A21">
        <w:rPr>
          <w:vertAlign w:val="subscript"/>
          <w:lang w:val="es-ES_tradnl"/>
        </w:rPr>
        <w:t>1</w:t>
      </w:r>
      <w:r w:rsidRPr="008B7A21">
        <w:rPr>
          <w:i/>
          <w:iCs/>
          <w:vertAlign w:val="subscript"/>
          <w:lang w:val="es-ES_tradnl"/>
        </w:rPr>
        <w:t>k</w:t>
      </w:r>
      <w:r w:rsidRPr="008B7A21">
        <w:rPr>
          <w:lang w:val="es-ES_tradnl"/>
        </w:rPr>
        <w:t xml:space="preserve"> se calcula como sigue:</w:t>
      </w:r>
    </w:p>
    <w:p w14:paraId="2C36C9A0" w14:textId="77777777" w:rsidR="00F73D5B" w:rsidRPr="008B7A21" w:rsidRDefault="00F73D5B" w:rsidP="00F73D5B">
      <w:pPr>
        <w:pStyle w:val="Equation"/>
        <w:rPr>
          <w:lang w:val="es-ES_tradnl"/>
        </w:rPr>
      </w:pPr>
      <w:r w:rsidRPr="008B7A21">
        <w:rPr>
          <w:position w:val="-10"/>
          <w:lang w:val="es-ES_tradnl"/>
        </w:rPr>
        <w:tab/>
      </w:r>
      <w:r w:rsidRPr="008B7A21">
        <w:rPr>
          <w:position w:val="-10"/>
          <w:lang w:val="es-ES_tradnl"/>
        </w:rPr>
        <w:tab/>
      </w:r>
      <w:r w:rsidRPr="008B7A21">
        <w:rPr>
          <w:position w:val="-12"/>
          <w:lang w:val="es-ES_tradnl"/>
        </w:rPr>
        <w:object w:dxaOrig="1620" w:dyaOrig="360" w14:anchorId="656F2B5C">
          <v:shape id="_x0000_i1738" type="#_x0000_t75" style="width:74.5pt;height:18.4pt" o:ole="">
            <v:imagedata r:id="rId184" o:title=""/>
          </v:shape>
          <o:OLEObject Type="Embed" ProgID="Equation.3" ShapeID="_x0000_i1738" DrawAspect="Content" ObjectID="_1826705947" r:id="rId185"/>
        </w:object>
      </w:r>
    </w:p>
    <w:p w14:paraId="4CE1C8A1" w14:textId="77777777" w:rsidR="00F73D5B" w:rsidRPr="008B7A21" w:rsidRDefault="00F73D5B" w:rsidP="00F73D5B">
      <w:pPr>
        <w:pStyle w:val="Equationlegend"/>
        <w:rPr>
          <w:lang w:val="es-ES_tradnl"/>
        </w:rPr>
      </w:pPr>
      <w:r w:rsidRPr="008B7A21">
        <w:rPr>
          <w:lang w:val="es-ES_tradnl"/>
        </w:rPr>
        <w:tab/>
      </w:r>
      <w:r w:rsidRPr="008B7A21">
        <w:rPr>
          <w:lang w:val="es-ES_tradnl"/>
        </w:rPr>
        <w:tab/>
        <w:t xml:space="preserve">Hay que señalar que el operador recibe en un solo pago los ingresos </w:t>
      </w:r>
      <w:r w:rsidRPr="008B7A21">
        <w:rPr>
          <w:i/>
          <w:iCs/>
          <w:lang w:val="es-ES_tradnl"/>
        </w:rPr>
        <w:t>D</w:t>
      </w:r>
      <w:r w:rsidRPr="008B7A21">
        <w:rPr>
          <w:vertAlign w:val="subscript"/>
          <w:lang w:val="es-ES_tradnl"/>
        </w:rPr>
        <w:t>1</w:t>
      </w:r>
      <w:r w:rsidRPr="008B7A21">
        <w:rPr>
          <w:i/>
          <w:iCs/>
          <w:vertAlign w:val="subscript"/>
          <w:lang w:val="es-ES_tradnl"/>
        </w:rPr>
        <w:t>k</w:t>
      </w:r>
      <w:r w:rsidRPr="008B7A21">
        <w:rPr>
          <w:lang w:val="es-ES_tradnl"/>
        </w:rPr>
        <w:t xml:space="preserve"> de los abonados a la red.</w:t>
      </w:r>
    </w:p>
    <w:p w14:paraId="0CDAA999" w14:textId="77777777" w:rsidR="00F73D5B" w:rsidRPr="008B7A21" w:rsidRDefault="00F73D5B" w:rsidP="00F73D5B">
      <w:pPr>
        <w:pStyle w:val="Equationlegend"/>
        <w:rPr>
          <w:lang w:val="es-ES_tradnl"/>
        </w:rPr>
      </w:pPr>
      <w:r w:rsidRPr="008B7A21">
        <w:rPr>
          <w:lang w:val="es-ES_tradnl"/>
        </w:rPr>
        <w:tab/>
      </w:r>
      <w:r w:rsidRPr="008B7A21">
        <w:rPr>
          <w:i/>
          <w:iCs/>
          <w:lang w:val="es-ES_tradnl"/>
        </w:rPr>
        <w:t>D</w:t>
      </w:r>
      <w:r w:rsidRPr="008B7A21">
        <w:rPr>
          <w:vertAlign w:val="subscript"/>
          <w:lang w:val="es-ES_tradnl"/>
        </w:rPr>
        <w:t>2</w:t>
      </w:r>
      <w:r w:rsidRPr="008B7A21">
        <w:rPr>
          <w:i/>
          <w:iCs/>
          <w:vertAlign w:val="subscript"/>
          <w:lang w:val="es-ES_tradnl"/>
        </w:rPr>
        <w:t>k</w:t>
      </w:r>
      <w:r w:rsidRPr="008B7A21">
        <w:rPr>
          <w:i/>
          <w:iCs/>
          <w:lang w:val="es-ES_tradnl"/>
        </w:rPr>
        <w:t>D</w:t>
      </w:r>
      <w:r w:rsidRPr="008B7A21">
        <w:rPr>
          <w:vertAlign w:val="subscript"/>
          <w:lang w:val="es-ES_tradnl"/>
        </w:rPr>
        <w:t>2</w:t>
      </w:r>
      <w:r w:rsidRPr="008B7A21">
        <w:rPr>
          <w:i/>
          <w:iCs/>
          <w:vertAlign w:val="subscript"/>
          <w:lang w:val="es-ES_tradnl"/>
        </w:rPr>
        <w:t>k</w:t>
      </w:r>
      <w:r w:rsidRPr="008B7A21">
        <w:rPr>
          <w:lang w:val="es-ES_tradnl"/>
        </w:rPr>
        <w:t>:</w:t>
      </w:r>
      <w:r w:rsidRPr="008B7A21">
        <w:rPr>
          <w:rFonts w:ascii="Tms Rmn" w:hAnsi="Tms Rmn"/>
          <w:lang w:val="es-ES_tradnl"/>
        </w:rPr>
        <w:tab/>
      </w:r>
      <w:r w:rsidRPr="008B7A21">
        <w:rPr>
          <w:lang w:val="es-ES_tradnl"/>
        </w:rPr>
        <w:t>ingreso que corresponden a las tasas de abono mensuales</w:t>
      </w:r>
    </w:p>
    <w:p w14:paraId="3BA915A5" w14:textId="77777777" w:rsidR="00F73D5B" w:rsidRPr="008B7A21" w:rsidRDefault="00F73D5B" w:rsidP="00F73D5B">
      <w:pPr>
        <w:pStyle w:val="Equationlegend"/>
        <w:rPr>
          <w:lang w:val="es-ES_tradnl"/>
        </w:rPr>
      </w:pPr>
      <w:r w:rsidRPr="008B7A21">
        <w:rPr>
          <w:lang w:val="es-ES_tradnl"/>
        </w:rPr>
        <w:tab/>
      </w:r>
      <w:r w:rsidRPr="008B7A21">
        <w:rPr>
          <w:i/>
          <w:iCs/>
          <w:lang w:val="es-ES_tradnl"/>
        </w:rPr>
        <w:t>D</w:t>
      </w:r>
      <w:r w:rsidRPr="008B7A21">
        <w:rPr>
          <w:vertAlign w:val="subscript"/>
          <w:lang w:val="es-ES_tradnl"/>
        </w:rPr>
        <w:t>3</w:t>
      </w:r>
      <w:r w:rsidRPr="008B7A21">
        <w:rPr>
          <w:i/>
          <w:iCs/>
          <w:vertAlign w:val="subscript"/>
          <w:lang w:val="es-ES_tradnl"/>
        </w:rPr>
        <w:t>k</w:t>
      </w:r>
      <w:r w:rsidRPr="008B7A21">
        <w:rPr>
          <w:lang w:val="es-ES_tradnl"/>
        </w:rPr>
        <w:t>:</w:t>
      </w:r>
      <w:r w:rsidRPr="008B7A21">
        <w:rPr>
          <w:rFonts w:ascii="Tms Rmn" w:hAnsi="Tms Rmn"/>
          <w:lang w:val="es-ES_tradnl"/>
        </w:rPr>
        <w:tab/>
      </w:r>
      <w:r w:rsidRPr="008B7A21">
        <w:rPr>
          <w:lang w:val="es-ES_tradnl"/>
        </w:rPr>
        <w:t>ingreso que corresponden a las tasas de llamada mensuales.</w:t>
      </w:r>
    </w:p>
    <w:p w14:paraId="60B02438" w14:textId="77777777" w:rsidR="00F73D5B" w:rsidRPr="008B7A21" w:rsidRDefault="00F73D5B" w:rsidP="00F73D5B">
      <w:pPr>
        <w:keepNext/>
        <w:keepLines/>
        <w:rPr>
          <w:lang w:val="es-ES_tradnl"/>
        </w:rPr>
      </w:pPr>
      <w:r w:rsidRPr="008B7A21">
        <w:rPr>
          <w:lang w:val="es-ES_tradnl"/>
        </w:rPr>
        <w:t xml:space="preserve">Mediante la relación precitada </w:t>
      </w:r>
      <w:r w:rsidRPr="008B7A21">
        <w:rPr>
          <w:i/>
          <w:iCs/>
          <w:lang w:val="es-ES_tradnl"/>
        </w:rPr>
        <w:t>N</w:t>
      </w:r>
      <w:r w:rsidRPr="008B7A21">
        <w:rPr>
          <w:i/>
          <w:iCs/>
          <w:vertAlign w:val="subscript"/>
          <w:lang w:val="es-ES_tradnl"/>
        </w:rPr>
        <w:t>a</w:t>
      </w:r>
      <w:r w:rsidRPr="008B7A21">
        <w:rPr>
          <w:lang w:val="es-ES_tradnl"/>
        </w:rPr>
        <w:t>(</w:t>
      </w:r>
      <w:r w:rsidRPr="008B7A21">
        <w:rPr>
          <w:i/>
          <w:iCs/>
          <w:lang w:val="es-ES_tradnl"/>
        </w:rPr>
        <w:t>t</w:t>
      </w:r>
      <w:r w:rsidRPr="008B7A21">
        <w:rPr>
          <w:lang w:val="es-ES_tradnl"/>
        </w:rPr>
        <w:t xml:space="preserve">), calculamos </w:t>
      </w:r>
      <w:r w:rsidRPr="008B7A21">
        <w:rPr>
          <w:i/>
          <w:iCs/>
          <w:lang w:val="es-ES_tradnl"/>
        </w:rPr>
        <w:t>D</w:t>
      </w:r>
      <w:r w:rsidRPr="008B7A21">
        <w:rPr>
          <w:vertAlign w:val="subscript"/>
          <w:lang w:val="es-ES_tradnl"/>
        </w:rPr>
        <w:t>2</w:t>
      </w:r>
      <w:r w:rsidRPr="008B7A21">
        <w:rPr>
          <w:i/>
          <w:iCs/>
          <w:vertAlign w:val="subscript"/>
          <w:lang w:val="es-ES_tradnl"/>
        </w:rPr>
        <w:t>k</w:t>
      </w:r>
      <w:r w:rsidRPr="008B7A21">
        <w:rPr>
          <w:lang w:val="es-ES_tradnl"/>
        </w:rPr>
        <w:t xml:space="preserve"> y </w:t>
      </w:r>
      <w:r w:rsidRPr="008B7A21">
        <w:rPr>
          <w:i/>
          <w:iCs/>
          <w:lang w:val="es-ES_tradnl"/>
        </w:rPr>
        <w:t>D</w:t>
      </w:r>
      <w:r w:rsidRPr="008B7A21">
        <w:rPr>
          <w:vertAlign w:val="subscript"/>
          <w:lang w:val="es-ES_tradnl"/>
        </w:rPr>
        <w:t>3</w:t>
      </w:r>
      <w:r w:rsidRPr="008B7A21">
        <w:rPr>
          <w:i/>
          <w:iCs/>
          <w:vertAlign w:val="subscript"/>
          <w:lang w:val="es-ES_tradnl"/>
        </w:rPr>
        <w:t>k</w:t>
      </w:r>
      <w:r w:rsidRPr="008B7A21">
        <w:rPr>
          <w:lang w:val="es-ES_tradnl"/>
        </w:rPr>
        <w:t xml:space="preserve"> como sigue:</w:t>
      </w:r>
    </w:p>
    <w:p w14:paraId="606A6AE8"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36"/>
          <w:sz w:val="20"/>
          <w:lang w:val="es-ES_tradnl"/>
        </w:rPr>
        <w:object w:dxaOrig="7320" w:dyaOrig="840" w14:anchorId="74DF5FEE">
          <v:shape id="_x0000_i1739" type="#_x0000_t75" style="width:359.15pt;height:42.7pt;mso-position-vertical:absolute" o:ole="" fillcolor="window">
            <v:imagedata r:id="rId186" o:title=""/>
          </v:shape>
          <o:OLEObject Type="Embed" ProgID="Equation.3" ShapeID="_x0000_i1739" DrawAspect="Content" ObjectID="_1826705948" r:id="rId187"/>
        </w:object>
      </w:r>
    </w:p>
    <w:p w14:paraId="6D943C11" w14:textId="77777777" w:rsidR="00F73D5B" w:rsidRPr="008B7A21" w:rsidRDefault="00F73D5B" w:rsidP="00F73D5B">
      <w:pPr>
        <w:pStyle w:val="Blanc"/>
        <w:rPr>
          <w:lang w:val="es-ES_tradnl"/>
        </w:rPr>
      </w:pPr>
    </w:p>
    <w:p w14:paraId="6AD146B1"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32"/>
          <w:sz w:val="20"/>
          <w:lang w:val="es-ES_tradnl"/>
        </w:rPr>
        <w:object w:dxaOrig="5420" w:dyaOrig="760" w14:anchorId="387022CD">
          <v:shape id="_x0000_i1740" type="#_x0000_t75" style="width:4in;height:38.5pt;mso-position-vertical:absolute" o:ole="" fillcolor="window">
            <v:imagedata r:id="rId188" o:title=""/>
          </v:shape>
          <o:OLEObject Type="Embed" ProgID="Equation.3" ShapeID="_x0000_i1740" DrawAspect="Content" ObjectID="_1826705949" r:id="rId189"/>
        </w:object>
      </w:r>
    </w:p>
    <w:p w14:paraId="7991F181" w14:textId="77777777" w:rsidR="00F73D5B" w:rsidRPr="008B7A21" w:rsidRDefault="00F73D5B" w:rsidP="00F73D5B">
      <w:pPr>
        <w:rPr>
          <w:lang w:val="es-ES_tradnl"/>
        </w:rPr>
      </w:pPr>
      <w:r w:rsidRPr="008B7A21">
        <w:rPr>
          <w:lang w:val="es-ES_tradnl"/>
        </w:rPr>
        <w:t xml:space="preserve">Para evaluar la eficacia económica de la explotación de una red móvil, el índice de ingresos descontados </w:t>
      </w:r>
      <w:r w:rsidRPr="008B7A21">
        <w:rPr>
          <w:i/>
          <w:iCs/>
          <w:lang w:val="es-ES_tradnl"/>
        </w:rPr>
        <w:t>I</w:t>
      </w:r>
      <w:r w:rsidRPr="008B7A21">
        <w:rPr>
          <w:i/>
          <w:iCs/>
          <w:vertAlign w:val="subscript"/>
          <w:lang w:val="es-ES_tradnl"/>
        </w:rPr>
        <w:t>D</w:t>
      </w:r>
      <w:r w:rsidRPr="008B7A21">
        <w:rPr>
          <w:lang w:val="es-ES_tradnl"/>
        </w:rPr>
        <w:t>, se calcula como la relación existente entre la cuantía de los beneficios netos descontados del proyecto y los gastos totales de capital.</w:t>
      </w:r>
    </w:p>
    <w:p w14:paraId="6EEACFC8" w14:textId="7B4530EA" w:rsidR="00F73D5B" w:rsidRPr="008B7A21" w:rsidRDefault="00F73D5B" w:rsidP="00F73D5B">
      <w:pPr>
        <w:rPr>
          <w:lang w:val="es-ES_tradnl"/>
        </w:rPr>
      </w:pPr>
      <w:r w:rsidRPr="008B7A21">
        <w:rPr>
          <w:lang w:val="es-ES_tradnl"/>
        </w:rPr>
        <w:t>El valor actual de los ingresos futuros se calcula mediante un índice de descuento (1 </w:t>
      </w:r>
      <w:r w:rsidR="00386EEF" w:rsidRPr="00386EEF">
        <w:sym w:font="Symbol" w:char="F02B"/>
      </w:r>
      <w:r w:rsidRPr="008B7A21">
        <w:rPr>
          <w:lang w:val="es-ES_tradnl"/>
        </w:rPr>
        <w:t> </w:t>
      </w:r>
      <w:r w:rsidRPr="008B7A21">
        <w:rPr>
          <w:i/>
          <w:iCs/>
          <w:lang w:val="es-ES_tradnl"/>
        </w:rPr>
        <w:t>E</w:t>
      </w:r>
      <w:r w:rsidRPr="008B7A21">
        <w:rPr>
          <w:i/>
          <w:iCs/>
          <w:vertAlign w:val="subscript"/>
          <w:lang w:val="es-ES_tradnl"/>
        </w:rPr>
        <w:t>n</w:t>
      </w:r>
      <w:r w:rsidRPr="008B7A21">
        <w:rPr>
          <w:lang w:val="es-ES_tradnl"/>
        </w:rPr>
        <w:t xml:space="preserve">), donde </w:t>
      </w:r>
      <w:r w:rsidRPr="008B7A21">
        <w:rPr>
          <w:i/>
          <w:iCs/>
          <w:lang w:val="es-ES_tradnl"/>
        </w:rPr>
        <w:t>E</w:t>
      </w:r>
      <w:r w:rsidRPr="008B7A21">
        <w:rPr>
          <w:i/>
          <w:iCs/>
          <w:vertAlign w:val="subscript"/>
          <w:lang w:val="es-ES_tradnl"/>
        </w:rPr>
        <w:t>n</w:t>
      </w:r>
      <w:r w:rsidRPr="008B7A21">
        <w:rPr>
          <w:lang w:val="es-ES_tradnl"/>
        </w:rPr>
        <w:t xml:space="preserve"> es el tipo medio bancario anual, por lo cual:</w:t>
      </w:r>
    </w:p>
    <w:p w14:paraId="4132177A"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lang w:val="es-ES_tradnl"/>
        </w:rPr>
        <w:object w:dxaOrig="4760" w:dyaOrig="800" w14:anchorId="40F3D755">
          <v:shape id="_x0000_i1741" type="#_x0000_t75" style="width:237.75pt;height:43.55pt" o:ole="" fillcolor="window">
            <v:imagedata r:id="rId190" o:title=""/>
          </v:shape>
          <o:OLEObject Type="Embed" ProgID="Equation.3" ShapeID="_x0000_i1741" DrawAspect="Content" ObjectID="_1826705950" r:id="rId191"/>
        </w:object>
      </w:r>
    </w:p>
    <w:p w14:paraId="39BB8BD9" w14:textId="77777777" w:rsidR="00F73D5B" w:rsidRPr="008B7A21" w:rsidRDefault="00F73D5B" w:rsidP="00F73D5B">
      <w:pPr>
        <w:pStyle w:val="Blanc"/>
        <w:rPr>
          <w:lang w:val="es-ES_tradnl"/>
        </w:rPr>
      </w:pPr>
    </w:p>
    <w:p w14:paraId="6AF0C637" w14:textId="77777777" w:rsidR="00F73D5B" w:rsidRPr="008B7A21" w:rsidRDefault="00F73D5B" w:rsidP="00F73D5B">
      <w:pPr>
        <w:rPr>
          <w:lang w:val="es-ES_tradnl"/>
        </w:rPr>
      </w:pPr>
      <w:r w:rsidRPr="008B7A21">
        <w:rPr>
          <w:lang w:val="es-ES_tradnl"/>
        </w:rPr>
        <w:t>En base a los resultados obtenidos, puede calcularse la tasa descontada para el proyecto:</w:t>
      </w:r>
    </w:p>
    <w:p w14:paraId="31F129A3"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4"/>
          <w:sz w:val="20"/>
          <w:lang w:val="es-ES_tradnl"/>
        </w:rPr>
        <w:object w:dxaOrig="1240" w:dyaOrig="400" w14:anchorId="6598AEF2">
          <v:shape id="_x0000_i1742" type="#_x0000_t75" style="width:57.75pt;height:21.75pt" o:ole="" fillcolor="window">
            <v:imagedata r:id="rId192" o:title=""/>
          </v:shape>
          <o:OLEObject Type="Embed" ProgID="Equation.3" ShapeID="_x0000_i1742" DrawAspect="Content" ObjectID="_1826705951" r:id="rId193"/>
        </w:object>
      </w:r>
    </w:p>
    <w:p w14:paraId="0BD71D39" w14:textId="77777777" w:rsidR="00F73D5B" w:rsidRPr="008B7A21" w:rsidRDefault="00F73D5B" w:rsidP="00F73D5B">
      <w:pPr>
        <w:pStyle w:val="Blanc"/>
        <w:rPr>
          <w:lang w:val="es-ES_tradnl"/>
        </w:rPr>
      </w:pPr>
    </w:p>
    <w:p w14:paraId="5688C05D" w14:textId="77777777" w:rsidR="00F73D5B" w:rsidRPr="008B7A21" w:rsidRDefault="00F73D5B" w:rsidP="00F73D5B">
      <w:pPr>
        <w:rPr>
          <w:lang w:val="es-ES_tradnl"/>
        </w:rPr>
      </w:pPr>
      <w:r w:rsidRPr="008B7A21">
        <w:rPr>
          <w:lang w:val="es-ES_tradnl"/>
        </w:rPr>
        <w:t>Los ingresos descontados se calculan como una cantidad anual relativa a la inversión de un dólar en el proyecto.</w:t>
      </w:r>
    </w:p>
    <w:p w14:paraId="57489383" w14:textId="77777777" w:rsidR="00F73D5B" w:rsidRPr="008B7A21" w:rsidRDefault="00F73D5B" w:rsidP="00F73D5B">
      <w:pPr>
        <w:rPr>
          <w:lang w:val="es-ES_tradnl"/>
        </w:rPr>
      </w:pPr>
      <w:r w:rsidRPr="008B7A21">
        <w:rPr>
          <w:lang w:val="es-ES_tradnl"/>
        </w:rPr>
        <w:t xml:space="preserve">En la Fig. 13 se indica la relación entre los ingresos normales descontados del operador de una red móvil celular y la anchura de banda </w:t>
      </w:r>
      <w:r w:rsidRPr="008B7A21">
        <w:rPr>
          <w:i/>
          <w:iCs/>
          <w:lang w:val="es-ES_tradnl"/>
        </w:rPr>
        <w:t>F</w:t>
      </w:r>
      <w:r w:rsidRPr="008B7A21">
        <w:rPr>
          <w:lang w:val="es-ES_tradnl"/>
        </w:rPr>
        <w:t xml:space="preserve">, el número de abonados atendidos, </w:t>
      </w:r>
      <w:r w:rsidRPr="008B7A21">
        <w:rPr>
          <w:i/>
          <w:iCs/>
          <w:lang w:val="es-ES_tradnl"/>
        </w:rPr>
        <w:t>N</w:t>
      </w:r>
      <w:r w:rsidRPr="008B7A21">
        <w:rPr>
          <w:i/>
          <w:iCs/>
          <w:vertAlign w:val="subscript"/>
          <w:lang w:val="es-ES_tradnl"/>
        </w:rPr>
        <w:t>a</w:t>
      </w:r>
      <w:r w:rsidRPr="008B7A21">
        <w:rPr>
          <w:lang w:val="es-ES_tradnl"/>
        </w:rPr>
        <w:t xml:space="preserve">, y el número de sectores a que da servicio </w:t>
      </w:r>
      <w:r w:rsidRPr="008B7A21">
        <w:rPr>
          <w:i/>
          <w:iCs/>
          <w:lang w:val="es-ES_tradnl"/>
        </w:rPr>
        <w:t>M</w:t>
      </w:r>
      <w:r w:rsidRPr="008B7A21">
        <w:rPr>
          <w:lang w:val="es-ES_tradnl"/>
        </w:rPr>
        <w:t>. El gráfico revela que el operador puede tener más beneficios utilizando anchura de banda adicional. Para determinar la oferta mínima, un principio fundamental será dar a los operadores un incentivo para utilizar más eficazmente el espectro de radiofrecuencias.</w:t>
      </w:r>
    </w:p>
    <w:p w14:paraId="164FFFBB" w14:textId="77777777" w:rsidR="00F73D5B" w:rsidRPr="008B7A21" w:rsidRDefault="00F73D5B" w:rsidP="00F73D5B">
      <w:pPr>
        <w:pStyle w:val="Headingi"/>
        <w:rPr>
          <w:lang w:val="es-ES_tradnl"/>
        </w:rPr>
      </w:pPr>
      <w:bookmarkStart w:id="1800" w:name="_Toc526166836"/>
      <w:bookmarkStart w:id="1801" w:name="_Toc215835434"/>
      <w:r w:rsidRPr="008B7A21">
        <w:rPr>
          <w:i w:val="0"/>
          <w:lang w:val="es-ES_tradnl"/>
        </w:rPr>
        <w:t>d)</w:t>
      </w:r>
      <w:r w:rsidRPr="008B7A21">
        <w:rPr>
          <w:lang w:val="es-ES_tradnl"/>
        </w:rPr>
        <w:tab/>
        <w:t>Cálculo de la oferta mínima</w:t>
      </w:r>
      <w:bookmarkEnd w:id="1800"/>
      <w:bookmarkEnd w:id="1801"/>
    </w:p>
    <w:p w14:paraId="16125512" w14:textId="1DA0B261" w:rsidR="00F73D5B" w:rsidRPr="008B7A21" w:rsidRDefault="00F73D5B" w:rsidP="00F73D5B">
      <w:pPr>
        <w:rPr>
          <w:lang w:val="es-ES_tradnl"/>
        </w:rPr>
      </w:pPr>
      <w:r w:rsidRPr="008B7A21">
        <w:rPr>
          <w:lang w:val="es-ES_tradnl"/>
        </w:rPr>
        <w:t xml:space="preserve">En el Cuadro 27 se indican los valores de las ofertas mínimas para los operadores de redes móviles celulares GSM, valores que se calculan con arreglo al método descrito. Hay que señalar que este ejemplo se proporciona con propósitos de ilustración. En nuestros cálculos el beneficio normalizado de un operador que fija el Estado para las empresas comunicaciones móviles es </w:t>
      </w:r>
      <w:r w:rsidRPr="008B7A21">
        <w:rPr>
          <w:i/>
          <w:iCs/>
          <w:lang w:val="es-ES_tradnl"/>
        </w:rPr>
        <w:t>E</w:t>
      </w:r>
      <w:r w:rsidRPr="008B7A21">
        <w:rPr>
          <w:i/>
          <w:iCs/>
          <w:vertAlign w:val="subscript"/>
          <w:lang w:val="es-ES_tradnl"/>
        </w:rPr>
        <w:t>r</w:t>
      </w:r>
      <w:r w:rsidRPr="008B7A21">
        <w:rPr>
          <w:lang w:val="es-ES_tradnl"/>
        </w:rPr>
        <w:t> </w:t>
      </w:r>
      <w:r w:rsidR="00386EEF">
        <w:rPr>
          <w:lang w:val="es-ES_tradnl"/>
        </w:rPr>
        <w:t>=</w:t>
      </w:r>
      <w:r w:rsidRPr="008B7A21">
        <w:rPr>
          <w:lang w:val="es-ES_tradnl"/>
        </w:rPr>
        <w:t> 1,25; y cada red utiliza antenas de seis sectores. Se supone que se ha atribuido a los operadores una anchura de banda de 5 a 10 MHz.</w:t>
      </w:r>
    </w:p>
    <w:p w14:paraId="5856467D" w14:textId="77777777" w:rsidR="00F73D5B" w:rsidRPr="008B7A21" w:rsidRDefault="00F73D5B" w:rsidP="00F73D5B">
      <w:pPr>
        <w:rPr>
          <w:lang w:val="es-ES_tradnl"/>
        </w:rPr>
      </w:pPr>
      <w:r w:rsidRPr="008B7A21">
        <w:rPr>
          <w:lang w:val="es-ES_tradnl"/>
        </w:rPr>
        <w:t>La oferta mínima se calcula mediante la siguiente ecuación:</w:t>
      </w:r>
    </w:p>
    <w:p w14:paraId="00DB1709" w14:textId="77777777" w:rsidR="00F73D5B" w:rsidRPr="008B7A21" w:rsidRDefault="00F73D5B" w:rsidP="00F73D5B">
      <w:pPr>
        <w:pStyle w:val="Blanc"/>
        <w:rPr>
          <w:lang w:val="es-ES_tradnl"/>
        </w:rPr>
      </w:pPr>
    </w:p>
    <w:p w14:paraId="700F5DC7" w14:textId="77777777" w:rsidR="00F73D5B" w:rsidRPr="008B7A21" w:rsidRDefault="00F73D5B" w:rsidP="00F73D5B">
      <w:pPr>
        <w:pStyle w:val="Equation"/>
        <w:keepNext/>
        <w:keepLines/>
        <w:rPr>
          <w:lang w:val="es-ES_tradnl"/>
        </w:rPr>
      </w:pPr>
      <w:r w:rsidRPr="008B7A21">
        <w:rPr>
          <w:position w:val="-14"/>
          <w:lang w:val="es-ES_tradnl"/>
        </w:rPr>
        <w:tab/>
      </w:r>
      <w:r w:rsidRPr="008B7A21">
        <w:rPr>
          <w:position w:val="-14"/>
          <w:lang w:val="es-ES_tradnl"/>
        </w:rPr>
        <w:tab/>
      </w:r>
      <w:r w:rsidRPr="008B7A21">
        <w:rPr>
          <w:position w:val="-14"/>
          <w:lang w:val="es-ES_tradnl"/>
        </w:rPr>
        <w:object w:dxaOrig="2160" w:dyaOrig="360" w14:anchorId="2D7C564D">
          <v:shape id="_x0000_i1743" type="#_x0000_t75" style="width:108.85pt;height:19.25pt" o:ole="">
            <v:imagedata r:id="rId194" o:title=""/>
          </v:shape>
          <o:OLEObject Type="Embed" ProgID="Equation.3" ShapeID="_x0000_i1743" DrawAspect="Content" ObjectID="_1826705952" r:id="rId195"/>
        </w:object>
      </w:r>
    </w:p>
    <w:p w14:paraId="188D8D43" w14:textId="77777777" w:rsidR="00F73D5B" w:rsidRPr="008B7A21" w:rsidRDefault="00F73D5B" w:rsidP="00F73D5B">
      <w:pPr>
        <w:rPr>
          <w:lang w:val="es-ES_tradnl"/>
        </w:rPr>
      </w:pPr>
      <w:r w:rsidRPr="008B7A21">
        <w:rPr>
          <w:lang w:val="es-ES_tradnl"/>
        </w:rPr>
        <w:t xml:space="preserve">donde </w:t>
      </w:r>
      <w:r w:rsidRPr="008B7A21">
        <w:rPr>
          <w:i/>
          <w:iCs/>
          <w:lang w:val="es-ES_tradnl"/>
        </w:rPr>
        <w:t>D</w:t>
      </w:r>
      <w:r w:rsidRPr="008B7A21">
        <w:rPr>
          <w:i/>
          <w:iCs/>
          <w:vertAlign w:val="subscript"/>
          <w:lang w:val="es-ES_tradnl"/>
        </w:rPr>
        <w:t>pr</w:t>
      </w:r>
      <w:r w:rsidRPr="008B7A21">
        <w:rPr>
          <w:lang w:val="es-ES_tradnl"/>
        </w:rPr>
        <w:t xml:space="preserve"> es el beneficio neto del operador durante el plazo de duración de la licencia.</w:t>
      </w:r>
    </w:p>
    <w:p w14:paraId="09710CFF" w14:textId="2D46634E" w:rsidR="00F73D5B" w:rsidRPr="008B7A21" w:rsidRDefault="00F73D5B" w:rsidP="00F73D5B">
      <w:pPr>
        <w:pStyle w:val="TableNo"/>
        <w:rPr>
          <w:lang w:val="es-ES_tradnl"/>
        </w:rPr>
      </w:pPr>
      <w:r w:rsidRPr="008B7A21">
        <w:rPr>
          <w:lang w:val="es-ES_tradnl"/>
        </w:rPr>
        <w:t>CUADRO 27</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855"/>
        <w:gridCol w:w="964"/>
        <w:gridCol w:w="964"/>
        <w:gridCol w:w="964"/>
        <w:gridCol w:w="964"/>
        <w:gridCol w:w="964"/>
        <w:gridCol w:w="964"/>
      </w:tblGrid>
      <w:tr w:rsidR="00F73D5B" w:rsidRPr="008B7A21" w14:paraId="197D4CCD" w14:textId="77777777" w:rsidTr="008F628B">
        <w:trPr>
          <w:jc w:val="center"/>
        </w:trPr>
        <w:tc>
          <w:tcPr>
            <w:tcW w:w="3402" w:type="dxa"/>
            <w:tcBorders>
              <w:top w:val="single" w:sz="2" w:space="0" w:color="auto"/>
              <w:left w:val="single" w:sz="2" w:space="0" w:color="auto"/>
              <w:bottom w:val="single" w:sz="2" w:space="0" w:color="auto"/>
              <w:right w:val="single" w:sz="2" w:space="0" w:color="auto"/>
            </w:tcBorders>
            <w:vAlign w:val="center"/>
          </w:tcPr>
          <w:p w14:paraId="510C5B51" w14:textId="77777777" w:rsidR="00F73D5B" w:rsidRPr="008B7A21" w:rsidRDefault="00F73D5B" w:rsidP="00767A6A">
            <w:pPr>
              <w:pStyle w:val="Tablehead"/>
              <w:rPr>
                <w:lang w:val="es-ES_tradnl"/>
              </w:rPr>
            </w:pPr>
            <w:r w:rsidRPr="008B7A21">
              <w:rPr>
                <w:lang w:val="es-ES_tradnl"/>
              </w:rPr>
              <w:t xml:space="preserve">Números de abonados a la red, </w:t>
            </w:r>
            <w:r w:rsidRPr="008B7A21">
              <w:rPr>
                <w:i/>
                <w:iCs/>
                <w:lang w:val="es-ES_tradnl"/>
              </w:rPr>
              <w:t>N</w:t>
            </w:r>
            <w:r w:rsidRPr="008B7A21">
              <w:rPr>
                <w:i/>
                <w:iCs/>
                <w:position w:val="-4"/>
                <w:lang w:val="es-ES_tradnl"/>
              </w:rPr>
              <w:t>a</w:t>
            </w:r>
            <w:r w:rsidRPr="008B7A21">
              <w:rPr>
                <w:lang w:val="es-ES_tradnl"/>
              </w:rPr>
              <w:t xml:space="preserve"> (particulares)</w:t>
            </w:r>
          </w:p>
        </w:tc>
        <w:tc>
          <w:tcPr>
            <w:tcW w:w="1702" w:type="dxa"/>
            <w:gridSpan w:val="2"/>
            <w:tcBorders>
              <w:top w:val="single" w:sz="2" w:space="0" w:color="auto"/>
              <w:left w:val="single" w:sz="2" w:space="0" w:color="auto"/>
              <w:bottom w:val="single" w:sz="2" w:space="0" w:color="auto"/>
              <w:right w:val="single" w:sz="2" w:space="0" w:color="auto"/>
            </w:tcBorders>
            <w:vAlign w:val="center"/>
          </w:tcPr>
          <w:p w14:paraId="6218139B" w14:textId="77777777" w:rsidR="00F73D5B" w:rsidRPr="008B7A21" w:rsidRDefault="00F73D5B" w:rsidP="00767A6A">
            <w:pPr>
              <w:pStyle w:val="Tablehead"/>
              <w:rPr>
                <w:lang w:val="es-ES_tradnl"/>
              </w:rPr>
            </w:pPr>
            <w:r w:rsidRPr="008B7A21">
              <w:rPr>
                <w:lang w:val="es-ES_tradnl"/>
              </w:rPr>
              <w:t>75 000</w:t>
            </w:r>
          </w:p>
        </w:tc>
        <w:tc>
          <w:tcPr>
            <w:tcW w:w="1702" w:type="dxa"/>
            <w:gridSpan w:val="2"/>
            <w:tcBorders>
              <w:top w:val="single" w:sz="2" w:space="0" w:color="auto"/>
              <w:left w:val="single" w:sz="2" w:space="0" w:color="auto"/>
              <w:bottom w:val="single" w:sz="2" w:space="0" w:color="auto"/>
              <w:right w:val="single" w:sz="2" w:space="0" w:color="auto"/>
            </w:tcBorders>
            <w:vAlign w:val="center"/>
          </w:tcPr>
          <w:p w14:paraId="50B511B3" w14:textId="77777777" w:rsidR="00F73D5B" w:rsidRPr="008B7A21" w:rsidRDefault="00F73D5B" w:rsidP="00767A6A">
            <w:pPr>
              <w:pStyle w:val="Tablehead"/>
              <w:rPr>
                <w:lang w:val="es-ES_tradnl"/>
              </w:rPr>
            </w:pPr>
            <w:r w:rsidRPr="008B7A21">
              <w:rPr>
                <w:lang w:val="es-ES_tradnl"/>
              </w:rPr>
              <w:t>150 000</w:t>
            </w:r>
          </w:p>
        </w:tc>
        <w:tc>
          <w:tcPr>
            <w:tcW w:w="1702" w:type="dxa"/>
            <w:gridSpan w:val="2"/>
            <w:tcBorders>
              <w:top w:val="single" w:sz="2" w:space="0" w:color="auto"/>
              <w:left w:val="single" w:sz="2" w:space="0" w:color="auto"/>
              <w:bottom w:val="single" w:sz="2" w:space="0" w:color="auto"/>
              <w:right w:val="single" w:sz="2" w:space="0" w:color="auto"/>
            </w:tcBorders>
            <w:vAlign w:val="center"/>
          </w:tcPr>
          <w:p w14:paraId="4D74EB8D" w14:textId="77777777" w:rsidR="00F73D5B" w:rsidRPr="008B7A21" w:rsidRDefault="00F73D5B" w:rsidP="00767A6A">
            <w:pPr>
              <w:pStyle w:val="Tablehead"/>
              <w:rPr>
                <w:lang w:val="es-ES_tradnl"/>
              </w:rPr>
            </w:pPr>
            <w:r w:rsidRPr="008B7A21">
              <w:rPr>
                <w:lang w:val="es-ES_tradnl"/>
              </w:rPr>
              <w:t>300 000</w:t>
            </w:r>
          </w:p>
        </w:tc>
      </w:tr>
      <w:tr w:rsidR="00F73D5B" w:rsidRPr="008B7A21" w14:paraId="27CBA6C1" w14:textId="77777777" w:rsidTr="008F628B">
        <w:trPr>
          <w:jc w:val="center"/>
        </w:trPr>
        <w:tc>
          <w:tcPr>
            <w:tcW w:w="3402" w:type="dxa"/>
            <w:tcBorders>
              <w:top w:val="single" w:sz="2" w:space="0" w:color="auto"/>
              <w:left w:val="single" w:sz="2" w:space="0" w:color="auto"/>
              <w:bottom w:val="single" w:sz="2" w:space="0" w:color="auto"/>
              <w:right w:val="single" w:sz="2" w:space="0" w:color="auto"/>
            </w:tcBorders>
          </w:tcPr>
          <w:p w14:paraId="76F8205F" w14:textId="77777777" w:rsidR="00F73D5B" w:rsidRPr="008B7A21" w:rsidRDefault="00F73D5B" w:rsidP="00767A6A">
            <w:pPr>
              <w:pStyle w:val="Tabletext"/>
              <w:jc w:val="left"/>
              <w:rPr>
                <w:lang w:val="es-ES_tradnl"/>
              </w:rPr>
            </w:pPr>
            <w:r w:rsidRPr="008B7A21">
              <w:rPr>
                <w:lang w:val="es-ES_tradnl"/>
              </w:rPr>
              <w:t>Anchura de banda (MHz)</w:t>
            </w:r>
          </w:p>
        </w:tc>
        <w:tc>
          <w:tcPr>
            <w:tcW w:w="851" w:type="dxa"/>
            <w:tcBorders>
              <w:top w:val="single" w:sz="2" w:space="0" w:color="auto"/>
              <w:left w:val="single" w:sz="2" w:space="0" w:color="auto"/>
              <w:bottom w:val="single" w:sz="2" w:space="0" w:color="auto"/>
              <w:right w:val="single" w:sz="2" w:space="0" w:color="auto"/>
            </w:tcBorders>
          </w:tcPr>
          <w:p w14:paraId="27FEDCCA" w14:textId="77777777" w:rsidR="00F73D5B" w:rsidRPr="008B7A21" w:rsidRDefault="00F73D5B" w:rsidP="00767A6A">
            <w:pPr>
              <w:pStyle w:val="Tabletext"/>
              <w:jc w:val="center"/>
              <w:rPr>
                <w:lang w:val="es-ES_tradnl"/>
              </w:rPr>
            </w:pPr>
            <w:r w:rsidRPr="008B7A21">
              <w:rPr>
                <w:lang w:val="es-ES_tradnl"/>
              </w:rPr>
              <w:t>5</w:t>
            </w:r>
          </w:p>
        </w:tc>
        <w:tc>
          <w:tcPr>
            <w:tcW w:w="851" w:type="dxa"/>
            <w:tcBorders>
              <w:top w:val="single" w:sz="2" w:space="0" w:color="auto"/>
              <w:left w:val="single" w:sz="2" w:space="0" w:color="auto"/>
              <w:bottom w:val="single" w:sz="2" w:space="0" w:color="auto"/>
              <w:right w:val="single" w:sz="2" w:space="0" w:color="auto"/>
            </w:tcBorders>
          </w:tcPr>
          <w:p w14:paraId="77690A05" w14:textId="77777777" w:rsidR="00F73D5B" w:rsidRPr="008B7A21" w:rsidRDefault="00F73D5B" w:rsidP="00767A6A">
            <w:pPr>
              <w:pStyle w:val="Tabletext"/>
              <w:jc w:val="center"/>
              <w:rPr>
                <w:lang w:val="es-ES_tradnl"/>
              </w:rPr>
            </w:pPr>
            <w:r w:rsidRPr="008B7A21">
              <w:rPr>
                <w:lang w:val="es-ES_tradnl"/>
              </w:rPr>
              <w:t>10</w:t>
            </w:r>
          </w:p>
        </w:tc>
        <w:tc>
          <w:tcPr>
            <w:tcW w:w="851" w:type="dxa"/>
            <w:tcBorders>
              <w:top w:val="single" w:sz="2" w:space="0" w:color="auto"/>
              <w:left w:val="single" w:sz="2" w:space="0" w:color="auto"/>
              <w:bottom w:val="single" w:sz="2" w:space="0" w:color="auto"/>
              <w:right w:val="single" w:sz="2" w:space="0" w:color="auto"/>
            </w:tcBorders>
          </w:tcPr>
          <w:p w14:paraId="13B25D73" w14:textId="77777777" w:rsidR="00F73D5B" w:rsidRPr="008B7A21" w:rsidRDefault="00F73D5B" w:rsidP="00767A6A">
            <w:pPr>
              <w:pStyle w:val="Tabletext"/>
              <w:jc w:val="center"/>
              <w:rPr>
                <w:lang w:val="es-ES_tradnl"/>
              </w:rPr>
            </w:pPr>
            <w:r w:rsidRPr="008B7A21">
              <w:rPr>
                <w:lang w:val="es-ES_tradnl"/>
              </w:rPr>
              <w:t>5</w:t>
            </w:r>
          </w:p>
        </w:tc>
        <w:tc>
          <w:tcPr>
            <w:tcW w:w="851" w:type="dxa"/>
            <w:tcBorders>
              <w:top w:val="single" w:sz="2" w:space="0" w:color="auto"/>
              <w:left w:val="single" w:sz="2" w:space="0" w:color="auto"/>
              <w:bottom w:val="single" w:sz="2" w:space="0" w:color="auto"/>
              <w:right w:val="single" w:sz="2" w:space="0" w:color="auto"/>
            </w:tcBorders>
          </w:tcPr>
          <w:p w14:paraId="3CB7D387" w14:textId="77777777" w:rsidR="00F73D5B" w:rsidRPr="008B7A21" w:rsidRDefault="00F73D5B" w:rsidP="00767A6A">
            <w:pPr>
              <w:pStyle w:val="Tabletext"/>
              <w:jc w:val="center"/>
              <w:rPr>
                <w:lang w:val="es-ES_tradnl"/>
              </w:rPr>
            </w:pPr>
            <w:r w:rsidRPr="008B7A21">
              <w:rPr>
                <w:lang w:val="es-ES_tradnl"/>
              </w:rPr>
              <w:t>10</w:t>
            </w:r>
          </w:p>
        </w:tc>
        <w:tc>
          <w:tcPr>
            <w:tcW w:w="851" w:type="dxa"/>
            <w:tcBorders>
              <w:top w:val="single" w:sz="2" w:space="0" w:color="auto"/>
              <w:left w:val="single" w:sz="2" w:space="0" w:color="auto"/>
              <w:bottom w:val="single" w:sz="2" w:space="0" w:color="auto"/>
              <w:right w:val="single" w:sz="2" w:space="0" w:color="auto"/>
            </w:tcBorders>
          </w:tcPr>
          <w:p w14:paraId="733AB835" w14:textId="77777777" w:rsidR="00F73D5B" w:rsidRPr="008B7A21" w:rsidRDefault="00F73D5B" w:rsidP="00767A6A">
            <w:pPr>
              <w:pStyle w:val="Tabletext"/>
              <w:jc w:val="center"/>
              <w:rPr>
                <w:lang w:val="es-ES_tradnl"/>
              </w:rPr>
            </w:pPr>
            <w:r w:rsidRPr="008B7A21">
              <w:rPr>
                <w:lang w:val="es-ES_tradnl"/>
              </w:rPr>
              <w:t>5</w:t>
            </w:r>
          </w:p>
        </w:tc>
        <w:tc>
          <w:tcPr>
            <w:tcW w:w="851" w:type="dxa"/>
            <w:tcBorders>
              <w:top w:val="single" w:sz="2" w:space="0" w:color="auto"/>
              <w:left w:val="single" w:sz="2" w:space="0" w:color="auto"/>
              <w:bottom w:val="single" w:sz="2" w:space="0" w:color="auto"/>
              <w:right w:val="single" w:sz="2" w:space="0" w:color="auto"/>
            </w:tcBorders>
          </w:tcPr>
          <w:p w14:paraId="2EB9C51D" w14:textId="77777777" w:rsidR="00F73D5B" w:rsidRPr="008B7A21" w:rsidRDefault="00F73D5B" w:rsidP="00767A6A">
            <w:pPr>
              <w:pStyle w:val="Tabletext"/>
              <w:jc w:val="center"/>
              <w:rPr>
                <w:lang w:val="es-ES_tradnl"/>
              </w:rPr>
            </w:pPr>
            <w:r w:rsidRPr="008B7A21">
              <w:rPr>
                <w:lang w:val="es-ES_tradnl"/>
              </w:rPr>
              <w:t>10</w:t>
            </w:r>
          </w:p>
        </w:tc>
      </w:tr>
      <w:tr w:rsidR="00F73D5B" w:rsidRPr="008B7A21" w14:paraId="13CD9CFA" w14:textId="77777777" w:rsidTr="008F628B">
        <w:trPr>
          <w:jc w:val="center"/>
        </w:trPr>
        <w:tc>
          <w:tcPr>
            <w:tcW w:w="3402" w:type="dxa"/>
            <w:tcBorders>
              <w:top w:val="single" w:sz="2" w:space="0" w:color="auto"/>
              <w:left w:val="single" w:sz="2" w:space="0" w:color="auto"/>
              <w:bottom w:val="single" w:sz="2" w:space="0" w:color="auto"/>
              <w:right w:val="single" w:sz="2" w:space="0" w:color="auto"/>
            </w:tcBorders>
          </w:tcPr>
          <w:p w14:paraId="4AC8FCF3" w14:textId="77777777" w:rsidR="00F73D5B" w:rsidRPr="008B7A21" w:rsidRDefault="00F73D5B" w:rsidP="00767A6A">
            <w:pPr>
              <w:pStyle w:val="Tabletext"/>
              <w:jc w:val="left"/>
              <w:rPr>
                <w:lang w:val="es-ES_tradnl"/>
              </w:rPr>
            </w:pPr>
            <w:r w:rsidRPr="008B7A21">
              <w:rPr>
                <w:i/>
                <w:iCs/>
                <w:lang w:val="es-ES_tradnl"/>
              </w:rPr>
              <w:t>T</w:t>
            </w:r>
            <w:r w:rsidRPr="008B7A21">
              <w:rPr>
                <w:lang w:val="es-ES_tradnl"/>
              </w:rPr>
              <w:t xml:space="preserve"> (millones de dólares de los Estados Unidos de América)</w:t>
            </w:r>
          </w:p>
        </w:tc>
        <w:tc>
          <w:tcPr>
            <w:tcW w:w="851" w:type="dxa"/>
            <w:tcBorders>
              <w:top w:val="single" w:sz="2" w:space="0" w:color="auto"/>
              <w:left w:val="single" w:sz="2" w:space="0" w:color="auto"/>
              <w:bottom w:val="single" w:sz="2" w:space="0" w:color="auto"/>
              <w:right w:val="single" w:sz="2" w:space="0" w:color="auto"/>
            </w:tcBorders>
          </w:tcPr>
          <w:p w14:paraId="1B9CD105" w14:textId="77777777" w:rsidR="00F73D5B" w:rsidRPr="008B7A21" w:rsidRDefault="00F73D5B" w:rsidP="00767A6A">
            <w:pPr>
              <w:pStyle w:val="Tabletext"/>
              <w:jc w:val="center"/>
              <w:rPr>
                <w:lang w:val="es-ES_tradnl"/>
              </w:rPr>
            </w:pPr>
            <w:r w:rsidRPr="008B7A21">
              <w:rPr>
                <w:lang w:val="es-ES_tradnl"/>
              </w:rPr>
              <w:t>1,08</w:t>
            </w:r>
          </w:p>
        </w:tc>
        <w:tc>
          <w:tcPr>
            <w:tcW w:w="851" w:type="dxa"/>
            <w:tcBorders>
              <w:top w:val="single" w:sz="2" w:space="0" w:color="auto"/>
              <w:left w:val="single" w:sz="2" w:space="0" w:color="auto"/>
              <w:bottom w:val="single" w:sz="2" w:space="0" w:color="auto"/>
              <w:right w:val="single" w:sz="2" w:space="0" w:color="auto"/>
            </w:tcBorders>
          </w:tcPr>
          <w:p w14:paraId="6A0B5F04" w14:textId="77777777" w:rsidR="00F73D5B" w:rsidRPr="008B7A21" w:rsidRDefault="00F73D5B" w:rsidP="00767A6A">
            <w:pPr>
              <w:pStyle w:val="Tabletext"/>
              <w:jc w:val="center"/>
              <w:rPr>
                <w:lang w:val="es-ES_tradnl"/>
              </w:rPr>
            </w:pPr>
            <w:r w:rsidRPr="008B7A21">
              <w:rPr>
                <w:lang w:val="es-ES_tradnl"/>
              </w:rPr>
              <w:t>1,68</w:t>
            </w:r>
          </w:p>
        </w:tc>
        <w:tc>
          <w:tcPr>
            <w:tcW w:w="851" w:type="dxa"/>
            <w:tcBorders>
              <w:top w:val="single" w:sz="2" w:space="0" w:color="auto"/>
              <w:left w:val="single" w:sz="2" w:space="0" w:color="auto"/>
              <w:bottom w:val="single" w:sz="2" w:space="0" w:color="auto"/>
              <w:right w:val="single" w:sz="2" w:space="0" w:color="auto"/>
            </w:tcBorders>
          </w:tcPr>
          <w:p w14:paraId="5149111E" w14:textId="77777777" w:rsidR="00F73D5B" w:rsidRPr="008B7A21" w:rsidRDefault="00F73D5B" w:rsidP="00767A6A">
            <w:pPr>
              <w:pStyle w:val="Tabletext"/>
              <w:jc w:val="center"/>
              <w:rPr>
                <w:lang w:val="es-ES_tradnl"/>
              </w:rPr>
            </w:pPr>
            <w:r w:rsidRPr="008B7A21">
              <w:rPr>
                <w:lang w:val="es-ES_tradnl"/>
              </w:rPr>
              <w:t>0,93</w:t>
            </w:r>
          </w:p>
        </w:tc>
        <w:tc>
          <w:tcPr>
            <w:tcW w:w="851" w:type="dxa"/>
            <w:tcBorders>
              <w:top w:val="single" w:sz="2" w:space="0" w:color="auto"/>
              <w:left w:val="single" w:sz="2" w:space="0" w:color="auto"/>
              <w:bottom w:val="single" w:sz="2" w:space="0" w:color="auto"/>
              <w:right w:val="single" w:sz="2" w:space="0" w:color="auto"/>
            </w:tcBorders>
          </w:tcPr>
          <w:p w14:paraId="7B227E9E" w14:textId="77777777" w:rsidR="00F73D5B" w:rsidRPr="008B7A21" w:rsidRDefault="00F73D5B" w:rsidP="00767A6A">
            <w:pPr>
              <w:pStyle w:val="Tabletext"/>
              <w:jc w:val="center"/>
              <w:rPr>
                <w:lang w:val="es-ES_tradnl"/>
              </w:rPr>
            </w:pPr>
            <w:r w:rsidRPr="008B7A21">
              <w:rPr>
                <w:lang w:val="es-ES_tradnl"/>
              </w:rPr>
              <w:t>2,1</w:t>
            </w:r>
          </w:p>
        </w:tc>
        <w:tc>
          <w:tcPr>
            <w:tcW w:w="851" w:type="dxa"/>
            <w:tcBorders>
              <w:top w:val="single" w:sz="2" w:space="0" w:color="auto"/>
              <w:left w:val="single" w:sz="2" w:space="0" w:color="auto"/>
              <w:bottom w:val="single" w:sz="2" w:space="0" w:color="auto"/>
              <w:right w:val="single" w:sz="2" w:space="0" w:color="auto"/>
            </w:tcBorders>
          </w:tcPr>
          <w:p w14:paraId="7560619D" w14:textId="77777777" w:rsidR="00F73D5B" w:rsidRPr="008B7A21" w:rsidRDefault="00F73D5B" w:rsidP="00767A6A">
            <w:pPr>
              <w:pStyle w:val="Tabletext"/>
              <w:jc w:val="center"/>
              <w:rPr>
                <w:lang w:val="es-ES_tradnl"/>
              </w:rPr>
            </w:pPr>
            <w:r w:rsidRPr="008B7A21">
              <w:rPr>
                <w:lang w:val="es-ES_tradnl"/>
              </w:rPr>
              <w:t>0</w:t>
            </w:r>
          </w:p>
        </w:tc>
        <w:tc>
          <w:tcPr>
            <w:tcW w:w="851" w:type="dxa"/>
            <w:tcBorders>
              <w:top w:val="single" w:sz="2" w:space="0" w:color="auto"/>
              <w:left w:val="single" w:sz="2" w:space="0" w:color="auto"/>
              <w:bottom w:val="single" w:sz="2" w:space="0" w:color="auto"/>
              <w:right w:val="single" w:sz="2" w:space="0" w:color="auto"/>
            </w:tcBorders>
          </w:tcPr>
          <w:p w14:paraId="0D8DCBBC" w14:textId="77777777" w:rsidR="00F73D5B" w:rsidRPr="008B7A21" w:rsidRDefault="00F73D5B" w:rsidP="00767A6A">
            <w:pPr>
              <w:pStyle w:val="Tabletext"/>
              <w:jc w:val="center"/>
              <w:rPr>
                <w:lang w:val="es-ES_tradnl"/>
              </w:rPr>
            </w:pPr>
            <w:r w:rsidRPr="008B7A21">
              <w:rPr>
                <w:lang w:val="es-ES_tradnl"/>
              </w:rPr>
              <w:t>1,73</w:t>
            </w:r>
          </w:p>
        </w:tc>
      </w:tr>
      <w:tr w:rsidR="00F73D5B" w:rsidRPr="008B7A21" w14:paraId="2D9E76F6" w14:textId="77777777" w:rsidTr="008F62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8" w:type="dxa"/>
            <w:gridSpan w:val="7"/>
            <w:tcBorders>
              <w:top w:val="single" w:sz="2" w:space="0" w:color="auto"/>
            </w:tcBorders>
          </w:tcPr>
          <w:p w14:paraId="520BE6B4" w14:textId="77777777" w:rsidR="00F73D5B" w:rsidRPr="008B7A21" w:rsidRDefault="00F73D5B" w:rsidP="00767A6A">
            <w:pPr>
              <w:pStyle w:val="TableLegendNote"/>
              <w:rPr>
                <w:lang w:val="es-ES_tradnl"/>
              </w:rPr>
            </w:pPr>
            <w:r w:rsidRPr="008B7A21">
              <w:rPr>
                <w:lang w:val="es-ES_tradnl"/>
              </w:rPr>
              <w:t>NOTA 1 – Los valores de las ofertas mínimas deben perfeccionarse basándose en un análisis de mercado de cada caso concreto.</w:t>
            </w:r>
          </w:p>
        </w:tc>
      </w:tr>
    </w:tbl>
    <w:p w14:paraId="3346809A" w14:textId="77777777" w:rsidR="00F73D5B" w:rsidRPr="008B7A21" w:rsidRDefault="00F73D5B" w:rsidP="00F73D5B">
      <w:pPr>
        <w:pStyle w:val="Tablefin"/>
        <w:rPr>
          <w:lang w:val="es-ES_tradnl"/>
        </w:rPr>
      </w:pPr>
    </w:p>
    <w:p w14:paraId="32C0677E" w14:textId="77777777" w:rsidR="00F73D5B" w:rsidRPr="008B7A21" w:rsidRDefault="00F73D5B" w:rsidP="00F73D5B">
      <w:pPr>
        <w:pStyle w:val="FigureNo"/>
        <w:rPr>
          <w:lang w:val="es-ES_tradnl"/>
        </w:rPr>
      </w:pPr>
      <w:r w:rsidRPr="008B7A21">
        <w:rPr>
          <w:lang w:val="es-ES_tradnl"/>
        </w:rPr>
        <w:t>FigurA 13</w:t>
      </w:r>
    </w:p>
    <w:p w14:paraId="1A4F148F" w14:textId="77777777" w:rsidR="00F73D5B" w:rsidRPr="008B7A21" w:rsidRDefault="00F73D5B" w:rsidP="00F73D5B">
      <w:pPr>
        <w:pStyle w:val="Figuretitle"/>
        <w:keepLines/>
        <w:rPr>
          <w:lang w:val="es-ES_tradnl"/>
        </w:rPr>
      </w:pPr>
      <w:r w:rsidRPr="008B7A21">
        <w:rPr>
          <w:lang w:val="es-ES_tradnl"/>
        </w:rPr>
        <w:t>Índice de rentabilidad en función de la anchura de banda</w:t>
      </w:r>
    </w:p>
    <w:bookmarkStart w:id="1802" w:name="_Toc306276885"/>
    <w:bookmarkStart w:id="1803" w:name="_Toc307921558"/>
    <w:bookmarkStart w:id="1804" w:name="_Toc307922125"/>
    <w:bookmarkStart w:id="1805" w:name="_Toc307922669"/>
    <w:bookmarkStart w:id="1806" w:name="_Toc307992018"/>
    <w:bookmarkStart w:id="1807" w:name="_Toc307994053"/>
    <w:bookmarkStart w:id="1808" w:name="_Toc307995272"/>
    <w:bookmarkStart w:id="1809" w:name="_Toc307996459"/>
    <w:bookmarkStart w:id="1810" w:name="_Toc308010391"/>
    <w:p w14:paraId="66D465DF" w14:textId="388193F7" w:rsidR="00F73D5B" w:rsidRPr="008B7A21" w:rsidRDefault="002A1F3D" w:rsidP="00F73D5B">
      <w:pPr>
        <w:pStyle w:val="Figure"/>
        <w:keepLines w:val="0"/>
        <w:rPr>
          <w:lang w:val="es-ES_tradnl"/>
        </w:rPr>
      </w:pPr>
      <w:r w:rsidRPr="008B7A21">
        <w:rPr>
          <w:lang w:val="es-ES_tradnl"/>
        </w:rPr>
        <w:object w:dxaOrig="6779" w:dyaOrig="9573" w14:anchorId="1607A064">
          <v:shape id="_x0000_i1744" type="#_x0000_t75" alt="La Figura 13 muestra el índice de rentabilidad en función de la anchura de banda" style="width:381.75pt;height:540pt" o:ole="">
            <v:imagedata r:id="rId196" o:title=""/>
          </v:shape>
          <o:OLEObject Type="Embed" ProgID="CorelDRAW.Graphic.14" ShapeID="_x0000_i1744" DrawAspect="Content" ObjectID="_1826705953" r:id="rId197"/>
        </w:object>
      </w:r>
    </w:p>
    <w:p w14:paraId="7D55177D" w14:textId="77777777" w:rsidR="00F73D5B" w:rsidRPr="008B7A21" w:rsidRDefault="00F73D5B" w:rsidP="00F73D5B">
      <w:pPr>
        <w:pStyle w:val="Heading3"/>
        <w:rPr>
          <w:lang w:val="es-ES_tradnl"/>
        </w:rPr>
      </w:pPr>
      <w:bookmarkStart w:id="1811" w:name="_Toc499563101"/>
      <w:bookmarkStart w:id="1812" w:name="_Toc215835435"/>
      <w:r w:rsidRPr="008B7A21">
        <w:rPr>
          <w:lang w:val="es-ES_tradnl"/>
        </w:rPr>
        <w:t>5.1.4</w:t>
      </w:r>
      <w:r w:rsidRPr="008B7A21">
        <w:rPr>
          <w:lang w:val="es-ES_tradnl"/>
        </w:rPr>
        <w:tab/>
      </w:r>
      <w:bookmarkEnd w:id="1794"/>
      <w:bookmarkEnd w:id="1795"/>
      <w:bookmarkEnd w:id="1796"/>
      <w:bookmarkEnd w:id="1797"/>
      <w:bookmarkEnd w:id="1798"/>
      <w:bookmarkEnd w:id="1799"/>
      <w:r w:rsidRPr="008B7A21">
        <w:rPr>
          <w:lang w:val="es-ES_tradnl"/>
        </w:rPr>
        <w:t>Nueva Zelandia</w:t>
      </w:r>
      <w:bookmarkEnd w:id="1802"/>
      <w:bookmarkEnd w:id="1803"/>
      <w:bookmarkEnd w:id="1804"/>
      <w:bookmarkEnd w:id="1805"/>
      <w:bookmarkEnd w:id="1806"/>
      <w:bookmarkEnd w:id="1807"/>
      <w:bookmarkEnd w:id="1808"/>
      <w:bookmarkEnd w:id="1809"/>
      <w:bookmarkEnd w:id="1810"/>
      <w:bookmarkEnd w:id="1811"/>
      <w:bookmarkEnd w:id="1812"/>
    </w:p>
    <w:p w14:paraId="447323CD" w14:textId="77777777" w:rsidR="00F73D5B" w:rsidRPr="008B7A21" w:rsidRDefault="00F73D5B" w:rsidP="00F73D5B">
      <w:pPr>
        <w:rPr>
          <w:lang w:val="es-ES_tradnl"/>
        </w:rPr>
      </w:pPr>
      <w:r w:rsidRPr="008B7A21">
        <w:rPr>
          <w:lang w:val="es-ES_tradnl"/>
        </w:rPr>
        <w:t>La mayoría de las administraciones que han empezado a aplicar enfoques de mercado continúan atribuyendo el espectro en base a consideraciones de prioridad nacional y sólo han aplicado enfoques de mercado a la concesión de licencias en una atribución convenida. Nueva Zelandia, por el contrario, ha aplicado un enfoque más amplio basado en el mercado para la utilización de ciertas bandas de frecuencias en las que las repercusiones se limitan a una escala nacional, más que internacional.</w:t>
      </w:r>
    </w:p>
    <w:p w14:paraId="10314006" w14:textId="77777777" w:rsidR="00F73D5B" w:rsidRPr="008B7A21" w:rsidRDefault="00F73D5B" w:rsidP="00F73D5B">
      <w:pPr>
        <w:rPr>
          <w:lang w:val="es-ES_tradnl"/>
        </w:rPr>
      </w:pPr>
      <w:r w:rsidRPr="008B7A21">
        <w:rPr>
          <w:lang w:val="es-ES_tradnl"/>
        </w:rPr>
        <w:t>La Ley de Radiocomunicaciones de 1989 inició una nueva era para la gestión del espectro radioeléctrico en Nueva Zelandia. Esta Ley permitió la creación de derechos de propiedad sobre el espectro y también el uso de mecanismos de atribución dependientes del mercado para la distribución de los recién creados derechos. La Ley no especifica ningún mecanismo de atribución en particular. El espectro radioeléctrico se vendió inicialmente utilizando sistemas de ofertas de segundo precio y posteriormente de primer precio; pero en 1996 se desarrolló un sistema informático basado en Internet para la venta de espectro mediante subastas.</w:t>
      </w:r>
    </w:p>
    <w:p w14:paraId="4C71E3C5" w14:textId="77777777" w:rsidR="00F73D5B" w:rsidRPr="008B7A21" w:rsidRDefault="00F73D5B" w:rsidP="00F73D5B">
      <w:pPr>
        <w:rPr>
          <w:lang w:val="es-ES_tradnl"/>
        </w:rPr>
      </w:pPr>
      <w:r w:rsidRPr="008B7A21">
        <w:rPr>
          <w:lang w:val="es-ES_tradnl"/>
        </w:rPr>
        <w:t xml:space="preserve">El proceso de subasta utilizado actualmente por el Ministerio es una subasta simultánea al alza. Este tipo de subasta implica disponer de todas las pujas al mismo tiempo. La subasta tiene lugar en varias rondas de duración determinada (por ejemplo, 30 minutos) hasta que se deje de pujar a los lotes que se están ofreciendo. Este tipo de subasta permite participar en la subasta a los que desean adquirir una determinada combinación de lotes. Las ventajas de este tipo de subasta son que los ofertantes obtienen información completa del mercado y pueden determinar en todo momento durante la subasta sus posibilidades de éxito sobre cualquier combinación de lotes. Para desarrollar el mecanismo de subasta, el Ministerio contrató a una empresa privada que contribuyó a desarrollar un programa informático que permitiera la realización de subastas de espectro radioeléctrico por Internet. El uso de Internet permite a los ofertantes adquirir espectro radioeléctrico desde sus propias oficinas utilizando la actual tecnología de búsqueda de la red. El Ministerio ha elaborado un informe sobre el diseño de las subastas de espectro en Nueva Zelandia. El informe destaca cómo Nueva Zelandia ha atribuido el espectro radioeléctrico de forma competitiva, los factores pertinentes al diseño de la subasta y las </w:t>
      </w:r>
      <w:proofErr w:type="gramStart"/>
      <w:r w:rsidRPr="008B7A21">
        <w:rPr>
          <w:lang w:val="es-ES_tradnl"/>
        </w:rPr>
        <w:t>opciones alternativas</w:t>
      </w:r>
      <w:proofErr w:type="gramEnd"/>
      <w:r w:rsidRPr="008B7A21">
        <w:rPr>
          <w:lang w:val="es-ES_tradnl"/>
        </w:rPr>
        <w:t xml:space="preserve"> para atribuciones competitivas. El Ministerio tendrá en cuenta los resultados del informe cuando plantee futuras subastas.</w:t>
      </w:r>
    </w:p>
    <w:p w14:paraId="483BE23E" w14:textId="77777777" w:rsidR="00F73D5B" w:rsidRPr="008B7A21" w:rsidRDefault="00F73D5B" w:rsidP="00F73D5B">
      <w:pPr>
        <w:pStyle w:val="Heading3"/>
        <w:rPr>
          <w:lang w:val="es-ES_tradnl"/>
        </w:rPr>
      </w:pPr>
      <w:bookmarkStart w:id="1813" w:name="_Toc306276886"/>
      <w:bookmarkStart w:id="1814" w:name="_Toc307921559"/>
      <w:bookmarkStart w:id="1815" w:name="_Toc307922126"/>
      <w:bookmarkStart w:id="1816" w:name="_Toc307922670"/>
      <w:bookmarkStart w:id="1817" w:name="_Toc307992019"/>
      <w:bookmarkStart w:id="1818" w:name="_Toc307994054"/>
      <w:bookmarkStart w:id="1819" w:name="_Toc307995273"/>
      <w:bookmarkStart w:id="1820" w:name="_Toc307996460"/>
      <w:bookmarkStart w:id="1821" w:name="_Toc308010392"/>
      <w:bookmarkStart w:id="1822" w:name="_Toc499563102"/>
      <w:bookmarkStart w:id="1823" w:name="_Toc215835436"/>
      <w:r w:rsidRPr="008B7A21">
        <w:rPr>
          <w:lang w:val="es-ES_tradnl"/>
        </w:rPr>
        <w:t>5.1.5</w:t>
      </w:r>
      <w:r w:rsidRPr="008B7A21">
        <w:rPr>
          <w:lang w:val="es-ES_tradnl"/>
        </w:rPr>
        <w:tab/>
        <w:t>Estados Unidos de América</w:t>
      </w:r>
      <w:bookmarkEnd w:id="1813"/>
      <w:bookmarkEnd w:id="1814"/>
      <w:bookmarkEnd w:id="1815"/>
      <w:bookmarkEnd w:id="1816"/>
      <w:bookmarkEnd w:id="1817"/>
      <w:bookmarkEnd w:id="1818"/>
      <w:bookmarkEnd w:id="1819"/>
      <w:bookmarkEnd w:id="1820"/>
      <w:bookmarkEnd w:id="1821"/>
      <w:bookmarkEnd w:id="1822"/>
      <w:bookmarkEnd w:id="1823"/>
    </w:p>
    <w:p w14:paraId="3C635105" w14:textId="77777777" w:rsidR="00F73D5B" w:rsidRPr="008B7A21" w:rsidRDefault="00F73D5B" w:rsidP="00F73D5B">
      <w:pPr>
        <w:pStyle w:val="Heading4"/>
        <w:rPr>
          <w:lang w:val="es-ES_tradnl"/>
        </w:rPr>
      </w:pPr>
      <w:r w:rsidRPr="008B7A21">
        <w:rPr>
          <w:lang w:val="es-ES_tradnl"/>
        </w:rPr>
        <w:t>5.1.5.1</w:t>
      </w:r>
      <w:r w:rsidRPr="008B7A21">
        <w:rPr>
          <w:lang w:val="es-ES_tradnl"/>
        </w:rPr>
        <w:tab/>
        <w:t>Autoridad</w:t>
      </w:r>
    </w:p>
    <w:p w14:paraId="49280741" w14:textId="77777777" w:rsidR="00F73D5B" w:rsidRPr="008B7A21" w:rsidRDefault="00F73D5B" w:rsidP="00F73D5B">
      <w:pPr>
        <w:rPr>
          <w:lang w:val="es-ES_tradnl"/>
        </w:rPr>
      </w:pPr>
      <w:r w:rsidRPr="008B7A21">
        <w:rPr>
          <w:lang w:val="es-ES_tradnl"/>
        </w:rPr>
        <w:t>En Estados Unidos de América, las funciones de gestión del espectro se reparten entre la Comisión Federal de Comunicaciones (FCC) y la Administración Nacional de Telecomunicaciones e Información (NTIA). La FCC se ocupa de la gestión de la utilización del espectro a nivel distinto del Gobierno Federal, incluyendo la utilización por el sector privado y las autoridades locales y de los estados. El NTIA está autorizado a gestionar la utilización del espectro por las instituciones del Gobierno Federal, incluyendo la militar. El Congreso de Estados Unidos de América dio en 1993 a la FCC la autoridad para la concesión de licencias a través de subasta. Esta autoridad se limita a la organización de procesos de oferta competitiva en casos en que se hayan recibido solicitudes mutuamente excluyentes y en las que la utilización principal del espectro implique con probabilidad razonable la recaudación por el beneficiario de cánones de los abonados en compensación por habilitarles para recibir o transmitir señales de comunicaciones. Al conceder a la FCC la autoridad sobre las subastas, el Congreso de Estados Unidos de América pretendía fomentar la consecución de los objetivos siguientes:</w:t>
      </w:r>
    </w:p>
    <w:p w14:paraId="1FAB2BAC" w14:textId="77777777" w:rsidR="00F73D5B" w:rsidRPr="008B7A21" w:rsidRDefault="00F73D5B" w:rsidP="00F73D5B">
      <w:pPr>
        <w:pStyle w:val="enumlev1"/>
        <w:rPr>
          <w:lang w:val="es-ES_tradnl"/>
        </w:rPr>
      </w:pPr>
      <w:r w:rsidRPr="008B7A21">
        <w:rPr>
          <w:lang w:val="es-ES_tradnl"/>
        </w:rPr>
        <w:t>«1)</w:t>
      </w:r>
      <w:r w:rsidRPr="008B7A21">
        <w:rPr>
          <w:lang w:val="es-ES_tradnl"/>
        </w:rPr>
        <w:tab/>
        <w:t>el desarrollo y despliegue rápidos de nuevas tecnologías, productos y servicios en beneficio del público, incluyendo el que reside en zonas rurales, sin demoras administrativas o judiciales;</w:t>
      </w:r>
    </w:p>
    <w:p w14:paraId="04B71DE9" w14:textId="77777777" w:rsidR="00F73D5B" w:rsidRPr="008B7A21" w:rsidRDefault="00F73D5B" w:rsidP="00F73D5B">
      <w:pPr>
        <w:pStyle w:val="enumlev1"/>
        <w:rPr>
          <w:lang w:val="es-ES_tradnl"/>
        </w:rPr>
      </w:pPr>
      <w:r w:rsidRPr="008B7A21">
        <w:rPr>
          <w:lang w:val="es-ES_tradnl"/>
        </w:rPr>
        <w:t>2)</w:t>
      </w:r>
      <w:r w:rsidRPr="008B7A21">
        <w:rPr>
          <w:lang w:val="es-ES_tradnl"/>
        </w:rPr>
        <w:tab/>
        <w:t>la promoción de la igualdad de oportunidades económicas y de la competencia y la garantía de que lleguen rápidamente al pueblo americano tecnologías nuevas e innovadoras, evitando una concentración excesiva de licencias y diseminando éstas entre un amplio abanico de solicitantes, que incluya pequeñas empresas, compañías de telefonía rural y empresas propiedad de miembros de grupos minoritarios y de mujeres;</w:t>
      </w:r>
    </w:p>
    <w:p w14:paraId="00031E82" w14:textId="77777777" w:rsidR="00F73D5B" w:rsidRPr="008B7A21" w:rsidRDefault="00F73D5B" w:rsidP="00F73D5B">
      <w:pPr>
        <w:pStyle w:val="enumlev1"/>
        <w:rPr>
          <w:lang w:val="es-ES_tradnl"/>
        </w:rPr>
      </w:pPr>
      <w:r w:rsidRPr="008B7A21">
        <w:rPr>
          <w:lang w:val="es-ES_tradnl"/>
        </w:rPr>
        <w:t>3)</w:t>
      </w:r>
      <w:r w:rsidRPr="008B7A21">
        <w:rPr>
          <w:lang w:val="es-ES_tradnl"/>
        </w:rPr>
        <w:tab/>
        <w:t>la recuperación para el público de una parte del valor del recurso público del espectro disponible para utilización comercial, impidiendo el enriquecimiento injusto, mediante los métodos empleados para la concesión de utilización de dichos recursos; y</w:t>
      </w:r>
    </w:p>
    <w:p w14:paraId="12B610CF" w14:textId="77777777" w:rsidR="00F73D5B" w:rsidRPr="008B7A21" w:rsidRDefault="00F73D5B" w:rsidP="00F73D5B">
      <w:pPr>
        <w:pStyle w:val="enumlev1"/>
        <w:rPr>
          <w:lang w:val="es-ES_tradnl"/>
        </w:rPr>
      </w:pPr>
      <w:r w:rsidRPr="008B7A21">
        <w:rPr>
          <w:lang w:val="es-ES_tradnl"/>
        </w:rPr>
        <w:t>4)</w:t>
      </w:r>
      <w:r w:rsidRPr="008B7A21">
        <w:rPr>
          <w:lang w:val="es-ES_tradnl"/>
        </w:rPr>
        <w:tab/>
        <w:t>la utilización eficaz e intensiva del espectro electromagnético.»</w:t>
      </w:r>
    </w:p>
    <w:p w14:paraId="6DAF95C9" w14:textId="77777777" w:rsidR="00F73D5B" w:rsidRPr="008B7A21" w:rsidRDefault="00F73D5B" w:rsidP="00F73D5B">
      <w:pPr>
        <w:rPr>
          <w:lang w:val="es-ES_tradnl"/>
        </w:rPr>
      </w:pPr>
      <w:r w:rsidRPr="008B7A21">
        <w:rPr>
          <w:lang w:val="es-ES_tradnl"/>
        </w:rPr>
        <w:t>Al conceder la autoridad para el proceso de ofertas competitivas, el Congreso de Estados Unidos de América especificaba también que la organización de éstas:</w:t>
      </w:r>
    </w:p>
    <w:p w14:paraId="04123DB7" w14:textId="77777777" w:rsidR="00F73D5B" w:rsidRPr="008B7A21" w:rsidRDefault="00F73D5B" w:rsidP="00F73D5B">
      <w:pPr>
        <w:pStyle w:val="enumlev1"/>
        <w:rPr>
          <w:lang w:val="es-ES_tradnl"/>
        </w:rPr>
      </w:pPr>
      <w:r w:rsidRPr="008B7A21">
        <w:rPr>
          <w:lang w:val="es-ES_tradnl"/>
        </w:rPr>
        <w:t>«1)</w:t>
      </w:r>
      <w:r w:rsidRPr="008B7A21">
        <w:rPr>
          <w:lang w:val="es-ES_tradnl"/>
        </w:rPr>
        <w:tab/>
        <w:t>no alterará los criterios y procedimientos de atribución del espectro;</w:t>
      </w:r>
    </w:p>
    <w:p w14:paraId="4AD650C0" w14:textId="77777777" w:rsidR="00F73D5B" w:rsidRPr="008B7A21" w:rsidRDefault="00F73D5B" w:rsidP="00F73D5B">
      <w:pPr>
        <w:pStyle w:val="enumlev1"/>
        <w:rPr>
          <w:lang w:val="es-ES_tradnl"/>
        </w:rPr>
      </w:pPr>
      <w:r w:rsidRPr="008B7A21">
        <w:rPr>
          <w:lang w:val="es-ES_tradnl"/>
        </w:rPr>
        <w:t>2)</w:t>
      </w:r>
      <w:r w:rsidRPr="008B7A21">
        <w:rPr>
          <w:lang w:val="es-ES_tradnl"/>
        </w:rPr>
        <w:tab/>
        <w:t>no se realizará para liberar a la FCC de la obligación, de interés público, de continuar utilizando soluciones de ingeniería, negociaciones, mínimas de calificación, reglamentos del servicio y otros medios destinados a evitar la exclusividad mutua en los procedimientos de solicitud y de concesión de licencias.»</w:t>
      </w:r>
    </w:p>
    <w:p w14:paraId="1AE4A33A" w14:textId="77777777" w:rsidR="00F73D5B" w:rsidRPr="008B7A21" w:rsidRDefault="00F73D5B" w:rsidP="00F73D5B">
      <w:pPr>
        <w:rPr>
          <w:lang w:val="es-ES_tradnl"/>
        </w:rPr>
      </w:pPr>
      <w:r w:rsidRPr="008B7A21">
        <w:rPr>
          <w:lang w:val="es-ES_tradnl"/>
        </w:rPr>
        <w:t>El Congreso de Estados Unidos de América especificaba además que la FCC no puede efectuar atribuciones o adoptar decisiones en cuanto al servicio basadas en expectativas de ingresos públicos procedentes de subastas.</w:t>
      </w:r>
    </w:p>
    <w:p w14:paraId="5056BADE" w14:textId="77777777" w:rsidR="00F73D5B" w:rsidRPr="008B7A21" w:rsidRDefault="00F73D5B" w:rsidP="00F73D5B">
      <w:pPr>
        <w:rPr>
          <w:lang w:val="es-ES_tradnl"/>
        </w:rPr>
      </w:pPr>
      <w:r w:rsidRPr="008B7A21">
        <w:rPr>
          <w:lang w:val="es-ES_tradnl"/>
        </w:rPr>
        <w:t>La mayor parte de la recaudación procedente de las subastas efectuadas por la FCC se deposita en la hacienda general del país. Se permite a la FCC retener únicamente la proporción de los ingresos de la subasta necesaria para pagar los costes de su celebración. Esta proporción es muy inferior al 1% de los ingresos que producen las subastas. Generalmente, las licencias que se han concedido en una subasta se refieren a un periodo de diez años y se pretende que tras dicho periodo se renueve la licencia si el beneficiario se ha ajustado a las reglas aplicables de la FCC y ha prestado un servicio sustancial.</w:t>
      </w:r>
    </w:p>
    <w:p w14:paraId="3317F018" w14:textId="3A4F62F0" w:rsidR="00F73D5B" w:rsidRPr="008B7A21" w:rsidRDefault="00F73D5B" w:rsidP="00877B7A">
      <w:pPr>
        <w:rPr>
          <w:lang w:val="es-ES_tradnl"/>
        </w:rPr>
      </w:pPr>
      <w:r w:rsidRPr="008B7A21">
        <w:rPr>
          <w:lang w:val="es-ES_tradnl"/>
        </w:rPr>
        <w:t>A continuación figuran servicios cuya licencia se ha concedido en Estados Unidos de América mediante subasta. </w:t>
      </w:r>
      <w:r w:rsidR="00877B7A" w:rsidRPr="008B7A21">
        <w:rPr>
          <w:lang w:val="es-ES_tradnl"/>
        </w:rPr>
        <w:t>La</w:t>
      </w:r>
      <w:r w:rsidR="00877B7A">
        <w:rPr>
          <w:lang w:val="es-ES_tradnl"/>
        </w:rPr>
        <w:t> </w:t>
      </w:r>
      <w:r w:rsidR="00877B7A" w:rsidRPr="008B7A21">
        <w:rPr>
          <w:lang w:val="es-ES_tradnl"/>
        </w:rPr>
        <w:t>lista</w:t>
      </w:r>
      <w:r w:rsidR="00877B7A">
        <w:rPr>
          <w:lang w:val="es-ES_tradnl"/>
        </w:rPr>
        <w:t> </w:t>
      </w:r>
      <w:r w:rsidR="00877B7A" w:rsidRPr="008B7A21">
        <w:rPr>
          <w:lang w:val="es-ES_tradnl"/>
        </w:rPr>
        <w:t>completa</w:t>
      </w:r>
      <w:r w:rsidRPr="008B7A21">
        <w:rPr>
          <w:lang w:val="es-ES_tradnl"/>
        </w:rPr>
        <w:t> de las mencionadas subastas puede consultarse en:</w:t>
      </w:r>
      <w:r w:rsidR="00350CBD" w:rsidRPr="008B7A21">
        <w:rPr>
          <w:lang w:val="es-ES_tradnl"/>
        </w:rPr>
        <w:br/>
      </w:r>
      <w:hyperlink r:id="rId198" w:history="1">
        <w:r w:rsidR="00350CBD" w:rsidRPr="008B7A21">
          <w:rPr>
            <w:rStyle w:val="Hyperlink"/>
            <w:lang w:val="es-ES_tradnl"/>
          </w:rPr>
          <w:t>https://www.fcc.gov/auctions</w:t>
        </w:r>
      </w:hyperlink>
      <w:r w:rsidRPr="008B7A21">
        <w:rPr>
          <w:lang w:val="es-ES_tradnl"/>
        </w:rPr>
        <w:fldChar w:fldCharType="begin"/>
      </w:r>
      <w:r w:rsidRPr="008B7A21">
        <w:rPr>
          <w:lang w:val="es-ES_tradnl"/>
        </w:rPr>
        <w:instrText>https://www.fcc.gov/auctions</w:instrText>
      </w:r>
      <w:r w:rsidRPr="008B7A21">
        <w:rPr>
          <w:lang w:val="es-ES_tradnl"/>
        </w:rPr>
        <w:fldChar w:fldCharType="separate"/>
      </w:r>
      <w:r w:rsidRPr="008B7A21">
        <w:rPr>
          <w:color w:val="0000FF"/>
          <w:u w:val="single"/>
          <w:lang w:val="es-ES_tradnl"/>
        </w:rPr>
        <w:t>https://www.fcc.gov/auctions</w:t>
      </w:r>
      <w:r w:rsidRPr="008B7A21">
        <w:rPr>
          <w:lang w:val="es-ES_tradnl"/>
        </w:rPr>
        <w:fldChar w:fldCharType="end"/>
      </w:r>
      <w:r w:rsidRPr="008B7A21">
        <w:rPr>
          <w:lang w:val="es-ES_tradnl"/>
        </w:rPr>
        <w:t>.</w:t>
      </w:r>
    </w:p>
    <w:p w14:paraId="38629A17" w14:textId="5F79CACA" w:rsidR="00F73D5B" w:rsidRPr="008B7A21" w:rsidRDefault="00F73D5B" w:rsidP="00F73D5B">
      <w:pPr>
        <w:pStyle w:val="Heading4"/>
        <w:rPr>
          <w:lang w:val="es-ES_tradnl"/>
        </w:rPr>
      </w:pPr>
      <w:r w:rsidRPr="008B7A21">
        <w:rPr>
          <w:lang w:val="es-ES_tradnl"/>
        </w:rPr>
        <w:t>5.1.5.2</w:t>
      </w:r>
      <w:r w:rsidRPr="008B7A21">
        <w:rPr>
          <w:lang w:val="es-ES_tradnl"/>
        </w:rPr>
        <w:tab/>
        <w:t>Servicios de comunicaciones personales</w:t>
      </w:r>
    </w:p>
    <w:p w14:paraId="39BE483C" w14:textId="77777777" w:rsidR="00F73D5B" w:rsidRPr="008B7A21" w:rsidRDefault="00F73D5B" w:rsidP="00F73D5B">
      <w:pPr>
        <w:rPr>
          <w:lang w:val="es-ES_tradnl"/>
        </w:rPr>
      </w:pPr>
      <w:r w:rsidRPr="008B7A21">
        <w:rPr>
          <w:lang w:val="es-ES_tradnl"/>
        </w:rPr>
        <w:t>Se espera que los proveedores de servicios de comunicaciones personales (PCS), pongan a disposición del público nuevas capacidades de comunicación mediante la prestación de diversos servicios móviles que compitan con los actuales servicios de telefonía celular, de radiobúsqueda y otros de tipo móvil terrestre. Estos servicios se prestarán mediante una nueva generación de dispositivos de comunicaciones con capacidad telefónica bidireccional, de datos y/o de mensajes. Estos dispositivos son los pequeños teléfonos ligeros inalámbricos multifunción, los aparatos portátiles de facsímil y otros equipos. Los PCS se componen de varias categorías distintas, entre las que están los PCS de banda estrecha y los PCS de banda ancha.</w:t>
      </w:r>
    </w:p>
    <w:p w14:paraId="53E60481" w14:textId="77777777" w:rsidR="00F73D5B" w:rsidRPr="008B7A21" w:rsidRDefault="00F73D5B" w:rsidP="00F73D5B">
      <w:pPr>
        <w:rPr>
          <w:lang w:val="es-ES_tradnl"/>
        </w:rPr>
      </w:pPr>
      <w:r w:rsidRPr="008B7A21">
        <w:rPr>
          <w:lang w:val="es-ES_tradnl"/>
        </w:rPr>
        <w:t>La FCC celebró su primera subasta en julio de 1994, sacando 11 licencias a nivel nacional relativas a los PCS de banda estrecha en la banda de 900 MHz. Estos PCS de banda estrecha pueden utilizarse para la prestación de nuevos servicios tales como los de radiobúsqueda con mensajes vocales, mensajería con acuse bidireccional en el que un abonado puede recibir un mensaje y retransmitir una respuesta al remitente, y otros servicios de datos. Las licencias de PCS de banda estrecha pueden abarcar todo el país (licencia de nivel nacional), grandes regiones (licencia regional), o zonas más pequeñas. De las licencias nacionales, cinco son con aparejamiento 50/50 kHz, tres son con aparejamiento 50/12,5 kHz y tres son en 50 kHz, sin aparejamiento.</w:t>
      </w:r>
    </w:p>
    <w:p w14:paraId="3A47B97B" w14:textId="77777777" w:rsidR="00F73D5B" w:rsidRPr="008B7A21" w:rsidRDefault="00F73D5B" w:rsidP="00F73D5B">
      <w:pPr>
        <w:rPr>
          <w:lang w:val="es-ES_tradnl"/>
        </w:rPr>
      </w:pPr>
      <w:r w:rsidRPr="008B7A21">
        <w:rPr>
          <w:lang w:val="es-ES_tradnl"/>
        </w:rPr>
        <w:t>Entre el 26 de octubre y el 8 de noviembre de 1994, la FCC sacó a subasta 30 licencias de PCS de banda estrecha regionales: seis licencias en cada una de las cinco regiones de Estados Unidos de América. Dos licencias en cada región son con aparejamiento 50/50 kHz y las cuatro restantes con aparejamiento 50/12,5 kHz.</w:t>
      </w:r>
    </w:p>
    <w:p w14:paraId="6CA37DBF" w14:textId="77777777" w:rsidR="00F73D5B" w:rsidRPr="008B7A21" w:rsidRDefault="00F73D5B" w:rsidP="00F73D5B">
      <w:pPr>
        <w:rPr>
          <w:lang w:val="es-ES_tradnl"/>
        </w:rPr>
      </w:pPr>
      <w:r w:rsidRPr="008B7A21">
        <w:rPr>
          <w:lang w:val="es-ES_tradnl"/>
        </w:rPr>
        <w:t>En diciembre de 1994, la FCC celebró su primera subasta de licencias para la prestación de los PCS de banda ancha en la banda de 2 GHz (1</w:t>
      </w:r>
      <w:r w:rsidRPr="008B7A21">
        <w:rPr>
          <w:color w:val="000000"/>
          <w:lang w:val="es-ES_tradnl"/>
        </w:rPr>
        <w:t> </w:t>
      </w:r>
      <w:r w:rsidRPr="008B7A21">
        <w:rPr>
          <w:lang w:val="es-ES_tradnl"/>
        </w:rPr>
        <w:t>850-1</w:t>
      </w:r>
      <w:r w:rsidRPr="008B7A21">
        <w:rPr>
          <w:color w:val="000000"/>
          <w:lang w:val="es-ES_tradnl"/>
        </w:rPr>
        <w:t> </w:t>
      </w:r>
      <w:r w:rsidRPr="008B7A21">
        <w:rPr>
          <w:lang w:val="es-ES_tradnl"/>
        </w:rPr>
        <w:t>990 MHz). Los PCS de banda ancha abarcan una serie de servicios radioeléctricos móviles y/o portátiles utilizando dispositivos tales como los pequeños teléfonos ligeros portátiles multifunción, los equipos de facsímil portátiles y los dispositivos avanzados con capacidad de datos bidireccional, que esperan competir con los servicios actuales de telefonía celular, de radiobúsqueda y otros servicios móviles terrestres.</w:t>
      </w:r>
    </w:p>
    <w:p w14:paraId="571BEEF6" w14:textId="77777777" w:rsidR="00F73D5B" w:rsidRPr="008B7A21" w:rsidRDefault="00F73D5B" w:rsidP="00F73D5B">
      <w:pPr>
        <w:rPr>
          <w:lang w:val="es-ES_tradnl"/>
        </w:rPr>
      </w:pPr>
      <w:r w:rsidRPr="008B7A21">
        <w:rPr>
          <w:lang w:val="es-ES_tradnl"/>
        </w:rPr>
        <w:t>La banda 1 850-1 990 MHz se dividió en seis bloques de licencia. Cada uno de los bloques de licencia A, B y C tiene 30 MHz de espectro (dos segmentos con aparejamiento de 15 MHz de ancho). Cada uno de los bloques de licencia D, E y F tiene 10 MHz de espectro (dos segmentos con aparejamiento de 5 MHz de ancho). (Véase que la combinación de los seis bloques representa 120 MHz de espectro. Los otros 20 MHz (1 910-1 930 MHz) de la banda 1</w:t>
      </w:r>
      <w:r w:rsidRPr="008B7A21">
        <w:rPr>
          <w:color w:val="000000"/>
          <w:lang w:val="es-ES_tradnl"/>
        </w:rPr>
        <w:t> </w:t>
      </w:r>
      <w:r w:rsidRPr="008B7A21">
        <w:rPr>
          <w:lang w:val="es-ES_tradnl"/>
        </w:rPr>
        <w:t>850</w:t>
      </w:r>
      <w:r w:rsidRPr="008B7A21">
        <w:rPr>
          <w:lang w:val="es-ES_tradnl"/>
        </w:rPr>
        <w:noBreakHyphen/>
        <w:t>1</w:t>
      </w:r>
      <w:r w:rsidRPr="008B7A21">
        <w:rPr>
          <w:color w:val="000000"/>
          <w:lang w:val="es-ES_tradnl"/>
        </w:rPr>
        <w:t> </w:t>
      </w:r>
      <w:r w:rsidRPr="008B7A21">
        <w:rPr>
          <w:lang w:val="es-ES_tradnl"/>
        </w:rPr>
        <w:t>990 MHz se utilizan para servicios PCS que no son objeto de licencia.)</w:t>
      </w:r>
    </w:p>
    <w:p w14:paraId="65AB46D4" w14:textId="77777777" w:rsidR="00F73D5B" w:rsidRPr="008B7A21" w:rsidRDefault="00F73D5B" w:rsidP="00F73D5B">
      <w:pPr>
        <w:rPr>
          <w:lang w:val="es-ES_tradnl"/>
        </w:rPr>
      </w:pPr>
      <w:r w:rsidRPr="008B7A21">
        <w:rPr>
          <w:lang w:val="es-ES_tradnl"/>
        </w:rPr>
        <w:t>Las licencias para los bloques A y B atañan a Zonas de Comercio Importantes (MTA) regionales. Hay 51 MTA que combinadas abarcan todo Estados Unidos de América y sus territorios. Las licencias para los bloques C, D, E y F atañan a las Zonas de Comercio Básicas (BTA). Las BTA son componentes de las MTA y hay 493 BTA que combinadas abarcan todo Estados Unidos de América y sus territorios. Las MTA y BTA son zonas de comercio económicas basadas en las designaciones que figuran en la Rand McNally Commercial Atlas and Marketing Guide.</w:t>
      </w:r>
    </w:p>
    <w:p w14:paraId="76C92FB1" w14:textId="77777777" w:rsidR="00F73D5B" w:rsidRPr="008B7A21" w:rsidRDefault="00F73D5B" w:rsidP="00F73D5B">
      <w:pPr>
        <w:rPr>
          <w:lang w:val="es-ES_tradnl"/>
        </w:rPr>
      </w:pPr>
      <w:r w:rsidRPr="008B7A21">
        <w:rPr>
          <w:lang w:val="es-ES_tradnl"/>
        </w:rPr>
        <w:t>En la subasta que se inició en diciembre de 1994, la FCC sacó licencias de los bloques de frecuencia A y B para 48 MTA. En las otras tres MTA sólo se sacó a subasta la licencia del bloque B. En estas tres MTA (Nueva York, Los Ángeles y Washington-Baltimore), la licencia del bloque A se otorgó previamente siguiendo las primeras reglas de preferencia de la FCC. De esta manera, se sacó a subasta un total de 99 licencias. Hubo 30 ofertantes que satisfacían las condiciones de participación en la subasta y ésta se desarrolló en más de 112 rondas antes de concluir, en marzo de 1995.</w:t>
      </w:r>
    </w:p>
    <w:p w14:paraId="1F37A319" w14:textId="77777777" w:rsidR="00F73D5B" w:rsidRPr="008B7A21" w:rsidRDefault="00F73D5B" w:rsidP="00F73D5B">
      <w:pPr>
        <w:rPr>
          <w:lang w:val="es-ES_tradnl"/>
        </w:rPr>
      </w:pPr>
      <w:r w:rsidRPr="008B7A21">
        <w:rPr>
          <w:lang w:val="es-ES_tradnl"/>
        </w:rPr>
        <w:t>La FCC empezó en diciembre de 1995 a subastar licencias del bloque C para PCS de banda ancha en las 493 BTA. A diferencia de las subastas para las MTA, las entidades pequeñas podían proponer ofertas con crédito y planes de pagos a plazos para el bloque C. La subasta concluyó en mayo de 1996, tras 184 rondas. Las subastas de los bloques D, E y F para PCS de banda ancha se iniciaron en agosto de 1996, participando 153 ofertantes que cumplían las condiciones para participar en la subasta de 1</w:t>
      </w:r>
      <w:r w:rsidRPr="008B7A21">
        <w:rPr>
          <w:color w:val="000000"/>
          <w:lang w:val="es-ES_tradnl"/>
        </w:rPr>
        <w:t> </w:t>
      </w:r>
      <w:r w:rsidRPr="008B7A21">
        <w:rPr>
          <w:lang w:val="es-ES_tradnl"/>
        </w:rPr>
        <w:t>479 licencias diferentes. Sólo podían proponerse ofertas con crédito y planes de pagos a plazos para el bloque F. La subasta concluyó en enero de 1997 tras 276 rondas.</w:t>
      </w:r>
    </w:p>
    <w:p w14:paraId="3478AB0F" w14:textId="77777777" w:rsidR="00F73D5B" w:rsidRPr="008B7A21" w:rsidRDefault="00F73D5B" w:rsidP="00F73D5B">
      <w:pPr>
        <w:rPr>
          <w:lang w:val="es-ES_tradnl"/>
        </w:rPr>
      </w:pPr>
      <w:r w:rsidRPr="008B7A21">
        <w:rPr>
          <w:lang w:val="es-ES_tradnl"/>
        </w:rPr>
        <w:t>Aunque el PCS es un nuevo servicio, el espectro que ocupa era anteriormente objeto de licencia y estaba atribuido a diversos usuarios del servicio fijo (punto a punto) por microondas, incluyendo los de los servicios de seguridad pública. Sin embargo, será necesario desplazar los sistemas de microondas en cuestión a otra banda de frecuencias o prever la satisfacción de sus necesidades de comunicaciones mediante algunos medios alternativos, tales como el cable. Al establecerse el servicio PCS, la FCC determinó que la forma más rápida y equilibrada de efectuar esta transición era hacer pagar a los nuevos beneficiarios de licencias PCS por sacar a los usuarios de microondas de la banda. La FCC estableció por tanto un procedimiento mediante el que se da a los nuevos beneficiarios de licencias PCS y a los usuarios de microondas en cuestión un cierto periodo para negociar las condiciones de la reubicación. No obstante y en cualquier caso, los usuarios de microondas deben liberar la banda en una cierta fecha y por tanto, no pueden impedir la implantación de los nuevos servicios.</w:t>
      </w:r>
    </w:p>
    <w:p w14:paraId="1447220A" w14:textId="77777777" w:rsidR="00F73D5B" w:rsidRPr="008B7A21" w:rsidRDefault="00F73D5B" w:rsidP="00F73D5B">
      <w:pPr>
        <w:pStyle w:val="Heading4"/>
        <w:rPr>
          <w:lang w:val="es-ES_tradnl"/>
        </w:rPr>
      </w:pPr>
      <w:r w:rsidRPr="008B7A21">
        <w:rPr>
          <w:lang w:val="es-ES_tradnl"/>
        </w:rPr>
        <w:t>5.1.5.3</w:t>
      </w:r>
      <w:r w:rsidRPr="008B7A21">
        <w:rPr>
          <w:lang w:val="es-ES_tradnl"/>
        </w:rPr>
        <w:tab/>
        <w:t>Servicio de datos de vídeo interactivo</w:t>
      </w:r>
    </w:p>
    <w:p w14:paraId="07F186F8" w14:textId="77777777" w:rsidR="00F73D5B" w:rsidRPr="008B7A21" w:rsidRDefault="00F73D5B" w:rsidP="00F73D5B">
      <w:pPr>
        <w:rPr>
          <w:lang w:val="es-ES_tradnl"/>
        </w:rPr>
      </w:pPr>
      <w:r w:rsidRPr="008B7A21">
        <w:rPr>
          <w:lang w:val="es-ES_tradnl"/>
        </w:rPr>
        <w:t>La FCC celebró su segunda subasta de 594 licencias de servicios de datos de vídeo interactivo (IVDS), en julio de 1994. El IVDS es un servicio de comunicaciones bidireccional en la banda 218</w:t>
      </w:r>
      <w:r w:rsidRPr="008B7A21">
        <w:rPr>
          <w:lang w:val="es-ES_tradnl"/>
        </w:rPr>
        <w:noBreakHyphen/>
        <w:t>219 MHz. Las licencias se conceden para un periodo de diez años y se componen de dos licencias de 500 kHz en cada una de las 297 zonas estadísticas metropolitanas (MSA) que son básicamente las zonas urbanizadas de Estados Unidos de América. En cada mercado, se sacaban a subasta ambas licencias al mismo tiempo, dando al ofertante máximo la elección entre las dos licencias disponibles y ganando el segundo máximo ofertante la licencia que quedaba. La FCC subastó todas las 594 licencias en dos días.</w:t>
      </w:r>
    </w:p>
    <w:p w14:paraId="57D38773" w14:textId="77777777" w:rsidR="00F73D5B" w:rsidRPr="008B7A21" w:rsidRDefault="00F73D5B" w:rsidP="00F73D5B">
      <w:pPr>
        <w:pStyle w:val="Heading4"/>
        <w:rPr>
          <w:lang w:val="es-ES_tradnl"/>
        </w:rPr>
      </w:pPr>
      <w:r w:rsidRPr="008B7A21">
        <w:rPr>
          <w:lang w:val="es-ES_tradnl"/>
        </w:rPr>
        <w:t>5.1.5.4</w:t>
      </w:r>
      <w:r w:rsidRPr="008B7A21">
        <w:rPr>
          <w:lang w:val="es-ES_tradnl"/>
        </w:rPr>
        <w:tab/>
        <w:t xml:space="preserve">Servicio radioeléctrico móvil especializado </w:t>
      </w:r>
    </w:p>
    <w:p w14:paraId="690018D2" w14:textId="77777777" w:rsidR="00F73D5B" w:rsidRPr="008B7A21" w:rsidRDefault="00F73D5B" w:rsidP="00F73D5B">
      <w:pPr>
        <w:rPr>
          <w:lang w:val="es-ES_tradnl"/>
        </w:rPr>
      </w:pPr>
      <w:r w:rsidRPr="008B7A21">
        <w:rPr>
          <w:lang w:val="es-ES_tradnl"/>
        </w:rPr>
        <w:t>El servicio radioeléctrico móvil especializado (SMR) es un servicio móvil terrestre que ofrece comunicaciones de despacho, telefónicas y de datos a empresas comerciales y usuarios especializados, aunque se permite también a los beneficiarios de licencia dar servicio al público general. El servicio SMR funciona en las bandas de 800 MHz y 900 MHz.</w:t>
      </w:r>
    </w:p>
    <w:p w14:paraId="43C52C85" w14:textId="77777777" w:rsidR="00F73D5B" w:rsidRPr="008B7A21" w:rsidRDefault="00F73D5B" w:rsidP="00F73D5B">
      <w:pPr>
        <w:rPr>
          <w:lang w:val="es-ES_tradnl"/>
        </w:rPr>
      </w:pPr>
      <w:r w:rsidRPr="008B7A21">
        <w:rPr>
          <w:lang w:val="es-ES_tradnl"/>
        </w:rPr>
        <w:t>La FCC estableció en 1974 el servicio SMR en la banda de 800 MHz como servicio radioeléctrico móvil terrestre privado, concibiéndolo como método eficaz desde un punto de vista espectral para la prestación del servicio radioeléctrico de despacho a empresas y otros usuarios que cumplían las condiciones de usuarios radioeléctricos privados. Originalmente, las solicitudes se limitaban a un número relativamente pequeño de canales situados en una única estación de base. La cobertura y las opciones de servicio eran por tanto limitadas. Estas licencias se concedieron sobre la base del orden de solicitud, empleando el sorteo para resolver casos de exclusión mutua. No obstante, a lo largo de los años, la demanda de este servicio aumentó y las reglas que limitaban las condiciones de acceso y de concesión de licencia se fueron reduciendo gradualmente. Los proveedores de SMR ofrecen hoy en día una gama de servicios que van desde el despacho radioeléctrico tradicional para clientes locales, a las transmisiones telefónicas y de datos más sofisticadas dirigidas a clientes de zonas geográficas amplias. En los últimos años, se ha autorizado a los beneficiarios de licencias SMR a ampliar el alcance geográfico de sus servicios y a añadir un gran número de canales a fin de dar un servicio comparable más directamente al de las radiocomunicaciones celulares y al PCS. En octubre de 1994, la FCC propuso sacar licencias de SMR en 800 MHz sobre la base de zonas de servicio definidas por ella misma y mediante ofertas competitivas. La banda 800 MHz será objeto de subastas futuras.</w:t>
      </w:r>
    </w:p>
    <w:p w14:paraId="7E49CA4C" w14:textId="77777777" w:rsidR="00F73D5B" w:rsidRPr="008B7A21" w:rsidRDefault="00F73D5B" w:rsidP="00F73D5B">
      <w:pPr>
        <w:rPr>
          <w:lang w:val="es-ES_tradnl"/>
        </w:rPr>
      </w:pPr>
      <w:r w:rsidRPr="008B7A21">
        <w:rPr>
          <w:lang w:val="es-ES_tradnl"/>
        </w:rPr>
        <w:t>El servicio SMR en 900 MHz se basa en tramos de 5 MHz de espectro divididos en 20 bloques de 10 canales para cada MTA. Las asignaciones del servicio SMR en 900 MHz ofrecen la posibilidad de prestación de servicios competitivos tales como los de datos inalámbricos, despacho especializado, radiobúsqueda direccional y transmisión telefónica interconectada. Las licencias para este servicio se concedían inicialmente a emplazamientos transmisores únicos de las 50 ciudades más grandes de Estados Unidos de América, seleccionando los beneficiarios mediante sorteo. No obstante, la concesión de licencias se suspendió durante una serie de años y la FCC reestructuró recientemente el servicio, sacando licencias de zona amplia mediante ofertas competitivas. Se protege a los beneficiarios de licencia originales contra la interferencia de los nuevos beneficiarios, aunque sólo pueden ampliar sus operaciones obteniendo una nueva licencia.</w:t>
      </w:r>
    </w:p>
    <w:p w14:paraId="6FE2B999" w14:textId="77777777" w:rsidR="00F73D5B" w:rsidRPr="008B7A21" w:rsidRDefault="00F73D5B" w:rsidP="00F73D5B">
      <w:pPr>
        <w:pStyle w:val="Heading4"/>
        <w:rPr>
          <w:lang w:val="es-ES_tradnl"/>
        </w:rPr>
      </w:pPr>
      <w:r w:rsidRPr="008B7A21">
        <w:rPr>
          <w:lang w:val="es-ES_tradnl"/>
        </w:rPr>
        <w:t>5.1.5.5</w:t>
      </w:r>
      <w:r w:rsidRPr="008B7A21">
        <w:rPr>
          <w:lang w:val="es-ES_tradnl"/>
        </w:rPr>
        <w:tab/>
        <w:t xml:space="preserve">Sistema de distribución multipunto multicanal </w:t>
      </w:r>
    </w:p>
    <w:p w14:paraId="67F70350" w14:textId="77777777" w:rsidR="00F73D5B" w:rsidRPr="008B7A21" w:rsidRDefault="00F73D5B" w:rsidP="00F73D5B">
      <w:pPr>
        <w:rPr>
          <w:lang w:val="es-ES_tradnl"/>
        </w:rPr>
      </w:pPr>
      <w:r w:rsidRPr="008B7A21">
        <w:rPr>
          <w:lang w:val="es-ES_tradnl"/>
        </w:rPr>
        <w:t>Al sistema de distribución multipunto multicanal (MMDS) se le denomina a menudo «cable inalámbrico». Permite la distribución de programación de vídeo a los abonados, utilizando canales de MMDS y/o del servicio fijo de televisión de instrucción (ITFS). Sólo se han subastado los canales MMDS de 2</w:t>
      </w:r>
      <w:r w:rsidRPr="008B7A21">
        <w:rPr>
          <w:color w:val="000000"/>
          <w:lang w:val="es-ES_tradnl"/>
        </w:rPr>
        <w:t> </w:t>
      </w:r>
      <w:r w:rsidRPr="008B7A21">
        <w:rPr>
          <w:lang w:val="es-ES_tradnl"/>
        </w:rPr>
        <w:t>150-2</w:t>
      </w:r>
      <w:r w:rsidRPr="008B7A21">
        <w:rPr>
          <w:color w:val="000000"/>
          <w:lang w:val="es-ES_tradnl"/>
        </w:rPr>
        <w:t> </w:t>
      </w:r>
      <w:r w:rsidRPr="008B7A21">
        <w:rPr>
          <w:lang w:val="es-ES_tradnl"/>
        </w:rPr>
        <w:t>160 MHz y 2</w:t>
      </w:r>
      <w:r w:rsidRPr="008B7A21">
        <w:rPr>
          <w:color w:val="000000"/>
          <w:lang w:val="es-ES_tradnl"/>
        </w:rPr>
        <w:t> </w:t>
      </w:r>
      <w:r w:rsidRPr="008B7A21">
        <w:rPr>
          <w:lang w:val="es-ES_tradnl"/>
        </w:rPr>
        <w:t>596-2</w:t>
      </w:r>
      <w:r w:rsidRPr="008B7A21">
        <w:rPr>
          <w:color w:val="000000"/>
          <w:lang w:val="es-ES_tradnl"/>
        </w:rPr>
        <w:t> </w:t>
      </w:r>
      <w:r w:rsidRPr="008B7A21">
        <w:rPr>
          <w:lang w:val="es-ES_tradnl"/>
        </w:rPr>
        <w:t>680 MHz. El MMDS se parece a la televisión por cable, pero en vez del cable coaxial, el «cable inalámbrico» utiliza transmisión y señales de microondas. Anteriormente, se concedían las licencias MMDS para coordenadas específicas en las que estaba situado el transmisor central. No obstante, la FCC revisó recientemente los procedimientos de concesión de licencia MMDS, de forma que se autorizará a los beneficiarios la explotación en BTA particulares. Se exigirá a los nuevos beneficiarios que eviten la interferencia en la zona protegida de las actuales operaciones MMDS (35 millas de radio). La FCC señaló que las solicitudes mutuamente excluyentes cumplimentadas para una BTA particular se procesaron utilizando las ofertas competitivas.</w:t>
      </w:r>
    </w:p>
    <w:p w14:paraId="0A470116" w14:textId="77777777" w:rsidR="00F73D5B" w:rsidRPr="008B7A21" w:rsidRDefault="00F73D5B" w:rsidP="00F73D5B">
      <w:pPr>
        <w:pStyle w:val="Heading4"/>
        <w:rPr>
          <w:lang w:val="es-ES_tradnl"/>
        </w:rPr>
      </w:pPr>
      <w:r w:rsidRPr="008B7A21">
        <w:rPr>
          <w:lang w:val="es-ES_tradnl"/>
        </w:rPr>
        <w:t>5.1.5.6</w:t>
      </w:r>
      <w:r w:rsidRPr="008B7A21">
        <w:rPr>
          <w:lang w:val="es-ES_tradnl"/>
        </w:rPr>
        <w:tab/>
        <w:t xml:space="preserve">Satélites de radiodifusión directa </w:t>
      </w:r>
    </w:p>
    <w:p w14:paraId="6101677B" w14:textId="77777777" w:rsidR="00F73D5B" w:rsidRPr="008B7A21" w:rsidRDefault="00F73D5B" w:rsidP="00F73D5B">
      <w:pPr>
        <w:rPr>
          <w:lang w:val="es-ES_tradnl"/>
        </w:rPr>
      </w:pPr>
      <w:r w:rsidRPr="008B7A21">
        <w:rPr>
          <w:lang w:val="es-ES_tradnl"/>
        </w:rPr>
        <w:t xml:space="preserve">El servicio de radiodifusión directa por satélite (DBS, </w:t>
      </w:r>
      <w:r w:rsidRPr="008B7A21">
        <w:rPr>
          <w:i/>
          <w:iCs/>
          <w:lang w:val="es-ES_tradnl"/>
        </w:rPr>
        <w:t>direct broadcast satellite</w:t>
      </w:r>
      <w:r w:rsidRPr="008B7A21">
        <w:rPr>
          <w:lang w:val="es-ES_tradnl"/>
        </w:rPr>
        <w:t>) es un servicio de radiocomunicaciones en el que las señales transmitidas o retransmitidas por estaciones espaciales se destinan a la recepción directa por el público general. Se incluye en ello la recepción directa por las personas y la comunidad. La FCC celebró en enero de 1996 una subasta de DBS muy limitada de dos tramos orbitales. Al adoptar los procedimientos de la subasta, la FCC señaló que ciertas características de un servicio de radiodifusión por satélite nacional, tales como la huella del satélite que cae dentro de Estados Unidos de América, hace que el DBS sea distinto de otros muchos servicios por satélite. Un ganador obtuvo un permiso para montar un sistema de 28 canales y el segundo ofertante un permiso para un sistema de 24 canales.</w:t>
      </w:r>
    </w:p>
    <w:p w14:paraId="0DEBC642" w14:textId="77777777" w:rsidR="00F73D5B" w:rsidRPr="008B7A21" w:rsidRDefault="00F73D5B" w:rsidP="00F73D5B">
      <w:pPr>
        <w:pStyle w:val="Heading4"/>
        <w:rPr>
          <w:lang w:val="es-ES_tradnl"/>
        </w:rPr>
      </w:pPr>
      <w:r w:rsidRPr="008B7A21">
        <w:rPr>
          <w:lang w:val="es-ES_tradnl"/>
        </w:rPr>
        <w:t>5.1.5.7</w:t>
      </w:r>
      <w:r w:rsidRPr="008B7A21">
        <w:rPr>
          <w:lang w:val="es-ES_tradnl"/>
        </w:rPr>
        <w:tab/>
        <w:t xml:space="preserve">Servicio radioeléctrico de audio digital por satélite </w:t>
      </w:r>
    </w:p>
    <w:p w14:paraId="29218D06" w14:textId="77777777" w:rsidR="00F73D5B" w:rsidRPr="008B7A21" w:rsidRDefault="00F73D5B" w:rsidP="00F73D5B">
      <w:pPr>
        <w:rPr>
          <w:lang w:val="es-ES_tradnl"/>
        </w:rPr>
      </w:pPr>
      <w:r w:rsidRPr="008B7A21">
        <w:rPr>
          <w:lang w:val="es-ES_tradnl"/>
        </w:rPr>
        <w:t xml:space="preserve">El servicio radioeléctrico de audio digital por satélite (DAR, </w:t>
      </w:r>
      <w:r w:rsidRPr="008B7A21">
        <w:rPr>
          <w:i/>
          <w:iCs/>
          <w:lang w:val="es-ES_tradnl"/>
        </w:rPr>
        <w:t>digital audio radio</w:t>
      </w:r>
      <w:r w:rsidRPr="008B7A21">
        <w:rPr>
          <w:lang w:val="es-ES_tradnl"/>
        </w:rPr>
        <w:t>) es un servicio de radiodifusión sonora por satélite en la banda 2</w:t>
      </w:r>
      <w:r w:rsidRPr="008B7A21">
        <w:rPr>
          <w:color w:val="000000"/>
          <w:lang w:val="es-ES_tradnl"/>
        </w:rPr>
        <w:t> </w:t>
      </w:r>
      <w:r w:rsidRPr="008B7A21">
        <w:rPr>
          <w:lang w:val="es-ES_tradnl"/>
        </w:rPr>
        <w:t>320</w:t>
      </w:r>
      <w:r w:rsidRPr="008B7A21">
        <w:rPr>
          <w:lang w:val="es-ES_tradnl"/>
        </w:rPr>
        <w:noBreakHyphen/>
        <w:t>2</w:t>
      </w:r>
      <w:r w:rsidRPr="008B7A21">
        <w:rPr>
          <w:color w:val="000000"/>
          <w:lang w:val="es-ES_tradnl"/>
        </w:rPr>
        <w:t> </w:t>
      </w:r>
      <w:r w:rsidRPr="008B7A21">
        <w:rPr>
          <w:lang w:val="es-ES_tradnl"/>
        </w:rPr>
        <w:t>345 MHz en el que se transmiten a la Tierra por satélites señales de audio de gran calidad, directamente a los abonados y al público general. La FCC celebró en abril de 1997 una subasta de DAR para dos licencias en 12,5 MHz. Ambos ganadores prevén ofrecer servicios por abono. Las licencias tienen una validez de ocho años.</w:t>
      </w:r>
    </w:p>
    <w:p w14:paraId="072BD7C1" w14:textId="77777777" w:rsidR="00F73D5B" w:rsidRPr="008B7A21" w:rsidRDefault="00F73D5B" w:rsidP="00F73D5B">
      <w:pPr>
        <w:pStyle w:val="Heading4"/>
        <w:rPr>
          <w:lang w:val="es-ES_tradnl"/>
        </w:rPr>
      </w:pPr>
      <w:r w:rsidRPr="008B7A21">
        <w:rPr>
          <w:lang w:val="es-ES_tradnl"/>
        </w:rPr>
        <w:t>5.1.5.8</w:t>
      </w:r>
      <w:r w:rsidRPr="008B7A21">
        <w:rPr>
          <w:lang w:val="es-ES_tradnl"/>
        </w:rPr>
        <w:tab/>
        <w:t>Comunicaciones inalámbricas</w:t>
      </w:r>
    </w:p>
    <w:p w14:paraId="3800BFE9" w14:textId="77777777" w:rsidR="00F73D5B" w:rsidRPr="008B7A21" w:rsidRDefault="00F73D5B" w:rsidP="00F73D5B">
      <w:pPr>
        <w:rPr>
          <w:lang w:val="es-ES_tradnl"/>
        </w:rPr>
      </w:pPr>
      <w:r w:rsidRPr="008B7A21">
        <w:rPr>
          <w:lang w:val="es-ES_tradnl"/>
        </w:rPr>
        <w:t xml:space="preserve">El servicio de comunicaciones inalámbricas (WCS, </w:t>
      </w:r>
      <w:r w:rsidRPr="008B7A21">
        <w:rPr>
          <w:i/>
          <w:iCs/>
          <w:lang w:val="es-ES_tradnl"/>
        </w:rPr>
        <w:t>wireless communications service</w:t>
      </w:r>
      <w:r w:rsidRPr="008B7A21">
        <w:rPr>
          <w:lang w:val="es-ES_tradnl"/>
        </w:rPr>
        <w:t>) es un servicio de radiocomunicaciones en las bandas de 2</w:t>
      </w:r>
      <w:r w:rsidRPr="008B7A21">
        <w:rPr>
          <w:color w:val="000000"/>
          <w:lang w:val="es-ES_tradnl"/>
        </w:rPr>
        <w:t> </w:t>
      </w:r>
      <w:r w:rsidRPr="008B7A21">
        <w:rPr>
          <w:lang w:val="es-ES_tradnl"/>
        </w:rPr>
        <w:t>305-2</w:t>
      </w:r>
      <w:r w:rsidRPr="008B7A21">
        <w:rPr>
          <w:color w:val="000000"/>
          <w:lang w:val="es-ES_tradnl"/>
        </w:rPr>
        <w:t> </w:t>
      </w:r>
      <w:r w:rsidRPr="008B7A21">
        <w:rPr>
          <w:lang w:val="es-ES_tradnl"/>
        </w:rPr>
        <w:t>320 MHz y 2</w:t>
      </w:r>
      <w:r w:rsidRPr="008B7A21">
        <w:rPr>
          <w:color w:val="000000"/>
          <w:lang w:val="es-ES_tradnl"/>
        </w:rPr>
        <w:t> </w:t>
      </w:r>
      <w:r w:rsidRPr="008B7A21">
        <w:rPr>
          <w:lang w:val="es-ES_tradnl"/>
        </w:rPr>
        <w:t>345-2</w:t>
      </w:r>
      <w:r w:rsidRPr="008B7A21">
        <w:rPr>
          <w:color w:val="000000"/>
          <w:lang w:val="es-ES_tradnl"/>
        </w:rPr>
        <w:t> </w:t>
      </w:r>
      <w:r w:rsidRPr="008B7A21">
        <w:rPr>
          <w:lang w:val="es-ES_tradnl"/>
        </w:rPr>
        <w:t>360 MHz. Los beneficiarios de licencias WCS tienen la flexibilidad de ofrecer una serie de servicios fijos, móviles, de radiolocalización y de radiodifusión (sonora) por satélite con la salvedad de que los servicios de radiodifusión (sonora) por satélite y móvil aeronáutico no pueden darse en la banda 2 305</w:t>
      </w:r>
      <w:r w:rsidRPr="008B7A21">
        <w:rPr>
          <w:lang w:val="es-ES_tradnl"/>
        </w:rPr>
        <w:noBreakHyphen/>
        <w:t>2 310 MHz. La FCC celebró en abril de 1997 una subasta de WCS relativa a dos licencias en 10 MHz para cada una de las 52 zonas económicas principales (MEA) y dos licencias en 5 MHz para cada una de las 12 Agrupaciones de Zona Económica Regional (REAG). Las MEA y REAG consisten en agrupaciones de zonas económicas más pequeñas, tal como las define el Ministerio de Comercio de Estados Unidos de América. Hay 176 áreas económicas que abarcan Estados Unidos de América y sus territorios. En la subasta de WCS se otorgó licencia a una gran variedad de compañías. Las licencias salen para un periodo de diez años.</w:t>
      </w:r>
    </w:p>
    <w:p w14:paraId="0FCF1B59" w14:textId="77777777" w:rsidR="00F73D5B" w:rsidRPr="008B7A21" w:rsidRDefault="00F73D5B" w:rsidP="00F73D5B">
      <w:pPr>
        <w:pStyle w:val="Heading2"/>
        <w:rPr>
          <w:lang w:val="es-ES_tradnl"/>
        </w:rPr>
      </w:pPr>
      <w:bookmarkStart w:id="1824" w:name="_Toc215835437"/>
      <w:bookmarkStart w:id="1825" w:name="_Toc306276887"/>
      <w:bookmarkStart w:id="1826" w:name="_Toc307921560"/>
      <w:bookmarkStart w:id="1827" w:name="_Toc307922127"/>
      <w:bookmarkStart w:id="1828" w:name="_Toc307922671"/>
      <w:bookmarkStart w:id="1829" w:name="_Toc307992020"/>
      <w:bookmarkStart w:id="1830" w:name="_Toc307994055"/>
      <w:bookmarkStart w:id="1831" w:name="_Toc307995274"/>
      <w:bookmarkStart w:id="1832" w:name="_Toc307996461"/>
      <w:bookmarkStart w:id="1833" w:name="_Toc308010393"/>
      <w:bookmarkStart w:id="1834" w:name="_Toc499563103"/>
      <w:r w:rsidRPr="008B7A21">
        <w:rPr>
          <w:lang w:val="es-ES_tradnl"/>
        </w:rPr>
        <w:t>5.1.6</w:t>
      </w:r>
      <w:r w:rsidRPr="008B7A21">
        <w:rPr>
          <w:lang w:val="es-ES_tradnl"/>
        </w:rPr>
        <w:tab/>
        <w:t>India</w:t>
      </w:r>
      <w:bookmarkEnd w:id="1824"/>
    </w:p>
    <w:p w14:paraId="1758E6AC" w14:textId="4F826759" w:rsidR="00F73D5B" w:rsidRPr="008B7A21" w:rsidRDefault="00F73D5B" w:rsidP="00F73D5B">
      <w:pPr>
        <w:rPr>
          <w:lang w:val="es-ES_tradnl"/>
        </w:rPr>
      </w:pPr>
      <w:r w:rsidRPr="008B7A21">
        <w:rPr>
          <w:lang w:val="es-ES_tradnl"/>
        </w:rPr>
        <w:t xml:space="preserve">La Administración de la India (el </w:t>
      </w:r>
      <w:r w:rsidR="00193BE8" w:rsidRPr="008B7A21">
        <w:rPr>
          <w:color w:val="000000"/>
          <w:lang w:val="es-ES_tradnl"/>
        </w:rPr>
        <w:t>«</w:t>
      </w:r>
      <w:r w:rsidRPr="008B7A21">
        <w:rPr>
          <w:lang w:val="es-ES_tradnl"/>
        </w:rPr>
        <w:t>Gobierno</w:t>
      </w:r>
      <w:r w:rsidR="00193BE8" w:rsidRPr="008B7A21">
        <w:rPr>
          <w:lang w:val="es-ES_tradnl"/>
        </w:rPr>
        <w:t>»</w:t>
      </w:r>
      <w:r w:rsidRPr="008B7A21">
        <w:rPr>
          <w:lang w:val="es-ES_tradnl"/>
        </w:rPr>
        <w:t>), a través del Departamento de Telecomunicaciones (DoT), asigna mediante subasta el derecho de utilizar determinadas frecuencias del espectro radioeléctrico en diversas bandas. El Gobierno se ha fijado los siguientes objetivos para la subasta:</w:t>
      </w:r>
    </w:p>
    <w:p w14:paraId="489616F2" w14:textId="05D0FB42" w:rsidR="00F73D5B" w:rsidRPr="008B7A21" w:rsidRDefault="001F174A" w:rsidP="001F174A">
      <w:pPr>
        <w:pStyle w:val="enumlev1"/>
        <w:rPr>
          <w:lang w:val="es-ES_tradnl"/>
        </w:rPr>
      </w:pPr>
      <w:bookmarkStart w:id="1835" w:name="_Hlk215819500"/>
      <w:r w:rsidRPr="008B7A21">
        <w:rPr>
          <w:lang w:val="es-ES_tradnl"/>
        </w:rPr>
        <w:t>–</w:t>
      </w:r>
      <w:bookmarkEnd w:id="1835"/>
      <w:r w:rsidR="00F73D5B" w:rsidRPr="008B7A21">
        <w:rPr>
          <w:lang w:val="es-ES_tradnl"/>
        </w:rPr>
        <w:tab/>
        <w:t>obtener un precio de mercado determinado para el espectro a través de un proceso transparente;</w:t>
      </w:r>
    </w:p>
    <w:p w14:paraId="40FB202D" w14:textId="6B11ADB4" w:rsidR="00F73D5B" w:rsidRPr="008B7A21" w:rsidRDefault="001F174A" w:rsidP="001F174A">
      <w:pPr>
        <w:pStyle w:val="enumlev1"/>
        <w:rPr>
          <w:lang w:val="es-ES_tradnl"/>
        </w:rPr>
      </w:pPr>
      <w:r w:rsidRPr="008B7A21">
        <w:rPr>
          <w:lang w:val="es-ES_tradnl"/>
        </w:rPr>
        <w:t>–</w:t>
      </w:r>
      <w:r w:rsidR="00F73D5B" w:rsidRPr="008B7A21">
        <w:rPr>
          <w:lang w:val="es-ES_tradnl"/>
        </w:rPr>
        <w:tab/>
        <w:t>garantizar la utilización eficaz del espectro y evitar el acaparamiento;</w:t>
      </w:r>
    </w:p>
    <w:p w14:paraId="7D0E2527" w14:textId="2B362043" w:rsidR="00F73D5B" w:rsidRPr="008B7A21" w:rsidRDefault="001F174A" w:rsidP="001F174A">
      <w:pPr>
        <w:pStyle w:val="enumlev1"/>
        <w:rPr>
          <w:lang w:val="es-ES_tradnl"/>
        </w:rPr>
      </w:pPr>
      <w:r w:rsidRPr="008B7A21">
        <w:rPr>
          <w:lang w:val="es-ES_tradnl"/>
        </w:rPr>
        <w:t>–</w:t>
      </w:r>
      <w:r w:rsidR="00F73D5B" w:rsidRPr="008B7A21">
        <w:rPr>
          <w:lang w:val="es-ES_tradnl"/>
        </w:rPr>
        <w:tab/>
        <w:t>estimular la competencia en el sector;</w:t>
      </w:r>
    </w:p>
    <w:p w14:paraId="22B43BF6" w14:textId="2220FBC7" w:rsidR="00F73D5B" w:rsidRPr="008B7A21" w:rsidRDefault="001F174A" w:rsidP="001F174A">
      <w:pPr>
        <w:pStyle w:val="enumlev1"/>
        <w:rPr>
          <w:lang w:val="es-ES_tradnl"/>
        </w:rPr>
      </w:pPr>
      <w:r w:rsidRPr="008B7A21">
        <w:rPr>
          <w:lang w:val="es-ES_tradnl"/>
        </w:rPr>
        <w:t>–</w:t>
      </w:r>
      <w:r w:rsidR="00F73D5B" w:rsidRPr="008B7A21">
        <w:rPr>
          <w:lang w:val="es-ES_tradnl"/>
        </w:rPr>
        <w:tab/>
        <w:t>promover el despliegue de los servicios respectivos;</w:t>
      </w:r>
    </w:p>
    <w:p w14:paraId="776D0A54" w14:textId="1BA685A0" w:rsidR="00F73D5B" w:rsidRPr="008B7A21" w:rsidRDefault="001F174A" w:rsidP="008F628B">
      <w:pPr>
        <w:pStyle w:val="enumlev1"/>
        <w:rPr>
          <w:lang w:val="es-ES_tradnl"/>
        </w:rPr>
      </w:pPr>
      <w:r w:rsidRPr="008B7A21">
        <w:rPr>
          <w:lang w:val="es-ES_tradnl"/>
        </w:rPr>
        <w:t>–</w:t>
      </w:r>
      <w:r w:rsidR="00F73D5B" w:rsidRPr="008B7A21">
        <w:rPr>
          <w:lang w:val="es-ES_tradnl"/>
        </w:rPr>
        <w:tab/>
        <w:t>fijar el precio óptimo del espectro para garantizar un acceso sostenible y asequible a las comunicaciones digitales.</w:t>
      </w:r>
    </w:p>
    <w:p w14:paraId="2D324109" w14:textId="2D60D465" w:rsidR="00F73D5B" w:rsidRPr="008B7A21" w:rsidRDefault="00F73D5B" w:rsidP="00F73D5B">
      <w:pPr>
        <w:rPr>
          <w:lang w:val="es-ES_tradnl"/>
        </w:rPr>
      </w:pPr>
      <w:r w:rsidRPr="008B7A21">
        <w:rPr>
          <w:lang w:val="es-ES_tradnl"/>
        </w:rPr>
        <w:t xml:space="preserve">La Administración de la India realiza subastas de espectro mediante subastas electrónicas simultáneas al alza con múltiples rondas (SMRA). En una SMRA, se subastan simultáneamente varias bandas de espectro en varias rondas. Los licitadores tienen acceso al sistema de subastas electrónicas (EAS) para participar en las subastas. Los licitadores hacen sus ofertas iniciales al precio de reserva en la primera ronda. La subasta se realiza en varias rondas, y los precios aumentan en cada ronda en función de la demanda. Los licitadores pueden pujar por el número de combinaciones de bandas de zona de servicio de licencia (LSA) en cada ronda, y la subasta continúa hasta que no se presenten nuevas pujas. A medida que avanza la subasta, el proceso de licitación permite la determinación dinámica de precios, en la que los precios suben en función de la demanda de bloques de espectro específicos. Estas subastas ofrecen flexibilidad a los licitadores para cambiar su enfoque de una banda a otra en función de la competencia. Para garantizar una participación coherente en la subasta, se establecen reglas de actividad que requieren que los licitadores permanezcan activos durante toda la subasta. La subasta incluye disposiciones tales como los </w:t>
      </w:r>
      <w:r w:rsidR="00193BE8" w:rsidRPr="008B7A21">
        <w:rPr>
          <w:color w:val="000000"/>
          <w:lang w:val="es-ES_tradnl"/>
        </w:rPr>
        <w:t>«</w:t>
      </w:r>
      <w:r w:rsidRPr="008B7A21">
        <w:rPr>
          <w:lang w:val="es-ES_tradnl"/>
        </w:rPr>
        <w:t>topes de espectro</w:t>
      </w:r>
      <w:r w:rsidR="00193BE8" w:rsidRPr="008B7A21">
        <w:rPr>
          <w:lang w:val="es-ES_tradnl"/>
        </w:rPr>
        <w:t>»</w:t>
      </w:r>
      <w:r w:rsidRPr="008B7A21">
        <w:rPr>
          <w:lang w:val="es-ES_tradnl"/>
        </w:rPr>
        <w:t xml:space="preserve">, que limitan la cantidad máxima de espectro que puede poseer cada adjudicatario tras la finalización de la subasta. Esto evita el acaparamiento de espectro por parte de unos pocos operadores y garantiza una competencia sana en el mercado de las telecomunicaciones. </w:t>
      </w:r>
      <w:r w:rsidR="008F628B">
        <w:rPr>
          <w:lang w:val="es-ES_tradnl"/>
        </w:rPr>
        <w:t>¡</w:t>
      </w:r>
    </w:p>
    <w:p w14:paraId="7BF5CE4F" w14:textId="77777777" w:rsidR="00F73D5B" w:rsidRPr="008B7A21" w:rsidRDefault="00F73D5B" w:rsidP="00F73D5B">
      <w:pPr>
        <w:rPr>
          <w:lang w:val="es-ES_tradnl"/>
        </w:rPr>
      </w:pPr>
      <w:r w:rsidRPr="008B7A21">
        <w:rPr>
          <w:lang w:val="es-ES_tradnl"/>
        </w:rPr>
        <w:t xml:space="preserve">El derecho de uso del espectro en diversas bandas se concede por un periodo de veinte años. El titular de licencia al que se asigna el espectro debe cumplir las obligaciones de despliegue de la red. La obligación refleja tanto la necesidad de garantizar la utilización eficaz del espectro como la prestación de un nivel razonable de servicio a los clientes. </w:t>
      </w:r>
    </w:p>
    <w:p w14:paraId="1FF896F3" w14:textId="0D686602" w:rsidR="00F73D5B" w:rsidRPr="008B7A21" w:rsidRDefault="00F73D5B" w:rsidP="00F73D5B">
      <w:pPr>
        <w:rPr>
          <w:lang w:val="es-ES_tradnl"/>
        </w:rPr>
      </w:pPr>
      <w:r w:rsidRPr="008B7A21">
        <w:rPr>
          <w:lang w:val="es-ES_tradnl"/>
        </w:rPr>
        <w:t xml:space="preserve">La Administración de la India ha permitido la compartición, negociación, cesión y arrendamiento de espectro para mejorar la eficiencia y el valor económico del espectro. Los detalles sobre la compartición, comercialización, cesión y arrendamiento del espectro se mencionan en las secciones 5,6, 5,7, 5,8 y 5,10 del Notice Invitation Applications 2024 disponible en </w:t>
      </w:r>
      <w:hyperlink r:id="rId199" w:history="1">
        <w:r w:rsidR="001F174A" w:rsidRPr="008B7A21">
          <w:rPr>
            <w:rStyle w:val="Hyperlink"/>
            <w:lang w:val="es-ES_tradnl"/>
          </w:rPr>
          <w:t>https://dot.gov.in/sites/default/files/Notice%20Inviting%20Applications%202023-24.pdf</w:t>
        </w:r>
      </w:hyperlink>
      <w:r w:rsidRPr="008B7A21">
        <w:rPr>
          <w:lang w:val="es-ES_tradnl"/>
        </w:rPr>
        <w:t xml:space="preserve">. </w:t>
      </w:r>
    </w:p>
    <w:p w14:paraId="1EC3B1A2" w14:textId="77777777" w:rsidR="00F73D5B" w:rsidRPr="008B7A21" w:rsidRDefault="00F73D5B" w:rsidP="008F628B">
      <w:pPr>
        <w:rPr>
          <w:lang w:val="es-ES_tradnl"/>
        </w:rPr>
      </w:pPr>
      <w:r w:rsidRPr="008B7A21">
        <w:rPr>
          <w:lang w:val="es-ES_tradnl"/>
        </w:rPr>
        <w:t>La Administración de la India ha realizado subastas de espectro en diversas bandas en los años 2010, 2012, 2013, 2015, 2016, 2021 y 2022.</w:t>
      </w:r>
    </w:p>
    <w:p w14:paraId="54826705" w14:textId="77777777" w:rsidR="00F73D5B" w:rsidRPr="008B7A21" w:rsidRDefault="00F73D5B" w:rsidP="00F73D5B">
      <w:pPr>
        <w:pStyle w:val="Heading2"/>
        <w:rPr>
          <w:lang w:val="es-ES_tradnl"/>
        </w:rPr>
      </w:pPr>
      <w:bookmarkStart w:id="1836" w:name="_Toc215835438"/>
      <w:r w:rsidRPr="008B7A21">
        <w:rPr>
          <w:lang w:val="es-ES_tradnl"/>
        </w:rPr>
        <w:t>5.2</w:t>
      </w:r>
      <w:r w:rsidRPr="008B7A21">
        <w:rPr>
          <w:lang w:val="es-ES_tradnl"/>
        </w:rPr>
        <w:tab/>
        <w:t>Experiencia con los cánones de licencia</w:t>
      </w:r>
      <w:bookmarkEnd w:id="1825"/>
      <w:bookmarkEnd w:id="1826"/>
      <w:bookmarkEnd w:id="1827"/>
      <w:bookmarkEnd w:id="1828"/>
      <w:bookmarkEnd w:id="1829"/>
      <w:bookmarkEnd w:id="1830"/>
      <w:bookmarkEnd w:id="1831"/>
      <w:bookmarkEnd w:id="1832"/>
      <w:bookmarkEnd w:id="1833"/>
      <w:bookmarkEnd w:id="1834"/>
      <w:bookmarkEnd w:id="1836"/>
    </w:p>
    <w:p w14:paraId="29B71C7C" w14:textId="77777777" w:rsidR="00F73D5B" w:rsidRPr="008B7A21" w:rsidRDefault="00F73D5B" w:rsidP="00F73D5B">
      <w:pPr>
        <w:pStyle w:val="Heading3"/>
        <w:rPr>
          <w:lang w:val="es-ES_tradnl"/>
        </w:rPr>
      </w:pPr>
      <w:bookmarkStart w:id="1837" w:name="_Toc306276888"/>
      <w:bookmarkStart w:id="1838" w:name="_Toc307921561"/>
      <w:bookmarkStart w:id="1839" w:name="_Toc307922128"/>
      <w:bookmarkStart w:id="1840" w:name="_Toc307922672"/>
      <w:bookmarkStart w:id="1841" w:name="_Toc307992021"/>
      <w:bookmarkStart w:id="1842" w:name="_Toc307994056"/>
      <w:bookmarkStart w:id="1843" w:name="_Toc307995275"/>
      <w:bookmarkStart w:id="1844" w:name="_Toc307996462"/>
      <w:bookmarkStart w:id="1845" w:name="_Toc308010394"/>
      <w:bookmarkStart w:id="1846" w:name="_Toc499563104"/>
      <w:bookmarkStart w:id="1847" w:name="_Toc215835439"/>
      <w:r w:rsidRPr="008B7A21">
        <w:rPr>
          <w:lang w:val="es-ES_tradnl"/>
        </w:rPr>
        <w:t>5.2.1</w:t>
      </w:r>
      <w:r w:rsidRPr="008B7A21">
        <w:rPr>
          <w:lang w:val="es-ES_tradnl"/>
        </w:rPr>
        <w:tab/>
        <w:t>Experiencia de Australia con los cánones de licencia</w:t>
      </w:r>
      <w:bookmarkEnd w:id="1837"/>
      <w:bookmarkEnd w:id="1838"/>
      <w:bookmarkEnd w:id="1839"/>
      <w:bookmarkEnd w:id="1840"/>
      <w:bookmarkEnd w:id="1841"/>
      <w:bookmarkEnd w:id="1842"/>
      <w:bookmarkEnd w:id="1843"/>
      <w:bookmarkEnd w:id="1844"/>
      <w:bookmarkEnd w:id="1845"/>
      <w:bookmarkEnd w:id="1846"/>
      <w:bookmarkEnd w:id="1847"/>
    </w:p>
    <w:p w14:paraId="70CC8993" w14:textId="77777777" w:rsidR="00F73D5B" w:rsidRPr="008B7A21" w:rsidRDefault="00F73D5B" w:rsidP="00F73D5B">
      <w:pPr>
        <w:rPr>
          <w:lang w:val="es-ES_tradnl"/>
        </w:rPr>
      </w:pPr>
      <w:r w:rsidRPr="008B7A21">
        <w:rPr>
          <w:lang w:val="es-ES_tradnl"/>
        </w:rPr>
        <w:t>Además de sacar subastas de espectro y aplicar un sistema limitado de derechos de propiedad, la Australian Communications and Media Authority (ACMA) ha tratado de mejorar la eficiencia del sistema tradicional de concesión de licencias. El asentamiento del enfoque de la ACMA ha consistido en una reestructuración fundamental de los cánones de licencia de la técnica de radiocomunicaciones. En abril de 1995, la ACMA, consultando con la industria, pasó de una metodología tradicional de tasas de utilización del espectro basadas en el servicio, a un sistema de tasación sobre la base del volumen de espectro que un servicio particular arrebata a otros usuarios. De esta manera, los cánones de licencia se calculan de una forma más conveniente y transparente, y no con el enfoque algo más arbitrario que se centraba predominantemente en las características del servicio de radiocomunicaciones objeto de la licencia.</w:t>
      </w:r>
    </w:p>
    <w:p w14:paraId="71C6C602" w14:textId="77777777" w:rsidR="00F73D5B" w:rsidRPr="008B7A21" w:rsidRDefault="00F73D5B" w:rsidP="00F73D5B">
      <w:pPr>
        <w:keepNext/>
        <w:keepLines/>
        <w:rPr>
          <w:lang w:val="es-ES_tradnl"/>
        </w:rPr>
      </w:pPr>
      <w:r w:rsidRPr="008B7A21">
        <w:rPr>
          <w:lang w:val="es-ES_tradnl"/>
        </w:rPr>
        <w:t>Según la nueva estructura de canon de licencia, cada canon suele constar de tres componentes identificables:</w:t>
      </w:r>
    </w:p>
    <w:p w14:paraId="71A7336F" w14:textId="77777777" w:rsidR="00F73D5B" w:rsidRPr="008B7A21" w:rsidRDefault="00F73D5B" w:rsidP="00F73D5B">
      <w:pPr>
        <w:pStyle w:val="enumlev1"/>
        <w:keepNext/>
        <w:keepLines/>
        <w:rPr>
          <w:lang w:val="es-ES_tradnl"/>
        </w:rPr>
      </w:pPr>
      <w:r w:rsidRPr="008B7A21">
        <w:rPr>
          <w:lang w:val="es-ES_tradnl"/>
        </w:rPr>
        <w:t>–</w:t>
      </w:r>
      <w:r w:rsidRPr="008B7A21">
        <w:rPr>
          <w:lang w:val="es-ES_tradnl"/>
        </w:rPr>
        <w:tab/>
        <w:t>un componente de concesión o renovación que refleja el coste de la concesión o renovación de la licencia;</w:t>
      </w:r>
    </w:p>
    <w:p w14:paraId="366D1B24" w14:textId="77777777" w:rsidR="00F73D5B" w:rsidRPr="008B7A21" w:rsidRDefault="00F73D5B" w:rsidP="00F73D5B">
      <w:pPr>
        <w:pStyle w:val="enumlev1"/>
        <w:rPr>
          <w:lang w:val="es-ES_tradnl"/>
        </w:rPr>
      </w:pPr>
      <w:r w:rsidRPr="008B7A21">
        <w:rPr>
          <w:lang w:val="es-ES_tradnl"/>
        </w:rPr>
        <w:t>–</w:t>
      </w:r>
      <w:r w:rsidRPr="008B7A21">
        <w:rPr>
          <w:lang w:val="es-ES_tradnl"/>
        </w:rPr>
        <w:tab/>
        <w:t xml:space="preserve">un componente de mantenimiento del espectro que refleja los costes corrientes de gestión del espectro, incluyendo la protección contra la interferencia (porcentaje fijo de la tasa de acceso al espectro (SAT, </w:t>
      </w:r>
      <w:r w:rsidRPr="008B7A21">
        <w:rPr>
          <w:i/>
          <w:iCs/>
          <w:lang w:val="es-ES_tradnl"/>
        </w:rPr>
        <w:t>spectrum access tax</w:t>
      </w:r>
      <w:r w:rsidRPr="008B7A21">
        <w:rPr>
          <w:lang w:val="es-ES_tradnl"/>
        </w:rPr>
        <w:t>) que se describe a continuación); y</w:t>
      </w:r>
    </w:p>
    <w:p w14:paraId="12B70AA0" w14:textId="77777777" w:rsidR="00F73D5B" w:rsidRPr="008B7A21" w:rsidRDefault="00F73D5B" w:rsidP="00F73D5B">
      <w:pPr>
        <w:pStyle w:val="enumlev1"/>
        <w:rPr>
          <w:lang w:val="es-ES_tradnl"/>
        </w:rPr>
      </w:pPr>
      <w:r w:rsidRPr="008B7A21">
        <w:rPr>
          <w:lang w:val="es-ES_tradnl"/>
        </w:rPr>
        <w:t>–</w:t>
      </w:r>
      <w:r w:rsidRPr="008B7A21">
        <w:rPr>
          <w:lang w:val="es-ES_tradnl"/>
        </w:rPr>
        <w:tab/>
        <w:t>una SAT que representa un rendimiento para el estado por la utilización de un recurso de la comunidad y que se basa en una fórmula en la que intervienen el tramo del espectro, el emplazamiento geográfico, la anchura de banda del canal y la zona de cobertura de las comunicaciones.</w:t>
      </w:r>
    </w:p>
    <w:p w14:paraId="131F47BD" w14:textId="77777777" w:rsidR="00F73D5B" w:rsidRPr="008B7A21" w:rsidRDefault="00F73D5B" w:rsidP="00F73D5B">
      <w:pPr>
        <w:rPr>
          <w:lang w:val="es-ES_tradnl"/>
        </w:rPr>
      </w:pPr>
      <w:r w:rsidRPr="008B7A21">
        <w:rPr>
          <w:lang w:val="es-ES_tradnl"/>
        </w:rPr>
        <w:t>El cálculo de la SAT responde a una estrategia de fijación de precios basada en la demanda de mercado, en tanto que los servicios que funcionan en tramas del espectro de demanda superior (es decir, el de ondas métricas/decimétricas) o en zonas geográficas más densamente pobladas (es decir, las capitales importantes) dan lugar a un canon de licencia superior al de los que funcionan en tramos del espectro menos solicitadas o en zonas geográficas de demanda inferior. Además, conforme a la metodología de arrebatamiento del espectro, los servicios con anchuras de banda de funcionamiento superiores dan lugar a cánones de licencia mayores que los servicios más eficientes espectralmente, con lo que se incita a los usuarios a investigar equipos técnicamente más avanzados que utilicen anchuras de banda de funcionamiento más estrechas o, alternativamente, se empuja a los usuarios a funcionar en segmentos del espectro que tengan oferta superior.</w:t>
      </w:r>
    </w:p>
    <w:p w14:paraId="320FC633" w14:textId="77777777" w:rsidR="00F73D5B" w:rsidRPr="008B7A21" w:rsidRDefault="00F73D5B" w:rsidP="00F73D5B">
      <w:pPr>
        <w:rPr>
          <w:lang w:val="es-ES_tradnl"/>
        </w:rPr>
      </w:pPr>
      <w:r w:rsidRPr="008B7A21">
        <w:rPr>
          <w:lang w:val="es-ES_tradnl"/>
        </w:rPr>
        <w:t>La ACMA introdujo también medidas que dan mayor flexibilidad y certidumbre a los usuarios en el mercado de radiocomunicaciones. La flexibilidad se ha conseguido permitiendo a los beneficiarios de licencia transferir sus licencias a terceras partes, y la mayor certidumbre se ha obtenido permitiendo a los beneficiarios adquirir licencias para periodos de hasta cinco años.</w:t>
      </w:r>
    </w:p>
    <w:p w14:paraId="22335045" w14:textId="77777777" w:rsidR="00F73D5B" w:rsidRPr="008B7A21" w:rsidRDefault="00F73D5B" w:rsidP="00F73D5B">
      <w:pPr>
        <w:pStyle w:val="Heading3"/>
        <w:rPr>
          <w:lang w:val="es-ES_tradnl"/>
        </w:rPr>
      </w:pPr>
      <w:bookmarkStart w:id="1848" w:name="_Toc306276889"/>
      <w:bookmarkStart w:id="1849" w:name="_Toc307921562"/>
      <w:bookmarkStart w:id="1850" w:name="_Toc307922129"/>
      <w:bookmarkStart w:id="1851" w:name="_Toc307922673"/>
      <w:bookmarkStart w:id="1852" w:name="_Toc307992022"/>
      <w:bookmarkStart w:id="1853" w:name="_Toc307994057"/>
      <w:bookmarkStart w:id="1854" w:name="_Toc307995276"/>
      <w:bookmarkStart w:id="1855" w:name="_Toc307996463"/>
      <w:bookmarkStart w:id="1856" w:name="_Toc308010395"/>
      <w:bookmarkStart w:id="1857" w:name="_Toc499563105"/>
      <w:bookmarkStart w:id="1858" w:name="_Toc215835440"/>
      <w:r w:rsidRPr="008B7A21">
        <w:rPr>
          <w:lang w:val="es-ES_tradnl"/>
        </w:rPr>
        <w:t>5.2.2</w:t>
      </w:r>
      <w:r w:rsidRPr="008B7A21">
        <w:rPr>
          <w:lang w:val="es-ES_tradnl"/>
        </w:rPr>
        <w:tab/>
        <w:t>Experiencia de Canadá con los cánones de licencia</w:t>
      </w:r>
      <w:bookmarkEnd w:id="1848"/>
      <w:bookmarkEnd w:id="1849"/>
      <w:bookmarkEnd w:id="1850"/>
      <w:bookmarkEnd w:id="1851"/>
      <w:bookmarkEnd w:id="1852"/>
      <w:bookmarkEnd w:id="1853"/>
      <w:bookmarkEnd w:id="1854"/>
      <w:bookmarkEnd w:id="1855"/>
      <w:bookmarkEnd w:id="1856"/>
      <w:bookmarkEnd w:id="1857"/>
      <w:bookmarkEnd w:id="1858"/>
    </w:p>
    <w:p w14:paraId="259B3452" w14:textId="77777777" w:rsidR="00F73D5B" w:rsidRPr="008B7A21" w:rsidRDefault="00F73D5B" w:rsidP="00F73D5B">
      <w:pPr>
        <w:rPr>
          <w:lang w:val="es-ES_tradnl"/>
        </w:rPr>
      </w:pPr>
      <w:r w:rsidRPr="008B7A21">
        <w:rPr>
          <w:lang w:val="es-ES_tradnl"/>
        </w:rPr>
        <w:t xml:space="preserve">Como se refleja en el </w:t>
      </w:r>
      <w:r w:rsidRPr="008B7A21">
        <w:rPr>
          <w:i/>
          <w:lang w:val="es-ES_tradnl"/>
        </w:rPr>
        <w:t>Marco de políticas del espectro para Canadá</w:t>
      </w:r>
      <w:r w:rsidRPr="008B7A21">
        <w:rPr>
          <w:lang w:val="es-ES_tradnl"/>
        </w:rPr>
        <w:t>, el objetivo de la estrategia de Industry Canada en la gestión del espectro consiste en maximizar los beneficios económicos y sociales que los canadienses obtienen del uso de ese recurso. El Marco de políticas también incluye directrices de habilitación que proponen una mayor dependencia de las fuerzas del mercado, más flexibilidad en la gestión del espectro y menos trámites administrativos.</w:t>
      </w:r>
    </w:p>
    <w:p w14:paraId="4E32EBAE" w14:textId="77777777" w:rsidR="00F73D5B" w:rsidRPr="008B7A21" w:rsidRDefault="00F73D5B" w:rsidP="00F73D5B">
      <w:pPr>
        <w:rPr>
          <w:lang w:val="es-ES_tradnl"/>
        </w:rPr>
      </w:pPr>
      <w:r w:rsidRPr="008B7A21">
        <w:rPr>
          <w:lang w:val="es-ES_tradnl"/>
        </w:rPr>
        <w:t>De conformidad con estas directrices, el departamento ha tendido hacia una mayor dependencia de las fuerzas del mercado con el fin de alcanzar sus objetivos estratégicos. Entre ellos se incluye basarse en la tecnología y las licencias independientes del servicio, en subastas y cánones que promuevan el uso eficiente del recurso espectral y logren buenos resultados económicos para los canadienses. Durante algunos años, Industry Canada ha concedido licencias de espectro para nuevos servicios que no dependen de la tecnología, se pueden comercializar y tienen un plazo de vigencia de 10 años.</w:t>
      </w:r>
    </w:p>
    <w:p w14:paraId="12884D67" w14:textId="77777777" w:rsidR="00F73D5B" w:rsidRPr="008B7A21" w:rsidRDefault="00F73D5B" w:rsidP="00F73D5B">
      <w:pPr>
        <w:rPr>
          <w:lang w:val="es-ES_tradnl"/>
        </w:rPr>
      </w:pPr>
      <w:r w:rsidRPr="008B7A21">
        <w:rPr>
          <w:lang w:val="es-ES_tradnl"/>
        </w:rPr>
        <w:t>Actualmente, Industry Canada está estudiando la elaboración de un modelo de cánones basado en el consumo del espectro en tres dimensiones: anchura de banda, cobertura geográfica y uso exclusivo. Aunque este modelo todavía no se ha implantado, su metodología y recomendaciones seguirán considerándose para futuras modificaciones del sistema de licencias.</w:t>
      </w:r>
    </w:p>
    <w:p w14:paraId="120E1E12" w14:textId="77777777" w:rsidR="00F73D5B" w:rsidRPr="008B7A21" w:rsidRDefault="00F73D5B" w:rsidP="00F73D5B">
      <w:pPr>
        <w:pStyle w:val="Heading3"/>
        <w:rPr>
          <w:lang w:val="es-ES_tradnl"/>
        </w:rPr>
      </w:pPr>
      <w:bookmarkStart w:id="1859" w:name="_Toc459746743"/>
      <w:bookmarkStart w:id="1860" w:name="_Toc459792665"/>
      <w:bookmarkStart w:id="1861" w:name="_Toc459793831"/>
      <w:bookmarkStart w:id="1862" w:name="_Toc459793973"/>
      <w:bookmarkStart w:id="1863" w:name="_Toc459970434"/>
      <w:bookmarkStart w:id="1864" w:name="_Toc476537886"/>
      <w:bookmarkStart w:id="1865" w:name="_Toc306276890"/>
      <w:bookmarkStart w:id="1866" w:name="_Toc307921563"/>
      <w:bookmarkStart w:id="1867" w:name="_Toc307922130"/>
      <w:bookmarkStart w:id="1868" w:name="_Toc307922674"/>
      <w:bookmarkStart w:id="1869" w:name="_Toc307992023"/>
      <w:bookmarkStart w:id="1870" w:name="_Toc307994058"/>
      <w:bookmarkStart w:id="1871" w:name="_Toc307995277"/>
      <w:bookmarkStart w:id="1872" w:name="_Toc307996464"/>
      <w:bookmarkStart w:id="1873" w:name="_Toc308010396"/>
      <w:bookmarkStart w:id="1874" w:name="_Toc499563106"/>
      <w:bookmarkStart w:id="1875" w:name="_Toc215835441"/>
      <w:r w:rsidRPr="008B7A21">
        <w:rPr>
          <w:lang w:val="es-ES_tradnl"/>
        </w:rPr>
        <w:t>5.2.3</w:t>
      </w:r>
      <w:r w:rsidRPr="008B7A21">
        <w:rPr>
          <w:lang w:val="es-ES_tradnl"/>
        </w:rPr>
        <w:tab/>
      </w:r>
      <w:bookmarkEnd w:id="1859"/>
      <w:bookmarkEnd w:id="1860"/>
      <w:bookmarkEnd w:id="1861"/>
      <w:bookmarkEnd w:id="1862"/>
      <w:bookmarkEnd w:id="1863"/>
      <w:bookmarkEnd w:id="1864"/>
      <w:r w:rsidRPr="008B7A21">
        <w:rPr>
          <w:lang w:val="es-ES_tradnl"/>
        </w:rPr>
        <w:t>Experiencia de China con los cánones de licencia</w:t>
      </w:r>
      <w:bookmarkEnd w:id="1865"/>
      <w:bookmarkEnd w:id="1866"/>
      <w:bookmarkEnd w:id="1867"/>
      <w:bookmarkEnd w:id="1868"/>
      <w:bookmarkEnd w:id="1869"/>
      <w:bookmarkEnd w:id="1870"/>
      <w:bookmarkEnd w:id="1871"/>
      <w:bookmarkEnd w:id="1872"/>
      <w:bookmarkEnd w:id="1873"/>
      <w:bookmarkEnd w:id="1874"/>
      <w:bookmarkEnd w:id="1875"/>
    </w:p>
    <w:p w14:paraId="42A44E1D" w14:textId="77777777" w:rsidR="00F73D5B" w:rsidRPr="008B7A21" w:rsidRDefault="00F73D5B" w:rsidP="00F73D5B">
      <w:pPr>
        <w:rPr>
          <w:lang w:val="es-ES_tradnl"/>
        </w:rPr>
      </w:pPr>
      <w:bookmarkStart w:id="1876" w:name="_Toc459746747"/>
      <w:bookmarkStart w:id="1877" w:name="_Toc459792666"/>
      <w:bookmarkStart w:id="1878" w:name="_Toc459793832"/>
      <w:bookmarkStart w:id="1879" w:name="_Toc459793974"/>
      <w:bookmarkStart w:id="1880" w:name="_Toc459970435"/>
      <w:r w:rsidRPr="008B7A21">
        <w:rPr>
          <w:lang w:val="es-ES_tradnl"/>
        </w:rPr>
        <w:t>En 1989 el Departamento de Reglamentación de las Radiocomunicaciones (antigua Oficina de la Comisión Estatal de Reglamentación de Radiocomunicaciones) de China empezó a recaudar cánones de licencia, cuyo importe se gastó en su mayor parte en servicios de gestión del espectro. Este gasto mejoró la gestión del espectro y ha contribuido al despliegue de servicios de radiocomunicaciones. En 1998 el sistema de cánones se ajustó para simplificar sus métodos de recaudación, con el fin de evitar ambigüedades y reducir el coste de dicha recaudación. En el periodo 2009-2012 el Departamento de Reglamentación de las Radiocomunicaciones promulgó leyes continuamente, como las siguientes: «Medidas para la administración de canon por ocupación de frecuencias radioeléctricas», «Atribución de frecuencias radioeléctricas de la República Popular de China (2010)». La política de gestión del espectro y cánones del espectro se promueven continuamente para llevar a buen término la convergencia.</w:t>
      </w:r>
    </w:p>
    <w:p w14:paraId="34558381" w14:textId="77777777" w:rsidR="00F73D5B" w:rsidRPr="008B7A21" w:rsidRDefault="00F73D5B" w:rsidP="00F73D5B">
      <w:pPr>
        <w:rPr>
          <w:lang w:val="es-ES_tradnl"/>
        </w:rPr>
      </w:pPr>
      <w:r w:rsidRPr="008B7A21">
        <w:rPr>
          <w:lang w:val="es-ES_tradnl"/>
        </w:rPr>
        <w:t>En China se considera que la recaudación de cánones no es sólo una fuente de ingresos sino también un medio eficaz de aumentar la eficiencia de la gestión del espectro. Hoy en día, la política de tasación de China sobre tasas y gastos se gestiona en diferentes departamentos gubernamentales. Los siguientes factores se tomaron en consideración para fijar los niveles de los cánones:</w:t>
      </w:r>
    </w:p>
    <w:p w14:paraId="4FA2C4F4" w14:textId="77777777" w:rsidR="00F73D5B" w:rsidRPr="008B7A21" w:rsidRDefault="00F73D5B" w:rsidP="00F73D5B">
      <w:pPr>
        <w:pStyle w:val="enumlev1"/>
        <w:rPr>
          <w:lang w:val="es-ES_tradnl"/>
        </w:rPr>
      </w:pPr>
      <w:bookmarkStart w:id="1881" w:name="_Toc459746744"/>
      <w:r w:rsidRPr="008B7A21">
        <w:rPr>
          <w:lang w:val="es-ES_tradnl"/>
        </w:rPr>
        <w:t>–</w:t>
      </w:r>
      <w:r w:rsidRPr="008B7A21">
        <w:rPr>
          <w:lang w:val="es-ES_tradnl"/>
        </w:rPr>
        <w:tab/>
      </w:r>
      <w:r w:rsidRPr="008B7A21">
        <w:rPr>
          <w:i/>
          <w:iCs/>
          <w:lang w:val="es-ES_tradnl"/>
        </w:rPr>
        <w:t>Anchura de banda utilizada</w:t>
      </w:r>
      <w:bookmarkEnd w:id="1881"/>
      <w:r w:rsidRPr="008B7A21">
        <w:rPr>
          <w:iCs/>
          <w:lang w:val="es-ES_tradnl"/>
        </w:rPr>
        <w:t>:</w:t>
      </w:r>
      <w:r w:rsidRPr="008B7A21">
        <w:rPr>
          <w:lang w:val="es-ES_tradnl"/>
        </w:rPr>
        <w:t xml:space="preserve"> Fijar el importe del canon en función de la cantidad de espectro que recibe un usuario alienta al solicitante a pedir únicamente la cantidad de espectro que requiere, por lo cual se reduce el atesoramiento de espectro.</w:t>
      </w:r>
    </w:p>
    <w:p w14:paraId="326A9D5B" w14:textId="77777777" w:rsidR="00F73D5B" w:rsidRPr="008B7A21" w:rsidRDefault="00F73D5B" w:rsidP="00F73D5B">
      <w:pPr>
        <w:pStyle w:val="enumlev1"/>
        <w:rPr>
          <w:lang w:val="es-ES_tradnl"/>
        </w:rPr>
      </w:pPr>
      <w:r w:rsidRPr="008B7A21">
        <w:rPr>
          <w:lang w:val="es-ES_tradnl"/>
        </w:rPr>
        <w:t>–</w:t>
      </w:r>
      <w:r w:rsidRPr="008B7A21">
        <w:rPr>
          <w:lang w:val="es-ES_tradnl"/>
        </w:rPr>
        <w:tab/>
      </w:r>
      <w:r w:rsidRPr="008B7A21">
        <w:rPr>
          <w:i/>
          <w:iCs/>
          <w:lang w:val="es-ES_tradnl"/>
        </w:rPr>
        <w:t>Zona de cobertura</w:t>
      </w:r>
      <w:r w:rsidRPr="008B7A21">
        <w:rPr>
          <w:iCs/>
          <w:lang w:val="es-ES_tradnl"/>
        </w:rPr>
        <w:t>:</w:t>
      </w:r>
      <w:r w:rsidRPr="008B7A21">
        <w:rPr>
          <w:lang w:val="es-ES_tradnl"/>
        </w:rPr>
        <w:t xml:space="preserve"> La zona de cobertura puede ser una ciudad, una provincia o más de una provincia. Para cada zona de cobertura, el canon se fija con un importe distinto.</w:t>
      </w:r>
    </w:p>
    <w:p w14:paraId="3F23884C" w14:textId="77777777" w:rsidR="00F73D5B" w:rsidRPr="008B7A21" w:rsidRDefault="00F73D5B" w:rsidP="00F73D5B">
      <w:pPr>
        <w:pStyle w:val="enumlev1"/>
        <w:rPr>
          <w:lang w:val="es-ES_tradnl"/>
        </w:rPr>
      </w:pPr>
      <w:bookmarkStart w:id="1882" w:name="_Toc459746746"/>
      <w:r w:rsidRPr="008B7A21">
        <w:rPr>
          <w:lang w:val="es-ES_tradnl"/>
        </w:rPr>
        <w:t>–</w:t>
      </w:r>
      <w:r w:rsidRPr="008B7A21">
        <w:rPr>
          <w:lang w:val="es-ES_tradnl"/>
        </w:rPr>
        <w:tab/>
      </w:r>
      <w:r w:rsidRPr="008B7A21">
        <w:rPr>
          <w:i/>
          <w:iCs/>
          <w:lang w:val="es-ES_tradnl"/>
        </w:rPr>
        <w:t>Fre</w:t>
      </w:r>
      <w:bookmarkEnd w:id="1882"/>
      <w:r w:rsidRPr="008B7A21">
        <w:rPr>
          <w:i/>
          <w:iCs/>
          <w:lang w:val="es-ES_tradnl"/>
        </w:rPr>
        <w:t>cuencias</w:t>
      </w:r>
      <w:r w:rsidRPr="008B7A21">
        <w:rPr>
          <w:iCs/>
          <w:lang w:val="es-ES_tradnl"/>
        </w:rPr>
        <w:t>:</w:t>
      </w:r>
      <w:r w:rsidRPr="008B7A21">
        <w:rPr>
          <w:lang w:val="es-ES_tradnl"/>
        </w:rPr>
        <w:t xml:space="preserve"> Para el mismo servicio se imponen diferentes cánones, dependiendo de la banda de frecuencias. Por ejemplo, el canon por MHz correspondiente a una estación de microondas que funcione por encima de 10 GHz es sólo la mitad del aplicado a una estación que funcione por debajo de 10 GHz. En consecuencia, esta estructura tarifaria alienta a los operadores de servicios a introducir nuevos servicios en partes menos congestionadas del espectro.</w:t>
      </w:r>
    </w:p>
    <w:p w14:paraId="51309616" w14:textId="77777777" w:rsidR="00F73D5B" w:rsidRPr="008B7A21" w:rsidRDefault="00F73D5B" w:rsidP="00F73D5B">
      <w:pPr>
        <w:rPr>
          <w:lang w:val="es-ES_tradnl"/>
        </w:rPr>
      </w:pPr>
      <w:r w:rsidRPr="008B7A21">
        <w:rPr>
          <w:lang w:val="es-ES_tradnl"/>
        </w:rPr>
        <w:t>Los siguientes factores se tomaron en consideración para fijar los niveles de gastos:</w:t>
      </w:r>
    </w:p>
    <w:p w14:paraId="4FFAB8F6" w14:textId="77777777" w:rsidR="00F73D5B" w:rsidRPr="008B7A21" w:rsidRDefault="00F73D5B" w:rsidP="00F73D5B">
      <w:pPr>
        <w:pStyle w:val="enumlev1"/>
        <w:rPr>
          <w:lang w:val="es-ES_tradnl"/>
        </w:rPr>
      </w:pPr>
      <w:r w:rsidRPr="008B7A21">
        <w:rPr>
          <w:lang w:val="es-ES_tradnl"/>
        </w:rPr>
        <w:t>–</w:t>
      </w:r>
      <w:r w:rsidRPr="008B7A21">
        <w:rPr>
          <w:lang w:val="es-ES_tradnl"/>
        </w:rPr>
        <w:tab/>
      </w:r>
      <w:r w:rsidRPr="008B7A21">
        <w:rPr>
          <w:i/>
          <w:iCs/>
          <w:lang w:val="es-ES_tradnl"/>
        </w:rPr>
        <w:t>Factor básico</w:t>
      </w:r>
      <w:r w:rsidRPr="008B7A21">
        <w:rPr>
          <w:iCs/>
          <w:lang w:val="es-ES_tradnl"/>
        </w:rPr>
        <w:t>:</w:t>
      </w:r>
      <w:r w:rsidRPr="008B7A21">
        <w:rPr>
          <w:lang w:val="es-ES_tradnl"/>
        </w:rPr>
        <w:t xml:space="preserve"> Calculado con arreglo al valor de las casas y edificios, equipos específicos de gestión de radiocomunicaciones.</w:t>
      </w:r>
    </w:p>
    <w:p w14:paraId="60968F94" w14:textId="77777777" w:rsidR="00F73D5B" w:rsidRPr="008B7A21" w:rsidRDefault="00F73D5B" w:rsidP="00F73D5B">
      <w:pPr>
        <w:pStyle w:val="enumlev1"/>
        <w:rPr>
          <w:lang w:val="es-ES_tradnl"/>
        </w:rPr>
      </w:pPr>
      <w:r w:rsidRPr="008B7A21">
        <w:rPr>
          <w:lang w:val="es-ES_tradnl"/>
        </w:rPr>
        <w:t>–</w:t>
      </w:r>
      <w:r w:rsidRPr="008B7A21">
        <w:rPr>
          <w:lang w:val="es-ES_tradnl"/>
        </w:rPr>
        <w:tab/>
      </w:r>
      <w:r w:rsidRPr="008B7A21">
        <w:rPr>
          <w:i/>
          <w:iCs/>
          <w:lang w:val="es-ES_tradnl"/>
        </w:rPr>
        <w:t>Factor dinámico</w:t>
      </w:r>
      <w:r w:rsidRPr="008B7A21">
        <w:rPr>
          <w:iCs/>
          <w:lang w:val="es-ES_tradnl"/>
        </w:rPr>
        <w:t>:</w:t>
      </w:r>
      <w:r w:rsidRPr="008B7A21">
        <w:rPr>
          <w:lang w:val="es-ES_tradnl"/>
        </w:rPr>
        <w:t xml:space="preserve"> Consideración del número de zonas de gestión, estaciones de radiocomunicaciones, plan e inversión de gestión de la construcción de instalaciones.</w:t>
      </w:r>
    </w:p>
    <w:p w14:paraId="0B0F1548" w14:textId="77777777" w:rsidR="00F73D5B" w:rsidRPr="008B7A21" w:rsidRDefault="00F73D5B" w:rsidP="00F73D5B">
      <w:pPr>
        <w:pStyle w:val="enumlev1"/>
        <w:rPr>
          <w:lang w:val="es-ES_tradnl"/>
        </w:rPr>
      </w:pPr>
      <w:r w:rsidRPr="008B7A21">
        <w:rPr>
          <w:lang w:val="es-ES_tradnl"/>
        </w:rPr>
        <w:t>–</w:t>
      </w:r>
      <w:r w:rsidRPr="008B7A21">
        <w:rPr>
          <w:lang w:val="es-ES_tradnl"/>
        </w:rPr>
        <w:tab/>
      </w:r>
      <w:r w:rsidRPr="008B7A21">
        <w:rPr>
          <w:i/>
          <w:iCs/>
          <w:lang w:val="es-ES_tradnl"/>
        </w:rPr>
        <w:t>Otros factores</w:t>
      </w:r>
      <w:r w:rsidRPr="008B7A21">
        <w:rPr>
          <w:iCs/>
          <w:lang w:val="es-ES_tradnl"/>
        </w:rPr>
        <w:t>:</w:t>
      </w:r>
      <w:r w:rsidRPr="008B7A21">
        <w:rPr>
          <w:lang w:val="es-ES_tradnl"/>
        </w:rPr>
        <w:t xml:space="preserve"> Consideración de otros eventos importantes, investigación y desarrollo en tecnología y equipos de radiocomunicaciones, ayuda a las comunicaciones y otros factores.</w:t>
      </w:r>
    </w:p>
    <w:p w14:paraId="5CB02FF0" w14:textId="77777777" w:rsidR="00F73D5B" w:rsidRPr="008B7A21" w:rsidRDefault="00F73D5B" w:rsidP="00F73D5B">
      <w:pPr>
        <w:rPr>
          <w:lang w:val="es-ES_tradnl"/>
        </w:rPr>
      </w:pPr>
      <w:r w:rsidRPr="008B7A21">
        <w:rPr>
          <w:lang w:val="es-ES_tradnl"/>
        </w:rPr>
        <w:t>Partiendo de los factores mencionados anteriormente, las políticas de cánones de licencias de China se implantan de dos formas. La primera consiste en que los cánones se recaudan en función de la anchura de banda asignada. Por ejemplo, los operadores de comunicaciones móviles solicitan muchas bandas de frecuencias para construir sus redes. Con el fin de fomentar que los operadores utilicen al máximo el espectro y para prestar un servicio más conveniente al público, los cánones de licencia para las redes de comunicaciones móviles se fijan en función de la anchura de banda total asignada a la red, en lugar de para cada una de las estaciones de la red. Entretanto, puesto que las ondas radioeléctricas de las diferentes bandas de frecuencias tienen características diferentes, la política de cánones de licencia (precio por el espectro) varía según las diferentes bandas utilizadas por las comunicaciones móviles. Por ejemplo, las bandas en 900 MHz tienen mejores características de propagación y mayores coberturas que las de 1 800 MHz. Por lo tanto, el precio del espectro en la banda de 900 MHz supera al de la banda de 1 800 MHz en un 13,3%. La segunda forma de fijación de cánones de licencia es que los operadores de los servicios paguen por cada estación a la que se ha asignado frecuencias, tales como estaciones terrenas o estaciones de microondas.</w:t>
      </w:r>
    </w:p>
    <w:p w14:paraId="6E2C00A6" w14:textId="77777777" w:rsidR="00F73D5B" w:rsidRPr="008B7A21" w:rsidRDefault="00F73D5B" w:rsidP="00F73D5B">
      <w:pPr>
        <w:rPr>
          <w:lang w:val="es-ES_tradnl"/>
        </w:rPr>
      </w:pPr>
      <w:r w:rsidRPr="008B7A21">
        <w:rPr>
          <w:lang w:val="es-ES_tradnl"/>
        </w:rPr>
        <w:t>Además, existen políticas favorables. Por ejemplo, pueden estar exentas de los cánones de licencia las estaciones con las siguientes características:</w:t>
      </w:r>
    </w:p>
    <w:p w14:paraId="2921C0D0" w14:textId="77777777" w:rsidR="00F73D5B" w:rsidRPr="008B7A21" w:rsidRDefault="00F73D5B" w:rsidP="00F73D5B">
      <w:pPr>
        <w:pStyle w:val="enumlev1"/>
        <w:rPr>
          <w:lang w:val="es-ES_tradnl"/>
        </w:rPr>
      </w:pPr>
      <w:r w:rsidRPr="008B7A21">
        <w:rPr>
          <w:lang w:val="es-ES_tradnl"/>
        </w:rPr>
        <w:t>1)</w:t>
      </w:r>
      <w:r w:rsidRPr="008B7A21">
        <w:rPr>
          <w:lang w:val="es-ES_tradnl"/>
        </w:rPr>
        <w:tab/>
        <w:t>Estaciones propiedad del gobierno para asuntos oficiales.</w:t>
      </w:r>
    </w:p>
    <w:p w14:paraId="0EEEC39B" w14:textId="77777777" w:rsidR="00F73D5B" w:rsidRPr="008B7A21" w:rsidRDefault="00F73D5B" w:rsidP="00F73D5B">
      <w:pPr>
        <w:pStyle w:val="enumlev1"/>
        <w:rPr>
          <w:lang w:val="es-ES_tradnl"/>
        </w:rPr>
      </w:pPr>
      <w:r w:rsidRPr="008B7A21">
        <w:rPr>
          <w:lang w:val="es-ES_tradnl"/>
        </w:rPr>
        <w:t>2)</w:t>
      </w:r>
      <w:r w:rsidRPr="008B7A21">
        <w:rPr>
          <w:lang w:val="es-ES_tradnl"/>
        </w:rPr>
        <w:tab/>
        <w:t>Estaciones especiales para la defensa nacional.</w:t>
      </w:r>
    </w:p>
    <w:p w14:paraId="78D2D531" w14:textId="77777777" w:rsidR="00F73D5B" w:rsidRPr="008B7A21" w:rsidRDefault="00F73D5B" w:rsidP="00F73D5B">
      <w:pPr>
        <w:pStyle w:val="enumlev1"/>
        <w:rPr>
          <w:lang w:val="es-ES_tradnl"/>
        </w:rPr>
      </w:pPr>
      <w:r w:rsidRPr="008B7A21">
        <w:rPr>
          <w:lang w:val="es-ES_tradnl"/>
        </w:rPr>
        <w:t>3)</w:t>
      </w:r>
      <w:r w:rsidRPr="008B7A21">
        <w:rPr>
          <w:lang w:val="es-ES_tradnl"/>
        </w:rPr>
        <w:tab/>
        <w:t>Estaciones oficiales propiedad de la policía, el departamento de seguridad, los organismos de justicia, penitenciaría, administración de pesquerías.</w:t>
      </w:r>
    </w:p>
    <w:p w14:paraId="4B49A85E" w14:textId="77777777" w:rsidR="00F73D5B" w:rsidRPr="008B7A21" w:rsidRDefault="00F73D5B" w:rsidP="00F73D5B">
      <w:pPr>
        <w:pStyle w:val="enumlev1"/>
        <w:rPr>
          <w:lang w:val="es-ES_tradnl"/>
        </w:rPr>
      </w:pPr>
      <w:r w:rsidRPr="008B7A21">
        <w:rPr>
          <w:lang w:val="es-ES_tradnl"/>
        </w:rPr>
        <w:t>4)</w:t>
      </w:r>
      <w:r w:rsidRPr="008B7A21">
        <w:rPr>
          <w:lang w:val="es-ES_tradnl"/>
        </w:rPr>
        <w:tab/>
        <w:t>Estaciones para rescate en emergencias y actuaciones ante desastres, estaciones marítimas de socorro de guardia, estaciones de difusión de información de seguridad, estaciones para la seguridad marítima.</w:t>
      </w:r>
    </w:p>
    <w:p w14:paraId="63CD09D2" w14:textId="77777777" w:rsidR="00F73D5B" w:rsidRPr="008B7A21" w:rsidRDefault="00F73D5B" w:rsidP="00F73D5B">
      <w:pPr>
        <w:pStyle w:val="enumlev1"/>
        <w:rPr>
          <w:lang w:val="es-ES_tradnl"/>
        </w:rPr>
      </w:pPr>
      <w:r w:rsidRPr="008B7A21">
        <w:rPr>
          <w:lang w:val="es-ES_tradnl"/>
        </w:rPr>
        <w:t>5)</w:t>
      </w:r>
      <w:r w:rsidRPr="008B7A21">
        <w:rPr>
          <w:lang w:val="es-ES_tradnl"/>
        </w:rPr>
        <w:tab/>
        <w:t>Estaciones experimentales instaladas por las autoridades de radiodifusión, estaciones para la radiodifusión de radio y televisión en el extranjero.</w:t>
      </w:r>
    </w:p>
    <w:p w14:paraId="4BFE97CD" w14:textId="77777777" w:rsidR="00F73D5B" w:rsidRPr="008B7A21" w:rsidRDefault="00F73D5B" w:rsidP="00F73D5B">
      <w:pPr>
        <w:pStyle w:val="enumlev1"/>
        <w:rPr>
          <w:lang w:val="es-ES_tradnl"/>
        </w:rPr>
      </w:pPr>
      <w:r w:rsidRPr="008B7A21">
        <w:rPr>
          <w:lang w:val="es-ES_tradnl"/>
        </w:rPr>
        <w:t>6)</w:t>
      </w:r>
      <w:r w:rsidRPr="008B7A21">
        <w:rPr>
          <w:lang w:val="es-ES_tradnl"/>
        </w:rPr>
        <w:tab/>
        <w:t>Estaciones de aficionado.</w:t>
      </w:r>
    </w:p>
    <w:p w14:paraId="01127D80" w14:textId="77777777" w:rsidR="00F73D5B" w:rsidRPr="008B7A21" w:rsidRDefault="00F73D5B" w:rsidP="00F73D5B">
      <w:pPr>
        <w:pStyle w:val="enumlev1"/>
        <w:rPr>
          <w:lang w:val="es-ES_tradnl"/>
        </w:rPr>
      </w:pPr>
      <w:r w:rsidRPr="008B7A21">
        <w:rPr>
          <w:lang w:val="es-ES_tradnl"/>
        </w:rPr>
        <w:t>7)</w:t>
      </w:r>
      <w:r w:rsidRPr="008B7A21">
        <w:rPr>
          <w:lang w:val="es-ES_tradnl"/>
        </w:rPr>
        <w:tab/>
        <w:t xml:space="preserve">Estaciones subvencionadas de retransmisión de televisión instaladas por campesinos. </w:t>
      </w:r>
    </w:p>
    <w:p w14:paraId="3D654BCD" w14:textId="77777777" w:rsidR="00F73D5B" w:rsidRPr="008B7A21" w:rsidRDefault="00F73D5B" w:rsidP="00F73D5B">
      <w:pPr>
        <w:rPr>
          <w:lang w:val="es-ES_tradnl"/>
        </w:rPr>
      </w:pPr>
      <w:r w:rsidRPr="008B7A21">
        <w:rPr>
          <w:lang w:val="es-ES_tradnl"/>
        </w:rPr>
        <w:t>La política de exención de cánones de licencia mencionada anteriormente se puso en marcha en aplicación de la primera ley de recaudación de cánones de licencia de 1998. En 2006, se estableció otra política favorable sobre los cánones de licencia que fundamentalmente facilita los servicios de comunicaciones y de radiodifusión a los granjeros en zonas rurales. En muchas zonas rurales, la economía se desarrolla con relativa lentitud. Con el fin de facilitar los servicios de radiocomunicaciones y de radiodifusión de servicios universales, el gobierno lanzó un proyecto especial para instaurar comunicaciones y radiodifusión en zonas rurales, que permitieran a los granjeros en todos los pueblos de China comunicarse entre ellos y recibir programas de radiodifusión sonora y de televisión. Para apoyar este proyecto, el gobierno ha establecido una política favorable que reduce o suprime los cánones de licencia de las estaciones. En esta política, el operador de cualquier estación de sistemas de acceso inalámbrico analógico, MMDS y SCDMA puede pagar un canon de licencia un 50% inferior al normal y están totalmente exentas del canon las estaciones terrenas y las estaciones de retransmisión de radio y televisión. El objetivo de esta política es garantizar que la población rural obtiene los servicios radioeléctricos necesarios e imprescindibles a bajo coste.</w:t>
      </w:r>
    </w:p>
    <w:p w14:paraId="7219C911" w14:textId="3F135B9C" w:rsidR="00F73D5B" w:rsidRPr="008B7A21" w:rsidRDefault="00F73D5B" w:rsidP="00F73D5B">
      <w:pPr>
        <w:rPr>
          <w:lang w:val="es-ES_tradnl"/>
        </w:rPr>
      </w:pPr>
      <w:r w:rsidRPr="008B7A21">
        <w:rPr>
          <w:lang w:val="es-ES_tradnl"/>
        </w:rPr>
        <w:t>En 2018, se introdujeron de nuevo políticas preferenciales en China para intensificar los esfuerzos por reducir los cánones de licencia. Una de ellas consiste en aplicar una política preferencial consistente en reducir el canon de licencia para las frecuencias del sistema público de comunicaciones móviles IMT-2020 (5G) en los tres primeros años y aumentarlo gradualmente hasta el nivel de canon de licencia especificado en los tres años siguientes. La segunda consiste en reducir los criterios de los cánones de licencia para las frecuencias superiores a 3</w:t>
      </w:r>
      <w:r w:rsidR="008A1BF4" w:rsidRPr="008B7A21">
        <w:rPr>
          <w:lang w:val="es-ES_tradnl"/>
        </w:rPr>
        <w:t> </w:t>
      </w:r>
      <w:r w:rsidRPr="008B7A21">
        <w:rPr>
          <w:lang w:val="es-ES_tradnl"/>
        </w:rPr>
        <w:t>000</w:t>
      </w:r>
      <w:r w:rsidR="008A1BF4" w:rsidRPr="008B7A21">
        <w:rPr>
          <w:lang w:val="es-ES_tradnl"/>
        </w:rPr>
        <w:t> </w:t>
      </w:r>
      <w:r w:rsidRPr="008B7A21">
        <w:rPr>
          <w:lang w:val="es-ES_tradnl"/>
        </w:rPr>
        <w:t>MHz, reduciendo aún más el coste de utilización de los recursos de frecuencias de las IMT-2020 (5G), promoviendo el desarrollo y la aplicación de las IMT-2020 (5G) en diversas industrias.</w:t>
      </w:r>
    </w:p>
    <w:p w14:paraId="6243956C" w14:textId="77777777" w:rsidR="00F73D5B" w:rsidRPr="008B7A21" w:rsidRDefault="00F73D5B" w:rsidP="00F73D5B">
      <w:pPr>
        <w:pStyle w:val="Heading3"/>
        <w:rPr>
          <w:lang w:val="es-ES_tradnl"/>
        </w:rPr>
      </w:pPr>
      <w:bookmarkStart w:id="1883" w:name="_Toc476537887"/>
      <w:bookmarkStart w:id="1884" w:name="_Toc306276891"/>
      <w:bookmarkStart w:id="1885" w:name="_Toc307921564"/>
      <w:bookmarkStart w:id="1886" w:name="_Toc307922131"/>
      <w:bookmarkStart w:id="1887" w:name="_Toc307922675"/>
      <w:bookmarkStart w:id="1888" w:name="_Toc307992024"/>
      <w:bookmarkStart w:id="1889" w:name="_Toc307994059"/>
      <w:bookmarkStart w:id="1890" w:name="_Toc307995278"/>
      <w:bookmarkStart w:id="1891" w:name="_Toc307996465"/>
      <w:bookmarkStart w:id="1892" w:name="_Toc308010397"/>
      <w:bookmarkStart w:id="1893" w:name="_Toc499563107"/>
      <w:bookmarkStart w:id="1894" w:name="_Toc215835442"/>
      <w:r w:rsidRPr="008B7A21">
        <w:rPr>
          <w:lang w:val="es-ES_tradnl"/>
        </w:rPr>
        <w:t>5.2.4</w:t>
      </w:r>
      <w:r w:rsidRPr="008B7A21">
        <w:rPr>
          <w:lang w:val="es-ES_tradnl"/>
        </w:rPr>
        <w:tab/>
      </w:r>
      <w:bookmarkEnd w:id="1876"/>
      <w:bookmarkEnd w:id="1877"/>
      <w:bookmarkEnd w:id="1878"/>
      <w:bookmarkEnd w:id="1879"/>
      <w:bookmarkEnd w:id="1880"/>
      <w:bookmarkEnd w:id="1883"/>
      <w:r w:rsidRPr="008B7A21">
        <w:rPr>
          <w:lang w:val="es-ES_tradnl"/>
        </w:rPr>
        <w:t>Experiencia de Alemania con los cánones por el uso del espectro</w:t>
      </w:r>
      <w:bookmarkEnd w:id="1884"/>
      <w:bookmarkEnd w:id="1885"/>
      <w:bookmarkEnd w:id="1886"/>
      <w:bookmarkEnd w:id="1887"/>
      <w:bookmarkEnd w:id="1888"/>
      <w:bookmarkEnd w:id="1889"/>
      <w:bookmarkEnd w:id="1890"/>
      <w:bookmarkEnd w:id="1891"/>
      <w:bookmarkEnd w:id="1892"/>
      <w:bookmarkEnd w:id="1893"/>
      <w:bookmarkEnd w:id="1894"/>
    </w:p>
    <w:p w14:paraId="55C84100" w14:textId="77777777" w:rsidR="00F73D5B" w:rsidRPr="008B7A21" w:rsidRDefault="00F73D5B" w:rsidP="00F73D5B">
      <w:pPr>
        <w:rPr>
          <w:lang w:val="es-ES_tradnl"/>
        </w:rPr>
      </w:pPr>
      <w:r w:rsidRPr="008B7A21">
        <w:rPr>
          <w:lang w:val="es-ES_tradnl"/>
        </w:rPr>
        <w:t>El sector de telecomunicaciones de Alemania está sujeto a la Ley de telecomunicaciones de 22 de junio de 2004. La finalidad de dicha Ley es, mediante una reglamentación independiente de la tecnología, promover la competencia y las infraestructuras eficientes de las telecomunicaciones y garantizar servicios adecuados en toda la República Federal de Alemania.</w:t>
      </w:r>
    </w:p>
    <w:p w14:paraId="7E7284FF" w14:textId="77777777" w:rsidR="00F73D5B" w:rsidRPr="008B7A21" w:rsidRDefault="00F73D5B" w:rsidP="00F73D5B">
      <w:pPr>
        <w:rPr>
          <w:lang w:val="es-ES_tradnl"/>
        </w:rPr>
      </w:pPr>
      <w:r w:rsidRPr="008B7A21">
        <w:rPr>
          <w:lang w:val="es-ES_tradnl"/>
        </w:rPr>
        <w:t>La Agencia Federal de Redes para electricidad, gas, telecomunicaciones, correos y ferrocarriles es una autoridad federal diferenciada de alto nivel, dependiente del Ministerio de Economía y Tecnología alemán, que tiene su sede en Bonn. El 13 de julio de 2005 la Autoridad de Regulación de las Telecomunicaciones y Correos, que sustituyó al Ministerio Federal de Correos y Telecomunicaciones (BMPT) y a la Oficina Federal de Correos y Telecomunicaciones (BAPT), tomó el nombre de Agencia Federal de Redes. El cometido de la Agencia es facilitar, mediante la liberalización y la desregularización un mayor desarrollo de los mercados eléctricos, de gas, de telecomunicaciones y postales y, desde el 1 de enero de 2006, también del mercado de infraestructuras ferroviarias.</w:t>
      </w:r>
    </w:p>
    <w:p w14:paraId="0A652F57" w14:textId="77777777" w:rsidR="00F73D5B" w:rsidRPr="008B7A21" w:rsidRDefault="00F73D5B" w:rsidP="00F73D5B">
      <w:pPr>
        <w:rPr>
          <w:lang w:val="es-ES_tradnl"/>
        </w:rPr>
      </w:pPr>
      <w:r w:rsidRPr="008B7A21">
        <w:rPr>
          <w:lang w:val="es-ES_tradnl"/>
        </w:rPr>
        <w:t>La reglamentación de frecuencias se basa en un Cuadro nacional de atribución de frecuencias, en planes de uso de las frecuencias y en procedimientos de asignación de frecuencias.</w:t>
      </w:r>
    </w:p>
    <w:p w14:paraId="66D5C417" w14:textId="77777777" w:rsidR="00F73D5B" w:rsidRPr="008B7A21" w:rsidRDefault="00F73D5B" w:rsidP="00F73D5B">
      <w:pPr>
        <w:rPr>
          <w:lang w:val="es-ES_tradnl"/>
        </w:rPr>
      </w:pPr>
      <w:r w:rsidRPr="008B7A21">
        <w:rPr>
          <w:lang w:val="es-ES_tradnl"/>
        </w:rPr>
        <w:t xml:space="preserve">Los cánones por asignación de frecuencias y las tasas de contribución al uso de las frecuencias se regulan mediante la Ley de Telecomunicaciones y reglamentos con rango de ley. </w:t>
      </w:r>
    </w:p>
    <w:p w14:paraId="31D09BFE" w14:textId="77777777" w:rsidR="00F73D5B" w:rsidRPr="008B7A21" w:rsidRDefault="00F73D5B" w:rsidP="00F73D5B">
      <w:pPr>
        <w:pStyle w:val="Heading4"/>
        <w:rPr>
          <w:lang w:val="es-ES_tradnl"/>
        </w:rPr>
      </w:pPr>
      <w:r w:rsidRPr="008B7A21">
        <w:rPr>
          <w:lang w:val="es-ES_tradnl"/>
        </w:rPr>
        <w:t>5.2.4.1</w:t>
      </w:r>
      <w:r w:rsidRPr="008B7A21">
        <w:rPr>
          <w:lang w:val="es-ES_tradnl"/>
        </w:rPr>
        <w:tab/>
        <w:t>Asignación de frecuencias y cánones de asignación de frecuencias</w:t>
      </w:r>
    </w:p>
    <w:p w14:paraId="2AFD3FDC" w14:textId="77777777" w:rsidR="00F73D5B" w:rsidRPr="008B7A21" w:rsidRDefault="00F73D5B" w:rsidP="00F73D5B">
      <w:pPr>
        <w:rPr>
          <w:lang w:val="es-ES_tradnl"/>
        </w:rPr>
      </w:pPr>
      <w:r w:rsidRPr="008B7A21">
        <w:rPr>
          <w:lang w:val="es-ES_tradnl"/>
        </w:rPr>
        <w:t>Cada utilización de frecuencias requiere la correspondiente asignación previa por parte de la Agencia Federal de Redes. Las frecuencias se asignan para un determinado propósito con arreglo al plan de frecuencias de forma no discriminatoria y basándose en procedimientos transparentes y objetivos.</w:t>
      </w:r>
    </w:p>
    <w:p w14:paraId="50879391" w14:textId="77777777" w:rsidR="00F73D5B" w:rsidRPr="008B7A21" w:rsidRDefault="00F73D5B" w:rsidP="00F73D5B">
      <w:pPr>
        <w:rPr>
          <w:lang w:val="es-ES_tradnl"/>
        </w:rPr>
      </w:pPr>
      <w:r w:rsidRPr="008B7A21">
        <w:rPr>
          <w:lang w:val="es-ES_tradnl"/>
        </w:rPr>
        <w:t>Normalmente las frecuencias se asignan de oficio por la Agencia Federal de Redes como asignaciones generales para el uso de determinadas frecuencias por el público en general o por un grupo de personas definido o que puede definirse mediante características generales. Cuando no es posible una asignación general, las frecuencias para utilizaciones particulares las asigna la Autoridad Regulatoria tras su solicitud por escrito, como asignaciones individuales.</w:t>
      </w:r>
    </w:p>
    <w:p w14:paraId="7C3507CD" w14:textId="77777777" w:rsidR="00F73D5B" w:rsidRPr="008B7A21" w:rsidRDefault="00F73D5B" w:rsidP="00F73D5B">
      <w:pPr>
        <w:keepNext/>
        <w:keepLines/>
        <w:rPr>
          <w:lang w:val="es-ES_tradnl"/>
        </w:rPr>
      </w:pPr>
      <w:r w:rsidRPr="008B7A21">
        <w:rPr>
          <w:lang w:val="es-ES_tradnl"/>
        </w:rPr>
        <w:t>La Agencia Federal de Redes cobrará cánones por las decisiones relativas a la obtención de derechos de uso para las frecuencias. Las cuantías de los cánones se calculan de forma que se recuperen los costes incurridos por las actuaciones oficiales. Además, los cánones con cargo a esas decisiones se pueden determinar de forma que sirvan como un mecanismo que impulse un uso óptimo y eficiente.</w:t>
      </w:r>
    </w:p>
    <w:p w14:paraId="1979336B" w14:textId="77777777" w:rsidR="00F73D5B" w:rsidRPr="008B7A21" w:rsidRDefault="00F73D5B" w:rsidP="00F73D5B">
      <w:pPr>
        <w:pStyle w:val="Heading4"/>
        <w:rPr>
          <w:lang w:val="es-ES_tradnl"/>
        </w:rPr>
      </w:pPr>
      <w:r w:rsidRPr="008B7A21">
        <w:rPr>
          <w:lang w:val="es-ES_tradnl"/>
        </w:rPr>
        <w:t>5.2.4.2</w:t>
      </w:r>
      <w:r w:rsidRPr="008B7A21">
        <w:rPr>
          <w:lang w:val="es-ES_tradnl"/>
        </w:rPr>
        <w:tab/>
        <w:t>Tasas para contribuciones por la utilización de frecuencias</w:t>
      </w:r>
    </w:p>
    <w:p w14:paraId="59B651BB" w14:textId="77777777" w:rsidR="00F73D5B" w:rsidRPr="008B7A21" w:rsidRDefault="00F73D5B" w:rsidP="00F73D5B">
      <w:pPr>
        <w:rPr>
          <w:lang w:val="es-ES_tradnl"/>
        </w:rPr>
      </w:pPr>
      <w:r w:rsidRPr="008B7A21">
        <w:rPr>
          <w:lang w:val="es-ES_tradnl"/>
        </w:rPr>
        <w:t>La Agencia Federal de Redes recaudará contribuciones anuales con el fin de recuperar los costes en los que incurre por la gestión, control y aplicación de las asignaciones generales y de los derechos de uso del espectro, en los que, en particular, se incluyen los costes incurridos por la Agencia Federal de Redes por las actividades siguientes:</w:t>
      </w:r>
    </w:p>
    <w:p w14:paraId="426A662C" w14:textId="77777777" w:rsidR="00F73D5B" w:rsidRPr="008B7A21" w:rsidRDefault="00F73D5B" w:rsidP="00F73D5B">
      <w:pPr>
        <w:pStyle w:val="enumlev1"/>
        <w:rPr>
          <w:lang w:val="es-ES_tradnl"/>
        </w:rPr>
      </w:pPr>
      <w:r w:rsidRPr="008B7A21">
        <w:rPr>
          <w:lang w:val="es-ES_tradnl"/>
        </w:rPr>
        <w:t>1)</w:t>
      </w:r>
      <w:r w:rsidRPr="008B7A21">
        <w:rPr>
          <w:lang w:val="es-ES_tradnl"/>
        </w:rPr>
        <w:tab/>
        <w:t>la planificación y desarrollo posterior del uso de las frecuencias, incluidos las mediciones, las pruebas y los estudios de compatibilidad necesarios para garantizar un uso de las frecuencias eficiente y sin interferencias;</w:t>
      </w:r>
    </w:p>
    <w:p w14:paraId="06DE8DC4" w14:textId="77777777" w:rsidR="00F73D5B" w:rsidRPr="008B7A21" w:rsidRDefault="00F73D5B" w:rsidP="00F73D5B">
      <w:pPr>
        <w:pStyle w:val="enumlev1"/>
        <w:rPr>
          <w:lang w:val="es-ES_tradnl"/>
        </w:rPr>
      </w:pPr>
      <w:r w:rsidRPr="008B7A21">
        <w:rPr>
          <w:lang w:val="es-ES_tradnl"/>
        </w:rPr>
        <w:t>2)</w:t>
      </w:r>
      <w:r w:rsidRPr="008B7A21">
        <w:rPr>
          <w:lang w:val="es-ES_tradnl"/>
        </w:rPr>
        <w:tab/>
        <w:t xml:space="preserve">la cooperación internacional, armonización y normalización. </w:t>
      </w:r>
    </w:p>
    <w:p w14:paraId="22F13B46" w14:textId="77777777" w:rsidR="00F73D5B" w:rsidRPr="008B7A21" w:rsidRDefault="00F73D5B" w:rsidP="00F73D5B">
      <w:pPr>
        <w:rPr>
          <w:lang w:val="es-ES_tradnl"/>
        </w:rPr>
      </w:pPr>
      <w:r w:rsidRPr="008B7A21">
        <w:rPr>
          <w:lang w:val="es-ES_tradnl"/>
        </w:rPr>
        <w:t>Deben aportar estas contribuciones todos aquellos que tienen asignadas frecuencias. El importe de los costes se atribuirá a diferentes grupos de usuarios distribuidos por atribuciones de frecuencia, compensando los gastos siempre que sea posible. En el seno de estos grupos, los costes se dividen atendiendo al uso de las frecuencias.</w:t>
      </w:r>
    </w:p>
    <w:p w14:paraId="1B7BA035" w14:textId="77777777" w:rsidR="00F73D5B" w:rsidRPr="008B7A21" w:rsidRDefault="00F73D5B" w:rsidP="00F73D5B">
      <w:pPr>
        <w:pStyle w:val="Heading4"/>
        <w:rPr>
          <w:lang w:val="es-ES_tradnl"/>
        </w:rPr>
      </w:pPr>
      <w:r w:rsidRPr="008B7A21">
        <w:rPr>
          <w:lang w:val="es-ES_tradnl"/>
        </w:rPr>
        <w:t>5.2.4.3</w:t>
      </w:r>
      <w:r w:rsidRPr="008B7A21">
        <w:rPr>
          <w:lang w:val="es-ES_tradnl"/>
        </w:rPr>
        <w:tab/>
        <w:t>Procedimiento vigente para el cálculo de cánones de asignación de frecuencias y contribuciones por la utilización de frecuencias</w:t>
      </w:r>
    </w:p>
    <w:p w14:paraId="70BDD86F" w14:textId="77777777" w:rsidR="00F73D5B" w:rsidRPr="008B7A21" w:rsidRDefault="00F73D5B" w:rsidP="00F73D5B">
      <w:pPr>
        <w:rPr>
          <w:lang w:val="es-ES_tradnl"/>
        </w:rPr>
      </w:pPr>
      <w:r w:rsidRPr="008B7A21">
        <w:rPr>
          <w:lang w:val="es-ES_tradnl"/>
        </w:rPr>
        <w:t>En 1996 la Reg. TP introdujo un sistema de desempeño y contabilidad (conocido con las siglas KLR) con el fin de contar con un sistema de registro y un instrumento de control para calcular los costos correspondientes a los cánones de asignación de frecuencias y contribuciones (costos de personal y otros gastos). De acuerdo con la nueva legislación de telecomunicaciones de Alemania, la idea era elaborar un instrumento que ofreciera la posibilidad de efectuar cálculos reales, en lugar de estimaciones de los cánones y contribuciones. La introducción del KLR representó un paso para promover la eficacia y la transparencia de costos en la Agencia Federal de Redes. La definición de las unidades de costo (por ejemplo, grupos de usuarios) como la unidad más pequeña en la estructura basada en la eficacia de la Agencia Federal de Redes es el elemento fundamental del concepto KLR. Se preparó un módulo denominado «registro de gastos» que permite la distribución directa de los costos futuros entre las categorías fundamentales de costos como los de personal, del equipo de medición así como los de los automóviles para el transporte individual y de las camionetas necesarias para el servicio de supervisión. El registro de gastos se efectúa utilizando una hoja de trabajo que deben rellenar los empleados que realizan actividades en el ámbito correspondiente. En el registro de gastos queda consignada con exactitud diariamente (el límite de exactitud en el tiempo corresponde a media hora) la duración del periodo necesario para el desempeño de las tareas fijadas en el marco de una evaluación mensual.</w:t>
      </w:r>
    </w:p>
    <w:p w14:paraId="3E250998" w14:textId="77777777" w:rsidR="00F73D5B" w:rsidRPr="008B7A21" w:rsidRDefault="00F73D5B" w:rsidP="00F73D5B">
      <w:pPr>
        <w:pStyle w:val="Heading4"/>
        <w:rPr>
          <w:lang w:val="es-ES_tradnl"/>
        </w:rPr>
      </w:pPr>
      <w:r w:rsidRPr="008B7A21">
        <w:rPr>
          <w:lang w:val="es-ES_tradnl"/>
        </w:rPr>
        <w:t>5.2.4.4</w:t>
      </w:r>
      <w:r w:rsidRPr="008B7A21">
        <w:rPr>
          <w:lang w:val="es-ES_tradnl"/>
        </w:rPr>
        <w:tab/>
        <w:t>Cálculo de cánones de asignación de frecuencias</w:t>
      </w:r>
    </w:p>
    <w:p w14:paraId="2DEDDC05" w14:textId="77777777" w:rsidR="00F73D5B" w:rsidRPr="008B7A21" w:rsidRDefault="00F73D5B" w:rsidP="00F73D5B">
      <w:pPr>
        <w:rPr>
          <w:lang w:val="es-ES_tradnl"/>
        </w:rPr>
      </w:pPr>
      <w:r w:rsidRPr="008B7A21">
        <w:rPr>
          <w:lang w:val="es-ES_tradnl"/>
        </w:rPr>
        <w:t>Los cánones de asignación de frecuencias se calculan, en primer lugar, sobre la base de los costos de acuerdo con los datos de contabilidad de costos y, en segundo lugar, de los datos estadísticos (por ejemplo, número de nuevas solicitudes de asignación de frecuencias, cambios de las asignaciones de frecuencias). Según el método de contabilidad de costos, todos los costos relacionados con los cánones (costos de personal y otros gastos) se registran y atribuyen diariamente con arreglo al servicio y al grupo de usuarios de que se trate.</w:t>
      </w:r>
    </w:p>
    <w:p w14:paraId="191E7074" w14:textId="77777777" w:rsidR="00F73D5B" w:rsidRPr="008B7A21" w:rsidRDefault="00F73D5B" w:rsidP="00F73D5B">
      <w:pPr>
        <w:keepNext/>
        <w:keepLines/>
        <w:rPr>
          <w:lang w:val="es-ES_tradnl"/>
        </w:rPr>
      </w:pPr>
      <w:r w:rsidRPr="008B7A21">
        <w:rPr>
          <w:lang w:val="es-ES_tradnl"/>
        </w:rPr>
        <w:t>Algunas de las funciones de la gestión del espectro llevadas a cabo por la Agencia Federal de Redes no generan ingresos. Por esta razón, los costos no se pueden cubrir íntegramente. No obstante, el registro y la evaluación de las funciones de la gestión del espectro sin costo (especificadas en la orden sobre contribuciones por utilización de frecuencias) y de otras entidades públicas (por ejemplo, el Ministerio de Defensa) garantizan la transparencia necesaria de los cánones y permite informar sobre los motivos por los que no se ha logrado una recuperación íntegra de los costos.</w:t>
      </w:r>
    </w:p>
    <w:p w14:paraId="3FCCD44D" w14:textId="77777777" w:rsidR="00F73D5B" w:rsidRPr="008B7A21" w:rsidRDefault="00F73D5B" w:rsidP="00F73D5B">
      <w:pPr>
        <w:pStyle w:val="Heading4"/>
        <w:rPr>
          <w:lang w:val="es-ES_tradnl"/>
        </w:rPr>
      </w:pPr>
      <w:r w:rsidRPr="008B7A21">
        <w:rPr>
          <w:lang w:val="es-ES_tradnl"/>
        </w:rPr>
        <w:t>5.2.4.5</w:t>
      </w:r>
      <w:r w:rsidRPr="008B7A21">
        <w:rPr>
          <w:lang w:val="es-ES_tradnl"/>
        </w:rPr>
        <w:tab/>
        <w:t>Cálculo de las tasas para contribuciones relativas a la utilización de frecuencias</w:t>
      </w:r>
    </w:p>
    <w:p w14:paraId="2FF976B9" w14:textId="77777777" w:rsidR="00F73D5B" w:rsidRPr="008B7A21" w:rsidRDefault="00F73D5B" w:rsidP="00F73D5B">
      <w:pPr>
        <w:rPr>
          <w:lang w:val="es-ES_tradnl"/>
        </w:rPr>
      </w:pPr>
      <w:r w:rsidRPr="008B7A21">
        <w:rPr>
          <w:lang w:val="es-ES_tradnl"/>
        </w:rPr>
        <w:t>Las contribuciones relativas a la utilización de frecuencias se calculan también sobre la base de todos los costos relacionados con las contribuciones, de acuerdo con los datos de la contabilidad de costos. Como ocurre con los costos relacionados con los cánones, todos los costos relacionados con las contribuciones (costos de personal y otros gastos) se registran y atribuyen diariamente de acuerdo con el servicio y grupo de usuarios de que se trate. La contribución por grupo de usuarios se calcula teniendo en cuenta el número de frecuencias asignadas a cada grupo de usuarios. Se aplica el principio de solidaridad dentro de cada grupo de usuarios, es decir, todos los grupos de usuarios en un mismo tipo de servicio pagan, aunque un determinado grupo de usuarios pueda tener ventajas financieras.</w:t>
      </w:r>
    </w:p>
    <w:p w14:paraId="104C6E80" w14:textId="77777777" w:rsidR="00F73D5B" w:rsidRPr="008B7A21" w:rsidRDefault="00F73D5B" w:rsidP="00F73D5B">
      <w:pPr>
        <w:rPr>
          <w:lang w:val="es-ES_tradnl"/>
        </w:rPr>
      </w:pPr>
      <w:r w:rsidRPr="008B7A21">
        <w:rPr>
          <w:lang w:val="es-ES_tradnl"/>
        </w:rPr>
        <w:t>La contribución anual de cada grupo de usuarios se debe calcular de nuevo cada año basándose en la recuperación de los costos. El principio subyacente para el cálculo de los cánones de asignación de frecuencias y las contribuciones de utilización de frecuencias es que los cánones y las contribuciones deben cubrir los costos de personal y otros gastos asociados con la actividad en cuestión, aunque el método de contabilidad de costos aplicado en Alemania es la base esencial del cálculo.</w:t>
      </w:r>
    </w:p>
    <w:p w14:paraId="5F37EF6D" w14:textId="77777777" w:rsidR="00F73D5B" w:rsidRPr="008B7A21" w:rsidRDefault="00F73D5B" w:rsidP="00F73D5B">
      <w:pPr>
        <w:pStyle w:val="Heading3"/>
        <w:rPr>
          <w:lang w:val="es-ES_tradnl"/>
        </w:rPr>
      </w:pPr>
      <w:bookmarkStart w:id="1895" w:name="_Toc306276892"/>
      <w:bookmarkStart w:id="1896" w:name="_Toc307921565"/>
      <w:bookmarkStart w:id="1897" w:name="_Toc307922132"/>
      <w:bookmarkStart w:id="1898" w:name="_Toc307922676"/>
      <w:bookmarkStart w:id="1899" w:name="_Toc307992025"/>
      <w:bookmarkStart w:id="1900" w:name="_Toc307994060"/>
      <w:bookmarkStart w:id="1901" w:name="_Toc307995279"/>
      <w:bookmarkStart w:id="1902" w:name="_Toc307996466"/>
      <w:bookmarkStart w:id="1903" w:name="_Toc308010398"/>
      <w:bookmarkStart w:id="1904" w:name="_Toc499563108"/>
      <w:bookmarkStart w:id="1905" w:name="_Toc215835443"/>
      <w:r w:rsidRPr="008B7A21">
        <w:rPr>
          <w:lang w:val="es-ES_tradnl"/>
        </w:rPr>
        <w:t>5.2.5</w:t>
      </w:r>
      <w:r w:rsidRPr="008B7A21">
        <w:rPr>
          <w:lang w:val="es-ES_tradnl"/>
        </w:rPr>
        <w:tab/>
        <w:t>Experiencia de Israel con los cánones de licencia</w:t>
      </w:r>
      <w:bookmarkEnd w:id="1895"/>
      <w:bookmarkEnd w:id="1896"/>
      <w:bookmarkEnd w:id="1897"/>
      <w:bookmarkEnd w:id="1898"/>
      <w:bookmarkEnd w:id="1899"/>
      <w:bookmarkEnd w:id="1900"/>
      <w:bookmarkEnd w:id="1901"/>
      <w:bookmarkEnd w:id="1902"/>
      <w:bookmarkEnd w:id="1903"/>
      <w:bookmarkEnd w:id="1904"/>
      <w:bookmarkEnd w:id="1905"/>
    </w:p>
    <w:p w14:paraId="7FE91B02" w14:textId="77777777" w:rsidR="00F73D5B" w:rsidRPr="008B7A21" w:rsidRDefault="00F73D5B" w:rsidP="00F73D5B">
      <w:pPr>
        <w:rPr>
          <w:lang w:val="es-ES_tradnl"/>
        </w:rPr>
      </w:pPr>
      <w:r w:rsidRPr="008B7A21">
        <w:rPr>
          <w:lang w:val="es-ES_tradnl"/>
        </w:rPr>
        <w:t>El Ministerio de Telecomunicaciones del Estado de Israel ha establecido unos cuantos mecanismos de concesión de licencias:</w:t>
      </w:r>
    </w:p>
    <w:p w14:paraId="2CBE29F1" w14:textId="77777777" w:rsidR="00F73D5B" w:rsidRPr="008B7A21" w:rsidRDefault="00F73D5B" w:rsidP="00F73D5B">
      <w:pPr>
        <w:pStyle w:val="enumlev1"/>
        <w:rPr>
          <w:lang w:val="es-ES_tradnl"/>
        </w:rPr>
      </w:pPr>
      <w:r w:rsidRPr="008B7A21">
        <w:rPr>
          <w:lang w:val="es-ES_tradnl"/>
        </w:rPr>
        <w:t>–</w:t>
      </w:r>
      <w:r w:rsidRPr="008B7A21">
        <w:rPr>
          <w:lang w:val="es-ES_tradnl"/>
        </w:rPr>
        <w:tab/>
        <w:t>un pago puntual por la presentación de solicitudes para el suministro de servicios de telecomunicaciones;</w:t>
      </w:r>
    </w:p>
    <w:p w14:paraId="165BD31A" w14:textId="77777777" w:rsidR="00F73D5B" w:rsidRPr="008B7A21" w:rsidRDefault="00F73D5B" w:rsidP="00F73D5B">
      <w:pPr>
        <w:pStyle w:val="enumlev1"/>
        <w:rPr>
          <w:lang w:val="es-ES_tradnl"/>
        </w:rPr>
      </w:pPr>
      <w:r w:rsidRPr="008B7A21">
        <w:rPr>
          <w:lang w:val="es-ES_tradnl"/>
        </w:rPr>
        <w:t>–</w:t>
      </w:r>
      <w:r w:rsidRPr="008B7A21">
        <w:rPr>
          <w:lang w:val="es-ES_tradnl"/>
        </w:rPr>
        <w:tab/>
        <w:t>un canon anual por la utilización del espectro de frecuencias;</w:t>
      </w:r>
    </w:p>
    <w:p w14:paraId="5BBE4A09" w14:textId="77777777" w:rsidR="00F73D5B" w:rsidRPr="008B7A21" w:rsidRDefault="00F73D5B" w:rsidP="00F73D5B">
      <w:pPr>
        <w:pStyle w:val="enumlev1"/>
        <w:rPr>
          <w:lang w:val="es-ES_tradnl"/>
        </w:rPr>
      </w:pPr>
      <w:r w:rsidRPr="008B7A21">
        <w:rPr>
          <w:lang w:val="es-ES_tradnl"/>
        </w:rPr>
        <w:t>–</w:t>
      </w:r>
      <w:r w:rsidRPr="008B7A21">
        <w:rPr>
          <w:lang w:val="es-ES_tradnl"/>
        </w:rPr>
        <w:tab/>
        <w:t>regalías anuales, que debe abonar el proveedor del servicio de telecomunicaciones de que se trate como un porcentaje de sus ingresos;</w:t>
      </w:r>
    </w:p>
    <w:p w14:paraId="2E2B20F3" w14:textId="77777777" w:rsidR="00F73D5B" w:rsidRPr="008B7A21" w:rsidRDefault="00F73D5B" w:rsidP="00F73D5B">
      <w:pPr>
        <w:pStyle w:val="enumlev1"/>
        <w:rPr>
          <w:lang w:val="es-ES_tradnl"/>
        </w:rPr>
      </w:pPr>
      <w:r w:rsidRPr="008B7A21">
        <w:rPr>
          <w:lang w:val="es-ES_tradnl"/>
        </w:rPr>
        <w:t>–</w:t>
      </w:r>
      <w:r w:rsidRPr="008B7A21">
        <w:rPr>
          <w:lang w:val="es-ES_tradnl"/>
        </w:rPr>
        <w:tab/>
        <w:t>un pago puntual abonable por el ganador de una subasta.</w:t>
      </w:r>
    </w:p>
    <w:p w14:paraId="479BD069" w14:textId="77777777" w:rsidR="00F73D5B" w:rsidRPr="008B7A21" w:rsidRDefault="00F73D5B" w:rsidP="00F73D5B">
      <w:pPr>
        <w:pStyle w:val="Headingb"/>
        <w:rPr>
          <w:lang w:val="es-ES_tradnl"/>
        </w:rPr>
      </w:pPr>
      <w:bookmarkStart w:id="1906" w:name="_Toc499563109"/>
      <w:r w:rsidRPr="008B7A21">
        <w:rPr>
          <w:lang w:val="es-ES_tradnl"/>
        </w:rPr>
        <w:t>Cánones anuales de espectro</w:t>
      </w:r>
      <w:bookmarkEnd w:id="1906"/>
    </w:p>
    <w:p w14:paraId="3F972695" w14:textId="77777777" w:rsidR="00F73D5B" w:rsidRPr="008B7A21" w:rsidRDefault="00F73D5B" w:rsidP="00F73D5B">
      <w:pPr>
        <w:rPr>
          <w:lang w:val="es-ES_tradnl"/>
        </w:rPr>
      </w:pPr>
      <w:r w:rsidRPr="008B7A21">
        <w:rPr>
          <w:lang w:val="es-ES_tradnl"/>
        </w:rPr>
        <w:t>Tras la correspondiente modificación de la Orden sobre la telegrafía inalámbrica, Israel comenzó a introducir cánones anuales de espectro en enero de 1995, para persuadir a los operadores y a los empresarios privados de que utilizaran el espectro de forma más eficaz. El Ministerio de Comunicaciones puede modificar, una vez al año, la estructura o el valor de un determinado canon. Esto se hace a través de la Comisión de Finanzas de la Kneset (El Parlamento de Israel) y cualquier proveedor del servicio o usuario privado del espectro que pueda quedar afectado por dichas modificaciones tiene derecho a presentar su caso ante la Comisión.</w:t>
      </w:r>
    </w:p>
    <w:p w14:paraId="24B00530" w14:textId="77777777" w:rsidR="00F73D5B" w:rsidRPr="008B7A21" w:rsidRDefault="00F73D5B" w:rsidP="00F73D5B">
      <w:pPr>
        <w:rPr>
          <w:lang w:val="es-ES_tradnl"/>
        </w:rPr>
      </w:pPr>
      <w:r w:rsidRPr="008B7A21">
        <w:rPr>
          <w:lang w:val="es-ES_tradnl"/>
        </w:rPr>
        <w:t>Debido a que estos cánones se reducen a frecuencias superiores a 960 MHz, se fomenta la utilización de dichas frecuencias. Por debajo de 960 MHz, el canon del espectro asciende a aproximadamente a 170 000 dólares de los Estados Unidos de América por 1 MHz. Este método se ha adoptado para fomentar la utilización de bandas menos ocupadas y alentar a los usuarios de espectro a aprovechar la reutilización de frecuencias asociada con una atenuación mayor y lóbulos laterales de antena reducidos a frecuencias más elevadas.</w:t>
      </w:r>
    </w:p>
    <w:p w14:paraId="0FC3BADD" w14:textId="77777777" w:rsidR="00F73D5B" w:rsidRPr="008B7A21" w:rsidRDefault="00F73D5B" w:rsidP="00F73D5B">
      <w:pPr>
        <w:keepNext/>
        <w:keepLines/>
        <w:rPr>
          <w:lang w:val="es-ES_tradnl"/>
        </w:rPr>
      </w:pPr>
      <w:r w:rsidRPr="008B7A21">
        <w:rPr>
          <w:lang w:val="es-ES_tradnl"/>
        </w:rPr>
        <w:t>Los cánones de espectro se agrupan atendiendo a diferentes servicios, por ejemplo:</w:t>
      </w:r>
    </w:p>
    <w:p w14:paraId="62E45B24" w14:textId="77777777" w:rsidR="00F73D5B" w:rsidRPr="008B7A21" w:rsidRDefault="00F73D5B" w:rsidP="00F73D5B">
      <w:pPr>
        <w:pStyle w:val="enumlev1"/>
        <w:keepNext/>
        <w:keepLines/>
        <w:rPr>
          <w:lang w:val="es-ES_tradnl"/>
        </w:rPr>
      </w:pPr>
      <w:r w:rsidRPr="008B7A21">
        <w:rPr>
          <w:lang w:val="es-ES_tradnl"/>
        </w:rPr>
        <w:t>–</w:t>
      </w:r>
      <w:r w:rsidRPr="008B7A21">
        <w:rPr>
          <w:lang w:val="es-ES_tradnl"/>
        </w:rPr>
        <w:tab/>
        <w:t>Radiocomunicaciones móviles privadas.</w:t>
      </w:r>
    </w:p>
    <w:p w14:paraId="6D897062" w14:textId="77777777" w:rsidR="00F73D5B" w:rsidRPr="008B7A21" w:rsidRDefault="00F73D5B" w:rsidP="00F73D5B">
      <w:pPr>
        <w:pStyle w:val="enumlev1"/>
        <w:rPr>
          <w:lang w:val="es-ES_tradnl"/>
        </w:rPr>
      </w:pPr>
      <w:r w:rsidRPr="008B7A21">
        <w:rPr>
          <w:lang w:val="es-ES_tradnl"/>
        </w:rPr>
        <w:t>–</w:t>
      </w:r>
      <w:r w:rsidRPr="008B7A21">
        <w:rPr>
          <w:lang w:val="es-ES_tradnl"/>
        </w:rPr>
        <w:tab/>
        <w:t>Radiocomunicaciones móviles interurbanas.</w:t>
      </w:r>
    </w:p>
    <w:p w14:paraId="4CA9468D" w14:textId="77777777" w:rsidR="00F73D5B" w:rsidRPr="008B7A21" w:rsidRDefault="00F73D5B" w:rsidP="00F73D5B">
      <w:pPr>
        <w:pStyle w:val="enumlev1"/>
        <w:rPr>
          <w:lang w:val="es-ES_tradnl"/>
        </w:rPr>
      </w:pPr>
      <w:r w:rsidRPr="008B7A21">
        <w:rPr>
          <w:lang w:val="es-ES_tradnl"/>
        </w:rPr>
        <w:t>–</w:t>
      </w:r>
      <w:r w:rsidRPr="008B7A21">
        <w:rPr>
          <w:lang w:val="es-ES_tradnl"/>
        </w:rPr>
        <w:tab/>
        <w:t>Servicios celulares.</w:t>
      </w:r>
    </w:p>
    <w:p w14:paraId="15047F3E" w14:textId="77777777" w:rsidR="00F73D5B" w:rsidRPr="008B7A21" w:rsidRDefault="00F73D5B" w:rsidP="00F73D5B">
      <w:pPr>
        <w:pStyle w:val="enumlev1"/>
        <w:rPr>
          <w:lang w:val="es-ES_tradnl"/>
        </w:rPr>
      </w:pPr>
      <w:r w:rsidRPr="008B7A21">
        <w:rPr>
          <w:lang w:val="es-ES_tradnl"/>
        </w:rPr>
        <w:t>–</w:t>
      </w:r>
      <w:r w:rsidRPr="008B7A21">
        <w:rPr>
          <w:lang w:val="es-ES_tradnl"/>
        </w:rPr>
        <w:tab/>
        <w:t>Radiodifusión sonora y de televisión.</w:t>
      </w:r>
    </w:p>
    <w:p w14:paraId="68923634" w14:textId="77777777" w:rsidR="00F73D5B" w:rsidRPr="008B7A21" w:rsidRDefault="00F73D5B" w:rsidP="00F73D5B">
      <w:pPr>
        <w:pStyle w:val="enumlev1"/>
        <w:rPr>
          <w:lang w:val="es-ES_tradnl"/>
        </w:rPr>
      </w:pPr>
      <w:r w:rsidRPr="008B7A21">
        <w:rPr>
          <w:lang w:val="es-ES_tradnl"/>
        </w:rPr>
        <w:t>–</w:t>
      </w:r>
      <w:r w:rsidRPr="008B7A21">
        <w:rPr>
          <w:lang w:val="es-ES_tradnl"/>
        </w:rPr>
        <w:tab/>
        <w:t>Enlaces de microondas punto a punto.</w:t>
      </w:r>
    </w:p>
    <w:p w14:paraId="4C364A12" w14:textId="77777777" w:rsidR="00F73D5B" w:rsidRPr="008B7A21" w:rsidRDefault="00F73D5B" w:rsidP="00F73D5B">
      <w:pPr>
        <w:pStyle w:val="enumlev1"/>
        <w:rPr>
          <w:lang w:val="es-ES_tradnl"/>
        </w:rPr>
      </w:pPr>
      <w:r w:rsidRPr="008B7A21">
        <w:rPr>
          <w:lang w:val="es-ES_tradnl"/>
        </w:rPr>
        <w:t>–</w:t>
      </w:r>
      <w:r w:rsidRPr="008B7A21">
        <w:rPr>
          <w:lang w:val="es-ES_tradnl"/>
        </w:rPr>
        <w:tab/>
        <w:t>Acceso inalámbrico fijo.</w:t>
      </w:r>
    </w:p>
    <w:p w14:paraId="59C484EE" w14:textId="77777777" w:rsidR="00F73D5B" w:rsidRPr="008B7A21" w:rsidRDefault="00F73D5B" w:rsidP="00F73D5B">
      <w:pPr>
        <w:pStyle w:val="enumlev1"/>
        <w:rPr>
          <w:lang w:val="es-ES_tradnl"/>
        </w:rPr>
      </w:pPr>
      <w:r w:rsidRPr="008B7A21">
        <w:rPr>
          <w:lang w:val="es-ES_tradnl"/>
        </w:rPr>
        <w:t>–</w:t>
      </w:r>
      <w:r w:rsidRPr="008B7A21">
        <w:rPr>
          <w:lang w:val="es-ES_tradnl"/>
        </w:rPr>
        <w:tab/>
        <w:t>Comunicación por satélite (usuarios privados y comerciales).</w:t>
      </w:r>
    </w:p>
    <w:p w14:paraId="632C89FB" w14:textId="77777777" w:rsidR="00F73D5B" w:rsidRPr="008B7A21" w:rsidRDefault="00F73D5B" w:rsidP="00F73D5B">
      <w:pPr>
        <w:pStyle w:val="enumlev1"/>
        <w:rPr>
          <w:lang w:val="es-ES_tradnl"/>
        </w:rPr>
      </w:pPr>
      <w:r w:rsidRPr="008B7A21">
        <w:rPr>
          <w:lang w:val="es-ES_tradnl"/>
        </w:rPr>
        <w:t>–</w:t>
      </w:r>
      <w:r w:rsidRPr="008B7A21">
        <w:rPr>
          <w:lang w:val="es-ES_tradnl"/>
        </w:rPr>
        <w:tab/>
        <w:t>Radioaficionados.</w:t>
      </w:r>
    </w:p>
    <w:p w14:paraId="3EB65520" w14:textId="77777777" w:rsidR="00F73D5B" w:rsidRPr="008B7A21" w:rsidRDefault="00F73D5B" w:rsidP="00F73D5B">
      <w:pPr>
        <w:pStyle w:val="enumlev1"/>
        <w:rPr>
          <w:lang w:val="es-ES_tradnl"/>
        </w:rPr>
      </w:pPr>
      <w:r w:rsidRPr="008B7A21">
        <w:rPr>
          <w:lang w:val="es-ES_tradnl"/>
        </w:rPr>
        <w:t>–</w:t>
      </w:r>
      <w:r w:rsidRPr="008B7A21">
        <w:rPr>
          <w:lang w:val="es-ES_tradnl"/>
        </w:rPr>
        <w:tab/>
        <w:t>Servicios aeronáuticos y marítimos.</w:t>
      </w:r>
    </w:p>
    <w:p w14:paraId="73EC7886" w14:textId="77777777" w:rsidR="00F73D5B" w:rsidRPr="008B7A21" w:rsidRDefault="00F73D5B" w:rsidP="00F73D5B">
      <w:pPr>
        <w:pStyle w:val="enumlev1"/>
        <w:rPr>
          <w:lang w:val="es-ES_tradnl"/>
        </w:rPr>
      </w:pPr>
      <w:r w:rsidRPr="008B7A21">
        <w:rPr>
          <w:lang w:val="es-ES_tradnl"/>
        </w:rPr>
        <w:t>–</w:t>
      </w:r>
      <w:r w:rsidRPr="008B7A21">
        <w:rPr>
          <w:lang w:val="es-ES_tradnl"/>
        </w:rPr>
        <w:tab/>
        <w:t>Licencias temporales para pruebas o demostraciones.</w:t>
      </w:r>
    </w:p>
    <w:p w14:paraId="51D8ACF5" w14:textId="77777777" w:rsidR="00F73D5B" w:rsidRPr="008B7A21" w:rsidRDefault="00F73D5B" w:rsidP="00F73D5B">
      <w:pPr>
        <w:rPr>
          <w:lang w:val="es-ES_tradnl"/>
        </w:rPr>
      </w:pPr>
      <w:r w:rsidRPr="008B7A21">
        <w:rPr>
          <w:lang w:val="es-ES_tradnl"/>
        </w:rPr>
        <w:t>En el sistema de cánones se han previsto ciertas medidas para alentar una mejor y mayor reutilización de las frecuencias. En este sentido, podemos citar algunos ejemplos:</w:t>
      </w:r>
    </w:p>
    <w:p w14:paraId="00700BA6" w14:textId="77777777" w:rsidR="00F73D5B" w:rsidRPr="008B7A21" w:rsidRDefault="00F73D5B" w:rsidP="00F73D5B">
      <w:pPr>
        <w:pStyle w:val="enumlev1"/>
        <w:rPr>
          <w:lang w:val="es-ES_tradnl"/>
        </w:rPr>
      </w:pPr>
      <w:r w:rsidRPr="008B7A21">
        <w:rPr>
          <w:lang w:val="es-ES_tradnl"/>
        </w:rPr>
        <w:t>–</w:t>
      </w:r>
      <w:r w:rsidRPr="008B7A21">
        <w:rPr>
          <w:lang w:val="es-ES_tradnl"/>
        </w:rPr>
        <w:tab/>
        <w:t>Un canon inferior para potencias de transmisión más bajas en el caso de entidades de radiodifusión sonora y de televisión.</w:t>
      </w:r>
    </w:p>
    <w:p w14:paraId="657B8E35" w14:textId="77777777" w:rsidR="00F73D5B" w:rsidRPr="008B7A21" w:rsidRDefault="00F73D5B" w:rsidP="00F73D5B">
      <w:pPr>
        <w:pStyle w:val="enumlev1"/>
        <w:rPr>
          <w:lang w:val="es-ES_tradnl"/>
        </w:rPr>
      </w:pPr>
      <w:r w:rsidRPr="008B7A21">
        <w:rPr>
          <w:lang w:val="es-ES_tradnl"/>
        </w:rPr>
        <w:t>–</w:t>
      </w:r>
      <w:r w:rsidRPr="008B7A21">
        <w:rPr>
          <w:lang w:val="es-ES_tradnl"/>
        </w:rPr>
        <w:tab/>
        <w:t>Descuentos concedidos a las entidades de radiodifusión de televisión que reutilizan las mismas frecuencias en diferentes lugares.</w:t>
      </w:r>
    </w:p>
    <w:p w14:paraId="500B7C38" w14:textId="77777777" w:rsidR="00F73D5B" w:rsidRPr="008B7A21" w:rsidRDefault="00F73D5B" w:rsidP="00F73D5B">
      <w:pPr>
        <w:pStyle w:val="enumlev1"/>
        <w:rPr>
          <w:lang w:val="es-ES_tradnl"/>
        </w:rPr>
      </w:pPr>
      <w:r w:rsidRPr="008B7A21">
        <w:rPr>
          <w:lang w:val="es-ES_tradnl"/>
        </w:rPr>
        <w:t>–</w:t>
      </w:r>
      <w:r w:rsidRPr="008B7A21">
        <w:rPr>
          <w:lang w:val="es-ES_tradnl"/>
        </w:rPr>
        <w:tab/>
        <w:t>La exoneración del pago de cánones en favor de entidades de radiodifusión sonora que reutilizan la misma frecuencia en lugares adicionales.</w:t>
      </w:r>
    </w:p>
    <w:p w14:paraId="63A94409" w14:textId="77777777" w:rsidR="00F73D5B" w:rsidRPr="008B7A21" w:rsidRDefault="00F73D5B" w:rsidP="00F73D5B">
      <w:pPr>
        <w:pStyle w:val="enumlev1"/>
        <w:rPr>
          <w:lang w:val="es-ES_tradnl"/>
        </w:rPr>
      </w:pPr>
      <w:r w:rsidRPr="008B7A21">
        <w:rPr>
          <w:lang w:val="es-ES_tradnl"/>
        </w:rPr>
        <w:t>–</w:t>
      </w:r>
      <w:r w:rsidRPr="008B7A21">
        <w:rPr>
          <w:lang w:val="es-ES_tradnl"/>
        </w:rPr>
        <w:tab/>
        <w:t>Descuentos otorgados a proveedores de servicios de telecomunicaciones que reutilizan la misma frecuencia para enlaces de microondas multipunto a punto.</w:t>
      </w:r>
    </w:p>
    <w:p w14:paraId="6FA40959" w14:textId="77777777" w:rsidR="00F73D5B" w:rsidRPr="008B7A21" w:rsidRDefault="00F73D5B" w:rsidP="00F73D5B">
      <w:pPr>
        <w:rPr>
          <w:lang w:val="es-ES_tradnl"/>
        </w:rPr>
      </w:pPr>
      <w:r w:rsidRPr="008B7A21">
        <w:rPr>
          <w:lang w:val="es-ES_tradnl"/>
        </w:rPr>
        <w:t>A continuación citamos ciertos ejemplos de la breve experiencia adquirida por Israel en los últimos años en materia de cánones con incentivo:</w:t>
      </w:r>
    </w:p>
    <w:p w14:paraId="030793BF" w14:textId="77777777" w:rsidR="00F73D5B" w:rsidRPr="008B7A21" w:rsidRDefault="00F73D5B" w:rsidP="00F73D5B">
      <w:pPr>
        <w:pStyle w:val="enumlev1"/>
        <w:rPr>
          <w:lang w:val="es-ES_tradnl"/>
        </w:rPr>
      </w:pPr>
      <w:bookmarkStart w:id="1907" w:name="_Toc459746763"/>
      <w:bookmarkStart w:id="1908" w:name="_Toc459792673"/>
      <w:bookmarkStart w:id="1909" w:name="_Toc459793837"/>
      <w:bookmarkStart w:id="1910" w:name="_Toc459793979"/>
      <w:bookmarkStart w:id="1911" w:name="_Toc459970437"/>
      <w:bookmarkStart w:id="1912" w:name="_Toc476537893"/>
      <w:r w:rsidRPr="008B7A21">
        <w:rPr>
          <w:lang w:val="es-ES_tradnl"/>
        </w:rPr>
        <w:t>–</w:t>
      </w:r>
      <w:r w:rsidRPr="008B7A21">
        <w:rPr>
          <w:lang w:val="es-ES_tradnl"/>
        </w:rPr>
        <w:tab/>
        <w:t>En un plazo de dos años todos los enlaces punto a punto en frecuencias superiores a 960 MHz (100 aproximadamente), se reubicaron en frecuencias más elevadas.</w:t>
      </w:r>
    </w:p>
    <w:p w14:paraId="54BBB5F7" w14:textId="77777777" w:rsidR="00F73D5B" w:rsidRPr="008B7A21" w:rsidRDefault="00F73D5B" w:rsidP="00F73D5B">
      <w:pPr>
        <w:pStyle w:val="enumlev1"/>
        <w:rPr>
          <w:lang w:val="es-ES_tradnl"/>
        </w:rPr>
      </w:pPr>
      <w:r w:rsidRPr="008B7A21">
        <w:rPr>
          <w:lang w:val="es-ES_tradnl"/>
        </w:rPr>
        <w:t>–</w:t>
      </w:r>
      <w:r w:rsidRPr="008B7A21">
        <w:rPr>
          <w:lang w:val="es-ES_tradnl"/>
        </w:rPr>
        <w:tab/>
        <w:t>Se concertó un acuerdo con las entidades de radiodifusión de televisión para modificar sus frecuencias, con el fin de lograr un uso más eficaz del espectro.</w:t>
      </w:r>
    </w:p>
    <w:p w14:paraId="4040ABAF" w14:textId="77777777" w:rsidR="00F73D5B" w:rsidRPr="008B7A21" w:rsidRDefault="00F73D5B" w:rsidP="00F73D5B">
      <w:pPr>
        <w:pStyle w:val="enumlev1"/>
        <w:rPr>
          <w:lang w:val="es-ES_tradnl"/>
        </w:rPr>
      </w:pPr>
      <w:r w:rsidRPr="008B7A21">
        <w:rPr>
          <w:lang w:val="es-ES_tradnl"/>
        </w:rPr>
        <w:t>–</w:t>
      </w:r>
      <w:r w:rsidRPr="008B7A21">
        <w:rPr>
          <w:lang w:val="es-ES_tradnl"/>
        </w:rPr>
        <w:tab/>
        <w:t>Se autorizó la migración de diferentes sistemas de frecuencias inferiores a 1 GHz, para liberar anchura de banda en favor de un tercer operador celular en la banda GSM.</w:t>
      </w:r>
    </w:p>
    <w:p w14:paraId="0C073916" w14:textId="77777777" w:rsidR="00F73D5B" w:rsidRPr="008B7A21" w:rsidRDefault="00F73D5B" w:rsidP="00F73D5B">
      <w:pPr>
        <w:pStyle w:val="enumlev1"/>
        <w:rPr>
          <w:lang w:val="es-ES_tradnl"/>
        </w:rPr>
      </w:pPr>
      <w:r w:rsidRPr="008B7A21">
        <w:rPr>
          <w:lang w:val="es-ES_tradnl"/>
        </w:rPr>
        <w:t>–</w:t>
      </w:r>
      <w:r w:rsidRPr="008B7A21">
        <w:rPr>
          <w:lang w:val="es-ES_tradnl"/>
        </w:rPr>
        <w:tab/>
        <w:t>Se pagó a ciertos operadores para desplazar sus sistemas y el coste de esta migración fue financiado mediante el pago por adelantado que hizo al Estado el nuevo competidor (y no así directamente al usuario existente de dicha parte del espectro).</w:t>
      </w:r>
    </w:p>
    <w:p w14:paraId="0C25B2AC" w14:textId="77777777" w:rsidR="00F73D5B" w:rsidRPr="008B7A21" w:rsidRDefault="00F73D5B" w:rsidP="00F73D5B">
      <w:pPr>
        <w:pStyle w:val="Heading3"/>
        <w:rPr>
          <w:lang w:val="es-ES_tradnl"/>
        </w:rPr>
      </w:pPr>
      <w:bookmarkStart w:id="1913" w:name="_Toc306276893"/>
      <w:bookmarkStart w:id="1914" w:name="_Toc307921566"/>
      <w:bookmarkStart w:id="1915" w:name="_Toc307922133"/>
      <w:bookmarkStart w:id="1916" w:name="_Toc307922677"/>
      <w:bookmarkStart w:id="1917" w:name="_Toc307992026"/>
      <w:bookmarkStart w:id="1918" w:name="_Toc307994061"/>
      <w:bookmarkStart w:id="1919" w:name="_Toc307995280"/>
      <w:bookmarkStart w:id="1920" w:name="_Toc307996467"/>
      <w:bookmarkStart w:id="1921" w:name="_Toc308010399"/>
      <w:bookmarkStart w:id="1922" w:name="_Toc499563110"/>
      <w:bookmarkStart w:id="1923" w:name="_Toc215835444"/>
      <w:r w:rsidRPr="008B7A21">
        <w:rPr>
          <w:lang w:val="es-ES_tradnl"/>
        </w:rPr>
        <w:t>5.2.6</w:t>
      </w:r>
      <w:r w:rsidRPr="008B7A21">
        <w:rPr>
          <w:lang w:val="es-ES_tradnl"/>
        </w:rPr>
        <w:tab/>
        <w:t>Experiencia de la República Kirguisa con la aplicación de cánones de licencia</w:t>
      </w:r>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p>
    <w:p w14:paraId="1D44345F" w14:textId="77777777" w:rsidR="00F73D5B" w:rsidRPr="008B7A21" w:rsidRDefault="00F73D5B" w:rsidP="00F73D5B">
      <w:pPr>
        <w:rPr>
          <w:lang w:val="es-ES_tradnl"/>
        </w:rPr>
      </w:pPr>
      <w:bookmarkStart w:id="1924" w:name="_Toc459746764"/>
      <w:bookmarkStart w:id="1925" w:name="_Toc459792675"/>
      <w:bookmarkStart w:id="1926" w:name="_Toc459793839"/>
      <w:bookmarkStart w:id="1927" w:name="_Toc459793981"/>
      <w:bookmarkStart w:id="1928" w:name="_Toc459970438"/>
      <w:r w:rsidRPr="008B7A21">
        <w:rPr>
          <w:lang w:val="es-ES_tradnl"/>
        </w:rPr>
        <w:t>En 1997 se estableció en la República Kirguisa una autoridad reguladora independiente en materia de comunicaciones, nos referimos al Organismo Nacional de Comunicaciones (NCA), y de conformidad con la Ley de correos y telecomunicaciones de la República Kirguisa, promulgada en 1998, se inició la gestión del espectro en el país.</w:t>
      </w:r>
    </w:p>
    <w:p w14:paraId="5C99E9B7" w14:textId="77777777" w:rsidR="00F73D5B" w:rsidRPr="008B7A21" w:rsidRDefault="00F73D5B" w:rsidP="00F73D5B">
      <w:pPr>
        <w:rPr>
          <w:lang w:val="es-ES_tradnl"/>
        </w:rPr>
      </w:pPr>
      <w:r w:rsidRPr="008B7A21">
        <w:rPr>
          <w:lang w:val="es-ES_tradnl"/>
        </w:rPr>
        <w:t>En 1998 el NCA estableció un modelo de cánones de licencia, cuyo propósito era acrecentar la eficacia del espectro, aplicar un método no discriminatorio a varias categorías de usuarios, estimular la utilización de gamas de frecuencias no utilizadas, desarrollar servicios de radiocomunicaciones en toda la República Kirguisa y cubrir los costes de la gestión del espectro.</w:t>
      </w:r>
    </w:p>
    <w:p w14:paraId="17A7FD15" w14:textId="77777777" w:rsidR="00F73D5B" w:rsidRPr="008B7A21" w:rsidRDefault="00F73D5B" w:rsidP="00F73D5B">
      <w:pPr>
        <w:keepNext/>
        <w:keepLines/>
        <w:rPr>
          <w:lang w:val="es-ES_tradnl"/>
        </w:rPr>
      </w:pPr>
      <w:r w:rsidRPr="008B7A21">
        <w:rPr>
          <w:lang w:val="es-ES_tradnl"/>
        </w:rPr>
        <w:t>Este modelo, que permite calcular el valor de los pagos anuales por utilización del espectro, contiene los siguientes elementos básicos:</w:t>
      </w:r>
    </w:p>
    <w:p w14:paraId="22A4BBD0" w14:textId="77777777" w:rsidR="00F73D5B" w:rsidRPr="008B7A21" w:rsidRDefault="00F73D5B" w:rsidP="00F73D5B">
      <w:pPr>
        <w:pStyle w:val="enumlev1"/>
        <w:rPr>
          <w:lang w:val="es-ES_tradnl"/>
        </w:rPr>
      </w:pPr>
      <w:r w:rsidRPr="008B7A21">
        <w:rPr>
          <w:lang w:val="es-ES_tradnl"/>
        </w:rPr>
        <w:t>–</w:t>
      </w:r>
      <w:r w:rsidRPr="008B7A21">
        <w:rPr>
          <w:lang w:val="es-ES_tradnl"/>
        </w:rPr>
        <w:tab/>
        <w:t>las frecuencias radioeléctricas utilizadas en la República Kirguisa, que representan todas las asignaciones de frecuencia almacenadas en la base de datos nacional y se determinan anualmente. Para cada asignación la correspondiente frecuencia se calcula a la vista de las bandas utilizadas y la zona de coordinación de que se trate;</w:t>
      </w:r>
    </w:p>
    <w:p w14:paraId="24C5E259" w14:textId="77777777" w:rsidR="00F73D5B" w:rsidRPr="008B7A21" w:rsidRDefault="00F73D5B" w:rsidP="00F73D5B">
      <w:pPr>
        <w:pStyle w:val="enumlev1"/>
        <w:rPr>
          <w:lang w:val="es-ES_tradnl"/>
        </w:rPr>
      </w:pPr>
      <w:r w:rsidRPr="008B7A21">
        <w:rPr>
          <w:lang w:val="es-ES_tradnl"/>
        </w:rPr>
        <w:t>–</w:t>
      </w:r>
      <w:r w:rsidRPr="008B7A21">
        <w:rPr>
          <w:lang w:val="es-ES_tradnl"/>
        </w:rPr>
        <w:tab/>
        <w:t>el coste anual de la gestión del espectro;</w:t>
      </w:r>
    </w:p>
    <w:p w14:paraId="56892442" w14:textId="77777777" w:rsidR="00F73D5B" w:rsidRPr="008B7A21" w:rsidRDefault="00F73D5B" w:rsidP="00F73D5B">
      <w:pPr>
        <w:pStyle w:val="enumlev1"/>
        <w:rPr>
          <w:lang w:val="es-ES_tradnl"/>
        </w:rPr>
      </w:pPr>
      <w:r w:rsidRPr="008B7A21">
        <w:rPr>
          <w:lang w:val="es-ES_tradnl"/>
        </w:rPr>
        <w:t>–</w:t>
      </w:r>
      <w:r w:rsidRPr="008B7A21">
        <w:rPr>
          <w:lang w:val="es-ES_tradnl"/>
        </w:rPr>
        <w:tab/>
        <w:t>el precio medio por unidad de frecuencia utilizada se calcula a partir los valores precitados;</w:t>
      </w:r>
    </w:p>
    <w:p w14:paraId="6640CD18" w14:textId="77777777" w:rsidR="00F73D5B" w:rsidRPr="008B7A21" w:rsidRDefault="00F73D5B" w:rsidP="00F73D5B">
      <w:pPr>
        <w:pStyle w:val="enumlev1"/>
        <w:rPr>
          <w:lang w:val="es-ES_tradnl"/>
        </w:rPr>
      </w:pPr>
      <w:r w:rsidRPr="008B7A21">
        <w:rPr>
          <w:lang w:val="es-ES_tradnl"/>
        </w:rPr>
        <w:t>–</w:t>
      </w:r>
      <w:r w:rsidRPr="008B7A21">
        <w:rPr>
          <w:lang w:val="es-ES_tradnl"/>
        </w:rPr>
        <w:tab/>
        <w:t>el pago anual que ha de abonar un determinado usuario se fija basándose en el valor de las frecuencias utilizadas.</w:t>
      </w:r>
    </w:p>
    <w:p w14:paraId="5F08F8BE" w14:textId="77777777" w:rsidR="00F73D5B" w:rsidRPr="008B7A21" w:rsidRDefault="00F73D5B" w:rsidP="00F73D5B">
      <w:pPr>
        <w:rPr>
          <w:lang w:val="es-ES_tradnl"/>
        </w:rPr>
      </w:pPr>
      <w:r w:rsidRPr="008B7A21">
        <w:rPr>
          <w:lang w:val="es-ES_tradnl"/>
        </w:rPr>
        <w:t>Como este método incluye diferentes factores de incentivo, el pago depende no sólo de la anchura de banda utilizada y la zona de cobertura, sino también del emplazamiento geográfico de la estación, la densidad demográfica de la zona de cobertura, los factores sociales, la exclusividad, el tipo de servicio de radiocomunicación que se suministra, la utilización del espectro y la complejidad de la comprobación técnica del espectro.</w:t>
      </w:r>
    </w:p>
    <w:p w14:paraId="763B87DB" w14:textId="77777777" w:rsidR="00F73D5B" w:rsidRPr="008B7A21" w:rsidRDefault="00F73D5B" w:rsidP="00F73D5B">
      <w:pPr>
        <w:rPr>
          <w:lang w:val="es-ES_tradnl"/>
        </w:rPr>
      </w:pPr>
      <w:r w:rsidRPr="008B7A21">
        <w:rPr>
          <w:lang w:val="es-ES_tradnl"/>
        </w:rPr>
        <w:t>El soporte lógico desarrollado permite determinar en cualquier momento al usuario el valor del pago anual que debe realizar por el espectro que utiliza y hace posible que nuestro modelo sea transparente y accesible a todos los usuarios.</w:t>
      </w:r>
    </w:p>
    <w:p w14:paraId="64D7DFE8" w14:textId="77777777" w:rsidR="00F73D5B" w:rsidRPr="008B7A21" w:rsidRDefault="00F73D5B" w:rsidP="00F73D5B">
      <w:pPr>
        <w:rPr>
          <w:lang w:val="es-ES_tradnl"/>
        </w:rPr>
      </w:pPr>
      <w:r w:rsidRPr="008B7A21">
        <w:rPr>
          <w:lang w:val="es-ES_tradnl"/>
        </w:rPr>
        <w:t>Por consiguiente, mientras mayor sea la anchura de banda y más poblada la zona geográfica de que se trate, mayor será el pago que deba realizar el usuario. Esto fomenta la utilización de equipo más moderno y de nuevas gamas de frecuencias, así como la ampliación de la cobertura a zonas rurales y remotas.</w:t>
      </w:r>
    </w:p>
    <w:p w14:paraId="48B5B128" w14:textId="77777777" w:rsidR="00F73D5B" w:rsidRPr="008B7A21" w:rsidRDefault="00F73D5B" w:rsidP="00F73D5B">
      <w:pPr>
        <w:rPr>
          <w:lang w:val="es-ES_tradnl"/>
        </w:rPr>
      </w:pPr>
      <w:r w:rsidRPr="008B7A21">
        <w:rPr>
          <w:lang w:val="es-ES_tradnl"/>
        </w:rPr>
        <w:t>El NCA ha aprobado plazos desde hasta 7 años para las licencias. Para calcular el algoritmo correspondiente al pago del espectro hay que determinar, entre otras cosas:</w:t>
      </w:r>
    </w:p>
    <w:p w14:paraId="7D5A1841" w14:textId="77777777" w:rsidR="00F73D5B" w:rsidRPr="008B7A21" w:rsidRDefault="00F73D5B" w:rsidP="00F73D5B">
      <w:pPr>
        <w:pStyle w:val="enumlev1"/>
        <w:rPr>
          <w:lang w:val="es-ES_tradnl"/>
        </w:rPr>
      </w:pPr>
      <w:bookmarkStart w:id="1929" w:name="_Toc459792674"/>
      <w:bookmarkStart w:id="1930" w:name="_Toc459793838"/>
      <w:bookmarkStart w:id="1931" w:name="_Toc459793980"/>
      <w:bookmarkStart w:id="1932" w:name="_Toc476537894"/>
      <w:r w:rsidRPr="008B7A21">
        <w:rPr>
          <w:lang w:val="es-ES_tradnl"/>
        </w:rPr>
        <w:t>–</w:t>
      </w:r>
      <w:r w:rsidRPr="008B7A21">
        <w:rPr>
          <w:lang w:val="es-ES_tradnl"/>
        </w:rPr>
        <w:tab/>
        <w:t>los gastos anuales en que incurre el Estado por la gestión de la utilización de las frecuencias radioeléctricas y, basándose en esto, el valor total de los pagos anuales correspondientes a las radiofrecuencias utilizadas;</w:t>
      </w:r>
    </w:p>
    <w:p w14:paraId="046175D2" w14:textId="77777777" w:rsidR="00F73D5B" w:rsidRPr="008B7A21" w:rsidRDefault="00F73D5B" w:rsidP="00F73D5B">
      <w:pPr>
        <w:pStyle w:val="enumlev1"/>
        <w:rPr>
          <w:lang w:val="es-ES_tradnl"/>
        </w:rPr>
      </w:pPr>
      <w:r w:rsidRPr="008B7A21">
        <w:rPr>
          <w:lang w:val="es-ES_tradnl"/>
        </w:rPr>
        <w:t>–</w:t>
      </w:r>
      <w:r w:rsidRPr="008B7A21">
        <w:rPr>
          <w:lang w:val="es-ES_tradnl"/>
        </w:rPr>
        <w:tab/>
        <w:t>el valor de las radiofrecuencias;</w:t>
      </w:r>
    </w:p>
    <w:p w14:paraId="29F1A4AD" w14:textId="77777777" w:rsidR="00F73D5B" w:rsidRPr="008B7A21" w:rsidRDefault="00F73D5B" w:rsidP="00F73D5B">
      <w:pPr>
        <w:pStyle w:val="enumlev1"/>
        <w:rPr>
          <w:lang w:val="es-ES_tradnl"/>
        </w:rPr>
      </w:pPr>
      <w:r w:rsidRPr="008B7A21">
        <w:rPr>
          <w:lang w:val="es-ES_tradnl"/>
        </w:rPr>
        <w:t>–</w:t>
      </w:r>
      <w:r w:rsidRPr="008B7A21">
        <w:rPr>
          <w:lang w:val="es-ES_tradnl"/>
        </w:rPr>
        <w:tab/>
        <w:t>el precio por unidad de las radiofrecuencias;</w:t>
      </w:r>
    </w:p>
    <w:p w14:paraId="36473AD8" w14:textId="77777777" w:rsidR="00F73D5B" w:rsidRPr="008B7A21" w:rsidRDefault="00F73D5B" w:rsidP="00F73D5B">
      <w:pPr>
        <w:pStyle w:val="enumlev1"/>
        <w:rPr>
          <w:lang w:val="es-ES_tradnl"/>
        </w:rPr>
      </w:pPr>
      <w:r w:rsidRPr="008B7A21">
        <w:rPr>
          <w:lang w:val="es-ES_tradnl"/>
        </w:rPr>
        <w:t>–</w:t>
      </w:r>
      <w:r w:rsidRPr="008B7A21">
        <w:rPr>
          <w:lang w:val="es-ES_tradnl"/>
        </w:rPr>
        <w:tab/>
        <w:t>el pago anual que debe realizar un determinado usuario de forma diferencial y no discriminatoria, pago que se basa en el valor de las frecuencias utilizadas y el precio medio de este recurso.</w:t>
      </w:r>
    </w:p>
    <w:p w14:paraId="65A93A92" w14:textId="77777777" w:rsidR="00F73D5B" w:rsidRPr="008B7A21" w:rsidRDefault="00F73D5B" w:rsidP="00F73D5B">
      <w:pPr>
        <w:pStyle w:val="Heading4"/>
        <w:rPr>
          <w:lang w:val="es-ES_tradnl"/>
        </w:rPr>
      </w:pPr>
      <w:r w:rsidRPr="008B7A21">
        <w:rPr>
          <w:lang w:val="es-ES_tradnl"/>
        </w:rPr>
        <w:t>5.2.6.1</w:t>
      </w:r>
      <w:r w:rsidRPr="008B7A21">
        <w:rPr>
          <w:lang w:val="es-ES_tradnl"/>
        </w:rPr>
        <w:tab/>
      </w:r>
      <w:bookmarkEnd w:id="1929"/>
      <w:bookmarkEnd w:id="1930"/>
      <w:bookmarkEnd w:id="1931"/>
      <w:bookmarkEnd w:id="1932"/>
      <w:r w:rsidRPr="008B7A21">
        <w:rPr>
          <w:lang w:val="es-ES_tradnl"/>
        </w:rPr>
        <w:t>Gastos e ingresos del Estado derivados de la gestión del espectro</w:t>
      </w:r>
    </w:p>
    <w:p w14:paraId="2838E588" w14:textId="77777777" w:rsidR="00F73D5B" w:rsidRPr="008B7A21" w:rsidRDefault="00F73D5B" w:rsidP="00F73D5B">
      <w:pPr>
        <w:keepNext/>
        <w:keepLines/>
        <w:rPr>
          <w:lang w:val="es-ES_tradnl"/>
        </w:rPr>
      </w:pPr>
      <w:r w:rsidRPr="008B7A21">
        <w:rPr>
          <w:lang w:val="es-ES_tradnl"/>
        </w:rPr>
        <w:t xml:space="preserve">El total de los pagos anuales por la utilización del espectro, </w:t>
      </w:r>
      <w:r w:rsidRPr="008B7A21">
        <w:rPr>
          <w:i/>
          <w:iCs/>
          <w:lang w:val="es-ES_tradnl"/>
        </w:rPr>
        <w:t>C</w:t>
      </w:r>
      <w:r w:rsidRPr="008B7A21">
        <w:rPr>
          <w:i/>
          <w:iCs/>
          <w:vertAlign w:val="subscript"/>
          <w:lang w:val="es-ES_tradnl"/>
        </w:rPr>
        <w:t>ann</w:t>
      </w:r>
      <w:r w:rsidRPr="008B7A21">
        <w:rPr>
          <w:lang w:val="es-ES_tradnl"/>
        </w:rPr>
        <w:t>, recaudados de todos los usuarios, puede calcularse de la forma siguiente:</w:t>
      </w:r>
    </w:p>
    <w:p w14:paraId="29CA5ADD" w14:textId="77777777" w:rsidR="00F73D5B" w:rsidRPr="008B7A21" w:rsidRDefault="00F73D5B" w:rsidP="00F73D5B">
      <w:pPr>
        <w:pStyle w:val="Equation"/>
        <w:keepNext/>
        <w:keepLines/>
        <w:rPr>
          <w:lang w:val="es-ES_tradnl"/>
        </w:rPr>
      </w:pPr>
      <w:r w:rsidRPr="008B7A21">
        <w:rPr>
          <w:lang w:val="es-ES_tradnl"/>
        </w:rPr>
        <w:tab/>
      </w:r>
      <w:r w:rsidRPr="008B7A21">
        <w:rPr>
          <w:lang w:val="es-ES_tradnl"/>
        </w:rPr>
        <w:tab/>
      </w:r>
      <w:r w:rsidRPr="008B7A21">
        <w:rPr>
          <w:position w:val="-12"/>
          <w:lang w:val="es-ES_tradnl"/>
        </w:rPr>
        <w:object w:dxaOrig="1600" w:dyaOrig="360" w14:anchorId="3DA0DCB1">
          <v:shape id="_x0000_i1745" type="#_x0000_t75" style="width:80.35pt;height:19.25pt" o:ole="">
            <v:imagedata r:id="rId200" o:title=""/>
          </v:shape>
          <o:OLEObject Type="Embed" ProgID="Equation.3" ShapeID="_x0000_i1745" DrawAspect="Content" ObjectID="_1826705954" r:id="rId201"/>
        </w:object>
      </w:r>
      <w:r w:rsidRPr="008B7A21">
        <w:rPr>
          <w:position w:val="-4"/>
          <w:sz w:val="16"/>
          <w:lang w:val="es-ES_tradnl"/>
        </w:rPr>
        <w:tab/>
      </w:r>
      <w:r w:rsidRPr="008B7A21">
        <w:rPr>
          <w:lang w:val="es-ES_tradnl"/>
        </w:rPr>
        <w:t>(56)</w:t>
      </w:r>
    </w:p>
    <w:p w14:paraId="530C9C90" w14:textId="77777777" w:rsidR="00F73D5B" w:rsidRPr="008B7A21" w:rsidRDefault="00F73D5B" w:rsidP="00F73D5B">
      <w:pPr>
        <w:keepNext/>
        <w:keepLines/>
        <w:rPr>
          <w:lang w:val="es-ES_tradnl"/>
        </w:rPr>
      </w:pPr>
      <w:r w:rsidRPr="008B7A21">
        <w:rPr>
          <w:lang w:val="es-ES_tradnl"/>
        </w:rPr>
        <w:t>donde:</w:t>
      </w:r>
    </w:p>
    <w:p w14:paraId="25DF16B5" w14:textId="77777777" w:rsidR="00F73D5B" w:rsidRPr="008B7A21" w:rsidRDefault="00F73D5B" w:rsidP="00F73D5B">
      <w:pPr>
        <w:pStyle w:val="Equationlegend"/>
        <w:rPr>
          <w:lang w:val="es-ES_tradnl"/>
        </w:rPr>
      </w:pPr>
      <w:r w:rsidRPr="008B7A21">
        <w:rPr>
          <w:lang w:val="es-ES_tradnl"/>
        </w:rPr>
        <w:tab/>
      </w:r>
      <w:r w:rsidRPr="008B7A21">
        <w:rPr>
          <w:i/>
          <w:iCs/>
          <w:lang w:val="es-ES_tradnl"/>
        </w:rPr>
        <w:t>C</w:t>
      </w:r>
      <w:r w:rsidRPr="008B7A21">
        <w:rPr>
          <w:i/>
          <w:iCs/>
          <w:vertAlign w:val="subscript"/>
          <w:lang w:val="es-ES_tradnl"/>
        </w:rPr>
        <w:t>ann</w:t>
      </w:r>
      <w:r w:rsidRPr="008B7A21">
        <w:rPr>
          <w:lang w:val="es-ES_tradnl"/>
        </w:rPr>
        <w:t>:</w:t>
      </w:r>
      <w:r w:rsidRPr="008B7A21">
        <w:rPr>
          <w:rFonts w:ascii="Tms Rmn" w:hAnsi="Tms Rmn"/>
          <w:lang w:val="es-ES_tradnl"/>
        </w:rPr>
        <w:tab/>
      </w:r>
      <w:r w:rsidRPr="008B7A21">
        <w:rPr>
          <w:lang w:val="es-ES_tradnl"/>
        </w:rPr>
        <w:t>coste total anual correspondiente a los usuarios por la utilización del espectro</w:t>
      </w:r>
    </w:p>
    <w:p w14:paraId="7A76E1C9" w14:textId="77777777" w:rsidR="00F73D5B" w:rsidRPr="008B7A21" w:rsidRDefault="00F73D5B" w:rsidP="00F73D5B">
      <w:pPr>
        <w:pStyle w:val="Equationlegend"/>
        <w:rPr>
          <w:lang w:val="es-ES_tradnl"/>
        </w:rPr>
      </w:pPr>
      <w:r w:rsidRPr="008B7A21">
        <w:rPr>
          <w:lang w:val="es-ES_tradnl"/>
        </w:rPr>
        <w:tab/>
      </w:r>
      <w:r w:rsidRPr="008B7A21">
        <w:rPr>
          <w:i/>
          <w:iCs/>
          <w:lang w:val="es-ES_tradnl"/>
        </w:rPr>
        <w:t>C</w:t>
      </w:r>
      <w:r w:rsidRPr="008B7A21">
        <w:rPr>
          <w:vertAlign w:val="subscript"/>
          <w:lang w:val="es-ES_tradnl"/>
        </w:rPr>
        <w:t>1</w:t>
      </w:r>
      <w:r w:rsidRPr="008B7A21">
        <w:rPr>
          <w:lang w:val="es-ES_tradnl"/>
        </w:rPr>
        <w:t>:</w:t>
      </w:r>
      <w:r w:rsidRPr="008B7A21">
        <w:rPr>
          <w:rFonts w:ascii="Tms Rmn" w:hAnsi="Tms Rmn"/>
          <w:lang w:val="es-ES_tradnl"/>
        </w:rPr>
        <w:tab/>
      </w:r>
      <w:r w:rsidRPr="008B7A21">
        <w:rPr>
          <w:lang w:val="es-ES_tradnl"/>
        </w:rPr>
        <w:t>porcentaje de los recursos necesarios para cubrir los costes que debe cubrir el Estado por encargarse de la gestión del uso del espectro</w:t>
      </w:r>
    </w:p>
    <w:p w14:paraId="3DC0D986" w14:textId="77777777" w:rsidR="00F73D5B" w:rsidRPr="008B7A21" w:rsidRDefault="00F73D5B" w:rsidP="00F73D5B">
      <w:pPr>
        <w:pStyle w:val="Equationlegend"/>
        <w:rPr>
          <w:lang w:val="es-ES_tradnl"/>
        </w:rPr>
      </w:pPr>
      <w:r w:rsidRPr="008B7A21">
        <w:rPr>
          <w:lang w:val="es-ES_tradnl"/>
        </w:rPr>
        <w:tab/>
      </w:r>
      <w:r w:rsidRPr="008B7A21">
        <w:rPr>
          <w:i/>
          <w:iCs/>
          <w:lang w:val="es-ES_tradnl"/>
        </w:rPr>
        <w:t>C</w:t>
      </w:r>
      <w:r w:rsidRPr="008B7A21">
        <w:rPr>
          <w:vertAlign w:val="subscript"/>
          <w:lang w:val="es-ES_tradnl"/>
        </w:rPr>
        <w:t>2</w:t>
      </w:r>
      <w:r w:rsidRPr="008B7A21">
        <w:rPr>
          <w:lang w:val="es-ES_tradnl"/>
        </w:rPr>
        <w:t>:</w:t>
      </w:r>
      <w:r w:rsidRPr="008B7A21">
        <w:rPr>
          <w:rFonts w:ascii="Tms Rmn" w:hAnsi="Tms Rmn"/>
          <w:lang w:val="es-ES_tradnl"/>
        </w:rPr>
        <w:tab/>
      </w:r>
      <w:r w:rsidRPr="008B7A21">
        <w:rPr>
          <w:lang w:val="es-ES_tradnl"/>
        </w:rPr>
        <w:t>ingresos netos del Estado.</w:t>
      </w:r>
    </w:p>
    <w:p w14:paraId="2A65CD1C" w14:textId="77777777" w:rsidR="00F73D5B" w:rsidRPr="008B7A21" w:rsidRDefault="00F73D5B" w:rsidP="00F73D5B">
      <w:pPr>
        <w:rPr>
          <w:lang w:val="es-ES_tradnl"/>
        </w:rPr>
      </w:pPr>
      <w:r w:rsidRPr="008B7A21">
        <w:rPr>
          <w:lang w:val="es-ES_tradnl"/>
        </w:rPr>
        <w:t xml:space="preserve">Cabe la posibilidad de dividir los términos </w:t>
      </w:r>
      <w:r w:rsidRPr="008B7A21">
        <w:rPr>
          <w:i/>
          <w:iCs/>
          <w:lang w:val="es-ES_tradnl"/>
        </w:rPr>
        <w:t>C</w:t>
      </w:r>
      <w:r w:rsidRPr="008B7A21">
        <w:rPr>
          <w:vertAlign w:val="subscript"/>
          <w:lang w:val="es-ES_tradnl"/>
        </w:rPr>
        <w:t>1</w:t>
      </w:r>
      <w:r w:rsidRPr="008B7A21">
        <w:rPr>
          <w:lang w:val="es-ES_tradnl"/>
        </w:rPr>
        <w:t xml:space="preserve"> y </w:t>
      </w:r>
      <w:r w:rsidRPr="008B7A21">
        <w:rPr>
          <w:i/>
          <w:iCs/>
          <w:lang w:val="es-ES_tradnl"/>
        </w:rPr>
        <w:t>C</w:t>
      </w:r>
      <w:r w:rsidRPr="008B7A21">
        <w:rPr>
          <w:vertAlign w:val="subscript"/>
          <w:lang w:val="es-ES_tradnl"/>
        </w:rPr>
        <w:t>2</w:t>
      </w:r>
      <w:r w:rsidRPr="008B7A21">
        <w:rPr>
          <w:lang w:val="es-ES_tradnl"/>
        </w:rPr>
        <w:t xml:space="preserve"> en los siguientes componentes:</w:t>
      </w:r>
    </w:p>
    <w:p w14:paraId="1E7A8670"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2"/>
          <w:lang w:val="es-ES_tradnl"/>
        </w:rPr>
        <w:object w:dxaOrig="2120" w:dyaOrig="360" w14:anchorId="5F3F4D43">
          <v:shape id="_x0000_i1746" type="#_x0000_t75" style="width:105.5pt;height:19.25pt" o:ole="">
            <v:imagedata r:id="rId202" o:title=""/>
          </v:shape>
          <o:OLEObject Type="Embed" ProgID="Equation.3" ShapeID="_x0000_i1746" DrawAspect="Content" ObjectID="_1826705955" r:id="rId203"/>
        </w:object>
      </w:r>
      <w:r w:rsidRPr="008B7A21">
        <w:rPr>
          <w:lang w:val="es-ES_tradnl"/>
        </w:rPr>
        <w:tab/>
        <w:t>(57)</w:t>
      </w:r>
    </w:p>
    <w:p w14:paraId="5D84334E" w14:textId="77777777" w:rsidR="00F73D5B" w:rsidRPr="008B7A21" w:rsidRDefault="00F73D5B" w:rsidP="00F73D5B">
      <w:pPr>
        <w:keepNext/>
        <w:keepLines/>
        <w:rPr>
          <w:lang w:val="es-ES_tradnl"/>
        </w:rPr>
      </w:pPr>
      <w:r w:rsidRPr="008B7A21">
        <w:rPr>
          <w:lang w:val="es-ES_tradnl"/>
        </w:rPr>
        <w:t>donde:</w:t>
      </w:r>
    </w:p>
    <w:p w14:paraId="33B10F27" w14:textId="77777777" w:rsidR="00F73D5B" w:rsidRPr="008B7A21" w:rsidRDefault="00F73D5B" w:rsidP="00F73D5B">
      <w:pPr>
        <w:pStyle w:val="Equationlegend"/>
        <w:rPr>
          <w:lang w:val="es-ES_tradnl"/>
        </w:rPr>
      </w:pPr>
      <w:r w:rsidRPr="008B7A21">
        <w:rPr>
          <w:lang w:val="es-ES_tradnl"/>
        </w:rPr>
        <w:tab/>
      </w:r>
      <w:r w:rsidRPr="008B7A21">
        <w:rPr>
          <w:i/>
          <w:iCs/>
          <w:lang w:val="es-ES_tradnl"/>
        </w:rPr>
        <w:t>C</w:t>
      </w:r>
      <w:r w:rsidRPr="008B7A21">
        <w:rPr>
          <w:vertAlign w:val="subscript"/>
          <w:lang w:val="es-ES_tradnl"/>
        </w:rPr>
        <w:t>11</w:t>
      </w:r>
      <w:r w:rsidRPr="008B7A21">
        <w:rPr>
          <w:lang w:val="es-ES_tradnl"/>
        </w:rPr>
        <w:t>:</w:t>
      </w:r>
      <w:r w:rsidRPr="008B7A21">
        <w:rPr>
          <w:rFonts w:ascii="Tms Rmn" w:hAnsi="Tms Rmn"/>
          <w:lang w:val="es-ES_tradnl"/>
        </w:rPr>
        <w:tab/>
      </w:r>
      <w:r w:rsidRPr="008B7A21">
        <w:rPr>
          <w:lang w:val="es-ES_tradnl"/>
        </w:rPr>
        <w:t>representa los medios necesarios para adquirir y explotar un sistema de gestión del espectro, incluidos el equipo para la estación de comprobación técnica de las emisiones de radiocomunicación, los dispositivos de determinación del sentido de las emisiones, así como computadores, programas informáticos, materiales, amortización de edificios, etc.</w:t>
      </w:r>
    </w:p>
    <w:p w14:paraId="2A9F2083" w14:textId="77777777" w:rsidR="00F73D5B" w:rsidRPr="008B7A21" w:rsidRDefault="00F73D5B" w:rsidP="00F73D5B">
      <w:pPr>
        <w:pStyle w:val="Equationlegend"/>
        <w:rPr>
          <w:lang w:val="es-ES_tradnl"/>
        </w:rPr>
      </w:pPr>
      <w:r w:rsidRPr="008B7A21">
        <w:rPr>
          <w:lang w:val="es-ES_tradnl"/>
        </w:rPr>
        <w:tab/>
      </w:r>
      <w:r w:rsidRPr="008B7A21">
        <w:rPr>
          <w:i/>
          <w:iCs/>
          <w:lang w:val="es-ES_tradnl"/>
        </w:rPr>
        <w:t>C</w:t>
      </w:r>
      <w:r w:rsidRPr="008B7A21">
        <w:rPr>
          <w:vertAlign w:val="subscript"/>
          <w:lang w:val="es-ES_tradnl"/>
        </w:rPr>
        <w:t>12</w:t>
      </w:r>
      <w:r w:rsidRPr="008B7A21">
        <w:rPr>
          <w:lang w:val="es-ES_tradnl"/>
        </w:rPr>
        <w:t>:</w:t>
      </w:r>
      <w:r w:rsidRPr="008B7A21">
        <w:rPr>
          <w:rFonts w:ascii="Tms Rmn" w:hAnsi="Tms Rmn"/>
          <w:lang w:val="es-ES_tradnl"/>
        </w:rPr>
        <w:tab/>
      </w:r>
      <w:r w:rsidRPr="008B7A21">
        <w:rPr>
          <w:lang w:val="es-ES_tradnl"/>
        </w:rPr>
        <w:t>corresponde a los medios necesarios para realizar investigaciones científicas, adquirir publicaciones y recomendaciones científicas, realizar estudios de compatibilidad electromagnética, proceder a la coordinación de asignaciones de frecuencia, etc.</w:t>
      </w:r>
    </w:p>
    <w:p w14:paraId="35AF1729" w14:textId="77777777" w:rsidR="00F73D5B" w:rsidRPr="008B7A21" w:rsidRDefault="00F73D5B" w:rsidP="00F73D5B">
      <w:pPr>
        <w:pStyle w:val="Equationlegend"/>
        <w:rPr>
          <w:lang w:val="es-ES_tradnl"/>
        </w:rPr>
      </w:pPr>
      <w:r w:rsidRPr="008B7A21">
        <w:rPr>
          <w:lang w:val="es-ES_tradnl"/>
        </w:rPr>
        <w:tab/>
      </w:r>
      <w:r w:rsidRPr="008B7A21">
        <w:rPr>
          <w:i/>
          <w:iCs/>
          <w:lang w:val="es-ES_tradnl"/>
        </w:rPr>
        <w:t>C</w:t>
      </w:r>
      <w:r w:rsidRPr="008B7A21">
        <w:rPr>
          <w:vertAlign w:val="subscript"/>
          <w:lang w:val="es-ES_tradnl"/>
        </w:rPr>
        <w:t>13</w:t>
      </w:r>
      <w:r w:rsidRPr="008B7A21">
        <w:rPr>
          <w:lang w:val="es-ES_tradnl"/>
        </w:rPr>
        <w:t>:</w:t>
      </w:r>
      <w:r w:rsidRPr="008B7A21">
        <w:rPr>
          <w:rFonts w:ascii="Tms Rmn" w:hAnsi="Tms Rmn"/>
          <w:lang w:val="es-ES_tradnl"/>
        </w:rPr>
        <w:tab/>
      </w:r>
      <w:r w:rsidRPr="008B7A21">
        <w:rPr>
          <w:lang w:val="es-ES_tradnl"/>
        </w:rPr>
        <w:t>representa los sueldos del personal asignado a la gestión del espectro.</w:t>
      </w:r>
    </w:p>
    <w:p w14:paraId="19184402" w14:textId="77777777" w:rsidR="00F73D5B" w:rsidRPr="008B7A21" w:rsidRDefault="00F73D5B" w:rsidP="00F73D5B">
      <w:pPr>
        <w:rPr>
          <w:lang w:val="es-ES_tradnl"/>
        </w:rPr>
      </w:pPr>
      <w:r w:rsidRPr="008B7A21">
        <w:rPr>
          <w:lang w:val="es-ES_tradnl"/>
        </w:rPr>
        <w:t xml:space="preserve">En </w:t>
      </w:r>
      <w:r w:rsidRPr="008B7A21">
        <w:rPr>
          <w:i/>
          <w:iCs/>
          <w:lang w:val="es-ES_tradnl"/>
        </w:rPr>
        <w:t>C</w:t>
      </w:r>
      <w:r w:rsidRPr="008B7A21">
        <w:rPr>
          <w:vertAlign w:val="subscript"/>
          <w:lang w:val="es-ES_tradnl"/>
        </w:rPr>
        <w:t>11</w:t>
      </w:r>
      <w:r w:rsidRPr="008B7A21">
        <w:rPr>
          <w:lang w:val="es-ES_tradnl"/>
        </w:rPr>
        <w:t xml:space="preserve">, </w:t>
      </w:r>
      <w:r w:rsidRPr="008B7A21">
        <w:rPr>
          <w:i/>
          <w:iCs/>
          <w:lang w:val="es-ES_tradnl"/>
        </w:rPr>
        <w:t>C</w:t>
      </w:r>
      <w:r w:rsidRPr="008B7A21">
        <w:rPr>
          <w:vertAlign w:val="subscript"/>
          <w:lang w:val="es-ES_tradnl"/>
        </w:rPr>
        <w:t>12</w:t>
      </w:r>
      <w:r w:rsidRPr="008B7A21">
        <w:rPr>
          <w:lang w:val="es-ES_tradnl"/>
        </w:rPr>
        <w:t xml:space="preserve">, </w:t>
      </w:r>
      <w:r w:rsidRPr="008B7A21">
        <w:rPr>
          <w:i/>
          <w:iCs/>
          <w:lang w:val="es-ES_tradnl"/>
        </w:rPr>
        <w:t>C</w:t>
      </w:r>
      <w:r w:rsidRPr="008B7A21">
        <w:rPr>
          <w:vertAlign w:val="subscript"/>
          <w:lang w:val="es-ES_tradnl"/>
        </w:rPr>
        <w:t>13</w:t>
      </w:r>
      <w:r w:rsidRPr="008B7A21">
        <w:rPr>
          <w:lang w:val="es-ES_tradnl"/>
        </w:rPr>
        <w:t xml:space="preserve"> no se incluyen impuestos.</w:t>
      </w:r>
    </w:p>
    <w:p w14:paraId="52F5B879" w14:textId="77777777" w:rsidR="00F73D5B" w:rsidRPr="008B7A21" w:rsidRDefault="00F73D5B" w:rsidP="00F73D5B">
      <w:pPr>
        <w:rPr>
          <w:lang w:val="es-ES_tradnl"/>
        </w:rPr>
      </w:pPr>
      <w:r w:rsidRPr="008B7A21">
        <w:rPr>
          <w:i/>
          <w:iCs/>
          <w:lang w:val="es-ES_tradnl"/>
        </w:rPr>
        <w:t>C</w:t>
      </w:r>
      <w:r w:rsidRPr="008B7A21">
        <w:rPr>
          <w:vertAlign w:val="subscript"/>
          <w:lang w:val="es-ES_tradnl"/>
        </w:rPr>
        <w:t>2</w:t>
      </w:r>
      <w:r w:rsidRPr="008B7A21">
        <w:rPr>
          <w:lang w:val="es-ES_tradnl"/>
        </w:rPr>
        <w:t xml:space="preserve"> puede dividirse en los siguientes componentes:</w:t>
      </w:r>
    </w:p>
    <w:p w14:paraId="37B2D931"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0"/>
          <w:lang w:val="es-ES_tradnl"/>
        </w:rPr>
        <w:object w:dxaOrig="1560" w:dyaOrig="340" w14:anchorId="1A83F0D0">
          <v:shape id="_x0000_i1747" type="#_x0000_t75" style="width:76.2pt;height:18.4pt" o:ole="">
            <v:imagedata r:id="rId204" o:title=""/>
          </v:shape>
          <o:OLEObject Type="Embed" ProgID="Equation.3" ShapeID="_x0000_i1747" DrawAspect="Content" ObjectID="_1826705956" r:id="rId205"/>
        </w:object>
      </w:r>
      <w:r w:rsidRPr="008B7A21">
        <w:rPr>
          <w:lang w:val="es-ES_tradnl"/>
        </w:rPr>
        <w:tab/>
        <w:t>(58)</w:t>
      </w:r>
    </w:p>
    <w:p w14:paraId="63430178" w14:textId="77777777" w:rsidR="00F73D5B" w:rsidRPr="008B7A21" w:rsidRDefault="00F73D5B" w:rsidP="00F73D5B">
      <w:pPr>
        <w:rPr>
          <w:lang w:val="es-ES_tradnl"/>
        </w:rPr>
      </w:pPr>
      <w:r w:rsidRPr="008B7A21">
        <w:rPr>
          <w:lang w:val="es-ES_tradnl"/>
        </w:rPr>
        <w:t>donde:</w:t>
      </w:r>
    </w:p>
    <w:p w14:paraId="1C9C3C2D" w14:textId="77777777" w:rsidR="00F73D5B" w:rsidRPr="008B7A21" w:rsidRDefault="00F73D5B" w:rsidP="00F73D5B">
      <w:pPr>
        <w:pStyle w:val="Equationlegend"/>
        <w:rPr>
          <w:lang w:val="es-ES_tradnl"/>
        </w:rPr>
      </w:pPr>
      <w:r w:rsidRPr="008B7A21">
        <w:rPr>
          <w:lang w:val="es-ES_tradnl"/>
        </w:rPr>
        <w:tab/>
      </w:r>
      <w:r w:rsidRPr="008B7A21">
        <w:rPr>
          <w:i/>
          <w:iCs/>
          <w:lang w:val="es-ES_tradnl"/>
        </w:rPr>
        <w:t>C</w:t>
      </w:r>
      <w:r w:rsidRPr="008B7A21">
        <w:rPr>
          <w:vertAlign w:val="subscript"/>
          <w:lang w:val="es-ES_tradnl"/>
        </w:rPr>
        <w:t>21</w:t>
      </w:r>
      <w:r w:rsidRPr="008B7A21">
        <w:rPr>
          <w:lang w:val="es-ES_tradnl"/>
        </w:rPr>
        <w:t>:</w:t>
      </w:r>
      <w:r w:rsidRPr="008B7A21">
        <w:rPr>
          <w:rFonts w:ascii="Tms Rmn" w:hAnsi="Tms Rmn"/>
          <w:lang w:val="es-ES_tradnl"/>
        </w:rPr>
        <w:tab/>
      </w:r>
      <w:r w:rsidRPr="008B7A21">
        <w:rPr>
          <w:lang w:val="es-ES_tradnl"/>
        </w:rPr>
        <w:t>representa los impuestos fijados por la autoridad gestora del espectro, el equipo de telecomunicaciones, los programas informáticos, los materiales, etc.</w:t>
      </w:r>
    </w:p>
    <w:p w14:paraId="30BD4D2F" w14:textId="77777777" w:rsidR="00F73D5B" w:rsidRPr="008B7A21" w:rsidRDefault="00F73D5B" w:rsidP="00F73D5B">
      <w:pPr>
        <w:pStyle w:val="Equationlegend"/>
        <w:rPr>
          <w:lang w:val="es-ES_tradnl"/>
        </w:rPr>
      </w:pPr>
      <w:r w:rsidRPr="008B7A21">
        <w:rPr>
          <w:lang w:val="es-ES_tradnl"/>
        </w:rPr>
        <w:tab/>
      </w:r>
      <w:r w:rsidRPr="008B7A21">
        <w:rPr>
          <w:i/>
          <w:iCs/>
          <w:lang w:val="es-ES_tradnl"/>
        </w:rPr>
        <w:t>C</w:t>
      </w:r>
      <w:r w:rsidRPr="008B7A21">
        <w:rPr>
          <w:vertAlign w:val="subscript"/>
          <w:lang w:val="es-ES_tradnl"/>
        </w:rPr>
        <w:t>22</w:t>
      </w:r>
      <w:r w:rsidRPr="008B7A21">
        <w:rPr>
          <w:lang w:val="es-ES_tradnl"/>
        </w:rPr>
        <w:t>:</w:t>
      </w:r>
      <w:r w:rsidRPr="008B7A21">
        <w:rPr>
          <w:rFonts w:ascii="Tms Rmn" w:hAnsi="Tms Rmn"/>
          <w:lang w:val="es-ES_tradnl"/>
        </w:rPr>
        <w:tab/>
      </w:r>
      <w:r w:rsidRPr="008B7A21">
        <w:rPr>
          <w:lang w:val="es-ES_tradnl"/>
        </w:rPr>
        <w:t xml:space="preserve">corresponde a los pagos efectuados por la utilización del espectro. Actualmente en Kirguistán el valor de </w:t>
      </w:r>
      <w:r w:rsidRPr="008B7A21">
        <w:rPr>
          <w:i/>
          <w:iCs/>
          <w:lang w:val="es-ES_tradnl"/>
        </w:rPr>
        <w:t>C</w:t>
      </w:r>
      <w:r w:rsidRPr="008B7A21">
        <w:rPr>
          <w:vertAlign w:val="subscript"/>
          <w:lang w:val="es-ES_tradnl"/>
        </w:rPr>
        <w:t>22</w:t>
      </w:r>
      <w:r w:rsidRPr="008B7A21">
        <w:rPr>
          <w:lang w:val="es-ES_tradnl"/>
        </w:rPr>
        <w:t xml:space="preserve"> es nulo debido a la intención de alentar el desarrollo de los servicios de telecomunicaciones.</w:t>
      </w:r>
    </w:p>
    <w:p w14:paraId="6946DECF" w14:textId="77777777" w:rsidR="00F73D5B" w:rsidRPr="008B7A21" w:rsidRDefault="00F73D5B" w:rsidP="00F73D5B">
      <w:pPr>
        <w:rPr>
          <w:lang w:val="es-ES_tradnl"/>
        </w:rPr>
      </w:pPr>
      <w:r w:rsidRPr="008B7A21">
        <w:rPr>
          <w:lang w:val="es-ES_tradnl"/>
        </w:rPr>
        <w:t>En las ecuaciones (56) y (58) no se toman en consideración los ingresos indirectos derivados de los impuestos estatales sobre los ingresos de los operadores de telecomunicaciones cuya actividad tiene que ver con la utilización de radiofrecuencias (por ejemplo, los impuestos sobre los ingresos de los operadores de comunicaciones celulares). Este componente de los ingresos del Estado es esencial y sobrepasa el componente </w:t>
      </w:r>
      <w:r w:rsidRPr="008B7A21">
        <w:rPr>
          <w:i/>
          <w:iCs/>
          <w:lang w:val="es-ES_tradnl"/>
        </w:rPr>
        <w:t>C</w:t>
      </w:r>
      <w:r w:rsidRPr="008B7A21">
        <w:rPr>
          <w:vertAlign w:val="subscript"/>
          <w:lang w:val="es-ES_tradnl"/>
        </w:rPr>
        <w:t>22</w:t>
      </w:r>
      <w:r w:rsidRPr="008B7A21">
        <w:rPr>
          <w:lang w:val="es-ES_tradnl"/>
        </w:rPr>
        <w:t>.</w:t>
      </w:r>
    </w:p>
    <w:p w14:paraId="5EDEAA20" w14:textId="77777777" w:rsidR="00F73D5B" w:rsidRPr="008B7A21" w:rsidRDefault="00F73D5B" w:rsidP="00F73D5B">
      <w:pPr>
        <w:rPr>
          <w:lang w:val="es-ES_tradnl"/>
        </w:rPr>
      </w:pPr>
      <w:r w:rsidRPr="008B7A21">
        <w:rPr>
          <w:lang w:val="es-ES_tradnl"/>
        </w:rPr>
        <w:t xml:space="preserve">El </w:t>
      </w:r>
      <w:r w:rsidRPr="008B7A21">
        <w:rPr>
          <w:i/>
          <w:iCs/>
          <w:lang w:val="es-ES_tradnl"/>
        </w:rPr>
        <w:t>C</w:t>
      </w:r>
      <w:r w:rsidRPr="008B7A21">
        <w:rPr>
          <w:vertAlign w:val="subscript"/>
          <w:lang w:val="es-ES_tradnl"/>
        </w:rPr>
        <w:t>22</w:t>
      </w:r>
      <w:r w:rsidRPr="008B7A21">
        <w:rPr>
          <w:lang w:val="es-ES_tradnl"/>
        </w:rPr>
        <w:t xml:space="preserve"> representa, en esencia, un pago inicial por el espectro utilizado. Sin embargo, ningún operador de telecomunicaciones, especialmente en los países en desarrollo, podría realizar inmediatamente un pago considerable, lo que constituye un obstáculo contra el desarrollo. Un incentivo económico adecuado a este respecto consiste en reducir a un mínimo el componente </w:t>
      </w:r>
      <w:r w:rsidRPr="008B7A21">
        <w:rPr>
          <w:i/>
          <w:iCs/>
          <w:lang w:val="es-ES_tradnl"/>
        </w:rPr>
        <w:t>C</w:t>
      </w:r>
      <w:r w:rsidRPr="008B7A21">
        <w:rPr>
          <w:vertAlign w:val="subscript"/>
          <w:lang w:val="es-ES_tradnl"/>
        </w:rPr>
        <w:t>22</w:t>
      </w:r>
      <w:r w:rsidRPr="008B7A21">
        <w:rPr>
          <w:lang w:val="es-ES_tradnl"/>
        </w:rPr>
        <w:t xml:space="preserve">, para que el operador de telecomunicaciones pueda empezar a suministrar servicios sin tener que realizar pago alguno inicial por la utilización del espectro. El Estado podría compensar la pérdida de </w:t>
      </w:r>
      <w:r w:rsidRPr="008B7A21">
        <w:rPr>
          <w:i/>
          <w:iCs/>
          <w:lang w:val="es-ES_tradnl"/>
        </w:rPr>
        <w:t>C</w:t>
      </w:r>
      <w:r w:rsidRPr="008B7A21">
        <w:rPr>
          <w:vertAlign w:val="subscript"/>
          <w:lang w:val="es-ES_tradnl"/>
        </w:rPr>
        <w:t>22</w:t>
      </w:r>
      <w:r w:rsidRPr="008B7A21">
        <w:rPr>
          <w:lang w:val="es-ES_tradnl"/>
        </w:rPr>
        <w:t xml:space="preserve"> con cargo a los impuestos aplicables a las actividades de los operadores de telecomunicaciones.</w:t>
      </w:r>
    </w:p>
    <w:p w14:paraId="1F31824A" w14:textId="77777777" w:rsidR="00F73D5B" w:rsidRPr="008B7A21" w:rsidRDefault="00F73D5B" w:rsidP="00F73D5B">
      <w:pPr>
        <w:rPr>
          <w:lang w:val="es-ES_tradnl"/>
        </w:rPr>
      </w:pPr>
      <w:r w:rsidRPr="008B7A21">
        <w:rPr>
          <w:lang w:val="es-ES_tradnl"/>
        </w:rPr>
        <w:t>En consecuencia y para fomentar el rápido desarrollo de los servicios de telecomunicación e información en el país y la prestación de incentivos económicos a los operadores de telecomunicaciones, resulta esencial mantener los pagos por la utilización del espectro al mínimo necesario para cubrir los costes de la gestión del espectro.</w:t>
      </w:r>
    </w:p>
    <w:p w14:paraId="4960239A" w14:textId="77777777" w:rsidR="00F73D5B" w:rsidRPr="008B7A21" w:rsidRDefault="00F73D5B" w:rsidP="00F73D5B">
      <w:pPr>
        <w:pStyle w:val="Heading4"/>
        <w:rPr>
          <w:lang w:val="es-ES_tradnl"/>
        </w:rPr>
      </w:pPr>
      <w:bookmarkStart w:id="1933" w:name="_Toc476537895"/>
      <w:r w:rsidRPr="008B7A21">
        <w:rPr>
          <w:lang w:val="es-ES_tradnl"/>
        </w:rPr>
        <w:t>5.2.6.2</w:t>
      </w:r>
      <w:r w:rsidRPr="008B7A21">
        <w:rPr>
          <w:lang w:val="es-ES_tradnl"/>
        </w:rPr>
        <w:tab/>
      </w:r>
      <w:bookmarkEnd w:id="1933"/>
      <w:r w:rsidRPr="008B7A21">
        <w:rPr>
          <w:lang w:val="es-ES_tradnl"/>
        </w:rPr>
        <w:t>Determinación del valor del espectro radioeléctrico</w:t>
      </w:r>
    </w:p>
    <w:p w14:paraId="0842B92B" w14:textId="77777777" w:rsidR="00F73D5B" w:rsidRPr="008B7A21" w:rsidRDefault="00F73D5B" w:rsidP="00F73D5B">
      <w:pPr>
        <w:rPr>
          <w:lang w:val="es-ES_tradnl"/>
        </w:rPr>
      </w:pPr>
      <w:r w:rsidRPr="008B7A21">
        <w:rPr>
          <w:lang w:val="es-ES_tradnl"/>
        </w:rPr>
        <w:t xml:space="preserve">A partir de las ecuaciones (56), (57) y (58) puede determinarse </w:t>
      </w:r>
      <w:r w:rsidRPr="008B7A21">
        <w:rPr>
          <w:i/>
          <w:iCs/>
          <w:lang w:val="es-ES_tradnl"/>
        </w:rPr>
        <w:t>C</w:t>
      </w:r>
      <w:r w:rsidRPr="008B7A21">
        <w:rPr>
          <w:i/>
          <w:iCs/>
          <w:vertAlign w:val="subscript"/>
          <w:lang w:val="es-ES_tradnl"/>
        </w:rPr>
        <w:t>ann</w:t>
      </w:r>
      <w:r w:rsidRPr="008B7A21">
        <w:rPr>
          <w:lang w:val="es-ES_tradnl"/>
        </w:rPr>
        <w:t>, que representa el pago anual por todas las radiofrecuencias utilizadas en el país. Esta suma debe recaudarse en forma equitativa y no discriminatoria de todos los operadores de telecomunicaciones que utilizan el espectro radioeléctrico. Para llevar a cabo dicha tarea, y de conformidad con el presente Informe y lo dispuesto por la Conferencia Mundial de Desarrollo de las Telecomunicaciones de la UIT (La Valetta, 1998), habrá que determinar el valor del espectro utilizado por cada operador.</w:t>
      </w:r>
    </w:p>
    <w:p w14:paraId="02C66185" w14:textId="77777777" w:rsidR="00F73D5B" w:rsidRPr="008B7A21" w:rsidRDefault="00F73D5B" w:rsidP="00F73D5B">
      <w:pPr>
        <w:keepNext/>
        <w:keepLines/>
        <w:rPr>
          <w:lang w:val="es-ES_tradnl"/>
        </w:rPr>
      </w:pPr>
      <w:r w:rsidRPr="008B7A21">
        <w:rPr>
          <w:lang w:val="es-ES_tradnl"/>
        </w:rPr>
        <w:t>El NCA estipula ciertas limitaciones que los usuarios deben observar en relación con la utilización de asignaciones de frecuencia. Estas limitaciones tienen que ver con la instalación y explotación de sus equipos radioeléctricos. En la base de datos nacional se almacena la información necesaria sobre las asignaciones de frecuencia (bandas de frecuencias, capacidad del transmisor, coordenadas geográficas, tipo de antena y altura de las antenas instaladas, etc.). El total de asignaciones de frecuencia se designa con la letra «</w:t>
      </w:r>
      <w:r w:rsidRPr="008B7A21">
        <w:rPr>
          <w:i/>
          <w:iCs/>
          <w:lang w:val="es-ES_tradnl"/>
        </w:rPr>
        <w:t>n</w:t>
      </w:r>
      <w:r w:rsidRPr="008B7A21">
        <w:rPr>
          <w:lang w:val="es-ES_tradnl"/>
        </w:rPr>
        <w:t>».</w:t>
      </w:r>
    </w:p>
    <w:p w14:paraId="0F97D5F4" w14:textId="77777777" w:rsidR="00F73D5B" w:rsidRPr="008B7A21" w:rsidRDefault="00F73D5B" w:rsidP="00F73D5B">
      <w:pPr>
        <w:rPr>
          <w:lang w:val="es-ES_tradnl"/>
        </w:rPr>
      </w:pPr>
      <w:r w:rsidRPr="008B7A21">
        <w:rPr>
          <w:lang w:val="es-ES_tradnl"/>
        </w:rPr>
        <w:t>El método utilizado es el siguiente:</w:t>
      </w:r>
    </w:p>
    <w:p w14:paraId="4EF7B2AE" w14:textId="77777777" w:rsidR="00F73D5B" w:rsidRPr="008B7A21" w:rsidRDefault="00F73D5B" w:rsidP="00F73D5B">
      <w:pPr>
        <w:rPr>
          <w:lang w:val="es-ES_tradnl"/>
        </w:rPr>
      </w:pPr>
      <w:r w:rsidRPr="008B7A21">
        <w:rPr>
          <w:lang w:val="es-ES_tradnl"/>
        </w:rPr>
        <w:t xml:space="preserve">Para el usuario </w:t>
      </w:r>
      <w:r w:rsidRPr="008B7A21">
        <w:rPr>
          <w:i/>
          <w:iCs/>
          <w:lang w:val="es-ES_tradnl"/>
        </w:rPr>
        <w:t>i</w:t>
      </w:r>
      <w:r w:rsidRPr="008B7A21">
        <w:rPr>
          <w:lang w:val="es-ES_tradnl"/>
        </w:rPr>
        <w:t>-ésimo y en base a las características de su asignación de frecuencia incorporadas a la base de datos nacional, es posible calcular un valor tridimensional del espectro utilizado de la manera siguiente:</w:t>
      </w:r>
    </w:p>
    <w:p w14:paraId="0F8EA12B"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2"/>
          <w:lang w:val="es-ES_tradnl"/>
        </w:rPr>
        <w:object w:dxaOrig="1520" w:dyaOrig="360" w14:anchorId="52BA1D80">
          <v:shape id="_x0000_i1748" type="#_x0000_t75" style="width:76.2pt;height:19.25pt" o:ole="">
            <v:imagedata r:id="rId206" o:title=""/>
          </v:shape>
          <o:OLEObject Type="Embed" ProgID="Equation.3" ShapeID="_x0000_i1748" DrawAspect="Content" ObjectID="_1826705957" r:id="rId207"/>
        </w:object>
      </w:r>
      <w:r w:rsidRPr="008B7A21">
        <w:rPr>
          <w:lang w:val="es-ES_tradnl"/>
        </w:rPr>
        <w:tab/>
        <w:t>(59)</w:t>
      </w:r>
    </w:p>
    <w:p w14:paraId="6DC9ADEF" w14:textId="77777777" w:rsidR="00F73D5B" w:rsidRPr="008B7A21" w:rsidRDefault="00F73D5B" w:rsidP="00F73D5B">
      <w:pPr>
        <w:rPr>
          <w:lang w:val="es-ES_tradnl"/>
        </w:rPr>
      </w:pPr>
      <w:r w:rsidRPr="008B7A21">
        <w:rPr>
          <w:lang w:val="es-ES_tradnl"/>
        </w:rPr>
        <w:t>donde:</w:t>
      </w:r>
    </w:p>
    <w:p w14:paraId="6D229651" w14:textId="77777777" w:rsidR="00F73D5B" w:rsidRPr="008B7A21" w:rsidRDefault="00F73D5B" w:rsidP="00F73D5B">
      <w:pPr>
        <w:pStyle w:val="Equationlegend"/>
        <w:rPr>
          <w:lang w:val="es-ES_tradnl"/>
        </w:rPr>
      </w:pPr>
      <w:r w:rsidRPr="008B7A21">
        <w:rPr>
          <w:lang w:val="es-ES_tradnl"/>
        </w:rPr>
        <w:tab/>
      </w:r>
      <w:r w:rsidRPr="008B7A21">
        <w:rPr>
          <w:i/>
          <w:iCs/>
          <w:lang w:val="es-ES_tradnl"/>
        </w:rPr>
        <w:t>Z</w:t>
      </w:r>
      <w:r w:rsidRPr="008B7A21">
        <w:rPr>
          <w:i/>
          <w:iCs/>
          <w:vertAlign w:val="subscript"/>
          <w:lang w:val="es-ES_tradnl"/>
        </w:rPr>
        <w:t>i</w:t>
      </w:r>
      <w:r w:rsidRPr="008B7A21">
        <w:rPr>
          <w:lang w:val="es-ES_tradnl"/>
        </w:rPr>
        <w:t>:</w:t>
      </w:r>
      <w:r w:rsidRPr="008B7A21">
        <w:rPr>
          <w:rFonts w:ascii="Tms Rmn" w:hAnsi="Tms Rmn"/>
          <w:lang w:val="es-ES_tradnl"/>
        </w:rPr>
        <w:tab/>
      </w:r>
      <w:r w:rsidRPr="008B7A21">
        <w:rPr>
          <w:lang w:val="es-ES_tradnl"/>
        </w:rPr>
        <w:t xml:space="preserve">frecuencia utilizada para la asignación de frecuencia </w:t>
      </w:r>
      <w:r w:rsidRPr="008B7A21">
        <w:rPr>
          <w:i/>
          <w:iCs/>
          <w:lang w:val="es-ES_tradnl"/>
        </w:rPr>
        <w:t>i</w:t>
      </w:r>
      <w:r w:rsidRPr="008B7A21">
        <w:rPr>
          <w:lang w:val="es-ES_tradnl"/>
        </w:rPr>
        <w:t>-ésima</w:t>
      </w:r>
    </w:p>
    <w:p w14:paraId="62EDA23A" w14:textId="77777777" w:rsidR="00F73D5B" w:rsidRPr="008B7A21" w:rsidRDefault="00F73D5B" w:rsidP="00F73D5B">
      <w:pPr>
        <w:pStyle w:val="Equationlegend"/>
        <w:rPr>
          <w:lang w:val="es-ES_tradnl"/>
        </w:rPr>
      </w:pPr>
      <w:r w:rsidRPr="008B7A21">
        <w:rPr>
          <w:lang w:val="es-ES_tradnl"/>
        </w:rPr>
        <w:tab/>
      </w:r>
      <w:r w:rsidRPr="008B7A21">
        <w:rPr>
          <w:i/>
          <w:iCs/>
          <w:lang w:val="es-ES_tradnl"/>
        </w:rPr>
        <w:t>F</w:t>
      </w:r>
      <w:r w:rsidRPr="008B7A21">
        <w:rPr>
          <w:i/>
          <w:iCs/>
          <w:vertAlign w:val="subscript"/>
          <w:lang w:val="es-ES_tradnl"/>
        </w:rPr>
        <w:t>i</w:t>
      </w:r>
      <w:r w:rsidRPr="008B7A21">
        <w:rPr>
          <w:lang w:val="es-ES_tradnl"/>
        </w:rPr>
        <w:t>:</w:t>
      </w:r>
      <w:r w:rsidRPr="008B7A21">
        <w:rPr>
          <w:rFonts w:ascii="Tms Rmn" w:hAnsi="Tms Rmn"/>
          <w:lang w:val="es-ES_tradnl"/>
        </w:rPr>
        <w:tab/>
      </w:r>
      <w:r w:rsidRPr="008B7A21">
        <w:rPr>
          <w:lang w:val="es-ES_tradnl"/>
        </w:rPr>
        <w:t xml:space="preserve">banda de frecuencias radioeléctricas utilizada para la asignación de frecuencia </w:t>
      </w:r>
      <w:r w:rsidRPr="008B7A21">
        <w:rPr>
          <w:i/>
          <w:iCs/>
          <w:lang w:val="es-ES_tradnl"/>
        </w:rPr>
        <w:t>i</w:t>
      </w:r>
      <w:r w:rsidRPr="008B7A21">
        <w:rPr>
          <w:lang w:val="es-ES_tradnl"/>
        </w:rPr>
        <w:noBreakHyphen/>
        <w:t>ésima</w:t>
      </w:r>
    </w:p>
    <w:p w14:paraId="51756E33" w14:textId="77777777" w:rsidR="00F73D5B" w:rsidRPr="008B7A21" w:rsidRDefault="00F73D5B" w:rsidP="00F73D5B">
      <w:pPr>
        <w:pStyle w:val="Equationlegend"/>
        <w:rPr>
          <w:lang w:val="es-ES_tradnl"/>
        </w:rPr>
      </w:pPr>
      <w:r w:rsidRPr="008B7A21">
        <w:rPr>
          <w:lang w:val="es-ES_tradnl"/>
        </w:rPr>
        <w:tab/>
      </w:r>
      <w:r w:rsidRPr="008B7A21">
        <w:rPr>
          <w:i/>
          <w:iCs/>
          <w:lang w:val="es-ES_tradnl"/>
        </w:rPr>
        <w:t>S</w:t>
      </w:r>
      <w:r w:rsidRPr="008B7A21">
        <w:rPr>
          <w:i/>
          <w:iCs/>
          <w:vertAlign w:val="subscript"/>
          <w:lang w:val="es-ES_tradnl"/>
        </w:rPr>
        <w:t>i</w:t>
      </w:r>
      <w:r w:rsidRPr="008B7A21">
        <w:rPr>
          <w:lang w:val="es-ES_tradnl"/>
        </w:rPr>
        <w:t>:</w:t>
      </w:r>
      <w:r w:rsidRPr="008B7A21">
        <w:rPr>
          <w:rFonts w:ascii="Tms Rmn" w:hAnsi="Tms Rmn"/>
          <w:lang w:val="es-ES_tradnl"/>
        </w:rPr>
        <w:tab/>
      </w:r>
      <w:r w:rsidRPr="008B7A21">
        <w:rPr>
          <w:lang w:val="es-ES_tradnl"/>
        </w:rPr>
        <w:t xml:space="preserve">zona del territorio utilizado para la asignación de frecuencia </w:t>
      </w:r>
      <w:r w:rsidRPr="008B7A21">
        <w:rPr>
          <w:i/>
          <w:iCs/>
          <w:lang w:val="es-ES_tradnl"/>
        </w:rPr>
        <w:t>i</w:t>
      </w:r>
      <w:r w:rsidRPr="008B7A21">
        <w:rPr>
          <w:lang w:val="es-ES_tradnl"/>
        </w:rPr>
        <w:t>-ésima</w:t>
      </w:r>
    </w:p>
    <w:p w14:paraId="21118048" w14:textId="77777777" w:rsidR="00F73D5B" w:rsidRPr="008B7A21" w:rsidRDefault="00F73D5B" w:rsidP="00F73D5B">
      <w:pPr>
        <w:pStyle w:val="Equationlegend"/>
        <w:rPr>
          <w:lang w:val="es-ES_tradnl"/>
        </w:rPr>
      </w:pPr>
      <w:r w:rsidRPr="008B7A21">
        <w:rPr>
          <w:lang w:val="es-ES_tradnl"/>
        </w:rPr>
        <w:tab/>
      </w:r>
      <w:r w:rsidRPr="008B7A21">
        <w:rPr>
          <w:i/>
          <w:iCs/>
          <w:lang w:val="es-ES_tradnl"/>
        </w:rPr>
        <w:t>t</w:t>
      </w:r>
      <w:r w:rsidRPr="008B7A21">
        <w:rPr>
          <w:lang w:val="es-ES_tradnl"/>
        </w:rPr>
        <w:t>:</w:t>
      </w:r>
      <w:r w:rsidRPr="008B7A21">
        <w:rPr>
          <w:rFonts w:ascii="Tms Rmn" w:hAnsi="Tms Rmn"/>
          <w:lang w:val="es-ES_tradnl"/>
        </w:rPr>
        <w:tab/>
        <w:t>r</w:t>
      </w:r>
      <w:r w:rsidRPr="008B7A21">
        <w:rPr>
          <w:lang w:val="es-ES_tradnl"/>
        </w:rPr>
        <w:t>epresenta el tiempo.</w:t>
      </w:r>
    </w:p>
    <w:p w14:paraId="37731742" w14:textId="77777777" w:rsidR="00F73D5B" w:rsidRPr="008B7A21" w:rsidRDefault="00F73D5B" w:rsidP="00F73D5B">
      <w:pPr>
        <w:rPr>
          <w:lang w:val="es-ES_tradnl"/>
        </w:rPr>
      </w:pPr>
      <w:r w:rsidRPr="008B7A21">
        <w:rPr>
          <w:lang w:val="es-ES_tradnl"/>
        </w:rPr>
        <w:t>Cada componente puede considerarse más detalladamente:</w:t>
      </w:r>
    </w:p>
    <w:p w14:paraId="5550154B" w14:textId="47A12B13" w:rsidR="00F73D5B" w:rsidRPr="008B7A21" w:rsidRDefault="00F73D5B" w:rsidP="00F73D5B">
      <w:pPr>
        <w:pStyle w:val="enumlev1"/>
        <w:rPr>
          <w:lang w:val="es-ES_tradnl"/>
        </w:rPr>
      </w:pPr>
      <w:r w:rsidRPr="008B7A21">
        <w:rPr>
          <w:lang w:val="es-ES_tradnl"/>
        </w:rPr>
        <w:t>a)</w:t>
      </w:r>
      <w:r w:rsidRPr="008B7A21">
        <w:rPr>
          <w:rFonts w:ascii="Arial" w:hAnsi="Arial"/>
          <w:lang w:val="es-ES_tradnl"/>
        </w:rPr>
        <w:tab/>
      </w:r>
      <w:r w:rsidRPr="008B7A21">
        <w:rPr>
          <w:lang w:val="es-ES_tradnl"/>
        </w:rPr>
        <w:t xml:space="preserve">El tiempo </w:t>
      </w:r>
      <w:r w:rsidRPr="008B7A21">
        <w:rPr>
          <w:i/>
          <w:iCs/>
          <w:lang w:val="es-ES_tradnl"/>
        </w:rPr>
        <w:t>t</w:t>
      </w:r>
      <w:r w:rsidRPr="008B7A21">
        <w:rPr>
          <w:lang w:val="es-ES_tradnl"/>
        </w:rPr>
        <w:t xml:space="preserve"> para todos los usuarios es un año (</w:t>
      </w:r>
      <w:r w:rsidRPr="008B7A21">
        <w:rPr>
          <w:i/>
          <w:iCs/>
          <w:lang w:val="es-ES_tradnl"/>
        </w:rPr>
        <w:t>t</w:t>
      </w:r>
      <w:r w:rsidRPr="008B7A21">
        <w:rPr>
          <w:lang w:val="es-ES_tradnl"/>
        </w:rPr>
        <w:t> </w:t>
      </w:r>
      <w:r w:rsidR="00386EEF">
        <w:rPr>
          <w:lang w:val="es-ES_tradnl"/>
        </w:rPr>
        <w:t>=</w:t>
      </w:r>
      <w:r w:rsidRPr="008B7A21">
        <w:rPr>
          <w:lang w:val="es-ES_tradnl"/>
        </w:rPr>
        <w:t> 1).</w:t>
      </w:r>
    </w:p>
    <w:p w14:paraId="7C4DC1AC" w14:textId="7B4CF921" w:rsidR="00F73D5B" w:rsidRPr="008B7A21" w:rsidRDefault="00F73D5B" w:rsidP="00F73D5B">
      <w:pPr>
        <w:pStyle w:val="enumlev1"/>
        <w:rPr>
          <w:lang w:val="es-ES_tradnl"/>
        </w:rPr>
      </w:pPr>
      <w:r w:rsidRPr="008B7A21">
        <w:rPr>
          <w:lang w:val="es-ES_tradnl"/>
        </w:rPr>
        <w:t>b)</w:t>
      </w:r>
      <w:r w:rsidRPr="008B7A21">
        <w:rPr>
          <w:lang w:val="es-ES_tradnl"/>
        </w:rPr>
        <w:tab/>
        <w:t xml:space="preserve">La densidad demográfica de los territorios considerados no es uniforme. Las zonas con densidad demográfica elevada son más interesantes para los operadores de servicios de telecomunicaciones. En consecuencia, el territorio de la República Kirguisa se ha dividido en </w:t>
      </w:r>
      <w:r w:rsidRPr="008B7A21">
        <w:rPr>
          <w:i/>
          <w:iCs/>
          <w:lang w:val="es-ES_tradnl"/>
        </w:rPr>
        <w:t>m</w:t>
      </w:r>
      <w:r w:rsidRPr="008B7A21">
        <w:rPr>
          <w:lang w:val="es-ES_tradnl"/>
        </w:rPr>
        <w:t xml:space="preserve"> territorios con arreglo a la estructura administrativa nacional y para cada territorio </w:t>
      </w:r>
      <w:r w:rsidRPr="008B7A21">
        <w:rPr>
          <w:i/>
          <w:iCs/>
          <w:lang w:val="es-ES_tradnl"/>
        </w:rPr>
        <w:t>j</w:t>
      </w:r>
      <w:r w:rsidRPr="008B7A21">
        <w:rPr>
          <w:lang w:val="es-ES_tradnl"/>
        </w:rPr>
        <w:noBreakHyphen/>
        <w:t>ésimo (1 </w:t>
      </w:r>
      <w:r w:rsidR="00386EEF">
        <w:rPr>
          <w:lang w:val="es-ES_tradnl"/>
        </w:rPr>
        <w:t>≤</w:t>
      </w:r>
      <w:r w:rsidRPr="008B7A21">
        <w:rPr>
          <w:lang w:val="es-ES_tradnl"/>
        </w:rPr>
        <w:t> </w:t>
      </w:r>
      <w:r w:rsidRPr="008B7A21">
        <w:rPr>
          <w:i/>
          <w:iCs/>
          <w:lang w:val="es-ES_tradnl"/>
        </w:rPr>
        <w:t>j</w:t>
      </w:r>
      <w:r w:rsidRPr="008B7A21">
        <w:rPr>
          <w:lang w:val="es-ES_tradnl"/>
        </w:rPr>
        <w:t> </w:t>
      </w:r>
      <w:r w:rsidR="00386EEF">
        <w:rPr>
          <w:lang w:val="es-ES_tradnl"/>
        </w:rPr>
        <w:t>≤</w:t>
      </w:r>
      <w:r w:rsidRPr="008B7A21">
        <w:rPr>
          <w:lang w:val="es-ES_tradnl"/>
        </w:rPr>
        <w:t> </w:t>
      </w:r>
      <w:r w:rsidRPr="008B7A21">
        <w:rPr>
          <w:i/>
          <w:iCs/>
          <w:lang w:val="es-ES_tradnl"/>
        </w:rPr>
        <w:t>m</w:t>
      </w:r>
      <w:r w:rsidRPr="008B7A21">
        <w:rPr>
          <w:lang w:val="es-ES_tradnl"/>
        </w:rPr>
        <w:t xml:space="preserve">) el coeficiente de densidad demográfica (con arreglo a los datos del censo) es </w:t>
      </w:r>
      <w:r w:rsidRPr="008B7A21">
        <w:rPr>
          <w:i/>
          <w:iCs/>
          <w:lang w:val="es-ES_tradnl"/>
        </w:rPr>
        <w:t>K</w:t>
      </w:r>
      <w:r w:rsidRPr="008B7A21">
        <w:rPr>
          <w:i/>
          <w:iCs/>
          <w:vertAlign w:val="subscript"/>
          <w:lang w:val="es-ES_tradnl"/>
        </w:rPr>
        <w:t>j</w:t>
      </w:r>
      <w:r w:rsidRPr="008B7A21">
        <w:rPr>
          <w:lang w:val="es-ES_tradnl"/>
        </w:rPr>
        <w:t xml:space="preserve"> (véase el Cuadro 28). </w:t>
      </w:r>
      <w:r w:rsidRPr="008B7A21">
        <w:rPr>
          <w:i/>
          <w:iCs/>
          <w:lang w:val="es-ES_tradnl"/>
        </w:rPr>
        <w:t>K</w:t>
      </w:r>
      <w:r w:rsidRPr="008B7A21">
        <w:rPr>
          <w:i/>
          <w:iCs/>
          <w:vertAlign w:val="subscript"/>
          <w:lang w:val="es-ES_tradnl"/>
        </w:rPr>
        <w:t>j</w:t>
      </w:r>
      <w:r w:rsidRPr="008B7A21">
        <w:rPr>
          <w:lang w:val="es-ES_tradnl"/>
        </w:rPr>
        <w:t> </w:t>
      </w:r>
      <w:r w:rsidR="00386EEF">
        <w:rPr>
          <w:lang w:val="es-ES_tradnl"/>
        </w:rPr>
        <w:t>=</w:t>
      </w:r>
      <w:r w:rsidRPr="008B7A21">
        <w:rPr>
          <w:lang w:val="es-ES_tradnl"/>
        </w:rPr>
        <w:t> 1 para la zona de menor densidad demográfica.</w:t>
      </w:r>
    </w:p>
    <w:p w14:paraId="4E0BE51C" w14:textId="6B7F86B0" w:rsidR="00F73D5B" w:rsidRPr="008B7A21" w:rsidRDefault="00F73D5B" w:rsidP="00F73D5B">
      <w:pPr>
        <w:pStyle w:val="TableNo"/>
        <w:rPr>
          <w:lang w:val="es-ES_tradnl"/>
        </w:rPr>
      </w:pPr>
      <w:r w:rsidRPr="008B7A21">
        <w:rPr>
          <w:lang w:val="es-ES_tradnl"/>
        </w:rPr>
        <w:t>CUADRO 28</w:t>
      </w:r>
    </w:p>
    <w:p w14:paraId="3961464D" w14:textId="77777777" w:rsidR="00F73D5B" w:rsidRPr="008B7A21" w:rsidRDefault="00F73D5B" w:rsidP="00F73D5B">
      <w:pPr>
        <w:pStyle w:val="Tabletitle"/>
        <w:rPr>
          <w:lang w:val="es-ES_tradnl"/>
        </w:rPr>
      </w:pPr>
      <w:r w:rsidRPr="008B7A21">
        <w:rPr>
          <w:lang w:val="es-ES_tradnl"/>
        </w:rPr>
        <w:t>Coeficiente de densidad demográfica para los diferentes</w:t>
      </w:r>
      <w:r w:rsidRPr="008B7A21">
        <w:rPr>
          <w:lang w:val="es-ES_tradnl"/>
        </w:rPr>
        <w:br/>
        <w:t>territorios de la República Kirguisa</w:t>
      </w: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Layout w:type="fixed"/>
        <w:tblLook w:val="0000" w:firstRow="0" w:lastRow="0" w:firstColumn="0" w:lastColumn="0" w:noHBand="0" w:noVBand="0"/>
      </w:tblPr>
      <w:tblGrid>
        <w:gridCol w:w="6520"/>
        <w:gridCol w:w="1134"/>
      </w:tblGrid>
      <w:tr w:rsidR="00F73D5B" w:rsidRPr="008B7A21" w14:paraId="732D9DCD" w14:textId="77777777" w:rsidTr="00767A6A">
        <w:trPr>
          <w:cantSplit/>
          <w:jc w:val="center"/>
        </w:trPr>
        <w:tc>
          <w:tcPr>
            <w:tcW w:w="6520" w:type="dxa"/>
          </w:tcPr>
          <w:p w14:paraId="63D2DDB9" w14:textId="77777777" w:rsidR="00F73D5B" w:rsidRPr="008B7A21" w:rsidRDefault="00F73D5B" w:rsidP="00767A6A">
            <w:pPr>
              <w:pStyle w:val="Tablehead"/>
              <w:keepLines/>
              <w:rPr>
                <w:lang w:val="es-ES_tradnl"/>
              </w:rPr>
            </w:pPr>
            <w:r w:rsidRPr="008B7A21">
              <w:rPr>
                <w:lang w:val="es-ES_tradnl"/>
              </w:rPr>
              <w:t>Nombre – Provincia (óblast)</w:t>
            </w:r>
          </w:p>
        </w:tc>
        <w:tc>
          <w:tcPr>
            <w:tcW w:w="1134" w:type="dxa"/>
          </w:tcPr>
          <w:p w14:paraId="2B90F5AC" w14:textId="77777777" w:rsidR="00F73D5B" w:rsidRPr="008B7A21" w:rsidRDefault="00F73D5B" w:rsidP="00767A6A">
            <w:pPr>
              <w:pStyle w:val="Tablehead"/>
              <w:keepLines/>
              <w:rPr>
                <w:i/>
                <w:iCs/>
                <w:lang w:val="es-ES_tradnl"/>
              </w:rPr>
            </w:pPr>
            <w:r w:rsidRPr="008B7A21">
              <w:rPr>
                <w:i/>
                <w:iCs/>
                <w:lang w:val="es-ES_tradnl"/>
              </w:rPr>
              <w:t>B</w:t>
            </w:r>
            <w:r w:rsidRPr="008B7A21">
              <w:rPr>
                <w:i/>
                <w:iCs/>
                <w:position w:val="-4"/>
                <w:lang w:val="es-ES_tradnl"/>
              </w:rPr>
              <w:t>j</w:t>
            </w:r>
          </w:p>
        </w:tc>
      </w:tr>
      <w:tr w:rsidR="00F73D5B" w:rsidRPr="008B7A21" w14:paraId="7C83608F" w14:textId="77777777" w:rsidTr="00767A6A">
        <w:trPr>
          <w:cantSplit/>
          <w:jc w:val="center"/>
        </w:trPr>
        <w:tc>
          <w:tcPr>
            <w:tcW w:w="6520" w:type="dxa"/>
          </w:tcPr>
          <w:p w14:paraId="380BA4E7" w14:textId="77777777" w:rsidR="00F73D5B" w:rsidRPr="008B7A21" w:rsidRDefault="00F73D5B" w:rsidP="00767A6A">
            <w:pPr>
              <w:pStyle w:val="Tabletext"/>
              <w:keepNext/>
              <w:keepLines/>
              <w:rPr>
                <w:lang w:val="es-ES_tradnl"/>
              </w:rPr>
            </w:pPr>
            <w:r w:rsidRPr="008B7A21">
              <w:rPr>
                <w:lang w:val="es-ES_tradnl"/>
              </w:rPr>
              <w:t>Naryn</w:t>
            </w:r>
          </w:p>
        </w:tc>
        <w:tc>
          <w:tcPr>
            <w:tcW w:w="1134" w:type="dxa"/>
          </w:tcPr>
          <w:p w14:paraId="31C20D42" w14:textId="77777777" w:rsidR="00F73D5B" w:rsidRPr="008B7A21" w:rsidRDefault="00F73D5B" w:rsidP="00767A6A">
            <w:pPr>
              <w:pStyle w:val="Tabletext"/>
              <w:keepNext/>
              <w:keepLines/>
              <w:jc w:val="center"/>
              <w:rPr>
                <w:lang w:val="es-ES_tradnl"/>
              </w:rPr>
            </w:pPr>
            <w:r w:rsidRPr="008B7A21">
              <w:rPr>
                <w:lang w:val="es-ES_tradnl"/>
              </w:rPr>
              <w:t>1</w:t>
            </w:r>
          </w:p>
        </w:tc>
      </w:tr>
      <w:tr w:rsidR="00F73D5B" w:rsidRPr="008B7A21" w14:paraId="604EA954" w14:textId="77777777" w:rsidTr="00767A6A">
        <w:trPr>
          <w:cantSplit/>
          <w:jc w:val="center"/>
        </w:trPr>
        <w:tc>
          <w:tcPr>
            <w:tcW w:w="6520" w:type="dxa"/>
          </w:tcPr>
          <w:p w14:paraId="571C4802" w14:textId="77777777" w:rsidR="00F73D5B" w:rsidRPr="008B7A21" w:rsidRDefault="00F73D5B" w:rsidP="00767A6A">
            <w:pPr>
              <w:pStyle w:val="Tabletext"/>
              <w:keepNext/>
              <w:keepLines/>
              <w:rPr>
                <w:lang w:val="es-ES_tradnl"/>
              </w:rPr>
            </w:pPr>
            <w:r w:rsidRPr="008B7A21">
              <w:rPr>
                <w:lang w:val="es-ES_tradnl"/>
              </w:rPr>
              <w:t>Talas</w:t>
            </w:r>
          </w:p>
        </w:tc>
        <w:tc>
          <w:tcPr>
            <w:tcW w:w="1134" w:type="dxa"/>
          </w:tcPr>
          <w:p w14:paraId="73034A84" w14:textId="77777777" w:rsidR="00F73D5B" w:rsidRPr="008B7A21" w:rsidRDefault="00F73D5B" w:rsidP="00767A6A">
            <w:pPr>
              <w:pStyle w:val="Tabletext"/>
              <w:keepNext/>
              <w:keepLines/>
              <w:jc w:val="center"/>
              <w:rPr>
                <w:lang w:val="es-ES_tradnl"/>
              </w:rPr>
            </w:pPr>
            <w:r w:rsidRPr="008B7A21">
              <w:rPr>
                <w:lang w:val="es-ES_tradnl"/>
              </w:rPr>
              <w:t>3,7</w:t>
            </w:r>
          </w:p>
        </w:tc>
      </w:tr>
      <w:tr w:rsidR="00F73D5B" w:rsidRPr="008B7A21" w14:paraId="27565C27" w14:textId="77777777" w:rsidTr="00767A6A">
        <w:trPr>
          <w:cantSplit/>
          <w:jc w:val="center"/>
        </w:trPr>
        <w:tc>
          <w:tcPr>
            <w:tcW w:w="6520" w:type="dxa"/>
          </w:tcPr>
          <w:p w14:paraId="44C2F3A0" w14:textId="77777777" w:rsidR="00F73D5B" w:rsidRPr="008B7A21" w:rsidRDefault="00F73D5B" w:rsidP="00767A6A">
            <w:pPr>
              <w:pStyle w:val="Tabletext"/>
              <w:rPr>
                <w:lang w:val="es-ES_tradnl"/>
              </w:rPr>
            </w:pPr>
            <w:r w:rsidRPr="008B7A21">
              <w:rPr>
                <w:lang w:val="es-ES_tradnl"/>
              </w:rPr>
              <w:t>Issyk-Kul</w:t>
            </w:r>
          </w:p>
        </w:tc>
        <w:tc>
          <w:tcPr>
            <w:tcW w:w="1134" w:type="dxa"/>
          </w:tcPr>
          <w:p w14:paraId="0609217D" w14:textId="77777777" w:rsidR="00F73D5B" w:rsidRPr="008B7A21" w:rsidRDefault="00F73D5B" w:rsidP="00767A6A">
            <w:pPr>
              <w:pStyle w:val="Tabletext"/>
              <w:jc w:val="center"/>
              <w:rPr>
                <w:lang w:val="es-ES_tradnl"/>
              </w:rPr>
            </w:pPr>
            <w:r w:rsidRPr="008B7A21">
              <w:rPr>
                <w:lang w:val="es-ES_tradnl"/>
              </w:rPr>
              <w:t>3,5</w:t>
            </w:r>
          </w:p>
        </w:tc>
      </w:tr>
      <w:tr w:rsidR="00F73D5B" w:rsidRPr="008B7A21" w14:paraId="7AA5E473" w14:textId="77777777" w:rsidTr="00767A6A">
        <w:trPr>
          <w:cantSplit/>
          <w:jc w:val="center"/>
        </w:trPr>
        <w:tc>
          <w:tcPr>
            <w:tcW w:w="6520" w:type="dxa"/>
          </w:tcPr>
          <w:p w14:paraId="371A104C" w14:textId="77777777" w:rsidR="00F73D5B" w:rsidRPr="008B7A21" w:rsidRDefault="00F73D5B" w:rsidP="00767A6A">
            <w:pPr>
              <w:pStyle w:val="Tabletext"/>
              <w:rPr>
                <w:lang w:val="es-ES_tradnl"/>
              </w:rPr>
            </w:pPr>
            <w:r w:rsidRPr="008B7A21">
              <w:rPr>
                <w:lang w:val="es-ES_tradnl"/>
              </w:rPr>
              <w:t>Jalal-Abad</w:t>
            </w:r>
          </w:p>
        </w:tc>
        <w:tc>
          <w:tcPr>
            <w:tcW w:w="1134" w:type="dxa"/>
          </w:tcPr>
          <w:p w14:paraId="7DEFFC10" w14:textId="77777777" w:rsidR="00F73D5B" w:rsidRPr="008B7A21" w:rsidRDefault="00F73D5B" w:rsidP="00767A6A">
            <w:pPr>
              <w:pStyle w:val="Tabletext"/>
              <w:jc w:val="center"/>
              <w:rPr>
                <w:lang w:val="es-ES_tradnl"/>
              </w:rPr>
            </w:pPr>
            <w:r w:rsidRPr="008B7A21">
              <w:rPr>
                <w:lang w:val="es-ES_tradnl"/>
              </w:rPr>
              <w:t>5,6</w:t>
            </w:r>
          </w:p>
        </w:tc>
      </w:tr>
      <w:tr w:rsidR="00F73D5B" w:rsidRPr="008B7A21" w14:paraId="116514A2" w14:textId="77777777" w:rsidTr="00767A6A">
        <w:trPr>
          <w:cantSplit/>
          <w:jc w:val="center"/>
        </w:trPr>
        <w:tc>
          <w:tcPr>
            <w:tcW w:w="6520" w:type="dxa"/>
          </w:tcPr>
          <w:p w14:paraId="493A0CAF" w14:textId="77777777" w:rsidR="00F73D5B" w:rsidRPr="008B7A21" w:rsidRDefault="00F73D5B" w:rsidP="00767A6A">
            <w:pPr>
              <w:pStyle w:val="Tabletext"/>
              <w:rPr>
                <w:lang w:val="es-ES_tradnl"/>
              </w:rPr>
            </w:pPr>
            <w:r w:rsidRPr="008B7A21">
              <w:rPr>
                <w:lang w:val="es-ES_tradnl"/>
              </w:rPr>
              <w:t>Osh</w:t>
            </w:r>
          </w:p>
        </w:tc>
        <w:tc>
          <w:tcPr>
            <w:tcW w:w="1134" w:type="dxa"/>
          </w:tcPr>
          <w:p w14:paraId="5305679F" w14:textId="77777777" w:rsidR="00F73D5B" w:rsidRPr="008B7A21" w:rsidRDefault="00F73D5B" w:rsidP="00767A6A">
            <w:pPr>
              <w:pStyle w:val="Tabletext"/>
              <w:jc w:val="center"/>
              <w:rPr>
                <w:lang w:val="es-ES_tradnl"/>
              </w:rPr>
            </w:pPr>
            <w:r w:rsidRPr="008B7A21">
              <w:rPr>
                <w:lang w:val="es-ES_tradnl"/>
              </w:rPr>
              <w:t>5</w:t>
            </w:r>
          </w:p>
        </w:tc>
      </w:tr>
      <w:tr w:rsidR="00F73D5B" w:rsidRPr="008B7A21" w14:paraId="78806BDC" w14:textId="77777777" w:rsidTr="00767A6A">
        <w:trPr>
          <w:cantSplit/>
          <w:jc w:val="center"/>
        </w:trPr>
        <w:tc>
          <w:tcPr>
            <w:tcW w:w="6520" w:type="dxa"/>
          </w:tcPr>
          <w:p w14:paraId="6DD54478" w14:textId="77777777" w:rsidR="00F73D5B" w:rsidRPr="008B7A21" w:rsidRDefault="00F73D5B" w:rsidP="00767A6A">
            <w:pPr>
              <w:pStyle w:val="Tabletext"/>
              <w:rPr>
                <w:lang w:val="es-ES_tradnl"/>
              </w:rPr>
            </w:pPr>
            <w:r w:rsidRPr="008B7A21">
              <w:rPr>
                <w:lang w:val="es-ES_tradnl"/>
              </w:rPr>
              <w:t>Chuy</w:t>
            </w:r>
          </w:p>
        </w:tc>
        <w:tc>
          <w:tcPr>
            <w:tcW w:w="1134" w:type="dxa"/>
          </w:tcPr>
          <w:p w14:paraId="29B0A396" w14:textId="77777777" w:rsidR="00F73D5B" w:rsidRPr="008B7A21" w:rsidRDefault="00F73D5B" w:rsidP="00767A6A">
            <w:pPr>
              <w:pStyle w:val="Tabletext"/>
              <w:jc w:val="center"/>
              <w:rPr>
                <w:lang w:val="es-ES_tradnl"/>
              </w:rPr>
            </w:pPr>
            <w:r w:rsidRPr="008B7A21">
              <w:rPr>
                <w:lang w:val="es-ES_tradnl"/>
              </w:rPr>
              <w:t>8</w:t>
            </w:r>
          </w:p>
        </w:tc>
      </w:tr>
      <w:tr w:rsidR="00F73D5B" w:rsidRPr="008B7A21" w14:paraId="0B84F9B0" w14:textId="77777777" w:rsidTr="00767A6A">
        <w:trPr>
          <w:cantSplit/>
          <w:jc w:val="center"/>
        </w:trPr>
        <w:tc>
          <w:tcPr>
            <w:tcW w:w="7654" w:type="dxa"/>
            <w:gridSpan w:val="2"/>
          </w:tcPr>
          <w:p w14:paraId="71B6C3DD" w14:textId="77777777" w:rsidR="00F73D5B" w:rsidRPr="008B7A21" w:rsidRDefault="00F73D5B" w:rsidP="00767A6A">
            <w:pPr>
              <w:pStyle w:val="Tablehead"/>
              <w:rPr>
                <w:lang w:val="es-ES_tradnl"/>
              </w:rPr>
            </w:pPr>
            <w:r w:rsidRPr="008B7A21">
              <w:rPr>
                <w:lang w:val="es-ES_tradnl"/>
              </w:rPr>
              <w:t>Ciudades y asentamientos tipo urbano</w:t>
            </w:r>
          </w:p>
        </w:tc>
      </w:tr>
      <w:tr w:rsidR="00F73D5B" w:rsidRPr="008B7A21" w14:paraId="488EA449" w14:textId="77777777" w:rsidTr="00767A6A">
        <w:trPr>
          <w:cantSplit/>
          <w:jc w:val="center"/>
        </w:trPr>
        <w:tc>
          <w:tcPr>
            <w:tcW w:w="6520" w:type="dxa"/>
          </w:tcPr>
          <w:p w14:paraId="076B86EB" w14:textId="77777777" w:rsidR="00F73D5B" w:rsidRPr="008B7A21" w:rsidRDefault="00F73D5B" w:rsidP="00767A6A">
            <w:pPr>
              <w:pStyle w:val="Tabletext"/>
              <w:rPr>
                <w:lang w:val="es-ES_tradnl"/>
              </w:rPr>
            </w:pPr>
            <w:r w:rsidRPr="008B7A21">
              <w:rPr>
                <w:lang w:val="es-ES_tradnl"/>
              </w:rPr>
              <w:t>Con una población comprendida entre 10</w:t>
            </w:r>
            <w:r w:rsidRPr="008B7A21">
              <w:rPr>
                <w:rFonts w:ascii="Tms Rmn" w:hAnsi="Tms Rmn"/>
                <w:lang w:val="es-ES_tradnl"/>
              </w:rPr>
              <w:t> </w:t>
            </w:r>
            <w:r w:rsidRPr="008B7A21">
              <w:rPr>
                <w:lang w:val="es-ES_tradnl"/>
              </w:rPr>
              <w:t>000 y 50</w:t>
            </w:r>
            <w:r w:rsidRPr="008B7A21">
              <w:rPr>
                <w:rFonts w:ascii="Tms Rmn" w:hAnsi="Tms Rmn"/>
                <w:lang w:val="es-ES_tradnl"/>
              </w:rPr>
              <w:t> </w:t>
            </w:r>
            <w:r w:rsidRPr="008B7A21">
              <w:rPr>
                <w:lang w:val="es-ES_tradnl"/>
              </w:rPr>
              <w:t>000 habitantes</w:t>
            </w:r>
          </w:p>
        </w:tc>
        <w:tc>
          <w:tcPr>
            <w:tcW w:w="1134" w:type="dxa"/>
          </w:tcPr>
          <w:p w14:paraId="43239EC4" w14:textId="77777777" w:rsidR="00F73D5B" w:rsidRPr="008B7A21" w:rsidRDefault="00F73D5B" w:rsidP="00767A6A">
            <w:pPr>
              <w:pStyle w:val="Tabletext"/>
              <w:jc w:val="center"/>
              <w:rPr>
                <w:lang w:val="es-ES_tradnl"/>
              </w:rPr>
            </w:pPr>
            <w:r w:rsidRPr="008B7A21">
              <w:rPr>
                <w:lang w:val="es-ES_tradnl"/>
              </w:rPr>
              <w:t>16</w:t>
            </w:r>
          </w:p>
        </w:tc>
      </w:tr>
      <w:tr w:rsidR="00F73D5B" w:rsidRPr="008B7A21" w14:paraId="2E25DD03" w14:textId="77777777" w:rsidTr="00767A6A">
        <w:trPr>
          <w:cantSplit/>
          <w:jc w:val="center"/>
        </w:trPr>
        <w:tc>
          <w:tcPr>
            <w:tcW w:w="6520" w:type="dxa"/>
          </w:tcPr>
          <w:p w14:paraId="2341719E" w14:textId="77777777" w:rsidR="00F73D5B" w:rsidRPr="008B7A21" w:rsidRDefault="00F73D5B" w:rsidP="00767A6A">
            <w:pPr>
              <w:pStyle w:val="Tabletext"/>
              <w:rPr>
                <w:lang w:val="es-ES_tradnl"/>
              </w:rPr>
            </w:pPr>
            <w:r w:rsidRPr="008B7A21">
              <w:rPr>
                <w:lang w:val="es-ES_tradnl"/>
              </w:rPr>
              <w:t>Con una población comprendida entre 50</w:t>
            </w:r>
            <w:r w:rsidRPr="008B7A21">
              <w:rPr>
                <w:rFonts w:ascii="Tms Rmn" w:hAnsi="Tms Rmn"/>
                <w:lang w:val="es-ES_tradnl"/>
              </w:rPr>
              <w:t> </w:t>
            </w:r>
            <w:r w:rsidRPr="008B7A21">
              <w:rPr>
                <w:lang w:val="es-ES_tradnl"/>
              </w:rPr>
              <w:t>000 y 100</w:t>
            </w:r>
            <w:r w:rsidRPr="008B7A21">
              <w:rPr>
                <w:rFonts w:ascii="Tms Rmn" w:hAnsi="Tms Rmn"/>
                <w:lang w:val="es-ES_tradnl"/>
              </w:rPr>
              <w:t> </w:t>
            </w:r>
            <w:r w:rsidRPr="008B7A21">
              <w:rPr>
                <w:lang w:val="es-ES_tradnl"/>
              </w:rPr>
              <w:t>000 habitantes</w:t>
            </w:r>
          </w:p>
        </w:tc>
        <w:tc>
          <w:tcPr>
            <w:tcW w:w="1134" w:type="dxa"/>
          </w:tcPr>
          <w:p w14:paraId="20B07FDC" w14:textId="77777777" w:rsidR="00F73D5B" w:rsidRPr="008B7A21" w:rsidRDefault="00F73D5B" w:rsidP="00767A6A">
            <w:pPr>
              <w:pStyle w:val="Tabletext"/>
              <w:jc w:val="center"/>
              <w:rPr>
                <w:lang w:val="es-ES_tradnl"/>
              </w:rPr>
            </w:pPr>
            <w:r w:rsidRPr="008B7A21">
              <w:rPr>
                <w:lang w:val="es-ES_tradnl"/>
              </w:rPr>
              <w:t>32</w:t>
            </w:r>
          </w:p>
        </w:tc>
      </w:tr>
      <w:tr w:rsidR="00F73D5B" w:rsidRPr="008B7A21" w14:paraId="2F5D0B22" w14:textId="77777777" w:rsidTr="00767A6A">
        <w:trPr>
          <w:cantSplit/>
          <w:jc w:val="center"/>
        </w:trPr>
        <w:tc>
          <w:tcPr>
            <w:tcW w:w="6520" w:type="dxa"/>
            <w:tcBorders>
              <w:bottom w:val="single" w:sz="2" w:space="0" w:color="auto"/>
            </w:tcBorders>
          </w:tcPr>
          <w:p w14:paraId="7D9C7781" w14:textId="77777777" w:rsidR="00F73D5B" w:rsidRPr="008B7A21" w:rsidRDefault="00F73D5B" w:rsidP="00767A6A">
            <w:pPr>
              <w:pStyle w:val="Tabletext"/>
              <w:rPr>
                <w:lang w:val="es-ES_tradnl"/>
              </w:rPr>
            </w:pPr>
            <w:r w:rsidRPr="008B7A21">
              <w:rPr>
                <w:lang w:val="es-ES_tradnl"/>
              </w:rPr>
              <w:t>Con una población comprendida entre 100</w:t>
            </w:r>
            <w:r w:rsidRPr="008B7A21">
              <w:rPr>
                <w:rFonts w:ascii="Tms Rmn" w:hAnsi="Tms Rmn"/>
                <w:lang w:val="es-ES_tradnl"/>
              </w:rPr>
              <w:t> </w:t>
            </w:r>
            <w:r w:rsidRPr="008B7A21">
              <w:rPr>
                <w:lang w:val="es-ES_tradnl"/>
              </w:rPr>
              <w:t>000 y 500</w:t>
            </w:r>
            <w:r w:rsidRPr="008B7A21">
              <w:rPr>
                <w:rFonts w:ascii="Tms Rmn" w:hAnsi="Tms Rmn"/>
                <w:lang w:val="es-ES_tradnl"/>
              </w:rPr>
              <w:t> </w:t>
            </w:r>
            <w:r w:rsidRPr="008B7A21">
              <w:rPr>
                <w:lang w:val="es-ES_tradnl"/>
              </w:rPr>
              <w:t>000 habitantes</w:t>
            </w:r>
          </w:p>
        </w:tc>
        <w:tc>
          <w:tcPr>
            <w:tcW w:w="1134" w:type="dxa"/>
            <w:tcBorders>
              <w:bottom w:val="single" w:sz="2" w:space="0" w:color="auto"/>
            </w:tcBorders>
          </w:tcPr>
          <w:p w14:paraId="76A191A3" w14:textId="77777777" w:rsidR="00F73D5B" w:rsidRPr="008B7A21" w:rsidRDefault="00F73D5B" w:rsidP="00767A6A">
            <w:pPr>
              <w:pStyle w:val="Tabletext"/>
              <w:jc w:val="center"/>
              <w:rPr>
                <w:lang w:val="es-ES_tradnl"/>
              </w:rPr>
            </w:pPr>
            <w:r w:rsidRPr="008B7A21">
              <w:rPr>
                <w:lang w:val="es-ES_tradnl"/>
              </w:rPr>
              <w:t>64</w:t>
            </w:r>
          </w:p>
        </w:tc>
      </w:tr>
      <w:tr w:rsidR="00F73D5B" w:rsidRPr="008B7A21" w14:paraId="1749D838" w14:textId="77777777" w:rsidTr="00767A6A">
        <w:trPr>
          <w:cantSplit/>
          <w:jc w:val="center"/>
        </w:trPr>
        <w:tc>
          <w:tcPr>
            <w:tcW w:w="6520" w:type="dxa"/>
            <w:tcBorders>
              <w:top w:val="single" w:sz="2" w:space="0" w:color="auto"/>
              <w:bottom w:val="single" w:sz="4" w:space="0" w:color="auto"/>
            </w:tcBorders>
          </w:tcPr>
          <w:p w14:paraId="1F80E701" w14:textId="77777777" w:rsidR="00F73D5B" w:rsidRPr="008B7A21" w:rsidRDefault="00F73D5B" w:rsidP="00767A6A">
            <w:pPr>
              <w:pStyle w:val="Tabletext"/>
              <w:rPr>
                <w:lang w:val="es-ES_tradnl"/>
              </w:rPr>
            </w:pPr>
            <w:r w:rsidRPr="008B7A21">
              <w:rPr>
                <w:lang w:val="es-ES_tradnl"/>
              </w:rPr>
              <w:t>Con una población superior a 500</w:t>
            </w:r>
            <w:r w:rsidRPr="008B7A21">
              <w:rPr>
                <w:rFonts w:ascii="Tms Rmn" w:hAnsi="Tms Rmn"/>
                <w:lang w:val="es-ES_tradnl"/>
              </w:rPr>
              <w:t> </w:t>
            </w:r>
            <w:r w:rsidRPr="008B7A21">
              <w:rPr>
                <w:lang w:val="es-ES_tradnl"/>
              </w:rPr>
              <w:t>000 habitantes</w:t>
            </w:r>
          </w:p>
        </w:tc>
        <w:tc>
          <w:tcPr>
            <w:tcW w:w="1134" w:type="dxa"/>
            <w:tcBorders>
              <w:top w:val="single" w:sz="2" w:space="0" w:color="auto"/>
              <w:bottom w:val="single" w:sz="4" w:space="0" w:color="auto"/>
            </w:tcBorders>
          </w:tcPr>
          <w:p w14:paraId="2F2AC810" w14:textId="77777777" w:rsidR="00F73D5B" w:rsidRPr="008B7A21" w:rsidRDefault="00F73D5B" w:rsidP="00767A6A">
            <w:pPr>
              <w:pStyle w:val="Tabletext"/>
              <w:jc w:val="center"/>
              <w:rPr>
                <w:lang w:val="es-ES_tradnl"/>
              </w:rPr>
            </w:pPr>
            <w:r w:rsidRPr="008B7A21">
              <w:rPr>
                <w:lang w:val="es-ES_tradnl"/>
              </w:rPr>
              <w:t>128</w:t>
            </w:r>
          </w:p>
        </w:tc>
      </w:tr>
    </w:tbl>
    <w:p w14:paraId="06F89DFC" w14:textId="77777777" w:rsidR="00F73D5B" w:rsidRPr="008B7A21" w:rsidRDefault="00F73D5B" w:rsidP="00F73D5B">
      <w:pPr>
        <w:pStyle w:val="Tablefin"/>
        <w:rPr>
          <w:lang w:val="es-ES_tradnl"/>
        </w:rPr>
      </w:pPr>
    </w:p>
    <w:p w14:paraId="0AD18486" w14:textId="77777777" w:rsidR="00F73D5B" w:rsidRPr="008B7A21" w:rsidRDefault="00F73D5B" w:rsidP="00F73D5B">
      <w:pPr>
        <w:pStyle w:val="enumlev1"/>
        <w:keepNext/>
        <w:keepLines/>
        <w:rPr>
          <w:lang w:val="es-ES_tradnl"/>
        </w:rPr>
      </w:pPr>
      <w:r w:rsidRPr="008B7A21">
        <w:rPr>
          <w:lang w:val="es-ES_tradnl"/>
        </w:rPr>
        <w:tab/>
        <w:t xml:space="preserve">El coeficiente de densidad demográfica permite asignar un pago anual equitativo a los usuarios. Por consiguiente, la zona de coordinación de la asignación de frecuencia </w:t>
      </w:r>
      <w:r w:rsidRPr="008B7A21">
        <w:rPr>
          <w:i/>
          <w:iCs/>
          <w:lang w:val="es-ES_tradnl"/>
        </w:rPr>
        <w:t>i</w:t>
      </w:r>
      <w:r w:rsidRPr="008B7A21">
        <w:rPr>
          <w:lang w:val="es-ES_tradnl"/>
        </w:rPr>
        <w:t xml:space="preserve">-ésima abarca </w:t>
      </w:r>
      <w:r w:rsidRPr="008B7A21">
        <w:rPr>
          <w:i/>
          <w:iCs/>
          <w:lang w:val="es-ES_tradnl"/>
        </w:rPr>
        <w:t>q</w:t>
      </w:r>
      <w:r w:rsidRPr="008B7A21">
        <w:rPr>
          <w:lang w:val="es-ES_tradnl"/>
        </w:rPr>
        <w:t xml:space="preserve"> lugares en diferentes territorios, dicha zona vendrá determinada por:</w:t>
      </w:r>
    </w:p>
    <w:p w14:paraId="22D5B018"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36"/>
          <w:sz w:val="20"/>
          <w:lang w:val="es-ES_tradnl"/>
        </w:rPr>
        <w:object w:dxaOrig="1400" w:dyaOrig="800" w14:anchorId="490A8B58">
          <v:shape id="_x0000_i1749" type="#_x0000_t75" style="width:1in;height:43.55pt" o:ole="" fillcolor="window">
            <v:imagedata r:id="rId208" o:title=""/>
          </v:shape>
          <o:OLEObject Type="Embed" ProgID="Equation.3" ShapeID="_x0000_i1749" DrawAspect="Content" ObjectID="_1826705958" r:id="rId209"/>
        </w:object>
      </w:r>
      <w:r w:rsidRPr="008B7A21">
        <w:rPr>
          <w:lang w:val="es-ES_tradnl"/>
        </w:rPr>
        <w:t>               km</w:t>
      </w:r>
      <w:r w:rsidRPr="008B7A21">
        <w:rPr>
          <w:position w:val="6"/>
          <w:sz w:val="18"/>
          <w:lang w:val="es-ES_tradnl"/>
        </w:rPr>
        <w:t>2</w:t>
      </w:r>
      <w:r w:rsidRPr="008B7A21">
        <w:rPr>
          <w:lang w:val="es-ES_tradnl"/>
        </w:rPr>
        <w:tab/>
        <w:t>(60)</w:t>
      </w:r>
    </w:p>
    <w:p w14:paraId="7AD15105" w14:textId="77777777" w:rsidR="00F73D5B" w:rsidRPr="008B7A21" w:rsidRDefault="00F73D5B" w:rsidP="00F73D5B">
      <w:pPr>
        <w:rPr>
          <w:lang w:val="es-ES_tradnl"/>
        </w:rPr>
      </w:pPr>
      <w:r w:rsidRPr="008B7A21">
        <w:rPr>
          <w:lang w:val="es-ES_tradnl"/>
        </w:rPr>
        <w:tab/>
        <w:t>donde:</w:t>
      </w:r>
    </w:p>
    <w:p w14:paraId="4B1E37E2" w14:textId="77777777" w:rsidR="00F73D5B" w:rsidRPr="008B7A21" w:rsidRDefault="00F73D5B" w:rsidP="00F73D5B">
      <w:pPr>
        <w:pStyle w:val="Equationlegend"/>
        <w:rPr>
          <w:lang w:val="es-ES_tradnl"/>
        </w:rPr>
      </w:pPr>
      <w:r w:rsidRPr="008B7A21">
        <w:rPr>
          <w:lang w:val="es-ES_tradnl"/>
        </w:rPr>
        <w:tab/>
      </w:r>
      <w:r w:rsidRPr="008B7A21">
        <w:rPr>
          <w:i/>
          <w:iCs/>
          <w:lang w:val="es-ES_tradnl"/>
        </w:rPr>
        <w:t>S</w:t>
      </w:r>
      <w:r w:rsidRPr="008B7A21">
        <w:rPr>
          <w:i/>
          <w:iCs/>
          <w:vertAlign w:val="subscript"/>
          <w:lang w:val="es-ES_tradnl"/>
        </w:rPr>
        <w:t>i</w:t>
      </w:r>
      <w:r w:rsidRPr="008B7A21">
        <w:rPr>
          <w:lang w:val="es-ES_tradnl"/>
        </w:rPr>
        <w:t>:</w:t>
      </w:r>
      <w:r w:rsidRPr="008B7A21">
        <w:rPr>
          <w:rFonts w:ascii="Tms Rmn" w:hAnsi="Tms Rmn"/>
          <w:lang w:val="es-ES_tradnl"/>
        </w:rPr>
        <w:tab/>
      </w:r>
      <w:r w:rsidRPr="008B7A21">
        <w:rPr>
          <w:lang w:val="es-ES_tradnl"/>
        </w:rPr>
        <w:t xml:space="preserve">zona del territorio utilizado para la asignación de frecuencia </w:t>
      </w:r>
      <w:r w:rsidRPr="008B7A21">
        <w:rPr>
          <w:i/>
          <w:iCs/>
          <w:lang w:val="es-ES_tradnl"/>
        </w:rPr>
        <w:t>i</w:t>
      </w:r>
      <w:r w:rsidRPr="008B7A21">
        <w:rPr>
          <w:lang w:val="es-ES_tradnl"/>
        </w:rPr>
        <w:t>-ésima</w:t>
      </w:r>
    </w:p>
    <w:p w14:paraId="6152B7BC" w14:textId="4D59587A" w:rsidR="00F73D5B" w:rsidRPr="008B7A21" w:rsidRDefault="00F73D5B" w:rsidP="00F73D5B">
      <w:pPr>
        <w:pStyle w:val="Equationlegend"/>
        <w:rPr>
          <w:lang w:val="es-ES_tradnl"/>
        </w:rPr>
      </w:pPr>
      <w:r w:rsidRPr="008B7A21">
        <w:rPr>
          <w:lang w:val="es-ES_tradnl"/>
        </w:rPr>
        <w:tab/>
      </w:r>
      <w:r w:rsidRPr="008B7A21">
        <w:rPr>
          <w:i/>
          <w:iCs/>
          <w:lang w:val="es-ES_tradnl"/>
        </w:rPr>
        <w:t>q</w:t>
      </w:r>
      <w:r w:rsidRPr="008B7A21">
        <w:rPr>
          <w:lang w:val="es-ES_tradnl"/>
        </w:rPr>
        <w:t>:</w:t>
      </w:r>
      <w:r w:rsidRPr="008B7A21">
        <w:rPr>
          <w:rFonts w:ascii="Tms Rmn" w:hAnsi="Tms Rmn"/>
          <w:lang w:val="es-ES_tradnl"/>
        </w:rPr>
        <w:tab/>
      </w:r>
      <w:r w:rsidRPr="008B7A21">
        <w:rPr>
          <w:lang w:val="es-ES_tradnl"/>
        </w:rPr>
        <w:t xml:space="preserve">número total de territorios abarcados por la zona de coordinación de la asignación de frecuencia </w:t>
      </w:r>
      <w:r w:rsidRPr="008B7A21">
        <w:rPr>
          <w:i/>
          <w:iCs/>
          <w:lang w:val="es-ES_tradnl"/>
        </w:rPr>
        <w:t>i</w:t>
      </w:r>
      <w:r w:rsidRPr="008B7A21">
        <w:rPr>
          <w:lang w:val="es-ES_tradnl"/>
        </w:rPr>
        <w:t>-ésima, (</w:t>
      </w:r>
      <w:r w:rsidRPr="008B7A21">
        <w:rPr>
          <w:i/>
          <w:iCs/>
          <w:lang w:val="es-ES_tradnl"/>
        </w:rPr>
        <w:t>q</w:t>
      </w:r>
      <w:r w:rsidRPr="008B7A21">
        <w:rPr>
          <w:lang w:val="es-ES_tradnl"/>
        </w:rPr>
        <w:t> </w:t>
      </w:r>
      <w:r w:rsidR="00386EEF">
        <w:rPr>
          <w:lang w:val="es-ES_tradnl"/>
        </w:rPr>
        <w:t>≤</w:t>
      </w:r>
      <w:r w:rsidRPr="008B7A21">
        <w:rPr>
          <w:lang w:val="es-ES_tradnl"/>
        </w:rPr>
        <w:t> </w:t>
      </w:r>
      <w:r w:rsidRPr="008B7A21">
        <w:rPr>
          <w:i/>
          <w:iCs/>
          <w:lang w:val="es-ES_tradnl"/>
        </w:rPr>
        <w:t>m</w:t>
      </w:r>
      <w:r w:rsidRPr="008B7A21">
        <w:rPr>
          <w:lang w:val="es-ES_tradnl"/>
        </w:rPr>
        <w:t>)</w:t>
      </w:r>
    </w:p>
    <w:p w14:paraId="3D5F90F2" w14:textId="4219E627" w:rsidR="00F73D5B" w:rsidRPr="008B7A21" w:rsidRDefault="00F73D5B" w:rsidP="00F73D5B">
      <w:pPr>
        <w:pStyle w:val="Equationlegend"/>
        <w:rPr>
          <w:lang w:val="es-ES_tradnl"/>
        </w:rPr>
      </w:pPr>
      <w:r w:rsidRPr="008B7A21">
        <w:rPr>
          <w:lang w:val="es-ES_tradnl"/>
        </w:rPr>
        <w:tab/>
      </w:r>
      <w:r w:rsidRPr="008B7A21">
        <w:rPr>
          <w:i/>
          <w:iCs/>
          <w:lang w:val="es-ES_tradnl"/>
        </w:rPr>
        <w:t>K</w:t>
      </w:r>
      <w:r w:rsidRPr="008B7A21">
        <w:rPr>
          <w:i/>
          <w:iCs/>
          <w:vertAlign w:val="subscript"/>
          <w:lang w:val="es-ES_tradnl"/>
        </w:rPr>
        <w:t>j</w:t>
      </w:r>
      <w:r w:rsidRPr="008B7A21">
        <w:rPr>
          <w:lang w:val="es-ES_tradnl"/>
        </w:rPr>
        <w:t>:</w:t>
      </w:r>
      <w:r w:rsidRPr="008B7A21">
        <w:rPr>
          <w:rFonts w:ascii="Tms Rmn" w:hAnsi="Tms Rmn"/>
          <w:lang w:val="es-ES_tradnl"/>
        </w:rPr>
        <w:tab/>
      </w:r>
      <w:r w:rsidRPr="008B7A21">
        <w:rPr>
          <w:lang w:val="es-ES_tradnl"/>
        </w:rPr>
        <w:t xml:space="preserve">coeficiente de densidad demográfica en el territorio </w:t>
      </w:r>
      <w:r w:rsidRPr="008B7A21">
        <w:rPr>
          <w:i/>
          <w:iCs/>
          <w:lang w:val="es-ES_tradnl"/>
        </w:rPr>
        <w:t>j</w:t>
      </w:r>
      <w:r w:rsidRPr="008B7A21">
        <w:rPr>
          <w:lang w:val="es-ES_tradnl"/>
        </w:rPr>
        <w:t>-ésimo (véase Cuadro 28)</w:t>
      </w:r>
    </w:p>
    <w:p w14:paraId="1648721A" w14:textId="5ABE1DD2" w:rsidR="00F73D5B" w:rsidRPr="008B7A21" w:rsidRDefault="00F73D5B" w:rsidP="00F73D5B">
      <w:pPr>
        <w:pStyle w:val="Equationlegend"/>
        <w:rPr>
          <w:lang w:val="es-ES_tradnl"/>
        </w:rPr>
      </w:pPr>
      <w:r w:rsidRPr="008B7A21">
        <w:rPr>
          <w:lang w:val="es-ES_tradnl"/>
        </w:rPr>
        <w:tab/>
      </w:r>
      <w:r w:rsidR="00386EEF">
        <w:rPr>
          <w:lang w:val="es-ES_tradnl"/>
        </w:rPr>
        <w:t>λ</w:t>
      </w:r>
      <w:r w:rsidRPr="008B7A21">
        <w:rPr>
          <w:i/>
          <w:iCs/>
          <w:vertAlign w:val="subscript"/>
          <w:lang w:val="es-ES_tradnl"/>
        </w:rPr>
        <w:t>j</w:t>
      </w:r>
      <w:r w:rsidRPr="008B7A21">
        <w:rPr>
          <w:lang w:val="es-ES_tradnl"/>
        </w:rPr>
        <w:t>:</w:t>
      </w:r>
      <w:r w:rsidRPr="008B7A21">
        <w:rPr>
          <w:rFonts w:ascii="Tms Rmn" w:hAnsi="Tms Rmn"/>
          <w:lang w:val="es-ES_tradnl"/>
        </w:rPr>
        <w:tab/>
      </w:r>
      <w:r w:rsidRPr="008B7A21">
        <w:rPr>
          <w:lang w:val="es-ES_tradnl"/>
        </w:rPr>
        <w:t xml:space="preserve">lugar de la zona de coordinación situado en el territorio </w:t>
      </w:r>
      <w:r w:rsidRPr="008B7A21">
        <w:rPr>
          <w:i/>
          <w:iCs/>
          <w:lang w:val="es-ES_tradnl"/>
        </w:rPr>
        <w:t>j</w:t>
      </w:r>
      <w:r w:rsidRPr="008B7A21">
        <w:rPr>
          <w:lang w:val="es-ES_tradnl"/>
        </w:rPr>
        <w:t>-ésimo.</w:t>
      </w:r>
    </w:p>
    <w:p w14:paraId="744E0F48" w14:textId="5FF2DC51" w:rsidR="00F73D5B" w:rsidRPr="008B7A21" w:rsidRDefault="00F73D5B" w:rsidP="00F73D5B">
      <w:pPr>
        <w:pStyle w:val="enumlev1"/>
        <w:rPr>
          <w:lang w:val="es-ES_tradnl"/>
        </w:rPr>
      </w:pPr>
      <w:r w:rsidRPr="008B7A21">
        <w:rPr>
          <w:lang w:val="es-ES_tradnl"/>
        </w:rPr>
        <w:t>c)</w:t>
      </w:r>
      <w:r w:rsidRPr="008B7A21">
        <w:rPr>
          <w:rFonts w:ascii="Arial" w:hAnsi="Arial"/>
          <w:lang w:val="es-ES_tradnl"/>
        </w:rPr>
        <w:tab/>
      </w:r>
      <w:r w:rsidRPr="008B7A21">
        <w:rPr>
          <w:lang w:val="es-ES_tradnl"/>
        </w:rPr>
        <w:t xml:space="preserve">Para cada asignación de frecuencia </w:t>
      </w:r>
      <w:r w:rsidRPr="008B7A21">
        <w:rPr>
          <w:i/>
          <w:iCs/>
          <w:lang w:val="es-ES_tradnl"/>
        </w:rPr>
        <w:t>i</w:t>
      </w:r>
      <w:r w:rsidRPr="008B7A21">
        <w:rPr>
          <w:lang w:val="es-ES_tradnl"/>
        </w:rPr>
        <w:t xml:space="preserve">-ésima, se utiliza la banda de frecuencias </w:t>
      </w:r>
      <w:r w:rsidR="00386EEF">
        <w:rPr>
          <w:lang w:val="es-ES_tradnl"/>
        </w:rPr>
        <w:t>Δ</w:t>
      </w:r>
      <w:r w:rsidRPr="008B7A21">
        <w:rPr>
          <w:i/>
          <w:iCs/>
          <w:lang w:val="es-ES_tradnl"/>
        </w:rPr>
        <w:t>f</w:t>
      </w:r>
      <w:r w:rsidRPr="008B7A21">
        <w:rPr>
          <w:i/>
          <w:iCs/>
          <w:vertAlign w:val="subscript"/>
          <w:lang w:val="es-ES_tradnl"/>
        </w:rPr>
        <w:t>i</w:t>
      </w:r>
      <w:r w:rsidRPr="008B7A21">
        <w:rPr>
          <w:lang w:val="es-ES_tradnl"/>
        </w:rPr>
        <w:t xml:space="preserve">. Ahora bien, los servicios de radiocomunicaciones utilizan diferentes gamas de frecuencias. Por tal motivo, es necesario tomar en consideración un cierto número de coeficientes, ya que influyen en el precio de la banda de frecuencias utilizada. En general, es posible determinar el valor de la banda de frecuencias utilizada para la asignación de frecuencia </w:t>
      </w:r>
      <w:r w:rsidRPr="008B7A21">
        <w:rPr>
          <w:i/>
          <w:iCs/>
          <w:lang w:val="es-ES_tradnl"/>
        </w:rPr>
        <w:t>i</w:t>
      </w:r>
      <w:r w:rsidRPr="008B7A21">
        <w:rPr>
          <w:lang w:val="es-ES_tradnl"/>
        </w:rPr>
        <w:t>-ésima como sigue:</w:t>
      </w:r>
    </w:p>
    <w:p w14:paraId="71AD3411" w14:textId="77777777" w:rsidR="00F73D5B" w:rsidRPr="008B7A21" w:rsidRDefault="00F73D5B" w:rsidP="00F73D5B">
      <w:pPr>
        <w:pStyle w:val="Blanc"/>
        <w:rPr>
          <w:lang w:val="es-ES_tradnl"/>
        </w:rPr>
      </w:pPr>
    </w:p>
    <w:p w14:paraId="1CB35435"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20"/>
          <w:lang w:val="es-ES_tradnl"/>
        </w:rPr>
        <w:object w:dxaOrig="1740" w:dyaOrig="440" w14:anchorId="349092A0">
          <v:shape id="_x0000_i1750" type="#_x0000_t75" style="width:86.25pt;height:20.95pt" o:ole="">
            <v:imagedata r:id="rId210" o:title=""/>
          </v:shape>
          <o:OLEObject Type="Embed" ProgID="Equation.3" ShapeID="_x0000_i1750" DrawAspect="Content" ObjectID="_1826705959" r:id="rId211"/>
        </w:object>
      </w:r>
      <w:r w:rsidRPr="008B7A21">
        <w:rPr>
          <w:lang w:val="es-ES_tradnl"/>
        </w:rPr>
        <w:t>               kHz</w:t>
      </w:r>
      <w:r w:rsidRPr="008B7A21">
        <w:rPr>
          <w:lang w:val="es-ES_tradnl"/>
        </w:rPr>
        <w:tab/>
        <w:t>(61)</w:t>
      </w:r>
    </w:p>
    <w:p w14:paraId="26B23B9D" w14:textId="77777777" w:rsidR="00F73D5B" w:rsidRPr="008B7A21" w:rsidRDefault="00F73D5B" w:rsidP="00F73D5B">
      <w:pPr>
        <w:rPr>
          <w:lang w:val="es-ES_tradnl"/>
        </w:rPr>
      </w:pPr>
      <w:r w:rsidRPr="008B7A21">
        <w:rPr>
          <w:lang w:val="es-ES_tradnl"/>
        </w:rPr>
        <w:tab/>
        <w:t>donde:</w:t>
      </w:r>
    </w:p>
    <w:p w14:paraId="1EA5BF05" w14:textId="77777777" w:rsidR="00F73D5B" w:rsidRPr="008B7A21" w:rsidRDefault="00F73D5B" w:rsidP="00F73D5B">
      <w:pPr>
        <w:pStyle w:val="Equationlegend"/>
        <w:rPr>
          <w:lang w:val="es-ES_tradnl"/>
        </w:rPr>
      </w:pPr>
      <w:r w:rsidRPr="008B7A21">
        <w:rPr>
          <w:lang w:val="es-ES_tradnl"/>
        </w:rPr>
        <w:tab/>
      </w:r>
      <w:r w:rsidRPr="008B7A21">
        <w:rPr>
          <w:i/>
          <w:iCs/>
          <w:lang w:val="es-ES_tradnl"/>
        </w:rPr>
        <w:t>F</w:t>
      </w:r>
      <w:r w:rsidRPr="008B7A21">
        <w:rPr>
          <w:i/>
          <w:iCs/>
          <w:vertAlign w:val="subscript"/>
          <w:lang w:val="es-ES_tradnl"/>
        </w:rPr>
        <w:t>i</w:t>
      </w:r>
      <w:r w:rsidRPr="008B7A21">
        <w:rPr>
          <w:lang w:val="es-ES_tradnl"/>
        </w:rPr>
        <w:t>:</w:t>
      </w:r>
      <w:r w:rsidRPr="008B7A21">
        <w:rPr>
          <w:rFonts w:ascii="Tms Rmn" w:hAnsi="Tms Rmn"/>
          <w:lang w:val="es-ES_tradnl"/>
        </w:rPr>
        <w:tab/>
      </w:r>
      <w:r w:rsidRPr="008B7A21">
        <w:rPr>
          <w:lang w:val="es-ES_tradnl"/>
        </w:rPr>
        <w:t xml:space="preserve">banda de frecuencias teórica utilizada por la asignación de frecuencia </w:t>
      </w:r>
      <w:r w:rsidRPr="008B7A21">
        <w:rPr>
          <w:i/>
          <w:iCs/>
          <w:lang w:val="es-ES_tradnl"/>
        </w:rPr>
        <w:t>i</w:t>
      </w:r>
      <w:r w:rsidRPr="008B7A21">
        <w:rPr>
          <w:lang w:val="es-ES_tradnl"/>
        </w:rPr>
        <w:t>-ésima</w:t>
      </w:r>
    </w:p>
    <w:p w14:paraId="579DD325" w14:textId="77777777" w:rsidR="00F73D5B" w:rsidRPr="008B7A21" w:rsidRDefault="00F73D5B" w:rsidP="00F73D5B">
      <w:pPr>
        <w:pStyle w:val="Equationlegend"/>
        <w:rPr>
          <w:lang w:val="es-ES_tradnl"/>
        </w:rPr>
      </w:pPr>
      <w:r w:rsidRPr="008B7A21">
        <w:rPr>
          <w:lang w:val="es-ES_tradnl"/>
        </w:rPr>
        <w:tab/>
      </w:r>
      <w:r w:rsidRPr="008B7A21">
        <w:rPr>
          <w:rFonts w:asciiTheme="majorBidi" w:hAnsiTheme="majorBidi" w:cstheme="majorBidi"/>
          <w:lang w:val="es-ES_tradnl"/>
        </w:rPr>
        <w:sym w:font="Symbol" w:char="F044"/>
      </w:r>
      <w:r w:rsidRPr="008B7A21">
        <w:rPr>
          <w:i/>
          <w:iCs/>
          <w:lang w:val="es-ES_tradnl"/>
        </w:rPr>
        <w:t>f</w:t>
      </w:r>
      <w:r w:rsidRPr="008B7A21">
        <w:rPr>
          <w:i/>
          <w:iCs/>
          <w:vertAlign w:val="subscript"/>
          <w:lang w:val="es-ES_tradnl"/>
        </w:rPr>
        <w:t>i</w:t>
      </w:r>
      <w:r w:rsidRPr="008B7A21">
        <w:rPr>
          <w:lang w:val="es-ES_tradnl"/>
        </w:rPr>
        <w:t>:</w:t>
      </w:r>
      <w:r w:rsidRPr="008B7A21">
        <w:rPr>
          <w:rFonts w:ascii="Tms Rmn" w:hAnsi="Tms Rmn"/>
          <w:lang w:val="es-ES_tradnl"/>
        </w:rPr>
        <w:tab/>
      </w:r>
      <w:r w:rsidRPr="008B7A21">
        <w:rPr>
          <w:lang w:val="es-ES_tradnl"/>
        </w:rPr>
        <w:t xml:space="preserve">banda de frecuencias utilizada realmente por la asignación de frecuencia </w:t>
      </w:r>
      <w:r w:rsidRPr="008B7A21">
        <w:rPr>
          <w:i/>
          <w:iCs/>
          <w:lang w:val="es-ES_tradnl"/>
        </w:rPr>
        <w:t>i</w:t>
      </w:r>
      <w:r w:rsidRPr="008B7A21">
        <w:rPr>
          <w:lang w:val="es-ES_tradnl"/>
        </w:rPr>
        <w:noBreakHyphen/>
        <w:t>ésima</w:t>
      </w:r>
    </w:p>
    <w:p w14:paraId="5CBA1259" w14:textId="77777777" w:rsidR="00F73D5B" w:rsidRPr="008B7A21" w:rsidRDefault="00F73D5B" w:rsidP="00F73D5B">
      <w:pPr>
        <w:pStyle w:val="Equationlegend"/>
        <w:rPr>
          <w:lang w:val="es-ES_tradnl"/>
        </w:rPr>
      </w:pPr>
      <w:r w:rsidRPr="008B7A21">
        <w:rPr>
          <w:lang w:val="es-ES_tradnl"/>
        </w:rPr>
        <w:tab/>
      </w:r>
      <w:r w:rsidRPr="008B7A21">
        <w:rPr>
          <w:rFonts w:asciiTheme="majorBidi" w:hAnsiTheme="majorBidi" w:cstheme="majorBidi"/>
          <w:lang w:val="es-ES_tradnl"/>
        </w:rPr>
        <w:sym w:font="Symbol" w:char="F061"/>
      </w:r>
      <w:r w:rsidRPr="008B7A21">
        <w:rPr>
          <w:i/>
          <w:iCs/>
          <w:vertAlign w:val="subscript"/>
          <w:lang w:val="es-ES_tradnl"/>
        </w:rPr>
        <w:t>i</w:t>
      </w:r>
      <w:r w:rsidRPr="008B7A21">
        <w:rPr>
          <w:lang w:val="es-ES_tradnl"/>
        </w:rPr>
        <w:t>:</w:t>
      </w:r>
      <w:r w:rsidRPr="008B7A21">
        <w:rPr>
          <w:rFonts w:ascii="Tms Rmn" w:hAnsi="Tms Rmn"/>
          <w:lang w:val="es-ES_tradnl"/>
        </w:rPr>
        <w:tab/>
      </w:r>
      <w:r w:rsidRPr="008B7A21">
        <w:rPr>
          <w:lang w:val="es-ES_tradnl"/>
        </w:rPr>
        <w:t>coeficiente que corresponde a los factores indicados en la ecuación (62)</w:t>
      </w:r>
    </w:p>
    <w:p w14:paraId="695ECD5A" w14:textId="1C6B1D57" w:rsidR="00F73D5B" w:rsidRPr="008B7A21" w:rsidRDefault="00F73D5B" w:rsidP="00386EEF">
      <w:pPr>
        <w:pStyle w:val="Equationlegen"/>
      </w:pPr>
      <w:r w:rsidRPr="008B7A21">
        <w:tab/>
      </w:r>
      <w:r w:rsidRPr="008B7A21">
        <w:sym w:font="Symbol" w:char="F062"/>
      </w:r>
      <w:r w:rsidRPr="008B7A21">
        <w:rPr>
          <w:i/>
          <w:iCs/>
          <w:vertAlign w:val="subscript"/>
        </w:rPr>
        <w:t>i</w:t>
      </w:r>
      <w:r w:rsidRPr="008B7A21">
        <w:t>:</w:t>
      </w:r>
      <w:r w:rsidRPr="008B7A21">
        <w:rPr>
          <w:rFonts w:ascii="Tms Rmn" w:hAnsi="Tms Rmn"/>
        </w:rPr>
        <w:tab/>
      </w:r>
      <w:r w:rsidRPr="008B7A21">
        <w:t xml:space="preserve">coeficiente que determina la exclusividad de la utilización. Si en un determinado lugar el espectro se utiliza con exclusividad, </w:t>
      </w:r>
      <w:r w:rsidRPr="008B7A21">
        <w:sym w:font="Symbol" w:char="F062"/>
      </w:r>
      <w:r w:rsidRPr="008B7A21">
        <w:rPr>
          <w:i/>
          <w:iCs/>
          <w:vertAlign w:val="subscript"/>
        </w:rPr>
        <w:t>i</w:t>
      </w:r>
      <w:r w:rsidRPr="008B7A21">
        <w:t> </w:t>
      </w:r>
      <w:r w:rsidR="00386EEF">
        <w:t>=</w:t>
      </w:r>
      <w:r w:rsidRPr="008B7A21">
        <w:t xml:space="preserve"> 1. Si existe compartición del espectro, </w:t>
      </w:r>
      <w:r w:rsidRPr="008B7A21">
        <w:rPr>
          <w:rFonts w:asciiTheme="majorBidi" w:hAnsiTheme="majorBidi" w:cstheme="majorBidi"/>
        </w:rPr>
        <w:sym w:font="Symbol" w:char="F062"/>
      </w:r>
      <w:r w:rsidRPr="008B7A21">
        <w:t xml:space="preserve"> varía entre 0 </w:t>
      </w:r>
      <w:r w:rsidR="00386EEF" w:rsidRPr="00386EEF">
        <w:sym w:font="Symbol" w:char="F03C"/>
      </w:r>
      <w:r w:rsidRPr="008B7A21">
        <w:t> </w:t>
      </w:r>
      <w:r w:rsidRPr="00386EEF">
        <w:sym w:font="Symbol" w:char="F062"/>
      </w:r>
      <w:r w:rsidRPr="00386EEF">
        <w:t>i</w:t>
      </w:r>
      <w:r w:rsidRPr="008B7A21">
        <w:t> </w:t>
      </w:r>
      <w:r w:rsidR="00386EEF" w:rsidRPr="00386EEF">
        <w:sym w:font="Symbol" w:char="F03C"/>
      </w:r>
      <w:r w:rsidRPr="008B7A21">
        <w:t> 1, dependiendo de las condiciones de compartición.</w:t>
      </w:r>
    </w:p>
    <w:p w14:paraId="74F8DA8C" w14:textId="77777777" w:rsidR="00F73D5B" w:rsidRPr="008B7A21" w:rsidRDefault="00F73D5B" w:rsidP="00F73D5B">
      <w:pPr>
        <w:rPr>
          <w:lang w:val="es-ES_tradnl"/>
        </w:rPr>
      </w:pPr>
      <w:r w:rsidRPr="008B7A21">
        <w:rPr>
          <w:lang w:val="es-ES_tradnl"/>
        </w:rPr>
        <w:t xml:space="preserve">Cabe la posibilidad de examinar el coeficiente </w:t>
      </w:r>
      <w:r w:rsidRPr="008B7A21">
        <w:rPr>
          <w:rFonts w:asciiTheme="majorBidi" w:hAnsiTheme="majorBidi" w:cstheme="majorBidi"/>
          <w:lang w:val="es-ES_tradnl"/>
        </w:rPr>
        <w:sym w:font="Symbol" w:char="F061"/>
      </w:r>
      <w:r w:rsidRPr="008B7A21">
        <w:rPr>
          <w:i/>
          <w:iCs/>
          <w:position w:val="-4"/>
          <w:sz w:val="16"/>
          <w:lang w:val="es-ES_tradnl"/>
        </w:rPr>
        <w:t>i</w:t>
      </w:r>
      <w:r w:rsidRPr="008B7A21">
        <w:rPr>
          <w:lang w:val="es-ES_tradnl"/>
        </w:rPr>
        <w:t xml:space="preserve"> con mayor detalle. Existe una serie de factores que afectan el valor de </w:t>
      </w:r>
      <w:r w:rsidRPr="008B7A21">
        <w:rPr>
          <w:rFonts w:asciiTheme="majorBidi" w:hAnsiTheme="majorBidi" w:cstheme="majorBidi"/>
          <w:lang w:val="es-ES_tradnl"/>
        </w:rPr>
        <w:sym w:font="Symbol" w:char="F061"/>
      </w:r>
      <w:r w:rsidRPr="008B7A21">
        <w:rPr>
          <w:i/>
          <w:iCs/>
          <w:vertAlign w:val="subscript"/>
          <w:lang w:val="es-ES_tradnl"/>
        </w:rPr>
        <w:t>i</w:t>
      </w:r>
      <w:r w:rsidRPr="008B7A21">
        <w:rPr>
          <w:lang w:val="es-ES_tradnl"/>
        </w:rPr>
        <w:t>, que pueden representarse mediante el siguiente producto:</w:t>
      </w:r>
    </w:p>
    <w:p w14:paraId="09E5196F" w14:textId="77777777" w:rsidR="00F73D5B" w:rsidRPr="008B7A21" w:rsidRDefault="00F73D5B" w:rsidP="00F73D5B">
      <w:pPr>
        <w:pStyle w:val="Blanc"/>
        <w:rPr>
          <w:lang w:val="es-ES_tradnl"/>
        </w:rPr>
      </w:pPr>
    </w:p>
    <w:p w14:paraId="350D7272"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2"/>
          <w:lang w:val="es-ES_tradnl"/>
        </w:rPr>
        <w:object w:dxaOrig="2160" w:dyaOrig="360" w14:anchorId="2955CDEE">
          <v:shape id="_x0000_i1751" type="#_x0000_t75" style="width:102.15pt;height:18.4pt" o:ole="">
            <v:imagedata r:id="rId212" o:title=""/>
          </v:shape>
          <o:OLEObject Type="Embed" ProgID="Equation.3" ShapeID="_x0000_i1751" DrawAspect="Content" ObjectID="_1826705960" r:id="rId213"/>
        </w:object>
      </w:r>
      <w:r w:rsidRPr="008B7A21">
        <w:rPr>
          <w:lang w:val="es-ES_tradnl"/>
        </w:rPr>
        <w:tab/>
        <w:t>(62)</w:t>
      </w:r>
    </w:p>
    <w:p w14:paraId="5FEC3EF4" w14:textId="77777777" w:rsidR="00F73D5B" w:rsidRPr="008B7A21" w:rsidRDefault="00F73D5B" w:rsidP="00F73D5B">
      <w:pPr>
        <w:rPr>
          <w:lang w:val="es-ES_tradnl"/>
        </w:rPr>
      </w:pPr>
      <w:r w:rsidRPr="008B7A21">
        <w:rPr>
          <w:lang w:val="es-ES_tradnl"/>
        </w:rPr>
        <w:t>donde:</w:t>
      </w:r>
    </w:p>
    <w:p w14:paraId="0537F1AF" w14:textId="77777777" w:rsidR="00F73D5B" w:rsidRPr="008B7A21" w:rsidRDefault="00F73D5B" w:rsidP="00F73D5B">
      <w:pPr>
        <w:pStyle w:val="Equationlegend"/>
        <w:rPr>
          <w:lang w:val="es-ES_tradnl"/>
        </w:rPr>
      </w:pPr>
      <w:r w:rsidRPr="008B7A21">
        <w:rPr>
          <w:lang w:val="es-ES_tradnl"/>
        </w:rPr>
        <w:tab/>
      </w:r>
      <w:r w:rsidRPr="008B7A21">
        <w:rPr>
          <w:rFonts w:asciiTheme="majorBidi" w:hAnsiTheme="majorBidi" w:cstheme="majorBidi"/>
          <w:lang w:val="es-ES_tradnl"/>
        </w:rPr>
        <w:sym w:font="Symbol" w:char="F061"/>
      </w:r>
      <w:r w:rsidRPr="008B7A21">
        <w:rPr>
          <w:i/>
          <w:iCs/>
          <w:vertAlign w:val="subscript"/>
          <w:lang w:val="es-ES_tradnl"/>
        </w:rPr>
        <w:t>i</w:t>
      </w:r>
      <w:r w:rsidRPr="008B7A21">
        <w:rPr>
          <w:lang w:val="es-ES_tradnl"/>
        </w:rPr>
        <w:t>:</w:t>
      </w:r>
      <w:r w:rsidRPr="008B7A21">
        <w:rPr>
          <w:rFonts w:ascii="Tms Rmn" w:hAnsi="Tms Rmn"/>
          <w:lang w:val="es-ES_tradnl"/>
        </w:rPr>
        <w:tab/>
      </w:r>
      <w:r w:rsidRPr="008B7A21">
        <w:rPr>
          <w:lang w:val="es-ES_tradnl"/>
        </w:rPr>
        <w:t>coeficiente general en el que se tienen en cuenta diferentes factores de utilización del espectro</w:t>
      </w:r>
    </w:p>
    <w:p w14:paraId="4E3F6E49" w14:textId="4CD1B838" w:rsidR="00F73D5B" w:rsidRPr="008B7A21" w:rsidRDefault="00F73D5B" w:rsidP="00F73D5B">
      <w:pPr>
        <w:pStyle w:val="Equationlegend"/>
        <w:rPr>
          <w:lang w:val="es-ES_tradnl"/>
        </w:rPr>
      </w:pPr>
      <w:r w:rsidRPr="008B7A21">
        <w:rPr>
          <w:sz w:val="28"/>
          <w:lang w:val="es-ES_tradnl"/>
        </w:rPr>
        <w:tab/>
      </w:r>
      <w:r w:rsidRPr="008B7A21">
        <w:rPr>
          <w:rFonts w:asciiTheme="majorBidi" w:hAnsiTheme="majorBidi" w:cstheme="majorBidi"/>
          <w:lang w:val="es-ES_tradnl"/>
        </w:rPr>
        <w:sym w:font="Symbol" w:char="F061"/>
      </w:r>
      <w:r w:rsidRPr="008B7A21">
        <w:rPr>
          <w:vertAlign w:val="subscript"/>
          <w:lang w:val="es-ES_tradnl"/>
        </w:rPr>
        <w:t>1</w:t>
      </w:r>
      <w:r w:rsidRPr="008B7A21">
        <w:rPr>
          <w:lang w:val="es-ES_tradnl"/>
        </w:rPr>
        <w:t>:</w:t>
      </w:r>
      <w:r w:rsidRPr="008B7A21">
        <w:rPr>
          <w:rFonts w:ascii="Tms Rmn" w:hAnsi="Tms Rmn"/>
          <w:lang w:val="es-ES_tradnl"/>
        </w:rPr>
        <w:tab/>
      </w:r>
      <w:r w:rsidRPr="008B7A21">
        <w:rPr>
          <w:lang w:val="es-ES_tradnl"/>
        </w:rPr>
        <w:t xml:space="preserve">valor comercial de la gama </w:t>
      </w:r>
      <w:r w:rsidR="00877B7A">
        <w:rPr>
          <w:lang w:val="es-ES_tradnl"/>
        </w:rPr>
        <w:t>de</w:t>
      </w:r>
      <w:r w:rsidRPr="008B7A21">
        <w:rPr>
          <w:lang w:val="es-ES_tradnl"/>
        </w:rPr>
        <w:t xml:space="preserve"> </w:t>
      </w:r>
      <w:r w:rsidR="00877B7A" w:rsidRPr="008B7A21">
        <w:rPr>
          <w:lang w:val="es-ES_tradnl"/>
        </w:rPr>
        <w:t>frecuencia utilizada</w:t>
      </w:r>
    </w:p>
    <w:p w14:paraId="7276CAB2" w14:textId="77777777" w:rsidR="00F73D5B" w:rsidRPr="008B7A21" w:rsidRDefault="00F73D5B" w:rsidP="00F73D5B">
      <w:pPr>
        <w:pStyle w:val="Equationlegend"/>
        <w:rPr>
          <w:lang w:val="es-ES_tradnl"/>
        </w:rPr>
      </w:pPr>
      <w:r w:rsidRPr="008B7A21">
        <w:rPr>
          <w:sz w:val="28"/>
          <w:lang w:val="es-ES_tradnl"/>
        </w:rPr>
        <w:tab/>
      </w:r>
      <w:r w:rsidRPr="008B7A21">
        <w:rPr>
          <w:rFonts w:asciiTheme="majorBidi" w:hAnsiTheme="majorBidi" w:cstheme="majorBidi"/>
          <w:lang w:val="es-ES_tradnl"/>
        </w:rPr>
        <w:sym w:font="Symbol" w:char="F061"/>
      </w:r>
      <w:r w:rsidRPr="008B7A21">
        <w:rPr>
          <w:vertAlign w:val="subscript"/>
          <w:lang w:val="es-ES_tradnl"/>
        </w:rPr>
        <w:t>2</w:t>
      </w:r>
      <w:r w:rsidRPr="008B7A21">
        <w:rPr>
          <w:lang w:val="es-ES_tradnl"/>
        </w:rPr>
        <w:t>:</w:t>
      </w:r>
      <w:r w:rsidRPr="008B7A21">
        <w:rPr>
          <w:rFonts w:ascii="Tms Rmn" w:hAnsi="Tms Rmn"/>
          <w:lang w:val="es-ES_tradnl"/>
        </w:rPr>
        <w:tab/>
      </w:r>
      <w:r w:rsidRPr="008B7A21">
        <w:rPr>
          <w:lang w:val="es-ES_tradnl"/>
        </w:rPr>
        <w:t>factor social</w:t>
      </w:r>
    </w:p>
    <w:p w14:paraId="524B093F" w14:textId="77777777" w:rsidR="00F73D5B" w:rsidRPr="008B7A21" w:rsidRDefault="00F73D5B" w:rsidP="00F73D5B">
      <w:pPr>
        <w:pStyle w:val="Equationlegend"/>
        <w:rPr>
          <w:lang w:val="es-ES_tradnl"/>
        </w:rPr>
      </w:pPr>
      <w:r w:rsidRPr="008B7A21">
        <w:rPr>
          <w:sz w:val="28"/>
          <w:lang w:val="es-ES_tradnl"/>
        </w:rPr>
        <w:tab/>
      </w:r>
      <w:r w:rsidRPr="008B7A21">
        <w:rPr>
          <w:rFonts w:asciiTheme="majorBidi" w:hAnsiTheme="majorBidi" w:cstheme="majorBidi"/>
          <w:lang w:val="es-ES_tradnl"/>
        </w:rPr>
        <w:sym w:font="Symbol" w:char="F061"/>
      </w:r>
      <w:r w:rsidRPr="008B7A21">
        <w:rPr>
          <w:vertAlign w:val="subscript"/>
          <w:lang w:val="es-ES_tradnl"/>
        </w:rPr>
        <w:t>3</w:t>
      </w:r>
      <w:r w:rsidRPr="008B7A21">
        <w:rPr>
          <w:lang w:val="es-ES_tradnl"/>
        </w:rPr>
        <w:t>:</w:t>
      </w:r>
      <w:r w:rsidRPr="008B7A21">
        <w:rPr>
          <w:rFonts w:ascii="Tms Rmn" w:hAnsi="Tms Rmn"/>
          <w:lang w:val="es-ES_tradnl"/>
        </w:rPr>
        <w:tab/>
        <w:t>r</w:t>
      </w:r>
      <w:r w:rsidRPr="008B7A21">
        <w:rPr>
          <w:lang w:val="es-ES_tradnl"/>
        </w:rPr>
        <w:t>epresenta otras características del emplazamiento del transmisor</w:t>
      </w:r>
    </w:p>
    <w:p w14:paraId="23AE9606" w14:textId="77777777" w:rsidR="00F73D5B" w:rsidRPr="008B7A21" w:rsidRDefault="00F73D5B" w:rsidP="00F73D5B">
      <w:pPr>
        <w:pStyle w:val="Equationlegend"/>
        <w:rPr>
          <w:lang w:val="es-ES_tradnl"/>
        </w:rPr>
      </w:pPr>
      <w:r w:rsidRPr="008B7A21">
        <w:rPr>
          <w:sz w:val="28"/>
          <w:lang w:val="es-ES_tradnl"/>
        </w:rPr>
        <w:tab/>
      </w:r>
      <w:r w:rsidRPr="008B7A21">
        <w:rPr>
          <w:rFonts w:asciiTheme="majorBidi" w:hAnsiTheme="majorBidi" w:cstheme="majorBidi"/>
          <w:lang w:val="es-ES_tradnl"/>
        </w:rPr>
        <w:sym w:font="Symbol" w:char="F061"/>
      </w:r>
      <w:r w:rsidRPr="008B7A21">
        <w:rPr>
          <w:vertAlign w:val="subscript"/>
          <w:lang w:val="es-ES_tradnl"/>
        </w:rPr>
        <w:t>4</w:t>
      </w:r>
      <w:r w:rsidRPr="008B7A21">
        <w:rPr>
          <w:lang w:val="es-ES_tradnl"/>
        </w:rPr>
        <w:t>:</w:t>
      </w:r>
      <w:r w:rsidRPr="008B7A21">
        <w:rPr>
          <w:rFonts w:ascii="Tms Rmn" w:hAnsi="Tms Rmn"/>
          <w:lang w:val="es-ES_tradnl"/>
        </w:rPr>
        <w:tab/>
      </w:r>
      <w:r w:rsidRPr="008B7A21">
        <w:rPr>
          <w:lang w:val="es-ES_tradnl"/>
        </w:rPr>
        <w:t>refleja la complejidad de las funciones de gestión del espectro.</w:t>
      </w:r>
    </w:p>
    <w:p w14:paraId="7BBE1960" w14:textId="44EBC634" w:rsidR="00F73D5B" w:rsidRPr="008B7A21" w:rsidRDefault="00F73D5B" w:rsidP="00F73D5B">
      <w:pPr>
        <w:rPr>
          <w:lang w:val="es-ES_tradnl"/>
        </w:rPr>
      </w:pPr>
      <w:r w:rsidRPr="008B7A21">
        <w:rPr>
          <w:lang w:val="es-ES_tradnl"/>
        </w:rPr>
        <w:t xml:space="preserve">En el Cuadro 29 se indican los valores de los coeficientes </w:t>
      </w:r>
      <w:r w:rsidRPr="008B7A21">
        <w:rPr>
          <w:rFonts w:asciiTheme="majorBidi" w:hAnsiTheme="majorBidi" w:cstheme="majorBidi"/>
          <w:lang w:val="es-ES_tradnl"/>
        </w:rPr>
        <w:sym w:font="Symbol" w:char="F061"/>
      </w:r>
      <w:r w:rsidRPr="008B7A21">
        <w:rPr>
          <w:vertAlign w:val="subscript"/>
          <w:lang w:val="es-ES_tradnl"/>
        </w:rPr>
        <w:t>1</w:t>
      </w:r>
      <w:r w:rsidRPr="008B7A21">
        <w:rPr>
          <w:lang w:val="es-ES_tradnl"/>
        </w:rPr>
        <w:t xml:space="preserve">, </w:t>
      </w:r>
      <w:r w:rsidRPr="008B7A21">
        <w:rPr>
          <w:rFonts w:asciiTheme="majorBidi" w:hAnsiTheme="majorBidi" w:cstheme="majorBidi"/>
          <w:lang w:val="es-ES_tradnl"/>
        </w:rPr>
        <w:sym w:font="Symbol" w:char="F061"/>
      </w:r>
      <w:r w:rsidRPr="008B7A21">
        <w:rPr>
          <w:vertAlign w:val="subscript"/>
          <w:lang w:val="es-ES_tradnl"/>
        </w:rPr>
        <w:t>2</w:t>
      </w:r>
      <w:r w:rsidRPr="008B7A21">
        <w:rPr>
          <w:lang w:val="es-ES_tradnl"/>
        </w:rPr>
        <w:t xml:space="preserve">, </w:t>
      </w:r>
      <w:r w:rsidRPr="008B7A21">
        <w:rPr>
          <w:rFonts w:asciiTheme="majorBidi" w:hAnsiTheme="majorBidi" w:cstheme="majorBidi"/>
          <w:lang w:val="es-ES_tradnl"/>
        </w:rPr>
        <w:sym w:font="Symbol" w:char="F061"/>
      </w:r>
      <w:r w:rsidRPr="008B7A21">
        <w:rPr>
          <w:vertAlign w:val="subscript"/>
          <w:lang w:val="es-ES_tradnl"/>
        </w:rPr>
        <w:t>3</w:t>
      </w:r>
      <w:r w:rsidRPr="008B7A21">
        <w:rPr>
          <w:lang w:val="es-ES_tradnl"/>
        </w:rPr>
        <w:t xml:space="preserve"> y </w:t>
      </w:r>
      <w:r w:rsidRPr="008B7A21">
        <w:rPr>
          <w:rFonts w:asciiTheme="majorBidi" w:hAnsiTheme="majorBidi" w:cstheme="majorBidi"/>
          <w:lang w:val="es-ES_tradnl"/>
        </w:rPr>
        <w:sym w:font="Symbol" w:char="F061"/>
      </w:r>
      <w:r w:rsidRPr="008B7A21">
        <w:rPr>
          <w:vertAlign w:val="subscript"/>
          <w:lang w:val="es-ES_tradnl"/>
        </w:rPr>
        <w:t>4</w:t>
      </w:r>
      <w:r w:rsidRPr="008B7A21">
        <w:rPr>
          <w:lang w:val="es-ES_tradnl"/>
        </w:rPr>
        <w:t>.</w:t>
      </w:r>
    </w:p>
    <w:p w14:paraId="46E076BA" w14:textId="77777777" w:rsidR="00F73D5B" w:rsidRPr="008B7A21" w:rsidRDefault="00F73D5B" w:rsidP="00F73D5B">
      <w:pPr>
        <w:keepNext/>
        <w:keepLines/>
        <w:rPr>
          <w:lang w:val="es-ES_tradnl"/>
        </w:rPr>
      </w:pPr>
      <w:r w:rsidRPr="008B7A21">
        <w:rPr>
          <w:lang w:val="es-ES_tradnl"/>
        </w:rPr>
        <w:t xml:space="preserve">El coeficiente </w:t>
      </w:r>
      <w:r w:rsidRPr="008B7A21">
        <w:rPr>
          <w:rFonts w:asciiTheme="majorBidi" w:hAnsiTheme="majorBidi" w:cstheme="majorBidi"/>
          <w:lang w:val="es-ES_tradnl"/>
        </w:rPr>
        <w:sym w:font="Symbol" w:char="F061"/>
      </w:r>
      <w:r w:rsidRPr="008B7A21">
        <w:rPr>
          <w:vertAlign w:val="subscript"/>
          <w:lang w:val="es-ES_tradnl"/>
        </w:rPr>
        <w:t>1</w:t>
      </w:r>
      <w:r w:rsidRPr="008B7A21">
        <w:rPr>
          <w:lang w:val="es-ES_tradnl"/>
        </w:rPr>
        <w:t>, está comprendido entre 0 y 100 y viene determinado básicamente por dos factores:</w:t>
      </w:r>
    </w:p>
    <w:p w14:paraId="2C37AB57" w14:textId="77777777" w:rsidR="00F73D5B" w:rsidRPr="008B7A21" w:rsidRDefault="00F73D5B" w:rsidP="00F73D5B">
      <w:pPr>
        <w:pStyle w:val="enumlev1"/>
        <w:rPr>
          <w:lang w:val="es-ES_tradnl"/>
        </w:rPr>
      </w:pPr>
      <w:r w:rsidRPr="008B7A21">
        <w:rPr>
          <w:lang w:val="es-ES_tradnl"/>
        </w:rPr>
        <w:t>–</w:t>
      </w:r>
      <w:r w:rsidRPr="008B7A21">
        <w:rPr>
          <w:lang w:val="es-ES_tradnl"/>
        </w:rPr>
        <w:tab/>
        <w:t>el valor comercial de los servicios de radiocomunicación; por lo cual este factor aumenta con el valor de dichos servicios;</w:t>
      </w:r>
    </w:p>
    <w:p w14:paraId="6EB5066A" w14:textId="77777777" w:rsidR="00F73D5B" w:rsidRPr="008B7A21" w:rsidRDefault="00F73D5B" w:rsidP="00F73D5B">
      <w:pPr>
        <w:pStyle w:val="enumlev1"/>
        <w:rPr>
          <w:lang w:val="es-ES_tradnl"/>
        </w:rPr>
      </w:pPr>
      <w:r w:rsidRPr="008B7A21">
        <w:rPr>
          <w:lang w:val="es-ES_tradnl"/>
        </w:rPr>
        <w:t>–</w:t>
      </w:r>
      <w:r w:rsidRPr="008B7A21">
        <w:rPr>
          <w:lang w:val="es-ES_tradnl"/>
        </w:rPr>
        <w:tab/>
        <w:t xml:space="preserve">el hecho de que gran número de servicios podrá desplazarse a frecuencias más elevadas una vez que se adquiera experiencia en ese sentido, lo que permitirá reducir la sobrecarga en bandas de frecuencias más bajas. Aquí se trata de consideraciones económicas, en base a alentar la utilización de bandas de frecuencias más elevadas. Por ejemplo, para fomentar la transición de las estaciones que funcionan a frecuencias inferiores a 1 GHz a frecuencias superiores a 1 GHz, el valor del coeficiente </w:t>
      </w:r>
      <w:r w:rsidRPr="008B7A21">
        <w:rPr>
          <w:rFonts w:asciiTheme="majorBidi" w:hAnsiTheme="majorBidi" w:cstheme="majorBidi"/>
          <w:lang w:val="es-ES_tradnl"/>
        </w:rPr>
        <w:sym w:font="Symbol" w:char="F061"/>
      </w:r>
      <w:r w:rsidRPr="008B7A21">
        <w:rPr>
          <w:position w:val="-4"/>
          <w:sz w:val="16"/>
          <w:lang w:val="es-ES_tradnl"/>
        </w:rPr>
        <w:t>1</w:t>
      </w:r>
      <w:r w:rsidRPr="008B7A21">
        <w:rPr>
          <w:lang w:val="es-ES_tradnl"/>
        </w:rPr>
        <w:t xml:space="preserve"> para la gama por encima de 1 GHz es inferior al valor correspondiente a las estaciones que funcionan por debajo de 1 GHz. Actualmente, varios servicios de radiocomunicaciones utilizan frecuencias por debajo de 1 GHz en el mismo lugar y, en consecuencia, se plantea la cuestión de su compatibilidad electromagnética. Actualmente la utilización de la gama por encima de 1 GHz se domina muy insuficientemente en la República Kirguisa, pero podría recurrirse las tecnologías más recientes con el fin de utilizar más eficazmente esa parte del espectro.</w:t>
      </w:r>
    </w:p>
    <w:p w14:paraId="31C3FA3C" w14:textId="79ED4C39" w:rsidR="00F73D5B" w:rsidRPr="008B7A21" w:rsidRDefault="00F73D5B" w:rsidP="00F73D5B">
      <w:pPr>
        <w:rPr>
          <w:lang w:val="es-ES_tradnl"/>
        </w:rPr>
      </w:pPr>
      <w:r w:rsidRPr="008B7A21">
        <w:rPr>
          <w:lang w:val="es-ES_tradnl"/>
        </w:rPr>
        <w:t xml:space="preserve">El coeficiente </w:t>
      </w:r>
      <w:r w:rsidRPr="008B7A21">
        <w:rPr>
          <w:rFonts w:asciiTheme="majorBidi" w:hAnsiTheme="majorBidi" w:cstheme="majorBidi"/>
          <w:lang w:val="es-ES_tradnl"/>
        </w:rPr>
        <w:sym w:font="Symbol" w:char="F061"/>
      </w:r>
      <w:r w:rsidRPr="008B7A21">
        <w:rPr>
          <w:vertAlign w:val="subscript"/>
          <w:lang w:val="es-ES_tradnl"/>
        </w:rPr>
        <w:t>2</w:t>
      </w:r>
      <w:r w:rsidRPr="008B7A21">
        <w:rPr>
          <w:lang w:val="es-ES_tradnl"/>
        </w:rPr>
        <w:t xml:space="preserve"> que varía entre 0 y 10, representa un factor social. En el caso de los servicios de radiocomunicaciones cuya existencia es vital para los grupos de población, incluidos los más necesitados, el valor de este coeficiente es bajo. Por ejemplo, el valor del coeficiente </w:t>
      </w:r>
      <w:r w:rsidR="00386EEF" w:rsidRPr="00386EEF">
        <w:sym w:font="Symbol" w:char="F061"/>
      </w:r>
      <w:r w:rsidRPr="008B7A21">
        <w:rPr>
          <w:vertAlign w:val="subscript"/>
          <w:lang w:val="es-ES_tradnl"/>
        </w:rPr>
        <w:t>2</w:t>
      </w:r>
      <w:r w:rsidRPr="008B7A21">
        <w:rPr>
          <w:lang w:val="es-ES_tradnl"/>
        </w:rPr>
        <w:t xml:space="preserve"> es reducido para las estaciones de comunicaciones a larga distancia que utilizan frecuencias por encima de 1 GHz, y la radiodifusión de televisión. En cambio, el valor de dicho coeficiente </w:t>
      </w:r>
      <w:r w:rsidR="00386EEF" w:rsidRPr="00386EEF">
        <w:sym w:font="Symbol" w:char="F061"/>
      </w:r>
      <w:r w:rsidRPr="008B7A21">
        <w:rPr>
          <w:position w:val="-4"/>
          <w:sz w:val="16"/>
          <w:lang w:val="es-ES_tradnl"/>
        </w:rPr>
        <w:t>2</w:t>
      </w:r>
      <w:r w:rsidRPr="008B7A21">
        <w:rPr>
          <w:lang w:val="es-ES_tradnl"/>
        </w:rPr>
        <w:t xml:space="preserve"> es más elevado para las comunicaciones celulares.</w:t>
      </w:r>
    </w:p>
    <w:p w14:paraId="46638EA9" w14:textId="0F98E024" w:rsidR="00F73D5B" w:rsidRPr="008B7A21" w:rsidRDefault="00F73D5B" w:rsidP="00F73D5B">
      <w:pPr>
        <w:rPr>
          <w:lang w:val="es-ES_tradnl"/>
        </w:rPr>
      </w:pPr>
      <w:r w:rsidRPr="008B7A21">
        <w:rPr>
          <w:lang w:val="es-ES_tradnl"/>
        </w:rPr>
        <w:t xml:space="preserve">El coeficiente </w:t>
      </w:r>
      <w:r w:rsidR="00386EEF" w:rsidRPr="00386EEF">
        <w:sym w:font="Symbol" w:char="F061"/>
      </w:r>
      <w:r w:rsidRPr="008B7A21">
        <w:rPr>
          <w:vertAlign w:val="subscript"/>
          <w:lang w:val="es-ES_tradnl"/>
        </w:rPr>
        <w:t>3</w:t>
      </w:r>
      <w:r w:rsidRPr="008B7A21">
        <w:rPr>
          <w:lang w:val="es-ES_tradnl"/>
        </w:rPr>
        <w:t xml:space="preserve"> permite tener en cuenta las características de los emplazamientos en las zonas urbanas y rurales. En las zonas rurales en que la densidad demográfica y el nivel de ingresos son bajos, el valor comercial de los servicios de comunicación es también reducido y el coste tecnológico del suministro de dichos servicios resulta elevado. En consecuencia se ha reducido el valor del coeficiente </w:t>
      </w:r>
      <w:r w:rsidR="00386EEF" w:rsidRPr="00386EEF">
        <w:sym w:font="Symbol" w:char="F061"/>
      </w:r>
      <w:r w:rsidRPr="008B7A21">
        <w:rPr>
          <w:vertAlign w:val="subscript"/>
          <w:lang w:val="es-ES_tradnl"/>
        </w:rPr>
        <w:t>3</w:t>
      </w:r>
      <w:r w:rsidRPr="008B7A21">
        <w:rPr>
          <w:lang w:val="es-ES_tradnl"/>
        </w:rPr>
        <w:t xml:space="preserve"> a 0,1 (en los distritos urbanos </w:t>
      </w:r>
      <w:r w:rsidR="00386EEF" w:rsidRPr="00386EEF">
        <w:sym w:font="Symbol" w:char="F061"/>
      </w:r>
      <w:r w:rsidRPr="008B7A21">
        <w:rPr>
          <w:vertAlign w:val="subscript"/>
          <w:lang w:val="es-ES_tradnl"/>
        </w:rPr>
        <w:t>3</w:t>
      </w:r>
      <w:r w:rsidRPr="008B7A21">
        <w:rPr>
          <w:lang w:val="es-ES_tradnl"/>
        </w:rPr>
        <w:t> </w:t>
      </w:r>
      <w:r w:rsidR="00386EEF">
        <w:rPr>
          <w:lang w:val="es-ES_tradnl"/>
        </w:rPr>
        <w:t>=</w:t>
      </w:r>
      <w:r w:rsidRPr="008B7A21">
        <w:rPr>
          <w:lang w:val="es-ES_tradnl"/>
        </w:rPr>
        <w:t> 1) para apoyar a estos operadores de telecomunicaciones y soportar dichos servicios, así como para alentar el desarrollo de servicios de radiocomunicaciones.</w:t>
      </w:r>
    </w:p>
    <w:p w14:paraId="7464D271" w14:textId="145872CE" w:rsidR="00F73D5B" w:rsidRPr="008B7A21" w:rsidRDefault="00F73D5B" w:rsidP="00F73D5B">
      <w:pPr>
        <w:rPr>
          <w:lang w:val="es-ES_tradnl"/>
        </w:rPr>
      </w:pPr>
      <w:r w:rsidRPr="008B7A21">
        <w:rPr>
          <w:lang w:val="es-ES_tradnl"/>
        </w:rPr>
        <w:t xml:space="preserve">El coeficiente </w:t>
      </w:r>
      <w:r w:rsidR="00386EEF" w:rsidRPr="00386EEF">
        <w:sym w:font="Symbol" w:char="F061"/>
      </w:r>
      <w:r w:rsidRPr="008B7A21">
        <w:rPr>
          <w:vertAlign w:val="subscript"/>
          <w:lang w:val="es-ES_tradnl"/>
        </w:rPr>
        <w:t>4</w:t>
      </w:r>
      <w:r w:rsidRPr="008B7A21">
        <w:rPr>
          <w:lang w:val="es-ES_tradnl"/>
        </w:rPr>
        <w:t xml:space="preserve"> varía entre 0 y 10 y viene determinado por la complejidad de las funciones de gestión del espectro ejecutadas. Este coeficiente es el más elevado tratándose de los servicios móviles, ya que en este caso es necesario realizar la función de radiodeterminación de objetos móviles, así como en el caso de radiodifusión de televisión, que exige calcular con mucha exactitud varios parámetros.</w:t>
      </w:r>
    </w:p>
    <w:p w14:paraId="5AEA2C37" w14:textId="3C9C8462" w:rsidR="00F73D5B" w:rsidRPr="008B7A21" w:rsidRDefault="00F73D5B" w:rsidP="00F73D5B">
      <w:pPr>
        <w:pStyle w:val="TableNo"/>
        <w:rPr>
          <w:lang w:val="es-ES_tradnl"/>
        </w:rPr>
      </w:pPr>
      <w:r w:rsidRPr="008B7A21">
        <w:rPr>
          <w:lang w:val="es-ES_tradnl"/>
        </w:rPr>
        <w:t>CUADRO 29</w:t>
      </w:r>
    </w:p>
    <w:p w14:paraId="64AF1ADC" w14:textId="77777777" w:rsidR="00F73D5B" w:rsidRPr="008B7A21" w:rsidRDefault="00F73D5B" w:rsidP="00F73D5B">
      <w:pPr>
        <w:pStyle w:val="Tabletitle"/>
        <w:rPr>
          <w:position w:val="-5"/>
          <w:lang w:val="es-ES_tradnl"/>
        </w:rPr>
      </w:pPr>
      <w:r w:rsidRPr="008B7A21">
        <w:rPr>
          <w:lang w:val="es-ES_tradnl"/>
        </w:rPr>
        <w:t xml:space="preserve">Valores de los coeficientes </w:t>
      </w:r>
      <w:r w:rsidRPr="008B7A21">
        <w:rPr>
          <w:rFonts w:asciiTheme="majorBidi" w:hAnsiTheme="majorBidi" w:cstheme="majorBidi"/>
          <w:lang w:val="es-ES_tradnl"/>
        </w:rPr>
        <w:sym w:font="Symbol" w:char="F061"/>
      </w:r>
      <w:r w:rsidRPr="008B7A21">
        <w:rPr>
          <w:position w:val="-4"/>
          <w:lang w:val="es-ES_tradnl"/>
        </w:rPr>
        <w:t>1</w:t>
      </w:r>
      <w:r w:rsidRPr="008B7A21">
        <w:rPr>
          <w:lang w:val="es-ES_tradnl"/>
        </w:rPr>
        <w:t xml:space="preserve">, </w:t>
      </w:r>
      <w:r w:rsidRPr="008B7A21">
        <w:rPr>
          <w:rFonts w:asciiTheme="majorBidi" w:hAnsiTheme="majorBidi" w:cstheme="majorBidi"/>
          <w:lang w:val="es-ES_tradnl"/>
        </w:rPr>
        <w:sym w:font="Symbol" w:char="F061"/>
      </w:r>
      <w:r w:rsidRPr="008B7A21">
        <w:rPr>
          <w:position w:val="-4"/>
          <w:lang w:val="es-ES_tradnl"/>
        </w:rPr>
        <w:t>2</w:t>
      </w:r>
      <w:r w:rsidRPr="008B7A21">
        <w:rPr>
          <w:lang w:val="es-ES_tradnl"/>
        </w:rPr>
        <w:t xml:space="preserve">, </w:t>
      </w:r>
      <w:r w:rsidRPr="008B7A21">
        <w:rPr>
          <w:rFonts w:asciiTheme="majorBidi" w:hAnsiTheme="majorBidi" w:cstheme="majorBidi"/>
          <w:lang w:val="es-ES_tradnl"/>
        </w:rPr>
        <w:sym w:font="Symbol" w:char="F061"/>
      </w:r>
      <w:r w:rsidRPr="008B7A21">
        <w:rPr>
          <w:position w:val="-4"/>
          <w:lang w:val="es-ES_tradnl"/>
        </w:rPr>
        <w:t>3</w:t>
      </w:r>
      <w:r w:rsidRPr="008B7A21">
        <w:rPr>
          <w:lang w:val="es-ES_tradnl"/>
        </w:rPr>
        <w:t xml:space="preserve">, </w:t>
      </w:r>
      <w:r w:rsidRPr="008B7A21">
        <w:rPr>
          <w:rFonts w:asciiTheme="majorBidi" w:hAnsiTheme="majorBidi" w:cstheme="majorBidi"/>
          <w:lang w:val="es-ES_tradnl"/>
        </w:rPr>
        <w:sym w:font="Symbol" w:char="F061"/>
      </w:r>
      <w:r w:rsidRPr="008B7A21">
        <w:rPr>
          <w:position w:val="-4"/>
          <w:lang w:val="es-ES_tradnl"/>
        </w:rPr>
        <w:t>4</w:t>
      </w:r>
    </w:p>
    <w:tbl>
      <w:tblPr>
        <w:tblW w:w="0" w:type="auto"/>
        <w:jc w:val="center"/>
        <w:tblLayout w:type="fixed"/>
        <w:tblLook w:val="0000" w:firstRow="0" w:lastRow="0" w:firstColumn="0" w:lastColumn="0" w:noHBand="0" w:noVBand="0"/>
      </w:tblPr>
      <w:tblGrid>
        <w:gridCol w:w="5159"/>
        <w:gridCol w:w="851"/>
        <w:gridCol w:w="851"/>
        <w:gridCol w:w="964"/>
        <w:gridCol w:w="964"/>
        <w:gridCol w:w="850"/>
      </w:tblGrid>
      <w:tr w:rsidR="00F73D5B" w:rsidRPr="008B7A21" w14:paraId="2C72844C" w14:textId="77777777" w:rsidTr="00767A6A">
        <w:trPr>
          <w:cantSplit/>
          <w:trHeight w:val="20"/>
          <w:jc w:val="center"/>
        </w:trPr>
        <w:tc>
          <w:tcPr>
            <w:tcW w:w="5159" w:type="dxa"/>
            <w:vMerge w:val="restart"/>
            <w:tcBorders>
              <w:top w:val="single" w:sz="6" w:space="0" w:color="auto"/>
              <w:left w:val="single" w:sz="6" w:space="0" w:color="auto"/>
              <w:bottom w:val="single" w:sz="6" w:space="0" w:color="auto"/>
              <w:right w:val="single" w:sz="6" w:space="0" w:color="auto"/>
              <w:tl2br w:val="single" w:sz="6" w:space="0" w:color="auto"/>
            </w:tcBorders>
          </w:tcPr>
          <w:p w14:paraId="2CA664CE" w14:textId="77777777" w:rsidR="00F73D5B" w:rsidRPr="008B7A21" w:rsidRDefault="00F73D5B" w:rsidP="00767A6A">
            <w:pPr>
              <w:pStyle w:val="Tablehead"/>
              <w:jc w:val="right"/>
              <w:rPr>
                <w:lang w:val="es-ES_tradnl"/>
              </w:rPr>
            </w:pPr>
            <w:r w:rsidRPr="008B7A21">
              <w:rPr>
                <w:lang w:val="es-ES_tradnl"/>
              </w:rPr>
              <w:sym w:font="Symbol" w:char="F061"/>
            </w:r>
            <w:r w:rsidRPr="008B7A21">
              <w:rPr>
                <w:lang w:val="es-ES_tradnl"/>
              </w:rPr>
              <w:t>  </w:t>
            </w:r>
          </w:p>
          <w:p w14:paraId="0676087C" w14:textId="77777777" w:rsidR="00F73D5B" w:rsidRPr="008B7A21" w:rsidRDefault="00F73D5B" w:rsidP="00767A6A">
            <w:pPr>
              <w:pStyle w:val="Tablehead"/>
              <w:spacing w:before="120" w:after="0"/>
              <w:jc w:val="left"/>
              <w:rPr>
                <w:lang w:val="es-ES_tradnl"/>
              </w:rPr>
            </w:pPr>
            <w:r w:rsidRPr="008B7A21">
              <w:rPr>
                <w:lang w:val="es-ES_tradnl"/>
              </w:rPr>
              <w:t>Servicio</w:t>
            </w:r>
          </w:p>
        </w:tc>
        <w:tc>
          <w:tcPr>
            <w:tcW w:w="851" w:type="dxa"/>
            <w:vMerge w:val="restart"/>
            <w:tcBorders>
              <w:top w:val="single" w:sz="6" w:space="0" w:color="auto"/>
              <w:left w:val="single" w:sz="6" w:space="0" w:color="auto"/>
              <w:right w:val="single" w:sz="6" w:space="0" w:color="auto"/>
            </w:tcBorders>
          </w:tcPr>
          <w:p w14:paraId="793021C2" w14:textId="77777777" w:rsidR="00F73D5B" w:rsidRPr="008B7A21" w:rsidRDefault="00F73D5B" w:rsidP="00767A6A">
            <w:pPr>
              <w:pStyle w:val="Tablehead"/>
              <w:rPr>
                <w:lang w:val="es-ES_tradnl"/>
              </w:rPr>
            </w:pPr>
            <w:r w:rsidRPr="008B7A21">
              <w:rPr>
                <w:lang w:val="es-ES_tradnl"/>
              </w:rPr>
              <w:sym w:font="Symbol" w:char="F061"/>
            </w:r>
            <w:r w:rsidRPr="008B7A21">
              <w:rPr>
                <w:position w:val="-4"/>
                <w:lang w:val="es-ES_tradnl"/>
              </w:rPr>
              <w:t>1</w:t>
            </w:r>
          </w:p>
        </w:tc>
        <w:tc>
          <w:tcPr>
            <w:tcW w:w="851" w:type="dxa"/>
            <w:vMerge w:val="restart"/>
            <w:tcBorders>
              <w:top w:val="single" w:sz="6" w:space="0" w:color="auto"/>
              <w:left w:val="single" w:sz="6" w:space="0" w:color="auto"/>
              <w:right w:val="single" w:sz="6" w:space="0" w:color="auto"/>
            </w:tcBorders>
          </w:tcPr>
          <w:p w14:paraId="468C0FD4" w14:textId="77777777" w:rsidR="00F73D5B" w:rsidRPr="008B7A21" w:rsidRDefault="00F73D5B" w:rsidP="00767A6A">
            <w:pPr>
              <w:pStyle w:val="Tablehead"/>
              <w:rPr>
                <w:lang w:val="es-ES_tradnl"/>
              </w:rPr>
            </w:pPr>
            <w:r w:rsidRPr="008B7A21">
              <w:rPr>
                <w:lang w:val="es-ES_tradnl"/>
              </w:rPr>
              <w:sym w:font="Symbol" w:char="F061"/>
            </w:r>
            <w:r w:rsidRPr="008B7A21">
              <w:rPr>
                <w:position w:val="-4"/>
                <w:lang w:val="es-ES_tradnl"/>
              </w:rPr>
              <w:t>2</w:t>
            </w:r>
          </w:p>
        </w:tc>
        <w:tc>
          <w:tcPr>
            <w:tcW w:w="1928" w:type="dxa"/>
            <w:gridSpan w:val="2"/>
            <w:tcBorders>
              <w:top w:val="single" w:sz="6" w:space="0" w:color="auto"/>
              <w:left w:val="single" w:sz="6" w:space="0" w:color="auto"/>
              <w:bottom w:val="single" w:sz="6" w:space="0" w:color="auto"/>
              <w:right w:val="single" w:sz="6" w:space="0" w:color="auto"/>
            </w:tcBorders>
          </w:tcPr>
          <w:p w14:paraId="064817B4" w14:textId="77777777" w:rsidR="00F73D5B" w:rsidRPr="008B7A21" w:rsidRDefault="00F73D5B" w:rsidP="00767A6A">
            <w:pPr>
              <w:pStyle w:val="Tablehead"/>
              <w:rPr>
                <w:lang w:val="es-ES_tradnl"/>
              </w:rPr>
            </w:pPr>
            <w:r w:rsidRPr="008B7A21">
              <w:rPr>
                <w:lang w:val="es-ES_tradnl"/>
              </w:rPr>
              <w:sym w:font="Symbol" w:char="F061"/>
            </w:r>
            <w:r w:rsidRPr="008B7A21">
              <w:rPr>
                <w:position w:val="-4"/>
                <w:lang w:val="es-ES_tradnl"/>
              </w:rPr>
              <w:t>3</w:t>
            </w:r>
          </w:p>
        </w:tc>
        <w:tc>
          <w:tcPr>
            <w:tcW w:w="850" w:type="dxa"/>
            <w:tcBorders>
              <w:top w:val="single" w:sz="6" w:space="0" w:color="auto"/>
              <w:left w:val="single" w:sz="6" w:space="0" w:color="auto"/>
              <w:right w:val="single" w:sz="6" w:space="0" w:color="auto"/>
            </w:tcBorders>
          </w:tcPr>
          <w:p w14:paraId="16C20625" w14:textId="77777777" w:rsidR="00F73D5B" w:rsidRPr="008B7A21" w:rsidRDefault="00F73D5B" w:rsidP="00767A6A">
            <w:pPr>
              <w:pStyle w:val="Tablehead"/>
              <w:rPr>
                <w:lang w:val="es-ES_tradnl"/>
              </w:rPr>
            </w:pPr>
            <w:r w:rsidRPr="008B7A21">
              <w:rPr>
                <w:lang w:val="es-ES_tradnl"/>
              </w:rPr>
              <w:sym w:font="Symbol" w:char="F061"/>
            </w:r>
            <w:r w:rsidRPr="008B7A21">
              <w:rPr>
                <w:position w:val="-4"/>
                <w:lang w:val="es-ES_tradnl"/>
              </w:rPr>
              <w:t>4</w:t>
            </w:r>
          </w:p>
        </w:tc>
      </w:tr>
      <w:tr w:rsidR="00F73D5B" w:rsidRPr="008B7A21" w14:paraId="628A61C4" w14:textId="77777777" w:rsidTr="00767A6A">
        <w:trPr>
          <w:cantSplit/>
          <w:trHeight w:val="20"/>
          <w:jc w:val="center"/>
        </w:trPr>
        <w:tc>
          <w:tcPr>
            <w:tcW w:w="5159" w:type="dxa"/>
            <w:vMerge/>
            <w:tcBorders>
              <w:left w:val="single" w:sz="6" w:space="0" w:color="auto"/>
              <w:bottom w:val="single" w:sz="6" w:space="0" w:color="auto"/>
              <w:right w:val="single" w:sz="6" w:space="0" w:color="auto"/>
              <w:tl2br w:val="single" w:sz="6" w:space="0" w:color="auto"/>
            </w:tcBorders>
          </w:tcPr>
          <w:p w14:paraId="404A1CB2" w14:textId="77777777" w:rsidR="00F73D5B" w:rsidRPr="008B7A21" w:rsidRDefault="00F73D5B" w:rsidP="00767A6A">
            <w:pPr>
              <w:pStyle w:val="Tablehead"/>
              <w:rPr>
                <w:lang w:val="es-ES_tradnl"/>
              </w:rPr>
            </w:pPr>
          </w:p>
        </w:tc>
        <w:tc>
          <w:tcPr>
            <w:tcW w:w="851" w:type="dxa"/>
            <w:vMerge/>
            <w:tcBorders>
              <w:left w:val="single" w:sz="6" w:space="0" w:color="auto"/>
              <w:bottom w:val="single" w:sz="6" w:space="0" w:color="auto"/>
              <w:right w:val="single" w:sz="6" w:space="0" w:color="auto"/>
            </w:tcBorders>
          </w:tcPr>
          <w:p w14:paraId="763B9E45" w14:textId="77777777" w:rsidR="00F73D5B" w:rsidRPr="008B7A21" w:rsidRDefault="00F73D5B" w:rsidP="00767A6A">
            <w:pPr>
              <w:pStyle w:val="Tablehead"/>
              <w:rPr>
                <w:lang w:val="es-ES_tradnl"/>
              </w:rPr>
            </w:pPr>
          </w:p>
        </w:tc>
        <w:tc>
          <w:tcPr>
            <w:tcW w:w="851" w:type="dxa"/>
            <w:vMerge/>
            <w:tcBorders>
              <w:left w:val="single" w:sz="6" w:space="0" w:color="auto"/>
              <w:bottom w:val="single" w:sz="6" w:space="0" w:color="auto"/>
              <w:right w:val="single" w:sz="6" w:space="0" w:color="auto"/>
            </w:tcBorders>
          </w:tcPr>
          <w:p w14:paraId="6833B373" w14:textId="77777777" w:rsidR="00F73D5B" w:rsidRPr="008B7A21" w:rsidRDefault="00F73D5B" w:rsidP="00767A6A">
            <w:pPr>
              <w:pStyle w:val="Tablehead"/>
              <w:rPr>
                <w:lang w:val="es-ES_tradnl"/>
              </w:rPr>
            </w:pPr>
          </w:p>
        </w:tc>
        <w:tc>
          <w:tcPr>
            <w:tcW w:w="964" w:type="dxa"/>
            <w:tcBorders>
              <w:top w:val="single" w:sz="6" w:space="0" w:color="auto"/>
              <w:left w:val="single" w:sz="6" w:space="0" w:color="auto"/>
              <w:bottom w:val="single" w:sz="6" w:space="0" w:color="auto"/>
              <w:right w:val="single" w:sz="6" w:space="0" w:color="auto"/>
            </w:tcBorders>
          </w:tcPr>
          <w:p w14:paraId="227842AF" w14:textId="77777777" w:rsidR="00F73D5B" w:rsidRPr="008B7A21" w:rsidRDefault="00F73D5B" w:rsidP="00767A6A">
            <w:pPr>
              <w:pStyle w:val="Tablehead"/>
              <w:rPr>
                <w:lang w:val="es-ES_tradnl"/>
              </w:rPr>
            </w:pPr>
            <w:r w:rsidRPr="008B7A21">
              <w:rPr>
                <w:lang w:val="es-ES_tradnl"/>
              </w:rPr>
              <w:t>Ciudad</w:t>
            </w:r>
          </w:p>
        </w:tc>
        <w:tc>
          <w:tcPr>
            <w:tcW w:w="964" w:type="dxa"/>
            <w:tcBorders>
              <w:top w:val="single" w:sz="6" w:space="0" w:color="auto"/>
              <w:left w:val="single" w:sz="6" w:space="0" w:color="auto"/>
              <w:bottom w:val="single" w:sz="6" w:space="0" w:color="auto"/>
              <w:right w:val="single" w:sz="6" w:space="0" w:color="auto"/>
            </w:tcBorders>
          </w:tcPr>
          <w:p w14:paraId="7AA2E95F" w14:textId="77777777" w:rsidR="00F73D5B" w:rsidRPr="008B7A21" w:rsidRDefault="00F73D5B" w:rsidP="00767A6A">
            <w:pPr>
              <w:pStyle w:val="Tablehead"/>
              <w:rPr>
                <w:lang w:val="es-ES_tradnl"/>
              </w:rPr>
            </w:pPr>
            <w:r w:rsidRPr="008B7A21">
              <w:rPr>
                <w:lang w:val="es-ES_tradnl"/>
              </w:rPr>
              <w:t>Aldea</w:t>
            </w:r>
          </w:p>
        </w:tc>
        <w:tc>
          <w:tcPr>
            <w:tcW w:w="850" w:type="dxa"/>
            <w:tcBorders>
              <w:left w:val="single" w:sz="6" w:space="0" w:color="auto"/>
              <w:bottom w:val="single" w:sz="6" w:space="0" w:color="auto"/>
              <w:right w:val="single" w:sz="6" w:space="0" w:color="auto"/>
            </w:tcBorders>
          </w:tcPr>
          <w:p w14:paraId="56DFCB62" w14:textId="77777777" w:rsidR="00F73D5B" w:rsidRPr="008B7A21" w:rsidRDefault="00F73D5B" w:rsidP="00767A6A">
            <w:pPr>
              <w:pStyle w:val="Tablehead"/>
              <w:rPr>
                <w:lang w:val="es-ES_tradnl"/>
              </w:rPr>
            </w:pPr>
          </w:p>
        </w:tc>
      </w:tr>
      <w:tr w:rsidR="00F73D5B" w:rsidRPr="008B7A21" w14:paraId="0E76250E" w14:textId="77777777" w:rsidTr="00767A6A">
        <w:trPr>
          <w:cantSplit/>
          <w:jc w:val="center"/>
        </w:trPr>
        <w:tc>
          <w:tcPr>
            <w:tcW w:w="5159" w:type="dxa"/>
            <w:tcBorders>
              <w:top w:val="single" w:sz="6" w:space="0" w:color="auto"/>
              <w:left w:val="single" w:sz="6" w:space="0" w:color="auto"/>
              <w:bottom w:val="single" w:sz="6" w:space="0" w:color="auto"/>
              <w:right w:val="single" w:sz="6" w:space="0" w:color="auto"/>
            </w:tcBorders>
          </w:tcPr>
          <w:p w14:paraId="71D57D02" w14:textId="77777777" w:rsidR="00F73D5B" w:rsidRPr="008B7A21" w:rsidRDefault="00F73D5B" w:rsidP="00767A6A">
            <w:pPr>
              <w:pStyle w:val="Tabletext"/>
              <w:keepNext/>
              <w:keepLines/>
              <w:rPr>
                <w:lang w:val="es-ES_tradnl"/>
              </w:rPr>
            </w:pPr>
            <w:r w:rsidRPr="008B7A21">
              <w:rPr>
                <w:lang w:val="es-ES_tradnl"/>
              </w:rPr>
              <w:t>Línea de radioenlace en la gama superior a 1 GHz</w:t>
            </w:r>
          </w:p>
        </w:tc>
        <w:tc>
          <w:tcPr>
            <w:tcW w:w="851" w:type="dxa"/>
            <w:tcBorders>
              <w:top w:val="single" w:sz="6" w:space="0" w:color="auto"/>
              <w:left w:val="single" w:sz="6" w:space="0" w:color="auto"/>
              <w:bottom w:val="single" w:sz="6" w:space="0" w:color="auto"/>
              <w:right w:val="single" w:sz="6" w:space="0" w:color="auto"/>
            </w:tcBorders>
          </w:tcPr>
          <w:p w14:paraId="2629A9A4" w14:textId="77777777" w:rsidR="00F73D5B" w:rsidRPr="008B7A21" w:rsidRDefault="00F73D5B" w:rsidP="00767A6A">
            <w:pPr>
              <w:pStyle w:val="Tabletext"/>
              <w:keepNext/>
              <w:keepLines/>
              <w:jc w:val="center"/>
              <w:rPr>
                <w:lang w:val="es-ES_tradnl"/>
              </w:rPr>
            </w:pPr>
            <w:r w:rsidRPr="008B7A21">
              <w:rPr>
                <w:lang w:val="es-ES_tradnl"/>
              </w:rPr>
              <w:t>0,5</w:t>
            </w:r>
          </w:p>
        </w:tc>
        <w:tc>
          <w:tcPr>
            <w:tcW w:w="851" w:type="dxa"/>
            <w:tcBorders>
              <w:top w:val="single" w:sz="6" w:space="0" w:color="auto"/>
              <w:left w:val="single" w:sz="6" w:space="0" w:color="auto"/>
              <w:bottom w:val="single" w:sz="6" w:space="0" w:color="auto"/>
              <w:right w:val="single" w:sz="6" w:space="0" w:color="auto"/>
            </w:tcBorders>
          </w:tcPr>
          <w:p w14:paraId="275DD26B" w14:textId="77777777" w:rsidR="00F73D5B" w:rsidRPr="008B7A21" w:rsidRDefault="00F73D5B" w:rsidP="00767A6A">
            <w:pPr>
              <w:pStyle w:val="Tabletext"/>
              <w:keepNext/>
              <w:keepLines/>
              <w:jc w:val="center"/>
              <w:rPr>
                <w:lang w:val="es-ES_tradnl"/>
              </w:rPr>
            </w:pPr>
            <w:r w:rsidRPr="008B7A21">
              <w:rPr>
                <w:lang w:val="es-ES_tradnl"/>
              </w:rPr>
              <w:t>0,30</w:t>
            </w:r>
          </w:p>
        </w:tc>
        <w:tc>
          <w:tcPr>
            <w:tcW w:w="964" w:type="dxa"/>
            <w:tcBorders>
              <w:top w:val="single" w:sz="6" w:space="0" w:color="auto"/>
              <w:left w:val="single" w:sz="6" w:space="0" w:color="auto"/>
              <w:bottom w:val="single" w:sz="6" w:space="0" w:color="auto"/>
              <w:right w:val="single" w:sz="6" w:space="0" w:color="auto"/>
            </w:tcBorders>
          </w:tcPr>
          <w:p w14:paraId="555E248B" w14:textId="77777777" w:rsidR="00F73D5B" w:rsidRPr="008B7A21" w:rsidRDefault="00F73D5B" w:rsidP="00767A6A">
            <w:pPr>
              <w:pStyle w:val="Tabletext"/>
              <w:keepNext/>
              <w:keepLines/>
              <w:jc w:val="center"/>
              <w:rPr>
                <w:lang w:val="es-ES_tradnl"/>
              </w:rPr>
            </w:pPr>
            <w:r w:rsidRPr="008B7A21">
              <w:rPr>
                <w:lang w:val="es-ES_tradnl"/>
              </w:rPr>
              <w:t>1</w:t>
            </w:r>
          </w:p>
        </w:tc>
        <w:tc>
          <w:tcPr>
            <w:tcW w:w="964" w:type="dxa"/>
            <w:tcBorders>
              <w:top w:val="single" w:sz="6" w:space="0" w:color="auto"/>
              <w:left w:val="single" w:sz="6" w:space="0" w:color="auto"/>
              <w:bottom w:val="single" w:sz="6" w:space="0" w:color="auto"/>
              <w:right w:val="single" w:sz="6" w:space="0" w:color="auto"/>
            </w:tcBorders>
          </w:tcPr>
          <w:p w14:paraId="17ACC1E3" w14:textId="77777777" w:rsidR="00F73D5B" w:rsidRPr="008B7A21" w:rsidRDefault="00F73D5B" w:rsidP="00767A6A">
            <w:pPr>
              <w:pStyle w:val="Tabletext"/>
              <w:keepNext/>
              <w:keepLines/>
              <w:jc w:val="center"/>
              <w:rPr>
                <w:lang w:val="es-ES_tradnl"/>
              </w:rPr>
            </w:pPr>
            <w:r w:rsidRPr="008B7A21">
              <w:rPr>
                <w:lang w:val="es-ES_tradnl"/>
              </w:rPr>
              <w:t>0,1</w:t>
            </w:r>
          </w:p>
        </w:tc>
        <w:tc>
          <w:tcPr>
            <w:tcW w:w="850" w:type="dxa"/>
            <w:tcBorders>
              <w:top w:val="single" w:sz="6" w:space="0" w:color="auto"/>
              <w:left w:val="single" w:sz="6" w:space="0" w:color="auto"/>
              <w:bottom w:val="single" w:sz="6" w:space="0" w:color="auto"/>
              <w:right w:val="single" w:sz="6" w:space="0" w:color="auto"/>
            </w:tcBorders>
          </w:tcPr>
          <w:p w14:paraId="5996EFB0" w14:textId="77777777" w:rsidR="00F73D5B" w:rsidRPr="008B7A21" w:rsidRDefault="00F73D5B" w:rsidP="00767A6A">
            <w:pPr>
              <w:pStyle w:val="Tabletext"/>
              <w:keepNext/>
              <w:keepLines/>
              <w:jc w:val="center"/>
              <w:rPr>
                <w:lang w:val="es-ES_tradnl"/>
              </w:rPr>
            </w:pPr>
            <w:r w:rsidRPr="008B7A21">
              <w:rPr>
                <w:lang w:val="es-ES_tradnl"/>
              </w:rPr>
              <w:t>1</w:t>
            </w:r>
          </w:p>
        </w:tc>
      </w:tr>
      <w:tr w:rsidR="00F73D5B" w:rsidRPr="008B7A21" w14:paraId="39ED3D8F" w14:textId="77777777" w:rsidTr="00767A6A">
        <w:trPr>
          <w:cantSplit/>
          <w:jc w:val="center"/>
        </w:trPr>
        <w:tc>
          <w:tcPr>
            <w:tcW w:w="5159" w:type="dxa"/>
            <w:tcBorders>
              <w:top w:val="single" w:sz="6" w:space="0" w:color="auto"/>
              <w:left w:val="single" w:sz="6" w:space="0" w:color="auto"/>
              <w:bottom w:val="single" w:sz="6" w:space="0" w:color="auto"/>
              <w:right w:val="single" w:sz="6" w:space="0" w:color="auto"/>
            </w:tcBorders>
          </w:tcPr>
          <w:p w14:paraId="65785610" w14:textId="77777777" w:rsidR="00F73D5B" w:rsidRPr="008B7A21" w:rsidRDefault="00F73D5B" w:rsidP="00767A6A">
            <w:pPr>
              <w:pStyle w:val="Tabletext"/>
              <w:keepNext/>
              <w:keepLines/>
              <w:rPr>
                <w:lang w:val="es-ES_tradnl"/>
              </w:rPr>
            </w:pPr>
            <w:r w:rsidRPr="008B7A21">
              <w:rPr>
                <w:lang w:val="es-ES_tradnl"/>
              </w:rPr>
              <w:t>Línea de radioenlace en la gama inferior a 1 GHz</w:t>
            </w:r>
          </w:p>
        </w:tc>
        <w:tc>
          <w:tcPr>
            <w:tcW w:w="851" w:type="dxa"/>
            <w:tcBorders>
              <w:top w:val="single" w:sz="6" w:space="0" w:color="auto"/>
              <w:left w:val="single" w:sz="6" w:space="0" w:color="auto"/>
              <w:bottom w:val="single" w:sz="6" w:space="0" w:color="auto"/>
              <w:right w:val="single" w:sz="6" w:space="0" w:color="auto"/>
            </w:tcBorders>
          </w:tcPr>
          <w:p w14:paraId="548A84B2" w14:textId="77777777" w:rsidR="00F73D5B" w:rsidRPr="008B7A21" w:rsidRDefault="00F73D5B" w:rsidP="00767A6A">
            <w:pPr>
              <w:pStyle w:val="Tabletext"/>
              <w:keepNext/>
              <w:keepLines/>
              <w:jc w:val="center"/>
              <w:rPr>
                <w:lang w:val="es-ES_tradnl"/>
              </w:rPr>
            </w:pPr>
            <w:r w:rsidRPr="008B7A21">
              <w:rPr>
                <w:lang w:val="es-ES_tradnl"/>
              </w:rPr>
              <w:t>1</w:t>
            </w:r>
          </w:p>
        </w:tc>
        <w:tc>
          <w:tcPr>
            <w:tcW w:w="851" w:type="dxa"/>
            <w:tcBorders>
              <w:top w:val="single" w:sz="6" w:space="0" w:color="auto"/>
              <w:left w:val="single" w:sz="6" w:space="0" w:color="auto"/>
              <w:bottom w:val="single" w:sz="6" w:space="0" w:color="auto"/>
              <w:right w:val="single" w:sz="6" w:space="0" w:color="auto"/>
            </w:tcBorders>
          </w:tcPr>
          <w:p w14:paraId="6111752E" w14:textId="77777777" w:rsidR="00F73D5B" w:rsidRPr="008B7A21" w:rsidRDefault="00F73D5B" w:rsidP="00767A6A">
            <w:pPr>
              <w:pStyle w:val="Tabletext"/>
              <w:keepNext/>
              <w:keepLines/>
              <w:jc w:val="center"/>
              <w:rPr>
                <w:lang w:val="es-ES_tradnl"/>
              </w:rPr>
            </w:pPr>
            <w:r w:rsidRPr="008B7A21">
              <w:rPr>
                <w:lang w:val="es-ES_tradnl"/>
              </w:rPr>
              <w:t>4,00</w:t>
            </w:r>
          </w:p>
        </w:tc>
        <w:tc>
          <w:tcPr>
            <w:tcW w:w="964" w:type="dxa"/>
            <w:tcBorders>
              <w:top w:val="single" w:sz="6" w:space="0" w:color="auto"/>
              <w:left w:val="single" w:sz="6" w:space="0" w:color="auto"/>
              <w:bottom w:val="single" w:sz="6" w:space="0" w:color="auto"/>
              <w:right w:val="single" w:sz="6" w:space="0" w:color="auto"/>
            </w:tcBorders>
          </w:tcPr>
          <w:p w14:paraId="75C961B7" w14:textId="77777777" w:rsidR="00F73D5B" w:rsidRPr="008B7A21" w:rsidRDefault="00F73D5B" w:rsidP="00767A6A">
            <w:pPr>
              <w:pStyle w:val="Tabletext"/>
              <w:keepNext/>
              <w:keepLines/>
              <w:jc w:val="center"/>
              <w:rPr>
                <w:lang w:val="es-ES_tradnl"/>
              </w:rPr>
            </w:pPr>
            <w:r w:rsidRPr="008B7A21">
              <w:rPr>
                <w:lang w:val="es-ES_tradnl"/>
              </w:rPr>
              <w:t>1</w:t>
            </w:r>
          </w:p>
        </w:tc>
        <w:tc>
          <w:tcPr>
            <w:tcW w:w="964" w:type="dxa"/>
            <w:tcBorders>
              <w:top w:val="single" w:sz="6" w:space="0" w:color="auto"/>
              <w:left w:val="single" w:sz="6" w:space="0" w:color="auto"/>
              <w:bottom w:val="single" w:sz="6" w:space="0" w:color="auto"/>
              <w:right w:val="single" w:sz="6" w:space="0" w:color="auto"/>
            </w:tcBorders>
          </w:tcPr>
          <w:p w14:paraId="49B69AEC" w14:textId="77777777" w:rsidR="00F73D5B" w:rsidRPr="008B7A21" w:rsidRDefault="00F73D5B" w:rsidP="00767A6A">
            <w:pPr>
              <w:pStyle w:val="Tabletext"/>
              <w:keepNext/>
              <w:keepLines/>
              <w:jc w:val="center"/>
              <w:rPr>
                <w:lang w:val="es-ES_tradnl"/>
              </w:rPr>
            </w:pPr>
            <w:r w:rsidRPr="008B7A21">
              <w:rPr>
                <w:lang w:val="es-ES_tradnl"/>
              </w:rPr>
              <w:t>0,1</w:t>
            </w:r>
          </w:p>
        </w:tc>
        <w:tc>
          <w:tcPr>
            <w:tcW w:w="850" w:type="dxa"/>
            <w:tcBorders>
              <w:top w:val="single" w:sz="6" w:space="0" w:color="auto"/>
              <w:left w:val="single" w:sz="6" w:space="0" w:color="auto"/>
              <w:bottom w:val="single" w:sz="6" w:space="0" w:color="auto"/>
              <w:right w:val="single" w:sz="6" w:space="0" w:color="auto"/>
            </w:tcBorders>
          </w:tcPr>
          <w:p w14:paraId="7D6229DF" w14:textId="77777777" w:rsidR="00F73D5B" w:rsidRPr="008B7A21" w:rsidRDefault="00F73D5B" w:rsidP="00767A6A">
            <w:pPr>
              <w:pStyle w:val="Tabletext"/>
              <w:keepNext/>
              <w:keepLines/>
              <w:jc w:val="center"/>
              <w:rPr>
                <w:lang w:val="es-ES_tradnl"/>
              </w:rPr>
            </w:pPr>
            <w:r w:rsidRPr="008B7A21">
              <w:rPr>
                <w:lang w:val="es-ES_tradnl"/>
              </w:rPr>
              <w:t>1</w:t>
            </w:r>
          </w:p>
        </w:tc>
      </w:tr>
      <w:tr w:rsidR="00F73D5B" w:rsidRPr="008B7A21" w14:paraId="34930960" w14:textId="77777777" w:rsidTr="00767A6A">
        <w:trPr>
          <w:cantSplit/>
          <w:jc w:val="center"/>
        </w:trPr>
        <w:tc>
          <w:tcPr>
            <w:tcW w:w="5159" w:type="dxa"/>
            <w:tcBorders>
              <w:top w:val="single" w:sz="6" w:space="0" w:color="auto"/>
              <w:left w:val="single" w:sz="6" w:space="0" w:color="auto"/>
              <w:bottom w:val="single" w:sz="6" w:space="0" w:color="auto"/>
              <w:right w:val="single" w:sz="6" w:space="0" w:color="auto"/>
            </w:tcBorders>
          </w:tcPr>
          <w:p w14:paraId="5D5F6001" w14:textId="77777777" w:rsidR="00F73D5B" w:rsidRPr="008B7A21" w:rsidRDefault="00F73D5B" w:rsidP="00767A6A">
            <w:pPr>
              <w:pStyle w:val="Tabletext"/>
              <w:keepNext/>
              <w:keepLines/>
              <w:rPr>
                <w:lang w:val="es-ES_tradnl"/>
              </w:rPr>
            </w:pPr>
            <w:r w:rsidRPr="008B7A21">
              <w:rPr>
                <w:lang w:val="es-ES_tradnl"/>
              </w:rPr>
              <w:t>Televisión en la gama de ondas métricas</w:t>
            </w:r>
          </w:p>
        </w:tc>
        <w:tc>
          <w:tcPr>
            <w:tcW w:w="851" w:type="dxa"/>
            <w:tcBorders>
              <w:top w:val="single" w:sz="6" w:space="0" w:color="auto"/>
              <w:left w:val="single" w:sz="6" w:space="0" w:color="auto"/>
              <w:bottom w:val="single" w:sz="6" w:space="0" w:color="auto"/>
              <w:right w:val="single" w:sz="6" w:space="0" w:color="auto"/>
            </w:tcBorders>
          </w:tcPr>
          <w:p w14:paraId="2EF2E406" w14:textId="77777777" w:rsidR="00F73D5B" w:rsidRPr="008B7A21" w:rsidRDefault="00F73D5B" w:rsidP="00767A6A">
            <w:pPr>
              <w:pStyle w:val="Tabletext"/>
              <w:keepNext/>
              <w:keepLines/>
              <w:jc w:val="center"/>
              <w:rPr>
                <w:lang w:val="es-ES_tradnl"/>
              </w:rPr>
            </w:pPr>
            <w:r w:rsidRPr="008B7A21">
              <w:rPr>
                <w:lang w:val="es-ES_tradnl"/>
              </w:rPr>
              <w:t>5</w:t>
            </w:r>
          </w:p>
        </w:tc>
        <w:tc>
          <w:tcPr>
            <w:tcW w:w="851" w:type="dxa"/>
            <w:tcBorders>
              <w:top w:val="single" w:sz="6" w:space="0" w:color="auto"/>
              <w:left w:val="single" w:sz="6" w:space="0" w:color="auto"/>
              <w:bottom w:val="single" w:sz="6" w:space="0" w:color="auto"/>
              <w:right w:val="single" w:sz="6" w:space="0" w:color="auto"/>
            </w:tcBorders>
          </w:tcPr>
          <w:p w14:paraId="372295F8" w14:textId="77777777" w:rsidR="00F73D5B" w:rsidRPr="008B7A21" w:rsidRDefault="00F73D5B" w:rsidP="00767A6A">
            <w:pPr>
              <w:pStyle w:val="Tabletext"/>
              <w:keepNext/>
              <w:keepLines/>
              <w:jc w:val="center"/>
              <w:rPr>
                <w:lang w:val="es-ES_tradnl"/>
              </w:rPr>
            </w:pPr>
            <w:r w:rsidRPr="008B7A21">
              <w:rPr>
                <w:lang w:val="es-ES_tradnl"/>
              </w:rPr>
              <w:t>0,30</w:t>
            </w:r>
          </w:p>
        </w:tc>
        <w:tc>
          <w:tcPr>
            <w:tcW w:w="964" w:type="dxa"/>
            <w:tcBorders>
              <w:top w:val="single" w:sz="6" w:space="0" w:color="auto"/>
              <w:left w:val="single" w:sz="6" w:space="0" w:color="auto"/>
              <w:bottom w:val="single" w:sz="6" w:space="0" w:color="auto"/>
              <w:right w:val="single" w:sz="6" w:space="0" w:color="auto"/>
            </w:tcBorders>
          </w:tcPr>
          <w:p w14:paraId="44E01220" w14:textId="77777777" w:rsidR="00F73D5B" w:rsidRPr="008B7A21" w:rsidRDefault="00F73D5B" w:rsidP="00767A6A">
            <w:pPr>
              <w:pStyle w:val="Tabletext"/>
              <w:keepNext/>
              <w:keepLines/>
              <w:jc w:val="center"/>
              <w:rPr>
                <w:lang w:val="es-ES_tradnl"/>
              </w:rPr>
            </w:pPr>
            <w:r w:rsidRPr="008B7A21">
              <w:rPr>
                <w:lang w:val="es-ES_tradnl"/>
              </w:rPr>
              <w:t>1</w:t>
            </w:r>
          </w:p>
        </w:tc>
        <w:tc>
          <w:tcPr>
            <w:tcW w:w="964" w:type="dxa"/>
            <w:tcBorders>
              <w:top w:val="single" w:sz="6" w:space="0" w:color="auto"/>
              <w:left w:val="single" w:sz="6" w:space="0" w:color="auto"/>
              <w:bottom w:val="single" w:sz="6" w:space="0" w:color="auto"/>
              <w:right w:val="single" w:sz="6" w:space="0" w:color="auto"/>
            </w:tcBorders>
          </w:tcPr>
          <w:p w14:paraId="632436F4" w14:textId="77777777" w:rsidR="00F73D5B" w:rsidRPr="008B7A21" w:rsidRDefault="00F73D5B" w:rsidP="00767A6A">
            <w:pPr>
              <w:pStyle w:val="Tabletext"/>
              <w:keepNext/>
              <w:keepLines/>
              <w:jc w:val="center"/>
              <w:rPr>
                <w:lang w:val="es-ES_tradnl"/>
              </w:rPr>
            </w:pPr>
            <w:r w:rsidRPr="008B7A21">
              <w:rPr>
                <w:lang w:val="es-ES_tradnl"/>
              </w:rPr>
              <w:t>0,1</w:t>
            </w:r>
          </w:p>
        </w:tc>
        <w:tc>
          <w:tcPr>
            <w:tcW w:w="850" w:type="dxa"/>
            <w:tcBorders>
              <w:top w:val="single" w:sz="6" w:space="0" w:color="auto"/>
              <w:left w:val="single" w:sz="6" w:space="0" w:color="auto"/>
              <w:bottom w:val="single" w:sz="6" w:space="0" w:color="auto"/>
              <w:right w:val="single" w:sz="6" w:space="0" w:color="auto"/>
            </w:tcBorders>
          </w:tcPr>
          <w:p w14:paraId="7F5D2CF7" w14:textId="77777777" w:rsidR="00F73D5B" w:rsidRPr="008B7A21" w:rsidRDefault="00F73D5B" w:rsidP="00767A6A">
            <w:pPr>
              <w:pStyle w:val="Tabletext"/>
              <w:keepNext/>
              <w:keepLines/>
              <w:jc w:val="center"/>
              <w:rPr>
                <w:lang w:val="es-ES_tradnl"/>
              </w:rPr>
            </w:pPr>
            <w:r w:rsidRPr="008B7A21">
              <w:rPr>
                <w:lang w:val="es-ES_tradnl"/>
              </w:rPr>
              <w:t>5</w:t>
            </w:r>
          </w:p>
        </w:tc>
      </w:tr>
      <w:tr w:rsidR="00F73D5B" w:rsidRPr="008B7A21" w14:paraId="3245C97A" w14:textId="77777777" w:rsidTr="00767A6A">
        <w:trPr>
          <w:cantSplit/>
          <w:jc w:val="center"/>
        </w:trPr>
        <w:tc>
          <w:tcPr>
            <w:tcW w:w="5159" w:type="dxa"/>
            <w:tcBorders>
              <w:top w:val="single" w:sz="6" w:space="0" w:color="auto"/>
              <w:left w:val="single" w:sz="6" w:space="0" w:color="auto"/>
              <w:bottom w:val="single" w:sz="6" w:space="0" w:color="auto"/>
              <w:right w:val="single" w:sz="6" w:space="0" w:color="auto"/>
            </w:tcBorders>
          </w:tcPr>
          <w:p w14:paraId="07DB7548" w14:textId="77777777" w:rsidR="00F73D5B" w:rsidRPr="008B7A21" w:rsidRDefault="00F73D5B" w:rsidP="00767A6A">
            <w:pPr>
              <w:pStyle w:val="Tabletext"/>
              <w:keepNext/>
              <w:keepLines/>
              <w:rPr>
                <w:lang w:val="es-ES_tradnl"/>
              </w:rPr>
            </w:pPr>
            <w:r w:rsidRPr="008B7A21">
              <w:rPr>
                <w:lang w:val="es-ES_tradnl"/>
              </w:rPr>
              <w:t>Televisión en la gama de ondas decamétricas</w:t>
            </w:r>
          </w:p>
        </w:tc>
        <w:tc>
          <w:tcPr>
            <w:tcW w:w="851" w:type="dxa"/>
            <w:tcBorders>
              <w:top w:val="single" w:sz="6" w:space="0" w:color="auto"/>
              <w:left w:val="single" w:sz="6" w:space="0" w:color="auto"/>
              <w:bottom w:val="single" w:sz="6" w:space="0" w:color="auto"/>
              <w:right w:val="single" w:sz="6" w:space="0" w:color="auto"/>
            </w:tcBorders>
          </w:tcPr>
          <w:p w14:paraId="092EF0A0" w14:textId="77777777" w:rsidR="00F73D5B" w:rsidRPr="008B7A21" w:rsidRDefault="00F73D5B" w:rsidP="00767A6A">
            <w:pPr>
              <w:pStyle w:val="Tabletext"/>
              <w:keepNext/>
              <w:keepLines/>
              <w:jc w:val="center"/>
              <w:rPr>
                <w:lang w:val="es-ES_tradnl"/>
              </w:rPr>
            </w:pPr>
            <w:r w:rsidRPr="008B7A21">
              <w:rPr>
                <w:lang w:val="es-ES_tradnl"/>
              </w:rPr>
              <w:t>5</w:t>
            </w:r>
          </w:p>
        </w:tc>
        <w:tc>
          <w:tcPr>
            <w:tcW w:w="851" w:type="dxa"/>
            <w:tcBorders>
              <w:top w:val="single" w:sz="6" w:space="0" w:color="auto"/>
              <w:left w:val="single" w:sz="6" w:space="0" w:color="auto"/>
              <w:bottom w:val="single" w:sz="6" w:space="0" w:color="auto"/>
              <w:right w:val="single" w:sz="6" w:space="0" w:color="auto"/>
            </w:tcBorders>
          </w:tcPr>
          <w:p w14:paraId="68D1D6B5" w14:textId="77777777" w:rsidR="00F73D5B" w:rsidRPr="008B7A21" w:rsidRDefault="00F73D5B" w:rsidP="00767A6A">
            <w:pPr>
              <w:pStyle w:val="Tabletext"/>
              <w:keepNext/>
              <w:keepLines/>
              <w:jc w:val="center"/>
              <w:rPr>
                <w:lang w:val="es-ES_tradnl"/>
              </w:rPr>
            </w:pPr>
            <w:r w:rsidRPr="008B7A21">
              <w:rPr>
                <w:lang w:val="es-ES_tradnl"/>
              </w:rPr>
              <w:t>0,40</w:t>
            </w:r>
          </w:p>
        </w:tc>
        <w:tc>
          <w:tcPr>
            <w:tcW w:w="964" w:type="dxa"/>
            <w:tcBorders>
              <w:top w:val="single" w:sz="6" w:space="0" w:color="auto"/>
              <w:left w:val="single" w:sz="6" w:space="0" w:color="auto"/>
              <w:bottom w:val="single" w:sz="6" w:space="0" w:color="auto"/>
              <w:right w:val="single" w:sz="6" w:space="0" w:color="auto"/>
            </w:tcBorders>
          </w:tcPr>
          <w:p w14:paraId="5526BA84" w14:textId="77777777" w:rsidR="00F73D5B" w:rsidRPr="008B7A21" w:rsidRDefault="00F73D5B" w:rsidP="00767A6A">
            <w:pPr>
              <w:pStyle w:val="Tabletext"/>
              <w:keepNext/>
              <w:keepLines/>
              <w:jc w:val="center"/>
              <w:rPr>
                <w:lang w:val="es-ES_tradnl"/>
              </w:rPr>
            </w:pPr>
            <w:r w:rsidRPr="008B7A21">
              <w:rPr>
                <w:lang w:val="es-ES_tradnl"/>
              </w:rPr>
              <w:t>1</w:t>
            </w:r>
          </w:p>
        </w:tc>
        <w:tc>
          <w:tcPr>
            <w:tcW w:w="964" w:type="dxa"/>
            <w:tcBorders>
              <w:top w:val="single" w:sz="6" w:space="0" w:color="auto"/>
              <w:left w:val="single" w:sz="6" w:space="0" w:color="auto"/>
              <w:bottom w:val="single" w:sz="6" w:space="0" w:color="auto"/>
              <w:right w:val="single" w:sz="6" w:space="0" w:color="auto"/>
            </w:tcBorders>
          </w:tcPr>
          <w:p w14:paraId="49CE2ED9" w14:textId="77777777" w:rsidR="00F73D5B" w:rsidRPr="008B7A21" w:rsidRDefault="00F73D5B" w:rsidP="00767A6A">
            <w:pPr>
              <w:pStyle w:val="Tabletext"/>
              <w:keepNext/>
              <w:keepLines/>
              <w:jc w:val="center"/>
              <w:rPr>
                <w:lang w:val="es-ES_tradnl"/>
              </w:rPr>
            </w:pPr>
            <w:r w:rsidRPr="008B7A21">
              <w:rPr>
                <w:lang w:val="es-ES_tradnl"/>
              </w:rPr>
              <w:t>0,1</w:t>
            </w:r>
          </w:p>
        </w:tc>
        <w:tc>
          <w:tcPr>
            <w:tcW w:w="850" w:type="dxa"/>
            <w:tcBorders>
              <w:top w:val="single" w:sz="6" w:space="0" w:color="auto"/>
              <w:left w:val="single" w:sz="6" w:space="0" w:color="auto"/>
              <w:bottom w:val="single" w:sz="6" w:space="0" w:color="auto"/>
              <w:right w:val="single" w:sz="6" w:space="0" w:color="auto"/>
            </w:tcBorders>
          </w:tcPr>
          <w:p w14:paraId="05E80CF5" w14:textId="77777777" w:rsidR="00F73D5B" w:rsidRPr="008B7A21" w:rsidRDefault="00F73D5B" w:rsidP="00767A6A">
            <w:pPr>
              <w:pStyle w:val="Tabletext"/>
              <w:keepNext/>
              <w:keepLines/>
              <w:jc w:val="center"/>
              <w:rPr>
                <w:lang w:val="es-ES_tradnl"/>
              </w:rPr>
            </w:pPr>
            <w:r w:rsidRPr="008B7A21">
              <w:rPr>
                <w:lang w:val="es-ES_tradnl"/>
              </w:rPr>
              <w:t>5</w:t>
            </w:r>
          </w:p>
        </w:tc>
      </w:tr>
      <w:tr w:rsidR="00F73D5B" w:rsidRPr="008B7A21" w14:paraId="2CDC6F6C" w14:textId="77777777" w:rsidTr="00767A6A">
        <w:trPr>
          <w:cantSplit/>
          <w:jc w:val="center"/>
        </w:trPr>
        <w:tc>
          <w:tcPr>
            <w:tcW w:w="5159" w:type="dxa"/>
            <w:tcBorders>
              <w:top w:val="single" w:sz="6" w:space="0" w:color="auto"/>
              <w:left w:val="single" w:sz="6" w:space="0" w:color="auto"/>
              <w:bottom w:val="single" w:sz="6" w:space="0" w:color="auto"/>
              <w:right w:val="single" w:sz="6" w:space="0" w:color="auto"/>
            </w:tcBorders>
          </w:tcPr>
          <w:p w14:paraId="3A4F292F" w14:textId="77777777" w:rsidR="00F73D5B" w:rsidRPr="008B7A21" w:rsidRDefault="00F73D5B" w:rsidP="00767A6A">
            <w:pPr>
              <w:pStyle w:val="Tabletext"/>
              <w:keepNext/>
              <w:keepLines/>
              <w:rPr>
                <w:lang w:val="es-ES_tradnl"/>
              </w:rPr>
            </w:pPr>
            <w:r w:rsidRPr="008B7A21">
              <w:rPr>
                <w:lang w:val="es-ES_tradnl"/>
              </w:rPr>
              <w:t xml:space="preserve">Radiodifusión en onda ultra corta </w:t>
            </w:r>
          </w:p>
        </w:tc>
        <w:tc>
          <w:tcPr>
            <w:tcW w:w="851" w:type="dxa"/>
            <w:tcBorders>
              <w:top w:val="single" w:sz="6" w:space="0" w:color="auto"/>
              <w:left w:val="single" w:sz="6" w:space="0" w:color="auto"/>
              <w:bottom w:val="single" w:sz="6" w:space="0" w:color="auto"/>
              <w:right w:val="single" w:sz="6" w:space="0" w:color="auto"/>
            </w:tcBorders>
          </w:tcPr>
          <w:p w14:paraId="09EBBE14" w14:textId="77777777" w:rsidR="00F73D5B" w:rsidRPr="008B7A21" w:rsidRDefault="00F73D5B" w:rsidP="00767A6A">
            <w:pPr>
              <w:pStyle w:val="Tabletext"/>
              <w:keepNext/>
              <w:keepLines/>
              <w:jc w:val="center"/>
              <w:rPr>
                <w:lang w:val="es-ES_tradnl"/>
              </w:rPr>
            </w:pPr>
            <w:r w:rsidRPr="008B7A21">
              <w:rPr>
                <w:lang w:val="es-ES_tradnl"/>
              </w:rPr>
              <w:t>12</w:t>
            </w:r>
          </w:p>
        </w:tc>
        <w:tc>
          <w:tcPr>
            <w:tcW w:w="851" w:type="dxa"/>
            <w:tcBorders>
              <w:top w:val="single" w:sz="6" w:space="0" w:color="auto"/>
              <w:left w:val="single" w:sz="6" w:space="0" w:color="auto"/>
              <w:bottom w:val="single" w:sz="6" w:space="0" w:color="auto"/>
              <w:right w:val="single" w:sz="6" w:space="0" w:color="auto"/>
            </w:tcBorders>
          </w:tcPr>
          <w:p w14:paraId="33E7BC1D" w14:textId="77777777" w:rsidR="00F73D5B" w:rsidRPr="008B7A21" w:rsidRDefault="00F73D5B" w:rsidP="00767A6A">
            <w:pPr>
              <w:pStyle w:val="Tabletext"/>
              <w:keepNext/>
              <w:keepLines/>
              <w:jc w:val="center"/>
              <w:rPr>
                <w:lang w:val="es-ES_tradnl"/>
              </w:rPr>
            </w:pPr>
            <w:r w:rsidRPr="008B7A21">
              <w:rPr>
                <w:lang w:val="es-ES_tradnl"/>
              </w:rPr>
              <w:t>5,00</w:t>
            </w:r>
          </w:p>
        </w:tc>
        <w:tc>
          <w:tcPr>
            <w:tcW w:w="964" w:type="dxa"/>
            <w:tcBorders>
              <w:top w:val="single" w:sz="6" w:space="0" w:color="auto"/>
              <w:left w:val="single" w:sz="6" w:space="0" w:color="auto"/>
              <w:bottom w:val="single" w:sz="6" w:space="0" w:color="auto"/>
              <w:right w:val="single" w:sz="6" w:space="0" w:color="auto"/>
            </w:tcBorders>
          </w:tcPr>
          <w:p w14:paraId="5C287CE0" w14:textId="77777777" w:rsidR="00F73D5B" w:rsidRPr="008B7A21" w:rsidRDefault="00F73D5B" w:rsidP="00767A6A">
            <w:pPr>
              <w:pStyle w:val="Tabletext"/>
              <w:keepNext/>
              <w:keepLines/>
              <w:jc w:val="center"/>
              <w:rPr>
                <w:lang w:val="es-ES_tradnl"/>
              </w:rPr>
            </w:pPr>
            <w:r w:rsidRPr="008B7A21">
              <w:rPr>
                <w:lang w:val="es-ES_tradnl"/>
              </w:rPr>
              <w:t>1</w:t>
            </w:r>
          </w:p>
        </w:tc>
        <w:tc>
          <w:tcPr>
            <w:tcW w:w="964" w:type="dxa"/>
            <w:tcBorders>
              <w:top w:val="single" w:sz="6" w:space="0" w:color="auto"/>
              <w:left w:val="single" w:sz="6" w:space="0" w:color="auto"/>
              <w:bottom w:val="single" w:sz="6" w:space="0" w:color="auto"/>
              <w:right w:val="single" w:sz="6" w:space="0" w:color="auto"/>
            </w:tcBorders>
          </w:tcPr>
          <w:p w14:paraId="184B7D23" w14:textId="77777777" w:rsidR="00F73D5B" w:rsidRPr="008B7A21" w:rsidRDefault="00F73D5B" w:rsidP="00767A6A">
            <w:pPr>
              <w:pStyle w:val="Tabletext"/>
              <w:keepNext/>
              <w:keepLines/>
              <w:jc w:val="center"/>
              <w:rPr>
                <w:lang w:val="es-ES_tradnl"/>
              </w:rPr>
            </w:pPr>
            <w:r w:rsidRPr="008B7A21">
              <w:rPr>
                <w:lang w:val="es-ES_tradnl"/>
              </w:rPr>
              <w:t>0,1</w:t>
            </w:r>
          </w:p>
        </w:tc>
        <w:tc>
          <w:tcPr>
            <w:tcW w:w="850" w:type="dxa"/>
            <w:tcBorders>
              <w:top w:val="single" w:sz="6" w:space="0" w:color="auto"/>
              <w:left w:val="single" w:sz="6" w:space="0" w:color="auto"/>
              <w:bottom w:val="single" w:sz="6" w:space="0" w:color="auto"/>
              <w:right w:val="single" w:sz="6" w:space="0" w:color="auto"/>
            </w:tcBorders>
          </w:tcPr>
          <w:p w14:paraId="230C6070" w14:textId="77777777" w:rsidR="00F73D5B" w:rsidRPr="008B7A21" w:rsidRDefault="00F73D5B" w:rsidP="00767A6A">
            <w:pPr>
              <w:pStyle w:val="Tabletext"/>
              <w:keepNext/>
              <w:keepLines/>
              <w:jc w:val="center"/>
              <w:rPr>
                <w:lang w:val="es-ES_tradnl"/>
              </w:rPr>
            </w:pPr>
            <w:r w:rsidRPr="008B7A21">
              <w:rPr>
                <w:lang w:val="es-ES_tradnl"/>
              </w:rPr>
              <w:t>5</w:t>
            </w:r>
          </w:p>
        </w:tc>
      </w:tr>
      <w:tr w:rsidR="00F73D5B" w:rsidRPr="008B7A21" w14:paraId="32314C17" w14:textId="77777777" w:rsidTr="00767A6A">
        <w:trPr>
          <w:cantSplit/>
          <w:jc w:val="center"/>
        </w:trPr>
        <w:tc>
          <w:tcPr>
            <w:tcW w:w="5159" w:type="dxa"/>
            <w:tcBorders>
              <w:top w:val="single" w:sz="6" w:space="0" w:color="auto"/>
              <w:left w:val="single" w:sz="6" w:space="0" w:color="auto"/>
              <w:bottom w:val="single" w:sz="6" w:space="0" w:color="auto"/>
              <w:right w:val="single" w:sz="6" w:space="0" w:color="auto"/>
            </w:tcBorders>
          </w:tcPr>
          <w:p w14:paraId="1FAB47B2" w14:textId="77777777" w:rsidR="00F73D5B" w:rsidRPr="008B7A21" w:rsidRDefault="00F73D5B" w:rsidP="00767A6A">
            <w:pPr>
              <w:pStyle w:val="Tabletext"/>
              <w:keepNext/>
              <w:keepLines/>
              <w:rPr>
                <w:lang w:val="es-ES_tradnl"/>
              </w:rPr>
            </w:pPr>
            <w:r w:rsidRPr="008B7A21">
              <w:rPr>
                <w:lang w:val="es-ES_tradnl"/>
              </w:rPr>
              <w:t>Radiodifusión en onda corta</w:t>
            </w:r>
          </w:p>
        </w:tc>
        <w:tc>
          <w:tcPr>
            <w:tcW w:w="851" w:type="dxa"/>
            <w:tcBorders>
              <w:top w:val="single" w:sz="6" w:space="0" w:color="auto"/>
              <w:left w:val="single" w:sz="6" w:space="0" w:color="auto"/>
              <w:bottom w:val="single" w:sz="6" w:space="0" w:color="auto"/>
              <w:right w:val="single" w:sz="6" w:space="0" w:color="auto"/>
            </w:tcBorders>
          </w:tcPr>
          <w:p w14:paraId="08EA39C1" w14:textId="77777777" w:rsidR="00F73D5B" w:rsidRPr="008B7A21" w:rsidRDefault="00F73D5B" w:rsidP="00767A6A">
            <w:pPr>
              <w:pStyle w:val="Tabletext"/>
              <w:keepNext/>
              <w:keepLines/>
              <w:jc w:val="center"/>
              <w:rPr>
                <w:lang w:val="es-ES_tradnl"/>
              </w:rPr>
            </w:pPr>
            <w:r w:rsidRPr="008B7A21">
              <w:rPr>
                <w:lang w:val="es-ES_tradnl"/>
              </w:rPr>
              <w:t>5</w:t>
            </w:r>
          </w:p>
        </w:tc>
        <w:tc>
          <w:tcPr>
            <w:tcW w:w="851" w:type="dxa"/>
            <w:tcBorders>
              <w:top w:val="single" w:sz="6" w:space="0" w:color="auto"/>
              <w:left w:val="single" w:sz="6" w:space="0" w:color="auto"/>
              <w:bottom w:val="single" w:sz="6" w:space="0" w:color="auto"/>
              <w:right w:val="single" w:sz="6" w:space="0" w:color="auto"/>
            </w:tcBorders>
          </w:tcPr>
          <w:p w14:paraId="1CB65C89" w14:textId="77777777" w:rsidR="00F73D5B" w:rsidRPr="008B7A21" w:rsidRDefault="00F73D5B" w:rsidP="00767A6A">
            <w:pPr>
              <w:pStyle w:val="Tabletext"/>
              <w:keepNext/>
              <w:keepLines/>
              <w:jc w:val="center"/>
              <w:rPr>
                <w:lang w:val="es-ES_tradnl"/>
              </w:rPr>
            </w:pPr>
            <w:r w:rsidRPr="008B7A21">
              <w:rPr>
                <w:lang w:val="es-ES_tradnl"/>
              </w:rPr>
              <w:t>5,00</w:t>
            </w:r>
          </w:p>
        </w:tc>
        <w:tc>
          <w:tcPr>
            <w:tcW w:w="964" w:type="dxa"/>
            <w:tcBorders>
              <w:top w:val="single" w:sz="6" w:space="0" w:color="auto"/>
              <w:left w:val="single" w:sz="6" w:space="0" w:color="auto"/>
              <w:bottom w:val="single" w:sz="6" w:space="0" w:color="auto"/>
              <w:right w:val="single" w:sz="6" w:space="0" w:color="auto"/>
            </w:tcBorders>
          </w:tcPr>
          <w:p w14:paraId="1B08A8D2" w14:textId="77777777" w:rsidR="00F73D5B" w:rsidRPr="008B7A21" w:rsidRDefault="00F73D5B" w:rsidP="00767A6A">
            <w:pPr>
              <w:pStyle w:val="Tabletext"/>
              <w:keepNext/>
              <w:keepLines/>
              <w:jc w:val="center"/>
              <w:rPr>
                <w:lang w:val="es-ES_tradnl"/>
              </w:rPr>
            </w:pPr>
            <w:r w:rsidRPr="008B7A21">
              <w:rPr>
                <w:lang w:val="es-ES_tradnl"/>
              </w:rPr>
              <w:t>1</w:t>
            </w:r>
          </w:p>
        </w:tc>
        <w:tc>
          <w:tcPr>
            <w:tcW w:w="964" w:type="dxa"/>
            <w:tcBorders>
              <w:top w:val="single" w:sz="6" w:space="0" w:color="auto"/>
              <w:left w:val="single" w:sz="6" w:space="0" w:color="auto"/>
              <w:bottom w:val="single" w:sz="6" w:space="0" w:color="auto"/>
              <w:right w:val="single" w:sz="6" w:space="0" w:color="auto"/>
            </w:tcBorders>
          </w:tcPr>
          <w:p w14:paraId="36414AD8" w14:textId="77777777" w:rsidR="00F73D5B" w:rsidRPr="008B7A21" w:rsidRDefault="00F73D5B" w:rsidP="00767A6A">
            <w:pPr>
              <w:pStyle w:val="Tabletext"/>
              <w:keepNext/>
              <w:keepLines/>
              <w:jc w:val="center"/>
              <w:rPr>
                <w:lang w:val="es-ES_tradnl"/>
              </w:rPr>
            </w:pPr>
            <w:r w:rsidRPr="008B7A21">
              <w:rPr>
                <w:lang w:val="es-ES_tradnl"/>
              </w:rPr>
              <w:t>0,1</w:t>
            </w:r>
          </w:p>
        </w:tc>
        <w:tc>
          <w:tcPr>
            <w:tcW w:w="850" w:type="dxa"/>
            <w:tcBorders>
              <w:top w:val="single" w:sz="6" w:space="0" w:color="auto"/>
              <w:left w:val="single" w:sz="6" w:space="0" w:color="auto"/>
              <w:bottom w:val="single" w:sz="6" w:space="0" w:color="auto"/>
              <w:right w:val="single" w:sz="6" w:space="0" w:color="auto"/>
            </w:tcBorders>
          </w:tcPr>
          <w:p w14:paraId="01E1100C" w14:textId="77777777" w:rsidR="00F73D5B" w:rsidRPr="008B7A21" w:rsidRDefault="00F73D5B" w:rsidP="00767A6A">
            <w:pPr>
              <w:pStyle w:val="Tabletext"/>
              <w:keepNext/>
              <w:keepLines/>
              <w:jc w:val="center"/>
              <w:rPr>
                <w:lang w:val="es-ES_tradnl"/>
              </w:rPr>
            </w:pPr>
            <w:r w:rsidRPr="008B7A21">
              <w:rPr>
                <w:lang w:val="es-ES_tradnl"/>
              </w:rPr>
              <w:t>4</w:t>
            </w:r>
          </w:p>
        </w:tc>
      </w:tr>
      <w:tr w:rsidR="00F73D5B" w:rsidRPr="008B7A21" w14:paraId="0A313A3C" w14:textId="77777777" w:rsidTr="00767A6A">
        <w:trPr>
          <w:cantSplit/>
          <w:jc w:val="center"/>
        </w:trPr>
        <w:tc>
          <w:tcPr>
            <w:tcW w:w="5159" w:type="dxa"/>
            <w:tcBorders>
              <w:top w:val="single" w:sz="6" w:space="0" w:color="auto"/>
              <w:left w:val="single" w:sz="6" w:space="0" w:color="auto"/>
              <w:bottom w:val="single" w:sz="6" w:space="0" w:color="auto"/>
              <w:right w:val="single" w:sz="6" w:space="0" w:color="auto"/>
            </w:tcBorders>
          </w:tcPr>
          <w:p w14:paraId="2840DCE2" w14:textId="77777777" w:rsidR="00F73D5B" w:rsidRPr="008B7A21" w:rsidRDefault="00F73D5B" w:rsidP="00767A6A">
            <w:pPr>
              <w:pStyle w:val="Tabletext"/>
              <w:keepNext/>
              <w:keepLines/>
              <w:rPr>
                <w:lang w:val="es-ES_tradnl"/>
              </w:rPr>
            </w:pPr>
            <w:r w:rsidRPr="008B7A21">
              <w:rPr>
                <w:lang w:val="es-ES_tradnl"/>
              </w:rPr>
              <w:t xml:space="preserve">Radiocomunicaciones en onda corta </w:t>
            </w:r>
          </w:p>
        </w:tc>
        <w:tc>
          <w:tcPr>
            <w:tcW w:w="851" w:type="dxa"/>
            <w:tcBorders>
              <w:top w:val="single" w:sz="6" w:space="0" w:color="auto"/>
              <w:left w:val="single" w:sz="6" w:space="0" w:color="auto"/>
              <w:bottom w:val="single" w:sz="6" w:space="0" w:color="auto"/>
              <w:right w:val="single" w:sz="6" w:space="0" w:color="auto"/>
            </w:tcBorders>
          </w:tcPr>
          <w:p w14:paraId="5B66A25E" w14:textId="77777777" w:rsidR="00F73D5B" w:rsidRPr="008B7A21" w:rsidRDefault="00F73D5B" w:rsidP="00767A6A">
            <w:pPr>
              <w:pStyle w:val="Tabletext"/>
              <w:keepNext/>
              <w:keepLines/>
              <w:jc w:val="center"/>
              <w:rPr>
                <w:lang w:val="es-ES_tradnl"/>
              </w:rPr>
            </w:pPr>
            <w:r w:rsidRPr="008B7A21">
              <w:rPr>
                <w:lang w:val="es-ES_tradnl"/>
              </w:rPr>
              <w:t>13</w:t>
            </w:r>
          </w:p>
        </w:tc>
        <w:tc>
          <w:tcPr>
            <w:tcW w:w="851" w:type="dxa"/>
            <w:tcBorders>
              <w:top w:val="single" w:sz="6" w:space="0" w:color="auto"/>
              <w:left w:val="single" w:sz="6" w:space="0" w:color="auto"/>
              <w:bottom w:val="single" w:sz="6" w:space="0" w:color="auto"/>
              <w:right w:val="single" w:sz="6" w:space="0" w:color="auto"/>
            </w:tcBorders>
          </w:tcPr>
          <w:p w14:paraId="0B6FC8F1" w14:textId="77777777" w:rsidR="00F73D5B" w:rsidRPr="008B7A21" w:rsidRDefault="00F73D5B" w:rsidP="00767A6A">
            <w:pPr>
              <w:pStyle w:val="Tabletext"/>
              <w:keepNext/>
              <w:keepLines/>
              <w:jc w:val="center"/>
              <w:rPr>
                <w:lang w:val="es-ES_tradnl"/>
              </w:rPr>
            </w:pPr>
            <w:r w:rsidRPr="008B7A21">
              <w:rPr>
                <w:lang w:val="es-ES_tradnl"/>
              </w:rPr>
              <w:t>6,00</w:t>
            </w:r>
          </w:p>
        </w:tc>
        <w:tc>
          <w:tcPr>
            <w:tcW w:w="964" w:type="dxa"/>
            <w:tcBorders>
              <w:top w:val="single" w:sz="6" w:space="0" w:color="auto"/>
              <w:left w:val="single" w:sz="6" w:space="0" w:color="auto"/>
              <w:bottom w:val="single" w:sz="6" w:space="0" w:color="auto"/>
              <w:right w:val="single" w:sz="6" w:space="0" w:color="auto"/>
            </w:tcBorders>
          </w:tcPr>
          <w:p w14:paraId="5A7C8264" w14:textId="77777777" w:rsidR="00F73D5B" w:rsidRPr="008B7A21" w:rsidRDefault="00F73D5B" w:rsidP="00767A6A">
            <w:pPr>
              <w:pStyle w:val="Tabletext"/>
              <w:keepNext/>
              <w:keepLines/>
              <w:jc w:val="center"/>
              <w:rPr>
                <w:lang w:val="es-ES_tradnl"/>
              </w:rPr>
            </w:pPr>
            <w:r w:rsidRPr="008B7A21">
              <w:rPr>
                <w:lang w:val="es-ES_tradnl"/>
              </w:rPr>
              <w:t>1</w:t>
            </w:r>
          </w:p>
        </w:tc>
        <w:tc>
          <w:tcPr>
            <w:tcW w:w="964" w:type="dxa"/>
            <w:tcBorders>
              <w:top w:val="single" w:sz="6" w:space="0" w:color="auto"/>
              <w:left w:val="single" w:sz="6" w:space="0" w:color="auto"/>
              <w:bottom w:val="single" w:sz="6" w:space="0" w:color="auto"/>
              <w:right w:val="single" w:sz="6" w:space="0" w:color="auto"/>
            </w:tcBorders>
          </w:tcPr>
          <w:p w14:paraId="75A3230C" w14:textId="77777777" w:rsidR="00F73D5B" w:rsidRPr="008B7A21" w:rsidRDefault="00F73D5B" w:rsidP="00767A6A">
            <w:pPr>
              <w:pStyle w:val="Tabletext"/>
              <w:keepNext/>
              <w:keepLines/>
              <w:jc w:val="center"/>
              <w:rPr>
                <w:lang w:val="es-ES_tradnl"/>
              </w:rPr>
            </w:pPr>
            <w:r w:rsidRPr="008B7A21">
              <w:rPr>
                <w:lang w:val="es-ES_tradnl"/>
              </w:rPr>
              <w:t>0,1</w:t>
            </w:r>
          </w:p>
        </w:tc>
        <w:tc>
          <w:tcPr>
            <w:tcW w:w="850" w:type="dxa"/>
            <w:tcBorders>
              <w:top w:val="single" w:sz="6" w:space="0" w:color="auto"/>
              <w:left w:val="single" w:sz="6" w:space="0" w:color="auto"/>
              <w:bottom w:val="single" w:sz="6" w:space="0" w:color="auto"/>
              <w:right w:val="single" w:sz="6" w:space="0" w:color="auto"/>
            </w:tcBorders>
          </w:tcPr>
          <w:p w14:paraId="0E8472B5" w14:textId="77777777" w:rsidR="00F73D5B" w:rsidRPr="008B7A21" w:rsidRDefault="00F73D5B" w:rsidP="00767A6A">
            <w:pPr>
              <w:pStyle w:val="Tabletext"/>
              <w:keepNext/>
              <w:keepLines/>
              <w:jc w:val="center"/>
              <w:rPr>
                <w:lang w:val="es-ES_tradnl"/>
              </w:rPr>
            </w:pPr>
            <w:r w:rsidRPr="008B7A21">
              <w:rPr>
                <w:lang w:val="es-ES_tradnl"/>
              </w:rPr>
              <w:t>4</w:t>
            </w:r>
          </w:p>
        </w:tc>
      </w:tr>
      <w:tr w:rsidR="00F73D5B" w:rsidRPr="008B7A21" w14:paraId="37EC6353" w14:textId="77777777" w:rsidTr="00767A6A">
        <w:trPr>
          <w:cantSplit/>
          <w:jc w:val="center"/>
        </w:trPr>
        <w:tc>
          <w:tcPr>
            <w:tcW w:w="5159" w:type="dxa"/>
            <w:tcBorders>
              <w:top w:val="single" w:sz="6" w:space="0" w:color="auto"/>
              <w:left w:val="single" w:sz="6" w:space="0" w:color="auto"/>
              <w:bottom w:val="single" w:sz="6" w:space="0" w:color="auto"/>
              <w:right w:val="single" w:sz="6" w:space="0" w:color="auto"/>
            </w:tcBorders>
          </w:tcPr>
          <w:p w14:paraId="1D93D748" w14:textId="77777777" w:rsidR="00F73D5B" w:rsidRPr="008B7A21" w:rsidRDefault="00F73D5B" w:rsidP="00767A6A">
            <w:pPr>
              <w:pStyle w:val="Tabletext"/>
              <w:rPr>
                <w:lang w:val="es-ES_tradnl"/>
              </w:rPr>
            </w:pPr>
            <w:r w:rsidRPr="008B7A21">
              <w:rPr>
                <w:lang w:val="es-ES_tradnl"/>
              </w:rPr>
              <w:t>Comunicaciones interurbanas</w:t>
            </w:r>
          </w:p>
        </w:tc>
        <w:tc>
          <w:tcPr>
            <w:tcW w:w="851" w:type="dxa"/>
            <w:tcBorders>
              <w:top w:val="single" w:sz="6" w:space="0" w:color="auto"/>
              <w:left w:val="single" w:sz="6" w:space="0" w:color="auto"/>
              <w:bottom w:val="single" w:sz="6" w:space="0" w:color="auto"/>
              <w:right w:val="single" w:sz="6" w:space="0" w:color="auto"/>
            </w:tcBorders>
          </w:tcPr>
          <w:p w14:paraId="4BB6A392" w14:textId="77777777" w:rsidR="00F73D5B" w:rsidRPr="008B7A21" w:rsidRDefault="00F73D5B" w:rsidP="00767A6A">
            <w:pPr>
              <w:pStyle w:val="Tabletext"/>
              <w:jc w:val="center"/>
              <w:rPr>
                <w:lang w:val="es-ES_tradnl"/>
              </w:rPr>
            </w:pPr>
            <w:r w:rsidRPr="008B7A21">
              <w:rPr>
                <w:lang w:val="es-ES_tradnl"/>
              </w:rPr>
              <w:t>12</w:t>
            </w:r>
          </w:p>
        </w:tc>
        <w:tc>
          <w:tcPr>
            <w:tcW w:w="851" w:type="dxa"/>
            <w:tcBorders>
              <w:top w:val="single" w:sz="6" w:space="0" w:color="auto"/>
              <w:left w:val="single" w:sz="6" w:space="0" w:color="auto"/>
              <w:bottom w:val="single" w:sz="6" w:space="0" w:color="auto"/>
              <w:right w:val="single" w:sz="6" w:space="0" w:color="auto"/>
            </w:tcBorders>
          </w:tcPr>
          <w:p w14:paraId="38ADFDA5" w14:textId="77777777" w:rsidR="00F73D5B" w:rsidRPr="008B7A21" w:rsidRDefault="00F73D5B" w:rsidP="00767A6A">
            <w:pPr>
              <w:pStyle w:val="Tabletext"/>
              <w:jc w:val="center"/>
              <w:rPr>
                <w:lang w:val="es-ES_tradnl"/>
              </w:rPr>
            </w:pPr>
            <w:r w:rsidRPr="008B7A21">
              <w:rPr>
                <w:lang w:val="es-ES_tradnl"/>
              </w:rPr>
              <w:t>6,00</w:t>
            </w:r>
          </w:p>
        </w:tc>
        <w:tc>
          <w:tcPr>
            <w:tcW w:w="964" w:type="dxa"/>
            <w:tcBorders>
              <w:top w:val="single" w:sz="6" w:space="0" w:color="auto"/>
              <w:left w:val="single" w:sz="6" w:space="0" w:color="auto"/>
              <w:bottom w:val="single" w:sz="6" w:space="0" w:color="auto"/>
              <w:right w:val="single" w:sz="6" w:space="0" w:color="auto"/>
            </w:tcBorders>
          </w:tcPr>
          <w:p w14:paraId="05E8621C" w14:textId="77777777" w:rsidR="00F73D5B" w:rsidRPr="008B7A21" w:rsidRDefault="00F73D5B" w:rsidP="00767A6A">
            <w:pPr>
              <w:pStyle w:val="Tabletext"/>
              <w:jc w:val="center"/>
              <w:rPr>
                <w:lang w:val="es-ES_tradnl"/>
              </w:rPr>
            </w:pPr>
            <w:r w:rsidRPr="008B7A21">
              <w:rPr>
                <w:lang w:val="es-ES_tradnl"/>
              </w:rPr>
              <w:t>1</w:t>
            </w:r>
          </w:p>
        </w:tc>
        <w:tc>
          <w:tcPr>
            <w:tcW w:w="964" w:type="dxa"/>
            <w:tcBorders>
              <w:top w:val="single" w:sz="6" w:space="0" w:color="auto"/>
              <w:left w:val="single" w:sz="6" w:space="0" w:color="auto"/>
              <w:bottom w:val="single" w:sz="6" w:space="0" w:color="auto"/>
              <w:right w:val="single" w:sz="6" w:space="0" w:color="auto"/>
            </w:tcBorders>
          </w:tcPr>
          <w:p w14:paraId="3F08845E" w14:textId="77777777" w:rsidR="00F73D5B" w:rsidRPr="008B7A21" w:rsidRDefault="00F73D5B" w:rsidP="00767A6A">
            <w:pPr>
              <w:pStyle w:val="Tabletext"/>
              <w:jc w:val="center"/>
              <w:rPr>
                <w:lang w:val="es-ES_tradnl"/>
              </w:rPr>
            </w:pPr>
            <w:r w:rsidRPr="008B7A21">
              <w:rPr>
                <w:lang w:val="es-ES_tradnl"/>
              </w:rPr>
              <w:t>0,1</w:t>
            </w:r>
          </w:p>
        </w:tc>
        <w:tc>
          <w:tcPr>
            <w:tcW w:w="850" w:type="dxa"/>
            <w:tcBorders>
              <w:top w:val="single" w:sz="6" w:space="0" w:color="auto"/>
              <w:left w:val="single" w:sz="6" w:space="0" w:color="auto"/>
              <w:bottom w:val="single" w:sz="6" w:space="0" w:color="auto"/>
              <w:right w:val="single" w:sz="6" w:space="0" w:color="auto"/>
            </w:tcBorders>
          </w:tcPr>
          <w:p w14:paraId="44CAECD4" w14:textId="77777777" w:rsidR="00F73D5B" w:rsidRPr="008B7A21" w:rsidRDefault="00F73D5B" w:rsidP="00767A6A">
            <w:pPr>
              <w:pStyle w:val="Tabletext"/>
              <w:jc w:val="center"/>
              <w:rPr>
                <w:lang w:val="es-ES_tradnl"/>
              </w:rPr>
            </w:pPr>
            <w:r w:rsidRPr="008B7A21">
              <w:rPr>
                <w:lang w:val="es-ES_tradnl"/>
              </w:rPr>
              <w:t>5</w:t>
            </w:r>
          </w:p>
        </w:tc>
      </w:tr>
      <w:tr w:rsidR="00F73D5B" w:rsidRPr="008B7A21" w14:paraId="774CB8ED" w14:textId="77777777" w:rsidTr="00767A6A">
        <w:trPr>
          <w:cantSplit/>
          <w:jc w:val="center"/>
        </w:trPr>
        <w:tc>
          <w:tcPr>
            <w:tcW w:w="5159" w:type="dxa"/>
            <w:tcBorders>
              <w:top w:val="single" w:sz="6" w:space="0" w:color="auto"/>
              <w:left w:val="single" w:sz="6" w:space="0" w:color="auto"/>
              <w:bottom w:val="single" w:sz="6" w:space="0" w:color="auto"/>
              <w:right w:val="single" w:sz="6" w:space="0" w:color="auto"/>
            </w:tcBorders>
          </w:tcPr>
          <w:p w14:paraId="02AB269F" w14:textId="77777777" w:rsidR="00F73D5B" w:rsidRPr="008B7A21" w:rsidRDefault="00F73D5B" w:rsidP="00767A6A">
            <w:pPr>
              <w:pStyle w:val="Tabletext"/>
              <w:rPr>
                <w:lang w:val="es-ES_tradnl"/>
              </w:rPr>
            </w:pPr>
            <w:r w:rsidRPr="008B7A21">
              <w:rPr>
                <w:lang w:val="es-ES_tradnl"/>
              </w:rPr>
              <w:t>Comunicaciones celulares</w:t>
            </w:r>
          </w:p>
        </w:tc>
        <w:tc>
          <w:tcPr>
            <w:tcW w:w="851" w:type="dxa"/>
            <w:tcBorders>
              <w:top w:val="single" w:sz="6" w:space="0" w:color="auto"/>
              <w:left w:val="single" w:sz="6" w:space="0" w:color="auto"/>
              <w:bottom w:val="single" w:sz="6" w:space="0" w:color="auto"/>
              <w:right w:val="single" w:sz="6" w:space="0" w:color="auto"/>
            </w:tcBorders>
          </w:tcPr>
          <w:p w14:paraId="7AF54F77" w14:textId="77777777" w:rsidR="00F73D5B" w:rsidRPr="008B7A21" w:rsidRDefault="00F73D5B" w:rsidP="00767A6A">
            <w:pPr>
              <w:pStyle w:val="Tabletext"/>
              <w:jc w:val="center"/>
              <w:rPr>
                <w:lang w:val="es-ES_tradnl"/>
              </w:rPr>
            </w:pPr>
            <w:r w:rsidRPr="008B7A21">
              <w:rPr>
                <w:lang w:val="es-ES_tradnl"/>
              </w:rPr>
              <w:t>13</w:t>
            </w:r>
          </w:p>
        </w:tc>
        <w:tc>
          <w:tcPr>
            <w:tcW w:w="851" w:type="dxa"/>
            <w:tcBorders>
              <w:top w:val="single" w:sz="6" w:space="0" w:color="auto"/>
              <w:left w:val="single" w:sz="6" w:space="0" w:color="auto"/>
              <w:bottom w:val="single" w:sz="6" w:space="0" w:color="auto"/>
              <w:right w:val="single" w:sz="6" w:space="0" w:color="auto"/>
            </w:tcBorders>
          </w:tcPr>
          <w:p w14:paraId="2FF680CB" w14:textId="77777777" w:rsidR="00F73D5B" w:rsidRPr="008B7A21" w:rsidRDefault="00F73D5B" w:rsidP="00767A6A">
            <w:pPr>
              <w:pStyle w:val="Tabletext"/>
              <w:jc w:val="center"/>
              <w:rPr>
                <w:lang w:val="es-ES_tradnl"/>
              </w:rPr>
            </w:pPr>
            <w:r w:rsidRPr="008B7A21">
              <w:rPr>
                <w:lang w:val="es-ES_tradnl"/>
              </w:rPr>
              <w:t>6,00</w:t>
            </w:r>
          </w:p>
        </w:tc>
        <w:tc>
          <w:tcPr>
            <w:tcW w:w="964" w:type="dxa"/>
            <w:tcBorders>
              <w:top w:val="single" w:sz="6" w:space="0" w:color="auto"/>
              <w:left w:val="single" w:sz="6" w:space="0" w:color="auto"/>
              <w:bottom w:val="single" w:sz="6" w:space="0" w:color="auto"/>
              <w:right w:val="single" w:sz="6" w:space="0" w:color="auto"/>
            </w:tcBorders>
          </w:tcPr>
          <w:p w14:paraId="1EB7C031" w14:textId="77777777" w:rsidR="00F73D5B" w:rsidRPr="008B7A21" w:rsidRDefault="00F73D5B" w:rsidP="00767A6A">
            <w:pPr>
              <w:pStyle w:val="Tabletext"/>
              <w:jc w:val="center"/>
              <w:rPr>
                <w:lang w:val="es-ES_tradnl"/>
              </w:rPr>
            </w:pPr>
            <w:r w:rsidRPr="008B7A21">
              <w:rPr>
                <w:lang w:val="es-ES_tradnl"/>
              </w:rPr>
              <w:t>1</w:t>
            </w:r>
          </w:p>
        </w:tc>
        <w:tc>
          <w:tcPr>
            <w:tcW w:w="964" w:type="dxa"/>
            <w:tcBorders>
              <w:top w:val="single" w:sz="6" w:space="0" w:color="auto"/>
              <w:left w:val="single" w:sz="6" w:space="0" w:color="auto"/>
              <w:bottom w:val="single" w:sz="6" w:space="0" w:color="auto"/>
              <w:right w:val="single" w:sz="6" w:space="0" w:color="auto"/>
            </w:tcBorders>
          </w:tcPr>
          <w:p w14:paraId="0A54E67B" w14:textId="77777777" w:rsidR="00F73D5B" w:rsidRPr="008B7A21" w:rsidRDefault="00F73D5B" w:rsidP="00767A6A">
            <w:pPr>
              <w:pStyle w:val="Tabletext"/>
              <w:jc w:val="center"/>
              <w:rPr>
                <w:lang w:val="es-ES_tradnl"/>
              </w:rPr>
            </w:pPr>
            <w:r w:rsidRPr="008B7A21">
              <w:rPr>
                <w:lang w:val="es-ES_tradnl"/>
              </w:rPr>
              <w:t>0,1</w:t>
            </w:r>
          </w:p>
        </w:tc>
        <w:tc>
          <w:tcPr>
            <w:tcW w:w="850" w:type="dxa"/>
            <w:tcBorders>
              <w:top w:val="single" w:sz="6" w:space="0" w:color="auto"/>
              <w:left w:val="single" w:sz="6" w:space="0" w:color="auto"/>
              <w:bottom w:val="single" w:sz="6" w:space="0" w:color="auto"/>
              <w:right w:val="single" w:sz="6" w:space="0" w:color="auto"/>
            </w:tcBorders>
          </w:tcPr>
          <w:p w14:paraId="761AA584" w14:textId="77777777" w:rsidR="00F73D5B" w:rsidRPr="008B7A21" w:rsidRDefault="00F73D5B" w:rsidP="00767A6A">
            <w:pPr>
              <w:pStyle w:val="Tabletext"/>
              <w:jc w:val="center"/>
              <w:rPr>
                <w:lang w:val="es-ES_tradnl"/>
              </w:rPr>
            </w:pPr>
            <w:r w:rsidRPr="008B7A21">
              <w:rPr>
                <w:lang w:val="es-ES_tradnl"/>
              </w:rPr>
              <w:t>5</w:t>
            </w:r>
          </w:p>
        </w:tc>
      </w:tr>
      <w:tr w:rsidR="00F73D5B" w:rsidRPr="008B7A21" w14:paraId="3395F1D3" w14:textId="77777777" w:rsidTr="00767A6A">
        <w:trPr>
          <w:cantSplit/>
          <w:jc w:val="center"/>
        </w:trPr>
        <w:tc>
          <w:tcPr>
            <w:tcW w:w="5159" w:type="dxa"/>
            <w:tcBorders>
              <w:top w:val="single" w:sz="6" w:space="0" w:color="auto"/>
              <w:left w:val="single" w:sz="6" w:space="0" w:color="auto"/>
              <w:bottom w:val="single" w:sz="6" w:space="0" w:color="auto"/>
              <w:right w:val="single" w:sz="6" w:space="0" w:color="auto"/>
            </w:tcBorders>
          </w:tcPr>
          <w:p w14:paraId="555F6597" w14:textId="77777777" w:rsidR="00F73D5B" w:rsidRPr="008B7A21" w:rsidRDefault="00F73D5B" w:rsidP="00767A6A">
            <w:pPr>
              <w:pStyle w:val="Tabletext"/>
              <w:rPr>
                <w:lang w:val="es-ES_tradnl"/>
              </w:rPr>
            </w:pPr>
            <w:r w:rsidRPr="008B7A21">
              <w:rPr>
                <w:lang w:val="es-ES_tradnl"/>
              </w:rPr>
              <w:t>Radiobúsqueda</w:t>
            </w:r>
          </w:p>
        </w:tc>
        <w:tc>
          <w:tcPr>
            <w:tcW w:w="851" w:type="dxa"/>
            <w:tcBorders>
              <w:top w:val="single" w:sz="6" w:space="0" w:color="auto"/>
              <w:left w:val="single" w:sz="6" w:space="0" w:color="auto"/>
              <w:bottom w:val="single" w:sz="6" w:space="0" w:color="auto"/>
              <w:right w:val="single" w:sz="6" w:space="0" w:color="auto"/>
            </w:tcBorders>
          </w:tcPr>
          <w:p w14:paraId="47C937AF" w14:textId="77777777" w:rsidR="00F73D5B" w:rsidRPr="008B7A21" w:rsidRDefault="00F73D5B" w:rsidP="00767A6A">
            <w:pPr>
              <w:pStyle w:val="Tabletext"/>
              <w:jc w:val="center"/>
              <w:rPr>
                <w:lang w:val="es-ES_tradnl"/>
              </w:rPr>
            </w:pPr>
            <w:r w:rsidRPr="008B7A21">
              <w:rPr>
                <w:lang w:val="es-ES_tradnl"/>
              </w:rPr>
              <w:t>60</w:t>
            </w:r>
          </w:p>
        </w:tc>
        <w:tc>
          <w:tcPr>
            <w:tcW w:w="851" w:type="dxa"/>
            <w:tcBorders>
              <w:top w:val="single" w:sz="6" w:space="0" w:color="auto"/>
              <w:left w:val="single" w:sz="6" w:space="0" w:color="auto"/>
              <w:bottom w:val="single" w:sz="6" w:space="0" w:color="auto"/>
              <w:right w:val="single" w:sz="6" w:space="0" w:color="auto"/>
            </w:tcBorders>
          </w:tcPr>
          <w:p w14:paraId="0D6A08A6" w14:textId="77777777" w:rsidR="00F73D5B" w:rsidRPr="008B7A21" w:rsidRDefault="00F73D5B" w:rsidP="00767A6A">
            <w:pPr>
              <w:pStyle w:val="Tabletext"/>
              <w:jc w:val="center"/>
              <w:rPr>
                <w:lang w:val="es-ES_tradnl"/>
              </w:rPr>
            </w:pPr>
            <w:r w:rsidRPr="008B7A21">
              <w:rPr>
                <w:lang w:val="es-ES_tradnl"/>
              </w:rPr>
              <w:t>6,00</w:t>
            </w:r>
          </w:p>
        </w:tc>
        <w:tc>
          <w:tcPr>
            <w:tcW w:w="964" w:type="dxa"/>
            <w:tcBorders>
              <w:top w:val="single" w:sz="6" w:space="0" w:color="auto"/>
              <w:left w:val="single" w:sz="6" w:space="0" w:color="auto"/>
              <w:bottom w:val="single" w:sz="6" w:space="0" w:color="auto"/>
              <w:right w:val="single" w:sz="6" w:space="0" w:color="auto"/>
            </w:tcBorders>
          </w:tcPr>
          <w:p w14:paraId="37DA7423" w14:textId="77777777" w:rsidR="00F73D5B" w:rsidRPr="008B7A21" w:rsidRDefault="00F73D5B" w:rsidP="00767A6A">
            <w:pPr>
              <w:pStyle w:val="Tabletext"/>
              <w:jc w:val="center"/>
              <w:rPr>
                <w:lang w:val="es-ES_tradnl"/>
              </w:rPr>
            </w:pPr>
            <w:r w:rsidRPr="008B7A21">
              <w:rPr>
                <w:lang w:val="es-ES_tradnl"/>
              </w:rPr>
              <w:t>1</w:t>
            </w:r>
          </w:p>
        </w:tc>
        <w:tc>
          <w:tcPr>
            <w:tcW w:w="964" w:type="dxa"/>
            <w:tcBorders>
              <w:top w:val="single" w:sz="6" w:space="0" w:color="auto"/>
              <w:left w:val="single" w:sz="6" w:space="0" w:color="auto"/>
              <w:bottom w:val="single" w:sz="6" w:space="0" w:color="auto"/>
              <w:right w:val="single" w:sz="6" w:space="0" w:color="auto"/>
            </w:tcBorders>
          </w:tcPr>
          <w:p w14:paraId="52A64685" w14:textId="77777777" w:rsidR="00F73D5B" w:rsidRPr="008B7A21" w:rsidRDefault="00F73D5B" w:rsidP="00767A6A">
            <w:pPr>
              <w:pStyle w:val="Tabletext"/>
              <w:jc w:val="center"/>
              <w:rPr>
                <w:lang w:val="es-ES_tradnl"/>
              </w:rPr>
            </w:pPr>
            <w:r w:rsidRPr="008B7A21">
              <w:rPr>
                <w:lang w:val="es-ES_tradnl"/>
              </w:rPr>
              <w:t>0,1</w:t>
            </w:r>
          </w:p>
        </w:tc>
        <w:tc>
          <w:tcPr>
            <w:tcW w:w="850" w:type="dxa"/>
            <w:tcBorders>
              <w:top w:val="single" w:sz="6" w:space="0" w:color="auto"/>
              <w:left w:val="single" w:sz="6" w:space="0" w:color="auto"/>
              <w:bottom w:val="single" w:sz="6" w:space="0" w:color="auto"/>
              <w:right w:val="single" w:sz="6" w:space="0" w:color="auto"/>
            </w:tcBorders>
          </w:tcPr>
          <w:p w14:paraId="4FEC340F" w14:textId="77777777" w:rsidR="00F73D5B" w:rsidRPr="008B7A21" w:rsidRDefault="00F73D5B" w:rsidP="00767A6A">
            <w:pPr>
              <w:pStyle w:val="Tabletext"/>
              <w:jc w:val="center"/>
              <w:rPr>
                <w:lang w:val="es-ES_tradnl"/>
              </w:rPr>
            </w:pPr>
            <w:r w:rsidRPr="008B7A21">
              <w:rPr>
                <w:lang w:val="es-ES_tradnl"/>
              </w:rPr>
              <w:t>5</w:t>
            </w:r>
          </w:p>
        </w:tc>
      </w:tr>
      <w:tr w:rsidR="00F73D5B" w:rsidRPr="008B7A21" w14:paraId="0109713F" w14:textId="77777777" w:rsidTr="00767A6A">
        <w:trPr>
          <w:cantSplit/>
          <w:jc w:val="center"/>
        </w:trPr>
        <w:tc>
          <w:tcPr>
            <w:tcW w:w="5159" w:type="dxa"/>
            <w:tcBorders>
              <w:top w:val="single" w:sz="6" w:space="0" w:color="auto"/>
              <w:left w:val="single" w:sz="6" w:space="0" w:color="auto"/>
              <w:bottom w:val="single" w:sz="6" w:space="0" w:color="auto"/>
              <w:right w:val="single" w:sz="6" w:space="0" w:color="auto"/>
            </w:tcBorders>
          </w:tcPr>
          <w:p w14:paraId="1A6B0558" w14:textId="77777777" w:rsidR="00F73D5B" w:rsidRPr="008B7A21" w:rsidRDefault="00F73D5B" w:rsidP="00767A6A">
            <w:pPr>
              <w:pStyle w:val="Tabletext"/>
              <w:rPr>
                <w:lang w:val="es-ES_tradnl"/>
              </w:rPr>
            </w:pPr>
            <w:r w:rsidRPr="008B7A21">
              <w:rPr>
                <w:lang w:val="es-ES_tradnl"/>
              </w:rPr>
              <w:t>Comunicaciones móviles</w:t>
            </w:r>
          </w:p>
        </w:tc>
        <w:tc>
          <w:tcPr>
            <w:tcW w:w="851" w:type="dxa"/>
            <w:tcBorders>
              <w:top w:val="single" w:sz="6" w:space="0" w:color="auto"/>
              <w:left w:val="single" w:sz="6" w:space="0" w:color="auto"/>
              <w:bottom w:val="single" w:sz="6" w:space="0" w:color="auto"/>
              <w:right w:val="single" w:sz="6" w:space="0" w:color="auto"/>
            </w:tcBorders>
          </w:tcPr>
          <w:p w14:paraId="16B8C4B5" w14:textId="77777777" w:rsidR="00F73D5B" w:rsidRPr="008B7A21" w:rsidRDefault="00F73D5B" w:rsidP="00767A6A">
            <w:pPr>
              <w:pStyle w:val="Tabletext"/>
              <w:jc w:val="center"/>
              <w:rPr>
                <w:lang w:val="es-ES_tradnl"/>
              </w:rPr>
            </w:pPr>
            <w:r w:rsidRPr="008B7A21">
              <w:rPr>
                <w:lang w:val="es-ES_tradnl"/>
              </w:rPr>
              <w:t>10</w:t>
            </w:r>
          </w:p>
        </w:tc>
        <w:tc>
          <w:tcPr>
            <w:tcW w:w="851" w:type="dxa"/>
            <w:tcBorders>
              <w:top w:val="single" w:sz="6" w:space="0" w:color="auto"/>
              <w:left w:val="single" w:sz="6" w:space="0" w:color="auto"/>
              <w:bottom w:val="single" w:sz="6" w:space="0" w:color="auto"/>
              <w:right w:val="single" w:sz="6" w:space="0" w:color="auto"/>
            </w:tcBorders>
          </w:tcPr>
          <w:p w14:paraId="495F0F06" w14:textId="77777777" w:rsidR="00F73D5B" w:rsidRPr="008B7A21" w:rsidRDefault="00F73D5B" w:rsidP="00767A6A">
            <w:pPr>
              <w:pStyle w:val="Tabletext"/>
              <w:jc w:val="center"/>
              <w:rPr>
                <w:lang w:val="es-ES_tradnl"/>
              </w:rPr>
            </w:pPr>
            <w:r w:rsidRPr="008B7A21">
              <w:rPr>
                <w:lang w:val="es-ES_tradnl"/>
              </w:rPr>
              <w:t>6,00</w:t>
            </w:r>
          </w:p>
        </w:tc>
        <w:tc>
          <w:tcPr>
            <w:tcW w:w="964" w:type="dxa"/>
            <w:tcBorders>
              <w:top w:val="single" w:sz="6" w:space="0" w:color="auto"/>
              <w:left w:val="single" w:sz="6" w:space="0" w:color="auto"/>
              <w:bottom w:val="single" w:sz="6" w:space="0" w:color="auto"/>
              <w:right w:val="single" w:sz="6" w:space="0" w:color="auto"/>
            </w:tcBorders>
          </w:tcPr>
          <w:p w14:paraId="5ED026A7" w14:textId="77777777" w:rsidR="00F73D5B" w:rsidRPr="008B7A21" w:rsidRDefault="00F73D5B" w:rsidP="00767A6A">
            <w:pPr>
              <w:pStyle w:val="Tabletext"/>
              <w:jc w:val="center"/>
              <w:rPr>
                <w:lang w:val="es-ES_tradnl"/>
              </w:rPr>
            </w:pPr>
            <w:r w:rsidRPr="008B7A21">
              <w:rPr>
                <w:lang w:val="es-ES_tradnl"/>
              </w:rPr>
              <w:t>1</w:t>
            </w:r>
          </w:p>
        </w:tc>
        <w:tc>
          <w:tcPr>
            <w:tcW w:w="964" w:type="dxa"/>
            <w:tcBorders>
              <w:top w:val="single" w:sz="6" w:space="0" w:color="auto"/>
              <w:left w:val="single" w:sz="6" w:space="0" w:color="auto"/>
              <w:bottom w:val="single" w:sz="6" w:space="0" w:color="auto"/>
              <w:right w:val="single" w:sz="6" w:space="0" w:color="auto"/>
            </w:tcBorders>
          </w:tcPr>
          <w:p w14:paraId="7267CDD3" w14:textId="77777777" w:rsidR="00F73D5B" w:rsidRPr="008B7A21" w:rsidRDefault="00F73D5B" w:rsidP="00767A6A">
            <w:pPr>
              <w:pStyle w:val="Tabletext"/>
              <w:jc w:val="center"/>
              <w:rPr>
                <w:lang w:val="es-ES_tradnl"/>
              </w:rPr>
            </w:pPr>
            <w:r w:rsidRPr="008B7A21">
              <w:rPr>
                <w:lang w:val="es-ES_tradnl"/>
              </w:rPr>
              <w:t>0,1</w:t>
            </w:r>
          </w:p>
        </w:tc>
        <w:tc>
          <w:tcPr>
            <w:tcW w:w="850" w:type="dxa"/>
            <w:tcBorders>
              <w:top w:val="single" w:sz="6" w:space="0" w:color="auto"/>
              <w:left w:val="single" w:sz="6" w:space="0" w:color="auto"/>
              <w:bottom w:val="single" w:sz="6" w:space="0" w:color="auto"/>
              <w:right w:val="single" w:sz="6" w:space="0" w:color="auto"/>
            </w:tcBorders>
          </w:tcPr>
          <w:p w14:paraId="13500CD8" w14:textId="77777777" w:rsidR="00F73D5B" w:rsidRPr="008B7A21" w:rsidRDefault="00F73D5B" w:rsidP="00767A6A">
            <w:pPr>
              <w:pStyle w:val="Tabletext"/>
              <w:jc w:val="center"/>
              <w:rPr>
                <w:lang w:val="es-ES_tradnl"/>
              </w:rPr>
            </w:pPr>
            <w:r w:rsidRPr="008B7A21">
              <w:rPr>
                <w:lang w:val="es-ES_tradnl"/>
              </w:rPr>
              <w:t>5</w:t>
            </w:r>
          </w:p>
        </w:tc>
      </w:tr>
      <w:tr w:rsidR="00F73D5B" w:rsidRPr="008B7A21" w14:paraId="70765054" w14:textId="77777777" w:rsidTr="00767A6A">
        <w:trPr>
          <w:cantSplit/>
          <w:jc w:val="center"/>
        </w:trPr>
        <w:tc>
          <w:tcPr>
            <w:tcW w:w="5159" w:type="dxa"/>
            <w:tcBorders>
              <w:top w:val="single" w:sz="6" w:space="0" w:color="auto"/>
              <w:left w:val="single" w:sz="6" w:space="0" w:color="auto"/>
              <w:bottom w:val="single" w:sz="6" w:space="0" w:color="auto"/>
              <w:right w:val="single" w:sz="6" w:space="0" w:color="auto"/>
            </w:tcBorders>
          </w:tcPr>
          <w:p w14:paraId="624A28E5" w14:textId="77777777" w:rsidR="00F73D5B" w:rsidRPr="008B7A21" w:rsidRDefault="00F73D5B" w:rsidP="00767A6A">
            <w:pPr>
              <w:pStyle w:val="Tabletext"/>
              <w:rPr>
                <w:lang w:val="es-ES_tradnl"/>
              </w:rPr>
            </w:pPr>
            <w:r w:rsidRPr="008B7A21">
              <w:rPr>
                <w:lang w:val="es-ES_tradnl"/>
              </w:rPr>
              <w:t>Radiocomunicaciones en la banda ciudadana</w:t>
            </w:r>
          </w:p>
        </w:tc>
        <w:tc>
          <w:tcPr>
            <w:tcW w:w="851" w:type="dxa"/>
            <w:tcBorders>
              <w:top w:val="single" w:sz="6" w:space="0" w:color="auto"/>
              <w:left w:val="single" w:sz="6" w:space="0" w:color="auto"/>
              <w:bottom w:val="single" w:sz="6" w:space="0" w:color="auto"/>
              <w:right w:val="single" w:sz="6" w:space="0" w:color="auto"/>
            </w:tcBorders>
          </w:tcPr>
          <w:p w14:paraId="520FBD12" w14:textId="77777777" w:rsidR="00F73D5B" w:rsidRPr="008B7A21" w:rsidRDefault="00F73D5B" w:rsidP="00767A6A">
            <w:pPr>
              <w:pStyle w:val="Tabletext"/>
              <w:jc w:val="center"/>
              <w:rPr>
                <w:lang w:val="es-ES_tradnl"/>
              </w:rPr>
            </w:pPr>
            <w:r w:rsidRPr="008B7A21">
              <w:rPr>
                <w:lang w:val="es-ES_tradnl"/>
              </w:rPr>
              <w:t>0,12</w:t>
            </w:r>
          </w:p>
        </w:tc>
        <w:tc>
          <w:tcPr>
            <w:tcW w:w="851" w:type="dxa"/>
            <w:tcBorders>
              <w:top w:val="single" w:sz="6" w:space="0" w:color="auto"/>
              <w:left w:val="single" w:sz="6" w:space="0" w:color="auto"/>
              <w:bottom w:val="single" w:sz="6" w:space="0" w:color="auto"/>
              <w:right w:val="single" w:sz="6" w:space="0" w:color="auto"/>
            </w:tcBorders>
          </w:tcPr>
          <w:p w14:paraId="40D545B6" w14:textId="77777777" w:rsidR="00F73D5B" w:rsidRPr="008B7A21" w:rsidRDefault="00F73D5B" w:rsidP="00767A6A">
            <w:pPr>
              <w:pStyle w:val="Tabletext"/>
              <w:jc w:val="center"/>
              <w:rPr>
                <w:lang w:val="es-ES_tradnl"/>
              </w:rPr>
            </w:pPr>
            <w:r w:rsidRPr="008B7A21">
              <w:rPr>
                <w:lang w:val="es-ES_tradnl"/>
              </w:rPr>
              <w:t>1,00</w:t>
            </w:r>
          </w:p>
        </w:tc>
        <w:tc>
          <w:tcPr>
            <w:tcW w:w="964" w:type="dxa"/>
            <w:tcBorders>
              <w:top w:val="single" w:sz="6" w:space="0" w:color="auto"/>
              <w:left w:val="single" w:sz="6" w:space="0" w:color="auto"/>
              <w:bottom w:val="single" w:sz="6" w:space="0" w:color="auto"/>
              <w:right w:val="single" w:sz="6" w:space="0" w:color="auto"/>
            </w:tcBorders>
          </w:tcPr>
          <w:p w14:paraId="50E03FB7" w14:textId="77777777" w:rsidR="00F73D5B" w:rsidRPr="008B7A21" w:rsidRDefault="00F73D5B" w:rsidP="00767A6A">
            <w:pPr>
              <w:pStyle w:val="Tabletext"/>
              <w:jc w:val="center"/>
              <w:rPr>
                <w:lang w:val="es-ES_tradnl"/>
              </w:rPr>
            </w:pPr>
            <w:r w:rsidRPr="008B7A21">
              <w:rPr>
                <w:lang w:val="es-ES_tradnl"/>
              </w:rPr>
              <w:t>1</w:t>
            </w:r>
          </w:p>
        </w:tc>
        <w:tc>
          <w:tcPr>
            <w:tcW w:w="964" w:type="dxa"/>
            <w:tcBorders>
              <w:top w:val="single" w:sz="6" w:space="0" w:color="auto"/>
              <w:left w:val="single" w:sz="6" w:space="0" w:color="auto"/>
              <w:bottom w:val="single" w:sz="6" w:space="0" w:color="auto"/>
              <w:right w:val="single" w:sz="6" w:space="0" w:color="auto"/>
            </w:tcBorders>
          </w:tcPr>
          <w:p w14:paraId="45F93F33" w14:textId="77777777" w:rsidR="00F73D5B" w:rsidRPr="008B7A21" w:rsidRDefault="00F73D5B" w:rsidP="00767A6A">
            <w:pPr>
              <w:pStyle w:val="Tabletext"/>
              <w:jc w:val="center"/>
              <w:rPr>
                <w:lang w:val="es-ES_tradnl"/>
              </w:rPr>
            </w:pPr>
            <w:r w:rsidRPr="008B7A21">
              <w:rPr>
                <w:lang w:val="es-ES_tradnl"/>
              </w:rPr>
              <w:t>0,1</w:t>
            </w:r>
          </w:p>
        </w:tc>
        <w:tc>
          <w:tcPr>
            <w:tcW w:w="850" w:type="dxa"/>
            <w:tcBorders>
              <w:top w:val="single" w:sz="6" w:space="0" w:color="auto"/>
              <w:left w:val="single" w:sz="6" w:space="0" w:color="auto"/>
              <w:bottom w:val="single" w:sz="6" w:space="0" w:color="auto"/>
              <w:right w:val="single" w:sz="6" w:space="0" w:color="auto"/>
            </w:tcBorders>
          </w:tcPr>
          <w:p w14:paraId="05FA5AB4" w14:textId="77777777" w:rsidR="00F73D5B" w:rsidRPr="008B7A21" w:rsidRDefault="00F73D5B" w:rsidP="00767A6A">
            <w:pPr>
              <w:pStyle w:val="Tabletext"/>
              <w:jc w:val="center"/>
              <w:rPr>
                <w:lang w:val="es-ES_tradnl"/>
              </w:rPr>
            </w:pPr>
            <w:r w:rsidRPr="008B7A21">
              <w:rPr>
                <w:lang w:val="es-ES_tradnl"/>
              </w:rPr>
              <w:t>1</w:t>
            </w:r>
          </w:p>
        </w:tc>
      </w:tr>
      <w:tr w:rsidR="00F73D5B" w:rsidRPr="008B7A21" w14:paraId="360B6C89" w14:textId="77777777" w:rsidTr="00767A6A">
        <w:trPr>
          <w:cantSplit/>
          <w:jc w:val="center"/>
        </w:trPr>
        <w:tc>
          <w:tcPr>
            <w:tcW w:w="5159" w:type="dxa"/>
            <w:tcBorders>
              <w:top w:val="single" w:sz="6" w:space="0" w:color="auto"/>
              <w:left w:val="single" w:sz="6" w:space="0" w:color="auto"/>
              <w:bottom w:val="single" w:sz="6" w:space="0" w:color="auto"/>
              <w:right w:val="single" w:sz="6" w:space="0" w:color="auto"/>
            </w:tcBorders>
          </w:tcPr>
          <w:p w14:paraId="05F4956A" w14:textId="77777777" w:rsidR="00F73D5B" w:rsidRPr="008B7A21" w:rsidRDefault="00F73D5B" w:rsidP="00767A6A">
            <w:pPr>
              <w:pStyle w:val="Tabletext"/>
              <w:rPr>
                <w:lang w:val="es-ES_tradnl"/>
              </w:rPr>
            </w:pPr>
            <w:r w:rsidRPr="008B7A21">
              <w:rPr>
                <w:lang w:val="es-ES_tradnl"/>
              </w:rPr>
              <w:t>Radiolocalización</w:t>
            </w:r>
          </w:p>
        </w:tc>
        <w:tc>
          <w:tcPr>
            <w:tcW w:w="851" w:type="dxa"/>
            <w:tcBorders>
              <w:top w:val="single" w:sz="6" w:space="0" w:color="auto"/>
              <w:left w:val="single" w:sz="6" w:space="0" w:color="auto"/>
              <w:bottom w:val="single" w:sz="6" w:space="0" w:color="auto"/>
              <w:right w:val="single" w:sz="6" w:space="0" w:color="auto"/>
            </w:tcBorders>
          </w:tcPr>
          <w:p w14:paraId="1314B065" w14:textId="77777777" w:rsidR="00F73D5B" w:rsidRPr="008B7A21" w:rsidRDefault="00F73D5B" w:rsidP="00767A6A">
            <w:pPr>
              <w:pStyle w:val="Tabletext"/>
              <w:jc w:val="center"/>
              <w:rPr>
                <w:lang w:val="es-ES_tradnl"/>
              </w:rPr>
            </w:pPr>
            <w:r w:rsidRPr="008B7A21">
              <w:rPr>
                <w:lang w:val="es-ES_tradnl"/>
              </w:rPr>
              <w:t>0,15</w:t>
            </w:r>
          </w:p>
        </w:tc>
        <w:tc>
          <w:tcPr>
            <w:tcW w:w="851" w:type="dxa"/>
            <w:tcBorders>
              <w:top w:val="single" w:sz="6" w:space="0" w:color="auto"/>
              <w:left w:val="single" w:sz="6" w:space="0" w:color="auto"/>
              <w:bottom w:val="single" w:sz="6" w:space="0" w:color="auto"/>
              <w:right w:val="single" w:sz="6" w:space="0" w:color="auto"/>
            </w:tcBorders>
          </w:tcPr>
          <w:p w14:paraId="1BBFBE9A" w14:textId="77777777" w:rsidR="00F73D5B" w:rsidRPr="008B7A21" w:rsidRDefault="00F73D5B" w:rsidP="00767A6A">
            <w:pPr>
              <w:pStyle w:val="Tabletext"/>
              <w:jc w:val="center"/>
              <w:rPr>
                <w:lang w:val="es-ES_tradnl"/>
              </w:rPr>
            </w:pPr>
            <w:r w:rsidRPr="008B7A21">
              <w:rPr>
                <w:lang w:val="es-ES_tradnl"/>
              </w:rPr>
              <w:t>0,10</w:t>
            </w:r>
          </w:p>
        </w:tc>
        <w:tc>
          <w:tcPr>
            <w:tcW w:w="964" w:type="dxa"/>
            <w:tcBorders>
              <w:top w:val="single" w:sz="6" w:space="0" w:color="auto"/>
              <w:left w:val="single" w:sz="6" w:space="0" w:color="auto"/>
              <w:bottom w:val="single" w:sz="6" w:space="0" w:color="auto"/>
              <w:right w:val="single" w:sz="6" w:space="0" w:color="auto"/>
            </w:tcBorders>
          </w:tcPr>
          <w:p w14:paraId="25FFDE5B" w14:textId="77777777" w:rsidR="00F73D5B" w:rsidRPr="008B7A21" w:rsidRDefault="00F73D5B" w:rsidP="00767A6A">
            <w:pPr>
              <w:pStyle w:val="Tabletext"/>
              <w:jc w:val="center"/>
              <w:rPr>
                <w:lang w:val="es-ES_tradnl"/>
              </w:rPr>
            </w:pPr>
            <w:r w:rsidRPr="008B7A21">
              <w:rPr>
                <w:lang w:val="es-ES_tradnl"/>
              </w:rPr>
              <w:t>1</w:t>
            </w:r>
          </w:p>
        </w:tc>
        <w:tc>
          <w:tcPr>
            <w:tcW w:w="964" w:type="dxa"/>
            <w:tcBorders>
              <w:top w:val="single" w:sz="6" w:space="0" w:color="auto"/>
              <w:left w:val="single" w:sz="6" w:space="0" w:color="auto"/>
              <w:bottom w:val="single" w:sz="6" w:space="0" w:color="auto"/>
              <w:right w:val="single" w:sz="6" w:space="0" w:color="auto"/>
            </w:tcBorders>
          </w:tcPr>
          <w:p w14:paraId="64021CAD" w14:textId="77777777" w:rsidR="00F73D5B" w:rsidRPr="008B7A21" w:rsidRDefault="00F73D5B" w:rsidP="00767A6A">
            <w:pPr>
              <w:pStyle w:val="Tabletext"/>
              <w:jc w:val="center"/>
              <w:rPr>
                <w:lang w:val="es-ES_tradnl"/>
              </w:rPr>
            </w:pPr>
            <w:r w:rsidRPr="008B7A21">
              <w:rPr>
                <w:lang w:val="es-ES_tradnl"/>
              </w:rPr>
              <w:t>0,1</w:t>
            </w:r>
          </w:p>
        </w:tc>
        <w:tc>
          <w:tcPr>
            <w:tcW w:w="850" w:type="dxa"/>
            <w:tcBorders>
              <w:top w:val="single" w:sz="6" w:space="0" w:color="auto"/>
              <w:left w:val="single" w:sz="6" w:space="0" w:color="auto"/>
              <w:bottom w:val="single" w:sz="6" w:space="0" w:color="auto"/>
              <w:right w:val="single" w:sz="6" w:space="0" w:color="auto"/>
            </w:tcBorders>
          </w:tcPr>
          <w:p w14:paraId="40130DF6" w14:textId="77777777" w:rsidR="00F73D5B" w:rsidRPr="008B7A21" w:rsidRDefault="00F73D5B" w:rsidP="00767A6A">
            <w:pPr>
              <w:pStyle w:val="Tabletext"/>
              <w:jc w:val="center"/>
              <w:rPr>
                <w:lang w:val="es-ES_tradnl"/>
              </w:rPr>
            </w:pPr>
            <w:r w:rsidRPr="008B7A21">
              <w:rPr>
                <w:lang w:val="es-ES_tradnl"/>
              </w:rPr>
              <w:t>1</w:t>
            </w:r>
          </w:p>
        </w:tc>
      </w:tr>
      <w:tr w:rsidR="00F73D5B" w:rsidRPr="008B7A21" w14:paraId="0A00A386" w14:textId="77777777" w:rsidTr="00767A6A">
        <w:trPr>
          <w:cantSplit/>
          <w:jc w:val="center"/>
        </w:trPr>
        <w:tc>
          <w:tcPr>
            <w:tcW w:w="5159" w:type="dxa"/>
            <w:tcBorders>
              <w:top w:val="single" w:sz="6" w:space="0" w:color="auto"/>
              <w:left w:val="single" w:sz="6" w:space="0" w:color="auto"/>
              <w:bottom w:val="single" w:sz="6" w:space="0" w:color="auto"/>
              <w:right w:val="single" w:sz="6" w:space="0" w:color="auto"/>
            </w:tcBorders>
          </w:tcPr>
          <w:p w14:paraId="6F4F9943" w14:textId="77777777" w:rsidR="00F73D5B" w:rsidRPr="008B7A21" w:rsidRDefault="00F73D5B" w:rsidP="00767A6A">
            <w:pPr>
              <w:pStyle w:val="Tabletext"/>
              <w:rPr>
                <w:lang w:val="es-ES_tradnl"/>
              </w:rPr>
            </w:pPr>
            <w:r w:rsidRPr="008B7A21">
              <w:rPr>
                <w:lang w:val="es-ES_tradnl"/>
              </w:rPr>
              <w:t>Sistemas de señales radioeléctricas de seguridad</w:t>
            </w:r>
          </w:p>
        </w:tc>
        <w:tc>
          <w:tcPr>
            <w:tcW w:w="851" w:type="dxa"/>
            <w:tcBorders>
              <w:top w:val="single" w:sz="6" w:space="0" w:color="auto"/>
              <w:left w:val="single" w:sz="6" w:space="0" w:color="auto"/>
              <w:bottom w:val="single" w:sz="6" w:space="0" w:color="auto"/>
              <w:right w:val="single" w:sz="6" w:space="0" w:color="auto"/>
            </w:tcBorders>
          </w:tcPr>
          <w:p w14:paraId="5BB782D8" w14:textId="77777777" w:rsidR="00F73D5B" w:rsidRPr="008B7A21" w:rsidRDefault="00F73D5B" w:rsidP="00767A6A">
            <w:pPr>
              <w:pStyle w:val="Tabletext"/>
              <w:jc w:val="center"/>
              <w:rPr>
                <w:lang w:val="es-ES_tradnl"/>
              </w:rPr>
            </w:pPr>
            <w:r w:rsidRPr="008B7A21">
              <w:rPr>
                <w:lang w:val="es-ES_tradnl"/>
              </w:rPr>
              <w:t>6</w:t>
            </w:r>
          </w:p>
        </w:tc>
        <w:tc>
          <w:tcPr>
            <w:tcW w:w="851" w:type="dxa"/>
            <w:tcBorders>
              <w:top w:val="single" w:sz="6" w:space="0" w:color="auto"/>
              <w:left w:val="single" w:sz="6" w:space="0" w:color="auto"/>
              <w:bottom w:val="single" w:sz="6" w:space="0" w:color="auto"/>
              <w:right w:val="single" w:sz="6" w:space="0" w:color="auto"/>
            </w:tcBorders>
          </w:tcPr>
          <w:p w14:paraId="2A237AB4" w14:textId="77777777" w:rsidR="00F73D5B" w:rsidRPr="008B7A21" w:rsidRDefault="00F73D5B" w:rsidP="00767A6A">
            <w:pPr>
              <w:pStyle w:val="Tabletext"/>
              <w:jc w:val="center"/>
              <w:rPr>
                <w:lang w:val="es-ES_tradnl"/>
              </w:rPr>
            </w:pPr>
            <w:r w:rsidRPr="008B7A21">
              <w:rPr>
                <w:lang w:val="es-ES_tradnl"/>
              </w:rPr>
              <w:t>1,0</w:t>
            </w:r>
          </w:p>
        </w:tc>
        <w:tc>
          <w:tcPr>
            <w:tcW w:w="964" w:type="dxa"/>
            <w:tcBorders>
              <w:top w:val="single" w:sz="6" w:space="0" w:color="auto"/>
              <w:left w:val="single" w:sz="6" w:space="0" w:color="auto"/>
              <w:bottom w:val="single" w:sz="6" w:space="0" w:color="auto"/>
              <w:right w:val="single" w:sz="6" w:space="0" w:color="auto"/>
            </w:tcBorders>
          </w:tcPr>
          <w:p w14:paraId="2E2703E3" w14:textId="77777777" w:rsidR="00F73D5B" w:rsidRPr="008B7A21" w:rsidRDefault="00F73D5B" w:rsidP="00767A6A">
            <w:pPr>
              <w:pStyle w:val="Tabletext"/>
              <w:jc w:val="center"/>
              <w:rPr>
                <w:lang w:val="es-ES_tradnl"/>
              </w:rPr>
            </w:pPr>
            <w:r w:rsidRPr="008B7A21">
              <w:rPr>
                <w:lang w:val="es-ES_tradnl"/>
              </w:rPr>
              <w:t>1</w:t>
            </w:r>
          </w:p>
        </w:tc>
        <w:tc>
          <w:tcPr>
            <w:tcW w:w="964" w:type="dxa"/>
            <w:tcBorders>
              <w:top w:val="single" w:sz="6" w:space="0" w:color="auto"/>
              <w:left w:val="single" w:sz="6" w:space="0" w:color="auto"/>
              <w:bottom w:val="single" w:sz="6" w:space="0" w:color="auto"/>
              <w:right w:val="single" w:sz="6" w:space="0" w:color="auto"/>
            </w:tcBorders>
          </w:tcPr>
          <w:p w14:paraId="29CCF3A8" w14:textId="77777777" w:rsidR="00F73D5B" w:rsidRPr="008B7A21" w:rsidRDefault="00F73D5B" w:rsidP="00767A6A">
            <w:pPr>
              <w:pStyle w:val="Tabletext"/>
              <w:jc w:val="center"/>
              <w:rPr>
                <w:lang w:val="es-ES_tradnl"/>
              </w:rPr>
            </w:pPr>
            <w:r w:rsidRPr="008B7A21">
              <w:rPr>
                <w:lang w:val="es-ES_tradnl"/>
              </w:rPr>
              <w:t>0,1</w:t>
            </w:r>
          </w:p>
        </w:tc>
        <w:tc>
          <w:tcPr>
            <w:tcW w:w="850" w:type="dxa"/>
            <w:tcBorders>
              <w:top w:val="single" w:sz="6" w:space="0" w:color="auto"/>
              <w:left w:val="single" w:sz="6" w:space="0" w:color="auto"/>
              <w:bottom w:val="single" w:sz="6" w:space="0" w:color="auto"/>
              <w:right w:val="single" w:sz="6" w:space="0" w:color="auto"/>
            </w:tcBorders>
          </w:tcPr>
          <w:p w14:paraId="36AC45DB" w14:textId="77777777" w:rsidR="00F73D5B" w:rsidRPr="008B7A21" w:rsidRDefault="00F73D5B" w:rsidP="00767A6A">
            <w:pPr>
              <w:pStyle w:val="Tabletext"/>
              <w:jc w:val="center"/>
              <w:rPr>
                <w:lang w:val="es-ES_tradnl"/>
              </w:rPr>
            </w:pPr>
            <w:r w:rsidRPr="008B7A21">
              <w:rPr>
                <w:lang w:val="es-ES_tradnl"/>
              </w:rPr>
              <w:t>2</w:t>
            </w:r>
          </w:p>
        </w:tc>
      </w:tr>
      <w:tr w:rsidR="00F73D5B" w:rsidRPr="008B7A21" w14:paraId="16CED94E" w14:textId="77777777" w:rsidTr="00767A6A">
        <w:trPr>
          <w:cantSplit/>
          <w:jc w:val="center"/>
        </w:trPr>
        <w:tc>
          <w:tcPr>
            <w:tcW w:w="5159" w:type="dxa"/>
            <w:tcBorders>
              <w:top w:val="single" w:sz="6" w:space="0" w:color="auto"/>
              <w:left w:val="single" w:sz="6" w:space="0" w:color="auto"/>
              <w:bottom w:val="single" w:sz="6" w:space="0" w:color="auto"/>
              <w:right w:val="single" w:sz="6" w:space="0" w:color="auto"/>
            </w:tcBorders>
          </w:tcPr>
          <w:p w14:paraId="558E11A9" w14:textId="77777777" w:rsidR="00F73D5B" w:rsidRPr="008B7A21" w:rsidRDefault="00F73D5B" w:rsidP="00767A6A">
            <w:pPr>
              <w:pStyle w:val="Tabletext"/>
              <w:rPr>
                <w:lang w:val="es-ES_tradnl"/>
              </w:rPr>
            </w:pPr>
            <w:r w:rsidRPr="008B7A21">
              <w:rPr>
                <w:lang w:val="es-ES_tradnl"/>
              </w:rPr>
              <w:t>Estaciones terrenas para el servicio fijo por satélite</w:t>
            </w:r>
          </w:p>
        </w:tc>
        <w:tc>
          <w:tcPr>
            <w:tcW w:w="851" w:type="dxa"/>
            <w:tcBorders>
              <w:top w:val="single" w:sz="6" w:space="0" w:color="auto"/>
              <w:left w:val="single" w:sz="6" w:space="0" w:color="auto"/>
              <w:bottom w:val="single" w:sz="6" w:space="0" w:color="auto"/>
              <w:right w:val="single" w:sz="6" w:space="0" w:color="auto"/>
            </w:tcBorders>
          </w:tcPr>
          <w:p w14:paraId="46487342" w14:textId="77777777" w:rsidR="00F73D5B" w:rsidRPr="008B7A21" w:rsidRDefault="00F73D5B" w:rsidP="00767A6A">
            <w:pPr>
              <w:pStyle w:val="Tabletext"/>
              <w:jc w:val="center"/>
              <w:rPr>
                <w:lang w:val="es-ES_tradnl"/>
              </w:rPr>
            </w:pPr>
            <w:r w:rsidRPr="008B7A21">
              <w:rPr>
                <w:lang w:val="es-ES_tradnl"/>
              </w:rPr>
              <w:t>40</w:t>
            </w:r>
          </w:p>
        </w:tc>
        <w:tc>
          <w:tcPr>
            <w:tcW w:w="851" w:type="dxa"/>
            <w:tcBorders>
              <w:top w:val="single" w:sz="6" w:space="0" w:color="auto"/>
              <w:left w:val="single" w:sz="6" w:space="0" w:color="auto"/>
              <w:bottom w:val="single" w:sz="6" w:space="0" w:color="auto"/>
              <w:right w:val="single" w:sz="6" w:space="0" w:color="auto"/>
            </w:tcBorders>
          </w:tcPr>
          <w:p w14:paraId="647A9646" w14:textId="77777777" w:rsidR="00F73D5B" w:rsidRPr="008B7A21" w:rsidRDefault="00F73D5B" w:rsidP="00767A6A">
            <w:pPr>
              <w:pStyle w:val="Tabletext"/>
              <w:jc w:val="center"/>
              <w:rPr>
                <w:lang w:val="es-ES_tradnl"/>
              </w:rPr>
            </w:pPr>
            <w:r w:rsidRPr="008B7A21">
              <w:rPr>
                <w:lang w:val="es-ES_tradnl"/>
              </w:rPr>
              <w:t>1,00</w:t>
            </w:r>
            <w:r w:rsidRPr="008B7A21">
              <w:rPr>
                <w:lang w:val="es-ES_tradnl"/>
              </w:rPr>
              <w:br/>
              <w:t>0,30*</w:t>
            </w:r>
          </w:p>
        </w:tc>
        <w:tc>
          <w:tcPr>
            <w:tcW w:w="964" w:type="dxa"/>
            <w:tcBorders>
              <w:top w:val="single" w:sz="6" w:space="0" w:color="auto"/>
              <w:left w:val="single" w:sz="6" w:space="0" w:color="auto"/>
              <w:bottom w:val="single" w:sz="6" w:space="0" w:color="auto"/>
              <w:right w:val="single" w:sz="6" w:space="0" w:color="auto"/>
            </w:tcBorders>
          </w:tcPr>
          <w:p w14:paraId="4DE3D977" w14:textId="77777777" w:rsidR="00F73D5B" w:rsidRPr="008B7A21" w:rsidRDefault="00F73D5B" w:rsidP="00767A6A">
            <w:pPr>
              <w:pStyle w:val="Tabletext"/>
              <w:jc w:val="center"/>
              <w:rPr>
                <w:lang w:val="es-ES_tradnl"/>
              </w:rPr>
            </w:pPr>
            <w:r w:rsidRPr="008B7A21">
              <w:rPr>
                <w:lang w:val="es-ES_tradnl"/>
              </w:rPr>
              <w:t>1</w:t>
            </w:r>
          </w:p>
        </w:tc>
        <w:tc>
          <w:tcPr>
            <w:tcW w:w="964" w:type="dxa"/>
            <w:tcBorders>
              <w:top w:val="single" w:sz="6" w:space="0" w:color="auto"/>
              <w:left w:val="single" w:sz="6" w:space="0" w:color="auto"/>
              <w:bottom w:val="single" w:sz="6" w:space="0" w:color="auto"/>
              <w:right w:val="single" w:sz="6" w:space="0" w:color="auto"/>
            </w:tcBorders>
          </w:tcPr>
          <w:p w14:paraId="391A827F" w14:textId="77777777" w:rsidR="00F73D5B" w:rsidRPr="008B7A21" w:rsidRDefault="00F73D5B" w:rsidP="00767A6A">
            <w:pPr>
              <w:pStyle w:val="Tabletext"/>
              <w:jc w:val="center"/>
              <w:rPr>
                <w:lang w:val="es-ES_tradnl"/>
              </w:rPr>
            </w:pPr>
            <w:r w:rsidRPr="008B7A21">
              <w:rPr>
                <w:lang w:val="es-ES_tradnl"/>
              </w:rPr>
              <w:t>0,1</w:t>
            </w:r>
          </w:p>
        </w:tc>
        <w:tc>
          <w:tcPr>
            <w:tcW w:w="850" w:type="dxa"/>
            <w:tcBorders>
              <w:top w:val="single" w:sz="6" w:space="0" w:color="auto"/>
              <w:left w:val="single" w:sz="6" w:space="0" w:color="auto"/>
              <w:bottom w:val="single" w:sz="6" w:space="0" w:color="auto"/>
              <w:right w:val="single" w:sz="6" w:space="0" w:color="auto"/>
            </w:tcBorders>
          </w:tcPr>
          <w:p w14:paraId="490D1AED" w14:textId="77777777" w:rsidR="00F73D5B" w:rsidRPr="008B7A21" w:rsidRDefault="00F73D5B" w:rsidP="00767A6A">
            <w:pPr>
              <w:pStyle w:val="Tabletext"/>
              <w:jc w:val="center"/>
              <w:rPr>
                <w:lang w:val="es-ES_tradnl"/>
              </w:rPr>
            </w:pPr>
            <w:r w:rsidRPr="008B7A21">
              <w:rPr>
                <w:lang w:val="es-ES_tradnl"/>
              </w:rPr>
              <w:t>1</w:t>
            </w:r>
          </w:p>
        </w:tc>
      </w:tr>
      <w:tr w:rsidR="00F73D5B" w:rsidRPr="008B7A21" w14:paraId="19B9BBA2" w14:textId="77777777" w:rsidTr="00767A6A">
        <w:trPr>
          <w:cantSplit/>
          <w:jc w:val="center"/>
        </w:trPr>
        <w:tc>
          <w:tcPr>
            <w:tcW w:w="5159" w:type="dxa"/>
            <w:tcBorders>
              <w:top w:val="single" w:sz="6" w:space="0" w:color="auto"/>
              <w:left w:val="single" w:sz="6" w:space="0" w:color="auto"/>
              <w:bottom w:val="single" w:sz="6" w:space="0" w:color="auto"/>
              <w:right w:val="single" w:sz="6" w:space="0" w:color="auto"/>
            </w:tcBorders>
          </w:tcPr>
          <w:p w14:paraId="18734BB2" w14:textId="77777777" w:rsidR="00F73D5B" w:rsidRPr="008B7A21" w:rsidRDefault="00F73D5B" w:rsidP="00767A6A">
            <w:pPr>
              <w:pStyle w:val="Tabletext"/>
              <w:jc w:val="left"/>
              <w:rPr>
                <w:lang w:val="es-ES_tradnl"/>
              </w:rPr>
            </w:pPr>
            <w:r w:rsidRPr="008B7A21">
              <w:rPr>
                <w:lang w:val="es-ES_tradnl"/>
              </w:rPr>
              <w:t>Enlace de conexión para el servicio de radiodifusión por satélite</w:t>
            </w:r>
          </w:p>
        </w:tc>
        <w:tc>
          <w:tcPr>
            <w:tcW w:w="851" w:type="dxa"/>
            <w:tcBorders>
              <w:top w:val="single" w:sz="6" w:space="0" w:color="auto"/>
              <w:left w:val="single" w:sz="6" w:space="0" w:color="auto"/>
              <w:bottom w:val="single" w:sz="6" w:space="0" w:color="auto"/>
              <w:right w:val="single" w:sz="6" w:space="0" w:color="auto"/>
            </w:tcBorders>
          </w:tcPr>
          <w:p w14:paraId="1A2BB4A6" w14:textId="77777777" w:rsidR="00F73D5B" w:rsidRPr="008B7A21" w:rsidRDefault="00F73D5B" w:rsidP="00767A6A">
            <w:pPr>
              <w:pStyle w:val="Tabletext"/>
              <w:jc w:val="center"/>
              <w:rPr>
                <w:lang w:val="es-ES_tradnl"/>
              </w:rPr>
            </w:pPr>
            <w:r w:rsidRPr="008B7A21">
              <w:rPr>
                <w:lang w:val="es-ES_tradnl"/>
              </w:rPr>
              <w:t>7</w:t>
            </w:r>
          </w:p>
        </w:tc>
        <w:tc>
          <w:tcPr>
            <w:tcW w:w="851" w:type="dxa"/>
            <w:tcBorders>
              <w:top w:val="single" w:sz="6" w:space="0" w:color="auto"/>
              <w:left w:val="single" w:sz="6" w:space="0" w:color="auto"/>
              <w:bottom w:val="single" w:sz="6" w:space="0" w:color="auto"/>
              <w:right w:val="single" w:sz="6" w:space="0" w:color="auto"/>
            </w:tcBorders>
          </w:tcPr>
          <w:p w14:paraId="19BDF4A3" w14:textId="77777777" w:rsidR="00F73D5B" w:rsidRPr="008B7A21" w:rsidRDefault="00F73D5B" w:rsidP="00767A6A">
            <w:pPr>
              <w:pStyle w:val="Tabletext"/>
              <w:jc w:val="center"/>
              <w:rPr>
                <w:lang w:val="es-ES_tradnl"/>
              </w:rPr>
            </w:pPr>
            <w:r w:rsidRPr="008B7A21">
              <w:rPr>
                <w:lang w:val="es-ES_tradnl"/>
              </w:rPr>
              <w:t>0,30</w:t>
            </w:r>
          </w:p>
        </w:tc>
        <w:tc>
          <w:tcPr>
            <w:tcW w:w="964" w:type="dxa"/>
            <w:tcBorders>
              <w:top w:val="single" w:sz="6" w:space="0" w:color="auto"/>
              <w:left w:val="single" w:sz="6" w:space="0" w:color="auto"/>
              <w:bottom w:val="single" w:sz="6" w:space="0" w:color="auto"/>
              <w:right w:val="single" w:sz="6" w:space="0" w:color="auto"/>
            </w:tcBorders>
          </w:tcPr>
          <w:p w14:paraId="275ECAC3" w14:textId="77777777" w:rsidR="00F73D5B" w:rsidRPr="008B7A21" w:rsidRDefault="00F73D5B" w:rsidP="00767A6A">
            <w:pPr>
              <w:pStyle w:val="Tabletext"/>
              <w:jc w:val="center"/>
              <w:rPr>
                <w:lang w:val="es-ES_tradnl"/>
              </w:rPr>
            </w:pPr>
            <w:r w:rsidRPr="008B7A21">
              <w:rPr>
                <w:lang w:val="es-ES_tradnl"/>
              </w:rPr>
              <w:t>1</w:t>
            </w:r>
          </w:p>
        </w:tc>
        <w:tc>
          <w:tcPr>
            <w:tcW w:w="964" w:type="dxa"/>
            <w:tcBorders>
              <w:top w:val="single" w:sz="6" w:space="0" w:color="auto"/>
              <w:left w:val="single" w:sz="6" w:space="0" w:color="auto"/>
              <w:bottom w:val="single" w:sz="6" w:space="0" w:color="auto"/>
              <w:right w:val="single" w:sz="6" w:space="0" w:color="auto"/>
            </w:tcBorders>
          </w:tcPr>
          <w:p w14:paraId="7A95617E" w14:textId="77777777" w:rsidR="00F73D5B" w:rsidRPr="008B7A21" w:rsidRDefault="00F73D5B" w:rsidP="00767A6A">
            <w:pPr>
              <w:pStyle w:val="Tabletext"/>
              <w:jc w:val="center"/>
              <w:rPr>
                <w:lang w:val="es-ES_tradnl"/>
              </w:rPr>
            </w:pPr>
            <w:r w:rsidRPr="008B7A21">
              <w:rPr>
                <w:lang w:val="es-ES_tradnl"/>
              </w:rPr>
              <w:t>0,1</w:t>
            </w:r>
          </w:p>
        </w:tc>
        <w:tc>
          <w:tcPr>
            <w:tcW w:w="850" w:type="dxa"/>
            <w:tcBorders>
              <w:top w:val="single" w:sz="6" w:space="0" w:color="auto"/>
              <w:left w:val="single" w:sz="6" w:space="0" w:color="auto"/>
              <w:bottom w:val="single" w:sz="6" w:space="0" w:color="auto"/>
              <w:right w:val="single" w:sz="6" w:space="0" w:color="auto"/>
            </w:tcBorders>
          </w:tcPr>
          <w:p w14:paraId="4FCA29FD" w14:textId="77777777" w:rsidR="00F73D5B" w:rsidRPr="008B7A21" w:rsidRDefault="00F73D5B" w:rsidP="00767A6A">
            <w:pPr>
              <w:pStyle w:val="Tabletext"/>
              <w:jc w:val="center"/>
              <w:rPr>
                <w:lang w:val="es-ES_tradnl"/>
              </w:rPr>
            </w:pPr>
            <w:r w:rsidRPr="008B7A21">
              <w:rPr>
                <w:lang w:val="es-ES_tradnl"/>
              </w:rPr>
              <w:t>1</w:t>
            </w:r>
          </w:p>
        </w:tc>
      </w:tr>
      <w:tr w:rsidR="00F73D5B" w:rsidRPr="008B7A21" w14:paraId="4EC00812" w14:textId="77777777" w:rsidTr="00767A6A">
        <w:trPr>
          <w:cantSplit/>
          <w:jc w:val="center"/>
        </w:trPr>
        <w:tc>
          <w:tcPr>
            <w:tcW w:w="9638" w:type="dxa"/>
            <w:gridSpan w:val="6"/>
          </w:tcPr>
          <w:p w14:paraId="055FFED6" w14:textId="77777777" w:rsidR="00F73D5B" w:rsidRPr="008B7A21" w:rsidRDefault="00F73D5B" w:rsidP="00767A6A">
            <w:pPr>
              <w:pStyle w:val="TableLegendNote"/>
              <w:rPr>
                <w:lang w:val="es-ES_tradnl"/>
              </w:rPr>
            </w:pPr>
            <w:r w:rsidRPr="008B7A21">
              <w:rPr>
                <w:lang w:val="es-ES_tradnl"/>
              </w:rPr>
              <w:t xml:space="preserve">NOTA 1 – El coeficiente </w:t>
            </w:r>
            <w:r w:rsidRPr="008B7A21">
              <w:rPr>
                <w:lang w:val="es-ES_tradnl"/>
              </w:rPr>
              <w:sym w:font="Symbol" w:char="F061"/>
            </w:r>
            <w:r w:rsidRPr="008B7A21">
              <w:rPr>
                <w:vertAlign w:val="subscript"/>
                <w:lang w:val="es-ES_tradnl"/>
              </w:rPr>
              <w:t>2</w:t>
            </w:r>
            <w:r w:rsidRPr="008B7A21">
              <w:rPr>
                <w:lang w:val="es-ES_tradnl"/>
              </w:rPr>
              <w:t>*, que refleja un factor social, ha sido adoptado por las organizaciones internacionales que no representan servicios de comunicaciones comerciales en el territorio de la República de Kirguisa y cuyas actividades tienen por objeto garantizar la estabilidad de la economía o el desarrollo de la ciencia y la cultura en el país.</w:t>
            </w:r>
          </w:p>
        </w:tc>
      </w:tr>
    </w:tbl>
    <w:p w14:paraId="38027A73" w14:textId="77777777" w:rsidR="00F73D5B" w:rsidRPr="008B7A21" w:rsidRDefault="00F73D5B" w:rsidP="00F73D5B">
      <w:pPr>
        <w:pStyle w:val="Tablefin"/>
        <w:rPr>
          <w:lang w:val="es-ES_tradnl"/>
        </w:rPr>
      </w:pPr>
    </w:p>
    <w:p w14:paraId="5220546F" w14:textId="77777777" w:rsidR="00F73D5B" w:rsidRPr="008B7A21" w:rsidRDefault="00F73D5B" w:rsidP="00F73D5B">
      <w:pPr>
        <w:rPr>
          <w:lang w:val="es-ES_tradnl"/>
        </w:rPr>
      </w:pPr>
      <w:r w:rsidRPr="008B7A21">
        <w:rPr>
          <w:lang w:val="es-ES_tradnl"/>
        </w:rPr>
        <w:t xml:space="preserve">Así, pues, con ayuda de los coeficientes de ponderación </w:t>
      </w:r>
      <w:r w:rsidRPr="008B7A21">
        <w:rPr>
          <w:i/>
          <w:iCs/>
          <w:lang w:val="es-ES_tradnl"/>
        </w:rPr>
        <w:t>K</w:t>
      </w:r>
      <w:r w:rsidRPr="008B7A21">
        <w:rPr>
          <w:i/>
          <w:iCs/>
          <w:vertAlign w:val="subscript"/>
          <w:lang w:val="es-ES_tradnl"/>
        </w:rPr>
        <w:t>j</w:t>
      </w:r>
      <w:r w:rsidRPr="008B7A21">
        <w:rPr>
          <w:lang w:val="es-ES_tradnl"/>
        </w:rPr>
        <w:t xml:space="preserve">, </w:t>
      </w:r>
      <w:r w:rsidRPr="008B7A21">
        <w:rPr>
          <w:rFonts w:asciiTheme="majorBidi" w:hAnsiTheme="majorBidi" w:cstheme="majorBidi"/>
          <w:lang w:val="es-ES_tradnl"/>
        </w:rPr>
        <w:sym w:font="Symbol" w:char="F061"/>
      </w:r>
      <w:r w:rsidRPr="008B7A21">
        <w:rPr>
          <w:i/>
          <w:iCs/>
          <w:vertAlign w:val="subscript"/>
          <w:lang w:val="es-ES_tradnl"/>
        </w:rPr>
        <w:t>i</w:t>
      </w:r>
      <w:r w:rsidRPr="008B7A21">
        <w:rPr>
          <w:lang w:val="es-ES_tradnl"/>
        </w:rPr>
        <w:t xml:space="preserve">, y </w:t>
      </w:r>
      <w:r w:rsidRPr="008B7A21">
        <w:rPr>
          <w:rFonts w:asciiTheme="majorBidi" w:hAnsiTheme="majorBidi" w:cstheme="majorBidi"/>
          <w:lang w:val="es-ES_tradnl"/>
        </w:rPr>
        <w:sym w:font="Symbol" w:char="F062"/>
      </w:r>
      <w:r w:rsidRPr="008B7A21">
        <w:rPr>
          <w:i/>
          <w:iCs/>
          <w:vertAlign w:val="subscript"/>
          <w:lang w:val="es-ES_tradnl"/>
        </w:rPr>
        <w:t>i</w:t>
      </w:r>
      <w:r w:rsidRPr="008B7A21">
        <w:rPr>
          <w:lang w:val="es-ES_tradnl"/>
        </w:rPr>
        <w:t xml:space="preserve"> que figuran en las ecuaciones (60) y (61), según la ecuación (59) y a la vista de varios factores es posible determinar la frecuencia de </w:t>
      </w:r>
      <w:r w:rsidRPr="008B7A21">
        <w:rPr>
          <w:i/>
          <w:iCs/>
          <w:lang w:val="es-ES_tradnl"/>
        </w:rPr>
        <w:t>Z</w:t>
      </w:r>
      <w:r w:rsidRPr="008B7A21">
        <w:rPr>
          <w:i/>
          <w:iCs/>
          <w:vertAlign w:val="subscript"/>
          <w:lang w:val="es-ES_tradnl"/>
        </w:rPr>
        <w:t>i</w:t>
      </w:r>
      <w:r w:rsidRPr="008B7A21">
        <w:rPr>
          <w:lang w:val="es-ES_tradnl"/>
        </w:rPr>
        <w:t xml:space="preserve"> para cada asignación de frecuencia. A continuación, pueden calcularse los recursos generales de radiofrecuencias utilizados en la República Kirguisa, utilizando la fórmula (63):</w:t>
      </w:r>
    </w:p>
    <w:p w14:paraId="3D540B2E" w14:textId="77777777" w:rsidR="00F73D5B" w:rsidRPr="008B7A21" w:rsidRDefault="00F73D5B" w:rsidP="00F73D5B">
      <w:pPr>
        <w:pStyle w:val="Blanc"/>
        <w:rPr>
          <w:lang w:val="es-ES_tradnl"/>
        </w:rPr>
      </w:pPr>
    </w:p>
    <w:p w14:paraId="5C3DA9EB"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36"/>
          <w:sz w:val="20"/>
          <w:lang w:val="es-ES_tradnl"/>
        </w:rPr>
        <w:object w:dxaOrig="1300" w:dyaOrig="800" w14:anchorId="5BC9FA14">
          <v:shape id="_x0000_i1752" type="#_x0000_t75" style="width:65.3pt;height:43.55pt" o:ole="" fillcolor="window">
            <v:imagedata r:id="rId214" o:title=""/>
          </v:shape>
          <o:OLEObject Type="Embed" ProgID="Equation.3" ShapeID="_x0000_i1752" DrawAspect="Content" ObjectID="_1826705961" r:id="rId215"/>
        </w:object>
      </w:r>
      <w:r w:rsidRPr="008B7A21">
        <w:rPr>
          <w:lang w:val="es-ES_tradnl"/>
        </w:rPr>
        <w:t xml:space="preserve">                kHz </w:t>
      </w:r>
      <w:r w:rsidRPr="008B7A21">
        <w:rPr>
          <w:lang w:val="es-ES_tradnl"/>
        </w:rPr>
        <w:sym w:font="Symbol" w:char="F0D7"/>
      </w:r>
      <w:r w:rsidRPr="008B7A21">
        <w:rPr>
          <w:lang w:val="es-ES_tradnl"/>
        </w:rPr>
        <w:t xml:space="preserve"> km</w:t>
      </w:r>
      <w:r w:rsidRPr="008B7A21">
        <w:rPr>
          <w:position w:val="6"/>
          <w:sz w:val="18"/>
          <w:lang w:val="es-ES_tradnl"/>
        </w:rPr>
        <w:t>2</w:t>
      </w:r>
      <w:r w:rsidRPr="008B7A21">
        <w:rPr>
          <w:lang w:val="es-ES_tradnl"/>
        </w:rPr>
        <w:t xml:space="preserve"> </w:t>
      </w:r>
      <w:r w:rsidRPr="008B7A21">
        <w:rPr>
          <w:lang w:val="es-ES_tradnl"/>
        </w:rPr>
        <w:sym w:font="Symbol" w:char="F0D7"/>
      </w:r>
      <w:r w:rsidRPr="008B7A21">
        <w:rPr>
          <w:lang w:val="es-ES_tradnl"/>
        </w:rPr>
        <w:t xml:space="preserve"> 1 año</w:t>
      </w:r>
      <w:r w:rsidRPr="008B7A21">
        <w:rPr>
          <w:lang w:val="es-ES_tradnl"/>
        </w:rPr>
        <w:tab/>
        <w:t>(63)</w:t>
      </w:r>
    </w:p>
    <w:p w14:paraId="44AC7DC7" w14:textId="77777777" w:rsidR="00F73D5B" w:rsidRPr="008B7A21" w:rsidRDefault="00F73D5B" w:rsidP="00F73D5B">
      <w:pPr>
        <w:keepNext/>
        <w:keepLines/>
        <w:rPr>
          <w:lang w:val="es-ES_tradnl"/>
        </w:rPr>
      </w:pPr>
      <w:r w:rsidRPr="008B7A21">
        <w:rPr>
          <w:lang w:val="es-ES_tradnl"/>
        </w:rPr>
        <w:t>donde:</w:t>
      </w:r>
    </w:p>
    <w:p w14:paraId="28621A3B" w14:textId="77777777" w:rsidR="00F73D5B" w:rsidRPr="008B7A21" w:rsidRDefault="00F73D5B" w:rsidP="00F73D5B">
      <w:pPr>
        <w:pStyle w:val="Equationlegend"/>
        <w:keepNext/>
        <w:keepLines/>
        <w:rPr>
          <w:lang w:val="es-ES_tradnl"/>
        </w:rPr>
      </w:pPr>
      <w:r w:rsidRPr="008B7A21">
        <w:rPr>
          <w:lang w:val="es-ES_tradnl"/>
        </w:rPr>
        <w:tab/>
      </w:r>
      <w:r w:rsidRPr="008B7A21">
        <w:rPr>
          <w:i/>
          <w:iCs/>
          <w:lang w:val="es-ES_tradnl"/>
        </w:rPr>
        <w:t>Z</w:t>
      </w:r>
      <w:r w:rsidRPr="008B7A21">
        <w:rPr>
          <w:rFonts w:ascii="Tms Rmn" w:hAnsi="Tms Rmn"/>
          <w:lang w:val="es-ES_tradnl"/>
        </w:rPr>
        <w:t>:</w:t>
      </w:r>
      <w:r w:rsidRPr="008B7A21">
        <w:rPr>
          <w:rFonts w:ascii="Tms Rmn" w:hAnsi="Tms Rmn"/>
          <w:lang w:val="es-ES_tradnl"/>
        </w:rPr>
        <w:tab/>
      </w:r>
      <w:r w:rsidRPr="008B7A21">
        <w:rPr>
          <w:lang w:val="es-ES_tradnl"/>
        </w:rPr>
        <w:t>recurso general de radiofrecuencias utilizado en el país</w:t>
      </w:r>
    </w:p>
    <w:p w14:paraId="5695023A" w14:textId="77777777" w:rsidR="00F73D5B" w:rsidRPr="008B7A21" w:rsidRDefault="00F73D5B" w:rsidP="00F73D5B">
      <w:pPr>
        <w:pStyle w:val="Equationlegend"/>
        <w:keepNext/>
        <w:keepLines/>
        <w:rPr>
          <w:lang w:val="es-ES_tradnl"/>
        </w:rPr>
      </w:pPr>
      <w:r w:rsidRPr="008B7A21">
        <w:rPr>
          <w:lang w:val="es-ES_tradnl"/>
        </w:rPr>
        <w:tab/>
      </w:r>
      <w:r w:rsidRPr="008B7A21">
        <w:rPr>
          <w:i/>
          <w:iCs/>
          <w:lang w:val="es-ES_tradnl"/>
        </w:rPr>
        <w:t>Z</w:t>
      </w:r>
      <w:r w:rsidRPr="008B7A21">
        <w:rPr>
          <w:i/>
          <w:iCs/>
          <w:position w:val="-4"/>
          <w:sz w:val="16"/>
          <w:lang w:val="es-ES_tradnl"/>
        </w:rPr>
        <w:t>i</w:t>
      </w:r>
      <w:r w:rsidRPr="008B7A21">
        <w:rPr>
          <w:rFonts w:ascii="Tms Rmn" w:hAnsi="Tms Rmn"/>
          <w:lang w:val="es-ES_tradnl"/>
        </w:rPr>
        <w:t>:</w:t>
      </w:r>
      <w:r w:rsidRPr="008B7A21">
        <w:rPr>
          <w:rFonts w:ascii="Tms Rmn" w:hAnsi="Tms Rmn"/>
          <w:lang w:val="es-ES_tradnl"/>
        </w:rPr>
        <w:tab/>
      </w:r>
      <w:r w:rsidRPr="008B7A21">
        <w:rPr>
          <w:lang w:val="es-ES_tradnl"/>
        </w:rPr>
        <w:t xml:space="preserve">frecuencia utilizada para la asignación de frecuencia </w:t>
      </w:r>
      <w:r w:rsidRPr="008B7A21">
        <w:rPr>
          <w:i/>
          <w:iCs/>
          <w:lang w:val="es-ES_tradnl"/>
        </w:rPr>
        <w:t>i</w:t>
      </w:r>
      <w:r w:rsidRPr="008B7A21">
        <w:rPr>
          <w:lang w:val="es-ES_tradnl"/>
        </w:rPr>
        <w:t>-ésima</w:t>
      </w:r>
    </w:p>
    <w:p w14:paraId="2D835F23" w14:textId="77777777" w:rsidR="00F73D5B" w:rsidRPr="008B7A21" w:rsidRDefault="00F73D5B" w:rsidP="00F73D5B">
      <w:pPr>
        <w:pStyle w:val="Equationlegend"/>
        <w:rPr>
          <w:lang w:val="es-ES_tradnl"/>
        </w:rPr>
      </w:pPr>
      <w:r w:rsidRPr="008B7A21">
        <w:rPr>
          <w:lang w:val="es-ES_tradnl"/>
        </w:rPr>
        <w:tab/>
      </w:r>
      <w:r w:rsidRPr="008B7A21">
        <w:rPr>
          <w:i/>
          <w:iCs/>
          <w:lang w:val="es-ES_tradnl"/>
        </w:rPr>
        <w:t>n</w:t>
      </w:r>
      <w:r w:rsidRPr="008B7A21">
        <w:rPr>
          <w:rFonts w:ascii="Tms Rmn" w:hAnsi="Tms Rmn"/>
          <w:lang w:val="es-ES_tradnl"/>
        </w:rPr>
        <w:t>:</w:t>
      </w:r>
      <w:r w:rsidRPr="008B7A21">
        <w:rPr>
          <w:rFonts w:ascii="Tms Rmn" w:hAnsi="Tms Rmn"/>
          <w:lang w:val="es-ES_tradnl"/>
        </w:rPr>
        <w:tab/>
      </w:r>
      <w:r w:rsidRPr="008B7A21">
        <w:rPr>
          <w:lang w:val="es-ES_tradnl"/>
        </w:rPr>
        <w:t>número total de asignaciones de frecuencia registradas en la base nacional de datos</w:t>
      </w:r>
    </w:p>
    <w:p w14:paraId="23E5830E" w14:textId="77777777" w:rsidR="00F73D5B" w:rsidRPr="008B7A21" w:rsidRDefault="00F73D5B" w:rsidP="00F73D5B">
      <w:pPr>
        <w:pStyle w:val="Equationlegend"/>
        <w:rPr>
          <w:lang w:val="es-ES_tradnl"/>
        </w:rPr>
      </w:pPr>
      <w:r w:rsidRPr="008B7A21">
        <w:rPr>
          <w:lang w:val="es-ES_tradnl"/>
        </w:rPr>
        <w:tab/>
      </w:r>
      <w:r w:rsidRPr="008B7A21">
        <w:rPr>
          <w:i/>
          <w:iCs/>
          <w:lang w:val="es-ES_tradnl"/>
        </w:rPr>
        <w:t>L</w:t>
      </w:r>
      <w:r w:rsidRPr="008B7A21">
        <w:rPr>
          <w:rFonts w:ascii="Tms Rmn" w:hAnsi="Tms Rmn"/>
          <w:lang w:val="es-ES_tradnl"/>
        </w:rPr>
        <w:t>:</w:t>
      </w:r>
      <w:r w:rsidRPr="008B7A21">
        <w:rPr>
          <w:rFonts w:ascii="Tms Rmn" w:hAnsi="Tms Rmn"/>
          <w:lang w:val="es-ES_tradnl"/>
        </w:rPr>
        <w:tab/>
      </w:r>
      <w:r w:rsidRPr="008B7A21">
        <w:rPr>
          <w:lang w:val="es-ES_tradnl"/>
        </w:rPr>
        <w:t>coeficiente de expansión estimada para la utilización de espectro. La introducción de este coeficiente permite fijar precios para el espectro con anterioridad al siguiente año fiscal.</w:t>
      </w:r>
    </w:p>
    <w:p w14:paraId="36E1728C" w14:textId="77777777" w:rsidR="00F73D5B" w:rsidRPr="008B7A21" w:rsidRDefault="00F73D5B" w:rsidP="00F73D5B">
      <w:pPr>
        <w:pStyle w:val="Heading4"/>
        <w:rPr>
          <w:lang w:val="es-ES_tradnl"/>
        </w:rPr>
      </w:pPr>
      <w:bookmarkStart w:id="1934" w:name="_Toc476537896"/>
      <w:r w:rsidRPr="008B7A21">
        <w:rPr>
          <w:lang w:val="es-ES_tradnl"/>
        </w:rPr>
        <w:t>5.2.6.3</w:t>
      </w:r>
      <w:r w:rsidRPr="008B7A21">
        <w:rPr>
          <w:lang w:val="es-ES_tradnl"/>
        </w:rPr>
        <w:tab/>
        <w:t>Precio por unidad de frecuencia utilizada</w:t>
      </w:r>
      <w:bookmarkEnd w:id="1934"/>
    </w:p>
    <w:p w14:paraId="01F44320" w14:textId="77777777" w:rsidR="00F73D5B" w:rsidRPr="008B7A21" w:rsidRDefault="00F73D5B" w:rsidP="00F73D5B">
      <w:pPr>
        <w:rPr>
          <w:lang w:val="es-ES_tradnl"/>
        </w:rPr>
      </w:pPr>
      <w:r w:rsidRPr="008B7A21">
        <w:rPr>
          <w:lang w:val="es-ES_tradnl"/>
        </w:rPr>
        <w:t>Basándose en la ecuación (56) y habida cuenta de las ecuaciones (57) y (58), se calcula el total de los pagos anuales.</w:t>
      </w:r>
    </w:p>
    <w:p w14:paraId="12BFC312" w14:textId="466F253D" w:rsidR="00F73D5B" w:rsidRPr="008B7A21" w:rsidRDefault="00F73D5B" w:rsidP="00F73D5B">
      <w:pPr>
        <w:rPr>
          <w:lang w:val="es-ES_tradnl"/>
        </w:rPr>
      </w:pPr>
      <w:r w:rsidRPr="008B7A21">
        <w:rPr>
          <w:lang w:val="es-ES_tradnl"/>
        </w:rPr>
        <w:t>Sobre la base de la ecuación (</w:t>
      </w:r>
      <w:r w:rsidR="008A1BF4" w:rsidRPr="008B7A21">
        <w:rPr>
          <w:lang w:val="es-ES_tradnl"/>
        </w:rPr>
        <w:t>63</w:t>
      </w:r>
      <w:r w:rsidRPr="008B7A21">
        <w:rPr>
          <w:lang w:val="es-ES_tradnl"/>
        </w:rPr>
        <w:t>) se determina el valor del espectro utilizado anualmente en el país.</w:t>
      </w:r>
    </w:p>
    <w:p w14:paraId="61AB55F7" w14:textId="77777777" w:rsidR="00F73D5B" w:rsidRPr="008B7A21" w:rsidRDefault="00F73D5B" w:rsidP="00F73D5B">
      <w:pPr>
        <w:rPr>
          <w:lang w:val="es-ES_tradnl"/>
        </w:rPr>
      </w:pPr>
      <w:r w:rsidRPr="008B7A21">
        <w:rPr>
          <w:lang w:val="es-ES_tradnl"/>
        </w:rPr>
        <w:t xml:space="preserve">Puede calcularse el precio de </w:t>
      </w:r>
      <w:r w:rsidRPr="008B7A21">
        <w:rPr>
          <w:rFonts w:asciiTheme="majorBidi" w:hAnsiTheme="majorBidi" w:cstheme="majorBidi"/>
          <w:lang w:val="es-ES_tradnl"/>
        </w:rPr>
        <w:sym w:font="Symbol" w:char="F044"/>
      </w:r>
      <w:r w:rsidRPr="008B7A21">
        <w:rPr>
          <w:i/>
          <w:iCs/>
          <w:lang w:val="es-ES_tradnl"/>
        </w:rPr>
        <w:t>C</w:t>
      </w:r>
      <w:r w:rsidRPr="008B7A21">
        <w:rPr>
          <w:i/>
          <w:iCs/>
          <w:vertAlign w:val="subscript"/>
          <w:lang w:val="es-ES_tradnl"/>
        </w:rPr>
        <w:t>ann</w:t>
      </w:r>
      <w:r w:rsidRPr="008B7A21">
        <w:rPr>
          <w:lang w:val="es-ES_tradnl"/>
        </w:rPr>
        <w:t xml:space="preserve"> para una unidad convencional de frecuencia:</w:t>
      </w:r>
    </w:p>
    <w:p w14:paraId="050DE011" w14:textId="77777777" w:rsidR="00F73D5B" w:rsidRPr="008B7A21" w:rsidRDefault="00F73D5B" w:rsidP="00F73D5B">
      <w:pPr>
        <w:pStyle w:val="Blanc"/>
        <w:rPr>
          <w:lang w:val="es-ES_tradnl"/>
        </w:rPr>
      </w:pPr>
    </w:p>
    <w:p w14:paraId="00599EE8"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34"/>
          <w:sz w:val="20"/>
          <w:lang w:val="es-ES_tradnl"/>
        </w:rPr>
        <w:object w:dxaOrig="3420" w:dyaOrig="800" w14:anchorId="6E8BAA34">
          <v:shape id="_x0000_i1753" type="#_x0000_t75" style="width:173.3pt;height:43.55pt" o:ole="" fillcolor="window">
            <v:imagedata r:id="rId216" o:title=""/>
          </v:shape>
          <o:OLEObject Type="Embed" ProgID="Equation.3" ShapeID="_x0000_i1753" DrawAspect="Content" ObjectID="_1826705962" r:id="rId217"/>
        </w:object>
      </w:r>
      <w:r w:rsidRPr="008B7A21">
        <w:rPr>
          <w:lang w:val="es-ES_tradnl"/>
        </w:rPr>
        <w:tab/>
        <w:t>(64)</w:t>
      </w:r>
    </w:p>
    <w:p w14:paraId="5301D3FB" w14:textId="709C8FAE" w:rsidR="008F628B" w:rsidRDefault="008F628B" w:rsidP="00F73D5B">
      <w:pPr>
        <w:pStyle w:val="Equationlegend"/>
        <w:rPr>
          <w:lang w:val="es-ES_tradnl"/>
        </w:rPr>
      </w:pPr>
      <w:r>
        <w:rPr>
          <w:lang w:val="es-ES_tradnl"/>
        </w:rPr>
        <w:t>donde:</w:t>
      </w:r>
    </w:p>
    <w:p w14:paraId="0931DCA3" w14:textId="442ED082" w:rsidR="00F73D5B" w:rsidRPr="008B7A21" w:rsidRDefault="00F73D5B" w:rsidP="00F73D5B">
      <w:pPr>
        <w:pStyle w:val="Equationlegend"/>
        <w:rPr>
          <w:lang w:val="es-ES_tradnl"/>
        </w:rPr>
      </w:pPr>
      <w:r w:rsidRPr="008B7A21">
        <w:rPr>
          <w:lang w:val="es-ES_tradnl"/>
        </w:rPr>
        <w:tab/>
      </w:r>
      <w:r w:rsidRPr="008B7A21">
        <w:rPr>
          <w:i/>
          <w:iCs/>
          <w:lang w:val="es-ES_tradnl"/>
        </w:rPr>
        <w:t>Som</w:t>
      </w:r>
      <w:r w:rsidRPr="008B7A21">
        <w:rPr>
          <w:lang w:val="es-ES_tradnl"/>
        </w:rPr>
        <w:t>*</w:t>
      </w:r>
      <w:r w:rsidRPr="008B7A21">
        <w:rPr>
          <w:rFonts w:ascii="Tms Rmn" w:hAnsi="Tms Rmn"/>
          <w:lang w:val="es-ES_tradnl"/>
        </w:rPr>
        <w:t>:</w:t>
      </w:r>
      <w:r w:rsidRPr="008B7A21">
        <w:rPr>
          <w:rFonts w:ascii="Tms Rmn" w:hAnsi="Tms Rmn"/>
          <w:lang w:val="es-ES_tradnl"/>
        </w:rPr>
        <w:tab/>
      </w:r>
      <w:r w:rsidRPr="008B7A21">
        <w:rPr>
          <w:lang w:val="es-ES_tradnl"/>
        </w:rPr>
        <w:t>moneda nacional.</w:t>
      </w:r>
    </w:p>
    <w:p w14:paraId="2651BE37" w14:textId="77777777" w:rsidR="00F73D5B" w:rsidRPr="008B7A21" w:rsidRDefault="00F73D5B" w:rsidP="00F73D5B">
      <w:pPr>
        <w:pStyle w:val="Heading4"/>
        <w:rPr>
          <w:lang w:val="es-ES_tradnl"/>
        </w:rPr>
      </w:pPr>
      <w:bookmarkStart w:id="1935" w:name="_Toc476537897"/>
      <w:r w:rsidRPr="008B7A21">
        <w:rPr>
          <w:lang w:val="es-ES_tradnl"/>
        </w:rPr>
        <w:t>5.2.6.4</w:t>
      </w:r>
      <w:r w:rsidRPr="008B7A21">
        <w:rPr>
          <w:lang w:val="es-ES_tradnl"/>
        </w:rPr>
        <w:tab/>
      </w:r>
      <w:bookmarkEnd w:id="1935"/>
      <w:r w:rsidRPr="008B7A21">
        <w:rPr>
          <w:lang w:val="es-ES_tradnl"/>
        </w:rPr>
        <w:t>Cánones anuales para una asignación de frecuencia dada</w:t>
      </w:r>
    </w:p>
    <w:p w14:paraId="28FAF882" w14:textId="77777777" w:rsidR="00F73D5B" w:rsidRPr="008B7A21" w:rsidRDefault="00F73D5B" w:rsidP="00F73D5B">
      <w:pPr>
        <w:rPr>
          <w:lang w:val="es-ES_tradnl"/>
        </w:rPr>
      </w:pPr>
      <w:r w:rsidRPr="008B7A21">
        <w:rPr>
          <w:lang w:val="es-ES_tradnl"/>
        </w:rPr>
        <w:t xml:space="preserve">El precio de </w:t>
      </w:r>
      <w:r w:rsidRPr="008B7A21">
        <w:rPr>
          <w:lang w:val="es-ES_tradnl"/>
        </w:rPr>
        <w:sym w:font="Symbol" w:char="F044"/>
      </w:r>
      <w:r w:rsidRPr="008B7A21">
        <w:rPr>
          <w:i/>
          <w:iCs/>
          <w:lang w:val="es-ES_tradnl"/>
        </w:rPr>
        <w:t>C</w:t>
      </w:r>
      <w:r w:rsidRPr="008B7A21">
        <w:rPr>
          <w:i/>
          <w:iCs/>
          <w:vertAlign w:val="subscript"/>
          <w:lang w:val="es-ES_tradnl"/>
        </w:rPr>
        <w:t>ann</w:t>
      </w:r>
      <w:r w:rsidRPr="008B7A21">
        <w:rPr>
          <w:lang w:val="es-ES_tradnl"/>
        </w:rPr>
        <w:t xml:space="preserve"> para la unidad convencional de frecuencias se calcula utilizando la ecuación (64).</w:t>
      </w:r>
    </w:p>
    <w:p w14:paraId="3F1C535E" w14:textId="77777777" w:rsidR="00F73D5B" w:rsidRPr="008B7A21" w:rsidRDefault="00F73D5B" w:rsidP="00F73D5B">
      <w:pPr>
        <w:rPr>
          <w:lang w:val="es-ES_tradnl"/>
        </w:rPr>
      </w:pPr>
      <w:r w:rsidRPr="008B7A21">
        <w:rPr>
          <w:lang w:val="es-ES_tradnl"/>
        </w:rPr>
        <w:t xml:space="preserve">La frecuencia </w:t>
      </w:r>
      <w:r w:rsidRPr="008B7A21">
        <w:rPr>
          <w:i/>
          <w:iCs/>
          <w:lang w:val="es-ES_tradnl"/>
        </w:rPr>
        <w:t>Z</w:t>
      </w:r>
      <w:r w:rsidRPr="008B7A21">
        <w:rPr>
          <w:i/>
          <w:iCs/>
          <w:vertAlign w:val="subscript"/>
          <w:lang w:val="es-ES_tradnl"/>
        </w:rPr>
        <w:t>i</w:t>
      </w:r>
      <w:r w:rsidRPr="008B7A21">
        <w:rPr>
          <w:lang w:val="es-ES_tradnl"/>
        </w:rPr>
        <w:t xml:space="preserve"> utilizada en el marco de una determinada asignación de frecuencia se estima con arreglo a la ecuación (59). A continuación, puede calcularse la cantidad del pago anual </w:t>
      </w:r>
      <w:r w:rsidRPr="008B7A21">
        <w:rPr>
          <w:i/>
          <w:iCs/>
          <w:lang w:val="es-ES_tradnl"/>
        </w:rPr>
        <w:t>C</w:t>
      </w:r>
      <w:r w:rsidRPr="008B7A21">
        <w:rPr>
          <w:i/>
          <w:iCs/>
          <w:vertAlign w:val="subscript"/>
          <w:lang w:val="es-ES_tradnl"/>
        </w:rPr>
        <w:t>i</w:t>
      </w:r>
      <w:r w:rsidRPr="008B7A21">
        <w:rPr>
          <w:lang w:val="es-ES_tradnl"/>
        </w:rPr>
        <w:t xml:space="preserve"> que debe realizar un usuario dado del espectro para la asignación de frecuencia </w:t>
      </w:r>
      <w:r w:rsidRPr="008B7A21">
        <w:rPr>
          <w:i/>
          <w:iCs/>
          <w:lang w:val="es-ES_tradnl"/>
        </w:rPr>
        <w:t>i</w:t>
      </w:r>
      <w:r w:rsidRPr="008B7A21">
        <w:rPr>
          <w:lang w:val="es-ES_tradnl"/>
        </w:rPr>
        <w:t>-ésima de que se trate, mediante la ecuación (65):</w:t>
      </w:r>
    </w:p>
    <w:p w14:paraId="3CB70335" w14:textId="77777777" w:rsidR="00F73D5B" w:rsidRPr="008B7A21" w:rsidRDefault="00F73D5B" w:rsidP="00F73D5B">
      <w:pPr>
        <w:pStyle w:val="Blanc"/>
        <w:rPr>
          <w:lang w:val="es-ES_tradnl"/>
        </w:rPr>
      </w:pPr>
    </w:p>
    <w:p w14:paraId="5402DBB9"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2"/>
          <w:lang w:val="es-ES_tradnl"/>
        </w:rPr>
        <w:object w:dxaOrig="1620" w:dyaOrig="360" w14:anchorId="7F0D7E07">
          <v:shape id="_x0000_i1754" type="#_x0000_t75" style="width:78.7pt;height:19.25pt" o:ole="">
            <v:imagedata r:id="rId218" o:title=""/>
          </v:shape>
          <o:OLEObject Type="Embed" ProgID="Equation.3" ShapeID="_x0000_i1754" DrawAspect="Content" ObjectID="_1826705963" r:id="rId219"/>
        </w:object>
      </w:r>
      <w:r w:rsidRPr="008B7A21">
        <w:rPr>
          <w:lang w:val="es-ES_tradnl"/>
        </w:rPr>
        <w:tab/>
        <w:t>(65)</w:t>
      </w:r>
    </w:p>
    <w:p w14:paraId="0CB42F63" w14:textId="77777777" w:rsidR="00F73D5B" w:rsidRPr="008B7A21" w:rsidRDefault="00F73D5B" w:rsidP="00F73D5B">
      <w:pPr>
        <w:pStyle w:val="Blanc"/>
        <w:rPr>
          <w:lang w:val="es-ES_tradnl"/>
        </w:rPr>
      </w:pPr>
    </w:p>
    <w:p w14:paraId="778AA102" w14:textId="77777777" w:rsidR="00F73D5B" w:rsidRPr="008B7A21" w:rsidRDefault="00F73D5B" w:rsidP="00F73D5B">
      <w:pPr>
        <w:rPr>
          <w:lang w:val="es-ES_tradnl"/>
        </w:rPr>
      </w:pPr>
      <w:r w:rsidRPr="008B7A21">
        <w:rPr>
          <w:lang w:val="es-ES_tradnl"/>
        </w:rPr>
        <w:t>Si cualquiera de los operadores de telecomunicaciones cuenta con más de una asignación de frecuencia, se calculará el pago para cada asignación y se sumarán las cantidades obtenidas.</w:t>
      </w:r>
    </w:p>
    <w:p w14:paraId="1C4FC4D6" w14:textId="77777777" w:rsidR="00F73D5B" w:rsidRPr="008B7A21" w:rsidRDefault="00F73D5B" w:rsidP="00F73D5B">
      <w:pPr>
        <w:pStyle w:val="Heading4"/>
        <w:rPr>
          <w:lang w:val="es-ES_tradnl"/>
        </w:rPr>
      </w:pPr>
      <w:bookmarkStart w:id="1936" w:name="_Toc476537898"/>
      <w:r w:rsidRPr="008B7A21">
        <w:rPr>
          <w:lang w:val="es-ES_tradnl"/>
        </w:rPr>
        <w:t>5.2.6.5</w:t>
      </w:r>
      <w:r w:rsidRPr="008B7A21">
        <w:rPr>
          <w:lang w:val="es-ES_tradnl"/>
        </w:rPr>
        <w:tab/>
      </w:r>
      <w:bookmarkEnd w:id="1936"/>
      <w:r w:rsidRPr="008B7A21">
        <w:rPr>
          <w:lang w:val="es-ES_tradnl"/>
        </w:rPr>
        <w:t>Aplicación del método</w:t>
      </w:r>
    </w:p>
    <w:p w14:paraId="3B3F0A01" w14:textId="77777777" w:rsidR="00F73D5B" w:rsidRPr="008B7A21" w:rsidRDefault="00F73D5B" w:rsidP="00F73D5B">
      <w:pPr>
        <w:rPr>
          <w:lang w:val="es-ES_tradnl"/>
        </w:rPr>
      </w:pPr>
      <w:r w:rsidRPr="008B7A21">
        <w:rPr>
          <w:lang w:val="es-ES_tradnl"/>
        </w:rPr>
        <w:t>El NCA autorizó el método que acabamos de describir en un texto sobre el cálculo de los pagos anuales por la utilización total del espectro en el país. Este método se aplica en colaboración con la Comisión Nacional de Protección y Fomento de la Competencia de la República Kirguisa.</w:t>
      </w:r>
    </w:p>
    <w:p w14:paraId="7C6F8E0B" w14:textId="77777777" w:rsidR="00F73D5B" w:rsidRPr="008B7A21" w:rsidRDefault="00F73D5B" w:rsidP="00F73D5B">
      <w:pPr>
        <w:rPr>
          <w:lang w:val="es-ES_tradnl"/>
        </w:rPr>
      </w:pPr>
      <w:r w:rsidRPr="008B7A21">
        <w:rPr>
          <w:lang w:val="es-ES_tradnl"/>
        </w:rPr>
        <w:t>El país dispone de programas informáticos para la base nacional de datos sobre asignaciones de frecuencia y el cálculo del pago correspondiente a un usuario no presenta dificultades.</w:t>
      </w:r>
    </w:p>
    <w:p w14:paraId="5EA93959" w14:textId="77777777" w:rsidR="00F73D5B" w:rsidRPr="008B7A21" w:rsidRDefault="00F73D5B" w:rsidP="00F73D5B">
      <w:pPr>
        <w:rPr>
          <w:lang w:val="es-ES_tradnl"/>
        </w:rPr>
      </w:pPr>
      <w:r w:rsidRPr="008B7A21">
        <w:rPr>
          <w:lang w:val="es-ES_tradnl"/>
        </w:rPr>
        <w:t>Se han organizado seminarios para explicar este método a los operadores de telecomunicaciones y el hecho de que lo conozcan prácticamente todos los usuarios garantiza su transparencia.</w:t>
      </w:r>
    </w:p>
    <w:p w14:paraId="1D0A0731" w14:textId="77777777" w:rsidR="00F73D5B" w:rsidRPr="008B7A21" w:rsidRDefault="00F73D5B" w:rsidP="00F73D5B">
      <w:pPr>
        <w:pStyle w:val="Heading4"/>
        <w:rPr>
          <w:lang w:val="es-ES_tradnl"/>
        </w:rPr>
      </w:pPr>
      <w:bookmarkStart w:id="1937" w:name="_Toc476537899"/>
      <w:r w:rsidRPr="008B7A21">
        <w:rPr>
          <w:lang w:val="es-ES_tradnl"/>
        </w:rPr>
        <w:t>5.2.6.6</w:t>
      </w:r>
      <w:r w:rsidRPr="008B7A21">
        <w:rPr>
          <w:lang w:val="es-ES_tradnl"/>
        </w:rPr>
        <w:tab/>
        <w:t>F</w:t>
      </w:r>
      <w:bookmarkEnd w:id="1937"/>
      <w:r w:rsidRPr="008B7A21">
        <w:rPr>
          <w:lang w:val="es-ES_tradnl"/>
        </w:rPr>
        <w:t>inanciación del sistema de comprobación técnica</w:t>
      </w:r>
    </w:p>
    <w:p w14:paraId="24C29FF2" w14:textId="77777777" w:rsidR="00F73D5B" w:rsidRPr="008B7A21" w:rsidRDefault="00F73D5B" w:rsidP="00F73D5B">
      <w:pPr>
        <w:keepNext/>
        <w:keepLines/>
        <w:rPr>
          <w:lang w:val="es-ES_tradnl"/>
        </w:rPr>
      </w:pPr>
      <w:r w:rsidRPr="008B7A21">
        <w:rPr>
          <w:lang w:val="es-ES_tradnl"/>
        </w:rPr>
        <w:t>Como la mayoría de los países nuevos y en desarrollo, la República Kirguisa experimenta dificultades para financiar un moderno sistema de gestión del espectro. El principal obstáculo está constituido por la financiación del sistema nacional de comprobación técnica automatizada del espectro radioeléctrico que permite garantizar su gestión eficaz. Dicho sistema es necesario pero su coste resulta elevado y el presupuesto del Estado limitado.</w:t>
      </w:r>
    </w:p>
    <w:p w14:paraId="597EC2C8" w14:textId="77777777" w:rsidR="00F73D5B" w:rsidRPr="008B7A21" w:rsidRDefault="00F73D5B" w:rsidP="00F73D5B">
      <w:pPr>
        <w:tabs>
          <w:tab w:val="center" w:pos="4962"/>
        </w:tabs>
        <w:rPr>
          <w:lang w:val="es-ES_tradnl"/>
        </w:rPr>
      </w:pPr>
      <w:r w:rsidRPr="008B7A21">
        <w:rPr>
          <w:lang w:val="es-ES_tradnl"/>
        </w:rPr>
        <w:t>La forma de financiar dicho sistema sería recurrir a las organizaciones de financiación internacionales o a otros países para conseguir un préstamo en condiciones preferenciales. El principal del préstamo podría ser objeto de pagos anuales y devolverse gradualmente al acreedor, por ejemplo, en cantidades anuales. No obstante, el pago total (principal más intereses) sería muy elevado en los primeros años de amortización. En la Fig. 14 puede verse el mecanismo de devolución del principal.</w:t>
      </w:r>
    </w:p>
    <w:p w14:paraId="6F035183" w14:textId="77777777" w:rsidR="00F73D5B" w:rsidRPr="008B7A21" w:rsidRDefault="00F73D5B" w:rsidP="00F73D5B">
      <w:pPr>
        <w:keepNext/>
        <w:keepLines/>
        <w:rPr>
          <w:lang w:val="es-ES_tradnl"/>
        </w:rPr>
      </w:pPr>
      <w:r w:rsidRPr="008B7A21">
        <w:rPr>
          <w:lang w:val="es-ES_tradnl"/>
        </w:rPr>
        <w:t>Los pagos mencionados redundarían en un aumento sustancial de los gastos de los operadores de telecomunicaciones y en un incremento de los precios de sus servicios. Esto menoscabaría el desarrollo del país y en ciertos casos la viabilidad de los operadores. El retraso concomitante en la expansión de los servicios de telecomunicaciones no sólo reduciría los ingresos fiscales, sino también ocasionaría una recesión, como ya ha ocurrido en el pasado.</w:t>
      </w:r>
    </w:p>
    <w:p w14:paraId="6D5B0D24" w14:textId="77777777" w:rsidR="00F73D5B" w:rsidRPr="008B7A21" w:rsidRDefault="00F73D5B" w:rsidP="00F73D5B">
      <w:pPr>
        <w:pStyle w:val="FigureNo"/>
        <w:rPr>
          <w:lang w:val="es-ES_tradnl"/>
        </w:rPr>
      </w:pPr>
      <w:r w:rsidRPr="008B7A21">
        <w:rPr>
          <w:lang w:val="es-ES_tradnl"/>
        </w:rPr>
        <w:t>Figura 14</w:t>
      </w:r>
    </w:p>
    <w:p w14:paraId="59141656" w14:textId="77777777" w:rsidR="00F73D5B" w:rsidRPr="008B7A21" w:rsidRDefault="00F73D5B" w:rsidP="00F73D5B">
      <w:pPr>
        <w:pStyle w:val="Figuretitle"/>
        <w:rPr>
          <w:lang w:val="es-ES_tradnl"/>
        </w:rPr>
      </w:pPr>
      <w:r w:rsidRPr="008B7A21">
        <w:rPr>
          <w:lang w:val="es-ES_tradnl"/>
        </w:rPr>
        <w:t>Mecanismo de devolución del principal</w:t>
      </w:r>
    </w:p>
    <w:p w14:paraId="72A9CF9C" w14:textId="072E8F95" w:rsidR="00F73D5B" w:rsidRPr="008B7A21" w:rsidRDefault="002A1F3D" w:rsidP="00F73D5B">
      <w:pPr>
        <w:pStyle w:val="Figure"/>
        <w:rPr>
          <w:lang w:val="es-ES_tradnl"/>
        </w:rPr>
      </w:pPr>
      <w:r w:rsidRPr="008B7A21">
        <w:rPr>
          <w:lang w:val="es-ES_tradnl"/>
        </w:rPr>
        <w:object w:dxaOrig="4328" w:dyaOrig="2751" w14:anchorId="43A8DD89">
          <v:shape id="_x0000_i1755" type="#_x0000_t75" alt="La Figura 14 muestra el mecanismo de devolución del principal" style="width:365pt;height:237.75pt" o:ole="">
            <v:imagedata r:id="rId220" o:title=""/>
          </v:shape>
          <o:OLEObject Type="Embed" ProgID="CorelDRAW.Graphic.14" ShapeID="_x0000_i1755" DrawAspect="Content" ObjectID="_1826705964" r:id="rId221"/>
        </w:object>
      </w:r>
    </w:p>
    <w:p w14:paraId="313F4768" w14:textId="046C89CC" w:rsidR="00F73D5B" w:rsidRPr="008B7A21" w:rsidRDefault="00F73D5B" w:rsidP="008F628B">
      <w:pPr>
        <w:pStyle w:val="Normalaftertitle"/>
        <w:rPr>
          <w:lang w:val="es-ES_tradnl"/>
        </w:rPr>
      </w:pPr>
      <w:r w:rsidRPr="008B7A21">
        <w:rPr>
          <w:lang w:val="es-ES_tradnl"/>
        </w:rPr>
        <w:t xml:space="preserve">En este contexto es posible aplicar otro enfoque. Basándose en la experiencia adquirida por otros países, habría que suponer que el número de usuarios del espectro aumentará y que, por tanto, sería posible aumentar dentro de límites razonables el precio por unidad del espectro y apoyarlo en moneda fuerte hasta que el total de los cánones anuales alcancen el nivel previsto, </w:t>
      </w:r>
      <w:r w:rsidRPr="008B7A21">
        <w:rPr>
          <w:i/>
          <w:iCs/>
          <w:lang w:val="es-ES_tradnl"/>
        </w:rPr>
        <w:t>C</w:t>
      </w:r>
      <w:r w:rsidRPr="008B7A21">
        <w:rPr>
          <w:i/>
          <w:iCs/>
          <w:vertAlign w:val="subscript"/>
          <w:lang w:val="es-ES_tradnl"/>
        </w:rPr>
        <w:t>previsto</w:t>
      </w:r>
      <w:r w:rsidRPr="008B7A21">
        <w:rPr>
          <w:lang w:val="es-ES_tradnl"/>
        </w:rPr>
        <w:t>, a mitad del periodo de amortización (por ejemplo, cinco años después de la instalación del equipo, suponiendo que el préstamo se concediese por un plazo de diez años).</w:t>
      </w:r>
    </w:p>
    <w:p w14:paraId="63A322A4" w14:textId="7FA48CD2" w:rsidR="00F73D5B" w:rsidRPr="008B7A21" w:rsidRDefault="00F73D5B" w:rsidP="00F73D5B">
      <w:pPr>
        <w:rPr>
          <w:lang w:val="es-ES_tradnl"/>
        </w:rPr>
      </w:pPr>
      <w:r w:rsidRPr="008B7A21">
        <w:rPr>
          <w:lang w:val="es-ES_tradnl"/>
        </w:rPr>
        <w:t>El total de los impuestos para el periodo de diez años (teniendo presente también el principal, que sería necesario devolver dentro de dicho plazo) es equivalente a la parte con rayas verticales de la figura. Durante los primeros cinco años se registraría un déficit, representado por la parte con líneas verticales y horizontales, mientras que en los cinco años siguientes se dispondría de un superávit (parte con líneas horizontales). La principal ventaja de dicha política, sería la estabilidad de los precios, lo que permitiría a los operadores de telecomunicaciones planificar sus ingresos y gastos, así como a desarrollar sus servicios.</w:t>
      </w:r>
    </w:p>
    <w:p w14:paraId="0474E0D2" w14:textId="77777777" w:rsidR="00F73D5B" w:rsidRPr="008B7A21" w:rsidRDefault="00F73D5B" w:rsidP="00F73D5B">
      <w:pPr>
        <w:rPr>
          <w:lang w:val="es-ES_tradnl"/>
        </w:rPr>
      </w:pPr>
      <w:r w:rsidRPr="008B7A21">
        <w:rPr>
          <w:lang w:val="es-ES_tradnl"/>
        </w:rPr>
        <w:t>Es evidente que lo antedicho constituye sólo la primera etapa de una política de precios. Si fuera posible establecer precios más exactos y formular de forma más precisa la política de precios, basándose en condiciones reales, los pagos podrían realizarse más rápidamente.</w:t>
      </w:r>
    </w:p>
    <w:p w14:paraId="12E199B4" w14:textId="77777777" w:rsidR="00F73D5B" w:rsidRPr="008B7A21" w:rsidRDefault="00F73D5B" w:rsidP="00F73D5B">
      <w:pPr>
        <w:rPr>
          <w:lang w:val="es-ES_tradnl"/>
        </w:rPr>
      </w:pPr>
      <w:r w:rsidRPr="008B7A21">
        <w:rPr>
          <w:lang w:val="es-ES_tradnl"/>
        </w:rPr>
        <w:t>El método antes expuesto haría posible formular la política tarifaria de la República Kirguisa en relación con el uso del espectro, teniendo en cuenta de la devolución del préstamo, y tratar de forma no discriminatoria a los diferentes usuarios del espectro.</w:t>
      </w:r>
    </w:p>
    <w:p w14:paraId="73D257D1" w14:textId="77777777" w:rsidR="00F73D5B" w:rsidRPr="008B7A21" w:rsidRDefault="00F73D5B" w:rsidP="00F73D5B">
      <w:pPr>
        <w:pStyle w:val="Heading3"/>
        <w:rPr>
          <w:lang w:val="es-ES_tradnl"/>
        </w:rPr>
      </w:pPr>
      <w:bookmarkStart w:id="1938" w:name="_Toc476537900"/>
      <w:bookmarkStart w:id="1939" w:name="_Toc306276894"/>
      <w:bookmarkStart w:id="1940" w:name="_Toc307921567"/>
      <w:bookmarkStart w:id="1941" w:name="_Toc307922134"/>
      <w:bookmarkStart w:id="1942" w:name="_Toc307922678"/>
      <w:bookmarkStart w:id="1943" w:name="_Toc307992027"/>
      <w:bookmarkStart w:id="1944" w:name="_Toc307994062"/>
      <w:bookmarkStart w:id="1945" w:name="_Toc307995281"/>
      <w:bookmarkStart w:id="1946" w:name="_Toc307996468"/>
      <w:bookmarkStart w:id="1947" w:name="_Toc308010400"/>
      <w:bookmarkStart w:id="1948" w:name="_Toc499563111"/>
      <w:bookmarkStart w:id="1949" w:name="_Toc215835445"/>
      <w:r w:rsidRPr="008B7A21">
        <w:rPr>
          <w:lang w:val="es-ES_tradnl"/>
        </w:rPr>
        <w:t>5.2.7</w:t>
      </w:r>
      <w:r w:rsidRPr="008B7A21">
        <w:rPr>
          <w:lang w:val="es-ES_tradnl"/>
        </w:rPr>
        <w:tab/>
        <w:t xml:space="preserve">Experiencia de la Federación de Rusia con los cánones </w:t>
      </w:r>
      <w:bookmarkEnd w:id="1924"/>
      <w:bookmarkEnd w:id="1925"/>
      <w:bookmarkEnd w:id="1926"/>
      <w:bookmarkEnd w:id="1927"/>
      <w:bookmarkEnd w:id="1928"/>
      <w:bookmarkEnd w:id="1938"/>
      <w:bookmarkEnd w:id="1939"/>
      <w:bookmarkEnd w:id="1940"/>
      <w:bookmarkEnd w:id="1941"/>
      <w:bookmarkEnd w:id="1942"/>
      <w:bookmarkEnd w:id="1943"/>
      <w:bookmarkEnd w:id="1944"/>
      <w:bookmarkEnd w:id="1945"/>
      <w:bookmarkEnd w:id="1946"/>
      <w:bookmarkEnd w:id="1947"/>
      <w:r w:rsidRPr="008B7A21">
        <w:rPr>
          <w:lang w:val="es-ES_tradnl"/>
        </w:rPr>
        <w:t>del espectro</w:t>
      </w:r>
      <w:bookmarkEnd w:id="1948"/>
      <w:bookmarkEnd w:id="1949"/>
    </w:p>
    <w:p w14:paraId="677FED6D" w14:textId="77777777" w:rsidR="00F73D5B" w:rsidRPr="008B7A21" w:rsidRDefault="00F73D5B" w:rsidP="00F73D5B">
      <w:pPr>
        <w:pStyle w:val="Headingb"/>
        <w:rPr>
          <w:lang w:val="es-ES_tradnl"/>
        </w:rPr>
      </w:pPr>
      <w:bookmarkStart w:id="1950" w:name="dsgno"/>
      <w:bookmarkStart w:id="1951" w:name="_Toc499563112"/>
      <w:bookmarkStart w:id="1952" w:name="_Toc456492162"/>
      <w:bookmarkStart w:id="1953" w:name="_Toc458355746"/>
      <w:bookmarkStart w:id="1954" w:name="_Toc459746766"/>
      <w:bookmarkStart w:id="1955" w:name="_Toc459792676"/>
      <w:bookmarkStart w:id="1956" w:name="_Toc459793840"/>
      <w:bookmarkStart w:id="1957" w:name="_Toc459793982"/>
      <w:bookmarkStart w:id="1958" w:name="_Toc459970439"/>
      <w:bookmarkEnd w:id="1950"/>
      <w:r w:rsidRPr="008B7A21">
        <w:rPr>
          <w:lang w:val="es-ES_tradnl"/>
        </w:rPr>
        <w:t>Introducción</w:t>
      </w:r>
      <w:bookmarkEnd w:id="1951"/>
    </w:p>
    <w:p w14:paraId="31C45C38" w14:textId="77777777" w:rsidR="00F73D5B" w:rsidRPr="008B7A21" w:rsidRDefault="00F73D5B" w:rsidP="00F73D5B">
      <w:pPr>
        <w:rPr>
          <w:lang w:val="es-ES_tradnl"/>
        </w:rPr>
      </w:pPr>
      <w:r w:rsidRPr="008B7A21">
        <w:rPr>
          <w:lang w:val="es-ES_tradnl"/>
        </w:rPr>
        <w:t>La metodología para el cálculo del pago único y el canon anual por utilización del espectro radioeléctrico en la Federación de Rusia se adoptó por el Decreto del Ministerio de Comunicaciones y Medios de Masas de la Federación de Rusia N.° 164 del 30.06.2011.</w:t>
      </w:r>
    </w:p>
    <w:p w14:paraId="5512A037" w14:textId="100061F3" w:rsidR="00F73D5B" w:rsidRPr="008B7A21" w:rsidRDefault="00F73D5B" w:rsidP="00F73D5B">
      <w:pPr>
        <w:rPr>
          <w:lang w:val="es-ES_tradnl"/>
        </w:rPr>
      </w:pPr>
      <w:r w:rsidRPr="008B7A21">
        <w:rPr>
          <w:lang w:val="es-ES_tradnl"/>
        </w:rPr>
        <w:t>En el Cuadro 30 se muestra la cantidad del canon del espectro por tecnología radioeléctrica pagado al Presupuesto Federal en 2012.</w:t>
      </w:r>
    </w:p>
    <w:p w14:paraId="46994FF2" w14:textId="560DF376" w:rsidR="00F73D5B" w:rsidRPr="008B7A21" w:rsidRDefault="00F73D5B" w:rsidP="00F73D5B">
      <w:pPr>
        <w:pStyle w:val="TableNo"/>
        <w:rPr>
          <w:lang w:val="es-ES_tradnl"/>
        </w:rPr>
      </w:pPr>
      <w:r w:rsidRPr="008B7A21">
        <w:rPr>
          <w:lang w:val="es-ES_tradnl"/>
        </w:rPr>
        <w:t>CUADRO 30</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211"/>
        <w:gridCol w:w="2268"/>
        <w:gridCol w:w="2324"/>
      </w:tblGrid>
      <w:tr w:rsidR="00F73D5B" w:rsidRPr="008B7A21" w14:paraId="15017A98" w14:textId="77777777" w:rsidTr="00767A6A">
        <w:trPr>
          <w:cantSplit/>
          <w:jc w:val="center"/>
        </w:trPr>
        <w:tc>
          <w:tcPr>
            <w:tcW w:w="2835" w:type="dxa"/>
            <w:vAlign w:val="center"/>
          </w:tcPr>
          <w:p w14:paraId="029CDB52" w14:textId="77777777" w:rsidR="00F73D5B" w:rsidRPr="008B7A21" w:rsidRDefault="00F73D5B" w:rsidP="00767A6A">
            <w:pPr>
              <w:pStyle w:val="Tablehead"/>
              <w:rPr>
                <w:lang w:val="es-ES_tradnl"/>
              </w:rPr>
            </w:pPr>
            <w:r w:rsidRPr="008B7A21">
              <w:rPr>
                <w:lang w:val="es-ES_tradnl"/>
              </w:rPr>
              <w:t xml:space="preserve">Tecnologías radioeléctricas </w:t>
            </w:r>
          </w:p>
        </w:tc>
        <w:tc>
          <w:tcPr>
            <w:tcW w:w="2211" w:type="dxa"/>
            <w:vAlign w:val="center"/>
          </w:tcPr>
          <w:p w14:paraId="56969B8D" w14:textId="77777777" w:rsidR="00F73D5B" w:rsidRPr="008B7A21" w:rsidRDefault="00F73D5B" w:rsidP="00767A6A">
            <w:pPr>
              <w:pStyle w:val="Tablehead"/>
              <w:rPr>
                <w:lang w:val="es-ES_tradnl"/>
              </w:rPr>
            </w:pPr>
            <w:r w:rsidRPr="008B7A21">
              <w:rPr>
                <w:lang w:val="es-ES_tradnl"/>
              </w:rPr>
              <w:t>Tasa anual de autorizaciones,</w:t>
            </w:r>
            <w:r w:rsidRPr="008B7A21">
              <w:rPr>
                <w:lang w:val="es-ES_tradnl"/>
              </w:rPr>
              <w:br/>
              <w:t>millones de rublos</w:t>
            </w:r>
          </w:p>
        </w:tc>
        <w:tc>
          <w:tcPr>
            <w:tcW w:w="2268" w:type="dxa"/>
            <w:vAlign w:val="center"/>
          </w:tcPr>
          <w:p w14:paraId="6ADA43FE" w14:textId="77777777" w:rsidR="00F73D5B" w:rsidRPr="008B7A21" w:rsidRDefault="00F73D5B" w:rsidP="00767A6A">
            <w:pPr>
              <w:pStyle w:val="Tablehead"/>
              <w:rPr>
                <w:lang w:val="es-ES_tradnl"/>
              </w:rPr>
            </w:pPr>
            <w:r w:rsidRPr="008B7A21">
              <w:rPr>
                <w:lang w:val="es-ES_tradnl"/>
              </w:rPr>
              <w:t>Pago único de autorizaciones,</w:t>
            </w:r>
            <w:r w:rsidRPr="008B7A21">
              <w:rPr>
                <w:lang w:val="es-ES_tradnl"/>
              </w:rPr>
              <w:br/>
              <w:t>millones de rublos</w:t>
            </w:r>
          </w:p>
        </w:tc>
        <w:tc>
          <w:tcPr>
            <w:tcW w:w="2324" w:type="dxa"/>
            <w:vAlign w:val="center"/>
          </w:tcPr>
          <w:p w14:paraId="526F5AF6" w14:textId="77777777" w:rsidR="00F73D5B" w:rsidRPr="008B7A21" w:rsidRDefault="00F73D5B" w:rsidP="00767A6A">
            <w:pPr>
              <w:pStyle w:val="Tablehead"/>
              <w:rPr>
                <w:lang w:val="es-ES_tradnl"/>
              </w:rPr>
            </w:pPr>
            <w:r w:rsidRPr="008B7A21">
              <w:rPr>
                <w:lang w:val="es-ES_tradnl"/>
              </w:rPr>
              <w:t>Total, por tecnología,</w:t>
            </w:r>
            <w:r w:rsidRPr="008B7A21">
              <w:rPr>
                <w:lang w:val="es-ES_tradnl"/>
              </w:rPr>
              <w:br/>
              <w:t>millones de rublos</w:t>
            </w:r>
          </w:p>
        </w:tc>
      </w:tr>
      <w:tr w:rsidR="00F73D5B" w:rsidRPr="008B7A21" w14:paraId="5AE65341" w14:textId="77777777" w:rsidTr="00767A6A">
        <w:trPr>
          <w:cantSplit/>
          <w:jc w:val="center"/>
        </w:trPr>
        <w:tc>
          <w:tcPr>
            <w:tcW w:w="2835" w:type="dxa"/>
            <w:vAlign w:val="center"/>
          </w:tcPr>
          <w:p w14:paraId="74C8C9EB" w14:textId="77777777" w:rsidR="00F73D5B" w:rsidRPr="008B7A21" w:rsidRDefault="00F73D5B" w:rsidP="00767A6A">
            <w:pPr>
              <w:pStyle w:val="Tabletext"/>
              <w:jc w:val="left"/>
              <w:rPr>
                <w:bCs/>
                <w:lang w:val="es-ES_tradnl"/>
              </w:rPr>
            </w:pPr>
            <w:r w:rsidRPr="008B7A21">
              <w:rPr>
                <w:lang w:val="es-ES_tradnl"/>
              </w:rPr>
              <w:t>Tecnologías radioeléctricas celulares</w:t>
            </w:r>
          </w:p>
        </w:tc>
        <w:tc>
          <w:tcPr>
            <w:tcW w:w="2211" w:type="dxa"/>
          </w:tcPr>
          <w:p w14:paraId="55F73F1F" w14:textId="77777777" w:rsidR="00F73D5B" w:rsidRPr="008B7A21" w:rsidRDefault="00F73D5B" w:rsidP="00767A6A">
            <w:pPr>
              <w:pStyle w:val="Tabletext"/>
              <w:jc w:val="center"/>
              <w:rPr>
                <w:lang w:val="es-ES_tradnl"/>
              </w:rPr>
            </w:pPr>
            <w:r w:rsidRPr="008B7A21">
              <w:rPr>
                <w:lang w:val="es-ES_tradnl"/>
              </w:rPr>
              <w:t>12 965,61</w:t>
            </w:r>
          </w:p>
        </w:tc>
        <w:tc>
          <w:tcPr>
            <w:tcW w:w="2268" w:type="dxa"/>
          </w:tcPr>
          <w:p w14:paraId="093D60C1" w14:textId="77777777" w:rsidR="00F73D5B" w:rsidRPr="008B7A21" w:rsidRDefault="00F73D5B" w:rsidP="00767A6A">
            <w:pPr>
              <w:pStyle w:val="Tabletext"/>
              <w:jc w:val="center"/>
              <w:rPr>
                <w:bCs/>
                <w:lang w:val="es-ES_tradnl"/>
              </w:rPr>
            </w:pPr>
            <w:r w:rsidRPr="008B7A21">
              <w:rPr>
                <w:lang w:val="es-ES_tradnl"/>
              </w:rPr>
              <w:t>870,08</w:t>
            </w:r>
          </w:p>
        </w:tc>
        <w:tc>
          <w:tcPr>
            <w:tcW w:w="2324" w:type="dxa"/>
          </w:tcPr>
          <w:p w14:paraId="12B59373" w14:textId="77777777" w:rsidR="00F73D5B" w:rsidRPr="008B7A21" w:rsidRDefault="00F73D5B" w:rsidP="00767A6A">
            <w:pPr>
              <w:pStyle w:val="Tabletext"/>
              <w:jc w:val="center"/>
              <w:rPr>
                <w:bCs/>
                <w:lang w:val="es-ES_tradnl"/>
              </w:rPr>
            </w:pPr>
            <w:r w:rsidRPr="008B7A21">
              <w:rPr>
                <w:lang w:val="es-ES_tradnl"/>
              </w:rPr>
              <w:t>13 835,69</w:t>
            </w:r>
          </w:p>
        </w:tc>
      </w:tr>
      <w:tr w:rsidR="00F73D5B" w:rsidRPr="008B7A21" w14:paraId="7D2516EB" w14:textId="77777777" w:rsidTr="00767A6A">
        <w:trPr>
          <w:cantSplit/>
          <w:jc w:val="center"/>
        </w:trPr>
        <w:tc>
          <w:tcPr>
            <w:tcW w:w="2835" w:type="dxa"/>
            <w:vAlign w:val="center"/>
          </w:tcPr>
          <w:p w14:paraId="5114D275" w14:textId="77777777" w:rsidR="00F73D5B" w:rsidRPr="008B7A21" w:rsidRDefault="00F73D5B" w:rsidP="00767A6A">
            <w:pPr>
              <w:pStyle w:val="Tabletext"/>
              <w:rPr>
                <w:bCs/>
                <w:lang w:val="es-ES_tradnl"/>
              </w:rPr>
            </w:pPr>
            <w:r w:rsidRPr="008B7A21">
              <w:rPr>
                <w:lang w:val="es-ES_tradnl"/>
              </w:rPr>
              <w:t>Otras tecnologías</w:t>
            </w:r>
          </w:p>
        </w:tc>
        <w:tc>
          <w:tcPr>
            <w:tcW w:w="2211" w:type="dxa"/>
          </w:tcPr>
          <w:p w14:paraId="26DAB749" w14:textId="77777777" w:rsidR="00F73D5B" w:rsidRPr="008B7A21" w:rsidRDefault="00F73D5B" w:rsidP="00767A6A">
            <w:pPr>
              <w:pStyle w:val="Tabletext"/>
              <w:jc w:val="center"/>
              <w:rPr>
                <w:lang w:val="es-ES_tradnl"/>
              </w:rPr>
            </w:pPr>
            <w:r w:rsidRPr="008B7A21">
              <w:rPr>
                <w:lang w:val="es-ES_tradnl"/>
              </w:rPr>
              <w:t>1 326,65</w:t>
            </w:r>
          </w:p>
        </w:tc>
        <w:tc>
          <w:tcPr>
            <w:tcW w:w="2268" w:type="dxa"/>
          </w:tcPr>
          <w:p w14:paraId="2FB62AC3" w14:textId="77777777" w:rsidR="00F73D5B" w:rsidRPr="008B7A21" w:rsidRDefault="00F73D5B" w:rsidP="00767A6A">
            <w:pPr>
              <w:pStyle w:val="Tabletext"/>
              <w:jc w:val="center"/>
              <w:rPr>
                <w:bCs/>
                <w:lang w:val="es-ES_tradnl"/>
              </w:rPr>
            </w:pPr>
            <w:r w:rsidRPr="008B7A21">
              <w:rPr>
                <w:lang w:val="es-ES_tradnl"/>
              </w:rPr>
              <w:t>217,52</w:t>
            </w:r>
          </w:p>
        </w:tc>
        <w:tc>
          <w:tcPr>
            <w:tcW w:w="2324" w:type="dxa"/>
          </w:tcPr>
          <w:p w14:paraId="7A933A00" w14:textId="77777777" w:rsidR="00F73D5B" w:rsidRPr="008B7A21" w:rsidRDefault="00F73D5B" w:rsidP="00767A6A">
            <w:pPr>
              <w:pStyle w:val="Tabletext"/>
              <w:jc w:val="center"/>
              <w:rPr>
                <w:bCs/>
                <w:lang w:val="es-ES_tradnl"/>
              </w:rPr>
            </w:pPr>
            <w:r w:rsidRPr="008B7A21">
              <w:rPr>
                <w:lang w:val="es-ES_tradnl"/>
              </w:rPr>
              <w:t>1 544,17</w:t>
            </w:r>
          </w:p>
        </w:tc>
      </w:tr>
      <w:tr w:rsidR="00F73D5B" w:rsidRPr="008B7A21" w14:paraId="671C7531" w14:textId="77777777" w:rsidTr="00767A6A">
        <w:trPr>
          <w:cantSplit/>
          <w:jc w:val="center"/>
        </w:trPr>
        <w:tc>
          <w:tcPr>
            <w:tcW w:w="2835" w:type="dxa"/>
            <w:vAlign w:val="center"/>
          </w:tcPr>
          <w:p w14:paraId="12ED3E91" w14:textId="77777777" w:rsidR="00F73D5B" w:rsidRPr="008B7A21" w:rsidRDefault="00F73D5B" w:rsidP="00767A6A">
            <w:pPr>
              <w:pStyle w:val="Tabletext"/>
              <w:rPr>
                <w:bCs/>
                <w:lang w:val="es-ES_tradnl"/>
              </w:rPr>
            </w:pPr>
            <w:r w:rsidRPr="008B7A21">
              <w:rPr>
                <w:lang w:val="es-ES_tradnl"/>
              </w:rPr>
              <w:t>Total</w:t>
            </w:r>
          </w:p>
        </w:tc>
        <w:tc>
          <w:tcPr>
            <w:tcW w:w="2211" w:type="dxa"/>
          </w:tcPr>
          <w:p w14:paraId="32860AA2" w14:textId="77777777" w:rsidR="00F73D5B" w:rsidRPr="008B7A21" w:rsidRDefault="00F73D5B" w:rsidP="00767A6A">
            <w:pPr>
              <w:pStyle w:val="Tabletext"/>
              <w:jc w:val="center"/>
              <w:rPr>
                <w:bCs/>
                <w:lang w:val="es-ES_tradnl"/>
              </w:rPr>
            </w:pPr>
            <w:r w:rsidRPr="008B7A21">
              <w:rPr>
                <w:lang w:val="es-ES_tradnl"/>
              </w:rPr>
              <w:t>14 292,26</w:t>
            </w:r>
          </w:p>
        </w:tc>
        <w:tc>
          <w:tcPr>
            <w:tcW w:w="2268" w:type="dxa"/>
          </w:tcPr>
          <w:p w14:paraId="5B52A70A" w14:textId="77777777" w:rsidR="00F73D5B" w:rsidRPr="008B7A21" w:rsidRDefault="00F73D5B" w:rsidP="00767A6A">
            <w:pPr>
              <w:pStyle w:val="Tabletext"/>
              <w:jc w:val="center"/>
              <w:rPr>
                <w:bCs/>
                <w:lang w:val="es-ES_tradnl"/>
              </w:rPr>
            </w:pPr>
            <w:r w:rsidRPr="008B7A21">
              <w:rPr>
                <w:lang w:val="es-ES_tradnl"/>
              </w:rPr>
              <w:t>1 087,60</w:t>
            </w:r>
          </w:p>
        </w:tc>
        <w:tc>
          <w:tcPr>
            <w:tcW w:w="2324" w:type="dxa"/>
          </w:tcPr>
          <w:p w14:paraId="0CDF21B3" w14:textId="77777777" w:rsidR="00F73D5B" w:rsidRPr="008B7A21" w:rsidRDefault="00F73D5B" w:rsidP="00767A6A">
            <w:pPr>
              <w:pStyle w:val="Tabletext"/>
              <w:jc w:val="center"/>
              <w:rPr>
                <w:bCs/>
                <w:lang w:val="es-ES_tradnl"/>
              </w:rPr>
            </w:pPr>
            <w:r w:rsidRPr="008B7A21">
              <w:rPr>
                <w:lang w:val="es-ES_tradnl"/>
              </w:rPr>
              <w:t>15 379,86</w:t>
            </w:r>
          </w:p>
        </w:tc>
      </w:tr>
    </w:tbl>
    <w:p w14:paraId="49C8B63C" w14:textId="77777777" w:rsidR="00F73D5B" w:rsidRPr="008B7A21" w:rsidRDefault="00F73D5B" w:rsidP="00F73D5B">
      <w:pPr>
        <w:pStyle w:val="Tablefin"/>
        <w:rPr>
          <w:lang w:val="es-ES_tradnl"/>
        </w:rPr>
      </w:pPr>
    </w:p>
    <w:p w14:paraId="3404090B" w14:textId="77777777" w:rsidR="00F73D5B" w:rsidRPr="008B7A21" w:rsidRDefault="00F73D5B" w:rsidP="00F73D5B">
      <w:pPr>
        <w:rPr>
          <w:lang w:val="es-ES_tradnl"/>
        </w:rPr>
      </w:pPr>
      <w:r w:rsidRPr="008B7A21">
        <w:rPr>
          <w:lang w:val="es-ES_tradnl"/>
        </w:rPr>
        <w:t>La revisión de la aplicación de la metodología práctica en 2011-2014 mostró que el procedimiento vigente de establecimiento del canon para cada autorización de uso de frecuencia tenía un efecto negativo en la tasa de desarrollo de red para operadores de radiocomunicaciones que prestan servicios en el territorio de los sujetos de la Federación de Rusia en las bandas de frecuencias atribuidas. Eso significa que el incremento en el número de estaciones de base y, en consecuencia, la ampliación de la cobertura de servicio para usuarios tuvo como resultado un aumento exagerado del canon mientras que la cantidad de espectro atribuido efectivamente a un operador se mantuvo constante.</w:t>
      </w:r>
    </w:p>
    <w:p w14:paraId="19DBBE65" w14:textId="77777777" w:rsidR="00F73D5B" w:rsidRPr="008B7A21" w:rsidRDefault="00F73D5B" w:rsidP="00F73D5B">
      <w:pPr>
        <w:rPr>
          <w:lang w:val="es-ES_tradnl"/>
        </w:rPr>
      </w:pPr>
      <w:r w:rsidRPr="008B7A21">
        <w:rPr>
          <w:lang w:val="es-ES_tradnl"/>
        </w:rPr>
        <w:t>Ese fue el motivo por el que se propuso aplicar un sistema basado en los recursos con el que determinar el valor del canon del espectro. Esas propuestas se aplicaron estableciendo el pago único y el canon anual de tecnologías radioeléctricas de normas GSM (excluido GSM-R), IMT-MC-450, UMTS y LTE, y sus futuras modificaciones, en el contexto de la banda de frecuencias atribuida por la decisión de la Comisión Estatal de Frecuencias Radioeléctricas (CEFR) o especificada en la licencia de prestación de servicios de telecomunicaciones basadas en espectro (en adelante, la licencia) para cada sujeto (parte de sujeto) de la Federación de Rusia especificado en la decisión de la CEFR. Ahora bien, se propone mantener la posibilidad actual de aplicar coeficientes calculados junto con cambios en los procedimientos para calcular el número de frecuencias radioeléctricas utilizadas (canales radioeléctricos) e introducir un coeficiente calculado a partir de la intensidad de uso de las correspondientes bandas de frecuencias atribuidas en un sujeto (parte de un sujeto) de la Federación de Rusia.</w:t>
      </w:r>
    </w:p>
    <w:p w14:paraId="1E23E28A" w14:textId="77777777" w:rsidR="00F73D5B" w:rsidRPr="008B7A21" w:rsidRDefault="00F73D5B" w:rsidP="00F73D5B">
      <w:pPr>
        <w:rPr>
          <w:lang w:val="es-ES_tradnl"/>
        </w:rPr>
      </w:pPr>
      <w:r w:rsidRPr="008B7A21">
        <w:rPr>
          <w:lang w:val="es-ES_tradnl"/>
        </w:rPr>
        <w:t>Al aplicar el sistema propuesto, los operadores que prestan servicios de comunicación utilizando tecnologías radioeléctricas de normas GSM (excluido GSM-R), IMT-MC-450, UMTS y LTE, y sus futuras modificaciones, tendrán aseguradas condiciones de pago iguales para las bandas de frecuencias atribuidas.</w:t>
      </w:r>
    </w:p>
    <w:p w14:paraId="61B6844C" w14:textId="77777777" w:rsidR="00F73D5B" w:rsidRPr="008B7A21" w:rsidRDefault="00F73D5B" w:rsidP="00F73D5B">
      <w:pPr>
        <w:rPr>
          <w:lang w:val="es-ES_tradnl"/>
        </w:rPr>
      </w:pPr>
      <w:r w:rsidRPr="008B7A21">
        <w:rPr>
          <w:lang w:val="es-ES_tradnl"/>
        </w:rPr>
        <w:t>Para otras tecnologías radioeléctricas, se asignarán frecuencias radioeléctricas en las bandas de frecuencias atribuidas por decisión de la CEFR a un número ilimitado de usuarios de espectro. Teniendo eso presente, el procedimiento vigente de establecimiento del pago único y el canon anual se mantiene para cada autorización que se concede al decidir sobre la asignación (atribución) de una frecuencia radioeléctrica o un canal radioeléctrico.</w:t>
      </w:r>
    </w:p>
    <w:p w14:paraId="31FE5258" w14:textId="77777777" w:rsidR="00F73D5B" w:rsidRPr="008B7A21" w:rsidRDefault="00F73D5B" w:rsidP="00F73D5B">
      <w:pPr>
        <w:rPr>
          <w:lang w:val="es-ES_tradnl"/>
        </w:rPr>
      </w:pPr>
      <w:r w:rsidRPr="008B7A21">
        <w:rPr>
          <w:lang w:val="es-ES_tradnl"/>
        </w:rPr>
        <w:t>En la metodología también se incorporó un incremento de pago para los sistemas no utilizados durante un año desde la autorización. Se trata de un pago que se incrementa diez veces durante el periodo desde la fecha de finalización del periodo de un año hasta la fecha del registro de sistema.</w:t>
      </w:r>
    </w:p>
    <w:p w14:paraId="04A9C1AE" w14:textId="77777777" w:rsidR="00F73D5B" w:rsidRPr="008B7A21" w:rsidRDefault="00F73D5B" w:rsidP="00F73D5B">
      <w:pPr>
        <w:rPr>
          <w:lang w:val="es-ES_tradnl"/>
        </w:rPr>
      </w:pPr>
      <w:r w:rsidRPr="008B7A21">
        <w:rPr>
          <w:lang w:val="es-ES_tradnl"/>
        </w:rPr>
        <w:t>El pago por sistemas radioeléctricos no utilizados en redes tecnológicas y previstas a tal fin, por sistemas de radiodifusión por radio y televisión, y por sistemas radioeléctricos en las regiones muy al norte y equivalentes, que no se registraron en los dos años desde la fecha de la autorización del sistema radioeléctrico, aumenta diez veces desde la fecha en la que expira el periodo de dos años hasta la fecha de registro del sistema.</w:t>
      </w:r>
    </w:p>
    <w:p w14:paraId="7F77DD2A" w14:textId="77777777" w:rsidR="00F73D5B" w:rsidRPr="008B7A21" w:rsidRDefault="00F73D5B" w:rsidP="00F73D5B">
      <w:pPr>
        <w:rPr>
          <w:lang w:val="es-ES_tradnl"/>
        </w:rPr>
      </w:pPr>
      <w:r w:rsidRPr="008B7A21">
        <w:rPr>
          <w:lang w:val="es-ES_tradnl"/>
        </w:rPr>
        <w:t xml:space="preserve">En el caso de tecnologías en fase de investigación, desarrollo o experimentación, el pago se reduce aplicando </w:t>
      </w:r>
      <w:r w:rsidRPr="008B7A21">
        <w:rPr>
          <w:i/>
          <w:lang w:val="es-ES_tradnl"/>
        </w:rPr>
        <w:t>K</w:t>
      </w:r>
      <w:r w:rsidRPr="008B7A21">
        <w:rPr>
          <w:i/>
          <w:vertAlign w:val="subscript"/>
          <w:lang w:val="es-ES_tradnl"/>
        </w:rPr>
        <w:t>adv</w:t>
      </w:r>
      <w:r w:rsidRPr="008B7A21">
        <w:rPr>
          <w:lang w:val="es-ES_tradnl"/>
        </w:rPr>
        <w:t> = 0,001 de conformidad con la decisión de la CEFR.</w:t>
      </w:r>
    </w:p>
    <w:p w14:paraId="346C93DD" w14:textId="77777777" w:rsidR="00F73D5B" w:rsidRPr="008B7A21" w:rsidRDefault="00F73D5B" w:rsidP="00F73D5B">
      <w:pPr>
        <w:rPr>
          <w:lang w:val="es-ES_tradnl"/>
        </w:rPr>
      </w:pPr>
      <w:r w:rsidRPr="008B7A21">
        <w:rPr>
          <w:lang w:val="es-ES_tradnl"/>
        </w:rPr>
        <w:t>Así, para aumentar la eficiencia del pago único y del canon anual para el uso del espectro en la Federación de Rusia, se introdujeron las modificaciones anteriormente mencionadas en la metodología mediante el Decreto del Ministerio de Comunicaciones y Medios de Masas de la Federación de Rusia N.° 279 del 4 de septiembre. Las modificaciones entraron en vigor el 31 de diciembre de 2014.</w:t>
      </w:r>
    </w:p>
    <w:p w14:paraId="447145A6" w14:textId="77777777" w:rsidR="00F73D5B" w:rsidRPr="008B7A21" w:rsidRDefault="00F73D5B" w:rsidP="00F73D5B">
      <w:pPr>
        <w:rPr>
          <w:lang w:val="es-ES_tradnl"/>
        </w:rPr>
      </w:pPr>
      <w:r w:rsidRPr="008B7A21">
        <w:rPr>
          <w:lang w:val="es-ES_tradnl"/>
        </w:rPr>
        <w:t>En las Figs. 15-17 se muestra el espectro ocupado, el canon anual promedio por sistema radioeléctrico (estación de base, BS) para ciertas tecnologías radioeléctricas, modos de comunicación, tipos de sistema y canon anual promedio por 1 MHz calculado de conformidad con la metodología modificada.</w:t>
      </w:r>
    </w:p>
    <w:p w14:paraId="4889CC44" w14:textId="77777777" w:rsidR="00F73D5B" w:rsidRPr="008B7A21" w:rsidRDefault="00F73D5B" w:rsidP="00F73D5B">
      <w:pPr>
        <w:pStyle w:val="FigureNo"/>
        <w:rPr>
          <w:lang w:val="es-ES_tradnl"/>
        </w:rPr>
      </w:pPr>
      <w:r w:rsidRPr="008B7A21">
        <w:rPr>
          <w:lang w:val="es-ES_tradnl"/>
        </w:rPr>
        <w:t>Figura 15</w:t>
      </w:r>
    </w:p>
    <w:p w14:paraId="696E3A2C" w14:textId="77777777" w:rsidR="00F73D5B" w:rsidRPr="008B7A21" w:rsidRDefault="00F73D5B" w:rsidP="00F73D5B">
      <w:pPr>
        <w:pStyle w:val="Figuretitle"/>
        <w:rPr>
          <w:lang w:val="es-ES_tradnl"/>
        </w:rPr>
      </w:pPr>
      <w:r w:rsidRPr="008B7A21">
        <w:rPr>
          <w:lang w:val="es-ES_tradnl"/>
        </w:rPr>
        <w:t xml:space="preserve">Espectro ocupado por sistema radioeléctrico (BS) de ciertas tecnologías </w:t>
      </w:r>
      <w:r w:rsidRPr="008B7A21">
        <w:rPr>
          <w:lang w:val="es-ES_tradnl"/>
        </w:rPr>
        <w:br/>
        <w:t>radioeléctricas, modos de comunicación, tipos de sistema, MHz</w:t>
      </w:r>
    </w:p>
    <w:p w14:paraId="44BA9249" w14:textId="77777777" w:rsidR="00F73D5B" w:rsidRPr="008B7A21" w:rsidRDefault="00F73D5B" w:rsidP="00F73D5B">
      <w:pPr>
        <w:pStyle w:val="Figure"/>
        <w:rPr>
          <w:color w:val="000000"/>
          <w:lang w:val="es-ES_tradnl"/>
        </w:rPr>
      </w:pPr>
      <w:r w:rsidRPr="008B7A21">
        <w:rPr>
          <w:noProof/>
          <w:lang w:val="es-ES_tradnl"/>
        </w:rPr>
        <w:drawing>
          <wp:inline distT="0" distB="0" distL="0" distR="0" wp14:anchorId="324BECFB" wp14:editId="79689A8D">
            <wp:extent cx="5123815" cy="3798570"/>
            <wp:effectExtent l="0" t="0" r="635" b="11430"/>
            <wp:docPr id="36" name="Chart 36" descr="La Figura 15 muestra el espectro ocupado por sistema radioeléctrico (BS) de ciertas tecnologías radioeléctricas, modos de comunicación, tipos de sistema, MHz&#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14:paraId="448ACE5D" w14:textId="77777777" w:rsidR="00F73D5B" w:rsidRPr="008B7A21" w:rsidRDefault="00F73D5B" w:rsidP="00F73D5B">
      <w:pPr>
        <w:pStyle w:val="FigureNo"/>
        <w:rPr>
          <w:lang w:val="es-ES_tradnl"/>
        </w:rPr>
      </w:pPr>
      <w:r w:rsidRPr="008B7A21">
        <w:rPr>
          <w:lang w:val="es-ES_tradnl"/>
        </w:rPr>
        <w:t>Figura 16</w:t>
      </w:r>
    </w:p>
    <w:p w14:paraId="1C1BA971" w14:textId="77777777" w:rsidR="00F73D5B" w:rsidRPr="008B7A21" w:rsidRDefault="00F73D5B" w:rsidP="00F73D5B">
      <w:pPr>
        <w:pStyle w:val="Figuretitle"/>
        <w:rPr>
          <w:lang w:val="es-ES_tradnl"/>
        </w:rPr>
      </w:pPr>
      <w:r w:rsidRPr="008B7A21">
        <w:rPr>
          <w:lang w:val="es-ES_tradnl"/>
        </w:rPr>
        <w:t xml:space="preserve">Canon anual promedio por sistema radioeléctrico (BS) para ciertas tecnologías </w:t>
      </w:r>
      <w:r w:rsidRPr="008B7A21">
        <w:rPr>
          <w:lang w:val="es-ES_tradnl"/>
        </w:rPr>
        <w:br/>
        <w:t>radioeléctricas, modos de comunicación, tipos de sistema, rublos</w:t>
      </w:r>
    </w:p>
    <w:p w14:paraId="6C401DDA" w14:textId="77777777" w:rsidR="00F73D5B" w:rsidRPr="008B7A21" w:rsidRDefault="00F73D5B" w:rsidP="00F73D5B">
      <w:pPr>
        <w:pStyle w:val="Figure"/>
        <w:rPr>
          <w:lang w:val="es-ES_tradnl"/>
        </w:rPr>
      </w:pPr>
      <w:r w:rsidRPr="008B7A21">
        <w:rPr>
          <w:noProof/>
          <w:lang w:val="es-ES_tradnl"/>
        </w:rPr>
        <w:drawing>
          <wp:inline distT="0" distB="0" distL="0" distR="0" wp14:anchorId="17896E81" wp14:editId="58D7D72E">
            <wp:extent cx="4874260" cy="3613785"/>
            <wp:effectExtent l="0" t="0" r="2540" b="5715"/>
            <wp:docPr id="35" name="Chart 35" descr="La Figura 16 muestra el canon anual promedio por sistema radioeléctrico (BS) para ciertas tecnologías radioeléctricas, modos de comunicación, tipos de sistema, rublos&#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14:paraId="72C6312C" w14:textId="77777777" w:rsidR="00F73D5B" w:rsidRPr="008B7A21" w:rsidRDefault="00F73D5B" w:rsidP="00F73D5B">
      <w:pPr>
        <w:pStyle w:val="FigureNo"/>
        <w:rPr>
          <w:lang w:val="es-ES_tradnl"/>
        </w:rPr>
      </w:pPr>
      <w:r w:rsidRPr="008B7A21">
        <w:rPr>
          <w:lang w:val="es-ES_tradnl"/>
        </w:rPr>
        <w:t>Figura 17</w:t>
      </w:r>
    </w:p>
    <w:p w14:paraId="3859644A" w14:textId="77777777" w:rsidR="00F73D5B" w:rsidRPr="008B7A21" w:rsidRDefault="00F73D5B" w:rsidP="00F73D5B">
      <w:pPr>
        <w:pStyle w:val="Figuretitle"/>
        <w:rPr>
          <w:lang w:val="es-ES_tradnl"/>
        </w:rPr>
      </w:pPr>
      <w:r w:rsidRPr="008B7A21">
        <w:rPr>
          <w:lang w:val="es-ES_tradnl"/>
        </w:rPr>
        <w:t xml:space="preserve">Canon anual promedio por 1 MHz para ciertas tecnologías radioeléctricas, </w:t>
      </w:r>
      <w:r w:rsidRPr="008B7A21">
        <w:rPr>
          <w:lang w:val="es-ES_tradnl"/>
        </w:rPr>
        <w:br/>
        <w:t>modos de comunicación, tipos de sistema, rublos</w:t>
      </w:r>
    </w:p>
    <w:p w14:paraId="586935BC" w14:textId="77777777" w:rsidR="00F73D5B" w:rsidRPr="008B7A21" w:rsidRDefault="00F73D5B" w:rsidP="00F73D5B">
      <w:pPr>
        <w:pStyle w:val="Figure"/>
        <w:rPr>
          <w:lang w:val="es-ES_tradnl"/>
        </w:rPr>
      </w:pPr>
      <w:r w:rsidRPr="008B7A21">
        <w:rPr>
          <w:noProof/>
          <w:lang w:val="es-ES_tradnl"/>
        </w:rPr>
        <w:drawing>
          <wp:inline distT="0" distB="0" distL="0" distR="0" wp14:anchorId="39F6022F" wp14:editId="5F111C91">
            <wp:extent cx="4572000" cy="3213100"/>
            <wp:effectExtent l="0" t="0" r="0" b="6350"/>
            <wp:docPr id="34" name="Chart 34" descr="La Figura 17 muestra el canon anual promedio por 1 MHz para ciertas tecnologías radioeléctricas, &#10;modos de comunicación, tipos de sistema, rublos&#10;&#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14:paraId="573F58BE" w14:textId="77777777" w:rsidR="00F73D5B" w:rsidRPr="008B7A21" w:rsidRDefault="00F73D5B" w:rsidP="00D849A8">
      <w:pPr>
        <w:pStyle w:val="Normalaftertitle"/>
        <w:rPr>
          <w:lang w:val="es-ES_tradnl"/>
        </w:rPr>
      </w:pPr>
      <w:r w:rsidRPr="008B7A21">
        <w:rPr>
          <w:lang w:val="es-ES_tradnl"/>
        </w:rPr>
        <w:t>A continuación se describen las disposiciones generales de la metodología modificada para el cálculo del pago único y el canon anual para el uso de espectro radioeléctrico en la Federación de Rusia y el cálculo de coeficientes.</w:t>
      </w:r>
    </w:p>
    <w:p w14:paraId="343C5CFF" w14:textId="77777777" w:rsidR="00F73D5B" w:rsidRPr="008B7A21" w:rsidRDefault="00F73D5B" w:rsidP="00F73D5B">
      <w:pPr>
        <w:pStyle w:val="Heading4"/>
        <w:rPr>
          <w:lang w:val="es-ES_tradnl"/>
        </w:rPr>
      </w:pPr>
      <w:bookmarkStart w:id="1959" w:name="_Toc454284978"/>
      <w:bookmarkStart w:id="1960" w:name="sub_1100"/>
      <w:r w:rsidRPr="008B7A21">
        <w:rPr>
          <w:lang w:val="es-ES_tradnl"/>
        </w:rPr>
        <w:t>5.2.7.1</w:t>
      </w:r>
      <w:r w:rsidRPr="008B7A21">
        <w:rPr>
          <w:lang w:val="es-ES_tradnl"/>
        </w:rPr>
        <w:tab/>
        <w:t>Disposiciones generales</w:t>
      </w:r>
      <w:bookmarkEnd w:id="1959"/>
    </w:p>
    <w:p w14:paraId="0AC872AA" w14:textId="77777777" w:rsidR="00F73D5B" w:rsidRPr="008B7A21" w:rsidRDefault="00F73D5B" w:rsidP="00F73D5B">
      <w:pPr>
        <w:rPr>
          <w:lang w:val="es-ES_tradnl"/>
        </w:rPr>
      </w:pPr>
      <w:bookmarkStart w:id="1961" w:name="sub_1101"/>
      <w:bookmarkEnd w:id="1960"/>
      <w:r w:rsidRPr="008B7A21">
        <w:rPr>
          <w:lang w:val="es-ES_tradnl"/>
        </w:rPr>
        <w:t xml:space="preserve">La metodología para el cálculo del pago único y el canon anual para el uso de espectro radioeléctrico (en adelante, la Metodología) se elaboró de conformidad con la Ley Federal de la Federación de Rusia del 7 de julio de 2003, N.° 126-FZ «De comunicaciones» y la Resolución Gubernamental del 16 de marzo de 2011, N.° 171, «Reglamento de cálculo y recaudación de pagos único y anual para el uso de bandas del espectro radioeléctrico» (Recopilación de </w:t>
      </w:r>
      <w:hyperlink r:id="rId225" w:history="1">
        <w:r w:rsidRPr="008B7A21">
          <w:rPr>
            <w:lang w:val="es-ES_tradnl"/>
          </w:rPr>
          <w:t>textos legislativos</w:t>
        </w:r>
      </w:hyperlink>
      <w:r w:rsidRPr="008B7A21">
        <w:rPr>
          <w:lang w:val="es-ES_tradnl"/>
        </w:rPr>
        <w:t xml:space="preserve"> de la Federación de Rusia, 2011, N.° 12, Artículo 1648).</w:t>
      </w:r>
    </w:p>
    <w:p w14:paraId="46E396EF" w14:textId="77777777" w:rsidR="00F73D5B" w:rsidRPr="008B7A21" w:rsidRDefault="00F73D5B" w:rsidP="00F73D5B">
      <w:pPr>
        <w:rPr>
          <w:lang w:val="es-ES_tradnl"/>
        </w:rPr>
      </w:pPr>
      <w:bookmarkStart w:id="1962" w:name="sub_1102"/>
      <w:bookmarkEnd w:id="1961"/>
      <w:r w:rsidRPr="008B7A21">
        <w:rPr>
          <w:lang w:val="es-ES_tradnl"/>
        </w:rPr>
        <w:t>En la Metodología figuran cánones y coeficientes diferenciados que dependen de las bandas de frecuencias utilizadas, el número de frecuencias radioeléctricas (o canales radioeléctricos) utilizadas y tecnologías radioeléctricas aplicadas.</w:t>
      </w:r>
    </w:p>
    <w:bookmarkEnd w:id="1962"/>
    <w:p w14:paraId="24222AFD" w14:textId="77777777" w:rsidR="00F73D5B" w:rsidRPr="008B7A21" w:rsidRDefault="00F73D5B" w:rsidP="00F73D5B">
      <w:pPr>
        <w:rPr>
          <w:lang w:val="es-ES_tradnl"/>
        </w:rPr>
      </w:pPr>
      <w:r w:rsidRPr="008B7A21">
        <w:rPr>
          <w:lang w:val="es-ES_tradnl"/>
        </w:rPr>
        <w:t>El número de frecuencias radioeléctricas utilizadas (canales radioeléctricos) se calcula de conformidad con la Metodología vigente para cada autorización de uso de frecuencias radioeléctricas o canales radioeléctricos (en adelante, la autorización) y de tecnologías radioeléctricas de normas GSM (excluido GSM-R), UMTS, IMT-MC-450 y LTE, y sus modificaciones futuras, (en adelante, tecnologías radioeléctricas celulares), para cada decisión adoptada por la Comisión Estatal de Frecuencias Radioeléctricas (en adelante, CEFR) y/o licencia de prestación de servicios de telecomunicaciones utilizando espectro (en adelante, la licencia) en lo relativo a cada banda de frecuencias y cada sujeto (parte de sujeto) de la Federación de Rusia especificado en la licencia o la decisión de la CEFR.</w:t>
      </w:r>
    </w:p>
    <w:p w14:paraId="4DD7EF6C" w14:textId="77777777" w:rsidR="00F73D5B" w:rsidRPr="008B7A21" w:rsidRDefault="00F73D5B" w:rsidP="00F73D5B">
      <w:pPr>
        <w:rPr>
          <w:lang w:val="es-ES_tradnl"/>
        </w:rPr>
      </w:pPr>
      <w:r w:rsidRPr="008B7A21">
        <w:rPr>
          <w:lang w:val="es-ES_tradnl"/>
        </w:rPr>
        <w:t>El pago único y el canon anual para el uso del espectro radioeléctrico por trimestre y los valores de los coeficientes calculados y la relación entre el número de días efectivos de la autorización en el trimestre pagable y el número de días en el trimestre pagable se redondeará hasta dos decimales.</w:t>
      </w:r>
    </w:p>
    <w:p w14:paraId="7008CEF5" w14:textId="77777777" w:rsidR="00F73D5B" w:rsidRPr="008B7A21" w:rsidRDefault="00F73D5B" w:rsidP="00F73D5B">
      <w:pPr>
        <w:pStyle w:val="Heading4"/>
        <w:rPr>
          <w:lang w:val="es-ES_tradnl"/>
        </w:rPr>
      </w:pPr>
      <w:r w:rsidRPr="008B7A21">
        <w:rPr>
          <w:lang w:val="es-ES_tradnl"/>
        </w:rPr>
        <w:t>5.2.7.2</w:t>
      </w:r>
      <w:r w:rsidRPr="008B7A21">
        <w:rPr>
          <w:lang w:val="es-ES_tradnl"/>
        </w:rPr>
        <w:tab/>
        <w:t>Cálculo del pago único</w:t>
      </w:r>
    </w:p>
    <w:p w14:paraId="1CF88D35" w14:textId="77777777" w:rsidR="00F73D5B" w:rsidRPr="008B7A21" w:rsidRDefault="00F73D5B" w:rsidP="00F73D5B">
      <w:pPr>
        <w:rPr>
          <w:lang w:val="es-ES_tradnl"/>
        </w:rPr>
      </w:pPr>
      <w:r w:rsidRPr="008B7A21">
        <w:rPr>
          <w:lang w:val="es-ES_tradnl"/>
        </w:rPr>
        <w:t>El pago único para uso de espectro radioeléctrico para tecnologías radioeléctricas celulares se establece para cada banda de frecuencias asignada por la decisión de la CEFR y/o especificada en la licencia para cada sujeto (parte de sujeto) de la Federación Rusia especificado en la licencia o decisión de la CEFR; para otras tecnologías se establece para cada autorización otorgada y se calcula mediante la siguiente fórmula:</w:t>
      </w:r>
    </w:p>
    <w:p w14:paraId="064DFC01" w14:textId="77777777" w:rsidR="00F73D5B" w:rsidRPr="008B7A21" w:rsidRDefault="00F73D5B" w:rsidP="00F73D5B">
      <w:pPr>
        <w:pStyle w:val="Blanc"/>
        <w:rPr>
          <w:lang w:val="es-ES_tradnl"/>
        </w:rPr>
      </w:pPr>
    </w:p>
    <w:p w14:paraId="78C96C5B" w14:textId="1E1ADAF7" w:rsidR="00F73D5B" w:rsidRPr="008B7A21" w:rsidRDefault="00F73D5B" w:rsidP="00F73D5B">
      <w:pPr>
        <w:pStyle w:val="Equation"/>
        <w:rPr>
          <w:lang w:val="es-ES_tradnl"/>
        </w:rPr>
      </w:pPr>
      <w:r w:rsidRPr="008B7A21">
        <w:rPr>
          <w:lang w:val="es-ES_tradnl"/>
        </w:rPr>
        <w:tab/>
      </w:r>
      <w:r w:rsidRPr="008B7A21">
        <w:rPr>
          <w:lang w:val="es-ES_tradnl"/>
        </w:rPr>
        <w:tab/>
      </w:r>
      <w:r w:rsidR="00D849A8">
        <w:rPr>
          <w:noProof/>
          <w:position w:val="-14"/>
        </w:rPr>
        <w:drawing>
          <wp:inline distT="0" distB="0" distL="0" distR="0" wp14:anchorId="074EF26D" wp14:editId="7AB6F804">
            <wp:extent cx="2084070" cy="297815"/>
            <wp:effectExtent l="0" t="0" r="0" b="6985"/>
            <wp:docPr id="702763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084070" cy="297815"/>
                    </a:xfrm>
                    <a:prstGeom prst="rect">
                      <a:avLst/>
                    </a:prstGeom>
                    <a:noFill/>
                    <a:ln>
                      <a:noFill/>
                    </a:ln>
                  </pic:spPr>
                </pic:pic>
              </a:graphicData>
            </a:graphic>
          </wp:inline>
        </w:drawing>
      </w:r>
      <w:r w:rsidRPr="008B7A21">
        <w:rPr>
          <w:lang w:val="es-ES_tradnl"/>
        </w:rPr>
        <w:tab/>
        <w:t>(61)</w:t>
      </w:r>
    </w:p>
    <w:p w14:paraId="624ECF86" w14:textId="77777777" w:rsidR="00F73D5B" w:rsidRPr="008B7A21" w:rsidRDefault="00F73D5B" w:rsidP="00F73D5B">
      <w:pPr>
        <w:pStyle w:val="Blanc"/>
        <w:rPr>
          <w:lang w:val="es-ES_tradnl"/>
        </w:rPr>
      </w:pPr>
    </w:p>
    <w:p w14:paraId="047C3A40" w14:textId="31E4AB49" w:rsidR="00F73D5B" w:rsidRPr="008B7A21" w:rsidRDefault="00F73D5B" w:rsidP="00F73D5B">
      <w:pPr>
        <w:rPr>
          <w:lang w:val="es-ES_tradnl"/>
        </w:rPr>
      </w:pPr>
      <w:r w:rsidRPr="008B7A21">
        <w:rPr>
          <w:lang w:val="es-ES_tradnl"/>
        </w:rPr>
        <w:t>siendo:</w:t>
      </w:r>
    </w:p>
    <w:p w14:paraId="2CD35250" w14:textId="77777777" w:rsidR="00F73D5B" w:rsidRPr="008B7A21" w:rsidRDefault="00F73D5B" w:rsidP="00F73D5B">
      <w:pPr>
        <w:pStyle w:val="Equationlegend"/>
        <w:rPr>
          <w:lang w:val="es-ES_tradnl"/>
        </w:rPr>
      </w:pPr>
      <w:r w:rsidRPr="008B7A21">
        <w:rPr>
          <w:i/>
          <w:lang w:val="es-ES_tradnl"/>
        </w:rPr>
        <w:tab/>
        <w:t>P</w:t>
      </w:r>
      <w:r w:rsidRPr="008B7A21">
        <w:rPr>
          <w:i/>
          <w:vertAlign w:val="subscript"/>
          <w:lang w:val="es-ES_tradnl"/>
        </w:rPr>
        <w:t>ot</w:t>
      </w:r>
      <w:r w:rsidRPr="008B7A21">
        <w:rPr>
          <w:lang w:val="es-ES_tradnl"/>
        </w:rPr>
        <w:t>:</w:t>
      </w:r>
      <w:r w:rsidRPr="008B7A21">
        <w:rPr>
          <w:lang w:val="es-ES_tradnl"/>
        </w:rPr>
        <w:tab/>
        <w:t>pago único total, rublos</w:t>
      </w:r>
    </w:p>
    <w:p w14:paraId="42098F38" w14:textId="77777777" w:rsidR="00F73D5B" w:rsidRPr="008B7A21" w:rsidRDefault="00F73D5B" w:rsidP="00F73D5B">
      <w:pPr>
        <w:pStyle w:val="Equationlegend"/>
        <w:rPr>
          <w:lang w:val="es-ES_tradnl"/>
        </w:rPr>
      </w:pPr>
      <w:r w:rsidRPr="008B7A21">
        <w:rPr>
          <w:i/>
          <w:lang w:val="es-ES_tradnl"/>
        </w:rPr>
        <w:tab/>
        <w:t>R</w:t>
      </w:r>
      <w:r w:rsidRPr="008B7A21">
        <w:rPr>
          <w:i/>
          <w:vertAlign w:val="subscript"/>
          <w:lang w:val="es-ES_tradnl"/>
        </w:rPr>
        <w:t>ot</w:t>
      </w:r>
      <w:r w:rsidRPr="008B7A21">
        <w:rPr>
          <w:lang w:val="es-ES_tradnl"/>
        </w:rPr>
        <w:t>:</w:t>
      </w:r>
      <w:r w:rsidRPr="008B7A21">
        <w:rPr>
          <w:lang w:val="es-ES_tradnl"/>
        </w:rPr>
        <w:tab/>
        <w:t>tasa de tarifa por pago único, rublos</w:t>
      </w:r>
    </w:p>
    <w:p w14:paraId="03C82E1D" w14:textId="77777777" w:rsidR="00F73D5B" w:rsidRPr="008B7A21" w:rsidRDefault="00F73D5B" w:rsidP="00F73D5B">
      <w:pPr>
        <w:pStyle w:val="Equationlegend"/>
        <w:rPr>
          <w:lang w:val="es-ES_tradnl"/>
        </w:rPr>
      </w:pPr>
      <w:r w:rsidRPr="008B7A21">
        <w:rPr>
          <w:i/>
          <w:lang w:val="es-ES_tradnl"/>
        </w:rPr>
        <w:tab/>
        <w:t>K</w:t>
      </w:r>
      <w:r w:rsidRPr="008B7A21">
        <w:rPr>
          <w:i/>
          <w:vertAlign w:val="subscript"/>
          <w:lang w:val="es-ES_tradnl"/>
        </w:rPr>
        <w:t>band</w:t>
      </w:r>
      <w:r w:rsidRPr="008B7A21">
        <w:rPr>
          <w:lang w:val="es-ES_tradnl"/>
        </w:rPr>
        <w:t>:</w:t>
      </w:r>
      <w:r w:rsidRPr="008B7A21">
        <w:rPr>
          <w:lang w:val="es-ES_tradnl"/>
        </w:rPr>
        <w:tab/>
        <w:t>coeficiente dependiente de la banda de frecuencias utilizada</w:t>
      </w:r>
    </w:p>
    <w:p w14:paraId="319DCF0D" w14:textId="77777777" w:rsidR="00F73D5B" w:rsidRPr="008B7A21" w:rsidRDefault="00F73D5B" w:rsidP="00F73D5B">
      <w:pPr>
        <w:pStyle w:val="Equationlegend"/>
        <w:rPr>
          <w:lang w:val="es-ES_tradnl"/>
        </w:rPr>
      </w:pPr>
      <w:r w:rsidRPr="008B7A21">
        <w:rPr>
          <w:i/>
          <w:lang w:val="es-ES_tradnl"/>
        </w:rPr>
        <w:tab/>
        <w:t>K</w:t>
      </w:r>
      <w:r w:rsidRPr="008B7A21">
        <w:rPr>
          <w:i/>
          <w:vertAlign w:val="subscript"/>
          <w:lang w:val="es-ES_tradnl"/>
        </w:rPr>
        <w:t xml:space="preserve">Nf </w:t>
      </w:r>
      <w:r w:rsidRPr="008B7A21">
        <w:rPr>
          <w:lang w:val="es-ES_tradnl"/>
        </w:rPr>
        <w:t>:</w:t>
      </w:r>
      <w:r w:rsidRPr="008B7A21">
        <w:rPr>
          <w:lang w:val="es-ES_tradnl"/>
        </w:rPr>
        <w:tab/>
        <w:t>coeficiente dependiente del número de frecuencias radioeléctricas empleadas (radiocanales)</w:t>
      </w:r>
    </w:p>
    <w:p w14:paraId="0E1CE843" w14:textId="77777777" w:rsidR="00F73D5B" w:rsidRPr="008B7A21" w:rsidRDefault="00F73D5B" w:rsidP="00F73D5B">
      <w:pPr>
        <w:pStyle w:val="Equationlegend"/>
        <w:rPr>
          <w:lang w:val="es-ES_tradnl"/>
        </w:rPr>
      </w:pPr>
      <w:r w:rsidRPr="008B7A21">
        <w:rPr>
          <w:i/>
          <w:lang w:val="es-ES_tradnl"/>
        </w:rPr>
        <w:tab/>
        <w:t>K</w:t>
      </w:r>
      <w:r w:rsidRPr="008B7A21">
        <w:rPr>
          <w:i/>
          <w:vertAlign w:val="subscript"/>
          <w:lang w:val="es-ES_tradnl"/>
        </w:rPr>
        <w:t>tech</w:t>
      </w:r>
      <w:r w:rsidRPr="008B7A21">
        <w:rPr>
          <w:lang w:val="es-ES_tradnl"/>
        </w:rPr>
        <w:t>:</w:t>
      </w:r>
      <w:r w:rsidRPr="008B7A21">
        <w:rPr>
          <w:lang w:val="es-ES_tradnl"/>
        </w:rPr>
        <w:tab/>
        <w:t>coeficiente dependiente de la tecnología aplicable.</w:t>
      </w:r>
    </w:p>
    <w:p w14:paraId="06071135" w14:textId="77777777" w:rsidR="00F73D5B" w:rsidRPr="008B7A21" w:rsidRDefault="00F73D5B" w:rsidP="00F73D5B">
      <w:pPr>
        <w:rPr>
          <w:lang w:val="es-ES_tradnl"/>
        </w:rPr>
      </w:pPr>
      <w:r w:rsidRPr="008B7A21">
        <w:rPr>
          <w:lang w:val="es-ES_tradnl"/>
        </w:rPr>
        <w:t>Los coeficientes se aplican para cada frecuencia radioeléctrica (radiocanal) y/o ancho de banda de frecuencias.</w:t>
      </w:r>
    </w:p>
    <w:p w14:paraId="582BE0F0" w14:textId="77777777" w:rsidR="00F73D5B" w:rsidRPr="008B7A21" w:rsidRDefault="00F73D5B" w:rsidP="00F73D5B">
      <w:pPr>
        <w:rPr>
          <w:lang w:val="es-ES_tradnl"/>
        </w:rPr>
      </w:pPr>
      <w:r w:rsidRPr="008B7A21">
        <w:rPr>
          <w:lang w:val="es-ES_tradnl"/>
        </w:rPr>
        <w:t>En caso de ampliar la vigencia, volver a emitir y/o modificar las decisiones de la CEFR no relacionadas con cambios en el uso de frecuencias radioeléctricas, no se cobrará el pago único.</w:t>
      </w:r>
    </w:p>
    <w:p w14:paraId="26614A5B" w14:textId="77777777" w:rsidR="00F73D5B" w:rsidRPr="008B7A21" w:rsidRDefault="00F73D5B" w:rsidP="00F73D5B">
      <w:pPr>
        <w:pStyle w:val="Heading4"/>
        <w:rPr>
          <w:lang w:val="es-ES_tradnl"/>
        </w:rPr>
      </w:pPr>
      <w:r w:rsidRPr="008B7A21">
        <w:rPr>
          <w:lang w:val="es-ES_tradnl"/>
        </w:rPr>
        <w:t>5.2.7.3</w:t>
      </w:r>
      <w:r w:rsidRPr="008B7A21">
        <w:rPr>
          <w:lang w:val="es-ES_tradnl"/>
        </w:rPr>
        <w:tab/>
        <w:t>Cálculo de la tasa anual</w:t>
      </w:r>
    </w:p>
    <w:p w14:paraId="7D6E3F80" w14:textId="77777777" w:rsidR="00F73D5B" w:rsidRPr="008B7A21" w:rsidRDefault="00F73D5B" w:rsidP="00F73D5B">
      <w:pPr>
        <w:rPr>
          <w:lang w:val="es-ES_tradnl"/>
        </w:rPr>
      </w:pPr>
      <w:r w:rsidRPr="008B7A21">
        <w:rPr>
          <w:lang w:val="es-ES_tradnl"/>
        </w:rPr>
        <w:t>Se establece el canon anual para tecnologías radioeléctricas celulares para cada banda de frecuencias atribuida por la decisión de la CEFR y/o especificada en la licencia para cada sujeto (parte de sujeto) de la Federación de Rusia especificado en la licencia o decisión de la CEFR; para otras tecnologías se establece para cada autorización concedida y se calcula mediante la siguiente fórmula:</w:t>
      </w:r>
    </w:p>
    <w:p w14:paraId="0987056B" w14:textId="77777777" w:rsidR="00F73D5B" w:rsidRPr="008B7A21" w:rsidRDefault="00F73D5B" w:rsidP="00F73D5B">
      <w:pPr>
        <w:pStyle w:val="Equation"/>
        <w:rPr>
          <w:sz w:val="26"/>
          <w:szCs w:val="26"/>
          <w:lang w:val="es-ES_tradnl"/>
        </w:rPr>
      </w:pPr>
      <w:r w:rsidRPr="008B7A21">
        <w:rPr>
          <w:lang w:val="es-ES_tradnl"/>
        </w:rPr>
        <w:tab/>
      </w:r>
      <w:r w:rsidRPr="008B7A21">
        <w:rPr>
          <w:lang w:val="es-ES_tradnl"/>
        </w:rPr>
        <w:tab/>
      </w:r>
      <m:oMath>
        <m:sSub>
          <m:sSubPr>
            <m:ctrlPr>
              <w:rPr>
                <w:rFonts w:ascii="Cambria Math" w:hAnsi="Cambria Math"/>
                <w:i/>
                <w:szCs w:val="24"/>
                <w:lang w:val="es-ES_tradnl"/>
              </w:rPr>
            </m:ctrlPr>
          </m:sSubPr>
          <m:e>
            <m:r>
              <w:rPr>
                <w:rFonts w:ascii="Cambria Math" w:hAnsi="Cambria Math"/>
                <w:lang w:val="es-ES_tradnl"/>
              </w:rPr>
              <m:t>P</m:t>
            </m:r>
          </m:e>
          <m:sub>
            <m:r>
              <w:rPr>
                <w:rFonts w:ascii="Cambria Math" w:hAnsi="Cambria Math"/>
                <w:lang w:val="es-ES_tradnl"/>
              </w:rPr>
              <m:t>a</m:t>
            </m:r>
          </m:sub>
        </m:sSub>
        <m:r>
          <w:rPr>
            <w:rFonts w:ascii="Cambria Math" w:hAnsi="Cambria Math"/>
            <w:lang w:val="es-ES_tradnl"/>
          </w:rPr>
          <m:t>=</m:t>
        </m:r>
        <m:nary>
          <m:naryPr>
            <m:chr m:val="∑"/>
            <m:limLoc m:val="undOvr"/>
            <m:ctrlPr>
              <w:rPr>
                <w:rFonts w:ascii="Cambria Math" w:hAnsi="Cambria Math"/>
                <w:i/>
                <w:szCs w:val="24"/>
                <w:lang w:val="es-ES_tradnl"/>
              </w:rPr>
            </m:ctrlPr>
          </m:naryPr>
          <m:sub>
            <m:r>
              <w:rPr>
                <w:rFonts w:ascii="Cambria Math" w:hAnsi="Cambria Math"/>
                <w:lang w:val="es-ES_tradnl"/>
              </w:rPr>
              <m:t>i=1</m:t>
            </m:r>
          </m:sub>
          <m:sup>
            <m:r>
              <w:rPr>
                <w:rFonts w:ascii="Cambria Math" w:hAnsi="Cambria Math"/>
                <w:lang w:val="es-ES_tradnl"/>
              </w:rPr>
              <m:t>4</m:t>
            </m:r>
          </m:sup>
          <m:e>
            <m:r>
              <m:rPr>
                <m:sty m:val="p"/>
              </m:rPr>
              <w:rPr>
                <w:rFonts w:ascii="Cambria Math" w:hAnsi="Cambria Math"/>
                <w:position w:val="-14"/>
                <w:lang w:val="es-ES_tradnl"/>
              </w:rPr>
              <w:object w:dxaOrig="435" w:dyaOrig="435" w14:anchorId="5FE78FEF">
                <v:shape id="_x0000_i1761" type="#_x0000_t75" style="width:21.75pt;height:21.75pt" o:ole="">
                  <v:imagedata r:id="rId227" o:title=""/>
                </v:shape>
                <o:OLEObject Type="Embed" ProgID="Equation.3" ShapeID="_x0000_i1761" DrawAspect="Content" ObjectID="_1826705965" r:id="rId228"/>
              </w:object>
            </m:r>
          </m:e>
        </m:nary>
      </m:oMath>
      <w:r w:rsidRPr="008B7A21">
        <w:rPr>
          <w:lang w:val="es-ES_tradnl"/>
        </w:rPr>
        <w:tab/>
        <w:t>(62)</w:t>
      </w:r>
    </w:p>
    <w:p w14:paraId="1BE78D59" w14:textId="77777777" w:rsidR="00F73D5B" w:rsidRPr="008B7A21" w:rsidRDefault="00F73D5B" w:rsidP="00F73D5B">
      <w:pPr>
        <w:keepNext/>
        <w:keepLines/>
        <w:rPr>
          <w:i/>
          <w:lang w:val="es-ES_tradnl"/>
        </w:rPr>
      </w:pPr>
      <w:r w:rsidRPr="008B7A21">
        <w:rPr>
          <w:lang w:val="es-ES_tradnl"/>
        </w:rPr>
        <w:t>donde:</w:t>
      </w:r>
    </w:p>
    <w:p w14:paraId="1D266102"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6"/>
          <w:lang w:val="es-ES_tradnl"/>
        </w:rPr>
        <w:object w:dxaOrig="4880" w:dyaOrig="460" w14:anchorId="181877F8">
          <v:shape id="_x0000_i1756" type="#_x0000_t75" style="width:273.75pt;height:28.45pt" o:ole="">
            <v:imagedata r:id="rId229" o:title=""/>
          </v:shape>
          <o:OLEObject Type="Embed" ProgID="Equation.3" ShapeID="_x0000_i1756" DrawAspect="Content" ObjectID="_1826705966" r:id="rId230"/>
        </w:object>
      </w:r>
    </w:p>
    <w:p w14:paraId="64643CC0" w14:textId="77777777" w:rsidR="00F73D5B" w:rsidRPr="008B7A21" w:rsidRDefault="00F73D5B" w:rsidP="00F73D5B">
      <w:pPr>
        <w:rPr>
          <w:i/>
          <w:lang w:val="es-ES_tradnl"/>
        </w:rPr>
      </w:pPr>
      <w:r w:rsidRPr="008B7A21">
        <w:rPr>
          <w:lang w:val="es-ES_tradnl"/>
        </w:rPr>
        <w:t>siendo:</w:t>
      </w:r>
    </w:p>
    <w:p w14:paraId="747B8656" w14:textId="77777777" w:rsidR="00F73D5B" w:rsidRPr="008B7A21" w:rsidRDefault="00F73D5B" w:rsidP="00F73D5B">
      <w:pPr>
        <w:pStyle w:val="Equationlegend"/>
        <w:rPr>
          <w:lang w:val="es-ES_tradnl"/>
        </w:rPr>
      </w:pPr>
      <w:r w:rsidRPr="008B7A21">
        <w:rPr>
          <w:i/>
          <w:lang w:val="es-ES_tradnl"/>
        </w:rPr>
        <w:tab/>
        <w:t>P</w:t>
      </w:r>
      <w:r w:rsidRPr="008B7A21">
        <w:rPr>
          <w:i/>
          <w:vertAlign w:val="subscript"/>
          <w:lang w:val="es-ES_tradnl"/>
        </w:rPr>
        <w:t>a</w:t>
      </w:r>
      <w:r w:rsidRPr="008B7A21">
        <w:rPr>
          <w:lang w:val="es-ES_tradnl"/>
        </w:rPr>
        <w:t>:</w:t>
      </w:r>
      <w:r w:rsidRPr="008B7A21">
        <w:rPr>
          <w:lang w:val="es-ES_tradnl"/>
        </w:rPr>
        <w:tab/>
        <w:t>canon anual, rublos</w:t>
      </w:r>
    </w:p>
    <w:p w14:paraId="41DD835C" w14:textId="77777777" w:rsidR="00F73D5B" w:rsidRPr="008B7A21" w:rsidRDefault="00F73D5B" w:rsidP="00F73D5B">
      <w:pPr>
        <w:pStyle w:val="Equationlegend"/>
        <w:rPr>
          <w:lang w:val="es-ES_tradnl"/>
        </w:rPr>
      </w:pPr>
      <w:r w:rsidRPr="008B7A21">
        <w:rPr>
          <w:i/>
          <w:lang w:val="es-ES_tradnl"/>
        </w:rPr>
        <w:tab/>
        <w:t>P</w:t>
      </w:r>
      <w:r w:rsidRPr="008B7A21">
        <w:rPr>
          <w:i/>
          <w:vertAlign w:val="subscript"/>
          <w:lang w:val="es-ES_tradnl"/>
        </w:rPr>
        <w:t>a(q)</w:t>
      </w:r>
      <w:r w:rsidRPr="008B7A21">
        <w:rPr>
          <w:lang w:val="es-ES_tradnl"/>
        </w:rPr>
        <w:t>:</w:t>
      </w:r>
      <w:r w:rsidRPr="008B7A21">
        <w:rPr>
          <w:lang w:val="es-ES_tradnl"/>
        </w:rPr>
        <w:tab/>
        <w:t>canon anual por trimestre, rublos</w:t>
      </w:r>
    </w:p>
    <w:p w14:paraId="6A052C79" w14:textId="77777777" w:rsidR="00F73D5B" w:rsidRPr="008B7A21" w:rsidRDefault="00F73D5B" w:rsidP="00F73D5B">
      <w:pPr>
        <w:pStyle w:val="Equationlegend"/>
        <w:rPr>
          <w:lang w:val="es-ES_tradnl"/>
        </w:rPr>
      </w:pPr>
      <w:r w:rsidRPr="008B7A21">
        <w:rPr>
          <w:i/>
          <w:lang w:val="es-ES_tradnl"/>
        </w:rPr>
        <w:tab/>
        <w:t>R</w:t>
      </w:r>
      <w:r w:rsidRPr="008B7A21">
        <w:rPr>
          <w:i/>
          <w:vertAlign w:val="subscript"/>
          <w:lang w:val="es-ES_tradnl"/>
        </w:rPr>
        <w:t>a</w:t>
      </w:r>
      <w:r w:rsidRPr="008B7A21">
        <w:rPr>
          <w:lang w:val="es-ES_tradnl"/>
        </w:rPr>
        <w:t>:</w:t>
      </w:r>
      <w:r w:rsidRPr="008B7A21">
        <w:rPr>
          <w:lang w:val="es-ES_tradnl"/>
        </w:rPr>
        <w:tab/>
        <w:t>tasa del canon anual, rublos</w:t>
      </w:r>
    </w:p>
    <w:p w14:paraId="638805CE" w14:textId="77777777" w:rsidR="00F73D5B" w:rsidRPr="008B7A21" w:rsidRDefault="00F73D5B" w:rsidP="00F73D5B">
      <w:pPr>
        <w:pStyle w:val="Equationlegend"/>
        <w:rPr>
          <w:lang w:val="es-ES_tradnl"/>
        </w:rPr>
      </w:pPr>
      <w:r w:rsidRPr="008B7A21">
        <w:rPr>
          <w:i/>
          <w:lang w:val="es-ES_tradnl"/>
        </w:rPr>
        <w:tab/>
        <w:t>K</w:t>
      </w:r>
      <w:r w:rsidRPr="008B7A21">
        <w:rPr>
          <w:i/>
          <w:vertAlign w:val="subscript"/>
          <w:lang w:val="es-ES_tradnl"/>
        </w:rPr>
        <w:t>band</w:t>
      </w:r>
      <w:r w:rsidRPr="008B7A21">
        <w:rPr>
          <w:lang w:val="es-ES_tradnl"/>
        </w:rPr>
        <w:t>:</w:t>
      </w:r>
      <w:r w:rsidRPr="008B7A21">
        <w:rPr>
          <w:lang w:val="es-ES_tradnl"/>
        </w:rPr>
        <w:tab/>
        <w:t>coeficiente dependiente de la banda de frecuencias utilizada</w:t>
      </w:r>
    </w:p>
    <w:p w14:paraId="7453A698" w14:textId="77777777" w:rsidR="00F73D5B" w:rsidRPr="008B7A21" w:rsidRDefault="00F73D5B" w:rsidP="00F73D5B">
      <w:pPr>
        <w:pStyle w:val="Equationlegend"/>
        <w:rPr>
          <w:lang w:val="es-ES_tradnl"/>
        </w:rPr>
      </w:pPr>
      <w:r w:rsidRPr="008B7A21">
        <w:rPr>
          <w:i/>
          <w:lang w:val="es-ES_tradnl"/>
        </w:rPr>
        <w:tab/>
        <w:t>K</w:t>
      </w:r>
      <w:r w:rsidRPr="008B7A21">
        <w:rPr>
          <w:i/>
          <w:vertAlign w:val="subscript"/>
          <w:lang w:val="es-ES_tradnl"/>
        </w:rPr>
        <w:t>Nf</w:t>
      </w:r>
      <w:r w:rsidRPr="008B7A21">
        <w:rPr>
          <w:lang w:val="es-ES_tradnl"/>
        </w:rPr>
        <w:t>:</w:t>
      </w:r>
      <w:r w:rsidRPr="008B7A21">
        <w:rPr>
          <w:lang w:val="es-ES_tradnl"/>
        </w:rPr>
        <w:tab/>
        <w:t>coeficiente dependiente del número de frecuencias radioeléctricas empleadas (radiocanales)</w:t>
      </w:r>
    </w:p>
    <w:p w14:paraId="482B1199" w14:textId="77777777" w:rsidR="00F73D5B" w:rsidRPr="008B7A21" w:rsidRDefault="00F73D5B" w:rsidP="00F73D5B">
      <w:pPr>
        <w:pStyle w:val="Equationlegend"/>
        <w:rPr>
          <w:lang w:val="es-ES_tradnl"/>
        </w:rPr>
      </w:pPr>
      <w:r w:rsidRPr="008B7A21">
        <w:rPr>
          <w:i/>
          <w:lang w:val="es-ES_tradnl"/>
        </w:rPr>
        <w:tab/>
        <w:t>K</w:t>
      </w:r>
      <w:r w:rsidRPr="008B7A21">
        <w:rPr>
          <w:i/>
          <w:vertAlign w:val="subscript"/>
          <w:lang w:val="es-ES_tradnl"/>
        </w:rPr>
        <w:t>tech</w:t>
      </w:r>
      <w:r w:rsidRPr="008B7A21">
        <w:rPr>
          <w:lang w:val="es-ES_tradnl"/>
        </w:rPr>
        <w:t>:</w:t>
      </w:r>
      <w:r w:rsidRPr="008B7A21">
        <w:rPr>
          <w:lang w:val="es-ES_tradnl"/>
        </w:rPr>
        <w:tab/>
        <w:t>coeficiente dependiente de la tecnología aplicable</w:t>
      </w:r>
    </w:p>
    <w:p w14:paraId="374F0881" w14:textId="77777777" w:rsidR="00F73D5B" w:rsidRPr="008B7A21" w:rsidRDefault="00F73D5B" w:rsidP="00F73D5B">
      <w:pPr>
        <w:pStyle w:val="Equationlegend"/>
        <w:rPr>
          <w:lang w:val="es-ES_tradnl"/>
        </w:rPr>
      </w:pPr>
      <w:r w:rsidRPr="008B7A21">
        <w:rPr>
          <w:i/>
          <w:lang w:val="es-ES_tradnl"/>
        </w:rPr>
        <w:tab/>
        <w:t>N</w:t>
      </w:r>
      <w:r w:rsidRPr="008B7A21">
        <w:rPr>
          <w:i/>
          <w:vertAlign w:val="subscript"/>
          <w:lang w:val="es-ES_tradnl"/>
        </w:rPr>
        <w:t>auth(q)</w:t>
      </w:r>
      <w:r w:rsidRPr="008B7A21">
        <w:rPr>
          <w:lang w:val="es-ES_tradnl"/>
        </w:rPr>
        <w:t>:</w:t>
      </w:r>
      <w:r w:rsidRPr="008B7A21">
        <w:rPr>
          <w:lang w:val="es-ES_tradnl"/>
        </w:rPr>
        <w:tab/>
        <w:t>número de autorización de días efectivos en el trimestre de pago</w:t>
      </w:r>
    </w:p>
    <w:p w14:paraId="6E06023F" w14:textId="77777777" w:rsidR="00F73D5B" w:rsidRPr="008B7A21" w:rsidRDefault="00F73D5B" w:rsidP="00F73D5B">
      <w:pPr>
        <w:pStyle w:val="Equationlegend"/>
        <w:rPr>
          <w:lang w:val="es-ES_tradnl"/>
        </w:rPr>
      </w:pPr>
      <w:r w:rsidRPr="008B7A21">
        <w:rPr>
          <w:i/>
          <w:lang w:val="es-ES_tradnl"/>
        </w:rPr>
        <w:tab/>
        <w:t>N</w:t>
      </w:r>
      <w:r w:rsidRPr="008B7A21">
        <w:rPr>
          <w:i/>
          <w:vertAlign w:val="subscript"/>
          <w:lang w:val="es-ES_tradnl"/>
        </w:rPr>
        <w:t>q</w:t>
      </w:r>
      <w:r w:rsidRPr="008B7A21">
        <w:rPr>
          <w:lang w:val="es-ES_tradnl"/>
        </w:rPr>
        <w:t>:</w:t>
      </w:r>
      <w:r w:rsidRPr="008B7A21">
        <w:rPr>
          <w:lang w:val="es-ES_tradnl"/>
        </w:rPr>
        <w:tab/>
        <w:t>número de días en el trimestre de pago.</w:t>
      </w:r>
    </w:p>
    <w:p w14:paraId="77910C5E" w14:textId="77777777" w:rsidR="00F73D5B" w:rsidRPr="008B7A21" w:rsidRDefault="00F73D5B" w:rsidP="00F73D5B">
      <w:pPr>
        <w:rPr>
          <w:lang w:val="es-ES_tradnl"/>
        </w:rPr>
      </w:pPr>
      <w:r w:rsidRPr="008B7A21">
        <w:rPr>
          <w:lang w:val="es-ES_tradnl"/>
        </w:rPr>
        <w:t>Los coeficientes se aplican para cada frecuencia radioeléctrica (radiocanal) y/o banda de frecuencias.</w:t>
      </w:r>
    </w:p>
    <w:p w14:paraId="12945821" w14:textId="77777777" w:rsidR="00F73D5B" w:rsidRPr="008B7A21" w:rsidRDefault="00F73D5B" w:rsidP="00F73D5B">
      <w:pPr>
        <w:rPr>
          <w:lang w:val="es-ES_tradnl"/>
        </w:rPr>
      </w:pPr>
      <w:r w:rsidRPr="008B7A21">
        <w:rPr>
          <w:szCs w:val="24"/>
          <w:lang w:val="es-ES_tradnl"/>
        </w:rPr>
        <w:t>Cuando un usuario de espectro (en adelante, el usuario) utiliza diversas tecnologías radioeléctricas celulares en una banda de frecuencias, el canon anual por banda de frecuencias se</w:t>
      </w:r>
      <w:r w:rsidRPr="008B7A21">
        <w:rPr>
          <w:lang w:val="es-ES_tradnl"/>
        </w:rPr>
        <w:t xml:space="preserve"> calcula utilizando el máximo </w:t>
      </w:r>
      <w:r w:rsidRPr="008B7A21">
        <w:rPr>
          <w:i/>
          <w:lang w:val="es-ES_tradnl"/>
        </w:rPr>
        <w:t>K</w:t>
      </w:r>
      <w:r w:rsidRPr="008B7A21">
        <w:rPr>
          <w:i/>
          <w:vertAlign w:val="subscript"/>
          <w:lang w:val="es-ES_tradnl"/>
        </w:rPr>
        <w:t>tech</w:t>
      </w:r>
      <w:r w:rsidRPr="008B7A21">
        <w:rPr>
          <w:lang w:val="es-ES_tradnl"/>
        </w:rPr>
        <w:t xml:space="preserve"> para la tecnología radioeléctrica utilizada en la banda de frecuencia.</w:t>
      </w:r>
    </w:p>
    <w:p w14:paraId="6005A5B4" w14:textId="77777777" w:rsidR="00F73D5B" w:rsidRPr="008B7A21" w:rsidRDefault="00F73D5B" w:rsidP="00F73D5B">
      <w:pPr>
        <w:rPr>
          <w:lang w:val="es-ES_tradnl"/>
        </w:rPr>
      </w:pPr>
      <w:r w:rsidRPr="008B7A21">
        <w:rPr>
          <w:lang w:val="es-ES_tradnl"/>
        </w:rPr>
        <w:t>La cantidad de canon anual establecida para las autorizaciones de uso de frecuencias radioeléctricas o canales radioeléctricos por sistemas radioeléctricos en redes públicas que no se han registrado en un año desde la fecha de la autorización del sistema radioeléctrico se multiplica por diez desde el día en que finaliza ese año y hasta que se registra el sistema.</w:t>
      </w:r>
    </w:p>
    <w:p w14:paraId="53B2E1AD" w14:textId="77777777" w:rsidR="00F73D5B" w:rsidRPr="008B7A21" w:rsidRDefault="00F73D5B" w:rsidP="00F73D5B">
      <w:pPr>
        <w:rPr>
          <w:lang w:val="es-ES_tradnl"/>
        </w:rPr>
      </w:pPr>
      <w:r w:rsidRPr="008B7A21">
        <w:rPr>
          <w:lang w:val="es-ES_tradnl"/>
        </w:rPr>
        <w:t xml:space="preserve">La cantidad de canon anual establecida para las autorizaciones de uso de frecuencias radioeléctricas o canales radioeléctricos por sistemas radioeléctricos en redes tecnológicas y previstas para tal fin, sistemas de radiodifusión por radio y televisión, y sistemas radioeléctricos utilizados en las regiones </w:t>
      </w:r>
      <w:r w:rsidRPr="008B7A21">
        <w:rPr>
          <w:bCs/>
          <w:lang w:val="es-ES_tradnl"/>
        </w:rPr>
        <w:t>muy al norte</w:t>
      </w:r>
      <w:r w:rsidRPr="008B7A21">
        <w:rPr>
          <w:lang w:val="es-ES_tradnl"/>
        </w:rPr>
        <w:t xml:space="preserve"> y equivalentes, que no se han registrado en dos años desde la fecha de la autorización del sistema radioeléctrico, se multiplica por diez desde el día en que finaliza ese año y hasta que se registra el sistema.</w:t>
      </w:r>
    </w:p>
    <w:p w14:paraId="10888A49" w14:textId="77777777" w:rsidR="00F73D5B" w:rsidRPr="008B7A21" w:rsidRDefault="00F73D5B" w:rsidP="00F73D5B">
      <w:pPr>
        <w:pStyle w:val="Heading4"/>
        <w:rPr>
          <w:lang w:val="es-ES_tradnl"/>
        </w:rPr>
      </w:pPr>
      <w:r w:rsidRPr="008B7A21">
        <w:rPr>
          <w:lang w:val="es-ES_tradnl"/>
        </w:rPr>
        <w:t>5.2.7.4</w:t>
      </w:r>
      <w:r w:rsidRPr="008B7A21">
        <w:rPr>
          <w:lang w:val="es-ES_tradnl"/>
        </w:rPr>
        <w:tab/>
        <w:t>Cálculo del coeficiente dependiente del número de frecuencias radioeléctricas utilizada (canales radioeléctricos)</w:t>
      </w:r>
    </w:p>
    <w:p w14:paraId="612DBD3A" w14:textId="77777777" w:rsidR="00F73D5B" w:rsidRPr="008B7A21" w:rsidRDefault="00F73D5B" w:rsidP="00F73D5B">
      <w:pPr>
        <w:rPr>
          <w:lang w:val="es-ES_tradnl"/>
        </w:rPr>
      </w:pPr>
      <w:r w:rsidRPr="008B7A21">
        <w:rPr>
          <w:lang w:val="es-ES_tradnl"/>
        </w:rPr>
        <w:t>El coeficiente dependiente del número de frecuencias radioeléctricas (radiocanales) utilizadas por sistemas radioeléctricos, incluidos sistemas y tecnologías radioeléctricos celulares que han especificado banda de frecuencia en la autorización, excluidos los sistemas radioeléctricos MMDS, las estaciones terrenas de sistemas de satélites (ETSS) y las estaciones centrales (Hub) del VSAT, se calcula mediante la siguiente fórmula:</w:t>
      </w:r>
    </w:p>
    <w:p w14:paraId="32C14871" w14:textId="77777777" w:rsidR="00F73D5B" w:rsidRPr="008B7A21" w:rsidRDefault="00F73D5B" w:rsidP="00F73D5B">
      <w:pPr>
        <w:pStyle w:val="Equation"/>
        <w:rPr>
          <w:lang w:val="es-ES_tradnl"/>
        </w:rPr>
      </w:pPr>
      <w:r w:rsidRPr="008B7A21">
        <w:rPr>
          <w:lang w:val="es-ES_tradnl"/>
        </w:rPr>
        <w:tab/>
      </w:r>
      <w:r w:rsidRPr="008B7A21">
        <w:rPr>
          <w:lang w:val="es-ES_tradnl"/>
        </w:rPr>
        <w:tab/>
      </w:r>
      <w:r w:rsidRPr="008B7A21">
        <w:rPr>
          <w:position w:val="-14"/>
          <w:lang w:val="es-ES_tradnl"/>
        </w:rPr>
        <w:object w:dxaOrig="1219" w:dyaOrig="400" w14:anchorId="7DBF186B">
          <v:shape id="_x0000_i1757" type="#_x0000_t75" style="width:57.75pt;height:21.75pt" o:ole="">
            <v:imagedata r:id="rId231" o:title=""/>
          </v:shape>
          <o:OLEObject Type="Embed" ProgID="Equation.3" ShapeID="_x0000_i1757" DrawAspect="Content" ObjectID="_1826705967" r:id="rId232"/>
        </w:object>
      </w:r>
      <w:r w:rsidRPr="008B7A21">
        <w:rPr>
          <w:lang w:val="es-ES_tradnl"/>
        </w:rPr>
        <w:tab/>
      </w:r>
    </w:p>
    <w:p w14:paraId="3C04DFE2" w14:textId="4F52DADA" w:rsidR="00F73D5B" w:rsidRPr="008B7A21" w:rsidRDefault="00F73D5B" w:rsidP="00D849A8">
      <w:pPr>
        <w:pStyle w:val="Equationlegend"/>
        <w:keepNext/>
        <w:keepLines/>
        <w:rPr>
          <w:lang w:val="es-ES_tradnl"/>
        </w:rPr>
      </w:pPr>
      <w:r w:rsidRPr="008B7A21">
        <w:rPr>
          <w:lang w:val="es-ES_tradnl"/>
        </w:rPr>
        <w:t>donde:</w:t>
      </w:r>
    </w:p>
    <w:p w14:paraId="220DA9DC" w14:textId="77777777" w:rsidR="00F73D5B" w:rsidRPr="008B7A21" w:rsidRDefault="00F73D5B" w:rsidP="00D849A8">
      <w:pPr>
        <w:pStyle w:val="Equationlegend"/>
        <w:keepNext/>
        <w:keepLines/>
        <w:rPr>
          <w:lang w:val="es-ES_tradnl"/>
        </w:rPr>
      </w:pPr>
      <w:r w:rsidRPr="008B7A21">
        <w:rPr>
          <w:lang w:val="es-ES_tradnl"/>
        </w:rPr>
        <w:tab/>
      </w:r>
      <w:r w:rsidRPr="008B7A21">
        <w:rPr>
          <w:i/>
          <w:iCs/>
          <w:lang w:val="es-ES_tradnl"/>
        </w:rPr>
        <w:t>K</w:t>
      </w:r>
      <w:r w:rsidRPr="008B7A21">
        <w:rPr>
          <w:i/>
          <w:vertAlign w:val="subscript"/>
          <w:lang w:val="es-ES_tradnl"/>
        </w:rPr>
        <w:t>Nf</w:t>
      </w:r>
      <w:r w:rsidRPr="008B7A21">
        <w:rPr>
          <w:lang w:val="es-ES_tradnl"/>
        </w:rPr>
        <w:t xml:space="preserve">: </w:t>
      </w:r>
      <w:r w:rsidRPr="008B7A21">
        <w:rPr>
          <w:lang w:val="es-ES_tradnl"/>
        </w:rPr>
        <w:tab/>
        <w:t>coeficiente dependiente del número de frecuencias radioeléctricas empleadas (radiocanales)</w:t>
      </w:r>
    </w:p>
    <w:p w14:paraId="013A1EB7" w14:textId="77777777" w:rsidR="00F73D5B" w:rsidRPr="008B7A21" w:rsidRDefault="00F73D5B" w:rsidP="00F73D5B">
      <w:pPr>
        <w:pStyle w:val="Equationlegend"/>
        <w:rPr>
          <w:lang w:val="es-ES_tradnl"/>
        </w:rPr>
      </w:pPr>
      <w:r w:rsidRPr="008B7A21">
        <w:rPr>
          <w:i/>
          <w:lang w:val="es-ES_tradnl"/>
        </w:rPr>
        <w:tab/>
        <w:t>N</w:t>
      </w:r>
      <w:r w:rsidRPr="008B7A21">
        <w:rPr>
          <w:lang w:val="es-ES_tradnl"/>
        </w:rPr>
        <w:t xml:space="preserve">: </w:t>
      </w:r>
      <w:r w:rsidRPr="008B7A21">
        <w:rPr>
          <w:lang w:val="es-ES_tradnl"/>
        </w:rPr>
        <w:tab/>
        <w:t>número de frecuencias radioeléctricas utilizadas (canales radioeléctricos).</w:t>
      </w:r>
    </w:p>
    <w:p w14:paraId="2DB8F207" w14:textId="77777777" w:rsidR="00F73D5B" w:rsidRPr="008B7A21" w:rsidRDefault="00F73D5B" w:rsidP="00F73D5B">
      <w:pPr>
        <w:pStyle w:val="Note"/>
        <w:rPr>
          <w:lang w:val="es-ES_tradnl"/>
        </w:rPr>
      </w:pPr>
      <w:r w:rsidRPr="008B7A21">
        <w:rPr>
          <w:bCs/>
          <w:lang w:val="es-ES_tradnl"/>
        </w:rPr>
        <w:t>NOTA 1 – Un</w:t>
      </w:r>
      <w:r w:rsidRPr="008B7A21">
        <w:rPr>
          <w:lang w:val="es-ES_tradnl"/>
        </w:rPr>
        <w:t xml:space="preserve"> número </w:t>
      </w:r>
      <w:r w:rsidRPr="008B7A21">
        <w:rPr>
          <w:i/>
          <w:iCs/>
          <w:lang w:val="es-ES_tradnl"/>
        </w:rPr>
        <w:t>N</w:t>
      </w:r>
      <w:r w:rsidRPr="008B7A21">
        <w:rPr>
          <w:lang w:val="es-ES_tradnl"/>
        </w:rPr>
        <w:t xml:space="preserve"> para transmisores de TV (excluidos sistemas radioeléctricos MMDS) se calcula con arreglo al número de radiocanales utilizado, mientras que para las estaciones de retransmisión, excluidas las estaciones de radiodifusión periodística y las estaciones de base (abonado) de repetidores telefónicos, se calcula con arreglo al número de frecuencias radioeléctricas utilizadas por los transmisores.</w:t>
      </w:r>
    </w:p>
    <w:p w14:paraId="2B29BC14" w14:textId="77777777" w:rsidR="00F73D5B" w:rsidRPr="008B7A21" w:rsidRDefault="00F73D5B" w:rsidP="00F73D5B">
      <w:pPr>
        <w:rPr>
          <w:lang w:val="es-ES_tradnl"/>
        </w:rPr>
      </w:pPr>
      <w:r w:rsidRPr="008B7A21">
        <w:rPr>
          <w:lang w:val="es-ES_tradnl"/>
        </w:rPr>
        <w:t xml:space="preserve">El número </w:t>
      </w:r>
      <w:r w:rsidRPr="008B7A21">
        <w:rPr>
          <w:i/>
          <w:lang w:val="es-ES_tradnl"/>
        </w:rPr>
        <w:t>N</w:t>
      </w:r>
      <w:r w:rsidRPr="008B7A21">
        <w:rPr>
          <w:lang w:val="es-ES_tradnl"/>
        </w:rPr>
        <w:t xml:space="preserve"> de frecuencias radioeléctricas utilizadas (canales radioeléctricos) para tecnologías radioeléctricas celulares se calcula para cada banda de frecuencias asignada por la decisión de la CEFR o especificada por la licencia en relación con cada sujeto (parte de sujeto) de la Federación de Rusia especificado en la licencia o decisión de la CEFR.</w:t>
      </w:r>
    </w:p>
    <w:p w14:paraId="7B211FD2" w14:textId="77777777" w:rsidR="00F73D5B" w:rsidRPr="008B7A21" w:rsidRDefault="00F73D5B" w:rsidP="00F73D5B">
      <w:pPr>
        <w:rPr>
          <w:lang w:val="es-ES_tradnl"/>
        </w:rPr>
      </w:pPr>
      <w:r w:rsidRPr="008B7A21">
        <w:rPr>
          <w:lang w:val="es-ES_tradnl"/>
        </w:rPr>
        <w:t>Si en la licencia o decisión de la CEFR se asigna una banda de frecuencias a un usuario no aplicable a todo el territorio del sujeto sino a una parte de su territorio, el número de frecuencias radioeléctricas utilizadas (canales radioeléctricos) se calcula únicamente en relación con la parte del sujeto de la Federación de Rusia.</w:t>
      </w:r>
    </w:p>
    <w:p w14:paraId="40CEA799" w14:textId="77777777" w:rsidR="00F73D5B" w:rsidRPr="008B7A21" w:rsidRDefault="00F73D5B" w:rsidP="00F73D5B">
      <w:pPr>
        <w:rPr>
          <w:lang w:val="es-ES_tradnl"/>
        </w:rPr>
      </w:pPr>
      <w:r w:rsidRPr="008B7A21">
        <w:rPr>
          <w:lang w:val="es-ES_tradnl"/>
        </w:rPr>
        <w:t>Cuando se asignan bandas de frecuencias repetidas a usuarios para que apliquen tecnologías radioeléctricas celulares basándose en decisiones de la CEFR adoptadas con respecto de un rango indeterminado de gente, se calcula un número de frecuencias radioeléctricas utilizadas (canales radioeléctricos) basándose en el ancho de banda total de los canales radioeléctricos no repetidos asignados a un usuario con respecto de los sujetos (parte del sujeto) de la Federación de Rusia.</w:t>
      </w:r>
    </w:p>
    <w:p w14:paraId="530074D1" w14:textId="77777777" w:rsidR="00F73D5B" w:rsidRPr="008B7A21" w:rsidRDefault="00F73D5B" w:rsidP="00F73D5B">
      <w:pPr>
        <w:rPr>
          <w:lang w:val="es-ES_tradnl"/>
        </w:rPr>
      </w:pPr>
      <w:r w:rsidRPr="008B7A21">
        <w:rPr>
          <w:lang w:val="es-ES_tradnl"/>
        </w:rPr>
        <w:t>El número de frecuencias radioeléctricas utilizadas (canales radioeléctricos) para otras tecnologías se calcula según las autorizaciones concedidas por cada estación radioeléctrica teniendo en cuenta sus coordenadas geográficas y sumando el número de frecuencias radioeléctricas (canales radioeléctricos) utilizadas para transmitir y/o recibir señales radioeléctricas.</w:t>
      </w:r>
    </w:p>
    <w:p w14:paraId="538E66C4" w14:textId="77777777" w:rsidR="00F73D5B" w:rsidRPr="008B7A21" w:rsidRDefault="00F73D5B" w:rsidP="00F73D5B">
      <w:pPr>
        <w:rPr>
          <w:lang w:val="es-ES_tradnl"/>
        </w:rPr>
      </w:pPr>
      <w:r w:rsidRPr="008B7A21">
        <w:rPr>
          <w:lang w:val="es-ES_tradnl"/>
        </w:rPr>
        <w:t xml:space="preserve">Si la frecuencia de recepción es la misma que la de transmisión, se considerará que el </w:t>
      </w:r>
      <w:r w:rsidRPr="008B7A21">
        <w:rPr>
          <w:i/>
          <w:lang w:val="es-ES_tradnl"/>
        </w:rPr>
        <w:t>N</w:t>
      </w:r>
      <w:r w:rsidRPr="008B7A21">
        <w:rPr>
          <w:lang w:val="es-ES_tradnl"/>
        </w:rPr>
        <w:t xml:space="preserve"> de esa frecuencia es igual a 1 al calcular el coeficiente, dependiendo del número de frecuencias utilizadas (canales radioeléctricos).</w:t>
      </w:r>
    </w:p>
    <w:p w14:paraId="19095C2D" w14:textId="77777777" w:rsidR="00F73D5B" w:rsidRPr="008B7A21" w:rsidRDefault="00F73D5B" w:rsidP="00F73D5B">
      <w:pPr>
        <w:rPr>
          <w:lang w:val="es-ES_tradnl"/>
        </w:rPr>
      </w:pPr>
      <w:r w:rsidRPr="008B7A21">
        <w:rPr>
          <w:lang w:val="es-ES_tradnl"/>
        </w:rPr>
        <w:t>Las frecuencias radioeléctricas (radiocanales) recomendadas para la reasignación no se tomen en consideración al calcular el canon de autorización.</w:t>
      </w:r>
    </w:p>
    <w:p w14:paraId="1721DE33" w14:textId="77777777" w:rsidR="00F73D5B" w:rsidRPr="008B7A21" w:rsidRDefault="00F73D5B" w:rsidP="00F73D5B">
      <w:pPr>
        <w:rPr>
          <w:lang w:val="es-ES_tradnl"/>
        </w:rPr>
      </w:pPr>
      <w:r w:rsidRPr="008B7A21">
        <w:rPr>
          <w:lang w:val="es-ES_tradnl"/>
        </w:rPr>
        <w:t xml:space="preserve">Al calcular el canon para la autorización donde se han recomendado frecuencias radioeléctricas (radiocanales) para la reasignación, se calcula el coeficiente </w:t>
      </w:r>
      <w:r w:rsidRPr="008B7A21">
        <w:rPr>
          <w:i/>
          <w:iCs/>
          <w:lang w:val="es-ES_tradnl"/>
        </w:rPr>
        <w:t>K</w:t>
      </w:r>
      <w:r w:rsidRPr="008B7A21">
        <w:rPr>
          <w:i/>
          <w:vertAlign w:val="subscript"/>
          <w:lang w:val="es-ES_tradnl"/>
        </w:rPr>
        <w:t>Nf</w:t>
      </w:r>
      <w:r w:rsidRPr="008B7A21">
        <w:rPr>
          <w:lang w:val="es-ES_tradnl"/>
        </w:rPr>
        <w:t xml:space="preserve"> como el número de todas las frecuencias nominales (incluidas las repetidas) especificadas en el cuadro de frecuencias/plan territorial de la autorización.</w:t>
      </w:r>
    </w:p>
    <w:p w14:paraId="095618AE" w14:textId="77777777" w:rsidR="00F73D5B" w:rsidRPr="008B7A21" w:rsidRDefault="00F73D5B" w:rsidP="00F73D5B">
      <w:pPr>
        <w:rPr>
          <w:lang w:val="es-ES_tradnl"/>
        </w:rPr>
      </w:pPr>
      <w:r w:rsidRPr="008B7A21">
        <w:rPr>
          <w:lang w:val="es-ES_tradnl"/>
        </w:rPr>
        <w:t xml:space="preserve">Si el cuadro del plan territorial de frecuencias de la autorización específica las estaciones de abonado móviles terrestres (portátiles) en el área de operación de las estaciones de base, no se calcula </w:t>
      </w:r>
      <w:r w:rsidRPr="008B7A21">
        <w:rPr>
          <w:i/>
          <w:lang w:val="es-ES_tradnl"/>
        </w:rPr>
        <w:t>K</w:t>
      </w:r>
      <w:r w:rsidRPr="008B7A21">
        <w:rPr>
          <w:i/>
          <w:vertAlign w:val="subscript"/>
          <w:lang w:val="es-ES_tradnl"/>
        </w:rPr>
        <w:t>Nf</w:t>
      </w:r>
      <w:r w:rsidRPr="008B7A21">
        <w:rPr>
          <w:vertAlign w:val="subscript"/>
          <w:lang w:val="es-ES_tradnl"/>
        </w:rPr>
        <w:t xml:space="preserve"> </w:t>
      </w:r>
      <w:r w:rsidRPr="008B7A21">
        <w:rPr>
          <w:lang w:val="es-ES_tradnl"/>
        </w:rPr>
        <w:t xml:space="preserve"> para esos abonados.</w:t>
      </w:r>
    </w:p>
    <w:p w14:paraId="46FD8FFF" w14:textId="77777777" w:rsidR="00F73D5B" w:rsidRPr="008B7A21" w:rsidRDefault="00F73D5B" w:rsidP="00F73D5B">
      <w:pPr>
        <w:rPr>
          <w:lang w:val="es-ES_tradnl"/>
        </w:rPr>
      </w:pPr>
      <w:r w:rsidRPr="008B7A21">
        <w:rPr>
          <w:lang w:val="es-ES_tradnl"/>
        </w:rPr>
        <w:t xml:space="preserve">Utilizando la siguiente fórmula se calcula un número </w:t>
      </w:r>
      <w:r w:rsidRPr="008B7A21">
        <w:rPr>
          <w:i/>
          <w:iCs/>
          <w:lang w:val="es-ES_tradnl"/>
        </w:rPr>
        <w:t>N</w:t>
      </w:r>
      <w:r w:rsidRPr="008B7A21">
        <w:rPr>
          <w:lang w:val="es-ES_tradnl"/>
        </w:rPr>
        <w:t xml:space="preserve"> para tecnologías radioeléctricas celulares y otras tecnologías, las cuales han especificado el ancho de banda de frecuencia en la autorización:</w:t>
      </w:r>
    </w:p>
    <w:p w14:paraId="0889F9BD" w14:textId="77777777" w:rsidR="00F73D5B" w:rsidRPr="008B7A21" w:rsidRDefault="00F73D5B" w:rsidP="00F73D5B">
      <w:pPr>
        <w:pStyle w:val="Blanc"/>
        <w:rPr>
          <w:lang w:val="es-ES_tradnl"/>
        </w:rPr>
      </w:pPr>
    </w:p>
    <w:p w14:paraId="303E81CE" w14:textId="77777777" w:rsidR="00F73D5B" w:rsidRPr="008B7A21" w:rsidRDefault="00F73D5B" w:rsidP="00F73D5B">
      <w:pPr>
        <w:pStyle w:val="Equation"/>
        <w:rPr>
          <w:lang w:val="es-ES_tradnl"/>
        </w:rPr>
      </w:pPr>
      <w:r w:rsidRPr="008B7A21">
        <w:rPr>
          <w:iCs/>
          <w:lang w:val="es-ES_tradnl"/>
        </w:rPr>
        <w:tab/>
      </w:r>
      <w:r w:rsidRPr="008B7A21">
        <w:rPr>
          <w:iCs/>
          <w:lang w:val="es-ES_tradnl"/>
        </w:rPr>
        <w:tab/>
      </w:r>
      <w:r w:rsidRPr="008B7A21">
        <w:rPr>
          <w:i/>
          <w:lang w:val="es-ES_tradnl"/>
        </w:rPr>
        <w:t>N</w:t>
      </w:r>
      <w:r w:rsidRPr="008B7A21">
        <w:rPr>
          <w:iCs/>
          <w:lang w:val="es-ES_tradnl"/>
        </w:rPr>
        <w:t xml:space="preserve"> = </w:t>
      </w:r>
      <w:r w:rsidRPr="008B7A21">
        <w:rPr>
          <w:lang w:val="es-ES_tradnl"/>
        </w:rPr>
        <w:t>Δ</w:t>
      </w:r>
      <w:r w:rsidRPr="008B7A21">
        <w:rPr>
          <w:i/>
          <w:lang w:val="es-ES_tradnl"/>
        </w:rPr>
        <w:t xml:space="preserve">F </w:t>
      </w:r>
      <w:r w:rsidRPr="008B7A21">
        <w:rPr>
          <w:lang w:val="es-ES_tradnl"/>
        </w:rPr>
        <w:t>(MHz)</w:t>
      </w:r>
      <w:r w:rsidRPr="008B7A21">
        <w:rPr>
          <w:sz w:val="8"/>
          <w:szCs w:val="8"/>
          <w:lang w:val="es-ES_tradnl"/>
        </w:rPr>
        <w:t> </w:t>
      </w:r>
      <w:r w:rsidRPr="008B7A21">
        <w:rPr>
          <w:lang w:val="es-ES_tradnl"/>
        </w:rPr>
        <w:t>/</w:t>
      </w:r>
      <w:r w:rsidRPr="008B7A21">
        <w:rPr>
          <w:sz w:val="8"/>
          <w:szCs w:val="8"/>
          <w:lang w:val="es-ES_tradnl"/>
        </w:rPr>
        <w:t> </w:t>
      </w:r>
      <w:r w:rsidRPr="008B7A21">
        <w:rPr>
          <w:lang w:val="es-ES_tradnl"/>
        </w:rPr>
        <w:t>1 MHz</w:t>
      </w:r>
    </w:p>
    <w:p w14:paraId="690693E0" w14:textId="77777777" w:rsidR="00F73D5B" w:rsidRPr="008B7A21" w:rsidRDefault="00F73D5B" w:rsidP="00F73D5B">
      <w:pPr>
        <w:pStyle w:val="Equation"/>
        <w:rPr>
          <w:lang w:val="es-ES_tradnl"/>
        </w:rPr>
      </w:pPr>
      <w:r w:rsidRPr="008B7A21">
        <w:rPr>
          <w:lang w:val="es-ES_tradnl"/>
        </w:rPr>
        <w:t>donde:</w:t>
      </w:r>
    </w:p>
    <w:p w14:paraId="3C63E2A0" w14:textId="77777777" w:rsidR="00F73D5B" w:rsidRPr="008B7A21" w:rsidRDefault="00F73D5B" w:rsidP="00F73D5B">
      <w:pPr>
        <w:pStyle w:val="Equationlegend"/>
        <w:rPr>
          <w:lang w:val="es-ES_tradnl"/>
        </w:rPr>
      </w:pPr>
      <w:r w:rsidRPr="008B7A21">
        <w:rPr>
          <w:lang w:val="es-ES_tradnl"/>
        </w:rPr>
        <w:tab/>
        <w:t>Δ</w:t>
      </w:r>
      <w:r w:rsidRPr="008B7A21">
        <w:rPr>
          <w:i/>
          <w:lang w:val="es-ES_tradnl"/>
        </w:rPr>
        <w:t>F</w:t>
      </w:r>
      <w:r w:rsidRPr="008B7A21">
        <w:rPr>
          <w:lang w:val="es-ES_tradnl"/>
        </w:rPr>
        <w:t xml:space="preserve">: </w:t>
      </w:r>
      <w:r w:rsidRPr="008B7A21">
        <w:rPr>
          <w:lang w:val="es-ES_tradnl"/>
        </w:rPr>
        <w:tab/>
        <w:t>ancho de banda de frecuencia asignada a usuario de espectro (ancho de banda total de canales radioeléctricos no repetidos) o ancho de banda de frecuencia especificada en la autorización.</w:t>
      </w:r>
    </w:p>
    <w:p w14:paraId="5EF9DD54" w14:textId="77777777" w:rsidR="00F73D5B" w:rsidRPr="008B7A21" w:rsidRDefault="00F73D5B" w:rsidP="00F73D5B">
      <w:pPr>
        <w:rPr>
          <w:lang w:val="es-ES_tradnl"/>
        </w:rPr>
      </w:pPr>
      <w:r w:rsidRPr="008B7A21">
        <w:rPr>
          <w:lang w:val="es-ES_tradnl"/>
        </w:rPr>
        <w:t>El número de frecuencias radioeléctricas de sistemas inalámbricos digitales (DECT) se calcula según la banda de frecuencias asignada.</w:t>
      </w:r>
    </w:p>
    <w:p w14:paraId="32ACCB1D" w14:textId="77777777" w:rsidR="00F73D5B" w:rsidRPr="008B7A21" w:rsidRDefault="00F73D5B" w:rsidP="00F73D5B">
      <w:pPr>
        <w:keepNext/>
        <w:keepLines/>
        <w:rPr>
          <w:lang w:val="es-ES_tradnl"/>
        </w:rPr>
      </w:pPr>
      <w:r w:rsidRPr="008B7A21">
        <w:rPr>
          <w:i/>
          <w:lang w:val="es-ES_tradnl"/>
        </w:rPr>
        <w:t>K</w:t>
      </w:r>
      <w:r w:rsidRPr="008B7A21">
        <w:rPr>
          <w:i/>
          <w:vertAlign w:val="subscript"/>
          <w:lang w:val="es-ES_tradnl"/>
        </w:rPr>
        <w:t>Nf</w:t>
      </w:r>
      <w:r w:rsidRPr="008B7A21">
        <w:rPr>
          <w:lang w:val="es-ES_tradnl"/>
        </w:rPr>
        <w:t xml:space="preserve"> para estaciones de radiocomunicaciones de MMDS, ESSS y VSAT Hub (Central) se calcula utilizando la siguiente fórmula:</w:t>
      </w:r>
    </w:p>
    <w:p w14:paraId="29F8EB15" w14:textId="77777777" w:rsidR="00F73D5B" w:rsidRPr="008B7A21" w:rsidRDefault="00F73D5B" w:rsidP="00F73D5B">
      <w:pPr>
        <w:pStyle w:val="Blanc"/>
        <w:rPr>
          <w:lang w:val="es-ES_tradnl"/>
        </w:rPr>
      </w:pPr>
    </w:p>
    <w:p w14:paraId="4D5F4C69" w14:textId="77777777" w:rsidR="00F73D5B" w:rsidRPr="008B7A21" w:rsidRDefault="00F73D5B" w:rsidP="00F73D5B">
      <w:pPr>
        <w:pStyle w:val="Equation"/>
        <w:rPr>
          <w:lang w:val="es-ES_tradnl"/>
        </w:rPr>
      </w:pPr>
      <w:r w:rsidRPr="008B7A21">
        <w:rPr>
          <w:lang w:val="es-ES_tradnl"/>
        </w:rPr>
        <w:tab/>
      </w:r>
      <w:r w:rsidRPr="008B7A21">
        <w:rPr>
          <w:lang w:val="es-ES_tradnl"/>
        </w:rPr>
        <w:tab/>
      </w:r>
      <m:oMath>
        <m:sSub>
          <m:sSubPr>
            <m:ctrlPr>
              <w:rPr>
                <w:rFonts w:ascii="Cambria Math" w:hAnsi="Cambria Math"/>
                <w:lang w:val="es-ES_tradnl"/>
              </w:rPr>
            </m:ctrlPr>
          </m:sSubPr>
          <m:e>
            <m:r>
              <w:rPr>
                <w:rFonts w:ascii="Cambria Math" w:hAnsi="Cambria Math"/>
                <w:lang w:val="es-ES_tradnl"/>
              </w:rPr>
              <m:t>K</m:t>
            </m:r>
          </m:e>
          <m:sub>
            <m:r>
              <w:rPr>
                <w:rFonts w:ascii="Cambria Math" w:hAnsi="Cambria Math"/>
                <w:lang w:val="es-ES_tradnl"/>
              </w:rPr>
              <m:t>Nf</m:t>
            </m:r>
          </m:sub>
        </m:sSub>
        <m:r>
          <m:rPr>
            <m:sty m:val="p"/>
          </m:rPr>
          <w:rPr>
            <w:rFonts w:ascii="Cambria Math" w:hAnsi="Cambria Math"/>
            <w:lang w:val="es-ES_tradnl"/>
          </w:rPr>
          <m:t>=</m:t>
        </m:r>
        <m:d>
          <m:dPr>
            <m:begChr m:val="["/>
            <m:endChr m:val="]"/>
            <m:ctrlPr>
              <w:rPr>
                <w:rFonts w:ascii="Cambria Math" w:hAnsi="Cambria Math"/>
                <w:lang w:val="es-ES_tradnl"/>
              </w:rPr>
            </m:ctrlPr>
          </m:dPr>
          <m:e>
            <m:nary>
              <m:naryPr>
                <m:chr m:val="∑"/>
                <m:limLoc m:val="undOvr"/>
                <m:ctrlPr>
                  <w:rPr>
                    <w:rFonts w:ascii="Cambria Math" w:hAnsi="Cambria Math"/>
                    <w:lang w:val="es-ES_tradnl"/>
                  </w:rPr>
                </m:ctrlPr>
              </m:naryPr>
              <m:sub>
                <m:r>
                  <w:rPr>
                    <w:rFonts w:ascii="Cambria Math" w:hAnsi="Cambria Math"/>
                    <w:lang w:val="es-ES_tradnl"/>
                  </w:rPr>
                  <m:t>i</m:t>
                </m:r>
                <m:r>
                  <m:rPr>
                    <m:sty m:val="p"/>
                  </m:rPr>
                  <w:rPr>
                    <w:rFonts w:ascii="Cambria Math" w:hAnsi="Cambria Math"/>
                    <w:lang w:val="es-ES_tradnl"/>
                  </w:rPr>
                  <m:t>=1</m:t>
                </m:r>
              </m:sub>
              <m:sup>
                <m:r>
                  <w:rPr>
                    <w:rFonts w:ascii="Cambria Math" w:hAnsi="Cambria Math"/>
                    <w:lang w:val="es-ES_tradnl"/>
                  </w:rPr>
                  <m:t>S</m:t>
                </m:r>
              </m:sup>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máx</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mín</m:t>
                        </m:r>
                      </m:sub>
                    </m:sSub>
                  </m:e>
                </m:d>
              </m:e>
            </m:nary>
            <m:r>
              <m:rPr>
                <m:sty m:val="p"/>
              </m:rPr>
              <w:rPr>
                <w:rFonts w:ascii="Cambria Math" w:hAnsi="Cambria Math"/>
                <w:lang w:val="es-ES_tradnl"/>
              </w:rPr>
              <m:t>+</m:t>
            </m:r>
            <m:nary>
              <m:naryPr>
                <m:chr m:val="∑"/>
                <m:limLoc m:val="undOvr"/>
                <m:ctrlPr>
                  <w:rPr>
                    <w:rFonts w:ascii="Cambria Math" w:hAnsi="Cambria Math"/>
                    <w:lang w:val="es-ES_tradnl"/>
                  </w:rPr>
                </m:ctrlPr>
              </m:naryPr>
              <m:sub>
                <m:r>
                  <w:rPr>
                    <w:rFonts w:ascii="Cambria Math" w:hAnsi="Cambria Math"/>
                    <w:lang w:val="es-ES_tradnl"/>
                  </w:rPr>
                  <m:t>i</m:t>
                </m:r>
                <m:r>
                  <m:rPr>
                    <m:sty m:val="p"/>
                  </m:rPr>
                  <w:rPr>
                    <w:rFonts w:ascii="Cambria Math" w:hAnsi="Cambria Math"/>
                    <w:lang w:val="es-ES_tradnl"/>
                  </w:rPr>
                  <m:t>=1</m:t>
                </m:r>
              </m:sub>
              <m:sup>
                <m:r>
                  <w:rPr>
                    <w:rFonts w:ascii="Cambria Math" w:hAnsi="Cambria Math"/>
                    <w:lang w:val="es-ES_tradnl"/>
                  </w:rPr>
                  <m:t>M</m:t>
                </m:r>
              </m:sup>
              <m:e>
                <m:sSub>
                  <m:sSubPr>
                    <m:ctrlPr>
                      <w:rPr>
                        <w:rFonts w:ascii="Cambria Math" w:hAnsi="Cambria Math"/>
                        <w:lang w:val="es-ES_tradnl"/>
                      </w:rPr>
                    </m:ctrlPr>
                  </m:sSubPr>
                  <m:e>
                    <m:r>
                      <w:rPr>
                        <w:rFonts w:ascii="Cambria Math" w:hAnsi="Cambria Math"/>
                        <w:lang w:val="es-ES_tradnl"/>
                      </w:rPr>
                      <m:t>B</m:t>
                    </m:r>
                  </m:e>
                  <m:sub>
                    <m:r>
                      <w:rPr>
                        <w:rFonts w:ascii="Cambria Math" w:hAnsi="Cambria Math"/>
                        <w:lang w:val="es-ES_tradnl"/>
                      </w:rPr>
                      <m:t>req</m:t>
                    </m:r>
                    <m:r>
                      <m:rPr>
                        <m:sty m:val="p"/>
                      </m:rPr>
                      <w:rPr>
                        <w:rFonts w:ascii="Cambria Math" w:hAnsi="Cambria Math"/>
                        <w:lang w:val="es-ES_tradnl"/>
                      </w:rPr>
                      <m:t>_</m:t>
                    </m:r>
                    <m:r>
                      <w:rPr>
                        <w:rFonts w:ascii="Cambria Math" w:hAnsi="Cambria Math"/>
                        <w:lang w:val="es-ES_tradnl"/>
                      </w:rPr>
                      <m:t>fi</m:t>
                    </m:r>
                  </m:sub>
                </m:sSub>
              </m:e>
            </m:nary>
          </m:e>
        </m:d>
        <m:r>
          <m:rPr>
            <m:sty m:val="p"/>
          </m:rPr>
          <w:rPr>
            <w:rFonts w:ascii="Cambria Math" w:hAnsi="Cambria Math"/>
            <w:lang w:val="es-ES_tradnl"/>
          </w:rPr>
          <m:t>/ 1 MHz</m:t>
        </m:r>
      </m:oMath>
    </w:p>
    <w:p w14:paraId="5C03326F" w14:textId="77777777" w:rsidR="00F73D5B" w:rsidRPr="008B7A21" w:rsidRDefault="00F73D5B" w:rsidP="00F73D5B">
      <w:pPr>
        <w:pStyle w:val="Blanc"/>
        <w:rPr>
          <w:lang w:val="es-ES_tradnl"/>
        </w:rPr>
      </w:pPr>
    </w:p>
    <w:p w14:paraId="01B2A172" w14:textId="77777777" w:rsidR="00F73D5B" w:rsidRPr="008B7A21" w:rsidRDefault="00F73D5B" w:rsidP="00F73D5B">
      <w:pPr>
        <w:rPr>
          <w:lang w:val="es-ES_tradnl"/>
        </w:rPr>
      </w:pPr>
      <w:r w:rsidRPr="008B7A21">
        <w:rPr>
          <w:lang w:val="es-ES_tradnl"/>
        </w:rPr>
        <w:t>donde:</w:t>
      </w:r>
    </w:p>
    <w:p w14:paraId="3CE85314" w14:textId="77777777" w:rsidR="00F73D5B" w:rsidRPr="008B7A21" w:rsidRDefault="00F73D5B" w:rsidP="00F73D5B">
      <w:pPr>
        <w:pStyle w:val="Equationlegend"/>
        <w:rPr>
          <w:lang w:val="es-ES_tradnl"/>
        </w:rPr>
      </w:pPr>
      <w:r w:rsidRPr="008B7A21">
        <w:rPr>
          <w:i/>
          <w:lang w:val="es-ES_tradnl"/>
        </w:rPr>
        <w:tab/>
        <w:t>f</w:t>
      </w:r>
      <w:r w:rsidRPr="008B7A21">
        <w:rPr>
          <w:i/>
          <w:vertAlign w:val="subscript"/>
          <w:lang w:val="es-ES_tradnl"/>
        </w:rPr>
        <w:t>máx</w:t>
      </w:r>
      <w:r w:rsidRPr="008B7A21">
        <w:rPr>
          <w:lang w:val="es-ES_tradnl"/>
        </w:rPr>
        <w:t xml:space="preserve">: </w:t>
      </w:r>
      <w:r w:rsidRPr="008B7A21">
        <w:rPr>
          <w:lang w:val="es-ES_tradnl"/>
        </w:rPr>
        <w:tab/>
        <w:t>frecuencia máxima en transpondedor (MHz), especificado en la autorización</w:t>
      </w:r>
    </w:p>
    <w:p w14:paraId="37C7F6BE" w14:textId="77777777" w:rsidR="00F73D5B" w:rsidRPr="008B7A21" w:rsidRDefault="00F73D5B" w:rsidP="00F73D5B">
      <w:pPr>
        <w:pStyle w:val="Equationlegend"/>
        <w:rPr>
          <w:lang w:val="es-ES_tradnl"/>
        </w:rPr>
      </w:pPr>
      <w:r w:rsidRPr="008B7A21">
        <w:rPr>
          <w:i/>
          <w:lang w:val="es-ES_tradnl"/>
        </w:rPr>
        <w:tab/>
        <w:t>f</w:t>
      </w:r>
      <w:r w:rsidRPr="008B7A21">
        <w:rPr>
          <w:i/>
          <w:vertAlign w:val="subscript"/>
          <w:lang w:val="es-ES_tradnl"/>
        </w:rPr>
        <w:t>mín</w:t>
      </w:r>
      <w:r w:rsidRPr="008B7A21">
        <w:rPr>
          <w:lang w:val="es-ES_tradnl"/>
        </w:rPr>
        <w:t xml:space="preserve">: </w:t>
      </w:r>
      <w:r w:rsidRPr="008B7A21">
        <w:rPr>
          <w:lang w:val="es-ES_tradnl"/>
        </w:rPr>
        <w:tab/>
        <w:t>frecuencia mínima en transpondedor (MHz), especificado en la autorización</w:t>
      </w:r>
    </w:p>
    <w:p w14:paraId="0D51A4A7" w14:textId="77777777" w:rsidR="00F73D5B" w:rsidRPr="008B7A21" w:rsidRDefault="00F73D5B" w:rsidP="00F73D5B">
      <w:pPr>
        <w:pStyle w:val="Equationlegend"/>
        <w:rPr>
          <w:lang w:val="es-ES_tradnl"/>
        </w:rPr>
      </w:pPr>
      <w:r w:rsidRPr="008B7A21">
        <w:rPr>
          <w:i/>
          <w:lang w:val="es-ES_tradnl"/>
        </w:rPr>
        <w:tab/>
        <w:t>S</w:t>
      </w:r>
      <w:r w:rsidRPr="008B7A21">
        <w:rPr>
          <w:lang w:val="es-ES_tradnl"/>
        </w:rPr>
        <w:t xml:space="preserve">: </w:t>
      </w:r>
      <w:r w:rsidRPr="008B7A21">
        <w:rPr>
          <w:lang w:val="es-ES_tradnl"/>
        </w:rPr>
        <w:tab/>
        <w:t>número de transpondedores en la autorización</w:t>
      </w:r>
    </w:p>
    <w:p w14:paraId="1026550A" w14:textId="77777777" w:rsidR="00F73D5B" w:rsidRPr="008B7A21" w:rsidRDefault="00F73D5B" w:rsidP="00F73D5B">
      <w:pPr>
        <w:pStyle w:val="Equationlegend"/>
        <w:rPr>
          <w:lang w:val="es-ES_tradnl"/>
        </w:rPr>
      </w:pPr>
      <w:r w:rsidRPr="008B7A21">
        <w:rPr>
          <w:i/>
          <w:lang w:val="es-ES_tradnl"/>
        </w:rPr>
        <w:tab/>
        <w:t>B</w:t>
      </w:r>
      <w:r w:rsidRPr="008B7A21">
        <w:rPr>
          <w:i/>
          <w:vertAlign w:val="subscript"/>
          <w:lang w:val="es-ES_tradnl"/>
        </w:rPr>
        <w:t xml:space="preserve">req_fi </w:t>
      </w:r>
      <w:r w:rsidRPr="008B7A21">
        <w:rPr>
          <w:lang w:val="es-ES_tradnl"/>
        </w:rPr>
        <w:t xml:space="preserve">: </w:t>
      </w:r>
      <w:r w:rsidRPr="008B7A21">
        <w:rPr>
          <w:lang w:val="es-ES_tradnl"/>
        </w:rPr>
        <w:tab/>
        <w:t xml:space="preserve">ancho de banda máximo requerido y especificado para esa frecuencia en la clase de emisión (en adelante, </w:t>
      </w:r>
      <w:r w:rsidRPr="008B7A21">
        <w:rPr>
          <w:i/>
          <w:lang w:val="es-ES_tradnl"/>
        </w:rPr>
        <w:t>B</w:t>
      </w:r>
      <w:r w:rsidRPr="008B7A21">
        <w:rPr>
          <w:i/>
          <w:vertAlign w:val="subscript"/>
          <w:lang w:val="es-ES_tradnl"/>
        </w:rPr>
        <w:t>req_fi</w:t>
      </w:r>
      <w:r w:rsidRPr="008B7A21">
        <w:rPr>
          <w:lang w:val="es-ES_tradnl"/>
        </w:rPr>
        <w:t>)</w:t>
      </w:r>
    </w:p>
    <w:p w14:paraId="29992738" w14:textId="77777777" w:rsidR="00F73D5B" w:rsidRPr="008B7A21" w:rsidRDefault="00F73D5B" w:rsidP="00F73D5B">
      <w:pPr>
        <w:pStyle w:val="Equationlegend"/>
        <w:rPr>
          <w:lang w:val="es-ES_tradnl"/>
        </w:rPr>
      </w:pPr>
      <w:r w:rsidRPr="008B7A21">
        <w:rPr>
          <w:i/>
          <w:lang w:val="es-ES_tradnl"/>
        </w:rPr>
        <w:tab/>
        <w:t>М</w:t>
      </w:r>
      <w:r w:rsidRPr="008B7A21">
        <w:rPr>
          <w:lang w:val="es-ES_tradnl"/>
        </w:rPr>
        <w:t xml:space="preserve">: </w:t>
      </w:r>
      <w:r w:rsidRPr="008B7A21">
        <w:rPr>
          <w:lang w:val="es-ES_tradnl"/>
        </w:rPr>
        <w:tab/>
        <w:t>número de frecuencias nominales operacionales.</w:t>
      </w:r>
    </w:p>
    <w:p w14:paraId="738246DD" w14:textId="77777777" w:rsidR="00F73D5B" w:rsidRPr="008B7A21" w:rsidRDefault="00F73D5B" w:rsidP="00F73D5B">
      <w:pPr>
        <w:rPr>
          <w:lang w:val="es-ES_tradnl"/>
        </w:rPr>
      </w:pPr>
      <w:r w:rsidRPr="008B7A21">
        <w:rPr>
          <w:lang w:val="es-ES_tradnl"/>
        </w:rPr>
        <w:t xml:space="preserve">Si las frecuencias de transmisión (recepción) operacionales se especifican en la autorización únicamente por la fórmula o gama de frecuencias, </w:t>
      </w:r>
      <w:r w:rsidRPr="008B7A21">
        <w:rPr>
          <w:i/>
          <w:lang w:val="es-ES_tradnl"/>
        </w:rPr>
        <w:t>M</w:t>
      </w:r>
      <w:r w:rsidRPr="008B7A21">
        <w:rPr>
          <w:lang w:val="es-ES_tradnl"/>
        </w:rPr>
        <w:t xml:space="preserve"> y </w:t>
      </w:r>
      <w:r w:rsidRPr="008B7A21">
        <w:rPr>
          <w:i/>
          <w:lang w:val="es-ES_tradnl"/>
        </w:rPr>
        <w:t>B</w:t>
      </w:r>
      <w:r w:rsidRPr="008B7A21">
        <w:rPr>
          <w:i/>
          <w:vertAlign w:val="subscript"/>
          <w:lang w:val="es-ES_tradnl"/>
        </w:rPr>
        <w:t>reg_fi</w:t>
      </w:r>
      <w:r w:rsidRPr="008B7A21">
        <w:rPr>
          <w:lang w:val="es-ES_tradnl"/>
        </w:rPr>
        <w:t xml:space="preserve"> no se tienen en cuenta en el cálculo.</w:t>
      </w:r>
    </w:p>
    <w:p w14:paraId="67E57CFA" w14:textId="77777777" w:rsidR="00F73D5B" w:rsidRPr="008B7A21" w:rsidRDefault="00F73D5B" w:rsidP="00F73D5B">
      <w:pPr>
        <w:rPr>
          <w:lang w:val="es-ES_tradnl"/>
        </w:rPr>
      </w:pPr>
      <w:r w:rsidRPr="008B7A21">
        <w:rPr>
          <w:lang w:val="es-ES_tradnl"/>
        </w:rPr>
        <w:t xml:space="preserve">Si en la autorización solo se especifican las frecuencias de transmisión (recepción) nominal, S, </w:t>
      </w:r>
      <w:r w:rsidRPr="008B7A21">
        <w:rPr>
          <w:i/>
          <w:lang w:val="es-ES_tradnl"/>
        </w:rPr>
        <w:t>f</w:t>
      </w:r>
      <w:r w:rsidRPr="008B7A21">
        <w:rPr>
          <w:i/>
          <w:vertAlign w:val="subscript"/>
          <w:lang w:val="es-ES_tradnl"/>
        </w:rPr>
        <w:t>máx</w:t>
      </w:r>
      <w:r w:rsidRPr="008B7A21">
        <w:rPr>
          <w:lang w:val="es-ES_tradnl"/>
        </w:rPr>
        <w:t xml:space="preserve">, </w:t>
      </w:r>
      <w:r w:rsidRPr="008B7A21">
        <w:rPr>
          <w:i/>
          <w:lang w:val="es-ES_tradnl"/>
        </w:rPr>
        <w:t>f</w:t>
      </w:r>
      <w:r w:rsidRPr="008B7A21">
        <w:rPr>
          <w:i/>
          <w:vertAlign w:val="subscript"/>
          <w:lang w:val="es-ES_tradnl"/>
        </w:rPr>
        <w:t>mín</w:t>
      </w:r>
      <w:r w:rsidRPr="008B7A21">
        <w:rPr>
          <w:lang w:val="es-ES_tradnl"/>
        </w:rPr>
        <w:t xml:space="preserve"> no se tienen en cuenta en los cálculos.</w:t>
      </w:r>
    </w:p>
    <w:p w14:paraId="69F863DA" w14:textId="77777777" w:rsidR="00F73D5B" w:rsidRPr="008B7A21" w:rsidRDefault="00F73D5B" w:rsidP="00F73D5B">
      <w:pPr>
        <w:rPr>
          <w:lang w:val="es-ES_tradnl"/>
        </w:rPr>
      </w:pPr>
      <w:r w:rsidRPr="008B7A21">
        <w:rPr>
          <w:lang w:val="es-ES_tradnl"/>
        </w:rPr>
        <w:t xml:space="preserve">Si para las frecuencias nominales operacionales se especifican diversas clases de emisión, los cálculos se realizarán para la clase de emisión con máxima </w:t>
      </w:r>
      <w:r w:rsidRPr="008B7A21">
        <w:rPr>
          <w:i/>
          <w:lang w:val="es-ES_tradnl"/>
        </w:rPr>
        <w:t>B</w:t>
      </w:r>
      <w:r w:rsidRPr="008B7A21">
        <w:rPr>
          <w:i/>
          <w:vertAlign w:val="subscript"/>
          <w:lang w:val="es-ES_tradnl"/>
        </w:rPr>
        <w:t xml:space="preserve">reg_fi </w:t>
      </w:r>
      <w:r w:rsidRPr="008B7A21">
        <w:rPr>
          <w:lang w:val="es-ES_tradnl"/>
        </w:rPr>
        <w:t>para esa frecuencia operacional.</w:t>
      </w:r>
    </w:p>
    <w:p w14:paraId="791B84A6" w14:textId="77777777" w:rsidR="00F73D5B" w:rsidRPr="008B7A21" w:rsidRDefault="00F73D5B" w:rsidP="00F73D5B">
      <w:pPr>
        <w:rPr>
          <w:lang w:val="es-ES_tradnl"/>
        </w:rPr>
      </w:pPr>
      <w:r w:rsidRPr="008B7A21">
        <w:rPr>
          <w:lang w:val="es-ES_tradnl"/>
        </w:rPr>
        <w:t>Si las frecuencias de transmisión (recepción) operacionales en la autorización para ESSS y VSAT Hub (Central) y/o estaciones de abonado están representadas por diversas fórmulas con una frecuencia central, el cálculo se realizará de conformidad con la suma de las gamas de frecuencias de recepción (transmisión) definidas por esas fórmulas, al tiempo que se tienen en cuenta las partes repetidas de las gamas solo una vez.</w:t>
      </w:r>
    </w:p>
    <w:p w14:paraId="2FBCC812" w14:textId="77777777" w:rsidR="00F73D5B" w:rsidRPr="008B7A21" w:rsidRDefault="00F73D5B" w:rsidP="00F73D5B">
      <w:pPr>
        <w:pStyle w:val="Heading4"/>
        <w:rPr>
          <w:lang w:val="es-ES_tradnl"/>
        </w:rPr>
      </w:pPr>
      <w:bookmarkStart w:id="1963" w:name="_Toc454284982"/>
      <w:bookmarkStart w:id="1964" w:name="sub_1600"/>
      <w:r w:rsidRPr="008B7A21">
        <w:rPr>
          <w:lang w:val="es-ES_tradnl"/>
        </w:rPr>
        <w:t>5.2.7.5</w:t>
      </w:r>
      <w:r w:rsidRPr="008B7A21">
        <w:rPr>
          <w:lang w:val="es-ES_tradnl"/>
        </w:rPr>
        <w:tab/>
        <w:t>Cálculo de coeficiente dependiendo de la tecnología utilizada en el espectro radioeléctrico</w:t>
      </w:r>
      <w:bookmarkEnd w:id="1963"/>
    </w:p>
    <w:bookmarkEnd w:id="1964"/>
    <w:p w14:paraId="78542670" w14:textId="77777777" w:rsidR="00F73D5B" w:rsidRPr="008B7A21" w:rsidRDefault="00F73D5B" w:rsidP="00F73D5B">
      <w:pPr>
        <w:pStyle w:val="Equation"/>
        <w:rPr>
          <w:lang w:val="es-ES_tradnl"/>
        </w:rPr>
      </w:pPr>
      <w:r w:rsidRPr="008B7A21">
        <w:rPr>
          <w:lang w:val="es-ES_tradnl"/>
        </w:rPr>
        <w:t xml:space="preserve">El coeficiente </w:t>
      </w:r>
      <w:r w:rsidRPr="008B7A21">
        <w:rPr>
          <w:i/>
          <w:lang w:val="es-ES_tradnl"/>
        </w:rPr>
        <w:t>K</w:t>
      </w:r>
      <w:r w:rsidRPr="008B7A21">
        <w:rPr>
          <w:i/>
          <w:vertAlign w:val="subscript"/>
          <w:lang w:val="es-ES_tradnl"/>
        </w:rPr>
        <w:t>tech</w:t>
      </w:r>
      <w:r w:rsidRPr="008B7A21">
        <w:rPr>
          <w:lang w:val="es-ES_tradnl"/>
        </w:rPr>
        <w:t xml:space="preserve"> que depende de la tecnología radioeléctrica utilizada en el espectro radioeléctrico se calcula utilizando la siguiente fórmula:</w:t>
      </w:r>
    </w:p>
    <w:p w14:paraId="50FC1ABE" w14:textId="77777777" w:rsidR="00D849A8" w:rsidRPr="00D849A8" w:rsidRDefault="00D849A8" w:rsidP="00D849A8">
      <w:pPr>
        <w:pStyle w:val="Equation"/>
        <w:rPr>
          <w:lang w:val="en-GB"/>
        </w:rPr>
      </w:pPr>
      <w:r w:rsidRPr="00D849A8">
        <w:rPr>
          <w:lang w:val="en-GB"/>
        </w:rPr>
        <w:tab/>
      </w:r>
      <w:r w:rsidRPr="00D849A8">
        <w:rPr>
          <w:lang w:val="en-GB"/>
        </w:rPr>
        <w:tab/>
      </w:r>
      <w:r w:rsidRPr="00D849A8">
        <w:rPr>
          <w:rFonts w:eastAsia="SimSun"/>
          <w:lang w:val="en-GB"/>
        </w:rPr>
        <w:object w:dxaOrig="2670" w:dyaOrig="465" w14:anchorId="229BE064">
          <v:shape id="_x0000_i1763" type="#_x0000_t75" style="width:133.1pt;height:23.45pt" o:ole="">
            <v:imagedata r:id="rId233" o:title=""/>
          </v:shape>
          <o:OLEObject Type="Embed" ProgID="Equation.3" ShapeID="_x0000_i1763" DrawAspect="Content" ObjectID="_1826705968" r:id="rId234"/>
        </w:object>
      </w:r>
    </w:p>
    <w:p w14:paraId="41E99E42" w14:textId="77777777" w:rsidR="00F73D5B" w:rsidRPr="008B7A21" w:rsidRDefault="00F73D5B" w:rsidP="00F73D5B">
      <w:pPr>
        <w:pStyle w:val="Equationlegend"/>
        <w:rPr>
          <w:i/>
          <w:lang w:val="es-ES_tradnl"/>
        </w:rPr>
      </w:pPr>
      <w:r w:rsidRPr="008B7A21">
        <w:rPr>
          <w:lang w:val="es-ES_tradnl"/>
        </w:rPr>
        <w:t>donde:</w:t>
      </w:r>
      <w:r w:rsidRPr="008B7A21">
        <w:rPr>
          <w:i/>
          <w:lang w:val="es-ES_tradnl"/>
        </w:rPr>
        <w:tab/>
      </w:r>
    </w:p>
    <w:p w14:paraId="3A691235" w14:textId="65576519" w:rsidR="00F73D5B" w:rsidRPr="008B7A21" w:rsidRDefault="00F73D5B" w:rsidP="00F73D5B">
      <w:pPr>
        <w:pStyle w:val="Equationlegend"/>
        <w:rPr>
          <w:lang w:val="es-ES_tradnl"/>
        </w:rPr>
      </w:pPr>
      <w:r w:rsidRPr="008B7A21">
        <w:rPr>
          <w:i/>
          <w:lang w:val="es-ES_tradnl"/>
        </w:rPr>
        <w:tab/>
        <w:t>K</w:t>
      </w:r>
      <w:r w:rsidRPr="008B7A21">
        <w:rPr>
          <w:i/>
          <w:vertAlign w:val="subscript"/>
          <w:lang w:val="es-ES_tradnl"/>
        </w:rPr>
        <w:t>adv</w:t>
      </w:r>
      <w:r w:rsidRPr="008B7A21">
        <w:rPr>
          <w:lang w:val="es-ES_tradnl"/>
        </w:rPr>
        <w:t>:</w:t>
      </w:r>
      <w:r w:rsidRPr="008B7A21">
        <w:rPr>
          <w:lang w:val="es-ES_tradnl" w:eastAsia="ko-KR"/>
        </w:rPr>
        <w:tab/>
      </w:r>
      <w:r w:rsidRPr="008B7A21">
        <w:rPr>
          <w:lang w:val="es-ES_tradnl"/>
        </w:rPr>
        <w:t>coeficiente dependiente de la utilización de tecnologías avanzadas. Los coeficientes correspondientes a las tecnologías para las que la Comisión SRFC ha tomado la decisión de eliminar su futura utilización y/o desplazarlas a otras bandas de frecuencias, comienzan a aplicarse desde la fecha en que la SRFC tomó esta decisión respecto del sistema de radiocomunicaciones civiles</w:t>
      </w:r>
    </w:p>
    <w:p w14:paraId="6BEC58FD" w14:textId="77777777" w:rsidR="00F73D5B" w:rsidRPr="008B7A21" w:rsidRDefault="00F73D5B" w:rsidP="00F73D5B">
      <w:pPr>
        <w:pStyle w:val="Equationlegend"/>
        <w:rPr>
          <w:lang w:val="es-ES_tradnl"/>
        </w:rPr>
      </w:pPr>
      <w:r w:rsidRPr="008B7A21">
        <w:rPr>
          <w:lang w:val="es-ES_tradnl"/>
        </w:rPr>
        <w:tab/>
      </w:r>
      <w:r w:rsidRPr="008B7A21">
        <w:rPr>
          <w:i/>
          <w:iCs/>
          <w:lang w:val="es-ES_tradnl"/>
        </w:rPr>
        <w:t>K</w:t>
      </w:r>
      <w:r w:rsidRPr="008B7A21">
        <w:rPr>
          <w:i/>
          <w:iCs/>
          <w:vertAlign w:val="subscript"/>
          <w:lang w:val="es-ES_tradnl"/>
        </w:rPr>
        <w:t>reg</w:t>
      </w:r>
      <w:r w:rsidRPr="008B7A21">
        <w:rPr>
          <w:lang w:val="es-ES_tradnl"/>
        </w:rPr>
        <w:t>:</w:t>
      </w:r>
      <w:r w:rsidRPr="008B7A21">
        <w:rPr>
          <w:lang w:val="es-ES_tradnl"/>
        </w:rPr>
        <w:tab/>
        <w:t>coeficiente que depende del uso intensivo de las bandas de frecuencias asignadas en el sujeto (parte del sujeto) de la Federación de Rusia. Se basa en la densidad de población en el territorio del sujeto (parte del sujeto) de la Federación de Rusia, el grado de desarrollo de las redes de telefonía por radio móvil y el grado de desarrollo económico del sujeto (parte del sujeto) de la Federación de Rusia (el valor del coeficiente varía entre 0,05 y 3)</w:t>
      </w:r>
    </w:p>
    <w:p w14:paraId="651EC4AA" w14:textId="77777777" w:rsidR="00F73D5B" w:rsidRPr="008B7A21" w:rsidRDefault="00F73D5B" w:rsidP="00F73D5B">
      <w:pPr>
        <w:pStyle w:val="Equationlegend"/>
        <w:rPr>
          <w:lang w:val="es-ES_tradnl"/>
        </w:rPr>
      </w:pPr>
      <w:r w:rsidRPr="008B7A21">
        <w:rPr>
          <w:lang w:val="es-ES_tradnl"/>
        </w:rPr>
        <w:tab/>
      </w:r>
      <w:r w:rsidRPr="008B7A21">
        <w:rPr>
          <w:i/>
          <w:iCs/>
          <w:lang w:val="es-ES_tradnl"/>
        </w:rPr>
        <w:t>K</w:t>
      </w:r>
      <w:r w:rsidRPr="008B7A21">
        <w:rPr>
          <w:i/>
          <w:iCs/>
          <w:vertAlign w:val="subscript"/>
          <w:lang w:val="es-ES_tradnl"/>
        </w:rPr>
        <w:t>soc</w:t>
      </w:r>
      <w:r w:rsidRPr="008B7A21">
        <w:rPr>
          <w:lang w:val="es-ES_tradnl"/>
        </w:rPr>
        <w:t>:</w:t>
      </w:r>
      <w:r w:rsidRPr="008B7A21">
        <w:rPr>
          <w:lang w:val="es-ES_tradnl"/>
        </w:rPr>
        <w:tab/>
        <w:t xml:space="preserve">coeficiente en el que se tiene en cuenta un factor social de la implementación de la tecnología. </w:t>
      </w:r>
    </w:p>
    <w:p w14:paraId="686B972E" w14:textId="77777777" w:rsidR="00F73D5B" w:rsidRPr="008B7A21" w:rsidRDefault="00F73D5B" w:rsidP="00F73D5B">
      <w:pPr>
        <w:keepNext/>
        <w:keepLines/>
        <w:rPr>
          <w:lang w:val="es-ES_tradnl"/>
        </w:rPr>
      </w:pPr>
      <w:r w:rsidRPr="008B7A21">
        <w:rPr>
          <w:lang w:val="es-ES_tradnl"/>
        </w:rPr>
        <w:t xml:space="preserve">Para otras tecnologías se calcula </w:t>
      </w:r>
      <w:r w:rsidRPr="008B7A21">
        <w:rPr>
          <w:i/>
          <w:iCs/>
          <w:lang w:val="es-ES_tradnl"/>
        </w:rPr>
        <w:t>Ktech</w:t>
      </w:r>
      <w:r w:rsidRPr="008B7A21">
        <w:rPr>
          <w:lang w:val="es-ES_tradnl"/>
        </w:rPr>
        <w:t xml:space="preserve"> con arreglo a la siguiente fórmula con respecto a cada autorización concedida:</w:t>
      </w:r>
    </w:p>
    <w:p w14:paraId="5D70F520" w14:textId="77777777" w:rsidR="00D849A8" w:rsidRPr="00D849A8" w:rsidRDefault="00D849A8" w:rsidP="00D849A8">
      <w:pPr>
        <w:pStyle w:val="Equation"/>
        <w:rPr>
          <w:lang w:val="en-GB"/>
        </w:rPr>
      </w:pPr>
      <w:r w:rsidRPr="00D849A8">
        <w:rPr>
          <w:lang w:val="en-GB"/>
        </w:rPr>
        <w:tab/>
      </w:r>
      <w:r w:rsidRPr="00D849A8">
        <w:rPr>
          <w:lang w:val="en-GB"/>
        </w:rPr>
        <w:tab/>
      </w:r>
      <w:r w:rsidRPr="00D849A8">
        <w:rPr>
          <w:rFonts w:eastAsia="SimSun"/>
          <w:lang w:val="en-GB"/>
        </w:rPr>
        <w:object w:dxaOrig="3555" w:dyaOrig="465" w14:anchorId="0A57980E">
          <v:shape id="_x0000_i1764" type="#_x0000_t75" style="width:177.5pt;height:23.45pt" o:ole="">
            <v:imagedata r:id="rId235" o:title=""/>
          </v:shape>
          <o:OLEObject Type="Embed" ProgID="Equation.3" ShapeID="_x0000_i1764" DrawAspect="Content" ObjectID="_1826705969" r:id="rId236"/>
        </w:object>
      </w:r>
    </w:p>
    <w:p w14:paraId="27113BFD" w14:textId="77777777" w:rsidR="00D849A8" w:rsidRPr="008B7A21" w:rsidRDefault="00D849A8" w:rsidP="00D849A8">
      <w:pPr>
        <w:pStyle w:val="Blanc"/>
        <w:rPr>
          <w:lang w:val="es-ES_tradnl"/>
        </w:rPr>
      </w:pPr>
    </w:p>
    <w:p w14:paraId="1DFBA570" w14:textId="533AA48A" w:rsidR="00F73D5B" w:rsidRPr="008B7A21" w:rsidRDefault="00F73D5B" w:rsidP="00F73D5B">
      <w:pPr>
        <w:pStyle w:val="Equationlegend"/>
        <w:rPr>
          <w:lang w:val="es-ES_tradnl"/>
        </w:rPr>
      </w:pPr>
      <w:r w:rsidRPr="008B7A21">
        <w:rPr>
          <w:i/>
          <w:lang w:val="es-ES_tradnl"/>
        </w:rPr>
        <w:tab/>
        <w:t>K</w:t>
      </w:r>
      <w:r w:rsidRPr="008B7A21">
        <w:rPr>
          <w:i/>
          <w:vertAlign w:val="subscript"/>
          <w:lang w:val="es-ES_tradnl"/>
        </w:rPr>
        <w:t>Breq</w:t>
      </w:r>
      <w:r w:rsidRPr="008B7A21">
        <w:rPr>
          <w:lang w:val="es-ES_tradnl"/>
        </w:rPr>
        <w:t>:</w:t>
      </w:r>
      <w:r w:rsidRPr="008B7A21">
        <w:rPr>
          <w:lang w:val="es-ES_tradnl"/>
        </w:rPr>
        <w:tab/>
        <w:t>coeficiente dependiente del ancho de banda de la señal requerida para la transmisión de información con la calidad especificada en el canal radioeléctrico utilizado</w:t>
      </w:r>
    </w:p>
    <w:p w14:paraId="5A068E6E" w14:textId="42A9C847" w:rsidR="00F73D5B" w:rsidRPr="008B7A21" w:rsidRDefault="00F73D5B" w:rsidP="00F73D5B">
      <w:pPr>
        <w:pStyle w:val="Equationlegend"/>
        <w:rPr>
          <w:lang w:val="es-ES_tradnl"/>
        </w:rPr>
      </w:pPr>
      <w:r w:rsidRPr="008B7A21">
        <w:rPr>
          <w:i/>
          <w:lang w:val="es-ES_tradnl"/>
        </w:rPr>
        <w:tab/>
        <w:t>K</w:t>
      </w:r>
      <w:r w:rsidRPr="008B7A21">
        <w:rPr>
          <w:i/>
          <w:vertAlign w:val="subscript"/>
          <w:lang w:val="es-ES_tradnl"/>
        </w:rPr>
        <w:t>pop</w:t>
      </w:r>
      <w:r w:rsidRPr="008B7A21">
        <w:rPr>
          <w:lang w:val="es-ES_tradnl"/>
        </w:rPr>
        <w:t>:</w:t>
      </w:r>
      <w:r w:rsidRPr="008B7A21">
        <w:rPr>
          <w:lang w:val="es-ES_tradnl"/>
        </w:rPr>
        <w:tab/>
        <w:t>coeficiente dependiente de la población donde está situado el sistema de radiocomunicaciones y de las fronteras administrativas de la comunidad</w:t>
      </w:r>
    </w:p>
    <w:p w14:paraId="4892FC82" w14:textId="77777777" w:rsidR="00F73D5B" w:rsidRPr="008B7A21" w:rsidRDefault="00F73D5B" w:rsidP="00F73D5B">
      <w:pPr>
        <w:pStyle w:val="Equationlegend"/>
        <w:rPr>
          <w:lang w:val="es-ES_tradnl"/>
        </w:rPr>
      </w:pPr>
      <w:r w:rsidRPr="008B7A21">
        <w:rPr>
          <w:i/>
          <w:lang w:val="es-ES_tradnl"/>
        </w:rPr>
        <w:tab/>
        <w:t>K</w:t>
      </w:r>
      <w:r w:rsidRPr="008B7A21">
        <w:rPr>
          <w:i/>
          <w:vertAlign w:val="subscript"/>
          <w:lang w:val="es-ES_tradnl"/>
        </w:rPr>
        <w:t>adv</w:t>
      </w:r>
      <w:r w:rsidRPr="008B7A21">
        <w:rPr>
          <w:i/>
          <w:lang w:val="es-ES_tradnl"/>
        </w:rPr>
        <w:t xml:space="preserve"> y K</w:t>
      </w:r>
      <w:r w:rsidRPr="008B7A21">
        <w:rPr>
          <w:i/>
          <w:vertAlign w:val="subscript"/>
          <w:lang w:val="es-ES_tradnl"/>
        </w:rPr>
        <w:t>soc</w:t>
      </w:r>
      <w:r w:rsidRPr="008B7A21">
        <w:rPr>
          <w:lang w:val="es-ES_tradnl"/>
        </w:rPr>
        <w:t>:</w:t>
      </w:r>
      <w:r w:rsidRPr="008B7A21">
        <w:rPr>
          <w:lang w:val="es-ES_tradnl"/>
        </w:rPr>
        <w:tab/>
        <w:t>como en la fórmula anterior.</w:t>
      </w:r>
    </w:p>
    <w:p w14:paraId="49EDEC4E" w14:textId="77777777" w:rsidR="00F73D5B" w:rsidRPr="008B7A21" w:rsidRDefault="00F73D5B" w:rsidP="00F73D5B">
      <w:pPr>
        <w:pStyle w:val="Headingb"/>
        <w:rPr>
          <w:lang w:val="es-ES_tradnl"/>
        </w:rPr>
      </w:pPr>
      <w:bookmarkStart w:id="1965" w:name="_Toc454284983"/>
      <w:bookmarkStart w:id="1966" w:name="_Toc462234147"/>
      <w:bookmarkStart w:id="1967" w:name="_Toc499563113"/>
      <w:r w:rsidRPr="008B7A21">
        <w:rPr>
          <w:lang w:val="es-ES_tradnl"/>
        </w:rPr>
        <w:t>Tasas y coeficientes utilizados para calcular el pago único y el canon anual de uso del espectro radioeléctrico</w:t>
      </w:r>
      <w:bookmarkEnd w:id="1965"/>
      <w:bookmarkEnd w:id="1966"/>
      <w:bookmarkEnd w:id="1967"/>
    </w:p>
    <w:p w14:paraId="478F4773" w14:textId="12EB6584" w:rsidR="00F73D5B" w:rsidRPr="008B7A21" w:rsidRDefault="00F73D5B" w:rsidP="00F73D5B">
      <w:pPr>
        <w:pStyle w:val="TableNo"/>
        <w:rPr>
          <w:lang w:val="es-ES_tradnl"/>
        </w:rPr>
      </w:pPr>
      <w:r w:rsidRPr="008B7A21">
        <w:rPr>
          <w:lang w:val="es-ES_tradnl"/>
        </w:rPr>
        <w:t>CUADRO 31</w:t>
      </w:r>
    </w:p>
    <w:p w14:paraId="5EB4DBD2" w14:textId="77777777" w:rsidR="00F73D5B" w:rsidRPr="008B7A21" w:rsidRDefault="00F73D5B" w:rsidP="00F73D5B">
      <w:pPr>
        <w:pStyle w:val="Tabletitle"/>
        <w:rPr>
          <w:lang w:val="es-ES_tradnl"/>
        </w:rPr>
      </w:pPr>
      <w:r w:rsidRPr="008B7A21">
        <w:rPr>
          <w:lang w:val="es-ES_tradnl"/>
        </w:rPr>
        <w:t>Tasas utilizadas para calcular el pago único y el canon anual</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23"/>
        <w:gridCol w:w="3916"/>
      </w:tblGrid>
      <w:tr w:rsidR="00F73D5B" w:rsidRPr="008B7A21" w14:paraId="365701B6" w14:textId="77777777" w:rsidTr="00D849A8">
        <w:trPr>
          <w:jc w:val="center"/>
        </w:trPr>
        <w:tc>
          <w:tcPr>
            <w:tcW w:w="5386" w:type="dxa"/>
            <w:tcBorders>
              <w:top w:val="single" w:sz="4" w:space="0" w:color="auto"/>
              <w:bottom w:val="single" w:sz="4" w:space="0" w:color="auto"/>
              <w:right w:val="single" w:sz="4" w:space="0" w:color="auto"/>
            </w:tcBorders>
          </w:tcPr>
          <w:p w14:paraId="5B61E759" w14:textId="77777777" w:rsidR="00F73D5B" w:rsidRPr="008B7A21" w:rsidRDefault="00F73D5B" w:rsidP="00767A6A">
            <w:pPr>
              <w:pStyle w:val="Tablehead"/>
              <w:rPr>
                <w:lang w:val="es-ES_tradnl"/>
              </w:rPr>
            </w:pPr>
            <w:r w:rsidRPr="008B7A21">
              <w:rPr>
                <w:lang w:val="es-ES_tradnl"/>
              </w:rPr>
              <w:t>Pago</w:t>
            </w:r>
          </w:p>
        </w:tc>
        <w:tc>
          <w:tcPr>
            <w:tcW w:w="3685" w:type="dxa"/>
            <w:tcBorders>
              <w:top w:val="single" w:sz="4" w:space="0" w:color="auto"/>
              <w:left w:val="single" w:sz="4" w:space="0" w:color="auto"/>
              <w:bottom w:val="single" w:sz="4" w:space="0" w:color="auto"/>
            </w:tcBorders>
          </w:tcPr>
          <w:p w14:paraId="55F515ED" w14:textId="77777777" w:rsidR="00F73D5B" w:rsidRPr="008B7A21" w:rsidRDefault="00F73D5B" w:rsidP="00767A6A">
            <w:pPr>
              <w:pStyle w:val="Tablehead"/>
              <w:rPr>
                <w:lang w:val="es-ES_tradnl"/>
              </w:rPr>
            </w:pPr>
            <w:r w:rsidRPr="008B7A21">
              <w:rPr>
                <w:lang w:val="es-ES_tradnl"/>
              </w:rPr>
              <w:t xml:space="preserve">Tasa, rublos </w:t>
            </w:r>
          </w:p>
        </w:tc>
      </w:tr>
      <w:tr w:rsidR="00F73D5B" w:rsidRPr="008B7A21" w14:paraId="36E34DCA" w14:textId="77777777" w:rsidTr="00D849A8">
        <w:trPr>
          <w:jc w:val="center"/>
        </w:trPr>
        <w:tc>
          <w:tcPr>
            <w:tcW w:w="5386" w:type="dxa"/>
            <w:tcBorders>
              <w:top w:val="single" w:sz="4" w:space="0" w:color="auto"/>
              <w:bottom w:val="single" w:sz="4" w:space="0" w:color="auto"/>
              <w:right w:val="single" w:sz="4" w:space="0" w:color="auto"/>
            </w:tcBorders>
          </w:tcPr>
          <w:p w14:paraId="42E96A13" w14:textId="77777777" w:rsidR="00F73D5B" w:rsidRPr="008B7A21" w:rsidRDefault="00F73D5B" w:rsidP="00767A6A">
            <w:pPr>
              <w:pStyle w:val="Tabletext"/>
              <w:jc w:val="left"/>
              <w:rPr>
                <w:lang w:val="es-ES_tradnl"/>
              </w:rPr>
            </w:pPr>
            <w:r w:rsidRPr="008B7A21">
              <w:rPr>
                <w:lang w:val="es-ES_tradnl"/>
              </w:rPr>
              <w:t>Pago único de tecnologías radioeléctricas celulares</w:t>
            </w:r>
          </w:p>
        </w:tc>
        <w:tc>
          <w:tcPr>
            <w:tcW w:w="3685" w:type="dxa"/>
            <w:tcBorders>
              <w:top w:val="single" w:sz="4" w:space="0" w:color="auto"/>
              <w:left w:val="single" w:sz="4" w:space="0" w:color="auto"/>
              <w:bottom w:val="single" w:sz="4" w:space="0" w:color="auto"/>
            </w:tcBorders>
          </w:tcPr>
          <w:p w14:paraId="0F973545" w14:textId="77777777" w:rsidR="00F73D5B" w:rsidRPr="008B7A21" w:rsidRDefault="00F73D5B" w:rsidP="00767A6A">
            <w:pPr>
              <w:pStyle w:val="Tabletext"/>
              <w:jc w:val="center"/>
              <w:rPr>
                <w:lang w:val="es-ES_tradnl"/>
              </w:rPr>
            </w:pPr>
            <w:r w:rsidRPr="008B7A21">
              <w:rPr>
                <w:lang w:val="es-ES_tradnl"/>
              </w:rPr>
              <w:t>70 000</w:t>
            </w:r>
          </w:p>
        </w:tc>
      </w:tr>
      <w:tr w:rsidR="00F73D5B" w:rsidRPr="008B7A21" w14:paraId="2624B366" w14:textId="77777777" w:rsidTr="00D849A8">
        <w:trPr>
          <w:jc w:val="center"/>
        </w:trPr>
        <w:tc>
          <w:tcPr>
            <w:tcW w:w="5386" w:type="dxa"/>
            <w:tcBorders>
              <w:top w:val="single" w:sz="4" w:space="0" w:color="auto"/>
              <w:bottom w:val="single" w:sz="4" w:space="0" w:color="auto"/>
              <w:right w:val="single" w:sz="4" w:space="0" w:color="auto"/>
            </w:tcBorders>
          </w:tcPr>
          <w:p w14:paraId="492C214A" w14:textId="77777777" w:rsidR="00F73D5B" w:rsidRPr="008B7A21" w:rsidRDefault="00F73D5B" w:rsidP="00767A6A">
            <w:pPr>
              <w:pStyle w:val="Tabletext"/>
              <w:jc w:val="left"/>
              <w:rPr>
                <w:lang w:val="es-ES_tradnl"/>
              </w:rPr>
            </w:pPr>
            <w:bookmarkStart w:id="1968" w:name="sub_11048"/>
            <w:r w:rsidRPr="008B7A21">
              <w:rPr>
                <w:lang w:val="es-ES_tradnl"/>
              </w:rPr>
              <w:t>Pago único de otras tecnologías</w:t>
            </w:r>
            <w:bookmarkEnd w:id="1968"/>
          </w:p>
        </w:tc>
        <w:tc>
          <w:tcPr>
            <w:tcW w:w="3685" w:type="dxa"/>
            <w:tcBorders>
              <w:top w:val="single" w:sz="4" w:space="0" w:color="auto"/>
              <w:left w:val="single" w:sz="4" w:space="0" w:color="auto"/>
              <w:bottom w:val="single" w:sz="4" w:space="0" w:color="auto"/>
            </w:tcBorders>
          </w:tcPr>
          <w:p w14:paraId="3D05E4BB" w14:textId="77777777" w:rsidR="00F73D5B" w:rsidRPr="008B7A21" w:rsidRDefault="00F73D5B" w:rsidP="00767A6A">
            <w:pPr>
              <w:pStyle w:val="Tabletext"/>
              <w:jc w:val="center"/>
              <w:rPr>
                <w:lang w:val="es-ES_tradnl"/>
              </w:rPr>
            </w:pPr>
            <w:r w:rsidRPr="008B7A21">
              <w:rPr>
                <w:lang w:val="es-ES_tradnl"/>
              </w:rPr>
              <w:t>300</w:t>
            </w:r>
          </w:p>
        </w:tc>
      </w:tr>
      <w:tr w:rsidR="00F73D5B" w:rsidRPr="008B7A21" w14:paraId="250BDD75" w14:textId="77777777" w:rsidTr="00D849A8">
        <w:trPr>
          <w:jc w:val="center"/>
        </w:trPr>
        <w:tc>
          <w:tcPr>
            <w:tcW w:w="5386" w:type="dxa"/>
            <w:tcBorders>
              <w:top w:val="single" w:sz="4" w:space="0" w:color="auto"/>
              <w:bottom w:val="single" w:sz="4" w:space="0" w:color="auto"/>
              <w:right w:val="single" w:sz="4" w:space="0" w:color="auto"/>
            </w:tcBorders>
          </w:tcPr>
          <w:p w14:paraId="6903253F" w14:textId="77777777" w:rsidR="00F73D5B" w:rsidRPr="008B7A21" w:rsidRDefault="00F73D5B" w:rsidP="00767A6A">
            <w:pPr>
              <w:pStyle w:val="Tabletext"/>
              <w:jc w:val="left"/>
              <w:rPr>
                <w:lang w:val="es-ES_tradnl"/>
              </w:rPr>
            </w:pPr>
            <w:r w:rsidRPr="008B7A21">
              <w:rPr>
                <w:lang w:val="es-ES_tradnl"/>
              </w:rPr>
              <w:t>Canon anual para tecnologías radioeléctricas celulares</w:t>
            </w:r>
          </w:p>
        </w:tc>
        <w:tc>
          <w:tcPr>
            <w:tcW w:w="3685" w:type="dxa"/>
            <w:tcBorders>
              <w:top w:val="single" w:sz="4" w:space="0" w:color="auto"/>
              <w:left w:val="single" w:sz="4" w:space="0" w:color="auto"/>
              <w:bottom w:val="single" w:sz="4" w:space="0" w:color="auto"/>
            </w:tcBorders>
          </w:tcPr>
          <w:p w14:paraId="38B8CFE2" w14:textId="77777777" w:rsidR="00F73D5B" w:rsidRPr="008B7A21" w:rsidRDefault="00F73D5B" w:rsidP="00767A6A">
            <w:pPr>
              <w:pStyle w:val="Tabletext"/>
              <w:jc w:val="center"/>
              <w:rPr>
                <w:lang w:val="es-ES_tradnl"/>
              </w:rPr>
            </w:pPr>
            <w:r w:rsidRPr="008B7A21">
              <w:rPr>
                <w:lang w:val="es-ES_tradnl"/>
              </w:rPr>
              <w:t>264 000</w:t>
            </w:r>
          </w:p>
        </w:tc>
      </w:tr>
      <w:tr w:rsidR="00F73D5B" w:rsidRPr="008B7A21" w14:paraId="7DEFB5CE" w14:textId="77777777" w:rsidTr="00D849A8">
        <w:trPr>
          <w:jc w:val="center"/>
        </w:trPr>
        <w:tc>
          <w:tcPr>
            <w:tcW w:w="5386" w:type="dxa"/>
            <w:tcBorders>
              <w:top w:val="single" w:sz="4" w:space="0" w:color="auto"/>
              <w:bottom w:val="single" w:sz="4" w:space="0" w:color="auto"/>
              <w:right w:val="single" w:sz="4" w:space="0" w:color="auto"/>
            </w:tcBorders>
          </w:tcPr>
          <w:p w14:paraId="533B8880" w14:textId="77777777" w:rsidR="00F73D5B" w:rsidRPr="008B7A21" w:rsidRDefault="00F73D5B" w:rsidP="00767A6A">
            <w:pPr>
              <w:pStyle w:val="Tabletext"/>
              <w:jc w:val="left"/>
              <w:rPr>
                <w:lang w:val="es-ES_tradnl"/>
              </w:rPr>
            </w:pPr>
            <w:r w:rsidRPr="008B7A21">
              <w:rPr>
                <w:lang w:val="es-ES_tradnl"/>
              </w:rPr>
              <w:t>Canon anual para otras tecnologías</w:t>
            </w:r>
          </w:p>
        </w:tc>
        <w:tc>
          <w:tcPr>
            <w:tcW w:w="3685" w:type="dxa"/>
            <w:tcBorders>
              <w:top w:val="single" w:sz="4" w:space="0" w:color="auto"/>
              <w:left w:val="single" w:sz="4" w:space="0" w:color="auto"/>
              <w:bottom w:val="single" w:sz="4" w:space="0" w:color="auto"/>
            </w:tcBorders>
          </w:tcPr>
          <w:p w14:paraId="2DF07CC7" w14:textId="77777777" w:rsidR="00F73D5B" w:rsidRPr="008B7A21" w:rsidRDefault="00F73D5B" w:rsidP="00767A6A">
            <w:pPr>
              <w:pStyle w:val="Tabletext"/>
              <w:jc w:val="center"/>
              <w:rPr>
                <w:lang w:val="es-ES_tradnl"/>
              </w:rPr>
            </w:pPr>
            <w:r w:rsidRPr="008B7A21">
              <w:rPr>
                <w:lang w:val="es-ES_tradnl"/>
              </w:rPr>
              <w:t>1 400</w:t>
            </w:r>
          </w:p>
        </w:tc>
      </w:tr>
    </w:tbl>
    <w:p w14:paraId="701EA608" w14:textId="77777777" w:rsidR="00F73D5B" w:rsidRPr="008B7A21" w:rsidRDefault="00F73D5B" w:rsidP="00F73D5B">
      <w:pPr>
        <w:pStyle w:val="Tablefin"/>
        <w:rPr>
          <w:lang w:val="es-ES_tradnl"/>
        </w:rPr>
      </w:pPr>
    </w:p>
    <w:p w14:paraId="62D46708" w14:textId="6B7D2155" w:rsidR="00F73D5B" w:rsidRPr="008B7A21" w:rsidRDefault="00F73D5B" w:rsidP="00F73D5B">
      <w:pPr>
        <w:pStyle w:val="TableNo"/>
        <w:rPr>
          <w:lang w:val="es-ES_tradnl"/>
        </w:rPr>
      </w:pPr>
      <w:r w:rsidRPr="008B7A21">
        <w:rPr>
          <w:lang w:val="es-ES_tradnl"/>
        </w:rPr>
        <w:t>CUADRO 32</w:t>
      </w:r>
    </w:p>
    <w:p w14:paraId="09818DED" w14:textId="639057E4" w:rsidR="00F73D5B" w:rsidRPr="008B7A21" w:rsidRDefault="00F73D5B" w:rsidP="00F73D5B">
      <w:pPr>
        <w:pStyle w:val="Tabletitle"/>
        <w:rPr>
          <w:lang w:val="es-ES_tradnl"/>
        </w:rPr>
      </w:pPr>
      <w:r w:rsidRPr="008B7A21">
        <w:rPr>
          <w:lang w:val="es-ES_tradnl"/>
        </w:rPr>
        <w:t>Coeficientes dependientes sobre bandas de frecuencias</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98"/>
        <w:gridCol w:w="3941"/>
      </w:tblGrid>
      <w:tr w:rsidR="00F73D5B" w:rsidRPr="008B7A21" w14:paraId="21EB865A" w14:textId="77777777" w:rsidTr="00D849A8">
        <w:trPr>
          <w:jc w:val="center"/>
        </w:trPr>
        <w:tc>
          <w:tcPr>
            <w:tcW w:w="5329" w:type="dxa"/>
            <w:tcBorders>
              <w:top w:val="single" w:sz="4" w:space="0" w:color="auto"/>
              <w:bottom w:val="single" w:sz="4" w:space="0" w:color="auto"/>
              <w:right w:val="single" w:sz="4" w:space="0" w:color="auto"/>
            </w:tcBorders>
          </w:tcPr>
          <w:p w14:paraId="4A2E85C7" w14:textId="77777777" w:rsidR="00F73D5B" w:rsidRPr="008B7A21" w:rsidRDefault="00F73D5B" w:rsidP="00767A6A">
            <w:pPr>
              <w:pStyle w:val="Tablehead"/>
              <w:rPr>
                <w:lang w:val="es-ES_tradnl"/>
              </w:rPr>
            </w:pPr>
            <w:r w:rsidRPr="008B7A21">
              <w:rPr>
                <w:lang w:val="es-ES_tradnl"/>
              </w:rPr>
              <w:t>Banda de frecuencias</w:t>
            </w:r>
          </w:p>
        </w:tc>
        <w:tc>
          <w:tcPr>
            <w:tcW w:w="3685" w:type="dxa"/>
            <w:tcBorders>
              <w:top w:val="single" w:sz="4" w:space="0" w:color="auto"/>
              <w:left w:val="single" w:sz="4" w:space="0" w:color="auto"/>
              <w:bottom w:val="single" w:sz="4" w:space="0" w:color="auto"/>
            </w:tcBorders>
          </w:tcPr>
          <w:p w14:paraId="75CF0479" w14:textId="77777777" w:rsidR="00F73D5B" w:rsidRPr="008B7A21" w:rsidRDefault="00F73D5B" w:rsidP="00767A6A">
            <w:pPr>
              <w:pStyle w:val="Tablehead"/>
              <w:rPr>
                <w:i/>
                <w:lang w:val="es-ES_tradnl"/>
              </w:rPr>
            </w:pPr>
            <w:r w:rsidRPr="008B7A21">
              <w:rPr>
                <w:i/>
                <w:lang w:val="es-ES_tradnl"/>
              </w:rPr>
              <w:t>K</w:t>
            </w:r>
            <w:r w:rsidRPr="008B7A21">
              <w:rPr>
                <w:i/>
                <w:vertAlign w:val="subscript"/>
                <w:lang w:val="es-ES_tradnl"/>
              </w:rPr>
              <w:t>band</w:t>
            </w:r>
          </w:p>
        </w:tc>
      </w:tr>
      <w:tr w:rsidR="00F73D5B" w:rsidRPr="008B7A21" w14:paraId="04FC179F" w14:textId="77777777" w:rsidTr="00D849A8">
        <w:trPr>
          <w:jc w:val="center"/>
        </w:trPr>
        <w:tc>
          <w:tcPr>
            <w:tcW w:w="5329" w:type="dxa"/>
            <w:tcBorders>
              <w:top w:val="single" w:sz="4" w:space="0" w:color="auto"/>
              <w:bottom w:val="single" w:sz="4" w:space="0" w:color="auto"/>
              <w:right w:val="single" w:sz="4" w:space="0" w:color="auto"/>
            </w:tcBorders>
          </w:tcPr>
          <w:p w14:paraId="638DEFDA" w14:textId="77777777" w:rsidR="00F73D5B" w:rsidRPr="008B7A21" w:rsidRDefault="00F73D5B" w:rsidP="00767A6A">
            <w:pPr>
              <w:pStyle w:val="Tabletext"/>
              <w:jc w:val="left"/>
              <w:rPr>
                <w:lang w:val="es-ES_tradnl"/>
              </w:rPr>
            </w:pPr>
            <w:r w:rsidRPr="008B7A21">
              <w:rPr>
                <w:lang w:val="es-ES_tradnl"/>
              </w:rPr>
              <w:t>Superior a 3 kHz hasta 30 kHz inclusive</w:t>
            </w:r>
          </w:p>
        </w:tc>
        <w:tc>
          <w:tcPr>
            <w:tcW w:w="3685" w:type="dxa"/>
            <w:tcBorders>
              <w:top w:val="single" w:sz="4" w:space="0" w:color="auto"/>
              <w:left w:val="single" w:sz="4" w:space="0" w:color="auto"/>
              <w:bottom w:val="single" w:sz="4" w:space="0" w:color="auto"/>
            </w:tcBorders>
          </w:tcPr>
          <w:p w14:paraId="57377122" w14:textId="77777777" w:rsidR="00F73D5B" w:rsidRPr="008B7A21" w:rsidRDefault="00F73D5B" w:rsidP="00767A6A">
            <w:pPr>
              <w:pStyle w:val="Tabletext"/>
              <w:jc w:val="center"/>
              <w:rPr>
                <w:lang w:val="es-ES_tradnl"/>
              </w:rPr>
            </w:pPr>
            <w:r w:rsidRPr="008B7A21">
              <w:rPr>
                <w:lang w:val="es-ES_tradnl"/>
              </w:rPr>
              <w:t>0,1</w:t>
            </w:r>
          </w:p>
        </w:tc>
      </w:tr>
      <w:tr w:rsidR="00F73D5B" w:rsidRPr="008B7A21" w14:paraId="2308A1A9" w14:textId="77777777" w:rsidTr="00D849A8">
        <w:trPr>
          <w:jc w:val="center"/>
        </w:trPr>
        <w:tc>
          <w:tcPr>
            <w:tcW w:w="5329" w:type="dxa"/>
            <w:tcBorders>
              <w:top w:val="single" w:sz="4" w:space="0" w:color="auto"/>
              <w:bottom w:val="single" w:sz="4" w:space="0" w:color="auto"/>
              <w:right w:val="single" w:sz="4" w:space="0" w:color="auto"/>
            </w:tcBorders>
          </w:tcPr>
          <w:p w14:paraId="5622E250" w14:textId="77777777" w:rsidR="00F73D5B" w:rsidRPr="008B7A21" w:rsidRDefault="00F73D5B" w:rsidP="00767A6A">
            <w:pPr>
              <w:pStyle w:val="Tabletext"/>
              <w:jc w:val="left"/>
              <w:rPr>
                <w:lang w:val="es-ES_tradnl"/>
              </w:rPr>
            </w:pPr>
            <w:r w:rsidRPr="008B7A21">
              <w:rPr>
                <w:lang w:val="es-ES_tradnl"/>
              </w:rPr>
              <w:t>Superior a 30 kHz hasta 300 kHz inclusive</w:t>
            </w:r>
          </w:p>
        </w:tc>
        <w:tc>
          <w:tcPr>
            <w:tcW w:w="3685" w:type="dxa"/>
            <w:tcBorders>
              <w:top w:val="single" w:sz="4" w:space="0" w:color="auto"/>
              <w:left w:val="single" w:sz="4" w:space="0" w:color="auto"/>
              <w:bottom w:val="single" w:sz="4" w:space="0" w:color="auto"/>
            </w:tcBorders>
          </w:tcPr>
          <w:p w14:paraId="1350EFB5" w14:textId="77777777" w:rsidR="00F73D5B" w:rsidRPr="008B7A21" w:rsidRDefault="00F73D5B" w:rsidP="00767A6A">
            <w:pPr>
              <w:pStyle w:val="Tabletext"/>
              <w:jc w:val="center"/>
              <w:rPr>
                <w:lang w:val="es-ES_tradnl"/>
              </w:rPr>
            </w:pPr>
            <w:r w:rsidRPr="008B7A21">
              <w:rPr>
                <w:lang w:val="es-ES_tradnl"/>
              </w:rPr>
              <w:t>0,1</w:t>
            </w:r>
          </w:p>
        </w:tc>
      </w:tr>
      <w:tr w:rsidR="00F73D5B" w:rsidRPr="008B7A21" w14:paraId="44A87662" w14:textId="77777777" w:rsidTr="00D849A8">
        <w:trPr>
          <w:jc w:val="center"/>
        </w:trPr>
        <w:tc>
          <w:tcPr>
            <w:tcW w:w="5329" w:type="dxa"/>
            <w:tcBorders>
              <w:top w:val="single" w:sz="4" w:space="0" w:color="auto"/>
              <w:bottom w:val="single" w:sz="4" w:space="0" w:color="auto"/>
              <w:right w:val="single" w:sz="4" w:space="0" w:color="auto"/>
            </w:tcBorders>
          </w:tcPr>
          <w:p w14:paraId="1D2E9EFF" w14:textId="77777777" w:rsidR="00F73D5B" w:rsidRPr="008B7A21" w:rsidRDefault="00F73D5B" w:rsidP="00767A6A">
            <w:pPr>
              <w:pStyle w:val="Tabletext"/>
              <w:jc w:val="left"/>
              <w:rPr>
                <w:lang w:val="es-ES_tradnl"/>
              </w:rPr>
            </w:pPr>
            <w:r w:rsidRPr="008B7A21">
              <w:rPr>
                <w:lang w:val="es-ES_tradnl"/>
              </w:rPr>
              <w:t>Superior a 300 kHz hasta 3 000 kHz inclusive</w:t>
            </w:r>
          </w:p>
        </w:tc>
        <w:tc>
          <w:tcPr>
            <w:tcW w:w="3685" w:type="dxa"/>
            <w:tcBorders>
              <w:top w:val="single" w:sz="4" w:space="0" w:color="auto"/>
              <w:left w:val="single" w:sz="4" w:space="0" w:color="auto"/>
              <w:bottom w:val="single" w:sz="4" w:space="0" w:color="auto"/>
            </w:tcBorders>
          </w:tcPr>
          <w:p w14:paraId="209664DF" w14:textId="77777777" w:rsidR="00F73D5B" w:rsidRPr="008B7A21" w:rsidRDefault="00F73D5B" w:rsidP="00767A6A">
            <w:pPr>
              <w:pStyle w:val="Tabletext"/>
              <w:jc w:val="center"/>
              <w:rPr>
                <w:lang w:val="es-ES_tradnl"/>
              </w:rPr>
            </w:pPr>
            <w:r w:rsidRPr="008B7A21">
              <w:rPr>
                <w:lang w:val="es-ES_tradnl"/>
              </w:rPr>
              <w:t>0,1</w:t>
            </w:r>
          </w:p>
        </w:tc>
      </w:tr>
      <w:tr w:rsidR="00F73D5B" w:rsidRPr="008B7A21" w14:paraId="2B706A96" w14:textId="77777777" w:rsidTr="00D849A8">
        <w:trPr>
          <w:jc w:val="center"/>
        </w:trPr>
        <w:tc>
          <w:tcPr>
            <w:tcW w:w="5329" w:type="dxa"/>
            <w:tcBorders>
              <w:top w:val="single" w:sz="4" w:space="0" w:color="auto"/>
              <w:bottom w:val="single" w:sz="4" w:space="0" w:color="auto"/>
              <w:right w:val="single" w:sz="4" w:space="0" w:color="auto"/>
            </w:tcBorders>
          </w:tcPr>
          <w:p w14:paraId="0DD2705C" w14:textId="77777777" w:rsidR="00F73D5B" w:rsidRPr="008B7A21" w:rsidRDefault="00F73D5B" w:rsidP="00767A6A">
            <w:pPr>
              <w:pStyle w:val="Tabletext"/>
              <w:jc w:val="left"/>
              <w:rPr>
                <w:lang w:val="es-ES_tradnl"/>
              </w:rPr>
            </w:pPr>
            <w:r w:rsidRPr="008B7A21">
              <w:rPr>
                <w:lang w:val="es-ES_tradnl"/>
              </w:rPr>
              <w:t>Superior a 3 MHz hasta 30 MHz inclusive</w:t>
            </w:r>
          </w:p>
        </w:tc>
        <w:tc>
          <w:tcPr>
            <w:tcW w:w="3685" w:type="dxa"/>
            <w:tcBorders>
              <w:top w:val="single" w:sz="4" w:space="0" w:color="auto"/>
              <w:left w:val="single" w:sz="4" w:space="0" w:color="auto"/>
              <w:bottom w:val="single" w:sz="4" w:space="0" w:color="auto"/>
            </w:tcBorders>
          </w:tcPr>
          <w:p w14:paraId="5D2D3C55" w14:textId="77777777" w:rsidR="00F73D5B" w:rsidRPr="008B7A21" w:rsidRDefault="00F73D5B" w:rsidP="00767A6A">
            <w:pPr>
              <w:pStyle w:val="Tabletext"/>
              <w:jc w:val="center"/>
              <w:rPr>
                <w:lang w:val="es-ES_tradnl"/>
              </w:rPr>
            </w:pPr>
            <w:r w:rsidRPr="008B7A21">
              <w:rPr>
                <w:lang w:val="es-ES_tradnl"/>
              </w:rPr>
              <w:t>0,5</w:t>
            </w:r>
          </w:p>
        </w:tc>
      </w:tr>
      <w:tr w:rsidR="00F73D5B" w:rsidRPr="008B7A21" w14:paraId="5473CE7C" w14:textId="77777777" w:rsidTr="00D849A8">
        <w:trPr>
          <w:jc w:val="center"/>
        </w:trPr>
        <w:tc>
          <w:tcPr>
            <w:tcW w:w="5329" w:type="dxa"/>
            <w:tcBorders>
              <w:top w:val="single" w:sz="4" w:space="0" w:color="auto"/>
              <w:bottom w:val="single" w:sz="4" w:space="0" w:color="auto"/>
              <w:right w:val="single" w:sz="4" w:space="0" w:color="auto"/>
            </w:tcBorders>
          </w:tcPr>
          <w:p w14:paraId="12B5D0F1" w14:textId="77777777" w:rsidR="00F73D5B" w:rsidRPr="008B7A21" w:rsidRDefault="00F73D5B" w:rsidP="00767A6A">
            <w:pPr>
              <w:pStyle w:val="Tabletext"/>
              <w:jc w:val="left"/>
              <w:rPr>
                <w:lang w:val="es-ES_tradnl"/>
              </w:rPr>
            </w:pPr>
            <w:r w:rsidRPr="008B7A21">
              <w:rPr>
                <w:lang w:val="es-ES_tradnl"/>
              </w:rPr>
              <w:t>Superior a 30 MHz hasta 300 MHz inclusive</w:t>
            </w:r>
          </w:p>
        </w:tc>
        <w:tc>
          <w:tcPr>
            <w:tcW w:w="3685" w:type="dxa"/>
            <w:tcBorders>
              <w:top w:val="single" w:sz="4" w:space="0" w:color="auto"/>
              <w:left w:val="single" w:sz="4" w:space="0" w:color="auto"/>
              <w:bottom w:val="single" w:sz="4" w:space="0" w:color="auto"/>
            </w:tcBorders>
          </w:tcPr>
          <w:p w14:paraId="641D55DC" w14:textId="77777777" w:rsidR="00F73D5B" w:rsidRPr="008B7A21" w:rsidRDefault="00F73D5B" w:rsidP="00767A6A">
            <w:pPr>
              <w:pStyle w:val="Tabletext"/>
              <w:jc w:val="center"/>
              <w:rPr>
                <w:lang w:val="es-ES_tradnl"/>
              </w:rPr>
            </w:pPr>
            <w:r w:rsidRPr="008B7A21">
              <w:rPr>
                <w:lang w:val="es-ES_tradnl"/>
              </w:rPr>
              <w:t>2</w:t>
            </w:r>
          </w:p>
        </w:tc>
      </w:tr>
      <w:tr w:rsidR="00F73D5B" w:rsidRPr="008B7A21" w14:paraId="1F1CFC82" w14:textId="77777777" w:rsidTr="00D849A8">
        <w:trPr>
          <w:jc w:val="center"/>
        </w:trPr>
        <w:tc>
          <w:tcPr>
            <w:tcW w:w="5329" w:type="dxa"/>
            <w:tcBorders>
              <w:top w:val="single" w:sz="4" w:space="0" w:color="auto"/>
              <w:bottom w:val="single" w:sz="4" w:space="0" w:color="auto"/>
              <w:right w:val="single" w:sz="4" w:space="0" w:color="auto"/>
            </w:tcBorders>
          </w:tcPr>
          <w:p w14:paraId="79C544A8" w14:textId="77777777" w:rsidR="00F73D5B" w:rsidRPr="008B7A21" w:rsidRDefault="00F73D5B" w:rsidP="00767A6A">
            <w:pPr>
              <w:pStyle w:val="Tabletext"/>
              <w:jc w:val="left"/>
              <w:rPr>
                <w:lang w:val="es-ES_tradnl"/>
              </w:rPr>
            </w:pPr>
            <w:r w:rsidRPr="008B7A21">
              <w:rPr>
                <w:lang w:val="es-ES_tradnl"/>
              </w:rPr>
              <w:t>Superior a 300 MHz hasta 3 000 MHz inclusive</w:t>
            </w:r>
          </w:p>
        </w:tc>
        <w:tc>
          <w:tcPr>
            <w:tcW w:w="3685" w:type="dxa"/>
            <w:tcBorders>
              <w:top w:val="single" w:sz="4" w:space="0" w:color="auto"/>
              <w:left w:val="single" w:sz="4" w:space="0" w:color="auto"/>
              <w:bottom w:val="single" w:sz="4" w:space="0" w:color="auto"/>
            </w:tcBorders>
          </w:tcPr>
          <w:p w14:paraId="1FE7EA87" w14:textId="77777777" w:rsidR="00F73D5B" w:rsidRPr="008B7A21" w:rsidRDefault="00F73D5B" w:rsidP="00767A6A">
            <w:pPr>
              <w:pStyle w:val="Tabletext"/>
              <w:jc w:val="center"/>
              <w:rPr>
                <w:lang w:val="es-ES_tradnl"/>
              </w:rPr>
            </w:pPr>
            <w:r w:rsidRPr="008B7A21">
              <w:rPr>
                <w:lang w:val="es-ES_tradnl"/>
              </w:rPr>
              <w:t>2</w:t>
            </w:r>
          </w:p>
        </w:tc>
      </w:tr>
      <w:tr w:rsidR="00F73D5B" w:rsidRPr="008B7A21" w14:paraId="16F6F6A5" w14:textId="77777777" w:rsidTr="00D849A8">
        <w:trPr>
          <w:jc w:val="center"/>
        </w:trPr>
        <w:tc>
          <w:tcPr>
            <w:tcW w:w="5329" w:type="dxa"/>
            <w:tcBorders>
              <w:top w:val="single" w:sz="4" w:space="0" w:color="auto"/>
              <w:bottom w:val="single" w:sz="4" w:space="0" w:color="auto"/>
              <w:right w:val="single" w:sz="4" w:space="0" w:color="auto"/>
            </w:tcBorders>
          </w:tcPr>
          <w:p w14:paraId="360FDB4C" w14:textId="77777777" w:rsidR="00F73D5B" w:rsidRPr="008B7A21" w:rsidRDefault="00F73D5B" w:rsidP="00767A6A">
            <w:pPr>
              <w:pStyle w:val="Tabletext"/>
              <w:jc w:val="left"/>
              <w:rPr>
                <w:lang w:val="es-ES_tradnl"/>
              </w:rPr>
            </w:pPr>
            <w:r w:rsidRPr="008B7A21">
              <w:rPr>
                <w:lang w:val="es-ES_tradnl"/>
              </w:rPr>
              <w:t>Superior a 3 GHz hasta 30 GHz inclusive</w:t>
            </w:r>
          </w:p>
        </w:tc>
        <w:tc>
          <w:tcPr>
            <w:tcW w:w="3685" w:type="dxa"/>
            <w:tcBorders>
              <w:top w:val="single" w:sz="4" w:space="0" w:color="auto"/>
              <w:left w:val="single" w:sz="4" w:space="0" w:color="auto"/>
              <w:bottom w:val="single" w:sz="4" w:space="0" w:color="auto"/>
            </w:tcBorders>
          </w:tcPr>
          <w:p w14:paraId="195CC4CF" w14:textId="77777777" w:rsidR="00F73D5B" w:rsidRPr="008B7A21" w:rsidRDefault="00F73D5B" w:rsidP="00767A6A">
            <w:pPr>
              <w:pStyle w:val="Tabletext"/>
              <w:jc w:val="center"/>
              <w:rPr>
                <w:lang w:val="es-ES_tradnl"/>
              </w:rPr>
            </w:pPr>
            <w:r w:rsidRPr="008B7A21">
              <w:rPr>
                <w:lang w:val="es-ES_tradnl"/>
              </w:rPr>
              <w:t>1</w:t>
            </w:r>
          </w:p>
        </w:tc>
      </w:tr>
      <w:tr w:rsidR="00F73D5B" w:rsidRPr="008B7A21" w14:paraId="1723ADF3" w14:textId="77777777" w:rsidTr="00D849A8">
        <w:trPr>
          <w:jc w:val="center"/>
        </w:trPr>
        <w:tc>
          <w:tcPr>
            <w:tcW w:w="5329" w:type="dxa"/>
            <w:tcBorders>
              <w:top w:val="single" w:sz="4" w:space="0" w:color="auto"/>
              <w:bottom w:val="single" w:sz="4" w:space="0" w:color="auto"/>
              <w:right w:val="single" w:sz="4" w:space="0" w:color="auto"/>
            </w:tcBorders>
          </w:tcPr>
          <w:p w14:paraId="1B60C952" w14:textId="77777777" w:rsidR="00F73D5B" w:rsidRPr="008B7A21" w:rsidRDefault="00F73D5B" w:rsidP="00767A6A">
            <w:pPr>
              <w:pStyle w:val="Tabletext"/>
              <w:jc w:val="left"/>
              <w:rPr>
                <w:lang w:val="es-ES_tradnl"/>
              </w:rPr>
            </w:pPr>
            <w:r w:rsidRPr="008B7A21">
              <w:rPr>
                <w:lang w:val="es-ES_tradnl"/>
              </w:rPr>
              <w:t>Superior a 30 GHz hasta 300 GHz inclusive</w:t>
            </w:r>
          </w:p>
        </w:tc>
        <w:tc>
          <w:tcPr>
            <w:tcW w:w="3685" w:type="dxa"/>
            <w:tcBorders>
              <w:top w:val="single" w:sz="4" w:space="0" w:color="auto"/>
              <w:left w:val="single" w:sz="4" w:space="0" w:color="auto"/>
              <w:bottom w:val="single" w:sz="4" w:space="0" w:color="auto"/>
            </w:tcBorders>
          </w:tcPr>
          <w:p w14:paraId="6B181D29" w14:textId="77777777" w:rsidR="00F73D5B" w:rsidRPr="008B7A21" w:rsidRDefault="00F73D5B" w:rsidP="00767A6A">
            <w:pPr>
              <w:pStyle w:val="Tabletext"/>
              <w:jc w:val="center"/>
              <w:rPr>
                <w:lang w:val="es-ES_tradnl"/>
              </w:rPr>
            </w:pPr>
            <w:r w:rsidRPr="008B7A21">
              <w:rPr>
                <w:lang w:val="es-ES_tradnl"/>
              </w:rPr>
              <w:t>0,1</w:t>
            </w:r>
          </w:p>
        </w:tc>
      </w:tr>
    </w:tbl>
    <w:p w14:paraId="4ED50716" w14:textId="77777777" w:rsidR="00F73D5B" w:rsidRPr="008B7A21" w:rsidRDefault="00F73D5B" w:rsidP="00F73D5B">
      <w:pPr>
        <w:pStyle w:val="Tablefin"/>
        <w:rPr>
          <w:lang w:val="es-ES_tradnl"/>
        </w:rPr>
      </w:pPr>
    </w:p>
    <w:p w14:paraId="5D7DBF97" w14:textId="34968146" w:rsidR="00F73D5B" w:rsidRPr="008B7A21" w:rsidRDefault="00F73D5B" w:rsidP="00F73D5B">
      <w:pPr>
        <w:pStyle w:val="TableNo"/>
        <w:rPr>
          <w:lang w:val="es-ES_tradnl"/>
        </w:rPr>
      </w:pPr>
      <w:r w:rsidRPr="008B7A21">
        <w:rPr>
          <w:lang w:val="es-ES_tradnl"/>
        </w:rPr>
        <w:t>CUADRO 33</w:t>
      </w:r>
    </w:p>
    <w:p w14:paraId="3C2BF393" w14:textId="77777777" w:rsidR="00F73D5B" w:rsidRPr="008B7A21" w:rsidRDefault="00F73D5B" w:rsidP="00F73D5B">
      <w:pPr>
        <w:pStyle w:val="Tabletitle"/>
        <w:rPr>
          <w:lang w:val="es-ES_tradnl"/>
        </w:rPr>
      </w:pPr>
      <w:r w:rsidRPr="008B7A21">
        <w:rPr>
          <w:lang w:val="es-ES_tradnl"/>
        </w:rPr>
        <w:t>Coeficiente dependiente del uso de tecnología radioeléctrica avanzada</w:t>
      </w:r>
    </w:p>
    <w:tbl>
      <w:tblPr>
        <w:tblW w:w="963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7"/>
        <w:gridCol w:w="7030"/>
        <w:gridCol w:w="1531"/>
      </w:tblGrid>
      <w:tr w:rsidR="00F73D5B" w:rsidRPr="008B7A21" w14:paraId="350F72A3" w14:textId="77777777" w:rsidTr="00767A6A">
        <w:trPr>
          <w:tblHeader/>
          <w:jc w:val="center"/>
        </w:trPr>
        <w:tc>
          <w:tcPr>
            <w:tcW w:w="1077" w:type="dxa"/>
            <w:tcBorders>
              <w:top w:val="single" w:sz="4" w:space="0" w:color="auto"/>
              <w:bottom w:val="single" w:sz="4" w:space="0" w:color="auto"/>
              <w:right w:val="single" w:sz="4" w:space="0" w:color="auto"/>
            </w:tcBorders>
          </w:tcPr>
          <w:p w14:paraId="7D2C2192" w14:textId="77777777" w:rsidR="00F73D5B" w:rsidRPr="008B7A21" w:rsidRDefault="00F73D5B" w:rsidP="00767A6A">
            <w:pPr>
              <w:pStyle w:val="Tablehead"/>
              <w:rPr>
                <w:lang w:val="es-ES_tradnl"/>
              </w:rPr>
            </w:pPr>
            <w:r w:rsidRPr="008B7A21">
              <w:rPr>
                <w:lang w:val="es-ES_tradnl"/>
              </w:rPr>
              <w:t>N.°</w:t>
            </w:r>
          </w:p>
        </w:tc>
        <w:tc>
          <w:tcPr>
            <w:tcW w:w="7030" w:type="dxa"/>
            <w:tcBorders>
              <w:top w:val="single" w:sz="4" w:space="0" w:color="auto"/>
              <w:left w:val="single" w:sz="4" w:space="0" w:color="auto"/>
              <w:bottom w:val="single" w:sz="4" w:space="0" w:color="auto"/>
              <w:right w:val="single" w:sz="4" w:space="0" w:color="auto"/>
            </w:tcBorders>
          </w:tcPr>
          <w:p w14:paraId="2110CFB5" w14:textId="77777777" w:rsidR="00F73D5B" w:rsidRPr="008B7A21" w:rsidRDefault="00F73D5B" w:rsidP="00767A6A">
            <w:pPr>
              <w:pStyle w:val="Tablehead"/>
              <w:rPr>
                <w:lang w:val="es-ES_tradnl"/>
              </w:rPr>
            </w:pPr>
            <w:r w:rsidRPr="008B7A21">
              <w:rPr>
                <w:lang w:val="es-ES_tradnl"/>
              </w:rPr>
              <w:t xml:space="preserve">Grupo de tecnologías radioeléctricas </w:t>
            </w:r>
          </w:p>
        </w:tc>
        <w:tc>
          <w:tcPr>
            <w:tcW w:w="1531" w:type="dxa"/>
            <w:tcBorders>
              <w:top w:val="single" w:sz="4" w:space="0" w:color="auto"/>
              <w:left w:val="single" w:sz="4" w:space="0" w:color="auto"/>
              <w:bottom w:val="single" w:sz="4" w:space="0" w:color="auto"/>
            </w:tcBorders>
          </w:tcPr>
          <w:p w14:paraId="1CFD1B5D" w14:textId="77777777" w:rsidR="00F73D5B" w:rsidRPr="008B7A21" w:rsidRDefault="00F73D5B" w:rsidP="00767A6A">
            <w:pPr>
              <w:pStyle w:val="Tablehead"/>
              <w:rPr>
                <w:i/>
                <w:lang w:val="es-ES_tradnl"/>
              </w:rPr>
            </w:pPr>
            <w:r w:rsidRPr="008B7A21">
              <w:rPr>
                <w:i/>
                <w:lang w:val="es-ES_tradnl"/>
              </w:rPr>
              <w:t>K</w:t>
            </w:r>
            <w:r w:rsidRPr="008B7A21">
              <w:rPr>
                <w:i/>
                <w:vertAlign w:val="subscript"/>
                <w:lang w:val="es-ES_tradnl"/>
              </w:rPr>
              <w:t>adv</w:t>
            </w:r>
          </w:p>
        </w:tc>
      </w:tr>
      <w:tr w:rsidR="00F73D5B" w:rsidRPr="008B7A21" w14:paraId="7BEDC13D" w14:textId="77777777" w:rsidTr="00767A6A">
        <w:trPr>
          <w:jc w:val="center"/>
        </w:trPr>
        <w:tc>
          <w:tcPr>
            <w:tcW w:w="1077" w:type="dxa"/>
            <w:tcBorders>
              <w:top w:val="single" w:sz="4" w:space="0" w:color="auto"/>
              <w:bottom w:val="single" w:sz="4" w:space="0" w:color="auto"/>
              <w:right w:val="single" w:sz="4" w:space="0" w:color="auto"/>
            </w:tcBorders>
          </w:tcPr>
          <w:p w14:paraId="2CADA55E" w14:textId="77777777" w:rsidR="00F73D5B" w:rsidRPr="008B7A21" w:rsidRDefault="00F73D5B" w:rsidP="00767A6A">
            <w:pPr>
              <w:pStyle w:val="Tabletext"/>
              <w:keepNext/>
              <w:keepLines/>
              <w:jc w:val="center"/>
              <w:rPr>
                <w:lang w:val="es-ES_tradnl"/>
              </w:rPr>
            </w:pPr>
            <w:bookmarkStart w:id="1969" w:name="sub_11041"/>
            <w:r w:rsidRPr="008B7A21">
              <w:rPr>
                <w:lang w:val="es-ES_tradnl"/>
              </w:rPr>
              <w:t>1</w:t>
            </w:r>
            <w:bookmarkEnd w:id="1969"/>
          </w:p>
        </w:tc>
        <w:tc>
          <w:tcPr>
            <w:tcW w:w="7030" w:type="dxa"/>
            <w:tcBorders>
              <w:top w:val="single" w:sz="4" w:space="0" w:color="auto"/>
              <w:left w:val="single" w:sz="4" w:space="0" w:color="auto"/>
              <w:bottom w:val="single" w:sz="4" w:space="0" w:color="auto"/>
              <w:right w:val="single" w:sz="4" w:space="0" w:color="auto"/>
            </w:tcBorders>
          </w:tcPr>
          <w:p w14:paraId="1CADCBEF" w14:textId="77777777" w:rsidR="00F73D5B" w:rsidRPr="008B7A21" w:rsidRDefault="00F73D5B" w:rsidP="00767A6A">
            <w:pPr>
              <w:pStyle w:val="Tabletext"/>
              <w:keepNext/>
              <w:keepLines/>
              <w:jc w:val="left"/>
              <w:rPr>
                <w:color w:val="000000"/>
                <w:lang w:val="es-ES_tradnl"/>
              </w:rPr>
            </w:pPr>
            <w:r w:rsidRPr="008B7A21">
              <w:rPr>
                <w:color w:val="000000"/>
                <w:lang w:val="es-ES_tradnl"/>
              </w:rPr>
              <w:t>Tecnologías radioeléctricas para las que se realizan estudios experimentales y/o actividades de investigación y desarrollo con arreglo a la decisión de la CEFR</w:t>
            </w:r>
          </w:p>
        </w:tc>
        <w:tc>
          <w:tcPr>
            <w:tcW w:w="1531" w:type="dxa"/>
            <w:tcBorders>
              <w:top w:val="single" w:sz="4" w:space="0" w:color="auto"/>
              <w:left w:val="single" w:sz="4" w:space="0" w:color="auto"/>
              <w:bottom w:val="single" w:sz="4" w:space="0" w:color="auto"/>
            </w:tcBorders>
          </w:tcPr>
          <w:p w14:paraId="52755FEC" w14:textId="77777777" w:rsidR="00F73D5B" w:rsidRPr="008B7A21" w:rsidRDefault="00F73D5B" w:rsidP="00767A6A">
            <w:pPr>
              <w:pStyle w:val="Tabletext"/>
              <w:keepNext/>
              <w:keepLines/>
              <w:jc w:val="center"/>
              <w:rPr>
                <w:lang w:val="es-ES_tradnl"/>
              </w:rPr>
            </w:pPr>
            <w:r w:rsidRPr="008B7A21">
              <w:rPr>
                <w:lang w:val="es-ES_tradnl"/>
              </w:rPr>
              <w:t>0,001</w:t>
            </w:r>
          </w:p>
        </w:tc>
      </w:tr>
      <w:tr w:rsidR="00F73D5B" w:rsidRPr="008B7A21" w14:paraId="138EEF51" w14:textId="77777777" w:rsidTr="00767A6A">
        <w:trPr>
          <w:jc w:val="center"/>
        </w:trPr>
        <w:tc>
          <w:tcPr>
            <w:tcW w:w="1077" w:type="dxa"/>
            <w:tcBorders>
              <w:top w:val="single" w:sz="4" w:space="0" w:color="auto"/>
              <w:bottom w:val="single" w:sz="4" w:space="0" w:color="auto"/>
              <w:right w:val="single" w:sz="4" w:space="0" w:color="auto"/>
            </w:tcBorders>
          </w:tcPr>
          <w:p w14:paraId="6B1B3F90" w14:textId="77777777" w:rsidR="00F73D5B" w:rsidRPr="008B7A21" w:rsidRDefault="00F73D5B" w:rsidP="00767A6A">
            <w:pPr>
              <w:pStyle w:val="Tabletext"/>
              <w:jc w:val="center"/>
              <w:rPr>
                <w:lang w:val="es-ES_tradnl"/>
              </w:rPr>
            </w:pPr>
            <w:bookmarkStart w:id="1970" w:name="sub_11042"/>
            <w:r w:rsidRPr="008B7A21">
              <w:rPr>
                <w:lang w:val="es-ES_tradnl"/>
              </w:rPr>
              <w:t>2</w:t>
            </w:r>
            <w:bookmarkEnd w:id="1970"/>
          </w:p>
        </w:tc>
        <w:tc>
          <w:tcPr>
            <w:tcW w:w="7030" w:type="dxa"/>
            <w:tcBorders>
              <w:top w:val="single" w:sz="4" w:space="0" w:color="auto"/>
              <w:left w:val="single" w:sz="4" w:space="0" w:color="auto"/>
              <w:bottom w:val="single" w:sz="4" w:space="0" w:color="auto"/>
              <w:right w:val="single" w:sz="4" w:space="0" w:color="auto"/>
            </w:tcBorders>
          </w:tcPr>
          <w:p w14:paraId="0F6261A4" w14:textId="77777777" w:rsidR="00F73D5B" w:rsidRPr="008B7A21" w:rsidRDefault="00F73D5B" w:rsidP="00767A6A">
            <w:pPr>
              <w:pStyle w:val="Tabletext"/>
              <w:jc w:val="left"/>
              <w:rPr>
                <w:rFonts w:ascii="Calibri" w:hAnsi="Calibri"/>
                <w:color w:val="800000"/>
                <w:lang w:val="es-ES_tradnl"/>
              </w:rPr>
            </w:pPr>
            <w:r w:rsidRPr="008B7A21">
              <w:rPr>
                <w:color w:val="000000"/>
                <w:lang w:val="es-ES_tradnl"/>
              </w:rPr>
              <w:t>Tecnologías radioeléctricas civiles para las que la CEFR toma la decisión de cancelar su uso y/o trasladar sistemas radioeléctricos basados en esa tecnología a otras bandas de frecuencias</w:t>
            </w:r>
          </w:p>
        </w:tc>
        <w:tc>
          <w:tcPr>
            <w:tcW w:w="1531" w:type="dxa"/>
            <w:tcBorders>
              <w:top w:val="single" w:sz="4" w:space="0" w:color="auto"/>
              <w:left w:val="single" w:sz="4" w:space="0" w:color="auto"/>
              <w:bottom w:val="single" w:sz="4" w:space="0" w:color="auto"/>
            </w:tcBorders>
          </w:tcPr>
          <w:p w14:paraId="4C487A76" w14:textId="77777777" w:rsidR="00F73D5B" w:rsidRPr="008B7A21" w:rsidRDefault="00F73D5B" w:rsidP="00767A6A">
            <w:pPr>
              <w:pStyle w:val="Tabletext"/>
              <w:jc w:val="center"/>
              <w:rPr>
                <w:lang w:val="es-ES_tradnl"/>
              </w:rPr>
            </w:pPr>
            <w:r w:rsidRPr="008B7A21">
              <w:rPr>
                <w:lang w:val="es-ES_tradnl"/>
              </w:rPr>
              <w:t>3</w:t>
            </w:r>
          </w:p>
        </w:tc>
      </w:tr>
      <w:tr w:rsidR="00F73D5B" w:rsidRPr="008B7A21" w14:paraId="59DB09F1" w14:textId="77777777" w:rsidTr="00767A6A">
        <w:trPr>
          <w:jc w:val="center"/>
        </w:trPr>
        <w:tc>
          <w:tcPr>
            <w:tcW w:w="1077" w:type="dxa"/>
            <w:tcBorders>
              <w:top w:val="single" w:sz="4" w:space="0" w:color="auto"/>
              <w:bottom w:val="single" w:sz="4" w:space="0" w:color="auto"/>
              <w:right w:val="single" w:sz="4" w:space="0" w:color="auto"/>
            </w:tcBorders>
          </w:tcPr>
          <w:p w14:paraId="6D7F9FDC" w14:textId="77777777" w:rsidR="00F73D5B" w:rsidRPr="008B7A21" w:rsidRDefault="00F73D5B" w:rsidP="00767A6A">
            <w:pPr>
              <w:pStyle w:val="Tabletext"/>
              <w:jc w:val="center"/>
              <w:rPr>
                <w:lang w:val="es-ES_tradnl"/>
              </w:rPr>
            </w:pPr>
            <w:bookmarkStart w:id="1971" w:name="sub_11043"/>
            <w:r w:rsidRPr="008B7A21">
              <w:rPr>
                <w:lang w:val="es-ES_tradnl"/>
              </w:rPr>
              <w:t>3</w:t>
            </w:r>
            <w:bookmarkEnd w:id="1971"/>
          </w:p>
        </w:tc>
        <w:tc>
          <w:tcPr>
            <w:tcW w:w="7030" w:type="dxa"/>
            <w:tcBorders>
              <w:top w:val="single" w:sz="4" w:space="0" w:color="auto"/>
              <w:left w:val="single" w:sz="4" w:space="0" w:color="auto"/>
              <w:bottom w:val="single" w:sz="4" w:space="0" w:color="auto"/>
              <w:right w:val="single" w:sz="4" w:space="0" w:color="auto"/>
            </w:tcBorders>
          </w:tcPr>
          <w:p w14:paraId="5424A5EB" w14:textId="77777777" w:rsidR="00F73D5B" w:rsidRPr="008B7A21" w:rsidRDefault="00F73D5B" w:rsidP="00767A6A">
            <w:pPr>
              <w:pStyle w:val="Tabletext"/>
              <w:jc w:val="left"/>
              <w:rPr>
                <w:color w:val="000000"/>
                <w:lang w:val="es-ES_tradnl"/>
              </w:rPr>
            </w:pPr>
            <w:r w:rsidRPr="008B7A21">
              <w:rPr>
                <w:color w:val="000000"/>
                <w:lang w:val="es-ES_tradnl"/>
              </w:rPr>
              <w:t xml:space="preserve">Otras tecnologías radioeléctricas civiles sobre procesamiento digital, no cubiertas por el N.° 1 en este Cuadro* </w:t>
            </w:r>
          </w:p>
        </w:tc>
        <w:tc>
          <w:tcPr>
            <w:tcW w:w="1531" w:type="dxa"/>
            <w:tcBorders>
              <w:top w:val="single" w:sz="4" w:space="0" w:color="auto"/>
              <w:left w:val="single" w:sz="4" w:space="0" w:color="auto"/>
              <w:bottom w:val="single" w:sz="4" w:space="0" w:color="auto"/>
            </w:tcBorders>
          </w:tcPr>
          <w:p w14:paraId="1CFE10E6" w14:textId="77777777" w:rsidR="00F73D5B" w:rsidRPr="008B7A21" w:rsidRDefault="00F73D5B" w:rsidP="00767A6A">
            <w:pPr>
              <w:pStyle w:val="Tabletext"/>
              <w:jc w:val="center"/>
              <w:rPr>
                <w:lang w:val="es-ES_tradnl"/>
              </w:rPr>
            </w:pPr>
            <w:r w:rsidRPr="008B7A21">
              <w:rPr>
                <w:lang w:val="es-ES_tradnl"/>
              </w:rPr>
              <w:t>1</w:t>
            </w:r>
          </w:p>
        </w:tc>
      </w:tr>
      <w:tr w:rsidR="00F73D5B" w:rsidRPr="008B7A21" w14:paraId="6322E2A8" w14:textId="77777777" w:rsidTr="00767A6A">
        <w:trPr>
          <w:jc w:val="center"/>
        </w:trPr>
        <w:tc>
          <w:tcPr>
            <w:tcW w:w="1077" w:type="dxa"/>
            <w:tcBorders>
              <w:top w:val="single" w:sz="4" w:space="0" w:color="auto"/>
              <w:bottom w:val="single" w:sz="4" w:space="0" w:color="auto"/>
              <w:right w:val="single" w:sz="4" w:space="0" w:color="auto"/>
            </w:tcBorders>
          </w:tcPr>
          <w:p w14:paraId="431939D8" w14:textId="77777777" w:rsidR="00F73D5B" w:rsidRPr="008B7A21" w:rsidRDefault="00F73D5B" w:rsidP="00767A6A">
            <w:pPr>
              <w:pStyle w:val="Tabletext"/>
              <w:jc w:val="center"/>
              <w:rPr>
                <w:lang w:val="es-ES_tradnl"/>
              </w:rPr>
            </w:pPr>
            <w:bookmarkStart w:id="1972" w:name="sub_11044"/>
            <w:r w:rsidRPr="008B7A21">
              <w:rPr>
                <w:lang w:val="es-ES_tradnl"/>
              </w:rPr>
              <w:t>4</w:t>
            </w:r>
            <w:bookmarkEnd w:id="1972"/>
          </w:p>
        </w:tc>
        <w:tc>
          <w:tcPr>
            <w:tcW w:w="7030" w:type="dxa"/>
            <w:tcBorders>
              <w:top w:val="single" w:sz="4" w:space="0" w:color="auto"/>
              <w:left w:val="single" w:sz="4" w:space="0" w:color="auto"/>
              <w:bottom w:val="single" w:sz="4" w:space="0" w:color="auto"/>
              <w:right w:val="single" w:sz="4" w:space="0" w:color="auto"/>
            </w:tcBorders>
          </w:tcPr>
          <w:p w14:paraId="39CCDE66" w14:textId="77777777" w:rsidR="00F73D5B" w:rsidRPr="008B7A21" w:rsidRDefault="00F73D5B" w:rsidP="00767A6A">
            <w:pPr>
              <w:pStyle w:val="Tabletext"/>
              <w:jc w:val="left"/>
              <w:rPr>
                <w:color w:val="000000"/>
                <w:lang w:val="es-ES_tradnl"/>
              </w:rPr>
            </w:pPr>
            <w:r w:rsidRPr="008B7A21">
              <w:rPr>
                <w:lang w:val="es-ES_tradnl"/>
              </w:rPr>
              <w:t>Otras tecnologías radioeléctricas civiles basadas en procesamiento analógico, no cubiertas por el N.° 1 y N.° 2 de este Cuadro y también para otros casos*</w:t>
            </w:r>
            <w:r w:rsidRPr="008B7A21">
              <w:rPr>
                <w:color w:val="000000"/>
                <w:lang w:val="es-ES_tradnl"/>
              </w:rPr>
              <w:t>*</w:t>
            </w:r>
          </w:p>
        </w:tc>
        <w:tc>
          <w:tcPr>
            <w:tcW w:w="1531" w:type="dxa"/>
            <w:tcBorders>
              <w:top w:val="single" w:sz="4" w:space="0" w:color="auto"/>
              <w:left w:val="single" w:sz="4" w:space="0" w:color="auto"/>
              <w:bottom w:val="single" w:sz="4" w:space="0" w:color="auto"/>
            </w:tcBorders>
          </w:tcPr>
          <w:p w14:paraId="037CBB1C" w14:textId="77777777" w:rsidR="00F73D5B" w:rsidRPr="008B7A21" w:rsidRDefault="00F73D5B" w:rsidP="00767A6A">
            <w:pPr>
              <w:pStyle w:val="Tabletext"/>
              <w:jc w:val="center"/>
              <w:rPr>
                <w:lang w:val="es-ES_tradnl"/>
              </w:rPr>
            </w:pPr>
            <w:r w:rsidRPr="008B7A21">
              <w:rPr>
                <w:lang w:val="es-ES_tradnl"/>
              </w:rPr>
              <w:t>1,5</w:t>
            </w:r>
          </w:p>
        </w:tc>
      </w:tr>
      <w:tr w:rsidR="00F73D5B" w:rsidRPr="008B7A21" w14:paraId="62900639" w14:textId="77777777" w:rsidTr="00767A6A">
        <w:trPr>
          <w:jc w:val="center"/>
        </w:trPr>
        <w:tc>
          <w:tcPr>
            <w:tcW w:w="1077" w:type="dxa"/>
            <w:tcBorders>
              <w:top w:val="single" w:sz="4" w:space="0" w:color="auto"/>
              <w:bottom w:val="single" w:sz="4" w:space="0" w:color="auto"/>
              <w:right w:val="single" w:sz="4" w:space="0" w:color="auto"/>
            </w:tcBorders>
          </w:tcPr>
          <w:p w14:paraId="4C5E3DCB" w14:textId="77777777" w:rsidR="00F73D5B" w:rsidRPr="008B7A21" w:rsidRDefault="00F73D5B" w:rsidP="00767A6A">
            <w:pPr>
              <w:pStyle w:val="Tabletext"/>
              <w:jc w:val="center"/>
              <w:rPr>
                <w:lang w:val="es-ES_tradnl"/>
              </w:rPr>
            </w:pPr>
            <w:bookmarkStart w:id="1973" w:name="sub_11045"/>
            <w:r w:rsidRPr="008B7A21">
              <w:rPr>
                <w:lang w:val="es-ES_tradnl"/>
              </w:rPr>
              <w:t>5</w:t>
            </w:r>
            <w:bookmarkEnd w:id="1973"/>
          </w:p>
        </w:tc>
        <w:tc>
          <w:tcPr>
            <w:tcW w:w="7030" w:type="dxa"/>
            <w:tcBorders>
              <w:top w:val="single" w:sz="4" w:space="0" w:color="auto"/>
              <w:left w:val="single" w:sz="4" w:space="0" w:color="auto"/>
              <w:bottom w:val="single" w:sz="4" w:space="0" w:color="auto"/>
              <w:right w:val="single" w:sz="4" w:space="0" w:color="auto"/>
            </w:tcBorders>
          </w:tcPr>
          <w:p w14:paraId="56756AC3" w14:textId="77777777" w:rsidR="00F73D5B" w:rsidRPr="008B7A21" w:rsidRDefault="00F73D5B" w:rsidP="00767A6A">
            <w:pPr>
              <w:pStyle w:val="Tabletext"/>
              <w:jc w:val="left"/>
              <w:rPr>
                <w:color w:val="000000"/>
                <w:lang w:val="es-ES_tradnl"/>
              </w:rPr>
            </w:pPr>
            <w:r w:rsidRPr="008B7A21">
              <w:rPr>
                <w:color w:val="000000"/>
                <w:lang w:val="es-ES_tradnl"/>
              </w:rPr>
              <w:t>Las tecnologías radioeléctricas al servicio de la administración estatal, incluidas comunicaciones presidenciales y gubernamentales, defensa nacional, seguridad estatal y control de la aplicación de la ley, no cubiertas por N.° 1 en este Cuadro*</w:t>
            </w:r>
          </w:p>
        </w:tc>
        <w:tc>
          <w:tcPr>
            <w:tcW w:w="1531" w:type="dxa"/>
            <w:tcBorders>
              <w:top w:val="single" w:sz="4" w:space="0" w:color="auto"/>
              <w:left w:val="single" w:sz="4" w:space="0" w:color="auto"/>
              <w:bottom w:val="single" w:sz="4" w:space="0" w:color="auto"/>
            </w:tcBorders>
          </w:tcPr>
          <w:p w14:paraId="718DA8C2" w14:textId="77777777" w:rsidR="00F73D5B" w:rsidRPr="008B7A21" w:rsidRDefault="00F73D5B" w:rsidP="00767A6A">
            <w:pPr>
              <w:pStyle w:val="Tabletext"/>
              <w:jc w:val="center"/>
              <w:rPr>
                <w:lang w:val="es-ES_tradnl"/>
              </w:rPr>
            </w:pPr>
            <w:r w:rsidRPr="008B7A21">
              <w:rPr>
                <w:lang w:val="es-ES_tradnl"/>
              </w:rPr>
              <w:t>1</w:t>
            </w:r>
          </w:p>
        </w:tc>
      </w:tr>
    </w:tbl>
    <w:p w14:paraId="4A4B9A57" w14:textId="77777777" w:rsidR="00F73D5B" w:rsidRPr="008B7A21" w:rsidRDefault="00F73D5B" w:rsidP="00F73D5B">
      <w:pPr>
        <w:pStyle w:val="Tablefin"/>
        <w:rPr>
          <w:lang w:val="es-ES_tradnl"/>
        </w:rPr>
      </w:pPr>
      <w:bookmarkStart w:id="1974" w:name="sub_10000"/>
    </w:p>
    <w:p w14:paraId="516CC915" w14:textId="01BD94B6" w:rsidR="00F73D5B" w:rsidRPr="008B7A21" w:rsidRDefault="00F73D5B" w:rsidP="00F73D5B">
      <w:pPr>
        <w:pStyle w:val="Note"/>
        <w:rPr>
          <w:lang w:val="es-ES_tradnl"/>
        </w:rPr>
      </w:pPr>
      <w:r w:rsidRPr="008B7A21">
        <w:rPr>
          <w:lang w:val="es-ES_tradnl"/>
        </w:rPr>
        <w:t xml:space="preserve">NOTA – </w:t>
      </w:r>
      <w:r w:rsidRPr="008B7A21">
        <w:rPr>
          <w:i/>
          <w:lang w:val="es-ES_tradnl"/>
        </w:rPr>
        <w:t>K</w:t>
      </w:r>
      <w:r w:rsidRPr="008B7A21">
        <w:rPr>
          <w:i/>
          <w:vertAlign w:val="subscript"/>
          <w:lang w:val="es-ES_tradnl"/>
        </w:rPr>
        <w:t>adv</w:t>
      </w:r>
      <w:r w:rsidRPr="008B7A21">
        <w:rPr>
          <w:lang w:val="es-ES_tradnl"/>
        </w:rPr>
        <w:t> = 0,5 cuando se utilizan tecnologías radioeléctricas DVB-Т2 y WiMAX, y cuando se utilizan estaciones terrenas de abonado Ka VSAT en la banda de frecuencias de 29,5-30 GHz y cuando se utilizan estaciones terrenas centrales Ka VSAT en la banda 27,5</w:t>
      </w:r>
      <w:r w:rsidRPr="008B7A21">
        <w:rPr>
          <w:lang w:val="es-ES_tradnl"/>
        </w:rPr>
        <w:noBreakHyphen/>
        <w:t>29,5 GHz;</w:t>
      </w:r>
    </w:p>
    <w:bookmarkEnd w:id="1974"/>
    <w:p w14:paraId="556AFD6C" w14:textId="77777777" w:rsidR="00F73D5B" w:rsidRPr="008B7A21" w:rsidRDefault="00F73D5B" w:rsidP="00F73D5B">
      <w:pPr>
        <w:pStyle w:val="Equationlegend"/>
        <w:rPr>
          <w:lang w:val="es-ES_tradnl"/>
        </w:rPr>
      </w:pPr>
      <w:r w:rsidRPr="008B7A21">
        <w:rPr>
          <w:i/>
          <w:lang w:val="es-ES_tradnl"/>
        </w:rPr>
        <w:tab/>
        <w:t>K</w:t>
      </w:r>
      <w:r w:rsidRPr="008B7A21">
        <w:rPr>
          <w:i/>
          <w:vertAlign w:val="subscript"/>
          <w:lang w:val="es-ES_tradnl"/>
        </w:rPr>
        <w:t>adv</w:t>
      </w:r>
      <w:r w:rsidRPr="008B7A21">
        <w:rPr>
          <w:lang w:val="es-ES_tradnl"/>
        </w:rPr>
        <w:t>:</w:t>
      </w:r>
      <w:r w:rsidRPr="008B7A21">
        <w:rPr>
          <w:lang w:val="es-ES_tradnl"/>
        </w:rPr>
        <w:tab/>
        <w:t>0,1 cuando se utilizan las tecnologías radioeléctricas de norma LTE y sus futuras modificaciones</w:t>
      </w:r>
    </w:p>
    <w:p w14:paraId="04890D6D" w14:textId="77777777" w:rsidR="00F73D5B" w:rsidRPr="008B7A21" w:rsidRDefault="00F73D5B" w:rsidP="00F73D5B">
      <w:pPr>
        <w:pStyle w:val="Equationlegend"/>
        <w:rPr>
          <w:lang w:val="es-ES_tradnl"/>
        </w:rPr>
      </w:pPr>
      <w:bookmarkStart w:id="1975" w:name="sub_111111"/>
      <w:r w:rsidRPr="008B7A21">
        <w:rPr>
          <w:lang w:val="es-ES_tradnl"/>
        </w:rPr>
        <w:tab/>
        <w:t xml:space="preserve">* </w:t>
      </w:r>
      <w:r w:rsidRPr="008B7A21">
        <w:rPr>
          <w:i/>
          <w:lang w:val="es-ES_tradnl"/>
        </w:rPr>
        <w:t>K</w:t>
      </w:r>
      <w:r w:rsidRPr="008B7A21">
        <w:rPr>
          <w:i/>
          <w:vertAlign w:val="subscript"/>
          <w:lang w:val="es-ES_tradnl"/>
        </w:rPr>
        <w:t>adv</w:t>
      </w:r>
      <w:r w:rsidRPr="008B7A21">
        <w:rPr>
          <w:lang w:val="es-ES_tradnl"/>
        </w:rPr>
        <w:t>:</w:t>
      </w:r>
      <w:r w:rsidRPr="008B7A21">
        <w:rPr>
          <w:lang w:val="es-ES_tradnl"/>
        </w:rPr>
        <w:tab/>
        <w:t>1 para emisión de impulsos (secuencia de pulsos) cuando la portadora principal no se modula directamente por la forma de onda de impulso que es cuantificada</w:t>
      </w:r>
    </w:p>
    <w:p w14:paraId="18D4C55F" w14:textId="77777777" w:rsidR="00F73D5B" w:rsidRPr="008B7A21" w:rsidRDefault="00F73D5B" w:rsidP="00F73D5B">
      <w:pPr>
        <w:pStyle w:val="Equationlegend"/>
        <w:rPr>
          <w:lang w:val="es-ES_tradnl"/>
        </w:rPr>
      </w:pPr>
      <w:bookmarkStart w:id="1976" w:name="sub_222222"/>
      <w:bookmarkEnd w:id="1975"/>
      <w:r w:rsidRPr="008B7A21">
        <w:rPr>
          <w:lang w:val="es-ES_tradnl"/>
        </w:rPr>
        <w:tab/>
        <w:t xml:space="preserve">** </w:t>
      </w:r>
      <w:r w:rsidRPr="008B7A21">
        <w:rPr>
          <w:i/>
          <w:lang w:val="es-ES_tradnl"/>
        </w:rPr>
        <w:t>K</w:t>
      </w:r>
      <w:r w:rsidRPr="008B7A21">
        <w:rPr>
          <w:i/>
          <w:vertAlign w:val="subscript"/>
          <w:lang w:val="es-ES_tradnl"/>
        </w:rPr>
        <w:t>adv</w:t>
      </w:r>
      <w:r w:rsidRPr="008B7A21">
        <w:rPr>
          <w:lang w:val="es-ES_tradnl"/>
        </w:rPr>
        <w:t>:</w:t>
      </w:r>
      <w:r w:rsidRPr="008B7A21">
        <w:rPr>
          <w:lang w:val="es-ES_tradnl"/>
        </w:rPr>
        <w:tab/>
        <w:t>se aplica 1,5 para tecnología avanzada (excluido acceso de banda ancha inalámbrico) si:</w:t>
      </w:r>
    </w:p>
    <w:bookmarkEnd w:id="1976"/>
    <w:p w14:paraId="35A49EE3" w14:textId="77777777" w:rsidR="00F73D5B" w:rsidRPr="008B7A21" w:rsidRDefault="00F73D5B" w:rsidP="00F73D5B">
      <w:pPr>
        <w:pStyle w:val="Equationlegend"/>
        <w:ind w:left="2160" w:hanging="2160"/>
        <w:rPr>
          <w:lang w:val="es-ES_tradnl"/>
        </w:rPr>
      </w:pPr>
      <w:r w:rsidRPr="008B7A21">
        <w:rPr>
          <w:lang w:val="es-ES_tradnl"/>
        </w:rPr>
        <w:tab/>
      </w:r>
      <w:r w:rsidRPr="008B7A21">
        <w:rPr>
          <w:lang w:val="es-ES_tradnl"/>
        </w:rPr>
        <w:tab/>
        <w:t>–</w:t>
      </w:r>
      <w:r w:rsidRPr="008B7A21">
        <w:rPr>
          <w:lang w:val="es-ES_tradnl"/>
        </w:rPr>
        <w:tab/>
        <w:t>el segundo símbolo en la clase de emisión especificado en la autorización, con el que se designa la naturaleza de la(s) señal(es) que modula la portadora principal, es 9 (sistema compuesto por uno o más canales con información cuantificada o digital junto con uno o más canales con información analógica) o X (clase de emisión no cubierta de otro modo)</w:t>
      </w:r>
    </w:p>
    <w:p w14:paraId="077027FC" w14:textId="77777777" w:rsidR="00F73D5B" w:rsidRPr="008B7A21" w:rsidRDefault="00F73D5B" w:rsidP="00F73D5B">
      <w:pPr>
        <w:pStyle w:val="Equationlegend"/>
        <w:ind w:left="2160" w:hanging="2160"/>
        <w:rPr>
          <w:lang w:val="es-ES_tradnl"/>
        </w:rPr>
      </w:pPr>
      <w:r w:rsidRPr="008B7A21">
        <w:rPr>
          <w:lang w:val="es-ES_tradnl"/>
        </w:rPr>
        <w:tab/>
      </w:r>
      <w:r w:rsidRPr="008B7A21">
        <w:rPr>
          <w:lang w:val="es-ES_tradnl"/>
        </w:rPr>
        <w:tab/>
        <w:t>–</w:t>
      </w:r>
      <w:r w:rsidRPr="008B7A21">
        <w:rPr>
          <w:lang w:val="es-ES_tradnl"/>
        </w:rPr>
        <w:tab/>
        <w:t>se especifican diversas clases de emisión con diferentes métodos de procesamiento de la información (analógica y digital) para frecuencias radioeléctricas (canales radioeléctricos) en el plan territorial de frecuencias de la autorización.</w:t>
      </w:r>
    </w:p>
    <w:p w14:paraId="74BAA6E4" w14:textId="02C7F704" w:rsidR="00F73D5B" w:rsidRPr="008B7A21" w:rsidRDefault="00F73D5B" w:rsidP="00F73D5B">
      <w:pPr>
        <w:pStyle w:val="TableNo"/>
        <w:rPr>
          <w:lang w:val="es-ES_tradnl"/>
        </w:rPr>
      </w:pPr>
      <w:r w:rsidRPr="008B7A21">
        <w:rPr>
          <w:lang w:val="es-ES_tradnl"/>
        </w:rPr>
        <w:t>CUADRO 34</w:t>
      </w:r>
    </w:p>
    <w:p w14:paraId="37A16972" w14:textId="77777777" w:rsidR="00F73D5B" w:rsidRPr="008B7A21" w:rsidRDefault="00F73D5B" w:rsidP="00F73D5B">
      <w:pPr>
        <w:pStyle w:val="Tabletitle"/>
        <w:rPr>
          <w:lang w:val="es-ES_tradnl"/>
        </w:rPr>
      </w:pPr>
      <w:r w:rsidRPr="008B7A21">
        <w:rPr>
          <w:lang w:val="es-ES_tradnl"/>
        </w:rPr>
        <w:t>Coeficiente que depende del ancho de banda de la señal necesario</w:t>
      </w:r>
      <w:r w:rsidRPr="008B7A21">
        <w:rPr>
          <w:lang w:val="es-ES_tradnl"/>
        </w:rPr>
        <w:br/>
        <w:t>para transmitir información con la calidad especificada</w:t>
      </w:r>
      <w:r w:rsidRPr="008B7A21">
        <w:rPr>
          <w:lang w:val="es-ES_tradnl"/>
        </w:rPr>
        <w:br/>
        <w:t>en el canal radioeléctrico utilizado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2835"/>
      </w:tblGrid>
      <w:tr w:rsidR="00F73D5B" w:rsidRPr="008B7A21" w14:paraId="74C01878" w14:textId="77777777" w:rsidTr="00767A6A">
        <w:trPr>
          <w:jc w:val="center"/>
        </w:trPr>
        <w:tc>
          <w:tcPr>
            <w:tcW w:w="3969" w:type="dxa"/>
          </w:tcPr>
          <w:p w14:paraId="4657148E" w14:textId="77777777" w:rsidR="00F73D5B" w:rsidRPr="008B7A21" w:rsidRDefault="00F73D5B" w:rsidP="00767A6A">
            <w:pPr>
              <w:pStyle w:val="Tablehead"/>
              <w:rPr>
                <w:lang w:val="es-ES_tradnl"/>
              </w:rPr>
            </w:pPr>
            <w:r w:rsidRPr="008B7A21">
              <w:rPr>
                <w:lang w:val="es-ES_tradnl"/>
              </w:rPr>
              <w:t>Ancho de banda necesario</w:t>
            </w:r>
          </w:p>
        </w:tc>
        <w:tc>
          <w:tcPr>
            <w:tcW w:w="2835" w:type="dxa"/>
          </w:tcPr>
          <w:p w14:paraId="15BC52C5" w14:textId="77777777" w:rsidR="00F73D5B" w:rsidRPr="008B7A21" w:rsidRDefault="00F73D5B" w:rsidP="00767A6A">
            <w:pPr>
              <w:pStyle w:val="Tablehead"/>
              <w:rPr>
                <w:lang w:val="es-ES_tradnl"/>
              </w:rPr>
            </w:pPr>
            <w:r w:rsidRPr="008B7A21">
              <w:rPr>
                <w:i/>
                <w:lang w:val="es-ES_tradnl"/>
              </w:rPr>
              <w:t>K</w:t>
            </w:r>
            <w:r w:rsidRPr="008B7A21">
              <w:rPr>
                <w:i/>
                <w:vertAlign w:val="subscript"/>
                <w:lang w:val="es-ES_tradnl"/>
              </w:rPr>
              <w:t>Breq</w:t>
            </w:r>
          </w:p>
        </w:tc>
      </w:tr>
      <w:tr w:rsidR="00F73D5B" w:rsidRPr="008B7A21" w14:paraId="55A07CCE" w14:textId="77777777" w:rsidTr="00767A6A">
        <w:trPr>
          <w:jc w:val="center"/>
        </w:trPr>
        <w:tc>
          <w:tcPr>
            <w:tcW w:w="3969" w:type="dxa"/>
          </w:tcPr>
          <w:p w14:paraId="0877A9AF" w14:textId="77777777" w:rsidR="00F73D5B" w:rsidRPr="008B7A21" w:rsidRDefault="00F73D5B" w:rsidP="00767A6A">
            <w:pPr>
              <w:pStyle w:val="Tabletext"/>
              <w:keepNext/>
              <w:keepLines/>
              <w:rPr>
                <w:lang w:val="es-ES_tradnl"/>
              </w:rPr>
            </w:pPr>
            <w:r w:rsidRPr="008B7A21">
              <w:rPr>
                <w:lang w:val="es-ES_tradnl"/>
              </w:rPr>
              <w:t>Menos de 100 kHz</w:t>
            </w:r>
          </w:p>
        </w:tc>
        <w:tc>
          <w:tcPr>
            <w:tcW w:w="2835" w:type="dxa"/>
          </w:tcPr>
          <w:p w14:paraId="71B55C3D" w14:textId="77777777" w:rsidR="00F73D5B" w:rsidRPr="008B7A21" w:rsidRDefault="00F73D5B" w:rsidP="00767A6A">
            <w:pPr>
              <w:pStyle w:val="Tabletext"/>
              <w:keepNext/>
              <w:keepLines/>
              <w:jc w:val="center"/>
              <w:rPr>
                <w:lang w:val="es-ES_tradnl"/>
              </w:rPr>
            </w:pPr>
            <w:r w:rsidRPr="008B7A21">
              <w:rPr>
                <w:lang w:val="es-ES_tradnl"/>
              </w:rPr>
              <w:t>1</w:t>
            </w:r>
          </w:p>
        </w:tc>
      </w:tr>
      <w:tr w:rsidR="00F73D5B" w:rsidRPr="008B7A21" w14:paraId="4B7EC447" w14:textId="77777777" w:rsidTr="00767A6A">
        <w:trPr>
          <w:jc w:val="center"/>
        </w:trPr>
        <w:tc>
          <w:tcPr>
            <w:tcW w:w="3969" w:type="dxa"/>
          </w:tcPr>
          <w:p w14:paraId="08E0D35D" w14:textId="77777777" w:rsidR="00F73D5B" w:rsidRPr="008B7A21" w:rsidRDefault="00F73D5B" w:rsidP="00767A6A">
            <w:pPr>
              <w:pStyle w:val="Tabletext"/>
              <w:keepNext/>
              <w:keepLines/>
              <w:rPr>
                <w:lang w:val="es-ES_tradnl"/>
              </w:rPr>
            </w:pPr>
            <w:r w:rsidRPr="008B7A21">
              <w:rPr>
                <w:lang w:val="es-ES_tradnl"/>
              </w:rPr>
              <w:t>De 100 kHz a 1 MHz, inclusive</w:t>
            </w:r>
          </w:p>
        </w:tc>
        <w:tc>
          <w:tcPr>
            <w:tcW w:w="2835" w:type="dxa"/>
          </w:tcPr>
          <w:p w14:paraId="3419592C" w14:textId="77777777" w:rsidR="00F73D5B" w:rsidRPr="008B7A21" w:rsidRDefault="00F73D5B" w:rsidP="00767A6A">
            <w:pPr>
              <w:pStyle w:val="Tabletext"/>
              <w:keepNext/>
              <w:keepLines/>
              <w:jc w:val="center"/>
              <w:rPr>
                <w:lang w:val="es-ES_tradnl"/>
              </w:rPr>
            </w:pPr>
            <w:r w:rsidRPr="008B7A21">
              <w:rPr>
                <w:lang w:val="es-ES_tradnl"/>
              </w:rPr>
              <w:t>2</w:t>
            </w:r>
          </w:p>
        </w:tc>
      </w:tr>
      <w:tr w:rsidR="00F73D5B" w:rsidRPr="008B7A21" w14:paraId="2EC24ED4" w14:textId="77777777" w:rsidTr="00767A6A">
        <w:trPr>
          <w:jc w:val="center"/>
        </w:trPr>
        <w:tc>
          <w:tcPr>
            <w:tcW w:w="3969" w:type="dxa"/>
          </w:tcPr>
          <w:p w14:paraId="593CA2B8" w14:textId="77777777" w:rsidR="00F73D5B" w:rsidRPr="008B7A21" w:rsidRDefault="00F73D5B" w:rsidP="00767A6A">
            <w:pPr>
              <w:pStyle w:val="Tabletext"/>
              <w:keepNext/>
              <w:keepLines/>
              <w:rPr>
                <w:lang w:val="es-ES_tradnl"/>
              </w:rPr>
            </w:pPr>
            <w:r w:rsidRPr="008B7A21">
              <w:rPr>
                <w:lang w:val="es-ES_tradnl"/>
              </w:rPr>
              <w:t>De 1 MHz a 10 MHz, inclusive</w:t>
            </w:r>
          </w:p>
        </w:tc>
        <w:tc>
          <w:tcPr>
            <w:tcW w:w="2835" w:type="dxa"/>
          </w:tcPr>
          <w:p w14:paraId="063B5F43" w14:textId="77777777" w:rsidR="00F73D5B" w:rsidRPr="008B7A21" w:rsidRDefault="00F73D5B" w:rsidP="00767A6A">
            <w:pPr>
              <w:pStyle w:val="Tabletext"/>
              <w:keepNext/>
              <w:keepLines/>
              <w:jc w:val="center"/>
              <w:rPr>
                <w:lang w:val="es-ES_tradnl"/>
              </w:rPr>
            </w:pPr>
            <w:r w:rsidRPr="008B7A21">
              <w:rPr>
                <w:lang w:val="es-ES_tradnl"/>
              </w:rPr>
              <w:t>2,5</w:t>
            </w:r>
          </w:p>
        </w:tc>
      </w:tr>
      <w:tr w:rsidR="00F73D5B" w:rsidRPr="008B7A21" w14:paraId="239D5D9A" w14:textId="77777777" w:rsidTr="00767A6A">
        <w:trPr>
          <w:jc w:val="center"/>
        </w:trPr>
        <w:tc>
          <w:tcPr>
            <w:tcW w:w="3969" w:type="dxa"/>
          </w:tcPr>
          <w:p w14:paraId="6F56EB69" w14:textId="77777777" w:rsidR="00F73D5B" w:rsidRPr="008B7A21" w:rsidRDefault="00F73D5B" w:rsidP="00767A6A">
            <w:pPr>
              <w:pStyle w:val="Tabletext"/>
              <w:rPr>
                <w:lang w:val="es-ES_tradnl"/>
              </w:rPr>
            </w:pPr>
            <w:r w:rsidRPr="008B7A21">
              <w:rPr>
                <w:lang w:val="es-ES_tradnl"/>
              </w:rPr>
              <w:t>Más de 10 MHz</w:t>
            </w:r>
          </w:p>
        </w:tc>
        <w:tc>
          <w:tcPr>
            <w:tcW w:w="2835" w:type="dxa"/>
          </w:tcPr>
          <w:p w14:paraId="74921786" w14:textId="77777777" w:rsidR="00F73D5B" w:rsidRPr="008B7A21" w:rsidRDefault="00F73D5B" w:rsidP="00767A6A">
            <w:pPr>
              <w:pStyle w:val="Tabletext"/>
              <w:jc w:val="center"/>
              <w:rPr>
                <w:lang w:val="es-ES_tradnl"/>
              </w:rPr>
            </w:pPr>
            <w:r w:rsidRPr="008B7A21">
              <w:rPr>
                <w:lang w:val="es-ES_tradnl"/>
              </w:rPr>
              <w:t>3</w:t>
            </w:r>
          </w:p>
        </w:tc>
      </w:tr>
    </w:tbl>
    <w:p w14:paraId="671CA267" w14:textId="77777777" w:rsidR="00F73D5B" w:rsidRPr="008B7A21" w:rsidRDefault="00F73D5B" w:rsidP="00F73D5B">
      <w:pPr>
        <w:pStyle w:val="Tablefin"/>
        <w:rPr>
          <w:lang w:val="es-ES_tradnl"/>
        </w:rPr>
      </w:pPr>
    </w:p>
    <w:p w14:paraId="508F31DE" w14:textId="5097496B" w:rsidR="00F73D5B" w:rsidRPr="008B7A21" w:rsidRDefault="00F73D5B" w:rsidP="00F73D5B">
      <w:pPr>
        <w:pStyle w:val="Note"/>
        <w:rPr>
          <w:lang w:val="es-ES_tradnl"/>
        </w:rPr>
      </w:pPr>
      <w:r w:rsidRPr="008B7A21">
        <w:rPr>
          <w:lang w:val="es-ES_tradnl"/>
        </w:rPr>
        <w:t xml:space="preserve">NOTA – Si la autorización de utilizar frecuencias radioeléctricas o radiocanales indican varios anchos de banda, se utiliza el valor máximo de </w:t>
      </w:r>
      <w:r w:rsidRPr="008B7A21">
        <w:rPr>
          <w:i/>
          <w:iCs/>
          <w:color w:val="000000"/>
          <w:lang w:val="es-ES_tradnl"/>
        </w:rPr>
        <w:t>B</w:t>
      </w:r>
      <w:r w:rsidRPr="008B7A21">
        <w:rPr>
          <w:i/>
          <w:iCs/>
          <w:color w:val="000000"/>
          <w:vertAlign w:val="subscript"/>
          <w:lang w:val="es-ES_tradnl"/>
        </w:rPr>
        <w:t>req</w:t>
      </w:r>
      <w:r w:rsidRPr="008B7A21">
        <w:rPr>
          <w:lang w:val="es-ES_tradnl"/>
        </w:rPr>
        <w:t>.</w:t>
      </w:r>
    </w:p>
    <w:p w14:paraId="2078F36F" w14:textId="77777777" w:rsidR="00F73D5B" w:rsidRPr="008B7A21" w:rsidRDefault="00F73D5B" w:rsidP="00F73D5B">
      <w:pPr>
        <w:rPr>
          <w:lang w:val="es-ES_tradnl"/>
        </w:rPr>
      </w:pPr>
      <w:r w:rsidRPr="008B7A21">
        <w:rPr>
          <w:lang w:val="es-ES_tradnl"/>
        </w:rPr>
        <w:t xml:space="preserve">Para calcular </w:t>
      </w:r>
      <w:r w:rsidRPr="008B7A21">
        <w:rPr>
          <w:i/>
          <w:lang w:val="es-ES_tradnl"/>
        </w:rPr>
        <w:t>K</w:t>
      </w:r>
      <w:r w:rsidRPr="008B7A21">
        <w:rPr>
          <w:i/>
          <w:vertAlign w:val="subscript"/>
          <w:lang w:val="es-ES_tradnl"/>
        </w:rPr>
        <w:t>Nf</w:t>
      </w:r>
      <w:r w:rsidRPr="008B7A21">
        <w:rPr>
          <w:lang w:val="es-ES_tradnl"/>
        </w:rPr>
        <w:t xml:space="preserve"> </w:t>
      </w:r>
      <w:r w:rsidRPr="008B7A21">
        <w:rPr>
          <w:i/>
          <w:lang w:val="es-ES_tradnl"/>
        </w:rPr>
        <w:t xml:space="preserve">(N) </w:t>
      </w:r>
      <w:r w:rsidRPr="008B7A21">
        <w:rPr>
          <w:iCs/>
          <w:lang w:val="es-ES_tradnl"/>
        </w:rPr>
        <w:t xml:space="preserve">de arreglo a 9 y 10 de la metodología, </w:t>
      </w:r>
      <w:r w:rsidRPr="008B7A21">
        <w:rPr>
          <w:i/>
          <w:lang w:val="es-ES_tradnl"/>
        </w:rPr>
        <w:t>K</w:t>
      </w:r>
      <w:r w:rsidRPr="008B7A21">
        <w:rPr>
          <w:i/>
          <w:vertAlign w:val="subscript"/>
          <w:lang w:val="es-ES_tradnl"/>
        </w:rPr>
        <w:t>Breq</w:t>
      </w:r>
      <w:r w:rsidRPr="008B7A21">
        <w:rPr>
          <w:lang w:val="es-ES_tradnl"/>
        </w:rPr>
        <w:t xml:space="preserve"> = 1.</w:t>
      </w:r>
    </w:p>
    <w:p w14:paraId="5B1F9E5F" w14:textId="77777777" w:rsidR="00F73D5B" w:rsidRPr="008B7A21" w:rsidRDefault="00F73D5B" w:rsidP="00F73D5B">
      <w:pPr>
        <w:rPr>
          <w:lang w:val="es-ES_tradnl"/>
        </w:rPr>
      </w:pPr>
      <w:r w:rsidRPr="008B7A21">
        <w:rPr>
          <w:lang w:val="es-ES_tradnl"/>
        </w:rPr>
        <w:t xml:space="preserve">Para dispositivos que generan ruido radioeléctrico y para receptores de radioastronomía (para recibir únicamente señales de radioastronomía), </w:t>
      </w:r>
      <w:r w:rsidRPr="008B7A21">
        <w:rPr>
          <w:i/>
          <w:lang w:val="es-ES_tradnl"/>
        </w:rPr>
        <w:t>K</w:t>
      </w:r>
      <w:r w:rsidRPr="008B7A21">
        <w:rPr>
          <w:i/>
          <w:vertAlign w:val="subscript"/>
          <w:lang w:val="es-ES_tradnl"/>
        </w:rPr>
        <w:t>Breq</w:t>
      </w:r>
      <w:r w:rsidRPr="008B7A21">
        <w:rPr>
          <w:lang w:val="es-ES_tradnl"/>
        </w:rPr>
        <w:t xml:space="preserve"> = 0.</w:t>
      </w:r>
    </w:p>
    <w:p w14:paraId="670B936D" w14:textId="2E75F842" w:rsidR="00F73D5B" w:rsidRPr="008B7A21" w:rsidRDefault="00F73D5B" w:rsidP="00F73D5B">
      <w:pPr>
        <w:pStyle w:val="TableNo"/>
        <w:rPr>
          <w:lang w:val="es-ES_tradnl"/>
        </w:rPr>
      </w:pPr>
      <w:r w:rsidRPr="008B7A21">
        <w:rPr>
          <w:lang w:val="es-ES_tradnl"/>
        </w:rPr>
        <w:t>CUADRO 35</w:t>
      </w:r>
    </w:p>
    <w:p w14:paraId="4223B289" w14:textId="77777777" w:rsidR="00F73D5B" w:rsidRPr="008B7A21" w:rsidRDefault="00F73D5B" w:rsidP="00F73D5B">
      <w:pPr>
        <w:pStyle w:val="Tabletitle"/>
        <w:rPr>
          <w:lang w:val="es-ES_tradnl"/>
        </w:rPr>
      </w:pPr>
      <w:r w:rsidRPr="008B7A21">
        <w:rPr>
          <w:lang w:val="es-ES_tradnl"/>
        </w:rPr>
        <w:t>Coeficiente dependiente de la población en el lugar donde se encuentra</w:t>
      </w:r>
      <w:r w:rsidRPr="008B7A21">
        <w:rPr>
          <w:lang w:val="es-ES_tradnl"/>
        </w:rPr>
        <w:br/>
        <w:t>el sistema de radiocomunicaciones, teniendo en cuenta</w:t>
      </w:r>
      <w:r w:rsidRPr="008B7A21">
        <w:rPr>
          <w:lang w:val="es-ES_tradnl"/>
        </w:rPr>
        <w:br/>
        <w:t>las fronteras administrativas de la comunidad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5"/>
        <w:gridCol w:w="2835"/>
      </w:tblGrid>
      <w:tr w:rsidR="00F73D5B" w:rsidRPr="008B7A21" w14:paraId="018027D4" w14:textId="77777777" w:rsidTr="00767A6A">
        <w:trPr>
          <w:jc w:val="center"/>
        </w:trPr>
        <w:tc>
          <w:tcPr>
            <w:tcW w:w="4535" w:type="dxa"/>
          </w:tcPr>
          <w:p w14:paraId="6E8507DC" w14:textId="77777777" w:rsidR="00F73D5B" w:rsidRPr="008B7A21" w:rsidRDefault="00F73D5B" w:rsidP="00767A6A">
            <w:pPr>
              <w:pStyle w:val="Tablehead"/>
              <w:rPr>
                <w:lang w:val="es-ES_tradnl"/>
              </w:rPr>
            </w:pPr>
            <w:r w:rsidRPr="008B7A21">
              <w:rPr>
                <w:lang w:val="es-ES_tradnl"/>
              </w:rPr>
              <w:t>Población (miles)</w:t>
            </w:r>
          </w:p>
        </w:tc>
        <w:tc>
          <w:tcPr>
            <w:tcW w:w="2835" w:type="dxa"/>
          </w:tcPr>
          <w:p w14:paraId="008B77D0" w14:textId="77777777" w:rsidR="00F73D5B" w:rsidRPr="008B7A21" w:rsidRDefault="00F73D5B" w:rsidP="00767A6A">
            <w:pPr>
              <w:pStyle w:val="Tablehead"/>
              <w:rPr>
                <w:lang w:val="es-ES_tradnl"/>
              </w:rPr>
            </w:pPr>
            <w:r w:rsidRPr="008B7A21">
              <w:rPr>
                <w:i/>
                <w:lang w:val="es-ES_tradnl"/>
              </w:rPr>
              <w:t>K</w:t>
            </w:r>
            <w:r w:rsidRPr="008B7A21">
              <w:rPr>
                <w:i/>
                <w:vertAlign w:val="subscript"/>
                <w:lang w:val="es-ES_tradnl"/>
              </w:rPr>
              <w:t>pop</w:t>
            </w:r>
          </w:p>
        </w:tc>
      </w:tr>
      <w:tr w:rsidR="00F73D5B" w:rsidRPr="008B7A21" w14:paraId="40D65840" w14:textId="77777777" w:rsidTr="00767A6A">
        <w:trPr>
          <w:jc w:val="center"/>
        </w:trPr>
        <w:tc>
          <w:tcPr>
            <w:tcW w:w="4535" w:type="dxa"/>
          </w:tcPr>
          <w:p w14:paraId="2C84AB83" w14:textId="77777777" w:rsidR="00F73D5B" w:rsidRPr="008B7A21" w:rsidRDefault="00F73D5B" w:rsidP="00767A6A">
            <w:pPr>
              <w:pStyle w:val="Tabletext"/>
              <w:rPr>
                <w:lang w:val="es-ES_tradnl"/>
              </w:rPr>
            </w:pPr>
            <w:r w:rsidRPr="008B7A21">
              <w:rPr>
                <w:lang w:val="es-ES_tradnl"/>
              </w:rPr>
              <w:t>Regiones muy al norte y equivalentes</w:t>
            </w:r>
          </w:p>
        </w:tc>
        <w:tc>
          <w:tcPr>
            <w:tcW w:w="2835" w:type="dxa"/>
          </w:tcPr>
          <w:p w14:paraId="78B4881A" w14:textId="77777777" w:rsidR="00F73D5B" w:rsidRPr="008B7A21" w:rsidRDefault="00F73D5B" w:rsidP="00767A6A">
            <w:pPr>
              <w:pStyle w:val="Tabletext"/>
              <w:jc w:val="center"/>
              <w:rPr>
                <w:lang w:val="es-ES_tradnl"/>
              </w:rPr>
            </w:pPr>
            <w:r w:rsidRPr="008B7A21">
              <w:rPr>
                <w:lang w:val="es-ES_tradnl"/>
              </w:rPr>
              <w:t>0,5*</w:t>
            </w:r>
          </w:p>
        </w:tc>
      </w:tr>
      <w:tr w:rsidR="00F73D5B" w:rsidRPr="008B7A21" w14:paraId="06F06386" w14:textId="77777777" w:rsidTr="00767A6A">
        <w:trPr>
          <w:jc w:val="center"/>
        </w:trPr>
        <w:tc>
          <w:tcPr>
            <w:tcW w:w="4535" w:type="dxa"/>
          </w:tcPr>
          <w:p w14:paraId="7A0468C9" w14:textId="77777777" w:rsidR="00F73D5B" w:rsidRPr="008B7A21" w:rsidRDefault="00F73D5B" w:rsidP="00767A6A">
            <w:pPr>
              <w:pStyle w:val="Tabletext"/>
              <w:rPr>
                <w:lang w:val="es-ES_tradnl"/>
              </w:rPr>
            </w:pPr>
            <w:r w:rsidRPr="008B7A21">
              <w:rPr>
                <w:lang w:val="es-ES_tradnl"/>
              </w:rPr>
              <w:t xml:space="preserve">Menos de 200 y fuera de las comunidades </w:t>
            </w:r>
          </w:p>
        </w:tc>
        <w:tc>
          <w:tcPr>
            <w:tcW w:w="2835" w:type="dxa"/>
          </w:tcPr>
          <w:p w14:paraId="1634E98C" w14:textId="77777777" w:rsidR="00F73D5B" w:rsidRPr="008B7A21" w:rsidRDefault="00F73D5B" w:rsidP="00767A6A">
            <w:pPr>
              <w:pStyle w:val="Tabletext"/>
              <w:jc w:val="center"/>
              <w:rPr>
                <w:lang w:val="es-ES_tradnl"/>
              </w:rPr>
            </w:pPr>
            <w:r w:rsidRPr="008B7A21">
              <w:rPr>
                <w:lang w:val="es-ES_tradnl"/>
              </w:rPr>
              <w:t>0,9*</w:t>
            </w:r>
          </w:p>
        </w:tc>
      </w:tr>
      <w:tr w:rsidR="00F73D5B" w:rsidRPr="008B7A21" w14:paraId="3A3FB814" w14:textId="77777777" w:rsidTr="00767A6A">
        <w:trPr>
          <w:jc w:val="center"/>
        </w:trPr>
        <w:tc>
          <w:tcPr>
            <w:tcW w:w="4535" w:type="dxa"/>
          </w:tcPr>
          <w:p w14:paraId="4F26BFFB" w14:textId="77777777" w:rsidR="00F73D5B" w:rsidRPr="008B7A21" w:rsidRDefault="00F73D5B" w:rsidP="00767A6A">
            <w:pPr>
              <w:pStyle w:val="Tabletext"/>
              <w:rPr>
                <w:lang w:val="es-ES_tradnl"/>
              </w:rPr>
            </w:pPr>
            <w:r w:rsidRPr="008B7A21">
              <w:rPr>
                <w:lang w:val="es-ES_tradnl"/>
              </w:rPr>
              <w:t xml:space="preserve">200-1 000 </w:t>
            </w:r>
          </w:p>
        </w:tc>
        <w:tc>
          <w:tcPr>
            <w:tcW w:w="2835" w:type="dxa"/>
          </w:tcPr>
          <w:p w14:paraId="1C9FD1C8" w14:textId="77777777" w:rsidR="00F73D5B" w:rsidRPr="008B7A21" w:rsidRDefault="00F73D5B" w:rsidP="00767A6A">
            <w:pPr>
              <w:pStyle w:val="Tabletext"/>
              <w:jc w:val="center"/>
              <w:rPr>
                <w:lang w:val="es-ES_tradnl"/>
              </w:rPr>
            </w:pPr>
            <w:r w:rsidRPr="008B7A21">
              <w:rPr>
                <w:lang w:val="es-ES_tradnl"/>
              </w:rPr>
              <w:t>1</w:t>
            </w:r>
          </w:p>
        </w:tc>
      </w:tr>
      <w:tr w:rsidR="00F73D5B" w:rsidRPr="008B7A21" w14:paraId="4A312D02" w14:textId="77777777" w:rsidTr="00767A6A">
        <w:trPr>
          <w:jc w:val="center"/>
        </w:trPr>
        <w:tc>
          <w:tcPr>
            <w:tcW w:w="4535" w:type="dxa"/>
          </w:tcPr>
          <w:p w14:paraId="3985A99D" w14:textId="77777777" w:rsidR="00F73D5B" w:rsidRPr="008B7A21" w:rsidRDefault="00F73D5B" w:rsidP="00767A6A">
            <w:pPr>
              <w:pStyle w:val="Tabletext"/>
              <w:rPr>
                <w:lang w:val="es-ES_tradnl"/>
              </w:rPr>
            </w:pPr>
            <w:r w:rsidRPr="008B7A21">
              <w:rPr>
                <w:lang w:val="es-ES_tradnl"/>
              </w:rPr>
              <w:t>1 000-3 000</w:t>
            </w:r>
          </w:p>
        </w:tc>
        <w:tc>
          <w:tcPr>
            <w:tcW w:w="2835" w:type="dxa"/>
          </w:tcPr>
          <w:p w14:paraId="57C8B769" w14:textId="77777777" w:rsidR="00F73D5B" w:rsidRPr="008B7A21" w:rsidRDefault="00F73D5B" w:rsidP="00767A6A">
            <w:pPr>
              <w:pStyle w:val="Tabletext"/>
              <w:jc w:val="center"/>
              <w:rPr>
                <w:lang w:val="es-ES_tradnl"/>
              </w:rPr>
            </w:pPr>
            <w:r w:rsidRPr="008B7A21">
              <w:rPr>
                <w:lang w:val="es-ES_tradnl"/>
              </w:rPr>
              <w:t>1,1</w:t>
            </w:r>
          </w:p>
        </w:tc>
      </w:tr>
      <w:tr w:rsidR="00F73D5B" w:rsidRPr="008B7A21" w14:paraId="3F989C5B" w14:textId="77777777" w:rsidTr="00767A6A">
        <w:trPr>
          <w:jc w:val="center"/>
        </w:trPr>
        <w:tc>
          <w:tcPr>
            <w:tcW w:w="4535" w:type="dxa"/>
            <w:tcBorders>
              <w:bottom w:val="single" w:sz="4" w:space="0" w:color="auto"/>
            </w:tcBorders>
          </w:tcPr>
          <w:p w14:paraId="5B9874D9" w14:textId="77777777" w:rsidR="00F73D5B" w:rsidRPr="008B7A21" w:rsidRDefault="00F73D5B" w:rsidP="00767A6A">
            <w:pPr>
              <w:pStyle w:val="Tabletext"/>
              <w:rPr>
                <w:lang w:val="es-ES_tradnl"/>
              </w:rPr>
            </w:pPr>
            <w:r w:rsidRPr="008B7A21">
              <w:rPr>
                <w:lang w:val="es-ES_tradnl"/>
              </w:rPr>
              <w:t>Más de 3 000</w:t>
            </w:r>
          </w:p>
        </w:tc>
        <w:tc>
          <w:tcPr>
            <w:tcW w:w="2835" w:type="dxa"/>
            <w:tcBorders>
              <w:bottom w:val="single" w:sz="4" w:space="0" w:color="auto"/>
            </w:tcBorders>
          </w:tcPr>
          <w:p w14:paraId="02C7A1D8" w14:textId="77777777" w:rsidR="00F73D5B" w:rsidRPr="008B7A21" w:rsidRDefault="00F73D5B" w:rsidP="00767A6A">
            <w:pPr>
              <w:pStyle w:val="Tabletext"/>
              <w:jc w:val="center"/>
              <w:rPr>
                <w:lang w:val="es-ES_tradnl"/>
              </w:rPr>
            </w:pPr>
            <w:r w:rsidRPr="008B7A21">
              <w:rPr>
                <w:lang w:val="es-ES_tradnl"/>
              </w:rPr>
              <w:t>1,2</w:t>
            </w:r>
          </w:p>
        </w:tc>
      </w:tr>
    </w:tbl>
    <w:p w14:paraId="5CB33470" w14:textId="77777777" w:rsidR="00F73D5B" w:rsidRPr="008B7A21" w:rsidRDefault="00F73D5B" w:rsidP="00F73D5B">
      <w:pPr>
        <w:pStyle w:val="Tablefin"/>
        <w:rPr>
          <w:lang w:val="es-ES_tradnl"/>
        </w:rPr>
      </w:pPr>
    </w:p>
    <w:p w14:paraId="61EF9450" w14:textId="31B16B46" w:rsidR="00F73D5B" w:rsidRPr="008B7A21" w:rsidRDefault="00F73D5B" w:rsidP="00F73D5B">
      <w:pPr>
        <w:pStyle w:val="Note"/>
        <w:rPr>
          <w:lang w:val="es-ES_tradnl"/>
        </w:rPr>
      </w:pPr>
      <w:r w:rsidRPr="008B7A21">
        <w:rPr>
          <w:lang w:val="es-ES_tradnl"/>
        </w:rPr>
        <w:t xml:space="preserve">NOTA – En el caso de usuarios autorizados a utilizar el espectro radioeléctrico para la administración del Estado, en particular las comunicaciones presidenciales y gubernamentales, de defensa nacional, de seguridad del Estados y de las fuerzas de seguridad, </w:t>
      </w:r>
      <w:r w:rsidRPr="008B7A21">
        <w:rPr>
          <w:i/>
          <w:lang w:val="es-ES_tradnl"/>
        </w:rPr>
        <w:t>K</w:t>
      </w:r>
      <w:r w:rsidRPr="008B7A21">
        <w:rPr>
          <w:i/>
          <w:vertAlign w:val="subscript"/>
          <w:lang w:val="es-ES_tradnl"/>
        </w:rPr>
        <w:t>pop</w:t>
      </w:r>
      <w:r w:rsidRPr="008B7A21">
        <w:rPr>
          <w:lang w:val="es-ES_tradnl"/>
        </w:rPr>
        <w:t xml:space="preserve"> = 0,5.</w:t>
      </w:r>
    </w:p>
    <w:p w14:paraId="3F19A2EB" w14:textId="77777777" w:rsidR="00F73D5B" w:rsidRPr="008B7A21" w:rsidRDefault="00F73D5B" w:rsidP="00F73D5B">
      <w:pPr>
        <w:rPr>
          <w:lang w:val="es-ES_tradnl"/>
        </w:rPr>
      </w:pPr>
      <w:r w:rsidRPr="008B7A21">
        <w:rPr>
          <w:lang w:val="es-ES_tradnl"/>
        </w:rPr>
        <w:t xml:space="preserve">Si no se especifican coordenadas geográficas en el plan territorial de frecuencias, se aplica </w:t>
      </w:r>
      <w:r w:rsidRPr="008B7A21">
        <w:rPr>
          <w:i/>
          <w:iCs/>
          <w:lang w:val="es-ES_tradnl"/>
        </w:rPr>
        <w:t>K</w:t>
      </w:r>
      <w:r w:rsidRPr="008B7A21">
        <w:rPr>
          <w:i/>
          <w:iCs/>
          <w:vertAlign w:val="subscript"/>
          <w:lang w:val="es-ES_tradnl"/>
        </w:rPr>
        <w:t>pop</w:t>
      </w:r>
      <w:r w:rsidRPr="008B7A21">
        <w:rPr>
          <w:lang w:val="es-ES_tradnl"/>
        </w:rPr>
        <w:t xml:space="preserve"> con arreglo a la población máxima del territorio en el que se utiliza el sistema.</w:t>
      </w:r>
    </w:p>
    <w:p w14:paraId="558BF3C0" w14:textId="77777777" w:rsidR="00F73D5B" w:rsidRPr="008B7A21" w:rsidRDefault="00F73D5B" w:rsidP="00F73D5B">
      <w:pPr>
        <w:pStyle w:val="Note"/>
        <w:rPr>
          <w:lang w:val="es-ES_tradnl"/>
        </w:rPr>
      </w:pPr>
      <w:bookmarkStart w:id="1977" w:name="sub_1111"/>
      <w:r w:rsidRPr="008B7A21">
        <w:rPr>
          <w:lang w:val="es-ES_tradnl"/>
        </w:rPr>
        <w:t xml:space="preserve">* Al distribuir canales de radiodifusión de sonido y televisión obligatorios públicos para toda Rusia, </w:t>
      </w:r>
      <w:r w:rsidRPr="008B7A21">
        <w:rPr>
          <w:i/>
          <w:lang w:val="es-ES_tradnl"/>
        </w:rPr>
        <w:t>K</w:t>
      </w:r>
      <w:r w:rsidRPr="008B7A21">
        <w:rPr>
          <w:i/>
          <w:vertAlign w:val="subscript"/>
          <w:lang w:val="es-ES_tradnl"/>
        </w:rPr>
        <w:t>pop </w:t>
      </w:r>
      <w:r w:rsidRPr="008B7A21">
        <w:rPr>
          <w:lang w:val="es-ES_tradnl"/>
        </w:rPr>
        <w:t>= 0,3.</w:t>
      </w:r>
    </w:p>
    <w:bookmarkEnd w:id="1977"/>
    <w:p w14:paraId="7512F98B" w14:textId="508806D8" w:rsidR="00F73D5B" w:rsidRPr="008B7A21" w:rsidRDefault="00F73D5B" w:rsidP="00F73D5B">
      <w:pPr>
        <w:pStyle w:val="TableNo"/>
        <w:rPr>
          <w:lang w:val="es-ES_tradnl"/>
        </w:rPr>
      </w:pPr>
      <w:r w:rsidRPr="008B7A21">
        <w:rPr>
          <w:lang w:val="es-ES_tradnl"/>
        </w:rPr>
        <w:t>CUADRO 36</w:t>
      </w:r>
    </w:p>
    <w:p w14:paraId="73FC3FCE" w14:textId="77777777" w:rsidR="00F73D5B" w:rsidRPr="008B7A21" w:rsidRDefault="00F73D5B" w:rsidP="00F73D5B">
      <w:pPr>
        <w:pStyle w:val="Tabletitle"/>
        <w:rPr>
          <w:lang w:val="es-ES_tradnl"/>
        </w:rPr>
      </w:pPr>
      <w:r w:rsidRPr="008B7A21">
        <w:rPr>
          <w:lang w:val="es-ES_tradnl"/>
        </w:rPr>
        <w:t>Coeficientes dependientes de factores sociales para la tecnología empleada</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17"/>
        <w:gridCol w:w="1020"/>
      </w:tblGrid>
      <w:tr w:rsidR="00F73D5B" w:rsidRPr="008B7A21" w14:paraId="11277318" w14:textId="77777777" w:rsidTr="00767A6A">
        <w:trPr>
          <w:jc w:val="center"/>
        </w:trPr>
        <w:tc>
          <w:tcPr>
            <w:tcW w:w="8617" w:type="dxa"/>
          </w:tcPr>
          <w:p w14:paraId="2F28BAD9" w14:textId="02E97F66" w:rsidR="00F73D5B" w:rsidRPr="008B7A21" w:rsidRDefault="00F73D5B" w:rsidP="00767A6A">
            <w:pPr>
              <w:pStyle w:val="Tablehead"/>
              <w:rPr>
                <w:lang w:val="es-ES_tradnl"/>
              </w:rPr>
            </w:pPr>
            <w:r w:rsidRPr="008B7A21">
              <w:rPr>
                <w:lang w:val="es-ES_tradnl"/>
              </w:rPr>
              <w:t>Factores social</w:t>
            </w:r>
            <w:r w:rsidR="00877B7A">
              <w:rPr>
                <w:lang w:val="es-ES_tradnl"/>
              </w:rPr>
              <w:t>es</w:t>
            </w:r>
          </w:p>
        </w:tc>
        <w:tc>
          <w:tcPr>
            <w:tcW w:w="1020" w:type="dxa"/>
          </w:tcPr>
          <w:p w14:paraId="4894D7CB" w14:textId="77777777" w:rsidR="00F73D5B" w:rsidRPr="008B7A21" w:rsidRDefault="00F73D5B" w:rsidP="00767A6A">
            <w:pPr>
              <w:pStyle w:val="Tablehead"/>
              <w:rPr>
                <w:lang w:val="es-ES_tradnl"/>
              </w:rPr>
            </w:pPr>
            <w:r w:rsidRPr="008B7A21">
              <w:rPr>
                <w:i/>
                <w:lang w:val="es-ES_tradnl"/>
              </w:rPr>
              <w:t>K</w:t>
            </w:r>
            <w:r w:rsidRPr="008B7A21">
              <w:rPr>
                <w:i/>
                <w:vertAlign w:val="subscript"/>
                <w:lang w:val="es-ES_tradnl"/>
              </w:rPr>
              <w:t>soc</w:t>
            </w:r>
          </w:p>
        </w:tc>
      </w:tr>
      <w:tr w:rsidR="00F73D5B" w:rsidRPr="008B7A21" w14:paraId="41AAB09D" w14:textId="77777777" w:rsidTr="00767A6A">
        <w:trPr>
          <w:jc w:val="center"/>
        </w:trPr>
        <w:tc>
          <w:tcPr>
            <w:tcW w:w="8617" w:type="dxa"/>
          </w:tcPr>
          <w:p w14:paraId="31772C39" w14:textId="77777777" w:rsidR="00F73D5B" w:rsidRPr="008B7A21" w:rsidRDefault="00F73D5B" w:rsidP="00767A6A">
            <w:pPr>
              <w:pStyle w:val="Tabletext"/>
              <w:keepNext/>
              <w:keepLines/>
              <w:jc w:val="left"/>
              <w:rPr>
                <w:lang w:val="es-ES_tradnl"/>
              </w:rPr>
            </w:pPr>
            <w:r w:rsidRPr="008B7A21">
              <w:rPr>
                <w:lang w:val="es-ES_tradnl"/>
              </w:rPr>
              <w:t>Tecnología utilizada para garantizar la seguridad pública, situaciones de emergencia inclusive*</w:t>
            </w:r>
          </w:p>
        </w:tc>
        <w:tc>
          <w:tcPr>
            <w:tcW w:w="1020" w:type="dxa"/>
          </w:tcPr>
          <w:p w14:paraId="43E84BA4" w14:textId="77777777" w:rsidR="00F73D5B" w:rsidRPr="008B7A21" w:rsidRDefault="00F73D5B" w:rsidP="00767A6A">
            <w:pPr>
              <w:pStyle w:val="Tabletext"/>
              <w:keepNext/>
              <w:keepLines/>
              <w:jc w:val="center"/>
              <w:rPr>
                <w:lang w:val="es-ES_tradnl"/>
              </w:rPr>
            </w:pPr>
            <w:r w:rsidRPr="008B7A21">
              <w:rPr>
                <w:lang w:val="es-ES_tradnl"/>
              </w:rPr>
              <w:t>0,3</w:t>
            </w:r>
          </w:p>
        </w:tc>
      </w:tr>
      <w:tr w:rsidR="00F73D5B" w:rsidRPr="008B7A21" w14:paraId="4E18BD0B" w14:textId="77777777" w:rsidTr="00767A6A">
        <w:trPr>
          <w:jc w:val="center"/>
        </w:trPr>
        <w:tc>
          <w:tcPr>
            <w:tcW w:w="8617" w:type="dxa"/>
          </w:tcPr>
          <w:p w14:paraId="4C464F4D" w14:textId="77777777" w:rsidR="00F73D5B" w:rsidRPr="008B7A21" w:rsidRDefault="00F73D5B" w:rsidP="00767A6A">
            <w:pPr>
              <w:pStyle w:val="Tabletext"/>
              <w:keepNext/>
              <w:keepLines/>
              <w:jc w:val="left"/>
              <w:rPr>
                <w:lang w:val="es-ES_tradnl"/>
              </w:rPr>
            </w:pPr>
            <w:r w:rsidRPr="008B7A21">
              <w:rPr>
                <w:lang w:val="es-ES_tradnl"/>
              </w:rPr>
              <w:t>Tecnología utilizada por sistemas civiles para radiocomunicaciones de vía férrea (incluidas radiocomunicaciones para vía férrea de acceso) en las bandas 2 124</w:t>
            </w:r>
            <w:r w:rsidRPr="008B7A21">
              <w:rPr>
                <w:lang w:val="es-ES_tradnl"/>
              </w:rPr>
              <w:noBreakHyphen/>
              <w:t>2 136 kHz (frecuencia nominal 2 130 kHz); 2 144</w:t>
            </w:r>
            <w:r w:rsidRPr="008B7A21">
              <w:rPr>
                <w:lang w:val="es-ES_tradnl"/>
              </w:rPr>
              <w:noBreakHyphen/>
              <w:t>2 156 kHz (frecuencia nominal 2 150 kHz); 151,7125-154,0125 MHz; 154,9875</w:t>
            </w:r>
            <w:r w:rsidRPr="008B7A21">
              <w:rPr>
                <w:lang w:val="es-ES_tradnl"/>
              </w:rPr>
              <w:noBreakHyphen/>
              <w:t>156,0125 MHz; 307,0</w:t>
            </w:r>
            <w:r w:rsidRPr="008B7A21">
              <w:rPr>
                <w:lang w:val="es-ES_tradnl"/>
              </w:rPr>
              <w:noBreakHyphen/>
              <w:t>307,4 625 MHz; 343,0-343,4625 MHz</w:t>
            </w:r>
          </w:p>
        </w:tc>
        <w:tc>
          <w:tcPr>
            <w:tcW w:w="1020" w:type="dxa"/>
          </w:tcPr>
          <w:p w14:paraId="405D15C3" w14:textId="77777777" w:rsidR="00F73D5B" w:rsidRPr="008B7A21" w:rsidRDefault="00F73D5B" w:rsidP="00767A6A">
            <w:pPr>
              <w:pStyle w:val="Tabletext"/>
              <w:keepNext/>
              <w:keepLines/>
              <w:jc w:val="center"/>
              <w:rPr>
                <w:lang w:val="es-ES_tradnl"/>
              </w:rPr>
            </w:pPr>
            <w:r w:rsidRPr="008B7A21">
              <w:rPr>
                <w:lang w:val="es-ES_tradnl"/>
              </w:rPr>
              <w:t>0,5</w:t>
            </w:r>
          </w:p>
        </w:tc>
      </w:tr>
      <w:tr w:rsidR="00F73D5B" w:rsidRPr="008B7A21" w14:paraId="05B5D759" w14:textId="77777777" w:rsidTr="00767A6A">
        <w:trPr>
          <w:jc w:val="center"/>
        </w:trPr>
        <w:tc>
          <w:tcPr>
            <w:tcW w:w="8617" w:type="dxa"/>
          </w:tcPr>
          <w:p w14:paraId="26193BB8" w14:textId="77777777" w:rsidR="00F73D5B" w:rsidRPr="008B7A21" w:rsidRDefault="00F73D5B" w:rsidP="00767A6A">
            <w:pPr>
              <w:pStyle w:val="Tabletext"/>
              <w:jc w:val="left"/>
              <w:rPr>
                <w:lang w:val="es-ES_tradnl"/>
              </w:rPr>
            </w:pPr>
            <w:r w:rsidRPr="008B7A21">
              <w:rPr>
                <w:lang w:val="es-ES_tradnl"/>
              </w:rPr>
              <w:t>Tecnología utilizada por repetidores radioeléctricos de canales telefónicos y sistemas de radiotelefonía «Altai» y «Actionet»</w:t>
            </w:r>
          </w:p>
        </w:tc>
        <w:tc>
          <w:tcPr>
            <w:tcW w:w="1020" w:type="dxa"/>
          </w:tcPr>
          <w:p w14:paraId="3114CAD3" w14:textId="77777777" w:rsidR="00F73D5B" w:rsidRPr="008B7A21" w:rsidRDefault="00F73D5B" w:rsidP="00767A6A">
            <w:pPr>
              <w:pStyle w:val="Tabletext"/>
              <w:jc w:val="center"/>
              <w:rPr>
                <w:lang w:val="es-ES_tradnl"/>
              </w:rPr>
            </w:pPr>
            <w:r w:rsidRPr="008B7A21">
              <w:rPr>
                <w:lang w:val="es-ES_tradnl"/>
              </w:rPr>
              <w:t>0,3</w:t>
            </w:r>
          </w:p>
        </w:tc>
      </w:tr>
      <w:tr w:rsidR="00F73D5B" w:rsidRPr="008B7A21" w14:paraId="78C1C78B" w14:textId="77777777" w:rsidTr="00767A6A">
        <w:trPr>
          <w:jc w:val="center"/>
        </w:trPr>
        <w:tc>
          <w:tcPr>
            <w:tcW w:w="8617" w:type="dxa"/>
          </w:tcPr>
          <w:p w14:paraId="2C132AE1" w14:textId="77777777" w:rsidR="00F73D5B" w:rsidRPr="008B7A21" w:rsidRDefault="00F73D5B" w:rsidP="00767A6A">
            <w:pPr>
              <w:pStyle w:val="Tabletext"/>
              <w:jc w:val="left"/>
              <w:rPr>
                <w:lang w:val="es-ES_tradnl"/>
              </w:rPr>
            </w:pPr>
            <w:r w:rsidRPr="008B7A21">
              <w:rPr>
                <w:lang w:val="es-ES_tradnl"/>
              </w:rPr>
              <w:t>Tecnología utilizada por la radiodifusión sonora y de TV terrenal y por satélite para distribuir los programas públicos de TV y sonido obligatorios</w:t>
            </w:r>
          </w:p>
        </w:tc>
        <w:tc>
          <w:tcPr>
            <w:tcW w:w="1020" w:type="dxa"/>
          </w:tcPr>
          <w:p w14:paraId="7660C065" w14:textId="77777777" w:rsidR="00F73D5B" w:rsidRPr="008B7A21" w:rsidRDefault="00F73D5B" w:rsidP="00767A6A">
            <w:pPr>
              <w:pStyle w:val="Tabletext"/>
              <w:jc w:val="center"/>
              <w:rPr>
                <w:lang w:val="es-ES_tradnl"/>
              </w:rPr>
            </w:pPr>
            <w:r w:rsidRPr="008B7A21">
              <w:rPr>
                <w:lang w:val="es-ES_tradnl"/>
              </w:rPr>
              <w:t>0,5</w:t>
            </w:r>
          </w:p>
        </w:tc>
      </w:tr>
      <w:tr w:rsidR="00F73D5B" w:rsidRPr="008B7A21" w14:paraId="12B9EBB8" w14:textId="77777777" w:rsidTr="00767A6A">
        <w:trPr>
          <w:trHeight w:val="70"/>
          <w:jc w:val="center"/>
        </w:trPr>
        <w:tc>
          <w:tcPr>
            <w:tcW w:w="8617" w:type="dxa"/>
            <w:tcBorders>
              <w:bottom w:val="single" w:sz="4" w:space="0" w:color="auto"/>
            </w:tcBorders>
          </w:tcPr>
          <w:p w14:paraId="3D110C38" w14:textId="77777777" w:rsidR="00F73D5B" w:rsidRPr="008B7A21" w:rsidRDefault="00F73D5B" w:rsidP="00767A6A">
            <w:pPr>
              <w:pStyle w:val="Tabletext"/>
              <w:rPr>
                <w:lang w:val="es-ES_tradnl"/>
              </w:rPr>
            </w:pPr>
            <w:r w:rsidRPr="008B7A21">
              <w:rPr>
                <w:lang w:val="es-ES_tradnl"/>
              </w:rPr>
              <w:t>Tecnología de acceso inalámbrico de serie IEEE 802.11</w:t>
            </w:r>
          </w:p>
        </w:tc>
        <w:tc>
          <w:tcPr>
            <w:tcW w:w="1020" w:type="dxa"/>
            <w:tcBorders>
              <w:bottom w:val="single" w:sz="4" w:space="0" w:color="auto"/>
            </w:tcBorders>
          </w:tcPr>
          <w:p w14:paraId="520E8966" w14:textId="77777777" w:rsidR="00F73D5B" w:rsidRPr="008B7A21" w:rsidRDefault="00F73D5B" w:rsidP="00767A6A">
            <w:pPr>
              <w:pStyle w:val="Tabletext"/>
              <w:jc w:val="center"/>
              <w:rPr>
                <w:lang w:val="es-ES_tradnl"/>
              </w:rPr>
            </w:pPr>
            <w:r w:rsidRPr="008B7A21">
              <w:rPr>
                <w:lang w:val="es-ES_tradnl"/>
              </w:rPr>
              <w:t>0,1</w:t>
            </w:r>
          </w:p>
        </w:tc>
      </w:tr>
      <w:tr w:rsidR="00F73D5B" w:rsidRPr="008B7A21" w14:paraId="76ECA569" w14:textId="77777777" w:rsidTr="00767A6A">
        <w:trPr>
          <w:trHeight w:val="70"/>
          <w:jc w:val="center"/>
        </w:trPr>
        <w:tc>
          <w:tcPr>
            <w:tcW w:w="8617" w:type="dxa"/>
            <w:tcBorders>
              <w:bottom w:val="single" w:sz="4" w:space="0" w:color="auto"/>
            </w:tcBorders>
          </w:tcPr>
          <w:p w14:paraId="0194A746" w14:textId="77777777" w:rsidR="00F73D5B" w:rsidRPr="008B7A21" w:rsidRDefault="00F73D5B" w:rsidP="00767A6A">
            <w:pPr>
              <w:pStyle w:val="Tabletext"/>
              <w:rPr>
                <w:lang w:val="es-ES_tradnl"/>
              </w:rPr>
            </w:pPr>
            <w:r w:rsidRPr="008B7A21">
              <w:rPr>
                <w:lang w:val="es-ES_tradnl"/>
              </w:rPr>
              <w:t>Estaciones terrenas de sistema de satélite (ESSS) y estaciones Hub VSAT (centrales)</w:t>
            </w:r>
          </w:p>
        </w:tc>
        <w:tc>
          <w:tcPr>
            <w:tcW w:w="1020" w:type="dxa"/>
            <w:tcBorders>
              <w:bottom w:val="single" w:sz="4" w:space="0" w:color="auto"/>
            </w:tcBorders>
          </w:tcPr>
          <w:p w14:paraId="3EE1C919" w14:textId="77777777" w:rsidR="00F73D5B" w:rsidRPr="008B7A21" w:rsidRDefault="00F73D5B" w:rsidP="00767A6A">
            <w:pPr>
              <w:pStyle w:val="Tabletext"/>
              <w:jc w:val="center"/>
              <w:rPr>
                <w:lang w:val="es-ES_tradnl"/>
              </w:rPr>
            </w:pPr>
            <w:r w:rsidRPr="008B7A21">
              <w:rPr>
                <w:lang w:val="es-ES_tradnl"/>
              </w:rPr>
              <w:t>0,1</w:t>
            </w:r>
          </w:p>
        </w:tc>
      </w:tr>
      <w:tr w:rsidR="00F73D5B" w:rsidRPr="008B7A21" w14:paraId="6F982EB3" w14:textId="77777777" w:rsidTr="00767A6A">
        <w:trPr>
          <w:trHeight w:val="70"/>
          <w:jc w:val="center"/>
        </w:trPr>
        <w:tc>
          <w:tcPr>
            <w:tcW w:w="8617" w:type="dxa"/>
            <w:tcBorders>
              <w:bottom w:val="single" w:sz="4" w:space="0" w:color="auto"/>
            </w:tcBorders>
          </w:tcPr>
          <w:p w14:paraId="6F92B6EF" w14:textId="77777777" w:rsidR="00F73D5B" w:rsidRPr="008B7A21" w:rsidRDefault="00F73D5B" w:rsidP="00767A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846"/>
              </w:tabs>
              <w:rPr>
                <w:lang w:val="es-ES_tradnl"/>
              </w:rPr>
            </w:pPr>
            <w:r w:rsidRPr="008B7A21">
              <w:rPr>
                <w:lang w:val="es-ES_tradnl"/>
              </w:rPr>
              <w:t>Sistemas de servicio de aficionado (repetidor y radiobaliza de aficionado)</w:t>
            </w:r>
          </w:p>
        </w:tc>
        <w:tc>
          <w:tcPr>
            <w:tcW w:w="1020" w:type="dxa"/>
            <w:tcBorders>
              <w:bottom w:val="single" w:sz="4" w:space="0" w:color="auto"/>
            </w:tcBorders>
          </w:tcPr>
          <w:p w14:paraId="6A80F086" w14:textId="77777777" w:rsidR="00F73D5B" w:rsidRPr="008B7A21" w:rsidRDefault="00F73D5B" w:rsidP="00767A6A">
            <w:pPr>
              <w:pStyle w:val="Tabletext"/>
              <w:jc w:val="center"/>
              <w:rPr>
                <w:lang w:val="es-ES_tradnl"/>
              </w:rPr>
            </w:pPr>
            <w:r w:rsidRPr="008B7A21">
              <w:rPr>
                <w:lang w:val="es-ES_tradnl"/>
              </w:rPr>
              <w:t>0,01</w:t>
            </w:r>
          </w:p>
        </w:tc>
      </w:tr>
      <w:tr w:rsidR="00F73D5B" w:rsidRPr="008B7A21" w14:paraId="080627BE" w14:textId="77777777" w:rsidTr="00767A6A">
        <w:trPr>
          <w:trHeight w:val="70"/>
          <w:jc w:val="center"/>
        </w:trPr>
        <w:tc>
          <w:tcPr>
            <w:tcW w:w="8617" w:type="dxa"/>
            <w:tcBorders>
              <w:bottom w:val="single" w:sz="4" w:space="0" w:color="auto"/>
            </w:tcBorders>
          </w:tcPr>
          <w:p w14:paraId="3C448A0E" w14:textId="77777777" w:rsidR="00F73D5B" w:rsidRPr="008B7A21" w:rsidRDefault="00F73D5B" w:rsidP="00767A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846"/>
              </w:tabs>
              <w:rPr>
                <w:lang w:val="es-ES_tradnl"/>
              </w:rPr>
            </w:pPr>
            <w:r w:rsidRPr="008B7A21">
              <w:rPr>
                <w:lang w:val="es-ES_tradnl"/>
              </w:rPr>
              <w:t>Tecnología utilizada para radiodifusión en ondas kilométricas, hectométricas y decamétricas en el territorio de otros estados con arreglo a horario estacional</w:t>
            </w:r>
          </w:p>
        </w:tc>
        <w:tc>
          <w:tcPr>
            <w:tcW w:w="1020" w:type="dxa"/>
            <w:tcBorders>
              <w:bottom w:val="single" w:sz="4" w:space="0" w:color="auto"/>
            </w:tcBorders>
          </w:tcPr>
          <w:p w14:paraId="2C710CD6" w14:textId="77777777" w:rsidR="00F73D5B" w:rsidRPr="008B7A21" w:rsidRDefault="00F73D5B" w:rsidP="00767A6A">
            <w:pPr>
              <w:pStyle w:val="Tabletext"/>
              <w:jc w:val="center"/>
              <w:rPr>
                <w:lang w:val="es-ES_tradnl"/>
              </w:rPr>
            </w:pPr>
            <w:r w:rsidRPr="008B7A21">
              <w:rPr>
                <w:lang w:val="es-ES_tradnl"/>
              </w:rPr>
              <w:t>0,01</w:t>
            </w:r>
          </w:p>
        </w:tc>
      </w:tr>
      <w:tr w:rsidR="00F73D5B" w:rsidRPr="008B7A21" w14:paraId="6856E355" w14:textId="77777777" w:rsidTr="00767A6A">
        <w:trPr>
          <w:trHeight w:val="70"/>
          <w:jc w:val="center"/>
        </w:trPr>
        <w:tc>
          <w:tcPr>
            <w:tcW w:w="8617" w:type="dxa"/>
            <w:tcBorders>
              <w:bottom w:val="single" w:sz="4" w:space="0" w:color="auto"/>
            </w:tcBorders>
          </w:tcPr>
          <w:p w14:paraId="6F2F47C3" w14:textId="77777777" w:rsidR="00F73D5B" w:rsidRPr="008B7A21" w:rsidRDefault="00F73D5B" w:rsidP="00767A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846"/>
              </w:tabs>
              <w:rPr>
                <w:lang w:val="es-ES_tradnl"/>
              </w:rPr>
            </w:pPr>
            <w:r w:rsidRPr="008B7A21">
              <w:rPr>
                <w:lang w:val="es-ES_tradnl"/>
              </w:rPr>
              <w:t>Estaciones de radiocomunicaciones de sistemas inalámbricos digitales (DECT)</w:t>
            </w:r>
          </w:p>
        </w:tc>
        <w:tc>
          <w:tcPr>
            <w:tcW w:w="1020" w:type="dxa"/>
            <w:tcBorders>
              <w:bottom w:val="single" w:sz="4" w:space="0" w:color="auto"/>
            </w:tcBorders>
          </w:tcPr>
          <w:p w14:paraId="03E0F656" w14:textId="77777777" w:rsidR="00F73D5B" w:rsidRPr="008B7A21" w:rsidRDefault="00F73D5B" w:rsidP="00767A6A">
            <w:pPr>
              <w:pStyle w:val="Tabletext"/>
              <w:jc w:val="center"/>
              <w:rPr>
                <w:lang w:val="es-ES_tradnl"/>
              </w:rPr>
            </w:pPr>
            <w:r w:rsidRPr="008B7A21">
              <w:rPr>
                <w:lang w:val="es-ES_tradnl"/>
              </w:rPr>
              <w:t>0,01</w:t>
            </w:r>
          </w:p>
        </w:tc>
      </w:tr>
      <w:tr w:rsidR="00F73D5B" w:rsidRPr="008B7A21" w14:paraId="258F1427" w14:textId="77777777" w:rsidTr="00767A6A">
        <w:trPr>
          <w:trHeight w:val="70"/>
          <w:jc w:val="center"/>
        </w:trPr>
        <w:tc>
          <w:tcPr>
            <w:tcW w:w="8617" w:type="dxa"/>
            <w:tcBorders>
              <w:bottom w:val="single" w:sz="4" w:space="0" w:color="auto"/>
            </w:tcBorders>
          </w:tcPr>
          <w:p w14:paraId="685C2684" w14:textId="77777777" w:rsidR="00F73D5B" w:rsidRPr="008B7A21" w:rsidRDefault="00F73D5B" w:rsidP="00767A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846"/>
              </w:tabs>
              <w:rPr>
                <w:lang w:val="es-ES_tradnl"/>
              </w:rPr>
            </w:pPr>
            <w:r w:rsidRPr="008B7A21">
              <w:rPr>
                <w:lang w:val="es-ES_tradnl"/>
              </w:rPr>
              <w:t>Radares</w:t>
            </w:r>
          </w:p>
        </w:tc>
        <w:tc>
          <w:tcPr>
            <w:tcW w:w="1020" w:type="dxa"/>
            <w:tcBorders>
              <w:bottom w:val="single" w:sz="4" w:space="0" w:color="auto"/>
            </w:tcBorders>
          </w:tcPr>
          <w:p w14:paraId="323E92B6" w14:textId="77777777" w:rsidR="00F73D5B" w:rsidRPr="008B7A21" w:rsidRDefault="00F73D5B" w:rsidP="00767A6A">
            <w:pPr>
              <w:pStyle w:val="Tabletext"/>
              <w:jc w:val="center"/>
              <w:rPr>
                <w:lang w:val="es-ES_tradnl"/>
              </w:rPr>
            </w:pPr>
            <w:r w:rsidRPr="008B7A21">
              <w:rPr>
                <w:lang w:val="es-ES_tradnl"/>
              </w:rPr>
              <w:t>0,01</w:t>
            </w:r>
          </w:p>
        </w:tc>
      </w:tr>
    </w:tbl>
    <w:p w14:paraId="7D04F34E" w14:textId="77777777" w:rsidR="00F73D5B" w:rsidRPr="008B7A21" w:rsidRDefault="00F73D5B" w:rsidP="00F73D5B">
      <w:pPr>
        <w:pStyle w:val="Tablefin"/>
        <w:rPr>
          <w:rStyle w:val="FootnoteReference"/>
          <w:lang w:val="es-ES_tradnl"/>
        </w:rPr>
      </w:pPr>
    </w:p>
    <w:p w14:paraId="41F7010E" w14:textId="46DBC536" w:rsidR="00F73D5B" w:rsidRPr="008B7A21" w:rsidRDefault="00F73D5B" w:rsidP="00F73D5B">
      <w:pPr>
        <w:pStyle w:val="Note"/>
        <w:rPr>
          <w:lang w:val="es-ES_tradnl"/>
        </w:rPr>
      </w:pPr>
      <w:r w:rsidRPr="008B7A21">
        <w:rPr>
          <w:lang w:val="es-ES_tradnl"/>
        </w:rPr>
        <w:t xml:space="preserve">NOTA – Para otros casos, </w:t>
      </w:r>
      <w:r w:rsidRPr="008B7A21">
        <w:rPr>
          <w:i/>
          <w:lang w:val="es-ES_tradnl"/>
        </w:rPr>
        <w:t>K</w:t>
      </w:r>
      <w:r w:rsidRPr="008B7A21">
        <w:rPr>
          <w:i/>
          <w:vertAlign w:val="subscript"/>
          <w:lang w:val="es-ES_tradnl"/>
        </w:rPr>
        <w:t>soc</w:t>
      </w:r>
      <w:r w:rsidRPr="008B7A21">
        <w:rPr>
          <w:lang w:val="es-ES_tradnl"/>
        </w:rPr>
        <w:t xml:space="preserve"> = 1.</w:t>
      </w:r>
    </w:p>
    <w:p w14:paraId="3BF04A88" w14:textId="77777777" w:rsidR="00F73D5B" w:rsidRPr="008B7A21" w:rsidRDefault="00F73D5B" w:rsidP="00F73D5B">
      <w:pPr>
        <w:rPr>
          <w:lang w:val="es-ES_tradnl"/>
        </w:rPr>
      </w:pPr>
      <w:r w:rsidRPr="008B7A21">
        <w:rPr>
          <w:lang w:val="es-ES_tradnl"/>
        </w:rPr>
        <w:t>Si la tecnología aplicada guarda relación con varios grupos de este Cuadro, se toma como valor del coeficiente dependiente de factores sociales su valor mínimo.</w:t>
      </w:r>
    </w:p>
    <w:p w14:paraId="0C681216" w14:textId="77777777" w:rsidR="00F73D5B" w:rsidRPr="008B7A21" w:rsidRDefault="00F73D5B" w:rsidP="00F73D5B">
      <w:pPr>
        <w:pStyle w:val="Note"/>
        <w:tabs>
          <w:tab w:val="left" w:pos="284"/>
          <w:tab w:val="left" w:pos="567"/>
        </w:tabs>
        <w:ind w:left="284" w:hanging="284"/>
        <w:rPr>
          <w:lang w:val="es-ES_tradnl"/>
        </w:rPr>
      </w:pPr>
      <w:r w:rsidRPr="008B7A21">
        <w:rPr>
          <w:lang w:val="es-ES_tradnl"/>
        </w:rPr>
        <w:t>*</w:t>
      </w:r>
      <w:r w:rsidRPr="008B7A21">
        <w:rPr>
          <w:lang w:val="es-ES_tradnl"/>
        </w:rPr>
        <w:tab/>
        <w:t>Las tecnologías radioeléctricas utilizadas para la seguridad pública en la Federación de Rusia, incluidas para situaciones de emergencia, son las siguientes:</w:t>
      </w:r>
    </w:p>
    <w:p w14:paraId="0F8A7ED5" w14:textId="77777777" w:rsidR="00F73D5B" w:rsidRPr="008B7A21" w:rsidRDefault="00F73D5B" w:rsidP="00F73D5B">
      <w:pPr>
        <w:pStyle w:val="Note"/>
        <w:tabs>
          <w:tab w:val="left" w:pos="284"/>
          <w:tab w:val="left" w:pos="567"/>
        </w:tabs>
        <w:rPr>
          <w:lang w:val="es-ES_tradnl"/>
        </w:rPr>
      </w:pPr>
      <w:r w:rsidRPr="008B7A21">
        <w:rPr>
          <w:lang w:val="es-ES_tradnl"/>
        </w:rPr>
        <w:tab/>
        <w:t>–</w:t>
      </w:r>
      <w:r w:rsidRPr="008B7A21">
        <w:rPr>
          <w:lang w:val="es-ES_tradnl"/>
        </w:rPr>
        <w:tab/>
        <w:t>radionavegación;</w:t>
      </w:r>
    </w:p>
    <w:p w14:paraId="4F3064A1" w14:textId="77777777" w:rsidR="00F73D5B" w:rsidRPr="008B7A21" w:rsidRDefault="00F73D5B" w:rsidP="00F73D5B">
      <w:pPr>
        <w:pStyle w:val="Note"/>
        <w:tabs>
          <w:tab w:val="left" w:pos="284"/>
          <w:tab w:val="left" w:pos="567"/>
        </w:tabs>
        <w:rPr>
          <w:lang w:val="es-ES_tradnl"/>
        </w:rPr>
      </w:pPr>
      <w:r w:rsidRPr="008B7A21">
        <w:rPr>
          <w:lang w:val="es-ES_tradnl"/>
        </w:rPr>
        <w:tab/>
        <w:t>–</w:t>
      </w:r>
      <w:r w:rsidRPr="008B7A21">
        <w:rPr>
          <w:lang w:val="es-ES_tradnl"/>
        </w:rPr>
        <w:tab/>
        <w:t>meteorológicas, incluidos radares meteorológicos;</w:t>
      </w:r>
    </w:p>
    <w:p w14:paraId="0E91579F" w14:textId="77777777" w:rsidR="00F73D5B" w:rsidRPr="008B7A21" w:rsidRDefault="00F73D5B" w:rsidP="00F73D5B">
      <w:pPr>
        <w:pStyle w:val="Note"/>
        <w:tabs>
          <w:tab w:val="left" w:pos="284"/>
          <w:tab w:val="left" w:pos="567"/>
        </w:tabs>
        <w:rPr>
          <w:lang w:val="es-ES_tradnl"/>
        </w:rPr>
      </w:pPr>
      <w:r w:rsidRPr="008B7A21">
        <w:rPr>
          <w:lang w:val="es-ES_tradnl"/>
        </w:rPr>
        <w:tab/>
        <w:t>–</w:t>
      </w:r>
      <w:r w:rsidRPr="008B7A21">
        <w:rPr>
          <w:lang w:val="es-ES_tradnl"/>
        </w:rPr>
        <w:tab/>
        <w:t>radiodeterminación;</w:t>
      </w:r>
    </w:p>
    <w:p w14:paraId="78DB2E26" w14:textId="77777777" w:rsidR="00F73D5B" w:rsidRPr="008B7A21" w:rsidRDefault="00F73D5B" w:rsidP="00F73D5B">
      <w:pPr>
        <w:pStyle w:val="Note"/>
        <w:tabs>
          <w:tab w:val="left" w:pos="284"/>
          <w:tab w:val="left" w:pos="567"/>
        </w:tabs>
        <w:ind w:left="567" w:hanging="567"/>
        <w:rPr>
          <w:lang w:val="es-ES_tradnl"/>
        </w:rPr>
      </w:pPr>
      <w:r w:rsidRPr="008B7A21">
        <w:rPr>
          <w:lang w:val="es-ES_tradnl"/>
        </w:rPr>
        <w:tab/>
        <w:t>–</w:t>
      </w:r>
      <w:r w:rsidRPr="008B7A21">
        <w:rPr>
          <w:lang w:val="es-ES_tradnl"/>
        </w:rPr>
        <w:tab/>
        <w:t>servicios que utilizan frecuencias de llamada y socorro definidos en el Reglamento de Radiocomunicaciones.</w:t>
      </w:r>
    </w:p>
    <w:p w14:paraId="0B865B46" w14:textId="77777777" w:rsidR="00F73D5B" w:rsidRPr="008B7A21" w:rsidRDefault="00F73D5B" w:rsidP="00F73D5B">
      <w:pPr>
        <w:rPr>
          <w:lang w:val="es-ES_tradnl"/>
        </w:rPr>
      </w:pPr>
      <w:r w:rsidRPr="008B7A21">
        <w:rPr>
          <w:lang w:val="es-ES_tradnl"/>
        </w:rPr>
        <w:t xml:space="preserve">Si el sistema radioeléctrico utiliza otras frecuencias nominales entre las frecuencias de llamada y socorro definidas en el Reglamento de Radiocomunicaciones de la UIT, el coeficiente que depende de los factores sociales para la tecnología implementada </w:t>
      </w:r>
      <w:r w:rsidRPr="008B7A21">
        <w:rPr>
          <w:i/>
          <w:lang w:val="es-ES_tradnl"/>
        </w:rPr>
        <w:t>K</w:t>
      </w:r>
      <w:r w:rsidRPr="008B7A21">
        <w:rPr>
          <w:i/>
          <w:vertAlign w:val="subscript"/>
          <w:lang w:val="es-ES_tradnl"/>
        </w:rPr>
        <w:t>soc</w:t>
      </w:r>
      <w:r w:rsidRPr="008B7A21">
        <w:rPr>
          <w:lang w:val="es-ES_tradnl"/>
        </w:rPr>
        <w:t> = 0,3 se utiliza únicamente para frecuencias de llamada y socorro.</w:t>
      </w:r>
    </w:p>
    <w:bookmarkStart w:id="1978" w:name="_Toc476537901"/>
    <w:bookmarkStart w:id="1979" w:name="_Toc306276895"/>
    <w:bookmarkStart w:id="1980" w:name="_Toc307921568"/>
    <w:bookmarkStart w:id="1981" w:name="_Toc307922135"/>
    <w:bookmarkStart w:id="1982" w:name="_Toc307922679"/>
    <w:bookmarkStart w:id="1983" w:name="_Toc307992028"/>
    <w:bookmarkStart w:id="1984" w:name="_Toc307994063"/>
    <w:bookmarkStart w:id="1985" w:name="_Toc307995282"/>
    <w:bookmarkStart w:id="1986" w:name="_Toc307996469"/>
    <w:bookmarkStart w:id="1987" w:name="_Toc308010401"/>
    <w:bookmarkStart w:id="1988" w:name="_Toc499563114"/>
    <w:bookmarkStart w:id="1989" w:name="_Toc215835446"/>
    <w:p w14:paraId="1F16F665" w14:textId="77777777" w:rsidR="00D849A8" w:rsidRPr="00D849A8" w:rsidRDefault="00D849A8" w:rsidP="00D849A8">
      <w:pPr>
        <w:pStyle w:val="Equation"/>
        <w:jc w:val="center"/>
        <w:rPr>
          <w:lang w:val="en-GB"/>
        </w:rPr>
      </w:pPr>
      <w:r w:rsidRPr="00D849A8">
        <w:rPr>
          <w:position w:val="-14"/>
          <w:lang w:val="en-GB"/>
        </w:rPr>
        <w:object w:dxaOrig="2940" w:dyaOrig="450" w14:anchorId="5ED53E2D">
          <v:shape id="_x0000_i1765" type="#_x0000_t75" style="width:147.35pt;height:22.6pt" o:ole="">
            <v:imagedata r:id="rId237" o:title=""/>
          </v:shape>
          <o:OLEObject Type="Embed" ProgID="Equation.3" ShapeID="_x0000_i1765" DrawAspect="Content" ObjectID="_1826705970" r:id="rId238"/>
        </w:object>
      </w:r>
      <w:r w:rsidRPr="00D849A8">
        <w:rPr>
          <w:lang w:val="en-GB"/>
        </w:rPr>
        <w:t xml:space="preserve">      </w:t>
      </w:r>
      <w:r w:rsidRPr="00D849A8">
        <w:rPr>
          <w:position w:val="-28"/>
          <w:lang w:val="en-GB"/>
        </w:rPr>
        <w:object w:dxaOrig="1440" w:dyaOrig="765" w14:anchorId="35BF2262">
          <v:shape id="_x0000_i1766" type="#_x0000_t75" style="width:1in;height:38.5pt" o:ole="">
            <v:imagedata r:id="rId239" o:title=""/>
          </v:shape>
          <o:OLEObject Type="Embed" ProgID="Equation.3" ShapeID="_x0000_i1766" DrawAspect="Content" ObjectID="_1826705971" r:id="rId240"/>
        </w:object>
      </w:r>
      <w:r w:rsidRPr="00D849A8">
        <w:rPr>
          <w:position w:val="-16"/>
          <w:lang w:val="en-GB"/>
        </w:rPr>
        <w:object w:dxaOrig="5445" w:dyaOrig="525" w14:anchorId="0096E1DF">
          <v:shape id="_x0000_i1767" type="#_x0000_t75" style="width:272.1pt;height:25.95pt" o:ole="">
            <v:imagedata r:id="rId229" o:title=""/>
          </v:shape>
          <o:OLEObject Type="Embed" ProgID="Equation.3" ShapeID="_x0000_i1767" DrawAspect="Content" ObjectID="_1826705972" r:id="rId241"/>
        </w:object>
      </w:r>
      <w:r w:rsidRPr="00D849A8">
        <w:rPr>
          <w:lang w:val="en-GB"/>
        </w:rPr>
        <w:t xml:space="preserve">     </w:t>
      </w:r>
      <w:r w:rsidRPr="00D849A8">
        <w:rPr>
          <w:position w:val="-14"/>
          <w:lang w:val="en-GB"/>
        </w:rPr>
        <w:object w:dxaOrig="2115" w:dyaOrig="405" w14:anchorId="3763DA70">
          <v:shape id="_x0000_i1768" type="#_x0000_t75" style="width:105.5pt;height:20.1pt" o:ole="">
            <v:imagedata r:id="rId242" o:title=""/>
          </v:shape>
          <o:OLEObject Type="Embed" ProgID="Equation.3" ShapeID="_x0000_i1768" DrawAspect="Content" ObjectID="_1826705973" r:id="rId243"/>
        </w:object>
      </w:r>
      <w:r w:rsidRPr="00D849A8">
        <w:rPr>
          <w:lang w:val="en-GB"/>
        </w:rPr>
        <w:t xml:space="preserve">     </w:t>
      </w:r>
      <w:r w:rsidRPr="00D849A8">
        <w:rPr>
          <w:position w:val="-14"/>
          <w:lang w:val="en-GB"/>
        </w:rPr>
        <w:object w:dxaOrig="1260" w:dyaOrig="405" w14:anchorId="0CBFDDE6">
          <v:shape id="_x0000_i1769" type="#_x0000_t75" style="width:62.8pt;height:20.1pt" o:ole="">
            <v:imagedata r:id="rId231" o:title=""/>
          </v:shape>
          <o:OLEObject Type="Embed" ProgID="Equation.3" ShapeID="_x0000_i1769" DrawAspect="Content" ObjectID="_1826705974" r:id="rId244"/>
        </w:object>
      </w:r>
      <w:r w:rsidRPr="00D849A8">
        <w:rPr>
          <w:position w:val="-10"/>
          <w:lang w:val="en-GB"/>
        </w:rPr>
        <w:object w:dxaOrig="2040" w:dyaOrig="375" w14:anchorId="37B06C04">
          <v:shape id="_x0000_i1770" type="#_x0000_t75" style="width:102.15pt;height:18.4pt" o:ole="">
            <v:imagedata r:id="rId245" o:title=""/>
          </v:shape>
          <o:OLEObject Type="Embed" ProgID="Equation.3" ShapeID="_x0000_i1770" DrawAspect="Content" ObjectID="_1826705975" r:id="rId246"/>
        </w:object>
      </w:r>
      <w:r w:rsidRPr="00D849A8">
        <w:rPr>
          <w:lang w:val="en-GB"/>
        </w:rPr>
        <w:t xml:space="preserve">    </w:t>
      </w:r>
      <w:r w:rsidRPr="00D849A8">
        <w:rPr>
          <w:position w:val="-10"/>
          <w:szCs w:val="24"/>
          <w:lang w:val="en-GB"/>
        </w:rPr>
        <w:object w:dxaOrig="2505" w:dyaOrig="360" w14:anchorId="062C966B">
          <v:shape id="_x0000_i1771" type="#_x0000_t75" style="width:125.6pt;height:18.4pt" o:ole="">
            <v:imagedata r:id="rId247" o:title=""/>
          </v:shape>
          <o:OLEObject Type="Embed" ProgID="Equation.3" ShapeID="_x0000_i1771" DrawAspect="Content" ObjectID="_1826705976" r:id="rId248"/>
        </w:object>
      </w:r>
      <w:r w:rsidRPr="00D849A8">
        <w:rPr>
          <w:szCs w:val="24"/>
          <w:lang w:val="en-GB"/>
        </w:rPr>
        <w:t xml:space="preserve">    </w:t>
      </w:r>
      <w:r w:rsidRPr="00D849A8">
        <w:rPr>
          <w:position w:val="-28"/>
          <w:lang w:val="en-GB"/>
        </w:rPr>
        <w:object w:dxaOrig="3000" w:dyaOrig="630" w14:anchorId="77934CDA">
          <v:shape id="_x0000_i1772" type="#_x0000_t75" style="width:149.85pt;height:31.8pt" o:ole="">
            <v:imagedata r:id="rId249" o:title=""/>
          </v:shape>
          <o:OLEObject Type="Embed" ProgID="Equation.3" ShapeID="_x0000_i1772" DrawAspect="Content" ObjectID="_1826705977" r:id="rId250"/>
        </w:object>
      </w:r>
      <w:r w:rsidRPr="00D849A8">
        <w:rPr>
          <w:position w:val="-28"/>
          <w:szCs w:val="24"/>
          <w:lang w:val="en-GB"/>
        </w:rPr>
        <w:object w:dxaOrig="3030" w:dyaOrig="765" w14:anchorId="68F83A0F">
          <v:shape id="_x0000_i1773" type="#_x0000_t75" style="width:151.55pt;height:38.5pt" o:ole="">
            <v:imagedata r:id="rId251" o:title=""/>
          </v:shape>
          <o:OLEObject Type="Embed" ProgID="Equation.3" ShapeID="_x0000_i1773" DrawAspect="Content" ObjectID="_1826705978" r:id="rId252"/>
        </w:object>
      </w:r>
      <w:r w:rsidRPr="00D849A8">
        <w:rPr>
          <w:szCs w:val="24"/>
          <w:lang w:val="en-GB"/>
        </w:rPr>
        <w:t xml:space="preserve">    </w:t>
      </w:r>
      <w:r w:rsidRPr="00D849A8">
        <w:rPr>
          <w:position w:val="-30"/>
          <w:lang w:val="en-GB"/>
        </w:rPr>
        <w:object w:dxaOrig="4905" w:dyaOrig="765" w14:anchorId="15D83CD3">
          <v:shape id="_x0000_i1774" type="#_x0000_t75" style="width:245.3pt;height:38.5pt" o:ole="">
            <v:imagedata r:id="rId253" o:title=""/>
          </v:shape>
          <o:OLEObject Type="Embed" ProgID="Equation.3" ShapeID="_x0000_i1774" DrawAspect="Content" ObjectID="_1826705979" r:id="rId254"/>
        </w:object>
      </w:r>
      <w:r w:rsidRPr="00D849A8">
        <w:rPr>
          <w:position w:val="-14"/>
          <w:lang w:val="en-GB"/>
        </w:rPr>
        <w:object w:dxaOrig="3165" w:dyaOrig="450" w14:anchorId="23A2294B">
          <v:shape id="_x0000_i1775" type="#_x0000_t75" style="width:158.25pt;height:22.6pt" o:ole="">
            <v:imagedata r:id="rId255" o:title=""/>
          </v:shape>
          <o:OLEObject Type="Embed" ProgID="Equation.3" ShapeID="_x0000_i1775" DrawAspect="Content" ObjectID="_1826705980" r:id="rId256"/>
        </w:object>
      </w:r>
    </w:p>
    <w:p w14:paraId="05E43EE8" w14:textId="77777777" w:rsidR="00F73D5B" w:rsidRPr="008B7A21" w:rsidRDefault="00F73D5B" w:rsidP="00F73D5B">
      <w:pPr>
        <w:pStyle w:val="Heading3"/>
        <w:rPr>
          <w:lang w:val="es-ES_tradnl"/>
        </w:rPr>
      </w:pPr>
      <w:r w:rsidRPr="008B7A21">
        <w:rPr>
          <w:lang w:val="es-ES_tradnl"/>
        </w:rPr>
        <w:t>5.2.8</w:t>
      </w:r>
      <w:r w:rsidRPr="008B7A21">
        <w:rPr>
          <w:lang w:val="es-ES_tradnl"/>
        </w:rPr>
        <w:tab/>
      </w:r>
      <w:bookmarkEnd w:id="1952"/>
      <w:bookmarkEnd w:id="1953"/>
      <w:bookmarkEnd w:id="1954"/>
      <w:bookmarkEnd w:id="1955"/>
      <w:bookmarkEnd w:id="1956"/>
      <w:bookmarkEnd w:id="1957"/>
      <w:bookmarkEnd w:id="1958"/>
      <w:bookmarkEnd w:id="1978"/>
      <w:r w:rsidRPr="008B7A21">
        <w:rPr>
          <w:lang w:val="es-ES_tradnl"/>
        </w:rPr>
        <w:t>Experiencia del Reino Unido con los cánones de licencia</w:t>
      </w:r>
      <w:bookmarkEnd w:id="1979"/>
      <w:bookmarkEnd w:id="1980"/>
      <w:bookmarkEnd w:id="1981"/>
      <w:bookmarkEnd w:id="1982"/>
      <w:bookmarkEnd w:id="1983"/>
      <w:bookmarkEnd w:id="1984"/>
      <w:bookmarkEnd w:id="1985"/>
      <w:bookmarkEnd w:id="1986"/>
      <w:bookmarkEnd w:id="1987"/>
      <w:bookmarkEnd w:id="1988"/>
      <w:bookmarkEnd w:id="1989"/>
    </w:p>
    <w:p w14:paraId="204DFB10" w14:textId="77777777" w:rsidR="00F73D5B" w:rsidRPr="008B7A21" w:rsidRDefault="00F73D5B" w:rsidP="00F73D5B">
      <w:pPr>
        <w:rPr>
          <w:lang w:val="es-ES_tradnl"/>
        </w:rPr>
      </w:pPr>
      <w:r w:rsidRPr="008B7A21">
        <w:rPr>
          <w:lang w:val="es-ES_tradnl"/>
        </w:rPr>
        <w:t>La fijación de precios administrativos con incentivo (AIP) se introdujo por primera vez en el Reino Unido en 1998. La AIP fija cánones de licencia para reflejar costes de oportunidad del espectro denegado a otros usos y usuarios, en lugar de únicamente los costes de gestión del espectro radioeléctrico. Al ser un enfoque fundamentalmente diferente para la fijación de cánones, hasta la fecha se ha aplicado de forma moderada: se ha ido introduciendo a diferentes usuarios del espectro de forma paulatina y las cuantías de los cánones se han fijado generalmente como mucho en torno al 50% de su coste de oportunidad estimado total. Asimismo, las subidas de los cánones se han dilatado durante un cierto número de años.</w:t>
      </w:r>
    </w:p>
    <w:p w14:paraId="6AA551CD" w14:textId="77777777" w:rsidR="00F73D5B" w:rsidRPr="008B7A21" w:rsidRDefault="00F73D5B" w:rsidP="00F73D5B">
      <w:pPr>
        <w:rPr>
          <w:lang w:val="es-ES_tradnl"/>
        </w:rPr>
      </w:pPr>
      <w:r w:rsidRPr="008B7A21">
        <w:rPr>
          <w:lang w:val="es-ES_tradnl"/>
        </w:rPr>
        <w:t>La AIP está diseñada para facilitar a los usuarios indicaciones a largo plazo del valor del espectro. Estas indicaciones del valor a largo plazo pretenden ayudar a los usuarios (y a sus suministradores) a tomar decisiones más eficientes en lo relativo al uso del espectro y a las inversiones en tecnologías radioeléctricas. Al mismo tiempo, dada la importante inversión que muchos usuarios han realizado en equipos radioeléctricos que, en la mayoría de los casos, no se pueden modificar con facilidad ni rapidez para diferentes frecuencias y tienen una vida de muchos años, no es probable que la AIP aplique cambios importantes en el uso del espectro a corto plazo. La AIP no pretende conseguir ningún objetivo de reestructuración del espectro a corto plazo.</w:t>
      </w:r>
    </w:p>
    <w:p w14:paraId="2E1D7917" w14:textId="7377A716" w:rsidR="00F73D5B" w:rsidRPr="008B7A21" w:rsidRDefault="00F73D5B" w:rsidP="00F73D5B">
      <w:pPr>
        <w:rPr>
          <w:b/>
          <w:lang w:val="es-ES_tradnl" w:eastAsia="zh-CN"/>
        </w:rPr>
      </w:pPr>
      <w:r w:rsidRPr="008B7A21">
        <w:rPr>
          <w:lang w:val="es-ES_tradnl"/>
        </w:rPr>
        <w:t>El Reino Unido ha llevado a cabo una evaluación de la política de recaudación de cánones del espectro basada en la AIP. La información completa sobre esa política está disponible en:</w:t>
      </w:r>
      <w:r w:rsidR="00D849A8">
        <w:rPr>
          <w:lang w:val="es-ES_tradnl"/>
        </w:rPr>
        <w:br/>
      </w:r>
      <w:hyperlink r:id="rId257" w:history="1">
        <w:r w:rsidRPr="008B7A21">
          <w:rPr>
            <w:rStyle w:val="Hyperlink"/>
            <w:lang w:val="es-ES_tradnl"/>
          </w:rPr>
          <w:t>http://www.ofcom.org.uk/research/radiocomms/reports/policy_report/evaluation_report_AIP.pdf</w:t>
        </w:r>
      </w:hyperlink>
    </w:p>
    <w:p w14:paraId="3BBB3ECC" w14:textId="77777777" w:rsidR="00F73D5B" w:rsidRPr="008B7A21" w:rsidRDefault="00F73D5B" w:rsidP="00F73D5B">
      <w:pPr>
        <w:keepNext/>
        <w:keepLines/>
        <w:rPr>
          <w:lang w:val="es-ES_tradnl"/>
        </w:rPr>
      </w:pPr>
      <w:r w:rsidRPr="008B7A21">
        <w:rPr>
          <w:lang w:val="es-ES_tradnl"/>
        </w:rPr>
        <w:t>Las conclusiones globales de este informe son:</w:t>
      </w:r>
    </w:p>
    <w:p w14:paraId="1964F0FA" w14:textId="77777777" w:rsidR="00F73D5B" w:rsidRPr="008B7A21" w:rsidRDefault="00F73D5B" w:rsidP="00F73D5B">
      <w:pPr>
        <w:pStyle w:val="enumlev1"/>
        <w:rPr>
          <w:lang w:val="es-ES_tradnl"/>
        </w:rPr>
      </w:pPr>
      <w:r w:rsidRPr="008B7A21">
        <w:rPr>
          <w:lang w:val="es-ES_tradnl"/>
        </w:rPr>
        <w:t>–</w:t>
      </w:r>
      <w:r w:rsidRPr="008B7A21">
        <w:rPr>
          <w:lang w:val="es-ES_tradnl"/>
        </w:rPr>
        <w:tab/>
        <w:t>En conjunto, la AIP ha cumplido su objetivo principal al contribuir a incentivar a los usuarios para que consideren con más atención el valor del espectro que utilizan junto con otras consideraciones, y a tomar decisiones que puedan lograr una utilización óptima del espectro disponible. Puesto que las decisiones de cada usuario reflejan sus propias circunstancias y objetivos, resulta difícil atribuir las mejoras en la atribución del espectro únicamente a la influencia de la AIP. Sin embargo, mientras se implantó la AIP, cuando se realizó esa evaluación, los usuarios identificaron algunas actuaciones importantes en las que se consideraba que la AIP podría haber contribuido a promover un uso más eficiente del espectro.</w:t>
      </w:r>
    </w:p>
    <w:p w14:paraId="507D6AA1" w14:textId="77777777" w:rsidR="00F73D5B" w:rsidRPr="008B7A21" w:rsidRDefault="00F73D5B" w:rsidP="00F73D5B">
      <w:pPr>
        <w:pStyle w:val="enumlev1"/>
        <w:keepNext/>
        <w:keepLines/>
        <w:rPr>
          <w:lang w:val="es-ES_tradnl"/>
        </w:rPr>
      </w:pPr>
      <w:r w:rsidRPr="008B7A21">
        <w:rPr>
          <w:lang w:val="es-ES_tradnl"/>
        </w:rPr>
        <w:t>–</w:t>
      </w:r>
      <w:r w:rsidRPr="008B7A21">
        <w:rPr>
          <w:lang w:val="es-ES_tradnl"/>
        </w:rPr>
        <w:tab/>
        <w:t>En particular:</w:t>
      </w:r>
    </w:p>
    <w:p w14:paraId="76708B16" w14:textId="77777777" w:rsidR="00F73D5B" w:rsidRPr="008B7A21" w:rsidRDefault="00F73D5B" w:rsidP="00F73D5B">
      <w:pPr>
        <w:pStyle w:val="enumlev2"/>
        <w:rPr>
          <w:lang w:val="es-ES_tradnl"/>
        </w:rPr>
      </w:pPr>
      <w:r w:rsidRPr="008B7A21">
        <w:rPr>
          <w:lang w:val="es-ES_tradnl"/>
        </w:rPr>
        <w:t>•</w:t>
      </w:r>
      <w:r w:rsidRPr="008B7A21">
        <w:rPr>
          <w:lang w:val="es-ES_tradnl"/>
        </w:rPr>
        <w:tab/>
        <w:t>la supresión de enlaces fijos existente en la banda de 4 GHz, considerados por lo general como ineficientes desde el punto de vista técnico debido a la edad de los equipos desplegados;</w:t>
      </w:r>
    </w:p>
    <w:p w14:paraId="5694BAB6" w14:textId="77777777" w:rsidR="00F73D5B" w:rsidRPr="008B7A21" w:rsidRDefault="00F73D5B" w:rsidP="00F73D5B">
      <w:pPr>
        <w:pStyle w:val="enumlev2"/>
        <w:rPr>
          <w:lang w:val="es-ES_tradnl"/>
        </w:rPr>
      </w:pPr>
      <w:r w:rsidRPr="008B7A21">
        <w:rPr>
          <w:lang w:val="es-ES_tradnl"/>
        </w:rPr>
        <w:t>•</w:t>
      </w:r>
      <w:r w:rsidRPr="008B7A21">
        <w:rPr>
          <w:lang w:val="es-ES_tradnl"/>
        </w:rPr>
        <w:tab/>
        <w:t>la supresión de limitaciones en servicios activos que funcionan en bandas de frecuencias utilizadas por el servicio de radioastronomía tras la introducción de los cánones AIP mediante derechos reconocidos de acceso al espectro (RSA);</w:t>
      </w:r>
    </w:p>
    <w:p w14:paraId="22CBAB5D" w14:textId="77777777" w:rsidR="00F73D5B" w:rsidRPr="008B7A21" w:rsidRDefault="00F73D5B" w:rsidP="00F73D5B">
      <w:pPr>
        <w:pStyle w:val="enumlev2"/>
        <w:rPr>
          <w:lang w:val="es-ES_tradnl"/>
        </w:rPr>
      </w:pPr>
      <w:r w:rsidRPr="008B7A21">
        <w:rPr>
          <w:lang w:val="es-ES_tradnl"/>
        </w:rPr>
        <w:t>•</w:t>
      </w:r>
      <w:r w:rsidRPr="008B7A21">
        <w:rPr>
          <w:lang w:val="es-ES_tradnl"/>
        </w:rPr>
        <w:tab/>
        <w:t>la recuperación de parte del espectro UHF2 utilizado por la policía en Escocia;</w:t>
      </w:r>
    </w:p>
    <w:p w14:paraId="7A79E10E" w14:textId="77777777" w:rsidR="00F73D5B" w:rsidRPr="008B7A21" w:rsidRDefault="00F73D5B" w:rsidP="00F73D5B">
      <w:pPr>
        <w:pStyle w:val="enumlev2"/>
        <w:rPr>
          <w:lang w:val="es-ES_tradnl"/>
        </w:rPr>
      </w:pPr>
      <w:r w:rsidRPr="008B7A21">
        <w:rPr>
          <w:lang w:val="es-ES_tradnl"/>
        </w:rPr>
        <w:t>•</w:t>
      </w:r>
      <w:r w:rsidRPr="008B7A21">
        <w:rPr>
          <w:lang w:val="es-ES_tradnl"/>
        </w:rPr>
        <w:tab/>
        <w:t>no se ha podido demostrar que la instauración de la AIP haya generado consecuencias materiales adversas para la eficiencia del espectro. En particular no se ha producido una caída importante de la demanda de espectro donde se ha aplicado la AIP.</w:t>
      </w:r>
    </w:p>
    <w:p w14:paraId="30BBC0DC" w14:textId="77777777" w:rsidR="00F73D5B" w:rsidRPr="008B7A21" w:rsidRDefault="00F73D5B" w:rsidP="00F73D5B">
      <w:pPr>
        <w:pStyle w:val="Heading3"/>
        <w:rPr>
          <w:lang w:val="es-ES_tradnl"/>
        </w:rPr>
      </w:pPr>
      <w:bookmarkStart w:id="1990" w:name="_Toc306276896"/>
      <w:bookmarkStart w:id="1991" w:name="_Toc307921569"/>
      <w:bookmarkStart w:id="1992" w:name="_Toc307922136"/>
      <w:bookmarkStart w:id="1993" w:name="_Toc307922680"/>
      <w:bookmarkStart w:id="1994" w:name="_Toc307992029"/>
      <w:bookmarkStart w:id="1995" w:name="_Toc307994064"/>
      <w:bookmarkStart w:id="1996" w:name="_Toc307995283"/>
      <w:bookmarkStart w:id="1997" w:name="_Toc307996470"/>
      <w:bookmarkStart w:id="1998" w:name="_Toc308010402"/>
      <w:bookmarkStart w:id="1999" w:name="_Toc499563115"/>
      <w:bookmarkStart w:id="2000" w:name="_Toc215835447"/>
      <w:r w:rsidRPr="008B7A21">
        <w:rPr>
          <w:lang w:val="es-ES_tradnl"/>
        </w:rPr>
        <w:t>5.2.9</w:t>
      </w:r>
      <w:r w:rsidRPr="008B7A21">
        <w:rPr>
          <w:lang w:val="es-ES_tradnl"/>
        </w:rPr>
        <w:tab/>
        <w:t>Experiencia de Estados Unidos de América con los cánones de licencia</w:t>
      </w:r>
      <w:bookmarkEnd w:id="1990"/>
      <w:bookmarkEnd w:id="1991"/>
      <w:bookmarkEnd w:id="1992"/>
      <w:bookmarkEnd w:id="1993"/>
      <w:bookmarkEnd w:id="1994"/>
      <w:bookmarkEnd w:id="1995"/>
      <w:bookmarkEnd w:id="1996"/>
      <w:bookmarkEnd w:id="1997"/>
      <w:bookmarkEnd w:id="1998"/>
      <w:bookmarkEnd w:id="1999"/>
      <w:bookmarkEnd w:id="2000"/>
    </w:p>
    <w:p w14:paraId="2DE28B9E" w14:textId="77777777" w:rsidR="00F73D5B" w:rsidRPr="008B7A21" w:rsidRDefault="00F73D5B" w:rsidP="00F73D5B">
      <w:pPr>
        <w:keepNext/>
        <w:keepLines/>
        <w:rPr>
          <w:lang w:val="es-ES_tradnl"/>
        </w:rPr>
      </w:pPr>
      <w:r w:rsidRPr="008B7A21">
        <w:rPr>
          <w:lang w:val="es-ES_tradnl"/>
        </w:rPr>
        <w:t>La FCC regula el espectro y los servicios de cable para el sector civil e impone cánones de solicitud (también conocidos con el nombre de tasas de notificación) y cánones reglamentarios (los detalles relativos a estos cánones en el caso de los servicios de cable se proporcionan aquí sólo como información general y para dar una visión de conjunto). La imposición y recaudación de cánones por parte de la FCC es una función que le ha asignado el Congreso de Estados Unidos de América exclusivamente con el objetivo de cubrir los gastos de la concesión de licencias y de los servicios reglamentarios conexos.</w:t>
      </w:r>
    </w:p>
    <w:p w14:paraId="6713021D" w14:textId="77777777" w:rsidR="00F73D5B" w:rsidRPr="008B7A21" w:rsidRDefault="00F73D5B" w:rsidP="00F73D5B">
      <w:pPr>
        <w:rPr>
          <w:lang w:val="es-ES_tradnl"/>
        </w:rPr>
      </w:pPr>
      <w:r w:rsidRPr="008B7A21">
        <w:rPr>
          <w:lang w:val="es-ES_tradnl"/>
        </w:rPr>
        <w:t>En 1987, la FCC empezó a cobrar cánones de solicitud a todos los servicios radioeléctricos para los que concedía licencia y cuyo fin es cubrir los costes administrativos directos del tratamiento de una solicitud de licencia. El pago de estos cánones quedó a cargo de los interesados en obtener o renovar una licencia. Los gobiernos locales y estatales y las entidades no lucrativas suelen estar exentos de los cánones de solicitud. Dichos cánones varían de un servicio a otro.</w:t>
      </w:r>
    </w:p>
    <w:p w14:paraId="5F450AF1" w14:textId="77777777" w:rsidR="00F73D5B" w:rsidRPr="008B7A21" w:rsidRDefault="00F73D5B" w:rsidP="00F73D5B">
      <w:pPr>
        <w:rPr>
          <w:lang w:val="es-ES_tradnl"/>
        </w:rPr>
      </w:pPr>
      <w:r w:rsidRPr="008B7A21">
        <w:rPr>
          <w:lang w:val="es-ES_tradnl"/>
        </w:rPr>
        <w:t>La potestad de imposición y recaudación de los cánones de solicitud no fue asumida de forma independiente por la FCC, ya que le fue atribuida por el Congreso de Estados Unidos de América como se señala en el Título III, Sección 3001 de la Ley General de conciliación de cuentas presupuestarias de 1989 (Ley pública 101-239), Sección 8, por la que se revisa la Norma 47 U.S.C. 158, estipulando que la FCC suprimirá los cánones correspondientes a ciertos tipos de tramitación de solicitudes o autorización de servicios en favor de las entidades de comunicaciones dentro de su jurisdicción. Las cantidades ingresadas en concepto de cánones de solicitud o notificación con arreglo a la Sección 8 de la Ley se depositan en el Fondo General del Tesoro de Estados Unidos de América, en calidad de reembolsos al Gobierno Federal de Estados Unidos de América. Estas sumas no van en detracción de los fondos asignados a la FCC (47 U.S.C. 158(a)). En la Sección 8(b) de la Ley de comunicaciones modificada se señala que la FCC deberá examinar y ajustar sus cánones de solicitud cada dos años a partir del 1 de octubre de 1991 (47 U.S.C. 158(b)). Además, el ajuste del incremento de los cánones reflejará el cambio neto del índice de precios de consumo aplicado a los consumidores urbanos (CPI</w:t>
      </w:r>
      <w:r w:rsidRPr="008B7A21">
        <w:rPr>
          <w:lang w:val="es-ES_tradnl"/>
        </w:rPr>
        <w:noBreakHyphen/>
        <w:t>U).</w:t>
      </w:r>
    </w:p>
    <w:p w14:paraId="76C1BBC7" w14:textId="77777777" w:rsidR="00F73D5B" w:rsidRPr="008B7A21" w:rsidRDefault="00F73D5B" w:rsidP="00F73D5B">
      <w:pPr>
        <w:rPr>
          <w:lang w:val="es-ES_tradnl"/>
        </w:rPr>
      </w:pPr>
      <w:r w:rsidRPr="008B7A21">
        <w:rPr>
          <w:lang w:val="es-ES_tradnl"/>
        </w:rPr>
        <w:t>Desde 1990 la FCC viene recaudando cánones de solicitud por un valor medio de 39 millones de dólares de Estados Unidos de América al año. Esta recaudación atañe a más de 300 diferentes cánones, que en su gran mayoría se cobran en el momento de solicitarse una licencia o renovarla, o cuando se pide a la FCC que modifique las condiciones de una licencia.</w:t>
      </w:r>
    </w:p>
    <w:p w14:paraId="014DC7A5" w14:textId="77777777" w:rsidR="00F73D5B" w:rsidRPr="008B7A21" w:rsidRDefault="00F73D5B" w:rsidP="00F73D5B">
      <w:pPr>
        <w:rPr>
          <w:lang w:val="es-ES_tradnl"/>
        </w:rPr>
      </w:pPr>
      <w:r w:rsidRPr="008B7A21">
        <w:rPr>
          <w:lang w:val="es-ES_tradnl"/>
        </w:rPr>
        <w:t>La mayor parte de los cánones se calculan como una tasa de pago puntual solicitud por solicitud, aunque hay ciertas excepciones en este sentido. Las administraciones locales (estatales, departamentales, metropolitanas, etc.), las organizaciones sin fines lucrativos, las entidades de radiodifusión no comerciales y los solicitantes de licencias para aficionados quedan exonerados del pago de cánones.</w:t>
      </w:r>
    </w:p>
    <w:p w14:paraId="1FF0AC48" w14:textId="77777777" w:rsidR="00F73D5B" w:rsidRPr="008B7A21" w:rsidRDefault="00F73D5B" w:rsidP="00F73D5B">
      <w:pPr>
        <w:rPr>
          <w:lang w:val="es-ES_tradnl"/>
        </w:rPr>
      </w:pPr>
      <w:r w:rsidRPr="008B7A21">
        <w:rPr>
          <w:lang w:val="es-ES_tradnl"/>
        </w:rPr>
        <w:t>El Congreso de Estados Unidos de América examina y aprueba la lista de estos cánones, que representan la estimación más exacta de los gastos administrativos directos en que incurre realmente la FCC para tramitar las solicitudes de licencia.</w:t>
      </w:r>
    </w:p>
    <w:p w14:paraId="6F0E077E" w14:textId="6BAF1AE5" w:rsidR="00F73D5B" w:rsidRPr="008B7A21" w:rsidRDefault="00F73D5B" w:rsidP="00F73D5B">
      <w:pPr>
        <w:rPr>
          <w:lang w:val="es-ES_tradnl"/>
        </w:rPr>
      </w:pPr>
      <w:r w:rsidRPr="008B7A21">
        <w:rPr>
          <w:lang w:val="es-ES_tradnl"/>
        </w:rPr>
        <w:t xml:space="preserve">Los avisos públicos, órdenes y directrices para la aplicación de cánones de tramitación pueden consultarse en: </w:t>
      </w:r>
      <w:hyperlink r:id="rId258" w:history="1">
        <w:r w:rsidRPr="008B7A21">
          <w:rPr>
            <w:color w:val="0000FF"/>
            <w:u w:val="single"/>
            <w:lang w:val="es-ES_tradnl"/>
          </w:rPr>
          <w:t>https://www.fcc.gov/licensing-databases/fees/application-processing-fees</w:t>
        </w:r>
      </w:hyperlink>
      <w:r w:rsidRPr="008B7A21">
        <w:rPr>
          <w:lang w:val="es-ES_tradnl"/>
        </w:rPr>
        <w:t>.</w:t>
      </w:r>
    </w:p>
    <w:p w14:paraId="0842611A" w14:textId="33BEB667" w:rsidR="00F73D5B" w:rsidRPr="008B7A21" w:rsidRDefault="00F73D5B" w:rsidP="00F73D5B">
      <w:pPr>
        <w:rPr>
          <w:lang w:val="es-ES_tradnl"/>
        </w:rPr>
      </w:pPr>
      <w:r w:rsidRPr="008B7A21">
        <w:rPr>
          <w:lang w:val="es-ES_tradnl"/>
        </w:rPr>
        <w:t>Además de los cánones reglamentarios y de aplicación, la FCC tiene la facultad de imponer multas por infringir la ley o incumplimiento de las autorizaciones. Las reglas de los procedimientos mencionados figuran en: </w:t>
      </w:r>
      <w:hyperlink r:id="rId259" w:history="1">
        <w:r w:rsidRPr="008B7A21">
          <w:rPr>
            <w:color w:val="0000FF"/>
            <w:u w:val="single"/>
            <w:lang w:val="es-ES_tradnl"/>
          </w:rPr>
          <w:t>https://www.ecfr.gov/current/title-47/chapter-I/subchapter-A/part-1/subpart-A/subject-group-ECFRe23796df9028e47/section-1.80</w:t>
        </w:r>
      </w:hyperlink>
      <w:r w:rsidRPr="008B7A21">
        <w:rPr>
          <w:lang w:val="es-ES_tradnl"/>
        </w:rPr>
        <w:t>.</w:t>
      </w:r>
    </w:p>
    <w:p w14:paraId="7593E91A" w14:textId="77777777" w:rsidR="00F73D5B" w:rsidRPr="008B7A21" w:rsidRDefault="00F73D5B" w:rsidP="00F73D5B">
      <w:pPr>
        <w:keepNext/>
        <w:keepLines/>
        <w:rPr>
          <w:lang w:val="es-ES_tradnl"/>
        </w:rPr>
      </w:pPr>
      <w:r w:rsidRPr="008B7A21">
        <w:rPr>
          <w:lang w:val="es-ES_tradnl"/>
        </w:rPr>
        <w:t>En 1993, el Congreso de Estados Unidos de América encargó a la FCC la recaudación de cánones reglamentarios para sufragar sus actividades de aplicación de la legislación, las de política y reglamentación, los servicios de información al usuario y las actividades internacionales. En esta línea, se implantaron cánones asociados a la reglamentación en 1994.</w:t>
      </w:r>
    </w:p>
    <w:p w14:paraId="46626F4C" w14:textId="77777777" w:rsidR="00F73D5B" w:rsidRPr="008B7A21" w:rsidRDefault="00F73D5B" w:rsidP="00F73D5B">
      <w:pPr>
        <w:rPr>
          <w:lang w:val="es-ES_tradnl"/>
        </w:rPr>
      </w:pPr>
      <w:r w:rsidRPr="008B7A21">
        <w:rPr>
          <w:lang w:val="es-ES_tradnl"/>
        </w:rPr>
        <w:t>La recaudación de los cánones reglamentarios anuales está contemplada en la Ley General de «Conciliación de cuentas presupuestarias de 1993» (Ley pública 103-66). Estos cánones reglamentarios, que pueden modificarse de un año a otro, se utilizan para cubrir los gastos en que incurre la FCC al desempeñar sus funciones de fiscalización, servicio público, internacionales, de política y adopción de normas. Estos cánones se añaden a cualquier tasa de tramitación de solicitudes que tenga que ver con la obtención de la licencia u otra autorización de la FCC.</w:t>
      </w:r>
    </w:p>
    <w:p w14:paraId="4954A355" w14:textId="77777777" w:rsidR="00F73D5B" w:rsidRPr="008B7A21" w:rsidRDefault="00F73D5B" w:rsidP="00F73D5B">
      <w:pPr>
        <w:rPr>
          <w:lang w:val="es-ES_tradnl"/>
        </w:rPr>
      </w:pPr>
      <w:r w:rsidRPr="008B7A21">
        <w:rPr>
          <w:lang w:val="es-ES_tradnl"/>
        </w:rPr>
        <w:t>Sin cánones reglamentarios para cubrir los costes de la FCC, ésta hubiera debido solicitar al Congreso una asignación de 189 millones de dólares para el año fiscal 1997 (1 de octubre de 1996 al 30 de septiembre de 1998). Ahora bien, los ingresos obtenidos (152 millones de dólares de los Estados Unidos de América) hicieron que el Tesoro de Estados Unidos de América sólo tuviera que asignar 37 millones de dólares de los Estados Unidos de América para financiar la FCC.</w:t>
      </w:r>
    </w:p>
    <w:p w14:paraId="4F0ABCDC" w14:textId="77777777" w:rsidR="00F73D5B" w:rsidRPr="008B7A21" w:rsidRDefault="00F73D5B" w:rsidP="00F73D5B">
      <w:pPr>
        <w:rPr>
          <w:lang w:val="es-ES_tradnl"/>
        </w:rPr>
      </w:pPr>
      <w:r w:rsidRPr="008B7A21">
        <w:rPr>
          <w:lang w:val="es-ES_tradnl"/>
        </w:rPr>
        <w:t>Reglamentariamente, el total de cánones recaudados debería sufragar, pero no puede rebasar, el volumen monetario atribuido por el Congreso a la FCC para estas actividades. Los cánones reglamentarios recaudados se depositan en una cuenta que recoge las asignaciones a la FCC.</w:t>
      </w:r>
    </w:p>
    <w:p w14:paraId="69FC1A9D" w14:textId="77777777" w:rsidR="00F73D5B" w:rsidRPr="008B7A21" w:rsidRDefault="00F73D5B" w:rsidP="00F73D5B">
      <w:pPr>
        <w:rPr>
          <w:lang w:val="es-ES_tradnl"/>
        </w:rPr>
      </w:pPr>
      <w:r w:rsidRPr="008B7A21">
        <w:rPr>
          <w:lang w:val="es-ES_tradnl"/>
        </w:rPr>
        <w:t>A continuación, se examinan algunas de las actividades relacionadas con los cánones reglamentarios.</w:t>
      </w:r>
    </w:p>
    <w:p w14:paraId="0795D8F2" w14:textId="77777777" w:rsidR="00F73D5B" w:rsidRPr="008B7A21" w:rsidRDefault="00F73D5B" w:rsidP="00F73D5B">
      <w:pPr>
        <w:pStyle w:val="Heading4"/>
        <w:rPr>
          <w:lang w:val="es-ES_tradnl"/>
        </w:rPr>
      </w:pPr>
      <w:r w:rsidRPr="008B7A21">
        <w:rPr>
          <w:lang w:val="es-ES_tradnl"/>
        </w:rPr>
        <w:t>5.2.9.1</w:t>
      </w:r>
      <w:r w:rsidRPr="008B7A21">
        <w:rPr>
          <w:lang w:val="es-ES_tradnl"/>
        </w:rPr>
        <w:tab/>
        <w:t>Política y formulación de normativa</w:t>
      </w:r>
    </w:p>
    <w:p w14:paraId="1AB08293" w14:textId="77777777" w:rsidR="00F73D5B" w:rsidRPr="008B7A21" w:rsidRDefault="00F73D5B" w:rsidP="00F73D5B">
      <w:pPr>
        <w:rPr>
          <w:lang w:val="es-ES_tradnl"/>
        </w:rPr>
      </w:pPr>
      <w:r w:rsidRPr="008B7A21">
        <w:rPr>
          <w:lang w:val="es-ES_tradnl"/>
        </w:rPr>
        <w:t>Solicitudes oficiales de información, actuaciones legislativas para establecer o enmendar las reglas y la normativa reglamentaria de la FCC, tramitación de peticiones relativas a la formulación de normas y solicitudes de interpretación de normas o de exoneración; estudios y análisis económicos; planificación del espectro, modelado, análisis de propagación e interferencia, y atribución; y preparación de normas de equipo. En este contexto, cabe citar también la dirección de políticas, la preparación de programas, los servicios jurídicos y la dirección ejecutiva, así como los servicios de apoyo relacionados con la política y las actividades de formulación de reglas.</w:t>
      </w:r>
    </w:p>
    <w:p w14:paraId="008DFFE6" w14:textId="77777777" w:rsidR="00F73D5B" w:rsidRPr="008B7A21" w:rsidRDefault="00F73D5B" w:rsidP="00F73D5B">
      <w:pPr>
        <w:pStyle w:val="Heading4"/>
        <w:rPr>
          <w:lang w:val="es-ES_tradnl"/>
        </w:rPr>
      </w:pPr>
      <w:r w:rsidRPr="008B7A21">
        <w:rPr>
          <w:lang w:val="es-ES_tradnl"/>
        </w:rPr>
        <w:t>5.2.9.2</w:t>
      </w:r>
      <w:r w:rsidRPr="008B7A21">
        <w:rPr>
          <w:lang w:val="es-ES_tradnl"/>
        </w:rPr>
        <w:tab/>
        <w:t>Fiscalización</w:t>
      </w:r>
    </w:p>
    <w:p w14:paraId="629EBA66" w14:textId="77777777" w:rsidR="00F73D5B" w:rsidRPr="008B7A21" w:rsidRDefault="00F73D5B" w:rsidP="00F73D5B">
      <w:pPr>
        <w:rPr>
          <w:lang w:val="es-ES_tradnl"/>
        </w:rPr>
      </w:pPr>
      <w:r w:rsidRPr="008B7A21">
        <w:rPr>
          <w:lang w:val="es-ES_tradnl"/>
        </w:rPr>
        <w:t>La fiscalización de las reglas, normativa reglamentaria y autorizaciones de la FCC, incluidas las investigaciones, las inspecciones, la supervisión del cumplimiento de los requisitos jurídicos y las sanciones de todo tipo. Hay que citar, igualmente, la recepción y tramitación de reclamaciones formales e informales en lo que concierne a los cánones y los servicios de los operadores comunes, el examen y aceptación/rechazo de las tarifas de los operadores y el análisis, estipulación y auditoria de las prácticas de contabilidad de los operadores. Por último, la dirección de políticas, la preparación de programas, los servicios jurídicos y la dirección ejecutiva, así como los servicios de apoyo relacionados con las actividades de fiscalización.</w:t>
      </w:r>
    </w:p>
    <w:p w14:paraId="7E61BC76" w14:textId="77777777" w:rsidR="00F73D5B" w:rsidRPr="008B7A21" w:rsidRDefault="00F73D5B" w:rsidP="00F73D5B">
      <w:pPr>
        <w:pStyle w:val="Heading4"/>
        <w:rPr>
          <w:lang w:val="es-ES_tradnl"/>
        </w:rPr>
      </w:pPr>
      <w:r w:rsidRPr="008B7A21">
        <w:rPr>
          <w:lang w:val="es-ES_tradnl"/>
        </w:rPr>
        <w:t>5.2.9.3</w:t>
      </w:r>
      <w:r w:rsidRPr="008B7A21">
        <w:rPr>
          <w:lang w:val="es-ES_tradnl"/>
        </w:rPr>
        <w:tab/>
        <w:t>Servicios de información pública</w:t>
      </w:r>
    </w:p>
    <w:p w14:paraId="0687E545" w14:textId="77777777" w:rsidR="00F73D5B" w:rsidRPr="008B7A21" w:rsidRDefault="00F73D5B" w:rsidP="00F73D5B">
      <w:pPr>
        <w:rPr>
          <w:lang w:val="es-ES_tradnl"/>
        </w:rPr>
      </w:pPr>
      <w:r w:rsidRPr="008B7A21">
        <w:rPr>
          <w:lang w:val="es-ES_tradnl"/>
        </w:rPr>
        <w:t>Publicación y difusión de las decisiones y actuaciones de la FCC, así como de las actividades conexas; servicios de referencia pública y de biblioteca; copia y difusión de los registros y bases de datos de la FCC; recepción y tramitación de solicitudes del público; consumidores, pequeñas empresas y asistencia pública; y asuntos públicos y relaciones con los medios de comunicación. Hay que citar asimismo la dirección de políticas, la preparación de programas, los servicios jurídicos y la dirección ejecutiva, así como los servicios de apoyo relacionados con las actividades de información pública.</w:t>
      </w:r>
    </w:p>
    <w:p w14:paraId="267338D9" w14:textId="77777777" w:rsidR="00F73D5B" w:rsidRPr="008B7A21" w:rsidRDefault="00F73D5B" w:rsidP="00F73D5B">
      <w:pPr>
        <w:keepNext/>
        <w:keepLines/>
        <w:rPr>
          <w:lang w:val="es-ES_tradnl"/>
        </w:rPr>
      </w:pPr>
      <w:r w:rsidRPr="008B7A21">
        <w:rPr>
          <w:lang w:val="es-ES_tradnl"/>
        </w:rPr>
        <w:t>Los siguientes titulares de licencia y otras entidades reglamentadas por la FCC deben pagar cánones reglamentarios:</w:t>
      </w:r>
    </w:p>
    <w:p w14:paraId="2D5899D3" w14:textId="77777777" w:rsidR="00F73D5B" w:rsidRPr="008B7A21" w:rsidRDefault="00F73D5B" w:rsidP="00F73D5B">
      <w:pPr>
        <w:rPr>
          <w:lang w:val="es-ES_tradnl"/>
        </w:rPr>
      </w:pPr>
      <w:r w:rsidRPr="008B7A21">
        <w:rPr>
          <w:i/>
          <w:iCs/>
          <w:lang w:val="es-ES_tradnl"/>
        </w:rPr>
        <w:t>Operadores comunes sujetos a la reglamentación</w:t>
      </w:r>
      <w:r w:rsidRPr="008B7A21">
        <w:rPr>
          <w:lang w:val="es-ES_tradnl"/>
        </w:rPr>
        <w:t>: Operadores de larga distancia, operadores telefónicos locales, proveedores de acceso en condiciones de competencia (empresas distintas de las empresa telefónicas locales tradicionales que proporcionan servicios de acceso interestatal a los operadores de larga distancia y a otras compañías), proveedores de servicios de operador (operadores que permiten a los clientes efectuar llamadas fuera de sus hogares, así como realizar llamadas en el marco de acuerdos de facturación alternativos), operadores de telefonía de pago (propietarios de teléfonos de pago), revendedores (compañías que obtienen líneas de operadores con infraestructura propia y venden el servicio a terceros, pero no se incluyen aquí a los revendedores móviles que suministran servicios de radiocomunicaciones inalámbricas comerciales), y otros proveedores interestatales (por ejemplo, proveedores de telefonía con tarjeta).</w:t>
      </w:r>
    </w:p>
    <w:p w14:paraId="3B1207F3" w14:textId="77777777" w:rsidR="00F73D5B" w:rsidRPr="008B7A21" w:rsidRDefault="00F73D5B" w:rsidP="00F73D5B">
      <w:pPr>
        <w:rPr>
          <w:lang w:val="es-ES_tradnl"/>
        </w:rPr>
      </w:pPr>
      <w:r w:rsidRPr="008B7A21">
        <w:rPr>
          <w:i/>
          <w:iCs/>
          <w:lang w:val="es-ES_tradnl"/>
        </w:rPr>
        <w:t>Servicios de radiocomunicaciones móviles comerciales (CMRS) sujetos a reglamentación</w:t>
      </w:r>
      <w:r w:rsidRPr="008B7A21">
        <w:rPr>
          <w:lang w:val="es-ES_tradnl"/>
        </w:rPr>
        <w:t>: Servicios de radiocomunicaciones móviles especializados (Parte 90); estaciones costeras públicas (Parte 80); radiocomunicaciones móviles públicas, servicios celulares, radiotelefonía aire-tierra a 800 MHz y servicios de radiocomunicaciones marítimas (Parte 22); y servicios PCS de banda ancha (Parte 24). La categoría de servicios de mensajería CMRS incluye la radiobúsqueda en un solo sentido (Parte 22 y 90) y en dos sentidos, las compañías que ofrecen servicios de radiocomunicaciones con interconexión a las empresas y reúnen los requisitos para prestar tales servicios, los sistemas móviles terrestres en 220-222 MHz (Parte 90), y los servicios PCS de banda estrecha (Parte 24). Todos los demás cánones reglamentarios aplicables a las comunicaciones inalámbricas privadas se pagan por adelantado y para el plazo de duración de la licencia, junto con los correspondientes cánones de solicitud.</w:t>
      </w:r>
    </w:p>
    <w:p w14:paraId="3DC7B604" w14:textId="77777777" w:rsidR="00F73D5B" w:rsidRPr="008B7A21" w:rsidRDefault="00F73D5B" w:rsidP="00F73D5B">
      <w:pPr>
        <w:rPr>
          <w:lang w:val="es-ES_tradnl"/>
        </w:rPr>
      </w:pPr>
      <w:r w:rsidRPr="008B7A21">
        <w:rPr>
          <w:i/>
          <w:iCs/>
          <w:lang w:val="es-ES_tradnl"/>
        </w:rPr>
        <w:t>Titulares de licencias para medios de comunicación</w:t>
      </w:r>
      <w:r w:rsidRPr="008B7A21">
        <w:rPr>
          <w:lang w:val="es-ES_tradnl"/>
        </w:rPr>
        <w:t>: Estaciones de radio comerciales con modulación de amplitud y modulación de frecuencia, estaciones comerciales de televisión, titulares de licencias para televisión de potencia baja y dispositivos de traducción y aumento de potencia para televisión, titulares de licencias para servicios auxiliares de radiodifusión y dispositivos de traducción aumento de la potencia de las transmisiones con modulación de frecuencia, y titulares de licencias para servicios de distribución multipunto (lo que incluye los servicios de distribución multicanal). Los titulares de licencias para prestar servicios educativos sin fines lucrativos quedan exentos del pago de cánones reglamentarios, así como también los titulares de licencias para el suministro de servicios auxiliares de radiodifusión, por ejemplo, las estaciones auxiliares de baja potencia, las estaciones de servicios auxiliares de televisión, las estaciones remotas de retransmisión y las estaciones auxiliares de radiodifusión sonora, cuando se utilizan conjuntamente con estaciones de transmisión educativa no comerciales en régimen de propiedad colectiva. Las licencias para el sistema de alarma de emergencia (EAS) con miras al suministro de servicios auxiliares y los titulares de licencias para el servicio fijo de televisión de instrucción (ITFS) quedan exonerados también del pago de estos cánones. En el caso que se haya producido un cambio en el régimen de propiedad de un sistema después de la fecha de entrada en vigor del correspondiente canon reglamentario pero antes de la fecha en que deba abonarse, la responsabilidad del pago incumbe al propietario que figure en el registro en dicha fecha de entrada en vigor.</w:t>
      </w:r>
    </w:p>
    <w:p w14:paraId="319E8EE5" w14:textId="77777777" w:rsidR="00F73D5B" w:rsidRPr="008B7A21" w:rsidRDefault="00F73D5B" w:rsidP="00F73D5B">
      <w:pPr>
        <w:rPr>
          <w:lang w:val="es-ES_tradnl"/>
        </w:rPr>
      </w:pPr>
      <w:r w:rsidRPr="008B7A21">
        <w:rPr>
          <w:i/>
          <w:iCs/>
          <w:lang w:val="es-ES_tradnl"/>
        </w:rPr>
        <w:t>Sistemas de televisión por cable</w:t>
      </w:r>
      <w:r w:rsidRPr="008B7A21">
        <w:rPr>
          <w:lang w:val="es-ES_tradnl"/>
        </w:rPr>
        <w:t>: Los sistemas de televisión por cable que empezaron a entrar en funcionamiento el 31 de diciembre de 1996 debieron abonar cánones reglamentarios por abonado en el año fiscal 1997. Se obligó a todos los sistemas de televisión por cable al pago de un canon reglamentario de 0,54 dólares de los Estados Unidos de América por abonado para cada unidad comunitaria en que prestaban sus servicios. Por otra parte, cada uno de los sistemas que entró en funcionamiento el 1 de octubre de 1996 venía obligado a pagar un canon de 65 dólares de los Estados Unidos de América por cada licencia de servicio de relevador de antena comunitario y, de ser necesario, una tasa de 25 dólares de los Estados Unidos de América por cada licencia de servicio auxiliar de radiodifusión. En el caso que se haya producido un cambio en el régimen de propiedad de un sistema después de la fecha de entrada en vigor del correspondiente canon reglamentario pero antes de la fecha en que deba abonarse, la responsabilidad del pago incumbe al propietario que figure en el registro en dicha fecha de entrada en vigor.</w:t>
      </w:r>
    </w:p>
    <w:p w14:paraId="2ADCC00F" w14:textId="77777777" w:rsidR="00F73D5B" w:rsidRPr="008B7A21" w:rsidRDefault="00F73D5B" w:rsidP="00F73D5B">
      <w:pPr>
        <w:rPr>
          <w:lang w:val="es-ES_tradnl"/>
        </w:rPr>
      </w:pPr>
      <w:r w:rsidRPr="008B7A21">
        <w:rPr>
          <w:lang w:val="es-ES_tradnl"/>
        </w:rPr>
        <w:t>Titulares de licencias para los servicios fijos públicos internacionales (Parte 23), titulares de licencias para la radiodifusión internacional en ondas decamétricas (Parte 73), proveedores de circuitos internacionales de portadora, estaciones terrenas reglamentadas (Parte 25), estaciones espaciales geosíncronas reglamentadas (Parte 25), titulares de licencia para el servicio directo de radiodifusión por satélite (Parte 100), y titulares de licencia para sistemas de transmisión por satélite en órbita baja (Parte 25).</w:t>
      </w:r>
    </w:p>
    <w:p w14:paraId="71C0C342" w14:textId="77777777" w:rsidR="00F73D5B" w:rsidRPr="008B7A21" w:rsidRDefault="00F73D5B" w:rsidP="00F73D5B">
      <w:pPr>
        <w:rPr>
          <w:lang w:val="es-ES_tradnl"/>
        </w:rPr>
      </w:pPr>
      <w:r w:rsidRPr="008B7A21">
        <w:rPr>
          <w:lang w:val="es-ES_tradnl"/>
        </w:rPr>
        <w:t>No se exige el pago de cánones reglamentarios a las administraciones locales y a las entidades que realizan sus actividades sin fines lucrativos. Sin embargo, la FCC se encuentra examinando una propuesta según la cual se exigirá a las entidades que benefician de exoneraciones que presenten a la FCC, cuando no conste así en los registros de esta entidad, una carta de determinación del (IRS, </w:t>
      </w:r>
      <w:r w:rsidRPr="008B7A21">
        <w:rPr>
          <w:i/>
          <w:lang w:val="es-ES_tradnl"/>
        </w:rPr>
        <w:t>internal revenue service</w:t>
      </w:r>
      <w:r w:rsidRPr="008B7A21">
        <w:rPr>
          <w:lang w:val="es-ES_tradnl"/>
        </w:rPr>
        <w:t>) con fecha reciente en que se demuestre su situación jurídica de entidad no lucrativo y un certificado de la administración local en que se señale que había quedado exoneradas del pago de estos cánones. Con arreglo a la propuesta mencionada, se exonerará del pago de cánones reglamentarios a las entidades cuyas tasas asciendan en total a menos de 10 dólares de los Estados Unidos de América.</w:t>
      </w:r>
    </w:p>
    <w:p w14:paraId="0B0FA394" w14:textId="77777777" w:rsidR="00F73D5B" w:rsidRPr="008B7A21" w:rsidRDefault="00F73D5B" w:rsidP="00F73D5B">
      <w:pPr>
        <w:rPr>
          <w:lang w:val="es-ES_tradnl"/>
        </w:rPr>
      </w:pPr>
      <w:r w:rsidRPr="008B7A21">
        <w:rPr>
          <w:lang w:val="es-ES_tradnl"/>
        </w:rPr>
        <w:t>Basándose en los cánones correspondientes al año fiscal de 1997, la FCC ajustó en el año fiscal 1996 las unidades estimadas para los pagos reglamentarios en cada servicio. La FCC calculó dichas unidades recurriendo, entre otras cosas, a sus bases de datos sobre titulares de licencias, registros de pagos del año anterior y previsiones sobre grupos industriales y comerciales. Cuando ello fue posible, la FCC verificó dichas estimaciones acudiendo a una gran variedad de fuentes para garantizar su exactitud.</w:t>
      </w:r>
    </w:p>
    <w:p w14:paraId="72032E1E" w14:textId="77777777" w:rsidR="00F73D5B" w:rsidRPr="008B7A21" w:rsidRDefault="00F73D5B" w:rsidP="00F73D5B">
      <w:pPr>
        <w:rPr>
          <w:lang w:val="es-ES_tradnl"/>
        </w:rPr>
      </w:pPr>
      <w:r w:rsidRPr="008B7A21">
        <w:rPr>
          <w:lang w:val="es-ES_tradnl"/>
        </w:rPr>
        <w:t>La FCC multiplicó las unidades de pago revisadas para cada servicio por la cuantía de los cánones incluidos en cada categoría de tasación durante el año fiscal 1996, con el fin de calcular los ingresos que la FCC debería recaudar en el año fiscal 1997 sin introducir ningún cambio en su Lista de cánones reglamentarios vigente. Los ingresos recaudados por la FCC ascendieron a cerca de 137,3 millones de dólares de los Estados Unidos de América. Esta cantidad fue inferior en aproximadamente 15,2 millones de dólares de los Estados Unidos de América a la obtenida por la FCC en el año fiscal 1997. En consecuencia, la FCC ajustó proporcionalmente sus necesidades de ingreso para cada categoría de tasación, de conformidad con la Sección 9(b)(2) de la Ley mencionada, con el fin de recaudar los 152 millones de dólares de los Estados Unidos de América exigidos por el Congreso durante el año fiscal 1997.</w:t>
      </w:r>
    </w:p>
    <w:p w14:paraId="7F0D2E6E" w14:textId="77777777" w:rsidR="00F73D5B" w:rsidRPr="008B7A21" w:rsidRDefault="00F73D5B" w:rsidP="00F73D5B">
      <w:pPr>
        <w:rPr>
          <w:lang w:val="es-ES_tradnl"/>
        </w:rPr>
      </w:pPr>
      <w:r w:rsidRPr="008B7A21">
        <w:rPr>
          <w:lang w:val="es-ES_tradnl"/>
        </w:rPr>
        <w:t>El 1 de octubre de 1995 y de conformidad con el § 159(i) de la Norma 47 U.S.C., la FCC aplicó un sistema de contabilidad encaminado, en parte, a proporcionar a la FCC datos útiles, así como otras informaciones, para garantizar que los cánones reflejaran los costes reales de las actividades reglamentarias de la FCC.</w:t>
      </w:r>
    </w:p>
    <w:p w14:paraId="37BB23C7" w14:textId="77777777" w:rsidR="00F73D5B" w:rsidRPr="008B7A21" w:rsidRDefault="00F73D5B" w:rsidP="00F73D5B">
      <w:pPr>
        <w:rPr>
          <w:lang w:val="es-ES_tradnl"/>
        </w:rPr>
      </w:pPr>
      <w:r w:rsidRPr="008B7A21">
        <w:rPr>
          <w:lang w:val="es-ES_tradnl"/>
        </w:rPr>
        <w:t>Para utilizar los costes reales obtenidos a partir del sistema de contabilidad de costes de la FCC con propósitos de fijación de cánones, la FCC debió añadir a los costes directos los costes complementarios indirectos contenidos en su contabilidad (véase la Nota 1), y los resultados se ajustaron una vez más para aproximarse a la cantidad exigida por el Congreso para el año fiscal 1997 (152 millones de dólares de los Estados Unidos de América) (véase la Nota 2). Por consiguiente, la FCC ajustó proporcionalmente los datos sobre los costes de las actividades realizadas en relación con los cánones reglamentarios durante el periodo comprendido entre el 1 de octubre de 1995 y el 30 de septiembre de 1996, basándose en las diferentes categorías de tasación, con el fin de que el total de dichos costes ascendiera a una cifra aproximada a 152 millones de dólares de los Estados Unidos de América.</w:t>
      </w:r>
    </w:p>
    <w:p w14:paraId="21585FD6" w14:textId="77777777" w:rsidR="00F73D5B" w:rsidRPr="008B7A21" w:rsidRDefault="00F73D5B" w:rsidP="00F73D5B">
      <w:pPr>
        <w:rPr>
          <w:lang w:val="es-ES_tradnl"/>
        </w:rPr>
      </w:pPr>
      <w:r w:rsidRPr="008B7A21">
        <w:rPr>
          <w:lang w:val="es-ES_tradnl"/>
        </w:rPr>
        <w:t>La siguiente medida de la FCC fue determinar si los costes reales correspondientes a la fijación de cánones reglamentarios para el año fiscal de 1997 redundaría en tasas muy distintas a las correspondientes al año fiscal de 1996. Como resultado de este análisis, la FCC propuso establecer un tope del 25% con respecto al aumento de los ingresos recaudables de cualquier servicio y por encima del incremento global estipulado por el Congreso en materia de recaudación, después de tomar en consideración los cambios introducidos en las unidades de pago (véase la Nota 3).</w:t>
      </w:r>
    </w:p>
    <w:p w14:paraId="566166B6" w14:textId="77777777" w:rsidR="00F73D5B" w:rsidRPr="008B7A21" w:rsidRDefault="00F73D5B" w:rsidP="00F73D5B">
      <w:pPr>
        <w:rPr>
          <w:lang w:val="es-ES_tradnl"/>
        </w:rPr>
      </w:pPr>
      <w:r w:rsidRPr="008B7A21">
        <w:rPr>
          <w:lang w:val="es-ES_tradnl"/>
        </w:rPr>
        <w:t>Dado que el Congreso aumentó el nivel de recaudación de cánones de la FCC para el año fiscal 1997, la FCC se vio obligada a percibir por este concepto una suma muy superior a la obtenida en el año fiscal de 1996. Sin embargo, el hecho de limitar el incremento de los ingresos recaudables de los servicios a un 25% como máximo permitió a la FCC iniciar el proceso de reestructuración de sus cánones reglamentarios para responder a la diferencia registrada en los costes que éstos suponen para la FCC. Este tope fijado al aumento de los ingresos recaudables superó con creces las necesidades estimadas de ingresos de la FCC, tras ajustar las unidades de pago previstas para el año fiscal 1997, así como la parte correspondiente a los cánones reglamentarios en el aumento del 21% de la recaudación que el Congreso exigió a la FCC. Por esta razón, los cánones para el año fiscal 1997 aumentaron en más del 25% en relación con los correspondientes al año fiscal 1996. La aplicación de la medida mencionada hizo aumentar realmente los cánones en un 40%.</w:t>
      </w:r>
    </w:p>
    <w:p w14:paraId="71AE4961" w14:textId="77777777" w:rsidR="00F73D5B" w:rsidRPr="008B7A21" w:rsidRDefault="00F73D5B" w:rsidP="00F73D5B">
      <w:pPr>
        <w:rPr>
          <w:lang w:val="es-ES_tradnl"/>
        </w:rPr>
      </w:pPr>
      <w:r w:rsidRPr="008B7A21">
        <w:rPr>
          <w:lang w:val="es-ES_tradnl"/>
        </w:rPr>
        <w:t>Un importante factor que se tuvo en cuenta para fijar el tope de ingresos recaudables fue la forma en que dicho límite repercutiría en otras entidades que pagan cánones. Como se pidió a la FCC que recaudase 152 millones de dólares de los Estados Unidos de América en concepto de cánones reglamentarios durante al año fiscal 1997, los ingresos adicionales que hubieran debido obtenerse de diferentes categorías de titulares de licencia sometidos a un tope de ingresos recaudables, debió obtenerse de los titulares de licencia no sujetos a dicho tope. Esto dio lugar a una cierta subvención cruzada entre diversas categorías de pagadores de cánones (véase la Nota 4). Sin embargo, la FCC afirmó que la adopción de un tope de ingresos recaudables atendería mejor al interés público, ya que de otro modo algunos titulares de licencias se verían afectados adversamente por aumentos sustanciales inesperados en sus pagos.</w:t>
      </w:r>
    </w:p>
    <w:p w14:paraId="4641F258" w14:textId="77777777" w:rsidR="00F73D5B" w:rsidRPr="008B7A21" w:rsidRDefault="00F73D5B" w:rsidP="00F73D5B">
      <w:pPr>
        <w:rPr>
          <w:lang w:val="es-ES_tradnl"/>
        </w:rPr>
      </w:pPr>
      <w:r w:rsidRPr="008B7A21">
        <w:rPr>
          <w:lang w:val="es-ES_tradnl"/>
        </w:rPr>
        <w:t>La reglamentación de los proveedores de servicios telefónicos interestatales representa cerca del 36% de todos los costes de la FCC. Por consiguiente, cualquier metodología que entrañe un elemento de subvención, como el tope de ingresos recaudables propuesto por la FCC, afectaría a estos proveedores mucho más que a otros, al menos a corto plazo. A medida que los cánones aplicables a otras entidades reglamentadas hagan que sus ingresos empiecen a aproximarse a sus costes reales, como sucedería aplicando el tope de ingresos recaudables por fases de la FCC, el monto de la subvención que deberían efectuar quienes pagan cánones por debajo de los topes de ingresos recaudables que les corresponden, por ejemplo los proveedores comunes que suministran servicios telefónicos interestatales) disminuiría considerablemente. Por tal razón, a largo plazo la subvención cruzada se reduciría y los ingresos de todos los servicios se aproximarían a los costes reales (suponiendo que otros factores, por ejemplo la cantidad total estipulada por el Congreso para su recaudación por la FCC, sigan constantes).</w:t>
      </w:r>
    </w:p>
    <w:p w14:paraId="6AFAE738" w14:textId="77777777" w:rsidR="00F73D5B" w:rsidRPr="008B7A21" w:rsidRDefault="00F73D5B" w:rsidP="00F73D5B">
      <w:pPr>
        <w:rPr>
          <w:lang w:val="es-ES_tradnl"/>
        </w:rPr>
      </w:pPr>
      <w:r w:rsidRPr="008B7A21">
        <w:rPr>
          <w:lang w:val="es-ES_tradnl"/>
        </w:rPr>
        <w:t>La FCC adoptó el tope de ingresos recaudables del 25% propuesto. Dicho tope se aplicó fijando un «nivel» para los ingresos dimanantes de los cánones correspondientes a cada categoría de tasación. Este «nivel» correspondía a las necesidades estimadas de ingresos de la FCC (para dichas categorías y por un monto equivalente o inferior al tope del 25%) o en los casos en que los ingresos calculados sobrepasaban dicho tope, a una cantidad igual al tope. La pérdida de ingresos para la FCC ocasionada por la reducción de nivel de ingresos recaudables de aquellos cuyos pagos excedían el tope ingresos recaudables se repartió proporcionalmente entre las diferentes categorías de titulares de licencias cuyos pagos eran inferiores a dicho tope. Este cálculo hizo necesario proceder a más de un ajuste, ya que el reparto mencionado hizo que en ciertos casos los nuevos niveles de ingresos recaudables superasen el tope del 25%. Se efectuó un segundo ajuste que situó todos estos niveles en una cantidad equivalente o inferior al tope.</w:t>
      </w:r>
    </w:p>
    <w:p w14:paraId="36853399" w14:textId="77777777" w:rsidR="00F73D5B" w:rsidRPr="008B7A21" w:rsidRDefault="00F73D5B" w:rsidP="00F73D5B">
      <w:pPr>
        <w:rPr>
          <w:lang w:val="es-ES_tradnl"/>
        </w:rPr>
      </w:pPr>
      <w:r w:rsidRPr="008B7A21">
        <w:rPr>
          <w:lang w:val="es-ES_tradnl"/>
        </w:rPr>
        <w:t>Tras determinar la cantidad de ingresos en concepto de cánones que debía recaudar de cada categoría de titulares del licencias, la FCC dividió cada nivel de ingresos recaudables por el número de unidades de pago conexas (y, en su caso, por la duración de la licencia, tratándose de cánones «reducidos») con el fin de obtener las cantidades correspondientes a cada categoría de tasación, cantidades que se redondearon para obtener cifras sin decimales.</w:t>
      </w:r>
    </w:p>
    <w:p w14:paraId="2F194FEC" w14:textId="77777777" w:rsidR="00F73D5B" w:rsidRPr="008B7A21" w:rsidRDefault="00F73D5B" w:rsidP="00F73D5B">
      <w:pPr>
        <w:pStyle w:val="Note"/>
        <w:keepNext/>
        <w:keepLines/>
        <w:rPr>
          <w:lang w:val="es-ES_tradnl"/>
        </w:rPr>
      </w:pPr>
      <w:r w:rsidRPr="008B7A21">
        <w:rPr>
          <w:lang w:val="es-ES_tradnl"/>
        </w:rPr>
        <w:t>NOTA 1 – Una característica del sistema de contabilidad de la FCC es que permite identificar separadamente los costes directos y los indirectos. Los costes directos incluyen los sueldos y los gastos:</w:t>
      </w:r>
    </w:p>
    <w:p w14:paraId="791BD451" w14:textId="77777777" w:rsidR="00F73D5B" w:rsidRPr="008B7A21" w:rsidRDefault="00F73D5B" w:rsidP="00F73D5B">
      <w:pPr>
        <w:pStyle w:val="Note"/>
        <w:ind w:left="720" w:hanging="720"/>
        <w:rPr>
          <w:lang w:val="es-ES_tradnl"/>
        </w:rPr>
      </w:pPr>
      <w:r w:rsidRPr="008B7A21">
        <w:rPr>
          <w:lang w:val="es-ES_tradnl"/>
        </w:rPr>
        <w:t>a)</w:t>
      </w:r>
      <w:r w:rsidRPr="008B7A21">
        <w:rPr>
          <w:lang w:val="es-ES_tradnl"/>
        </w:rPr>
        <w:tab/>
        <w:t>del personal directamente asignado a las Oficinas de las FCC que desempeñan actividades reglamentarias y</w:t>
      </w:r>
    </w:p>
    <w:p w14:paraId="3BAD217C" w14:textId="77777777" w:rsidR="00F73D5B" w:rsidRPr="008B7A21" w:rsidRDefault="00F73D5B" w:rsidP="00F73D5B">
      <w:pPr>
        <w:pStyle w:val="Note"/>
        <w:ind w:left="720" w:hanging="720"/>
        <w:rPr>
          <w:lang w:val="es-ES_tradnl"/>
        </w:rPr>
      </w:pPr>
      <w:r w:rsidRPr="008B7A21">
        <w:rPr>
          <w:lang w:val="es-ES_tradnl"/>
        </w:rPr>
        <w:t>b)</w:t>
      </w:r>
      <w:r w:rsidRPr="008B7A21">
        <w:rPr>
          <w:lang w:val="es-ES_tradnl"/>
        </w:rPr>
        <w:tab/>
        <w:t>del personal asignado a actividades reglamentarias que se efectúan fuera de las Oficinas pero guardan relación con las funciones de éstas.</w:t>
      </w:r>
    </w:p>
    <w:p w14:paraId="7BEA67D6" w14:textId="77777777" w:rsidR="00F73D5B" w:rsidRPr="008B7A21" w:rsidRDefault="00F73D5B" w:rsidP="00F73D5B">
      <w:pPr>
        <w:pStyle w:val="Note"/>
        <w:rPr>
          <w:lang w:val="es-ES_tradnl"/>
        </w:rPr>
      </w:pPr>
      <w:r w:rsidRPr="008B7A21">
        <w:rPr>
          <w:lang w:val="es-ES_tradnl"/>
        </w:rPr>
        <w:t>Dichos costes incluyen los arriendos y los costes de servicios y contratos atribuibles a dicho personal. Entre los costes indirectos, cabe citar los gastos del personal de apoyo asignado al desempeño de las funciones generales, por ejemplo, las actividades de los equipos que trabajan en el terreno y en los laboratorios, así como las tareas del personal asignado a la Oficina del Director Gerente. Los costes directos e indirectos se combinan proporcionalmente, basándose en todas las categorías de tasación.</w:t>
      </w:r>
    </w:p>
    <w:p w14:paraId="6A9E7C1E" w14:textId="77777777" w:rsidR="00F73D5B" w:rsidRPr="008B7A21" w:rsidRDefault="00F73D5B" w:rsidP="00F73D5B">
      <w:pPr>
        <w:pStyle w:val="Note"/>
        <w:rPr>
          <w:lang w:val="es-ES_tradnl"/>
        </w:rPr>
      </w:pPr>
      <w:r w:rsidRPr="008B7A21">
        <w:rPr>
          <w:lang w:val="es-ES_tradnl"/>
        </w:rPr>
        <w:t>NOTA 2 – Por lo que hace a los costes deben recuperarse a través de los cánones reglamentarios, el Congreso los calcula con una anterioridad mínima de doce meses al término del año fiscal al que se aplican. Estos costes no equivalen exactamente a la cantidad estipulada por el Congreso con miras a su recaudación durante un determinado año fiscal.</w:t>
      </w:r>
    </w:p>
    <w:p w14:paraId="5D0C8302" w14:textId="41DBF906" w:rsidR="00F73D5B" w:rsidRPr="008B7A21" w:rsidRDefault="00F73D5B" w:rsidP="00F73D5B">
      <w:pPr>
        <w:pStyle w:val="Note"/>
        <w:rPr>
          <w:lang w:val="es-ES_tradnl"/>
        </w:rPr>
      </w:pPr>
      <w:r w:rsidRPr="008B7A21">
        <w:rPr>
          <w:lang w:val="es-ES_tradnl"/>
        </w:rPr>
        <w:t>NOTA 3 – Por ejemplo, los costes reglamentarios relacionados con el servicio de aviación (aeronaves) ascienden a 934 905 dólares de los Estados Unidos de América. Si no se hubiera introducido ningún cambio en relación con el canon reglamentario para este servicio durante al año fiscal 1996 (3 dólares de los Estados Unidos de América al año), los ingresos totales recaudados en concepto de licencias otorgadas a este servicio hubiera representado únicamente 70 634 dólares de los Estados Unidos de América en el año fiscal 1997, lo que hubiera supuesto una pérdida de ingresos de 864 271 dólares de los Estados Unidos de América. La aplicación del tope propuesto del 25% a este servicio representó un límite de ingresos de 88 293 dólares de los Estados Unidos de América (70 634 dólares de los Estados Unidos de América </w:t>
      </w:r>
      <w:r w:rsidR="00386EEF">
        <w:rPr>
          <w:lang w:val="es-ES_tradnl"/>
        </w:rPr>
        <w:t>×</w:t>
      </w:r>
      <w:r w:rsidRPr="008B7A21">
        <w:rPr>
          <w:lang w:val="es-ES_tradnl"/>
        </w:rPr>
        <w:t> 125%).</w:t>
      </w:r>
    </w:p>
    <w:p w14:paraId="440AC416" w14:textId="77777777" w:rsidR="00F73D5B" w:rsidRPr="008B7A21" w:rsidRDefault="00F73D5B" w:rsidP="00F73D5B">
      <w:pPr>
        <w:pStyle w:val="Note"/>
        <w:rPr>
          <w:lang w:val="es-ES_tradnl"/>
        </w:rPr>
      </w:pPr>
      <w:r w:rsidRPr="008B7A21">
        <w:rPr>
          <w:lang w:val="es-ES_tradnl"/>
        </w:rPr>
        <w:t>NOTA 4 – Los ingresos de los pagadores de cánones compensan ya los importantes costes atribuibles a las entidades exoneradas del pago de cánones reglamentarios o no sujetas de otro modo al pago de los mismos de conformidad con la Sección 9(h) de la Ley o con la normativa de la Comisión. Por ejemplo, se exige el pago de un canon a los usuarios de estaciones de radiodifusión y radiocomunicación marítima, los radioaficionados titulares de licencias, las entidades gubernamentales, los titulares de licencia para los servicios de radiocomunicaciones públicas de seguridad y todas las agrupaciones que realizan sus actividades con fines no lucrativos. El coste de la reglamentación de dichas personas y entidades son soportados por aquellas reglamentadas sujetas al pago de cánones reglamentarios.</w:t>
      </w:r>
    </w:p>
    <w:p w14:paraId="6C114A18" w14:textId="77777777" w:rsidR="00F73D5B" w:rsidRPr="008B7A21" w:rsidRDefault="00F73D5B" w:rsidP="00F73D5B">
      <w:pPr>
        <w:pStyle w:val="Heading3"/>
        <w:rPr>
          <w:lang w:val="es-ES_tradnl"/>
        </w:rPr>
      </w:pPr>
      <w:bookmarkStart w:id="2001" w:name="_Toc306276897"/>
      <w:bookmarkStart w:id="2002" w:name="_Toc307921570"/>
      <w:bookmarkStart w:id="2003" w:name="_Toc307922137"/>
      <w:bookmarkStart w:id="2004" w:name="_Toc307922681"/>
      <w:bookmarkStart w:id="2005" w:name="_Toc307992030"/>
      <w:bookmarkStart w:id="2006" w:name="_Toc307994065"/>
      <w:bookmarkStart w:id="2007" w:name="_Toc307995284"/>
      <w:bookmarkStart w:id="2008" w:name="_Toc307996471"/>
      <w:bookmarkStart w:id="2009" w:name="_Toc308010403"/>
      <w:bookmarkStart w:id="2010" w:name="_Toc499563116"/>
      <w:bookmarkStart w:id="2011" w:name="_Toc215835448"/>
      <w:r w:rsidRPr="008B7A21">
        <w:rPr>
          <w:lang w:val="es-ES_tradnl"/>
        </w:rPr>
        <w:t>5.2.10</w:t>
      </w:r>
      <w:r w:rsidRPr="008B7A21">
        <w:rPr>
          <w:lang w:val="es-ES_tradnl"/>
        </w:rPr>
        <w:tab/>
        <w:t>Experiencia de Brasil con los cánones del espectro</w:t>
      </w:r>
      <w:bookmarkEnd w:id="2001"/>
      <w:bookmarkEnd w:id="2002"/>
      <w:bookmarkEnd w:id="2003"/>
      <w:bookmarkEnd w:id="2004"/>
      <w:bookmarkEnd w:id="2005"/>
      <w:bookmarkEnd w:id="2006"/>
      <w:bookmarkEnd w:id="2007"/>
      <w:bookmarkEnd w:id="2008"/>
      <w:bookmarkEnd w:id="2009"/>
      <w:bookmarkEnd w:id="2010"/>
      <w:bookmarkEnd w:id="2011"/>
    </w:p>
    <w:p w14:paraId="6E546D35" w14:textId="23DA6330" w:rsidR="00F73D5B" w:rsidRPr="008B7A21" w:rsidRDefault="00F73D5B" w:rsidP="00F73D5B">
      <w:pPr>
        <w:rPr>
          <w:lang w:val="es-ES_tradnl"/>
        </w:rPr>
      </w:pPr>
      <w:r w:rsidRPr="008B7A21">
        <w:rPr>
          <w:lang w:val="es-ES_tradnl"/>
        </w:rPr>
        <w:t>La Ley General de Telecomunicaciones de Brasil, la Ley 9472, promulgada el 16 de julio de 1997, establece como regla el pago del uso de radiofrecuencias para servicios de radiocomunicaciones. El valor de la tasa deberá ser alternativamente:</w:t>
      </w:r>
    </w:p>
    <w:p w14:paraId="37EE7913" w14:textId="2B54B5A5" w:rsidR="00F73D5B" w:rsidRPr="008B7A21" w:rsidRDefault="00F73D5B" w:rsidP="00F73D5B">
      <w:pPr>
        <w:pStyle w:val="enumlev1"/>
        <w:rPr>
          <w:lang w:val="es-ES_tradnl"/>
        </w:rPr>
      </w:pPr>
      <w:r w:rsidRPr="008B7A21">
        <w:rPr>
          <w:lang w:val="es-ES_tradnl"/>
        </w:rPr>
        <w:sym w:font="Symbol" w:char="F02D"/>
      </w:r>
      <w:r w:rsidRPr="008B7A21">
        <w:rPr>
          <w:lang w:val="es-ES_tradnl"/>
        </w:rPr>
        <w:tab/>
        <w:t>determinada por los reglamentos o el documento de licitación, o</w:t>
      </w:r>
    </w:p>
    <w:p w14:paraId="52A79A41" w14:textId="77777777" w:rsidR="00F73D5B" w:rsidRPr="008B7A21" w:rsidRDefault="00F73D5B" w:rsidP="00F73D5B">
      <w:pPr>
        <w:pStyle w:val="enumlev1"/>
        <w:rPr>
          <w:lang w:val="es-ES_tradnl"/>
        </w:rPr>
      </w:pPr>
      <w:r w:rsidRPr="008B7A21">
        <w:rPr>
          <w:lang w:val="es-ES_tradnl"/>
        </w:rPr>
        <w:sym w:font="Symbol" w:char="F02D"/>
      </w:r>
      <w:r w:rsidRPr="008B7A21">
        <w:rPr>
          <w:lang w:val="es-ES_tradnl"/>
        </w:rPr>
        <w:tab/>
        <w:t>establecida según la propuesta ganadora, cuando se convierta en un elemento de juicio o establecida en el contrato de concesión o acta de licencia, cuando no se requiere licitación.</w:t>
      </w:r>
    </w:p>
    <w:p w14:paraId="02D58CFA" w14:textId="6DB93365" w:rsidR="00F73D5B" w:rsidRPr="00D849A8" w:rsidRDefault="00F73D5B" w:rsidP="00F73D5B">
      <w:pPr>
        <w:rPr>
          <w:lang w:val="es-ES_tradnl"/>
        </w:rPr>
      </w:pPr>
      <w:r w:rsidRPr="008B7A21">
        <w:rPr>
          <w:lang w:val="es-ES_tradnl"/>
        </w:rPr>
        <w:t xml:space="preserve">En 2018, la Agencia Nacional de Telecomunicaciones, Anatel, actualizó la reglamentación sobre el cobro de cánones públicos por el derecho a la utilización de frecuencias radioeléctricas. </w:t>
      </w:r>
      <w:r w:rsidRPr="00D849A8">
        <w:rPr>
          <w:lang w:val="es-ES_tradnl"/>
        </w:rPr>
        <w:t>El reglamento fue aprobado por la Resolución 695, de 20 de julio de 2018, que exime de tasas en cuatro casos:</w:t>
      </w:r>
    </w:p>
    <w:p w14:paraId="558E12BC" w14:textId="2E33C3C7" w:rsidR="00F73D5B" w:rsidRPr="00D849A8" w:rsidRDefault="0075343D" w:rsidP="0075343D">
      <w:pPr>
        <w:pStyle w:val="enumlev1"/>
        <w:rPr>
          <w:lang w:val="es-ES_tradnl"/>
        </w:rPr>
      </w:pPr>
      <w:r w:rsidRPr="008B7A21">
        <w:rPr>
          <w:lang w:val="es-ES_tradnl"/>
        </w:rPr>
        <w:sym w:font="Symbol" w:char="F02D"/>
      </w:r>
      <w:r w:rsidR="00F73D5B" w:rsidRPr="00D849A8">
        <w:rPr>
          <w:lang w:val="es-ES_tradnl"/>
        </w:rPr>
        <w:tab/>
        <w:t>la utilización de frecuencias radioeléctricas por medio de dispositivos de corto alcance definidos por Anatel;</w:t>
      </w:r>
    </w:p>
    <w:p w14:paraId="46718DD1" w14:textId="7C8C5BBB" w:rsidR="00F73D5B" w:rsidRPr="00D849A8" w:rsidRDefault="0075343D" w:rsidP="0075343D">
      <w:pPr>
        <w:pStyle w:val="enumlev1"/>
        <w:rPr>
          <w:lang w:val="es-ES_tradnl"/>
        </w:rPr>
      </w:pPr>
      <w:r w:rsidRPr="008B7A21">
        <w:rPr>
          <w:lang w:val="es-ES_tradnl"/>
        </w:rPr>
        <w:sym w:font="Symbol" w:char="F02D"/>
      </w:r>
      <w:r w:rsidR="00F73D5B" w:rsidRPr="00D849A8">
        <w:rPr>
          <w:lang w:val="es-ES_tradnl"/>
        </w:rPr>
        <w:tab/>
        <w:t>la utilización por las Fuerzas Armadas de radiofrecuencias en las bandas destinadas exclusivamente a fines militares;</w:t>
      </w:r>
    </w:p>
    <w:p w14:paraId="0D5A5B67" w14:textId="5C0F8F30" w:rsidR="00F73D5B" w:rsidRPr="00D849A8" w:rsidRDefault="0075343D" w:rsidP="0075343D">
      <w:pPr>
        <w:pStyle w:val="enumlev1"/>
        <w:rPr>
          <w:lang w:val="es-ES_tradnl"/>
        </w:rPr>
      </w:pPr>
      <w:r w:rsidRPr="008B7A21">
        <w:rPr>
          <w:lang w:val="es-ES_tradnl"/>
        </w:rPr>
        <w:sym w:font="Symbol" w:char="F02D"/>
      </w:r>
      <w:r w:rsidR="00F73D5B" w:rsidRPr="00D849A8">
        <w:rPr>
          <w:lang w:val="es-ES_tradnl"/>
        </w:rPr>
        <w:tab/>
        <w:t>la utilización temporal de radiofrecuencias por misiones diplomáticas, representaciones de organizaciones internacionales y oficinas consulares, incluidos los buques y aeronaves militares extranjeros;</w:t>
      </w:r>
    </w:p>
    <w:p w14:paraId="5E71350A" w14:textId="031F08EA" w:rsidR="00F73D5B" w:rsidRPr="008B7A21" w:rsidRDefault="0075343D" w:rsidP="0075343D">
      <w:pPr>
        <w:pStyle w:val="enumlev1"/>
        <w:rPr>
          <w:lang w:val="es-ES_tradnl"/>
        </w:rPr>
      </w:pPr>
      <w:r w:rsidRPr="008B7A21">
        <w:rPr>
          <w:lang w:val="es-ES_tradnl"/>
        </w:rPr>
        <w:sym w:font="Symbol" w:char="F02D"/>
      </w:r>
      <w:r w:rsidR="00F73D5B" w:rsidRPr="00D849A8">
        <w:rPr>
          <w:lang w:val="es-ES_tradnl"/>
        </w:rPr>
        <w:tab/>
        <w:t>la transferencia de la autorización de utilización de frecuencias radioeléctricas concedida a otra entidad.</w:t>
      </w:r>
    </w:p>
    <w:p w14:paraId="380CAA6F" w14:textId="5EFE9CD7" w:rsidR="00F73D5B" w:rsidRPr="008B7A21" w:rsidRDefault="00F73D5B" w:rsidP="00F73D5B">
      <w:pPr>
        <w:rPr>
          <w:lang w:val="es-ES_tradnl"/>
        </w:rPr>
      </w:pPr>
      <w:r w:rsidRPr="008B7A21">
        <w:rPr>
          <w:lang w:val="es-ES_tradnl"/>
        </w:rPr>
        <w:t>El precio se debía basar en cómo impedir a otros usuarios la utilización de una frecuencia específica. De este modo, se consideraban los siguientes aspectos: tiempo, espacio (espacio geométrico/geográfico), anchura de banda, población de la zona del servicio y banda de frecuencias.</w:t>
      </w:r>
    </w:p>
    <w:p w14:paraId="58F32A15" w14:textId="77777777" w:rsidR="00F73D5B" w:rsidRPr="00D849A8" w:rsidRDefault="00F73D5B" w:rsidP="00F73D5B">
      <w:pPr>
        <w:rPr>
          <w:lang w:val="es-ES_tradnl"/>
        </w:rPr>
      </w:pPr>
      <w:r w:rsidRPr="00D849A8">
        <w:rPr>
          <w:lang w:val="es-ES_tradnl"/>
        </w:rPr>
        <w:t>El precio público por el derecho a utilizar radiofrecuencias (PPDUR) es un canon definido por la siguiente función:</w:t>
      </w:r>
    </w:p>
    <w:p w14:paraId="03A24598" w14:textId="10C5B043" w:rsidR="00F73D5B" w:rsidRPr="008B7A21" w:rsidRDefault="00F73D5B" w:rsidP="00F73D5B">
      <w:pPr>
        <w:tabs>
          <w:tab w:val="clear" w:pos="794"/>
          <w:tab w:val="clear" w:pos="1191"/>
          <w:tab w:val="clear" w:pos="1588"/>
          <w:tab w:val="clear" w:pos="1985"/>
          <w:tab w:val="left" w:pos="1134"/>
          <w:tab w:val="center" w:pos="4820"/>
          <w:tab w:val="right" w:pos="9639"/>
        </w:tabs>
        <w:jc w:val="left"/>
        <w:rPr>
          <w:rFonts w:eastAsiaTheme="minorEastAsia"/>
          <w:lang w:val="es-ES_tradnl"/>
        </w:rPr>
      </w:pPr>
      <m:oMathPara>
        <m:oMath>
          <m:r>
            <w:rPr>
              <w:rFonts w:ascii="Cambria Math" w:eastAsiaTheme="minorEastAsia" w:hAnsi="Cambria Math"/>
              <w:lang w:val="es-ES_tradnl"/>
            </w:rPr>
            <m:t>PPDUR</m:t>
          </m:r>
          <m:r>
            <m:rPr>
              <m:sty m:val="p"/>
            </m:rPr>
            <w:rPr>
              <w:rFonts w:ascii="Cambria Math" w:eastAsiaTheme="minorEastAsia" w:hAnsi="Cambria Math"/>
              <w:lang w:val="es-ES_tradnl"/>
            </w:rPr>
            <m:t>=</m:t>
          </m:r>
          <m:r>
            <w:rPr>
              <w:rFonts w:ascii="Cambria Math" w:eastAsiaTheme="minorEastAsia" w:hAnsi="Cambria Math"/>
              <w:lang w:val="es-ES_tradnl"/>
            </w:rPr>
            <m:t>L</m:t>
          </m:r>
          <m:r>
            <m:rPr>
              <m:sty m:val="p"/>
            </m:rPr>
            <w:rPr>
              <w:rFonts w:ascii="Cambria Math" w:eastAsiaTheme="minorEastAsia" w:hAnsi="Cambria Math"/>
              <w:lang w:val="es-ES_tradnl"/>
            </w:rPr>
            <m:t>×</m:t>
          </m:r>
          <m:r>
            <w:rPr>
              <w:rFonts w:ascii="Cambria Math" w:eastAsiaTheme="minorEastAsia" w:hAnsi="Cambria Math"/>
              <w:lang w:val="es-ES_tradnl"/>
            </w:rPr>
            <m:t>C</m:t>
          </m:r>
          <m:r>
            <m:rPr>
              <m:sty m:val="p"/>
            </m:rPr>
            <w:rPr>
              <w:rFonts w:ascii="Cambria Math" w:eastAsiaTheme="minorEastAsia" w:hAnsi="Cambria Math"/>
              <w:lang w:val="es-ES_tradnl"/>
            </w:rPr>
            <m:t>×(</m:t>
          </m:r>
          <m:r>
            <w:rPr>
              <w:rFonts w:ascii="Cambria Math" w:eastAsiaTheme="minorEastAsia" w:hAnsi="Cambria Math"/>
              <w:lang w:val="es-ES_tradnl"/>
            </w:rPr>
            <m:t>P</m:t>
          </m:r>
          <m:r>
            <m:rPr>
              <m:sty m:val="p"/>
            </m:rPr>
            <w:rPr>
              <w:rFonts w:ascii="Cambria Math" w:eastAsiaTheme="minorEastAsia" w:hAnsi="Cambria Math"/>
              <w:lang w:val="es-ES_tradnl"/>
            </w:rPr>
            <m:t>+</m:t>
          </m:r>
          <m:r>
            <w:rPr>
              <w:rFonts w:ascii="Cambria Math" w:eastAsiaTheme="minorEastAsia" w:hAnsi="Cambria Math"/>
              <w:lang w:val="es-ES_tradnl"/>
            </w:rPr>
            <m:t>A</m:t>
          </m:r>
          <m:r>
            <m:rPr>
              <m:sty m:val="p"/>
            </m:rPr>
            <w:rPr>
              <w:rFonts w:ascii="Cambria Math" w:eastAsiaTheme="minorEastAsia" w:hAnsi="Cambria Math"/>
              <w:lang w:val="es-ES_tradnl"/>
            </w:rPr>
            <m:t>)×</m:t>
          </m:r>
          <m:r>
            <w:rPr>
              <w:rFonts w:ascii="Cambria Math" w:eastAsiaTheme="minorEastAsia" w:hAnsi="Cambria Math"/>
              <w:lang w:val="es-ES_tradnl"/>
            </w:rPr>
            <m:t>T</m:t>
          </m:r>
          <m:r>
            <m:rPr>
              <m:sty m:val="p"/>
            </m:rPr>
            <w:rPr>
              <w:rFonts w:ascii="Cambria Math" w:eastAsiaTheme="minorEastAsia" w:hAnsi="Cambria Math"/>
              <w:lang w:val="es-ES_tradnl"/>
            </w:rPr>
            <m:t>×</m:t>
          </m:r>
          <m:r>
            <w:rPr>
              <w:rFonts w:ascii="Cambria Math" w:eastAsiaTheme="minorEastAsia" w:hAnsi="Cambria Math"/>
              <w:lang w:val="es-ES_tradnl"/>
            </w:rPr>
            <m:t>S</m:t>
          </m:r>
        </m:oMath>
      </m:oMathPara>
    </w:p>
    <w:p w14:paraId="03548328" w14:textId="77777777" w:rsidR="00F73D5B" w:rsidRPr="008B7A21" w:rsidRDefault="00F73D5B" w:rsidP="0075343D">
      <w:pPr>
        <w:spacing w:after="120"/>
        <w:rPr>
          <w:lang w:val="es-ES_tradnl"/>
        </w:rPr>
      </w:pPr>
      <w:r w:rsidRPr="008B7A21">
        <w:rPr>
          <w:lang w:val="es-ES_tradnl"/>
        </w:rPr>
        <w:t>donde: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2555"/>
        <w:gridCol w:w="5954"/>
      </w:tblGrid>
      <w:tr w:rsidR="00F73D5B" w:rsidRPr="008B7A21" w14:paraId="2F1E11D7" w14:textId="77777777" w:rsidTr="00D849A8">
        <w:trPr>
          <w:jc w:val="center"/>
        </w:trPr>
        <w:tc>
          <w:tcPr>
            <w:tcW w:w="1129" w:type="dxa"/>
          </w:tcPr>
          <w:p w14:paraId="76CB7E18" w14:textId="77777777" w:rsidR="00F73D5B" w:rsidRPr="008B7A21" w:rsidRDefault="00F73D5B" w:rsidP="00767A6A">
            <w:pPr>
              <w:pStyle w:val="Tablehead"/>
              <w:rPr>
                <w:lang w:val="es-ES_tradnl"/>
              </w:rPr>
            </w:pPr>
            <w:r w:rsidRPr="008B7A21">
              <w:rPr>
                <w:bCs/>
                <w:color w:val="000000"/>
                <w:lang w:val="es-ES_tradnl"/>
              </w:rPr>
              <w:t>Variable</w:t>
            </w:r>
          </w:p>
        </w:tc>
        <w:tc>
          <w:tcPr>
            <w:tcW w:w="2552" w:type="dxa"/>
          </w:tcPr>
          <w:p w14:paraId="77B165F6" w14:textId="06271CA7" w:rsidR="00F73D5B" w:rsidRPr="008B7A21" w:rsidRDefault="00877B7A" w:rsidP="00767A6A">
            <w:pPr>
              <w:pStyle w:val="Tablehead"/>
              <w:rPr>
                <w:lang w:val="es-ES_tradnl"/>
              </w:rPr>
            </w:pPr>
            <w:r w:rsidRPr="008B7A21">
              <w:rPr>
                <w:bCs/>
                <w:color w:val="000000"/>
                <w:lang w:val="es-ES_tradnl"/>
              </w:rPr>
              <w:t>Descripción</w:t>
            </w:r>
          </w:p>
        </w:tc>
        <w:tc>
          <w:tcPr>
            <w:tcW w:w="5948" w:type="dxa"/>
          </w:tcPr>
          <w:p w14:paraId="6BA18952" w14:textId="77777777" w:rsidR="00F73D5B" w:rsidRPr="008B7A21" w:rsidRDefault="00F73D5B" w:rsidP="00767A6A">
            <w:pPr>
              <w:pStyle w:val="Tablehead"/>
              <w:rPr>
                <w:lang w:val="es-ES_tradnl"/>
              </w:rPr>
            </w:pPr>
            <w:r w:rsidRPr="008B7A21">
              <w:rPr>
                <w:bCs/>
                <w:color w:val="000000"/>
                <w:lang w:val="es-ES_tradnl"/>
              </w:rPr>
              <w:t>Valores</w:t>
            </w:r>
          </w:p>
        </w:tc>
      </w:tr>
      <w:tr w:rsidR="00F73D5B" w:rsidRPr="008B7A21" w14:paraId="03A5241F" w14:textId="77777777" w:rsidTr="00D849A8">
        <w:trPr>
          <w:trHeight w:val="684"/>
          <w:jc w:val="center"/>
        </w:trPr>
        <w:tc>
          <w:tcPr>
            <w:tcW w:w="1129" w:type="dxa"/>
            <w:vMerge w:val="restart"/>
          </w:tcPr>
          <w:p w14:paraId="2F9F331B" w14:textId="77777777" w:rsidR="00F73D5B" w:rsidRPr="008B7A21" w:rsidRDefault="00F73D5B" w:rsidP="00D849A8">
            <w:pPr>
              <w:pStyle w:val="Tabletext"/>
              <w:spacing w:before="20" w:after="20"/>
              <w:rPr>
                <w:i/>
                <w:iCs/>
                <w:lang w:val="es-ES_tradnl"/>
              </w:rPr>
            </w:pPr>
            <w:r w:rsidRPr="008B7A21">
              <w:rPr>
                <w:i/>
                <w:iCs/>
                <w:color w:val="000000"/>
                <w:lang w:val="es-ES_tradnl"/>
              </w:rPr>
              <w:t>L</w:t>
            </w:r>
          </w:p>
        </w:tc>
        <w:tc>
          <w:tcPr>
            <w:tcW w:w="2552" w:type="dxa"/>
          </w:tcPr>
          <w:p w14:paraId="09787006" w14:textId="77777777" w:rsidR="00F73D5B" w:rsidRPr="008B7A21" w:rsidRDefault="00F73D5B" w:rsidP="00D849A8">
            <w:pPr>
              <w:pStyle w:val="Tabletext"/>
              <w:spacing w:before="20" w:after="20"/>
              <w:rPr>
                <w:lang w:val="es-ES_tradnl"/>
              </w:rPr>
            </w:pPr>
            <w:r w:rsidRPr="008B7A21">
              <w:rPr>
                <w:color w:val="000000"/>
                <w:lang w:val="es-ES_tradnl"/>
              </w:rPr>
              <w:t>Capacidad de frecuencia</w:t>
            </w:r>
          </w:p>
        </w:tc>
        <w:tc>
          <w:tcPr>
            <w:tcW w:w="5948" w:type="dxa"/>
          </w:tcPr>
          <w:p w14:paraId="6C6E4828" w14:textId="36827F1C" w:rsidR="00F73D5B" w:rsidRPr="008B7A21" w:rsidRDefault="00F73D5B" w:rsidP="00D849A8">
            <w:pPr>
              <w:pStyle w:val="Tabletext"/>
              <w:spacing w:before="20" w:after="20"/>
              <w:rPr>
                <w:lang w:val="es-ES_tradnl"/>
              </w:rPr>
            </w:pPr>
            <w:r w:rsidRPr="008B7A21">
              <w:rPr>
                <w:color w:val="000000"/>
                <w:lang w:val="es-ES_tradnl"/>
              </w:rPr>
              <w:t>3×</w:t>
            </w:r>
            <w:r w:rsidRPr="008B7A21">
              <w:rPr>
                <w:i/>
                <w:iCs/>
                <w:color w:val="000000"/>
                <w:lang w:val="es-ES_tradnl"/>
              </w:rPr>
              <w:t>b</w:t>
            </w:r>
            <w:r w:rsidRPr="008B7A21">
              <w:rPr>
                <w:color w:val="000000"/>
                <w:lang w:val="es-ES_tradnl"/>
              </w:rPr>
              <w:tab/>
            </w:r>
            <w:r w:rsidRPr="008B7A21">
              <w:rPr>
                <w:color w:val="000000"/>
                <w:lang w:val="es-ES_tradnl"/>
              </w:rPr>
              <w:tab/>
              <w:t>para frecuencias iguales o inferiores a 100 MHz</w:t>
            </w:r>
          </w:p>
          <w:p w14:paraId="5DD3064A" w14:textId="175E0DA1" w:rsidR="00F73D5B" w:rsidRPr="008B7A21" w:rsidRDefault="00F73D5B" w:rsidP="00D849A8">
            <w:pPr>
              <w:pStyle w:val="Tabletext"/>
              <w:spacing w:before="20" w:after="20"/>
              <w:rPr>
                <w:lang w:val="es-ES_tradnl"/>
              </w:rPr>
            </w:pPr>
            <w:r w:rsidRPr="008B7A21">
              <w:rPr>
                <w:color w:val="000000"/>
                <w:lang w:val="es-ES_tradnl"/>
              </w:rPr>
              <w:t>300</w:t>
            </w:r>
            <w:r w:rsidRPr="008B7A21">
              <w:rPr>
                <w:color w:val="000000"/>
                <w:lang w:val="es-ES_tradnl"/>
              </w:rPr>
              <w:tab/>
            </w:r>
            <w:r w:rsidRPr="008B7A21">
              <w:rPr>
                <w:color w:val="000000"/>
                <w:lang w:val="es-ES_tradnl"/>
              </w:rPr>
              <w:tab/>
              <w:t>para frecuencias superiores a 100 MHz</w:t>
            </w:r>
          </w:p>
        </w:tc>
      </w:tr>
      <w:tr w:rsidR="00F73D5B" w:rsidRPr="008B7A21" w14:paraId="5458EBE3" w14:textId="77777777" w:rsidTr="00D849A8">
        <w:trPr>
          <w:jc w:val="center"/>
        </w:trPr>
        <w:tc>
          <w:tcPr>
            <w:tcW w:w="1129" w:type="dxa"/>
            <w:vMerge/>
          </w:tcPr>
          <w:p w14:paraId="71676791" w14:textId="77777777" w:rsidR="00F73D5B" w:rsidRPr="008B7A21" w:rsidRDefault="00F73D5B" w:rsidP="00D849A8">
            <w:pPr>
              <w:pStyle w:val="Tabletext"/>
              <w:spacing w:before="20" w:after="20"/>
              <w:rPr>
                <w:i/>
                <w:iCs/>
                <w:lang w:val="es-ES_tradnl"/>
              </w:rPr>
            </w:pPr>
          </w:p>
        </w:tc>
        <w:tc>
          <w:tcPr>
            <w:tcW w:w="8500" w:type="dxa"/>
            <w:gridSpan w:val="2"/>
          </w:tcPr>
          <w:p w14:paraId="26FD0942" w14:textId="77777777" w:rsidR="00F73D5B" w:rsidRPr="008B7A21" w:rsidRDefault="00F73D5B" w:rsidP="00D849A8">
            <w:pPr>
              <w:pStyle w:val="Tabletext"/>
              <w:spacing w:before="20" w:after="20"/>
              <w:rPr>
                <w:lang w:val="es-ES_tradnl"/>
              </w:rPr>
            </w:pPr>
            <w:r w:rsidRPr="008B7A21">
              <w:rPr>
                <w:i/>
                <w:iCs/>
                <w:color w:val="000000"/>
                <w:lang w:val="es-ES_tradnl"/>
              </w:rPr>
              <w:t>b:</w:t>
            </w:r>
            <w:r w:rsidRPr="008B7A21">
              <w:rPr>
                <w:color w:val="000000"/>
                <w:lang w:val="es-ES_tradnl"/>
              </w:rPr>
              <w:t xml:space="preserve"> anchura de banda, en MHz</w:t>
            </w:r>
          </w:p>
        </w:tc>
      </w:tr>
      <w:tr w:rsidR="00F73D5B" w:rsidRPr="008B7A21" w14:paraId="30ED7D04" w14:textId="77777777" w:rsidTr="00D849A8">
        <w:trPr>
          <w:trHeight w:val="684"/>
          <w:jc w:val="center"/>
        </w:trPr>
        <w:tc>
          <w:tcPr>
            <w:tcW w:w="1129" w:type="dxa"/>
            <w:vMerge w:val="restart"/>
          </w:tcPr>
          <w:p w14:paraId="725E452B" w14:textId="77777777" w:rsidR="00F73D5B" w:rsidRPr="008B7A21" w:rsidRDefault="00F73D5B" w:rsidP="00D849A8">
            <w:pPr>
              <w:pStyle w:val="Tabletext"/>
              <w:spacing w:before="20" w:after="20"/>
              <w:rPr>
                <w:i/>
                <w:iCs/>
                <w:lang w:val="es-ES_tradnl"/>
              </w:rPr>
            </w:pPr>
            <w:r w:rsidRPr="008B7A21">
              <w:rPr>
                <w:i/>
                <w:iCs/>
                <w:color w:val="000000"/>
                <w:lang w:val="es-ES_tradnl"/>
              </w:rPr>
              <w:t>C</w:t>
            </w:r>
          </w:p>
        </w:tc>
        <w:tc>
          <w:tcPr>
            <w:tcW w:w="2552" w:type="dxa"/>
          </w:tcPr>
          <w:p w14:paraId="25907D6E" w14:textId="77777777" w:rsidR="00F73D5B" w:rsidRPr="008B7A21" w:rsidRDefault="00F73D5B" w:rsidP="00D849A8">
            <w:pPr>
              <w:pStyle w:val="Tabletext"/>
              <w:spacing w:before="20" w:after="20"/>
              <w:rPr>
                <w:lang w:val="es-ES_tradnl"/>
              </w:rPr>
            </w:pPr>
            <w:r w:rsidRPr="008B7A21">
              <w:rPr>
                <w:color w:val="000000"/>
                <w:lang w:val="es-ES_tradnl"/>
              </w:rPr>
              <w:t>Cobertura de frecuencia</w:t>
            </w:r>
          </w:p>
        </w:tc>
        <w:tc>
          <w:tcPr>
            <w:tcW w:w="5948" w:type="dxa"/>
          </w:tcPr>
          <w:p w14:paraId="3328B3B6" w14:textId="6F37F675" w:rsidR="00F73D5B" w:rsidRPr="008B7A21" w:rsidRDefault="00F73D5B" w:rsidP="00D849A8">
            <w:pPr>
              <w:pStyle w:val="Tabletext"/>
              <w:spacing w:before="20" w:after="20"/>
              <w:rPr>
                <w:lang w:val="es-ES_tradnl"/>
              </w:rPr>
            </w:pPr>
            <m:oMath>
              <m:r>
                <w:rPr>
                  <w:rFonts w:ascii="Cambria Math" w:hAnsi="Cambria Math"/>
                  <w:lang w:val="es-ES_tradnl"/>
                </w:rPr>
                <m:t>101-</m:t>
              </m:r>
              <m:sSup>
                <m:sSupPr>
                  <m:ctrlPr>
                    <w:rPr>
                      <w:rFonts w:ascii="Cambria Math" w:hAnsi="Cambria Math"/>
                      <w:i/>
                      <w:iCs/>
                      <w:lang w:val="es-ES_tradnl"/>
                    </w:rPr>
                  </m:ctrlPr>
                </m:sSupPr>
                <m:e>
                  <m:r>
                    <w:rPr>
                      <w:rFonts w:ascii="Cambria Math" w:hAnsi="Cambria Math"/>
                      <w:lang w:val="es-ES_tradnl"/>
                    </w:rPr>
                    <m:t>f</m:t>
                  </m:r>
                </m:e>
                <m:sup>
                  <m:r>
                    <w:rPr>
                      <w:rFonts w:ascii="Cambria Math" w:hAnsi="Cambria Math"/>
                      <w:lang w:val="es-ES_tradnl"/>
                    </w:rPr>
                    <m:t>2</m:t>
                  </m:r>
                </m:sup>
              </m:sSup>
            </m:oMath>
            <w:r w:rsidRPr="008B7A21">
              <w:rPr>
                <w:color w:val="000000"/>
                <w:lang w:val="es-ES_tradnl"/>
              </w:rPr>
              <w:tab/>
              <w:t>para frecuencias iguales o inferiores a 10 GHz</w:t>
            </w:r>
          </w:p>
          <w:p w14:paraId="3B832349" w14:textId="636D0AAD" w:rsidR="00F73D5B" w:rsidRPr="008B7A21" w:rsidRDefault="00F73D5B" w:rsidP="00D849A8">
            <w:pPr>
              <w:pStyle w:val="Tabletext"/>
              <w:spacing w:before="20" w:after="20"/>
              <w:rPr>
                <w:i/>
                <w:iCs/>
                <w:lang w:val="es-ES_tradnl"/>
              </w:rPr>
            </w:pPr>
            <w:r w:rsidRPr="008B7A21">
              <w:rPr>
                <w:color w:val="000000"/>
                <w:lang w:val="es-ES_tradnl"/>
              </w:rPr>
              <w:t>1</w:t>
            </w:r>
            <w:r w:rsidRPr="008B7A21">
              <w:rPr>
                <w:color w:val="000000"/>
                <w:lang w:val="es-ES_tradnl"/>
              </w:rPr>
              <w:tab/>
            </w:r>
            <w:r w:rsidRPr="008B7A21">
              <w:rPr>
                <w:color w:val="000000"/>
                <w:lang w:val="es-ES_tradnl"/>
              </w:rPr>
              <w:tab/>
              <w:t>para frecuencias superiores a 10 GHz</w:t>
            </w:r>
          </w:p>
        </w:tc>
      </w:tr>
      <w:tr w:rsidR="00F73D5B" w:rsidRPr="008B7A21" w14:paraId="076A76A4" w14:textId="77777777" w:rsidTr="00D849A8">
        <w:trPr>
          <w:jc w:val="center"/>
        </w:trPr>
        <w:tc>
          <w:tcPr>
            <w:tcW w:w="1129" w:type="dxa"/>
            <w:vMerge/>
          </w:tcPr>
          <w:p w14:paraId="21E1BF99" w14:textId="77777777" w:rsidR="00F73D5B" w:rsidRPr="008B7A21" w:rsidRDefault="00F73D5B" w:rsidP="00D849A8">
            <w:pPr>
              <w:pStyle w:val="Tabletext"/>
              <w:spacing w:before="20" w:after="20"/>
              <w:rPr>
                <w:i/>
                <w:iCs/>
                <w:lang w:val="es-ES_tradnl"/>
              </w:rPr>
            </w:pPr>
          </w:p>
        </w:tc>
        <w:tc>
          <w:tcPr>
            <w:tcW w:w="8500" w:type="dxa"/>
            <w:gridSpan w:val="2"/>
          </w:tcPr>
          <w:p w14:paraId="6C800C73" w14:textId="77777777" w:rsidR="00F73D5B" w:rsidRPr="008B7A21" w:rsidRDefault="00F73D5B" w:rsidP="00D849A8">
            <w:pPr>
              <w:pStyle w:val="Tabletext"/>
              <w:spacing w:before="20" w:after="20"/>
              <w:rPr>
                <w:lang w:val="es-ES_tradnl"/>
              </w:rPr>
            </w:pPr>
            <w:r w:rsidRPr="008B7A21">
              <w:rPr>
                <w:i/>
                <w:iCs/>
                <w:color w:val="000000"/>
                <w:lang w:val="es-ES_tradnl"/>
              </w:rPr>
              <w:t>f</w:t>
            </w:r>
            <w:r w:rsidRPr="008B7A21">
              <w:rPr>
                <w:color w:val="000000"/>
                <w:lang w:val="es-ES_tradnl"/>
              </w:rPr>
              <w:t xml:space="preserve">: frecuencia central, en GHz </w:t>
            </w:r>
          </w:p>
        </w:tc>
      </w:tr>
      <w:tr w:rsidR="00F73D5B" w:rsidRPr="008B7A21" w14:paraId="1762A0E5" w14:textId="77777777" w:rsidTr="00D849A8">
        <w:trPr>
          <w:trHeight w:val="685"/>
          <w:jc w:val="center"/>
        </w:trPr>
        <w:tc>
          <w:tcPr>
            <w:tcW w:w="1129" w:type="dxa"/>
            <w:vMerge w:val="restart"/>
          </w:tcPr>
          <w:p w14:paraId="1A56238F" w14:textId="77777777" w:rsidR="00F73D5B" w:rsidRPr="008B7A21" w:rsidRDefault="00F73D5B" w:rsidP="00D849A8">
            <w:pPr>
              <w:pStyle w:val="Tabletext"/>
              <w:spacing w:before="20" w:after="20"/>
              <w:rPr>
                <w:i/>
                <w:iCs/>
                <w:lang w:val="es-ES_tradnl"/>
              </w:rPr>
            </w:pPr>
            <w:r w:rsidRPr="008B7A21">
              <w:rPr>
                <w:i/>
                <w:iCs/>
                <w:color w:val="000000"/>
                <w:lang w:val="es-ES_tradnl"/>
              </w:rPr>
              <w:t>P</w:t>
            </w:r>
          </w:p>
        </w:tc>
        <w:tc>
          <w:tcPr>
            <w:tcW w:w="2552" w:type="dxa"/>
          </w:tcPr>
          <w:p w14:paraId="759EDE57" w14:textId="77777777" w:rsidR="00F73D5B" w:rsidRPr="008B7A21" w:rsidRDefault="00F73D5B" w:rsidP="00D849A8">
            <w:pPr>
              <w:pStyle w:val="Tabletext"/>
              <w:spacing w:before="20" w:after="20"/>
              <w:rPr>
                <w:lang w:val="es-ES_tradnl"/>
              </w:rPr>
            </w:pPr>
            <w:r w:rsidRPr="008B7A21">
              <w:rPr>
                <w:color w:val="000000"/>
                <w:lang w:val="es-ES_tradnl"/>
              </w:rPr>
              <w:t>Población de la zona</w:t>
            </w:r>
          </w:p>
        </w:tc>
        <w:tc>
          <w:tcPr>
            <w:tcW w:w="5948" w:type="dxa"/>
          </w:tcPr>
          <w:p w14:paraId="6AC4B50D" w14:textId="77777777" w:rsidR="00F73D5B" w:rsidRPr="008B7A21" w:rsidRDefault="007A4381" w:rsidP="00D849A8">
            <w:pPr>
              <w:pStyle w:val="Tabletext"/>
              <w:spacing w:before="20" w:after="20"/>
              <w:rPr>
                <w:i/>
                <w:iCs/>
                <w:lang w:val="es-ES_tradnl"/>
              </w:rPr>
            </w:pPr>
            <m:oMathPara>
              <m:oMath>
                <m:f>
                  <m:fPr>
                    <m:ctrlPr>
                      <w:rPr>
                        <w:rFonts w:ascii="Cambria Math" w:hAnsi="Cambria Math"/>
                        <w:i/>
                        <w:iCs/>
                        <w:lang w:val="es-ES_tradnl"/>
                      </w:rPr>
                    </m:ctrlPr>
                  </m:fPr>
                  <m:num>
                    <m:sSub>
                      <m:sSubPr>
                        <m:ctrlPr>
                          <w:rPr>
                            <w:rFonts w:ascii="Cambria Math" w:hAnsi="Cambria Math"/>
                            <w:i/>
                            <w:iCs/>
                            <w:lang w:val="es-ES_tradnl"/>
                          </w:rPr>
                        </m:ctrlPr>
                      </m:sSubPr>
                      <m:e>
                        <m:r>
                          <w:rPr>
                            <w:rFonts w:ascii="Cambria Math" w:hAnsi="Cambria Math"/>
                            <w:lang w:val="es-ES_tradnl"/>
                          </w:rPr>
                          <m:t>pop</m:t>
                        </m:r>
                      </m:e>
                      <m:sub>
                        <m:r>
                          <w:rPr>
                            <w:rFonts w:ascii="Cambria Math" w:hAnsi="Cambria Math"/>
                            <w:lang w:val="es-ES_tradnl"/>
                          </w:rPr>
                          <m:t>aut</m:t>
                        </m:r>
                        <m:r>
                          <w:rPr>
                            <w:rFonts w:ascii="Cambria Math" w:hAnsi="Cambria Math"/>
                            <w:lang w:val="es-ES_tradnl"/>
                          </w:rPr>
                          <m:t>h</m:t>
                        </m:r>
                      </m:sub>
                    </m:sSub>
                  </m:num>
                  <m:den>
                    <m:sSub>
                      <m:sSubPr>
                        <m:ctrlPr>
                          <w:rPr>
                            <w:rFonts w:ascii="Cambria Math" w:hAnsi="Cambria Math"/>
                            <w:i/>
                            <w:iCs/>
                            <w:lang w:val="es-ES_tradnl"/>
                          </w:rPr>
                        </m:ctrlPr>
                      </m:sSubPr>
                      <m:e>
                        <m:r>
                          <w:rPr>
                            <w:rFonts w:ascii="Cambria Math" w:hAnsi="Cambria Math"/>
                            <w:lang w:val="es-ES_tradnl"/>
                          </w:rPr>
                          <m:t>pop</m:t>
                        </m:r>
                      </m:e>
                      <m:sub>
                        <m:r>
                          <w:rPr>
                            <w:rFonts w:ascii="Cambria Math" w:hAnsi="Cambria Math"/>
                            <w:lang w:val="es-ES_tradnl"/>
                          </w:rPr>
                          <m:t>Brazil</m:t>
                        </m:r>
                      </m:sub>
                    </m:sSub>
                  </m:den>
                </m:f>
                <m:r>
                  <w:rPr>
                    <w:rFonts w:ascii="Cambria Math" w:hAnsi="Cambria Math"/>
                    <w:lang w:val="es-ES_tradnl"/>
                  </w:rPr>
                  <m:t>×100</m:t>
                </m:r>
              </m:oMath>
            </m:oMathPara>
          </w:p>
        </w:tc>
      </w:tr>
      <w:tr w:rsidR="00F73D5B" w:rsidRPr="008B7A21" w14:paraId="0A242EAB" w14:textId="77777777" w:rsidTr="00D849A8">
        <w:trPr>
          <w:trHeight w:val="992"/>
          <w:jc w:val="center"/>
        </w:trPr>
        <w:tc>
          <w:tcPr>
            <w:tcW w:w="1129" w:type="dxa"/>
            <w:vMerge/>
          </w:tcPr>
          <w:p w14:paraId="3DC33DB2" w14:textId="77777777" w:rsidR="00F73D5B" w:rsidRPr="008B7A21" w:rsidRDefault="00F73D5B" w:rsidP="00D849A8">
            <w:pPr>
              <w:pStyle w:val="Tabletext"/>
              <w:spacing w:before="20" w:after="20"/>
              <w:rPr>
                <w:i/>
                <w:iCs/>
                <w:lang w:val="es-ES_tradnl"/>
              </w:rPr>
            </w:pPr>
          </w:p>
        </w:tc>
        <w:tc>
          <w:tcPr>
            <w:tcW w:w="8500" w:type="dxa"/>
            <w:gridSpan w:val="2"/>
          </w:tcPr>
          <w:p w14:paraId="06229A9A" w14:textId="77777777" w:rsidR="00F73D5B" w:rsidRPr="008B7A21" w:rsidRDefault="00F73D5B" w:rsidP="00D849A8">
            <w:pPr>
              <w:pStyle w:val="Tabletext"/>
              <w:spacing w:before="20" w:after="20"/>
              <w:rPr>
                <w:lang w:val="es-ES_tradnl"/>
              </w:rPr>
            </w:pPr>
            <w:r w:rsidRPr="008B7A21">
              <w:rPr>
                <w:i/>
                <w:iCs/>
                <w:color w:val="000000"/>
                <w:lang w:val="es-ES_tradnl"/>
              </w:rPr>
              <w:t>pop</w:t>
            </w:r>
            <w:r w:rsidRPr="008B7A21">
              <w:rPr>
                <w:i/>
                <w:iCs/>
                <w:color w:val="000000"/>
                <w:vertAlign w:val="subscript"/>
                <w:lang w:val="es-ES_tradnl"/>
              </w:rPr>
              <w:t>auth</w:t>
            </w:r>
            <w:r w:rsidRPr="008B7A21">
              <w:rPr>
                <w:color w:val="000000"/>
                <w:lang w:val="es-ES_tradnl"/>
              </w:rPr>
              <w:t>: número de habitantes de la zona de la autorización, o número de habitantes de las ciudades en las que se desplegarán los enlaces punto a punto.</w:t>
            </w:r>
          </w:p>
          <w:p w14:paraId="7891BD9D" w14:textId="77777777" w:rsidR="00F73D5B" w:rsidRPr="008B7A21" w:rsidRDefault="00F73D5B" w:rsidP="00D849A8">
            <w:pPr>
              <w:pStyle w:val="Tabletext"/>
              <w:spacing w:before="20" w:after="20"/>
              <w:rPr>
                <w:i/>
                <w:iCs/>
                <w:lang w:val="es-ES_tradnl"/>
              </w:rPr>
            </w:pPr>
            <w:r w:rsidRPr="008B7A21">
              <w:rPr>
                <w:i/>
                <w:iCs/>
                <w:color w:val="000000"/>
                <w:lang w:val="es-ES_tradnl"/>
              </w:rPr>
              <w:t>pop</w:t>
            </w:r>
            <w:r w:rsidRPr="008B7A21">
              <w:rPr>
                <w:i/>
                <w:iCs/>
                <w:color w:val="000000"/>
                <w:vertAlign w:val="subscript"/>
                <w:lang w:val="es-ES_tradnl"/>
              </w:rPr>
              <w:t>Brazil</w:t>
            </w:r>
            <w:r w:rsidRPr="008B7A21">
              <w:rPr>
                <w:color w:val="000000"/>
                <w:lang w:val="es-ES_tradnl"/>
              </w:rPr>
              <w:t>: población de Brasil.</w:t>
            </w:r>
          </w:p>
        </w:tc>
      </w:tr>
      <w:tr w:rsidR="00F73D5B" w:rsidRPr="008B7A21" w14:paraId="50CF3128" w14:textId="77777777" w:rsidTr="00D849A8">
        <w:trPr>
          <w:trHeight w:val="561"/>
          <w:jc w:val="center"/>
        </w:trPr>
        <w:tc>
          <w:tcPr>
            <w:tcW w:w="1129" w:type="dxa"/>
            <w:vMerge w:val="restart"/>
          </w:tcPr>
          <w:p w14:paraId="291F08B3" w14:textId="77777777" w:rsidR="00F73D5B" w:rsidRPr="008B7A21" w:rsidRDefault="00F73D5B" w:rsidP="00D849A8">
            <w:pPr>
              <w:pStyle w:val="Tabletext"/>
              <w:keepNext/>
              <w:spacing w:before="20" w:after="20"/>
              <w:rPr>
                <w:i/>
                <w:iCs/>
                <w:lang w:val="es-ES_tradnl"/>
              </w:rPr>
            </w:pPr>
            <w:r w:rsidRPr="008B7A21">
              <w:rPr>
                <w:i/>
                <w:iCs/>
                <w:color w:val="000000"/>
                <w:lang w:val="es-ES_tradnl"/>
              </w:rPr>
              <w:t>A</w:t>
            </w:r>
          </w:p>
        </w:tc>
        <w:tc>
          <w:tcPr>
            <w:tcW w:w="2552" w:type="dxa"/>
          </w:tcPr>
          <w:p w14:paraId="269D85CF" w14:textId="77777777" w:rsidR="00F73D5B" w:rsidRPr="008B7A21" w:rsidRDefault="00F73D5B" w:rsidP="00D849A8">
            <w:pPr>
              <w:pStyle w:val="Tabletext"/>
              <w:keepNext/>
              <w:spacing w:before="20" w:after="20"/>
              <w:rPr>
                <w:lang w:val="es-ES_tradnl"/>
              </w:rPr>
            </w:pPr>
            <w:r w:rsidRPr="008B7A21">
              <w:rPr>
                <w:color w:val="000000"/>
                <w:lang w:val="es-ES_tradnl"/>
              </w:rPr>
              <w:t>Espacio geométrico/geográfico</w:t>
            </w:r>
          </w:p>
        </w:tc>
        <w:tc>
          <w:tcPr>
            <w:tcW w:w="5948" w:type="dxa"/>
          </w:tcPr>
          <w:p w14:paraId="04231452" w14:textId="77777777" w:rsidR="00F73D5B" w:rsidRPr="008B7A21" w:rsidRDefault="007A4381" w:rsidP="00D849A8">
            <w:pPr>
              <w:pStyle w:val="Tabletext"/>
              <w:keepNext/>
              <w:spacing w:before="20" w:after="20"/>
              <w:rPr>
                <w:i/>
                <w:iCs/>
                <w:lang w:val="es-ES_tradnl"/>
              </w:rPr>
            </w:pPr>
            <m:oMathPara>
              <m:oMath>
                <m:f>
                  <m:fPr>
                    <m:ctrlPr>
                      <w:rPr>
                        <w:rFonts w:ascii="Cambria Math" w:hAnsi="Cambria Math"/>
                        <w:i/>
                        <w:iCs/>
                        <w:lang w:val="es-ES_tradnl"/>
                      </w:rPr>
                    </m:ctrlPr>
                  </m:fPr>
                  <m:num>
                    <m:sSub>
                      <m:sSubPr>
                        <m:ctrlPr>
                          <w:rPr>
                            <w:rFonts w:ascii="Cambria Math" w:hAnsi="Cambria Math"/>
                            <w:i/>
                            <w:iCs/>
                            <w:lang w:val="es-ES_tradnl"/>
                          </w:rPr>
                        </m:ctrlPr>
                      </m:sSubPr>
                      <m:e>
                        <m:r>
                          <w:rPr>
                            <w:rFonts w:ascii="Cambria Math" w:hAnsi="Cambria Math"/>
                            <w:lang w:val="es-ES_tradnl"/>
                          </w:rPr>
                          <m:t>area</m:t>
                        </m:r>
                      </m:e>
                      <m:sub>
                        <m:r>
                          <w:rPr>
                            <w:rFonts w:ascii="Cambria Math" w:hAnsi="Cambria Math"/>
                            <w:lang w:val="es-ES_tradnl"/>
                          </w:rPr>
                          <m:t>aut</m:t>
                        </m:r>
                        <m:r>
                          <w:rPr>
                            <w:rFonts w:ascii="Cambria Math" w:hAnsi="Cambria Math"/>
                            <w:lang w:val="es-ES_tradnl"/>
                          </w:rPr>
                          <m:t>h</m:t>
                        </m:r>
                      </m:sub>
                    </m:sSub>
                  </m:num>
                  <m:den>
                    <m:sSub>
                      <m:sSubPr>
                        <m:ctrlPr>
                          <w:rPr>
                            <w:rFonts w:ascii="Cambria Math" w:hAnsi="Cambria Math"/>
                            <w:i/>
                            <w:iCs/>
                            <w:lang w:val="es-ES_tradnl"/>
                          </w:rPr>
                        </m:ctrlPr>
                      </m:sSubPr>
                      <m:e>
                        <m:r>
                          <w:rPr>
                            <w:rFonts w:ascii="Cambria Math" w:hAnsi="Cambria Math"/>
                            <w:lang w:val="es-ES_tradnl"/>
                          </w:rPr>
                          <m:t>area</m:t>
                        </m:r>
                      </m:e>
                      <m:sub>
                        <m:r>
                          <w:rPr>
                            <w:rFonts w:ascii="Cambria Math" w:hAnsi="Cambria Math"/>
                            <w:lang w:val="es-ES_tradnl"/>
                          </w:rPr>
                          <m:t>Brazil</m:t>
                        </m:r>
                      </m:sub>
                    </m:sSub>
                  </m:den>
                </m:f>
                <m:r>
                  <w:rPr>
                    <w:rFonts w:ascii="Cambria Math" w:hAnsi="Cambria Math"/>
                    <w:lang w:val="es-ES_tradnl"/>
                  </w:rPr>
                  <m:t>×100</m:t>
                </m:r>
              </m:oMath>
            </m:oMathPara>
          </w:p>
        </w:tc>
      </w:tr>
      <w:tr w:rsidR="00F73D5B" w:rsidRPr="008B7A21" w14:paraId="1666031E" w14:textId="77777777" w:rsidTr="00D849A8">
        <w:trPr>
          <w:trHeight w:val="3560"/>
          <w:jc w:val="center"/>
        </w:trPr>
        <w:tc>
          <w:tcPr>
            <w:tcW w:w="1129" w:type="dxa"/>
            <w:vMerge/>
          </w:tcPr>
          <w:p w14:paraId="379D9B2E" w14:textId="77777777" w:rsidR="00F73D5B" w:rsidRPr="008B7A21" w:rsidRDefault="00F73D5B" w:rsidP="00D849A8">
            <w:pPr>
              <w:pStyle w:val="Tabletext"/>
              <w:spacing w:before="20" w:after="20"/>
              <w:rPr>
                <w:i/>
                <w:iCs/>
                <w:lang w:val="es-ES_tradnl"/>
              </w:rPr>
            </w:pPr>
          </w:p>
        </w:tc>
        <w:tc>
          <w:tcPr>
            <w:tcW w:w="8500" w:type="dxa"/>
            <w:gridSpan w:val="2"/>
          </w:tcPr>
          <w:p w14:paraId="345710C6" w14:textId="77777777" w:rsidR="00F73D5B" w:rsidRPr="008B7A21" w:rsidRDefault="00F73D5B" w:rsidP="00D849A8">
            <w:pPr>
              <w:pStyle w:val="Tabletext"/>
              <w:spacing w:before="20" w:after="20"/>
              <w:rPr>
                <w:lang w:val="es-ES_tradnl"/>
              </w:rPr>
            </w:pPr>
            <w:r w:rsidRPr="008B7A21">
              <w:rPr>
                <w:i/>
                <w:iCs/>
                <w:color w:val="000000"/>
                <w:lang w:val="es-ES_tradnl"/>
              </w:rPr>
              <w:t>area</w:t>
            </w:r>
            <w:r w:rsidRPr="008B7A21">
              <w:rPr>
                <w:i/>
                <w:iCs/>
                <w:color w:val="000000"/>
                <w:vertAlign w:val="subscript"/>
                <w:lang w:val="es-ES_tradnl"/>
              </w:rPr>
              <w:t>auth</w:t>
            </w:r>
            <w:r w:rsidRPr="008B7A21">
              <w:rPr>
                <w:color w:val="000000"/>
                <w:lang w:val="es-ES_tradnl"/>
              </w:rPr>
              <w:t>: área geográfica en km</w:t>
            </w:r>
            <w:r w:rsidRPr="008B7A21">
              <w:rPr>
                <w:color w:val="000000"/>
                <w:vertAlign w:val="superscript"/>
                <w:lang w:val="es-ES_tradnl"/>
              </w:rPr>
              <w:t>2</w:t>
            </w:r>
            <w:r w:rsidRPr="008B7A21">
              <w:rPr>
                <w:color w:val="000000"/>
                <w:lang w:val="es-ES_tradnl"/>
              </w:rPr>
              <w:t xml:space="preserve"> indicada como solicitada, si no se proporciona la información, se calculará como</w:t>
            </w:r>
          </w:p>
          <w:p w14:paraId="0B2B4656" w14:textId="77777777" w:rsidR="00F73D5B" w:rsidRPr="008B7A21" w:rsidRDefault="007A4381" w:rsidP="00D849A8">
            <w:pPr>
              <w:pStyle w:val="Tabletext"/>
              <w:spacing w:before="20" w:after="20"/>
              <w:rPr>
                <w:lang w:val="es-ES_tradnl"/>
              </w:rPr>
            </w:pPr>
            <m:oMathPara>
              <m:oMath>
                <m:sSub>
                  <m:sSubPr>
                    <m:ctrlPr>
                      <w:rPr>
                        <w:rFonts w:ascii="Cambria Math" w:hAnsi="Cambria Math"/>
                        <w:i/>
                        <w:lang w:val="es-ES_tradnl"/>
                      </w:rPr>
                    </m:ctrlPr>
                  </m:sSubPr>
                  <m:e>
                    <m:r>
                      <w:rPr>
                        <w:rFonts w:ascii="Cambria Math" w:hAnsi="Cambria Math"/>
                        <w:lang w:val="es-ES_tradnl"/>
                      </w:rPr>
                      <m:t>area</m:t>
                    </m:r>
                  </m:e>
                  <m:sub>
                    <m:r>
                      <w:rPr>
                        <w:rFonts w:ascii="Cambria Math" w:hAnsi="Cambria Math"/>
                        <w:lang w:val="es-ES_tradnl"/>
                      </w:rPr>
                      <m:t>aut</m:t>
                    </m:r>
                    <m:r>
                      <w:rPr>
                        <w:rFonts w:ascii="Cambria Math" w:hAnsi="Cambria Math"/>
                        <w:lang w:val="es-ES_tradnl"/>
                      </w:rPr>
                      <m:t>h</m:t>
                    </m:r>
                  </m:sub>
                </m:sSub>
                <m:r>
                  <w:rPr>
                    <w:rFonts w:ascii="Cambria Math" w:hAnsi="Cambria Math"/>
                    <w:lang w:val="es-ES_tradnl"/>
                  </w:rPr>
                  <m:t>=</m:t>
                </m:r>
                <m:r>
                  <w:rPr>
                    <w:rFonts w:ascii="Cambria Math" w:hAnsi="Cambria Math"/>
                    <w:lang w:val="es-ES_tradnl"/>
                  </w:rPr>
                  <m:t>π</m:t>
                </m:r>
                <m:sSup>
                  <m:sSupPr>
                    <m:ctrlPr>
                      <w:rPr>
                        <w:rFonts w:ascii="Cambria Math" w:hAnsi="Cambria Math"/>
                        <w:i/>
                        <w:lang w:val="es-ES_tradnl"/>
                      </w:rPr>
                    </m:ctrlPr>
                  </m:sSupPr>
                  <m:e>
                    <m:r>
                      <w:rPr>
                        <w:rFonts w:ascii="Cambria Math" w:hAnsi="Cambria Math"/>
                        <w:lang w:val="es-ES_tradnl"/>
                      </w:rPr>
                      <m:t>d</m:t>
                    </m:r>
                  </m:e>
                  <m:sup>
                    <m:r>
                      <w:rPr>
                        <w:rFonts w:ascii="Cambria Math" w:hAnsi="Cambria Math"/>
                        <w:lang w:val="es-ES_tradnl"/>
                      </w:rPr>
                      <m:t>2</m:t>
                    </m:r>
                  </m:sup>
                </m:sSup>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α</m:t>
                    </m:r>
                  </m:num>
                  <m:den>
                    <m:r>
                      <w:rPr>
                        <w:rFonts w:ascii="Cambria Math" w:hAnsi="Cambria Math"/>
                        <w:lang w:val="es-ES_tradnl"/>
                      </w:rPr>
                      <m:t>360°</m:t>
                    </m:r>
                  </m:den>
                </m:f>
              </m:oMath>
            </m:oMathPara>
          </w:p>
          <w:p w14:paraId="163612E2" w14:textId="77777777" w:rsidR="00F73D5B" w:rsidRPr="008B7A21" w:rsidRDefault="00F73D5B" w:rsidP="00D849A8">
            <w:pPr>
              <w:pStyle w:val="Tabletext"/>
              <w:spacing w:before="20" w:after="20"/>
              <w:rPr>
                <w:lang w:val="es-ES_tradnl"/>
              </w:rPr>
            </w:pPr>
            <w:r w:rsidRPr="008B7A21">
              <w:rPr>
                <w:color w:val="000000"/>
                <w:lang w:val="es-ES_tradnl"/>
              </w:rPr>
              <w:t xml:space="preserve">donde: </w:t>
            </w:r>
          </w:p>
          <w:p w14:paraId="337F2013" w14:textId="77777777" w:rsidR="00F73D5B" w:rsidRPr="008B7A21" w:rsidRDefault="00F73D5B" w:rsidP="00D849A8">
            <w:pPr>
              <w:pStyle w:val="Tabletext"/>
              <w:spacing w:before="20" w:after="20"/>
              <w:rPr>
                <w:lang w:val="es-ES_tradnl"/>
              </w:rPr>
            </w:pPr>
            <w:r w:rsidRPr="008B7A21">
              <w:rPr>
                <w:color w:val="000000"/>
                <w:lang w:val="es-ES_tradnl"/>
              </w:rPr>
              <w:tab/>
              <w:t>para sistemas punto a punto,</w:t>
            </w:r>
          </w:p>
          <w:p w14:paraId="2EFE46AE" w14:textId="77777777" w:rsidR="00F73D5B" w:rsidRPr="008B7A21" w:rsidRDefault="00F73D5B" w:rsidP="00D849A8">
            <w:pPr>
              <w:pStyle w:val="Tabletext"/>
              <w:spacing w:before="20" w:after="20"/>
              <w:rPr>
                <w:lang w:val="es-ES_tradnl"/>
              </w:rPr>
            </w:pPr>
            <w:r w:rsidRPr="008B7A21">
              <w:rPr>
                <w:color w:val="000000"/>
                <w:lang w:val="es-ES_tradnl"/>
              </w:rPr>
              <w:tab/>
            </w:r>
            <w:r w:rsidRPr="008B7A21">
              <w:rPr>
                <w:color w:val="000000"/>
                <w:lang w:val="es-ES_tradnl"/>
              </w:rPr>
              <w:tab/>
              <w:t xml:space="preserve">«d» es la distancia entre las estaciones implicadas, en km, y </w:t>
            </w:r>
          </w:p>
          <w:p w14:paraId="6BEA4984" w14:textId="77777777" w:rsidR="00F73D5B" w:rsidRPr="008B7A21" w:rsidRDefault="00F73D5B" w:rsidP="00D849A8">
            <w:pPr>
              <w:pStyle w:val="Tabletext"/>
              <w:spacing w:before="20" w:after="20"/>
              <w:rPr>
                <w:lang w:val="es-ES_tradnl"/>
              </w:rPr>
            </w:pPr>
            <w:r w:rsidRPr="008B7A21">
              <w:rPr>
                <w:color w:val="000000"/>
                <w:lang w:val="es-ES_tradnl"/>
              </w:rPr>
              <w:tab/>
            </w:r>
            <w:r w:rsidRPr="008B7A21">
              <w:rPr>
                <w:color w:val="000000"/>
                <w:lang w:val="es-ES_tradnl"/>
              </w:rPr>
              <w:tab/>
              <w:t xml:space="preserve">«α» es el ángulo de potencia mitad del sistema radiante, en grados; </w:t>
            </w:r>
          </w:p>
          <w:p w14:paraId="161331A9" w14:textId="77777777" w:rsidR="00F73D5B" w:rsidRPr="008B7A21" w:rsidRDefault="00F73D5B" w:rsidP="00D849A8">
            <w:pPr>
              <w:pStyle w:val="Tabletext"/>
              <w:spacing w:before="20" w:after="20"/>
              <w:ind w:left="284" w:hanging="284"/>
              <w:rPr>
                <w:lang w:val="es-ES_tradnl"/>
              </w:rPr>
            </w:pPr>
            <w:r w:rsidRPr="008B7A21">
              <w:rPr>
                <w:color w:val="000000"/>
                <w:lang w:val="es-ES_tradnl"/>
              </w:rPr>
              <w:tab/>
              <w:t>para los sistemas punto a zona, «d» es la distancia que ha de considerarse, la mayor distancia en km recorrida por la estación de base o nodo o la mayor distancia al contorno de servicio de una estación de radiodifusión, en km;</w:t>
            </w:r>
          </w:p>
          <w:p w14:paraId="7964D8AA" w14:textId="77777777" w:rsidR="00F73D5B" w:rsidRPr="008B7A21" w:rsidRDefault="00F73D5B" w:rsidP="00D849A8">
            <w:pPr>
              <w:pStyle w:val="Tabletext"/>
              <w:spacing w:before="20" w:after="20"/>
              <w:rPr>
                <w:lang w:val="es-ES_tradnl"/>
              </w:rPr>
            </w:pPr>
            <w:r w:rsidRPr="008B7A21">
              <w:rPr>
                <w:color w:val="000000"/>
                <w:lang w:val="es-ES_tradnl"/>
              </w:rPr>
              <w:t>en cualquier circunstancia, la superficie que se ha de considerar en el cálculo de la zona estará limitada al territorio nacional, incluidas las aguas territoriales del país.</w:t>
            </w:r>
          </w:p>
          <w:p w14:paraId="2CD8DB69" w14:textId="77777777" w:rsidR="00F73D5B" w:rsidRPr="008B7A21" w:rsidRDefault="00F73D5B" w:rsidP="00D849A8">
            <w:pPr>
              <w:pStyle w:val="Tabletext"/>
              <w:spacing w:before="20" w:after="20"/>
              <w:rPr>
                <w:i/>
                <w:iCs/>
                <w:lang w:val="es-ES_tradnl"/>
              </w:rPr>
            </w:pPr>
            <w:r w:rsidRPr="008B7A21">
              <w:rPr>
                <w:i/>
                <w:iCs/>
                <w:color w:val="000000"/>
                <w:lang w:val="es-ES_tradnl"/>
              </w:rPr>
              <w:t>area</w:t>
            </w:r>
            <w:r w:rsidRPr="008B7A21">
              <w:rPr>
                <w:i/>
                <w:iCs/>
                <w:color w:val="000000"/>
                <w:vertAlign w:val="subscript"/>
                <w:lang w:val="es-ES_tradnl"/>
              </w:rPr>
              <w:t>Brasil</w:t>
            </w:r>
            <w:r w:rsidRPr="008B7A21">
              <w:rPr>
                <w:color w:val="000000"/>
                <w:lang w:val="es-ES_tradnl"/>
              </w:rPr>
              <w:t>: área geográfica del Brasil en km</w:t>
            </w:r>
            <w:r w:rsidRPr="008B7A21">
              <w:rPr>
                <w:color w:val="000000"/>
                <w:vertAlign w:val="superscript"/>
                <w:lang w:val="es-ES_tradnl"/>
              </w:rPr>
              <w:t>2</w:t>
            </w:r>
            <w:r w:rsidRPr="008B7A21">
              <w:rPr>
                <w:color w:val="000000"/>
                <w:lang w:val="es-ES_tradnl"/>
              </w:rPr>
              <w:t>.</w:t>
            </w:r>
          </w:p>
        </w:tc>
      </w:tr>
      <w:tr w:rsidR="00F73D5B" w:rsidRPr="008B7A21" w14:paraId="0C1DA1A6" w14:textId="77777777" w:rsidTr="00D849A8">
        <w:trPr>
          <w:trHeight w:val="265"/>
          <w:jc w:val="center"/>
        </w:trPr>
        <w:tc>
          <w:tcPr>
            <w:tcW w:w="1129" w:type="dxa"/>
          </w:tcPr>
          <w:p w14:paraId="629263AC" w14:textId="77777777" w:rsidR="00F73D5B" w:rsidRPr="008B7A21" w:rsidRDefault="00F73D5B" w:rsidP="00D849A8">
            <w:pPr>
              <w:pStyle w:val="Tabletext"/>
              <w:spacing w:before="20" w:after="20"/>
              <w:rPr>
                <w:i/>
                <w:iCs/>
                <w:lang w:val="es-ES_tradnl"/>
              </w:rPr>
            </w:pPr>
            <w:r w:rsidRPr="008B7A21">
              <w:rPr>
                <w:i/>
                <w:iCs/>
                <w:color w:val="000000"/>
                <w:lang w:val="es-ES_tradnl"/>
              </w:rPr>
              <w:t>T</w:t>
            </w:r>
          </w:p>
        </w:tc>
        <w:tc>
          <w:tcPr>
            <w:tcW w:w="2552" w:type="dxa"/>
          </w:tcPr>
          <w:p w14:paraId="2506AC28" w14:textId="77777777" w:rsidR="00F73D5B" w:rsidRPr="008B7A21" w:rsidRDefault="00F73D5B" w:rsidP="00D849A8">
            <w:pPr>
              <w:pStyle w:val="Tabletext"/>
              <w:spacing w:before="20" w:after="20"/>
              <w:rPr>
                <w:i/>
                <w:iCs/>
                <w:lang w:val="es-ES_tradnl"/>
              </w:rPr>
            </w:pPr>
            <w:r w:rsidRPr="008B7A21">
              <w:rPr>
                <w:i/>
                <w:iCs/>
                <w:color w:val="000000"/>
                <w:lang w:val="es-ES_tradnl"/>
              </w:rPr>
              <w:t>Tiempo de concesión</w:t>
            </w:r>
          </w:p>
        </w:tc>
        <w:tc>
          <w:tcPr>
            <w:tcW w:w="5948" w:type="dxa"/>
          </w:tcPr>
          <w:p w14:paraId="0C0738E0" w14:textId="77777777" w:rsidR="00F73D5B" w:rsidRPr="008B7A21" w:rsidRDefault="00F73D5B" w:rsidP="00D849A8">
            <w:pPr>
              <w:pStyle w:val="Tabletext"/>
              <w:spacing w:before="20" w:after="20"/>
              <w:rPr>
                <w:lang w:val="es-ES_tradnl"/>
              </w:rPr>
            </w:pPr>
            <w:r w:rsidRPr="008B7A21">
              <w:rPr>
                <w:color w:val="000000"/>
                <w:lang w:val="es-ES_tradnl"/>
              </w:rPr>
              <w:t>Tiempo de la concesión solicitada, en años</w:t>
            </w:r>
          </w:p>
        </w:tc>
      </w:tr>
      <w:tr w:rsidR="00F73D5B" w:rsidRPr="008B7A21" w14:paraId="649A836B" w14:textId="77777777" w:rsidTr="00D849A8">
        <w:trPr>
          <w:trHeight w:val="808"/>
          <w:jc w:val="center"/>
        </w:trPr>
        <w:tc>
          <w:tcPr>
            <w:tcW w:w="1129" w:type="dxa"/>
          </w:tcPr>
          <w:p w14:paraId="67CF2097" w14:textId="77777777" w:rsidR="00F73D5B" w:rsidRPr="008B7A21" w:rsidRDefault="00F73D5B" w:rsidP="00D849A8">
            <w:pPr>
              <w:pStyle w:val="Tabletext"/>
              <w:spacing w:before="20" w:after="20"/>
              <w:rPr>
                <w:i/>
                <w:iCs/>
                <w:lang w:val="es-ES_tradnl"/>
              </w:rPr>
            </w:pPr>
            <w:r w:rsidRPr="008B7A21">
              <w:rPr>
                <w:i/>
                <w:iCs/>
                <w:color w:val="000000"/>
                <w:lang w:val="es-ES_tradnl"/>
              </w:rPr>
              <w:t>S</w:t>
            </w:r>
          </w:p>
        </w:tc>
        <w:tc>
          <w:tcPr>
            <w:tcW w:w="2552" w:type="dxa"/>
          </w:tcPr>
          <w:p w14:paraId="10221F0B" w14:textId="77777777" w:rsidR="00F73D5B" w:rsidRPr="008B7A21" w:rsidRDefault="00F73D5B" w:rsidP="00D849A8">
            <w:pPr>
              <w:pStyle w:val="Tabletext"/>
              <w:spacing w:before="20" w:after="20"/>
              <w:rPr>
                <w:i/>
                <w:iCs/>
                <w:lang w:val="es-ES_tradnl"/>
              </w:rPr>
            </w:pPr>
            <w:r w:rsidRPr="008B7A21">
              <w:rPr>
                <w:i/>
                <w:iCs/>
                <w:color w:val="000000"/>
                <w:lang w:val="es-ES_tradnl"/>
              </w:rPr>
              <w:t>Servicio</w:t>
            </w:r>
          </w:p>
        </w:tc>
        <w:tc>
          <w:tcPr>
            <w:tcW w:w="5948" w:type="dxa"/>
          </w:tcPr>
          <w:p w14:paraId="080DA8D7" w14:textId="77777777" w:rsidR="00F73D5B" w:rsidRPr="008B7A21" w:rsidRDefault="00F73D5B" w:rsidP="00D849A8">
            <w:pPr>
              <w:pStyle w:val="Tabletext"/>
              <w:spacing w:before="20" w:after="20"/>
              <w:rPr>
                <w:lang w:val="es-ES_tradnl"/>
              </w:rPr>
            </w:pPr>
            <w:r w:rsidRPr="008B7A21">
              <w:rPr>
                <w:color w:val="000000"/>
                <w:lang w:val="es-ES_tradnl"/>
              </w:rPr>
              <w:t>1</w:t>
            </w:r>
            <w:r w:rsidRPr="008B7A21">
              <w:rPr>
                <w:color w:val="000000"/>
                <w:lang w:val="es-ES_tradnl"/>
              </w:rPr>
              <w:tab/>
            </w:r>
            <w:r w:rsidRPr="008B7A21">
              <w:rPr>
                <w:color w:val="000000"/>
                <w:lang w:val="es-ES_tradnl"/>
              </w:rPr>
              <w:tab/>
              <w:t>para servicios punto a zona</w:t>
            </w:r>
          </w:p>
          <w:p w14:paraId="0F12EA4B" w14:textId="77777777" w:rsidR="00F73D5B" w:rsidRPr="008B7A21" w:rsidRDefault="00F73D5B" w:rsidP="00D849A8">
            <w:pPr>
              <w:pStyle w:val="Tabletext"/>
              <w:spacing w:before="20" w:after="20"/>
              <w:rPr>
                <w:lang w:val="es-ES_tradnl"/>
              </w:rPr>
            </w:pPr>
            <w:r w:rsidRPr="008B7A21">
              <w:rPr>
                <w:color w:val="000000"/>
                <w:lang w:val="es-ES_tradnl"/>
              </w:rPr>
              <w:t>0,1</w:t>
            </w:r>
            <w:r w:rsidRPr="008B7A21">
              <w:rPr>
                <w:color w:val="000000"/>
                <w:lang w:val="es-ES_tradnl"/>
              </w:rPr>
              <w:tab/>
            </w:r>
            <w:r w:rsidRPr="008B7A21">
              <w:rPr>
                <w:color w:val="000000"/>
                <w:lang w:val="es-ES_tradnl"/>
              </w:rPr>
              <w:tab/>
              <w:t>para servicios de radiodifusión</w:t>
            </w:r>
          </w:p>
          <w:p w14:paraId="63B2FCD6" w14:textId="77777777" w:rsidR="00F73D5B" w:rsidRPr="008B7A21" w:rsidRDefault="00F73D5B" w:rsidP="00D849A8">
            <w:pPr>
              <w:pStyle w:val="Tabletext"/>
              <w:spacing w:before="20" w:after="20"/>
              <w:rPr>
                <w:lang w:val="es-ES_tradnl"/>
              </w:rPr>
            </w:pPr>
            <w:r w:rsidRPr="008B7A21">
              <w:rPr>
                <w:color w:val="000000"/>
                <w:lang w:val="es-ES_tradnl"/>
              </w:rPr>
              <w:t>0,00056478</w:t>
            </w:r>
            <w:r w:rsidRPr="008B7A21">
              <w:rPr>
                <w:color w:val="000000"/>
                <w:lang w:val="es-ES_tradnl"/>
              </w:rPr>
              <w:tab/>
              <w:t>para otros servicios</w:t>
            </w:r>
          </w:p>
        </w:tc>
      </w:tr>
    </w:tbl>
    <w:p w14:paraId="16B08C5F" w14:textId="77777777" w:rsidR="00F73D5B" w:rsidRPr="008B7A21" w:rsidRDefault="00F73D5B" w:rsidP="00F73D5B">
      <w:pPr>
        <w:rPr>
          <w:lang w:val="es-ES_tradnl"/>
        </w:rPr>
      </w:pPr>
      <w:proofErr w:type="gramStart"/>
      <w:r w:rsidRPr="008B7A21">
        <w:rPr>
          <w:lang w:val="es-ES_tradnl"/>
        </w:rPr>
        <w:t>El monto a pagar</w:t>
      </w:r>
      <w:proofErr w:type="gramEnd"/>
      <w:r w:rsidRPr="008B7A21">
        <w:rPr>
          <w:lang w:val="es-ES_tradnl"/>
        </w:rPr>
        <w:t xml:space="preserve"> por la concesión no debe ser inferior a T×R$ 28,07.</w:t>
      </w:r>
    </w:p>
    <w:p w14:paraId="0E05CC97" w14:textId="77777777" w:rsidR="00F73D5B" w:rsidRPr="008B7A21" w:rsidRDefault="00F73D5B" w:rsidP="00F73D5B">
      <w:pPr>
        <w:rPr>
          <w:lang w:val="es-ES_tradnl"/>
        </w:rPr>
      </w:pPr>
      <w:r w:rsidRPr="008B7A21">
        <w:rPr>
          <w:lang w:val="es-ES_tradnl"/>
        </w:rPr>
        <w:t>La fórmula no se aplica a los radioaficionados, radiocomunicaciones ciudadanas, servicio móvil aeronáutico, servicio móvil marítimo, radiocomunicaciones comunitarias y la utilización temporal del espectro. Para esos casos, existe una tabla fija de valores.</w:t>
      </w:r>
    </w:p>
    <w:p w14:paraId="0F86798D" w14:textId="01867D67" w:rsidR="00F73D5B" w:rsidRPr="008B7A21" w:rsidRDefault="00F73D5B" w:rsidP="00F73D5B">
      <w:pPr>
        <w:rPr>
          <w:lang w:val="es-ES_tradnl"/>
        </w:rPr>
      </w:pPr>
      <w:proofErr w:type="gramStart"/>
      <w:r w:rsidRPr="008B7A21">
        <w:rPr>
          <w:lang w:val="es-ES_tradnl"/>
        </w:rPr>
        <w:t>El precio a pagar</w:t>
      </w:r>
      <w:proofErr w:type="gramEnd"/>
      <w:r w:rsidRPr="008B7A21">
        <w:rPr>
          <w:lang w:val="es-ES_tradnl"/>
        </w:rPr>
        <w:t xml:space="preserve"> por las entidades gubernamentales se reducirá en un 90</w:t>
      </w:r>
      <w:r w:rsidR="00540C72">
        <w:rPr>
          <w:lang w:val="es-ES_tradnl"/>
        </w:rPr>
        <w:t> </w:t>
      </w:r>
      <w:r w:rsidRPr="008B7A21">
        <w:rPr>
          <w:lang w:val="es-ES_tradnl"/>
        </w:rPr>
        <w:t>% (noventa por ciento).</w:t>
      </w:r>
    </w:p>
    <w:p w14:paraId="34F1CEA5" w14:textId="77777777" w:rsidR="00F73D5B" w:rsidRPr="008B7A21" w:rsidRDefault="00F73D5B" w:rsidP="00F73D5B">
      <w:pPr>
        <w:rPr>
          <w:lang w:val="es-ES_tradnl"/>
        </w:rPr>
      </w:pPr>
      <w:r w:rsidRPr="008B7A21">
        <w:rPr>
          <w:lang w:val="es-ES_tradnl"/>
        </w:rPr>
        <w:t>En los casos en que no se requiera licitación, el valor de la ampliación del derecho de utilización de frecuencias radioeléctricas es el mismo que el indicado anteriormente. De lo contrario, el valor de la extensión (</w:t>
      </w:r>
      <w:r w:rsidRPr="008B7A21">
        <w:rPr>
          <w:i/>
          <w:iCs/>
          <w:lang w:val="es-ES_tradnl"/>
        </w:rPr>
        <w:t>Ve</w:t>
      </w:r>
      <w:r w:rsidRPr="008B7A21">
        <w:rPr>
          <w:lang w:val="es-ES_tradnl"/>
        </w:rPr>
        <w:t>) se calcula mediante la fórmula:</w:t>
      </w:r>
    </w:p>
    <w:p w14:paraId="3B91612A" w14:textId="77777777" w:rsidR="00F73D5B" w:rsidRPr="008B7A21" w:rsidRDefault="00F73D5B" w:rsidP="00F73D5B">
      <w:pPr>
        <w:pStyle w:val="Equation"/>
        <w:rPr>
          <w:lang w:val="es-ES_tradnl"/>
        </w:rPr>
      </w:pPr>
      <w:r w:rsidRPr="008B7A21">
        <w:rPr>
          <w:lang w:val="es-ES_tradnl"/>
        </w:rPr>
        <w:tab/>
      </w:r>
      <w:r w:rsidRPr="008B7A21">
        <w:rPr>
          <w:lang w:val="es-ES_tradnl"/>
        </w:rPr>
        <w:tab/>
      </w:r>
      <m:oMath>
        <m:sSub>
          <m:sSubPr>
            <m:ctrlPr>
              <w:rPr>
                <w:rFonts w:ascii="Cambria Math" w:hAnsi="Cambria Math"/>
                <w:lang w:val="es-ES_tradnl"/>
              </w:rPr>
            </m:ctrlPr>
          </m:sSubPr>
          <m:e>
            <m:r>
              <w:rPr>
                <w:rFonts w:ascii="Cambria Math" w:hAnsi="Cambria Math"/>
                <w:lang w:val="es-ES_tradnl"/>
              </w:rPr>
              <m:t>V</m:t>
            </m:r>
          </m:e>
          <m:sub>
            <m:r>
              <w:rPr>
                <w:rFonts w:ascii="Cambria Math" w:hAnsi="Cambria Math"/>
                <w:lang w:val="es-ES_tradnl"/>
              </w:rPr>
              <m:t>e</m:t>
            </m:r>
          </m:sub>
        </m:sSub>
        <m:r>
          <m:rPr>
            <m:sty m:val="p"/>
          </m:rPr>
          <w:rPr>
            <w:rFonts w:ascii="Cambria Math" w:hAnsi="Cambria Math"/>
            <w:lang w:val="es-ES_tradnl"/>
          </w:rPr>
          <m:t>=</m:t>
        </m:r>
        <m:r>
          <w:rPr>
            <w:rFonts w:ascii="Cambria Math" w:hAnsi="Cambria Math"/>
            <w:lang w:val="es-ES_tradnl"/>
          </w:rPr>
          <m:t>R</m:t>
        </m:r>
        <m:r>
          <m:rPr>
            <m:sty m:val="p"/>
          </m:rPr>
          <w:rPr>
            <w:rFonts w:ascii="Cambria Math" w:hAnsi="Cambria Math"/>
            <w:lang w:val="es-ES_tradnl"/>
          </w:rPr>
          <m:t>×</m:t>
        </m:r>
        <m:r>
          <w:rPr>
            <w:rFonts w:ascii="Cambria Math" w:hAnsi="Cambria Math"/>
            <w:lang w:val="es-ES_tradnl"/>
          </w:rPr>
          <m:t>F</m:t>
        </m:r>
        <m:r>
          <m:rPr>
            <m:sty m:val="p"/>
          </m:rPr>
          <w:rPr>
            <w:rFonts w:ascii="Cambria Math" w:hAnsi="Cambria Math"/>
            <w:lang w:val="es-ES_tradnl"/>
          </w:rPr>
          <m:t>×</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e</m:t>
                </m:r>
              </m:sub>
            </m:sSub>
          </m:num>
          <m:den>
            <m:r>
              <m:rPr>
                <m:sty m:val="p"/>
              </m:rPr>
              <w:rPr>
                <w:rFonts w:ascii="Cambria Math" w:hAnsi="Cambria Math"/>
                <w:lang w:val="es-ES_tradnl"/>
              </w:rPr>
              <m:t>100</m:t>
            </m:r>
          </m:den>
        </m:f>
      </m:oMath>
    </w:p>
    <w:p w14:paraId="53495E33" w14:textId="77777777" w:rsidR="00F73D5B" w:rsidRPr="008B7A21" w:rsidRDefault="00F73D5B" w:rsidP="00F73D5B">
      <w:pPr>
        <w:spacing w:after="120"/>
        <w:rPr>
          <w:lang w:val="es-ES_tradnl"/>
        </w:rPr>
      </w:pPr>
      <w:r w:rsidRPr="008B7A21">
        <w:rPr>
          <w:lang w:val="es-ES_tradnl"/>
        </w:rPr>
        <w:t>donde: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2555"/>
        <w:gridCol w:w="5954"/>
      </w:tblGrid>
      <w:tr w:rsidR="00F73D5B" w:rsidRPr="008B7A21" w14:paraId="74A9B4EB" w14:textId="77777777" w:rsidTr="00D849A8">
        <w:trPr>
          <w:jc w:val="center"/>
        </w:trPr>
        <w:tc>
          <w:tcPr>
            <w:tcW w:w="1129" w:type="dxa"/>
          </w:tcPr>
          <w:p w14:paraId="40AFB17B" w14:textId="77777777" w:rsidR="00F73D5B" w:rsidRPr="008B7A21" w:rsidRDefault="00F73D5B" w:rsidP="00767A6A">
            <w:pPr>
              <w:pStyle w:val="Tablehead"/>
              <w:rPr>
                <w:lang w:val="es-ES_tradnl"/>
              </w:rPr>
            </w:pPr>
            <w:r w:rsidRPr="008B7A21">
              <w:rPr>
                <w:bCs/>
                <w:color w:val="000000"/>
                <w:lang w:val="es-ES_tradnl"/>
              </w:rPr>
              <w:t>Variable</w:t>
            </w:r>
          </w:p>
        </w:tc>
        <w:tc>
          <w:tcPr>
            <w:tcW w:w="2552" w:type="dxa"/>
          </w:tcPr>
          <w:p w14:paraId="2F388531" w14:textId="77777777" w:rsidR="00F73D5B" w:rsidRPr="008B7A21" w:rsidRDefault="00F73D5B" w:rsidP="00767A6A">
            <w:pPr>
              <w:pStyle w:val="Tablehead"/>
              <w:rPr>
                <w:lang w:val="es-ES_tradnl"/>
              </w:rPr>
            </w:pPr>
            <w:r w:rsidRPr="008B7A21">
              <w:rPr>
                <w:bCs/>
                <w:color w:val="000000"/>
                <w:lang w:val="es-ES_tradnl"/>
              </w:rPr>
              <w:t>Descripción</w:t>
            </w:r>
          </w:p>
        </w:tc>
        <w:tc>
          <w:tcPr>
            <w:tcW w:w="5948" w:type="dxa"/>
          </w:tcPr>
          <w:p w14:paraId="265A638C" w14:textId="77777777" w:rsidR="00F73D5B" w:rsidRPr="008B7A21" w:rsidRDefault="00F73D5B" w:rsidP="00767A6A">
            <w:pPr>
              <w:pStyle w:val="Tablehead"/>
              <w:rPr>
                <w:lang w:val="es-ES_tradnl"/>
              </w:rPr>
            </w:pPr>
            <w:r w:rsidRPr="008B7A21">
              <w:rPr>
                <w:bCs/>
                <w:color w:val="000000"/>
                <w:lang w:val="es-ES_tradnl"/>
              </w:rPr>
              <w:t>Valores</w:t>
            </w:r>
          </w:p>
        </w:tc>
      </w:tr>
      <w:tr w:rsidR="00F73D5B" w:rsidRPr="008B7A21" w14:paraId="4555B471" w14:textId="77777777" w:rsidTr="00D849A8">
        <w:trPr>
          <w:jc w:val="center"/>
        </w:trPr>
        <w:tc>
          <w:tcPr>
            <w:tcW w:w="1129" w:type="dxa"/>
          </w:tcPr>
          <w:p w14:paraId="2D8E8B04" w14:textId="77777777" w:rsidR="00F73D5B" w:rsidRPr="008B7A21" w:rsidRDefault="00F73D5B" w:rsidP="00767A6A">
            <w:pPr>
              <w:pStyle w:val="Tabletext"/>
              <w:rPr>
                <w:i/>
                <w:iCs/>
                <w:lang w:val="es-ES_tradnl"/>
              </w:rPr>
            </w:pPr>
            <w:r w:rsidRPr="008B7A21">
              <w:rPr>
                <w:i/>
                <w:iCs/>
                <w:color w:val="000000"/>
                <w:lang w:val="es-ES_tradnl"/>
              </w:rPr>
              <w:t>R</w:t>
            </w:r>
          </w:p>
        </w:tc>
        <w:tc>
          <w:tcPr>
            <w:tcW w:w="2552" w:type="dxa"/>
          </w:tcPr>
          <w:p w14:paraId="5077E4CE" w14:textId="77777777" w:rsidR="00F73D5B" w:rsidRPr="008B7A21" w:rsidRDefault="00F73D5B" w:rsidP="00767A6A">
            <w:pPr>
              <w:pStyle w:val="Tabletext"/>
              <w:rPr>
                <w:lang w:val="es-ES_tradnl"/>
              </w:rPr>
            </w:pPr>
            <w:r w:rsidRPr="008B7A21">
              <w:rPr>
                <w:color w:val="000000"/>
                <w:lang w:val="es-ES_tradnl"/>
              </w:rPr>
              <w:t>Ingreso operativo neto</w:t>
            </w:r>
          </w:p>
        </w:tc>
        <w:tc>
          <w:tcPr>
            <w:tcW w:w="5948" w:type="dxa"/>
          </w:tcPr>
          <w:p w14:paraId="22919033" w14:textId="25BD8CFD" w:rsidR="00F73D5B" w:rsidRPr="008B7A21" w:rsidRDefault="00540C72" w:rsidP="00767A6A">
            <w:pPr>
              <w:pStyle w:val="Tabletext"/>
              <w:rPr>
                <w:lang w:val="es-ES_tradnl"/>
              </w:rPr>
            </w:pPr>
            <w:r>
              <w:rPr>
                <w:color w:val="000000"/>
                <w:lang w:val="es-ES_tradnl"/>
              </w:rPr>
              <w:t>C</w:t>
            </w:r>
            <w:r w:rsidR="00F73D5B" w:rsidRPr="008B7A21">
              <w:rPr>
                <w:color w:val="000000"/>
                <w:lang w:val="es-ES_tradnl"/>
              </w:rPr>
              <w:t>orresponde a los ingresos netos de explotación del proveedor de servicio en el año anterior a la decisión de extensión, calculados proporcionalmente al número de usuarios del proveedor servido por las bandas de radiofrecuencia de la concesión objeto de la extensión</w:t>
            </w:r>
            <w:r>
              <w:rPr>
                <w:color w:val="000000"/>
                <w:lang w:val="es-ES_tradnl"/>
              </w:rPr>
              <w:t>.</w:t>
            </w:r>
          </w:p>
        </w:tc>
      </w:tr>
      <w:tr w:rsidR="00F73D5B" w:rsidRPr="008B7A21" w14:paraId="16C685C5" w14:textId="77777777" w:rsidTr="00D849A8">
        <w:trPr>
          <w:jc w:val="center"/>
        </w:trPr>
        <w:tc>
          <w:tcPr>
            <w:tcW w:w="1129" w:type="dxa"/>
            <w:vMerge w:val="restart"/>
          </w:tcPr>
          <w:p w14:paraId="03F82A92" w14:textId="77777777" w:rsidR="00F73D5B" w:rsidRPr="008B7A21" w:rsidRDefault="00F73D5B" w:rsidP="00767A6A">
            <w:pPr>
              <w:pStyle w:val="Tabletext"/>
              <w:rPr>
                <w:i/>
                <w:iCs/>
                <w:lang w:val="es-ES_tradnl"/>
              </w:rPr>
            </w:pPr>
            <w:r w:rsidRPr="008B7A21">
              <w:rPr>
                <w:i/>
                <w:iCs/>
                <w:color w:val="000000"/>
                <w:lang w:val="es-ES_tradnl"/>
              </w:rPr>
              <w:t>F</w:t>
            </w:r>
          </w:p>
        </w:tc>
        <w:tc>
          <w:tcPr>
            <w:tcW w:w="2552" w:type="dxa"/>
          </w:tcPr>
          <w:p w14:paraId="6285DC82" w14:textId="77777777" w:rsidR="00F73D5B" w:rsidRPr="008B7A21" w:rsidRDefault="00F73D5B" w:rsidP="00767A6A">
            <w:pPr>
              <w:pStyle w:val="Tabletext"/>
              <w:rPr>
                <w:lang w:val="es-ES_tradnl"/>
              </w:rPr>
            </w:pPr>
            <w:r w:rsidRPr="008B7A21">
              <w:rPr>
                <w:color w:val="000000"/>
                <w:lang w:val="es-ES_tradnl"/>
              </w:rPr>
              <w:t>Proporcionalidad de frecuencia</w:t>
            </w:r>
          </w:p>
        </w:tc>
        <w:tc>
          <w:tcPr>
            <w:tcW w:w="5948" w:type="dxa"/>
          </w:tcPr>
          <w:p w14:paraId="44694D47" w14:textId="77777777" w:rsidR="00F73D5B" w:rsidRPr="008B7A21" w:rsidRDefault="007A4381" w:rsidP="00767A6A">
            <w:pPr>
              <w:pStyle w:val="Tabletext"/>
              <w:rPr>
                <w:i/>
                <w:iCs/>
                <w:lang w:val="es-ES_tradnl"/>
              </w:rPr>
            </w:pPr>
            <m:oMathPara>
              <m:oMath>
                <m:f>
                  <m:fPr>
                    <m:ctrlPr>
                      <w:rPr>
                        <w:rFonts w:ascii="Cambria Math" w:hAnsi="Cambria Math"/>
                        <w:i/>
                        <w:iCs/>
                        <w:lang w:val="es-ES_tradnl"/>
                      </w:rPr>
                    </m:ctrlPr>
                  </m:fPr>
                  <m:num>
                    <m:f>
                      <m:fPr>
                        <m:ctrlPr>
                          <w:rPr>
                            <w:rFonts w:ascii="Cambria Math" w:hAnsi="Cambria Math"/>
                            <w:i/>
                            <w:iCs/>
                            <w:lang w:val="es-ES_tradnl"/>
                          </w:rPr>
                        </m:ctrlPr>
                      </m:fPr>
                      <m:num>
                        <m:r>
                          <w:rPr>
                            <w:rFonts w:ascii="Cambria Math" w:hAnsi="Cambria Math"/>
                            <w:lang w:val="es-ES_tradnl"/>
                          </w:rPr>
                          <m:t>∆</m:t>
                        </m:r>
                        <m:sSub>
                          <m:sSubPr>
                            <m:ctrlPr>
                              <w:rPr>
                                <w:rFonts w:ascii="Cambria Math" w:hAnsi="Cambria Math"/>
                                <w:i/>
                                <w:iCs/>
                                <w:lang w:val="es-ES_tradnl"/>
                              </w:rPr>
                            </m:ctrlPr>
                          </m:sSubPr>
                          <m:e>
                            <m:r>
                              <w:rPr>
                                <w:rFonts w:ascii="Cambria Math" w:hAnsi="Cambria Math"/>
                                <w:lang w:val="es-ES_tradnl"/>
                              </w:rPr>
                              <m:t>f</m:t>
                            </m:r>
                          </m:e>
                          <m:sub>
                            <m:r>
                              <w:rPr>
                                <w:rFonts w:ascii="Cambria Math" w:hAnsi="Cambria Math"/>
                                <w:lang w:val="es-ES_tradnl"/>
                              </w:rPr>
                              <m:t>i</m:t>
                            </m:r>
                          </m:sub>
                        </m:sSub>
                      </m:num>
                      <m:den>
                        <m:sSub>
                          <m:sSubPr>
                            <m:ctrlPr>
                              <w:rPr>
                                <w:rFonts w:ascii="Cambria Math" w:hAnsi="Cambria Math"/>
                                <w:i/>
                                <w:iCs/>
                                <w:lang w:val="es-ES_tradnl"/>
                              </w:rPr>
                            </m:ctrlPr>
                          </m:sSubPr>
                          <m:e>
                            <m:r>
                              <w:rPr>
                                <w:rFonts w:ascii="Cambria Math" w:hAnsi="Cambria Math"/>
                                <w:lang w:val="es-ES_tradnl"/>
                              </w:rPr>
                              <m:t>fc</m:t>
                            </m:r>
                          </m:e>
                          <m:sub>
                            <m:r>
                              <w:rPr>
                                <w:rFonts w:ascii="Cambria Math" w:hAnsi="Cambria Math"/>
                                <w:lang w:val="es-ES_tradnl"/>
                              </w:rPr>
                              <m:t>i</m:t>
                            </m:r>
                          </m:sub>
                        </m:sSub>
                      </m:den>
                    </m:f>
                  </m:num>
                  <m:den>
                    <m:nary>
                      <m:naryPr>
                        <m:chr m:val="∑"/>
                        <m:limLoc m:val="undOvr"/>
                        <m:ctrlPr>
                          <w:rPr>
                            <w:rFonts w:ascii="Cambria Math" w:hAnsi="Cambria Math"/>
                            <w:i/>
                            <w:iCs/>
                            <w:lang w:val="es-ES_tradnl"/>
                          </w:rPr>
                        </m:ctrlPr>
                      </m:naryPr>
                      <m:sub>
                        <m:r>
                          <w:rPr>
                            <w:rFonts w:ascii="Cambria Math" w:hAnsi="Cambria Math"/>
                            <w:lang w:val="es-ES_tradnl"/>
                          </w:rPr>
                          <m:t>k</m:t>
                        </m:r>
                        <m:r>
                          <w:rPr>
                            <w:rFonts w:ascii="Cambria Math" w:hAnsi="Cambria Math"/>
                            <w:lang w:val="es-ES_tradnl"/>
                          </w:rPr>
                          <m:t>=1</m:t>
                        </m:r>
                      </m:sub>
                      <m:sup>
                        <m:r>
                          <w:rPr>
                            <w:rFonts w:ascii="Cambria Math" w:hAnsi="Cambria Math"/>
                            <w:lang w:val="es-ES_tradnl"/>
                          </w:rPr>
                          <m:t>n</m:t>
                        </m:r>
                      </m:sup>
                      <m:e>
                        <m:f>
                          <m:fPr>
                            <m:ctrlPr>
                              <w:rPr>
                                <w:rFonts w:ascii="Cambria Math" w:hAnsi="Cambria Math"/>
                                <w:i/>
                                <w:iCs/>
                                <w:lang w:val="es-ES_tradnl"/>
                              </w:rPr>
                            </m:ctrlPr>
                          </m:fPr>
                          <m:num>
                            <m:sSub>
                              <m:sSubPr>
                                <m:ctrlPr>
                                  <w:rPr>
                                    <w:rFonts w:ascii="Cambria Math" w:hAnsi="Cambria Math"/>
                                    <w:i/>
                                    <w:iCs/>
                                    <w:lang w:val="es-ES_tradnl"/>
                                  </w:rPr>
                                </m:ctrlPr>
                              </m:sSubPr>
                              <m:e>
                                <m:r>
                                  <w:rPr>
                                    <w:rFonts w:ascii="Cambria Math" w:hAnsi="Cambria Math"/>
                                    <w:lang w:val="es-ES_tradnl"/>
                                  </w:rPr>
                                  <m:t>∆</m:t>
                                </m:r>
                                <m:r>
                                  <w:rPr>
                                    <w:rFonts w:ascii="Cambria Math" w:hAnsi="Cambria Math"/>
                                    <w:lang w:val="es-ES_tradnl"/>
                                  </w:rPr>
                                  <m:t>f</m:t>
                                </m:r>
                              </m:e>
                              <m:sub>
                                <m:r>
                                  <w:rPr>
                                    <w:rFonts w:ascii="Cambria Math" w:hAnsi="Cambria Math"/>
                                    <w:lang w:val="es-ES_tradnl"/>
                                  </w:rPr>
                                  <m:t>k</m:t>
                                </m:r>
                              </m:sub>
                            </m:sSub>
                          </m:num>
                          <m:den>
                            <m:sSub>
                              <m:sSubPr>
                                <m:ctrlPr>
                                  <w:rPr>
                                    <w:rFonts w:ascii="Cambria Math" w:hAnsi="Cambria Math"/>
                                    <w:i/>
                                    <w:iCs/>
                                    <w:lang w:val="es-ES_tradnl"/>
                                  </w:rPr>
                                </m:ctrlPr>
                              </m:sSubPr>
                              <m:e>
                                <m:r>
                                  <w:rPr>
                                    <w:rFonts w:ascii="Cambria Math" w:hAnsi="Cambria Math"/>
                                    <w:lang w:val="es-ES_tradnl"/>
                                  </w:rPr>
                                  <m:t>fc</m:t>
                                </m:r>
                              </m:e>
                              <m:sub>
                                <m:r>
                                  <w:rPr>
                                    <w:rFonts w:ascii="Cambria Math" w:hAnsi="Cambria Math"/>
                                    <w:lang w:val="es-ES_tradnl"/>
                                  </w:rPr>
                                  <m:t>k</m:t>
                                </m:r>
                              </m:sub>
                            </m:sSub>
                          </m:den>
                        </m:f>
                      </m:e>
                    </m:nary>
                  </m:den>
                </m:f>
              </m:oMath>
            </m:oMathPara>
          </w:p>
        </w:tc>
      </w:tr>
      <w:tr w:rsidR="00F73D5B" w:rsidRPr="008B7A21" w14:paraId="7ACAF990" w14:textId="77777777" w:rsidTr="00D849A8">
        <w:trPr>
          <w:jc w:val="center"/>
        </w:trPr>
        <w:tc>
          <w:tcPr>
            <w:tcW w:w="1129" w:type="dxa"/>
            <w:vMerge/>
          </w:tcPr>
          <w:p w14:paraId="59069C66" w14:textId="77777777" w:rsidR="00F73D5B" w:rsidRPr="008B7A21" w:rsidRDefault="00F73D5B" w:rsidP="00767A6A">
            <w:pPr>
              <w:pStyle w:val="Tabletext"/>
              <w:rPr>
                <w:i/>
                <w:iCs/>
                <w:lang w:val="es-ES_tradnl"/>
              </w:rPr>
            </w:pPr>
          </w:p>
        </w:tc>
        <w:tc>
          <w:tcPr>
            <w:tcW w:w="8500" w:type="dxa"/>
            <w:gridSpan w:val="2"/>
          </w:tcPr>
          <w:p w14:paraId="6DAAD9FB" w14:textId="77777777" w:rsidR="00F73D5B" w:rsidRPr="008B7A21" w:rsidRDefault="00F73D5B" w:rsidP="00767A6A">
            <w:pPr>
              <w:pStyle w:val="Tabletext"/>
              <w:rPr>
                <w:rStyle w:val="rynqvb"/>
                <w:rFonts w:eastAsia="Arial Narrow"/>
                <w:lang w:val="es-ES_tradnl"/>
              </w:rPr>
            </w:pPr>
            <m:oMath>
              <m:r>
                <w:rPr>
                  <w:rFonts w:ascii="Cambria Math" w:hAnsi="Cambria Math"/>
                  <w:lang w:val="es-ES_tradnl"/>
                </w:rPr>
                <m:t>∆</m:t>
              </m:r>
              <m:sSub>
                <m:sSubPr>
                  <m:ctrlPr>
                    <w:rPr>
                      <w:rFonts w:ascii="Cambria Math" w:hAnsi="Cambria Math"/>
                      <w:i/>
                      <w:iCs/>
                      <w:lang w:val="es-ES_tradnl"/>
                    </w:rPr>
                  </m:ctrlPr>
                </m:sSubPr>
                <m:e>
                  <m:r>
                    <w:rPr>
                      <w:rFonts w:ascii="Cambria Math" w:hAnsi="Cambria Math"/>
                      <w:lang w:val="es-ES_tradnl"/>
                    </w:rPr>
                    <m:t>f</m:t>
                  </m:r>
                </m:e>
                <m:sub>
                  <m:r>
                    <w:rPr>
                      <w:rFonts w:ascii="Cambria Math" w:hAnsi="Cambria Math"/>
                      <w:lang w:val="es-ES_tradnl"/>
                    </w:rPr>
                    <m:t>i</m:t>
                  </m:r>
                </m:sub>
              </m:sSub>
            </m:oMath>
            <w:r w:rsidRPr="008B7A21">
              <w:rPr>
                <w:color w:val="000000"/>
                <w:lang w:val="es-ES_tradnl"/>
              </w:rPr>
              <w:t>: es la anchura de banda de la frecuencia objeto de la petición de ampliación, en MHz;</w:t>
            </w:r>
          </w:p>
          <w:p w14:paraId="4E7965B9" w14:textId="77777777" w:rsidR="00F73D5B" w:rsidRPr="008B7A21" w:rsidRDefault="007A4381" w:rsidP="00767A6A">
            <w:pPr>
              <w:pStyle w:val="Tabletext"/>
              <w:rPr>
                <w:lang w:val="es-ES_tradnl"/>
              </w:rPr>
            </w:pPr>
            <m:oMath>
              <m:sSub>
                <m:sSubPr>
                  <m:ctrlPr>
                    <w:rPr>
                      <w:rFonts w:ascii="Cambria Math" w:hAnsi="Cambria Math"/>
                      <w:i/>
                      <w:lang w:val="es-ES_tradnl"/>
                    </w:rPr>
                  </m:ctrlPr>
                </m:sSubPr>
                <m:e>
                  <m:r>
                    <w:rPr>
                      <w:rFonts w:ascii="Cambria Math" w:hAnsi="Cambria Math"/>
                      <w:lang w:val="es-ES_tradnl"/>
                    </w:rPr>
                    <m:t>fc</m:t>
                  </m:r>
                </m:e>
                <m:sub>
                  <m:r>
                    <w:rPr>
                      <w:rFonts w:ascii="Cambria Math" w:hAnsi="Cambria Math"/>
                      <w:lang w:val="es-ES_tradnl"/>
                    </w:rPr>
                    <m:t>i</m:t>
                  </m:r>
                </m:sub>
              </m:sSub>
            </m:oMath>
            <w:r w:rsidR="00F73D5B" w:rsidRPr="008B7A21">
              <w:rPr>
                <w:color w:val="000000"/>
                <w:lang w:val="es-ES_tradnl"/>
              </w:rPr>
              <w:t>: es la frecuencia central de la banda de frecuencias objeto de la ampliación, en MHz;</w:t>
            </w:r>
          </w:p>
          <w:p w14:paraId="224047A5" w14:textId="77777777" w:rsidR="00F73D5B" w:rsidRPr="008B7A21" w:rsidRDefault="00F73D5B" w:rsidP="00767A6A">
            <w:pPr>
              <w:pStyle w:val="Tabletext"/>
              <w:rPr>
                <w:rStyle w:val="rynqvb"/>
                <w:rFonts w:eastAsia="Arial Narrow"/>
                <w:lang w:val="es-ES_tradnl"/>
              </w:rPr>
            </w:pPr>
            <m:oMath>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k</m:t>
                  </m:r>
                </m:sub>
              </m:sSub>
            </m:oMath>
            <w:r w:rsidRPr="008B7A21">
              <w:rPr>
                <w:color w:val="000000"/>
                <w:lang w:val="es-ES_tradnl"/>
              </w:rPr>
              <w:t>: es la anchura de banda de cada banda de frecuencias que utiliza el proveedor de los servicios de telecomunicaciones de interés colectivo en la región de autorización de la banda objeto de la ampliación;</w:t>
            </w:r>
          </w:p>
          <w:p w14:paraId="17094BD4" w14:textId="77777777" w:rsidR="00F73D5B" w:rsidRPr="008B7A21" w:rsidRDefault="007A4381" w:rsidP="00767A6A">
            <w:pPr>
              <w:pStyle w:val="Tabletext"/>
              <w:rPr>
                <w:lang w:val="es-ES_tradnl"/>
              </w:rPr>
            </w:pPr>
            <m:oMath>
              <m:sSub>
                <m:sSubPr>
                  <m:ctrlPr>
                    <w:rPr>
                      <w:rStyle w:val="rynqvb"/>
                      <w:rFonts w:ascii="Cambria Math" w:eastAsia="Arial Narrow" w:hAnsi="Cambria Math"/>
                      <w:i/>
                      <w:lang w:val="es-ES_tradnl"/>
                    </w:rPr>
                  </m:ctrlPr>
                </m:sSubPr>
                <m:e>
                  <m:r>
                    <w:rPr>
                      <w:rStyle w:val="rynqvb"/>
                      <w:rFonts w:ascii="Cambria Math" w:eastAsia="Arial Narrow" w:hAnsi="Cambria Math"/>
                      <w:lang w:val="es-ES_tradnl"/>
                    </w:rPr>
                    <m:t>fc</m:t>
                  </m:r>
                </m:e>
                <m:sub>
                  <m:r>
                    <w:rPr>
                      <w:rStyle w:val="rynqvb"/>
                      <w:rFonts w:ascii="Cambria Math" w:eastAsia="Arial Narrow" w:hAnsi="Cambria Math"/>
                      <w:lang w:val="es-ES_tradnl"/>
                    </w:rPr>
                    <m:t>k</m:t>
                  </m:r>
                </m:sub>
              </m:sSub>
            </m:oMath>
            <w:r w:rsidR="00F73D5B" w:rsidRPr="008B7A21">
              <w:rPr>
                <w:color w:val="000000"/>
                <w:lang w:val="es-ES_tradnl"/>
              </w:rPr>
              <w:t>: es la frecuencia central de cada banda de frecuencias utilizada por el proveedor de los servicios de telecomunicaciones de interés colectivo en la región de autorización de la banda objeto de la ampliación;</w:t>
            </w:r>
          </w:p>
          <w:p w14:paraId="5AAEB10C" w14:textId="77777777" w:rsidR="00F73D5B" w:rsidRPr="008B7A21" w:rsidRDefault="00F73D5B" w:rsidP="00767A6A">
            <w:pPr>
              <w:pStyle w:val="Tabletext"/>
              <w:rPr>
                <w:lang w:val="es-ES_tradnl"/>
              </w:rPr>
            </w:pPr>
            <m:oMath>
              <m:r>
                <w:rPr>
                  <w:rFonts w:ascii="Cambria Math" w:hAnsi="Cambria Math"/>
                  <w:lang w:val="es-ES_tradnl"/>
                </w:rPr>
                <m:t>n</m:t>
              </m:r>
            </m:oMath>
            <w:r w:rsidRPr="008B7A21">
              <w:rPr>
                <w:color w:val="000000"/>
                <w:lang w:val="es-ES_tradnl"/>
              </w:rPr>
              <w:t>: es el número total de bandas de frecuencias diferentes que utiliza el proveedor de los servicios de telecomunicaciones de interés colectivo en la región de autorización de la banda objeto de la ampliación.</w:t>
            </w:r>
          </w:p>
        </w:tc>
      </w:tr>
      <w:tr w:rsidR="00F73D5B" w:rsidRPr="008B7A21" w14:paraId="716C4C96" w14:textId="77777777" w:rsidTr="00D849A8">
        <w:trPr>
          <w:jc w:val="center"/>
        </w:trPr>
        <w:tc>
          <w:tcPr>
            <w:tcW w:w="1129" w:type="dxa"/>
          </w:tcPr>
          <w:p w14:paraId="57D51235" w14:textId="77777777" w:rsidR="00F73D5B" w:rsidRPr="008B7A21" w:rsidRDefault="00F73D5B" w:rsidP="00767A6A">
            <w:pPr>
              <w:pStyle w:val="Tabletext"/>
              <w:rPr>
                <w:i/>
                <w:iCs/>
                <w:vertAlign w:val="subscript"/>
                <w:lang w:val="es-ES_tradnl"/>
              </w:rPr>
            </w:pPr>
            <w:r w:rsidRPr="008B7A21">
              <w:rPr>
                <w:i/>
                <w:iCs/>
                <w:color w:val="000000"/>
                <w:lang w:val="es-ES_tradnl"/>
              </w:rPr>
              <w:t>T</w:t>
            </w:r>
            <w:r w:rsidRPr="008B7A21">
              <w:rPr>
                <w:i/>
                <w:iCs/>
                <w:color w:val="000000"/>
                <w:vertAlign w:val="subscript"/>
                <w:lang w:val="es-ES_tradnl"/>
              </w:rPr>
              <w:t>e</w:t>
            </w:r>
          </w:p>
        </w:tc>
        <w:tc>
          <w:tcPr>
            <w:tcW w:w="2552" w:type="dxa"/>
          </w:tcPr>
          <w:p w14:paraId="24284FB3" w14:textId="77777777" w:rsidR="00F73D5B" w:rsidRPr="008B7A21" w:rsidRDefault="00F73D5B" w:rsidP="00767A6A">
            <w:pPr>
              <w:pStyle w:val="Tabletext"/>
              <w:rPr>
                <w:lang w:val="es-ES_tradnl"/>
              </w:rPr>
            </w:pPr>
            <w:r w:rsidRPr="008B7A21">
              <w:rPr>
                <w:color w:val="000000"/>
                <w:lang w:val="es-ES_tradnl"/>
              </w:rPr>
              <w:t>Tiempo de ampliación</w:t>
            </w:r>
          </w:p>
        </w:tc>
        <w:tc>
          <w:tcPr>
            <w:tcW w:w="5948" w:type="dxa"/>
          </w:tcPr>
          <w:p w14:paraId="398654B4" w14:textId="77777777" w:rsidR="00F73D5B" w:rsidRPr="008B7A21" w:rsidRDefault="00F73D5B" w:rsidP="00767A6A">
            <w:pPr>
              <w:pStyle w:val="Tabletext"/>
              <w:rPr>
                <w:lang w:val="es-ES_tradnl"/>
              </w:rPr>
            </w:pPr>
            <w:r w:rsidRPr="008B7A21">
              <w:rPr>
                <w:color w:val="000000"/>
                <w:lang w:val="es-ES_tradnl"/>
              </w:rPr>
              <w:t>corresponde al periodo de ampliación, en años</w:t>
            </w:r>
          </w:p>
        </w:tc>
      </w:tr>
    </w:tbl>
    <w:p w14:paraId="32B7E8AB" w14:textId="77777777" w:rsidR="00D849A8" w:rsidRDefault="00D849A8" w:rsidP="00D849A8">
      <w:pPr>
        <w:pStyle w:val="Tablefin"/>
      </w:pPr>
    </w:p>
    <w:p w14:paraId="62C31678" w14:textId="5A5CBC7D" w:rsidR="00F73D5B" w:rsidRPr="008B7A21" w:rsidRDefault="00F73D5B" w:rsidP="00F73D5B">
      <w:pPr>
        <w:rPr>
          <w:lang w:val="es-ES_tradnl"/>
        </w:rPr>
      </w:pPr>
      <w:r w:rsidRPr="008B7A21">
        <w:rPr>
          <w:lang w:val="es-ES_tradnl"/>
        </w:rPr>
        <w:t>Si el valor calculado que se ha de pagar por la ampliación es inferior al valor calculado mediante la fórmula PPDUR, se evaluará la eficiencia de la utilización de la banda de frecuencias. La solicitud de la ampliación será denegada en caso de que no se verifique la eficiencia.</w:t>
      </w:r>
    </w:p>
    <w:p w14:paraId="7141DCB9" w14:textId="77777777" w:rsidR="00F73D5B" w:rsidRPr="008B7A21" w:rsidRDefault="00F73D5B" w:rsidP="00F73D5B">
      <w:pPr>
        <w:rPr>
          <w:lang w:val="es-ES_tradnl"/>
        </w:rPr>
      </w:pPr>
      <w:r w:rsidRPr="00D849A8">
        <w:rPr>
          <w:lang w:val="es-ES_tradnl"/>
        </w:rPr>
        <w:t xml:space="preserve">Cuando proceda, para la emisión o renovación de una autorización para la utilización de una radiofrecuencia se </w:t>
      </w:r>
      <w:r w:rsidRPr="008B7A21">
        <w:rPr>
          <w:lang w:val="es-ES_tradnl"/>
        </w:rPr>
        <w:t>cobrará</w:t>
      </w:r>
      <w:r w:rsidRPr="00D849A8">
        <w:rPr>
          <w:lang w:val="es-ES_tradnl"/>
        </w:rPr>
        <w:t xml:space="preserve"> esa autorización.</w:t>
      </w:r>
    </w:p>
    <w:p w14:paraId="03678CAA" w14:textId="77777777" w:rsidR="00F73D5B" w:rsidRPr="008B7A21" w:rsidRDefault="00F73D5B" w:rsidP="00F73D5B">
      <w:pPr>
        <w:pStyle w:val="Heading3"/>
        <w:rPr>
          <w:lang w:val="es-ES_tradnl"/>
        </w:rPr>
      </w:pPr>
      <w:bookmarkStart w:id="2012" w:name="_Toc306276898"/>
      <w:bookmarkStart w:id="2013" w:name="_Toc307921571"/>
      <w:bookmarkStart w:id="2014" w:name="_Toc307922138"/>
      <w:bookmarkStart w:id="2015" w:name="_Toc307922688"/>
      <w:bookmarkStart w:id="2016" w:name="_Toc307992037"/>
      <w:bookmarkStart w:id="2017" w:name="_Toc307994072"/>
      <w:bookmarkStart w:id="2018" w:name="_Toc307995285"/>
      <w:bookmarkStart w:id="2019" w:name="_Toc307996478"/>
      <w:bookmarkStart w:id="2020" w:name="_Toc308010404"/>
      <w:bookmarkStart w:id="2021" w:name="_Toc499563123"/>
      <w:bookmarkStart w:id="2022" w:name="_Toc215835449"/>
      <w:r w:rsidRPr="008B7A21">
        <w:rPr>
          <w:lang w:val="es-ES_tradnl"/>
        </w:rPr>
        <w:t>5.2.11</w:t>
      </w:r>
      <w:r w:rsidRPr="008B7A21">
        <w:rPr>
          <w:lang w:val="es-ES_tradnl"/>
        </w:rPr>
        <w:tab/>
        <w:t>Experiencia con los cánones por utilización del espectro – República de Corea</w:t>
      </w:r>
      <w:bookmarkEnd w:id="2012"/>
      <w:bookmarkEnd w:id="2013"/>
      <w:bookmarkEnd w:id="2014"/>
      <w:bookmarkEnd w:id="2015"/>
      <w:bookmarkEnd w:id="2016"/>
      <w:bookmarkEnd w:id="2017"/>
      <w:bookmarkEnd w:id="2018"/>
      <w:bookmarkEnd w:id="2019"/>
      <w:bookmarkEnd w:id="2020"/>
      <w:bookmarkEnd w:id="2021"/>
      <w:bookmarkEnd w:id="2022"/>
    </w:p>
    <w:p w14:paraId="368C1346" w14:textId="77777777" w:rsidR="00F73D5B" w:rsidRPr="008B7A21" w:rsidRDefault="00F73D5B" w:rsidP="00F73D5B">
      <w:pPr>
        <w:rPr>
          <w:lang w:val="es-ES_tradnl"/>
        </w:rPr>
      </w:pPr>
      <w:r w:rsidRPr="008B7A21">
        <w:rPr>
          <w:lang w:val="es-ES_tradnl"/>
        </w:rPr>
        <w:t>El espectro radioeléctrico no es de propiedad privada sino un bien de carácter público y sus usuarios obtienen beneficios económicos utilizándolo. Esto implica que los usuarios al explotar estaciones radioeléctricas aprovechan bienes públicos. Por lo tanto, los usuarios del espectro han de pagar una cantidad adecuada en cánones por utilización del espectro, equivalente al valor económico del mismo.</w:t>
      </w:r>
    </w:p>
    <w:p w14:paraId="36CC4324" w14:textId="77777777" w:rsidR="00F73D5B" w:rsidRPr="008B7A21" w:rsidRDefault="00F73D5B" w:rsidP="00F73D5B">
      <w:pPr>
        <w:rPr>
          <w:lang w:val="es-ES_tradnl"/>
        </w:rPr>
      </w:pPr>
      <w:r w:rsidRPr="008B7A21">
        <w:rPr>
          <w:lang w:val="es-ES_tradnl"/>
        </w:rPr>
        <w:t>Los cánones por utilización del espectro facilitan al gobierno información práctica como por ejemplo sobre las preferencias de espectro en el mercado o la calidad del servicio radioeléctrico y un valor cuantitativo del volumen de la demanda de espectro. Esta demanda ha aumentado rápidamente con el crecimiento de los servicios de telecomunicaciones. Además, los cánones por utilización del espectro pueden reducir la sobreutilización del espectro radioeléctrico y alentar a los usuarios a liberar para el gobierno espectro radioeléctrico no utilizado.</w:t>
      </w:r>
    </w:p>
    <w:p w14:paraId="55388655" w14:textId="77777777" w:rsidR="00F73D5B" w:rsidRPr="008B7A21" w:rsidRDefault="00F73D5B" w:rsidP="00F73D5B">
      <w:pPr>
        <w:rPr>
          <w:lang w:val="es-ES_tradnl"/>
        </w:rPr>
      </w:pPr>
      <w:r w:rsidRPr="008B7A21">
        <w:rPr>
          <w:lang w:val="es-ES_tradnl"/>
        </w:rPr>
        <w:t>La Administración de la República de Corea implantó cánones por utilización del espectro en 1993 de conformidad con la Ley General de Radiocomunicaciones de la República de Corea con objeto de aplicar la recuperación de costes para llevar a cabo una gestión eficaz del espectro radioeléctrico y establecer programas de desarrollo de las tecnologías de radiocomunicaciones. La evaluación y recaudación de los cánones por utilización del espectro se recogen en el Decreto Presidencial de la Ley General de Radiocomunicaciones.</w:t>
      </w:r>
    </w:p>
    <w:p w14:paraId="748644F1" w14:textId="77777777" w:rsidR="00F73D5B" w:rsidRPr="008B7A21" w:rsidRDefault="00F73D5B" w:rsidP="00F73D5B">
      <w:pPr>
        <w:rPr>
          <w:lang w:val="es-ES_tradnl"/>
        </w:rPr>
      </w:pPr>
      <w:r w:rsidRPr="008B7A21">
        <w:rPr>
          <w:lang w:val="es-ES_tradnl"/>
        </w:rPr>
        <w:t>Están exentas del pago de los cánones las estaciones de radiocomunicaciones:</w:t>
      </w:r>
    </w:p>
    <w:p w14:paraId="5E0FB820" w14:textId="77777777" w:rsidR="00F73D5B" w:rsidRPr="008B7A21" w:rsidRDefault="00F73D5B" w:rsidP="00F73D5B">
      <w:pPr>
        <w:pStyle w:val="enumlev1"/>
        <w:rPr>
          <w:lang w:val="es-ES_tradnl" w:eastAsia="ko-KR"/>
        </w:rPr>
      </w:pPr>
      <w:r w:rsidRPr="008B7A21">
        <w:rPr>
          <w:lang w:val="es-ES_tradnl" w:eastAsia="ko-KR"/>
        </w:rPr>
        <w:sym w:font="Symbol" w:char="F02D"/>
      </w:r>
      <w:r w:rsidRPr="008B7A21">
        <w:rPr>
          <w:lang w:val="es-ES_tradnl" w:eastAsia="ko-KR"/>
        </w:rPr>
        <w:tab/>
        <w:t>utilizadas para comunicaciones gubernamentales;</w:t>
      </w:r>
    </w:p>
    <w:p w14:paraId="1C179718" w14:textId="77777777" w:rsidR="00F73D5B" w:rsidRPr="008B7A21" w:rsidRDefault="00F73D5B" w:rsidP="00F73D5B">
      <w:pPr>
        <w:pStyle w:val="enumlev1"/>
        <w:rPr>
          <w:lang w:val="es-ES_tradnl" w:eastAsia="ko-KR"/>
        </w:rPr>
      </w:pPr>
      <w:r w:rsidRPr="008B7A21">
        <w:rPr>
          <w:lang w:val="es-ES_tradnl" w:eastAsia="ko-KR"/>
        </w:rPr>
        <w:sym w:font="Symbol" w:char="F02D"/>
      </w:r>
      <w:r w:rsidRPr="008B7A21">
        <w:rPr>
          <w:lang w:val="es-ES_tradnl" w:eastAsia="ko-KR"/>
        </w:rPr>
        <w:tab/>
        <w:t>utilizadas para radiodifusión sin ánimo de lucro o para fondos de promoción de radiodifusión de pago;</w:t>
      </w:r>
    </w:p>
    <w:p w14:paraId="500C23AC" w14:textId="77777777" w:rsidR="00F73D5B" w:rsidRPr="008B7A21" w:rsidRDefault="00F73D5B" w:rsidP="00F73D5B">
      <w:pPr>
        <w:pStyle w:val="enumlev1"/>
        <w:rPr>
          <w:lang w:val="es-ES_tradnl" w:eastAsia="ko-KR"/>
        </w:rPr>
      </w:pPr>
      <w:r w:rsidRPr="008B7A21">
        <w:rPr>
          <w:lang w:val="es-ES_tradnl" w:eastAsia="ko-KR"/>
        </w:rPr>
        <w:sym w:font="Symbol" w:char="F02D"/>
      </w:r>
      <w:r w:rsidRPr="008B7A21">
        <w:rPr>
          <w:lang w:val="es-ES_tradnl" w:eastAsia="ko-KR"/>
        </w:rPr>
        <w:tab/>
        <w:t>utilizadas por abonados a servicios de los operadores comunes;</w:t>
      </w:r>
    </w:p>
    <w:p w14:paraId="7CC160E9" w14:textId="77777777" w:rsidR="00F73D5B" w:rsidRPr="008B7A21" w:rsidRDefault="00F73D5B" w:rsidP="00F73D5B">
      <w:pPr>
        <w:pStyle w:val="enumlev1"/>
        <w:rPr>
          <w:lang w:val="es-ES_tradnl" w:eastAsia="ko-KR"/>
        </w:rPr>
      </w:pPr>
      <w:r w:rsidRPr="008B7A21">
        <w:rPr>
          <w:lang w:val="es-ES_tradnl" w:eastAsia="ko-KR"/>
        </w:rPr>
        <w:sym w:font="Symbol" w:char="F02D"/>
      </w:r>
      <w:r w:rsidRPr="008B7A21">
        <w:rPr>
          <w:lang w:val="es-ES_tradnl" w:eastAsia="ko-KR"/>
        </w:rPr>
        <w:tab/>
        <w:t>utilizadas para el servicio de frecuencias patrón y señales horarias;</w:t>
      </w:r>
    </w:p>
    <w:p w14:paraId="21AFCC46" w14:textId="77777777" w:rsidR="00F73D5B" w:rsidRPr="008B7A21" w:rsidRDefault="00F73D5B" w:rsidP="00F73D5B">
      <w:pPr>
        <w:pStyle w:val="enumlev1"/>
        <w:rPr>
          <w:lang w:val="es-ES_tradnl" w:eastAsia="ko-KR"/>
        </w:rPr>
      </w:pPr>
      <w:r w:rsidRPr="008B7A21">
        <w:rPr>
          <w:lang w:val="es-ES_tradnl" w:eastAsia="ko-KR"/>
        </w:rPr>
        <w:t>_</w:t>
      </w:r>
      <w:r w:rsidRPr="008B7A21">
        <w:rPr>
          <w:lang w:val="es-ES_tradnl" w:eastAsia="ko-KR"/>
        </w:rPr>
        <w:tab/>
        <w:t>utilizadas para comunicaciones de emergencia, experimentales y de radioaficionados;</w:t>
      </w:r>
    </w:p>
    <w:p w14:paraId="703C5632" w14:textId="77777777" w:rsidR="00F73D5B" w:rsidRPr="008B7A21" w:rsidRDefault="00F73D5B" w:rsidP="00F73D5B">
      <w:pPr>
        <w:pStyle w:val="enumlev1"/>
        <w:rPr>
          <w:lang w:val="es-ES_tradnl" w:eastAsia="ko-KR"/>
        </w:rPr>
      </w:pPr>
      <w:r w:rsidRPr="008B7A21">
        <w:rPr>
          <w:lang w:val="es-ES_tradnl" w:eastAsia="ko-KR"/>
        </w:rPr>
        <w:sym w:font="Symbol" w:char="F02D"/>
      </w:r>
      <w:r w:rsidRPr="008B7A21">
        <w:rPr>
          <w:lang w:val="es-ES_tradnl" w:eastAsia="ko-KR"/>
        </w:rPr>
        <w:tab/>
        <w:t>utilizadas por la Asociación de la Cruz Roja de Corea;</w:t>
      </w:r>
    </w:p>
    <w:p w14:paraId="55C3A1EA" w14:textId="77777777" w:rsidR="00F73D5B" w:rsidRPr="008B7A21" w:rsidRDefault="00F73D5B" w:rsidP="00F73D5B">
      <w:pPr>
        <w:pStyle w:val="enumlev1"/>
        <w:rPr>
          <w:lang w:val="es-ES_tradnl" w:eastAsia="ko-KR"/>
        </w:rPr>
      </w:pPr>
      <w:r w:rsidRPr="008B7A21">
        <w:rPr>
          <w:lang w:val="es-ES_tradnl" w:eastAsia="ko-KR"/>
        </w:rPr>
        <w:sym w:font="Symbol" w:char="F02D"/>
      </w:r>
      <w:r w:rsidRPr="008B7A21">
        <w:rPr>
          <w:lang w:val="es-ES_tradnl" w:eastAsia="ko-KR"/>
        </w:rPr>
        <w:tab/>
        <w:t>instaladas en túneles y otras zonas subterráneas y empleadas para la retransmisión de comunicaciones de abonados y servicios de radiodifusión;</w:t>
      </w:r>
    </w:p>
    <w:p w14:paraId="4D27819F" w14:textId="77777777" w:rsidR="00F73D5B" w:rsidRPr="008B7A21" w:rsidRDefault="00F73D5B" w:rsidP="00F73D5B">
      <w:pPr>
        <w:pStyle w:val="enumlev1"/>
        <w:rPr>
          <w:lang w:val="es-ES_tradnl" w:eastAsia="ko-KR"/>
        </w:rPr>
      </w:pPr>
      <w:r w:rsidRPr="008B7A21">
        <w:rPr>
          <w:lang w:val="es-ES_tradnl" w:eastAsia="ko-KR"/>
        </w:rPr>
        <w:sym w:font="Symbol" w:char="F02D"/>
      </w:r>
      <w:r w:rsidRPr="008B7A21">
        <w:rPr>
          <w:lang w:val="es-ES_tradnl" w:eastAsia="ko-KR"/>
        </w:rPr>
        <w:tab/>
        <w:t>utilizadas para la prevención de catástrofes (tales como avisos de inundaciones);</w:t>
      </w:r>
    </w:p>
    <w:p w14:paraId="7FA49503" w14:textId="77777777" w:rsidR="00F73D5B" w:rsidRPr="008B7A21" w:rsidRDefault="00F73D5B" w:rsidP="00F73D5B">
      <w:pPr>
        <w:pStyle w:val="enumlev1"/>
        <w:rPr>
          <w:lang w:val="es-ES_tradnl"/>
        </w:rPr>
      </w:pPr>
      <w:r w:rsidRPr="008B7A21">
        <w:rPr>
          <w:lang w:val="es-ES_tradnl"/>
        </w:rPr>
        <w:sym w:font="Symbol" w:char="F02D"/>
      </w:r>
      <w:r w:rsidRPr="008B7A21">
        <w:rPr>
          <w:lang w:val="es-ES_tradnl"/>
        </w:rPr>
        <w:tab/>
        <w:t>utilizadas por operadores comunes para fines públicos.</w:t>
      </w:r>
    </w:p>
    <w:p w14:paraId="67F595A4" w14:textId="77777777" w:rsidR="00F73D5B" w:rsidRPr="008B7A21" w:rsidRDefault="00F73D5B" w:rsidP="00F73D5B">
      <w:pPr>
        <w:keepNext/>
        <w:keepLines/>
        <w:rPr>
          <w:lang w:val="es-ES_tradnl"/>
        </w:rPr>
      </w:pPr>
      <w:r w:rsidRPr="008B7A21">
        <w:rPr>
          <w:lang w:val="es-ES_tradnl"/>
        </w:rPr>
        <w:t>Los cánones por utilización del espectro se calculan usando parámetros tales como banda de frecuencias, anchura de banda, potencia y número de abonados y pertenecen a una de las cuatro categorías de cánones por utilización del espectro siguientes:</w:t>
      </w:r>
    </w:p>
    <w:p w14:paraId="537A90AA" w14:textId="77777777" w:rsidR="00F73D5B" w:rsidRPr="008B7A21" w:rsidRDefault="00F73D5B" w:rsidP="00F73D5B">
      <w:pPr>
        <w:pStyle w:val="enumlev1"/>
        <w:ind w:left="1588" w:hanging="1588"/>
        <w:rPr>
          <w:i/>
          <w:iCs/>
          <w:lang w:val="es-ES_tradnl" w:eastAsia="ko-KR"/>
        </w:rPr>
      </w:pPr>
      <w:r w:rsidRPr="008B7A21">
        <w:rPr>
          <w:b/>
          <w:bCs/>
          <w:i/>
          <w:iCs/>
          <w:lang w:val="es-ES_tradnl"/>
        </w:rPr>
        <w:t>Categoría 1</w:t>
      </w:r>
      <w:r w:rsidRPr="008B7A21">
        <w:rPr>
          <w:i/>
          <w:lang w:val="es-ES_tradnl"/>
        </w:rPr>
        <w:t xml:space="preserve">: </w:t>
      </w:r>
      <w:r w:rsidRPr="008B7A21">
        <w:rPr>
          <w:lang w:val="es-ES_tradnl"/>
        </w:rPr>
        <w:t>Según el operador común;</w:t>
      </w:r>
    </w:p>
    <w:p w14:paraId="200CACAA" w14:textId="77777777" w:rsidR="00F73D5B" w:rsidRPr="008B7A21" w:rsidRDefault="00F73D5B" w:rsidP="00F73D5B">
      <w:pPr>
        <w:pStyle w:val="enumlev1"/>
        <w:ind w:left="1588" w:hanging="1588"/>
        <w:rPr>
          <w:lang w:val="es-ES_tradnl"/>
        </w:rPr>
      </w:pPr>
      <w:r w:rsidRPr="008B7A21">
        <w:rPr>
          <w:b/>
          <w:bCs/>
          <w:i/>
          <w:iCs/>
          <w:lang w:val="es-ES_tradnl"/>
        </w:rPr>
        <w:t>Categoría 2</w:t>
      </w:r>
      <w:r w:rsidRPr="008B7A21">
        <w:rPr>
          <w:i/>
          <w:lang w:val="es-ES_tradnl"/>
        </w:rPr>
        <w:t xml:space="preserve">: </w:t>
      </w:r>
      <w:r w:rsidRPr="008B7A21">
        <w:rPr>
          <w:lang w:val="es-ES_tradnl"/>
        </w:rPr>
        <w:t>Según la estación de radiocomunicaciones;</w:t>
      </w:r>
    </w:p>
    <w:p w14:paraId="2148C69C" w14:textId="77777777" w:rsidR="00F73D5B" w:rsidRPr="008B7A21" w:rsidRDefault="00F73D5B" w:rsidP="00F73D5B">
      <w:pPr>
        <w:pStyle w:val="enumlev1"/>
        <w:rPr>
          <w:lang w:val="es-ES_tradnl"/>
        </w:rPr>
      </w:pPr>
      <w:r w:rsidRPr="008B7A21">
        <w:rPr>
          <w:b/>
          <w:bCs/>
          <w:i/>
          <w:iCs/>
          <w:lang w:val="es-ES_tradnl"/>
        </w:rPr>
        <w:t xml:space="preserve">Categoría </w:t>
      </w:r>
      <w:r w:rsidRPr="008B7A21">
        <w:rPr>
          <w:b/>
          <w:bCs/>
          <w:i/>
          <w:iCs/>
          <w:lang w:val="es-ES_tradnl" w:eastAsia="ko-KR"/>
        </w:rPr>
        <w:t>3</w:t>
      </w:r>
      <w:r w:rsidRPr="008B7A21">
        <w:rPr>
          <w:i/>
          <w:lang w:val="es-ES_tradnl" w:eastAsia="ko-KR"/>
        </w:rPr>
        <w:t>:</w:t>
      </w:r>
      <w:r w:rsidRPr="008B7A21">
        <w:rPr>
          <w:lang w:val="es-ES_tradnl" w:eastAsia="ko-KR"/>
        </w:rPr>
        <w:t xml:space="preserve"> Según la frecuencia asignada del transmisor de estaciones radioeléctrica</w:t>
      </w:r>
      <w:r w:rsidRPr="008B7A21">
        <w:rPr>
          <w:lang w:val="es-ES_tradnl"/>
        </w:rPr>
        <w:t>;</w:t>
      </w:r>
    </w:p>
    <w:p w14:paraId="7FF801C5" w14:textId="77777777" w:rsidR="00F73D5B" w:rsidRPr="008B7A21" w:rsidRDefault="00F73D5B" w:rsidP="00F73D5B">
      <w:pPr>
        <w:rPr>
          <w:lang w:val="es-ES_tradnl" w:eastAsia="ko-KR"/>
        </w:rPr>
      </w:pPr>
      <w:r w:rsidRPr="008B7A21">
        <w:rPr>
          <w:b/>
          <w:bCs/>
          <w:i/>
          <w:lang w:val="es-ES_tradnl"/>
        </w:rPr>
        <w:t>Categoría </w:t>
      </w:r>
      <w:r w:rsidRPr="008B7A21">
        <w:rPr>
          <w:b/>
          <w:bCs/>
          <w:i/>
          <w:lang w:val="es-ES_tradnl" w:eastAsia="ko-KR"/>
        </w:rPr>
        <w:t>4</w:t>
      </w:r>
      <w:r w:rsidRPr="008B7A21">
        <w:rPr>
          <w:i/>
          <w:lang w:val="es-ES_tradnl" w:eastAsia="ko-KR"/>
        </w:rPr>
        <w:t>:</w:t>
      </w:r>
      <w:r w:rsidRPr="008B7A21">
        <w:rPr>
          <w:iCs/>
          <w:lang w:val="es-ES_tradnl" w:eastAsia="ko-KR"/>
        </w:rPr>
        <w:t> </w:t>
      </w:r>
      <w:r w:rsidRPr="008B7A21">
        <w:rPr>
          <w:lang w:val="es-ES_tradnl" w:eastAsia="ko-KR"/>
        </w:rPr>
        <w:t>Según las estaciones terrenas instaladas en vehículos y las estaciones terrenas de operador común para arrendamiento.</w:t>
      </w:r>
    </w:p>
    <w:p w14:paraId="6868DE1F" w14:textId="77777777" w:rsidR="00F73D5B" w:rsidRPr="008B7A21" w:rsidRDefault="00F73D5B" w:rsidP="00F73D5B">
      <w:pPr>
        <w:pStyle w:val="Note"/>
        <w:rPr>
          <w:lang w:val="es-ES_tradnl" w:eastAsia="ko-KR"/>
        </w:rPr>
      </w:pPr>
      <w:r w:rsidRPr="008B7A21">
        <w:rPr>
          <w:lang w:val="es-ES_tradnl" w:eastAsia="ko-KR"/>
        </w:rPr>
        <w:t>NOTA – Todos los cánones se pagan trimestralmente.</w:t>
      </w:r>
    </w:p>
    <w:p w14:paraId="1A1E3956" w14:textId="77777777" w:rsidR="00F73D5B" w:rsidRPr="008B7A21" w:rsidRDefault="00F73D5B" w:rsidP="00F73D5B">
      <w:pPr>
        <w:pStyle w:val="Headingb"/>
        <w:rPr>
          <w:lang w:val="es-ES_tradnl"/>
        </w:rPr>
      </w:pPr>
      <w:bookmarkStart w:id="2023" w:name="_Toc307922689"/>
      <w:bookmarkStart w:id="2024" w:name="_Toc307992038"/>
      <w:bookmarkStart w:id="2025" w:name="_Toc307994073"/>
      <w:bookmarkStart w:id="2026" w:name="_Toc307996479"/>
      <w:bookmarkStart w:id="2027" w:name="_Toc499563124"/>
      <w:r w:rsidRPr="008B7A21">
        <w:rPr>
          <w:lang w:val="es-ES_tradnl"/>
        </w:rPr>
        <w:t>Criterios de evaluación de los cánones por utilización del espectro</w:t>
      </w:r>
      <w:bookmarkEnd w:id="2023"/>
      <w:bookmarkEnd w:id="2024"/>
      <w:bookmarkEnd w:id="2025"/>
      <w:bookmarkEnd w:id="2026"/>
      <w:bookmarkEnd w:id="2027"/>
    </w:p>
    <w:p w14:paraId="148A4534" w14:textId="77777777" w:rsidR="00F73D5B" w:rsidRPr="008B7A21" w:rsidRDefault="00F73D5B" w:rsidP="00F73D5B">
      <w:pPr>
        <w:pStyle w:val="Headingb"/>
        <w:rPr>
          <w:lang w:val="es-ES_tradnl"/>
        </w:rPr>
      </w:pPr>
      <w:r w:rsidRPr="008B7A21">
        <w:rPr>
          <w:lang w:val="es-ES_tradnl"/>
        </w:rPr>
        <w:t>Cánones de categoría 1: Según el operador común</w:t>
      </w:r>
    </w:p>
    <w:p w14:paraId="178D8EC5" w14:textId="77777777" w:rsidR="00F73D5B" w:rsidRPr="008B7A21" w:rsidRDefault="00F73D5B" w:rsidP="00F73D5B">
      <w:pPr>
        <w:rPr>
          <w:lang w:val="es-ES_tradnl"/>
        </w:rPr>
      </w:pPr>
      <w:r w:rsidRPr="008B7A21">
        <w:rPr>
          <w:lang w:val="es-ES_tradnl"/>
        </w:rPr>
        <w:t>Los cánones por utilización del espectro (SF) los fija el operador común basándose en la siguiente ecuación:</w:t>
      </w:r>
    </w:p>
    <w:p w14:paraId="2CAADBDB" w14:textId="77777777" w:rsidR="00F73D5B" w:rsidRPr="008B7A21" w:rsidRDefault="00F73D5B" w:rsidP="00F73D5B">
      <w:pPr>
        <w:pStyle w:val="Equation"/>
        <w:rPr>
          <w:lang w:val="es-ES_tradnl" w:eastAsia="ko-KR"/>
        </w:rPr>
      </w:pPr>
      <w:r w:rsidRPr="008B7A21">
        <w:rPr>
          <w:lang w:val="es-ES_tradnl"/>
        </w:rPr>
        <w:tab/>
      </w:r>
      <w:r w:rsidRPr="008B7A21">
        <w:rPr>
          <w:lang w:val="es-ES_tradnl"/>
        </w:rPr>
        <w:tab/>
      </w:r>
      <w:r w:rsidRPr="008B7A21">
        <w:rPr>
          <w:position w:val="-16"/>
          <w:lang w:val="es-ES_tradnl"/>
        </w:rPr>
        <w:object w:dxaOrig="4920" w:dyaOrig="440" w14:anchorId="19D9DA8B">
          <v:shape id="_x0000_i1758" type="#_x0000_t75" style="width:244.45pt;height:20.95pt" o:ole="" fillcolor="window">
            <v:imagedata r:id="rId260" o:title=""/>
          </v:shape>
          <o:OLEObject Type="Embed" ProgID="Equation.3" ShapeID="_x0000_i1758" DrawAspect="Content" ObjectID="_1826705981" r:id="rId261"/>
        </w:object>
      </w:r>
      <w:r w:rsidRPr="008B7A21">
        <w:rPr>
          <w:lang w:val="es-ES_tradnl"/>
        </w:rPr>
        <w:tab/>
        <w:t>(66)</w:t>
      </w:r>
    </w:p>
    <w:p w14:paraId="31C1348E" w14:textId="77777777" w:rsidR="00F73D5B" w:rsidRPr="008B7A21" w:rsidRDefault="00F73D5B" w:rsidP="00F73D5B">
      <w:pPr>
        <w:rPr>
          <w:lang w:val="es-ES_tradnl"/>
        </w:rPr>
      </w:pPr>
      <w:r w:rsidRPr="008B7A21">
        <w:rPr>
          <w:lang w:val="es-ES_tradnl"/>
        </w:rPr>
        <w:t>siendo:</w:t>
      </w:r>
    </w:p>
    <w:p w14:paraId="5C09F6D0" w14:textId="77777777" w:rsidR="00F73D5B" w:rsidRPr="008B7A21" w:rsidRDefault="00F73D5B" w:rsidP="00F73D5B">
      <w:pPr>
        <w:pStyle w:val="Equationlegend"/>
        <w:rPr>
          <w:lang w:val="es-ES_tradnl"/>
        </w:rPr>
      </w:pPr>
      <w:r w:rsidRPr="008B7A21">
        <w:rPr>
          <w:i/>
          <w:iCs/>
          <w:lang w:val="es-ES_tradnl"/>
        </w:rPr>
        <w:tab/>
        <w:t>N</w:t>
      </w:r>
      <w:r w:rsidRPr="008B7A21">
        <w:rPr>
          <w:i/>
          <w:iCs/>
          <w:vertAlign w:val="subscript"/>
          <w:lang w:val="es-ES_tradnl"/>
        </w:rPr>
        <w:t>s</w:t>
      </w:r>
      <w:r w:rsidRPr="008B7A21">
        <w:rPr>
          <w:lang w:val="es-ES_tradnl"/>
        </w:rPr>
        <w:t>:</w:t>
      </w:r>
      <w:r w:rsidRPr="008B7A21">
        <w:rPr>
          <w:rFonts w:ascii="Tms Rmn" w:hAnsi="Tms Rmn"/>
          <w:sz w:val="20"/>
          <w:lang w:val="es-ES_tradnl"/>
        </w:rPr>
        <w:tab/>
      </w:r>
      <w:r w:rsidRPr="008B7A21">
        <w:rPr>
          <w:lang w:val="es-ES_tradnl"/>
        </w:rPr>
        <w:t>número de abonados</w:t>
      </w:r>
    </w:p>
    <w:p w14:paraId="054E717E" w14:textId="77777777" w:rsidR="00F73D5B" w:rsidRPr="008B7A21" w:rsidRDefault="00F73D5B" w:rsidP="00F73D5B">
      <w:pPr>
        <w:pStyle w:val="Equationlegend"/>
        <w:rPr>
          <w:lang w:val="es-ES_tradnl"/>
        </w:rPr>
      </w:pPr>
      <w:r w:rsidRPr="008B7A21">
        <w:rPr>
          <w:lang w:val="es-ES_tradnl"/>
        </w:rPr>
        <w:tab/>
      </w:r>
      <w:r w:rsidRPr="008B7A21">
        <w:rPr>
          <w:i/>
          <w:iCs/>
          <w:lang w:val="es-ES_tradnl"/>
        </w:rPr>
        <w:t>U</w:t>
      </w:r>
      <w:r w:rsidRPr="008B7A21">
        <w:rPr>
          <w:i/>
          <w:iCs/>
          <w:vertAlign w:val="subscript"/>
          <w:lang w:val="es-ES_tradnl"/>
        </w:rPr>
        <w:t>p</w:t>
      </w:r>
      <w:r w:rsidRPr="008B7A21">
        <w:rPr>
          <w:lang w:val="es-ES_tradnl"/>
        </w:rPr>
        <w:t>:</w:t>
      </w:r>
      <w:r w:rsidRPr="008B7A21">
        <w:rPr>
          <w:i/>
          <w:iCs/>
          <w:lang w:val="es-ES_tradnl"/>
        </w:rPr>
        <w:tab/>
      </w:r>
      <w:r w:rsidRPr="008B7A21">
        <w:rPr>
          <w:lang w:val="es-ES_tradnl"/>
        </w:rPr>
        <w:t>precio unitario</w:t>
      </w:r>
    </w:p>
    <w:p w14:paraId="2D649FC7" w14:textId="77777777" w:rsidR="00F73D5B" w:rsidRPr="008B7A21" w:rsidRDefault="00F73D5B" w:rsidP="00F73D5B">
      <w:pPr>
        <w:pStyle w:val="Equationlegend"/>
        <w:rPr>
          <w:lang w:val="es-ES_tradnl"/>
        </w:rPr>
      </w:pPr>
      <w:r w:rsidRPr="008B7A21">
        <w:rPr>
          <w:lang w:val="es-ES_tradnl"/>
        </w:rPr>
        <w:tab/>
      </w:r>
      <w:r w:rsidRPr="008B7A21">
        <w:rPr>
          <w:i/>
          <w:iCs/>
          <w:lang w:val="es-ES_tradnl"/>
        </w:rPr>
        <w:t>F</w:t>
      </w:r>
      <w:r w:rsidRPr="008B7A21">
        <w:rPr>
          <w:i/>
          <w:iCs/>
          <w:vertAlign w:val="subscript"/>
          <w:lang w:val="es-ES_tradnl"/>
        </w:rPr>
        <w:t>f</w:t>
      </w:r>
      <w:r w:rsidRPr="008B7A21">
        <w:rPr>
          <w:lang w:val="es-ES_tradnl"/>
        </w:rPr>
        <w:t>:</w:t>
      </w:r>
      <w:r w:rsidRPr="008B7A21">
        <w:rPr>
          <w:lang w:val="es-ES_tradnl"/>
        </w:rPr>
        <w:tab/>
        <w:t>factor de exención de cánones por compartición de instalaciones</w:t>
      </w:r>
    </w:p>
    <w:p w14:paraId="08526731" w14:textId="77777777" w:rsidR="00F73D5B" w:rsidRPr="008B7A21" w:rsidRDefault="00F73D5B" w:rsidP="00F73D5B">
      <w:pPr>
        <w:pStyle w:val="Equationlegend"/>
        <w:rPr>
          <w:rFonts w:asciiTheme="majorBidi" w:hAnsiTheme="majorBidi" w:cstheme="majorBidi"/>
          <w:i/>
          <w:iCs/>
          <w:lang w:val="es-ES_tradnl" w:eastAsia="ko-KR"/>
        </w:rPr>
      </w:pPr>
      <w:r w:rsidRPr="008B7A21">
        <w:rPr>
          <w:lang w:val="es-ES_tradnl"/>
        </w:rPr>
        <w:tab/>
      </w:r>
      <w:r w:rsidRPr="008B7A21">
        <w:rPr>
          <w:rFonts w:asciiTheme="majorBidi" w:hAnsiTheme="majorBidi" w:cstheme="majorBidi"/>
          <w:i/>
          <w:iCs/>
          <w:lang w:val="es-ES_tradnl"/>
        </w:rPr>
        <w:t>E</w:t>
      </w:r>
      <w:r w:rsidRPr="008B7A21">
        <w:rPr>
          <w:rFonts w:asciiTheme="majorBidi" w:hAnsiTheme="majorBidi" w:cstheme="majorBidi"/>
          <w:i/>
          <w:iCs/>
          <w:vertAlign w:val="subscript"/>
          <w:lang w:val="es-ES_tradnl"/>
        </w:rPr>
        <w:t>ff</w:t>
      </w:r>
      <w:r w:rsidRPr="008B7A21">
        <w:rPr>
          <w:lang w:val="es-ES_tradnl"/>
        </w:rPr>
        <w:t>:</w:t>
      </w:r>
      <w:r w:rsidRPr="008B7A21">
        <w:rPr>
          <w:rFonts w:asciiTheme="majorBidi" w:hAnsiTheme="majorBidi" w:cstheme="majorBidi"/>
          <w:i/>
          <w:iCs/>
          <w:lang w:val="es-ES_tradnl"/>
        </w:rPr>
        <w:t xml:space="preserve"> </w:t>
      </w:r>
      <w:r w:rsidRPr="008B7A21">
        <w:rPr>
          <w:rFonts w:asciiTheme="majorBidi" w:hAnsiTheme="majorBidi" w:cstheme="majorBidi"/>
          <w:i/>
          <w:iCs/>
          <w:lang w:val="es-ES_tradnl"/>
        </w:rPr>
        <w:tab/>
      </w:r>
      <w:r w:rsidRPr="008B7A21">
        <w:rPr>
          <w:rFonts w:asciiTheme="majorBidi" w:hAnsiTheme="majorBidi" w:cstheme="majorBidi"/>
          <w:lang w:val="es-ES_tradnl"/>
        </w:rPr>
        <w:t>factor de exención del canon por motivos ecológicos</w:t>
      </w:r>
    </w:p>
    <w:p w14:paraId="5C4D8ABB" w14:textId="77777777" w:rsidR="00F73D5B" w:rsidRPr="008B7A21" w:rsidRDefault="00F73D5B" w:rsidP="00F73D5B">
      <w:pPr>
        <w:pStyle w:val="Equationlegend"/>
        <w:rPr>
          <w:lang w:val="es-ES_tradnl"/>
        </w:rPr>
      </w:pPr>
      <w:r w:rsidRPr="008B7A21">
        <w:rPr>
          <w:i/>
          <w:iCs/>
          <w:lang w:val="es-ES_tradnl"/>
        </w:rPr>
        <w:tab/>
        <w:t>R</w:t>
      </w:r>
      <w:r w:rsidRPr="008B7A21">
        <w:rPr>
          <w:i/>
          <w:iCs/>
          <w:vertAlign w:val="subscript"/>
          <w:lang w:val="es-ES_tradnl"/>
        </w:rPr>
        <w:t>f</w:t>
      </w:r>
      <w:r w:rsidRPr="008B7A21">
        <w:rPr>
          <w:lang w:val="es-ES_tradnl"/>
        </w:rPr>
        <w:t>:</w:t>
      </w:r>
      <w:r w:rsidRPr="008B7A21">
        <w:rPr>
          <w:lang w:val="es-ES_tradnl"/>
        </w:rPr>
        <w:tab/>
        <w:t>factor de exención por itinerancia</w:t>
      </w:r>
    </w:p>
    <w:p w14:paraId="25D01029" w14:textId="77777777" w:rsidR="00F73D5B" w:rsidRPr="008B7A21" w:rsidRDefault="00F73D5B" w:rsidP="00F73D5B">
      <w:pPr>
        <w:pStyle w:val="Equationlegend"/>
        <w:rPr>
          <w:lang w:val="es-ES_tradnl"/>
        </w:rPr>
      </w:pPr>
      <w:r w:rsidRPr="008B7A21">
        <w:rPr>
          <w:i/>
          <w:iCs/>
          <w:lang w:val="es-ES_tradnl"/>
        </w:rPr>
        <w:tab/>
        <w:t>E</w:t>
      </w:r>
      <w:r w:rsidRPr="008B7A21">
        <w:rPr>
          <w:i/>
          <w:iCs/>
          <w:vertAlign w:val="subscript"/>
          <w:lang w:val="es-ES_tradnl"/>
        </w:rPr>
        <w:t>f</w:t>
      </w:r>
      <w:r w:rsidRPr="008B7A21">
        <w:rPr>
          <w:lang w:val="es-ES_tradnl"/>
        </w:rPr>
        <w:t>:</w:t>
      </w:r>
      <w:r w:rsidRPr="008B7A21">
        <w:rPr>
          <w:lang w:val="es-ES_tradnl"/>
        </w:rPr>
        <w:tab/>
        <w:t>factor de exención por utilización eficiente de frecuencias</w:t>
      </w:r>
    </w:p>
    <w:p w14:paraId="3A08C1C6" w14:textId="77777777" w:rsidR="00F73D5B" w:rsidRPr="008B7A21" w:rsidRDefault="00F73D5B" w:rsidP="00F73D5B">
      <w:pPr>
        <w:pStyle w:val="Equationlegend"/>
        <w:tabs>
          <w:tab w:val="clear" w:pos="1701"/>
          <w:tab w:val="left" w:pos="1418"/>
        </w:tabs>
        <w:rPr>
          <w:lang w:val="es-ES_tradnl"/>
        </w:rPr>
      </w:pPr>
      <w:r w:rsidRPr="008B7A21">
        <w:rPr>
          <w:i/>
          <w:lang w:val="es-ES_tradnl"/>
        </w:rPr>
        <w:tab/>
        <w:t>C</w:t>
      </w:r>
      <w:r w:rsidRPr="008B7A21">
        <w:rPr>
          <w:lang w:val="es-ES_tradnl"/>
        </w:rPr>
        <w:t>:</w:t>
      </w:r>
      <w:r w:rsidRPr="008B7A21">
        <w:rPr>
          <w:lang w:val="es-ES_tradnl"/>
        </w:rPr>
        <w:tab/>
        <w:t>factor de características radioeléctricas.</w:t>
      </w:r>
    </w:p>
    <w:p w14:paraId="7CFE8A57" w14:textId="77777777" w:rsidR="00F73D5B" w:rsidRPr="008B7A21" w:rsidRDefault="00F73D5B" w:rsidP="00F73D5B">
      <w:pPr>
        <w:rPr>
          <w:lang w:val="es-ES_tradnl" w:eastAsia="ko-KR"/>
        </w:rPr>
      </w:pPr>
      <w:r w:rsidRPr="008B7A21">
        <w:rPr>
          <w:lang w:val="es-ES_tradnl" w:eastAsia="ko-KR"/>
        </w:rPr>
        <w:t>Descripción de los parámetros:</w:t>
      </w:r>
    </w:p>
    <w:p w14:paraId="4C0E1B66" w14:textId="77777777" w:rsidR="00F73D5B" w:rsidRPr="008B7A21" w:rsidRDefault="00F73D5B" w:rsidP="00F73D5B">
      <w:pPr>
        <w:rPr>
          <w:lang w:val="es-ES_tradnl"/>
        </w:rPr>
      </w:pPr>
      <w:bookmarkStart w:id="2028" w:name="_Toc307922690"/>
      <w:bookmarkStart w:id="2029" w:name="_Toc307992039"/>
      <w:bookmarkStart w:id="2030" w:name="_Toc307994074"/>
      <w:bookmarkStart w:id="2031" w:name="_Toc307996480"/>
      <w:bookmarkStart w:id="2032" w:name="_Toc499563125"/>
      <w:r w:rsidRPr="008B7A21">
        <w:rPr>
          <w:lang w:val="es-ES_tradnl" w:eastAsia="ko-KR"/>
        </w:rPr>
        <w:t>a)</w:t>
      </w:r>
      <w:r w:rsidRPr="008B7A21">
        <w:rPr>
          <w:lang w:val="es-ES_tradnl" w:eastAsia="ko-KR"/>
        </w:rPr>
        <w:tab/>
        <w:t>Número de abonados</w:t>
      </w:r>
      <w:bookmarkEnd w:id="2028"/>
      <w:bookmarkEnd w:id="2029"/>
      <w:bookmarkEnd w:id="2030"/>
      <w:bookmarkEnd w:id="2031"/>
      <w:bookmarkEnd w:id="2032"/>
      <w:r w:rsidRPr="008B7A21">
        <w:rPr>
          <w:lang w:val="es-ES_tradnl" w:eastAsia="ko-KR"/>
        </w:rPr>
        <w:t>:</w:t>
      </w:r>
      <w:r w:rsidRPr="008B7A21">
        <w:rPr>
          <w:lang w:val="es-ES_tradnl"/>
        </w:rPr>
        <w:t xml:space="preserve"> Número medio de abonados el primer día de un trimestre </w:t>
      </w:r>
      <w:r w:rsidRPr="008B7A21">
        <w:rPr>
          <w:lang w:val="es-ES_tradnl" w:eastAsia="ko-KR"/>
        </w:rPr>
        <w:t>y el último día del trimestre.</w:t>
      </w:r>
    </w:p>
    <w:p w14:paraId="543DF231" w14:textId="77777777" w:rsidR="00F73D5B" w:rsidRPr="008B7A21" w:rsidRDefault="00F73D5B" w:rsidP="00F73D5B">
      <w:pPr>
        <w:rPr>
          <w:lang w:val="es-ES_tradnl" w:eastAsia="ko-KR"/>
        </w:rPr>
      </w:pPr>
      <w:bookmarkStart w:id="2033" w:name="_Toc307922691"/>
      <w:bookmarkStart w:id="2034" w:name="_Toc307992040"/>
      <w:bookmarkStart w:id="2035" w:name="_Toc307994075"/>
      <w:bookmarkStart w:id="2036" w:name="_Toc307996481"/>
      <w:bookmarkStart w:id="2037" w:name="_Toc499563126"/>
      <w:r w:rsidRPr="008B7A21">
        <w:rPr>
          <w:lang w:val="es-ES_tradnl" w:eastAsia="ko-KR"/>
        </w:rPr>
        <w:t>b)</w:t>
      </w:r>
      <w:r w:rsidRPr="008B7A21">
        <w:rPr>
          <w:lang w:val="es-ES_tradnl" w:eastAsia="ko-KR"/>
        </w:rPr>
        <w:tab/>
        <w:t>Precio unitario</w:t>
      </w:r>
      <w:bookmarkEnd w:id="2033"/>
      <w:bookmarkEnd w:id="2034"/>
      <w:bookmarkEnd w:id="2035"/>
      <w:bookmarkEnd w:id="2036"/>
      <w:bookmarkEnd w:id="2037"/>
      <w:r w:rsidRPr="008B7A21">
        <w:rPr>
          <w:lang w:val="es-ES_tradnl" w:eastAsia="ko-KR"/>
        </w:rPr>
        <w:t>:</w:t>
      </w:r>
    </w:p>
    <w:p w14:paraId="67812F58" w14:textId="77777777" w:rsidR="00F73D5B" w:rsidRPr="008B7A21" w:rsidRDefault="00F73D5B" w:rsidP="00DD0D67">
      <w:pPr>
        <w:jc w:val="center"/>
        <w:rPr>
          <w:lang w:val="es-ES_tradnl" w:eastAsia="ko-KR"/>
        </w:rPr>
      </w:pPr>
      <w:r w:rsidRPr="008B7A21">
        <w:rPr>
          <w:lang w:val="es-ES_tradnl" w:eastAsia="ko-KR"/>
        </w:rPr>
        <w:t>CUADRO 37</w:t>
      </w:r>
    </w:p>
    <w:p w14:paraId="6202323C" w14:textId="77777777" w:rsidR="00F73D5B" w:rsidRPr="008B7A21" w:rsidRDefault="00F73D5B" w:rsidP="00F73D5B">
      <w:pPr>
        <w:pStyle w:val="Blanc"/>
        <w:rPr>
          <w:lang w:val="es-ES_tradnl"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2981"/>
      </w:tblGrid>
      <w:tr w:rsidR="00F73D5B" w:rsidRPr="008B7A21" w14:paraId="08981DA3" w14:textId="77777777" w:rsidTr="00767A6A">
        <w:trPr>
          <w:jc w:val="center"/>
        </w:trPr>
        <w:tc>
          <w:tcPr>
            <w:tcW w:w="4957" w:type="dxa"/>
            <w:tcBorders>
              <w:top w:val="single" w:sz="4" w:space="0" w:color="auto"/>
              <w:left w:val="single" w:sz="4" w:space="0" w:color="auto"/>
              <w:bottom w:val="single" w:sz="4" w:space="0" w:color="auto"/>
              <w:right w:val="single" w:sz="4" w:space="0" w:color="auto"/>
            </w:tcBorders>
            <w:vAlign w:val="center"/>
          </w:tcPr>
          <w:p w14:paraId="094E1DE3" w14:textId="77777777" w:rsidR="00F73D5B" w:rsidRPr="008B7A21" w:rsidRDefault="00F73D5B" w:rsidP="00767A6A">
            <w:pPr>
              <w:pStyle w:val="Tablehead"/>
              <w:rPr>
                <w:lang w:val="es-ES_tradnl"/>
              </w:rPr>
            </w:pPr>
            <w:r w:rsidRPr="008B7A21">
              <w:rPr>
                <w:lang w:val="es-ES_tradnl"/>
              </w:rPr>
              <w:t>Servicios</w:t>
            </w:r>
          </w:p>
        </w:tc>
        <w:tc>
          <w:tcPr>
            <w:tcW w:w="2981" w:type="dxa"/>
            <w:tcBorders>
              <w:top w:val="single" w:sz="4" w:space="0" w:color="auto"/>
              <w:left w:val="single" w:sz="4" w:space="0" w:color="auto"/>
              <w:bottom w:val="single" w:sz="4" w:space="0" w:color="auto"/>
              <w:right w:val="single" w:sz="4" w:space="0" w:color="auto"/>
            </w:tcBorders>
            <w:vAlign w:val="center"/>
          </w:tcPr>
          <w:p w14:paraId="14DD4B22" w14:textId="77777777" w:rsidR="00F73D5B" w:rsidRPr="008B7A21" w:rsidRDefault="00F73D5B" w:rsidP="00767A6A">
            <w:pPr>
              <w:pStyle w:val="Tablehead"/>
              <w:rPr>
                <w:lang w:val="es-ES_tradnl"/>
              </w:rPr>
            </w:pPr>
            <w:r w:rsidRPr="008B7A21">
              <w:rPr>
                <w:lang w:val="es-ES_tradnl"/>
              </w:rPr>
              <w:t>Precio unitario (KRW</w:t>
            </w:r>
            <w:r w:rsidRPr="008B7A21">
              <w:rPr>
                <w:rStyle w:val="FootnoteAnchor"/>
                <w:rFonts w:eastAsia="Arial Narrow"/>
                <w:szCs w:val="22"/>
                <w:lang w:val="es-ES_tradnl" w:eastAsia="ko-KR"/>
              </w:rPr>
              <w:footnoteReference w:id="17"/>
            </w:r>
            <w:r w:rsidRPr="008B7A21">
              <w:rPr>
                <w:lang w:val="es-ES_tradnl"/>
              </w:rPr>
              <w:t>/abonado/trimestre)</w:t>
            </w:r>
          </w:p>
        </w:tc>
      </w:tr>
      <w:tr w:rsidR="00F73D5B" w:rsidRPr="008B7A21" w14:paraId="55CD92A6" w14:textId="77777777" w:rsidTr="00767A6A">
        <w:trPr>
          <w:jc w:val="center"/>
        </w:trPr>
        <w:tc>
          <w:tcPr>
            <w:tcW w:w="4957" w:type="dxa"/>
            <w:tcBorders>
              <w:top w:val="single" w:sz="4" w:space="0" w:color="auto"/>
              <w:left w:val="single" w:sz="4" w:space="0" w:color="auto"/>
              <w:bottom w:val="single" w:sz="4" w:space="0" w:color="auto"/>
              <w:right w:val="single" w:sz="4" w:space="0" w:color="auto"/>
            </w:tcBorders>
          </w:tcPr>
          <w:p w14:paraId="4EB5B83A" w14:textId="77777777" w:rsidR="00F73D5B" w:rsidRPr="008B7A21" w:rsidRDefault="00F73D5B" w:rsidP="00767A6A">
            <w:pPr>
              <w:pStyle w:val="Tabletext"/>
              <w:rPr>
                <w:lang w:val="es-ES_tradnl"/>
              </w:rPr>
            </w:pPr>
            <w:r w:rsidRPr="008B7A21">
              <w:rPr>
                <w:lang w:val="es-ES_tradnl"/>
              </w:rPr>
              <w:t>Servicio de telefonía móvil (celular, PCS, IMT)</w:t>
            </w:r>
          </w:p>
          <w:p w14:paraId="2C6963E3" w14:textId="77777777" w:rsidR="00F73D5B" w:rsidRPr="008B7A21" w:rsidRDefault="00F73D5B" w:rsidP="00767A6A">
            <w:pPr>
              <w:pStyle w:val="Tabletext"/>
              <w:rPr>
                <w:lang w:val="es-ES_tradnl"/>
              </w:rPr>
            </w:pPr>
            <w:r w:rsidRPr="008B7A21">
              <w:rPr>
                <w:lang w:val="es-ES_tradnl"/>
              </w:rPr>
              <w:t>Internet inalámbrica de banda ancha</w:t>
            </w:r>
          </w:p>
          <w:p w14:paraId="6229B4A2" w14:textId="77777777" w:rsidR="00F73D5B" w:rsidRPr="008B7A21" w:rsidRDefault="00F73D5B" w:rsidP="00767A6A">
            <w:pPr>
              <w:pStyle w:val="Tabletext"/>
              <w:rPr>
                <w:lang w:val="es-ES_tradnl"/>
              </w:rPr>
            </w:pPr>
            <w:r w:rsidRPr="008B7A21">
              <w:rPr>
                <w:lang w:val="es-ES_tradnl"/>
              </w:rPr>
              <w:t>Servicio de radiobúsqueda/troncal</w:t>
            </w:r>
          </w:p>
          <w:p w14:paraId="75039B64" w14:textId="77777777" w:rsidR="00F73D5B" w:rsidRPr="008B7A21" w:rsidRDefault="00F73D5B" w:rsidP="00767A6A">
            <w:pPr>
              <w:pStyle w:val="Tabletext"/>
              <w:rPr>
                <w:lang w:val="es-ES_tradnl"/>
              </w:rPr>
            </w:pPr>
            <w:r w:rsidRPr="008B7A21">
              <w:rPr>
                <w:lang w:val="es-ES_tradnl"/>
              </w:rPr>
              <w:t>Servicio de localización</w:t>
            </w:r>
          </w:p>
          <w:p w14:paraId="266D44CA" w14:textId="77777777" w:rsidR="00F73D5B" w:rsidRPr="008B7A21" w:rsidRDefault="00F73D5B" w:rsidP="00767A6A">
            <w:pPr>
              <w:pStyle w:val="Tabletext"/>
              <w:rPr>
                <w:lang w:val="es-ES_tradnl"/>
              </w:rPr>
            </w:pPr>
            <w:r w:rsidRPr="008B7A21">
              <w:rPr>
                <w:lang w:val="es-ES_tradnl"/>
              </w:rPr>
              <w:t>Servicio inalámbrico de datos</w:t>
            </w:r>
          </w:p>
          <w:p w14:paraId="48F4BDCB" w14:textId="77777777" w:rsidR="00F73D5B" w:rsidRPr="008B7A21" w:rsidRDefault="00F73D5B" w:rsidP="00767A6A">
            <w:pPr>
              <w:pStyle w:val="Tabletext"/>
              <w:rPr>
                <w:szCs w:val="22"/>
                <w:lang w:val="es-ES_tradnl" w:eastAsia="ko-KR"/>
              </w:rPr>
            </w:pPr>
            <w:r w:rsidRPr="008B7A21">
              <w:rPr>
                <w:szCs w:val="22"/>
                <w:lang w:val="es-ES_tradnl" w:eastAsia="ko-KR"/>
              </w:rPr>
              <w:t>Comunicación por satélite (portable):</w:t>
            </w:r>
          </w:p>
          <w:p w14:paraId="7021E85D" w14:textId="77777777" w:rsidR="00F73D5B" w:rsidRPr="008B7A21" w:rsidRDefault="00F73D5B" w:rsidP="00767A6A">
            <w:pPr>
              <w:pStyle w:val="Tabletext"/>
              <w:rPr>
                <w:szCs w:val="22"/>
                <w:lang w:val="es-ES_tradnl" w:eastAsia="ko-KR"/>
              </w:rPr>
            </w:pPr>
            <w:r w:rsidRPr="008B7A21">
              <w:rPr>
                <w:szCs w:val="22"/>
                <w:lang w:val="es-ES_tradnl" w:eastAsia="ko-KR"/>
              </w:rPr>
              <w:t>–</w:t>
            </w:r>
            <w:r w:rsidRPr="008B7A21">
              <w:rPr>
                <w:szCs w:val="22"/>
                <w:lang w:val="es-ES_tradnl" w:eastAsia="ko-KR"/>
              </w:rPr>
              <w:tab/>
              <w:t>voz y datos</w:t>
            </w:r>
          </w:p>
          <w:p w14:paraId="5FDC2CE5" w14:textId="77777777" w:rsidR="00F73D5B" w:rsidRPr="008B7A21" w:rsidRDefault="00F73D5B" w:rsidP="00767A6A">
            <w:pPr>
              <w:pStyle w:val="Tabletext"/>
              <w:rPr>
                <w:lang w:val="es-ES_tradnl"/>
              </w:rPr>
            </w:pPr>
            <w:r w:rsidRPr="008B7A21">
              <w:rPr>
                <w:szCs w:val="22"/>
                <w:lang w:val="es-ES_tradnl" w:eastAsia="ko-KR"/>
              </w:rPr>
              <w:t>–</w:t>
            </w:r>
            <w:r w:rsidRPr="008B7A21">
              <w:rPr>
                <w:szCs w:val="22"/>
                <w:lang w:val="es-ES_tradnl" w:eastAsia="ko-KR"/>
              </w:rPr>
              <w:tab/>
              <w:t>sólo datos</w:t>
            </w:r>
          </w:p>
        </w:tc>
        <w:tc>
          <w:tcPr>
            <w:tcW w:w="2981" w:type="dxa"/>
            <w:tcBorders>
              <w:top w:val="single" w:sz="4" w:space="0" w:color="auto"/>
              <w:left w:val="single" w:sz="4" w:space="0" w:color="auto"/>
              <w:bottom w:val="single" w:sz="4" w:space="0" w:color="auto"/>
              <w:right w:val="single" w:sz="4" w:space="0" w:color="auto"/>
            </w:tcBorders>
          </w:tcPr>
          <w:p w14:paraId="1CB349CD" w14:textId="77777777" w:rsidR="00F73D5B" w:rsidRPr="008B7A21" w:rsidRDefault="00F73D5B" w:rsidP="00767A6A">
            <w:pPr>
              <w:pStyle w:val="Tabletext"/>
              <w:jc w:val="center"/>
              <w:rPr>
                <w:lang w:val="es-ES_tradnl"/>
              </w:rPr>
            </w:pPr>
            <w:r w:rsidRPr="008B7A21">
              <w:rPr>
                <w:lang w:val="es-ES_tradnl"/>
              </w:rPr>
              <w:t>2 000</w:t>
            </w:r>
          </w:p>
          <w:p w14:paraId="2522F393" w14:textId="77777777" w:rsidR="00F73D5B" w:rsidRPr="008B7A21" w:rsidRDefault="00F73D5B" w:rsidP="00767A6A">
            <w:pPr>
              <w:pStyle w:val="Tabletext"/>
              <w:jc w:val="center"/>
              <w:rPr>
                <w:lang w:val="es-ES_tradnl"/>
              </w:rPr>
            </w:pPr>
            <w:r w:rsidRPr="008B7A21">
              <w:rPr>
                <w:lang w:val="es-ES_tradnl"/>
              </w:rPr>
              <w:t>1 200</w:t>
            </w:r>
          </w:p>
          <w:p w14:paraId="48E7076C" w14:textId="77777777" w:rsidR="00F73D5B" w:rsidRPr="008B7A21" w:rsidRDefault="00F73D5B" w:rsidP="00767A6A">
            <w:pPr>
              <w:pStyle w:val="Tabletext"/>
              <w:jc w:val="center"/>
              <w:rPr>
                <w:lang w:val="es-ES_tradnl"/>
              </w:rPr>
            </w:pPr>
            <w:r w:rsidRPr="008B7A21">
              <w:rPr>
                <w:lang w:val="es-ES_tradnl"/>
              </w:rPr>
              <w:t>150</w:t>
            </w:r>
          </w:p>
          <w:p w14:paraId="62149CD7" w14:textId="77777777" w:rsidR="00F73D5B" w:rsidRPr="008B7A21" w:rsidRDefault="00F73D5B" w:rsidP="00767A6A">
            <w:pPr>
              <w:pStyle w:val="Tabletext"/>
              <w:jc w:val="center"/>
              <w:rPr>
                <w:lang w:val="es-ES_tradnl"/>
              </w:rPr>
            </w:pPr>
            <w:r w:rsidRPr="008B7A21">
              <w:rPr>
                <w:lang w:val="es-ES_tradnl"/>
              </w:rPr>
              <w:t>50</w:t>
            </w:r>
          </w:p>
          <w:p w14:paraId="4BD1BF71" w14:textId="77777777" w:rsidR="00F73D5B" w:rsidRPr="008B7A21" w:rsidRDefault="00F73D5B" w:rsidP="00767A6A">
            <w:pPr>
              <w:pStyle w:val="Tabletext"/>
              <w:jc w:val="center"/>
              <w:rPr>
                <w:lang w:val="es-ES_tradnl"/>
              </w:rPr>
            </w:pPr>
            <w:r w:rsidRPr="008B7A21">
              <w:rPr>
                <w:lang w:val="es-ES_tradnl"/>
              </w:rPr>
              <w:t>30</w:t>
            </w:r>
          </w:p>
          <w:p w14:paraId="48AA3C00" w14:textId="77777777" w:rsidR="00F73D5B" w:rsidRPr="008B7A21" w:rsidRDefault="00F73D5B" w:rsidP="00767A6A">
            <w:pPr>
              <w:pStyle w:val="Tabletext"/>
              <w:jc w:val="center"/>
              <w:rPr>
                <w:lang w:val="es-ES_tradnl"/>
              </w:rPr>
            </w:pPr>
          </w:p>
          <w:p w14:paraId="45CC9FB2" w14:textId="77777777" w:rsidR="00F73D5B" w:rsidRPr="008B7A21" w:rsidRDefault="00F73D5B" w:rsidP="00767A6A">
            <w:pPr>
              <w:pStyle w:val="Tabletext"/>
              <w:jc w:val="center"/>
              <w:rPr>
                <w:lang w:val="es-ES_tradnl"/>
              </w:rPr>
            </w:pPr>
            <w:r w:rsidRPr="008B7A21">
              <w:rPr>
                <w:lang w:val="es-ES_tradnl"/>
              </w:rPr>
              <w:t>500</w:t>
            </w:r>
          </w:p>
          <w:p w14:paraId="56174562" w14:textId="77777777" w:rsidR="00F73D5B" w:rsidRPr="008B7A21" w:rsidRDefault="00F73D5B" w:rsidP="00767A6A">
            <w:pPr>
              <w:pStyle w:val="Tabletext"/>
              <w:jc w:val="center"/>
              <w:rPr>
                <w:lang w:val="es-ES_tradnl"/>
              </w:rPr>
            </w:pPr>
            <w:r w:rsidRPr="008B7A21">
              <w:rPr>
                <w:lang w:val="es-ES_tradnl"/>
              </w:rPr>
              <w:t>80</w:t>
            </w:r>
          </w:p>
        </w:tc>
      </w:tr>
    </w:tbl>
    <w:p w14:paraId="4A7FC02C" w14:textId="77777777" w:rsidR="00F73D5B" w:rsidRPr="008B7A21" w:rsidRDefault="00F73D5B" w:rsidP="00F73D5B">
      <w:pPr>
        <w:pStyle w:val="Tablefin"/>
        <w:rPr>
          <w:lang w:val="es-ES_tradnl" w:eastAsia="ko-KR"/>
        </w:rPr>
      </w:pPr>
    </w:p>
    <w:p w14:paraId="21FC37F8" w14:textId="77777777" w:rsidR="00F73D5B" w:rsidRPr="008B7A21" w:rsidRDefault="00F73D5B" w:rsidP="00F73D5B">
      <w:pPr>
        <w:rPr>
          <w:lang w:val="es-ES_tradnl" w:eastAsia="ko-KR"/>
        </w:rPr>
      </w:pPr>
      <w:bookmarkStart w:id="2038" w:name="_Toc307922692"/>
      <w:bookmarkStart w:id="2039" w:name="_Toc307992041"/>
      <w:bookmarkStart w:id="2040" w:name="_Toc307994076"/>
      <w:bookmarkStart w:id="2041" w:name="_Toc307996482"/>
      <w:bookmarkStart w:id="2042" w:name="_Toc499563127"/>
      <w:r w:rsidRPr="008B7A21">
        <w:rPr>
          <w:lang w:val="es-ES_tradnl" w:eastAsia="ko-KR"/>
        </w:rPr>
        <w:t>c)</w:t>
      </w:r>
      <w:r w:rsidRPr="008B7A21">
        <w:rPr>
          <w:lang w:val="es-ES_tradnl" w:eastAsia="ko-KR"/>
        </w:rPr>
        <w:tab/>
        <w:t>Factores de exención del canon por compartición de instalaciones, motivos ecológicos y de itinerancia</w:t>
      </w:r>
      <w:bookmarkEnd w:id="2038"/>
      <w:bookmarkEnd w:id="2039"/>
      <w:bookmarkEnd w:id="2040"/>
      <w:bookmarkEnd w:id="2041"/>
      <w:bookmarkEnd w:id="2042"/>
      <w:r w:rsidRPr="008B7A21">
        <w:rPr>
          <w:lang w:val="es-ES_tradnl" w:eastAsia="ko-KR"/>
        </w:rPr>
        <w:t>:</w:t>
      </w:r>
    </w:p>
    <w:p w14:paraId="63FBF2B8" w14:textId="77777777" w:rsidR="00F73D5B" w:rsidRPr="008B7A21" w:rsidRDefault="00F73D5B" w:rsidP="00D849A8">
      <w:pPr>
        <w:pStyle w:val="TableNo"/>
        <w:rPr>
          <w:lang w:val="es-ES_tradnl" w:eastAsia="ko-KR"/>
        </w:rPr>
      </w:pPr>
      <w:r w:rsidRPr="008B7A21">
        <w:rPr>
          <w:lang w:val="es-ES_tradnl" w:eastAsia="ko-KR"/>
        </w:rPr>
        <w:t>CUADRO 38</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24"/>
        <w:gridCol w:w="624"/>
        <w:gridCol w:w="624"/>
        <w:gridCol w:w="624"/>
        <w:gridCol w:w="624"/>
        <w:gridCol w:w="624"/>
        <w:gridCol w:w="624"/>
        <w:gridCol w:w="624"/>
        <w:gridCol w:w="624"/>
        <w:gridCol w:w="624"/>
      </w:tblGrid>
      <w:tr w:rsidR="00F73D5B" w:rsidRPr="008B7A21" w14:paraId="3BB3386B" w14:textId="77777777" w:rsidTr="00767A6A">
        <w:trPr>
          <w:jc w:val="center"/>
        </w:trPr>
        <w:tc>
          <w:tcPr>
            <w:tcW w:w="3402" w:type="dxa"/>
          </w:tcPr>
          <w:p w14:paraId="0A61BD5A" w14:textId="77777777" w:rsidR="00F73D5B" w:rsidRPr="008B7A21" w:rsidRDefault="00F73D5B" w:rsidP="00767A6A">
            <w:pPr>
              <w:pStyle w:val="Tabletext"/>
              <w:keepNext/>
              <w:keepLines/>
              <w:ind w:right="-57"/>
              <w:jc w:val="left"/>
              <w:rPr>
                <w:sz w:val="20"/>
                <w:lang w:val="es-ES_tradnl" w:eastAsia="ko-KR"/>
              </w:rPr>
            </w:pPr>
            <w:r w:rsidRPr="008B7A21">
              <w:rPr>
                <w:sz w:val="20"/>
                <w:lang w:val="es-ES_tradnl"/>
              </w:rPr>
              <w:t>Tasa de compartición de instalaciones, motivos ecológicos y tasa de itinerancia</w:t>
            </w:r>
          </w:p>
        </w:tc>
        <w:tc>
          <w:tcPr>
            <w:tcW w:w="624" w:type="dxa"/>
            <w:vAlign w:val="center"/>
          </w:tcPr>
          <w:p w14:paraId="62A9DD37" w14:textId="77777777" w:rsidR="00F73D5B" w:rsidRPr="008B7A21" w:rsidRDefault="00F73D5B" w:rsidP="00767A6A">
            <w:pPr>
              <w:pStyle w:val="Tabletext"/>
              <w:keepNext/>
              <w:keepLines/>
              <w:ind w:left="-57" w:right="-57"/>
              <w:jc w:val="center"/>
              <w:rPr>
                <w:sz w:val="20"/>
                <w:lang w:val="es-ES_tradnl"/>
              </w:rPr>
            </w:pPr>
            <w:r w:rsidRPr="008B7A21">
              <w:rPr>
                <w:sz w:val="20"/>
                <w:lang w:val="es-ES_tradnl" w:eastAsia="ko-KR"/>
              </w:rPr>
              <w:t>&lt;</w:t>
            </w:r>
            <w:r w:rsidRPr="008B7A21">
              <w:rPr>
                <w:sz w:val="20"/>
                <w:lang w:val="es-ES_tradnl"/>
              </w:rPr>
              <w:t>10</w:t>
            </w:r>
          </w:p>
        </w:tc>
        <w:tc>
          <w:tcPr>
            <w:tcW w:w="624" w:type="dxa"/>
            <w:vAlign w:val="center"/>
          </w:tcPr>
          <w:p w14:paraId="299877AD" w14:textId="77777777" w:rsidR="00F73D5B" w:rsidRPr="008B7A21" w:rsidRDefault="00F73D5B" w:rsidP="00767A6A">
            <w:pPr>
              <w:pStyle w:val="Tabletext"/>
              <w:keepNext/>
              <w:keepLines/>
              <w:ind w:left="-57" w:right="-57"/>
              <w:jc w:val="center"/>
              <w:rPr>
                <w:sz w:val="20"/>
                <w:lang w:val="es-ES_tradnl"/>
              </w:rPr>
            </w:pPr>
            <w:r w:rsidRPr="008B7A21">
              <w:rPr>
                <w:sz w:val="20"/>
                <w:lang w:val="es-ES_tradnl"/>
              </w:rPr>
              <w:t>10</w:t>
            </w:r>
            <w:r w:rsidRPr="008B7A21">
              <w:rPr>
                <w:sz w:val="20"/>
                <w:lang w:val="es-ES_tradnl" w:eastAsia="ko-KR"/>
              </w:rPr>
              <w:t>~</w:t>
            </w:r>
            <w:r w:rsidRPr="008B7A21">
              <w:rPr>
                <w:sz w:val="20"/>
                <w:lang w:val="es-ES_tradnl"/>
              </w:rPr>
              <w:t>20</w:t>
            </w:r>
          </w:p>
        </w:tc>
        <w:tc>
          <w:tcPr>
            <w:tcW w:w="624" w:type="dxa"/>
            <w:vAlign w:val="center"/>
          </w:tcPr>
          <w:p w14:paraId="5933E284" w14:textId="77777777" w:rsidR="00F73D5B" w:rsidRPr="008B7A21" w:rsidRDefault="00F73D5B" w:rsidP="00767A6A">
            <w:pPr>
              <w:pStyle w:val="Tabletext"/>
              <w:keepNext/>
              <w:keepLines/>
              <w:ind w:left="-57" w:right="-57"/>
              <w:jc w:val="center"/>
              <w:rPr>
                <w:sz w:val="20"/>
                <w:lang w:val="es-ES_tradnl" w:eastAsia="ko-KR"/>
              </w:rPr>
            </w:pPr>
            <w:r w:rsidRPr="008B7A21">
              <w:rPr>
                <w:sz w:val="20"/>
                <w:lang w:val="es-ES_tradnl"/>
              </w:rPr>
              <w:t>20</w:t>
            </w:r>
            <w:r w:rsidRPr="008B7A21">
              <w:rPr>
                <w:sz w:val="20"/>
                <w:lang w:val="es-ES_tradnl" w:eastAsia="ko-KR"/>
              </w:rPr>
              <w:t>~</w:t>
            </w:r>
            <w:r w:rsidRPr="008B7A21">
              <w:rPr>
                <w:sz w:val="20"/>
                <w:lang w:val="es-ES_tradnl"/>
              </w:rPr>
              <w:t>30</w:t>
            </w:r>
          </w:p>
        </w:tc>
        <w:tc>
          <w:tcPr>
            <w:tcW w:w="624" w:type="dxa"/>
            <w:vAlign w:val="center"/>
          </w:tcPr>
          <w:p w14:paraId="3685C469" w14:textId="77777777" w:rsidR="00F73D5B" w:rsidRPr="008B7A21" w:rsidRDefault="00F73D5B" w:rsidP="00767A6A">
            <w:pPr>
              <w:pStyle w:val="Tabletext"/>
              <w:keepNext/>
              <w:keepLines/>
              <w:ind w:left="-57" w:right="-57"/>
              <w:jc w:val="center"/>
              <w:rPr>
                <w:sz w:val="20"/>
                <w:lang w:val="es-ES_tradnl" w:eastAsia="ko-KR"/>
              </w:rPr>
            </w:pPr>
            <w:r w:rsidRPr="008B7A21">
              <w:rPr>
                <w:sz w:val="20"/>
                <w:lang w:val="es-ES_tradnl"/>
              </w:rPr>
              <w:t>30</w:t>
            </w:r>
            <w:r w:rsidRPr="008B7A21">
              <w:rPr>
                <w:sz w:val="20"/>
                <w:lang w:val="es-ES_tradnl" w:eastAsia="ko-KR"/>
              </w:rPr>
              <w:t>~</w:t>
            </w:r>
            <w:r w:rsidRPr="008B7A21">
              <w:rPr>
                <w:sz w:val="20"/>
                <w:lang w:val="es-ES_tradnl"/>
              </w:rPr>
              <w:t>40</w:t>
            </w:r>
          </w:p>
        </w:tc>
        <w:tc>
          <w:tcPr>
            <w:tcW w:w="624" w:type="dxa"/>
            <w:vAlign w:val="center"/>
          </w:tcPr>
          <w:p w14:paraId="44CCBD8C" w14:textId="77777777" w:rsidR="00F73D5B" w:rsidRPr="008B7A21" w:rsidRDefault="00F73D5B" w:rsidP="00767A6A">
            <w:pPr>
              <w:pStyle w:val="Tabletext"/>
              <w:keepNext/>
              <w:keepLines/>
              <w:ind w:left="-57" w:right="-57"/>
              <w:jc w:val="center"/>
              <w:rPr>
                <w:sz w:val="20"/>
                <w:lang w:val="es-ES_tradnl" w:eastAsia="ko-KR"/>
              </w:rPr>
            </w:pPr>
            <w:r w:rsidRPr="008B7A21">
              <w:rPr>
                <w:sz w:val="20"/>
                <w:lang w:val="es-ES_tradnl"/>
              </w:rPr>
              <w:t>40</w:t>
            </w:r>
            <w:r w:rsidRPr="008B7A21">
              <w:rPr>
                <w:sz w:val="20"/>
                <w:lang w:val="es-ES_tradnl" w:eastAsia="ko-KR"/>
              </w:rPr>
              <w:t>~45</w:t>
            </w:r>
          </w:p>
        </w:tc>
        <w:tc>
          <w:tcPr>
            <w:tcW w:w="624" w:type="dxa"/>
            <w:vAlign w:val="center"/>
          </w:tcPr>
          <w:p w14:paraId="7D906FAF" w14:textId="77777777" w:rsidR="00F73D5B" w:rsidRPr="008B7A21" w:rsidRDefault="00F73D5B" w:rsidP="00767A6A">
            <w:pPr>
              <w:pStyle w:val="Tabletext"/>
              <w:keepNext/>
              <w:keepLines/>
              <w:ind w:left="-57" w:right="-57"/>
              <w:jc w:val="center"/>
              <w:rPr>
                <w:sz w:val="20"/>
                <w:lang w:val="es-ES_tradnl" w:eastAsia="ko-KR"/>
              </w:rPr>
            </w:pPr>
            <w:r w:rsidRPr="008B7A21">
              <w:rPr>
                <w:sz w:val="20"/>
                <w:lang w:val="es-ES_tradnl" w:eastAsia="ko-KR"/>
              </w:rPr>
              <w:t>45~</w:t>
            </w:r>
            <w:r w:rsidRPr="008B7A21">
              <w:rPr>
                <w:sz w:val="20"/>
                <w:lang w:val="es-ES_tradnl"/>
              </w:rPr>
              <w:t>50</w:t>
            </w:r>
          </w:p>
        </w:tc>
        <w:tc>
          <w:tcPr>
            <w:tcW w:w="624" w:type="dxa"/>
            <w:vAlign w:val="center"/>
          </w:tcPr>
          <w:p w14:paraId="291985E3" w14:textId="77777777" w:rsidR="00F73D5B" w:rsidRPr="008B7A21" w:rsidRDefault="00F73D5B" w:rsidP="00767A6A">
            <w:pPr>
              <w:pStyle w:val="Tabletext"/>
              <w:keepNext/>
              <w:keepLines/>
              <w:ind w:left="-57" w:right="-57"/>
              <w:jc w:val="center"/>
              <w:rPr>
                <w:sz w:val="20"/>
                <w:lang w:val="es-ES_tradnl" w:eastAsia="ko-KR"/>
              </w:rPr>
            </w:pPr>
            <w:r w:rsidRPr="008B7A21">
              <w:rPr>
                <w:sz w:val="20"/>
                <w:lang w:val="es-ES_tradnl" w:eastAsia="ko-KR"/>
              </w:rPr>
              <w:t>50~55</w:t>
            </w:r>
          </w:p>
        </w:tc>
        <w:tc>
          <w:tcPr>
            <w:tcW w:w="624" w:type="dxa"/>
            <w:vAlign w:val="center"/>
          </w:tcPr>
          <w:p w14:paraId="53320BF0" w14:textId="77777777" w:rsidR="00F73D5B" w:rsidRPr="008B7A21" w:rsidRDefault="00F73D5B" w:rsidP="00767A6A">
            <w:pPr>
              <w:pStyle w:val="Tabletext"/>
              <w:keepNext/>
              <w:keepLines/>
              <w:ind w:left="-57" w:right="-57"/>
              <w:jc w:val="center"/>
              <w:rPr>
                <w:sz w:val="20"/>
                <w:lang w:val="es-ES_tradnl" w:eastAsia="ko-KR"/>
              </w:rPr>
            </w:pPr>
            <w:r w:rsidRPr="008B7A21">
              <w:rPr>
                <w:sz w:val="20"/>
                <w:lang w:val="es-ES_tradnl" w:eastAsia="ko-KR"/>
              </w:rPr>
              <w:t>55~60</w:t>
            </w:r>
          </w:p>
        </w:tc>
        <w:tc>
          <w:tcPr>
            <w:tcW w:w="624" w:type="dxa"/>
            <w:vAlign w:val="center"/>
          </w:tcPr>
          <w:p w14:paraId="4200D20D" w14:textId="77777777" w:rsidR="00F73D5B" w:rsidRPr="008B7A21" w:rsidRDefault="00F73D5B" w:rsidP="00767A6A">
            <w:pPr>
              <w:pStyle w:val="Tabletext"/>
              <w:keepNext/>
              <w:keepLines/>
              <w:ind w:left="-57" w:right="-57"/>
              <w:jc w:val="center"/>
              <w:rPr>
                <w:sz w:val="20"/>
                <w:lang w:val="es-ES_tradnl" w:eastAsia="ko-KR"/>
              </w:rPr>
            </w:pPr>
            <w:r w:rsidRPr="008B7A21">
              <w:rPr>
                <w:sz w:val="20"/>
                <w:lang w:val="es-ES_tradnl" w:eastAsia="ko-KR"/>
              </w:rPr>
              <w:t>60~70</w:t>
            </w:r>
          </w:p>
        </w:tc>
        <w:tc>
          <w:tcPr>
            <w:tcW w:w="624" w:type="dxa"/>
            <w:vAlign w:val="center"/>
          </w:tcPr>
          <w:p w14:paraId="34870AB9" w14:textId="77777777" w:rsidR="00F73D5B" w:rsidRPr="008B7A21" w:rsidRDefault="00F73D5B" w:rsidP="00767A6A">
            <w:pPr>
              <w:pStyle w:val="Tabletext"/>
              <w:keepNext/>
              <w:keepLines/>
              <w:ind w:left="-57" w:right="-57"/>
              <w:jc w:val="center"/>
              <w:rPr>
                <w:sz w:val="20"/>
                <w:lang w:val="es-ES_tradnl" w:eastAsia="ko-KR"/>
              </w:rPr>
            </w:pPr>
            <w:r w:rsidRPr="008B7A21">
              <w:rPr>
                <w:sz w:val="20"/>
                <w:lang w:val="es-ES_tradnl" w:eastAsia="ko-KR"/>
              </w:rPr>
              <w:t>&gt;70</w:t>
            </w:r>
          </w:p>
        </w:tc>
      </w:tr>
      <w:tr w:rsidR="00F73D5B" w:rsidRPr="008B7A21" w14:paraId="5A181762" w14:textId="77777777" w:rsidTr="00767A6A">
        <w:trPr>
          <w:jc w:val="center"/>
        </w:trPr>
        <w:tc>
          <w:tcPr>
            <w:tcW w:w="3402" w:type="dxa"/>
          </w:tcPr>
          <w:p w14:paraId="65883936" w14:textId="77777777" w:rsidR="00F73D5B" w:rsidRPr="008B7A21" w:rsidRDefault="00F73D5B" w:rsidP="00767A6A">
            <w:pPr>
              <w:pStyle w:val="Tabletext"/>
              <w:jc w:val="left"/>
              <w:rPr>
                <w:sz w:val="20"/>
                <w:lang w:val="es-ES_tradnl"/>
              </w:rPr>
            </w:pPr>
            <w:r w:rsidRPr="008B7A21">
              <w:rPr>
                <w:sz w:val="20"/>
                <w:lang w:val="es-ES_tradnl" w:eastAsia="ko-KR"/>
              </w:rPr>
              <w:t>Factor de exención por compartición de instalaciones</w:t>
            </w:r>
          </w:p>
        </w:tc>
        <w:tc>
          <w:tcPr>
            <w:tcW w:w="624" w:type="dxa"/>
            <w:vAlign w:val="center"/>
          </w:tcPr>
          <w:p w14:paraId="3607AC60" w14:textId="77777777" w:rsidR="00F73D5B" w:rsidRPr="008B7A21" w:rsidRDefault="00F73D5B" w:rsidP="00767A6A">
            <w:pPr>
              <w:pStyle w:val="Tabletext"/>
              <w:ind w:left="-57" w:right="-57"/>
              <w:jc w:val="center"/>
              <w:rPr>
                <w:sz w:val="20"/>
                <w:lang w:val="es-ES_tradnl"/>
              </w:rPr>
            </w:pPr>
            <w:r w:rsidRPr="008B7A21">
              <w:rPr>
                <w:sz w:val="20"/>
                <w:lang w:val="es-ES_tradnl"/>
              </w:rPr>
              <w:t>0,01</w:t>
            </w:r>
          </w:p>
        </w:tc>
        <w:tc>
          <w:tcPr>
            <w:tcW w:w="624" w:type="dxa"/>
            <w:vAlign w:val="center"/>
          </w:tcPr>
          <w:p w14:paraId="5F6CBDF5" w14:textId="77777777" w:rsidR="00F73D5B" w:rsidRPr="008B7A21" w:rsidRDefault="00F73D5B" w:rsidP="00767A6A">
            <w:pPr>
              <w:pStyle w:val="Tabletext"/>
              <w:ind w:left="-57" w:right="-57"/>
              <w:jc w:val="center"/>
              <w:rPr>
                <w:sz w:val="20"/>
                <w:lang w:val="es-ES_tradnl" w:eastAsia="ko-KR"/>
              </w:rPr>
            </w:pPr>
            <w:r w:rsidRPr="008B7A21">
              <w:rPr>
                <w:sz w:val="20"/>
                <w:lang w:val="es-ES_tradnl"/>
              </w:rPr>
              <w:t>0,02</w:t>
            </w:r>
          </w:p>
        </w:tc>
        <w:tc>
          <w:tcPr>
            <w:tcW w:w="624" w:type="dxa"/>
            <w:vAlign w:val="center"/>
          </w:tcPr>
          <w:p w14:paraId="69C04D19" w14:textId="77777777" w:rsidR="00F73D5B" w:rsidRPr="008B7A21" w:rsidRDefault="00F73D5B" w:rsidP="00767A6A">
            <w:pPr>
              <w:pStyle w:val="Tabletext"/>
              <w:ind w:left="-57" w:right="-57"/>
              <w:jc w:val="center"/>
              <w:rPr>
                <w:sz w:val="20"/>
                <w:lang w:val="es-ES_tradnl" w:eastAsia="ko-KR"/>
              </w:rPr>
            </w:pPr>
            <w:r w:rsidRPr="008B7A21">
              <w:rPr>
                <w:sz w:val="20"/>
                <w:lang w:val="es-ES_tradnl" w:eastAsia="ko-KR"/>
              </w:rPr>
              <w:t>0,03</w:t>
            </w:r>
          </w:p>
        </w:tc>
        <w:tc>
          <w:tcPr>
            <w:tcW w:w="624" w:type="dxa"/>
            <w:vAlign w:val="center"/>
          </w:tcPr>
          <w:p w14:paraId="115AA3E8" w14:textId="77777777" w:rsidR="00F73D5B" w:rsidRPr="008B7A21" w:rsidRDefault="00F73D5B" w:rsidP="00767A6A">
            <w:pPr>
              <w:pStyle w:val="Tabletext"/>
              <w:ind w:left="-57" w:right="-57"/>
              <w:jc w:val="center"/>
              <w:rPr>
                <w:sz w:val="20"/>
                <w:lang w:val="es-ES_tradnl" w:eastAsia="ko-KR"/>
              </w:rPr>
            </w:pPr>
            <w:r w:rsidRPr="008B7A21">
              <w:rPr>
                <w:sz w:val="20"/>
                <w:lang w:val="es-ES_tradnl"/>
              </w:rPr>
              <w:t>0,04</w:t>
            </w:r>
          </w:p>
        </w:tc>
        <w:tc>
          <w:tcPr>
            <w:tcW w:w="624" w:type="dxa"/>
            <w:vAlign w:val="center"/>
          </w:tcPr>
          <w:p w14:paraId="5D4EBD5E" w14:textId="77777777" w:rsidR="00F73D5B" w:rsidRPr="008B7A21" w:rsidRDefault="00F73D5B" w:rsidP="00767A6A">
            <w:pPr>
              <w:pStyle w:val="Tabletext"/>
              <w:ind w:left="-57" w:right="-57"/>
              <w:jc w:val="center"/>
              <w:rPr>
                <w:sz w:val="20"/>
                <w:lang w:val="es-ES_tradnl" w:eastAsia="ko-KR"/>
              </w:rPr>
            </w:pPr>
            <w:r w:rsidRPr="008B7A21">
              <w:rPr>
                <w:sz w:val="20"/>
                <w:lang w:val="es-ES_tradnl" w:eastAsia="ko-KR"/>
              </w:rPr>
              <w:t>0,05</w:t>
            </w:r>
          </w:p>
        </w:tc>
        <w:tc>
          <w:tcPr>
            <w:tcW w:w="624" w:type="dxa"/>
            <w:vAlign w:val="center"/>
          </w:tcPr>
          <w:p w14:paraId="30C3A0EE" w14:textId="77777777" w:rsidR="00F73D5B" w:rsidRPr="008B7A21" w:rsidRDefault="00F73D5B" w:rsidP="00767A6A">
            <w:pPr>
              <w:pStyle w:val="Tabletext"/>
              <w:ind w:left="-57" w:right="-57"/>
              <w:jc w:val="center"/>
              <w:rPr>
                <w:sz w:val="20"/>
                <w:lang w:val="es-ES_tradnl" w:eastAsia="ko-KR"/>
              </w:rPr>
            </w:pPr>
            <w:r w:rsidRPr="008B7A21">
              <w:rPr>
                <w:sz w:val="20"/>
                <w:lang w:val="es-ES_tradnl"/>
              </w:rPr>
              <w:t>0,06</w:t>
            </w:r>
          </w:p>
        </w:tc>
        <w:tc>
          <w:tcPr>
            <w:tcW w:w="624" w:type="dxa"/>
            <w:vAlign w:val="center"/>
          </w:tcPr>
          <w:p w14:paraId="5C01A5DF" w14:textId="77777777" w:rsidR="00F73D5B" w:rsidRPr="008B7A21" w:rsidRDefault="00F73D5B" w:rsidP="00767A6A">
            <w:pPr>
              <w:pStyle w:val="Tabletext"/>
              <w:ind w:left="-57" w:right="-57"/>
              <w:jc w:val="center"/>
              <w:rPr>
                <w:sz w:val="20"/>
                <w:lang w:val="es-ES_tradnl" w:eastAsia="ko-KR"/>
              </w:rPr>
            </w:pPr>
            <w:r w:rsidRPr="008B7A21">
              <w:rPr>
                <w:sz w:val="20"/>
                <w:lang w:val="es-ES_tradnl" w:eastAsia="ko-KR"/>
              </w:rPr>
              <w:t>0,07</w:t>
            </w:r>
          </w:p>
        </w:tc>
        <w:tc>
          <w:tcPr>
            <w:tcW w:w="624" w:type="dxa"/>
            <w:vAlign w:val="center"/>
          </w:tcPr>
          <w:p w14:paraId="46454CEE" w14:textId="77777777" w:rsidR="00F73D5B" w:rsidRPr="008B7A21" w:rsidRDefault="00F73D5B" w:rsidP="00767A6A">
            <w:pPr>
              <w:pStyle w:val="Tabletext"/>
              <w:ind w:left="-57" w:right="-57"/>
              <w:jc w:val="center"/>
              <w:rPr>
                <w:sz w:val="20"/>
                <w:lang w:val="es-ES_tradnl" w:eastAsia="ko-KR"/>
              </w:rPr>
            </w:pPr>
            <w:r w:rsidRPr="008B7A21">
              <w:rPr>
                <w:sz w:val="20"/>
                <w:lang w:val="es-ES_tradnl"/>
              </w:rPr>
              <w:t>0,08</w:t>
            </w:r>
          </w:p>
        </w:tc>
        <w:tc>
          <w:tcPr>
            <w:tcW w:w="624" w:type="dxa"/>
            <w:vAlign w:val="center"/>
          </w:tcPr>
          <w:p w14:paraId="6BA51608" w14:textId="77777777" w:rsidR="00F73D5B" w:rsidRPr="008B7A21" w:rsidRDefault="00F73D5B" w:rsidP="00767A6A">
            <w:pPr>
              <w:pStyle w:val="Tabletext"/>
              <w:ind w:left="-57" w:right="-57"/>
              <w:jc w:val="center"/>
              <w:rPr>
                <w:sz w:val="20"/>
                <w:lang w:val="es-ES_tradnl" w:eastAsia="ko-KR"/>
              </w:rPr>
            </w:pPr>
            <w:r w:rsidRPr="008B7A21">
              <w:rPr>
                <w:sz w:val="20"/>
                <w:lang w:val="es-ES_tradnl" w:eastAsia="ko-KR"/>
              </w:rPr>
              <w:t>0,09</w:t>
            </w:r>
          </w:p>
        </w:tc>
        <w:tc>
          <w:tcPr>
            <w:tcW w:w="624" w:type="dxa"/>
            <w:vAlign w:val="center"/>
          </w:tcPr>
          <w:p w14:paraId="374B2D5D" w14:textId="77777777" w:rsidR="00F73D5B" w:rsidRPr="008B7A21" w:rsidRDefault="00F73D5B" w:rsidP="00767A6A">
            <w:pPr>
              <w:pStyle w:val="Tabletext"/>
              <w:ind w:left="-57" w:right="-57"/>
              <w:jc w:val="center"/>
              <w:rPr>
                <w:sz w:val="20"/>
                <w:lang w:val="es-ES_tradnl" w:eastAsia="ko-KR"/>
              </w:rPr>
            </w:pPr>
            <w:r w:rsidRPr="008B7A21">
              <w:rPr>
                <w:sz w:val="20"/>
                <w:lang w:val="es-ES_tradnl"/>
              </w:rPr>
              <w:t>0,10</w:t>
            </w:r>
          </w:p>
        </w:tc>
      </w:tr>
      <w:tr w:rsidR="00F73D5B" w:rsidRPr="008B7A21" w14:paraId="6DD4164D" w14:textId="77777777" w:rsidTr="00767A6A">
        <w:trPr>
          <w:jc w:val="center"/>
        </w:trPr>
        <w:tc>
          <w:tcPr>
            <w:tcW w:w="3402" w:type="dxa"/>
          </w:tcPr>
          <w:p w14:paraId="6945F932" w14:textId="77777777" w:rsidR="00F73D5B" w:rsidRPr="008B7A21" w:rsidRDefault="00F73D5B" w:rsidP="00767A6A">
            <w:pPr>
              <w:pStyle w:val="Tabletext"/>
              <w:jc w:val="left"/>
              <w:rPr>
                <w:sz w:val="20"/>
                <w:lang w:val="es-ES_tradnl"/>
              </w:rPr>
            </w:pPr>
            <w:r w:rsidRPr="008B7A21">
              <w:rPr>
                <w:sz w:val="20"/>
                <w:lang w:val="es-ES_tradnl" w:eastAsia="ko-KR"/>
              </w:rPr>
              <w:t>F</w:t>
            </w:r>
            <w:r w:rsidRPr="008B7A21">
              <w:rPr>
                <w:sz w:val="20"/>
                <w:lang w:val="es-ES_tradnl"/>
              </w:rPr>
              <w:t>actor de exención por motivos ecológicos</w:t>
            </w:r>
          </w:p>
        </w:tc>
        <w:tc>
          <w:tcPr>
            <w:tcW w:w="624" w:type="dxa"/>
            <w:vAlign w:val="center"/>
          </w:tcPr>
          <w:p w14:paraId="3C75D0E6" w14:textId="77777777" w:rsidR="00F73D5B" w:rsidRPr="008B7A21" w:rsidRDefault="00F73D5B" w:rsidP="00767A6A">
            <w:pPr>
              <w:pStyle w:val="Tabletext"/>
              <w:ind w:left="-57" w:right="-57"/>
              <w:jc w:val="center"/>
              <w:rPr>
                <w:sz w:val="20"/>
                <w:lang w:val="es-ES_tradnl" w:eastAsia="ko-KR"/>
              </w:rPr>
            </w:pPr>
            <w:r w:rsidRPr="008B7A21">
              <w:rPr>
                <w:sz w:val="20"/>
                <w:lang w:val="es-ES_tradnl" w:eastAsia="ko-KR"/>
              </w:rPr>
              <w:t>0,01</w:t>
            </w:r>
          </w:p>
        </w:tc>
        <w:tc>
          <w:tcPr>
            <w:tcW w:w="624" w:type="dxa"/>
            <w:vAlign w:val="center"/>
          </w:tcPr>
          <w:p w14:paraId="0EDBEA50" w14:textId="77777777" w:rsidR="00F73D5B" w:rsidRPr="008B7A21" w:rsidRDefault="00F73D5B" w:rsidP="00767A6A">
            <w:pPr>
              <w:pStyle w:val="Tabletext"/>
              <w:ind w:left="-57" w:right="-57"/>
              <w:jc w:val="center"/>
              <w:rPr>
                <w:sz w:val="20"/>
                <w:lang w:val="es-ES_tradnl" w:eastAsia="ko-KR"/>
              </w:rPr>
            </w:pPr>
            <w:r w:rsidRPr="008B7A21">
              <w:rPr>
                <w:sz w:val="20"/>
                <w:lang w:val="es-ES_tradnl" w:eastAsia="ko-KR"/>
              </w:rPr>
              <w:t>0,02</w:t>
            </w:r>
          </w:p>
        </w:tc>
        <w:tc>
          <w:tcPr>
            <w:tcW w:w="624" w:type="dxa"/>
            <w:vAlign w:val="center"/>
          </w:tcPr>
          <w:p w14:paraId="25B8C1FA" w14:textId="77777777" w:rsidR="00F73D5B" w:rsidRPr="008B7A21" w:rsidRDefault="00F73D5B" w:rsidP="00767A6A">
            <w:pPr>
              <w:pStyle w:val="Tabletext"/>
              <w:ind w:left="-57" w:right="-57"/>
              <w:jc w:val="center"/>
              <w:rPr>
                <w:sz w:val="20"/>
                <w:lang w:val="es-ES_tradnl" w:eastAsia="ko-KR"/>
              </w:rPr>
            </w:pPr>
            <w:r w:rsidRPr="008B7A21">
              <w:rPr>
                <w:sz w:val="20"/>
                <w:lang w:val="es-ES_tradnl" w:eastAsia="ko-KR"/>
              </w:rPr>
              <w:t>0,03</w:t>
            </w:r>
          </w:p>
        </w:tc>
        <w:tc>
          <w:tcPr>
            <w:tcW w:w="624" w:type="dxa"/>
            <w:vAlign w:val="center"/>
          </w:tcPr>
          <w:p w14:paraId="3BF64F2A" w14:textId="77777777" w:rsidR="00F73D5B" w:rsidRPr="008B7A21" w:rsidRDefault="00F73D5B" w:rsidP="00767A6A">
            <w:pPr>
              <w:pStyle w:val="Tabletext"/>
              <w:ind w:left="-57" w:right="-57"/>
              <w:jc w:val="center"/>
              <w:rPr>
                <w:sz w:val="20"/>
                <w:lang w:val="es-ES_tradnl" w:eastAsia="ko-KR"/>
              </w:rPr>
            </w:pPr>
            <w:r w:rsidRPr="008B7A21">
              <w:rPr>
                <w:sz w:val="20"/>
                <w:lang w:val="es-ES_tradnl" w:eastAsia="ko-KR"/>
              </w:rPr>
              <w:t>0,04</w:t>
            </w:r>
          </w:p>
        </w:tc>
        <w:tc>
          <w:tcPr>
            <w:tcW w:w="624" w:type="dxa"/>
            <w:vAlign w:val="center"/>
          </w:tcPr>
          <w:p w14:paraId="7347D2B3" w14:textId="77777777" w:rsidR="00F73D5B" w:rsidRPr="008B7A21" w:rsidRDefault="00F73D5B" w:rsidP="00767A6A">
            <w:pPr>
              <w:pStyle w:val="Tabletext"/>
              <w:ind w:left="-57" w:right="-57"/>
              <w:jc w:val="center"/>
              <w:rPr>
                <w:sz w:val="20"/>
                <w:lang w:val="es-ES_tradnl" w:eastAsia="ko-KR"/>
              </w:rPr>
            </w:pPr>
            <w:r w:rsidRPr="008B7A21">
              <w:rPr>
                <w:sz w:val="20"/>
                <w:lang w:val="es-ES_tradnl"/>
              </w:rPr>
              <w:t>0,05</w:t>
            </w:r>
          </w:p>
        </w:tc>
        <w:tc>
          <w:tcPr>
            <w:tcW w:w="624" w:type="dxa"/>
            <w:vAlign w:val="center"/>
          </w:tcPr>
          <w:p w14:paraId="256B1211" w14:textId="77777777" w:rsidR="00F73D5B" w:rsidRPr="008B7A21" w:rsidRDefault="00F73D5B" w:rsidP="00767A6A">
            <w:pPr>
              <w:pStyle w:val="Tabletext"/>
              <w:ind w:left="-57" w:right="-57"/>
              <w:jc w:val="center"/>
              <w:rPr>
                <w:sz w:val="20"/>
                <w:lang w:val="es-ES_tradnl" w:eastAsia="ko-KR"/>
              </w:rPr>
            </w:pPr>
            <w:r w:rsidRPr="008B7A21">
              <w:rPr>
                <w:sz w:val="20"/>
                <w:lang w:val="es-ES_tradnl"/>
              </w:rPr>
              <w:t>0,</w:t>
            </w:r>
            <w:r w:rsidRPr="008B7A21">
              <w:rPr>
                <w:sz w:val="20"/>
                <w:lang w:val="es-ES_tradnl" w:eastAsia="ko-KR"/>
              </w:rPr>
              <w:t>06</w:t>
            </w:r>
          </w:p>
        </w:tc>
        <w:tc>
          <w:tcPr>
            <w:tcW w:w="624" w:type="dxa"/>
            <w:vAlign w:val="center"/>
          </w:tcPr>
          <w:p w14:paraId="17A0E587" w14:textId="77777777" w:rsidR="00F73D5B" w:rsidRPr="008B7A21" w:rsidRDefault="00F73D5B" w:rsidP="00767A6A">
            <w:pPr>
              <w:pStyle w:val="Tabletext"/>
              <w:ind w:left="-57" w:right="-57"/>
              <w:jc w:val="center"/>
              <w:rPr>
                <w:sz w:val="20"/>
                <w:lang w:val="es-ES_tradnl" w:eastAsia="ko-KR"/>
              </w:rPr>
            </w:pPr>
            <w:r w:rsidRPr="008B7A21">
              <w:rPr>
                <w:sz w:val="20"/>
                <w:lang w:val="es-ES_tradnl"/>
              </w:rPr>
              <w:t>0,</w:t>
            </w:r>
            <w:r w:rsidRPr="008B7A21">
              <w:rPr>
                <w:sz w:val="20"/>
                <w:lang w:val="es-ES_tradnl" w:eastAsia="ko-KR"/>
              </w:rPr>
              <w:t>07</w:t>
            </w:r>
          </w:p>
        </w:tc>
        <w:tc>
          <w:tcPr>
            <w:tcW w:w="624" w:type="dxa"/>
            <w:vAlign w:val="center"/>
          </w:tcPr>
          <w:p w14:paraId="12922D3C" w14:textId="77777777" w:rsidR="00F73D5B" w:rsidRPr="008B7A21" w:rsidRDefault="00F73D5B" w:rsidP="00767A6A">
            <w:pPr>
              <w:pStyle w:val="Tabletext"/>
              <w:ind w:left="-57" w:right="-57"/>
              <w:jc w:val="center"/>
              <w:rPr>
                <w:sz w:val="20"/>
                <w:lang w:val="es-ES_tradnl" w:eastAsia="ko-KR"/>
              </w:rPr>
            </w:pPr>
            <w:r w:rsidRPr="008B7A21">
              <w:rPr>
                <w:sz w:val="20"/>
                <w:lang w:val="es-ES_tradnl"/>
              </w:rPr>
              <w:t>0,</w:t>
            </w:r>
            <w:r w:rsidRPr="008B7A21">
              <w:rPr>
                <w:sz w:val="20"/>
                <w:lang w:val="es-ES_tradnl" w:eastAsia="ko-KR"/>
              </w:rPr>
              <w:t>08</w:t>
            </w:r>
          </w:p>
        </w:tc>
        <w:tc>
          <w:tcPr>
            <w:tcW w:w="624" w:type="dxa"/>
            <w:vAlign w:val="center"/>
          </w:tcPr>
          <w:p w14:paraId="0CDE0B53" w14:textId="77777777" w:rsidR="00F73D5B" w:rsidRPr="008B7A21" w:rsidRDefault="00F73D5B" w:rsidP="00767A6A">
            <w:pPr>
              <w:pStyle w:val="Tabletext"/>
              <w:ind w:left="-57" w:right="-57"/>
              <w:jc w:val="center"/>
              <w:rPr>
                <w:sz w:val="20"/>
                <w:lang w:val="es-ES_tradnl" w:eastAsia="ko-KR"/>
              </w:rPr>
            </w:pPr>
            <w:r w:rsidRPr="008B7A21">
              <w:rPr>
                <w:sz w:val="20"/>
                <w:lang w:val="es-ES_tradnl"/>
              </w:rPr>
              <w:t>0,</w:t>
            </w:r>
            <w:r w:rsidRPr="008B7A21">
              <w:rPr>
                <w:sz w:val="20"/>
                <w:lang w:val="es-ES_tradnl" w:eastAsia="ko-KR"/>
              </w:rPr>
              <w:t>09</w:t>
            </w:r>
          </w:p>
        </w:tc>
        <w:tc>
          <w:tcPr>
            <w:tcW w:w="624" w:type="dxa"/>
            <w:vAlign w:val="center"/>
          </w:tcPr>
          <w:p w14:paraId="3D652F4B" w14:textId="77777777" w:rsidR="00F73D5B" w:rsidRPr="008B7A21" w:rsidRDefault="00F73D5B" w:rsidP="00767A6A">
            <w:pPr>
              <w:pStyle w:val="Tabletext"/>
              <w:ind w:left="-57" w:right="-57"/>
              <w:jc w:val="center"/>
              <w:rPr>
                <w:sz w:val="20"/>
                <w:lang w:val="es-ES_tradnl" w:eastAsia="ko-KR"/>
              </w:rPr>
            </w:pPr>
            <w:r w:rsidRPr="008B7A21">
              <w:rPr>
                <w:sz w:val="20"/>
                <w:lang w:val="es-ES_tradnl"/>
              </w:rPr>
              <w:t>0,</w:t>
            </w:r>
            <w:r w:rsidRPr="008B7A21">
              <w:rPr>
                <w:sz w:val="20"/>
                <w:lang w:val="es-ES_tradnl" w:eastAsia="ko-KR"/>
              </w:rPr>
              <w:t>10</w:t>
            </w:r>
          </w:p>
        </w:tc>
      </w:tr>
      <w:tr w:rsidR="00F73D5B" w:rsidRPr="008B7A21" w14:paraId="6E6494D9" w14:textId="77777777" w:rsidTr="00767A6A">
        <w:trPr>
          <w:jc w:val="center"/>
        </w:trPr>
        <w:tc>
          <w:tcPr>
            <w:tcW w:w="3402" w:type="dxa"/>
          </w:tcPr>
          <w:p w14:paraId="7C6881CD" w14:textId="77777777" w:rsidR="00F73D5B" w:rsidRPr="008B7A21" w:rsidRDefault="00F73D5B" w:rsidP="00767A6A">
            <w:pPr>
              <w:pStyle w:val="Tabletext"/>
              <w:jc w:val="left"/>
              <w:rPr>
                <w:sz w:val="20"/>
                <w:lang w:val="es-ES_tradnl" w:eastAsia="ko-KR"/>
              </w:rPr>
            </w:pPr>
            <w:r w:rsidRPr="008B7A21">
              <w:rPr>
                <w:sz w:val="20"/>
                <w:lang w:val="es-ES_tradnl" w:eastAsia="ko-KR"/>
              </w:rPr>
              <w:t>Factor de exención por itinerancia</w:t>
            </w:r>
          </w:p>
        </w:tc>
        <w:tc>
          <w:tcPr>
            <w:tcW w:w="624" w:type="dxa"/>
            <w:vAlign w:val="center"/>
          </w:tcPr>
          <w:p w14:paraId="5048A329" w14:textId="77777777" w:rsidR="00F73D5B" w:rsidRPr="008B7A21" w:rsidRDefault="00F73D5B" w:rsidP="00767A6A">
            <w:pPr>
              <w:pStyle w:val="Tabletext"/>
              <w:jc w:val="center"/>
              <w:rPr>
                <w:sz w:val="20"/>
                <w:lang w:val="es-ES_tradnl" w:eastAsia="ko-KR"/>
              </w:rPr>
            </w:pPr>
            <w:r w:rsidRPr="008B7A21">
              <w:rPr>
                <w:sz w:val="20"/>
                <w:lang w:val="es-ES_tradnl" w:eastAsia="ko-KR"/>
              </w:rPr>
              <w:t>0,05</w:t>
            </w:r>
          </w:p>
        </w:tc>
        <w:tc>
          <w:tcPr>
            <w:tcW w:w="624" w:type="dxa"/>
            <w:vAlign w:val="center"/>
          </w:tcPr>
          <w:p w14:paraId="0DA84852" w14:textId="77777777" w:rsidR="00F73D5B" w:rsidRPr="008B7A21" w:rsidRDefault="00F73D5B" w:rsidP="00767A6A">
            <w:pPr>
              <w:pStyle w:val="Tabletext"/>
              <w:jc w:val="center"/>
              <w:rPr>
                <w:sz w:val="20"/>
                <w:lang w:val="es-ES_tradnl" w:eastAsia="ko-KR"/>
              </w:rPr>
            </w:pPr>
            <w:r w:rsidRPr="008B7A21">
              <w:rPr>
                <w:sz w:val="20"/>
                <w:lang w:val="es-ES_tradnl" w:eastAsia="ko-KR"/>
              </w:rPr>
              <w:t>0,10</w:t>
            </w:r>
          </w:p>
        </w:tc>
        <w:tc>
          <w:tcPr>
            <w:tcW w:w="624" w:type="dxa"/>
            <w:vAlign w:val="center"/>
          </w:tcPr>
          <w:p w14:paraId="0BEB1EE6" w14:textId="77777777" w:rsidR="00F73D5B" w:rsidRPr="008B7A21" w:rsidRDefault="00F73D5B" w:rsidP="00767A6A">
            <w:pPr>
              <w:pStyle w:val="Tabletext"/>
              <w:jc w:val="center"/>
              <w:rPr>
                <w:sz w:val="20"/>
                <w:lang w:val="es-ES_tradnl" w:eastAsia="ko-KR"/>
              </w:rPr>
            </w:pPr>
            <w:r w:rsidRPr="008B7A21">
              <w:rPr>
                <w:sz w:val="20"/>
                <w:lang w:val="es-ES_tradnl" w:eastAsia="ko-KR"/>
              </w:rPr>
              <w:t>0,15</w:t>
            </w:r>
          </w:p>
        </w:tc>
        <w:tc>
          <w:tcPr>
            <w:tcW w:w="624" w:type="dxa"/>
            <w:vAlign w:val="center"/>
          </w:tcPr>
          <w:p w14:paraId="560D1E5E" w14:textId="77777777" w:rsidR="00F73D5B" w:rsidRPr="008B7A21" w:rsidRDefault="00F73D5B" w:rsidP="00767A6A">
            <w:pPr>
              <w:pStyle w:val="Tabletext"/>
              <w:jc w:val="center"/>
              <w:rPr>
                <w:sz w:val="20"/>
                <w:lang w:val="es-ES_tradnl" w:eastAsia="ko-KR"/>
              </w:rPr>
            </w:pPr>
            <w:r w:rsidRPr="008B7A21">
              <w:rPr>
                <w:sz w:val="20"/>
                <w:lang w:val="es-ES_tradnl" w:eastAsia="ko-KR"/>
              </w:rPr>
              <w:t>0,20</w:t>
            </w:r>
          </w:p>
        </w:tc>
        <w:tc>
          <w:tcPr>
            <w:tcW w:w="1248" w:type="dxa"/>
            <w:gridSpan w:val="2"/>
            <w:vAlign w:val="center"/>
          </w:tcPr>
          <w:p w14:paraId="5052DA8F" w14:textId="77777777" w:rsidR="00F73D5B" w:rsidRPr="008B7A21" w:rsidRDefault="00F73D5B" w:rsidP="00767A6A">
            <w:pPr>
              <w:pStyle w:val="Tabletext"/>
              <w:jc w:val="center"/>
              <w:rPr>
                <w:sz w:val="20"/>
                <w:lang w:val="es-ES_tradnl" w:eastAsia="ko-KR"/>
              </w:rPr>
            </w:pPr>
            <w:r w:rsidRPr="008B7A21">
              <w:rPr>
                <w:sz w:val="20"/>
                <w:lang w:val="es-ES_tradnl" w:eastAsia="ko-KR"/>
              </w:rPr>
              <w:t>0,25</w:t>
            </w:r>
          </w:p>
        </w:tc>
        <w:tc>
          <w:tcPr>
            <w:tcW w:w="2496" w:type="dxa"/>
            <w:gridSpan w:val="4"/>
            <w:vAlign w:val="center"/>
          </w:tcPr>
          <w:p w14:paraId="159774B2" w14:textId="77777777" w:rsidR="00F73D5B" w:rsidRPr="008B7A21" w:rsidRDefault="00F73D5B" w:rsidP="00767A6A">
            <w:pPr>
              <w:pStyle w:val="Tabletext"/>
              <w:jc w:val="center"/>
              <w:rPr>
                <w:sz w:val="20"/>
                <w:lang w:val="es-ES_tradnl" w:eastAsia="ko-KR"/>
              </w:rPr>
            </w:pPr>
            <w:r w:rsidRPr="008B7A21">
              <w:rPr>
                <w:sz w:val="20"/>
                <w:lang w:val="es-ES_tradnl" w:eastAsia="ko-KR"/>
              </w:rPr>
              <w:t>0,30</w:t>
            </w:r>
          </w:p>
        </w:tc>
      </w:tr>
    </w:tbl>
    <w:p w14:paraId="23AF2DEA" w14:textId="77777777" w:rsidR="00F73D5B" w:rsidRPr="008B7A21" w:rsidRDefault="00F73D5B" w:rsidP="00F73D5B">
      <w:pPr>
        <w:pStyle w:val="Tablefin"/>
        <w:rPr>
          <w:lang w:val="es-ES_tradnl"/>
        </w:rPr>
      </w:pPr>
    </w:p>
    <w:p w14:paraId="12811ED6" w14:textId="77777777" w:rsidR="00F73D5B" w:rsidRPr="008B7A21" w:rsidRDefault="00F73D5B" w:rsidP="00F73D5B">
      <w:pPr>
        <w:pStyle w:val="Note"/>
        <w:rPr>
          <w:lang w:val="es-ES_tradnl" w:eastAsia="ko-KR"/>
        </w:rPr>
      </w:pPr>
      <w:r w:rsidRPr="008B7A21">
        <w:rPr>
          <w:lang w:val="es-ES_tradnl"/>
        </w:rPr>
        <w:t>NOTA 1 – </w:t>
      </w:r>
      <w:r w:rsidRPr="008B7A21">
        <w:rPr>
          <w:i/>
          <w:iCs/>
          <w:lang w:val="es-ES_tradnl"/>
        </w:rPr>
        <w:t>Tasa de compartición de instalación</w:t>
      </w:r>
      <w:r w:rsidRPr="008B7A21">
        <w:rPr>
          <w:i/>
          <w:lang w:val="es-ES_tradnl"/>
        </w:rPr>
        <w:t>:</w:t>
      </w:r>
      <w:r w:rsidRPr="008B7A21">
        <w:rPr>
          <w:lang w:val="es-ES_tradnl"/>
        </w:rPr>
        <w:t xml:space="preserve"> Relación entre el número de estaciones de radiocomunicaciones servidas por un operador común que comparten instalaciones de radiocomunicaciones y el número total de estaciones de radiocomunicaciones servidas por dicho operador</w:t>
      </w:r>
      <w:r w:rsidRPr="008B7A21">
        <w:rPr>
          <w:lang w:val="es-ES_tradnl" w:eastAsia="ko-KR"/>
        </w:rPr>
        <w:t>.</w:t>
      </w:r>
    </w:p>
    <w:p w14:paraId="7E88AD63" w14:textId="77777777" w:rsidR="00F73D5B" w:rsidRPr="008B7A21" w:rsidRDefault="00F73D5B" w:rsidP="00F73D5B">
      <w:pPr>
        <w:pStyle w:val="Note"/>
        <w:rPr>
          <w:lang w:val="es-ES_tradnl" w:eastAsia="ko-KR"/>
        </w:rPr>
      </w:pPr>
      <w:r w:rsidRPr="008B7A21">
        <w:rPr>
          <w:lang w:val="es-ES_tradnl" w:eastAsia="ko-KR"/>
        </w:rPr>
        <w:t>NOTA</w:t>
      </w:r>
      <w:r w:rsidRPr="008B7A21">
        <w:rPr>
          <w:lang w:val="es-ES_tradnl"/>
        </w:rPr>
        <w:t> 2 – </w:t>
      </w:r>
      <w:r w:rsidRPr="008B7A21">
        <w:rPr>
          <w:i/>
          <w:iCs/>
          <w:lang w:val="es-ES_tradnl"/>
        </w:rPr>
        <w:t>Coeficiente ecológico</w:t>
      </w:r>
      <w:r w:rsidRPr="008B7A21">
        <w:rPr>
          <w:lang w:val="es-ES_tradnl"/>
        </w:rPr>
        <w:t>: Relación entre el número de estaciones de radiocomunicaciones a las que se da servicio con instalaciones ecológicas respecto del número total de estaciones que reciben servicio del operador común.</w:t>
      </w:r>
    </w:p>
    <w:p w14:paraId="5C70B144" w14:textId="77777777" w:rsidR="00F73D5B" w:rsidRPr="008B7A21" w:rsidRDefault="00F73D5B" w:rsidP="00F73D5B">
      <w:pPr>
        <w:pStyle w:val="Note"/>
        <w:rPr>
          <w:lang w:val="es-ES_tradnl"/>
        </w:rPr>
      </w:pPr>
      <w:r w:rsidRPr="008B7A21">
        <w:rPr>
          <w:lang w:val="es-ES_tradnl"/>
        </w:rPr>
        <w:t>NOTA 3 – </w:t>
      </w:r>
      <w:r w:rsidRPr="008B7A21">
        <w:rPr>
          <w:i/>
          <w:iCs/>
          <w:lang w:val="es-ES_tradnl"/>
        </w:rPr>
        <w:t>Tasa de itinerancia</w:t>
      </w:r>
      <w:r w:rsidRPr="008B7A21">
        <w:rPr>
          <w:i/>
          <w:lang w:val="es-ES_tradnl"/>
        </w:rPr>
        <w:t>:</w:t>
      </w:r>
      <w:r w:rsidRPr="008B7A21">
        <w:rPr>
          <w:lang w:val="es-ES_tradnl"/>
        </w:rPr>
        <w:t xml:space="preserve"> Relación entre el número de estaciones de radiocomunicaciones servidas por un operador común que utilizan tecnología de itinerancia y el número total de estaciones de radiocomunicaciones servidas por el operador común.</w:t>
      </w:r>
    </w:p>
    <w:p w14:paraId="6A4D52BF" w14:textId="77777777" w:rsidR="00F73D5B" w:rsidRPr="008B7A21" w:rsidRDefault="00F73D5B" w:rsidP="00D849A8">
      <w:pPr>
        <w:keepNext/>
        <w:keepLines/>
        <w:rPr>
          <w:lang w:val="es-ES_tradnl" w:eastAsia="ko-KR"/>
        </w:rPr>
      </w:pPr>
      <w:bookmarkStart w:id="2043" w:name="_Toc307922693"/>
      <w:bookmarkStart w:id="2044" w:name="_Toc307992042"/>
      <w:bookmarkStart w:id="2045" w:name="_Toc307994077"/>
      <w:bookmarkStart w:id="2046" w:name="_Toc307996483"/>
      <w:bookmarkStart w:id="2047" w:name="_Toc499563128"/>
      <w:r w:rsidRPr="008B7A21">
        <w:rPr>
          <w:lang w:val="es-ES_tradnl" w:eastAsia="ko-KR"/>
        </w:rPr>
        <w:t>d)</w:t>
      </w:r>
      <w:r w:rsidRPr="008B7A21">
        <w:rPr>
          <w:lang w:val="es-ES_tradnl" w:eastAsia="ko-KR"/>
        </w:rPr>
        <w:tab/>
        <w:t>Factor de exención por utilización</w:t>
      </w:r>
      <w:bookmarkEnd w:id="2043"/>
      <w:bookmarkEnd w:id="2044"/>
      <w:bookmarkEnd w:id="2045"/>
      <w:bookmarkEnd w:id="2046"/>
      <w:r w:rsidRPr="008B7A21">
        <w:rPr>
          <w:lang w:val="es-ES_tradnl" w:eastAsia="ko-KR"/>
        </w:rPr>
        <w:t xml:space="preserve"> eficiente de frecuencias</w:t>
      </w:r>
      <w:bookmarkEnd w:id="2047"/>
      <w:r w:rsidRPr="008B7A21">
        <w:rPr>
          <w:lang w:val="es-ES_tradnl" w:eastAsia="ko-KR"/>
        </w:rPr>
        <w:t>:</w:t>
      </w:r>
    </w:p>
    <w:p w14:paraId="336C4972" w14:textId="77777777" w:rsidR="00F73D5B" w:rsidRPr="008B7A21" w:rsidRDefault="00F73D5B" w:rsidP="00D849A8">
      <w:pPr>
        <w:pStyle w:val="TableNo"/>
        <w:keepLines/>
        <w:rPr>
          <w:lang w:val="es-ES_tradnl" w:eastAsia="ko-KR"/>
        </w:rPr>
      </w:pPr>
      <w:r w:rsidRPr="008B7A21">
        <w:rPr>
          <w:lang w:val="es-ES_tradnl" w:eastAsia="ko-KR"/>
        </w:rPr>
        <w:t>CUADRO 39</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89"/>
        <w:gridCol w:w="794"/>
        <w:gridCol w:w="1020"/>
        <w:gridCol w:w="1020"/>
        <w:gridCol w:w="1020"/>
        <w:gridCol w:w="794"/>
      </w:tblGrid>
      <w:tr w:rsidR="00F73D5B" w:rsidRPr="008B7A21" w14:paraId="69227D1E" w14:textId="77777777" w:rsidTr="00767A6A">
        <w:trPr>
          <w:jc w:val="center"/>
        </w:trPr>
        <w:tc>
          <w:tcPr>
            <w:tcW w:w="4989" w:type="dxa"/>
            <w:tcBorders>
              <w:top w:val="single" w:sz="4" w:space="0" w:color="auto"/>
              <w:left w:val="single" w:sz="4" w:space="0" w:color="auto"/>
              <w:bottom w:val="single" w:sz="4" w:space="0" w:color="auto"/>
              <w:right w:val="single" w:sz="4" w:space="0" w:color="auto"/>
            </w:tcBorders>
          </w:tcPr>
          <w:p w14:paraId="2E917C57" w14:textId="77777777" w:rsidR="00F73D5B" w:rsidRPr="008B7A21" w:rsidRDefault="00F73D5B" w:rsidP="00767A6A">
            <w:pPr>
              <w:pStyle w:val="Tabletext"/>
              <w:jc w:val="left"/>
              <w:rPr>
                <w:lang w:val="es-ES_tradnl"/>
              </w:rPr>
            </w:pPr>
            <w:r w:rsidRPr="008B7A21">
              <w:rPr>
                <w:rFonts w:asciiTheme="majorBidi" w:hAnsiTheme="majorBidi" w:cstheme="majorBidi"/>
                <w:sz w:val="20"/>
                <w:lang w:val="es-ES_tradnl"/>
              </w:rPr>
              <w:t>Eficiencia en la utilización de frecuencias (%)</w:t>
            </w:r>
          </w:p>
        </w:tc>
        <w:tc>
          <w:tcPr>
            <w:tcW w:w="794" w:type="dxa"/>
            <w:tcBorders>
              <w:top w:val="single" w:sz="4" w:space="0" w:color="auto"/>
              <w:left w:val="single" w:sz="4" w:space="0" w:color="auto"/>
              <w:bottom w:val="single" w:sz="4" w:space="0" w:color="auto"/>
              <w:right w:val="single" w:sz="4" w:space="0" w:color="auto"/>
            </w:tcBorders>
          </w:tcPr>
          <w:p w14:paraId="1E5BDC91" w14:textId="77777777" w:rsidR="00F73D5B" w:rsidRPr="008B7A21" w:rsidRDefault="00F73D5B" w:rsidP="00767A6A">
            <w:pPr>
              <w:pStyle w:val="Tabletext"/>
              <w:jc w:val="center"/>
              <w:rPr>
                <w:rFonts w:asciiTheme="majorBidi" w:eastAsia="???" w:hAnsiTheme="majorBidi" w:cstheme="majorBidi"/>
                <w:sz w:val="20"/>
                <w:lang w:val="es-ES_tradnl"/>
              </w:rPr>
            </w:pPr>
            <w:r w:rsidRPr="008B7A21">
              <w:rPr>
                <w:rFonts w:asciiTheme="majorBidi" w:eastAsia="???" w:hAnsiTheme="majorBidi" w:cstheme="majorBidi"/>
                <w:sz w:val="20"/>
                <w:lang w:val="es-ES_tradnl"/>
              </w:rPr>
              <w:t>&lt; 100</w:t>
            </w:r>
          </w:p>
        </w:tc>
        <w:tc>
          <w:tcPr>
            <w:tcW w:w="1020" w:type="dxa"/>
            <w:tcBorders>
              <w:top w:val="single" w:sz="4" w:space="0" w:color="auto"/>
              <w:left w:val="single" w:sz="4" w:space="0" w:color="auto"/>
              <w:bottom w:val="single" w:sz="4" w:space="0" w:color="auto"/>
              <w:right w:val="single" w:sz="4" w:space="0" w:color="auto"/>
            </w:tcBorders>
          </w:tcPr>
          <w:p w14:paraId="45295AAD" w14:textId="77777777" w:rsidR="00F73D5B" w:rsidRPr="008B7A21" w:rsidRDefault="00F73D5B" w:rsidP="00767A6A">
            <w:pPr>
              <w:pStyle w:val="Tabletext"/>
              <w:jc w:val="center"/>
              <w:rPr>
                <w:rFonts w:asciiTheme="majorBidi" w:hAnsiTheme="majorBidi" w:cstheme="majorBidi"/>
                <w:sz w:val="20"/>
                <w:lang w:val="es-ES_tradnl"/>
              </w:rPr>
            </w:pPr>
            <w:r w:rsidRPr="008B7A21">
              <w:rPr>
                <w:rFonts w:asciiTheme="majorBidi" w:hAnsiTheme="majorBidi" w:cstheme="majorBidi"/>
                <w:sz w:val="20"/>
                <w:lang w:val="es-ES_tradnl"/>
              </w:rPr>
              <w:t>100~150</w:t>
            </w:r>
          </w:p>
        </w:tc>
        <w:tc>
          <w:tcPr>
            <w:tcW w:w="1020" w:type="dxa"/>
            <w:tcBorders>
              <w:top w:val="single" w:sz="4" w:space="0" w:color="auto"/>
              <w:left w:val="single" w:sz="4" w:space="0" w:color="auto"/>
              <w:bottom w:val="single" w:sz="4" w:space="0" w:color="auto"/>
              <w:right w:val="single" w:sz="4" w:space="0" w:color="auto"/>
            </w:tcBorders>
          </w:tcPr>
          <w:p w14:paraId="5E887AEF" w14:textId="77777777" w:rsidR="00F73D5B" w:rsidRPr="008B7A21" w:rsidRDefault="00F73D5B" w:rsidP="00767A6A">
            <w:pPr>
              <w:pStyle w:val="Tabletext"/>
              <w:jc w:val="center"/>
              <w:rPr>
                <w:rFonts w:asciiTheme="majorBidi" w:hAnsiTheme="majorBidi" w:cstheme="majorBidi"/>
                <w:sz w:val="20"/>
                <w:lang w:val="es-ES_tradnl"/>
              </w:rPr>
            </w:pPr>
            <w:r w:rsidRPr="008B7A21">
              <w:rPr>
                <w:rFonts w:asciiTheme="majorBidi" w:hAnsiTheme="majorBidi" w:cstheme="majorBidi"/>
                <w:sz w:val="20"/>
                <w:lang w:val="es-ES_tradnl"/>
              </w:rPr>
              <w:t>150~200</w:t>
            </w:r>
          </w:p>
        </w:tc>
        <w:tc>
          <w:tcPr>
            <w:tcW w:w="1020" w:type="dxa"/>
            <w:tcBorders>
              <w:top w:val="single" w:sz="4" w:space="0" w:color="auto"/>
              <w:left w:val="single" w:sz="4" w:space="0" w:color="auto"/>
              <w:bottom w:val="single" w:sz="4" w:space="0" w:color="auto"/>
              <w:right w:val="single" w:sz="4" w:space="0" w:color="auto"/>
            </w:tcBorders>
          </w:tcPr>
          <w:p w14:paraId="34E105BB" w14:textId="77777777" w:rsidR="00F73D5B" w:rsidRPr="008B7A21" w:rsidRDefault="00F73D5B" w:rsidP="00767A6A">
            <w:pPr>
              <w:pStyle w:val="Tabletext"/>
              <w:jc w:val="center"/>
              <w:rPr>
                <w:rFonts w:asciiTheme="majorBidi" w:hAnsiTheme="majorBidi" w:cstheme="majorBidi"/>
                <w:sz w:val="20"/>
                <w:lang w:val="es-ES_tradnl"/>
              </w:rPr>
            </w:pPr>
            <w:r w:rsidRPr="008B7A21">
              <w:rPr>
                <w:rFonts w:asciiTheme="majorBidi" w:hAnsiTheme="majorBidi" w:cstheme="majorBidi"/>
                <w:sz w:val="20"/>
                <w:lang w:val="es-ES_tradnl"/>
              </w:rPr>
              <w:t>200~250</w:t>
            </w:r>
          </w:p>
        </w:tc>
        <w:tc>
          <w:tcPr>
            <w:tcW w:w="794" w:type="dxa"/>
            <w:tcBorders>
              <w:top w:val="single" w:sz="4" w:space="0" w:color="auto"/>
              <w:left w:val="single" w:sz="4" w:space="0" w:color="auto"/>
              <w:bottom w:val="single" w:sz="4" w:space="0" w:color="auto"/>
              <w:right w:val="single" w:sz="4" w:space="0" w:color="auto"/>
            </w:tcBorders>
          </w:tcPr>
          <w:p w14:paraId="37A5A7C8" w14:textId="77777777" w:rsidR="00F73D5B" w:rsidRPr="008B7A21" w:rsidRDefault="00F73D5B" w:rsidP="00767A6A">
            <w:pPr>
              <w:pStyle w:val="Tabletext"/>
              <w:jc w:val="center"/>
              <w:rPr>
                <w:rFonts w:asciiTheme="majorBidi" w:hAnsiTheme="majorBidi" w:cstheme="majorBidi"/>
                <w:sz w:val="20"/>
                <w:lang w:val="es-ES_tradnl"/>
              </w:rPr>
            </w:pPr>
            <w:r w:rsidRPr="008B7A21">
              <w:rPr>
                <w:rFonts w:asciiTheme="majorBidi" w:hAnsiTheme="majorBidi" w:cstheme="majorBidi"/>
                <w:sz w:val="20"/>
                <w:lang w:val="es-ES_tradnl"/>
              </w:rPr>
              <w:t>&gt; 250</w:t>
            </w:r>
          </w:p>
        </w:tc>
      </w:tr>
      <w:tr w:rsidR="00F73D5B" w:rsidRPr="008B7A21" w14:paraId="3DB04935" w14:textId="77777777" w:rsidTr="00767A6A">
        <w:trPr>
          <w:jc w:val="center"/>
        </w:trPr>
        <w:tc>
          <w:tcPr>
            <w:tcW w:w="4989" w:type="dxa"/>
            <w:tcBorders>
              <w:top w:val="single" w:sz="4" w:space="0" w:color="auto"/>
              <w:left w:val="single" w:sz="4" w:space="0" w:color="auto"/>
              <w:bottom w:val="single" w:sz="4" w:space="0" w:color="auto"/>
              <w:right w:val="single" w:sz="4" w:space="0" w:color="auto"/>
            </w:tcBorders>
          </w:tcPr>
          <w:p w14:paraId="6B26E374" w14:textId="77777777" w:rsidR="00F73D5B" w:rsidRPr="008B7A21" w:rsidRDefault="00F73D5B" w:rsidP="00767A6A">
            <w:pPr>
              <w:pStyle w:val="Tabletext"/>
              <w:jc w:val="left"/>
              <w:rPr>
                <w:lang w:val="es-ES_tradnl"/>
              </w:rPr>
            </w:pPr>
            <w:r w:rsidRPr="008B7A21">
              <w:rPr>
                <w:rFonts w:asciiTheme="majorBidi" w:hAnsiTheme="majorBidi" w:cstheme="majorBidi"/>
                <w:sz w:val="20"/>
                <w:lang w:val="es-ES_tradnl" w:eastAsia="ko-KR"/>
              </w:rPr>
              <w:t>Factor de exención por utilización eficiente de frecuencias</w:t>
            </w:r>
          </w:p>
        </w:tc>
        <w:tc>
          <w:tcPr>
            <w:tcW w:w="794" w:type="dxa"/>
            <w:tcBorders>
              <w:top w:val="single" w:sz="4" w:space="0" w:color="auto"/>
              <w:left w:val="single" w:sz="4" w:space="0" w:color="auto"/>
              <w:bottom w:val="single" w:sz="4" w:space="0" w:color="auto"/>
              <w:right w:val="single" w:sz="4" w:space="0" w:color="auto"/>
            </w:tcBorders>
          </w:tcPr>
          <w:p w14:paraId="4DF0C723" w14:textId="77777777" w:rsidR="00F73D5B" w:rsidRPr="008B7A21" w:rsidRDefault="00F73D5B" w:rsidP="00767A6A">
            <w:pPr>
              <w:pStyle w:val="Tabletext"/>
              <w:jc w:val="center"/>
              <w:rPr>
                <w:rFonts w:asciiTheme="majorBidi" w:eastAsia="???" w:hAnsiTheme="majorBidi" w:cstheme="majorBidi"/>
                <w:sz w:val="20"/>
                <w:lang w:val="es-ES_tradnl"/>
              </w:rPr>
            </w:pPr>
            <w:r w:rsidRPr="008B7A21">
              <w:rPr>
                <w:rFonts w:asciiTheme="majorBidi" w:eastAsia="???" w:hAnsiTheme="majorBidi" w:cstheme="majorBidi"/>
                <w:sz w:val="20"/>
                <w:lang w:val="es-ES_tradnl"/>
              </w:rPr>
              <w:t>0,01</w:t>
            </w:r>
          </w:p>
        </w:tc>
        <w:tc>
          <w:tcPr>
            <w:tcW w:w="1020" w:type="dxa"/>
            <w:tcBorders>
              <w:top w:val="single" w:sz="4" w:space="0" w:color="auto"/>
              <w:left w:val="single" w:sz="4" w:space="0" w:color="auto"/>
              <w:bottom w:val="single" w:sz="4" w:space="0" w:color="auto"/>
              <w:right w:val="single" w:sz="4" w:space="0" w:color="auto"/>
            </w:tcBorders>
          </w:tcPr>
          <w:p w14:paraId="29145612" w14:textId="77777777" w:rsidR="00F73D5B" w:rsidRPr="008B7A21" w:rsidRDefault="00F73D5B" w:rsidP="00767A6A">
            <w:pPr>
              <w:pStyle w:val="Tabletext"/>
              <w:jc w:val="center"/>
              <w:rPr>
                <w:rFonts w:asciiTheme="majorBidi" w:hAnsiTheme="majorBidi" w:cstheme="majorBidi"/>
                <w:sz w:val="20"/>
                <w:lang w:val="es-ES_tradnl"/>
              </w:rPr>
            </w:pPr>
            <w:r w:rsidRPr="008B7A21">
              <w:rPr>
                <w:rFonts w:asciiTheme="majorBidi" w:hAnsiTheme="majorBidi" w:cstheme="majorBidi"/>
                <w:sz w:val="20"/>
                <w:lang w:val="es-ES_tradnl"/>
              </w:rPr>
              <w:t>0,02</w:t>
            </w:r>
          </w:p>
        </w:tc>
        <w:tc>
          <w:tcPr>
            <w:tcW w:w="1020" w:type="dxa"/>
            <w:tcBorders>
              <w:top w:val="single" w:sz="4" w:space="0" w:color="auto"/>
              <w:left w:val="single" w:sz="4" w:space="0" w:color="auto"/>
              <w:bottom w:val="single" w:sz="4" w:space="0" w:color="auto"/>
              <w:right w:val="single" w:sz="4" w:space="0" w:color="auto"/>
            </w:tcBorders>
          </w:tcPr>
          <w:p w14:paraId="0C36A78A" w14:textId="77777777" w:rsidR="00F73D5B" w:rsidRPr="008B7A21" w:rsidRDefault="00F73D5B" w:rsidP="00767A6A">
            <w:pPr>
              <w:pStyle w:val="Tabletext"/>
              <w:jc w:val="center"/>
              <w:rPr>
                <w:rFonts w:asciiTheme="majorBidi" w:hAnsiTheme="majorBidi" w:cstheme="majorBidi"/>
                <w:sz w:val="20"/>
                <w:lang w:val="es-ES_tradnl"/>
              </w:rPr>
            </w:pPr>
            <w:r w:rsidRPr="008B7A21">
              <w:rPr>
                <w:rFonts w:asciiTheme="majorBidi" w:hAnsiTheme="majorBidi" w:cstheme="majorBidi"/>
                <w:sz w:val="20"/>
                <w:lang w:val="es-ES_tradnl"/>
              </w:rPr>
              <w:t>0,03</w:t>
            </w:r>
          </w:p>
        </w:tc>
        <w:tc>
          <w:tcPr>
            <w:tcW w:w="1020" w:type="dxa"/>
            <w:tcBorders>
              <w:top w:val="single" w:sz="4" w:space="0" w:color="auto"/>
              <w:left w:val="single" w:sz="4" w:space="0" w:color="auto"/>
              <w:bottom w:val="single" w:sz="4" w:space="0" w:color="auto"/>
              <w:right w:val="single" w:sz="4" w:space="0" w:color="auto"/>
            </w:tcBorders>
          </w:tcPr>
          <w:p w14:paraId="27C6190C" w14:textId="77777777" w:rsidR="00F73D5B" w:rsidRPr="008B7A21" w:rsidRDefault="00F73D5B" w:rsidP="00767A6A">
            <w:pPr>
              <w:pStyle w:val="Tabletext"/>
              <w:jc w:val="center"/>
              <w:rPr>
                <w:rFonts w:asciiTheme="majorBidi" w:hAnsiTheme="majorBidi" w:cstheme="majorBidi"/>
                <w:sz w:val="20"/>
                <w:lang w:val="es-ES_tradnl"/>
              </w:rPr>
            </w:pPr>
            <w:r w:rsidRPr="008B7A21">
              <w:rPr>
                <w:rFonts w:asciiTheme="majorBidi" w:hAnsiTheme="majorBidi" w:cstheme="majorBidi"/>
                <w:sz w:val="20"/>
                <w:lang w:val="es-ES_tradnl"/>
              </w:rPr>
              <w:t>0,04</w:t>
            </w:r>
          </w:p>
        </w:tc>
        <w:tc>
          <w:tcPr>
            <w:tcW w:w="794" w:type="dxa"/>
            <w:tcBorders>
              <w:top w:val="single" w:sz="4" w:space="0" w:color="auto"/>
              <w:left w:val="single" w:sz="4" w:space="0" w:color="auto"/>
              <w:bottom w:val="single" w:sz="4" w:space="0" w:color="auto"/>
              <w:right w:val="single" w:sz="4" w:space="0" w:color="auto"/>
            </w:tcBorders>
          </w:tcPr>
          <w:p w14:paraId="75BBB8DF" w14:textId="77777777" w:rsidR="00F73D5B" w:rsidRPr="008B7A21" w:rsidRDefault="00F73D5B" w:rsidP="00767A6A">
            <w:pPr>
              <w:pStyle w:val="Tabletext"/>
              <w:jc w:val="center"/>
              <w:rPr>
                <w:rFonts w:asciiTheme="majorBidi" w:hAnsiTheme="majorBidi" w:cstheme="majorBidi"/>
                <w:sz w:val="20"/>
                <w:lang w:val="es-ES_tradnl"/>
              </w:rPr>
            </w:pPr>
            <w:r w:rsidRPr="008B7A21">
              <w:rPr>
                <w:rFonts w:asciiTheme="majorBidi" w:hAnsiTheme="majorBidi" w:cstheme="majorBidi"/>
                <w:sz w:val="20"/>
                <w:lang w:val="es-ES_tradnl"/>
              </w:rPr>
              <w:t>0,05</w:t>
            </w:r>
          </w:p>
        </w:tc>
      </w:tr>
    </w:tbl>
    <w:p w14:paraId="2EF55C62" w14:textId="77777777" w:rsidR="00F73D5B" w:rsidRPr="008B7A21" w:rsidRDefault="00F73D5B" w:rsidP="00F73D5B">
      <w:pPr>
        <w:pStyle w:val="Tablefin"/>
        <w:rPr>
          <w:lang w:val="es-ES_tradnl"/>
        </w:rPr>
      </w:pPr>
    </w:p>
    <w:p w14:paraId="15E5E52F" w14:textId="77777777" w:rsidR="00F73D5B" w:rsidRPr="008B7A21" w:rsidRDefault="00F73D5B" w:rsidP="00F73D5B">
      <w:pPr>
        <w:pStyle w:val="Note"/>
        <w:rPr>
          <w:lang w:val="es-ES_tradnl" w:eastAsia="ko-KR"/>
        </w:rPr>
      </w:pPr>
      <w:r w:rsidRPr="008B7A21">
        <w:rPr>
          <w:lang w:val="es-ES_tradnl"/>
        </w:rPr>
        <w:t>NOTA 1</w:t>
      </w:r>
      <w:r w:rsidRPr="008B7A21">
        <w:rPr>
          <w:sz w:val="20"/>
          <w:lang w:val="es-ES_tradnl"/>
        </w:rPr>
        <w:t> –</w:t>
      </w:r>
      <w:r w:rsidRPr="008B7A21">
        <w:rPr>
          <w:sz w:val="20"/>
          <w:lang w:val="es-ES_tradnl" w:eastAsia="ko-KR"/>
        </w:rPr>
        <w:t> </w:t>
      </w:r>
      <w:r w:rsidRPr="008B7A21">
        <w:rPr>
          <w:i/>
          <w:iCs/>
          <w:lang w:val="es-ES_tradnl"/>
        </w:rPr>
        <w:t>Eficiencia en la utilización de frecuencias</w:t>
      </w:r>
      <w:r w:rsidRPr="008B7A21">
        <w:rPr>
          <w:i/>
          <w:lang w:val="es-ES_tradnl"/>
        </w:rPr>
        <w:t>:</w:t>
      </w:r>
      <w:r w:rsidRPr="008B7A21">
        <w:rPr>
          <w:lang w:val="es-ES_tradnl"/>
        </w:rPr>
        <w:t xml:space="preserve"> Relación entre el número medio de abonados por asignación de frecuencia y la capacidad básica del número de abonados</w:t>
      </w:r>
      <w:r w:rsidRPr="008B7A21">
        <w:rPr>
          <w:lang w:val="es-ES_tradnl" w:eastAsia="ko-KR"/>
        </w:rPr>
        <w:t>.</w:t>
      </w:r>
    </w:p>
    <w:p w14:paraId="2F95FDCA" w14:textId="77777777" w:rsidR="00F73D5B" w:rsidRPr="008B7A21" w:rsidRDefault="00F73D5B" w:rsidP="00F73D5B">
      <w:pPr>
        <w:pStyle w:val="Note"/>
        <w:rPr>
          <w:lang w:val="es-ES_tradnl"/>
        </w:rPr>
      </w:pPr>
      <w:r w:rsidRPr="008B7A21">
        <w:rPr>
          <w:lang w:val="es-ES_tradnl"/>
        </w:rPr>
        <w:t>NOTA 2 – El factor de exención por utilización eficiente de frecuencias no se aplica a los servicios de radiobúsqueda, sistemas radioeléctricos troncales, radiocomunicaciones locales y transmisión inalámbrica de datos.</w:t>
      </w:r>
    </w:p>
    <w:p w14:paraId="2835ED53" w14:textId="77777777" w:rsidR="00F73D5B" w:rsidRPr="008B7A21" w:rsidRDefault="00F73D5B" w:rsidP="00F73D5B">
      <w:pPr>
        <w:rPr>
          <w:lang w:val="es-ES_tradnl" w:eastAsia="ko-KR"/>
        </w:rPr>
      </w:pPr>
      <w:bookmarkStart w:id="2048" w:name="_Toc307922694"/>
      <w:bookmarkStart w:id="2049" w:name="_Toc307992043"/>
      <w:bookmarkStart w:id="2050" w:name="_Toc307994078"/>
      <w:bookmarkStart w:id="2051" w:name="_Toc307996484"/>
      <w:bookmarkStart w:id="2052" w:name="_Toc499563129"/>
      <w:r w:rsidRPr="008B7A21">
        <w:rPr>
          <w:lang w:val="es-ES_tradnl" w:eastAsia="ko-KR"/>
        </w:rPr>
        <w:t>e)</w:t>
      </w:r>
      <w:r w:rsidRPr="008B7A21">
        <w:rPr>
          <w:lang w:val="es-ES_tradnl" w:eastAsia="ko-KR"/>
        </w:rPr>
        <w:tab/>
        <w:t>Factor radioeléctrico característico</w:t>
      </w:r>
      <w:bookmarkEnd w:id="2048"/>
      <w:bookmarkEnd w:id="2049"/>
      <w:bookmarkEnd w:id="2050"/>
      <w:bookmarkEnd w:id="2051"/>
      <w:bookmarkEnd w:id="2052"/>
      <w:r w:rsidRPr="008B7A21">
        <w:rPr>
          <w:lang w:val="es-ES_tradnl" w:eastAsia="ko-KR"/>
        </w:rPr>
        <w:t>:</w:t>
      </w:r>
    </w:p>
    <w:p w14:paraId="37DE52CF" w14:textId="77777777" w:rsidR="00F73D5B" w:rsidRPr="008B7A21" w:rsidRDefault="00F73D5B" w:rsidP="00D849A8">
      <w:pPr>
        <w:pStyle w:val="TableNo"/>
        <w:keepLines/>
        <w:rPr>
          <w:lang w:val="es-ES_tradnl" w:eastAsia="ko-KR"/>
        </w:rPr>
      </w:pPr>
      <w:r w:rsidRPr="008B7A21">
        <w:rPr>
          <w:lang w:val="es-ES_tradnl" w:eastAsia="ko-KR"/>
        </w:rPr>
        <w:t>CUADRO 40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402"/>
        <w:gridCol w:w="2835"/>
      </w:tblGrid>
      <w:tr w:rsidR="00F73D5B" w:rsidRPr="008B7A21" w14:paraId="4DC19A5D" w14:textId="77777777" w:rsidTr="00767A6A">
        <w:trPr>
          <w:trHeight w:val="20"/>
          <w:jc w:val="center"/>
        </w:trPr>
        <w:tc>
          <w:tcPr>
            <w:tcW w:w="3402" w:type="dxa"/>
            <w:tcBorders>
              <w:top w:val="single" w:sz="4" w:space="0" w:color="auto"/>
              <w:left w:val="single" w:sz="4" w:space="0" w:color="auto"/>
              <w:bottom w:val="single" w:sz="4" w:space="0" w:color="auto"/>
              <w:right w:val="single" w:sz="4" w:space="0" w:color="auto"/>
            </w:tcBorders>
            <w:vAlign w:val="center"/>
          </w:tcPr>
          <w:p w14:paraId="289E73EC" w14:textId="77777777" w:rsidR="00F73D5B" w:rsidRPr="008B7A21" w:rsidRDefault="00F73D5B" w:rsidP="00767A6A">
            <w:pPr>
              <w:pStyle w:val="Tablehead"/>
              <w:rPr>
                <w:lang w:val="es-ES_tradnl"/>
              </w:rPr>
            </w:pPr>
            <w:r w:rsidRPr="008B7A21">
              <w:rPr>
                <w:lang w:val="es-ES_tradnl"/>
              </w:rPr>
              <w:t>Banda de frecuencias</w:t>
            </w:r>
          </w:p>
        </w:tc>
        <w:tc>
          <w:tcPr>
            <w:tcW w:w="2835" w:type="dxa"/>
            <w:tcBorders>
              <w:top w:val="single" w:sz="4" w:space="0" w:color="auto"/>
              <w:left w:val="single" w:sz="4" w:space="0" w:color="auto"/>
              <w:bottom w:val="single" w:sz="4" w:space="0" w:color="auto"/>
              <w:right w:val="single" w:sz="4" w:space="0" w:color="auto"/>
            </w:tcBorders>
          </w:tcPr>
          <w:p w14:paraId="61D1EEC3" w14:textId="77777777" w:rsidR="00F73D5B" w:rsidRPr="008B7A21" w:rsidRDefault="00F73D5B" w:rsidP="00767A6A">
            <w:pPr>
              <w:pStyle w:val="Tablehead"/>
              <w:rPr>
                <w:lang w:val="es-ES_tradnl"/>
              </w:rPr>
            </w:pPr>
            <w:r w:rsidRPr="008B7A21">
              <w:rPr>
                <w:lang w:val="es-ES_tradnl"/>
              </w:rPr>
              <w:t>Factor radioeléctrico</w:t>
            </w:r>
            <w:r w:rsidRPr="008B7A21">
              <w:rPr>
                <w:lang w:val="es-ES_tradnl"/>
              </w:rPr>
              <w:br/>
              <w:t>característico</w:t>
            </w:r>
          </w:p>
        </w:tc>
      </w:tr>
      <w:tr w:rsidR="00F73D5B" w:rsidRPr="008B7A21" w14:paraId="6780C6D9" w14:textId="77777777" w:rsidTr="00767A6A">
        <w:trPr>
          <w:jc w:val="center"/>
        </w:trPr>
        <w:tc>
          <w:tcPr>
            <w:tcW w:w="3402" w:type="dxa"/>
            <w:tcBorders>
              <w:top w:val="single" w:sz="4" w:space="0" w:color="auto"/>
              <w:left w:val="single" w:sz="4" w:space="0" w:color="auto"/>
              <w:bottom w:val="single" w:sz="4" w:space="0" w:color="auto"/>
              <w:right w:val="single" w:sz="4" w:space="0" w:color="auto"/>
            </w:tcBorders>
          </w:tcPr>
          <w:p w14:paraId="174BAE5D" w14:textId="77777777" w:rsidR="00F73D5B" w:rsidRPr="008B7A21" w:rsidRDefault="00F73D5B" w:rsidP="00767A6A">
            <w:pPr>
              <w:pStyle w:val="Tabletext"/>
              <w:jc w:val="center"/>
              <w:rPr>
                <w:lang w:val="es-ES_tradnl"/>
              </w:rPr>
            </w:pPr>
            <w:r w:rsidRPr="008B7A21">
              <w:rPr>
                <w:lang w:val="es-ES_tradnl"/>
              </w:rPr>
              <w:t>&lt; 1 GHz</w:t>
            </w:r>
          </w:p>
        </w:tc>
        <w:tc>
          <w:tcPr>
            <w:tcW w:w="2835" w:type="dxa"/>
            <w:tcBorders>
              <w:top w:val="single" w:sz="4" w:space="0" w:color="auto"/>
              <w:left w:val="single" w:sz="4" w:space="0" w:color="auto"/>
              <w:bottom w:val="single" w:sz="4" w:space="0" w:color="auto"/>
              <w:right w:val="single" w:sz="4" w:space="0" w:color="auto"/>
            </w:tcBorders>
          </w:tcPr>
          <w:p w14:paraId="4D6CF1B0" w14:textId="77777777" w:rsidR="00F73D5B" w:rsidRPr="008B7A21" w:rsidRDefault="00F73D5B" w:rsidP="00767A6A">
            <w:pPr>
              <w:pStyle w:val="Tabletext"/>
              <w:jc w:val="center"/>
              <w:rPr>
                <w:rFonts w:eastAsia="???"/>
                <w:lang w:val="es-ES_tradnl"/>
              </w:rPr>
            </w:pPr>
            <w:r w:rsidRPr="008B7A21">
              <w:rPr>
                <w:rFonts w:eastAsia="???"/>
                <w:lang w:val="es-ES_tradnl"/>
              </w:rPr>
              <w:t>1,16</w:t>
            </w:r>
          </w:p>
        </w:tc>
      </w:tr>
      <w:tr w:rsidR="00F73D5B" w:rsidRPr="008B7A21" w14:paraId="244DE5B1" w14:textId="77777777" w:rsidTr="00767A6A">
        <w:trPr>
          <w:jc w:val="center"/>
        </w:trPr>
        <w:tc>
          <w:tcPr>
            <w:tcW w:w="3402" w:type="dxa"/>
            <w:tcBorders>
              <w:top w:val="single" w:sz="4" w:space="0" w:color="auto"/>
              <w:left w:val="single" w:sz="4" w:space="0" w:color="auto"/>
              <w:bottom w:val="single" w:sz="4" w:space="0" w:color="auto"/>
              <w:right w:val="single" w:sz="4" w:space="0" w:color="auto"/>
            </w:tcBorders>
          </w:tcPr>
          <w:p w14:paraId="525971D6" w14:textId="77777777" w:rsidR="00F73D5B" w:rsidRPr="008B7A21" w:rsidRDefault="00F73D5B" w:rsidP="00767A6A">
            <w:pPr>
              <w:pStyle w:val="Tabletext"/>
              <w:jc w:val="center"/>
              <w:rPr>
                <w:lang w:val="es-ES_tradnl"/>
              </w:rPr>
            </w:pPr>
            <w:r w:rsidRPr="008B7A21">
              <w:rPr>
                <w:lang w:val="es-ES_tradnl"/>
              </w:rPr>
              <w:t>1 GHz</w:t>
            </w:r>
            <w:r w:rsidRPr="008B7A21">
              <w:rPr>
                <w:rFonts w:asciiTheme="majorBidi" w:hAnsiTheme="majorBidi" w:cstheme="majorBidi"/>
                <w:sz w:val="20"/>
                <w:lang w:val="es-ES_tradnl"/>
              </w:rPr>
              <w:t>~</w:t>
            </w:r>
            <w:r w:rsidRPr="008B7A21">
              <w:rPr>
                <w:lang w:val="es-ES_tradnl"/>
              </w:rPr>
              <w:t>3 GHz</w:t>
            </w:r>
          </w:p>
        </w:tc>
        <w:tc>
          <w:tcPr>
            <w:tcW w:w="2835" w:type="dxa"/>
            <w:tcBorders>
              <w:top w:val="single" w:sz="4" w:space="0" w:color="auto"/>
              <w:left w:val="single" w:sz="4" w:space="0" w:color="auto"/>
              <w:bottom w:val="single" w:sz="4" w:space="0" w:color="auto"/>
              <w:right w:val="single" w:sz="4" w:space="0" w:color="auto"/>
            </w:tcBorders>
          </w:tcPr>
          <w:p w14:paraId="4C70F403" w14:textId="77777777" w:rsidR="00F73D5B" w:rsidRPr="008B7A21" w:rsidRDefault="00F73D5B" w:rsidP="00767A6A">
            <w:pPr>
              <w:pStyle w:val="Tabletext"/>
              <w:jc w:val="center"/>
              <w:rPr>
                <w:rFonts w:eastAsia="???"/>
                <w:lang w:val="es-ES_tradnl"/>
              </w:rPr>
            </w:pPr>
            <w:r w:rsidRPr="008B7A21">
              <w:rPr>
                <w:rFonts w:eastAsia="???"/>
                <w:lang w:val="es-ES_tradnl"/>
              </w:rPr>
              <w:t>0,81</w:t>
            </w:r>
          </w:p>
        </w:tc>
      </w:tr>
    </w:tbl>
    <w:p w14:paraId="5B717F88" w14:textId="77777777" w:rsidR="00F73D5B" w:rsidRPr="008B7A21" w:rsidRDefault="00F73D5B" w:rsidP="00F73D5B">
      <w:pPr>
        <w:pStyle w:val="Tablefin"/>
        <w:rPr>
          <w:lang w:val="es-ES_tradnl" w:eastAsia="ko-KR"/>
        </w:rPr>
      </w:pPr>
    </w:p>
    <w:p w14:paraId="2C366225" w14:textId="77777777" w:rsidR="00F73D5B" w:rsidRPr="008B7A21" w:rsidRDefault="00F73D5B" w:rsidP="00F73D5B">
      <w:pPr>
        <w:pStyle w:val="Note"/>
        <w:rPr>
          <w:lang w:val="es-ES_tradnl" w:eastAsia="ko-KR"/>
        </w:rPr>
      </w:pPr>
      <w:r w:rsidRPr="008B7A21">
        <w:rPr>
          <w:lang w:val="es-ES_tradnl"/>
        </w:rPr>
        <w:t>NOTA –</w:t>
      </w:r>
      <w:r w:rsidRPr="008B7A21">
        <w:rPr>
          <w:lang w:val="es-ES_tradnl" w:eastAsia="ko-KR"/>
        </w:rPr>
        <w:t> El factor de características radioeléctricas no se aplica para los servicios de radiobúsqueda, TRS, LBS, de datos inalámbricos y de estaciones con licencia.</w:t>
      </w:r>
    </w:p>
    <w:p w14:paraId="3D5FE1D6" w14:textId="77777777" w:rsidR="00F73D5B" w:rsidRPr="008B7A21" w:rsidRDefault="00F73D5B" w:rsidP="00F73D5B">
      <w:pPr>
        <w:pStyle w:val="Headingb"/>
        <w:rPr>
          <w:lang w:val="es-ES_tradnl"/>
        </w:rPr>
      </w:pPr>
      <w:r w:rsidRPr="008B7A21">
        <w:rPr>
          <w:lang w:val="es-ES_tradnl"/>
        </w:rPr>
        <w:t>Cánones de categoría 2: Según la estación de radiocomunicaciones</w:t>
      </w:r>
    </w:p>
    <w:p w14:paraId="226791A8" w14:textId="77777777" w:rsidR="00F73D5B" w:rsidRPr="008B7A21" w:rsidRDefault="00F73D5B" w:rsidP="00F73D5B">
      <w:pPr>
        <w:rPr>
          <w:lang w:val="es-ES_tradnl"/>
        </w:rPr>
      </w:pPr>
      <w:r w:rsidRPr="008B7A21">
        <w:rPr>
          <w:lang w:val="es-ES_tradnl"/>
        </w:rPr>
        <w:t>Los cánones por utilización del espectro (SF) se determinan en la estación de radiocomunicaciones de acuerdo con la ecuación:</w:t>
      </w:r>
    </w:p>
    <w:p w14:paraId="7A4B955F" w14:textId="77777777" w:rsidR="00F73D5B" w:rsidRPr="008B7A21" w:rsidRDefault="00F73D5B" w:rsidP="00F73D5B">
      <w:pPr>
        <w:pStyle w:val="Equation"/>
        <w:rPr>
          <w:lang w:val="es-ES_tradnl" w:eastAsia="ko-KR"/>
        </w:rPr>
      </w:pPr>
      <w:r w:rsidRPr="008B7A21">
        <w:rPr>
          <w:lang w:val="es-ES_tradnl"/>
        </w:rPr>
        <w:tab/>
      </w:r>
      <w:r w:rsidRPr="008B7A21">
        <w:rPr>
          <w:lang w:val="es-ES_tradnl"/>
        </w:rPr>
        <w:tab/>
      </w:r>
      <w:r w:rsidRPr="008B7A21">
        <w:rPr>
          <w:position w:val="-14"/>
          <w:lang w:val="es-ES_tradnl"/>
        </w:rPr>
        <w:object w:dxaOrig="3960" w:dyaOrig="380" w14:anchorId="55A1C3D4">
          <v:shape id="_x0000_i1759" type="#_x0000_t75" style="width:181.65pt;height:20.1pt" o:ole="" fillcolor="window">
            <v:imagedata r:id="rId262" o:title=""/>
          </v:shape>
          <o:OLEObject Type="Embed" ProgID="Equation.3" ShapeID="_x0000_i1759" DrawAspect="Content" ObjectID="_1826705982" r:id="rId263"/>
        </w:object>
      </w:r>
      <w:r w:rsidRPr="008B7A21">
        <w:rPr>
          <w:lang w:val="es-ES_tradnl"/>
        </w:rPr>
        <w:tab/>
        <w:t>(67)</w:t>
      </w:r>
    </w:p>
    <w:p w14:paraId="40AE5852" w14:textId="21AEE204" w:rsidR="00F73D5B" w:rsidRPr="008B7A21" w:rsidRDefault="00D849A8" w:rsidP="00F73D5B">
      <w:pPr>
        <w:keepNext/>
        <w:keepLines/>
        <w:rPr>
          <w:lang w:val="es-ES_tradnl"/>
        </w:rPr>
      </w:pPr>
      <w:r>
        <w:rPr>
          <w:lang w:val="es-ES_tradnl"/>
        </w:rPr>
        <w:t>donde</w:t>
      </w:r>
      <w:r w:rsidR="00F73D5B" w:rsidRPr="008B7A21">
        <w:rPr>
          <w:lang w:val="es-ES_tradnl"/>
        </w:rPr>
        <w:t>:</w:t>
      </w:r>
    </w:p>
    <w:p w14:paraId="7B7F1089" w14:textId="77777777" w:rsidR="00F73D5B" w:rsidRPr="008B7A21" w:rsidRDefault="00F73D5B" w:rsidP="00F73D5B">
      <w:pPr>
        <w:pStyle w:val="Equationlegend"/>
        <w:keepNext/>
        <w:keepLines/>
        <w:rPr>
          <w:lang w:val="es-ES_tradnl"/>
        </w:rPr>
      </w:pPr>
      <w:r w:rsidRPr="008B7A21">
        <w:rPr>
          <w:i/>
          <w:iCs/>
          <w:lang w:val="es-ES_tradnl"/>
        </w:rPr>
        <w:tab/>
        <w:t>C</w:t>
      </w:r>
      <w:r w:rsidRPr="008B7A21">
        <w:rPr>
          <w:i/>
          <w:iCs/>
          <w:vertAlign w:val="subscript"/>
          <w:lang w:val="es-ES_tradnl"/>
        </w:rPr>
        <w:t>B</w:t>
      </w:r>
      <w:r w:rsidRPr="008B7A21">
        <w:rPr>
          <w:lang w:val="es-ES_tradnl"/>
        </w:rPr>
        <w:t>:</w:t>
      </w:r>
      <w:r w:rsidRPr="008B7A21">
        <w:rPr>
          <w:lang w:val="es-ES_tradnl"/>
        </w:rPr>
        <w:tab/>
        <w:t>precio básico</w:t>
      </w:r>
    </w:p>
    <w:p w14:paraId="54AA544D" w14:textId="77777777" w:rsidR="00F73D5B" w:rsidRPr="008B7A21" w:rsidRDefault="00F73D5B" w:rsidP="00F73D5B">
      <w:pPr>
        <w:pStyle w:val="Equationlegend"/>
        <w:rPr>
          <w:lang w:val="es-ES_tradnl"/>
        </w:rPr>
      </w:pPr>
      <w:r w:rsidRPr="008B7A21">
        <w:rPr>
          <w:lang w:val="es-ES_tradnl"/>
        </w:rPr>
        <w:tab/>
      </w:r>
      <w:r w:rsidRPr="008B7A21">
        <w:rPr>
          <w:i/>
          <w:iCs/>
          <w:lang w:val="es-ES_tradnl"/>
        </w:rPr>
        <w:t>U</w:t>
      </w:r>
      <w:r w:rsidRPr="008B7A21">
        <w:rPr>
          <w:i/>
          <w:iCs/>
          <w:vertAlign w:val="subscript"/>
          <w:lang w:val="es-ES_tradnl"/>
        </w:rPr>
        <w:t>f</w:t>
      </w:r>
      <w:r w:rsidRPr="008B7A21">
        <w:rPr>
          <w:sz w:val="16"/>
          <w:szCs w:val="16"/>
          <w:lang w:val="es-ES_tradnl"/>
        </w:rPr>
        <w:t> </w:t>
      </w:r>
      <w:r w:rsidRPr="008B7A21">
        <w:rPr>
          <w:lang w:val="es-ES_tradnl"/>
        </w:rPr>
        <w:t>:</w:t>
      </w:r>
      <w:r w:rsidRPr="008B7A21">
        <w:rPr>
          <w:lang w:val="es-ES_tradnl"/>
        </w:rPr>
        <w:tab/>
        <w:t>factor por utilización de espectro</w:t>
      </w:r>
    </w:p>
    <w:p w14:paraId="2570E39E" w14:textId="77777777" w:rsidR="00F73D5B" w:rsidRPr="008B7A21" w:rsidRDefault="00F73D5B" w:rsidP="00F73D5B">
      <w:pPr>
        <w:pStyle w:val="Equationlegend"/>
        <w:rPr>
          <w:lang w:val="es-ES_tradnl"/>
        </w:rPr>
      </w:pPr>
      <w:r w:rsidRPr="008B7A21">
        <w:rPr>
          <w:lang w:val="es-ES_tradnl"/>
        </w:rPr>
        <w:tab/>
      </w:r>
      <w:r w:rsidRPr="008B7A21">
        <w:rPr>
          <w:i/>
          <w:iCs/>
          <w:lang w:val="es-ES_tradnl"/>
        </w:rPr>
        <w:t>S</w:t>
      </w:r>
      <w:r w:rsidRPr="008B7A21">
        <w:rPr>
          <w:i/>
          <w:iCs/>
          <w:vertAlign w:val="subscript"/>
          <w:lang w:val="es-ES_tradnl"/>
        </w:rPr>
        <w:t>f</w:t>
      </w:r>
      <w:r w:rsidRPr="008B7A21">
        <w:rPr>
          <w:sz w:val="16"/>
          <w:szCs w:val="16"/>
          <w:lang w:val="es-ES_tradnl"/>
        </w:rPr>
        <w:t> </w:t>
      </w:r>
      <w:r w:rsidRPr="008B7A21">
        <w:rPr>
          <w:lang w:val="es-ES_tradnl"/>
        </w:rPr>
        <w:t>:</w:t>
      </w:r>
      <w:r w:rsidRPr="008B7A21">
        <w:rPr>
          <w:lang w:val="es-ES_tradnl"/>
        </w:rPr>
        <w:tab/>
        <w:t>factor de servicio</w:t>
      </w:r>
    </w:p>
    <w:p w14:paraId="76D8EF79" w14:textId="77777777" w:rsidR="00F73D5B" w:rsidRPr="008B7A21" w:rsidRDefault="00F73D5B" w:rsidP="00F73D5B">
      <w:pPr>
        <w:pStyle w:val="Equationlegend"/>
        <w:rPr>
          <w:lang w:val="es-ES_tradnl"/>
        </w:rPr>
      </w:pPr>
      <w:r w:rsidRPr="008B7A21">
        <w:rPr>
          <w:lang w:val="es-ES_tradnl"/>
        </w:rPr>
        <w:tab/>
      </w:r>
      <w:r w:rsidRPr="008B7A21">
        <w:rPr>
          <w:i/>
          <w:iCs/>
          <w:lang w:val="es-ES_tradnl"/>
        </w:rPr>
        <w:t>F</w:t>
      </w:r>
      <w:r w:rsidRPr="008B7A21">
        <w:rPr>
          <w:i/>
          <w:iCs/>
          <w:vertAlign w:val="subscript"/>
          <w:lang w:val="es-ES_tradnl"/>
        </w:rPr>
        <w:t>S</w:t>
      </w:r>
      <w:r w:rsidRPr="008B7A21">
        <w:rPr>
          <w:lang w:val="es-ES_tradnl"/>
        </w:rPr>
        <w:t>:</w:t>
      </w:r>
      <w:r w:rsidRPr="008B7A21">
        <w:rPr>
          <w:lang w:val="es-ES_tradnl"/>
        </w:rPr>
        <w:tab/>
        <w:t>factor de exención por compartición de instalaciones</w:t>
      </w:r>
    </w:p>
    <w:p w14:paraId="7B67F54E" w14:textId="77777777" w:rsidR="00F73D5B" w:rsidRPr="008B7A21" w:rsidRDefault="00F73D5B" w:rsidP="00F73D5B">
      <w:pPr>
        <w:pStyle w:val="Equationlegend"/>
        <w:rPr>
          <w:lang w:val="es-ES_tradnl" w:eastAsia="ko-KR"/>
        </w:rPr>
      </w:pPr>
      <w:r w:rsidRPr="008B7A21">
        <w:rPr>
          <w:lang w:val="es-ES_tradnl"/>
        </w:rPr>
        <w:tab/>
      </w:r>
      <w:r w:rsidRPr="008B7A21">
        <w:rPr>
          <w:i/>
          <w:iCs/>
          <w:lang w:val="es-ES_tradnl"/>
        </w:rPr>
        <w:t>E</w:t>
      </w:r>
      <w:r w:rsidRPr="008B7A21">
        <w:rPr>
          <w:i/>
          <w:iCs/>
          <w:vertAlign w:val="subscript"/>
          <w:lang w:val="es-ES_tradnl"/>
        </w:rPr>
        <w:t>f</w:t>
      </w:r>
      <w:r w:rsidRPr="008B7A21">
        <w:rPr>
          <w:i/>
          <w:iCs/>
          <w:sz w:val="12"/>
          <w:lang w:val="es-ES_tradnl" w:eastAsia="ko-KR"/>
        </w:rPr>
        <w:t xml:space="preserve"> </w:t>
      </w:r>
      <w:r w:rsidRPr="008B7A21">
        <w:rPr>
          <w:i/>
          <w:iCs/>
          <w:vertAlign w:val="subscript"/>
          <w:lang w:val="es-ES_tradnl"/>
        </w:rPr>
        <w:t xml:space="preserve">f </w:t>
      </w:r>
      <w:r w:rsidRPr="008B7A21">
        <w:rPr>
          <w:lang w:val="es-ES_tradnl"/>
        </w:rPr>
        <w:t>:</w:t>
      </w:r>
      <w:r w:rsidRPr="008B7A21">
        <w:rPr>
          <w:lang w:val="es-ES_tradnl"/>
        </w:rPr>
        <w:tab/>
        <w:t>factor de exención por motivos ecológicos</w:t>
      </w:r>
      <w:r w:rsidRPr="008B7A21">
        <w:rPr>
          <w:lang w:val="es-ES_tradnl" w:eastAsia="ko-KR"/>
        </w:rPr>
        <w:t>.</w:t>
      </w:r>
    </w:p>
    <w:p w14:paraId="5E3AB762" w14:textId="77777777" w:rsidR="00F73D5B" w:rsidRPr="008B7A21" w:rsidRDefault="00F73D5B" w:rsidP="00F73D5B">
      <w:pPr>
        <w:keepNext/>
        <w:keepLines/>
        <w:rPr>
          <w:lang w:val="es-ES_tradnl"/>
        </w:rPr>
      </w:pPr>
      <w:r w:rsidRPr="008B7A21">
        <w:rPr>
          <w:lang w:val="es-ES_tradnl"/>
        </w:rPr>
        <w:t>Descritos de la forma siguiente:</w:t>
      </w:r>
    </w:p>
    <w:p w14:paraId="0D9A02CC" w14:textId="77777777" w:rsidR="00F73D5B" w:rsidRPr="008B7A21" w:rsidRDefault="00F73D5B" w:rsidP="00F73D5B">
      <w:pPr>
        <w:rPr>
          <w:lang w:val="es-ES_tradnl"/>
        </w:rPr>
      </w:pPr>
      <w:r w:rsidRPr="008B7A21">
        <w:rPr>
          <w:i/>
          <w:iCs/>
          <w:lang w:val="es-ES_tradnl"/>
        </w:rPr>
        <w:t xml:space="preserve">Precio básico, </w:t>
      </w:r>
      <w:r w:rsidRPr="008B7A21">
        <w:rPr>
          <w:i/>
          <w:iCs/>
          <w:lang w:val="es-ES_tradnl" w:eastAsia="ko-KR"/>
        </w:rPr>
        <w:t>B</w:t>
      </w:r>
      <w:r w:rsidRPr="008B7A21">
        <w:rPr>
          <w:i/>
          <w:iCs/>
          <w:vertAlign w:val="subscript"/>
          <w:lang w:val="es-ES_tradnl"/>
        </w:rPr>
        <w:t>P</w:t>
      </w:r>
      <w:r w:rsidRPr="008B7A21">
        <w:rPr>
          <w:lang w:val="es-ES_tradnl"/>
        </w:rPr>
        <w:t>: 250 000 KR</w:t>
      </w:r>
      <w:r w:rsidRPr="008B7A21">
        <w:rPr>
          <w:lang w:val="es-ES_tradnl" w:eastAsia="ko-KR"/>
        </w:rPr>
        <w:t>W/estación.</w:t>
      </w:r>
    </w:p>
    <w:p w14:paraId="6869F791" w14:textId="7407F51C" w:rsidR="00F73D5B" w:rsidRPr="008B7A21" w:rsidRDefault="00F73D5B" w:rsidP="00F73D5B">
      <w:pPr>
        <w:rPr>
          <w:lang w:val="es-ES_tradnl"/>
        </w:rPr>
      </w:pPr>
      <w:r w:rsidRPr="008B7A21">
        <w:rPr>
          <w:lang w:val="es-ES_tradnl"/>
        </w:rPr>
        <w:t xml:space="preserve">Factor de utilización del espectro, </w:t>
      </w:r>
      <w:r w:rsidRPr="008B7A21">
        <w:rPr>
          <w:i/>
          <w:iCs/>
          <w:lang w:val="es-ES_tradnl" w:eastAsia="ko-KR"/>
        </w:rPr>
        <w:t>U</w:t>
      </w:r>
      <w:r w:rsidRPr="008B7A21">
        <w:rPr>
          <w:i/>
          <w:iCs/>
          <w:vertAlign w:val="subscript"/>
          <w:lang w:val="es-ES_tradnl"/>
        </w:rPr>
        <w:t>f</w:t>
      </w:r>
      <w:r w:rsidRPr="008B7A21">
        <w:rPr>
          <w:lang w:val="es-ES_tradnl"/>
        </w:rPr>
        <w:t xml:space="preserve">: </w:t>
      </w:r>
      <w:r w:rsidRPr="008B7A21">
        <w:rPr>
          <w:lang w:val="es-ES_tradnl" w:eastAsia="ko-KR"/>
        </w:rPr>
        <w:t>Valor que aparece en la célula situada en la intersección entre la columna «utilización del espectro» y la fila «bandas de frecuencias» del Cuadro 41</w:t>
      </w:r>
      <w:r w:rsidRPr="008B7A21">
        <w:rPr>
          <w:lang w:val="es-ES_tradnl"/>
        </w:rPr>
        <w:t>.</w:t>
      </w:r>
    </w:p>
    <w:p w14:paraId="444B5D01" w14:textId="4CA8F40F" w:rsidR="00F73D5B" w:rsidRPr="008B7A21" w:rsidRDefault="00F73D5B" w:rsidP="00F73D5B">
      <w:pPr>
        <w:pStyle w:val="TableNo"/>
        <w:rPr>
          <w:lang w:val="es-ES_tradnl" w:eastAsia="ko-KR"/>
        </w:rPr>
      </w:pPr>
      <w:r w:rsidRPr="008B7A21">
        <w:rPr>
          <w:lang w:val="es-ES_tradnl" w:eastAsia="ko-KR"/>
        </w:rPr>
        <w:t>CUADRO 41</w:t>
      </w:r>
    </w:p>
    <w:tbl>
      <w:tblPr>
        <w:tblW w:w="9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8"/>
        <w:gridCol w:w="535"/>
        <w:gridCol w:w="510"/>
        <w:gridCol w:w="510"/>
        <w:gridCol w:w="509"/>
        <w:gridCol w:w="510"/>
        <w:gridCol w:w="510"/>
        <w:gridCol w:w="509"/>
        <w:gridCol w:w="510"/>
        <w:gridCol w:w="510"/>
        <w:gridCol w:w="509"/>
        <w:gridCol w:w="510"/>
        <w:gridCol w:w="510"/>
        <w:gridCol w:w="509"/>
        <w:gridCol w:w="550"/>
        <w:gridCol w:w="470"/>
      </w:tblGrid>
      <w:tr w:rsidR="00F73D5B" w:rsidRPr="008B7A21" w14:paraId="6384644B" w14:textId="77777777" w:rsidTr="00767A6A">
        <w:trPr>
          <w:jc w:val="center"/>
        </w:trPr>
        <w:tc>
          <w:tcPr>
            <w:tcW w:w="1928" w:type="dxa"/>
            <w:tcBorders>
              <w:tl2br w:val="single" w:sz="4" w:space="0" w:color="auto"/>
            </w:tcBorders>
            <w:vAlign w:val="center"/>
          </w:tcPr>
          <w:p w14:paraId="1A3BB559" w14:textId="77777777" w:rsidR="00F73D5B" w:rsidRPr="008B7A21" w:rsidRDefault="00F73D5B" w:rsidP="00767A6A">
            <w:pPr>
              <w:pStyle w:val="Tablehead"/>
              <w:keepLines/>
              <w:spacing w:before="0" w:after="0"/>
              <w:ind w:left="-57" w:right="-57"/>
              <w:jc w:val="right"/>
              <w:rPr>
                <w:sz w:val="18"/>
                <w:szCs w:val="18"/>
                <w:lang w:val="es-ES_tradnl"/>
              </w:rPr>
            </w:pPr>
            <w:r w:rsidRPr="008B7A21">
              <w:rPr>
                <w:sz w:val="18"/>
                <w:szCs w:val="18"/>
                <w:lang w:val="es-ES_tradnl" w:eastAsia="ko-KR"/>
              </w:rPr>
              <w:t>Utilización del</w:t>
            </w:r>
            <w:r w:rsidRPr="008B7A21">
              <w:rPr>
                <w:sz w:val="18"/>
                <w:szCs w:val="18"/>
                <w:lang w:val="es-ES_tradnl" w:eastAsia="ko-KR"/>
              </w:rPr>
              <w:br/>
              <w:t>espectro</w:t>
            </w:r>
            <w:r w:rsidRPr="008B7A21">
              <w:rPr>
                <w:sz w:val="18"/>
                <w:szCs w:val="18"/>
                <w:lang w:val="es-ES_tradnl" w:eastAsia="ko-KR"/>
              </w:rPr>
              <w:br/>
            </w:r>
            <w:r w:rsidRPr="008B7A21">
              <w:rPr>
                <w:sz w:val="18"/>
                <w:szCs w:val="18"/>
                <w:lang w:val="es-ES_tradnl"/>
              </w:rPr>
              <w:t>(MHz)</w:t>
            </w:r>
          </w:p>
          <w:p w14:paraId="7FA8E3D5" w14:textId="77777777" w:rsidR="00F73D5B" w:rsidRPr="008B7A21" w:rsidRDefault="00F73D5B" w:rsidP="00767A6A">
            <w:pPr>
              <w:pStyle w:val="Tablehead"/>
              <w:keepLines/>
              <w:spacing w:before="0" w:after="0"/>
              <w:ind w:left="-57" w:right="-57"/>
              <w:jc w:val="left"/>
              <w:rPr>
                <w:sz w:val="18"/>
                <w:szCs w:val="18"/>
                <w:lang w:val="es-ES_tradnl"/>
              </w:rPr>
            </w:pPr>
            <w:r w:rsidRPr="008B7A21">
              <w:rPr>
                <w:sz w:val="18"/>
                <w:szCs w:val="18"/>
                <w:lang w:val="es-ES_tradnl" w:eastAsia="ko-KR"/>
              </w:rPr>
              <w:t>Bandas de</w:t>
            </w:r>
            <w:r w:rsidRPr="008B7A21">
              <w:rPr>
                <w:sz w:val="18"/>
                <w:szCs w:val="18"/>
                <w:lang w:val="es-ES_tradnl" w:eastAsia="ko-KR"/>
              </w:rPr>
              <w:br/>
              <w:t>frecuencia</w:t>
            </w:r>
          </w:p>
        </w:tc>
        <w:tc>
          <w:tcPr>
            <w:tcW w:w="535" w:type="dxa"/>
            <w:vAlign w:val="center"/>
          </w:tcPr>
          <w:p w14:paraId="0D394DAE" w14:textId="77777777" w:rsidR="00F73D5B" w:rsidRPr="008B7A21" w:rsidRDefault="00F73D5B" w:rsidP="00767A6A">
            <w:pPr>
              <w:pStyle w:val="Tablehead"/>
              <w:keepLines/>
              <w:ind w:left="-57" w:right="-57"/>
              <w:rPr>
                <w:sz w:val="18"/>
                <w:szCs w:val="18"/>
                <w:lang w:val="es-ES_tradnl" w:eastAsia="ko-KR"/>
              </w:rPr>
            </w:pPr>
            <w:r w:rsidRPr="008B7A21">
              <w:rPr>
                <w:sz w:val="18"/>
                <w:szCs w:val="18"/>
                <w:lang w:val="es-ES_tradnl" w:eastAsia="ko-KR"/>
              </w:rPr>
              <w:t xml:space="preserve">&lt; </w:t>
            </w:r>
            <w:r w:rsidRPr="008B7A21">
              <w:rPr>
                <w:sz w:val="18"/>
                <w:szCs w:val="18"/>
                <w:lang w:val="es-ES_tradnl"/>
              </w:rPr>
              <w:t>0.1</w:t>
            </w:r>
          </w:p>
        </w:tc>
        <w:tc>
          <w:tcPr>
            <w:tcW w:w="510" w:type="dxa"/>
            <w:vAlign w:val="center"/>
          </w:tcPr>
          <w:p w14:paraId="6A65C3E1" w14:textId="77777777" w:rsidR="00F73D5B" w:rsidRPr="008B7A21" w:rsidRDefault="00F73D5B" w:rsidP="00767A6A">
            <w:pPr>
              <w:pStyle w:val="Tablehead"/>
              <w:keepLines/>
              <w:ind w:left="-57" w:right="-57"/>
              <w:rPr>
                <w:sz w:val="18"/>
                <w:szCs w:val="18"/>
                <w:lang w:val="es-ES_tradnl"/>
              </w:rPr>
            </w:pPr>
            <w:r w:rsidRPr="008B7A21">
              <w:rPr>
                <w:sz w:val="18"/>
                <w:szCs w:val="18"/>
                <w:lang w:val="es-ES_tradnl"/>
              </w:rPr>
              <w:t>0.1</w:t>
            </w:r>
            <w:r w:rsidRPr="008B7A21">
              <w:rPr>
                <w:sz w:val="18"/>
                <w:szCs w:val="18"/>
                <w:lang w:val="es-ES_tradnl"/>
              </w:rPr>
              <w:br/>
              <w:t>~</w:t>
            </w:r>
            <w:r w:rsidRPr="008B7A21">
              <w:rPr>
                <w:sz w:val="18"/>
                <w:szCs w:val="18"/>
                <w:lang w:val="es-ES_tradnl"/>
              </w:rPr>
              <w:br/>
              <w:t>0.3</w:t>
            </w:r>
          </w:p>
        </w:tc>
        <w:tc>
          <w:tcPr>
            <w:tcW w:w="510" w:type="dxa"/>
            <w:vAlign w:val="center"/>
          </w:tcPr>
          <w:p w14:paraId="5D188D5E" w14:textId="77777777" w:rsidR="00F73D5B" w:rsidRPr="008B7A21" w:rsidRDefault="00F73D5B" w:rsidP="00767A6A">
            <w:pPr>
              <w:pStyle w:val="Tablehead"/>
              <w:keepLines/>
              <w:ind w:left="-57" w:right="-57"/>
              <w:rPr>
                <w:sz w:val="18"/>
                <w:szCs w:val="18"/>
                <w:lang w:val="es-ES_tradnl"/>
              </w:rPr>
            </w:pPr>
            <w:r w:rsidRPr="008B7A21">
              <w:rPr>
                <w:sz w:val="18"/>
                <w:szCs w:val="18"/>
                <w:lang w:val="es-ES_tradnl"/>
              </w:rPr>
              <w:t>0.3</w:t>
            </w:r>
            <w:r w:rsidRPr="008B7A21">
              <w:rPr>
                <w:sz w:val="18"/>
                <w:szCs w:val="18"/>
                <w:lang w:val="es-ES_tradnl"/>
              </w:rPr>
              <w:br/>
              <w:t>~</w:t>
            </w:r>
            <w:r w:rsidRPr="008B7A21">
              <w:rPr>
                <w:sz w:val="18"/>
                <w:szCs w:val="18"/>
                <w:lang w:val="es-ES_tradnl"/>
              </w:rPr>
              <w:br/>
              <w:t>1.5</w:t>
            </w:r>
          </w:p>
        </w:tc>
        <w:tc>
          <w:tcPr>
            <w:tcW w:w="509" w:type="dxa"/>
            <w:vAlign w:val="center"/>
          </w:tcPr>
          <w:p w14:paraId="11F427F1" w14:textId="77777777" w:rsidR="00F73D5B" w:rsidRPr="008B7A21" w:rsidRDefault="00F73D5B" w:rsidP="00767A6A">
            <w:pPr>
              <w:pStyle w:val="Tablehead"/>
              <w:keepLines/>
              <w:ind w:left="-57" w:right="-57"/>
              <w:rPr>
                <w:sz w:val="18"/>
                <w:szCs w:val="18"/>
                <w:lang w:val="es-ES_tradnl"/>
              </w:rPr>
            </w:pPr>
            <w:r w:rsidRPr="008B7A21">
              <w:rPr>
                <w:sz w:val="18"/>
                <w:szCs w:val="18"/>
                <w:lang w:val="es-ES_tradnl"/>
              </w:rPr>
              <w:t>1.5</w:t>
            </w:r>
            <w:r w:rsidRPr="008B7A21">
              <w:rPr>
                <w:sz w:val="18"/>
                <w:szCs w:val="18"/>
                <w:lang w:val="es-ES_tradnl"/>
              </w:rPr>
              <w:br/>
              <w:t>~</w:t>
            </w:r>
            <w:r w:rsidRPr="008B7A21">
              <w:rPr>
                <w:sz w:val="18"/>
                <w:szCs w:val="18"/>
                <w:lang w:val="es-ES_tradnl"/>
              </w:rPr>
              <w:br/>
              <w:t>4</w:t>
            </w:r>
          </w:p>
        </w:tc>
        <w:tc>
          <w:tcPr>
            <w:tcW w:w="510" w:type="dxa"/>
            <w:vAlign w:val="center"/>
          </w:tcPr>
          <w:p w14:paraId="5EAD0564" w14:textId="77777777" w:rsidR="00F73D5B" w:rsidRPr="008B7A21" w:rsidRDefault="00F73D5B" w:rsidP="00767A6A">
            <w:pPr>
              <w:pStyle w:val="Tablehead"/>
              <w:keepLines/>
              <w:ind w:left="-57" w:right="-57"/>
              <w:rPr>
                <w:sz w:val="18"/>
                <w:szCs w:val="18"/>
                <w:lang w:val="es-ES_tradnl"/>
              </w:rPr>
            </w:pPr>
            <w:r w:rsidRPr="008B7A21">
              <w:rPr>
                <w:sz w:val="18"/>
                <w:szCs w:val="18"/>
                <w:lang w:val="es-ES_tradnl"/>
              </w:rPr>
              <w:t>4</w:t>
            </w:r>
            <w:r w:rsidRPr="008B7A21">
              <w:rPr>
                <w:sz w:val="18"/>
                <w:szCs w:val="18"/>
                <w:lang w:val="es-ES_tradnl"/>
              </w:rPr>
              <w:br/>
              <w:t>~</w:t>
            </w:r>
            <w:r w:rsidRPr="008B7A21">
              <w:rPr>
                <w:sz w:val="18"/>
                <w:szCs w:val="18"/>
                <w:lang w:val="es-ES_tradnl"/>
              </w:rPr>
              <w:br/>
              <w:t>7</w:t>
            </w:r>
          </w:p>
        </w:tc>
        <w:tc>
          <w:tcPr>
            <w:tcW w:w="510" w:type="dxa"/>
            <w:vAlign w:val="center"/>
          </w:tcPr>
          <w:p w14:paraId="2EB4BA0D" w14:textId="77777777" w:rsidR="00F73D5B" w:rsidRPr="008B7A21" w:rsidRDefault="00F73D5B" w:rsidP="00767A6A">
            <w:pPr>
              <w:pStyle w:val="Tablehead"/>
              <w:keepLines/>
              <w:ind w:left="-57" w:right="-57"/>
              <w:rPr>
                <w:sz w:val="18"/>
                <w:szCs w:val="18"/>
                <w:lang w:val="es-ES_tradnl"/>
              </w:rPr>
            </w:pPr>
            <w:r w:rsidRPr="008B7A21">
              <w:rPr>
                <w:sz w:val="18"/>
                <w:szCs w:val="18"/>
                <w:lang w:val="es-ES_tradnl"/>
              </w:rPr>
              <w:t>7</w:t>
            </w:r>
            <w:r w:rsidRPr="008B7A21">
              <w:rPr>
                <w:sz w:val="18"/>
                <w:szCs w:val="18"/>
                <w:lang w:val="es-ES_tradnl"/>
              </w:rPr>
              <w:br/>
              <w:t>~</w:t>
            </w:r>
            <w:r w:rsidRPr="008B7A21">
              <w:rPr>
                <w:sz w:val="18"/>
                <w:szCs w:val="18"/>
                <w:lang w:val="es-ES_tradnl"/>
              </w:rPr>
              <w:br/>
              <w:t>10</w:t>
            </w:r>
          </w:p>
        </w:tc>
        <w:tc>
          <w:tcPr>
            <w:tcW w:w="509" w:type="dxa"/>
            <w:vAlign w:val="center"/>
          </w:tcPr>
          <w:p w14:paraId="66524DB3" w14:textId="77777777" w:rsidR="00F73D5B" w:rsidRPr="008B7A21" w:rsidRDefault="00F73D5B" w:rsidP="00767A6A">
            <w:pPr>
              <w:pStyle w:val="Tablehead"/>
              <w:keepLines/>
              <w:ind w:left="-57" w:right="-57"/>
              <w:rPr>
                <w:sz w:val="18"/>
                <w:szCs w:val="18"/>
                <w:lang w:val="es-ES_tradnl"/>
              </w:rPr>
            </w:pPr>
            <w:r w:rsidRPr="008B7A21">
              <w:rPr>
                <w:sz w:val="18"/>
                <w:szCs w:val="18"/>
                <w:lang w:val="es-ES_tradnl"/>
              </w:rPr>
              <w:t>10</w:t>
            </w:r>
            <w:r w:rsidRPr="008B7A21">
              <w:rPr>
                <w:sz w:val="18"/>
                <w:szCs w:val="18"/>
                <w:lang w:val="es-ES_tradnl"/>
              </w:rPr>
              <w:br/>
              <w:t>~</w:t>
            </w:r>
            <w:r w:rsidRPr="008B7A21">
              <w:rPr>
                <w:sz w:val="18"/>
                <w:szCs w:val="18"/>
                <w:lang w:val="es-ES_tradnl"/>
              </w:rPr>
              <w:br/>
              <w:t>15</w:t>
            </w:r>
          </w:p>
        </w:tc>
        <w:tc>
          <w:tcPr>
            <w:tcW w:w="510" w:type="dxa"/>
            <w:vAlign w:val="center"/>
          </w:tcPr>
          <w:p w14:paraId="7E7BC914" w14:textId="77777777" w:rsidR="00F73D5B" w:rsidRPr="008B7A21" w:rsidRDefault="00F73D5B" w:rsidP="00767A6A">
            <w:pPr>
              <w:pStyle w:val="Tablehead"/>
              <w:keepLines/>
              <w:ind w:left="-57" w:right="-57"/>
              <w:rPr>
                <w:sz w:val="18"/>
                <w:szCs w:val="18"/>
                <w:lang w:val="es-ES_tradnl"/>
              </w:rPr>
            </w:pPr>
            <w:r w:rsidRPr="008B7A21">
              <w:rPr>
                <w:sz w:val="18"/>
                <w:szCs w:val="18"/>
                <w:lang w:val="es-ES_tradnl"/>
              </w:rPr>
              <w:t>15</w:t>
            </w:r>
            <w:r w:rsidRPr="008B7A21">
              <w:rPr>
                <w:sz w:val="18"/>
                <w:szCs w:val="18"/>
                <w:lang w:val="es-ES_tradnl"/>
              </w:rPr>
              <w:br/>
              <w:t>~</w:t>
            </w:r>
            <w:r w:rsidRPr="008B7A21">
              <w:rPr>
                <w:sz w:val="18"/>
                <w:szCs w:val="18"/>
                <w:lang w:val="es-ES_tradnl"/>
              </w:rPr>
              <w:br/>
              <w:t>20</w:t>
            </w:r>
          </w:p>
        </w:tc>
        <w:tc>
          <w:tcPr>
            <w:tcW w:w="510" w:type="dxa"/>
            <w:vAlign w:val="center"/>
          </w:tcPr>
          <w:p w14:paraId="6DDE0A89" w14:textId="77777777" w:rsidR="00F73D5B" w:rsidRPr="008B7A21" w:rsidRDefault="00F73D5B" w:rsidP="00767A6A">
            <w:pPr>
              <w:pStyle w:val="Tablehead"/>
              <w:keepLines/>
              <w:ind w:left="-57" w:right="-57"/>
              <w:rPr>
                <w:sz w:val="18"/>
                <w:szCs w:val="18"/>
                <w:lang w:val="es-ES_tradnl"/>
              </w:rPr>
            </w:pPr>
            <w:r w:rsidRPr="008B7A21">
              <w:rPr>
                <w:sz w:val="18"/>
                <w:szCs w:val="18"/>
                <w:lang w:val="es-ES_tradnl"/>
              </w:rPr>
              <w:t>20</w:t>
            </w:r>
            <w:r w:rsidRPr="008B7A21">
              <w:rPr>
                <w:sz w:val="18"/>
                <w:szCs w:val="18"/>
                <w:lang w:val="es-ES_tradnl"/>
              </w:rPr>
              <w:br/>
              <w:t>~</w:t>
            </w:r>
            <w:r w:rsidRPr="008B7A21">
              <w:rPr>
                <w:sz w:val="18"/>
                <w:szCs w:val="18"/>
                <w:lang w:val="es-ES_tradnl"/>
              </w:rPr>
              <w:br/>
              <w:t>30</w:t>
            </w:r>
          </w:p>
        </w:tc>
        <w:tc>
          <w:tcPr>
            <w:tcW w:w="509" w:type="dxa"/>
            <w:vAlign w:val="center"/>
          </w:tcPr>
          <w:p w14:paraId="7A4716C9" w14:textId="77777777" w:rsidR="00F73D5B" w:rsidRPr="008B7A21" w:rsidRDefault="00F73D5B" w:rsidP="00767A6A">
            <w:pPr>
              <w:pStyle w:val="Tablehead"/>
              <w:keepLines/>
              <w:ind w:left="-57" w:right="-57"/>
              <w:rPr>
                <w:sz w:val="18"/>
                <w:szCs w:val="18"/>
                <w:lang w:val="es-ES_tradnl"/>
              </w:rPr>
            </w:pPr>
            <w:r w:rsidRPr="008B7A21">
              <w:rPr>
                <w:sz w:val="18"/>
                <w:szCs w:val="18"/>
                <w:lang w:val="es-ES_tradnl"/>
              </w:rPr>
              <w:t>30</w:t>
            </w:r>
            <w:r w:rsidRPr="008B7A21">
              <w:rPr>
                <w:sz w:val="18"/>
                <w:szCs w:val="18"/>
                <w:lang w:val="es-ES_tradnl"/>
              </w:rPr>
              <w:br/>
              <w:t>~</w:t>
            </w:r>
            <w:r w:rsidRPr="008B7A21">
              <w:rPr>
                <w:sz w:val="18"/>
                <w:szCs w:val="18"/>
                <w:lang w:val="es-ES_tradnl"/>
              </w:rPr>
              <w:br/>
              <w:t>40</w:t>
            </w:r>
          </w:p>
        </w:tc>
        <w:tc>
          <w:tcPr>
            <w:tcW w:w="510" w:type="dxa"/>
            <w:vAlign w:val="center"/>
          </w:tcPr>
          <w:p w14:paraId="14422850" w14:textId="77777777" w:rsidR="00F73D5B" w:rsidRPr="008B7A21" w:rsidRDefault="00F73D5B" w:rsidP="00767A6A">
            <w:pPr>
              <w:pStyle w:val="Tablehead"/>
              <w:keepLines/>
              <w:ind w:left="-57" w:right="-57"/>
              <w:rPr>
                <w:sz w:val="18"/>
                <w:szCs w:val="18"/>
                <w:lang w:val="es-ES_tradnl"/>
              </w:rPr>
            </w:pPr>
            <w:r w:rsidRPr="008B7A21">
              <w:rPr>
                <w:sz w:val="18"/>
                <w:szCs w:val="18"/>
                <w:lang w:val="es-ES_tradnl"/>
              </w:rPr>
              <w:t>40</w:t>
            </w:r>
            <w:r w:rsidRPr="008B7A21">
              <w:rPr>
                <w:sz w:val="18"/>
                <w:szCs w:val="18"/>
                <w:lang w:val="es-ES_tradnl"/>
              </w:rPr>
              <w:br/>
              <w:t>~</w:t>
            </w:r>
            <w:r w:rsidRPr="008B7A21">
              <w:rPr>
                <w:sz w:val="18"/>
                <w:szCs w:val="18"/>
                <w:lang w:val="es-ES_tradnl"/>
              </w:rPr>
              <w:br/>
              <w:t>60</w:t>
            </w:r>
          </w:p>
        </w:tc>
        <w:tc>
          <w:tcPr>
            <w:tcW w:w="510" w:type="dxa"/>
            <w:vAlign w:val="center"/>
          </w:tcPr>
          <w:p w14:paraId="49115250" w14:textId="77777777" w:rsidR="00F73D5B" w:rsidRPr="008B7A21" w:rsidRDefault="00F73D5B" w:rsidP="00767A6A">
            <w:pPr>
              <w:pStyle w:val="Tablehead"/>
              <w:keepLines/>
              <w:ind w:left="-57" w:right="-57"/>
              <w:rPr>
                <w:sz w:val="18"/>
                <w:szCs w:val="18"/>
                <w:lang w:val="es-ES_tradnl"/>
              </w:rPr>
            </w:pPr>
            <w:r w:rsidRPr="008B7A21">
              <w:rPr>
                <w:sz w:val="18"/>
                <w:szCs w:val="18"/>
                <w:lang w:val="es-ES_tradnl"/>
              </w:rPr>
              <w:t>60</w:t>
            </w:r>
            <w:r w:rsidRPr="008B7A21">
              <w:rPr>
                <w:sz w:val="18"/>
                <w:szCs w:val="18"/>
                <w:lang w:val="es-ES_tradnl"/>
              </w:rPr>
              <w:br/>
              <w:t>~</w:t>
            </w:r>
            <w:r w:rsidRPr="008B7A21">
              <w:rPr>
                <w:sz w:val="18"/>
                <w:szCs w:val="18"/>
                <w:lang w:val="es-ES_tradnl"/>
              </w:rPr>
              <w:br/>
              <w:t>80</w:t>
            </w:r>
          </w:p>
        </w:tc>
        <w:tc>
          <w:tcPr>
            <w:tcW w:w="509" w:type="dxa"/>
            <w:vAlign w:val="center"/>
          </w:tcPr>
          <w:p w14:paraId="388FAB51" w14:textId="77777777" w:rsidR="00F73D5B" w:rsidRPr="008B7A21" w:rsidRDefault="00F73D5B" w:rsidP="00767A6A">
            <w:pPr>
              <w:pStyle w:val="Tablehead"/>
              <w:keepLines/>
              <w:ind w:left="-57" w:right="-57"/>
              <w:rPr>
                <w:sz w:val="18"/>
                <w:szCs w:val="18"/>
                <w:lang w:val="es-ES_tradnl"/>
              </w:rPr>
            </w:pPr>
            <w:r w:rsidRPr="008B7A21">
              <w:rPr>
                <w:sz w:val="18"/>
                <w:szCs w:val="18"/>
                <w:lang w:val="es-ES_tradnl"/>
              </w:rPr>
              <w:t>80</w:t>
            </w:r>
            <w:r w:rsidRPr="008B7A21">
              <w:rPr>
                <w:sz w:val="18"/>
                <w:szCs w:val="18"/>
                <w:lang w:val="es-ES_tradnl"/>
              </w:rPr>
              <w:br/>
              <w:t>~</w:t>
            </w:r>
            <w:r w:rsidRPr="008B7A21">
              <w:rPr>
                <w:sz w:val="18"/>
                <w:szCs w:val="18"/>
                <w:lang w:val="es-ES_tradnl"/>
              </w:rPr>
              <w:br/>
              <w:t>110</w:t>
            </w:r>
          </w:p>
        </w:tc>
        <w:tc>
          <w:tcPr>
            <w:tcW w:w="550" w:type="dxa"/>
            <w:vAlign w:val="center"/>
          </w:tcPr>
          <w:p w14:paraId="7AAC1D9C" w14:textId="77777777" w:rsidR="00F73D5B" w:rsidRPr="008B7A21" w:rsidRDefault="00F73D5B" w:rsidP="00767A6A">
            <w:pPr>
              <w:pStyle w:val="Tablehead"/>
              <w:keepLines/>
              <w:ind w:left="-57" w:right="-57"/>
              <w:rPr>
                <w:sz w:val="18"/>
                <w:szCs w:val="18"/>
                <w:lang w:val="es-ES_tradnl"/>
              </w:rPr>
            </w:pPr>
            <w:r w:rsidRPr="008B7A21">
              <w:rPr>
                <w:sz w:val="18"/>
                <w:szCs w:val="18"/>
                <w:lang w:val="es-ES_tradnl"/>
              </w:rPr>
              <w:t>110</w:t>
            </w:r>
            <w:r w:rsidRPr="008B7A21">
              <w:rPr>
                <w:sz w:val="18"/>
                <w:szCs w:val="18"/>
                <w:lang w:val="es-ES_tradnl"/>
              </w:rPr>
              <w:br/>
              <w:t>~</w:t>
            </w:r>
            <w:r w:rsidRPr="008B7A21">
              <w:rPr>
                <w:sz w:val="18"/>
                <w:szCs w:val="18"/>
                <w:lang w:val="es-ES_tradnl"/>
              </w:rPr>
              <w:br/>
              <w:t>150</w:t>
            </w:r>
          </w:p>
        </w:tc>
        <w:tc>
          <w:tcPr>
            <w:tcW w:w="470" w:type="dxa"/>
            <w:vAlign w:val="center"/>
          </w:tcPr>
          <w:p w14:paraId="37F8EC0C" w14:textId="77777777" w:rsidR="00F73D5B" w:rsidRPr="008B7A21" w:rsidRDefault="00F73D5B" w:rsidP="00767A6A">
            <w:pPr>
              <w:pStyle w:val="Tablehead"/>
              <w:keepLines/>
              <w:ind w:left="-57" w:right="-113"/>
              <w:jc w:val="left"/>
              <w:rPr>
                <w:sz w:val="18"/>
                <w:szCs w:val="18"/>
                <w:lang w:val="es-ES_tradnl" w:eastAsia="ko-KR"/>
              </w:rPr>
            </w:pPr>
            <w:r w:rsidRPr="008B7A21">
              <w:rPr>
                <w:sz w:val="18"/>
                <w:szCs w:val="18"/>
                <w:lang w:val="es-ES_tradnl" w:eastAsia="ko-KR"/>
              </w:rPr>
              <w:t xml:space="preserve">&gt; </w:t>
            </w:r>
            <w:r w:rsidRPr="008B7A21">
              <w:rPr>
                <w:sz w:val="18"/>
                <w:szCs w:val="18"/>
                <w:lang w:val="es-ES_tradnl"/>
              </w:rPr>
              <w:t>150</w:t>
            </w:r>
          </w:p>
        </w:tc>
      </w:tr>
      <w:tr w:rsidR="00F73D5B" w:rsidRPr="008B7A21" w14:paraId="49E5F06E" w14:textId="77777777" w:rsidTr="00767A6A">
        <w:trPr>
          <w:trHeight w:val="88"/>
          <w:jc w:val="center"/>
        </w:trPr>
        <w:tc>
          <w:tcPr>
            <w:tcW w:w="1928" w:type="dxa"/>
            <w:vAlign w:val="center"/>
          </w:tcPr>
          <w:p w14:paraId="69088C93" w14:textId="77777777" w:rsidR="00F73D5B" w:rsidRPr="008B7A21" w:rsidRDefault="00F73D5B" w:rsidP="00767A6A">
            <w:pPr>
              <w:pStyle w:val="Tabletext"/>
              <w:keepNext/>
              <w:keepLines/>
              <w:ind w:left="-57" w:right="-57"/>
              <w:jc w:val="center"/>
              <w:rPr>
                <w:sz w:val="18"/>
                <w:szCs w:val="18"/>
                <w:lang w:val="es-ES_tradnl"/>
              </w:rPr>
            </w:pPr>
            <w:r w:rsidRPr="008B7A21">
              <w:rPr>
                <w:caps/>
                <w:sz w:val="18"/>
                <w:szCs w:val="18"/>
                <w:lang w:val="es-ES_tradnl"/>
              </w:rPr>
              <w:sym w:font="Symbol" w:char="F03C"/>
            </w:r>
            <w:r w:rsidRPr="008B7A21">
              <w:rPr>
                <w:caps/>
                <w:sz w:val="18"/>
                <w:szCs w:val="18"/>
                <w:lang w:val="es-ES_tradnl"/>
              </w:rPr>
              <w:t xml:space="preserve"> 1 GH</w:t>
            </w:r>
            <w:r w:rsidRPr="008B7A21">
              <w:rPr>
                <w:sz w:val="18"/>
                <w:szCs w:val="18"/>
                <w:lang w:val="es-ES_tradnl"/>
              </w:rPr>
              <w:t>z</w:t>
            </w:r>
          </w:p>
        </w:tc>
        <w:tc>
          <w:tcPr>
            <w:tcW w:w="535" w:type="dxa"/>
          </w:tcPr>
          <w:p w14:paraId="0805E2DC" w14:textId="77777777" w:rsidR="00F73D5B" w:rsidRPr="008B7A21" w:rsidRDefault="00F73D5B" w:rsidP="00767A6A">
            <w:pPr>
              <w:pStyle w:val="Tabletext"/>
              <w:keepNext/>
              <w:keepLines/>
              <w:ind w:left="-57" w:right="-57"/>
              <w:jc w:val="center"/>
              <w:rPr>
                <w:sz w:val="18"/>
                <w:szCs w:val="18"/>
                <w:lang w:val="es-ES_tradnl"/>
              </w:rPr>
            </w:pPr>
            <w:r w:rsidRPr="008B7A21">
              <w:rPr>
                <w:sz w:val="18"/>
                <w:szCs w:val="18"/>
                <w:lang w:val="es-ES_tradnl"/>
              </w:rPr>
              <w:t>1</w:t>
            </w:r>
          </w:p>
        </w:tc>
        <w:tc>
          <w:tcPr>
            <w:tcW w:w="510" w:type="dxa"/>
          </w:tcPr>
          <w:p w14:paraId="64DCC446" w14:textId="77777777" w:rsidR="00F73D5B" w:rsidRPr="008B7A21" w:rsidRDefault="00F73D5B" w:rsidP="00767A6A">
            <w:pPr>
              <w:pStyle w:val="Tabletext"/>
              <w:keepNext/>
              <w:keepLines/>
              <w:ind w:left="-57" w:right="-57"/>
              <w:jc w:val="center"/>
              <w:rPr>
                <w:sz w:val="18"/>
                <w:szCs w:val="18"/>
                <w:lang w:val="es-ES_tradnl"/>
              </w:rPr>
            </w:pPr>
            <w:r w:rsidRPr="008B7A21">
              <w:rPr>
                <w:sz w:val="18"/>
                <w:szCs w:val="18"/>
                <w:lang w:val="es-ES_tradnl"/>
              </w:rPr>
              <w:t>2</w:t>
            </w:r>
          </w:p>
        </w:tc>
        <w:tc>
          <w:tcPr>
            <w:tcW w:w="510" w:type="dxa"/>
          </w:tcPr>
          <w:p w14:paraId="04628DAC" w14:textId="77777777" w:rsidR="00F73D5B" w:rsidRPr="008B7A21" w:rsidRDefault="00F73D5B" w:rsidP="00767A6A">
            <w:pPr>
              <w:pStyle w:val="Tabletext"/>
              <w:keepNext/>
              <w:keepLines/>
              <w:ind w:left="-57" w:right="-57"/>
              <w:jc w:val="center"/>
              <w:rPr>
                <w:sz w:val="18"/>
                <w:szCs w:val="18"/>
                <w:lang w:val="es-ES_tradnl"/>
              </w:rPr>
            </w:pPr>
            <w:r w:rsidRPr="008B7A21">
              <w:rPr>
                <w:sz w:val="18"/>
                <w:szCs w:val="18"/>
                <w:lang w:val="es-ES_tradnl"/>
              </w:rPr>
              <w:t>3</w:t>
            </w:r>
          </w:p>
        </w:tc>
        <w:tc>
          <w:tcPr>
            <w:tcW w:w="509" w:type="dxa"/>
          </w:tcPr>
          <w:p w14:paraId="53E1A399" w14:textId="77777777" w:rsidR="00F73D5B" w:rsidRPr="008B7A21" w:rsidRDefault="00F73D5B" w:rsidP="00767A6A">
            <w:pPr>
              <w:pStyle w:val="Tabletext"/>
              <w:keepNext/>
              <w:keepLines/>
              <w:ind w:left="-57" w:right="-57"/>
              <w:jc w:val="center"/>
              <w:rPr>
                <w:sz w:val="18"/>
                <w:szCs w:val="18"/>
                <w:lang w:val="es-ES_tradnl"/>
              </w:rPr>
            </w:pPr>
            <w:r w:rsidRPr="008B7A21">
              <w:rPr>
                <w:sz w:val="18"/>
                <w:szCs w:val="18"/>
                <w:lang w:val="es-ES_tradnl"/>
              </w:rPr>
              <w:t>5</w:t>
            </w:r>
          </w:p>
        </w:tc>
        <w:tc>
          <w:tcPr>
            <w:tcW w:w="510" w:type="dxa"/>
          </w:tcPr>
          <w:p w14:paraId="124E138E" w14:textId="77777777" w:rsidR="00F73D5B" w:rsidRPr="008B7A21" w:rsidRDefault="00F73D5B" w:rsidP="00767A6A">
            <w:pPr>
              <w:pStyle w:val="Tabletext"/>
              <w:keepNext/>
              <w:keepLines/>
              <w:ind w:left="-57" w:right="-57"/>
              <w:jc w:val="center"/>
              <w:rPr>
                <w:sz w:val="18"/>
                <w:szCs w:val="18"/>
                <w:lang w:val="es-ES_tradnl"/>
              </w:rPr>
            </w:pPr>
            <w:r w:rsidRPr="008B7A21">
              <w:rPr>
                <w:sz w:val="18"/>
                <w:szCs w:val="18"/>
                <w:lang w:val="es-ES_tradnl"/>
              </w:rPr>
              <w:t>7</w:t>
            </w:r>
          </w:p>
        </w:tc>
        <w:tc>
          <w:tcPr>
            <w:tcW w:w="510" w:type="dxa"/>
          </w:tcPr>
          <w:p w14:paraId="5850E26F" w14:textId="77777777" w:rsidR="00F73D5B" w:rsidRPr="008B7A21" w:rsidRDefault="00F73D5B" w:rsidP="00767A6A">
            <w:pPr>
              <w:pStyle w:val="Tabletext"/>
              <w:keepNext/>
              <w:keepLines/>
              <w:ind w:left="-57" w:right="-57"/>
              <w:jc w:val="center"/>
              <w:rPr>
                <w:sz w:val="18"/>
                <w:szCs w:val="18"/>
                <w:lang w:val="es-ES_tradnl"/>
              </w:rPr>
            </w:pPr>
            <w:r w:rsidRPr="008B7A21">
              <w:rPr>
                <w:sz w:val="18"/>
                <w:szCs w:val="18"/>
                <w:lang w:val="es-ES_tradnl"/>
              </w:rPr>
              <w:t>9</w:t>
            </w:r>
          </w:p>
        </w:tc>
        <w:tc>
          <w:tcPr>
            <w:tcW w:w="509" w:type="dxa"/>
          </w:tcPr>
          <w:p w14:paraId="320BB0D7" w14:textId="77777777" w:rsidR="00F73D5B" w:rsidRPr="008B7A21" w:rsidRDefault="00F73D5B" w:rsidP="00767A6A">
            <w:pPr>
              <w:pStyle w:val="Tabletext"/>
              <w:keepNext/>
              <w:keepLines/>
              <w:ind w:left="-57" w:right="-57"/>
              <w:jc w:val="center"/>
              <w:rPr>
                <w:sz w:val="18"/>
                <w:szCs w:val="18"/>
                <w:lang w:val="es-ES_tradnl"/>
              </w:rPr>
            </w:pPr>
            <w:r w:rsidRPr="008B7A21">
              <w:rPr>
                <w:sz w:val="18"/>
                <w:szCs w:val="18"/>
                <w:lang w:val="es-ES_tradnl"/>
              </w:rPr>
              <w:t>12</w:t>
            </w:r>
          </w:p>
        </w:tc>
        <w:tc>
          <w:tcPr>
            <w:tcW w:w="510" w:type="dxa"/>
          </w:tcPr>
          <w:p w14:paraId="058BECE5" w14:textId="77777777" w:rsidR="00F73D5B" w:rsidRPr="008B7A21" w:rsidRDefault="00F73D5B" w:rsidP="00767A6A">
            <w:pPr>
              <w:pStyle w:val="Tabletext"/>
              <w:keepNext/>
              <w:keepLines/>
              <w:ind w:left="-57" w:right="-57"/>
              <w:jc w:val="center"/>
              <w:rPr>
                <w:sz w:val="18"/>
                <w:szCs w:val="18"/>
                <w:lang w:val="es-ES_tradnl"/>
              </w:rPr>
            </w:pPr>
            <w:r w:rsidRPr="008B7A21">
              <w:rPr>
                <w:sz w:val="18"/>
                <w:szCs w:val="18"/>
                <w:lang w:val="es-ES_tradnl"/>
              </w:rPr>
              <w:t>15</w:t>
            </w:r>
          </w:p>
        </w:tc>
        <w:tc>
          <w:tcPr>
            <w:tcW w:w="510" w:type="dxa"/>
          </w:tcPr>
          <w:p w14:paraId="640BB6ED" w14:textId="77777777" w:rsidR="00F73D5B" w:rsidRPr="008B7A21" w:rsidRDefault="00F73D5B" w:rsidP="00767A6A">
            <w:pPr>
              <w:pStyle w:val="Tabletext"/>
              <w:keepNext/>
              <w:keepLines/>
              <w:ind w:left="-57" w:right="-57"/>
              <w:jc w:val="center"/>
              <w:rPr>
                <w:sz w:val="18"/>
                <w:szCs w:val="18"/>
                <w:lang w:val="es-ES_tradnl"/>
              </w:rPr>
            </w:pPr>
            <w:r w:rsidRPr="008B7A21">
              <w:rPr>
                <w:sz w:val="18"/>
                <w:szCs w:val="18"/>
                <w:lang w:val="es-ES_tradnl"/>
              </w:rPr>
              <w:t>19</w:t>
            </w:r>
          </w:p>
        </w:tc>
        <w:tc>
          <w:tcPr>
            <w:tcW w:w="509" w:type="dxa"/>
          </w:tcPr>
          <w:p w14:paraId="3075829B" w14:textId="77777777" w:rsidR="00F73D5B" w:rsidRPr="008B7A21" w:rsidRDefault="00F73D5B" w:rsidP="00767A6A">
            <w:pPr>
              <w:pStyle w:val="Tabletext"/>
              <w:keepNext/>
              <w:keepLines/>
              <w:ind w:left="-57" w:right="-57"/>
              <w:jc w:val="center"/>
              <w:rPr>
                <w:sz w:val="18"/>
                <w:szCs w:val="18"/>
                <w:lang w:val="es-ES_tradnl"/>
              </w:rPr>
            </w:pPr>
            <w:r w:rsidRPr="008B7A21">
              <w:rPr>
                <w:sz w:val="18"/>
                <w:szCs w:val="18"/>
                <w:lang w:val="es-ES_tradnl"/>
              </w:rPr>
              <w:t>23</w:t>
            </w:r>
          </w:p>
        </w:tc>
        <w:tc>
          <w:tcPr>
            <w:tcW w:w="510" w:type="dxa"/>
          </w:tcPr>
          <w:p w14:paraId="27204C5A" w14:textId="77777777" w:rsidR="00F73D5B" w:rsidRPr="008B7A21" w:rsidRDefault="00F73D5B" w:rsidP="00767A6A">
            <w:pPr>
              <w:pStyle w:val="Tabletext"/>
              <w:keepNext/>
              <w:keepLines/>
              <w:ind w:left="-57" w:right="-57"/>
              <w:jc w:val="center"/>
              <w:rPr>
                <w:sz w:val="18"/>
                <w:szCs w:val="18"/>
                <w:lang w:val="es-ES_tradnl"/>
              </w:rPr>
            </w:pPr>
            <w:r w:rsidRPr="008B7A21">
              <w:rPr>
                <w:sz w:val="18"/>
                <w:szCs w:val="18"/>
                <w:lang w:val="es-ES_tradnl"/>
              </w:rPr>
              <w:t>28</w:t>
            </w:r>
          </w:p>
        </w:tc>
        <w:tc>
          <w:tcPr>
            <w:tcW w:w="510" w:type="dxa"/>
          </w:tcPr>
          <w:p w14:paraId="1D1DDC95" w14:textId="77777777" w:rsidR="00F73D5B" w:rsidRPr="008B7A21" w:rsidRDefault="00F73D5B" w:rsidP="00767A6A">
            <w:pPr>
              <w:pStyle w:val="Tabletext"/>
              <w:keepNext/>
              <w:keepLines/>
              <w:ind w:left="-57" w:right="-57"/>
              <w:jc w:val="center"/>
              <w:rPr>
                <w:sz w:val="18"/>
                <w:szCs w:val="18"/>
                <w:lang w:val="es-ES_tradnl"/>
              </w:rPr>
            </w:pPr>
            <w:r w:rsidRPr="008B7A21">
              <w:rPr>
                <w:sz w:val="18"/>
                <w:szCs w:val="18"/>
                <w:lang w:val="es-ES_tradnl"/>
              </w:rPr>
              <w:t>33</w:t>
            </w:r>
          </w:p>
        </w:tc>
        <w:tc>
          <w:tcPr>
            <w:tcW w:w="509" w:type="dxa"/>
          </w:tcPr>
          <w:p w14:paraId="1DA40956" w14:textId="77777777" w:rsidR="00F73D5B" w:rsidRPr="008B7A21" w:rsidRDefault="00F73D5B" w:rsidP="00767A6A">
            <w:pPr>
              <w:pStyle w:val="Tabletext"/>
              <w:keepNext/>
              <w:keepLines/>
              <w:ind w:left="-57" w:right="-57"/>
              <w:jc w:val="center"/>
              <w:rPr>
                <w:sz w:val="18"/>
                <w:szCs w:val="18"/>
                <w:lang w:val="es-ES_tradnl"/>
              </w:rPr>
            </w:pPr>
            <w:r w:rsidRPr="008B7A21">
              <w:rPr>
                <w:sz w:val="18"/>
                <w:szCs w:val="18"/>
                <w:lang w:val="es-ES_tradnl"/>
              </w:rPr>
              <w:t>28</w:t>
            </w:r>
          </w:p>
        </w:tc>
        <w:tc>
          <w:tcPr>
            <w:tcW w:w="550" w:type="dxa"/>
          </w:tcPr>
          <w:p w14:paraId="3906ED7A" w14:textId="77777777" w:rsidR="00F73D5B" w:rsidRPr="008B7A21" w:rsidRDefault="00F73D5B" w:rsidP="00767A6A">
            <w:pPr>
              <w:pStyle w:val="Tabletext"/>
              <w:keepNext/>
              <w:keepLines/>
              <w:ind w:left="-57" w:right="-57"/>
              <w:jc w:val="center"/>
              <w:rPr>
                <w:sz w:val="18"/>
                <w:szCs w:val="18"/>
                <w:lang w:val="es-ES_tradnl"/>
              </w:rPr>
            </w:pPr>
            <w:r w:rsidRPr="008B7A21">
              <w:rPr>
                <w:sz w:val="18"/>
                <w:szCs w:val="18"/>
                <w:lang w:val="es-ES_tradnl"/>
              </w:rPr>
              <w:t>44</w:t>
            </w:r>
          </w:p>
        </w:tc>
        <w:tc>
          <w:tcPr>
            <w:tcW w:w="470" w:type="dxa"/>
          </w:tcPr>
          <w:p w14:paraId="59D134DD" w14:textId="77777777" w:rsidR="00F73D5B" w:rsidRPr="008B7A21" w:rsidRDefault="00F73D5B" w:rsidP="00767A6A">
            <w:pPr>
              <w:pStyle w:val="Tabletext"/>
              <w:keepNext/>
              <w:keepLines/>
              <w:ind w:left="-57" w:right="-57"/>
              <w:jc w:val="center"/>
              <w:rPr>
                <w:sz w:val="18"/>
                <w:szCs w:val="18"/>
                <w:lang w:val="es-ES_tradnl"/>
              </w:rPr>
            </w:pPr>
            <w:r w:rsidRPr="008B7A21">
              <w:rPr>
                <w:sz w:val="18"/>
                <w:szCs w:val="18"/>
                <w:lang w:val="es-ES_tradnl"/>
              </w:rPr>
              <w:t>50</w:t>
            </w:r>
          </w:p>
        </w:tc>
      </w:tr>
      <w:tr w:rsidR="00F73D5B" w:rsidRPr="008B7A21" w14:paraId="3D012867" w14:textId="77777777" w:rsidTr="00767A6A">
        <w:trPr>
          <w:jc w:val="center"/>
        </w:trPr>
        <w:tc>
          <w:tcPr>
            <w:tcW w:w="1928" w:type="dxa"/>
            <w:vAlign w:val="center"/>
          </w:tcPr>
          <w:p w14:paraId="15458641" w14:textId="77777777" w:rsidR="00F73D5B" w:rsidRPr="008B7A21" w:rsidRDefault="00F73D5B" w:rsidP="00767A6A">
            <w:pPr>
              <w:pStyle w:val="Tabletext"/>
              <w:keepNext/>
              <w:keepLines/>
              <w:ind w:left="-57" w:right="-57"/>
              <w:jc w:val="center"/>
              <w:rPr>
                <w:sz w:val="18"/>
                <w:szCs w:val="18"/>
                <w:lang w:val="es-ES_tradnl"/>
              </w:rPr>
            </w:pPr>
            <w:r w:rsidRPr="008B7A21">
              <w:rPr>
                <w:sz w:val="18"/>
                <w:szCs w:val="18"/>
                <w:lang w:val="es-ES_tradnl"/>
              </w:rPr>
              <w:t>1~3 GHz</w:t>
            </w:r>
          </w:p>
        </w:tc>
        <w:tc>
          <w:tcPr>
            <w:tcW w:w="535" w:type="dxa"/>
          </w:tcPr>
          <w:p w14:paraId="273C1A5F" w14:textId="77777777" w:rsidR="00F73D5B" w:rsidRPr="008B7A21" w:rsidRDefault="00F73D5B" w:rsidP="00767A6A">
            <w:pPr>
              <w:pStyle w:val="Tabletext"/>
              <w:keepNext/>
              <w:keepLines/>
              <w:ind w:left="-57" w:right="-57"/>
              <w:jc w:val="center"/>
              <w:rPr>
                <w:sz w:val="18"/>
                <w:szCs w:val="18"/>
                <w:lang w:val="es-ES_tradnl"/>
              </w:rPr>
            </w:pPr>
            <w:r w:rsidRPr="008B7A21">
              <w:rPr>
                <w:sz w:val="18"/>
                <w:szCs w:val="18"/>
                <w:lang w:val="es-ES_tradnl" w:eastAsia="ko-KR"/>
              </w:rPr>
              <w:t>0,</w:t>
            </w:r>
            <w:r w:rsidRPr="008B7A21">
              <w:rPr>
                <w:sz w:val="18"/>
                <w:szCs w:val="18"/>
                <w:lang w:val="es-ES_tradnl"/>
              </w:rPr>
              <w:t>7</w:t>
            </w:r>
          </w:p>
        </w:tc>
        <w:tc>
          <w:tcPr>
            <w:tcW w:w="510" w:type="dxa"/>
          </w:tcPr>
          <w:p w14:paraId="47CC6F2D" w14:textId="77777777" w:rsidR="00F73D5B" w:rsidRPr="008B7A21" w:rsidRDefault="00F73D5B" w:rsidP="00767A6A">
            <w:pPr>
              <w:pStyle w:val="Tabletext"/>
              <w:keepNext/>
              <w:keepLines/>
              <w:ind w:left="-57" w:right="-57"/>
              <w:jc w:val="center"/>
              <w:rPr>
                <w:sz w:val="18"/>
                <w:szCs w:val="18"/>
                <w:lang w:val="es-ES_tradnl"/>
              </w:rPr>
            </w:pPr>
            <w:r w:rsidRPr="008B7A21">
              <w:rPr>
                <w:sz w:val="18"/>
                <w:szCs w:val="18"/>
                <w:lang w:val="es-ES_tradnl"/>
              </w:rPr>
              <w:t>1,4</w:t>
            </w:r>
          </w:p>
        </w:tc>
        <w:tc>
          <w:tcPr>
            <w:tcW w:w="510" w:type="dxa"/>
          </w:tcPr>
          <w:p w14:paraId="08D1E1D3" w14:textId="77777777" w:rsidR="00F73D5B" w:rsidRPr="008B7A21" w:rsidRDefault="00F73D5B" w:rsidP="00767A6A">
            <w:pPr>
              <w:pStyle w:val="Tabletext"/>
              <w:keepNext/>
              <w:keepLines/>
              <w:ind w:left="-57" w:right="-57"/>
              <w:jc w:val="center"/>
              <w:rPr>
                <w:sz w:val="18"/>
                <w:szCs w:val="18"/>
                <w:lang w:val="es-ES_tradnl"/>
              </w:rPr>
            </w:pPr>
            <w:r w:rsidRPr="008B7A21">
              <w:rPr>
                <w:sz w:val="18"/>
                <w:szCs w:val="18"/>
                <w:lang w:val="es-ES_tradnl"/>
              </w:rPr>
              <w:t>2,1</w:t>
            </w:r>
          </w:p>
        </w:tc>
        <w:tc>
          <w:tcPr>
            <w:tcW w:w="509" w:type="dxa"/>
          </w:tcPr>
          <w:p w14:paraId="76D11246" w14:textId="77777777" w:rsidR="00F73D5B" w:rsidRPr="008B7A21" w:rsidRDefault="00F73D5B" w:rsidP="00767A6A">
            <w:pPr>
              <w:pStyle w:val="Tabletext"/>
              <w:keepNext/>
              <w:keepLines/>
              <w:ind w:left="-57" w:right="-57"/>
              <w:jc w:val="center"/>
              <w:rPr>
                <w:sz w:val="18"/>
                <w:szCs w:val="18"/>
                <w:lang w:val="es-ES_tradnl"/>
              </w:rPr>
            </w:pPr>
            <w:r w:rsidRPr="008B7A21">
              <w:rPr>
                <w:sz w:val="18"/>
                <w:szCs w:val="18"/>
                <w:lang w:val="es-ES_tradnl"/>
              </w:rPr>
              <w:t>3,5</w:t>
            </w:r>
          </w:p>
        </w:tc>
        <w:tc>
          <w:tcPr>
            <w:tcW w:w="510" w:type="dxa"/>
          </w:tcPr>
          <w:p w14:paraId="4DB6F13A" w14:textId="77777777" w:rsidR="00F73D5B" w:rsidRPr="008B7A21" w:rsidRDefault="00F73D5B" w:rsidP="00767A6A">
            <w:pPr>
              <w:pStyle w:val="Tabletext"/>
              <w:keepNext/>
              <w:keepLines/>
              <w:ind w:left="-57" w:right="-57"/>
              <w:jc w:val="center"/>
              <w:rPr>
                <w:sz w:val="18"/>
                <w:szCs w:val="18"/>
                <w:lang w:val="es-ES_tradnl"/>
              </w:rPr>
            </w:pPr>
            <w:r w:rsidRPr="008B7A21">
              <w:rPr>
                <w:sz w:val="18"/>
                <w:szCs w:val="18"/>
                <w:lang w:val="es-ES_tradnl"/>
              </w:rPr>
              <w:t>4,9</w:t>
            </w:r>
          </w:p>
        </w:tc>
        <w:tc>
          <w:tcPr>
            <w:tcW w:w="510" w:type="dxa"/>
          </w:tcPr>
          <w:p w14:paraId="7E512A30" w14:textId="77777777" w:rsidR="00F73D5B" w:rsidRPr="008B7A21" w:rsidRDefault="00F73D5B" w:rsidP="00767A6A">
            <w:pPr>
              <w:pStyle w:val="Tabletext"/>
              <w:keepNext/>
              <w:keepLines/>
              <w:ind w:left="-57" w:right="-57"/>
              <w:jc w:val="center"/>
              <w:rPr>
                <w:sz w:val="18"/>
                <w:szCs w:val="18"/>
                <w:lang w:val="es-ES_tradnl"/>
              </w:rPr>
            </w:pPr>
            <w:r w:rsidRPr="008B7A21">
              <w:rPr>
                <w:sz w:val="18"/>
                <w:szCs w:val="18"/>
                <w:lang w:val="es-ES_tradnl"/>
              </w:rPr>
              <w:t>6,3</w:t>
            </w:r>
          </w:p>
        </w:tc>
        <w:tc>
          <w:tcPr>
            <w:tcW w:w="509" w:type="dxa"/>
          </w:tcPr>
          <w:p w14:paraId="0ACC77C4" w14:textId="77777777" w:rsidR="00F73D5B" w:rsidRPr="008B7A21" w:rsidRDefault="00F73D5B" w:rsidP="00767A6A">
            <w:pPr>
              <w:pStyle w:val="Tabletext"/>
              <w:keepNext/>
              <w:keepLines/>
              <w:ind w:left="-57" w:right="-57"/>
              <w:jc w:val="center"/>
              <w:rPr>
                <w:sz w:val="18"/>
                <w:szCs w:val="18"/>
                <w:lang w:val="es-ES_tradnl"/>
              </w:rPr>
            </w:pPr>
            <w:r w:rsidRPr="008B7A21">
              <w:rPr>
                <w:sz w:val="18"/>
                <w:szCs w:val="18"/>
                <w:lang w:val="es-ES_tradnl"/>
              </w:rPr>
              <w:t>8,4</w:t>
            </w:r>
          </w:p>
        </w:tc>
        <w:tc>
          <w:tcPr>
            <w:tcW w:w="510" w:type="dxa"/>
          </w:tcPr>
          <w:p w14:paraId="611B4549" w14:textId="77777777" w:rsidR="00F73D5B" w:rsidRPr="008B7A21" w:rsidRDefault="00F73D5B" w:rsidP="00767A6A">
            <w:pPr>
              <w:pStyle w:val="Tabletext"/>
              <w:keepNext/>
              <w:keepLines/>
              <w:ind w:left="-57" w:right="-57"/>
              <w:jc w:val="center"/>
              <w:rPr>
                <w:sz w:val="18"/>
                <w:szCs w:val="18"/>
                <w:lang w:val="es-ES_tradnl"/>
              </w:rPr>
            </w:pPr>
            <w:r w:rsidRPr="008B7A21">
              <w:rPr>
                <w:sz w:val="18"/>
                <w:szCs w:val="18"/>
                <w:lang w:val="es-ES_tradnl"/>
              </w:rPr>
              <w:t>10,5</w:t>
            </w:r>
          </w:p>
        </w:tc>
        <w:tc>
          <w:tcPr>
            <w:tcW w:w="510" w:type="dxa"/>
          </w:tcPr>
          <w:p w14:paraId="6E3DEC5D" w14:textId="77777777" w:rsidR="00F73D5B" w:rsidRPr="008B7A21" w:rsidRDefault="00F73D5B" w:rsidP="00767A6A">
            <w:pPr>
              <w:pStyle w:val="Tabletext"/>
              <w:keepNext/>
              <w:keepLines/>
              <w:ind w:left="-57" w:right="-57"/>
              <w:jc w:val="center"/>
              <w:rPr>
                <w:sz w:val="18"/>
                <w:szCs w:val="18"/>
                <w:lang w:val="es-ES_tradnl"/>
              </w:rPr>
            </w:pPr>
            <w:r w:rsidRPr="008B7A21">
              <w:rPr>
                <w:sz w:val="18"/>
                <w:szCs w:val="18"/>
                <w:lang w:val="es-ES_tradnl"/>
              </w:rPr>
              <w:t>13,3</w:t>
            </w:r>
          </w:p>
        </w:tc>
        <w:tc>
          <w:tcPr>
            <w:tcW w:w="509" w:type="dxa"/>
          </w:tcPr>
          <w:p w14:paraId="58A1ACBC" w14:textId="77777777" w:rsidR="00F73D5B" w:rsidRPr="008B7A21" w:rsidRDefault="00F73D5B" w:rsidP="00767A6A">
            <w:pPr>
              <w:pStyle w:val="Tabletext"/>
              <w:keepNext/>
              <w:keepLines/>
              <w:ind w:left="-57" w:right="-57"/>
              <w:jc w:val="center"/>
              <w:rPr>
                <w:sz w:val="18"/>
                <w:szCs w:val="18"/>
                <w:lang w:val="es-ES_tradnl"/>
              </w:rPr>
            </w:pPr>
            <w:r w:rsidRPr="008B7A21">
              <w:rPr>
                <w:sz w:val="18"/>
                <w:szCs w:val="18"/>
                <w:lang w:val="es-ES_tradnl"/>
              </w:rPr>
              <w:t>16,1</w:t>
            </w:r>
          </w:p>
        </w:tc>
        <w:tc>
          <w:tcPr>
            <w:tcW w:w="510" w:type="dxa"/>
          </w:tcPr>
          <w:p w14:paraId="4D6C995D" w14:textId="77777777" w:rsidR="00F73D5B" w:rsidRPr="008B7A21" w:rsidRDefault="00F73D5B" w:rsidP="00767A6A">
            <w:pPr>
              <w:pStyle w:val="Tabletext"/>
              <w:keepNext/>
              <w:keepLines/>
              <w:ind w:left="-57" w:right="-57"/>
              <w:jc w:val="center"/>
              <w:rPr>
                <w:sz w:val="18"/>
                <w:szCs w:val="18"/>
                <w:lang w:val="es-ES_tradnl"/>
              </w:rPr>
            </w:pPr>
            <w:r w:rsidRPr="008B7A21">
              <w:rPr>
                <w:sz w:val="18"/>
                <w:szCs w:val="18"/>
                <w:lang w:val="es-ES_tradnl"/>
              </w:rPr>
              <w:t>19,6</w:t>
            </w:r>
          </w:p>
        </w:tc>
        <w:tc>
          <w:tcPr>
            <w:tcW w:w="510" w:type="dxa"/>
          </w:tcPr>
          <w:p w14:paraId="5A44624B" w14:textId="77777777" w:rsidR="00F73D5B" w:rsidRPr="008B7A21" w:rsidRDefault="00F73D5B" w:rsidP="00767A6A">
            <w:pPr>
              <w:pStyle w:val="Tabletext"/>
              <w:keepNext/>
              <w:keepLines/>
              <w:ind w:left="-57" w:right="-57"/>
              <w:jc w:val="center"/>
              <w:rPr>
                <w:rFonts w:eastAsia="???"/>
                <w:sz w:val="18"/>
                <w:szCs w:val="18"/>
                <w:lang w:val="es-ES_tradnl"/>
              </w:rPr>
            </w:pPr>
            <w:r w:rsidRPr="008B7A21">
              <w:rPr>
                <w:rFonts w:eastAsia="???"/>
                <w:sz w:val="18"/>
                <w:szCs w:val="18"/>
                <w:lang w:val="es-ES_tradnl"/>
              </w:rPr>
              <w:t>23,1</w:t>
            </w:r>
          </w:p>
        </w:tc>
        <w:tc>
          <w:tcPr>
            <w:tcW w:w="509" w:type="dxa"/>
          </w:tcPr>
          <w:p w14:paraId="0C7BCB77" w14:textId="77777777" w:rsidR="00F73D5B" w:rsidRPr="008B7A21" w:rsidRDefault="00F73D5B" w:rsidP="00767A6A">
            <w:pPr>
              <w:pStyle w:val="Tabletext"/>
              <w:keepNext/>
              <w:keepLines/>
              <w:ind w:left="-57" w:right="-57"/>
              <w:jc w:val="center"/>
              <w:rPr>
                <w:sz w:val="18"/>
                <w:szCs w:val="18"/>
                <w:lang w:val="es-ES_tradnl"/>
              </w:rPr>
            </w:pPr>
            <w:r w:rsidRPr="008B7A21">
              <w:rPr>
                <w:caps/>
                <w:sz w:val="18"/>
                <w:szCs w:val="18"/>
                <w:lang w:val="es-ES_tradnl"/>
              </w:rPr>
              <w:t>26,6</w:t>
            </w:r>
          </w:p>
        </w:tc>
        <w:tc>
          <w:tcPr>
            <w:tcW w:w="550" w:type="dxa"/>
          </w:tcPr>
          <w:p w14:paraId="04393D25" w14:textId="77777777" w:rsidR="00F73D5B" w:rsidRPr="008B7A21" w:rsidRDefault="00F73D5B" w:rsidP="00767A6A">
            <w:pPr>
              <w:pStyle w:val="Tabletext"/>
              <w:keepNext/>
              <w:keepLines/>
              <w:ind w:left="-57" w:right="-57"/>
              <w:jc w:val="center"/>
              <w:rPr>
                <w:sz w:val="18"/>
                <w:szCs w:val="18"/>
                <w:lang w:val="es-ES_tradnl"/>
              </w:rPr>
            </w:pPr>
            <w:r w:rsidRPr="008B7A21">
              <w:rPr>
                <w:sz w:val="18"/>
                <w:szCs w:val="18"/>
                <w:lang w:val="es-ES_tradnl"/>
              </w:rPr>
              <w:t>30,8</w:t>
            </w:r>
          </w:p>
        </w:tc>
        <w:tc>
          <w:tcPr>
            <w:tcW w:w="470" w:type="dxa"/>
          </w:tcPr>
          <w:p w14:paraId="22EB6EAA" w14:textId="77777777" w:rsidR="00F73D5B" w:rsidRPr="008B7A21" w:rsidRDefault="00F73D5B" w:rsidP="00767A6A">
            <w:pPr>
              <w:pStyle w:val="Tabletext"/>
              <w:keepNext/>
              <w:keepLines/>
              <w:ind w:left="-57" w:right="-57"/>
              <w:jc w:val="center"/>
              <w:rPr>
                <w:sz w:val="18"/>
                <w:szCs w:val="18"/>
                <w:lang w:val="es-ES_tradnl"/>
              </w:rPr>
            </w:pPr>
            <w:r w:rsidRPr="008B7A21">
              <w:rPr>
                <w:sz w:val="18"/>
                <w:szCs w:val="18"/>
                <w:lang w:val="es-ES_tradnl"/>
              </w:rPr>
              <w:t>35</w:t>
            </w:r>
          </w:p>
        </w:tc>
      </w:tr>
      <w:tr w:rsidR="00F73D5B" w:rsidRPr="008B7A21" w14:paraId="3EBF4677" w14:textId="77777777" w:rsidTr="00767A6A">
        <w:trPr>
          <w:jc w:val="center"/>
        </w:trPr>
        <w:tc>
          <w:tcPr>
            <w:tcW w:w="1928" w:type="dxa"/>
            <w:vAlign w:val="center"/>
          </w:tcPr>
          <w:p w14:paraId="7077DD8B" w14:textId="77777777" w:rsidR="00F73D5B" w:rsidRPr="008B7A21" w:rsidRDefault="00F73D5B" w:rsidP="00767A6A">
            <w:pPr>
              <w:pStyle w:val="Tabletext"/>
              <w:keepNext/>
              <w:keepLines/>
              <w:ind w:left="-57" w:right="-57"/>
              <w:jc w:val="center"/>
              <w:rPr>
                <w:rFonts w:eastAsia="???"/>
                <w:sz w:val="18"/>
                <w:szCs w:val="18"/>
                <w:lang w:val="es-ES_tradnl"/>
              </w:rPr>
            </w:pPr>
            <w:r w:rsidRPr="008B7A21">
              <w:rPr>
                <w:sz w:val="18"/>
                <w:szCs w:val="18"/>
                <w:lang w:val="es-ES_tradnl"/>
              </w:rPr>
              <w:t>3~</w:t>
            </w:r>
            <w:r w:rsidRPr="008B7A21">
              <w:rPr>
                <w:rFonts w:eastAsia="???"/>
                <w:sz w:val="18"/>
                <w:szCs w:val="18"/>
                <w:lang w:val="es-ES_tradnl" w:eastAsia="ko-KR"/>
              </w:rPr>
              <w:t xml:space="preserve">10 </w:t>
            </w:r>
            <w:r w:rsidRPr="008B7A21">
              <w:rPr>
                <w:rFonts w:eastAsia="???"/>
                <w:sz w:val="18"/>
                <w:szCs w:val="18"/>
                <w:lang w:val="es-ES_tradnl"/>
              </w:rPr>
              <w:t>GHz</w:t>
            </w:r>
          </w:p>
        </w:tc>
        <w:tc>
          <w:tcPr>
            <w:tcW w:w="535" w:type="dxa"/>
          </w:tcPr>
          <w:p w14:paraId="417B0D70" w14:textId="77777777" w:rsidR="00F73D5B" w:rsidRPr="008B7A21" w:rsidRDefault="00F73D5B" w:rsidP="00767A6A">
            <w:pPr>
              <w:pStyle w:val="Tabletext"/>
              <w:keepNext/>
              <w:keepLines/>
              <w:ind w:left="-57" w:right="-57"/>
              <w:jc w:val="center"/>
              <w:rPr>
                <w:sz w:val="18"/>
                <w:szCs w:val="18"/>
                <w:lang w:val="es-ES_tradnl"/>
              </w:rPr>
            </w:pPr>
            <w:r w:rsidRPr="008B7A21">
              <w:rPr>
                <w:sz w:val="18"/>
                <w:szCs w:val="18"/>
                <w:lang w:val="es-ES_tradnl"/>
              </w:rPr>
              <w:t>0,</w:t>
            </w:r>
            <w:r w:rsidRPr="008B7A21">
              <w:rPr>
                <w:sz w:val="18"/>
                <w:szCs w:val="18"/>
                <w:lang w:val="es-ES_tradnl" w:eastAsia="ko-KR"/>
              </w:rPr>
              <w:t>2</w:t>
            </w:r>
            <w:r w:rsidRPr="008B7A21">
              <w:rPr>
                <w:sz w:val="18"/>
                <w:szCs w:val="18"/>
                <w:lang w:val="es-ES_tradnl"/>
              </w:rPr>
              <w:t>3</w:t>
            </w:r>
          </w:p>
        </w:tc>
        <w:tc>
          <w:tcPr>
            <w:tcW w:w="510" w:type="dxa"/>
          </w:tcPr>
          <w:p w14:paraId="28BF69EA" w14:textId="77777777" w:rsidR="00F73D5B" w:rsidRPr="008B7A21" w:rsidRDefault="00F73D5B" w:rsidP="00767A6A">
            <w:pPr>
              <w:pStyle w:val="Tabletext"/>
              <w:keepNext/>
              <w:keepLines/>
              <w:ind w:left="-57" w:right="-57"/>
              <w:jc w:val="center"/>
              <w:rPr>
                <w:sz w:val="18"/>
                <w:szCs w:val="18"/>
                <w:lang w:val="es-ES_tradnl" w:eastAsia="ko-KR"/>
              </w:rPr>
            </w:pPr>
            <w:r w:rsidRPr="008B7A21">
              <w:rPr>
                <w:sz w:val="18"/>
                <w:szCs w:val="18"/>
                <w:lang w:val="es-ES_tradnl"/>
              </w:rPr>
              <w:t>0,</w:t>
            </w:r>
            <w:r w:rsidRPr="008B7A21">
              <w:rPr>
                <w:sz w:val="18"/>
                <w:szCs w:val="18"/>
                <w:lang w:val="es-ES_tradnl" w:eastAsia="ko-KR"/>
              </w:rPr>
              <w:t>47</w:t>
            </w:r>
          </w:p>
        </w:tc>
        <w:tc>
          <w:tcPr>
            <w:tcW w:w="510" w:type="dxa"/>
          </w:tcPr>
          <w:p w14:paraId="524F02E2" w14:textId="77777777" w:rsidR="00F73D5B" w:rsidRPr="008B7A21" w:rsidRDefault="00F73D5B" w:rsidP="00767A6A">
            <w:pPr>
              <w:pStyle w:val="Tabletext"/>
              <w:keepNext/>
              <w:keepLines/>
              <w:ind w:left="-57" w:right="-57"/>
              <w:jc w:val="center"/>
              <w:rPr>
                <w:sz w:val="18"/>
                <w:szCs w:val="18"/>
                <w:lang w:val="es-ES_tradnl" w:eastAsia="ko-KR"/>
              </w:rPr>
            </w:pPr>
            <w:r w:rsidRPr="008B7A21">
              <w:rPr>
                <w:sz w:val="18"/>
                <w:szCs w:val="18"/>
                <w:lang w:val="es-ES_tradnl"/>
              </w:rPr>
              <w:t>0,</w:t>
            </w:r>
            <w:r w:rsidRPr="008B7A21">
              <w:rPr>
                <w:sz w:val="18"/>
                <w:szCs w:val="18"/>
                <w:lang w:val="es-ES_tradnl" w:eastAsia="ko-KR"/>
              </w:rPr>
              <w:t>70</w:t>
            </w:r>
          </w:p>
        </w:tc>
        <w:tc>
          <w:tcPr>
            <w:tcW w:w="509" w:type="dxa"/>
          </w:tcPr>
          <w:p w14:paraId="3C2E7FE1" w14:textId="77777777" w:rsidR="00F73D5B" w:rsidRPr="008B7A21" w:rsidRDefault="00F73D5B" w:rsidP="00767A6A">
            <w:pPr>
              <w:pStyle w:val="Tabletext"/>
              <w:keepNext/>
              <w:keepLines/>
              <w:ind w:left="-57" w:right="-57"/>
              <w:jc w:val="center"/>
              <w:rPr>
                <w:sz w:val="18"/>
                <w:szCs w:val="18"/>
                <w:lang w:val="es-ES_tradnl" w:eastAsia="ko-KR"/>
              </w:rPr>
            </w:pPr>
            <w:r w:rsidRPr="008B7A21">
              <w:rPr>
                <w:sz w:val="18"/>
                <w:szCs w:val="18"/>
                <w:lang w:val="es-ES_tradnl"/>
              </w:rPr>
              <w:t>1,</w:t>
            </w:r>
            <w:r w:rsidRPr="008B7A21">
              <w:rPr>
                <w:sz w:val="18"/>
                <w:szCs w:val="18"/>
                <w:lang w:val="es-ES_tradnl" w:eastAsia="ko-KR"/>
              </w:rPr>
              <w:t>17</w:t>
            </w:r>
          </w:p>
        </w:tc>
        <w:tc>
          <w:tcPr>
            <w:tcW w:w="510" w:type="dxa"/>
          </w:tcPr>
          <w:p w14:paraId="5EECA42B" w14:textId="77777777" w:rsidR="00F73D5B" w:rsidRPr="008B7A21" w:rsidRDefault="00F73D5B" w:rsidP="00767A6A">
            <w:pPr>
              <w:pStyle w:val="Tabletext"/>
              <w:keepNext/>
              <w:keepLines/>
              <w:ind w:left="-57" w:right="-57"/>
              <w:jc w:val="center"/>
              <w:rPr>
                <w:sz w:val="18"/>
                <w:szCs w:val="18"/>
                <w:lang w:val="es-ES_tradnl" w:eastAsia="ko-KR"/>
              </w:rPr>
            </w:pPr>
            <w:r w:rsidRPr="008B7A21">
              <w:rPr>
                <w:sz w:val="18"/>
                <w:szCs w:val="18"/>
                <w:lang w:val="es-ES_tradnl" w:eastAsia="ko-KR"/>
              </w:rPr>
              <w:t>1,64</w:t>
            </w:r>
          </w:p>
        </w:tc>
        <w:tc>
          <w:tcPr>
            <w:tcW w:w="510" w:type="dxa"/>
          </w:tcPr>
          <w:p w14:paraId="3762DFC3" w14:textId="77777777" w:rsidR="00F73D5B" w:rsidRPr="008B7A21" w:rsidRDefault="00F73D5B" w:rsidP="00767A6A">
            <w:pPr>
              <w:pStyle w:val="Tabletext"/>
              <w:keepNext/>
              <w:keepLines/>
              <w:ind w:left="-57" w:right="-57"/>
              <w:jc w:val="center"/>
              <w:rPr>
                <w:sz w:val="18"/>
                <w:szCs w:val="18"/>
                <w:lang w:val="es-ES_tradnl" w:eastAsia="ko-KR"/>
              </w:rPr>
            </w:pPr>
            <w:r w:rsidRPr="008B7A21">
              <w:rPr>
                <w:sz w:val="18"/>
                <w:szCs w:val="18"/>
                <w:lang w:val="es-ES_tradnl"/>
              </w:rPr>
              <w:t>2,</w:t>
            </w:r>
            <w:r w:rsidRPr="008B7A21">
              <w:rPr>
                <w:sz w:val="18"/>
                <w:szCs w:val="18"/>
                <w:lang w:val="es-ES_tradnl" w:eastAsia="ko-KR"/>
              </w:rPr>
              <w:t>11</w:t>
            </w:r>
          </w:p>
        </w:tc>
        <w:tc>
          <w:tcPr>
            <w:tcW w:w="509" w:type="dxa"/>
          </w:tcPr>
          <w:p w14:paraId="672F0305" w14:textId="77777777" w:rsidR="00F73D5B" w:rsidRPr="008B7A21" w:rsidRDefault="00F73D5B" w:rsidP="00767A6A">
            <w:pPr>
              <w:pStyle w:val="Tabletext"/>
              <w:keepNext/>
              <w:keepLines/>
              <w:ind w:left="-57" w:right="-57"/>
              <w:jc w:val="center"/>
              <w:rPr>
                <w:sz w:val="18"/>
                <w:szCs w:val="18"/>
                <w:lang w:val="es-ES_tradnl"/>
              </w:rPr>
            </w:pPr>
            <w:r w:rsidRPr="008B7A21">
              <w:rPr>
                <w:sz w:val="18"/>
                <w:szCs w:val="18"/>
                <w:lang w:val="es-ES_tradnl" w:eastAsia="ko-KR"/>
              </w:rPr>
              <w:t>2,81</w:t>
            </w:r>
          </w:p>
        </w:tc>
        <w:tc>
          <w:tcPr>
            <w:tcW w:w="510" w:type="dxa"/>
          </w:tcPr>
          <w:p w14:paraId="1193C617" w14:textId="77777777" w:rsidR="00F73D5B" w:rsidRPr="008B7A21" w:rsidRDefault="00F73D5B" w:rsidP="00767A6A">
            <w:pPr>
              <w:pStyle w:val="Tabletext"/>
              <w:keepNext/>
              <w:keepLines/>
              <w:ind w:left="-57" w:right="-57"/>
              <w:jc w:val="center"/>
              <w:rPr>
                <w:sz w:val="18"/>
                <w:szCs w:val="18"/>
                <w:lang w:val="es-ES_tradnl" w:eastAsia="ko-KR"/>
              </w:rPr>
            </w:pPr>
            <w:r w:rsidRPr="008B7A21">
              <w:rPr>
                <w:sz w:val="18"/>
                <w:szCs w:val="18"/>
                <w:lang w:val="es-ES_tradnl" w:eastAsia="ko-KR"/>
              </w:rPr>
              <w:t>3,51</w:t>
            </w:r>
          </w:p>
        </w:tc>
        <w:tc>
          <w:tcPr>
            <w:tcW w:w="510" w:type="dxa"/>
          </w:tcPr>
          <w:p w14:paraId="6D2309B7" w14:textId="77777777" w:rsidR="00F73D5B" w:rsidRPr="008B7A21" w:rsidRDefault="00F73D5B" w:rsidP="00767A6A">
            <w:pPr>
              <w:pStyle w:val="Tabletext"/>
              <w:keepNext/>
              <w:keepLines/>
              <w:ind w:left="-57" w:right="-57"/>
              <w:jc w:val="center"/>
              <w:rPr>
                <w:sz w:val="18"/>
                <w:szCs w:val="18"/>
                <w:lang w:val="es-ES_tradnl" w:eastAsia="ko-KR"/>
              </w:rPr>
            </w:pPr>
            <w:r w:rsidRPr="008B7A21">
              <w:rPr>
                <w:sz w:val="18"/>
                <w:szCs w:val="18"/>
                <w:lang w:val="es-ES_tradnl" w:eastAsia="ko-KR"/>
              </w:rPr>
              <w:t>4,45</w:t>
            </w:r>
          </w:p>
        </w:tc>
        <w:tc>
          <w:tcPr>
            <w:tcW w:w="509" w:type="dxa"/>
          </w:tcPr>
          <w:p w14:paraId="74389582" w14:textId="77777777" w:rsidR="00F73D5B" w:rsidRPr="008B7A21" w:rsidRDefault="00F73D5B" w:rsidP="00767A6A">
            <w:pPr>
              <w:pStyle w:val="Tabletext"/>
              <w:keepNext/>
              <w:keepLines/>
              <w:ind w:left="-57" w:right="-57"/>
              <w:jc w:val="center"/>
              <w:rPr>
                <w:sz w:val="18"/>
                <w:szCs w:val="18"/>
                <w:lang w:val="es-ES_tradnl" w:eastAsia="ko-KR"/>
              </w:rPr>
            </w:pPr>
            <w:r w:rsidRPr="008B7A21">
              <w:rPr>
                <w:sz w:val="18"/>
                <w:szCs w:val="18"/>
                <w:lang w:val="es-ES_tradnl" w:eastAsia="ko-KR"/>
              </w:rPr>
              <w:t>5,38</w:t>
            </w:r>
          </w:p>
        </w:tc>
        <w:tc>
          <w:tcPr>
            <w:tcW w:w="510" w:type="dxa"/>
          </w:tcPr>
          <w:p w14:paraId="39CC88F3" w14:textId="77777777" w:rsidR="00F73D5B" w:rsidRPr="008B7A21" w:rsidRDefault="00F73D5B" w:rsidP="00767A6A">
            <w:pPr>
              <w:pStyle w:val="Tabletext"/>
              <w:keepNext/>
              <w:keepLines/>
              <w:ind w:left="-57" w:right="-57"/>
              <w:jc w:val="center"/>
              <w:rPr>
                <w:sz w:val="18"/>
                <w:szCs w:val="18"/>
                <w:lang w:val="es-ES_tradnl" w:eastAsia="ko-KR"/>
              </w:rPr>
            </w:pPr>
            <w:r w:rsidRPr="008B7A21">
              <w:rPr>
                <w:sz w:val="18"/>
                <w:szCs w:val="18"/>
                <w:lang w:val="es-ES_tradnl" w:eastAsia="ko-KR"/>
              </w:rPr>
              <w:t>6,55</w:t>
            </w:r>
          </w:p>
        </w:tc>
        <w:tc>
          <w:tcPr>
            <w:tcW w:w="510" w:type="dxa"/>
          </w:tcPr>
          <w:p w14:paraId="76AE9B54" w14:textId="77777777" w:rsidR="00F73D5B" w:rsidRPr="008B7A21" w:rsidRDefault="00F73D5B" w:rsidP="00767A6A">
            <w:pPr>
              <w:pStyle w:val="Tabletext"/>
              <w:keepNext/>
              <w:keepLines/>
              <w:ind w:left="-57" w:right="-57"/>
              <w:jc w:val="center"/>
              <w:rPr>
                <w:sz w:val="18"/>
                <w:szCs w:val="18"/>
                <w:lang w:val="es-ES_tradnl" w:eastAsia="ko-KR"/>
              </w:rPr>
            </w:pPr>
            <w:r w:rsidRPr="008B7A21">
              <w:rPr>
                <w:sz w:val="18"/>
                <w:szCs w:val="18"/>
                <w:lang w:val="es-ES_tradnl" w:eastAsia="ko-KR"/>
              </w:rPr>
              <w:t>7,72</w:t>
            </w:r>
          </w:p>
        </w:tc>
        <w:tc>
          <w:tcPr>
            <w:tcW w:w="509" w:type="dxa"/>
          </w:tcPr>
          <w:p w14:paraId="2389E98B" w14:textId="77777777" w:rsidR="00F73D5B" w:rsidRPr="008B7A21" w:rsidRDefault="00F73D5B" w:rsidP="00767A6A">
            <w:pPr>
              <w:pStyle w:val="Tabletext"/>
              <w:keepNext/>
              <w:keepLines/>
              <w:ind w:left="-57" w:right="-57"/>
              <w:jc w:val="center"/>
              <w:rPr>
                <w:rFonts w:eastAsia="???"/>
                <w:sz w:val="18"/>
                <w:szCs w:val="18"/>
                <w:lang w:val="es-ES_tradnl" w:eastAsia="ko-KR"/>
              </w:rPr>
            </w:pPr>
            <w:r w:rsidRPr="008B7A21">
              <w:rPr>
                <w:rFonts w:eastAsia="???"/>
                <w:sz w:val="18"/>
                <w:szCs w:val="18"/>
                <w:lang w:val="es-ES_tradnl" w:eastAsia="ko-KR"/>
              </w:rPr>
              <w:t>8,89</w:t>
            </w:r>
          </w:p>
        </w:tc>
        <w:tc>
          <w:tcPr>
            <w:tcW w:w="550" w:type="dxa"/>
          </w:tcPr>
          <w:p w14:paraId="7CD12F11" w14:textId="77777777" w:rsidR="00F73D5B" w:rsidRPr="008B7A21" w:rsidRDefault="00F73D5B" w:rsidP="00767A6A">
            <w:pPr>
              <w:pStyle w:val="Tabletext"/>
              <w:keepNext/>
              <w:keepLines/>
              <w:ind w:left="-57" w:right="-57"/>
              <w:jc w:val="center"/>
              <w:rPr>
                <w:sz w:val="18"/>
                <w:szCs w:val="18"/>
                <w:lang w:val="es-ES_tradnl" w:eastAsia="ko-KR"/>
              </w:rPr>
            </w:pPr>
            <w:r w:rsidRPr="008B7A21">
              <w:rPr>
                <w:sz w:val="18"/>
                <w:szCs w:val="18"/>
                <w:lang w:val="es-ES_tradnl" w:eastAsia="ko-KR"/>
              </w:rPr>
              <w:t>10,3</w:t>
            </w:r>
          </w:p>
        </w:tc>
        <w:tc>
          <w:tcPr>
            <w:tcW w:w="470" w:type="dxa"/>
          </w:tcPr>
          <w:p w14:paraId="00079A83" w14:textId="77777777" w:rsidR="00F73D5B" w:rsidRPr="008B7A21" w:rsidRDefault="00F73D5B" w:rsidP="00767A6A">
            <w:pPr>
              <w:pStyle w:val="Tabletext"/>
              <w:keepNext/>
              <w:keepLines/>
              <w:ind w:left="-57" w:right="-57"/>
              <w:jc w:val="center"/>
              <w:rPr>
                <w:sz w:val="18"/>
                <w:szCs w:val="18"/>
                <w:lang w:val="es-ES_tradnl" w:eastAsia="ko-KR"/>
              </w:rPr>
            </w:pPr>
            <w:r w:rsidRPr="008B7A21">
              <w:rPr>
                <w:sz w:val="18"/>
                <w:szCs w:val="18"/>
                <w:lang w:val="es-ES_tradnl" w:eastAsia="ko-KR"/>
              </w:rPr>
              <w:t>11,7</w:t>
            </w:r>
          </w:p>
        </w:tc>
      </w:tr>
      <w:tr w:rsidR="00F73D5B" w:rsidRPr="008B7A21" w14:paraId="7E82FDF7" w14:textId="77777777" w:rsidTr="00767A6A">
        <w:trPr>
          <w:jc w:val="center"/>
        </w:trPr>
        <w:tc>
          <w:tcPr>
            <w:tcW w:w="1928" w:type="dxa"/>
            <w:vAlign w:val="center"/>
          </w:tcPr>
          <w:p w14:paraId="4AFF29E2" w14:textId="77777777" w:rsidR="00F73D5B" w:rsidRPr="008B7A21" w:rsidRDefault="00F73D5B" w:rsidP="00767A6A">
            <w:pPr>
              <w:pStyle w:val="Tabletext"/>
              <w:ind w:left="-57" w:right="-57"/>
              <w:jc w:val="center"/>
              <w:rPr>
                <w:sz w:val="18"/>
                <w:szCs w:val="18"/>
                <w:lang w:val="es-ES_tradnl"/>
              </w:rPr>
            </w:pPr>
            <w:r w:rsidRPr="008B7A21">
              <w:rPr>
                <w:sz w:val="18"/>
                <w:szCs w:val="18"/>
                <w:lang w:val="es-ES_tradnl" w:eastAsia="ko-KR"/>
              </w:rPr>
              <w:t>10~30</w:t>
            </w:r>
            <w:r w:rsidRPr="008B7A21">
              <w:rPr>
                <w:sz w:val="18"/>
                <w:szCs w:val="18"/>
                <w:lang w:val="es-ES_tradnl"/>
              </w:rPr>
              <w:t xml:space="preserve"> GHz</w:t>
            </w:r>
          </w:p>
        </w:tc>
        <w:tc>
          <w:tcPr>
            <w:tcW w:w="535" w:type="dxa"/>
          </w:tcPr>
          <w:p w14:paraId="39F6A4BC" w14:textId="77777777" w:rsidR="00F73D5B" w:rsidRPr="008B7A21" w:rsidRDefault="00F73D5B" w:rsidP="00767A6A">
            <w:pPr>
              <w:pStyle w:val="Tabletext"/>
              <w:ind w:left="-57" w:right="-57"/>
              <w:jc w:val="center"/>
              <w:rPr>
                <w:sz w:val="18"/>
                <w:szCs w:val="18"/>
                <w:lang w:val="es-ES_tradnl" w:eastAsia="ko-KR"/>
              </w:rPr>
            </w:pPr>
            <w:r w:rsidRPr="008B7A21">
              <w:rPr>
                <w:sz w:val="18"/>
                <w:szCs w:val="18"/>
                <w:lang w:val="es-ES_tradnl"/>
              </w:rPr>
              <w:t>0,</w:t>
            </w:r>
            <w:r w:rsidRPr="008B7A21">
              <w:rPr>
                <w:sz w:val="18"/>
                <w:szCs w:val="18"/>
                <w:lang w:val="es-ES_tradnl" w:eastAsia="ko-KR"/>
              </w:rPr>
              <w:t>03</w:t>
            </w:r>
          </w:p>
        </w:tc>
        <w:tc>
          <w:tcPr>
            <w:tcW w:w="510" w:type="dxa"/>
          </w:tcPr>
          <w:p w14:paraId="461A8DC6" w14:textId="77777777" w:rsidR="00F73D5B" w:rsidRPr="008B7A21" w:rsidRDefault="00F73D5B" w:rsidP="00767A6A">
            <w:pPr>
              <w:pStyle w:val="Tabletext"/>
              <w:ind w:left="-57" w:right="-57"/>
              <w:jc w:val="center"/>
              <w:rPr>
                <w:sz w:val="18"/>
                <w:szCs w:val="18"/>
                <w:lang w:val="es-ES_tradnl" w:eastAsia="ko-KR"/>
              </w:rPr>
            </w:pPr>
            <w:r w:rsidRPr="008B7A21">
              <w:rPr>
                <w:sz w:val="18"/>
                <w:szCs w:val="18"/>
                <w:lang w:val="es-ES_tradnl"/>
              </w:rPr>
              <w:t>0,</w:t>
            </w:r>
            <w:r w:rsidRPr="008B7A21">
              <w:rPr>
                <w:sz w:val="18"/>
                <w:szCs w:val="18"/>
                <w:lang w:val="es-ES_tradnl" w:eastAsia="ko-KR"/>
              </w:rPr>
              <w:t>07</w:t>
            </w:r>
          </w:p>
        </w:tc>
        <w:tc>
          <w:tcPr>
            <w:tcW w:w="510" w:type="dxa"/>
          </w:tcPr>
          <w:p w14:paraId="03BDB7BB" w14:textId="77777777" w:rsidR="00F73D5B" w:rsidRPr="008B7A21" w:rsidRDefault="00F73D5B" w:rsidP="00767A6A">
            <w:pPr>
              <w:pStyle w:val="Tabletext"/>
              <w:ind w:left="-57" w:right="-57"/>
              <w:jc w:val="center"/>
              <w:rPr>
                <w:sz w:val="18"/>
                <w:szCs w:val="18"/>
                <w:lang w:val="es-ES_tradnl" w:eastAsia="ko-KR"/>
              </w:rPr>
            </w:pPr>
            <w:r w:rsidRPr="008B7A21">
              <w:rPr>
                <w:sz w:val="18"/>
                <w:szCs w:val="18"/>
                <w:lang w:val="es-ES_tradnl"/>
              </w:rPr>
              <w:t>0,</w:t>
            </w:r>
            <w:r w:rsidRPr="008B7A21">
              <w:rPr>
                <w:sz w:val="18"/>
                <w:szCs w:val="18"/>
                <w:lang w:val="es-ES_tradnl" w:eastAsia="ko-KR"/>
              </w:rPr>
              <w:t>10</w:t>
            </w:r>
          </w:p>
        </w:tc>
        <w:tc>
          <w:tcPr>
            <w:tcW w:w="509" w:type="dxa"/>
          </w:tcPr>
          <w:p w14:paraId="203E2966" w14:textId="77777777" w:rsidR="00F73D5B" w:rsidRPr="008B7A21" w:rsidRDefault="00F73D5B" w:rsidP="00767A6A">
            <w:pPr>
              <w:pStyle w:val="Tabletext"/>
              <w:ind w:left="-57" w:right="-57"/>
              <w:jc w:val="center"/>
              <w:rPr>
                <w:sz w:val="18"/>
                <w:szCs w:val="18"/>
                <w:lang w:val="es-ES_tradnl" w:eastAsia="ko-KR"/>
              </w:rPr>
            </w:pPr>
            <w:r w:rsidRPr="008B7A21">
              <w:rPr>
                <w:sz w:val="18"/>
                <w:szCs w:val="18"/>
                <w:lang w:val="es-ES_tradnl" w:eastAsia="ko-KR"/>
              </w:rPr>
              <w:t>0,17</w:t>
            </w:r>
          </w:p>
        </w:tc>
        <w:tc>
          <w:tcPr>
            <w:tcW w:w="510" w:type="dxa"/>
          </w:tcPr>
          <w:p w14:paraId="0BC6E4D5" w14:textId="77777777" w:rsidR="00F73D5B" w:rsidRPr="008B7A21" w:rsidRDefault="00F73D5B" w:rsidP="00767A6A">
            <w:pPr>
              <w:pStyle w:val="Tabletext"/>
              <w:ind w:left="-57" w:right="-57"/>
              <w:jc w:val="center"/>
              <w:rPr>
                <w:sz w:val="18"/>
                <w:szCs w:val="18"/>
                <w:lang w:val="es-ES_tradnl" w:eastAsia="ko-KR"/>
              </w:rPr>
            </w:pPr>
            <w:r w:rsidRPr="008B7A21">
              <w:rPr>
                <w:sz w:val="18"/>
                <w:szCs w:val="18"/>
                <w:lang w:val="es-ES_tradnl" w:eastAsia="ko-KR"/>
              </w:rPr>
              <w:t>0,24</w:t>
            </w:r>
          </w:p>
        </w:tc>
        <w:tc>
          <w:tcPr>
            <w:tcW w:w="510" w:type="dxa"/>
          </w:tcPr>
          <w:p w14:paraId="68456A63" w14:textId="77777777" w:rsidR="00F73D5B" w:rsidRPr="008B7A21" w:rsidRDefault="00F73D5B" w:rsidP="00767A6A">
            <w:pPr>
              <w:pStyle w:val="Tabletext"/>
              <w:ind w:left="-57" w:right="-57"/>
              <w:jc w:val="center"/>
              <w:rPr>
                <w:sz w:val="18"/>
                <w:szCs w:val="18"/>
                <w:lang w:val="es-ES_tradnl"/>
              </w:rPr>
            </w:pPr>
            <w:r w:rsidRPr="008B7A21">
              <w:rPr>
                <w:sz w:val="18"/>
                <w:szCs w:val="18"/>
                <w:lang w:val="es-ES_tradnl" w:eastAsia="ko-KR"/>
              </w:rPr>
              <w:t>0,31</w:t>
            </w:r>
          </w:p>
        </w:tc>
        <w:tc>
          <w:tcPr>
            <w:tcW w:w="509" w:type="dxa"/>
          </w:tcPr>
          <w:p w14:paraId="4A0F3BD8" w14:textId="77777777" w:rsidR="00F73D5B" w:rsidRPr="008B7A21" w:rsidRDefault="00F73D5B" w:rsidP="00767A6A">
            <w:pPr>
              <w:pStyle w:val="Tabletext"/>
              <w:ind w:left="-57" w:right="-57"/>
              <w:jc w:val="center"/>
              <w:rPr>
                <w:sz w:val="18"/>
                <w:szCs w:val="18"/>
                <w:lang w:val="es-ES_tradnl"/>
              </w:rPr>
            </w:pPr>
            <w:r w:rsidRPr="008B7A21">
              <w:rPr>
                <w:sz w:val="18"/>
                <w:szCs w:val="18"/>
                <w:lang w:val="es-ES_tradnl" w:eastAsia="ko-KR"/>
              </w:rPr>
              <w:t>0,41</w:t>
            </w:r>
          </w:p>
        </w:tc>
        <w:tc>
          <w:tcPr>
            <w:tcW w:w="510" w:type="dxa"/>
          </w:tcPr>
          <w:p w14:paraId="4577AC2E" w14:textId="77777777" w:rsidR="00F73D5B" w:rsidRPr="008B7A21" w:rsidRDefault="00F73D5B" w:rsidP="00767A6A">
            <w:pPr>
              <w:pStyle w:val="Tabletext"/>
              <w:ind w:left="-57" w:right="-57"/>
              <w:jc w:val="center"/>
              <w:rPr>
                <w:sz w:val="18"/>
                <w:szCs w:val="18"/>
                <w:lang w:val="es-ES_tradnl" w:eastAsia="ko-KR"/>
              </w:rPr>
            </w:pPr>
            <w:r w:rsidRPr="008B7A21">
              <w:rPr>
                <w:sz w:val="18"/>
                <w:szCs w:val="18"/>
                <w:lang w:val="es-ES_tradnl" w:eastAsia="ko-KR"/>
              </w:rPr>
              <w:t>0,51</w:t>
            </w:r>
          </w:p>
        </w:tc>
        <w:tc>
          <w:tcPr>
            <w:tcW w:w="510" w:type="dxa"/>
          </w:tcPr>
          <w:p w14:paraId="1B152AF8" w14:textId="77777777" w:rsidR="00F73D5B" w:rsidRPr="008B7A21" w:rsidRDefault="00F73D5B" w:rsidP="00767A6A">
            <w:pPr>
              <w:pStyle w:val="Tabletext"/>
              <w:ind w:left="-57" w:right="-57"/>
              <w:jc w:val="center"/>
              <w:rPr>
                <w:sz w:val="18"/>
                <w:szCs w:val="18"/>
                <w:lang w:val="es-ES_tradnl" w:eastAsia="ko-KR"/>
              </w:rPr>
            </w:pPr>
            <w:r w:rsidRPr="008B7A21">
              <w:rPr>
                <w:caps/>
                <w:sz w:val="18"/>
                <w:szCs w:val="18"/>
                <w:lang w:val="es-ES_tradnl" w:eastAsia="ko-KR"/>
              </w:rPr>
              <w:t>0,65</w:t>
            </w:r>
          </w:p>
        </w:tc>
        <w:tc>
          <w:tcPr>
            <w:tcW w:w="509" w:type="dxa"/>
          </w:tcPr>
          <w:p w14:paraId="161E1FCC" w14:textId="77777777" w:rsidR="00F73D5B" w:rsidRPr="008B7A21" w:rsidRDefault="00F73D5B" w:rsidP="00767A6A">
            <w:pPr>
              <w:pStyle w:val="Tabletext"/>
              <w:ind w:left="-57" w:right="-57"/>
              <w:jc w:val="center"/>
              <w:rPr>
                <w:sz w:val="18"/>
                <w:szCs w:val="18"/>
                <w:lang w:val="es-ES_tradnl" w:eastAsia="ko-KR"/>
              </w:rPr>
            </w:pPr>
            <w:r w:rsidRPr="008B7A21">
              <w:rPr>
                <w:sz w:val="18"/>
                <w:szCs w:val="18"/>
                <w:lang w:val="es-ES_tradnl" w:eastAsia="ko-KR"/>
              </w:rPr>
              <w:t>0,78</w:t>
            </w:r>
          </w:p>
        </w:tc>
        <w:tc>
          <w:tcPr>
            <w:tcW w:w="510" w:type="dxa"/>
          </w:tcPr>
          <w:p w14:paraId="1CB69553" w14:textId="77777777" w:rsidR="00F73D5B" w:rsidRPr="008B7A21" w:rsidRDefault="00F73D5B" w:rsidP="00767A6A">
            <w:pPr>
              <w:pStyle w:val="Tabletext"/>
              <w:ind w:left="-57" w:right="-57"/>
              <w:jc w:val="center"/>
              <w:rPr>
                <w:sz w:val="18"/>
                <w:szCs w:val="18"/>
                <w:lang w:val="es-ES_tradnl" w:eastAsia="ko-KR"/>
              </w:rPr>
            </w:pPr>
            <w:r w:rsidRPr="008B7A21">
              <w:rPr>
                <w:sz w:val="18"/>
                <w:szCs w:val="18"/>
                <w:lang w:val="es-ES_tradnl" w:eastAsia="ko-KR"/>
              </w:rPr>
              <w:t>0,95</w:t>
            </w:r>
          </w:p>
        </w:tc>
        <w:tc>
          <w:tcPr>
            <w:tcW w:w="510" w:type="dxa"/>
          </w:tcPr>
          <w:p w14:paraId="238B5E2E" w14:textId="77777777" w:rsidR="00F73D5B" w:rsidRPr="008B7A21" w:rsidRDefault="00F73D5B" w:rsidP="00767A6A">
            <w:pPr>
              <w:pStyle w:val="Tabletext"/>
              <w:ind w:left="-57" w:right="-57"/>
              <w:jc w:val="center"/>
              <w:rPr>
                <w:sz w:val="18"/>
                <w:szCs w:val="18"/>
                <w:lang w:val="es-ES_tradnl" w:eastAsia="ko-KR"/>
              </w:rPr>
            </w:pPr>
            <w:r w:rsidRPr="008B7A21">
              <w:rPr>
                <w:sz w:val="18"/>
                <w:szCs w:val="18"/>
                <w:lang w:val="es-ES_tradnl" w:eastAsia="ko-KR"/>
              </w:rPr>
              <w:t>1,12</w:t>
            </w:r>
          </w:p>
        </w:tc>
        <w:tc>
          <w:tcPr>
            <w:tcW w:w="509" w:type="dxa"/>
          </w:tcPr>
          <w:p w14:paraId="34A8DA10" w14:textId="77777777" w:rsidR="00F73D5B" w:rsidRPr="008B7A21" w:rsidRDefault="00F73D5B" w:rsidP="00767A6A">
            <w:pPr>
              <w:pStyle w:val="Tabletext"/>
              <w:ind w:left="-57" w:right="-57"/>
              <w:jc w:val="center"/>
              <w:rPr>
                <w:sz w:val="18"/>
                <w:szCs w:val="18"/>
                <w:lang w:val="es-ES_tradnl" w:eastAsia="ko-KR"/>
              </w:rPr>
            </w:pPr>
            <w:r w:rsidRPr="008B7A21">
              <w:rPr>
                <w:sz w:val="18"/>
                <w:szCs w:val="18"/>
                <w:lang w:val="es-ES_tradnl" w:eastAsia="ko-KR"/>
              </w:rPr>
              <w:t>1,29</w:t>
            </w:r>
          </w:p>
        </w:tc>
        <w:tc>
          <w:tcPr>
            <w:tcW w:w="550" w:type="dxa"/>
          </w:tcPr>
          <w:p w14:paraId="4CC25900" w14:textId="77777777" w:rsidR="00F73D5B" w:rsidRPr="008B7A21" w:rsidRDefault="00F73D5B" w:rsidP="00767A6A">
            <w:pPr>
              <w:pStyle w:val="Tabletext"/>
              <w:ind w:left="-57" w:right="-57"/>
              <w:jc w:val="center"/>
              <w:rPr>
                <w:sz w:val="18"/>
                <w:szCs w:val="18"/>
                <w:lang w:val="es-ES_tradnl" w:eastAsia="ko-KR"/>
              </w:rPr>
            </w:pPr>
            <w:r w:rsidRPr="008B7A21">
              <w:rPr>
                <w:sz w:val="18"/>
                <w:szCs w:val="18"/>
                <w:lang w:val="es-ES_tradnl" w:eastAsia="ko-KR"/>
              </w:rPr>
              <w:t>1,50</w:t>
            </w:r>
          </w:p>
        </w:tc>
        <w:tc>
          <w:tcPr>
            <w:tcW w:w="470" w:type="dxa"/>
          </w:tcPr>
          <w:p w14:paraId="56DD2FE3" w14:textId="77777777" w:rsidR="00F73D5B" w:rsidRPr="008B7A21" w:rsidRDefault="00F73D5B" w:rsidP="00767A6A">
            <w:pPr>
              <w:pStyle w:val="Tabletext"/>
              <w:ind w:left="-57" w:right="-57"/>
              <w:jc w:val="center"/>
              <w:rPr>
                <w:sz w:val="18"/>
                <w:szCs w:val="18"/>
                <w:lang w:val="es-ES_tradnl" w:eastAsia="ko-KR"/>
              </w:rPr>
            </w:pPr>
            <w:r w:rsidRPr="008B7A21">
              <w:rPr>
                <w:sz w:val="18"/>
                <w:szCs w:val="18"/>
                <w:lang w:val="es-ES_tradnl" w:eastAsia="ko-KR"/>
              </w:rPr>
              <w:t>1,7</w:t>
            </w:r>
          </w:p>
        </w:tc>
      </w:tr>
      <w:tr w:rsidR="00F73D5B" w:rsidRPr="008B7A21" w14:paraId="6C822032" w14:textId="77777777" w:rsidTr="00767A6A">
        <w:trPr>
          <w:jc w:val="center"/>
        </w:trPr>
        <w:tc>
          <w:tcPr>
            <w:tcW w:w="1928" w:type="dxa"/>
            <w:vAlign w:val="center"/>
          </w:tcPr>
          <w:p w14:paraId="0255D928" w14:textId="77777777" w:rsidR="00F73D5B" w:rsidRPr="008B7A21" w:rsidRDefault="00F73D5B" w:rsidP="00767A6A">
            <w:pPr>
              <w:pStyle w:val="Tabletext"/>
              <w:ind w:left="-57" w:right="-57"/>
              <w:jc w:val="center"/>
              <w:rPr>
                <w:sz w:val="18"/>
                <w:szCs w:val="18"/>
                <w:lang w:val="es-ES_tradnl" w:eastAsia="ko-KR"/>
              </w:rPr>
            </w:pPr>
            <w:r w:rsidRPr="008B7A21">
              <w:rPr>
                <w:sz w:val="18"/>
                <w:szCs w:val="18"/>
                <w:lang w:val="es-ES_tradnl" w:eastAsia="ko-KR"/>
              </w:rPr>
              <w:t>&gt; 30 GHz</w:t>
            </w:r>
          </w:p>
        </w:tc>
        <w:tc>
          <w:tcPr>
            <w:tcW w:w="535" w:type="dxa"/>
          </w:tcPr>
          <w:p w14:paraId="327880B7" w14:textId="77777777" w:rsidR="00F73D5B" w:rsidRPr="008B7A21" w:rsidRDefault="00F73D5B" w:rsidP="00767A6A">
            <w:pPr>
              <w:pStyle w:val="Tabletext"/>
              <w:ind w:left="-57" w:right="-57"/>
              <w:jc w:val="center"/>
              <w:rPr>
                <w:sz w:val="18"/>
                <w:szCs w:val="18"/>
                <w:lang w:val="es-ES_tradnl" w:eastAsia="ko-KR"/>
              </w:rPr>
            </w:pPr>
            <w:r w:rsidRPr="008B7A21">
              <w:rPr>
                <w:sz w:val="18"/>
                <w:szCs w:val="18"/>
                <w:lang w:val="es-ES_tradnl" w:eastAsia="ko-KR"/>
              </w:rPr>
              <w:t>0,004</w:t>
            </w:r>
          </w:p>
        </w:tc>
        <w:tc>
          <w:tcPr>
            <w:tcW w:w="510" w:type="dxa"/>
          </w:tcPr>
          <w:p w14:paraId="53EEB443" w14:textId="77777777" w:rsidR="00F73D5B" w:rsidRPr="008B7A21" w:rsidRDefault="00F73D5B" w:rsidP="00767A6A">
            <w:pPr>
              <w:pStyle w:val="Tabletext"/>
              <w:ind w:left="-57" w:right="-57"/>
              <w:jc w:val="center"/>
              <w:rPr>
                <w:sz w:val="18"/>
                <w:szCs w:val="18"/>
                <w:lang w:val="es-ES_tradnl" w:eastAsia="ko-KR"/>
              </w:rPr>
            </w:pPr>
            <w:r w:rsidRPr="008B7A21">
              <w:rPr>
                <w:sz w:val="18"/>
                <w:szCs w:val="18"/>
                <w:lang w:val="es-ES_tradnl" w:eastAsia="ko-KR"/>
              </w:rPr>
              <w:t>0,008</w:t>
            </w:r>
          </w:p>
        </w:tc>
        <w:tc>
          <w:tcPr>
            <w:tcW w:w="510" w:type="dxa"/>
          </w:tcPr>
          <w:p w14:paraId="07865FA3" w14:textId="77777777" w:rsidR="00F73D5B" w:rsidRPr="008B7A21" w:rsidRDefault="00F73D5B" w:rsidP="00767A6A">
            <w:pPr>
              <w:pStyle w:val="Tabletext"/>
              <w:ind w:left="-57" w:right="-57"/>
              <w:jc w:val="center"/>
              <w:rPr>
                <w:sz w:val="18"/>
                <w:szCs w:val="18"/>
                <w:lang w:val="es-ES_tradnl" w:eastAsia="ko-KR"/>
              </w:rPr>
            </w:pPr>
            <w:r w:rsidRPr="008B7A21">
              <w:rPr>
                <w:sz w:val="18"/>
                <w:szCs w:val="18"/>
                <w:lang w:val="es-ES_tradnl" w:eastAsia="ko-KR"/>
              </w:rPr>
              <w:t>0,012</w:t>
            </w:r>
          </w:p>
        </w:tc>
        <w:tc>
          <w:tcPr>
            <w:tcW w:w="509" w:type="dxa"/>
          </w:tcPr>
          <w:p w14:paraId="490F95E7" w14:textId="77777777" w:rsidR="00F73D5B" w:rsidRPr="008B7A21" w:rsidRDefault="00F73D5B" w:rsidP="00767A6A">
            <w:pPr>
              <w:pStyle w:val="Tabletext"/>
              <w:ind w:left="-57" w:right="-57"/>
              <w:jc w:val="center"/>
              <w:rPr>
                <w:sz w:val="18"/>
                <w:szCs w:val="18"/>
                <w:lang w:val="es-ES_tradnl" w:eastAsia="ko-KR"/>
              </w:rPr>
            </w:pPr>
            <w:r w:rsidRPr="008B7A21">
              <w:rPr>
                <w:sz w:val="18"/>
                <w:szCs w:val="18"/>
                <w:lang w:val="es-ES_tradnl" w:eastAsia="ko-KR"/>
              </w:rPr>
              <w:t>0,02</w:t>
            </w:r>
          </w:p>
        </w:tc>
        <w:tc>
          <w:tcPr>
            <w:tcW w:w="510" w:type="dxa"/>
          </w:tcPr>
          <w:p w14:paraId="75F6A6C4" w14:textId="77777777" w:rsidR="00F73D5B" w:rsidRPr="008B7A21" w:rsidRDefault="00F73D5B" w:rsidP="00767A6A">
            <w:pPr>
              <w:pStyle w:val="Tabletext"/>
              <w:ind w:left="-57" w:right="-57"/>
              <w:jc w:val="center"/>
              <w:rPr>
                <w:sz w:val="18"/>
                <w:szCs w:val="18"/>
                <w:lang w:val="es-ES_tradnl" w:eastAsia="ko-KR"/>
              </w:rPr>
            </w:pPr>
            <w:r w:rsidRPr="008B7A21">
              <w:rPr>
                <w:sz w:val="18"/>
                <w:szCs w:val="18"/>
                <w:lang w:val="es-ES_tradnl" w:eastAsia="ko-KR"/>
              </w:rPr>
              <w:t>0,028</w:t>
            </w:r>
          </w:p>
        </w:tc>
        <w:tc>
          <w:tcPr>
            <w:tcW w:w="510" w:type="dxa"/>
          </w:tcPr>
          <w:p w14:paraId="1268A3F8" w14:textId="77777777" w:rsidR="00F73D5B" w:rsidRPr="008B7A21" w:rsidRDefault="00F73D5B" w:rsidP="00767A6A">
            <w:pPr>
              <w:pStyle w:val="Tabletext"/>
              <w:ind w:left="-57" w:right="-57"/>
              <w:jc w:val="center"/>
              <w:rPr>
                <w:sz w:val="18"/>
                <w:szCs w:val="18"/>
                <w:lang w:val="es-ES_tradnl" w:eastAsia="ko-KR"/>
              </w:rPr>
            </w:pPr>
            <w:r w:rsidRPr="008B7A21">
              <w:rPr>
                <w:sz w:val="18"/>
                <w:szCs w:val="18"/>
                <w:lang w:val="es-ES_tradnl" w:eastAsia="ko-KR"/>
              </w:rPr>
              <w:t>0,036</w:t>
            </w:r>
          </w:p>
        </w:tc>
        <w:tc>
          <w:tcPr>
            <w:tcW w:w="509" w:type="dxa"/>
          </w:tcPr>
          <w:p w14:paraId="536710D2" w14:textId="77777777" w:rsidR="00F73D5B" w:rsidRPr="008B7A21" w:rsidRDefault="00F73D5B" w:rsidP="00767A6A">
            <w:pPr>
              <w:pStyle w:val="Tabletext"/>
              <w:ind w:left="-57" w:right="-57"/>
              <w:jc w:val="center"/>
              <w:rPr>
                <w:sz w:val="18"/>
                <w:szCs w:val="18"/>
                <w:lang w:val="es-ES_tradnl" w:eastAsia="ko-KR"/>
              </w:rPr>
            </w:pPr>
            <w:r w:rsidRPr="008B7A21">
              <w:rPr>
                <w:sz w:val="18"/>
                <w:szCs w:val="18"/>
                <w:lang w:val="es-ES_tradnl" w:eastAsia="ko-KR"/>
              </w:rPr>
              <w:t>0,048</w:t>
            </w:r>
          </w:p>
        </w:tc>
        <w:tc>
          <w:tcPr>
            <w:tcW w:w="510" w:type="dxa"/>
          </w:tcPr>
          <w:p w14:paraId="33FD3D2E" w14:textId="77777777" w:rsidR="00F73D5B" w:rsidRPr="008B7A21" w:rsidRDefault="00F73D5B" w:rsidP="00767A6A">
            <w:pPr>
              <w:pStyle w:val="Tabletext"/>
              <w:ind w:left="-57" w:right="-57"/>
              <w:jc w:val="center"/>
              <w:rPr>
                <w:sz w:val="18"/>
                <w:szCs w:val="18"/>
                <w:lang w:val="es-ES_tradnl" w:eastAsia="ko-KR"/>
              </w:rPr>
            </w:pPr>
            <w:r w:rsidRPr="008B7A21">
              <w:rPr>
                <w:sz w:val="18"/>
                <w:szCs w:val="18"/>
                <w:lang w:val="es-ES_tradnl" w:eastAsia="ko-KR"/>
              </w:rPr>
              <w:t>0,06</w:t>
            </w:r>
          </w:p>
        </w:tc>
        <w:tc>
          <w:tcPr>
            <w:tcW w:w="510" w:type="dxa"/>
          </w:tcPr>
          <w:p w14:paraId="1520CEFA" w14:textId="77777777" w:rsidR="00F73D5B" w:rsidRPr="008B7A21" w:rsidRDefault="00F73D5B" w:rsidP="00767A6A">
            <w:pPr>
              <w:pStyle w:val="Tabletext"/>
              <w:ind w:left="-57" w:right="-57"/>
              <w:jc w:val="center"/>
              <w:rPr>
                <w:caps/>
                <w:sz w:val="18"/>
                <w:szCs w:val="18"/>
                <w:lang w:val="es-ES_tradnl" w:eastAsia="ko-KR"/>
              </w:rPr>
            </w:pPr>
            <w:r w:rsidRPr="008B7A21">
              <w:rPr>
                <w:caps/>
                <w:sz w:val="18"/>
                <w:szCs w:val="18"/>
                <w:lang w:val="es-ES_tradnl" w:eastAsia="ko-KR"/>
              </w:rPr>
              <w:t>0,076</w:t>
            </w:r>
          </w:p>
        </w:tc>
        <w:tc>
          <w:tcPr>
            <w:tcW w:w="509" w:type="dxa"/>
          </w:tcPr>
          <w:p w14:paraId="26B10851" w14:textId="77777777" w:rsidR="00F73D5B" w:rsidRPr="008B7A21" w:rsidRDefault="00F73D5B" w:rsidP="00767A6A">
            <w:pPr>
              <w:pStyle w:val="Tabletext"/>
              <w:ind w:left="-57" w:right="-57"/>
              <w:jc w:val="center"/>
              <w:rPr>
                <w:sz w:val="18"/>
                <w:szCs w:val="18"/>
                <w:lang w:val="es-ES_tradnl" w:eastAsia="ko-KR"/>
              </w:rPr>
            </w:pPr>
            <w:r w:rsidRPr="008B7A21">
              <w:rPr>
                <w:sz w:val="18"/>
                <w:szCs w:val="18"/>
                <w:lang w:val="es-ES_tradnl" w:eastAsia="ko-KR"/>
              </w:rPr>
              <w:t>0,092</w:t>
            </w:r>
          </w:p>
        </w:tc>
        <w:tc>
          <w:tcPr>
            <w:tcW w:w="510" w:type="dxa"/>
          </w:tcPr>
          <w:p w14:paraId="7098C771" w14:textId="77777777" w:rsidR="00F73D5B" w:rsidRPr="008B7A21" w:rsidRDefault="00F73D5B" w:rsidP="00767A6A">
            <w:pPr>
              <w:pStyle w:val="Tabletext"/>
              <w:ind w:left="-57" w:right="-57"/>
              <w:jc w:val="center"/>
              <w:rPr>
                <w:sz w:val="18"/>
                <w:szCs w:val="18"/>
                <w:lang w:val="es-ES_tradnl" w:eastAsia="ko-KR"/>
              </w:rPr>
            </w:pPr>
            <w:r w:rsidRPr="008B7A21">
              <w:rPr>
                <w:sz w:val="18"/>
                <w:szCs w:val="18"/>
                <w:lang w:val="es-ES_tradnl" w:eastAsia="ko-KR"/>
              </w:rPr>
              <w:t>0,112</w:t>
            </w:r>
          </w:p>
        </w:tc>
        <w:tc>
          <w:tcPr>
            <w:tcW w:w="510" w:type="dxa"/>
          </w:tcPr>
          <w:p w14:paraId="302826D9" w14:textId="77777777" w:rsidR="00F73D5B" w:rsidRPr="008B7A21" w:rsidRDefault="00F73D5B" w:rsidP="00767A6A">
            <w:pPr>
              <w:pStyle w:val="Tabletext"/>
              <w:ind w:left="-57" w:right="-57"/>
              <w:jc w:val="center"/>
              <w:rPr>
                <w:sz w:val="18"/>
                <w:szCs w:val="18"/>
                <w:lang w:val="es-ES_tradnl" w:eastAsia="ko-KR"/>
              </w:rPr>
            </w:pPr>
            <w:r w:rsidRPr="008B7A21">
              <w:rPr>
                <w:sz w:val="18"/>
                <w:szCs w:val="18"/>
                <w:lang w:val="es-ES_tradnl" w:eastAsia="ko-KR"/>
              </w:rPr>
              <w:t>0,132</w:t>
            </w:r>
          </w:p>
        </w:tc>
        <w:tc>
          <w:tcPr>
            <w:tcW w:w="509" w:type="dxa"/>
          </w:tcPr>
          <w:p w14:paraId="0F6722C9" w14:textId="77777777" w:rsidR="00F73D5B" w:rsidRPr="008B7A21" w:rsidRDefault="00F73D5B" w:rsidP="00767A6A">
            <w:pPr>
              <w:pStyle w:val="Tabletext"/>
              <w:ind w:left="-57" w:right="-57"/>
              <w:jc w:val="center"/>
              <w:rPr>
                <w:sz w:val="18"/>
                <w:szCs w:val="18"/>
                <w:lang w:val="es-ES_tradnl" w:eastAsia="ko-KR"/>
              </w:rPr>
            </w:pPr>
            <w:r w:rsidRPr="008B7A21">
              <w:rPr>
                <w:sz w:val="18"/>
                <w:szCs w:val="18"/>
                <w:lang w:val="es-ES_tradnl" w:eastAsia="ko-KR"/>
              </w:rPr>
              <w:t>0,152</w:t>
            </w:r>
          </w:p>
        </w:tc>
        <w:tc>
          <w:tcPr>
            <w:tcW w:w="550" w:type="dxa"/>
          </w:tcPr>
          <w:p w14:paraId="02AE253B" w14:textId="77777777" w:rsidR="00F73D5B" w:rsidRPr="008B7A21" w:rsidRDefault="00F73D5B" w:rsidP="00767A6A">
            <w:pPr>
              <w:pStyle w:val="Tabletext"/>
              <w:ind w:left="-57" w:right="-57"/>
              <w:jc w:val="center"/>
              <w:rPr>
                <w:sz w:val="18"/>
                <w:szCs w:val="18"/>
                <w:lang w:val="es-ES_tradnl" w:eastAsia="ko-KR"/>
              </w:rPr>
            </w:pPr>
            <w:r w:rsidRPr="008B7A21">
              <w:rPr>
                <w:sz w:val="18"/>
                <w:szCs w:val="18"/>
                <w:lang w:val="es-ES_tradnl" w:eastAsia="ko-KR"/>
              </w:rPr>
              <w:t>0,176</w:t>
            </w:r>
          </w:p>
        </w:tc>
        <w:tc>
          <w:tcPr>
            <w:tcW w:w="470" w:type="dxa"/>
          </w:tcPr>
          <w:p w14:paraId="6DD7025A" w14:textId="77777777" w:rsidR="00F73D5B" w:rsidRPr="008B7A21" w:rsidRDefault="00F73D5B" w:rsidP="00767A6A">
            <w:pPr>
              <w:pStyle w:val="Tabletext"/>
              <w:ind w:left="-57" w:right="-57"/>
              <w:jc w:val="center"/>
              <w:rPr>
                <w:sz w:val="18"/>
                <w:szCs w:val="18"/>
                <w:lang w:val="es-ES_tradnl" w:eastAsia="ko-KR"/>
              </w:rPr>
            </w:pPr>
            <w:r w:rsidRPr="008B7A21">
              <w:rPr>
                <w:sz w:val="18"/>
                <w:szCs w:val="18"/>
                <w:lang w:val="es-ES_tradnl" w:eastAsia="ko-KR"/>
              </w:rPr>
              <w:t>0,2</w:t>
            </w:r>
          </w:p>
        </w:tc>
      </w:tr>
    </w:tbl>
    <w:p w14:paraId="571A057D" w14:textId="77777777" w:rsidR="00F73D5B" w:rsidRPr="008B7A21" w:rsidRDefault="00F73D5B" w:rsidP="00F73D5B">
      <w:pPr>
        <w:pStyle w:val="Tablefin"/>
        <w:rPr>
          <w:lang w:val="es-ES_tradnl"/>
        </w:rPr>
      </w:pPr>
    </w:p>
    <w:p w14:paraId="1C5178D5" w14:textId="77777777" w:rsidR="00F73D5B" w:rsidRPr="008B7A21" w:rsidRDefault="00F73D5B" w:rsidP="00F73D5B">
      <w:pPr>
        <w:pStyle w:val="Note"/>
        <w:rPr>
          <w:szCs w:val="22"/>
          <w:lang w:val="es-ES_tradnl"/>
        </w:rPr>
      </w:pPr>
      <w:r w:rsidRPr="008B7A21">
        <w:rPr>
          <w:szCs w:val="22"/>
          <w:lang w:val="es-ES_tradnl"/>
        </w:rPr>
        <w:t>NOTA 1 – Si se utiliza tecnología analógica, el canon se triplica por el factor de utilización del espectro para el servicio móvil marítimo.</w:t>
      </w:r>
    </w:p>
    <w:p w14:paraId="7C9556D8" w14:textId="77777777" w:rsidR="00F73D5B" w:rsidRPr="008B7A21" w:rsidRDefault="00F73D5B" w:rsidP="00F73D5B">
      <w:pPr>
        <w:pStyle w:val="Headingi"/>
        <w:rPr>
          <w:lang w:val="es-ES_tradnl"/>
        </w:rPr>
      </w:pPr>
      <w:bookmarkStart w:id="2053" w:name="_Toc526166851"/>
      <w:bookmarkStart w:id="2054" w:name="_Toc215835450"/>
      <w:r w:rsidRPr="008B7A21">
        <w:rPr>
          <w:lang w:val="es-ES_tradnl"/>
        </w:rPr>
        <w:t xml:space="preserve">Factor de servicio, </w:t>
      </w:r>
      <w:r w:rsidRPr="008B7A21">
        <w:rPr>
          <w:lang w:val="es-ES_tradnl" w:eastAsia="ko-KR"/>
        </w:rPr>
        <w:t>S</w:t>
      </w:r>
      <w:r w:rsidRPr="008B7A21">
        <w:rPr>
          <w:vertAlign w:val="subscript"/>
          <w:lang w:val="es-ES_tradnl"/>
        </w:rPr>
        <w:t>f</w:t>
      </w:r>
      <w:r w:rsidRPr="008B7A21">
        <w:rPr>
          <w:lang w:val="es-ES_tradnl"/>
        </w:rPr>
        <w:t>:</w:t>
      </w:r>
      <w:bookmarkEnd w:id="2053"/>
      <w:bookmarkEnd w:id="2054"/>
    </w:p>
    <w:p w14:paraId="0831AA03" w14:textId="77777777" w:rsidR="00F73D5B" w:rsidRPr="00D849A8" w:rsidRDefault="00F73D5B" w:rsidP="00D849A8">
      <w:pPr>
        <w:pStyle w:val="TableNo"/>
        <w:rPr>
          <w:lang w:val="es-ES_tradnl" w:eastAsia="ko-KR"/>
        </w:rPr>
      </w:pPr>
      <w:r w:rsidRPr="008B7A21">
        <w:rPr>
          <w:lang w:val="es-ES_tradnl" w:eastAsia="ko-KR"/>
        </w:rPr>
        <w:t>CUADRO 42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29"/>
        <w:gridCol w:w="2410"/>
      </w:tblGrid>
      <w:tr w:rsidR="00F73D5B" w:rsidRPr="008B7A21" w14:paraId="71807B00" w14:textId="77777777" w:rsidTr="00D849A8">
        <w:trPr>
          <w:jc w:val="center"/>
        </w:trPr>
        <w:tc>
          <w:tcPr>
            <w:tcW w:w="5102" w:type="dxa"/>
            <w:tcBorders>
              <w:top w:val="single" w:sz="4" w:space="0" w:color="auto"/>
              <w:left w:val="single" w:sz="4" w:space="0" w:color="auto"/>
              <w:bottom w:val="single" w:sz="4" w:space="0" w:color="auto"/>
              <w:right w:val="single" w:sz="4" w:space="0" w:color="auto"/>
            </w:tcBorders>
          </w:tcPr>
          <w:p w14:paraId="52C00C54" w14:textId="77777777" w:rsidR="00F73D5B" w:rsidRPr="008B7A21" w:rsidRDefault="00F73D5B" w:rsidP="00767A6A">
            <w:pPr>
              <w:pStyle w:val="Tablehead"/>
              <w:rPr>
                <w:lang w:val="es-ES_tradnl"/>
              </w:rPr>
            </w:pPr>
            <w:r w:rsidRPr="008B7A21">
              <w:rPr>
                <w:lang w:val="es-ES_tradnl"/>
              </w:rPr>
              <w:t>Estaciones de radiocomunicaciones</w:t>
            </w:r>
          </w:p>
        </w:tc>
        <w:tc>
          <w:tcPr>
            <w:tcW w:w="1701" w:type="dxa"/>
            <w:tcBorders>
              <w:top w:val="single" w:sz="4" w:space="0" w:color="auto"/>
              <w:left w:val="single" w:sz="4" w:space="0" w:color="auto"/>
              <w:bottom w:val="single" w:sz="4" w:space="0" w:color="auto"/>
              <w:right w:val="single" w:sz="4" w:space="0" w:color="auto"/>
            </w:tcBorders>
          </w:tcPr>
          <w:p w14:paraId="2CA5D8F2" w14:textId="77777777" w:rsidR="00F73D5B" w:rsidRPr="008B7A21" w:rsidRDefault="00F73D5B" w:rsidP="00767A6A">
            <w:pPr>
              <w:pStyle w:val="Tablehead"/>
              <w:rPr>
                <w:lang w:val="es-ES_tradnl"/>
              </w:rPr>
            </w:pPr>
            <w:r w:rsidRPr="008B7A21">
              <w:rPr>
                <w:lang w:val="es-ES_tradnl"/>
              </w:rPr>
              <w:t>Factor</w:t>
            </w:r>
          </w:p>
        </w:tc>
      </w:tr>
      <w:tr w:rsidR="00F73D5B" w:rsidRPr="008B7A21" w14:paraId="11E3E189" w14:textId="77777777" w:rsidTr="00D849A8">
        <w:trPr>
          <w:jc w:val="center"/>
        </w:trPr>
        <w:tc>
          <w:tcPr>
            <w:tcW w:w="5102" w:type="dxa"/>
            <w:tcBorders>
              <w:top w:val="single" w:sz="4" w:space="0" w:color="auto"/>
              <w:left w:val="single" w:sz="4" w:space="0" w:color="auto"/>
              <w:bottom w:val="single" w:sz="4" w:space="0" w:color="auto"/>
              <w:right w:val="single" w:sz="4" w:space="0" w:color="auto"/>
            </w:tcBorders>
          </w:tcPr>
          <w:p w14:paraId="68FBACF4" w14:textId="77777777" w:rsidR="00F73D5B" w:rsidRPr="008B7A21" w:rsidRDefault="00F73D5B" w:rsidP="00767A6A">
            <w:pPr>
              <w:pStyle w:val="Tabletext"/>
              <w:rPr>
                <w:lang w:val="es-ES_tradnl"/>
              </w:rPr>
            </w:pPr>
            <w:r w:rsidRPr="008B7A21">
              <w:rPr>
                <w:lang w:val="es-ES_tradnl"/>
              </w:rPr>
              <w:t>Estaciones fijas:</w:t>
            </w:r>
          </w:p>
          <w:p w14:paraId="1A26F385" w14:textId="77777777" w:rsidR="00F73D5B" w:rsidRPr="008B7A21" w:rsidRDefault="00F73D5B" w:rsidP="00767A6A">
            <w:pPr>
              <w:pStyle w:val="Tabletext"/>
              <w:rPr>
                <w:lang w:val="es-ES_tradnl"/>
              </w:rPr>
            </w:pPr>
            <w:r w:rsidRPr="008B7A21">
              <w:rPr>
                <w:lang w:val="es-ES_tradnl"/>
              </w:rPr>
              <w:t>–</w:t>
            </w:r>
            <w:r w:rsidRPr="008B7A21">
              <w:rPr>
                <w:lang w:val="es-ES_tradnl"/>
              </w:rPr>
              <w:tab/>
              <w:t>para enlaces de microondas</w:t>
            </w:r>
          </w:p>
          <w:p w14:paraId="6358F7DA" w14:textId="77777777" w:rsidR="00F73D5B" w:rsidRPr="008B7A21" w:rsidRDefault="00F73D5B" w:rsidP="00767A6A">
            <w:pPr>
              <w:pStyle w:val="Tabletext"/>
              <w:rPr>
                <w:lang w:val="es-ES_tradnl"/>
              </w:rPr>
            </w:pPr>
            <w:r w:rsidRPr="008B7A21">
              <w:rPr>
                <w:lang w:val="es-ES_tradnl"/>
              </w:rPr>
              <w:t>–</w:t>
            </w:r>
            <w:r w:rsidRPr="008B7A21">
              <w:rPr>
                <w:lang w:val="es-ES_tradnl"/>
              </w:rPr>
              <w:tab/>
              <w:t>para bucle local</w:t>
            </w:r>
          </w:p>
          <w:p w14:paraId="67294B6C" w14:textId="77777777" w:rsidR="00F73D5B" w:rsidRPr="008B7A21" w:rsidRDefault="00F73D5B" w:rsidP="00767A6A">
            <w:pPr>
              <w:pStyle w:val="Tabletext"/>
              <w:rPr>
                <w:lang w:val="es-ES_tradnl"/>
              </w:rPr>
            </w:pPr>
            <w:r w:rsidRPr="008B7A21">
              <w:rPr>
                <w:lang w:val="es-ES_tradnl"/>
              </w:rPr>
              <w:t>–</w:t>
            </w:r>
            <w:r w:rsidRPr="008B7A21">
              <w:rPr>
                <w:lang w:val="es-ES_tradnl"/>
              </w:rPr>
              <w:tab/>
              <w:t>para comunicaciones con islas</w:t>
            </w:r>
          </w:p>
          <w:p w14:paraId="363F5749" w14:textId="77777777" w:rsidR="00F73D5B" w:rsidRPr="008B7A21" w:rsidRDefault="00F73D5B" w:rsidP="00767A6A">
            <w:pPr>
              <w:pStyle w:val="Tabletext"/>
              <w:rPr>
                <w:lang w:val="es-ES_tradnl"/>
              </w:rPr>
            </w:pPr>
            <w:r w:rsidRPr="008B7A21">
              <w:rPr>
                <w:lang w:val="es-ES_tradnl"/>
              </w:rPr>
              <w:t>–</w:t>
            </w:r>
            <w:r w:rsidRPr="008B7A21">
              <w:rPr>
                <w:lang w:val="es-ES_tradnl"/>
              </w:rPr>
              <w:tab/>
              <w:t>para otras aplicaciones</w:t>
            </w:r>
          </w:p>
        </w:tc>
        <w:tc>
          <w:tcPr>
            <w:tcW w:w="1701" w:type="dxa"/>
            <w:tcBorders>
              <w:top w:val="single" w:sz="4" w:space="0" w:color="auto"/>
              <w:left w:val="single" w:sz="4" w:space="0" w:color="auto"/>
              <w:bottom w:val="single" w:sz="4" w:space="0" w:color="auto"/>
              <w:right w:val="single" w:sz="4" w:space="0" w:color="auto"/>
            </w:tcBorders>
          </w:tcPr>
          <w:p w14:paraId="37045852" w14:textId="77777777" w:rsidR="00F73D5B" w:rsidRPr="008B7A21" w:rsidRDefault="00F73D5B" w:rsidP="00767A6A">
            <w:pPr>
              <w:pStyle w:val="Tabletext"/>
              <w:jc w:val="center"/>
              <w:rPr>
                <w:lang w:val="es-ES_tradnl"/>
              </w:rPr>
            </w:pPr>
          </w:p>
          <w:p w14:paraId="3CBD2299" w14:textId="77777777" w:rsidR="00F73D5B" w:rsidRPr="008B7A21" w:rsidRDefault="00F73D5B" w:rsidP="00767A6A">
            <w:pPr>
              <w:pStyle w:val="Tabletext"/>
              <w:jc w:val="center"/>
              <w:rPr>
                <w:lang w:val="es-ES_tradnl"/>
              </w:rPr>
            </w:pPr>
            <w:r w:rsidRPr="008B7A21">
              <w:rPr>
                <w:lang w:val="es-ES_tradnl"/>
              </w:rPr>
              <w:t>0,5</w:t>
            </w:r>
          </w:p>
          <w:p w14:paraId="3EE51522" w14:textId="77777777" w:rsidR="00F73D5B" w:rsidRPr="008B7A21" w:rsidRDefault="00F73D5B" w:rsidP="00767A6A">
            <w:pPr>
              <w:pStyle w:val="Tabletext"/>
              <w:jc w:val="center"/>
              <w:rPr>
                <w:lang w:val="es-ES_tradnl"/>
              </w:rPr>
            </w:pPr>
            <w:r w:rsidRPr="008B7A21">
              <w:rPr>
                <w:lang w:val="es-ES_tradnl"/>
              </w:rPr>
              <w:t>0,25</w:t>
            </w:r>
          </w:p>
          <w:p w14:paraId="7568931D" w14:textId="77777777" w:rsidR="00F73D5B" w:rsidRPr="008B7A21" w:rsidRDefault="00F73D5B" w:rsidP="00767A6A">
            <w:pPr>
              <w:pStyle w:val="Tabletext"/>
              <w:jc w:val="center"/>
              <w:rPr>
                <w:lang w:val="es-ES_tradnl"/>
              </w:rPr>
            </w:pPr>
            <w:r w:rsidRPr="008B7A21">
              <w:rPr>
                <w:lang w:val="es-ES_tradnl"/>
              </w:rPr>
              <w:t>0,05</w:t>
            </w:r>
          </w:p>
          <w:p w14:paraId="47E0B09A" w14:textId="77777777" w:rsidR="00F73D5B" w:rsidRPr="008B7A21" w:rsidRDefault="00F73D5B" w:rsidP="00767A6A">
            <w:pPr>
              <w:pStyle w:val="Tabletext"/>
              <w:jc w:val="center"/>
              <w:rPr>
                <w:lang w:val="es-ES_tradnl"/>
              </w:rPr>
            </w:pPr>
            <w:r w:rsidRPr="008B7A21">
              <w:rPr>
                <w:lang w:val="es-ES_tradnl"/>
              </w:rPr>
              <w:t>1</w:t>
            </w:r>
          </w:p>
        </w:tc>
      </w:tr>
      <w:tr w:rsidR="00F73D5B" w:rsidRPr="008B7A21" w14:paraId="127842BE" w14:textId="77777777" w:rsidTr="00D849A8">
        <w:trPr>
          <w:jc w:val="center"/>
        </w:trPr>
        <w:tc>
          <w:tcPr>
            <w:tcW w:w="5102" w:type="dxa"/>
            <w:tcBorders>
              <w:top w:val="single" w:sz="4" w:space="0" w:color="auto"/>
              <w:left w:val="single" w:sz="4" w:space="0" w:color="auto"/>
              <w:bottom w:val="single" w:sz="4" w:space="0" w:color="auto"/>
              <w:right w:val="single" w:sz="4" w:space="0" w:color="auto"/>
            </w:tcBorders>
            <w:vAlign w:val="center"/>
          </w:tcPr>
          <w:p w14:paraId="6E4FF339" w14:textId="77777777" w:rsidR="00F73D5B" w:rsidRPr="008B7A21" w:rsidRDefault="00F73D5B" w:rsidP="00767A6A">
            <w:pPr>
              <w:pStyle w:val="Tabletext"/>
              <w:rPr>
                <w:lang w:val="es-ES_tradnl"/>
              </w:rPr>
            </w:pPr>
            <w:r w:rsidRPr="008B7A21">
              <w:rPr>
                <w:lang w:val="es-ES_tradnl"/>
              </w:rPr>
              <w:t>Estación de retransmisión para la radiodifusión por satélite</w:t>
            </w:r>
          </w:p>
        </w:tc>
        <w:tc>
          <w:tcPr>
            <w:tcW w:w="1701" w:type="dxa"/>
            <w:tcBorders>
              <w:top w:val="single" w:sz="4" w:space="0" w:color="auto"/>
              <w:left w:val="single" w:sz="4" w:space="0" w:color="auto"/>
              <w:bottom w:val="single" w:sz="4" w:space="0" w:color="auto"/>
              <w:right w:val="single" w:sz="4" w:space="0" w:color="auto"/>
            </w:tcBorders>
          </w:tcPr>
          <w:p w14:paraId="0C32C33A" w14:textId="77777777" w:rsidR="00F73D5B" w:rsidRPr="008B7A21" w:rsidRDefault="00F73D5B" w:rsidP="00767A6A">
            <w:pPr>
              <w:pStyle w:val="Tabletext"/>
              <w:jc w:val="center"/>
              <w:rPr>
                <w:lang w:val="es-ES_tradnl"/>
              </w:rPr>
            </w:pPr>
            <w:r w:rsidRPr="008B7A21">
              <w:rPr>
                <w:lang w:val="es-ES_tradnl"/>
              </w:rPr>
              <w:t>0,03</w:t>
            </w:r>
          </w:p>
        </w:tc>
      </w:tr>
      <w:tr w:rsidR="00F73D5B" w:rsidRPr="008B7A21" w14:paraId="020DD8CE" w14:textId="77777777" w:rsidTr="00D849A8">
        <w:trPr>
          <w:jc w:val="center"/>
        </w:trPr>
        <w:tc>
          <w:tcPr>
            <w:tcW w:w="5102" w:type="dxa"/>
            <w:tcBorders>
              <w:top w:val="single" w:sz="4" w:space="0" w:color="auto"/>
              <w:left w:val="single" w:sz="4" w:space="0" w:color="auto"/>
              <w:bottom w:val="single" w:sz="4" w:space="0" w:color="auto"/>
              <w:right w:val="single" w:sz="4" w:space="0" w:color="auto"/>
            </w:tcBorders>
            <w:vAlign w:val="center"/>
          </w:tcPr>
          <w:p w14:paraId="2AA52F1E" w14:textId="77777777" w:rsidR="00F73D5B" w:rsidRPr="008B7A21" w:rsidRDefault="00F73D5B" w:rsidP="00767A6A">
            <w:pPr>
              <w:pStyle w:val="Tabletext"/>
              <w:rPr>
                <w:lang w:val="es-ES_tradnl"/>
              </w:rPr>
            </w:pPr>
            <w:r w:rsidRPr="008B7A21">
              <w:rPr>
                <w:lang w:val="es-ES_tradnl"/>
              </w:rPr>
              <w:t>Estaciones que utilizan frecuencias de red pública integradas, exclusivamente</w:t>
            </w:r>
          </w:p>
        </w:tc>
        <w:tc>
          <w:tcPr>
            <w:tcW w:w="1701" w:type="dxa"/>
            <w:tcBorders>
              <w:top w:val="single" w:sz="4" w:space="0" w:color="auto"/>
              <w:left w:val="single" w:sz="4" w:space="0" w:color="auto"/>
              <w:bottom w:val="single" w:sz="4" w:space="0" w:color="auto"/>
              <w:right w:val="single" w:sz="4" w:space="0" w:color="auto"/>
            </w:tcBorders>
          </w:tcPr>
          <w:p w14:paraId="1E0D5F4D" w14:textId="77777777" w:rsidR="00F73D5B" w:rsidRPr="008B7A21" w:rsidRDefault="00F73D5B" w:rsidP="00767A6A">
            <w:pPr>
              <w:pStyle w:val="Tabletext"/>
              <w:jc w:val="center"/>
              <w:rPr>
                <w:lang w:val="es-ES_tradnl"/>
              </w:rPr>
            </w:pPr>
            <w:r w:rsidRPr="008B7A21">
              <w:rPr>
                <w:lang w:val="es-ES_tradnl"/>
              </w:rPr>
              <w:t>0,012</w:t>
            </w:r>
          </w:p>
        </w:tc>
      </w:tr>
      <w:tr w:rsidR="00F73D5B" w:rsidRPr="008B7A21" w14:paraId="5176BEBF" w14:textId="77777777" w:rsidTr="00D849A8">
        <w:trPr>
          <w:jc w:val="center"/>
        </w:trPr>
        <w:tc>
          <w:tcPr>
            <w:tcW w:w="5102" w:type="dxa"/>
            <w:tcBorders>
              <w:top w:val="single" w:sz="4" w:space="0" w:color="auto"/>
              <w:left w:val="single" w:sz="4" w:space="0" w:color="auto"/>
              <w:bottom w:val="single" w:sz="4" w:space="0" w:color="auto"/>
              <w:right w:val="single" w:sz="4" w:space="0" w:color="auto"/>
            </w:tcBorders>
            <w:vAlign w:val="center"/>
          </w:tcPr>
          <w:p w14:paraId="6843036B" w14:textId="77777777" w:rsidR="00F73D5B" w:rsidRPr="008B7A21" w:rsidRDefault="00F73D5B" w:rsidP="00767A6A">
            <w:pPr>
              <w:pStyle w:val="Tabletext"/>
              <w:rPr>
                <w:lang w:val="es-ES_tradnl"/>
              </w:rPr>
            </w:pPr>
            <w:r w:rsidRPr="008B7A21">
              <w:rPr>
                <w:lang w:val="es-ES_tradnl"/>
              </w:rPr>
              <w:t>Otras estaciones</w:t>
            </w:r>
          </w:p>
        </w:tc>
        <w:tc>
          <w:tcPr>
            <w:tcW w:w="1701" w:type="dxa"/>
            <w:tcBorders>
              <w:top w:val="single" w:sz="4" w:space="0" w:color="auto"/>
              <w:left w:val="single" w:sz="4" w:space="0" w:color="auto"/>
              <w:bottom w:val="single" w:sz="4" w:space="0" w:color="auto"/>
              <w:right w:val="single" w:sz="4" w:space="0" w:color="auto"/>
            </w:tcBorders>
          </w:tcPr>
          <w:p w14:paraId="6DE6FCA2" w14:textId="77777777" w:rsidR="00F73D5B" w:rsidRPr="008B7A21" w:rsidRDefault="00F73D5B" w:rsidP="00767A6A">
            <w:pPr>
              <w:pStyle w:val="Tabletext"/>
              <w:jc w:val="center"/>
              <w:rPr>
                <w:lang w:val="es-ES_tradnl"/>
              </w:rPr>
            </w:pPr>
            <w:r w:rsidRPr="008B7A21">
              <w:rPr>
                <w:lang w:val="es-ES_tradnl"/>
              </w:rPr>
              <w:t>1</w:t>
            </w:r>
          </w:p>
        </w:tc>
      </w:tr>
    </w:tbl>
    <w:p w14:paraId="538094CE" w14:textId="77777777" w:rsidR="00F73D5B" w:rsidRPr="008B7A21" w:rsidRDefault="00F73D5B" w:rsidP="00F73D5B">
      <w:pPr>
        <w:pStyle w:val="Tablefin"/>
        <w:rPr>
          <w:lang w:val="es-ES_tradnl"/>
        </w:rPr>
      </w:pPr>
    </w:p>
    <w:p w14:paraId="06D98080" w14:textId="77777777" w:rsidR="00F73D5B" w:rsidRPr="008B7A21" w:rsidRDefault="00F73D5B" w:rsidP="00F73D5B">
      <w:pPr>
        <w:pStyle w:val="Note"/>
        <w:rPr>
          <w:lang w:val="es-ES_tradnl"/>
        </w:rPr>
      </w:pPr>
      <w:r w:rsidRPr="008B7A21">
        <w:rPr>
          <w:lang w:val="es-ES_tradnl"/>
        </w:rPr>
        <w:t>Los factores de exención por compartición de instalaciones y motivos ecológicos:</w:t>
      </w:r>
    </w:p>
    <w:p w14:paraId="612363EC" w14:textId="77777777" w:rsidR="00F73D5B" w:rsidRPr="008B7A21" w:rsidRDefault="00F73D5B" w:rsidP="00D849A8">
      <w:pPr>
        <w:pStyle w:val="TableNo"/>
        <w:rPr>
          <w:lang w:val="es-ES_tradnl" w:eastAsia="ko-KR"/>
        </w:rPr>
      </w:pPr>
      <w:r w:rsidRPr="008B7A21">
        <w:rPr>
          <w:lang w:val="es-ES_tradnl" w:eastAsia="ko-KR"/>
        </w:rPr>
        <w:t>CUADRO 43</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680"/>
        <w:gridCol w:w="765"/>
        <w:gridCol w:w="765"/>
        <w:gridCol w:w="765"/>
        <w:gridCol w:w="765"/>
        <w:gridCol w:w="765"/>
        <w:gridCol w:w="765"/>
        <w:gridCol w:w="765"/>
        <w:gridCol w:w="765"/>
        <w:gridCol w:w="680"/>
      </w:tblGrid>
      <w:tr w:rsidR="00F73D5B" w:rsidRPr="008B7A21" w14:paraId="60961A23" w14:textId="77777777" w:rsidTr="00D849A8">
        <w:trPr>
          <w:jc w:val="center"/>
        </w:trPr>
        <w:tc>
          <w:tcPr>
            <w:tcW w:w="2154" w:type="dxa"/>
            <w:vAlign w:val="center"/>
          </w:tcPr>
          <w:p w14:paraId="689ECD51" w14:textId="77777777" w:rsidR="00F73D5B" w:rsidRPr="008B7A21" w:rsidRDefault="00F73D5B" w:rsidP="00767A6A">
            <w:pPr>
              <w:pStyle w:val="Tabletext"/>
              <w:jc w:val="left"/>
              <w:rPr>
                <w:sz w:val="20"/>
                <w:lang w:val="es-ES_tradnl"/>
              </w:rPr>
            </w:pPr>
            <w:r w:rsidRPr="008B7A21">
              <w:rPr>
                <w:sz w:val="20"/>
                <w:lang w:val="es-ES_tradnl" w:eastAsia="ko-KR"/>
              </w:rPr>
              <w:t xml:space="preserve">Tasa de itinerancia y compartición de instalaciones </w:t>
            </w:r>
            <w:r w:rsidRPr="008B7A21">
              <w:rPr>
                <w:sz w:val="20"/>
                <w:lang w:val="es-ES_tradnl"/>
              </w:rPr>
              <w:t>(%)</w:t>
            </w:r>
          </w:p>
        </w:tc>
        <w:tc>
          <w:tcPr>
            <w:tcW w:w="680" w:type="dxa"/>
            <w:vAlign w:val="center"/>
          </w:tcPr>
          <w:p w14:paraId="2F379AC2" w14:textId="77777777" w:rsidR="00F73D5B" w:rsidRPr="008B7A21" w:rsidRDefault="00F73D5B" w:rsidP="00767A6A">
            <w:pPr>
              <w:pStyle w:val="Tabletext"/>
              <w:jc w:val="center"/>
              <w:rPr>
                <w:sz w:val="20"/>
                <w:lang w:val="es-ES_tradnl"/>
              </w:rPr>
            </w:pPr>
            <w:r w:rsidRPr="008B7A21">
              <w:rPr>
                <w:sz w:val="20"/>
                <w:lang w:val="es-ES_tradnl" w:eastAsia="ko-KR"/>
              </w:rPr>
              <w:t>&lt;</w:t>
            </w:r>
            <w:r w:rsidRPr="008B7A21">
              <w:rPr>
                <w:sz w:val="20"/>
                <w:lang w:val="es-ES_tradnl"/>
              </w:rPr>
              <w:t>10</w:t>
            </w:r>
          </w:p>
        </w:tc>
        <w:tc>
          <w:tcPr>
            <w:tcW w:w="765" w:type="dxa"/>
            <w:vAlign w:val="center"/>
          </w:tcPr>
          <w:p w14:paraId="0338C166" w14:textId="77777777" w:rsidR="00F73D5B" w:rsidRPr="008B7A21" w:rsidRDefault="00F73D5B" w:rsidP="00767A6A">
            <w:pPr>
              <w:pStyle w:val="Tabletext"/>
              <w:jc w:val="center"/>
              <w:rPr>
                <w:sz w:val="20"/>
                <w:lang w:val="es-ES_tradnl"/>
              </w:rPr>
            </w:pPr>
            <w:r w:rsidRPr="008B7A21">
              <w:rPr>
                <w:sz w:val="20"/>
                <w:lang w:val="es-ES_tradnl"/>
              </w:rPr>
              <w:t>10</w:t>
            </w:r>
            <w:r w:rsidRPr="008B7A21">
              <w:rPr>
                <w:sz w:val="20"/>
                <w:lang w:val="es-ES_tradnl" w:eastAsia="ko-KR"/>
              </w:rPr>
              <w:t>~</w:t>
            </w:r>
            <w:r w:rsidRPr="008B7A21">
              <w:rPr>
                <w:sz w:val="20"/>
                <w:lang w:val="es-ES_tradnl"/>
              </w:rPr>
              <w:t>20</w:t>
            </w:r>
          </w:p>
        </w:tc>
        <w:tc>
          <w:tcPr>
            <w:tcW w:w="765" w:type="dxa"/>
            <w:vAlign w:val="center"/>
          </w:tcPr>
          <w:p w14:paraId="33600D05" w14:textId="77777777" w:rsidR="00F73D5B" w:rsidRPr="008B7A21" w:rsidRDefault="00F73D5B" w:rsidP="00767A6A">
            <w:pPr>
              <w:pStyle w:val="Tabletext"/>
              <w:jc w:val="center"/>
              <w:rPr>
                <w:sz w:val="20"/>
                <w:lang w:val="es-ES_tradnl"/>
              </w:rPr>
            </w:pPr>
            <w:r w:rsidRPr="008B7A21">
              <w:rPr>
                <w:sz w:val="20"/>
                <w:lang w:val="es-ES_tradnl"/>
              </w:rPr>
              <w:t>20</w:t>
            </w:r>
            <w:r w:rsidRPr="008B7A21">
              <w:rPr>
                <w:sz w:val="20"/>
                <w:lang w:val="es-ES_tradnl" w:eastAsia="ko-KR"/>
              </w:rPr>
              <w:t>~</w:t>
            </w:r>
            <w:r w:rsidRPr="008B7A21">
              <w:rPr>
                <w:sz w:val="20"/>
                <w:lang w:val="es-ES_tradnl"/>
              </w:rPr>
              <w:t>30</w:t>
            </w:r>
          </w:p>
        </w:tc>
        <w:tc>
          <w:tcPr>
            <w:tcW w:w="765" w:type="dxa"/>
            <w:vAlign w:val="center"/>
          </w:tcPr>
          <w:p w14:paraId="06E03DAF" w14:textId="77777777" w:rsidR="00F73D5B" w:rsidRPr="008B7A21" w:rsidRDefault="00F73D5B" w:rsidP="00767A6A">
            <w:pPr>
              <w:pStyle w:val="Tabletext"/>
              <w:jc w:val="center"/>
              <w:rPr>
                <w:sz w:val="20"/>
                <w:lang w:val="es-ES_tradnl"/>
              </w:rPr>
            </w:pPr>
            <w:r w:rsidRPr="008B7A21">
              <w:rPr>
                <w:sz w:val="20"/>
                <w:lang w:val="es-ES_tradnl"/>
              </w:rPr>
              <w:t>30</w:t>
            </w:r>
            <w:r w:rsidRPr="008B7A21">
              <w:rPr>
                <w:sz w:val="20"/>
                <w:lang w:val="es-ES_tradnl" w:eastAsia="ko-KR"/>
              </w:rPr>
              <w:t>~</w:t>
            </w:r>
            <w:r w:rsidRPr="008B7A21">
              <w:rPr>
                <w:sz w:val="20"/>
                <w:lang w:val="es-ES_tradnl"/>
              </w:rPr>
              <w:t>40</w:t>
            </w:r>
          </w:p>
        </w:tc>
        <w:tc>
          <w:tcPr>
            <w:tcW w:w="765" w:type="dxa"/>
            <w:vAlign w:val="center"/>
          </w:tcPr>
          <w:p w14:paraId="63AB03EA" w14:textId="77777777" w:rsidR="00F73D5B" w:rsidRPr="008B7A21" w:rsidRDefault="00F73D5B" w:rsidP="00767A6A">
            <w:pPr>
              <w:pStyle w:val="Tabletext"/>
              <w:jc w:val="center"/>
              <w:rPr>
                <w:sz w:val="20"/>
                <w:lang w:val="es-ES_tradnl"/>
              </w:rPr>
            </w:pPr>
            <w:r w:rsidRPr="008B7A21">
              <w:rPr>
                <w:sz w:val="20"/>
                <w:lang w:val="es-ES_tradnl"/>
              </w:rPr>
              <w:t>40</w:t>
            </w:r>
            <w:r w:rsidRPr="008B7A21">
              <w:rPr>
                <w:sz w:val="20"/>
                <w:lang w:val="es-ES_tradnl" w:eastAsia="ko-KR"/>
              </w:rPr>
              <w:t>~45</w:t>
            </w:r>
          </w:p>
        </w:tc>
        <w:tc>
          <w:tcPr>
            <w:tcW w:w="765" w:type="dxa"/>
            <w:vAlign w:val="center"/>
          </w:tcPr>
          <w:p w14:paraId="32C221B1" w14:textId="77777777" w:rsidR="00F73D5B" w:rsidRPr="008B7A21" w:rsidRDefault="00F73D5B" w:rsidP="00767A6A">
            <w:pPr>
              <w:pStyle w:val="Tabletext"/>
              <w:jc w:val="center"/>
              <w:rPr>
                <w:sz w:val="20"/>
                <w:lang w:val="es-ES_tradnl"/>
              </w:rPr>
            </w:pPr>
            <w:r w:rsidRPr="008B7A21">
              <w:rPr>
                <w:sz w:val="20"/>
                <w:lang w:val="es-ES_tradnl" w:eastAsia="ko-KR"/>
              </w:rPr>
              <w:t>45~</w:t>
            </w:r>
            <w:r w:rsidRPr="008B7A21">
              <w:rPr>
                <w:sz w:val="20"/>
                <w:lang w:val="es-ES_tradnl"/>
              </w:rPr>
              <w:t>50</w:t>
            </w:r>
          </w:p>
        </w:tc>
        <w:tc>
          <w:tcPr>
            <w:tcW w:w="765" w:type="dxa"/>
            <w:vAlign w:val="center"/>
          </w:tcPr>
          <w:p w14:paraId="5C935C8A" w14:textId="77777777" w:rsidR="00F73D5B" w:rsidRPr="008B7A21" w:rsidRDefault="00F73D5B" w:rsidP="00767A6A">
            <w:pPr>
              <w:pStyle w:val="Tabletext"/>
              <w:jc w:val="center"/>
              <w:rPr>
                <w:sz w:val="20"/>
                <w:lang w:val="es-ES_tradnl" w:eastAsia="ko-KR"/>
              </w:rPr>
            </w:pPr>
            <w:r w:rsidRPr="008B7A21">
              <w:rPr>
                <w:sz w:val="20"/>
                <w:lang w:val="es-ES_tradnl" w:eastAsia="ko-KR"/>
              </w:rPr>
              <w:t>50~55</w:t>
            </w:r>
          </w:p>
        </w:tc>
        <w:tc>
          <w:tcPr>
            <w:tcW w:w="765" w:type="dxa"/>
            <w:vAlign w:val="center"/>
          </w:tcPr>
          <w:p w14:paraId="1C5200C9" w14:textId="77777777" w:rsidR="00F73D5B" w:rsidRPr="008B7A21" w:rsidRDefault="00F73D5B" w:rsidP="00767A6A">
            <w:pPr>
              <w:pStyle w:val="Tabletext"/>
              <w:jc w:val="center"/>
              <w:rPr>
                <w:sz w:val="20"/>
                <w:lang w:val="es-ES_tradnl" w:eastAsia="ko-KR"/>
              </w:rPr>
            </w:pPr>
            <w:r w:rsidRPr="008B7A21">
              <w:rPr>
                <w:sz w:val="20"/>
                <w:lang w:val="es-ES_tradnl" w:eastAsia="ko-KR"/>
              </w:rPr>
              <w:t>55~60</w:t>
            </w:r>
          </w:p>
        </w:tc>
        <w:tc>
          <w:tcPr>
            <w:tcW w:w="765" w:type="dxa"/>
            <w:vAlign w:val="center"/>
          </w:tcPr>
          <w:p w14:paraId="10F4F304" w14:textId="77777777" w:rsidR="00F73D5B" w:rsidRPr="008B7A21" w:rsidRDefault="00F73D5B" w:rsidP="00767A6A">
            <w:pPr>
              <w:pStyle w:val="Tabletext"/>
              <w:jc w:val="center"/>
              <w:rPr>
                <w:sz w:val="20"/>
                <w:lang w:val="es-ES_tradnl" w:eastAsia="ko-KR"/>
              </w:rPr>
            </w:pPr>
            <w:r w:rsidRPr="008B7A21">
              <w:rPr>
                <w:sz w:val="20"/>
                <w:lang w:val="es-ES_tradnl" w:eastAsia="ko-KR"/>
              </w:rPr>
              <w:t>60~70</w:t>
            </w:r>
          </w:p>
        </w:tc>
        <w:tc>
          <w:tcPr>
            <w:tcW w:w="680" w:type="dxa"/>
            <w:vAlign w:val="center"/>
          </w:tcPr>
          <w:p w14:paraId="201BABAF" w14:textId="77777777" w:rsidR="00F73D5B" w:rsidRPr="008B7A21" w:rsidRDefault="00F73D5B" w:rsidP="00767A6A">
            <w:pPr>
              <w:pStyle w:val="Tabletext"/>
              <w:jc w:val="center"/>
              <w:rPr>
                <w:sz w:val="20"/>
                <w:lang w:val="es-ES_tradnl" w:eastAsia="ko-KR"/>
              </w:rPr>
            </w:pPr>
            <w:r w:rsidRPr="008B7A21">
              <w:rPr>
                <w:sz w:val="20"/>
                <w:lang w:val="es-ES_tradnl" w:eastAsia="ko-KR"/>
              </w:rPr>
              <w:t>&gt;70</w:t>
            </w:r>
          </w:p>
        </w:tc>
      </w:tr>
      <w:tr w:rsidR="00F73D5B" w:rsidRPr="008B7A21" w14:paraId="7F34552E" w14:textId="77777777" w:rsidTr="00D849A8">
        <w:trPr>
          <w:jc w:val="center"/>
        </w:trPr>
        <w:tc>
          <w:tcPr>
            <w:tcW w:w="2154" w:type="dxa"/>
            <w:vAlign w:val="center"/>
          </w:tcPr>
          <w:p w14:paraId="79758814" w14:textId="77777777" w:rsidR="00F73D5B" w:rsidRPr="008B7A21" w:rsidRDefault="00F73D5B" w:rsidP="00767A6A">
            <w:pPr>
              <w:pStyle w:val="Tabletext"/>
              <w:jc w:val="left"/>
              <w:rPr>
                <w:sz w:val="20"/>
                <w:lang w:val="es-ES_tradnl"/>
              </w:rPr>
            </w:pPr>
            <w:r w:rsidRPr="008B7A21">
              <w:rPr>
                <w:sz w:val="20"/>
                <w:lang w:val="es-ES_tradnl" w:eastAsia="ko-KR"/>
              </w:rPr>
              <w:t>Factor de exención por compartición de instalaciones</w:t>
            </w:r>
          </w:p>
        </w:tc>
        <w:tc>
          <w:tcPr>
            <w:tcW w:w="680" w:type="dxa"/>
            <w:vAlign w:val="center"/>
          </w:tcPr>
          <w:p w14:paraId="2CF25F87" w14:textId="77777777" w:rsidR="00F73D5B" w:rsidRPr="008B7A21" w:rsidRDefault="00F73D5B" w:rsidP="00767A6A">
            <w:pPr>
              <w:pStyle w:val="Tabletext"/>
              <w:jc w:val="center"/>
              <w:rPr>
                <w:sz w:val="20"/>
                <w:lang w:val="es-ES_tradnl"/>
              </w:rPr>
            </w:pPr>
            <w:r w:rsidRPr="008B7A21">
              <w:rPr>
                <w:sz w:val="20"/>
                <w:lang w:val="es-ES_tradnl"/>
              </w:rPr>
              <w:t>0,01</w:t>
            </w:r>
          </w:p>
        </w:tc>
        <w:tc>
          <w:tcPr>
            <w:tcW w:w="765" w:type="dxa"/>
            <w:vAlign w:val="center"/>
          </w:tcPr>
          <w:p w14:paraId="6947860C" w14:textId="77777777" w:rsidR="00F73D5B" w:rsidRPr="008B7A21" w:rsidRDefault="00F73D5B" w:rsidP="00767A6A">
            <w:pPr>
              <w:pStyle w:val="Tabletext"/>
              <w:jc w:val="center"/>
              <w:rPr>
                <w:sz w:val="20"/>
                <w:lang w:val="es-ES_tradnl"/>
              </w:rPr>
            </w:pPr>
            <w:r w:rsidRPr="008B7A21">
              <w:rPr>
                <w:sz w:val="20"/>
                <w:lang w:val="es-ES_tradnl"/>
              </w:rPr>
              <w:t>0,02</w:t>
            </w:r>
          </w:p>
        </w:tc>
        <w:tc>
          <w:tcPr>
            <w:tcW w:w="765" w:type="dxa"/>
            <w:vAlign w:val="center"/>
          </w:tcPr>
          <w:p w14:paraId="77EE698D" w14:textId="77777777" w:rsidR="00F73D5B" w:rsidRPr="008B7A21" w:rsidRDefault="00F73D5B" w:rsidP="00767A6A">
            <w:pPr>
              <w:pStyle w:val="Tabletext"/>
              <w:jc w:val="center"/>
              <w:rPr>
                <w:sz w:val="20"/>
                <w:lang w:val="es-ES_tradnl" w:eastAsia="ko-KR"/>
              </w:rPr>
            </w:pPr>
            <w:r w:rsidRPr="008B7A21">
              <w:rPr>
                <w:sz w:val="20"/>
                <w:lang w:val="es-ES_tradnl" w:eastAsia="ko-KR"/>
              </w:rPr>
              <w:t>0,03</w:t>
            </w:r>
          </w:p>
        </w:tc>
        <w:tc>
          <w:tcPr>
            <w:tcW w:w="765" w:type="dxa"/>
            <w:vAlign w:val="center"/>
          </w:tcPr>
          <w:p w14:paraId="10543558" w14:textId="77777777" w:rsidR="00F73D5B" w:rsidRPr="008B7A21" w:rsidRDefault="00F73D5B" w:rsidP="00767A6A">
            <w:pPr>
              <w:pStyle w:val="Tabletext"/>
              <w:jc w:val="center"/>
              <w:rPr>
                <w:sz w:val="20"/>
                <w:lang w:val="es-ES_tradnl"/>
              </w:rPr>
            </w:pPr>
            <w:r w:rsidRPr="008B7A21">
              <w:rPr>
                <w:sz w:val="20"/>
                <w:lang w:val="es-ES_tradnl"/>
              </w:rPr>
              <w:t>0,04</w:t>
            </w:r>
          </w:p>
        </w:tc>
        <w:tc>
          <w:tcPr>
            <w:tcW w:w="765" w:type="dxa"/>
            <w:vAlign w:val="center"/>
          </w:tcPr>
          <w:p w14:paraId="098F32D6" w14:textId="77777777" w:rsidR="00F73D5B" w:rsidRPr="008B7A21" w:rsidRDefault="00F73D5B" w:rsidP="00767A6A">
            <w:pPr>
              <w:pStyle w:val="Tabletext"/>
              <w:jc w:val="center"/>
              <w:rPr>
                <w:sz w:val="20"/>
                <w:lang w:val="es-ES_tradnl" w:eastAsia="ko-KR"/>
              </w:rPr>
            </w:pPr>
            <w:r w:rsidRPr="008B7A21">
              <w:rPr>
                <w:sz w:val="20"/>
                <w:lang w:val="es-ES_tradnl" w:eastAsia="ko-KR"/>
              </w:rPr>
              <w:t>0,05</w:t>
            </w:r>
          </w:p>
        </w:tc>
        <w:tc>
          <w:tcPr>
            <w:tcW w:w="765" w:type="dxa"/>
            <w:vAlign w:val="center"/>
          </w:tcPr>
          <w:p w14:paraId="559DE241" w14:textId="77777777" w:rsidR="00F73D5B" w:rsidRPr="008B7A21" w:rsidRDefault="00F73D5B" w:rsidP="00767A6A">
            <w:pPr>
              <w:pStyle w:val="Tabletext"/>
              <w:jc w:val="center"/>
              <w:rPr>
                <w:sz w:val="20"/>
                <w:lang w:val="es-ES_tradnl"/>
              </w:rPr>
            </w:pPr>
            <w:r w:rsidRPr="008B7A21">
              <w:rPr>
                <w:sz w:val="20"/>
                <w:lang w:val="es-ES_tradnl"/>
              </w:rPr>
              <w:t>0,06</w:t>
            </w:r>
          </w:p>
        </w:tc>
        <w:tc>
          <w:tcPr>
            <w:tcW w:w="765" w:type="dxa"/>
            <w:vAlign w:val="center"/>
          </w:tcPr>
          <w:p w14:paraId="24FDBF64" w14:textId="77777777" w:rsidR="00F73D5B" w:rsidRPr="008B7A21" w:rsidRDefault="00F73D5B" w:rsidP="00767A6A">
            <w:pPr>
              <w:pStyle w:val="Tabletext"/>
              <w:jc w:val="center"/>
              <w:rPr>
                <w:sz w:val="20"/>
                <w:lang w:val="es-ES_tradnl" w:eastAsia="ko-KR"/>
              </w:rPr>
            </w:pPr>
            <w:r w:rsidRPr="008B7A21">
              <w:rPr>
                <w:sz w:val="20"/>
                <w:lang w:val="es-ES_tradnl" w:eastAsia="ko-KR"/>
              </w:rPr>
              <w:t>0,07</w:t>
            </w:r>
          </w:p>
        </w:tc>
        <w:tc>
          <w:tcPr>
            <w:tcW w:w="765" w:type="dxa"/>
            <w:vAlign w:val="center"/>
          </w:tcPr>
          <w:p w14:paraId="35A428C2" w14:textId="77777777" w:rsidR="00F73D5B" w:rsidRPr="008B7A21" w:rsidRDefault="00F73D5B" w:rsidP="00767A6A">
            <w:pPr>
              <w:pStyle w:val="Tabletext"/>
              <w:jc w:val="center"/>
              <w:rPr>
                <w:sz w:val="20"/>
                <w:lang w:val="es-ES_tradnl"/>
              </w:rPr>
            </w:pPr>
            <w:r w:rsidRPr="008B7A21">
              <w:rPr>
                <w:sz w:val="20"/>
                <w:lang w:val="es-ES_tradnl"/>
              </w:rPr>
              <w:t>0,08</w:t>
            </w:r>
          </w:p>
        </w:tc>
        <w:tc>
          <w:tcPr>
            <w:tcW w:w="765" w:type="dxa"/>
            <w:vAlign w:val="center"/>
          </w:tcPr>
          <w:p w14:paraId="75BC749D" w14:textId="77777777" w:rsidR="00F73D5B" w:rsidRPr="008B7A21" w:rsidRDefault="00F73D5B" w:rsidP="00767A6A">
            <w:pPr>
              <w:pStyle w:val="Tabletext"/>
              <w:jc w:val="center"/>
              <w:rPr>
                <w:sz w:val="20"/>
                <w:lang w:val="es-ES_tradnl" w:eastAsia="ko-KR"/>
              </w:rPr>
            </w:pPr>
            <w:r w:rsidRPr="008B7A21">
              <w:rPr>
                <w:sz w:val="20"/>
                <w:lang w:val="es-ES_tradnl" w:eastAsia="ko-KR"/>
              </w:rPr>
              <w:t>0,09</w:t>
            </w:r>
          </w:p>
        </w:tc>
        <w:tc>
          <w:tcPr>
            <w:tcW w:w="680" w:type="dxa"/>
            <w:vAlign w:val="center"/>
          </w:tcPr>
          <w:p w14:paraId="59D29894" w14:textId="77777777" w:rsidR="00F73D5B" w:rsidRPr="008B7A21" w:rsidRDefault="00F73D5B" w:rsidP="00767A6A">
            <w:pPr>
              <w:pStyle w:val="Tabletext"/>
              <w:jc w:val="center"/>
              <w:rPr>
                <w:sz w:val="20"/>
                <w:lang w:val="es-ES_tradnl"/>
              </w:rPr>
            </w:pPr>
            <w:r w:rsidRPr="008B7A21">
              <w:rPr>
                <w:sz w:val="20"/>
                <w:lang w:val="es-ES_tradnl"/>
              </w:rPr>
              <w:t>0,10</w:t>
            </w:r>
          </w:p>
        </w:tc>
      </w:tr>
      <w:tr w:rsidR="00F73D5B" w:rsidRPr="008B7A21" w14:paraId="682BD183" w14:textId="77777777" w:rsidTr="00D849A8">
        <w:trPr>
          <w:jc w:val="center"/>
        </w:trPr>
        <w:tc>
          <w:tcPr>
            <w:tcW w:w="2154" w:type="dxa"/>
            <w:vAlign w:val="center"/>
          </w:tcPr>
          <w:p w14:paraId="15B4C9BD" w14:textId="77777777" w:rsidR="00F73D5B" w:rsidRPr="008B7A21" w:rsidRDefault="00F73D5B" w:rsidP="00767A6A">
            <w:pPr>
              <w:pStyle w:val="Tabletext"/>
              <w:jc w:val="left"/>
              <w:rPr>
                <w:sz w:val="20"/>
                <w:lang w:val="es-ES_tradnl" w:eastAsia="ko-KR"/>
              </w:rPr>
            </w:pPr>
            <w:r w:rsidRPr="008B7A21">
              <w:rPr>
                <w:sz w:val="20"/>
                <w:lang w:val="es-ES_tradnl" w:eastAsia="ko-KR"/>
              </w:rPr>
              <w:t>Factor de exención por motivos ecológicos</w:t>
            </w:r>
          </w:p>
        </w:tc>
        <w:tc>
          <w:tcPr>
            <w:tcW w:w="680" w:type="dxa"/>
            <w:vAlign w:val="center"/>
          </w:tcPr>
          <w:p w14:paraId="53AC0D3C" w14:textId="77777777" w:rsidR="00F73D5B" w:rsidRPr="008B7A21" w:rsidRDefault="00F73D5B" w:rsidP="00767A6A">
            <w:pPr>
              <w:pStyle w:val="Tabletext"/>
              <w:jc w:val="center"/>
              <w:rPr>
                <w:sz w:val="20"/>
                <w:lang w:val="es-ES_tradnl" w:eastAsia="ko-KR"/>
              </w:rPr>
            </w:pPr>
            <w:r w:rsidRPr="008B7A21">
              <w:rPr>
                <w:sz w:val="20"/>
                <w:lang w:val="es-ES_tradnl" w:eastAsia="ko-KR"/>
              </w:rPr>
              <w:t>0,01</w:t>
            </w:r>
          </w:p>
        </w:tc>
        <w:tc>
          <w:tcPr>
            <w:tcW w:w="765" w:type="dxa"/>
            <w:vAlign w:val="center"/>
          </w:tcPr>
          <w:p w14:paraId="0A848BC5" w14:textId="77777777" w:rsidR="00F73D5B" w:rsidRPr="008B7A21" w:rsidRDefault="00F73D5B" w:rsidP="00767A6A">
            <w:pPr>
              <w:pStyle w:val="Tabletext"/>
              <w:jc w:val="center"/>
              <w:rPr>
                <w:sz w:val="20"/>
                <w:lang w:val="es-ES_tradnl" w:eastAsia="ko-KR"/>
              </w:rPr>
            </w:pPr>
            <w:r w:rsidRPr="008B7A21">
              <w:rPr>
                <w:sz w:val="20"/>
                <w:lang w:val="es-ES_tradnl" w:eastAsia="ko-KR"/>
              </w:rPr>
              <w:t>0,02</w:t>
            </w:r>
          </w:p>
        </w:tc>
        <w:tc>
          <w:tcPr>
            <w:tcW w:w="765" w:type="dxa"/>
            <w:vAlign w:val="center"/>
          </w:tcPr>
          <w:p w14:paraId="19F2B74C" w14:textId="77777777" w:rsidR="00F73D5B" w:rsidRPr="008B7A21" w:rsidRDefault="00F73D5B" w:rsidP="00767A6A">
            <w:pPr>
              <w:pStyle w:val="Tabletext"/>
              <w:jc w:val="center"/>
              <w:rPr>
                <w:sz w:val="20"/>
                <w:lang w:val="es-ES_tradnl" w:eastAsia="ko-KR"/>
              </w:rPr>
            </w:pPr>
            <w:r w:rsidRPr="008B7A21">
              <w:rPr>
                <w:sz w:val="20"/>
                <w:lang w:val="es-ES_tradnl" w:eastAsia="ko-KR"/>
              </w:rPr>
              <w:t>0,03</w:t>
            </w:r>
          </w:p>
        </w:tc>
        <w:tc>
          <w:tcPr>
            <w:tcW w:w="765" w:type="dxa"/>
            <w:vAlign w:val="center"/>
          </w:tcPr>
          <w:p w14:paraId="0F6E90F7" w14:textId="77777777" w:rsidR="00F73D5B" w:rsidRPr="008B7A21" w:rsidRDefault="00F73D5B" w:rsidP="00767A6A">
            <w:pPr>
              <w:pStyle w:val="Tabletext"/>
              <w:jc w:val="center"/>
              <w:rPr>
                <w:sz w:val="20"/>
                <w:lang w:val="es-ES_tradnl" w:eastAsia="ko-KR"/>
              </w:rPr>
            </w:pPr>
            <w:r w:rsidRPr="008B7A21">
              <w:rPr>
                <w:sz w:val="20"/>
                <w:lang w:val="es-ES_tradnl" w:eastAsia="ko-KR"/>
              </w:rPr>
              <w:t>0,04</w:t>
            </w:r>
          </w:p>
        </w:tc>
        <w:tc>
          <w:tcPr>
            <w:tcW w:w="765" w:type="dxa"/>
            <w:vAlign w:val="center"/>
          </w:tcPr>
          <w:p w14:paraId="1FBC099B" w14:textId="77777777" w:rsidR="00F73D5B" w:rsidRPr="008B7A21" w:rsidRDefault="00F73D5B" w:rsidP="00767A6A">
            <w:pPr>
              <w:pStyle w:val="Tabletext"/>
              <w:jc w:val="center"/>
              <w:rPr>
                <w:sz w:val="20"/>
                <w:lang w:val="es-ES_tradnl" w:eastAsia="ko-KR"/>
              </w:rPr>
            </w:pPr>
            <w:r w:rsidRPr="008B7A21">
              <w:rPr>
                <w:sz w:val="20"/>
                <w:lang w:val="es-ES_tradnl" w:eastAsia="ko-KR"/>
              </w:rPr>
              <w:t>0,05</w:t>
            </w:r>
          </w:p>
        </w:tc>
        <w:tc>
          <w:tcPr>
            <w:tcW w:w="765" w:type="dxa"/>
            <w:vAlign w:val="center"/>
          </w:tcPr>
          <w:p w14:paraId="0BC949CA" w14:textId="77777777" w:rsidR="00F73D5B" w:rsidRPr="008B7A21" w:rsidRDefault="00F73D5B" w:rsidP="00767A6A">
            <w:pPr>
              <w:pStyle w:val="Tabletext"/>
              <w:jc w:val="center"/>
              <w:rPr>
                <w:sz w:val="20"/>
                <w:lang w:val="es-ES_tradnl" w:eastAsia="ko-KR"/>
              </w:rPr>
            </w:pPr>
            <w:r w:rsidRPr="008B7A21">
              <w:rPr>
                <w:sz w:val="20"/>
                <w:lang w:val="es-ES_tradnl" w:eastAsia="ko-KR"/>
              </w:rPr>
              <w:t>0,06</w:t>
            </w:r>
          </w:p>
        </w:tc>
        <w:tc>
          <w:tcPr>
            <w:tcW w:w="765" w:type="dxa"/>
            <w:vAlign w:val="center"/>
          </w:tcPr>
          <w:p w14:paraId="442092FD" w14:textId="77777777" w:rsidR="00F73D5B" w:rsidRPr="008B7A21" w:rsidRDefault="00F73D5B" w:rsidP="00767A6A">
            <w:pPr>
              <w:pStyle w:val="Tabletext"/>
              <w:jc w:val="center"/>
              <w:rPr>
                <w:sz w:val="20"/>
                <w:lang w:val="es-ES_tradnl" w:eastAsia="ko-KR"/>
              </w:rPr>
            </w:pPr>
            <w:r w:rsidRPr="008B7A21">
              <w:rPr>
                <w:sz w:val="20"/>
                <w:lang w:val="es-ES_tradnl" w:eastAsia="ko-KR"/>
              </w:rPr>
              <w:t>0,07</w:t>
            </w:r>
          </w:p>
        </w:tc>
        <w:tc>
          <w:tcPr>
            <w:tcW w:w="765" w:type="dxa"/>
            <w:vAlign w:val="center"/>
          </w:tcPr>
          <w:p w14:paraId="30B3CE20" w14:textId="77777777" w:rsidR="00F73D5B" w:rsidRPr="008B7A21" w:rsidRDefault="00F73D5B" w:rsidP="00767A6A">
            <w:pPr>
              <w:pStyle w:val="Tabletext"/>
              <w:jc w:val="center"/>
              <w:rPr>
                <w:sz w:val="20"/>
                <w:lang w:val="es-ES_tradnl" w:eastAsia="ko-KR"/>
              </w:rPr>
            </w:pPr>
            <w:r w:rsidRPr="008B7A21">
              <w:rPr>
                <w:sz w:val="20"/>
                <w:lang w:val="es-ES_tradnl" w:eastAsia="ko-KR"/>
              </w:rPr>
              <w:t>0,08</w:t>
            </w:r>
          </w:p>
        </w:tc>
        <w:tc>
          <w:tcPr>
            <w:tcW w:w="765" w:type="dxa"/>
            <w:vAlign w:val="center"/>
          </w:tcPr>
          <w:p w14:paraId="7CF76FC6" w14:textId="77777777" w:rsidR="00F73D5B" w:rsidRPr="008B7A21" w:rsidRDefault="00F73D5B" w:rsidP="00767A6A">
            <w:pPr>
              <w:pStyle w:val="Tabletext"/>
              <w:jc w:val="center"/>
              <w:rPr>
                <w:sz w:val="20"/>
                <w:lang w:val="es-ES_tradnl" w:eastAsia="ko-KR"/>
              </w:rPr>
            </w:pPr>
            <w:r w:rsidRPr="008B7A21">
              <w:rPr>
                <w:sz w:val="20"/>
                <w:lang w:val="es-ES_tradnl" w:eastAsia="ko-KR"/>
              </w:rPr>
              <w:t>0,09</w:t>
            </w:r>
          </w:p>
        </w:tc>
        <w:tc>
          <w:tcPr>
            <w:tcW w:w="680" w:type="dxa"/>
            <w:vAlign w:val="center"/>
          </w:tcPr>
          <w:p w14:paraId="3B87EA14" w14:textId="77777777" w:rsidR="00F73D5B" w:rsidRPr="008B7A21" w:rsidRDefault="00F73D5B" w:rsidP="00767A6A">
            <w:pPr>
              <w:pStyle w:val="Tabletext"/>
              <w:jc w:val="center"/>
              <w:rPr>
                <w:sz w:val="20"/>
                <w:lang w:val="es-ES_tradnl" w:eastAsia="ko-KR"/>
              </w:rPr>
            </w:pPr>
            <w:r w:rsidRPr="008B7A21">
              <w:rPr>
                <w:sz w:val="20"/>
                <w:lang w:val="es-ES_tradnl" w:eastAsia="ko-KR"/>
              </w:rPr>
              <w:t>0,10</w:t>
            </w:r>
          </w:p>
        </w:tc>
      </w:tr>
    </w:tbl>
    <w:p w14:paraId="74117D08" w14:textId="77777777" w:rsidR="00F73D5B" w:rsidRPr="008B7A21" w:rsidRDefault="00F73D5B" w:rsidP="00F73D5B">
      <w:pPr>
        <w:pStyle w:val="Tablefin"/>
        <w:rPr>
          <w:lang w:val="es-ES_tradnl"/>
        </w:rPr>
      </w:pPr>
    </w:p>
    <w:p w14:paraId="5DF69211" w14:textId="77777777" w:rsidR="00F73D5B" w:rsidRPr="008B7A21" w:rsidRDefault="00F73D5B" w:rsidP="00F73D5B">
      <w:pPr>
        <w:pStyle w:val="Headingb"/>
        <w:rPr>
          <w:iCs/>
          <w:lang w:val="es-ES_tradnl"/>
        </w:rPr>
      </w:pPr>
      <w:r w:rsidRPr="008B7A21">
        <w:rPr>
          <w:bCs/>
          <w:iCs/>
          <w:lang w:val="es-ES_tradnl"/>
        </w:rPr>
        <w:t>Categoría 3</w:t>
      </w:r>
      <w:r w:rsidRPr="008B7A21">
        <w:rPr>
          <w:iCs/>
          <w:lang w:val="es-ES_tradnl"/>
        </w:rPr>
        <w:t>: Según la frecuencia asignada del transmisor de las estaciones de radiocomunicaciones</w:t>
      </w:r>
    </w:p>
    <w:p w14:paraId="574E813F" w14:textId="77777777" w:rsidR="00F73D5B" w:rsidRPr="008B7A21" w:rsidRDefault="00F73D5B" w:rsidP="00F73D5B">
      <w:pPr>
        <w:rPr>
          <w:lang w:val="es-ES_tradnl"/>
        </w:rPr>
      </w:pPr>
      <w:r w:rsidRPr="008B7A21">
        <w:rPr>
          <w:lang w:val="es-ES_tradnl"/>
        </w:rPr>
        <w:t>Los cánones por utilización del espectro (SF) se determinan para cada transmisor</w:t>
      </w:r>
      <w:r w:rsidRPr="008B7A21">
        <w:rPr>
          <w:lang w:val="es-ES_tradnl" w:eastAsia="ko-KR"/>
        </w:rPr>
        <w:t>,</w:t>
      </w:r>
      <w:r w:rsidRPr="008B7A21">
        <w:rPr>
          <w:lang w:val="es-ES_tradnl"/>
        </w:rPr>
        <w:t xml:space="preserve"> de acuerdo con la siguiente ecuación:</w:t>
      </w:r>
    </w:p>
    <w:p w14:paraId="79C13D60" w14:textId="77777777" w:rsidR="00F73D5B" w:rsidRPr="008B7A21" w:rsidRDefault="00F73D5B" w:rsidP="00F73D5B">
      <w:pPr>
        <w:pStyle w:val="Blanc"/>
        <w:rPr>
          <w:lang w:val="es-ES_tradnl"/>
        </w:rPr>
      </w:pPr>
    </w:p>
    <w:p w14:paraId="055C96DF" w14:textId="77777777" w:rsidR="00F73D5B" w:rsidRPr="008B7A21" w:rsidRDefault="00F73D5B" w:rsidP="00F73D5B">
      <w:pPr>
        <w:pStyle w:val="Equation"/>
        <w:rPr>
          <w:lang w:val="es-ES_tradnl" w:eastAsia="ko-KR"/>
        </w:rPr>
      </w:pPr>
      <w:r w:rsidRPr="008B7A21">
        <w:rPr>
          <w:lang w:val="es-ES_tradnl"/>
        </w:rPr>
        <w:tab/>
      </w:r>
      <w:r w:rsidRPr="008B7A21">
        <w:rPr>
          <w:lang w:val="es-ES_tradnl"/>
        </w:rPr>
        <w:tab/>
      </w:r>
      <w:r w:rsidRPr="008B7A21">
        <w:rPr>
          <w:position w:val="-14"/>
          <w:lang w:val="es-ES_tradnl"/>
        </w:rPr>
        <w:object w:dxaOrig="5640" w:dyaOrig="440" w14:anchorId="39E26D20">
          <v:shape id="_x0000_i1760" type="#_x0000_t75" style="width:281.3pt;height:20.95pt" o:ole="" fillcolor="window">
            <v:imagedata r:id="rId264" o:title=""/>
          </v:shape>
          <o:OLEObject Type="Embed" ProgID="Equation.3" ShapeID="_x0000_i1760" DrawAspect="Content" ObjectID="_1826705983" r:id="rId265"/>
        </w:object>
      </w:r>
      <w:r w:rsidRPr="008B7A21">
        <w:rPr>
          <w:lang w:val="es-ES_tradnl"/>
        </w:rPr>
        <w:tab/>
        <w:t>(68)</w:t>
      </w:r>
    </w:p>
    <w:p w14:paraId="4C149A64" w14:textId="77777777" w:rsidR="00F73D5B" w:rsidRPr="008B7A21" w:rsidRDefault="00F73D5B" w:rsidP="00F73D5B">
      <w:pPr>
        <w:keepNext/>
        <w:keepLines/>
        <w:rPr>
          <w:lang w:val="es-ES_tradnl"/>
        </w:rPr>
      </w:pPr>
      <w:r w:rsidRPr="008B7A21">
        <w:rPr>
          <w:lang w:val="es-ES_tradnl"/>
        </w:rPr>
        <w:t>siendo:</w:t>
      </w:r>
    </w:p>
    <w:p w14:paraId="4D73BCB4" w14:textId="77777777" w:rsidR="00F73D5B" w:rsidRPr="008B7A21" w:rsidRDefault="00F73D5B" w:rsidP="00F73D5B">
      <w:pPr>
        <w:pStyle w:val="Equationlegend"/>
        <w:rPr>
          <w:lang w:val="es-ES_tradnl"/>
        </w:rPr>
      </w:pPr>
      <w:r w:rsidRPr="008B7A21">
        <w:rPr>
          <w:i/>
          <w:iCs/>
          <w:lang w:val="es-ES_tradnl"/>
        </w:rPr>
        <w:tab/>
        <w:t>B</w:t>
      </w:r>
      <w:r w:rsidRPr="008B7A21">
        <w:rPr>
          <w:lang w:val="es-ES_tradnl"/>
        </w:rPr>
        <w:t>:</w:t>
      </w:r>
      <w:r w:rsidRPr="008B7A21">
        <w:rPr>
          <w:lang w:val="es-ES_tradnl"/>
        </w:rPr>
        <w:tab/>
        <w:t>precio básico</w:t>
      </w:r>
    </w:p>
    <w:p w14:paraId="6C1B1F14" w14:textId="77777777" w:rsidR="00F73D5B" w:rsidRPr="008B7A21" w:rsidRDefault="00F73D5B" w:rsidP="00F73D5B">
      <w:pPr>
        <w:pStyle w:val="Equationlegend"/>
        <w:rPr>
          <w:lang w:val="es-ES_tradnl"/>
        </w:rPr>
      </w:pPr>
      <w:r w:rsidRPr="008B7A21">
        <w:rPr>
          <w:i/>
          <w:iCs/>
          <w:lang w:val="es-ES_tradnl"/>
        </w:rPr>
        <w:tab/>
        <w:t>P</w:t>
      </w:r>
      <w:r w:rsidRPr="008B7A21">
        <w:rPr>
          <w:lang w:val="es-ES_tradnl"/>
        </w:rPr>
        <w:t>:</w:t>
      </w:r>
      <w:r w:rsidRPr="008B7A21">
        <w:rPr>
          <w:lang w:val="es-ES_tradnl"/>
        </w:rPr>
        <w:tab/>
        <w:t>potencia de la antena</w:t>
      </w:r>
    </w:p>
    <w:p w14:paraId="67842C5D" w14:textId="77777777" w:rsidR="00F73D5B" w:rsidRPr="008B7A21" w:rsidRDefault="00F73D5B" w:rsidP="00F73D5B">
      <w:pPr>
        <w:pStyle w:val="Equationlegend"/>
        <w:rPr>
          <w:lang w:val="es-ES_tradnl"/>
        </w:rPr>
      </w:pPr>
      <w:r w:rsidRPr="008B7A21">
        <w:rPr>
          <w:lang w:val="es-ES_tradnl"/>
        </w:rPr>
        <w:tab/>
      </w:r>
      <w:r w:rsidRPr="008B7A21">
        <w:rPr>
          <w:i/>
          <w:iCs/>
          <w:lang w:val="es-ES_tradnl"/>
        </w:rPr>
        <w:t>B</w:t>
      </w:r>
      <w:r w:rsidRPr="008B7A21">
        <w:rPr>
          <w:i/>
          <w:iCs/>
          <w:vertAlign w:val="subscript"/>
          <w:lang w:val="es-ES_tradnl"/>
        </w:rPr>
        <w:t>W</w:t>
      </w:r>
      <w:r w:rsidRPr="008B7A21">
        <w:rPr>
          <w:lang w:val="es-ES_tradnl"/>
        </w:rPr>
        <w:t>:</w:t>
      </w:r>
      <w:r w:rsidRPr="008B7A21">
        <w:rPr>
          <w:lang w:val="es-ES_tradnl"/>
        </w:rPr>
        <w:tab/>
        <w:t>anchura de banda</w:t>
      </w:r>
    </w:p>
    <w:p w14:paraId="54A6CD6A" w14:textId="77777777" w:rsidR="00F73D5B" w:rsidRPr="008B7A21" w:rsidRDefault="00F73D5B" w:rsidP="00F73D5B">
      <w:pPr>
        <w:pStyle w:val="Equationlegend"/>
        <w:rPr>
          <w:lang w:val="es-ES_tradnl"/>
        </w:rPr>
      </w:pPr>
      <w:r w:rsidRPr="008B7A21">
        <w:rPr>
          <w:i/>
          <w:iCs/>
          <w:lang w:val="es-ES_tradnl"/>
        </w:rPr>
        <w:tab/>
        <w:t>P</w:t>
      </w:r>
      <w:r w:rsidRPr="008B7A21">
        <w:rPr>
          <w:i/>
          <w:iCs/>
          <w:vertAlign w:val="subscript"/>
          <w:lang w:val="es-ES_tradnl"/>
        </w:rPr>
        <w:t>f</w:t>
      </w:r>
      <w:r w:rsidRPr="008B7A21">
        <w:rPr>
          <w:lang w:val="es-ES_tradnl"/>
        </w:rPr>
        <w:t>:</w:t>
      </w:r>
      <w:r w:rsidRPr="008B7A21">
        <w:rPr>
          <w:lang w:val="es-ES_tradnl"/>
        </w:rPr>
        <w:tab/>
        <w:t>factor de preferencia</w:t>
      </w:r>
    </w:p>
    <w:p w14:paraId="1E234F59" w14:textId="77777777" w:rsidR="00F73D5B" w:rsidRPr="008B7A21" w:rsidRDefault="00F73D5B" w:rsidP="00F73D5B">
      <w:pPr>
        <w:pStyle w:val="Equationlegend"/>
        <w:rPr>
          <w:lang w:val="es-ES_tradnl"/>
        </w:rPr>
      </w:pPr>
      <w:r w:rsidRPr="008B7A21">
        <w:rPr>
          <w:i/>
          <w:iCs/>
          <w:lang w:val="es-ES_tradnl"/>
        </w:rPr>
        <w:tab/>
        <w:t>U</w:t>
      </w:r>
      <w:r w:rsidRPr="008B7A21">
        <w:rPr>
          <w:i/>
          <w:iCs/>
          <w:vertAlign w:val="subscript"/>
          <w:lang w:val="es-ES_tradnl"/>
        </w:rPr>
        <w:t>f</w:t>
      </w:r>
      <w:r w:rsidRPr="008B7A21">
        <w:rPr>
          <w:lang w:val="es-ES_tradnl"/>
        </w:rPr>
        <w:t>:</w:t>
      </w:r>
      <w:r w:rsidRPr="008B7A21">
        <w:rPr>
          <w:lang w:val="es-ES_tradnl"/>
        </w:rPr>
        <w:tab/>
        <w:t>factor de pautas de utilización de frecuencias</w:t>
      </w:r>
    </w:p>
    <w:p w14:paraId="4BA7DC21" w14:textId="77777777" w:rsidR="00F73D5B" w:rsidRPr="008B7A21" w:rsidRDefault="00F73D5B" w:rsidP="00F73D5B">
      <w:pPr>
        <w:pStyle w:val="Equationlegend"/>
        <w:rPr>
          <w:lang w:val="es-ES_tradnl"/>
        </w:rPr>
      </w:pPr>
      <w:r w:rsidRPr="008B7A21">
        <w:rPr>
          <w:i/>
          <w:iCs/>
          <w:lang w:val="es-ES_tradnl"/>
        </w:rPr>
        <w:tab/>
        <w:t>O</w:t>
      </w:r>
      <w:r w:rsidRPr="008B7A21">
        <w:rPr>
          <w:i/>
          <w:iCs/>
          <w:vertAlign w:val="subscript"/>
          <w:lang w:val="es-ES_tradnl"/>
        </w:rPr>
        <w:t>f</w:t>
      </w:r>
      <w:r w:rsidRPr="008B7A21">
        <w:rPr>
          <w:lang w:val="es-ES_tradnl"/>
        </w:rPr>
        <w:t>:</w:t>
      </w:r>
      <w:r w:rsidRPr="008B7A21">
        <w:rPr>
          <w:lang w:val="es-ES_tradnl"/>
        </w:rPr>
        <w:tab/>
        <w:t>factor a efectos de funcionamiento</w:t>
      </w:r>
    </w:p>
    <w:p w14:paraId="01B4ACD1" w14:textId="77777777" w:rsidR="00F73D5B" w:rsidRPr="008B7A21" w:rsidRDefault="00F73D5B" w:rsidP="00F73D5B">
      <w:pPr>
        <w:pStyle w:val="Equationlegend"/>
        <w:ind w:left="0" w:firstLine="0"/>
        <w:rPr>
          <w:lang w:val="es-ES_tradnl"/>
        </w:rPr>
      </w:pPr>
      <w:r w:rsidRPr="008B7A21">
        <w:rPr>
          <w:lang w:val="es-ES_tradnl"/>
        </w:rPr>
        <w:tab/>
      </w:r>
      <w:r w:rsidRPr="008B7A21">
        <w:rPr>
          <w:i/>
          <w:iCs/>
          <w:lang w:val="es-ES_tradnl"/>
        </w:rPr>
        <w:t>F</w:t>
      </w:r>
      <w:r w:rsidRPr="008B7A21">
        <w:rPr>
          <w:i/>
          <w:iCs/>
          <w:vertAlign w:val="subscript"/>
          <w:lang w:val="es-ES_tradnl"/>
        </w:rPr>
        <w:t>S</w:t>
      </w:r>
      <w:r w:rsidRPr="008B7A21">
        <w:rPr>
          <w:lang w:val="es-ES_tradnl"/>
        </w:rPr>
        <w:t>:</w:t>
      </w:r>
      <w:r w:rsidRPr="008B7A21">
        <w:rPr>
          <w:lang w:val="es-ES_tradnl"/>
        </w:rPr>
        <w:tab/>
        <w:t>factor de exención por compartición de instalaciones</w:t>
      </w:r>
    </w:p>
    <w:p w14:paraId="0B5684B4" w14:textId="77777777" w:rsidR="00F73D5B" w:rsidRPr="008B7A21" w:rsidRDefault="00F73D5B" w:rsidP="00F73D5B">
      <w:pPr>
        <w:pStyle w:val="Equationlegend"/>
        <w:rPr>
          <w:lang w:val="es-ES_tradnl"/>
        </w:rPr>
      </w:pPr>
      <w:r w:rsidRPr="008B7A21">
        <w:rPr>
          <w:lang w:val="es-ES_tradnl"/>
        </w:rPr>
        <w:tab/>
      </w:r>
      <w:r w:rsidRPr="008B7A21">
        <w:rPr>
          <w:rFonts w:asciiTheme="majorBidi" w:hAnsiTheme="majorBidi" w:cstheme="majorBidi"/>
          <w:i/>
          <w:iCs/>
          <w:lang w:val="es-ES_tradnl"/>
        </w:rPr>
        <w:t>E</w:t>
      </w:r>
      <w:r w:rsidRPr="008B7A21">
        <w:rPr>
          <w:rFonts w:asciiTheme="majorBidi" w:hAnsiTheme="majorBidi" w:cstheme="majorBidi"/>
          <w:i/>
          <w:iCs/>
          <w:vertAlign w:val="subscript"/>
          <w:lang w:val="es-ES_tradnl"/>
        </w:rPr>
        <w:t>f</w:t>
      </w:r>
      <w:r w:rsidRPr="008B7A21">
        <w:rPr>
          <w:rFonts w:asciiTheme="majorBidi" w:hAnsiTheme="majorBidi" w:cstheme="majorBidi"/>
          <w:i/>
          <w:iCs/>
          <w:sz w:val="12"/>
          <w:lang w:val="es-ES_tradnl" w:eastAsia="ko-KR"/>
        </w:rPr>
        <w:t xml:space="preserve"> </w:t>
      </w:r>
      <w:r w:rsidRPr="008B7A21">
        <w:rPr>
          <w:rFonts w:asciiTheme="majorBidi" w:hAnsiTheme="majorBidi" w:cstheme="majorBidi"/>
          <w:i/>
          <w:iCs/>
          <w:vertAlign w:val="subscript"/>
          <w:lang w:val="es-ES_tradnl"/>
        </w:rPr>
        <w:t>f</w:t>
      </w:r>
      <w:r w:rsidRPr="008B7A21">
        <w:rPr>
          <w:lang w:val="es-ES_tradnl"/>
        </w:rPr>
        <w:t>:</w:t>
      </w:r>
      <w:r w:rsidRPr="008B7A21">
        <w:rPr>
          <w:lang w:val="es-ES_tradnl"/>
        </w:rPr>
        <w:tab/>
        <w:t>factor de exención por motivos ecológicos.</w:t>
      </w:r>
    </w:p>
    <w:p w14:paraId="112D9868" w14:textId="77777777" w:rsidR="00F73D5B" w:rsidRPr="008B7A21" w:rsidRDefault="00F73D5B" w:rsidP="00F73D5B">
      <w:pPr>
        <w:keepNext/>
        <w:keepLines/>
        <w:rPr>
          <w:lang w:val="es-ES_tradnl"/>
        </w:rPr>
      </w:pPr>
      <w:r w:rsidRPr="008B7A21">
        <w:rPr>
          <w:lang w:val="es-ES_tradnl"/>
        </w:rPr>
        <w:t>Descritos como sigue:</w:t>
      </w:r>
    </w:p>
    <w:p w14:paraId="1D3C7BEE" w14:textId="77777777" w:rsidR="00F73D5B" w:rsidRPr="008B7A21" w:rsidRDefault="00F73D5B" w:rsidP="00F73D5B">
      <w:pPr>
        <w:rPr>
          <w:lang w:val="es-ES_tradnl" w:eastAsia="ko-KR"/>
        </w:rPr>
      </w:pPr>
      <w:r w:rsidRPr="008B7A21">
        <w:rPr>
          <w:i/>
          <w:iCs/>
          <w:lang w:val="es-ES_tradnl"/>
        </w:rPr>
        <w:t>Precio básico</w:t>
      </w:r>
      <w:r w:rsidRPr="008B7A21">
        <w:rPr>
          <w:lang w:val="es-ES_tradnl"/>
        </w:rPr>
        <w:t xml:space="preserve">, </w:t>
      </w:r>
      <w:r w:rsidRPr="008B7A21">
        <w:rPr>
          <w:i/>
          <w:iCs/>
          <w:lang w:val="es-ES_tradnl"/>
        </w:rPr>
        <w:t>B</w:t>
      </w:r>
      <w:r w:rsidRPr="008B7A21">
        <w:rPr>
          <w:i/>
          <w:iCs/>
          <w:vertAlign w:val="subscript"/>
          <w:lang w:val="es-ES_tradnl"/>
        </w:rPr>
        <w:t>P</w:t>
      </w:r>
      <w:r w:rsidRPr="008B7A21">
        <w:rPr>
          <w:lang w:val="es-ES_tradnl" w:eastAsia="ko-KR"/>
        </w:rPr>
        <w:t xml:space="preserve">: </w:t>
      </w:r>
      <w:r w:rsidRPr="008B7A21">
        <w:rPr>
          <w:lang w:val="es-ES_tradnl"/>
        </w:rPr>
        <w:t xml:space="preserve">2 000 </w:t>
      </w:r>
      <w:r w:rsidRPr="008B7A21">
        <w:rPr>
          <w:lang w:val="es-ES_tradnl" w:eastAsia="ko-KR"/>
        </w:rPr>
        <w:t>W</w:t>
      </w:r>
      <w:r w:rsidRPr="008B7A21">
        <w:rPr>
          <w:lang w:val="es-ES_tradnl"/>
        </w:rPr>
        <w:t>on</w:t>
      </w:r>
      <w:r w:rsidRPr="008B7A21">
        <w:rPr>
          <w:lang w:val="es-ES_tradnl" w:eastAsia="ko-KR"/>
        </w:rPr>
        <w:t>/frecuencia designada.</w:t>
      </w:r>
    </w:p>
    <w:p w14:paraId="346B1FDB" w14:textId="77777777" w:rsidR="00F73D5B" w:rsidRPr="008B7A21" w:rsidRDefault="00F73D5B" w:rsidP="00F73D5B">
      <w:pPr>
        <w:rPr>
          <w:lang w:val="es-ES_tradnl" w:eastAsia="ko-KR"/>
        </w:rPr>
      </w:pPr>
      <w:r w:rsidRPr="008B7A21">
        <w:rPr>
          <w:i/>
          <w:iCs/>
          <w:lang w:val="es-ES_tradnl"/>
        </w:rPr>
        <w:t>Potencia de antena</w:t>
      </w:r>
      <w:r w:rsidRPr="008B7A21">
        <w:rPr>
          <w:lang w:val="es-ES_tradnl"/>
        </w:rPr>
        <w:t>,</w:t>
      </w:r>
      <w:r w:rsidRPr="008B7A21">
        <w:rPr>
          <w:i/>
          <w:iCs/>
          <w:lang w:val="es-ES_tradnl"/>
        </w:rPr>
        <w:t xml:space="preserve"> P</w:t>
      </w:r>
      <w:r w:rsidRPr="008B7A21">
        <w:rPr>
          <w:lang w:val="es-ES_tradnl" w:eastAsia="ko-KR"/>
        </w:rPr>
        <w:t>(W): la unidad de potencia es el vatio (w).</w:t>
      </w:r>
    </w:p>
    <w:p w14:paraId="0CB1F435" w14:textId="77777777" w:rsidR="00F73D5B" w:rsidRPr="008B7A21" w:rsidRDefault="00F73D5B" w:rsidP="00F73D5B">
      <w:pPr>
        <w:rPr>
          <w:lang w:val="es-ES_tradnl"/>
        </w:rPr>
      </w:pPr>
      <w:r w:rsidRPr="008B7A21">
        <w:rPr>
          <w:i/>
          <w:iCs/>
          <w:lang w:val="es-ES_tradnl"/>
        </w:rPr>
        <w:t>Anchura de banda</w:t>
      </w:r>
      <w:r w:rsidRPr="008B7A21">
        <w:rPr>
          <w:lang w:val="es-ES_tradnl"/>
        </w:rPr>
        <w:t>,</w:t>
      </w:r>
      <w:r w:rsidRPr="008B7A21">
        <w:rPr>
          <w:i/>
          <w:iCs/>
          <w:lang w:val="es-ES_tradnl"/>
        </w:rPr>
        <w:t xml:space="preserve"> B</w:t>
      </w:r>
      <w:r w:rsidRPr="008B7A21">
        <w:rPr>
          <w:i/>
          <w:iCs/>
          <w:vertAlign w:val="subscript"/>
          <w:lang w:val="es-ES_tradnl"/>
        </w:rPr>
        <w:t>W</w:t>
      </w:r>
      <w:r w:rsidRPr="008B7A21">
        <w:rPr>
          <w:lang w:val="es-ES_tradnl"/>
        </w:rPr>
        <w:t>(kHz)</w:t>
      </w:r>
      <w:r w:rsidRPr="008B7A21">
        <w:rPr>
          <w:lang w:val="es-ES_tradnl" w:eastAsia="ko-KR"/>
        </w:rPr>
        <w:t>. La unidad es el kHz para frecuencias inferiores a 960 MHz y el MHz para frecuencias superiores a 960 MHz</w:t>
      </w:r>
      <w:r w:rsidRPr="008B7A21">
        <w:rPr>
          <w:lang w:val="es-ES_tradnl"/>
        </w:rPr>
        <w:t>.</w:t>
      </w:r>
    </w:p>
    <w:p w14:paraId="21F256B5" w14:textId="77777777" w:rsidR="00F73D5B" w:rsidRPr="008B7A21" w:rsidRDefault="00F73D5B" w:rsidP="00F73D5B">
      <w:pPr>
        <w:rPr>
          <w:lang w:val="es-ES_tradnl"/>
        </w:rPr>
      </w:pPr>
      <w:r w:rsidRPr="008B7A21">
        <w:rPr>
          <w:lang w:val="es-ES_tradnl"/>
        </w:rPr>
        <w:t xml:space="preserve">Factor de preferencia </w:t>
      </w:r>
      <w:r w:rsidRPr="008B7A21">
        <w:rPr>
          <w:i/>
          <w:iCs/>
          <w:lang w:val="es-ES_tradnl"/>
        </w:rPr>
        <w:t>P</w:t>
      </w:r>
      <w:r w:rsidRPr="008B7A21">
        <w:rPr>
          <w:i/>
          <w:iCs/>
          <w:vertAlign w:val="subscript"/>
          <w:lang w:val="es-ES_tradnl"/>
        </w:rPr>
        <w:t>f</w:t>
      </w:r>
      <w:r w:rsidRPr="008B7A21">
        <w:rPr>
          <w:lang w:val="es-ES_tradnl"/>
        </w:rPr>
        <w:t>:</w:t>
      </w:r>
    </w:p>
    <w:p w14:paraId="68F5177C" w14:textId="77777777" w:rsidR="00F73D5B" w:rsidRPr="008B7A21" w:rsidRDefault="00F73D5B" w:rsidP="00D849A8">
      <w:pPr>
        <w:pStyle w:val="TableNo"/>
        <w:rPr>
          <w:lang w:val="es-ES_tradnl" w:eastAsia="ko-KR"/>
        </w:rPr>
      </w:pPr>
      <w:r w:rsidRPr="008B7A21">
        <w:rPr>
          <w:lang w:val="es-ES_tradnl" w:eastAsia="ko-KR"/>
        </w:rPr>
        <w:t>CUADRO 44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1985"/>
        <w:gridCol w:w="1701"/>
      </w:tblGrid>
      <w:tr w:rsidR="00F73D5B" w:rsidRPr="008B7A21" w14:paraId="2989273C" w14:textId="77777777" w:rsidTr="00767A6A">
        <w:trPr>
          <w:jc w:val="center"/>
        </w:trPr>
        <w:tc>
          <w:tcPr>
            <w:tcW w:w="6520" w:type="dxa"/>
            <w:gridSpan w:val="2"/>
            <w:tcBorders>
              <w:top w:val="single" w:sz="4" w:space="0" w:color="auto"/>
              <w:left w:val="single" w:sz="4" w:space="0" w:color="auto"/>
              <w:bottom w:val="single" w:sz="4" w:space="0" w:color="auto"/>
              <w:right w:val="single" w:sz="4" w:space="0" w:color="auto"/>
            </w:tcBorders>
          </w:tcPr>
          <w:p w14:paraId="25F42D08" w14:textId="77777777" w:rsidR="00F73D5B" w:rsidRPr="008B7A21" w:rsidRDefault="00F73D5B" w:rsidP="00767A6A">
            <w:pPr>
              <w:pStyle w:val="Tablehead"/>
              <w:rPr>
                <w:lang w:val="es-ES_tradnl"/>
              </w:rPr>
            </w:pPr>
            <w:r w:rsidRPr="008B7A21">
              <w:rPr>
                <w:lang w:val="es-ES_tradnl"/>
              </w:rPr>
              <w:t>Bandas de frecuencias</w:t>
            </w:r>
          </w:p>
        </w:tc>
        <w:tc>
          <w:tcPr>
            <w:tcW w:w="1701" w:type="dxa"/>
            <w:tcBorders>
              <w:top w:val="single" w:sz="4" w:space="0" w:color="auto"/>
              <w:left w:val="single" w:sz="4" w:space="0" w:color="auto"/>
              <w:bottom w:val="single" w:sz="4" w:space="0" w:color="auto"/>
              <w:right w:val="single" w:sz="4" w:space="0" w:color="auto"/>
            </w:tcBorders>
          </w:tcPr>
          <w:p w14:paraId="237062C0" w14:textId="77777777" w:rsidR="00F73D5B" w:rsidRPr="008B7A21" w:rsidRDefault="00F73D5B" w:rsidP="00767A6A">
            <w:pPr>
              <w:pStyle w:val="Tablehead"/>
              <w:rPr>
                <w:lang w:val="es-ES_tradnl"/>
              </w:rPr>
            </w:pPr>
            <w:r w:rsidRPr="008B7A21">
              <w:rPr>
                <w:lang w:val="es-ES_tradnl"/>
              </w:rPr>
              <w:t>Factor</w:t>
            </w:r>
          </w:p>
        </w:tc>
      </w:tr>
      <w:tr w:rsidR="00F73D5B" w:rsidRPr="008B7A21" w14:paraId="0DF9F693" w14:textId="77777777" w:rsidTr="00767A6A">
        <w:trPr>
          <w:jc w:val="center"/>
        </w:trPr>
        <w:tc>
          <w:tcPr>
            <w:tcW w:w="4535" w:type="dxa"/>
            <w:tcBorders>
              <w:top w:val="single" w:sz="4" w:space="0" w:color="auto"/>
              <w:left w:val="single" w:sz="4" w:space="0" w:color="auto"/>
              <w:bottom w:val="single" w:sz="4" w:space="0" w:color="auto"/>
              <w:right w:val="single" w:sz="4" w:space="0" w:color="auto"/>
            </w:tcBorders>
          </w:tcPr>
          <w:p w14:paraId="0DB2E737" w14:textId="77777777" w:rsidR="00F73D5B" w:rsidRPr="008B7A21" w:rsidRDefault="00F73D5B" w:rsidP="00767A6A">
            <w:pPr>
              <w:pStyle w:val="Tabletext"/>
              <w:rPr>
                <w:lang w:val="es-ES_tradnl"/>
              </w:rPr>
            </w:pPr>
            <w:r w:rsidRPr="008B7A21">
              <w:rPr>
                <w:lang w:val="es-ES_tradnl"/>
              </w:rPr>
              <w:t>Bandas de ondas hectométricas/decamétricas</w:t>
            </w:r>
          </w:p>
        </w:tc>
        <w:tc>
          <w:tcPr>
            <w:tcW w:w="1985" w:type="dxa"/>
            <w:tcBorders>
              <w:top w:val="single" w:sz="4" w:space="0" w:color="auto"/>
              <w:left w:val="single" w:sz="4" w:space="0" w:color="auto"/>
              <w:bottom w:val="single" w:sz="4" w:space="0" w:color="auto"/>
              <w:right w:val="single" w:sz="4" w:space="0" w:color="auto"/>
            </w:tcBorders>
          </w:tcPr>
          <w:p w14:paraId="235CE839" w14:textId="77777777" w:rsidR="00F73D5B" w:rsidRPr="008B7A21" w:rsidRDefault="00F73D5B" w:rsidP="00767A6A">
            <w:pPr>
              <w:pStyle w:val="Tabletext"/>
              <w:jc w:val="center"/>
              <w:rPr>
                <w:lang w:val="es-ES_tradnl"/>
              </w:rPr>
            </w:pPr>
            <w:r w:rsidRPr="008B7A21">
              <w:rPr>
                <w:lang w:val="es-ES_tradnl"/>
              </w:rPr>
              <w:t>&lt; 28 MHz</w:t>
            </w:r>
          </w:p>
        </w:tc>
        <w:tc>
          <w:tcPr>
            <w:tcW w:w="1701" w:type="dxa"/>
            <w:tcBorders>
              <w:top w:val="single" w:sz="4" w:space="0" w:color="auto"/>
              <w:left w:val="single" w:sz="4" w:space="0" w:color="auto"/>
              <w:bottom w:val="single" w:sz="4" w:space="0" w:color="auto"/>
              <w:right w:val="single" w:sz="4" w:space="0" w:color="auto"/>
            </w:tcBorders>
          </w:tcPr>
          <w:p w14:paraId="3E4591DF" w14:textId="77777777" w:rsidR="00F73D5B" w:rsidRPr="008B7A21" w:rsidRDefault="00F73D5B" w:rsidP="00767A6A">
            <w:pPr>
              <w:pStyle w:val="Tabletext"/>
              <w:jc w:val="center"/>
              <w:rPr>
                <w:lang w:val="es-ES_tradnl"/>
              </w:rPr>
            </w:pPr>
            <w:r w:rsidRPr="008B7A21">
              <w:rPr>
                <w:lang w:val="es-ES_tradnl"/>
              </w:rPr>
              <w:t>1</w:t>
            </w:r>
          </w:p>
        </w:tc>
      </w:tr>
      <w:tr w:rsidR="00F73D5B" w:rsidRPr="008B7A21" w14:paraId="538677EC" w14:textId="77777777" w:rsidTr="00767A6A">
        <w:trPr>
          <w:jc w:val="center"/>
        </w:trPr>
        <w:tc>
          <w:tcPr>
            <w:tcW w:w="4535" w:type="dxa"/>
            <w:tcBorders>
              <w:top w:val="single" w:sz="4" w:space="0" w:color="auto"/>
              <w:left w:val="single" w:sz="4" w:space="0" w:color="auto"/>
              <w:bottom w:val="single" w:sz="4" w:space="0" w:color="auto"/>
              <w:right w:val="single" w:sz="4" w:space="0" w:color="auto"/>
            </w:tcBorders>
          </w:tcPr>
          <w:p w14:paraId="497521B8" w14:textId="77777777" w:rsidR="00F73D5B" w:rsidRPr="008B7A21" w:rsidRDefault="00F73D5B" w:rsidP="00767A6A">
            <w:pPr>
              <w:pStyle w:val="Tabletext"/>
              <w:rPr>
                <w:lang w:val="es-ES_tradnl"/>
              </w:rPr>
            </w:pPr>
            <w:r w:rsidRPr="008B7A21">
              <w:rPr>
                <w:lang w:val="es-ES_tradnl"/>
              </w:rPr>
              <w:t>Bandas de ondas métricas</w:t>
            </w:r>
          </w:p>
        </w:tc>
        <w:tc>
          <w:tcPr>
            <w:tcW w:w="1985" w:type="dxa"/>
            <w:tcBorders>
              <w:top w:val="single" w:sz="4" w:space="0" w:color="auto"/>
              <w:left w:val="single" w:sz="4" w:space="0" w:color="auto"/>
              <w:bottom w:val="single" w:sz="4" w:space="0" w:color="auto"/>
              <w:right w:val="single" w:sz="4" w:space="0" w:color="auto"/>
            </w:tcBorders>
          </w:tcPr>
          <w:p w14:paraId="2D9B7227" w14:textId="77777777" w:rsidR="00F73D5B" w:rsidRPr="008B7A21" w:rsidRDefault="00F73D5B" w:rsidP="00767A6A">
            <w:pPr>
              <w:pStyle w:val="Tabletext"/>
              <w:jc w:val="center"/>
              <w:rPr>
                <w:lang w:val="es-ES_tradnl"/>
              </w:rPr>
            </w:pPr>
            <w:r w:rsidRPr="008B7A21">
              <w:rPr>
                <w:lang w:val="es-ES_tradnl"/>
              </w:rPr>
              <w:t>28</w:t>
            </w:r>
            <w:r w:rsidRPr="008B7A21">
              <w:rPr>
                <w:rFonts w:asciiTheme="majorBidi" w:hAnsiTheme="majorBidi" w:cstheme="majorBidi"/>
                <w:sz w:val="20"/>
                <w:lang w:val="es-ES_tradnl"/>
              </w:rPr>
              <w:t>~</w:t>
            </w:r>
            <w:r w:rsidRPr="008B7A21">
              <w:rPr>
                <w:lang w:val="es-ES_tradnl"/>
              </w:rPr>
              <w:t>300 MHz</w:t>
            </w:r>
          </w:p>
        </w:tc>
        <w:tc>
          <w:tcPr>
            <w:tcW w:w="1701" w:type="dxa"/>
            <w:tcBorders>
              <w:top w:val="single" w:sz="4" w:space="0" w:color="auto"/>
              <w:left w:val="single" w:sz="4" w:space="0" w:color="auto"/>
              <w:bottom w:val="single" w:sz="4" w:space="0" w:color="auto"/>
              <w:right w:val="single" w:sz="4" w:space="0" w:color="auto"/>
            </w:tcBorders>
          </w:tcPr>
          <w:p w14:paraId="3F7701A2" w14:textId="77777777" w:rsidR="00F73D5B" w:rsidRPr="008B7A21" w:rsidRDefault="00F73D5B" w:rsidP="00767A6A">
            <w:pPr>
              <w:pStyle w:val="Tabletext"/>
              <w:jc w:val="center"/>
              <w:rPr>
                <w:lang w:val="es-ES_tradnl"/>
              </w:rPr>
            </w:pPr>
            <w:r w:rsidRPr="008B7A21">
              <w:rPr>
                <w:lang w:val="es-ES_tradnl"/>
              </w:rPr>
              <w:t>1,3</w:t>
            </w:r>
          </w:p>
        </w:tc>
      </w:tr>
      <w:tr w:rsidR="00F73D5B" w:rsidRPr="008B7A21" w14:paraId="15F25BCB" w14:textId="77777777" w:rsidTr="00767A6A">
        <w:trPr>
          <w:jc w:val="center"/>
        </w:trPr>
        <w:tc>
          <w:tcPr>
            <w:tcW w:w="4535" w:type="dxa"/>
            <w:tcBorders>
              <w:top w:val="single" w:sz="4" w:space="0" w:color="auto"/>
              <w:left w:val="single" w:sz="4" w:space="0" w:color="auto"/>
              <w:bottom w:val="single" w:sz="4" w:space="0" w:color="auto"/>
              <w:right w:val="single" w:sz="4" w:space="0" w:color="auto"/>
            </w:tcBorders>
          </w:tcPr>
          <w:p w14:paraId="68B36AEE" w14:textId="77777777" w:rsidR="00F73D5B" w:rsidRPr="008B7A21" w:rsidRDefault="00F73D5B" w:rsidP="00767A6A">
            <w:pPr>
              <w:pStyle w:val="Tabletext"/>
              <w:rPr>
                <w:lang w:val="es-ES_tradnl"/>
              </w:rPr>
            </w:pPr>
            <w:r w:rsidRPr="008B7A21">
              <w:rPr>
                <w:lang w:val="es-ES_tradnl"/>
              </w:rPr>
              <w:t>Bandas de ondas decimétricas</w:t>
            </w:r>
          </w:p>
        </w:tc>
        <w:tc>
          <w:tcPr>
            <w:tcW w:w="1985" w:type="dxa"/>
            <w:tcBorders>
              <w:top w:val="single" w:sz="4" w:space="0" w:color="auto"/>
              <w:left w:val="single" w:sz="4" w:space="0" w:color="auto"/>
              <w:bottom w:val="single" w:sz="4" w:space="0" w:color="auto"/>
              <w:right w:val="single" w:sz="4" w:space="0" w:color="auto"/>
            </w:tcBorders>
          </w:tcPr>
          <w:p w14:paraId="461A1044" w14:textId="77777777" w:rsidR="00F73D5B" w:rsidRPr="008B7A21" w:rsidRDefault="00F73D5B" w:rsidP="00767A6A">
            <w:pPr>
              <w:pStyle w:val="Tabletext"/>
              <w:jc w:val="center"/>
              <w:rPr>
                <w:lang w:val="es-ES_tradnl"/>
              </w:rPr>
            </w:pPr>
            <w:r w:rsidRPr="008B7A21">
              <w:rPr>
                <w:lang w:val="es-ES_tradnl"/>
              </w:rPr>
              <w:t>300</w:t>
            </w:r>
            <w:r w:rsidRPr="008B7A21">
              <w:rPr>
                <w:rFonts w:asciiTheme="majorBidi" w:hAnsiTheme="majorBidi" w:cstheme="majorBidi"/>
                <w:sz w:val="20"/>
                <w:lang w:val="es-ES_tradnl"/>
              </w:rPr>
              <w:t>~</w:t>
            </w:r>
            <w:r w:rsidRPr="008B7A21">
              <w:rPr>
                <w:lang w:val="es-ES_tradnl"/>
              </w:rPr>
              <w:t>960 MHz</w:t>
            </w:r>
          </w:p>
        </w:tc>
        <w:tc>
          <w:tcPr>
            <w:tcW w:w="1701" w:type="dxa"/>
            <w:tcBorders>
              <w:top w:val="single" w:sz="4" w:space="0" w:color="auto"/>
              <w:left w:val="single" w:sz="4" w:space="0" w:color="auto"/>
              <w:bottom w:val="single" w:sz="4" w:space="0" w:color="auto"/>
              <w:right w:val="single" w:sz="4" w:space="0" w:color="auto"/>
            </w:tcBorders>
          </w:tcPr>
          <w:p w14:paraId="70EED871" w14:textId="77777777" w:rsidR="00F73D5B" w:rsidRPr="008B7A21" w:rsidRDefault="00F73D5B" w:rsidP="00767A6A">
            <w:pPr>
              <w:pStyle w:val="Tabletext"/>
              <w:jc w:val="center"/>
              <w:rPr>
                <w:lang w:val="es-ES_tradnl"/>
              </w:rPr>
            </w:pPr>
            <w:r w:rsidRPr="008B7A21">
              <w:rPr>
                <w:lang w:val="es-ES_tradnl"/>
              </w:rPr>
              <w:t>1,5</w:t>
            </w:r>
          </w:p>
        </w:tc>
      </w:tr>
      <w:tr w:rsidR="00F73D5B" w:rsidRPr="008B7A21" w14:paraId="43DDAACA" w14:textId="77777777" w:rsidTr="00767A6A">
        <w:trPr>
          <w:jc w:val="center"/>
        </w:trPr>
        <w:tc>
          <w:tcPr>
            <w:tcW w:w="4535" w:type="dxa"/>
            <w:tcBorders>
              <w:top w:val="single" w:sz="4" w:space="0" w:color="auto"/>
              <w:left w:val="single" w:sz="4" w:space="0" w:color="auto"/>
              <w:bottom w:val="single" w:sz="4" w:space="0" w:color="auto"/>
              <w:right w:val="single" w:sz="4" w:space="0" w:color="auto"/>
            </w:tcBorders>
          </w:tcPr>
          <w:p w14:paraId="0DB82E3A" w14:textId="77777777" w:rsidR="00F73D5B" w:rsidRPr="008B7A21" w:rsidRDefault="00F73D5B" w:rsidP="00767A6A">
            <w:pPr>
              <w:pStyle w:val="Tabletext"/>
              <w:rPr>
                <w:lang w:val="es-ES_tradnl"/>
              </w:rPr>
            </w:pPr>
            <w:r w:rsidRPr="008B7A21">
              <w:rPr>
                <w:lang w:val="es-ES_tradnl"/>
              </w:rPr>
              <w:t>Ondas decimétricas</w:t>
            </w:r>
          </w:p>
        </w:tc>
        <w:tc>
          <w:tcPr>
            <w:tcW w:w="1985" w:type="dxa"/>
            <w:tcBorders>
              <w:top w:val="single" w:sz="4" w:space="0" w:color="auto"/>
              <w:left w:val="single" w:sz="4" w:space="0" w:color="auto"/>
              <w:bottom w:val="single" w:sz="4" w:space="0" w:color="auto"/>
              <w:right w:val="single" w:sz="4" w:space="0" w:color="auto"/>
            </w:tcBorders>
          </w:tcPr>
          <w:p w14:paraId="6DD21260" w14:textId="77777777" w:rsidR="00F73D5B" w:rsidRPr="008B7A21" w:rsidRDefault="00F73D5B" w:rsidP="00767A6A">
            <w:pPr>
              <w:pStyle w:val="Tabletext"/>
              <w:jc w:val="center"/>
              <w:rPr>
                <w:lang w:val="es-ES_tradnl"/>
              </w:rPr>
            </w:pPr>
            <w:r w:rsidRPr="008B7A21">
              <w:rPr>
                <w:lang w:val="es-ES_tradnl"/>
              </w:rPr>
              <w:t>960 MHz</w:t>
            </w:r>
            <w:r w:rsidRPr="008B7A21">
              <w:rPr>
                <w:rFonts w:asciiTheme="majorBidi" w:hAnsiTheme="majorBidi" w:cstheme="majorBidi"/>
                <w:sz w:val="20"/>
                <w:lang w:val="es-ES_tradnl"/>
              </w:rPr>
              <w:t>~</w:t>
            </w:r>
            <w:r w:rsidRPr="008B7A21">
              <w:rPr>
                <w:lang w:val="es-ES_tradnl"/>
              </w:rPr>
              <w:t>3 GHz</w:t>
            </w:r>
          </w:p>
        </w:tc>
        <w:tc>
          <w:tcPr>
            <w:tcW w:w="1701" w:type="dxa"/>
            <w:tcBorders>
              <w:top w:val="single" w:sz="4" w:space="0" w:color="auto"/>
              <w:left w:val="single" w:sz="4" w:space="0" w:color="auto"/>
              <w:bottom w:val="single" w:sz="4" w:space="0" w:color="auto"/>
              <w:right w:val="single" w:sz="4" w:space="0" w:color="auto"/>
            </w:tcBorders>
          </w:tcPr>
          <w:p w14:paraId="2F17ECA1" w14:textId="77777777" w:rsidR="00F73D5B" w:rsidRPr="008B7A21" w:rsidRDefault="00F73D5B" w:rsidP="00767A6A">
            <w:pPr>
              <w:pStyle w:val="Tabletext"/>
              <w:jc w:val="center"/>
              <w:rPr>
                <w:lang w:val="es-ES_tradnl"/>
              </w:rPr>
            </w:pPr>
            <w:r w:rsidRPr="008B7A21">
              <w:rPr>
                <w:lang w:val="es-ES_tradnl"/>
              </w:rPr>
              <w:t>0,1</w:t>
            </w:r>
          </w:p>
        </w:tc>
      </w:tr>
      <w:tr w:rsidR="00F73D5B" w:rsidRPr="008B7A21" w14:paraId="14706674" w14:textId="77777777" w:rsidTr="00767A6A">
        <w:trPr>
          <w:jc w:val="center"/>
        </w:trPr>
        <w:tc>
          <w:tcPr>
            <w:tcW w:w="4535" w:type="dxa"/>
            <w:vMerge w:val="restart"/>
            <w:tcBorders>
              <w:top w:val="single" w:sz="4" w:space="0" w:color="auto"/>
              <w:left w:val="single" w:sz="4" w:space="0" w:color="auto"/>
              <w:right w:val="single" w:sz="4" w:space="0" w:color="auto"/>
            </w:tcBorders>
            <w:vAlign w:val="center"/>
          </w:tcPr>
          <w:p w14:paraId="29EDDA1B" w14:textId="77777777" w:rsidR="00F73D5B" w:rsidRPr="008B7A21" w:rsidRDefault="00F73D5B" w:rsidP="00767A6A">
            <w:pPr>
              <w:pStyle w:val="Tabletext"/>
              <w:rPr>
                <w:lang w:val="es-ES_tradnl"/>
              </w:rPr>
            </w:pPr>
            <w:r w:rsidRPr="008B7A21">
              <w:rPr>
                <w:lang w:val="es-ES_tradnl"/>
              </w:rPr>
              <w:t>Ondas centimétricas</w:t>
            </w:r>
          </w:p>
        </w:tc>
        <w:tc>
          <w:tcPr>
            <w:tcW w:w="1985" w:type="dxa"/>
            <w:tcBorders>
              <w:top w:val="single" w:sz="4" w:space="0" w:color="auto"/>
              <w:left w:val="single" w:sz="4" w:space="0" w:color="auto"/>
              <w:bottom w:val="single" w:sz="4" w:space="0" w:color="auto"/>
              <w:right w:val="single" w:sz="4" w:space="0" w:color="auto"/>
            </w:tcBorders>
          </w:tcPr>
          <w:p w14:paraId="24D505AB" w14:textId="77777777" w:rsidR="00F73D5B" w:rsidRPr="008B7A21" w:rsidRDefault="00F73D5B" w:rsidP="00767A6A">
            <w:pPr>
              <w:pStyle w:val="Tabletext"/>
              <w:jc w:val="center"/>
              <w:rPr>
                <w:lang w:val="es-ES_tradnl"/>
              </w:rPr>
            </w:pPr>
            <w:r w:rsidRPr="008B7A21">
              <w:rPr>
                <w:lang w:val="es-ES_tradnl"/>
              </w:rPr>
              <w:t>3</w:t>
            </w:r>
            <w:r w:rsidRPr="008B7A21">
              <w:rPr>
                <w:rFonts w:asciiTheme="majorBidi" w:hAnsiTheme="majorBidi" w:cstheme="majorBidi"/>
                <w:sz w:val="20"/>
                <w:lang w:val="es-ES_tradnl"/>
              </w:rPr>
              <w:t>~</w:t>
            </w:r>
            <w:r w:rsidRPr="008B7A21">
              <w:rPr>
                <w:lang w:val="es-ES_tradnl"/>
              </w:rPr>
              <w:t>10 GHz</w:t>
            </w:r>
          </w:p>
        </w:tc>
        <w:tc>
          <w:tcPr>
            <w:tcW w:w="1701" w:type="dxa"/>
            <w:tcBorders>
              <w:top w:val="single" w:sz="4" w:space="0" w:color="auto"/>
              <w:left w:val="single" w:sz="4" w:space="0" w:color="auto"/>
              <w:bottom w:val="single" w:sz="4" w:space="0" w:color="auto"/>
              <w:right w:val="single" w:sz="4" w:space="0" w:color="auto"/>
            </w:tcBorders>
          </w:tcPr>
          <w:p w14:paraId="1B472C04" w14:textId="77777777" w:rsidR="00F73D5B" w:rsidRPr="008B7A21" w:rsidRDefault="00F73D5B" w:rsidP="00767A6A">
            <w:pPr>
              <w:pStyle w:val="Tabletext"/>
              <w:jc w:val="center"/>
              <w:rPr>
                <w:lang w:val="es-ES_tradnl"/>
              </w:rPr>
            </w:pPr>
            <w:r w:rsidRPr="008B7A21">
              <w:rPr>
                <w:lang w:val="es-ES_tradnl"/>
              </w:rPr>
              <w:t>0,</w:t>
            </w:r>
            <w:r w:rsidRPr="008B7A21">
              <w:rPr>
                <w:szCs w:val="22"/>
                <w:lang w:val="es-ES_tradnl" w:eastAsia="ko-KR"/>
              </w:rPr>
              <w:t>0234</w:t>
            </w:r>
          </w:p>
        </w:tc>
      </w:tr>
      <w:tr w:rsidR="00F73D5B" w:rsidRPr="008B7A21" w14:paraId="15A31264" w14:textId="77777777" w:rsidTr="00767A6A">
        <w:trPr>
          <w:jc w:val="center"/>
        </w:trPr>
        <w:tc>
          <w:tcPr>
            <w:tcW w:w="4535" w:type="dxa"/>
            <w:vMerge/>
            <w:tcBorders>
              <w:left w:val="single" w:sz="4" w:space="0" w:color="auto"/>
              <w:bottom w:val="single" w:sz="4" w:space="0" w:color="auto"/>
              <w:right w:val="single" w:sz="4" w:space="0" w:color="auto"/>
            </w:tcBorders>
            <w:vAlign w:val="center"/>
          </w:tcPr>
          <w:p w14:paraId="3717312E" w14:textId="77777777" w:rsidR="00F73D5B" w:rsidRPr="008B7A21" w:rsidRDefault="00F73D5B" w:rsidP="00767A6A">
            <w:pPr>
              <w:pStyle w:val="Tabletext"/>
              <w:rPr>
                <w:lang w:val="es-ES_tradnl"/>
              </w:rPr>
            </w:pPr>
          </w:p>
        </w:tc>
        <w:tc>
          <w:tcPr>
            <w:tcW w:w="1985" w:type="dxa"/>
            <w:tcBorders>
              <w:top w:val="single" w:sz="4" w:space="0" w:color="auto"/>
              <w:left w:val="single" w:sz="4" w:space="0" w:color="auto"/>
              <w:bottom w:val="single" w:sz="4" w:space="0" w:color="auto"/>
              <w:right w:val="single" w:sz="4" w:space="0" w:color="auto"/>
            </w:tcBorders>
          </w:tcPr>
          <w:p w14:paraId="0FC67EAA" w14:textId="77777777" w:rsidR="00F73D5B" w:rsidRPr="008B7A21" w:rsidRDefault="00F73D5B" w:rsidP="00767A6A">
            <w:pPr>
              <w:pStyle w:val="Tabletext"/>
              <w:jc w:val="center"/>
              <w:rPr>
                <w:lang w:val="es-ES_tradnl"/>
              </w:rPr>
            </w:pPr>
            <w:r w:rsidRPr="008B7A21">
              <w:rPr>
                <w:lang w:val="es-ES_tradnl"/>
              </w:rPr>
              <w:t>10</w:t>
            </w:r>
            <w:r w:rsidRPr="008B7A21">
              <w:rPr>
                <w:rFonts w:asciiTheme="majorBidi" w:hAnsiTheme="majorBidi" w:cstheme="majorBidi"/>
                <w:sz w:val="20"/>
                <w:lang w:val="es-ES_tradnl"/>
              </w:rPr>
              <w:t>~</w:t>
            </w:r>
            <w:r w:rsidRPr="008B7A21">
              <w:rPr>
                <w:lang w:val="es-ES_tradnl"/>
              </w:rPr>
              <w:t>30 GHz</w:t>
            </w:r>
          </w:p>
        </w:tc>
        <w:tc>
          <w:tcPr>
            <w:tcW w:w="1701" w:type="dxa"/>
            <w:tcBorders>
              <w:top w:val="single" w:sz="4" w:space="0" w:color="auto"/>
              <w:left w:val="single" w:sz="4" w:space="0" w:color="auto"/>
              <w:bottom w:val="single" w:sz="4" w:space="0" w:color="auto"/>
              <w:right w:val="single" w:sz="4" w:space="0" w:color="auto"/>
            </w:tcBorders>
          </w:tcPr>
          <w:p w14:paraId="4CF60823" w14:textId="77777777" w:rsidR="00F73D5B" w:rsidRPr="008B7A21" w:rsidRDefault="00F73D5B" w:rsidP="00767A6A">
            <w:pPr>
              <w:pStyle w:val="Tabletext"/>
              <w:jc w:val="center"/>
              <w:rPr>
                <w:lang w:val="es-ES_tradnl"/>
              </w:rPr>
            </w:pPr>
            <w:r w:rsidRPr="008B7A21">
              <w:rPr>
                <w:lang w:val="es-ES_tradnl"/>
              </w:rPr>
              <w:t>0,</w:t>
            </w:r>
            <w:r w:rsidRPr="008B7A21">
              <w:rPr>
                <w:szCs w:val="22"/>
                <w:lang w:val="es-ES_tradnl" w:eastAsia="ko-KR"/>
              </w:rPr>
              <w:t>0034</w:t>
            </w:r>
          </w:p>
        </w:tc>
      </w:tr>
      <w:tr w:rsidR="00F73D5B" w:rsidRPr="008B7A21" w14:paraId="31E91E73" w14:textId="77777777" w:rsidTr="00767A6A">
        <w:trPr>
          <w:jc w:val="center"/>
        </w:trPr>
        <w:tc>
          <w:tcPr>
            <w:tcW w:w="4535" w:type="dxa"/>
            <w:tcBorders>
              <w:top w:val="single" w:sz="4" w:space="0" w:color="auto"/>
              <w:left w:val="single" w:sz="4" w:space="0" w:color="auto"/>
              <w:bottom w:val="single" w:sz="4" w:space="0" w:color="auto"/>
              <w:right w:val="single" w:sz="4" w:space="0" w:color="auto"/>
            </w:tcBorders>
          </w:tcPr>
          <w:p w14:paraId="2C053A7B" w14:textId="77777777" w:rsidR="00F73D5B" w:rsidRPr="008B7A21" w:rsidRDefault="00F73D5B" w:rsidP="00767A6A">
            <w:pPr>
              <w:pStyle w:val="Tabletext"/>
              <w:rPr>
                <w:lang w:val="es-ES_tradnl"/>
              </w:rPr>
            </w:pPr>
            <w:r w:rsidRPr="008B7A21">
              <w:rPr>
                <w:lang w:val="es-ES_tradnl"/>
              </w:rPr>
              <w:t>Ondas milimétricas</w:t>
            </w:r>
          </w:p>
        </w:tc>
        <w:tc>
          <w:tcPr>
            <w:tcW w:w="1985" w:type="dxa"/>
            <w:tcBorders>
              <w:top w:val="single" w:sz="4" w:space="0" w:color="auto"/>
              <w:left w:val="single" w:sz="4" w:space="0" w:color="auto"/>
              <w:bottom w:val="single" w:sz="4" w:space="0" w:color="auto"/>
              <w:right w:val="single" w:sz="4" w:space="0" w:color="auto"/>
            </w:tcBorders>
          </w:tcPr>
          <w:p w14:paraId="5FA14458" w14:textId="7A93524A" w:rsidR="00F73D5B" w:rsidRPr="008B7A21" w:rsidRDefault="00386EEF" w:rsidP="00767A6A">
            <w:pPr>
              <w:pStyle w:val="Tabletext"/>
              <w:jc w:val="center"/>
              <w:rPr>
                <w:lang w:val="es-ES_tradnl"/>
              </w:rPr>
            </w:pPr>
            <w:r w:rsidRPr="00386EEF">
              <w:rPr>
                <w:rFonts w:eastAsia="Symbol"/>
              </w:rPr>
              <w:sym w:font="Symbol" w:char="F03E"/>
            </w:r>
            <w:r w:rsidR="00F73D5B" w:rsidRPr="008B7A21">
              <w:rPr>
                <w:lang w:val="es-ES_tradnl"/>
              </w:rPr>
              <w:t> 30 GHz</w:t>
            </w:r>
          </w:p>
        </w:tc>
        <w:tc>
          <w:tcPr>
            <w:tcW w:w="1701" w:type="dxa"/>
            <w:tcBorders>
              <w:top w:val="single" w:sz="4" w:space="0" w:color="auto"/>
              <w:left w:val="single" w:sz="4" w:space="0" w:color="auto"/>
              <w:bottom w:val="single" w:sz="4" w:space="0" w:color="auto"/>
              <w:right w:val="single" w:sz="4" w:space="0" w:color="auto"/>
            </w:tcBorders>
          </w:tcPr>
          <w:p w14:paraId="48C7BEA2" w14:textId="77777777" w:rsidR="00F73D5B" w:rsidRPr="008B7A21" w:rsidRDefault="00F73D5B" w:rsidP="00767A6A">
            <w:pPr>
              <w:pStyle w:val="Tabletext"/>
              <w:jc w:val="center"/>
              <w:rPr>
                <w:lang w:val="es-ES_tradnl"/>
              </w:rPr>
            </w:pPr>
            <w:r w:rsidRPr="008B7A21">
              <w:rPr>
                <w:lang w:val="es-ES_tradnl"/>
              </w:rPr>
              <w:t>0,</w:t>
            </w:r>
            <w:r w:rsidRPr="008B7A21">
              <w:rPr>
                <w:szCs w:val="22"/>
                <w:lang w:val="es-ES_tradnl" w:eastAsia="ko-KR"/>
              </w:rPr>
              <w:t>0004</w:t>
            </w:r>
          </w:p>
        </w:tc>
      </w:tr>
    </w:tbl>
    <w:p w14:paraId="5741F433" w14:textId="77777777" w:rsidR="00F73D5B" w:rsidRPr="008B7A21" w:rsidRDefault="00F73D5B" w:rsidP="00F73D5B">
      <w:pPr>
        <w:pStyle w:val="Tablefin"/>
        <w:rPr>
          <w:lang w:val="es-ES_tradnl"/>
        </w:rPr>
      </w:pPr>
    </w:p>
    <w:p w14:paraId="18421AE0" w14:textId="77777777" w:rsidR="00F73D5B" w:rsidRPr="008B7A21" w:rsidRDefault="00F73D5B" w:rsidP="00F73D5B">
      <w:pPr>
        <w:rPr>
          <w:lang w:val="es-ES_tradnl"/>
        </w:rPr>
      </w:pPr>
      <w:r w:rsidRPr="008B7A21">
        <w:rPr>
          <w:lang w:val="es-ES_tradnl" w:eastAsia="ko-KR"/>
        </w:rPr>
        <w:t xml:space="preserve">Factor de pautas de utilización de frecuencia </w:t>
      </w:r>
      <w:r w:rsidRPr="008B7A21">
        <w:rPr>
          <w:i/>
          <w:iCs/>
          <w:lang w:val="es-ES_tradnl" w:eastAsia="ko-KR"/>
        </w:rPr>
        <w:t>U</w:t>
      </w:r>
      <w:r w:rsidRPr="008B7A21">
        <w:rPr>
          <w:i/>
          <w:iCs/>
          <w:vertAlign w:val="subscript"/>
          <w:lang w:val="es-ES_tradnl" w:eastAsia="ko-KR"/>
        </w:rPr>
        <w:t>f</w:t>
      </w:r>
      <w:r w:rsidRPr="008B7A21">
        <w:rPr>
          <w:lang w:val="es-ES_tradnl"/>
        </w:rPr>
        <w:t>:</w:t>
      </w:r>
    </w:p>
    <w:p w14:paraId="3B0DCEC1" w14:textId="77777777" w:rsidR="00F73D5B" w:rsidRPr="008B7A21" w:rsidRDefault="00F73D5B" w:rsidP="00D849A8">
      <w:pPr>
        <w:pStyle w:val="TableNo"/>
        <w:rPr>
          <w:lang w:val="es-ES_tradnl" w:eastAsia="ko-KR"/>
        </w:rPr>
      </w:pPr>
      <w:r w:rsidRPr="008B7A21">
        <w:rPr>
          <w:lang w:val="es-ES_tradnl" w:eastAsia="ko-KR"/>
        </w:rPr>
        <w:t>CUADRO 45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6"/>
        <w:gridCol w:w="1701"/>
      </w:tblGrid>
      <w:tr w:rsidR="00F73D5B" w:rsidRPr="008B7A21" w14:paraId="55C4AB75" w14:textId="77777777" w:rsidTr="00767A6A">
        <w:trPr>
          <w:jc w:val="center"/>
        </w:trPr>
        <w:tc>
          <w:tcPr>
            <w:tcW w:w="4116" w:type="dxa"/>
            <w:tcBorders>
              <w:top w:val="single" w:sz="4" w:space="0" w:color="auto"/>
              <w:left w:val="single" w:sz="4" w:space="0" w:color="auto"/>
              <w:bottom w:val="single" w:sz="4" w:space="0" w:color="auto"/>
              <w:right w:val="single" w:sz="4" w:space="0" w:color="auto"/>
            </w:tcBorders>
            <w:vAlign w:val="center"/>
          </w:tcPr>
          <w:p w14:paraId="6BFC0328" w14:textId="77777777" w:rsidR="00F73D5B" w:rsidRPr="008B7A21" w:rsidRDefault="00F73D5B" w:rsidP="00767A6A">
            <w:pPr>
              <w:pStyle w:val="Tablehead"/>
              <w:rPr>
                <w:lang w:val="es-ES_tradnl"/>
              </w:rPr>
            </w:pPr>
            <w:r w:rsidRPr="008B7A21">
              <w:rPr>
                <w:lang w:val="es-ES_tradnl"/>
              </w:rPr>
              <w:t>Pauta de utilización de frecuencia</w:t>
            </w:r>
          </w:p>
        </w:tc>
        <w:tc>
          <w:tcPr>
            <w:tcW w:w="1701" w:type="dxa"/>
            <w:tcBorders>
              <w:top w:val="single" w:sz="4" w:space="0" w:color="auto"/>
              <w:left w:val="single" w:sz="4" w:space="0" w:color="auto"/>
              <w:bottom w:val="single" w:sz="4" w:space="0" w:color="auto"/>
              <w:right w:val="single" w:sz="4" w:space="0" w:color="auto"/>
            </w:tcBorders>
            <w:vAlign w:val="center"/>
          </w:tcPr>
          <w:p w14:paraId="3E120E8A" w14:textId="77777777" w:rsidR="00F73D5B" w:rsidRPr="008B7A21" w:rsidRDefault="00F73D5B" w:rsidP="00767A6A">
            <w:pPr>
              <w:pStyle w:val="Tablehead"/>
              <w:rPr>
                <w:lang w:val="es-ES_tradnl"/>
              </w:rPr>
            </w:pPr>
            <w:r w:rsidRPr="008B7A21">
              <w:rPr>
                <w:lang w:val="es-ES_tradnl"/>
              </w:rPr>
              <w:t>Factor</w:t>
            </w:r>
          </w:p>
        </w:tc>
      </w:tr>
      <w:tr w:rsidR="00F73D5B" w:rsidRPr="008B7A21" w14:paraId="50523E09" w14:textId="77777777" w:rsidTr="00767A6A">
        <w:trPr>
          <w:jc w:val="center"/>
        </w:trPr>
        <w:tc>
          <w:tcPr>
            <w:tcW w:w="4116" w:type="dxa"/>
            <w:tcBorders>
              <w:top w:val="single" w:sz="4" w:space="0" w:color="auto"/>
              <w:left w:val="single" w:sz="4" w:space="0" w:color="auto"/>
              <w:bottom w:val="single" w:sz="4" w:space="0" w:color="auto"/>
              <w:right w:val="single" w:sz="4" w:space="0" w:color="auto"/>
            </w:tcBorders>
            <w:vAlign w:val="center"/>
          </w:tcPr>
          <w:p w14:paraId="74F293D9" w14:textId="77777777" w:rsidR="00F73D5B" w:rsidRPr="008B7A21" w:rsidRDefault="00F73D5B" w:rsidP="00767A6A">
            <w:pPr>
              <w:pStyle w:val="Tabletext"/>
              <w:rPr>
                <w:lang w:val="es-ES_tradnl"/>
              </w:rPr>
            </w:pPr>
            <w:r w:rsidRPr="008B7A21">
              <w:rPr>
                <w:lang w:val="es-ES_tradnl"/>
              </w:rPr>
              <w:t>Utilización exclusiva</w:t>
            </w:r>
          </w:p>
        </w:tc>
        <w:tc>
          <w:tcPr>
            <w:tcW w:w="1701" w:type="dxa"/>
            <w:tcBorders>
              <w:top w:val="single" w:sz="4" w:space="0" w:color="auto"/>
              <w:left w:val="single" w:sz="4" w:space="0" w:color="auto"/>
              <w:bottom w:val="single" w:sz="4" w:space="0" w:color="auto"/>
              <w:right w:val="single" w:sz="4" w:space="0" w:color="auto"/>
            </w:tcBorders>
          </w:tcPr>
          <w:p w14:paraId="191EDEB3" w14:textId="77777777" w:rsidR="00F73D5B" w:rsidRPr="008B7A21" w:rsidRDefault="00F73D5B" w:rsidP="00767A6A">
            <w:pPr>
              <w:pStyle w:val="Tabletext"/>
              <w:jc w:val="center"/>
              <w:rPr>
                <w:lang w:val="es-ES_tradnl"/>
              </w:rPr>
            </w:pPr>
            <w:r w:rsidRPr="008B7A21">
              <w:rPr>
                <w:lang w:val="es-ES_tradnl"/>
              </w:rPr>
              <w:t>1</w:t>
            </w:r>
          </w:p>
        </w:tc>
      </w:tr>
      <w:tr w:rsidR="00F73D5B" w:rsidRPr="008B7A21" w14:paraId="58A131A4" w14:textId="77777777" w:rsidTr="00767A6A">
        <w:trPr>
          <w:jc w:val="center"/>
        </w:trPr>
        <w:tc>
          <w:tcPr>
            <w:tcW w:w="4116" w:type="dxa"/>
            <w:tcBorders>
              <w:top w:val="single" w:sz="4" w:space="0" w:color="auto"/>
              <w:left w:val="single" w:sz="4" w:space="0" w:color="auto"/>
              <w:bottom w:val="single" w:sz="4" w:space="0" w:color="auto"/>
              <w:right w:val="single" w:sz="4" w:space="0" w:color="auto"/>
            </w:tcBorders>
            <w:vAlign w:val="center"/>
          </w:tcPr>
          <w:p w14:paraId="7E22C445" w14:textId="77777777" w:rsidR="00F73D5B" w:rsidRPr="008B7A21" w:rsidRDefault="00F73D5B" w:rsidP="00767A6A">
            <w:pPr>
              <w:pStyle w:val="Tabletext"/>
              <w:rPr>
                <w:lang w:val="es-ES_tradnl"/>
              </w:rPr>
            </w:pPr>
            <w:r w:rsidRPr="008B7A21">
              <w:rPr>
                <w:lang w:val="es-ES_tradnl"/>
              </w:rPr>
              <w:t>Utilización común</w:t>
            </w:r>
          </w:p>
        </w:tc>
        <w:tc>
          <w:tcPr>
            <w:tcW w:w="1701" w:type="dxa"/>
            <w:tcBorders>
              <w:top w:val="single" w:sz="4" w:space="0" w:color="auto"/>
              <w:left w:val="single" w:sz="4" w:space="0" w:color="auto"/>
              <w:bottom w:val="single" w:sz="4" w:space="0" w:color="auto"/>
              <w:right w:val="single" w:sz="4" w:space="0" w:color="auto"/>
            </w:tcBorders>
          </w:tcPr>
          <w:p w14:paraId="16D08594" w14:textId="77777777" w:rsidR="00F73D5B" w:rsidRPr="008B7A21" w:rsidRDefault="00F73D5B" w:rsidP="00767A6A">
            <w:pPr>
              <w:pStyle w:val="Tabletext"/>
              <w:jc w:val="center"/>
              <w:rPr>
                <w:lang w:val="es-ES_tradnl"/>
              </w:rPr>
            </w:pPr>
            <w:r w:rsidRPr="008B7A21">
              <w:rPr>
                <w:lang w:val="es-ES_tradnl"/>
              </w:rPr>
              <w:t>0,1</w:t>
            </w:r>
          </w:p>
        </w:tc>
      </w:tr>
    </w:tbl>
    <w:p w14:paraId="3AFA473B" w14:textId="77777777" w:rsidR="00F73D5B" w:rsidRPr="008B7A21" w:rsidRDefault="00F73D5B" w:rsidP="00F73D5B">
      <w:pPr>
        <w:pStyle w:val="Tablefin"/>
        <w:rPr>
          <w:lang w:val="es-ES_tradnl"/>
        </w:rPr>
      </w:pPr>
    </w:p>
    <w:p w14:paraId="2E8B766E" w14:textId="77777777" w:rsidR="00F73D5B" w:rsidRPr="008B7A21" w:rsidRDefault="00F73D5B" w:rsidP="00F73D5B">
      <w:pPr>
        <w:pStyle w:val="Note"/>
        <w:rPr>
          <w:lang w:val="es-ES_tradnl"/>
        </w:rPr>
      </w:pPr>
      <w:r w:rsidRPr="008B7A21">
        <w:rPr>
          <w:lang w:val="es-ES_tradnl"/>
        </w:rPr>
        <w:t xml:space="preserve">NOTA – La </w:t>
      </w:r>
      <w:r w:rsidRPr="008B7A21">
        <w:rPr>
          <w:i/>
          <w:iCs/>
          <w:lang w:val="es-ES_tradnl"/>
        </w:rPr>
        <w:t>utilización exclusiva</w:t>
      </w:r>
      <w:r w:rsidRPr="008B7A21">
        <w:rPr>
          <w:lang w:val="es-ES_tradnl"/>
        </w:rPr>
        <w:t xml:space="preserve"> se produce cuando un operador emplea una frecuencia exclusivamente en un país o región y la </w:t>
      </w:r>
      <w:r w:rsidRPr="008B7A21">
        <w:rPr>
          <w:i/>
          <w:iCs/>
          <w:lang w:val="es-ES_tradnl"/>
        </w:rPr>
        <w:t>utilización común</w:t>
      </w:r>
      <w:r w:rsidRPr="008B7A21">
        <w:rPr>
          <w:lang w:val="es-ES_tradnl"/>
        </w:rPr>
        <w:t xml:space="preserve"> se produce cuando un operador emplea una frecuencia de manera no exclusiva en un país o región.</w:t>
      </w:r>
    </w:p>
    <w:p w14:paraId="374B2531" w14:textId="77777777" w:rsidR="00F73D5B" w:rsidRPr="008B7A21" w:rsidRDefault="00F73D5B" w:rsidP="00F73D5B">
      <w:pPr>
        <w:rPr>
          <w:lang w:val="es-ES_tradnl"/>
        </w:rPr>
      </w:pPr>
      <w:r w:rsidRPr="008B7A21">
        <w:rPr>
          <w:lang w:val="es-ES_tradnl"/>
        </w:rPr>
        <w:t xml:space="preserve">Factor a efectos de funcionamiento </w:t>
      </w:r>
      <w:r w:rsidRPr="008B7A21">
        <w:rPr>
          <w:i/>
          <w:iCs/>
          <w:lang w:val="es-ES_tradnl"/>
        </w:rPr>
        <w:t>O</w:t>
      </w:r>
      <w:r w:rsidRPr="008B7A21">
        <w:rPr>
          <w:i/>
          <w:iCs/>
          <w:vertAlign w:val="subscript"/>
          <w:lang w:val="es-ES_tradnl"/>
        </w:rPr>
        <w:t>f</w:t>
      </w:r>
      <w:r w:rsidRPr="008B7A21">
        <w:rPr>
          <w:lang w:val="es-ES_tradnl"/>
        </w:rPr>
        <w:t>:</w:t>
      </w:r>
    </w:p>
    <w:p w14:paraId="58DE8A5D" w14:textId="77777777" w:rsidR="00F73D5B" w:rsidRPr="008B7A21" w:rsidRDefault="00F73D5B" w:rsidP="00D849A8">
      <w:pPr>
        <w:pStyle w:val="TableNo"/>
        <w:rPr>
          <w:lang w:val="es-ES_tradnl" w:eastAsia="ko-KR"/>
        </w:rPr>
      </w:pPr>
      <w:r w:rsidRPr="008B7A21">
        <w:rPr>
          <w:lang w:val="es-ES_tradnl" w:eastAsia="ko-KR"/>
        </w:rPr>
        <w:t>CUADRO 46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61"/>
        <w:gridCol w:w="1878"/>
      </w:tblGrid>
      <w:tr w:rsidR="00F73D5B" w:rsidRPr="008B7A21" w14:paraId="64795EFA" w14:textId="77777777" w:rsidTr="00D849A8">
        <w:trPr>
          <w:jc w:val="center"/>
        </w:trPr>
        <w:tc>
          <w:tcPr>
            <w:tcW w:w="7030" w:type="dxa"/>
            <w:tcBorders>
              <w:top w:val="single" w:sz="4" w:space="0" w:color="auto"/>
              <w:left w:val="single" w:sz="4" w:space="0" w:color="auto"/>
              <w:bottom w:val="single" w:sz="4" w:space="0" w:color="auto"/>
              <w:right w:val="single" w:sz="4" w:space="0" w:color="auto"/>
            </w:tcBorders>
            <w:vAlign w:val="center"/>
          </w:tcPr>
          <w:p w14:paraId="75F34F10" w14:textId="77777777" w:rsidR="00F73D5B" w:rsidRPr="008B7A21" w:rsidRDefault="00F73D5B" w:rsidP="00DD0D67">
            <w:pPr>
              <w:pStyle w:val="Tablehead"/>
              <w:keepLines/>
              <w:rPr>
                <w:lang w:val="es-ES_tradnl"/>
              </w:rPr>
            </w:pPr>
            <w:r w:rsidRPr="008B7A21">
              <w:rPr>
                <w:lang w:val="es-ES_tradnl"/>
              </w:rPr>
              <w:t>Objetivo de funcionamiento</w:t>
            </w:r>
          </w:p>
        </w:tc>
        <w:tc>
          <w:tcPr>
            <w:tcW w:w="1701" w:type="dxa"/>
            <w:tcBorders>
              <w:top w:val="single" w:sz="4" w:space="0" w:color="auto"/>
              <w:left w:val="single" w:sz="4" w:space="0" w:color="auto"/>
              <w:bottom w:val="single" w:sz="4" w:space="0" w:color="auto"/>
              <w:right w:val="single" w:sz="4" w:space="0" w:color="auto"/>
            </w:tcBorders>
            <w:vAlign w:val="center"/>
          </w:tcPr>
          <w:p w14:paraId="122D072F" w14:textId="77777777" w:rsidR="00F73D5B" w:rsidRPr="008B7A21" w:rsidRDefault="00F73D5B" w:rsidP="00DD0D67">
            <w:pPr>
              <w:pStyle w:val="Tablehead"/>
              <w:keepLines/>
              <w:rPr>
                <w:lang w:val="es-ES_tradnl"/>
              </w:rPr>
            </w:pPr>
            <w:r w:rsidRPr="008B7A21">
              <w:rPr>
                <w:lang w:val="es-ES_tradnl"/>
              </w:rPr>
              <w:t>Factor</w:t>
            </w:r>
          </w:p>
        </w:tc>
      </w:tr>
      <w:tr w:rsidR="00F73D5B" w:rsidRPr="008B7A21" w14:paraId="787A6D58" w14:textId="77777777" w:rsidTr="00D849A8">
        <w:trPr>
          <w:jc w:val="center"/>
        </w:trPr>
        <w:tc>
          <w:tcPr>
            <w:tcW w:w="7030" w:type="dxa"/>
            <w:tcBorders>
              <w:top w:val="single" w:sz="4" w:space="0" w:color="auto"/>
              <w:left w:val="single" w:sz="4" w:space="0" w:color="auto"/>
              <w:bottom w:val="single" w:sz="4" w:space="0" w:color="auto"/>
              <w:right w:val="single" w:sz="4" w:space="0" w:color="auto"/>
            </w:tcBorders>
            <w:vAlign w:val="center"/>
          </w:tcPr>
          <w:p w14:paraId="1F3D92E9" w14:textId="77777777" w:rsidR="00F73D5B" w:rsidRPr="008B7A21" w:rsidRDefault="00F73D5B" w:rsidP="00DD0D67">
            <w:pPr>
              <w:pStyle w:val="Tabletext"/>
              <w:keepNext/>
              <w:keepLines/>
              <w:jc w:val="left"/>
              <w:rPr>
                <w:lang w:val="es-ES_tradnl"/>
              </w:rPr>
            </w:pPr>
            <w:r w:rsidRPr="008B7A21">
              <w:rPr>
                <w:lang w:val="es-ES_tradnl"/>
              </w:rPr>
              <w:t>Servicios de radionavegación (radar, transpondedor, estimador de distancia, radioaltímetro)</w:t>
            </w:r>
          </w:p>
        </w:tc>
        <w:tc>
          <w:tcPr>
            <w:tcW w:w="1701" w:type="dxa"/>
            <w:tcBorders>
              <w:top w:val="single" w:sz="4" w:space="0" w:color="auto"/>
              <w:left w:val="single" w:sz="4" w:space="0" w:color="auto"/>
              <w:bottom w:val="single" w:sz="4" w:space="0" w:color="auto"/>
              <w:right w:val="single" w:sz="4" w:space="0" w:color="auto"/>
            </w:tcBorders>
          </w:tcPr>
          <w:p w14:paraId="1839B250" w14:textId="77777777" w:rsidR="00F73D5B" w:rsidRPr="008B7A21" w:rsidRDefault="00F73D5B" w:rsidP="00DD0D67">
            <w:pPr>
              <w:pStyle w:val="Tabletext"/>
              <w:keepNext/>
              <w:keepLines/>
              <w:jc w:val="center"/>
              <w:rPr>
                <w:lang w:val="es-ES_tradnl"/>
              </w:rPr>
            </w:pPr>
            <w:r w:rsidRPr="008B7A21">
              <w:rPr>
                <w:lang w:val="es-ES_tradnl"/>
              </w:rPr>
              <w:t>0,5</w:t>
            </w:r>
          </w:p>
        </w:tc>
      </w:tr>
      <w:tr w:rsidR="00F73D5B" w:rsidRPr="008B7A21" w14:paraId="1AE05310" w14:textId="77777777" w:rsidTr="00D849A8">
        <w:trPr>
          <w:jc w:val="center"/>
        </w:trPr>
        <w:tc>
          <w:tcPr>
            <w:tcW w:w="7030" w:type="dxa"/>
            <w:tcBorders>
              <w:top w:val="single" w:sz="4" w:space="0" w:color="auto"/>
              <w:left w:val="single" w:sz="4" w:space="0" w:color="auto"/>
              <w:bottom w:val="single" w:sz="4" w:space="0" w:color="auto"/>
              <w:right w:val="single" w:sz="4" w:space="0" w:color="auto"/>
            </w:tcBorders>
            <w:vAlign w:val="center"/>
          </w:tcPr>
          <w:p w14:paraId="0BC1B159" w14:textId="77777777" w:rsidR="00F73D5B" w:rsidRPr="008B7A21" w:rsidRDefault="00F73D5B" w:rsidP="00767A6A">
            <w:pPr>
              <w:pStyle w:val="Tabletext"/>
              <w:jc w:val="left"/>
              <w:rPr>
                <w:lang w:val="es-ES_tradnl"/>
              </w:rPr>
            </w:pPr>
            <w:r w:rsidRPr="008B7A21">
              <w:rPr>
                <w:lang w:val="es-ES_tradnl"/>
              </w:rPr>
              <w:t>Servicios de radiotelemedida (incluida la detección y las radiobalizas)</w:t>
            </w:r>
          </w:p>
        </w:tc>
        <w:tc>
          <w:tcPr>
            <w:tcW w:w="1701" w:type="dxa"/>
            <w:tcBorders>
              <w:top w:val="single" w:sz="4" w:space="0" w:color="auto"/>
              <w:left w:val="single" w:sz="4" w:space="0" w:color="auto"/>
              <w:bottom w:val="single" w:sz="4" w:space="0" w:color="auto"/>
              <w:right w:val="single" w:sz="4" w:space="0" w:color="auto"/>
            </w:tcBorders>
          </w:tcPr>
          <w:p w14:paraId="20BD57DC" w14:textId="77777777" w:rsidR="00F73D5B" w:rsidRPr="008B7A21" w:rsidRDefault="00F73D5B" w:rsidP="00767A6A">
            <w:pPr>
              <w:pStyle w:val="Tabletext"/>
              <w:jc w:val="center"/>
              <w:rPr>
                <w:rFonts w:eastAsia="???"/>
                <w:lang w:val="es-ES_tradnl"/>
              </w:rPr>
            </w:pPr>
            <w:r w:rsidRPr="008B7A21">
              <w:rPr>
                <w:rFonts w:eastAsia="???"/>
                <w:lang w:val="es-ES_tradnl"/>
              </w:rPr>
              <w:t>0,1</w:t>
            </w:r>
          </w:p>
        </w:tc>
      </w:tr>
      <w:tr w:rsidR="00F73D5B" w:rsidRPr="008B7A21" w14:paraId="0F013DDD" w14:textId="77777777" w:rsidTr="00D849A8">
        <w:trPr>
          <w:jc w:val="center"/>
        </w:trPr>
        <w:tc>
          <w:tcPr>
            <w:tcW w:w="7030" w:type="dxa"/>
            <w:tcBorders>
              <w:top w:val="single" w:sz="4" w:space="0" w:color="auto"/>
              <w:left w:val="single" w:sz="4" w:space="0" w:color="auto"/>
              <w:bottom w:val="single" w:sz="4" w:space="0" w:color="auto"/>
              <w:right w:val="single" w:sz="4" w:space="0" w:color="auto"/>
            </w:tcBorders>
            <w:vAlign w:val="center"/>
          </w:tcPr>
          <w:p w14:paraId="2ADF52DF" w14:textId="77777777" w:rsidR="00F73D5B" w:rsidRPr="008B7A21" w:rsidRDefault="00F73D5B" w:rsidP="00767A6A">
            <w:pPr>
              <w:pStyle w:val="Tabletext"/>
              <w:jc w:val="left"/>
              <w:rPr>
                <w:lang w:val="es-ES_tradnl"/>
              </w:rPr>
            </w:pPr>
            <w:r w:rsidRPr="008B7A21">
              <w:rPr>
                <w:lang w:val="es-ES_tradnl"/>
              </w:rPr>
              <w:t>Otros servicios</w:t>
            </w:r>
          </w:p>
        </w:tc>
        <w:tc>
          <w:tcPr>
            <w:tcW w:w="1701" w:type="dxa"/>
            <w:tcBorders>
              <w:top w:val="single" w:sz="4" w:space="0" w:color="auto"/>
              <w:left w:val="single" w:sz="4" w:space="0" w:color="auto"/>
              <w:bottom w:val="single" w:sz="4" w:space="0" w:color="auto"/>
              <w:right w:val="single" w:sz="4" w:space="0" w:color="auto"/>
            </w:tcBorders>
          </w:tcPr>
          <w:p w14:paraId="547B087B" w14:textId="77777777" w:rsidR="00F73D5B" w:rsidRPr="008B7A21" w:rsidRDefault="00F73D5B" w:rsidP="00767A6A">
            <w:pPr>
              <w:pStyle w:val="Tabletext"/>
              <w:jc w:val="center"/>
              <w:rPr>
                <w:lang w:val="es-ES_tradnl"/>
              </w:rPr>
            </w:pPr>
            <w:r w:rsidRPr="008B7A21">
              <w:rPr>
                <w:lang w:val="es-ES_tradnl"/>
              </w:rPr>
              <w:t>1</w:t>
            </w:r>
          </w:p>
        </w:tc>
      </w:tr>
    </w:tbl>
    <w:p w14:paraId="3DAEFF55" w14:textId="77777777" w:rsidR="00F73D5B" w:rsidRPr="008B7A21" w:rsidRDefault="00F73D5B" w:rsidP="00F73D5B">
      <w:pPr>
        <w:pStyle w:val="Tablefin"/>
        <w:rPr>
          <w:lang w:val="es-ES_tradnl"/>
        </w:rPr>
      </w:pPr>
    </w:p>
    <w:p w14:paraId="7D86349F" w14:textId="77777777" w:rsidR="00F73D5B" w:rsidRPr="008B7A21" w:rsidRDefault="00F73D5B" w:rsidP="00F73D5B">
      <w:pPr>
        <w:keepNext/>
        <w:keepLines/>
        <w:rPr>
          <w:lang w:val="es-ES_tradnl"/>
        </w:rPr>
      </w:pPr>
      <w:r w:rsidRPr="008B7A21">
        <w:rPr>
          <w:lang w:val="es-ES_tradnl"/>
        </w:rPr>
        <w:t>Factores de exención por compartición de instalaciones y motivos ecológicos:</w:t>
      </w:r>
    </w:p>
    <w:p w14:paraId="209DA250" w14:textId="77777777" w:rsidR="00F73D5B" w:rsidRPr="008B7A21" w:rsidRDefault="00F73D5B" w:rsidP="00D849A8">
      <w:pPr>
        <w:pStyle w:val="TableNo"/>
        <w:rPr>
          <w:lang w:val="es-ES_tradnl" w:eastAsia="ko-KR"/>
        </w:rPr>
      </w:pPr>
      <w:r w:rsidRPr="008B7A21">
        <w:rPr>
          <w:lang w:val="es-ES_tradnl" w:eastAsia="ko-KR"/>
        </w:rPr>
        <w:t>CUADRO 47</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680"/>
        <w:gridCol w:w="765"/>
        <w:gridCol w:w="765"/>
        <w:gridCol w:w="765"/>
        <w:gridCol w:w="765"/>
        <w:gridCol w:w="765"/>
        <w:gridCol w:w="765"/>
        <w:gridCol w:w="765"/>
        <w:gridCol w:w="765"/>
        <w:gridCol w:w="680"/>
      </w:tblGrid>
      <w:tr w:rsidR="00F73D5B" w:rsidRPr="008B7A21" w14:paraId="64DC2E8D" w14:textId="77777777" w:rsidTr="00D849A8">
        <w:trPr>
          <w:jc w:val="center"/>
        </w:trPr>
        <w:tc>
          <w:tcPr>
            <w:tcW w:w="2154" w:type="dxa"/>
            <w:vAlign w:val="center"/>
          </w:tcPr>
          <w:p w14:paraId="794C8E25" w14:textId="77777777" w:rsidR="00F73D5B" w:rsidRPr="008B7A21" w:rsidRDefault="00F73D5B" w:rsidP="00767A6A">
            <w:pPr>
              <w:pStyle w:val="Tabletext"/>
              <w:keepNext/>
              <w:keepLines/>
              <w:jc w:val="left"/>
              <w:rPr>
                <w:sz w:val="20"/>
                <w:lang w:val="es-ES_tradnl"/>
              </w:rPr>
            </w:pPr>
            <w:r w:rsidRPr="008B7A21">
              <w:rPr>
                <w:sz w:val="20"/>
                <w:lang w:val="es-ES_tradnl" w:eastAsia="ko-KR"/>
              </w:rPr>
              <w:t xml:space="preserve">Tasa de itinerancia y compartición de instalaciones </w:t>
            </w:r>
            <w:r w:rsidRPr="008B7A21">
              <w:rPr>
                <w:sz w:val="20"/>
                <w:lang w:val="es-ES_tradnl"/>
              </w:rPr>
              <w:t>(%)</w:t>
            </w:r>
          </w:p>
        </w:tc>
        <w:tc>
          <w:tcPr>
            <w:tcW w:w="680" w:type="dxa"/>
            <w:vAlign w:val="center"/>
          </w:tcPr>
          <w:p w14:paraId="08F6149C" w14:textId="77777777" w:rsidR="00F73D5B" w:rsidRPr="008B7A21" w:rsidRDefault="00F73D5B" w:rsidP="00767A6A">
            <w:pPr>
              <w:pStyle w:val="Tabletext"/>
              <w:keepNext/>
              <w:keepLines/>
              <w:jc w:val="center"/>
              <w:rPr>
                <w:sz w:val="20"/>
                <w:lang w:val="es-ES_tradnl"/>
              </w:rPr>
            </w:pPr>
            <w:r w:rsidRPr="008B7A21">
              <w:rPr>
                <w:sz w:val="20"/>
                <w:lang w:val="es-ES_tradnl" w:eastAsia="ko-KR"/>
              </w:rPr>
              <w:t>&lt;</w:t>
            </w:r>
            <w:r w:rsidRPr="008B7A21">
              <w:rPr>
                <w:sz w:val="20"/>
                <w:lang w:val="es-ES_tradnl"/>
              </w:rPr>
              <w:t>10</w:t>
            </w:r>
          </w:p>
        </w:tc>
        <w:tc>
          <w:tcPr>
            <w:tcW w:w="765" w:type="dxa"/>
            <w:vAlign w:val="center"/>
          </w:tcPr>
          <w:p w14:paraId="63815F30" w14:textId="77777777" w:rsidR="00F73D5B" w:rsidRPr="008B7A21" w:rsidRDefault="00F73D5B" w:rsidP="00767A6A">
            <w:pPr>
              <w:pStyle w:val="Tabletext"/>
              <w:keepNext/>
              <w:keepLines/>
              <w:jc w:val="center"/>
              <w:rPr>
                <w:sz w:val="20"/>
                <w:lang w:val="es-ES_tradnl"/>
              </w:rPr>
            </w:pPr>
            <w:r w:rsidRPr="008B7A21">
              <w:rPr>
                <w:sz w:val="20"/>
                <w:lang w:val="es-ES_tradnl"/>
              </w:rPr>
              <w:t>10</w:t>
            </w:r>
            <w:r w:rsidRPr="008B7A21">
              <w:rPr>
                <w:sz w:val="20"/>
                <w:lang w:val="es-ES_tradnl" w:eastAsia="ko-KR"/>
              </w:rPr>
              <w:t>~</w:t>
            </w:r>
            <w:r w:rsidRPr="008B7A21">
              <w:rPr>
                <w:sz w:val="20"/>
                <w:lang w:val="es-ES_tradnl"/>
              </w:rPr>
              <w:t>20</w:t>
            </w:r>
          </w:p>
        </w:tc>
        <w:tc>
          <w:tcPr>
            <w:tcW w:w="765" w:type="dxa"/>
            <w:vAlign w:val="center"/>
          </w:tcPr>
          <w:p w14:paraId="752DAF51" w14:textId="77777777" w:rsidR="00F73D5B" w:rsidRPr="008B7A21" w:rsidRDefault="00F73D5B" w:rsidP="00767A6A">
            <w:pPr>
              <w:pStyle w:val="Tabletext"/>
              <w:keepNext/>
              <w:keepLines/>
              <w:jc w:val="center"/>
              <w:rPr>
                <w:sz w:val="20"/>
                <w:lang w:val="es-ES_tradnl"/>
              </w:rPr>
            </w:pPr>
            <w:r w:rsidRPr="008B7A21">
              <w:rPr>
                <w:sz w:val="20"/>
                <w:lang w:val="es-ES_tradnl"/>
              </w:rPr>
              <w:t>20</w:t>
            </w:r>
            <w:r w:rsidRPr="008B7A21">
              <w:rPr>
                <w:sz w:val="20"/>
                <w:lang w:val="es-ES_tradnl" w:eastAsia="ko-KR"/>
              </w:rPr>
              <w:t>~</w:t>
            </w:r>
            <w:r w:rsidRPr="008B7A21">
              <w:rPr>
                <w:sz w:val="20"/>
                <w:lang w:val="es-ES_tradnl"/>
              </w:rPr>
              <w:t>30</w:t>
            </w:r>
          </w:p>
        </w:tc>
        <w:tc>
          <w:tcPr>
            <w:tcW w:w="765" w:type="dxa"/>
            <w:vAlign w:val="center"/>
          </w:tcPr>
          <w:p w14:paraId="74ABB26E" w14:textId="77777777" w:rsidR="00F73D5B" w:rsidRPr="008B7A21" w:rsidRDefault="00F73D5B" w:rsidP="00767A6A">
            <w:pPr>
              <w:pStyle w:val="Tabletext"/>
              <w:keepNext/>
              <w:keepLines/>
              <w:jc w:val="center"/>
              <w:rPr>
                <w:sz w:val="20"/>
                <w:lang w:val="es-ES_tradnl"/>
              </w:rPr>
            </w:pPr>
            <w:r w:rsidRPr="008B7A21">
              <w:rPr>
                <w:sz w:val="20"/>
                <w:lang w:val="es-ES_tradnl"/>
              </w:rPr>
              <w:t>30</w:t>
            </w:r>
            <w:r w:rsidRPr="008B7A21">
              <w:rPr>
                <w:sz w:val="20"/>
                <w:lang w:val="es-ES_tradnl" w:eastAsia="ko-KR"/>
              </w:rPr>
              <w:t>~</w:t>
            </w:r>
            <w:r w:rsidRPr="008B7A21">
              <w:rPr>
                <w:sz w:val="20"/>
                <w:lang w:val="es-ES_tradnl"/>
              </w:rPr>
              <w:t>40</w:t>
            </w:r>
          </w:p>
        </w:tc>
        <w:tc>
          <w:tcPr>
            <w:tcW w:w="765" w:type="dxa"/>
            <w:vAlign w:val="center"/>
          </w:tcPr>
          <w:p w14:paraId="79E91779" w14:textId="77777777" w:rsidR="00F73D5B" w:rsidRPr="008B7A21" w:rsidRDefault="00F73D5B" w:rsidP="00767A6A">
            <w:pPr>
              <w:pStyle w:val="Tabletext"/>
              <w:keepNext/>
              <w:keepLines/>
              <w:jc w:val="center"/>
              <w:rPr>
                <w:sz w:val="20"/>
                <w:lang w:val="es-ES_tradnl"/>
              </w:rPr>
            </w:pPr>
            <w:r w:rsidRPr="008B7A21">
              <w:rPr>
                <w:sz w:val="20"/>
                <w:lang w:val="es-ES_tradnl"/>
              </w:rPr>
              <w:t>40</w:t>
            </w:r>
            <w:r w:rsidRPr="008B7A21">
              <w:rPr>
                <w:sz w:val="20"/>
                <w:lang w:val="es-ES_tradnl" w:eastAsia="ko-KR"/>
              </w:rPr>
              <w:t>~45</w:t>
            </w:r>
          </w:p>
        </w:tc>
        <w:tc>
          <w:tcPr>
            <w:tcW w:w="765" w:type="dxa"/>
            <w:vAlign w:val="center"/>
          </w:tcPr>
          <w:p w14:paraId="7E368459" w14:textId="77777777" w:rsidR="00F73D5B" w:rsidRPr="008B7A21" w:rsidRDefault="00F73D5B" w:rsidP="00767A6A">
            <w:pPr>
              <w:pStyle w:val="Tabletext"/>
              <w:keepNext/>
              <w:keepLines/>
              <w:jc w:val="center"/>
              <w:rPr>
                <w:sz w:val="20"/>
                <w:lang w:val="es-ES_tradnl"/>
              </w:rPr>
            </w:pPr>
            <w:r w:rsidRPr="008B7A21">
              <w:rPr>
                <w:sz w:val="20"/>
                <w:lang w:val="es-ES_tradnl" w:eastAsia="ko-KR"/>
              </w:rPr>
              <w:t>45~</w:t>
            </w:r>
            <w:r w:rsidRPr="008B7A21">
              <w:rPr>
                <w:sz w:val="20"/>
                <w:lang w:val="es-ES_tradnl"/>
              </w:rPr>
              <w:t>50</w:t>
            </w:r>
          </w:p>
        </w:tc>
        <w:tc>
          <w:tcPr>
            <w:tcW w:w="765" w:type="dxa"/>
            <w:vAlign w:val="center"/>
          </w:tcPr>
          <w:p w14:paraId="0C80533B" w14:textId="77777777" w:rsidR="00F73D5B" w:rsidRPr="008B7A21" w:rsidRDefault="00F73D5B" w:rsidP="00767A6A">
            <w:pPr>
              <w:pStyle w:val="Tabletext"/>
              <w:keepNext/>
              <w:keepLines/>
              <w:jc w:val="center"/>
              <w:rPr>
                <w:sz w:val="20"/>
                <w:lang w:val="es-ES_tradnl" w:eastAsia="ko-KR"/>
              </w:rPr>
            </w:pPr>
            <w:r w:rsidRPr="008B7A21">
              <w:rPr>
                <w:sz w:val="20"/>
                <w:lang w:val="es-ES_tradnl" w:eastAsia="ko-KR"/>
              </w:rPr>
              <w:t>50~55</w:t>
            </w:r>
          </w:p>
        </w:tc>
        <w:tc>
          <w:tcPr>
            <w:tcW w:w="765" w:type="dxa"/>
            <w:vAlign w:val="center"/>
          </w:tcPr>
          <w:p w14:paraId="3205AC84" w14:textId="77777777" w:rsidR="00F73D5B" w:rsidRPr="008B7A21" w:rsidRDefault="00F73D5B" w:rsidP="00767A6A">
            <w:pPr>
              <w:pStyle w:val="Tabletext"/>
              <w:keepNext/>
              <w:keepLines/>
              <w:jc w:val="center"/>
              <w:rPr>
                <w:sz w:val="20"/>
                <w:lang w:val="es-ES_tradnl" w:eastAsia="ko-KR"/>
              </w:rPr>
            </w:pPr>
            <w:r w:rsidRPr="008B7A21">
              <w:rPr>
                <w:sz w:val="20"/>
                <w:lang w:val="es-ES_tradnl" w:eastAsia="ko-KR"/>
              </w:rPr>
              <w:t>55~60</w:t>
            </w:r>
          </w:p>
        </w:tc>
        <w:tc>
          <w:tcPr>
            <w:tcW w:w="765" w:type="dxa"/>
            <w:vAlign w:val="center"/>
          </w:tcPr>
          <w:p w14:paraId="1EB812A1" w14:textId="77777777" w:rsidR="00F73D5B" w:rsidRPr="008B7A21" w:rsidRDefault="00F73D5B" w:rsidP="00767A6A">
            <w:pPr>
              <w:pStyle w:val="Tabletext"/>
              <w:keepNext/>
              <w:keepLines/>
              <w:jc w:val="center"/>
              <w:rPr>
                <w:sz w:val="20"/>
                <w:lang w:val="es-ES_tradnl" w:eastAsia="ko-KR"/>
              </w:rPr>
            </w:pPr>
            <w:r w:rsidRPr="008B7A21">
              <w:rPr>
                <w:sz w:val="20"/>
                <w:lang w:val="es-ES_tradnl" w:eastAsia="ko-KR"/>
              </w:rPr>
              <w:t>60~70</w:t>
            </w:r>
          </w:p>
        </w:tc>
        <w:tc>
          <w:tcPr>
            <w:tcW w:w="680" w:type="dxa"/>
            <w:vAlign w:val="center"/>
          </w:tcPr>
          <w:p w14:paraId="16AF79B1" w14:textId="77777777" w:rsidR="00F73D5B" w:rsidRPr="008B7A21" w:rsidRDefault="00F73D5B" w:rsidP="00767A6A">
            <w:pPr>
              <w:pStyle w:val="Tabletext"/>
              <w:keepNext/>
              <w:keepLines/>
              <w:jc w:val="center"/>
              <w:rPr>
                <w:sz w:val="20"/>
                <w:lang w:val="es-ES_tradnl" w:eastAsia="ko-KR"/>
              </w:rPr>
            </w:pPr>
            <w:r w:rsidRPr="008B7A21">
              <w:rPr>
                <w:sz w:val="20"/>
                <w:lang w:val="es-ES_tradnl" w:eastAsia="ko-KR"/>
              </w:rPr>
              <w:t>&gt;70</w:t>
            </w:r>
          </w:p>
        </w:tc>
      </w:tr>
      <w:tr w:rsidR="00F73D5B" w:rsidRPr="008B7A21" w14:paraId="63E0E03A" w14:textId="77777777" w:rsidTr="00D849A8">
        <w:trPr>
          <w:jc w:val="center"/>
        </w:trPr>
        <w:tc>
          <w:tcPr>
            <w:tcW w:w="2154" w:type="dxa"/>
            <w:vAlign w:val="center"/>
          </w:tcPr>
          <w:p w14:paraId="6DF2BA5A" w14:textId="77777777" w:rsidR="00F73D5B" w:rsidRPr="008B7A21" w:rsidRDefault="00F73D5B" w:rsidP="00767A6A">
            <w:pPr>
              <w:pStyle w:val="Tabletext"/>
              <w:jc w:val="left"/>
              <w:rPr>
                <w:sz w:val="20"/>
                <w:lang w:val="es-ES_tradnl"/>
              </w:rPr>
            </w:pPr>
            <w:r w:rsidRPr="008B7A21">
              <w:rPr>
                <w:sz w:val="20"/>
                <w:lang w:val="es-ES_tradnl" w:eastAsia="ko-KR"/>
              </w:rPr>
              <w:t>Factor de exención por compartición de instalaciones</w:t>
            </w:r>
          </w:p>
        </w:tc>
        <w:tc>
          <w:tcPr>
            <w:tcW w:w="680" w:type="dxa"/>
            <w:vAlign w:val="center"/>
          </w:tcPr>
          <w:p w14:paraId="13E3F473" w14:textId="77777777" w:rsidR="00F73D5B" w:rsidRPr="008B7A21" w:rsidRDefault="00F73D5B" w:rsidP="00767A6A">
            <w:pPr>
              <w:pStyle w:val="Tabletext"/>
              <w:jc w:val="center"/>
              <w:rPr>
                <w:sz w:val="20"/>
                <w:lang w:val="es-ES_tradnl"/>
              </w:rPr>
            </w:pPr>
            <w:r w:rsidRPr="008B7A21">
              <w:rPr>
                <w:sz w:val="20"/>
                <w:lang w:val="es-ES_tradnl"/>
              </w:rPr>
              <w:t>0,01</w:t>
            </w:r>
          </w:p>
        </w:tc>
        <w:tc>
          <w:tcPr>
            <w:tcW w:w="765" w:type="dxa"/>
            <w:vAlign w:val="center"/>
          </w:tcPr>
          <w:p w14:paraId="2B25AD08" w14:textId="77777777" w:rsidR="00F73D5B" w:rsidRPr="008B7A21" w:rsidRDefault="00F73D5B" w:rsidP="00767A6A">
            <w:pPr>
              <w:pStyle w:val="Tabletext"/>
              <w:jc w:val="center"/>
              <w:rPr>
                <w:sz w:val="20"/>
                <w:lang w:val="es-ES_tradnl"/>
              </w:rPr>
            </w:pPr>
            <w:r w:rsidRPr="008B7A21">
              <w:rPr>
                <w:sz w:val="20"/>
                <w:lang w:val="es-ES_tradnl"/>
              </w:rPr>
              <w:t>0,02</w:t>
            </w:r>
          </w:p>
        </w:tc>
        <w:tc>
          <w:tcPr>
            <w:tcW w:w="765" w:type="dxa"/>
            <w:vAlign w:val="center"/>
          </w:tcPr>
          <w:p w14:paraId="5F6BC9CC" w14:textId="77777777" w:rsidR="00F73D5B" w:rsidRPr="008B7A21" w:rsidRDefault="00F73D5B" w:rsidP="00767A6A">
            <w:pPr>
              <w:pStyle w:val="Tabletext"/>
              <w:jc w:val="center"/>
              <w:rPr>
                <w:sz w:val="20"/>
                <w:lang w:val="es-ES_tradnl" w:eastAsia="ko-KR"/>
              </w:rPr>
            </w:pPr>
            <w:r w:rsidRPr="008B7A21">
              <w:rPr>
                <w:sz w:val="20"/>
                <w:lang w:val="es-ES_tradnl" w:eastAsia="ko-KR"/>
              </w:rPr>
              <w:t>0,03</w:t>
            </w:r>
          </w:p>
        </w:tc>
        <w:tc>
          <w:tcPr>
            <w:tcW w:w="765" w:type="dxa"/>
            <w:vAlign w:val="center"/>
          </w:tcPr>
          <w:p w14:paraId="4529724C" w14:textId="77777777" w:rsidR="00F73D5B" w:rsidRPr="008B7A21" w:rsidRDefault="00F73D5B" w:rsidP="00767A6A">
            <w:pPr>
              <w:pStyle w:val="Tabletext"/>
              <w:jc w:val="center"/>
              <w:rPr>
                <w:sz w:val="20"/>
                <w:lang w:val="es-ES_tradnl"/>
              </w:rPr>
            </w:pPr>
            <w:r w:rsidRPr="008B7A21">
              <w:rPr>
                <w:sz w:val="20"/>
                <w:lang w:val="es-ES_tradnl"/>
              </w:rPr>
              <w:t>0,04</w:t>
            </w:r>
          </w:p>
        </w:tc>
        <w:tc>
          <w:tcPr>
            <w:tcW w:w="765" w:type="dxa"/>
            <w:vAlign w:val="center"/>
          </w:tcPr>
          <w:p w14:paraId="6212A99F" w14:textId="77777777" w:rsidR="00F73D5B" w:rsidRPr="008B7A21" w:rsidRDefault="00F73D5B" w:rsidP="00767A6A">
            <w:pPr>
              <w:pStyle w:val="Tabletext"/>
              <w:jc w:val="center"/>
              <w:rPr>
                <w:sz w:val="20"/>
                <w:lang w:val="es-ES_tradnl" w:eastAsia="ko-KR"/>
              </w:rPr>
            </w:pPr>
            <w:r w:rsidRPr="008B7A21">
              <w:rPr>
                <w:sz w:val="20"/>
                <w:lang w:val="es-ES_tradnl" w:eastAsia="ko-KR"/>
              </w:rPr>
              <w:t>0,05</w:t>
            </w:r>
          </w:p>
        </w:tc>
        <w:tc>
          <w:tcPr>
            <w:tcW w:w="765" w:type="dxa"/>
            <w:vAlign w:val="center"/>
          </w:tcPr>
          <w:p w14:paraId="010214B4" w14:textId="77777777" w:rsidR="00F73D5B" w:rsidRPr="008B7A21" w:rsidRDefault="00F73D5B" w:rsidP="00767A6A">
            <w:pPr>
              <w:pStyle w:val="Tabletext"/>
              <w:jc w:val="center"/>
              <w:rPr>
                <w:sz w:val="20"/>
                <w:lang w:val="es-ES_tradnl"/>
              </w:rPr>
            </w:pPr>
            <w:r w:rsidRPr="008B7A21">
              <w:rPr>
                <w:sz w:val="20"/>
                <w:lang w:val="es-ES_tradnl"/>
              </w:rPr>
              <w:t>0,06</w:t>
            </w:r>
          </w:p>
        </w:tc>
        <w:tc>
          <w:tcPr>
            <w:tcW w:w="765" w:type="dxa"/>
            <w:vAlign w:val="center"/>
          </w:tcPr>
          <w:p w14:paraId="47E0EBFF" w14:textId="77777777" w:rsidR="00F73D5B" w:rsidRPr="008B7A21" w:rsidRDefault="00F73D5B" w:rsidP="00767A6A">
            <w:pPr>
              <w:pStyle w:val="Tabletext"/>
              <w:jc w:val="center"/>
              <w:rPr>
                <w:sz w:val="20"/>
                <w:lang w:val="es-ES_tradnl" w:eastAsia="ko-KR"/>
              </w:rPr>
            </w:pPr>
            <w:r w:rsidRPr="008B7A21">
              <w:rPr>
                <w:sz w:val="20"/>
                <w:lang w:val="es-ES_tradnl" w:eastAsia="ko-KR"/>
              </w:rPr>
              <w:t>0,07</w:t>
            </w:r>
          </w:p>
        </w:tc>
        <w:tc>
          <w:tcPr>
            <w:tcW w:w="765" w:type="dxa"/>
            <w:vAlign w:val="center"/>
          </w:tcPr>
          <w:p w14:paraId="1ACA6EBB" w14:textId="77777777" w:rsidR="00F73D5B" w:rsidRPr="008B7A21" w:rsidRDefault="00F73D5B" w:rsidP="00767A6A">
            <w:pPr>
              <w:pStyle w:val="Tabletext"/>
              <w:jc w:val="center"/>
              <w:rPr>
                <w:sz w:val="20"/>
                <w:lang w:val="es-ES_tradnl"/>
              </w:rPr>
            </w:pPr>
            <w:r w:rsidRPr="008B7A21">
              <w:rPr>
                <w:sz w:val="20"/>
                <w:lang w:val="es-ES_tradnl"/>
              </w:rPr>
              <w:t>0,08</w:t>
            </w:r>
          </w:p>
        </w:tc>
        <w:tc>
          <w:tcPr>
            <w:tcW w:w="765" w:type="dxa"/>
            <w:vAlign w:val="center"/>
          </w:tcPr>
          <w:p w14:paraId="6306B9BF" w14:textId="77777777" w:rsidR="00F73D5B" w:rsidRPr="008B7A21" w:rsidRDefault="00F73D5B" w:rsidP="00767A6A">
            <w:pPr>
              <w:pStyle w:val="Tabletext"/>
              <w:jc w:val="center"/>
              <w:rPr>
                <w:sz w:val="20"/>
                <w:lang w:val="es-ES_tradnl" w:eastAsia="ko-KR"/>
              </w:rPr>
            </w:pPr>
            <w:r w:rsidRPr="008B7A21">
              <w:rPr>
                <w:sz w:val="20"/>
                <w:lang w:val="es-ES_tradnl" w:eastAsia="ko-KR"/>
              </w:rPr>
              <w:t>0,09</w:t>
            </w:r>
          </w:p>
        </w:tc>
        <w:tc>
          <w:tcPr>
            <w:tcW w:w="680" w:type="dxa"/>
            <w:vAlign w:val="center"/>
          </w:tcPr>
          <w:p w14:paraId="1410CEF9" w14:textId="77777777" w:rsidR="00F73D5B" w:rsidRPr="008B7A21" w:rsidRDefault="00F73D5B" w:rsidP="00767A6A">
            <w:pPr>
              <w:pStyle w:val="Tabletext"/>
              <w:jc w:val="center"/>
              <w:rPr>
                <w:sz w:val="20"/>
                <w:lang w:val="es-ES_tradnl"/>
              </w:rPr>
            </w:pPr>
            <w:r w:rsidRPr="008B7A21">
              <w:rPr>
                <w:sz w:val="20"/>
                <w:lang w:val="es-ES_tradnl"/>
              </w:rPr>
              <w:t>0,10</w:t>
            </w:r>
          </w:p>
        </w:tc>
      </w:tr>
      <w:tr w:rsidR="00F73D5B" w:rsidRPr="008B7A21" w14:paraId="084F10C9" w14:textId="77777777" w:rsidTr="00D849A8">
        <w:trPr>
          <w:jc w:val="center"/>
        </w:trPr>
        <w:tc>
          <w:tcPr>
            <w:tcW w:w="2154" w:type="dxa"/>
            <w:vAlign w:val="center"/>
          </w:tcPr>
          <w:p w14:paraId="4506ECA2" w14:textId="77777777" w:rsidR="00F73D5B" w:rsidRPr="008B7A21" w:rsidRDefault="00F73D5B" w:rsidP="00767A6A">
            <w:pPr>
              <w:pStyle w:val="Tabletext"/>
              <w:jc w:val="left"/>
              <w:rPr>
                <w:sz w:val="20"/>
                <w:lang w:val="es-ES_tradnl" w:eastAsia="ko-KR"/>
              </w:rPr>
            </w:pPr>
            <w:r w:rsidRPr="008B7A21">
              <w:rPr>
                <w:sz w:val="20"/>
                <w:lang w:val="es-ES_tradnl" w:eastAsia="ko-KR"/>
              </w:rPr>
              <w:t>Factor de exención por motivos ecológicos</w:t>
            </w:r>
          </w:p>
        </w:tc>
        <w:tc>
          <w:tcPr>
            <w:tcW w:w="680" w:type="dxa"/>
            <w:vAlign w:val="center"/>
          </w:tcPr>
          <w:p w14:paraId="35B0DB58" w14:textId="77777777" w:rsidR="00F73D5B" w:rsidRPr="008B7A21" w:rsidRDefault="00F73D5B" w:rsidP="00767A6A">
            <w:pPr>
              <w:pStyle w:val="Tabletext"/>
              <w:jc w:val="center"/>
              <w:rPr>
                <w:sz w:val="20"/>
                <w:lang w:val="es-ES_tradnl" w:eastAsia="ko-KR"/>
              </w:rPr>
            </w:pPr>
            <w:r w:rsidRPr="008B7A21">
              <w:rPr>
                <w:sz w:val="20"/>
                <w:lang w:val="es-ES_tradnl" w:eastAsia="ko-KR"/>
              </w:rPr>
              <w:t>0,01</w:t>
            </w:r>
          </w:p>
        </w:tc>
        <w:tc>
          <w:tcPr>
            <w:tcW w:w="765" w:type="dxa"/>
            <w:vAlign w:val="center"/>
          </w:tcPr>
          <w:p w14:paraId="5CDB864D" w14:textId="77777777" w:rsidR="00F73D5B" w:rsidRPr="008B7A21" w:rsidRDefault="00F73D5B" w:rsidP="00767A6A">
            <w:pPr>
              <w:pStyle w:val="Tabletext"/>
              <w:jc w:val="center"/>
              <w:rPr>
                <w:sz w:val="20"/>
                <w:lang w:val="es-ES_tradnl" w:eastAsia="ko-KR"/>
              </w:rPr>
            </w:pPr>
            <w:r w:rsidRPr="008B7A21">
              <w:rPr>
                <w:sz w:val="20"/>
                <w:lang w:val="es-ES_tradnl" w:eastAsia="ko-KR"/>
              </w:rPr>
              <w:t>0,02</w:t>
            </w:r>
          </w:p>
        </w:tc>
        <w:tc>
          <w:tcPr>
            <w:tcW w:w="765" w:type="dxa"/>
            <w:vAlign w:val="center"/>
          </w:tcPr>
          <w:p w14:paraId="6CBC0ED0" w14:textId="77777777" w:rsidR="00F73D5B" w:rsidRPr="008B7A21" w:rsidRDefault="00F73D5B" w:rsidP="00767A6A">
            <w:pPr>
              <w:pStyle w:val="Tabletext"/>
              <w:jc w:val="center"/>
              <w:rPr>
                <w:sz w:val="20"/>
                <w:lang w:val="es-ES_tradnl" w:eastAsia="ko-KR"/>
              </w:rPr>
            </w:pPr>
            <w:r w:rsidRPr="008B7A21">
              <w:rPr>
                <w:sz w:val="20"/>
                <w:lang w:val="es-ES_tradnl" w:eastAsia="ko-KR"/>
              </w:rPr>
              <w:t>0,03</w:t>
            </w:r>
          </w:p>
        </w:tc>
        <w:tc>
          <w:tcPr>
            <w:tcW w:w="765" w:type="dxa"/>
            <w:vAlign w:val="center"/>
          </w:tcPr>
          <w:p w14:paraId="05912F69" w14:textId="77777777" w:rsidR="00F73D5B" w:rsidRPr="008B7A21" w:rsidRDefault="00F73D5B" w:rsidP="00767A6A">
            <w:pPr>
              <w:pStyle w:val="Tabletext"/>
              <w:jc w:val="center"/>
              <w:rPr>
                <w:sz w:val="20"/>
                <w:lang w:val="es-ES_tradnl" w:eastAsia="ko-KR"/>
              </w:rPr>
            </w:pPr>
            <w:r w:rsidRPr="008B7A21">
              <w:rPr>
                <w:sz w:val="20"/>
                <w:lang w:val="es-ES_tradnl" w:eastAsia="ko-KR"/>
              </w:rPr>
              <w:t>0,04</w:t>
            </w:r>
          </w:p>
        </w:tc>
        <w:tc>
          <w:tcPr>
            <w:tcW w:w="765" w:type="dxa"/>
            <w:vAlign w:val="center"/>
          </w:tcPr>
          <w:p w14:paraId="2DD48DB6" w14:textId="77777777" w:rsidR="00F73D5B" w:rsidRPr="008B7A21" w:rsidRDefault="00F73D5B" w:rsidP="00767A6A">
            <w:pPr>
              <w:pStyle w:val="Tabletext"/>
              <w:jc w:val="center"/>
              <w:rPr>
                <w:sz w:val="20"/>
                <w:lang w:val="es-ES_tradnl" w:eastAsia="ko-KR"/>
              </w:rPr>
            </w:pPr>
            <w:r w:rsidRPr="008B7A21">
              <w:rPr>
                <w:sz w:val="20"/>
                <w:lang w:val="es-ES_tradnl" w:eastAsia="ko-KR"/>
              </w:rPr>
              <w:t>0,05</w:t>
            </w:r>
          </w:p>
        </w:tc>
        <w:tc>
          <w:tcPr>
            <w:tcW w:w="765" w:type="dxa"/>
            <w:vAlign w:val="center"/>
          </w:tcPr>
          <w:p w14:paraId="4E4D4C4B" w14:textId="77777777" w:rsidR="00F73D5B" w:rsidRPr="008B7A21" w:rsidRDefault="00F73D5B" w:rsidP="00767A6A">
            <w:pPr>
              <w:pStyle w:val="Tabletext"/>
              <w:jc w:val="center"/>
              <w:rPr>
                <w:sz w:val="20"/>
                <w:lang w:val="es-ES_tradnl" w:eastAsia="ko-KR"/>
              </w:rPr>
            </w:pPr>
            <w:r w:rsidRPr="008B7A21">
              <w:rPr>
                <w:sz w:val="20"/>
                <w:lang w:val="es-ES_tradnl" w:eastAsia="ko-KR"/>
              </w:rPr>
              <w:t>0,06</w:t>
            </w:r>
          </w:p>
        </w:tc>
        <w:tc>
          <w:tcPr>
            <w:tcW w:w="765" w:type="dxa"/>
            <w:vAlign w:val="center"/>
          </w:tcPr>
          <w:p w14:paraId="0674B689" w14:textId="77777777" w:rsidR="00F73D5B" w:rsidRPr="008B7A21" w:rsidRDefault="00F73D5B" w:rsidP="00767A6A">
            <w:pPr>
              <w:pStyle w:val="Tabletext"/>
              <w:jc w:val="center"/>
              <w:rPr>
                <w:sz w:val="20"/>
                <w:lang w:val="es-ES_tradnl" w:eastAsia="ko-KR"/>
              </w:rPr>
            </w:pPr>
            <w:r w:rsidRPr="008B7A21">
              <w:rPr>
                <w:sz w:val="20"/>
                <w:lang w:val="es-ES_tradnl" w:eastAsia="ko-KR"/>
              </w:rPr>
              <w:t>0,07</w:t>
            </w:r>
          </w:p>
        </w:tc>
        <w:tc>
          <w:tcPr>
            <w:tcW w:w="765" w:type="dxa"/>
            <w:vAlign w:val="center"/>
          </w:tcPr>
          <w:p w14:paraId="468B5EB7" w14:textId="77777777" w:rsidR="00F73D5B" w:rsidRPr="008B7A21" w:rsidRDefault="00F73D5B" w:rsidP="00767A6A">
            <w:pPr>
              <w:pStyle w:val="Tabletext"/>
              <w:jc w:val="center"/>
              <w:rPr>
                <w:sz w:val="20"/>
                <w:lang w:val="es-ES_tradnl" w:eastAsia="ko-KR"/>
              </w:rPr>
            </w:pPr>
            <w:r w:rsidRPr="008B7A21">
              <w:rPr>
                <w:sz w:val="20"/>
                <w:lang w:val="es-ES_tradnl" w:eastAsia="ko-KR"/>
              </w:rPr>
              <w:t>0,08</w:t>
            </w:r>
          </w:p>
        </w:tc>
        <w:tc>
          <w:tcPr>
            <w:tcW w:w="765" w:type="dxa"/>
            <w:vAlign w:val="center"/>
          </w:tcPr>
          <w:p w14:paraId="6BBD6E1E" w14:textId="77777777" w:rsidR="00F73D5B" w:rsidRPr="008B7A21" w:rsidRDefault="00F73D5B" w:rsidP="00767A6A">
            <w:pPr>
              <w:pStyle w:val="Tabletext"/>
              <w:jc w:val="center"/>
              <w:rPr>
                <w:sz w:val="20"/>
                <w:lang w:val="es-ES_tradnl" w:eastAsia="ko-KR"/>
              </w:rPr>
            </w:pPr>
            <w:r w:rsidRPr="008B7A21">
              <w:rPr>
                <w:sz w:val="20"/>
                <w:lang w:val="es-ES_tradnl" w:eastAsia="ko-KR"/>
              </w:rPr>
              <w:t>0,09</w:t>
            </w:r>
          </w:p>
        </w:tc>
        <w:tc>
          <w:tcPr>
            <w:tcW w:w="680" w:type="dxa"/>
            <w:vAlign w:val="center"/>
          </w:tcPr>
          <w:p w14:paraId="5D36545B" w14:textId="77777777" w:rsidR="00F73D5B" w:rsidRPr="008B7A21" w:rsidRDefault="00F73D5B" w:rsidP="00767A6A">
            <w:pPr>
              <w:pStyle w:val="Tabletext"/>
              <w:jc w:val="center"/>
              <w:rPr>
                <w:sz w:val="20"/>
                <w:lang w:val="es-ES_tradnl" w:eastAsia="ko-KR"/>
              </w:rPr>
            </w:pPr>
            <w:r w:rsidRPr="008B7A21">
              <w:rPr>
                <w:sz w:val="20"/>
                <w:lang w:val="es-ES_tradnl" w:eastAsia="ko-KR"/>
              </w:rPr>
              <w:t>0,10</w:t>
            </w:r>
          </w:p>
        </w:tc>
      </w:tr>
    </w:tbl>
    <w:p w14:paraId="5C43ADCF" w14:textId="77777777" w:rsidR="00F73D5B" w:rsidRPr="008B7A21" w:rsidRDefault="00F73D5B" w:rsidP="00F73D5B">
      <w:pPr>
        <w:pStyle w:val="Tablefin"/>
        <w:rPr>
          <w:sz w:val="14"/>
          <w:szCs w:val="14"/>
          <w:lang w:val="es-ES_tradnl"/>
        </w:rPr>
      </w:pPr>
    </w:p>
    <w:p w14:paraId="2B6FC048" w14:textId="77777777" w:rsidR="00F73D5B" w:rsidRPr="008B7A21" w:rsidRDefault="00F73D5B" w:rsidP="00F73D5B">
      <w:pPr>
        <w:pStyle w:val="Headingb"/>
        <w:rPr>
          <w:lang w:val="es-ES_tradnl"/>
        </w:rPr>
      </w:pPr>
      <w:r w:rsidRPr="008B7A21">
        <w:rPr>
          <w:bCs/>
          <w:lang w:val="es-ES_tradnl"/>
        </w:rPr>
        <w:t>Categoría 4</w:t>
      </w:r>
      <w:r w:rsidRPr="008B7A21">
        <w:rPr>
          <w:lang w:val="es-ES_tradnl"/>
        </w:rPr>
        <w:t>: Según las estaciones terrenas instaladas sobre vehículos y estaciones terrenas de operador común para arriendo</w:t>
      </w:r>
    </w:p>
    <w:p w14:paraId="79305B13" w14:textId="77777777" w:rsidR="00F73D5B" w:rsidRPr="008B7A21" w:rsidRDefault="00F73D5B" w:rsidP="00F73D5B">
      <w:pPr>
        <w:keepNext/>
        <w:keepLines/>
        <w:rPr>
          <w:lang w:val="es-ES_tradnl"/>
        </w:rPr>
      </w:pPr>
      <w:r w:rsidRPr="008B7A21">
        <w:rPr>
          <w:lang w:val="es-ES_tradnl"/>
        </w:rPr>
        <w:t>Los cánones SF se determinarán en cada categoría de la forma siguiente:</w:t>
      </w:r>
    </w:p>
    <w:p w14:paraId="4F22EEB3" w14:textId="77777777" w:rsidR="00F73D5B" w:rsidRPr="008B7A21" w:rsidRDefault="00F73D5B" w:rsidP="00D849A8">
      <w:pPr>
        <w:pStyle w:val="TableNo"/>
        <w:rPr>
          <w:lang w:val="es-ES_tradnl" w:eastAsia="ko-KR"/>
        </w:rPr>
      </w:pPr>
      <w:r w:rsidRPr="008B7A21">
        <w:rPr>
          <w:lang w:val="es-ES_tradnl" w:eastAsia="ko-KR"/>
        </w:rPr>
        <w:t>CUADRO 48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85"/>
        <w:gridCol w:w="1954"/>
      </w:tblGrid>
      <w:tr w:rsidR="00F73D5B" w:rsidRPr="008B7A21" w14:paraId="2AAD026B" w14:textId="77777777" w:rsidTr="00D849A8">
        <w:trPr>
          <w:jc w:val="center"/>
        </w:trPr>
        <w:tc>
          <w:tcPr>
            <w:tcW w:w="6690" w:type="dxa"/>
            <w:tcBorders>
              <w:top w:val="single" w:sz="4" w:space="0" w:color="auto"/>
              <w:left w:val="single" w:sz="4" w:space="0" w:color="auto"/>
              <w:bottom w:val="single" w:sz="4" w:space="0" w:color="auto"/>
              <w:right w:val="single" w:sz="4" w:space="0" w:color="auto"/>
            </w:tcBorders>
            <w:vAlign w:val="center"/>
          </w:tcPr>
          <w:p w14:paraId="58F4FF52" w14:textId="77777777" w:rsidR="00F73D5B" w:rsidRPr="008B7A21" w:rsidRDefault="00F73D5B" w:rsidP="00767A6A">
            <w:pPr>
              <w:pStyle w:val="Tablehead"/>
              <w:rPr>
                <w:lang w:val="es-ES_tradnl"/>
              </w:rPr>
            </w:pPr>
            <w:r w:rsidRPr="008B7A21">
              <w:rPr>
                <w:lang w:val="es-ES_tradnl"/>
              </w:rPr>
              <w:t xml:space="preserve">Tipo de estaciones </w:t>
            </w:r>
          </w:p>
        </w:tc>
        <w:tc>
          <w:tcPr>
            <w:tcW w:w="1701" w:type="dxa"/>
            <w:tcBorders>
              <w:top w:val="single" w:sz="4" w:space="0" w:color="auto"/>
              <w:left w:val="single" w:sz="4" w:space="0" w:color="auto"/>
              <w:bottom w:val="single" w:sz="4" w:space="0" w:color="auto"/>
              <w:right w:val="single" w:sz="4" w:space="0" w:color="auto"/>
            </w:tcBorders>
            <w:vAlign w:val="center"/>
          </w:tcPr>
          <w:p w14:paraId="49F3D7DC" w14:textId="77777777" w:rsidR="00F73D5B" w:rsidRPr="008B7A21" w:rsidRDefault="00F73D5B" w:rsidP="00767A6A">
            <w:pPr>
              <w:pStyle w:val="Tablehead"/>
              <w:rPr>
                <w:rFonts w:eastAsia="???"/>
                <w:lang w:val="es-ES_tradnl"/>
              </w:rPr>
            </w:pPr>
            <w:r w:rsidRPr="008B7A21">
              <w:rPr>
                <w:rFonts w:eastAsia="???"/>
                <w:lang w:val="es-ES_tradnl"/>
              </w:rPr>
              <w:t>SF</w:t>
            </w:r>
            <w:r w:rsidRPr="008B7A21">
              <w:rPr>
                <w:rFonts w:eastAsia="???"/>
                <w:lang w:val="es-ES_tradnl"/>
              </w:rPr>
              <w:br/>
              <w:t>(KRW)</w:t>
            </w:r>
          </w:p>
        </w:tc>
      </w:tr>
      <w:tr w:rsidR="00F73D5B" w:rsidRPr="008B7A21" w14:paraId="4665BE02" w14:textId="77777777" w:rsidTr="00D849A8">
        <w:trPr>
          <w:jc w:val="center"/>
        </w:trPr>
        <w:tc>
          <w:tcPr>
            <w:tcW w:w="6690" w:type="dxa"/>
            <w:tcBorders>
              <w:top w:val="single" w:sz="4" w:space="0" w:color="auto"/>
              <w:left w:val="single" w:sz="4" w:space="0" w:color="auto"/>
              <w:bottom w:val="single" w:sz="4" w:space="0" w:color="auto"/>
              <w:right w:val="single" w:sz="4" w:space="0" w:color="auto"/>
            </w:tcBorders>
          </w:tcPr>
          <w:p w14:paraId="4A428123" w14:textId="77777777" w:rsidR="00F73D5B" w:rsidRPr="008B7A21" w:rsidRDefault="00F73D5B" w:rsidP="00767A6A">
            <w:pPr>
              <w:pStyle w:val="Tabletext"/>
              <w:rPr>
                <w:lang w:val="es-ES_tradnl"/>
              </w:rPr>
            </w:pPr>
            <w:r w:rsidRPr="008B7A21">
              <w:rPr>
                <w:lang w:val="es-ES_tradnl"/>
              </w:rPr>
              <w:t>Estaciones instaladas en vehículos (tales como barcos y aeronaves)</w:t>
            </w:r>
          </w:p>
        </w:tc>
        <w:tc>
          <w:tcPr>
            <w:tcW w:w="1701" w:type="dxa"/>
            <w:tcBorders>
              <w:top w:val="single" w:sz="4" w:space="0" w:color="auto"/>
              <w:left w:val="single" w:sz="4" w:space="0" w:color="auto"/>
              <w:bottom w:val="single" w:sz="4" w:space="0" w:color="auto"/>
              <w:right w:val="single" w:sz="4" w:space="0" w:color="auto"/>
            </w:tcBorders>
          </w:tcPr>
          <w:p w14:paraId="7460F361" w14:textId="77777777" w:rsidR="00F73D5B" w:rsidRPr="008B7A21" w:rsidRDefault="00F73D5B" w:rsidP="00767A6A">
            <w:pPr>
              <w:pStyle w:val="Tabletext"/>
              <w:jc w:val="center"/>
              <w:rPr>
                <w:lang w:val="es-ES_tradnl"/>
              </w:rPr>
            </w:pPr>
            <w:r w:rsidRPr="008B7A21">
              <w:rPr>
                <w:lang w:val="es-ES_tradnl"/>
              </w:rPr>
              <w:t>20 000</w:t>
            </w:r>
          </w:p>
        </w:tc>
      </w:tr>
      <w:tr w:rsidR="00F73D5B" w:rsidRPr="008B7A21" w14:paraId="1D16EDD2" w14:textId="77777777" w:rsidTr="00D849A8">
        <w:trPr>
          <w:jc w:val="center"/>
        </w:trPr>
        <w:tc>
          <w:tcPr>
            <w:tcW w:w="6690" w:type="dxa"/>
            <w:tcBorders>
              <w:top w:val="single" w:sz="4" w:space="0" w:color="auto"/>
              <w:left w:val="single" w:sz="4" w:space="0" w:color="auto"/>
              <w:bottom w:val="single" w:sz="4" w:space="0" w:color="auto"/>
              <w:right w:val="single" w:sz="4" w:space="0" w:color="auto"/>
            </w:tcBorders>
          </w:tcPr>
          <w:p w14:paraId="4837309D" w14:textId="77777777" w:rsidR="00F73D5B" w:rsidRPr="008B7A21" w:rsidRDefault="00F73D5B" w:rsidP="00767A6A">
            <w:pPr>
              <w:pStyle w:val="Tabletext"/>
              <w:rPr>
                <w:lang w:val="es-ES_tradnl"/>
              </w:rPr>
            </w:pPr>
            <w:r w:rsidRPr="008B7A21">
              <w:rPr>
                <w:lang w:val="es-ES_tradnl"/>
              </w:rPr>
              <w:t>Estaciones terrenas de operadores comunes para arriendo</w:t>
            </w:r>
          </w:p>
        </w:tc>
        <w:tc>
          <w:tcPr>
            <w:tcW w:w="1701" w:type="dxa"/>
            <w:tcBorders>
              <w:top w:val="single" w:sz="4" w:space="0" w:color="auto"/>
              <w:left w:val="single" w:sz="4" w:space="0" w:color="auto"/>
              <w:bottom w:val="single" w:sz="4" w:space="0" w:color="auto"/>
              <w:right w:val="single" w:sz="4" w:space="0" w:color="auto"/>
            </w:tcBorders>
          </w:tcPr>
          <w:p w14:paraId="0850C15E" w14:textId="77777777" w:rsidR="00F73D5B" w:rsidRPr="008B7A21" w:rsidRDefault="00F73D5B" w:rsidP="00767A6A">
            <w:pPr>
              <w:pStyle w:val="Tabletext"/>
              <w:jc w:val="center"/>
              <w:rPr>
                <w:lang w:val="es-ES_tradnl"/>
              </w:rPr>
            </w:pPr>
            <w:r w:rsidRPr="008B7A21">
              <w:rPr>
                <w:lang w:val="es-ES_tradnl"/>
              </w:rPr>
              <w:t>20 000</w:t>
            </w:r>
          </w:p>
        </w:tc>
      </w:tr>
      <w:tr w:rsidR="00F73D5B" w:rsidRPr="008B7A21" w14:paraId="1E4AD031" w14:textId="77777777" w:rsidTr="00D849A8">
        <w:trPr>
          <w:jc w:val="center"/>
        </w:trPr>
        <w:tc>
          <w:tcPr>
            <w:tcW w:w="6690" w:type="dxa"/>
            <w:tcBorders>
              <w:top w:val="single" w:sz="4" w:space="0" w:color="auto"/>
              <w:left w:val="single" w:sz="4" w:space="0" w:color="auto"/>
              <w:bottom w:val="single" w:sz="4" w:space="0" w:color="auto"/>
              <w:right w:val="single" w:sz="4" w:space="0" w:color="auto"/>
            </w:tcBorders>
          </w:tcPr>
          <w:p w14:paraId="13AE4D62" w14:textId="77777777" w:rsidR="00F73D5B" w:rsidRPr="008B7A21" w:rsidRDefault="00F73D5B" w:rsidP="00767A6A">
            <w:pPr>
              <w:pStyle w:val="Tabletext"/>
              <w:rPr>
                <w:lang w:val="es-ES_tradnl"/>
              </w:rPr>
            </w:pPr>
            <w:r w:rsidRPr="008B7A21">
              <w:rPr>
                <w:lang w:val="es-ES_tradnl"/>
              </w:rPr>
              <w:t xml:space="preserve">Otras estaciones </w:t>
            </w:r>
          </w:p>
        </w:tc>
        <w:tc>
          <w:tcPr>
            <w:tcW w:w="1701" w:type="dxa"/>
            <w:tcBorders>
              <w:top w:val="single" w:sz="4" w:space="0" w:color="auto"/>
              <w:left w:val="single" w:sz="4" w:space="0" w:color="auto"/>
              <w:bottom w:val="single" w:sz="4" w:space="0" w:color="auto"/>
              <w:right w:val="single" w:sz="4" w:space="0" w:color="auto"/>
            </w:tcBorders>
          </w:tcPr>
          <w:p w14:paraId="20DB7601" w14:textId="77777777" w:rsidR="00F73D5B" w:rsidRPr="008B7A21" w:rsidRDefault="00F73D5B" w:rsidP="00767A6A">
            <w:pPr>
              <w:pStyle w:val="Tabletext"/>
              <w:jc w:val="center"/>
              <w:rPr>
                <w:lang w:val="es-ES_tradnl"/>
              </w:rPr>
            </w:pPr>
            <w:r w:rsidRPr="008B7A21">
              <w:rPr>
                <w:lang w:val="es-ES_tradnl"/>
              </w:rPr>
              <w:t>3 000</w:t>
            </w:r>
          </w:p>
        </w:tc>
      </w:tr>
    </w:tbl>
    <w:p w14:paraId="3721BABF" w14:textId="77777777" w:rsidR="00F73D5B" w:rsidRPr="008B7A21" w:rsidRDefault="00F73D5B" w:rsidP="00F73D5B">
      <w:pPr>
        <w:pStyle w:val="Tablefin"/>
        <w:rPr>
          <w:sz w:val="8"/>
          <w:szCs w:val="8"/>
          <w:lang w:val="es-ES_tradnl"/>
        </w:rPr>
      </w:pPr>
      <w:bookmarkStart w:id="2055" w:name="_Toc396187425"/>
      <w:bookmarkStart w:id="2056" w:name="_Toc306276899"/>
      <w:bookmarkStart w:id="2057" w:name="_Toc307921572"/>
      <w:bookmarkStart w:id="2058" w:name="_Toc307922139"/>
      <w:bookmarkStart w:id="2059" w:name="_Toc307922695"/>
      <w:bookmarkStart w:id="2060" w:name="_Toc307992044"/>
      <w:bookmarkStart w:id="2061" w:name="_Toc307994079"/>
      <w:bookmarkStart w:id="2062" w:name="_Toc307995286"/>
      <w:bookmarkStart w:id="2063" w:name="_Toc307996485"/>
      <w:bookmarkStart w:id="2064" w:name="_Toc308010405"/>
    </w:p>
    <w:p w14:paraId="24060E26" w14:textId="77777777" w:rsidR="00F73D5B" w:rsidRPr="008B7A21" w:rsidRDefault="00F73D5B" w:rsidP="00F73D5B">
      <w:pPr>
        <w:pStyle w:val="Heading3"/>
        <w:rPr>
          <w:lang w:val="es-ES_tradnl"/>
        </w:rPr>
      </w:pPr>
      <w:bookmarkStart w:id="2065" w:name="_Toc499563130"/>
      <w:bookmarkStart w:id="2066" w:name="_Toc215835451"/>
      <w:r w:rsidRPr="008B7A21">
        <w:rPr>
          <w:lang w:val="es-ES_tradnl"/>
        </w:rPr>
        <w:t>5.2.12</w:t>
      </w:r>
      <w:r w:rsidRPr="008B7A21">
        <w:rPr>
          <w:lang w:val="es-ES_tradnl"/>
        </w:rPr>
        <w:tab/>
        <w:t>La experiencia de Indonesia con el canon del espectro</w:t>
      </w:r>
      <w:bookmarkEnd w:id="2065"/>
      <w:bookmarkEnd w:id="2066"/>
    </w:p>
    <w:p w14:paraId="17599CB4" w14:textId="77777777" w:rsidR="00F73D5B" w:rsidRPr="008B7A21" w:rsidRDefault="00F73D5B" w:rsidP="00F73D5B">
      <w:pPr>
        <w:pStyle w:val="Headingb"/>
        <w:rPr>
          <w:lang w:val="es-ES_tradnl"/>
        </w:rPr>
      </w:pPr>
      <w:bookmarkStart w:id="2067" w:name="_Toc370823667"/>
      <w:bookmarkStart w:id="2068" w:name="_Toc454285004"/>
      <w:bookmarkStart w:id="2069" w:name="_Toc462234168"/>
      <w:bookmarkStart w:id="2070" w:name="_Toc499563131"/>
      <w:r w:rsidRPr="008B7A21">
        <w:rPr>
          <w:lang w:val="es-ES_tradnl"/>
        </w:rPr>
        <w:t>A</w:t>
      </w:r>
      <w:bookmarkEnd w:id="2067"/>
      <w:r w:rsidRPr="008B7A21">
        <w:rPr>
          <w:lang w:val="es-ES_tradnl"/>
        </w:rPr>
        <w:t>ntecedentes</w:t>
      </w:r>
      <w:bookmarkEnd w:id="2068"/>
      <w:bookmarkEnd w:id="2069"/>
      <w:bookmarkEnd w:id="2070"/>
    </w:p>
    <w:p w14:paraId="63DD5126" w14:textId="77777777" w:rsidR="00F73D5B" w:rsidRPr="008B7A21" w:rsidRDefault="00F73D5B" w:rsidP="00F73D5B">
      <w:pPr>
        <w:rPr>
          <w:lang w:val="es-ES_tradnl"/>
        </w:rPr>
      </w:pPr>
      <w:r w:rsidRPr="008B7A21">
        <w:rPr>
          <w:lang w:val="es-ES_tradnl"/>
        </w:rPr>
        <w:t>El espectro es uno de los recursos escasos con muchas ventajas para el usuario. Es decir, tiene un valor. Para que el uso del espectro sea eficiente y eficaz, la UIT recomienda a las administraciones realizar una gestión nacional del espectro. Esa gestión supone unos costes que pueden sufragarse imponiendo un canon del espectro al usuario del espectro. Todo usuario del espectro en Indonesia debe tener una licencia. La licencia se utiliza como base para determinar la cantidad del canon del espectro.</w:t>
      </w:r>
    </w:p>
    <w:p w14:paraId="3C7EFBA4" w14:textId="1F52947B" w:rsidR="00F73D5B" w:rsidRPr="008B7A21" w:rsidRDefault="00F73D5B" w:rsidP="00F73D5B">
      <w:pPr>
        <w:pStyle w:val="FigureNo"/>
        <w:rPr>
          <w:lang w:val="es-ES_tradnl"/>
        </w:rPr>
      </w:pPr>
      <w:r w:rsidRPr="008B7A21">
        <w:rPr>
          <w:lang w:val="es-ES_tradnl"/>
        </w:rPr>
        <w:t>Figura 18</w:t>
      </w:r>
    </w:p>
    <w:p w14:paraId="6E889E70" w14:textId="77777777" w:rsidR="00F73D5B" w:rsidRPr="008B7A21" w:rsidRDefault="00F73D5B" w:rsidP="00F73D5B">
      <w:pPr>
        <w:pStyle w:val="Figuretitle"/>
        <w:rPr>
          <w:lang w:val="es-ES_tradnl"/>
        </w:rPr>
      </w:pPr>
      <w:r w:rsidRPr="008B7A21">
        <w:rPr>
          <w:lang w:val="es-ES_tradnl"/>
        </w:rPr>
        <w:t>Tipos actuales de licencias que se utilizan en Indonesia</w:t>
      </w:r>
    </w:p>
    <w:p w14:paraId="4086BB09" w14:textId="0EC125E8" w:rsidR="00765998" w:rsidRDefault="00765998" w:rsidP="00765998">
      <w:pPr>
        <w:pStyle w:val="Figure"/>
        <w:rPr>
          <w:lang w:val="es-ES_tradnl"/>
        </w:rPr>
      </w:pPr>
      <w:r>
        <w:rPr>
          <w:noProof/>
          <w:lang w:val="es-ES_tradnl"/>
        </w:rPr>
        <w:drawing>
          <wp:inline distT="0" distB="0" distL="0" distR="0" wp14:anchorId="22D7F81F" wp14:editId="5FDDA381">
            <wp:extent cx="5474219" cy="2340869"/>
            <wp:effectExtent l="0" t="0" r="0" b="2540"/>
            <wp:docPr id="1505253924" name="Picture 2" descr="La Figura 18 muestra los tipos actuales de licencias que se utilizan en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53924" name="Picture 2" descr="La Figura 18 muestra los tipos actuales de licencias que se utilizan en Indonesia"/>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5474219" cy="2340869"/>
                    </a:xfrm>
                    <a:prstGeom prst="rect">
                      <a:avLst/>
                    </a:prstGeom>
                  </pic:spPr>
                </pic:pic>
              </a:graphicData>
            </a:graphic>
          </wp:inline>
        </w:drawing>
      </w:r>
    </w:p>
    <w:p w14:paraId="66D48702" w14:textId="7601DCF6" w:rsidR="00F73D5B" w:rsidRPr="008B7A21" w:rsidRDefault="00F73D5B" w:rsidP="00D849A8">
      <w:pPr>
        <w:pStyle w:val="Normalaftertitle"/>
        <w:rPr>
          <w:lang w:val="es-ES_tradnl"/>
        </w:rPr>
      </w:pPr>
      <w:r w:rsidRPr="008B7A21">
        <w:rPr>
          <w:lang w:val="es-ES_tradnl"/>
        </w:rPr>
        <w:t xml:space="preserve">Los cánones del espectro que paga el usuario del espectro suponen </w:t>
      </w:r>
      <w:r w:rsidRPr="008B7A21">
        <w:rPr>
          <w:b/>
          <w:lang w:val="es-ES_tradnl"/>
        </w:rPr>
        <w:t>unos ingresos no tributarios para el Estado</w:t>
      </w:r>
      <w:r w:rsidRPr="008B7A21">
        <w:rPr>
          <w:lang w:val="es-ES_tradnl"/>
        </w:rPr>
        <w:t>. Igual que la función de los impuestos, los ingresos no tributarios tienen la función de financiar el desarrollo nacional y servicios públicos, como sanidad, justicia, educación y tecnología.</w:t>
      </w:r>
    </w:p>
    <w:p w14:paraId="024C370A" w14:textId="77777777" w:rsidR="00F73D5B" w:rsidRPr="008B7A21" w:rsidRDefault="00F73D5B" w:rsidP="00F73D5B">
      <w:pPr>
        <w:pStyle w:val="Title1"/>
        <w:rPr>
          <w:lang w:val="es-ES_tradnl"/>
        </w:rPr>
      </w:pPr>
      <w:bookmarkStart w:id="2071" w:name="_Toc364845296"/>
      <w:r w:rsidRPr="008B7A21">
        <w:rPr>
          <w:lang w:val="es-ES_tradnl"/>
        </w:rPr>
        <w:t>Licencias de espectro en Indonesia</w:t>
      </w:r>
    </w:p>
    <w:p w14:paraId="2682B6BE" w14:textId="77777777" w:rsidR="00F73D5B" w:rsidRPr="008B7A21" w:rsidRDefault="00F73D5B" w:rsidP="00F73D5B">
      <w:pPr>
        <w:pStyle w:val="Headingb"/>
        <w:rPr>
          <w:lang w:val="es-ES_tradnl"/>
        </w:rPr>
      </w:pPr>
      <w:bookmarkStart w:id="2072" w:name="_Toc499563132"/>
      <w:r w:rsidRPr="008B7A21">
        <w:rPr>
          <w:lang w:val="es-ES_tradnl"/>
        </w:rPr>
        <w:t>Licencia de equipos</w:t>
      </w:r>
      <w:bookmarkEnd w:id="2072"/>
    </w:p>
    <w:p w14:paraId="7FA9713C" w14:textId="77777777" w:rsidR="00F73D5B" w:rsidRPr="008B7A21" w:rsidRDefault="00F73D5B" w:rsidP="00F73D5B">
      <w:pPr>
        <w:rPr>
          <w:lang w:val="es-ES_tradnl"/>
        </w:rPr>
      </w:pPr>
      <w:r w:rsidRPr="008B7A21">
        <w:rPr>
          <w:lang w:val="es-ES_tradnl"/>
        </w:rPr>
        <w:t>El Gobierno de Indonesia concede la licencia de equipos al usuario para un periodo de 5 años. Una vez concedida la licencia a los usuarios del espectro, esos tienen que pagar un canon del espectro cada año hasta la fecha de expiración.</w:t>
      </w:r>
    </w:p>
    <w:p w14:paraId="2269FF50" w14:textId="77777777" w:rsidR="00F73D5B" w:rsidRPr="008B7A21" w:rsidRDefault="00F73D5B" w:rsidP="00F73D5B">
      <w:pPr>
        <w:rPr>
          <w:lang w:val="es-ES_tradnl"/>
        </w:rPr>
      </w:pPr>
      <w:r w:rsidRPr="008B7A21">
        <w:rPr>
          <w:lang w:val="es-ES_tradnl"/>
        </w:rPr>
        <w:t>El canon del espectro que deben pagar los usuarios del espectro se calcula utilizando una fórmula con los siguientes componentes:</w:t>
      </w:r>
    </w:p>
    <w:p w14:paraId="577464EC" w14:textId="77777777" w:rsidR="00F73D5B" w:rsidRPr="008B7A21" w:rsidRDefault="00F73D5B" w:rsidP="00F73D5B">
      <w:pPr>
        <w:pStyle w:val="enumlev1"/>
        <w:rPr>
          <w:lang w:val="es-ES_tradnl"/>
        </w:rPr>
      </w:pPr>
      <w:r w:rsidRPr="008B7A21">
        <w:rPr>
          <w:lang w:val="es-ES_tradnl"/>
        </w:rPr>
        <w:t>–</w:t>
      </w:r>
      <w:r w:rsidRPr="008B7A21">
        <w:rPr>
          <w:lang w:val="es-ES_tradnl"/>
        </w:rPr>
        <w:tab/>
        <w:t>Precio básico de potencia de espectro (HDDP).</w:t>
      </w:r>
    </w:p>
    <w:p w14:paraId="275088CE" w14:textId="77777777" w:rsidR="00F73D5B" w:rsidRPr="008B7A21" w:rsidRDefault="00F73D5B" w:rsidP="00F73D5B">
      <w:pPr>
        <w:pStyle w:val="enumlev1"/>
        <w:rPr>
          <w:lang w:val="es-ES_tradnl"/>
        </w:rPr>
      </w:pPr>
      <w:r w:rsidRPr="008B7A21">
        <w:rPr>
          <w:lang w:val="es-ES_tradnl"/>
        </w:rPr>
        <w:t>–</w:t>
      </w:r>
      <w:r w:rsidRPr="008B7A21">
        <w:rPr>
          <w:lang w:val="es-ES_tradnl"/>
        </w:rPr>
        <w:tab/>
        <w:t>Precio básico de ancho de banda de espectro (HDLP).</w:t>
      </w:r>
    </w:p>
    <w:p w14:paraId="579CFCDC" w14:textId="77777777" w:rsidR="00F73D5B" w:rsidRPr="008B7A21" w:rsidRDefault="00F73D5B" w:rsidP="00F73D5B">
      <w:pPr>
        <w:pStyle w:val="enumlev1"/>
        <w:rPr>
          <w:lang w:val="es-ES_tradnl"/>
        </w:rPr>
      </w:pPr>
      <w:r w:rsidRPr="008B7A21">
        <w:rPr>
          <w:lang w:val="es-ES_tradnl"/>
        </w:rPr>
        <w:t>–</w:t>
      </w:r>
      <w:r w:rsidRPr="008B7A21">
        <w:rPr>
          <w:lang w:val="es-ES_tradnl"/>
        </w:rPr>
        <w:tab/>
        <w:t>Potencia de espectro (p).</w:t>
      </w:r>
    </w:p>
    <w:p w14:paraId="3C9D5C56" w14:textId="77777777" w:rsidR="00F73D5B" w:rsidRPr="008B7A21" w:rsidRDefault="00F73D5B" w:rsidP="00F73D5B">
      <w:pPr>
        <w:pStyle w:val="enumlev1"/>
        <w:rPr>
          <w:lang w:val="es-ES_tradnl"/>
        </w:rPr>
      </w:pPr>
      <w:r w:rsidRPr="008B7A21">
        <w:rPr>
          <w:lang w:val="es-ES_tradnl"/>
        </w:rPr>
        <w:t>–</w:t>
      </w:r>
      <w:r w:rsidRPr="008B7A21">
        <w:rPr>
          <w:lang w:val="es-ES_tradnl"/>
        </w:rPr>
        <w:tab/>
        <w:t>Ancho de banda (b).</w:t>
      </w:r>
    </w:p>
    <w:p w14:paraId="7BEC35F7" w14:textId="77777777" w:rsidR="00F73D5B" w:rsidRPr="008B7A21" w:rsidRDefault="00F73D5B" w:rsidP="00F73D5B">
      <w:pPr>
        <w:pStyle w:val="enumlev1"/>
        <w:rPr>
          <w:lang w:val="es-ES_tradnl"/>
        </w:rPr>
      </w:pPr>
      <w:r w:rsidRPr="008B7A21">
        <w:rPr>
          <w:lang w:val="es-ES_tradnl"/>
        </w:rPr>
        <w:t>–</w:t>
      </w:r>
      <w:r w:rsidRPr="008B7A21">
        <w:rPr>
          <w:lang w:val="es-ES_tradnl"/>
        </w:rPr>
        <w:tab/>
        <w:t>Índice de ancho de banda (Ib).</w:t>
      </w:r>
    </w:p>
    <w:p w14:paraId="2FDF460F" w14:textId="77777777" w:rsidR="00F73D5B" w:rsidRPr="008B7A21" w:rsidRDefault="00F73D5B" w:rsidP="00F73D5B">
      <w:pPr>
        <w:pStyle w:val="enumlev1"/>
        <w:rPr>
          <w:lang w:val="es-ES_tradnl"/>
        </w:rPr>
      </w:pPr>
      <w:r w:rsidRPr="008B7A21">
        <w:rPr>
          <w:lang w:val="es-ES_tradnl"/>
        </w:rPr>
        <w:t>–</w:t>
      </w:r>
      <w:r w:rsidRPr="008B7A21">
        <w:rPr>
          <w:lang w:val="es-ES_tradnl"/>
        </w:rPr>
        <w:tab/>
        <w:t>Índice de potencia (Ip).</w:t>
      </w:r>
    </w:p>
    <w:p w14:paraId="238F74B5" w14:textId="77777777" w:rsidR="00F73D5B" w:rsidRPr="008B7A21" w:rsidRDefault="00F73D5B" w:rsidP="00F73D5B">
      <w:pPr>
        <w:pStyle w:val="enumlev1"/>
        <w:rPr>
          <w:lang w:val="es-ES_tradnl"/>
        </w:rPr>
      </w:pPr>
      <w:r w:rsidRPr="008B7A21">
        <w:rPr>
          <w:lang w:val="es-ES_tradnl"/>
        </w:rPr>
        <w:t>–</w:t>
      </w:r>
      <w:r w:rsidRPr="008B7A21">
        <w:rPr>
          <w:lang w:val="es-ES_tradnl"/>
        </w:rPr>
        <w:tab/>
        <w:t>Zona de servicio de telecomunicaciones.</w:t>
      </w:r>
    </w:p>
    <w:p w14:paraId="517D13A0" w14:textId="77777777" w:rsidR="00F73D5B" w:rsidRPr="008B7A21" w:rsidRDefault="00F73D5B" w:rsidP="00F73D5B">
      <w:pPr>
        <w:rPr>
          <w:i/>
          <w:lang w:val="es-ES_tradnl"/>
        </w:rPr>
      </w:pPr>
      <w:r w:rsidRPr="008B7A21">
        <w:rPr>
          <w:lang w:val="es-ES_tradnl"/>
        </w:rPr>
        <w:t>La fórmula del canon del espectro para una licencia de equipos es:</w:t>
      </w:r>
    </w:p>
    <w:p w14:paraId="4666D317" w14:textId="77777777" w:rsidR="00F73D5B" w:rsidRPr="008B7A21" w:rsidRDefault="00F73D5B" w:rsidP="00F73D5B">
      <w:pPr>
        <w:pStyle w:val="Blanc"/>
        <w:rPr>
          <w:lang w:val="es-ES_tradnl"/>
        </w:rPr>
      </w:pPr>
    </w:p>
    <w:p w14:paraId="71BCFDC2" w14:textId="77777777" w:rsidR="00F73D5B" w:rsidRPr="008B7A21" w:rsidRDefault="00F73D5B" w:rsidP="00F73D5B">
      <w:pPr>
        <w:pStyle w:val="Equation"/>
        <w:rPr>
          <w:lang w:val="es-ES_tradnl"/>
        </w:rPr>
      </w:pPr>
      <w:r w:rsidRPr="008B7A21">
        <w:rPr>
          <w:lang w:val="es-ES_tradnl"/>
        </w:rPr>
        <w:tab/>
      </w:r>
      <w:r w:rsidRPr="008B7A21">
        <w:rPr>
          <w:lang w:val="es-ES_tradnl"/>
        </w:rPr>
        <w:tab/>
      </w:r>
      <m:oMath>
        <m:r>
          <m:rPr>
            <m:sty m:val="p"/>
          </m:rPr>
          <w:rPr>
            <w:rFonts w:ascii="Cambria Math" w:hAnsi="Cambria Math"/>
            <w:lang w:val="es-ES_tradnl"/>
          </w:rPr>
          <w:br/>
        </m:r>
      </m:oMath>
      <m:oMathPara>
        <m:oMath>
          <m:r>
            <m:rPr>
              <m:sty m:val="p"/>
            </m:rPr>
            <w:rPr>
              <w:rFonts w:ascii="Cambria Math" w:hAnsi="Cambria Math"/>
              <w:lang w:val="es-ES_tradnl"/>
            </w:rPr>
            <m:t>Canon del espectro</m:t>
          </m:r>
          <m:r>
            <w:rPr>
              <w:rFonts w:ascii="Cambria Math" w:hAnsi="Cambria Math"/>
              <w:lang w:val="es-ES_tradnl"/>
            </w:rPr>
            <m:t xml:space="preserve">= </m:t>
          </m:r>
          <m:f>
            <m:fPr>
              <m:ctrlPr>
                <w:rPr>
                  <w:rFonts w:ascii="Cambria Math" w:hAnsi="Cambria Math"/>
                  <w:i/>
                  <w:lang w:val="es-ES_tradnl"/>
                </w:rPr>
              </m:ctrlPr>
            </m:fPr>
            <m:num>
              <m:d>
                <m:dPr>
                  <m:ctrlPr>
                    <w:rPr>
                      <w:rFonts w:ascii="Cambria Math" w:hAnsi="Cambria Math"/>
                      <w:i/>
                      <w:lang w:val="es-ES_tradnl"/>
                    </w:rPr>
                  </m:ctrlPr>
                </m:dPr>
                <m:e>
                  <m:r>
                    <m:rPr>
                      <m:sty m:val="p"/>
                    </m:rPr>
                    <w:rPr>
                      <w:rFonts w:ascii="Cambria Math" w:hAnsi="Cambria Math"/>
                      <w:lang w:val="es-ES_tradnl"/>
                    </w:rPr>
                    <m:t>Ib×HDLP</m:t>
                  </m:r>
                  <m:r>
                    <w:rPr>
                      <w:rFonts w:ascii="Cambria Math" w:hAnsi="Cambria Math"/>
                      <w:lang w:val="es-ES_tradnl"/>
                    </w:rPr>
                    <m:t>×</m:t>
                  </m:r>
                  <m:r>
                    <m:rPr>
                      <m:sty m:val="p"/>
                    </m:rPr>
                    <w:rPr>
                      <w:rFonts w:ascii="Cambria Math" w:hAnsi="Cambria Math"/>
                      <w:lang w:val="es-ES_tradnl"/>
                    </w:rPr>
                    <m:t>b</m:t>
                  </m:r>
                </m:e>
              </m:d>
              <m:r>
                <w:rPr>
                  <w:rFonts w:ascii="Cambria Math" w:hAnsi="Cambria Math"/>
                  <w:lang w:val="es-ES_tradnl"/>
                </w:rPr>
                <m:t>+</m:t>
              </m:r>
              <m:d>
                <m:dPr>
                  <m:ctrlPr>
                    <w:rPr>
                      <w:rFonts w:ascii="Cambria Math" w:hAnsi="Cambria Math"/>
                      <w:i/>
                      <w:lang w:val="es-ES_tradnl"/>
                    </w:rPr>
                  </m:ctrlPr>
                </m:dPr>
                <m:e>
                  <m:r>
                    <m:rPr>
                      <m:sty m:val="p"/>
                    </m:rPr>
                    <w:rPr>
                      <w:rFonts w:ascii="Cambria Math" w:hAnsi="Cambria Math"/>
                      <w:lang w:val="es-ES_tradnl"/>
                    </w:rPr>
                    <m:t>Ip×HDDP</m:t>
                  </m:r>
                  <m:r>
                    <w:rPr>
                      <w:rFonts w:ascii="Cambria Math" w:hAnsi="Cambria Math"/>
                      <w:lang w:val="es-ES_tradnl"/>
                    </w:rPr>
                    <m:t>×</m:t>
                  </m:r>
                  <m:r>
                    <m:rPr>
                      <m:sty m:val="p"/>
                    </m:rPr>
                    <w:rPr>
                      <w:rFonts w:ascii="Cambria Math" w:hAnsi="Cambria Math"/>
                      <w:lang w:val="es-ES_tradnl"/>
                    </w:rPr>
                    <m:t>p</m:t>
                  </m:r>
                </m:e>
              </m:d>
              <m:r>
                <w:rPr>
                  <w:rFonts w:ascii="Cambria Math" w:hAnsi="Cambria Math"/>
                  <w:lang w:val="es-ES_tradnl"/>
                </w:rPr>
                <m:t xml:space="preserve"> </m:t>
              </m:r>
            </m:num>
            <m:den>
              <m:r>
                <w:rPr>
                  <w:rFonts w:ascii="Cambria Math" w:hAnsi="Cambria Math"/>
                  <w:lang w:val="es-ES_tradnl"/>
                </w:rPr>
                <m:t>2</m:t>
              </m:r>
            </m:den>
          </m:f>
        </m:oMath>
      </m:oMathPara>
    </w:p>
    <w:p w14:paraId="7A5FE499" w14:textId="77777777" w:rsidR="00F73D5B" w:rsidRPr="008B7A21" w:rsidRDefault="00F73D5B" w:rsidP="00F73D5B">
      <w:pPr>
        <w:keepNext/>
        <w:keepLines/>
        <w:rPr>
          <w:lang w:val="es-ES_tradnl"/>
        </w:rPr>
      </w:pPr>
      <w:r w:rsidRPr="008B7A21">
        <w:rPr>
          <w:lang w:val="es-ES_tradnl"/>
        </w:rPr>
        <w:t>donde:</w:t>
      </w:r>
    </w:p>
    <w:p w14:paraId="4BD1BBCA" w14:textId="77777777" w:rsidR="00F73D5B" w:rsidRPr="008B7A21" w:rsidRDefault="00F73D5B" w:rsidP="00F73D5B">
      <w:pPr>
        <w:pStyle w:val="Equationlegend"/>
        <w:rPr>
          <w:lang w:val="es-ES_tradnl"/>
        </w:rPr>
      </w:pPr>
      <w:r w:rsidRPr="008B7A21">
        <w:rPr>
          <w:lang w:val="es-ES_tradnl"/>
        </w:rPr>
        <w:tab/>
      </w:r>
    </w:p>
    <w:p w14:paraId="481E181D" w14:textId="77777777" w:rsidR="00F73D5B" w:rsidRPr="008B7A21" w:rsidRDefault="00F73D5B" w:rsidP="00F73D5B">
      <w:pPr>
        <w:pStyle w:val="Equationlegend"/>
        <w:rPr>
          <w:lang w:val="es-ES_tradnl"/>
        </w:rPr>
      </w:pPr>
      <w:r w:rsidRPr="008B7A21">
        <w:rPr>
          <w:lang w:val="es-ES_tradnl"/>
        </w:rPr>
        <w:tab/>
        <w:t>Ib:</w:t>
      </w:r>
      <w:r w:rsidRPr="008B7A21">
        <w:rPr>
          <w:lang w:val="es-ES_tradnl"/>
        </w:rPr>
        <w:tab/>
        <w:t>índice de ancho de banda</w:t>
      </w:r>
    </w:p>
    <w:p w14:paraId="458FE14F" w14:textId="77777777" w:rsidR="00F73D5B" w:rsidRPr="008B7A21" w:rsidRDefault="00F73D5B" w:rsidP="00F73D5B">
      <w:pPr>
        <w:pStyle w:val="Equationlegend"/>
        <w:rPr>
          <w:lang w:val="es-ES_tradnl"/>
        </w:rPr>
      </w:pPr>
      <w:r w:rsidRPr="008B7A21">
        <w:rPr>
          <w:lang w:val="es-ES_tradnl"/>
        </w:rPr>
        <w:tab/>
        <w:t>HDLP:</w:t>
      </w:r>
      <w:r w:rsidRPr="008B7A21">
        <w:rPr>
          <w:lang w:val="es-ES_tradnl"/>
        </w:rPr>
        <w:tab/>
        <w:t>precio básico de ancho de banda de espectro, ancho de banda ancho por 1 kHz</w:t>
      </w:r>
    </w:p>
    <w:p w14:paraId="3BC36632" w14:textId="77777777" w:rsidR="00F73D5B" w:rsidRPr="00765998" w:rsidRDefault="00F73D5B" w:rsidP="00F73D5B">
      <w:pPr>
        <w:pStyle w:val="Equationlegend"/>
        <w:rPr>
          <w:lang w:val="es-ES_tradnl"/>
        </w:rPr>
      </w:pPr>
      <w:r w:rsidRPr="008B7A21">
        <w:rPr>
          <w:lang w:val="es-ES_tradnl"/>
        </w:rPr>
        <w:tab/>
        <w:t>b:</w:t>
      </w:r>
      <w:r w:rsidRPr="008B7A21">
        <w:rPr>
          <w:lang w:val="es-ES_tradnl"/>
        </w:rPr>
        <w:tab/>
        <w:t>ancho de banda ocupado, kHz</w:t>
      </w:r>
    </w:p>
    <w:p w14:paraId="5234657A" w14:textId="77777777" w:rsidR="00F73D5B" w:rsidRPr="008B7A21" w:rsidRDefault="00F73D5B" w:rsidP="00F73D5B">
      <w:pPr>
        <w:pStyle w:val="Equationlegend"/>
        <w:rPr>
          <w:lang w:val="es-ES_tradnl"/>
        </w:rPr>
      </w:pPr>
      <w:r w:rsidRPr="008B7A21">
        <w:rPr>
          <w:lang w:val="es-ES_tradnl"/>
        </w:rPr>
        <w:tab/>
        <w:t>Ip:</w:t>
      </w:r>
      <w:r w:rsidRPr="008B7A21">
        <w:rPr>
          <w:lang w:val="es-ES_tradnl"/>
        </w:rPr>
        <w:tab/>
        <w:t>índice de potencia de transmisión</w:t>
      </w:r>
    </w:p>
    <w:p w14:paraId="3F25E6F1" w14:textId="77777777" w:rsidR="00F73D5B" w:rsidRPr="008B7A21" w:rsidRDefault="00F73D5B" w:rsidP="00F73D5B">
      <w:pPr>
        <w:pStyle w:val="Equationlegend"/>
        <w:rPr>
          <w:lang w:val="es-ES_tradnl"/>
        </w:rPr>
      </w:pPr>
      <w:r w:rsidRPr="008B7A21">
        <w:rPr>
          <w:lang w:val="es-ES_tradnl"/>
        </w:rPr>
        <w:tab/>
        <w:t>HDDP:</w:t>
      </w:r>
      <w:r w:rsidRPr="008B7A21">
        <w:rPr>
          <w:lang w:val="es-ES_tradnl"/>
        </w:rPr>
        <w:tab/>
        <w:t>precio básico de la potencia espectral, cada potencia espectral por 1 dBm en un canal de frecuencias</w:t>
      </w:r>
    </w:p>
    <w:p w14:paraId="2C197B6D" w14:textId="77777777" w:rsidR="00F73D5B" w:rsidRPr="008B7A21" w:rsidRDefault="00F73D5B" w:rsidP="00F73D5B">
      <w:pPr>
        <w:pStyle w:val="Equationlegend"/>
        <w:rPr>
          <w:lang w:val="es-ES_tradnl"/>
        </w:rPr>
      </w:pPr>
      <w:r w:rsidRPr="008B7A21">
        <w:rPr>
          <w:lang w:val="es-ES_tradnl"/>
        </w:rPr>
        <w:tab/>
        <w:t>p:</w:t>
      </w:r>
      <w:r w:rsidRPr="008B7A21">
        <w:rPr>
          <w:lang w:val="es-ES_tradnl"/>
        </w:rPr>
        <w:tab/>
        <w:t>potencia de espectro de p.i.r.e. (dBmWatt).</w:t>
      </w:r>
    </w:p>
    <w:p w14:paraId="1259740B" w14:textId="2F9370AD" w:rsidR="00F73D5B" w:rsidRPr="008B7A21" w:rsidRDefault="00F73D5B" w:rsidP="00DD0D67">
      <w:pPr>
        <w:rPr>
          <w:lang w:val="es-ES_tradnl"/>
        </w:rPr>
      </w:pPr>
      <w:r w:rsidRPr="008B7A21">
        <w:rPr>
          <w:lang w:val="es-ES_tradnl"/>
        </w:rPr>
        <w:t>El precio básico de potencia de espectro (HDDP) y el precio básico de ancho de banda de espectro (HDLP) lo fija el Gobierno de Indonesia y figura en el reglamento.</w:t>
      </w:r>
    </w:p>
    <w:p w14:paraId="0CC57C93" w14:textId="43EAC64B" w:rsidR="00F73D5B" w:rsidRPr="008B7A21" w:rsidRDefault="00F73D5B" w:rsidP="00DD0D67">
      <w:pPr>
        <w:rPr>
          <w:lang w:val="es-ES_tradnl"/>
        </w:rPr>
      </w:pPr>
      <w:r w:rsidRPr="008B7A21">
        <w:rPr>
          <w:lang w:val="es-ES_tradnl"/>
        </w:rPr>
        <w:t>Los números dependen del tipo de frecuencia radioeléctrica utilizada, por ejemplo ondas decamétricas, ondas métricas y ondas decimétricas, y de la zona (área) que abarca la licencia.</w:t>
      </w:r>
    </w:p>
    <w:p w14:paraId="0F48DE2F" w14:textId="202EDD03" w:rsidR="00F73D5B" w:rsidRPr="008B7A21" w:rsidRDefault="00F73D5B" w:rsidP="00DD0D67">
      <w:pPr>
        <w:rPr>
          <w:lang w:val="es-ES_tradnl"/>
        </w:rPr>
      </w:pPr>
      <w:r w:rsidRPr="008B7A21">
        <w:rPr>
          <w:lang w:val="es-ES_tradnl"/>
        </w:rPr>
        <w:t>Hay 5 (cinco) zonas de frecuencia en Indonesia que el usuario del espectro puede ocupar. El administrador dividió el área de Indonesia en 5 (cinco) zonas basándose en los enfoques de población y economía utilizados en una región. La determinación de las zonas dentro de la zona de tarifas se revisa periódicamente, al menos cada cinco años.</w:t>
      </w:r>
    </w:p>
    <w:bookmarkEnd w:id="2071"/>
    <w:p w14:paraId="79806F30" w14:textId="651E30F7" w:rsidR="00F73D5B" w:rsidRPr="008B7A21" w:rsidRDefault="00F73D5B" w:rsidP="00F73D5B">
      <w:pPr>
        <w:rPr>
          <w:lang w:val="es-ES_tradnl"/>
        </w:rPr>
      </w:pPr>
      <w:r w:rsidRPr="008B7A21">
        <w:rPr>
          <w:lang w:val="es-ES_tradnl"/>
        </w:rPr>
        <w:t>El Ib (índice de ancho de banda ocupado) y el Ip (índice de potencia de transmisión) se establecen mediante la evaluación técnica de la Dirección General de Gestión de Recursos y Normas de Equipos de Correos y Tecnología de la Información, teniendo en cuenta la tecnología, la utilidad, los beneficios, el estado de la industria y también el programa estratégico nacional. Se evalúan cada dos años.</w:t>
      </w:r>
    </w:p>
    <w:p w14:paraId="4F367488" w14:textId="77777777" w:rsidR="00F73D5B" w:rsidRPr="008B7A21" w:rsidRDefault="00F73D5B" w:rsidP="00F73D5B">
      <w:pPr>
        <w:rPr>
          <w:lang w:val="es-ES_tradnl"/>
        </w:rPr>
      </w:pPr>
      <w:r w:rsidRPr="008B7A21">
        <w:rPr>
          <w:lang w:val="es-ES_tradnl"/>
        </w:rPr>
        <w:t>En la evaluación de esos índices se tienen en cuenta algunos componentes como:</w:t>
      </w:r>
    </w:p>
    <w:p w14:paraId="7721550D" w14:textId="77777777" w:rsidR="00F73D5B" w:rsidRPr="008B7A21" w:rsidRDefault="00F73D5B" w:rsidP="00F73D5B">
      <w:pPr>
        <w:pStyle w:val="enumlev1"/>
        <w:rPr>
          <w:lang w:val="es-ES_tradnl"/>
        </w:rPr>
      </w:pPr>
      <w:r w:rsidRPr="008B7A21">
        <w:rPr>
          <w:lang w:val="es-ES_tradnl"/>
        </w:rPr>
        <w:t>–</w:t>
      </w:r>
      <w:r w:rsidRPr="008B7A21">
        <w:rPr>
          <w:lang w:val="es-ES_tradnl"/>
        </w:rPr>
        <w:tab/>
        <w:t>El tipo de frecuencia de espectro radioeléctrico.</w:t>
      </w:r>
    </w:p>
    <w:p w14:paraId="54C8D725" w14:textId="77777777" w:rsidR="00F73D5B" w:rsidRPr="008B7A21" w:rsidRDefault="00F73D5B" w:rsidP="00F73D5B">
      <w:pPr>
        <w:pStyle w:val="enumlev1"/>
        <w:spacing w:before="40"/>
        <w:rPr>
          <w:lang w:val="es-ES_tradnl"/>
        </w:rPr>
      </w:pPr>
      <w:r w:rsidRPr="008B7A21">
        <w:rPr>
          <w:lang w:val="es-ES_tradnl"/>
        </w:rPr>
        <w:t>–</w:t>
      </w:r>
      <w:r w:rsidRPr="008B7A21">
        <w:rPr>
          <w:lang w:val="es-ES_tradnl"/>
        </w:rPr>
        <w:tab/>
        <w:t>El ancho de banda o canal de espectro.</w:t>
      </w:r>
    </w:p>
    <w:p w14:paraId="37F2975C" w14:textId="77777777" w:rsidR="00F73D5B" w:rsidRPr="008B7A21" w:rsidRDefault="00F73D5B" w:rsidP="00F73D5B">
      <w:pPr>
        <w:pStyle w:val="enumlev1"/>
        <w:spacing w:before="40"/>
        <w:rPr>
          <w:lang w:val="es-ES_tradnl"/>
        </w:rPr>
      </w:pPr>
      <w:r w:rsidRPr="008B7A21">
        <w:rPr>
          <w:lang w:val="es-ES_tradnl"/>
        </w:rPr>
        <w:t>–</w:t>
      </w:r>
      <w:r w:rsidRPr="008B7A21">
        <w:rPr>
          <w:lang w:val="es-ES_tradnl"/>
        </w:rPr>
        <w:tab/>
        <w:t>Área cubierta.</w:t>
      </w:r>
    </w:p>
    <w:p w14:paraId="70A573FE" w14:textId="77777777" w:rsidR="00F73D5B" w:rsidRPr="008B7A21" w:rsidRDefault="00F73D5B" w:rsidP="00F73D5B">
      <w:pPr>
        <w:pStyle w:val="enumlev1"/>
        <w:spacing w:before="40"/>
        <w:rPr>
          <w:lang w:val="es-ES_tradnl"/>
        </w:rPr>
      </w:pPr>
      <w:r w:rsidRPr="008B7A21">
        <w:rPr>
          <w:lang w:val="es-ES_tradnl"/>
        </w:rPr>
        <w:t>–</w:t>
      </w:r>
      <w:r w:rsidRPr="008B7A21">
        <w:rPr>
          <w:lang w:val="es-ES_tradnl"/>
        </w:rPr>
        <w:tab/>
        <w:t>Interés del mercado.</w:t>
      </w:r>
    </w:p>
    <w:p w14:paraId="165FD3BB" w14:textId="77777777" w:rsidR="00F73D5B" w:rsidRPr="008B7A21" w:rsidRDefault="00F73D5B" w:rsidP="00F73D5B">
      <w:pPr>
        <w:pStyle w:val="enumlev1"/>
        <w:spacing w:before="40"/>
        <w:rPr>
          <w:lang w:val="es-ES_tradnl"/>
        </w:rPr>
      </w:pPr>
      <w:r w:rsidRPr="008B7A21">
        <w:rPr>
          <w:lang w:val="es-ES_tradnl"/>
        </w:rPr>
        <w:t>–</w:t>
      </w:r>
      <w:r w:rsidRPr="008B7A21">
        <w:rPr>
          <w:lang w:val="es-ES_tradnl"/>
        </w:rPr>
        <w:tab/>
        <w:t>La tecnología aplicada.</w:t>
      </w:r>
    </w:p>
    <w:p w14:paraId="754A7B88" w14:textId="77777777" w:rsidR="00F73D5B" w:rsidRPr="008B7A21" w:rsidRDefault="00F73D5B" w:rsidP="00F73D5B">
      <w:pPr>
        <w:rPr>
          <w:lang w:val="es-ES_tradnl"/>
        </w:rPr>
      </w:pPr>
      <w:r w:rsidRPr="008B7A21">
        <w:rPr>
          <w:lang w:val="es-ES_tradnl"/>
        </w:rPr>
        <w:t>La fórmula muestra que el canon del espectro que se basa en la licencia de estación de radiocomunicaciones depende de la cantidad de transmisores de estaciones de radiocomunicaciones. Cuantos más transmisores de estación de radiocomunicaciones hay, más tienen que pagar los operadores por el canon del espectro.</w:t>
      </w:r>
    </w:p>
    <w:p w14:paraId="4571FF00" w14:textId="77777777" w:rsidR="00F73D5B" w:rsidRPr="008B7A21" w:rsidRDefault="00F73D5B" w:rsidP="00F73D5B">
      <w:pPr>
        <w:rPr>
          <w:lang w:val="es-ES_tradnl"/>
        </w:rPr>
      </w:pPr>
      <w:r w:rsidRPr="008B7A21">
        <w:rPr>
          <w:lang w:val="es-ES_tradnl"/>
        </w:rPr>
        <w:t>A continuación figuran algunos servicios que utilizan frecuencias que tenían una licencia de estación de radiocomunicaciones:</w:t>
      </w:r>
    </w:p>
    <w:p w14:paraId="415080BC" w14:textId="77777777" w:rsidR="00F73D5B" w:rsidRPr="008B7A21" w:rsidRDefault="00F73D5B" w:rsidP="00F73D5B">
      <w:pPr>
        <w:pStyle w:val="enumlev1"/>
        <w:rPr>
          <w:lang w:val="es-ES_tradnl"/>
        </w:rPr>
      </w:pPr>
      <w:r w:rsidRPr="008B7A21">
        <w:rPr>
          <w:lang w:val="es-ES_tradnl"/>
        </w:rPr>
        <w:t>–</w:t>
      </w:r>
      <w:r w:rsidRPr="008B7A21">
        <w:rPr>
          <w:lang w:val="es-ES_tradnl"/>
        </w:rPr>
        <w:tab/>
        <w:t>Enlace de microondas.</w:t>
      </w:r>
    </w:p>
    <w:p w14:paraId="48678F0D" w14:textId="77777777" w:rsidR="00F73D5B" w:rsidRPr="008B7A21" w:rsidRDefault="00F73D5B" w:rsidP="00F73D5B">
      <w:pPr>
        <w:pStyle w:val="enumlev1"/>
        <w:rPr>
          <w:lang w:val="es-ES_tradnl"/>
        </w:rPr>
      </w:pPr>
      <w:r w:rsidRPr="008B7A21">
        <w:rPr>
          <w:lang w:val="es-ES_tradnl"/>
        </w:rPr>
        <w:t>–</w:t>
      </w:r>
      <w:r w:rsidRPr="008B7A21">
        <w:rPr>
          <w:lang w:val="es-ES_tradnl"/>
        </w:rPr>
        <w:tab/>
        <w:t>Radiodifusión de televisión (analógica).</w:t>
      </w:r>
    </w:p>
    <w:p w14:paraId="47E7CEFF" w14:textId="77777777" w:rsidR="00F73D5B" w:rsidRPr="008B7A21" w:rsidRDefault="00F73D5B" w:rsidP="00F73D5B">
      <w:pPr>
        <w:pStyle w:val="enumlev1"/>
        <w:rPr>
          <w:lang w:val="es-ES_tradnl"/>
        </w:rPr>
      </w:pPr>
      <w:r w:rsidRPr="008B7A21">
        <w:rPr>
          <w:lang w:val="es-ES_tradnl"/>
        </w:rPr>
        <w:t>–</w:t>
      </w:r>
      <w:r w:rsidRPr="008B7A21">
        <w:rPr>
          <w:lang w:val="es-ES_tradnl"/>
        </w:rPr>
        <w:tab/>
        <w:t>Concentración de enlaces de radiocomunicaciones.</w:t>
      </w:r>
    </w:p>
    <w:p w14:paraId="22FCEE58" w14:textId="77777777" w:rsidR="00F73D5B" w:rsidRPr="008B7A21" w:rsidRDefault="00F73D5B" w:rsidP="00F73D5B">
      <w:pPr>
        <w:pStyle w:val="enumlev1"/>
        <w:rPr>
          <w:lang w:val="es-ES_tradnl"/>
        </w:rPr>
      </w:pPr>
      <w:r w:rsidRPr="008B7A21">
        <w:rPr>
          <w:lang w:val="es-ES_tradnl"/>
        </w:rPr>
        <w:t>–</w:t>
      </w:r>
      <w:r w:rsidRPr="008B7A21">
        <w:rPr>
          <w:lang w:val="es-ES_tradnl"/>
        </w:rPr>
        <w:tab/>
        <w:t>Satélite.</w:t>
      </w:r>
    </w:p>
    <w:p w14:paraId="5C507A69" w14:textId="77777777" w:rsidR="00F73D5B" w:rsidRPr="008B7A21" w:rsidRDefault="00F73D5B" w:rsidP="00F73D5B">
      <w:pPr>
        <w:pStyle w:val="Headingb"/>
        <w:rPr>
          <w:lang w:val="es-ES_tradnl"/>
        </w:rPr>
      </w:pPr>
      <w:bookmarkStart w:id="2073" w:name="_Toc454285006"/>
      <w:bookmarkStart w:id="2074" w:name="_Toc462234170"/>
      <w:bookmarkStart w:id="2075" w:name="_Toc499563133"/>
      <w:r w:rsidRPr="008B7A21">
        <w:rPr>
          <w:lang w:val="es-ES_tradnl"/>
        </w:rPr>
        <w:t>Licencia de ancho de banda</w:t>
      </w:r>
      <w:bookmarkEnd w:id="2073"/>
      <w:bookmarkEnd w:id="2074"/>
      <w:bookmarkEnd w:id="2075"/>
    </w:p>
    <w:p w14:paraId="1675032F" w14:textId="77777777" w:rsidR="00F73D5B" w:rsidRPr="008B7A21" w:rsidRDefault="00F73D5B" w:rsidP="00F73D5B">
      <w:pPr>
        <w:rPr>
          <w:lang w:val="es-ES_tradnl"/>
        </w:rPr>
      </w:pPr>
      <w:r w:rsidRPr="008B7A21">
        <w:rPr>
          <w:lang w:val="es-ES_tradnl"/>
        </w:rPr>
        <w:t>Hoy en día, el canon del espectro basado en una licencia de equipos ya no es eficaz ni para el operador como usuario del espectro ni para el administrador que vigila el uso del espectro. Por ese motivo, Indonesia comenzó a aplicar una licencia de ancho de banda en 2010 para algunas frecuencias, como las bandas de frecuencias para 2G, 3G y BWA 2,3 GHz. Una vez aplicada la licencia de ancho de banda de espectro, el Gobierno de Indonesia tuvo que evaluar la fórmula del canon del espectro anterior. La licencia de equipos no es apta para atenerse al desarrollo de tecnologías avanzadas. La nueva fórmula debería poder ser válida ante los cambios en el sector de las telecomunicaciones, que es muy dinámico.</w:t>
      </w:r>
    </w:p>
    <w:p w14:paraId="2207F147" w14:textId="77777777" w:rsidR="00F73D5B" w:rsidRPr="008B7A21" w:rsidRDefault="00F73D5B" w:rsidP="00765998">
      <w:pPr>
        <w:pStyle w:val="Headingb"/>
        <w:rPr>
          <w:lang w:val="es-ES_tradnl"/>
        </w:rPr>
      </w:pPr>
      <w:r w:rsidRPr="008B7A21">
        <w:rPr>
          <w:lang w:val="es-ES_tradnl"/>
        </w:rPr>
        <w:t>El canon del espectro basado en el ancho de banda de espectro</w:t>
      </w:r>
    </w:p>
    <w:p w14:paraId="25BFE40C" w14:textId="77777777" w:rsidR="00F73D5B" w:rsidRPr="008B7A21" w:rsidRDefault="00F73D5B" w:rsidP="00765998">
      <w:pPr>
        <w:pStyle w:val="enumlev1"/>
        <w:keepNext/>
        <w:keepLines/>
        <w:rPr>
          <w:lang w:val="es-ES_tradnl"/>
        </w:rPr>
      </w:pPr>
      <w:r w:rsidRPr="008B7A21">
        <w:rPr>
          <w:lang w:val="es-ES_tradnl"/>
        </w:rPr>
        <w:t>1</w:t>
      </w:r>
      <w:r w:rsidRPr="008B7A21">
        <w:rPr>
          <w:lang w:val="es-ES_tradnl"/>
        </w:rPr>
        <w:tab/>
        <w:t>Subasta</w:t>
      </w:r>
    </w:p>
    <w:p w14:paraId="4D9C5D20" w14:textId="77777777" w:rsidR="00F73D5B" w:rsidRPr="008B7A21" w:rsidRDefault="00F73D5B" w:rsidP="00765998">
      <w:pPr>
        <w:pStyle w:val="enumlev1"/>
        <w:keepNext/>
        <w:keepLines/>
        <w:rPr>
          <w:lang w:val="es-ES_tradnl"/>
        </w:rPr>
      </w:pPr>
      <w:r w:rsidRPr="008B7A21">
        <w:rPr>
          <w:lang w:val="es-ES_tradnl"/>
        </w:rPr>
        <w:t>2</w:t>
      </w:r>
      <w:r w:rsidRPr="008B7A21">
        <w:rPr>
          <w:lang w:val="es-ES_tradnl"/>
        </w:rPr>
        <w:tab/>
        <w:t>Fórmula</w:t>
      </w:r>
    </w:p>
    <w:p w14:paraId="02AD7A62" w14:textId="77777777" w:rsidR="00F73D5B" w:rsidRPr="008B7A21" w:rsidRDefault="00F73D5B" w:rsidP="00F73D5B">
      <w:pPr>
        <w:rPr>
          <w:lang w:val="es-ES_tradnl"/>
        </w:rPr>
      </w:pPr>
      <w:r w:rsidRPr="008B7A21">
        <w:rPr>
          <w:lang w:val="es-ES_tradnl"/>
        </w:rPr>
        <w:t>En 2006, Indonesia celebró una subasta para 3G en la gama de frecuencias 1 940-1 955 MHz / 2 130</w:t>
      </w:r>
      <w:r w:rsidRPr="008B7A21">
        <w:rPr>
          <w:lang w:val="es-ES_tradnl"/>
        </w:rPr>
        <w:noBreakHyphen/>
        <w:t>2 145 MHz. La subasta fue una subasta de oferta sellada en dos fases. Al ganador de la subasta se le concedió la licencia de espectro para que la utilizara durante 10 años. El precio de la subasta se convirtió en una referencia para calcular el canon del espectro.</w:t>
      </w:r>
    </w:p>
    <w:p w14:paraId="543CA857" w14:textId="77777777" w:rsidR="00F73D5B" w:rsidRPr="008B7A21" w:rsidRDefault="00F73D5B" w:rsidP="00F73D5B">
      <w:pPr>
        <w:pStyle w:val="Headingb"/>
        <w:rPr>
          <w:lang w:val="es-ES_tradnl"/>
        </w:rPr>
      </w:pPr>
      <w:r w:rsidRPr="008B7A21">
        <w:rPr>
          <w:lang w:val="es-ES_tradnl"/>
        </w:rPr>
        <w:t>Fórmula del canon del espectro</w:t>
      </w:r>
    </w:p>
    <w:p w14:paraId="3612E7ED" w14:textId="77777777" w:rsidR="00F73D5B" w:rsidRPr="008B7A21" w:rsidRDefault="00F73D5B" w:rsidP="00F73D5B">
      <w:pPr>
        <w:rPr>
          <w:lang w:val="es-ES_tradnl"/>
        </w:rPr>
      </w:pPr>
      <w:r w:rsidRPr="008B7A21">
        <w:rPr>
          <w:lang w:val="es-ES_tradnl"/>
        </w:rPr>
        <w:t>Para simplificar la fórmula con la que calcular el canon del espectro y ofrecer más ventajas al operador como usuario del espectro y al gobierno como órgano de reglamentación, Indonesia aplicó en 2010 una nueva fórmula para el uso del espectro en la banda de frecuencias de 800 MHz, 900 MHz y 1 800 MHz (el canon del espectro tenía que pagarse antes de que el usuario pudiese utilizar el espectro).</w:t>
      </w:r>
    </w:p>
    <w:p w14:paraId="0E58432C" w14:textId="77777777" w:rsidR="00F73D5B" w:rsidRPr="008B7A21" w:rsidRDefault="00F73D5B" w:rsidP="00F73D5B">
      <w:pPr>
        <w:pStyle w:val="Headingb"/>
        <w:rPr>
          <w:lang w:val="es-ES_tradnl"/>
        </w:rPr>
      </w:pPr>
      <w:r w:rsidRPr="008B7A21">
        <w:rPr>
          <w:lang w:val="es-ES_tradnl"/>
        </w:rPr>
        <w:t>Canon del espectro basado en la licencia de ancho de banda = (N×K) × I × C × B</w:t>
      </w:r>
    </w:p>
    <w:p w14:paraId="6B159AD1" w14:textId="77777777" w:rsidR="00F73D5B" w:rsidRPr="008B7A21" w:rsidRDefault="00F73D5B" w:rsidP="00F73D5B">
      <w:pPr>
        <w:pStyle w:val="Equationlegend"/>
        <w:rPr>
          <w:lang w:val="es-ES_tradnl"/>
        </w:rPr>
      </w:pPr>
      <w:r w:rsidRPr="008B7A21">
        <w:rPr>
          <w:lang w:val="es-ES_tradnl"/>
        </w:rPr>
        <w:tab/>
      </w:r>
      <w:r w:rsidRPr="008B7A21">
        <w:rPr>
          <w:i/>
          <w:iCs/>
          <w:lang w:val="es-ES_tradnl"/>
        </w:rPr>
        <w:t>N</w:t>
      </w:r>
      <w:r w:rsidRPr="008B7A21">
        <w:rPr>
          <w:lang w:val="es-ES_tradnl"/>
        </w:rPr>
        <w:t>:</w:t>
      </w:r>
      <w:r w:rsidRPr="008B7A21">
        <w:rPr>
          <w:lang w:val="es-ES_tradnl"/>
        </w:rPr>
        <w:tab/>
        <w:t>es un factor de normalización para estabilizar los ingresos no tributarios del Gobierno</w:t>
      </w:r>
    </w:p>
    <w:p w14:paraId="36E127BB" w14:textId="77777777" w:rsidR="00F73D5B" w:rsidRPr="008B7A21" w:rsidRDefault="00F73D5B" w:rsidP="00F73D5B">
      <w:pPr>
        <w:pStyle w:val="Equationlegend"/>
        <w:rPr>
          <w:lang w:val="es-ES_tradnl"/>
        </w:rPr>
      </w:pPr>
      <w:r w:rsidRPr="008B7A21">
        <w:rPr>
          <w:lang w:val="es-ES_tradnl"/>
        </w:rPr>
        <w:tab/>
      </w:r>
      <w:r w:rsidRPr="008B7A21">
        <w:rPr>
          <w:i/>
          <w:iCs/>
          <w:lang w:val="es-ES_tradnl"/>
        </w:rPr>
        <w:t>K</w:t>
      </w:r>
      <w:r w:rsidRPr="008B7A21">
        <w:rPr>
          <w:lang w:val="es-ES_tradnl"/>
        </w:rPr>
        <w:t>:</w:t>
      </w:r>
      <w:r w:rsidRPr="008B7A21">
        <w:rPr>
          <w:lang w:val="es-ES_tradnl"/>
        </w:rPr>
        <w:tab/>
        <w:t>es un factor de ajuste para la banda de frecuencia teniendo en cuenta el valor económico del espectro utilizado en función del servicio y los beneficios</w:t>
      </w:r>
    </w:p>
    <w:p w14:paraId="76BE08AC" w14:textId="77777777" w:rsidR="00F73D5B" w:rsidRPr="008B7A21" w:rsidRDefault="00F73D5B" w:rsidP="00F73D5B">
      <w:pPr>
        <w:pStyle w:val="Equationlegend"/>
        <w:rPr>
          <w:lang w:val="es-ES_tradnl"/>
        </w:rPr>
      </w:pPr>
      <w:r w:rsidRPr="008B7A21">
        <w:rPr>
          <w:lang w:val="es-ES_tradnl"/>
        </w:rPr>
        <w:tab/>
      </w:r>
      <w:r w:rsidRPr="008B7A21">
        <w:rPr>
          <w:i/>
          <w:iCs/>
          <w:lang w:val="es-ES_tradnl"/>
        </w:rPr>
        <w:t>I</w:t>
      </w:r>
      <w:r w:rsidRPr="008B7A21">
        <w:rPr>
          <w:lang w:val="es-ES_tradnl"/>
        </w:rPr>
        <w:t>:</w:t>
      </w:r>
      <w:r w:rsidRPr="008B7A21">
        <w:rPr>
          <w:lang w:val="es-ES_tradnl"/>
        </w:rPr>
        <w:tab/>
        <w:t>es el índice de precio básico que puede ajustarse a la propagación del espectro (Rp/MHz). El índice lo fija el gobierno</w:t>
      </w:r>
    </w:p>
    <w:p w14:paraId="735FA338" w14:textId="77777777" w:rsidR="00F73D5B" w:rsidRPr="008B7A21" w:rsidRDefault="00F73D5B" w:rsidP="00F73D5B">
      <w:pPr>
        <w:pStyle w:val="Equationlegend"/>
        <w:rPr>
          <w:lang w:val="es-ES_tradnl"/>
        </w:rPr>
      </w:pPr>
      <w:r w:rsidRPr="008B7A21">
        <w:rPr>
          <w:lang w:val="es-ES_tradnl"/>
        </w:rPr>
        <w:tab/>
      </w:r>
      <w:r w:rsidRPr="008B7A21">
        <w:rPr>
          <w:i/>
          <w:iCs/>
          <w:lang w:val="es-ES_tradnl"/>
        </w:rPr>
        <w:t>C</w:t>
      </w:r>
      <w:r w:rsidRPr="008B7A21">
        <w:rPr>
          <w:lang w:val="es-ES_tradnl"/>
        </w:rPr>
        <w:t>:</w:t>
      </w:r>
      <w:r w:rsidRPr="008B7A21">
        <w:rPr>
          <w:lang w:val="es-ES_tradnl"/>
        </w:rPr>
        <w:tab/>
        <w:t>es la última población total en un área de servicio según la licencia de ancho de banda del espectro (kilopoblación)</w:t>
      </w:r>
    </w:p>
    <w:p w14:paraId="37059B8C" w14:textId="77777777" w:rsidR="00F73D5B" w:rsidRPr="008B7A21" w:rsidRDefault="00F73D5B" w:rsidP="00F73D5B">
      <w:pPr>
        <w:pStyle w:val="Equationlegend"/>
        <w:rPr>
          <w:lang w:val="es-ES_tradnl"/>
        </w:rPr>
      </w:pPr>
      <w:r w:rsidRPr="008B7A21">
        <w:rPr>
          <w:lang w:val="es-ES_tradnl"/>
        </w:rPr>
        <w:tab/>
      </w:r>
      <w:r w:rsidRPr="008B7A21">
        <w:rPr>
          <w:i/>
          <w:iCs/>
          <w:lang w:val="es-ES_tradnl"/>
        </w:rPr>
        <w:t>B</w:t>
      </w:r>
      <w:r w:rsidRPr="008B7A21">
        <w:rPr>
          <w:lang w:val="es-ES_tradnl"/>
        </w:rPr>
        <w:t>:</w:t>
      </w:r>
      <w:r w:rsidRPr="008B7A21">
        <w:rPr>
          <w:lang w:val="es-ES_tradnl"/>
        </w:rPr>
        <w:tab/>
        <w:t>es el ancho de banda ocupado por el usuario del espectro, incluida la banda de guardia (MHz).</w:t>
      </w:r>
    </w:p>
    <w:p w14:paraId="6D2D1B9B" w14:textId="77777777" w:rsidR="00F73D5B" w:rsidRPr="008B7A21" w:rsidRDefault="00F73D5B" w:rsidP="00F73D5B">
      <w:pPr>
        <w:rPr>
          <w:lang w:val="es-ES_tradnl"/>
        </w:rPr>
      </w:pPr>
      <w:r w:rsidRPr="008B7A21">
        <w:rPr>
          <w:lang w:val="es-ES_tradnl"/>
        </w:rPr>
        <w:t>Para mantener la sostenibilidad del sector de las telecomunicaciones tras la implementación de la licencia de ancho de banda en lugar de la licencia de estación de radiocomunicaciones, el Gobierno de Indonesia adoptó una directiva para conceder al usuario del espectro un periodo de transición. El periodo de transición es el periodo que se concede al usuario de espectro del servicio FWA para que pague el canon del espectro que se calcula a partir de la licencia de ancho de banda de espectro utilizando la fórmula en cuestión. El periodo de transición se concede por 5 años.</w:t>
      </w:r>
    </w:p>
    <w:p w14:paraId="7688E9AA" w14:textId="77777777" w:rsidR="00F73D5B" w:rsidRPr="008B7A21" w:rsidRDefault="00F73D5B" w:rsidP="002A1F3D">
      <w:pPr>
        <w:spacing w:after="120"/>
        <w:rPr>
          <w:lang w:val="es-ES_tradnl"/>
        </w:rPr>
      </w:pPr>
      <w:r w:rsidRPr="008B7A21">
        <w:rPr>
          <w:lang w:val="es-ES_tradnl"/>
        </w:rPr>
        <w:t>Ese periodo (5 años) es suficiente para evitar la fluctuación del cambio del canon del espectro.</w:t>
      </w:r>
    </w:p>
    <w:p w14:paraId="142050B7" w14:textId="3516D16C" w:rsidR="00F73D5B" w:rsidRPr="008B7A21" w:rsidRDefault="00765998" w:rsidP="00765998">
      <w:pPr>
        <w:pStyle w:val="Figure"/>
        <w:rPr>
          <w:lang w:val="es-ES_tradnl"/>
        </w:rPr>
      </w:pPr>
      <w:r>
        <w:rPr>
          <w:noProof/>
          <w:lang w:val="es-ES_tradnl"/>
        </w:rPr>
        <w:drawing>
          <wp:inline distT="0" distB="0" distL="0" distR="0" wp14:anchorId="476CE451" wp14:editId="7BEA758B">
            <wp:extent cx="5565659" cy="2017780"/>
            <wp:effectExtent l="0" t="0" r="0" b="1905"/>
            <wp:docPr id="1847676577" name="Picture 3" descr="La Figura 19 muestra la fluctuación del cambio del canon del espec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76577" name="Picture 3" descr="La Figura 19 muestra la fluctuación del cambio del canon del espectro"/>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5565659" cy="2017780"/>
                    </a:xfrm>
                    <a:prstGeom prst="rect">
                      <a:avLst/>
                    </a:prstGeom>
                  </pic:spPr>
                </pic:pic>
              </a:graphicData>
            </a:graphic>
          </wp:inline>
        </w:drawing>
      </w:r>
    </w:p>
    <w:p w14:paraId="36C525FE" w14:textId="35171000" w:rsidR="00F73D5B" w:rsidRPr="008B7A21" w:rsidRDefault="00F73D5B" w:rsidP="00F73D5B">
      <w:pPr>
        <w:keepNext/>
        <w:keepLines/>
        <w:tabs>
          <w:tab w:val="left" w:pos="2760"/>
        </w:tabs>
        <w:rPr>
          <w:lang w:val="es-ES_tradnl"/>
        </w:rPr>
      </w:pPr>
      <w:r w:rsidRPr="008B7A21">
        <w:rPr>
          <w:lang w:val="es-ES_tradnl"/>
        </w:rPr>
        <w:t>En esos cinco años, el usuario del espectro pagará el canon del espectro calculado mediante la siguiente fórmula:</w:t>
      </w:r>
    </w:p>
    <w:p w14:paraId="444F4CE0" w14:textId="77777777" w:rsidR="00F73D5B" w:rsidRPr="00765998" w:rsidRDefault="00F73D5B" w:rsidP="00765998">
      <w:pPr>
        <w:pStyle w:val="TableNo"/>
        <w:rPr>
          <w:lang w:val="es-ES_tradnl" w:eastAsia="ko-KR"/>
        </w:rPr>
      </w:pPr>
      <w:r w:rsidRPr="008B7A21">
        <w:rPr>
          <w:lang w:val="es-ES_tradnl" w:eastAsia="ko-KR"/>
        </w:rPr>
        <w:t>CUADRO 49</w:t>
      </w:r>
    </w:p>
    <w:tbl>
      <w:tblPr>
        <w:tblW w:w="5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28"/>
        <w:gridCol w:w="3507"/>
      </w:tblGrid>
      <w:tr w:rsidR="00F73D5B" w:rsidRPr="008B7A21" w14:paraId="11868445" w14:textId="77777777" w:rsidTr="00767A6A">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41C7E86B" w14:textId="77777777" w:rsidR="00F73D5B" w:rsidRPr="008B7A21" w:rsidRDefault="00F73D5B" w:rsidP="00767A6A">
            <w:pPr>
              <w:pStyle w:val="Tabletext"/>
              <w:keepNext/>
              <w:keepLines/>
              <w:jc w:val="center"/>
              <w:rPr>
                <w:rFonts w:ascii="Arial" w:hAnsi="Arial" w:cs="Arial"/>
                <w:lang w:val="es-ES_tradnl"/>
              </w:rPr>
            </w:pPr>
            <w:r w:rsidRPr="008B7A21">
              <w:rPr>
                <w:lang w:val="es-ES_tradnl"/>
              </w:rPr>
              <w:t>Año 1</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D2C24A4" w14:textId="77777777" w:rsidR="00F73D5B" w:rsidRPr="008B7A21" w:rsidRDefault="00F73D5B" w:rsidP="00767A6A">
            <w:pPr>
              <w:pStyle w:val="Tabletext"/>
              <w:keepNext/>
              <w:keepLines/>
              <w:jc w:val="center"/>
              <w:rPr>
                <w:rFonts w:ascii="Arial" w:hAnsi="Arial" w:cs="Arial"/>
                <w:lang w:val="es-ES_tradnl"/>
              </w:rPr>
            </w:pPr>
            <w:r w:rsidRPr="008B7A21">
              <w:rPr>
                <w:lang w:val="es-ES_tradnl"/>
              </w:rPr>
              <w:t>Y</w:t>
            </w:r>
            <w:r w:rsidRPr="008B7A21">
              <w:rPr>
                <w:vertAlign w:val="subscript"/>
                <w:lang w:val="es-ES_tradnl"/>
              </w:rPr>
              <w:t>1</w:t>
            </w:r>
            <w:r w:rsidRPr="008B7A21">
              <w:rPr>
                <w:lang w:val="es-ES_tradnl"/>
              </w:rPr>
              <w:t xml:space="preserve"> = X + ((20% × </w:t>
            </w:r>
            <w:r w:rsidRPr="008B7A21">
              <w:rPr>
                <w:lang w:val="es-ES_tradnl"/>
              </w:rPr>
              <w:sym w:font="Symbol" w:char="F044"/>
            </w:r>
            <w:r w:rsidRPr="008B7A21">
              <w:rPr>
                <w:lang w:val="es-ES_tradnl"/>
              </w:rPr>
              <w:t>) – Z)</w:t>
            </w:r>
          </w:p>
        </w:tc>
      </w:tr>
      <w:tr w:rsidR="00F73D5B" w:rsidRPr="008B7A21" w14:paraId="6F6E4278" w14:textId="77777777" w:rsidTr="00767A6A">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708CF2A0" w14:textId="77777777" w:rsidR="00F73D5B" w:rsidRPr="008B7A21" w:rsidRDefault="00F73D5B" w:rsidP="00767A6A">
            <w:pPr>
              <w:pStyle w:val="Tabletext"/>
              <w:keepNext/>
              <w:keepLines/>
              <w:jc w:val="center"/>
              <w:rPr>
                <w:rFonts w:ascii="Arial" w:hAnsi="Arial" w:cs="Arial"/>
                <w:lang w:val="es-ES_tradnl"/>
              </w:rPr>
            </w:pPr>
            <w:r w:rsidRPr="008B7A21">
              <w:rPr>
                <w:lang w:val="es-ES_tradnl"/>
              </w:rPr>
              <w:t>Año 2</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6A44E0BA" w14:textId="77777777" w:rsidR="00F73D5B" w:rsidRPr="008B7A21" w:rsidRDefault="00F73D5B" w:rsidP="00767A6A">
            <w:pPr>
              <w:pStyle w:val="Tabletext"/>
              <w:keepNext/>
              <w:keepLines/>
              <w:jc w:val="center"/>
              <w:rPr>
                <w:rFonts w:ascii="Arial" w:hAnsi="Arial" w:cs="Arial"/>
                <w:lang w:val="es-ES_tradnl"/>
              </w:rPr>
            </w:pPr>
            <w:r w:rsidRPr="008B7A21">
              <w:rPr>
                <w:lang w:val="es-ES_tradnl"/>
              </w:rPr>
              <w:t>Y</w:t>
            </w:r>
            <w:r w:rsidRPr="008B7A21">
              <w:rPr>
                <w:vertAlign w:val="subscript"/>
                <w:lang w:val="es-ES_tradnl"/>
              </w:rPr>
              <w:t>2</w:t>
            </w:r>
            <w:r w:rsidRPr="008B7A21">
              <w:rPr>
                <w:lang w:val="es-ES_tradnl"/>
              </w:rPr>
              <w:t xml:space="preserve"> = X + (40% × </w:t>
            </w:r>
            <w:r w:rsidRPr="008B7A21">
              <w:rPr>
                <w:lang w:val="es-ES_tradnl"/>
              </w:rPr>
              <w:sym w:font="Symbol" w:char="F044"/>
            </w:r>
            <w:r w:rsidRPr="008B7A21">
              <w:rPr>
                <w:lang w:val="es-ES_tradnl"/>
              </w:rPr>
              <w:t>)</w:t>
            </w:r>
          </w:p>
        </w:tc>
      </w:tr>
      <w:tr w:rsidR="00F73D5B" w:rsidRPr="008B7A21" w14:paraId="741A3195" w14:textId="77777777" w:rsidTr="00767A6A">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73F8DBF1" w14:textId="77777777" w:rsidR="00F73D5B" w:rsidRPr="008B7A21" w:rsidRDefault="00F73D5B" w:rsidP="00767A6A">
            <w:pPr>
              <w:pStyle w:val="Tabletext"/>
              <w:keepNext/>
              <w:keepLines/>
              <w:jc w:val="center"/>
              <w:rPr>
                <w:rFonts w:ascii="Arial" w:hAnsi="Arial" w:cs="Arial"/>
                <w:lang w:val="es-ES_tradnl"/>
              </w:rPr>
            </w:pPr>
            <w:r w:rsidRPr="008B7A21">
              <w:rPr>
                <w:lang w:val="es-ES_tradnl"/>
              </w:rPr>
              <w:t>Año 3</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D1AB18D" w14:textId="77777777" w:rsidR="00F73D5B" w:rsidRPr="008B7A21" w:rsidRDefault="00F73D5B" w:rsidP="00767A6A">
            <w:pPr>
              <w:pStyle w:val="Tabletext"/>
              <w:keepNext/>
              <w:keepLines/>
              <w:jc w:val="center"/>
              <w:rPr>
                <w:rFonts w:ascii="Arial" w:hAnsi="Arial" w:cs="Arial"/>
                <w:lang w:val="es-ES_tradnl"/>
              </w:rPr>
            </w:pPr>
            <w:r w:rsidRPr="008B7A21">
              <w:rPr>
                <w:lang w:val="es-ES_tradnl"/>
              </w:rPr>
              <w:t>Y</w:t>
            </w:r>
            <w:r w:rsidRPr="008B7A21">
              <w:rPr>
                <w:vertAlign w:val="subscript"/>
                <w:lang w:val="es-ES_tradnl"/>
              </w:rPr>
              <w:t>3</w:t>
            </w:r>
            <w:r w:rsidRPr="008B7A21">
              <w:rPr>
                <w:lang w:val="es-ES_tradnl"/>
              </w:rPr>
              <w:t xml:space="preserve"> = X + (60% × </w:t>
            </w:r>
            <w:r w:rsidRPr="008B7A21">
              <w:rPr>
                <w:lang w:val="es-ES_tradnl"/>
              </w:rPr>
              <w:sym w:font="Symbol" w:char="F044"/>
            </w:r>
            <w:r w:rsidRPr="008B7A21">
              <w:rPr>
                <w:lang w:val="es-ES_tradnl"/>
              </w:rPr>
              <w:t>)</w:t>
            </w:r>
          </w:p>
        </w:tc>
      </w:tr>
      <w:tr w:rsidR="00F73D5B" w:rsidRPr="008B7A21" w14:paraId="6AC4E6D2" w14:textId="77777777" w:rsidTr="00767A6A">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BED0649" w14:textId="77777777" w:rsidR="00F73D5B" w:rsidRPr="008B7A21" w:rsidRDefault="00F73D5B" w:rsidP="00767A6A">
            <w:pPr>
              <w:pStyle w:val="Tabletext"/>
              <w:keepNext/>
              <w:keepLines/>
              <w:jc w:val="center"/>
              <w:rPr>
                <w:rFonts w:ascii="Arial" w:hAnsi="Arial" w:cs="Arial"/>
                <w:lang w:val="es-ES_tradnl"/>
              </w:rPr>
            </w:pPr>
            <w:r w:rsidRPr="008B7A21">
              <w:rPr>
                <w:lang w:val="es-ES_tradnl"/>
              </w:rPr>
              <w:t>Año 4</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3F16DA63" w14:textId="77777777" w:rsidR="00F73D5B" w:rsidRPr="008B7A21" w:rsidRDefault="00F73D5B" w:rsidP="00767A6A">
            <w:pPr>
              <w:pStyle w:val="Tabletext"/>
              <w:keepNext/>
              <w:keepLines/>
              <w:jc w:val="center"/>
              <w:rPr>
                <w:rFonts w:ascii="Arial" w:hAnsi="Arial" w:cs="Arial"/>
                <w:lang w:val="es-ES_tradnl"/>
              </w:rPr>
            </w:pPr>
            <w:r w:rsidRPr="008B7A21">
              <w:rPr>
                <w:lang w:val="es-ES_tradnl"/>
              </w:rPr>
              <w:t>Y</w:t>
            </w:r>
            <w:r w:rsidRPr="008B7A21">
              <w:rPr>
                <w:vertAlign w:val="subscript"/>
                <w:lang w:val="es-ES_tradnl"/>
              </w:rPr>
              <w:t>4</w:t>
            </w:r>
            <w:r w:rsidRPr="008B7A21">
              <w:rPr>
                <w:lang w:val="es-ES_tradnl"/>
              </w:rPr>
              <w:t xml:space="preserve"> = X + (80% × </w:t>
            </w:r>
            <w:r w:rsidRPr="008B7A21">
              <w:rPr>
                <w:lang w:val="es-ES_tradnl"/>
              </w:rPr>
              <w:sym w:font="Symbol" w:char="F044"/>
            </w:r>
            <w:r w:rsidRPr="008B7A21">
              <w:rPr>
                <w:lang w:val="es-ES_tradnl"/>
              </w:rPr>
              <w:t>)</w:t>
            </w:r>
          </w:p>
        </w:tc>
      </w:tr>
      <w:tr w:rsidR="00F73D5B" w:rsidRPr="008B7A21" w14:paraId="5E347214" w14:textId="77777777" w:rsidTr="00767A6A">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1ED804D8" w14:textId="77777777" w:rsidR="00F73D5B" w:rsidRPr="008B7A21" w:rsidRDefault="00F73D5B" w:rsidP="00767A6A">
            <w:pPr>
              <w:pStyle w:val="Tabletext"/>
              <w:keepNext/>
              <w:keepLines/>
              <w:jc w:val="center"/>
              <w:rPr>
                <w:rFonts w:ascii="Arial" w:hAnsi="Arial" w:cs="Arial"/>
                <w:lang w:val="es-ES_tradnl"/>
              </w:rPr>
            </w:pPr>
            <w:r w:rsidRPr="008B7A21">
              <w:rPr>
                <w:lang w:val="es-ES_tradnl"/>
              </w:rPr>
              <w:t>Año 5</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603EA45D" w14:textId="77777777" w:rsidR="00F73D5B" w:rsidRPr="008B7A21" w:rsidRDefault="00F73D5B" w:rsidP="00767A6A">
            <w:pPr>
              <w:pStyle w:val="Tabletext"/>
              <w:keepNext/>
              <w:keepLines/>
              <w:jc w:val="center"/>
              <w:rPr>
                <w:rFonts w:ascii="Arial" w:hAnsi="Arial" w:cs="Arial"/>
                <w:lang w:val="es-ES_tradnl"/>
              </w:rPr>
            </w:pPr>
            <w:r w:rsidRPr="008B7A21">
              <w:rPr>
                <w:lang w:val="es-ES_tradnl"/>
              </w:rPr>
              <w:t>Y</w:t>
            </w:r>
            <w:r w:rsidRPr="008B7A21">
              <w:rPr>
                <w:vertAlign w:val="subscript"/>
                <w:lang w:val="es-ES_tradnl"/>
              </w:rPr>
              <w:t>5</w:t>
            </w:r>
            <w:r w:rsidRPr="008B7A21">
              <w:rPr>
                <w:lang w:val="es-ES_tradnl"/>
              </w:rPr>
              <w:t xml:space="preserve"> = X + (100% × </w:t>
            </w:r>
            <w:r w:rsidRPr="008B7A21">
              <w:rPr>
                <w:lang w:val="es-ES_tradnl"/>
              </w:rPr>
              <w:sym w:font="Symbol" w:char="F044"/>
            </w:r>
            <w:r w:rsidRPr="008B7A21">
              <w:rPr>
                <w:lang w:val="es-ES_tradnl"/>
              </w:rPr>
              <w:t>)</w:t>
            </w:r>
          </w:p>
        </w:tc>
      </w:tr>
    </w:tbl>
    <w:p w14:paraId="1D09517E" w14:textId="77777777" w:rsidR="00F73D5B" w:rsidRPr="008B7A21" w:rsidRDefault="00F73D5B" w:rsidP="00F73D5B">
      <w:pPr>
        <w:pStyle w:val="Tablefin"/>
        <w:rPr>
          <w:lang w:val="es-ES_tradnl"/>
        </w:rPr>
      </w:pPr>
    </w:p>
    <w:p w14:paraId="09881BA7" w14:textId="77777777" w:rsidR="00F73D5B" w:rsidRPr="008B7A21" w:rsidRDefault="00F73D5B" w:rsidP="00F73D5B">
      <w:pPr>
        <w:pStyle w:val="enumlev1"/>
        <w:rPr>
          <w:lang w:val="es-ES_tradnl"/>
        </w:rPr>
      </w:pPr>
      <w:r w:rsidRPr="008B7A21">
        <w:rPr>
          <w:lang w:val="es-ES_tradnl"/>
        </w:rPr>
        <w:t>–</w:t>
      </w:r>
      <w:r w:rsidRPr="008B7A21">
        <w:rPr>
          <w:lang w:val="es-ES_tradnl"/>
        </w:rPr>
        <w:tab/>
        <w:t>En el periodo de transición (de 2010 a 2015) la constante (N×K) se ciñe a una unidad y se ajustará cada año utilizando el índice de precios al consumo (IPC).</w:t>
      </w:r>
    </w:p>
    <w:p w14:paraId="45999715" w14:textId="77777777" w:rsidR="00F73D5B" w:rsidRPr="008B7A21" w:rsidRDefault="00F73D5B" w:rsidP="00F73D5B">
      <w:pPr>
        <w:pStyle w:val="enumlev1"/>
        <w:rPr>
          <w:lang w:val="es-ES_tradnl"/>
        </w:rPr>
      </w:pPr>
      <w:r w:rsidRPr="008B7A21">
        <w:rPr>
          <w:lang w:val="es-ES_tradnl"/>
        </w:rPr>
        <w:t>–</w:t>
      </w:r>
      <w:r w:rsidRPr="008B7A21">
        <w:rPr>
          <w:lang w:val="es-ES_tradnl"/>
        </w:rPr>
        <w:tab/>
        <w:t>La constante (N × K) se fija mediante el precio resultante de la subasta de servicio 3G adicional en la banda de frecuencias de 2,1 GHz para el periodo 2009-2010.</w:t>
      </w:r>
    </w:p>
    <w:p w14:paraId="3045CA0F" w14:textId="77777777" w:rsidR="00F73D5B" w:rsidRPr="008B7A21" w:rsidRDefault="00F73D5B" w:rsidP="00F73D5B">
      <w:pPr>
        <w:rPr>
          <w:lang w:val="es-ES_tradnl"/>
        </w:rPr>
      </w:pPr>
      <w:r w:rsidRPr="008B7A21">
        <w:rPr>
          <w:lang w:val="es-ES_tradnl"/>
        </w:rPr>
        <w:t>El precio resultante es 160 000 millones de rupias.</w:t>
      </w:r>
    </w:p>
    <w:p w14:paraId="00657B98" w14:textId="77777777" w:rsidR="00F73D5B" w:rsidRPr="008B7A21" w:rsidRDefault="00F73D5B" w:rsidP="00F73D5B">
      <w:pPr>
        <w:pStyle w:val="enumlev1"/>
        <w:rPr>
          <w:lang w:val="es-ES_tradnl"/>
        </w:rPr>
      </w:pPr>
      <w:r w:rsidRPr="008B7A21">
        <w:rPr>
          <w:lang w:val="es-ES_tradnl"/>
        </w:rPr>
        <w:t>–</w:t>
      </w:r>
      <w:r w:rsidRPr="008B7A21">
        <w:rPr>
          <w:lang w:val="es-ES_tradnl"/>
        </w:rPr>
        <w:tab/>
        <w:t>En el periodo de 2011 a 2015, el valor de (N×K) se ajusta anualmente multiplicando el valor de (N × K) para el año 2010 por la relación entre los índices de precios al consumo en diciembre del año anterior y de hace dos años.</w:t>
      </w:r>
    </w:p>
    <w:p w14:paraId="50431709" w14:textId="77777777" w:rsidR="00F73D5B" w:rsidRPr="008B7A21" w:rsidRDefault="00F73D5B" w:rsidP="00F73D5B">
      <w:pPr>
        <w:pStyle w:val="enumlev1"/>
        <w:rPr>
          <w:lang w:val="es-ES_tradnl"/>
        </w:rPr>
      </w:pPr>
    </w:p>
    <w:p w14:paraId="38D7A38A" w14:textId="77777777" w:rsidR="00F73D5B" w:rsidRPr="008B7A21" w:rsidRDefault="00F73D5B" w:rsidP="00F73D5B">
      <w:pPr>
        <w:pStyle w:val="enumlev1"/>
        <w:spacing w:after="360"/>
        <w:jc w:val="center"/>
        <w:rPr>
          <w:lang w:val="es-ES_tradnl"/>
        </w:rPr>
      </w:pPr>
      <w:r w:rsidRPr="008B7A21">
        <w:rPr>
          <w:noProof/>
          <w:lang w:val="es-ES_tradnl"/>
        </w:rPr>
        <mc:AlternateContent>
          <mc:Choice Requires="wps">
            <w:drawing>
              <wp:inline distT="0" distB="0" distL="0" distR="0" wp14:anchorId="548C21B3" wp14:editId="5EB4FC71">
                <wp:extent cx="2630915" cy="2361537"/>
                <wp:effectExtent l="57150" t="0" r="74295" b="134620"/>
                <wp:docPr id="18" name="Text Box 2" descr="Calcular el valor de (N×K) para el año 2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915" cy="2361537"/>
                        </a:xfrm>
                        <a:prstGeom prst="round1Rect">
                          <a:avLst/>
                        </a:prstGeom>
                        <a:solidFill>
                          <a:schemeClr val="accent6">
                            <a:lumMod val="40000"/>
                            <a:lumOff val="60000"/>
                          </a:schemeClr>
                        </a:solidFill>
                        <a:ln w="19050">
                          <a:solidFill>
                            <a:schemeClr val="accent6">
                              <a:lumMod val="75000"/>
                            </a:schemeClr>
                          </a:solidFill>
                          <a:miter lim="800000"/>
                          <a:headEnd/>
                          <a:tailEnd/>
                        </a:ln>
                        <a:effectLst>
                          <a:outerShdw blurRad="50800" dist="50800" dir="5400000" algn="ctr" rotWithShape="0">
                            <a:schemeClr val="accent6">
                              <a:lumMod val="40000"/>
                              <a:lumOff val="60000"/>
                            </a:schemeClr>
                          </a:outerShdw>
                        </a:effectLst>
                      </wps:spPr>
                      <wps:txbx>
                        <w:txbxContent>
                          <w:p w14:paraId="6123D862" w14:textId="77777777" w:rsidR="00F73D5B" w:rsidRPr="00E3596F" w:rsidRDefault="00F73D5B" w:rsidP="00F73D5B">
                            <w:pPr>
                              <w:spacing w:before="240" w:after="120"/>
                              <w:ind w:left="142"/>
                              <w:rPr>
                                <w:rFonts w:asciiTheme="minorHAnsi" w:hAnsiTheme="minorHAnsi"/>
                                <w:sz w:val="22"/>
                                <w:szCs w:val="22"/>
                                <w:lang w:val="es-ES_tradnl"/>
                              </w:rPr>
                            </w:pPr>
                            <w:r w:rsidRPr="00E3596F">
                              <w:rPr>
                                <w:rFonts w:asciiTheme="minorHAnsi" w:hAnsiTheme="minorHAnsi" w:cstheme="minorBidi"/>
                                <w:sz w:val="22"/>
                                <w:szCs w:val="22"/>
                                <w:lang w:val="es-ES_tradnl"/>
                              </w:rPr>
                              <w:t>Por ejemplo, queremos calcular el valor de (N</w:t>
                            </w:r>
                            <w:r w:rsidRPr="00E3596F">
                              <w:rPr>
                                <w:rFonts w:asciiTheme="minorHAnsi" w:eastAsia="Calibri" w:hAnsiTheme="minorHAnsi" w:cstheme="minorBidi"/>
                                <w:sz w:val="22"/>
                                <w:szCs w:val="22"/>
                                <w:lang w:val="es-ES_tradnl" w:eastAsia="id-ID"/>
                              </w:rPr>
                              <w:t>×</w:t>
                            </w:r>
                            <w:r w:rsidRPr="00E3596F">
                              <w:rPr>
                                <w:rFonts w:asciiTheme="minorHAnsi" w:hAnsiTheme="minorHAnsi" w:cstheme="minorBidi"/>
                                <w:sz w:val="22"/>
                                <w:szCs w:val="22"/>
                                <w:lang w:val="es-ES_tradnl"/>
                              </w:rPr>
                              <w:t>K) para el año 2012:</w:t>
                            </w:r>
                          </w:p>
                          <w:p w14:paraId="373121CF" w14:textId="77777777" w:rsidR="00F73D5B" w:rsidRPr="00E3596F" w:rsidRDefault="00F73D5B" w:rsidP="00F73D5B">
                            <w:pPr>
                              <w:ind w:left="142"/>
                              <w:jc w:val="left"/>
                              <w:rPr>
                                <w:rFonts w:asciiTheme="minorHAnsi" w:hAnsiTheme="minorHAnsi"/>
                                <w:sz w:val="22"/>
                                <w:szCs w:val="22"/>
                                <w:lang w:val="es-ES_tradnl"/>
                              </w:rPr>
                            </w:pPr>
                            <w:r w:rsidRPr="00E3596F">
                              <w:rPr>
                                <w:rFonts w:asciiTheme="minorHAnsi" w:hAnsiTheme="minorHAnsi" w:cstheme="minorBidi"/>
                                <w:sz w:val="22"/>
                                <w:szCs w:val="22"/>
                                <w:lang w:val="es-ES_tradnl"/>
                              </w:rPr>
                              <w:t>IPC en diciembre del año 2010 = 125,17</w:t>
                            </w:r>
                            <w:r w:rsidRPr="00E3596F">
                              <w:rPr>
                                <w:rFonts w:asciiTheme="minorHAnsi" w:hAnsiTheme="minorHAnsi"/>
                                <w:sz w:val="22"/>
                                <w:szCs w:val="22"/>
                                <w:lang w:val="es-ES_tradnl"/>
                              </w:rPr>
                              <w:br/>
                            </w:r>
                            <w:r w:rsidRPr="00E3596F">
                              <w:rPr>
                                <w:rFonts w:asciiTheme="minorHAnsi" w:hAnsiTheme="minorHAnsi" w:cstheme="minorBidi"/>
                                <w:sz w:val="22"/>
                                <w:szCs w:val="22"/>
                                <w:lang w:val="es-ES_tradnl"/>
                              </w:rPr>
                              <w:t>IPC en diciembre del año 2011 = 129,91</w:t>
                            </w:r>
                          </w:p>
                          <w:p w14:paraId="72EAE5DA" w14:textId="77777777" w:rsidR="00F73D5B" w:rsidRPr="00E3596F" w:rsidRDefault="00F73D5B" w:rsidP="00F73D5B">
                            <w:pPr>
                              <w:ind w:left="142"/>
                              <w:jc w:val="left"/>
                              <w:rPr>
                                <w:rFonts w:asciiTheme="minorHAnsi" w:hAnsiTheme="minorHAnsi"/>
                                <w:sz w:val="22"/>
                                <w:szCs w:val="22"/>
                                <w:lang w:val="es-ES_tradnl"/>
                              </w:rPr>
                            </w:pPr>
                            <w:r w:rsidRPr="00E3596F">
                              <w:rPr>
                                <w:rFonts w:asciiTheme="minorHAnsi" w:hAnsiTheme="minorHAnsi" w:cstheme="minorBidi"/>
                                <w:sz w:val="22"/>
                                <w:szCs w:val="22"/>
                                <w:lang w:val="es-ES_tradnl"/>
                              </w:rPr>
                              <w:t>La tasa del IPC que se utiliza para ajustar el valor de (N</w:t>
                            </w:r>
                            <w:r w:rsidRPr="00E3596F">
                              <w:rPr>
                                <w:rFonts w:asciiTheme="minorHAnsi" w:eastAsia="Calibri" w:hAnsiTheme="minorHAnsi" w:cstheme="minorBidi"/>
                                <w:sz w:val="22"/>
                                <w:szCs w:val="22"/>
                                <w:lang w:val="es-ES_tradnl" w:eastAsia="id-ID"/>
                              </w:rPr>
                              <w:t>×</w:t>
                            </w:r>
                            <w:r w:rsidRPr="00E3596F">
                              <w:rPr>
                                <w:rFonts w:asciiTheme="minorHAnsi" w:hAnsiTheme="minorHAnsi" w:cstheme="minorBidi"/>
                                <w:sz w:val="22"/>
                                <w:szCs w:val="22"/>
                                <w:lang w:val="es-ES_tradnl"/>
                              </w:rPr>
                              <w:t>K) para el año 2012 es:</w:t>
                            </w:r>
                          </w:p>
                          <w:p w14:paraId="3880CC5D" w14:textId="77777777" w:rsidR="00F73D5B" w:rsidRPr="00E3596F" w:rsidRDefault="007A4381" w:rsidP="00F73D5B">
                            <w:pPr>
                              <w:pStyle w:val="Equation"/>
                              <w:rPr>
                                <w:rFonts w:asciiTheme="minorHAnsi" w:hAnsiTheme="minorHAnsi"/>
                                <w:sz w:val="22"/>
                                <w:szCs w:val="22"/>
                              </w:rPr>
                            </w:pPr>
                            <m:oMathPara>
                              <m:oMath>
                                <m:f>
                                  <m:fPr>
                                    <m:ctrlPr>
                                      <w:rPr>
                                        <w:rFonts w:ascii="Cambria Math" w:hAnsi="Cambria Math"/>
                                        <w:sz w:val="22"/>
                                        <w:szCs w:val="22"/>
                                      </w:rPr>
                                    </m:ctrlPr>
                                  </m:fPr>
                                  <m:num>
                                    <m:r>
                                      <m:rPr>
                                        <m:sty m:val="p"/>
                                      </m:rPr>
                                      <w:rPr>
                                        <w:rFonts w:ascii="Cambria Math" w:hAnsi="Cambria Math"/>
                                        <w:sz w:val="22"/>
                                        <w:szCs w:val="22"/>
                                      </w:rPr>
                                      <m:t>CPI 2011</m:t>
                                    </m:r>
                                  </m:num>
                                  <m:den>
                                    <m:r>
                                      <m:rPr>
                                        <m:sty m:val="p"/>
                                      </m:rPr>
                                      <w:rPr>
                                        <w:rFonts w:ascii="Cambria Math" w:hAnsi="Cambria Math"/>
                                        <w:sz w:val="22"/>
                                        <w:szCs w:val="22"/>
                                      </w:rPr>
                                      <m:t>CPI 2010</m:t>
                                    </m:r>
                                  </m:den>
                                </m:f>
                                <m:r>
                                  <m:rPr>
                                    <m:sty m:val="p"/>
                                  </m:rPr>
                                  <w:rPr>
                                    <w:rFonts w:ascii="Cambria Math" w:hAnsi="Cambria Math"/>
                                    <w:sz w:val="22"/>
                                    <w:szCs w:val="22"/>
                                  </w:rPr>
                                  <m:t xml:space="preserve">= </m:t>
                                </m:r>
                                <m:f>
                                  <m:fPr>
                                    <m:ctrlPr>
                                      <w:rPr>
                                        <w:rFonts w:ascii="Cambria Math" w:hAnsi="Cambria Math"/>
                                        <w:sz w:val="22"/>
                                        <w:szCs w:val="22"/>
                                      </w:rPr>
                                    </m:ctrlPr>
                                  </m:fPr>
                                  <m:num>
                                    <m:r>
                                      <m:rPr>
                                        <m:sty m:val="p"/>
                                      </m:rPr>
                                      <w:rPr>
                                        <w:rFonts w:ascii="Cambria Math" w:hAnsi="Cambria Math"/>
                                        <w:sz w:val="22"/>
                                        <w:szCs w:val="22"/>
                                      </w:rPr>
                                      <m:t>129,91</m:t>
                                    </m:r>
                                  </m:num>
                                  <m:den>
                                    <m:r>
                                      <m:rPr>
                                        <m:sty m:val="p"/>
                                      </m:rPr>
                                      <w:rPr>
                                        <w:rFonts w:ascii="Cambria Math" w:hAnsi="Cambria Math"/>
                                        <w:sz w:val="22"/>
                                        <w:szCs w:val="22"/>
                                      </w:rPr>
                                      <m:t>125,17</m:t>
                                    </m:r>
                                  </m:den>
                                </m:f>
                                <m:r>
                                  <m:rPr>
                                    <m:sty m:val="p"/>
                                  </m:rPr>
                                  <w:rPr>
                                    <w:rFonts w:ascii="Cambria Math" w:hAnsi="Cambria Math"/>
                                    <w:sz w:val="22"/>
                                    <w:szCs w:val="22"/>
                                  </w:rPr>
                                  <m:t>=1,03787</m:t>
                                </m:r>
                              </m:oMath>
                            </m:oMathPara>
                          </w:p>
                          <w:p w14:paraId="402CE27A" w14:textId="77777777" w:rsidR="00F73D5B" w:rsidRPr="00DC4987" w:rsidRDefault="00F73D5B" w:rsidP="00F73D5B">
                            <w:pPr>
                              <w:spacing w:before="240"/>
                              <w:ind w:left="142"/>
                              <w:rPr>
                                <w:rFonts w:asciiTheme="minorHAnsi" w:eastAsiaTheme="majorEastAsia" w:hAnsiTheme="minorHAnsi"/>
                                <w:sz w:val="22"/>
                                <w:szCs w:val="22"/>
                                <w:lang w:val="es-ES_tradnl"/>
                              </w:rPr>
                            </w:pPr>
                            <w:r w:rsidRPr="00E3596F">
                              <w:rPr>
                                <w:rFonts w:asciiTheme="minorHAnsi" w:eastAsiaTheme="majorEastAsia" w:hAnsiTheme="minorHAnsi" w:cstheme="minorBidi"/>
                                <w:sz w:val="22"/>
                                <w:szCs w:val="22"/>
                                <w:lang w:val="es-ES_tradnl"/>
                              </w:rPr>
                              <w:t>Así, el (N</w:t>
                            </w:r>
                            <w:r w:rsidRPr="00E3596F">
                              <w:rPr>
                                <w:rFonts w:asciiTheme="minorHAnsi" w:eastAsiaTheme="majorEastAsia" w:hAnsiTheme="minorHAnsi" w:cstheme="minorBidi"/>
                                <w:sz w:val="22"/>
                                <w:szCs w:val="22"/>
                                <w:lang w:val="es-ES_tradnl" w:eastAsia="id-ID"/>
                              </w:rPr>
                              <w:t>×</w:t>
                            </w:r>
                            <w:r w:rsidRPr="00E3596F">
                              <w:rPr>
                                <w:rFonts w:asciiTheme="minorHAnsi" w:eastAsiaTheme="majorEastAsia" w:hAnsiTheme="minorHAnsi" w:cstheme="minorBidi"/>
                                <w:sz w:val="22"/>
                                <w:szCs w:val="22"/>
                                <w:lang w:val="es-ES_tradnl"/>
                              </w:rPr>
                              <w:t>K) ajustado para el año 2012 = 1,03787 x (N</w:t>
                            </w:r>
                            <w:r w:rsidRPr="00E3596F">
                              <w:rPr>
                                <w:rFonts w:asciiTheme="minorHAnsi" w:eastAsiaTheme="majorEastAsia" w:hAnsiTheme="minorHAnsi" w:cstheme="minorBidi"/>
                                <w:sz w:val="22"/>
                                <w:szCs w:val="22"/>
                                <w:lang w:val="es-ES_tradnl" w:eastAsia="id-ID"/>
                              </w:rPr>
                              <w:t>×</w:t>
                            </w:r>
                            <w:r w:rsidRPr="00E3596F">
                              <w:rPr>
                                <w:rFonts w:asciiTheme="minorHAnsi" w:eastAsiaTheme="majorEastAsia" w:hAnsiTheme="minorHAnsi" w:cstheme="minorBidi"/>
                                <w:sz w:val="22"/>
                                <w:szCs w:val="22"/>
                                <w:lang w:val="es-ES_tradnl"/>
                              </w:rPr>
                              <w:t>K) para el año 2011.</w:t>
                            </w:r>
                          </w:p>
                        </w:txbxContent>
                      </wps:txbx>
                      <wps:bodyPr rot="0" vert="horz" wrap="square" lIns="0" tIns="0" rIns="0" bIns="0" anchor="t" anchorCtr="0">
                        <a:noAutofit/>
                      </wps:bodyPr>
                    </wps:wsp>
                  </a:graphicData>
                </a:graphic>
              </wp:inline>
            </w:drawing>
          </mc:Choice>
          <mc:Fallback>
            <w:pict>
              <v:shape w14:anchorId="548C21B3" id="Text Box 2" o:spid="_x0000_s1026" alt="Calcular el valor de (N×K) para el año 2012" style="width:207.15pt;height:185.95pt;visibility:visible;mso-wrap-style:square;mso-left-percent:-10001;mso-top-percent:-10001;mso-position-horizontal:absolute;mso-position-horizontal-relative:char;mso-position-vertical:absolute;mso-position-vertical-relative:line;mso-left-percent:-10001;mso-top-percent:-10001;v-text-anchor:top" coordsize="2630915,23615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" adj="-11796480,,5400" path="m,l2237318,v217378,,393597,176219,393597,393597l2630915,2361537,,2361537,,xe" fillcolor="#fbd4b4 [1305]" strokecolor="#e36c0a [2409]" strokeweight="1.5pt">
                <v:stroke joinstyle="miter"/>
                <v:shadow on="t" color="#fbd4b4 [1305]" offset="0,4pt"/>
                <v:formulas/>
                <v:path o:connecttype="custom" o:connectlocs="0,0;2237318,0;2630915,393597;2630915,2361537;0,2361537;0,0" o:connectangles="0,0,0,0,0,0" textboxrect="0,0,2630915,2361537"/>
                <v:textbox inset="0,0,0,0">
                  <w:txbxContent>
                    <w:p w14:paraId="6123D862" w14:textId="77777777" w:rsidR="00F73D5B" w:rsidRPr="00E3596F" w:rsidRDefault="00F73D5B" w:rsidP="00F73D5B">
                      <w:pPr>
                        <w:spacing w:before="240" w:after="120"/>
                        <w:ind w:left="142"/>
                        <w:rPr>
                          <w:rFonts w:asciiTheme="minorHAnsi" w:hAnsiTheme="minorHAnsi"/>
                          <w:sz w:val="22"/>
                          <w:szCs w:val="22"/>
                          <w:lang w:val="es-ES_tradnl"/>
                        </w:rPr>
                      </w:pPr>
                      <w:r w:rsidRPr="00E3596F">
                        <w:rPr>
                          <w:rFonts w:asciiTheme="minorHAnsi" w:hAnsiTheme="minorHAnsi" w:cstheme="minorBidi"/>
                          <w:sz w:val="22"/>
                          <w:szCs w:val="22"/>
                          <w:lang w:val="es-ES_tradnl"/>
                        </w:rPr>
                        <w:t>Por ejemplo, queremos calcular el valor de (N</w:t>
                      </w:r>
                      <w:r w:rsidRPr="00E3596F">
                        <w:rPr>
                          <w:rFonts w:asciiTheme="minorHAnsi" w:eastAsia="Calibri" w:hAnsiTheme="minorHAnsi" w:cstheme="minorBidi"/>
                          <w:sz w:val="22"/>
                          <w:szCs w:val="22"/>
                          <w:lang w:val="es-ES_tradnl" w:eastAsia="id-ID"/>
                        </w:rPr>
                        <w:t>×</w:t>
                      </w:r>
                      <w:r w:rsidRPr="00E3596F">
                        <w:rPr>
                          <w:rFonts w:asciiTheme="minorHAnsi" w:hAnsiTheme="minorHAnsi" w:cstheme="minorBidi"/>
                          <w:sz w:val="22"/>
                          <w:szCs w:val="22"/>
                          <w:lang w:val="es-ES_tradnl"/>
                        </w:rPr>
                        <w:t>K) para el año 2012:</w:t>
                      </w:r>
                    </w:p>
                    <w:p w14:paraId="373121CF" w14:textId="77777777" w:rsidR="00F73D5B" w:rsidRPr="00E3596F" w:rsidRDefault="00F73D5B" w:rsidP="00F73D5B">
                      <w:pPr>
                        <w:ind w:left="142"/>
                        <w:jc w:val="left"/>
                        <w:rPr>
                          <w:rFonts w:asciiTheme="minorHAnsi" w:hAnsiTheme="minorHAnsi"/>
                          <w:sz w:val="22"/>
                          <w:szCs w:val="22"/>
                          <w:lang w:val="es-ES_tradnl"/>
                        </w:rPr>
                      </w:pPr>
                      <w:r w:rsidRPr="00E3596F">
                        <w:rPr>
                          <w:rFonts w:asciiTheme="minorHAnsi" w:hAnsiTheme="minorHAnsi" w:cstheme="minorBidi"/>
                          <w:sz w:val="22"/>
                          <w:szCs w:val="22"/>
                          <w:lang w:val="es-ES_tradnl"/>
                        </w:rPr>
                        <w:t>IPC en diciembre del año 2010 = 125,17</w:t>
                      </w:r>
                      <w:r w:rsidRPr="00E3596F">
                        <w:rPr>
                          <w:rFonts w:asciiTheme="minorHAnsi" w:hAnsiTheme="minorHAnsi"/>
                          <w:sz w:val="22"/>
                          <w:szCs w:val="22"/>
                          <w:lang w:val="es-ES_tradnl"/>
                        </w:rPr>
                        <w:br/>
                      </w:r>
                      <w:r w:rsidRPr="00E3596F">
                        <w:rPr>
                          <w:rFonts w:asciiTheme="minorHAnsi" w:hAnsiTheme="minorHAnsi" w:cstheme="minorBidi"/>
                          <w:sz w:val="22"/>
                          <w:szCs w:val="22"/>
                          <w:lang w:val="es-ES_tradnl"/>
                        </w:rPr>
                        <w:t>IPC en diciembre del año 2011 = 129,91</w:t>
                      </w:r>
                    </w:p>
                    <w:p w14:paraId="72EAE5DA" w14:textId="77777777" w:rsidR="00F73D5B" w:rsidRPr="00E3596F" w:rsidRDefault="00F73D5B" w:rsidP="00F73D5B">
                      <w:pPr>
                        <w:ind w:left="142"/>
                        <w:jc w:val="left"/>
                        <w:rPr>
                          <w:rFonts w:asciiTheme="minorHAnsi" w:hAnsiTheme="minorHAnsi"/>
                          <w:sz w:val="22"/>
                          <w:szCs w:val="22"/>
                          <w:lang w:val="es-ES_tradnl"/>
                        </w:rPr>
                      </w:pPr>
                      <w:r w:rsidRPr="00E3596F">
                        <w:rPr>
                          <w:rFonts w:asciiTheme="minorHAnsi" w:hAnsiTheme="minorHAnsi" w:cstheme="minorBidi"/>
                          <w:sz w:val="22"/>
                          <w:szCs w:val="22"/>
                          <w:lang w:val="es-ES_tradnl"/>
                        </w:rPr>
                        <w:t>La tasa del IPC que se utiliza para ajustar el valor de (N</w:t>
                      </w:r>
                      <w:r w:rsidRPr="00E3596F">
                        <w:rPr>
                          <w:rFonts w:asciiTheme="minorHAnsi" w:eastAsia="Calibri" w:hAnsiTheme="minorHAnsi" w:cstheme="minorBidi"/>
                          <w:sz w:val="22"/>
                          <w:szCs w:val="22"/>
                          <w:lang w:val="es-ES_tradnl" w:eastAsia="id-ID"/>
                        </w:rPr>
                        <w:t>×</w:t>
                      </w:r>
                      <w:r w:rsidRPr="00E3596F">
                        <w:rPr>
                          <w:rFonts w:asciiTheme="minorHAnsi" w:hAnsiTheme="minorHAnsi" w:cstheme="minorBidi"/>
                          <w:sz w:val="22"/>
                          <w:szCs w:val="22"/>
                          <w:lang w:val="es-ES_tradnl"/>
                        </w:rPr>
                        <w:t>K) para el año 2012 es:</w:t>
                      </w:r>
                    </w:p>
                    <w:p w14:paraId="3880CC5D" w14:textId="77777777" w:rsidR="00F73D5B" w:rsidRPr="00E3596F" w:rsidRDefault="007A4381" w:rsidP="00F73D5B">
                      <w:pPr>
                        <w:pStyle w:val="Equation"/>
                        <w:rPr>
                          <w:rFonts w:asciiTheme="minorHAnsi" w:hAnsiTheme="minorHAnsi"/>
                          <w:sz w:val="22"/>
                          <w:szCs w:val="22"/>
                        </w:rPr>
                      </w:pPr>
                      <m:oMathPara>
                        <m:oMath>
                          <m:f>
                            <m:fPr>
                              <m:ctrlPr>
                                <w:rPr>
                                  <w:rFonts w:ascii="Cambria Math" w:hAnsi="Cambria Math"/>
                                  <w:sz w:val="22"/>
                                  <w:szCs w:val="22"/>
                                </w:rPr>
                              </m:ctrlPr>
                            </m:fPr>
                            <m:num>
                              <m:r>
                                <m:rPr>
                                  <m:sty m:val="p"/>
                                </m:rPr>
                                <w:rPr>
                                  <w:rFonts w:ascii="Cambria Math" w:hAnsi="Cambria Math"/>
                                  <w:sz w:val="22"/>
                                  <w:szCs w:val="22"/>
                                </w:rPr>
                                <m:t>CPI 2011</m:t>
                              </m:r>
                            </m:num>
                            <m:den>
                              <m:r>
                                <m:rPr>
                                  <m:sty m:val="p"/>
                                </m:rPr>
                                <w:rPr>
                                  <w:rFonts w:ascii="Cambria Math" w:hAnsi="Cambria Math"/>
                                  <w:sz w:val="22"/>
                                  <w:szCs w:val="22"/>
                                </w:rPr>
                                <m:t>CPI 2010</m:t>
                              </m:r>
                            </m:den>
                          </m:f>
                          <m:r>
                            <m:rPr>
                              <m:sty m:val="p"/>
                            </m:rPr>
                            <w:rPr>
                              <w:rFonts w:ascii="Cambria Math" w:hAnsi="Cambria Math"/>
                              <w:sz w:val="22"/>
                              <w:szCs w:val="22"/>
                            </w:rPr>
                            <m:t xml:space="preserve">= </m:t>
                          </m:r>
                          <m:f>
                            <m:fPr>
                              <m:ctrlPr>
                                <w:rPr>
                                  <w:rFonts w:ascii="Cambria Math" w:hAnsi="Cambria Math"/>
                                  <w:sz w:val="22"/>
                                  <w:szCs w:val="22"/>
                                </w:rPr>
                              </m:ctrlPr>
                            </m:fPr>
                            <m:num>
                              <m:r>
                                <m:rPr>
                                  <m:sty m:val="p"/>
                                </m:rPr>
                                <w:rPr>
                                  <w:rFonts w:ascii="Cambria Math" w:hAnsi="Cambria Math"/>
                                  <w:sz w:val="22"/>
                                  <w:szCs w:val="22"/>
                                </w:rPr>
                                <m:t>129,91</m:t>
                              </m:r>
                            </m:num>
                            <m:den>
                              <m:r>
                                <m:rPr>
                                  <m:sty m:val="p"/>
                                </m:rPr>
                                <w:rPr>
                                  <w:rFonts w:ascii="Cambria Math" w:hAnsi="Cambria Math"/>
                                  <w:sz w:val="22"/>
                                  <w:szCs w:val="22"/>
                                </w:rPr>
                                <m:t>125,17</m:t>
                              </m:r>
                            </m:den>
                          </m:f>
                          <m:r>
                            <m:rPr>
                              <m:sty m:val="p"/>
                            </m:rPr>
                            <w:rPr>
                              <w:rFonts w:ascii="Cambria Math" w:hAnsi="Cambria Math"/>
                              <w:sz w:val="22"/>
                              <w:szCs w:val="22"/>
                            </w:rPr>
                            <m:t>=1,03787</m:t>
                          </m:r>
                        </m:oMath>
                      </m:oMathPara>
                    </w:p>
                    <w:p w14:paraId="402CE27A" w14:textId="77777777" w:rsidR="00F73D5B" w:rsidRPr="00DC4987" w:rsidRDefault="00F73D5B" w:rsidP="00F73D5B">
                      <w:pPr>
                        <w:spacing w:before="240"/>
                        <w:ind w:left="142"/>
                        <w:rPr>
                          <w:rFonts w:asciiTheme="minorHAnsi" w:eastAsiaTheme="majorEastAsia" w:hAnsiTheme="minorHAnsi"/>
                          <w:sz w:val="22"/>
                          <w:szCs w:val="22"/>
                          <w:lang w:val="es-ES_tradnl"/>
                        </w:rPr>
                      </w:pPr>
                      <w:r w:rsidRPr="00E3596F">
                        <w:rPr>
                          <w:rFonts w:asciiTheme="minorHAnsi" w:eastAsiaTheme="majorEastAsia" w:hAnsiTheme="minorHAnsi" w:cstheme="minorBidi"/>
                          <w:sz w:val="22"/>
                          <w:szCs w:val="22"/>
                          <w:lang w:val="es-ES_tradnl"/>
                        </w:rPr>
                        <w:t>Así, el (N</w:t>
                      </w:r>
                      <w:r w:rsidRPr="00E3596F">
                        <w:rPr>
                          <w:rFonts w:asciiTheme="minorHAnsi" w:eastAsiaTheme="majorEastAsia" w:hAnsiTheme="minorHAnsi" w:cstheme="minorBidi"/>
                          <w:sz w:val="22"/>
                          <w:szCs w:val="22"/>
                          <w:lang w:val="es-ES_tradnl" w:eastAsia="id-ID"/>
                        </w:rPr>
                        <w:t>×</w:t>
                      </w:r>
                      <w:r w:rsidRPr="00E3596F">
                        <w:rPr>
                          <w:rFonts w:asciiTheme="minorHAnsi" w:eastAsiaTheme="majorEastAsia" w:hAnsiTheme="minorHAnsi" w:cstheme="minorBidi"/>
                          <w:sz w:val="22"/>
                          <w:szCs w:val="22"/>
                          <w:lang w:val="es-ES_tradnl"/>
                        </w:rPr>
                        <w:t>K) ajustado para el año 2012 = 1,03787 x (N</w:t>
                      </w:r>
                      <w:r w:rsidRPr="00E3596F">
                        <w:rPr>
                          <w:rFonts w:asciiTheme="minorHAnsi" w:eastAsiaTheme="majorEastAsia" w:hAnsiTheme="minorHAnsi" w:cstheme="minorBidi"/>
                          <w:sz w:val="22"/>
                          <w:szCs w:val="22"/>
                          <w:lang w:val="es-ES_tradnl" w:eastAsia="id-ID"/>
                        </w:rPr>
                        <w:t>×</w:t>
                      </w:r>
                      <w:r w:rsidRPr="00E3596F">
                        <w:rPr>
                          <w:rFonts w:asciiTheme="minorHAnsi" w:eastAsiaTheme="majorEastAsia" w:hAnsiTheme="minorHAnsi" w:cstheme="minorBidi"/>
                          <w:sz w:val="22"/>
                          <w:szCs w:val="22"/>
                          <w:lang w:val="es-ES_tradnl"/>
                        </w:rPr>
                        <w:t>K) para el año 2011.</w:t>
                      </w:r>
                    </w:p>
                  </w:txbxContent>
                </v:textbox>
                <w10:anchorlock/>
              </v:shape>
            </w:pict>
          </mc:Fallback>
        </mc:AlternateContent>
      </w:r>
    </w:p>
    <w:p w14:paraId="43A9C33E" w14:textId="77777777" w:rsidR="00F73D5B" w:rsidRPr="008B7A21" w:rsidRDefault="00F73D5B" w:rsidP="00F73D5B">
      <w:pPr>
        <w:pStyle w:val="Headingb"/>
        <w:rPr>
          <w:lang w:val="es-ES_tradnl"/>
        </w:rPr>
      </w:pPr>
      <w:r w:rsidRPr="008B7A21">
        <w:rPr>
          <w:lang w:val="es-ES_tradnl"/>
        </w:rPr>
        <w:t>Sin canon del espectro</w:t>
      </w:r>
    </w:p>
    <w:p w14:paraId="62B400C1" w14:textId="77777777" w:rsidR="00F73D5B" w:rsidRPr="008B7A21" w:rsidRDefault="00F73D5B" w:rsidP="00F73D5B">
      <w:pPr>
        <w:rPr>
          <w:lang w:val="es-ES_tradnl"/>
        </w:rPr>
      </w:pPr>
      <w:r w:rsidRPr="008B7A21">
        <w:rPr>
          <w:lang w:val="es-ES_tradnl"/>
        </w:rPr>
        <w:t>En Indonesia hay diversos servicios de espectro a los que no se aplica un canon del espectro. A los usuarios se les concede una licencia de espectro sin tener que pagar un canon del espectro. Esos espectros se utilizan para servicios como:</w:t>
      </w:r>
    </w:p>
    <w:p w14:paraId="2E8DE726" w14:textId="77777777" w:rsidR="00F73D5B" w:rsidRPr="008B7A21" w:rsidRDefault="00F73D5B" w:rsidP="00F73D5B">
      <w:pPr>
        <w:pStyle w:val="enumlev1"/>
        <w:rPr>
          <w:lang w:val="es-ES_tradnl"/>
        </w:rPr>
      </w:pPr>
      <w:r w:rsidRPr="008B7A21">
        <w:rPr>
          <w:lang w:val="es-ES_tradnl"/>
        </w:rPr>
        <w:t>–</w:t>
      </w:r>
      <w:r w:rsidRPr="008B7A21">
        <w:rPr>
          <w:lang w:val="es-ES_tradnl"/>
        </w:rPr>
        <w:tab/>
        <w:t>Telecomunicaciones especiales para defensa nacional.</w:t>
      </w:r>
    </w:p>
    <w:p w14:paraId="14E95A06" w14:textId="77777777" w:rsidR="00F73D5B" w:rsidRPr="008B7A21" w:rsidRDefault="00F73D5B" w:rsidP="00F73D5B">
      <w:pPr>
        <w:pStyle w:val="enumlev1"/>
        <w:rPr>
          <w:lang w:val="es-ES_tradnl"/>
        </w:rPr>
      </w:pPr>
      <w:r w:rsidRPr="008B7A21">
        <w:rPr>
          <w:lang w:val="es-ES_tradnl"/>
        </w:rPr>
        <w:t>–</w:t>
      </w:r>
      <w:r w:rsidRPr="008B7A21">
        <w:rPr>
          <w:lang w:val="es-ES_tradnl"/>
        </w:rPr>
        <w:tab/>
        <w:t>Telecomunicaciones especiales para servicio especial.</w:t>
      </w:r>
    </w:p>
    <w:p w14:paraId="572F5B04" w14:textId="77777777" w:rsidR="00F73D5B" w:rsidRPr="008B7A21" w:rsidRDefault="00F73D5B" w:rsidP="00F73D5B">
      <w:pPr>
        <w:pStyle w:val="enumlev1"/>
        <w:rPr>
          <w:lang w:val="es-ES_tradnl"/>
        </w:rPr>
      </w:pPr>
      <w:r w:rsidRPr="008B7A21">
        <w:rPr>
          <w:lang w:val="es-ES_tradnl"/>
        </w:rPr>
        <w:t>–</w:t>
      </w:r>
      <w:r w:rsidRPr="008B7A21">
        <w:rPr>
          <w:lang w:val="es-ES_tradnl"/>
        </w:rPr>
        <w:tab/>
        <w:t xml:space="preserve">Telecomunicaciones especiales para servicios gubernamentales que utiliza la </w:t>
      </w:r>
      <w:proofErr w:type="gramStart"/>
      <w:r w:rsidRPr="008B7A21">
        <w:rPr>
          <w:lang w:val="es-ES_tradnl"/>
        </w:rPr>
        <w:t>embajada extranjera</w:t>
      </w:r>
      <w:proofErr w:type="gramEnd"/>
      <w:r w:rsidRPr="008B7A21">
        <w:rPr>
          <w:lang w:val="es-ES_tradnl"/>
        </w:rPr>
        <w:t xml:space="preserve"> en Indonesia.</w:t>
      </w:r>
    </w:p>
    <w:p w14:paraId="4EC38331" w14:textId="77777777" w:rsidR="00F73D5B" w:rsidRPr="008B7A21" w:rsidRDefault="00F73D5B" w:rsidP="00F73D5B">
      <w:pPr>
        <w:pStyle w:val="enumlev1"/>
        <w:rPr>
          <w:lang w:val="es-ES_tradnl"/>
        </w:rPr>
      </w:pPr>
      <w:r w:rsidRPr="008B7A21">
        <w:rPr>
          <w:lang w:val="es-ES_tradnl"/>
        </w:rPr>
        <w:t>–</w:t>
      </w:r>
      <w:r w:rsidRPr="008B7A21">
        <w:rPr>
          <w:lang w:val="es-ES_tradnl"/>
        </w:rPr>
        <w:tab/>
        <w:t>Dispositivos de baja potencia: inferior a 10 mWatt.</w:t>
      </w:r>
    </w:p>
    <w:p w14:paraId="3D8CC75E" w14:textId="77777777" w:rsidR="00F73D5B" w:rsidRPr="008B7A21" w:rsidRDefault="00F73D5B" w:rsidP="00F73D5B">
      <w:pPr>
        <w:pStyle w:val="enumlev1"/>
        <w:rPr>
          <w:lang w:val="es-ES_tradnl"/>
        </w:rPr>
      </w:pPr>
      <w:r w:rsidRPr="008B7A21">
        <w:rPr>
          <w:lang w:val="es-ES_tradnl"/>
        </w:rPr>
        <w:t>–</w:t>
      </w:r>
      <w:r w:rsidRPr="008B7A21">
        <w:rPr>
          <w:lang w:val="es-ES_tradnl"/>
        </w:rPr>
        <w:tab/>
        <w:t>Servicios de datos inalámbricos en la banda de frecuencias de 2 400-2 483 MHz.</w:t>
      </w:r>
    </w:p>
    <w:p w14:paraId="5CC92F72" w14:textId="77777777" w:rsidR="00F73D5B" w:rsidRPr="008B7A21" w:rsidRDefault="00F73D5B" w:rsidP="00F73D5B">
      <w:pPr>
        <w:pStyle w:val="enumlev1"/>
        <w:rPr>
          <w:lang w:val="es-ES_tradnl"/>
        </w:rPr>
      </w:pPr>
      <w:r w:rsidRPr="008B7A21">
        <w:rPr>
          <w:lang w:val="es-ES_tradnl"/>
        </w:rPr>
        <w:t>–</w:t>
      </w:r>
      <w:r w:rsidRPr="008B7A21">
        <w:rPr>
          <w:lang w:val="es-ES_tradnl"/>
        </w:rPr>
        <w:tab/>
        <w:t>La banda de frecuencias utilizada para industria, ciencia y atención sanitaria.</w:t>
      </w:r>
    </w:p>
    <w:p w14:paraId="2D2E2180" w14:textId="77777777" w:rsidR="00F73D5B" w:rsidRPr="008B7A21" w:rsidRDefault="00F73D5B" w:rsidP="00F73D5B">
      <w:pPr>
        <w:pStyle w:val="Heading3"/>
        <w:rPr>
          <w:lang w:val="es-ES_tradnl"/>
        </w:rPr>
      </w:pPr>
      <w:bookmarkStart w:id="2076" w:name="_Toc499563134"/>
      <w:bookmarkStart w:id="2077" w:name="_Toc215835452"/>
      <w:r w:rsidRPr="008B7A21">
        <w:rPr>
          <w:lang w:val="es-ES_tradnl"/>
        </w:rPr>
        <w:t>5.2.13</w:t>
      </w:r>
      <w:r w:rsidRPr="008B7A21">
        <w:rPr>
          <w:lang w:val="es-ES_tradnl"/>
        </w:rPr>
        <w:tab/>
        <w:t>Procedimiento de Colombia para establecer el nivel de ocupación en un área geográfica concreta para enlaces punto a punto</w:t>
      </w:r>
      <w:bookmarkEnd w:id="2076"/>
      <w:bookmarkEnd w:id="2077"/>
    </w:p>
    <w:p w14:paraId="5DC7F35B" w14:textId="77777777" w:rsidR="00F73D5B" w:rsidRPr="008B7A21" w:rsidRDefault="00F73D5B" w:rsidP="00F73D5B">
      <w:pPr>
        <w:rPr>
          <w:lang w:val="es-ES_tradnl"/>
        </w:rPr>
      </w:pPr>
      <w:r w:rsidRPr="008B7A21">
        <w:rPr>
          <w:lang w:val="es-ES_tradnl"/>
        </w:rPr>
        <w:t>El Gobierno de Colombia da a conocer los siguientes resultados de un estudio sobre el establecimiento de parámetros que deben figurar en el plan de cánones del espectro. En el siguiente texto se explica la incorporación de un parámetro que refleja la demanda de espectro y el coste de oportunidad de enlaces de microondas para determinadas bandas de frecuencias.</w:t>
      </w:r>
    </w:p>
    <w:p w14:paraId="5ACFCB50" w14:textId="77777777" w:rsidR="00F73D5B" w:rsidRPr="008B7A21" w:rsidRDefault="00F73D5B" w:rsidP="00F73D5B">
      <w:pPr>
        <w:pStyle w:val="Headingb"/>
        <w:rPr>
          <w:lang w:val="es-ES_tradnl"/>
        </w:rPr>
      </w:pPr>
      <w:bookmarkStart w:id="2078" w:name="_Toc454285008"/>
      <w:bookmarkStart w:id="2079" w:name="_Toc462234172"/>
      <w:bookmarkStart w:id="2080" w:name="_Toc499563135"/>
      <w:r w:rsidRPr="008B7A21">
        <w:rPr>
          <w:lang w:val="es-ES_tradnl"/>
        </w:rPr>
        <w:t>Antecedentes</w:t>
      </w:r>
      <w:bookmarkEnd w:id="2078"/>
      <w:bookmarkEnd w:id="2079"/>
      <w:bookmarkEnd w:id="2080"/>
    </w:p>
    <w:p w14:paraId="70B7B36C" w14:textId="77777777" w:rsidR="00F73D5B" w:rsidRPr="008B7A21" w:rsidRDefault="00F73D5B" w:rsidP="00F73D5B">
      <w:pPr>
        <w:rPr>
          <w:lang w:val="es-ES_tradnl"/>
        </w:rPr>
      </w:pPr>
      <w:r w:rsidRPr="008B7A21">
        <w:rPr>
          <w:lang w:val="es-ES_tradnl"/>
        </w:rPr>
        <w:t>En la Ley de Tecnologías de la Información y la Comunicación promulgada en 2009 en Colombia (Ley # 1341) se decretó promover el uso óptimo del espectro dada su importancia estratégica para el país y para mejorar la competitividad, servicios de calidad y eficiencia para los consumidores. En este sentido, todas las entidades gubernamentales nacionales y territoriales que participaban en la gestión del espectro debían adoptar las medidas necesarias para alcanzar esos objetivos.</w:t>
      </w:r>
    </w:p>
    <w:p w14:paraId="526B1DA2" w14:textId="77777777" w:rsidR="00F73D5B" w:rsidRPr="008B7A21" w:rsidRDefault="00F73D5B" w:rsidP="00F73D5B">
      <w:pPr>
        <w:rPr>
          <w:lang w:val="es-ES_tradnl"/>
        </w:rPr>
      </w:pPr>
      <w:r w:rsidRPr="008B7A21">
        <w:rPr>
          <w:lang w:val="es-ES_tradnl"/>
        </w:rPr>
        <w:t>En la Ley 1341 también se estipula la creación de la Agencia Nacional del Espectro, ANE. Esa entidad se encarga de prestar apoyo técnico en asuntos de gestión del espectro, en particular sobre planificación, monitorización y control del espectro, y de asesorar al Ministerio de Tecnologías de la Información y la Comunicación sobre la asignación de frecuencias y la definición y ajuste del plan de cánones del espectro.</w:t>
      </w:r>
    </w:p>
    <w:p w14:paraId="725CC32A" w14:textId="77777777" w:rsidR="00F73D5B" w:rsidRPr="008B7A21" w:rsidRDefault="00F73D5B" w:rsidP="00F73D5B">
      <w:pPr>
        <w:rPr>
          <w:lang w:val="es-ES_tradnl"/>
        </w:rPr>
      </w:pPr>
      <w:r w:rsidRPr="008B7A21">
        <w:rPr>
          <w:lang w:val="es-ES_tradnl"/>
        </w:rPr>
        <w:t>En este sentido, la ANE ha elaborado diversos estudios en los que se definen varias cuestiones para su introducción en el plan del canon del espectro. Entre ellas un coeficiente llamado «factor de eficiencia» (Fe) que se aplica en la fórmula de enlaces punto a punto y que tendrá un papel importante en la mejora hacia una distribución más eficiente del espectro y su uso.</w:t>
      </w:r>
    </w:p>
    <w:p w14:paraId="6BB81100" w14:textId="77777777" w:rsidR="00F73D5B" w:rsidRPr="008B7A21" w:rsidRDefault="00F73D5B" w:rsidP="00F73D5B">
      <w:pPr>
        <w:pStyle w:val="Headingb"/>
        <w:rPr>
          <w:szCs w:val="24"/>
          <w:lang w:val="es-ES_tradnl"/>
        </w:rPr>
      </w:pPr>
      <w:bookmarkStart w:id="2081" w:name="_Toc454285009"/>
      <w:bookmarkStart w:id="2082" w:name="_Toc462234173"/>
      <w:bookmarkStart w:id="2083" w:name="_Toc499563136"/>
      <w:r w:rsidRPr="008B7A21">
        <w:rPr>
          <w:lang w:val="es-ES_tradnl"/>
        </w:rPr>
        <w:t>El factor de eficiencia para enlaces punto a punto</w:t>
      </w:r>
      <w:bookmarkEnd w:id="2081"/>
      <w:bookmarkEnd w:id="2082"/>
      <w:bookmarkEnd w:id="2083"/>
    </w:p>
    <w:p w14:paraId="0F7118D3" w14:textId="77777777" w:rsidR="00F73D5B" w:rsidRPr="008B7A21" w:rsidRDefault="00F73D5B" w:rsidP="00F73D5B">
      <w:pPr>
        <w:rPr>
          <w:lang w:val="es-ES_tradnl"/>
        </w:rPr>
      </w:pPr>
      <w:r w:rsidRPr="008B7A21">
        <w:rPr>
          <w:lang w:val="es-ES_tradnl"/>
        </w:rPr>
        <w:t>El plan nacional de cánones del espectro en Colombia se organiza en función del tipo de enlaces y se aplica a frecuencias distintas a las bandas IMT. En el último caso, los cánones se fijan mediante mecanismos de mercado: la mayoría de las veces los procesos de asignación de frecuencias se realizan en subastas.</w:t>
      </w:r>
    </w:p>
    <w:p w14:paraId="00D218D1" w14:textId="77777777" w:rsidR="00F73D5B" w:rsidRPr="008B7A21" w:rsidRDefault="00F73D5B" w:rsidP="00F73D5B">
      <w:pPr>
        <w:rPr>
          <w:lang w:val="es-ES_tradnl"/>
        </w:rPr>
      </w:pPr>
      <w:r w:rsidRPr="008B7A21">
        <w:rPr>
          <w:lang w:val="es-ES_tradnl"/>
        </w:rPr>
        <w:t>De este modo, el plan de cánones del espectro contiene fórmulas diferentes relativas a:</w:t>
      </w:r>
    </w:p>
    <w:p w14:paraId="170ECC51" w14:textId="77777777" w:rsidR="00F73D5B" w:rsidRPr="008B7A21" w:rsidRDefault="00F73D5B" w:rsidP="00F73D5B">
      <w:pPr>
        <w:pStyle w:val="enumlev1"/>
        <w:rPr>
          <w:lang w:val="es-ES_tradnl"/>
        </w:rPr>
      </w:pPr>
      <w:r w:rsidRPr="008B7A21">
        <w:rPr>
          <w:lang w:val="es-ES_tradnl"/>
        </w:rPr>
        <w:t>a)</w:t>
      </w:r>
      <w:r w:rsidRPr="008B7A21">
        <w:rPr>
          <w:lang w:val="es-ES_tradnl"/>
        </w:rPr>
        <w:tab/>
        <w:t>los enlaces en las bandas de ondas decamétricas;</w:t>
      </w:r>
    </w:p>
    <w:p w14:paraId="2DC0F05B" w14:textId="77777777" w:rsidR="00F73D5B" w:rsidRPr="008B7A21" w:rsidRDefault="00F73D5B" w:rsidP="00F73D5B">
      <w:pPr>
        <w:pStyle w:val="enumlev1"/>
        <w:rPr>
          <w:lang w:val="es-ES_tradnl"/>
        </w:rPr>
      </w:pPr>
      <w:r w:rsidRPr="008B7A21">
        <w:rPr>
          <w:lang w:val="es-ES_tradnl"/>
        </w:rPr>
        <w:t>b)</w:t>
      </w:r>
      <w:r w:rsidRPr="008B7A21">
        <w:rPr>
          <w:lang w:val="es-ES_tradnl"/>
        </w:rPr>
        <w:tab/>
        <w:t>los enlaces punto a punto, y</w:t>
      </w:r>
    </w:p>
    <w:p w14:paraId="5DD1A97D" w14:textId="77777777" w:rsidR="00F73D5B" w:rsidRPr="008B7A21" w:rsidRDefault="00F73D5B" w:rsidP="00F73D5B">
      <w:pPr>
        <w:pStyle w:val="enumlev1"/>
        <w:rPr>
          <w:lang w:val="es-ES_tradnl"/>
        </w:rPr>
      </w:pPr>
      <w:r w:rsidRPr="008B7A21">
        <w:rPr>
          <w:lang w:val="es-ES_tradnl"/>
        </w:rPr>
        <w:t>c)</w:t>
      </w:r>
      <w:r w:rsidRPr="008B7A21">
        <w:rPr>
          <w:lang w:val="es-ES_tradnl"/>
        </w:rPr>
        <w:tab/>
        <w:t>los enlaces punto a multipunto.</w:t>
      </w:r>
    </w:p>
    <w:p w14:paraId="4F5FFB1C" w14:textId="77777777" w:rsidR="00F73D5B" w:rsidRPr="008B7A21" w:rsidRDefault="00F73D5B" w:rsidP="00F73D5B">
      <w:pPr>
        <w:keepNext/>
        <w:keepLines/>
        <w:rPr>
          <w:lang w:val="es-ES_tradnl"/>
        </w:rPr>
      </w:pPr>
      <w:r w:rsidRPr="008B7A21">
        <w:rPr>
          <w:lang w:val="es-ES_tradnl"/>
        </w:rPr>
        <w:t>Como resultado de la aplicación de las diferentes fórmulas y el crecimiento de la demanda del espectro, el espectro se congestionó en algunas áreas y ubicaciones geográficas concretas.</w:t>
      </w:r>
      <w:r w:rsidRPr="008B7A21">
        <w:rPr>
          <w:b/>
          <w:bCs/>
          <w:szCs w:val="24"/>
          <w:lang w:val="es-ES_tradnl"/>
        </w:rPr>
        <w:t xml:space="preserve"> </w:t>
      </w:r>
      <w:r w:rsidRPr="008B7A21">
        <w:rPr>
          <w:lang w:val="es-ES_tradnl"/>
        </w:rPr>
        <w:t>Por lo tanto, fue necesario diseñar, e incorporar en las correspondientes fórmulas, un factor que reflejase la escasez del recurso y promoviese decisiones basadas en el coste de oportunidad, entre otros criterios.</w:t>
      </w:r>
    </w:p>
    <w:p w14:paraId="30314979" w14:textId="77777777" w:rsidR="00F73D5B" w:rsidRPr="008B7A21" w:rsidRDefault="00F73D5B" w:rsidP="00F73D5B">
      <w:pPr>
        <w:rPr>
          <w:lang w:val="es-ES_tradnl"/>
        </w:rPr>
      </w:pPr>
      <w:r w:rsidRPr="008B7A21">
        <w:rPr>
          <w:lang w:val="es-ES_tradnl"/>
        </w:rPr>
        <w:t>En este sentido, la ANE elaboró un estudio para determinar los cambios necesarios. Entre otros factores y modificaciones requeridos, el factor de eficiencia se incorporó en la fórmula de enlaces punto a punto.</w:t>
      </w:r>
    </w:p>
    <w:p w14:paraId="6DDC7ACD" w14:textId="77777777" w:rsidR="00F73D5B" w:rsidRPr="008B7A21" w:rsidRDefault="00F73D5B" w:rsidP="00F73D5B">
      <w:pPr>
        <w:rPr>
          <w:lang w:val="es-ES_tradnl"/>
        </w:rPr>
      </w:pPr>
      <w:r w:rsidRPr="008B7A21">
        <w:rPr>
          <w:lang w:val="es-ES_tradnl"/>
        </w:rPr>
        <w:t>Ese factor comprende criterios técnicos y económicos para promover la eficiencia en la asignación del espectro y su uso. Está relacionado con los permisos de espectro vigentes en áreas geográficas concretas (la demanda de recurso).</w:t>
      </w:r>
    </w:p>
    <w:p w14:paraId="3E5FEE21" w14:textId="77777777" w:rsidR="00F73D5B" w:rsidRPr="008B7A21" w:rsidRDefault="00F73D5B" w:rsidP="00765998">
      <w:pPr>
        <w:pStyle w:val="TableNo"/>
        <w:rPr>
          <w:lang w:val="es-ES_tradnl" w:eastAsia="ko-KR"/>
        </w:rPr>
      </w:pPr>
      <w:r w:rsidRPr="008B7A21">
        <w:rPr>
          <w:lang w:val="es-ES_tradnl" w:eastAsia="ko-KR"/>
        </w:rPr>
        <w:t>CUADRO 50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16"/>
        <w:gridCol w:w="2623"/>
        <w:gridCol w:w="2800"/>
      </w:tblGrid>
      <w:tr w:rsidR="00F73D5B" w:rsidRPr="008B7A21" w14:paraId="21808A95" w14:textId="77777777" w:rsidTr="00765998">
        <w:trPr>
          <w:trHeight w:val="640"/>
          <w:jc w:val="center"/>
        </w:trPr>
        <w:tc>
          <w:tcPr>
            <w:tcW w:w="2860" w:type="dxa"/>
            <w:tcMar>
              <w:top w:w="15" w:type="dxa"/>
              <w:left w:w="108" w:type="dxa"/>
              <w:bottom w:w="0" w:type="dxa"/>
              <w:right w:w="108" w:type="dxa"/>
            </w:tcMar>
            <w:hideMark/>
          </w:tcPr>
          <w:p w14:paraId="706BCF1A" w14:textId="77777777" w:rsidR="00F73D5B" w:rsidRPr="008B7A21" w:rsidRDefault="00F73D5B" w:rsidP="00DD0D67">
            <w:pPr>
              <w:pStyle w:val="Tablehead"/>
              <w:keepLines/>
              <w:rPr>
                <w:lang w:val="es-ES_tradnl"/>
              </w:rPr>
            </w:pPr>
            <w:r w:rsidRPr="008B7A21">
              <w:rPr>
                <w:lang w:val="es-ES_tradnl"/>
              </w:rPr>
              <w:t>Nivel de ocupación de banda (NOB)</w:t>
            </w:r>
            <w:r w:rsidRPr="008B7A21">
              <w:rPr>
                <w:lang w:val="es-ES_tradnl"/>
              </w:rPr>
              <w:br/>
              <w:t>Porcentaje</w:t>
            </w:r>
          </w:p>
        </w:tc>
        <w:tc>
          <w:tcPr>
            <w:tcW w:w="1780" w:type="dxa"/>
            <w:tcMar>
              <w:top w:w="15" w:type="dxa"/>
              <w:left w:w="108" w:type="dxa"/>
              <w:bottom w:w="0" w:type="dxa"/>
              <w:right w:w="108" w:type="dxa"/>
            </w:tcMar>
            <w:vAlign w:val="center"/>
            <w:hideMark/>
          </w:tcPr>
          <w:p w14:paraId="72F50F81" w14:textId="77777777" w:rsidR="00F73D5B" w:rsidRPr="008B7A21" w:rsidRDefault="00F73D5B" w:rsidP="00DD0D67">
            <w:pPr>
              <w:pStyle w:val="Tablehead"/>
              <w:keepLines/>
              <w:rPr>
                <w:lang w:val="es-ES_tradnl"/>
              </w:rPr>
            </w:pPr>
            <w:r w:rsidRPr="008B7A21">
              <w:rPr>
                <w:lang w:val="es-ES_tradnl"/>
              </w:rPr>
              <w:t>Nivel de congestión</w:t>
            </w:r>
          </w:p>
        </w:tc>
        <w:tc>
          <w:tcPr>
            <w:tcW w:w="1900" w:type="dxa"/>
            <w:tcMar>
              <w:top w:w="15" w:type="dxa"/>
              <w:left w:w="108" w:type="dxa"/>
              <w:bottom w:w="0" w:type="dxa"/>
              <w:right w:w="108" w:type="dxa"/>
            </w:tcMar>
            <w:hideMark/>
          </w:tcPr>
          <w:p w14:paraId="3E60C55E" w14:textId="77777777" w:rsidR="00F73D5B" w:rsidRPr="008B7A21" w:rsidRDefault="00F73D5B" w:rsidP="00DD0D67">
            <w:pPr>
              <w:pStyle w:val="Tablehead"/>
              <w:keepLines/>
              <w:rPr>
                <w:lang w:val="es-ES_tradnl"/>
              </w:rPr>
            </w:pPr>
            <w:r w:rsidRPr="008B7A21">
              <w:rPr>
                <w:lang w:val="es-ES_tradnl"/>
              </w:rPr>
              <w:t>Factor de eficiencia</w:t>
            </w:r>
            <w:r w:rsidRPr="008B7A21">
              <w:rPr>
                <w:lang w:val="es-ES_tradnl"/>
              </w:rPr>
              <w:br/>
              <w:t>(Fe)</w:t>
            </w:r>
          </w:p>
        </w:tc>
      </w:tr>
      <w:tr w:rsidR="00F73D5B" w:rsidRPr="008B7A21" w14:paraId="54AF177B" w14:textId="77777777" w:rsidTr="00765998">
        <w:trPr>
          <w:trHeight w:val="320"/>
          <w:jc w:val="center"/>
        </w:trPr>
        <w:tc>
          <w:tcPr>
            <w:tcW w:w="2860" w:type="dxa"/>
            <w:tcMar>
              <w:top w:w="15" w:type="dxa"/>
              <w:left w:w="108" w:type="dxa"/>
              <w:bottom w:w="0" w:type="dxa"/>
              <w:right w:w="108" w:type="dxa"/>
            </w:tcMar>
            <w:vAlign w:val="center"/>
            <w:hideMark/>
          </w:tcPr>
          <w:p w14:paraId="5B512B07" w14:textId="77777777" w:rsidR="00F73D5B" w:rsidRPr="008B7A21" w:rsidRDefault="00F73D5B" w:rsidP="00767A6A">
            <w:pPr>
              <w:pStyle w:val="Tabletext"/>
              <w:keepNext/>
              <w:keepLines/>
              <w:jc w:val="center"/>
              <w:rPr>
                <w:lang w:val="es-ES_tradnl"/>
              </w:rPr>
            </w:pPr>
            <w:r w:rsidRPr="008B7A21">
              <w:rPr>
                <w:lang w:val="es-ES_tradnl"/>
              </w:rPr>
              <w:t>0% &lt; NOB ≤ 75%</w:t>
            </w:r>
          </w:p>
        </w:tc>
        <w:tc>
          <w:tcPr>
            <w:tcW w:w="1780" w:type="dxa"/>
            <w:tcMar>
              <w:top w:w="15" w:type="dxa"/>
              <w:left w:w="108" w:type="dxa"/>
              <w:bottom w:w="0" w:type="dxa"/>
              <w:right w:w="108" w:type="dxa"/>
            </w:tcMar>
            <w:vAlign w:val="center"/>
            <w:hideMark/>
          </w:tcPr>
          <w:p w14:paraId="53EC8E86" w14:textId="77777777" w:rsidR="00F73D5B" w:rsidRPr="008B7A21" w:rsidRDefault="00F73D5B" w:rsidP="00767A6A">
            <w:pPr>
              <w:pStyle w:val="Tabletext"/>
              <w:keepNext/>
              <w:keepLines/>
              <w:jc w:val="center"/>
              <w:rPr>
                <w:lang w:val="es-ES_tradnl"/>
              </w:rPr>
            </w:pPr>
            <w:r w:rsidRPr="008B7A21">
              <w:rPr>
                <w:lang w:val="es-ES_tradnl"/>
              </w:rPr>
              <w:t>Bajo</w:t>
            </w:r>
          </w:p>
        </w:tc>
        <w:tc>
          <w:tcPr>
            <w:tcW w:w="1900" w:type="dxa"/>
            <w:tcMar>
              <w:top w:w="15" w:type="dxa"/>
              <w:left w:w="108" w:type="dxa"/>
              <w:bottom w:w="0" w:type="dxa"/>
              <w:right w:w="108" w:type="dxa"/>
            </w:tcMar>
            <w:vAlign w:val="center"/>
            <w:hideMark/>
          </w:tcPr>
          <w:p w14:paraId="3524827F" w14:textId="77777777" w:rsidR="00F73D5B" w:rsidRPr="008B7A21" w:rsidRDefault="00F73D5B" w:rsidP="00767A6A">
            <w:pPr>
              <w:pStyle w:val="Tabletext"/>
              <w:keepNext/>
              <w:keepLines/>
              <w:jc w:val="center"/>
              <w:rPr>
                <w:lang w:val="es-ES_tradnl"/>
              </w:rPr>
            </w:pPr>
            <w:r w:rsidRPr="008B7A21">
              <w:rPr>
                <w:lang w:val="es-ES_tradnl"/>
              </w:rPr>
              <w:t>1</w:t>
            </w:r>
          </w:p>
        </w:tc>
      </w:tr>
      <w:tr w:rsidR="00F73D5B" w:rsidRPr="008B7A21" w14:paraId="161941AA" w14:textId="77777777" w:rsidTr="00765998">
        <w:trPr>
          <w:trHeight w:val="320"/>
          <w:jc w:val="center"/>
        </w:trPr>
        <w:tc>
          <w:tcPr>
            <w:tcW w:w="2860" w:type="dxa"/>
            <w:tcMar>
              <w:top w:w="15" w:type="dxa"/>
              <w:left w:w="108" w:type="dxa"/>
              <w:bottom w:w="0" w:type="dxa"/>
              <w:right w:w="108" w:type="dxa"/>
            </w:tcMar>
            <w:vAlign w:val="center"/>
            <w:hideMark/>
          </w:tcPr>
          <w:p w14:paraId="5C249F40" w14:textId="77777777" w:rsidR="00F73D5B" w:rsidRPr="008B7A21" w:rsidRDefault="00F73D5B" w:rsidP="00767A6A">
            <w:pPr>
              <w:pStyle w:val="Tabletext"/>
              <w:keepNext/>
              <w:keepLines/>
              <w:jc w:val="center"/>
              <w:rPr>
                <w:lang w:val="es-ES_tradnl"/>
              </w:rPr>
            </w:pPr>
            <w:r w:rsidRPr="008B7A21">
              <w:rPr>
                <w:lang w:val="es-ES_tradnl"/>
              </w:rPr>
              <w:t>75% &lt; NOB ≤ 90%</w:t>
            </w:r>
          </w:p>
        </w:tc>
        <w:tc>
          <w:tcPr>
            <w:tcW w:w="1780" w:type="dxa"/>
            <w:tcMar>
              <w:top w:w="15" w:type="dxa"/>
              <w:left w:w="108" w:type="dxa"/>
              <w:bottom w:w="0" w:type="dxa"/>
              <w:right w:w="108" w:type="dxa"/>
            </w:tcMar>
            <w:vAlign w:val="center"/>
            <w:hideMark/>
          </w:tcPr>
          <w:p w14:paraId="03FE44BA" w14:textId="77777777" w:rsidR="00F73D5B" w:rsidRPr="008B7A21" w:rsidRDefault="00F73D5B" w:rsidP="00767A6A">
            <w:pPr>
              <w:pStyle w:val="Tabletext"/>
              <w:keepNext/>
              <w:keepLines/>
              <w:jc w:val="center"/>
              <w:rPr>
                <w:lang w:val="es-ES_tradnl"/>
              </w:rPr>
            </w:pPr>
            <w:r w:rsidRPr="008B7A21">
              <w:rPr>
                <w:lang w:val="es-ES_tradnl"/>
              </w:rPr>
              <w:t>Medio</w:t>
            </w:r>
          </w:p>
        </w:tc>
        <w:tc>
          <w:tcPr>
            <w:tcW w:w="1900" w:type="dxa"/>
            <w:tcMar>
              <w:top w:w="15" w:type="dxa"/>
              <w:left w:w="108" w:type="dxa"/>
              <w:bottom w:w="0" w:type="dxa"/>
              <w:right w:w="108" w:type="dxa"/>
            </w:tcMar>
            <w:vAlign w:val="center"/>
            <w:hideMark/>
          </w:tcPr>
          <w:p w14:paraId="4C9F4B51" w14:textId="77777777" w:rsidR="00F73D5B" w:rsidRPr="008B7A21" w:rsidRDefault="00F73D5B" w:rsidP="00767A6A">
            <w:pPr>
              <w:pStyle w:val="Tabletext"/>
              <w:keepNext/>
              <w:keepLines/>
              <w:jc w:val="center"/>
              <w:rPr>
                <w:lang w:val="es-ES_tradnl"/>
              </w:rPr>
            </w:pPr>
            <w:r w:rsidRPr="008B7A21">
              <w:rPr>
                <w:lang w:val="es-ES_tradnl"/>
              </w:rPr>
              <w:t>1,1</w:t>
            </w:r>
          </w:p>
        </w:tc>
      </w:tr>
      <w:tr w:rsidR="00F73D5B" w:rsidRPr="008B7A21" w14:paraId="39EA70C8" w14:textId="77777777" w:rsidTr="00765998">
        <w:trPr>
          <w:trHeight w:val="640"/>
          <w:jc w:val="center"/>
        </w:trPr>
        <w:tc>
          <w:tcPr>
            <w:tcW w:w="2860" w:type="dxa"/>
            <w:tcMar>
              <w:top w:w="15" w:type="dxa"/>
              <w:left w:w="108" w:type="dxa"/>
              <w:bottom w:w="0" w:type="dxa"/>
              <w:right w:w="108" w:type="dxa"/>
            </w:tcMar>
            <w:vAlign w:val="center"/>
            <w:hideMark/>
          </w:tcPr>
          <w:p w14:paraId="61F8C510" w14:textId="77777777" w:rsidR="00F73D5B" w:rsidRPr="008B7A21" w:rsidRDefault="00F73D5B" w:rsidP="00767A6A">
            <w:pPr>
              <w:pStyle w:val="Tabletext"/>
              <w:keepNext/>
              <w:keepLines/>
              <w:jc w:val="center"/>
              <w:rPr>
                <w:lang w:val="es-ES_tradnl"/>
              </w:rPr>
            </w:pPr>
            <w:r w:rsidRPr="008B7A21">
              <w:rPr>
                <w:lang w:val="es-ES_tradnl"/>
              </w:rPr>
              <w:t>NOB &gt; 90%</w:t>
            </w:r>
          </w:p>
        </w:tc>
        <w:tc>
          <w:tcPr>
            <w:tcW w:w="1780" w:type="dxa"/>
            <w:vMerge w:val="restart"/>
            <w:tcMar>
              <w:top w:w="15" w:type="dxa"/>
              <w:left w:w="108" w:type="dxa"/>
              <w:bottom w:w="0" w:type="dxa"/>
              <w:right w:w="108" w:type="dxa"/>
            </w:tcMar>
            <w:vAlign w:val="center"/>
            <w:hideMark/>
          </w:tcPr>
          <w:p w14:paraId="1FACDA65" w14:textId="77777777" w:rsidR="00F73D5B" w:rsidRPr="008B7A21" w:rsidRDefault="00F73D5B" w:rsidP="00767A6A">
            <w:pPr>
              <w:pStyle w:val="Tabletext"/>
              <w:keepNext/>
              <w:keepLines/>
              <w:jc w:val="center"/>
              <w:rPr>
                <w:lang w:val="es-ES_tradnl"/>
              </w:rPr>
            </w:pPr>
            <w:r w:rsidRPr="008B7A21">
              <w:rPr>
                <w:lang w:val="es-ES_tradnl"/>
              </w:rPr>
              <w:t>Banda saturada</w:t>
            </w:r>
          </w:p>
        </w:tc>
        <w:tc>
          <w:tcPr>
            <w:tcW w:w="1900" w:type="dxa"/>
            <w:vMerge w:val="restart"/>
            <w:tcMar>
              <w:top w:w="15" w:type="dxa"/>
              <w:left w:w="108" w:type="dxa"/>
              <w:bottom w:w="0" w:type="dxa"/>
              <w:right w:w="108" w:type="dxa"/>
            </w:tcMar>
            <w:vAlign w:val="center"/>
            <w:hideMark/>
          </w:tcPr>
          <w:p w14:paraId="45431787" w14:textId="77777777" w:rsidR="00F73D5B" w:rsidRPr="008B7A21" w:rsidRDefault="00F73D5B" w:rsidP="00767A6A">
            <w:pPr>
              <w:pStyle w:val="Tabletext"/>
              <w:keepNext/>
              <w:keepLines/>
              <w:jc w:val="center"/>
              <w:rPr>
                <w:lang w:val="es-ES_tradnl"/>
              </w:rPr>
            </w:pPr>
            <w:r w:rsidRPr="008B7A21">
              <w:rPr>
                <w:lang w:val="es-ES_tradnl"/>
              </w:rPr>
              <w:t>1,3</w:t>
            </w:r>
          </w:p>
        </w:tc>
      </w:tr>
      <w:tr w:rsidR="00F73D5B" w:rsidRPr="008B7A21" w14:paraId="288A8C95" w14:textId="77777777" w:rsidTr="00765998">
        <w:trPr>
          <w:trHeight w:val="960"/>
          <w:jc w:val="center"/>
        </w:trPr>
        <w:tc>
          <w:tcPr>
            <w:tcW w:w="2860" w:type="dxa"/>
            <w:tcMar>
              <w:top w:w="15" w:type="dxa"/>
              <w:left w:w="108" w:type="dxa"/>
              <w:bottom w:w="0" w:type="dxa"/>
              <w:right w:w="108" w:type="dxa"/>
            </w:tcMar>
            <w:vAlign w:val="center"/>
            <w:hideMark/>
          </w:tcPr>
          <w:p w14:paraId="71F58138" w14:textId="77777777" w:rsidR="00F73D5B" w:rsidRPr="008B7A21" w:rsidRDefault="00F73D5B" w:rsidP="00767A6A">
            <w:pPr>
              <w:pStyle w:val="Tabletext"/>
              <w:jc w:val="center"/>
              <w:rPr>
                <w:lang w:val="es-ES_tradnl"/>
              </w:rPr>
            </w:pPr>
            <w:r w:rsidRPr="008B7A21">
              <w:rPr>
                <w:lang w:val="es-ES_tradnl"/>
              </w:rPr>
              <w:t>O la prueba de la existencia de un canal con reutilización de frecuencia, únicamente para enlaces punto a punto</w:t>
            </w:r>
          </w:p>
        </w:tc>
        <w:tc>
          <w:tcPr>
            <w:tcW w:w="0" w:type="auto"/>
            <w:vMerge/>
            <w:vAlign w:val="center"/>
            <w:hideMark/>
          </w:tcPr>
          <w:p w14:paraId="726B3601" w14:textId="77777777" w:rsidR="00F73D5B" w:rsidRPr="008B7A21" w:rsidRDefault="00F73D5B" w:rsidP="00767A6A">
            <w:pPr>
              <w:pStyle w:val="Tabletext"/>
              <w:jc w:val="center"/>
              <w:rPr>
                <w:rFonts w:ascii="Arial" w:hAnsi="Arial" w:cs="Arial"/>
                <w:sz w:val="36"/>
                <w:szCs w:val="36"/>
                <w:lang w:val="es-ES_tradnl" w:eastAsia="es-CO"/>
              </w:rPr>
            </w:pPr>
          </w:p>
        </w:tc>
        <w:tc>
          <w:tcPr>
            <w:tcW w:w="0" w:type="auto"/>
            <w:vMerge/>
            <w:vAlign w:val="center"/>
            <w:hideMark/>
          </w:tcPr>
          <w:p w14:paraId="1603BD86" w14:textId="77777777" w:rsidR="00F73D5B" w:rsidRPr="008B7A21" w:rsidRDefault="00F73D5B" w:rsidP="00767A6A">
            <w:pPr>
              <w:pStyle w:val="Tabletext"/>
              <w:jc w:val="center"/>
              <w:rPr>
                <w:rFonts w:ascii="Arial" w:hAnsi="Arial" w:cs="Arial"/>
                <w:sz w:val="36"/>
                <w:szCs w:val="36"/>
                <w:lang w:val="es-ES_tradnl" w:eastAsia="es-CO"/>
              </w:rPr>
            </w:pPr>
          </w:p>
        </w:tc>
      </w:tr>
    </w:tbl>
    <w:p w14:paraId="663FEDDE" w14:textId="77777777" w:rsidR="00F73D5B" w:rsidRPr="008B7A21" w:rsidRDefault="00F73D5B" w:rsidP="00F73D5B">
      <w:pPr>
        <w:pStyle w:val="Tablefin"/>
        <w:rPr>
          <w:lang w:val="es-ES_tradnl"/>
        </w:rPr>
      </w:pPr>
    </w:p>
    <w:p w14:paraId="3D955143" w14:textId="77777777" w:rsidR="00F73D5B" w:rsidRPr="008B7A21" w:rsidRDefault="00F73D5B" w:rsidP="00F73D5B">
      <w:pPr>
        <w:rPr>
          <w:lang w:val="es-ES_tradnl"/>
        </w:rPr>
      </w:pPr>
      <w:r w:rsidRPr="008B7A21">
        <w:rPr>
          <w:lang w:val="es-ES_tradnl"/>
        </w:rPr>
        <w:t>El factor de eficiencia se aplicará a esos enlaces punto a punto en lugares concretos determinados por el gobierno con un nivel de ocupación superior al 75% en una banda en particular y con un nivel de congestión correspondiente de medio a saturado, como puede observarse en el cuadro. Ese factor se aplica cuando se ha comprobado que habrá al menos un canal con reutilización de frecuencias.</w:t>
      </w:r>
    </w:p>
    <w:p w14:paraId="245B5B99" w14:textId="77777777" w:rsidR="00F73D5B" w:rsidRPr="008B7A21" w:rsidRDefault="00F73D5B" w:rsidP="00F73D5B">
      <w:pPr>
        <w:rPr>
          <w:lang w:val="es-ES_tradnl"/>
        </w:rPr>
      </w:pPr>
      <w:r w:rsidRPr="008B7A21">
        <w:rPr>
          <w:lang w:val="es-ES_tradnl"/>
        </w:rPr>
        <w:t>Para la fórmula se necesitaron conocer los niveles de ocupación del espectro en los que se había detectado congestión y sus respectivos factores de eficiencia.</w:t>
      </w:r>
    </w:p>
    <w:p w14:paraId="5FD5B168" w14:textId="77777777" w:rsidR="00F73D5B" w:rsidRPr="008B7A21" w:rsidRDefault="00F73D5B" w:rsidP="00F73D5B">
      <w:pPr>
        <w:pStyle w:val="Headingb"/>
        <w:rPr>
          <w:lang w:val="es-ES_tradnl"/>
        </w:rPr>
      </w:pPr>
      <w:bookmarkStart w:id="2084" w:name="_Toc454285010"/>
      <w:bookmarkStart w:id="2085" w:name="_Toc462234174"/>
      <w:bookmarkStart w:id="2086" w:name="_Toc499563137"/>
      <w:r w:rsidRPr="008B7A21">
        <w:rPr>
          <w:lang w:val="es-ES_tradnl"/>
        </w:rPr>
        <w:t>Procedimiento para establecer el nivel de ocupación en un área geográfica concreta para enlaces punto a punto</w:t>
      </w:r>
      <w:bookmarkEnd w:id="2084"/>
      <w:bookmarkEnd w:id="2085"/>
      <w:bookmarkEnd w:id="2086"/>
    </w:p>
    <w:p w14:paraId="2403BECC" w14:textId="77777777" w:rsidR="00F73D5B" w:rsidRPr="008B7A21" w:rsidRDefault="00F73D5B" w:rsidP="00F73D5B">
      <w:pPr>
        <w:keepNext/>
        <w:keepLines/>
        <w:rPr>
          <w:lang w:val="es-ES_tradnl"/>
        </w:rPr>
      </w:pPr>
      <w:r w:rsidRPr="008B7A21">
        <w:rPr>
          <w:lang w:val="es-ES_tradnl"/>
        </w:rPr>
        <w:t>El procedimiento para establecer los niveles de ocupación se definió del siguiente modo:</w:t>
      </w:r>
    </w:p>
    <w:p w14:paraId="3EBB4DAF" w14:textId="77777777" w:rsidR="00F73D5B" w:rsidRPr="008B7A21" w:rsidRDefault="00F73D5B" w:rsidP="00F73D5B">
      <w:pPr>
        <w:pStyle w:val="enumlev1"/>
        <w:rPr>
          <w:lang w:val="es-ES_tradnl"/>
        </w:rPr>
      </w:pPr>
      <w:r w:rsidRPr="008B7A21">
        <w:rPr>
          <w:lang w:val="es-ES_tradnl"/>
        </w:rPr>
        <w:t>1)</w:t>
      </w:r>
      <w:r w:rsidRPr="008B7A21">
        <w:rPr>
          <w:lang w:val="es-ES_tradnl"/>
        </w:rPr>
        <w:tab/>
        <w:t>Solucionar los problemas de bases de datos de radioenlaces (enlaces punto a punto), para eliminar los permisos legales expirados y corregir alguna información imprecisa.</w:t>
      </w:r>
    </w:p>
    <w:p w14:paraId="32A0078B" w14:textId="77777777" w:rsidR="00F73D5B" w:rsidRPr="008B7A21" w:rsidRDefault="00F73D5B" w:rsidP="00F73D5B">
      <w:pPr>
        <w:pStyle w:val="enumlev1"/>
        <w:rPr>
          <w:lang w:val="es-ES_tradnl"/>
        </w:rPr>
      </w:pPr>
      <w:r w:rsidRPr="008B7A21">
        <w:rPr>
          <w:lang w:val="es-ES_tradnl"/>
        </w:rPr>
        <w:t>2)</w:t>
      </w:r>
      <w:r w:rsidRPr="008B7A21">
        <w:rPr>
          <w:lang w:val="es-ES_tradnl"/>
        </w:rPr>
        <w:tab/>
        <w:t>Organizar la base de datos ya limpia de frecuencias asignadas por banda de frecuencias según el cuadro nacional de atribución de bandas de frecuencias.</w:t>
      </w:r>
    </w:p>
    <w:p w14:paraId="404E3896" w14:textId="77777777" w:rsidR="00F73D5B" w:rsidRPr="008B7A21" w:rsidRDefault="00F73D5B" w:rsidP="00F73D5B">
      <w:pPr>
        <w:pStyle w:val="enumlev1"/>
        <w:rPr>
          <w:lang w:val="es-ES_tradnl"/>
        </w:rPr>
      </w:pPr>
      <w:r w:rsidRPr="008B7A21">
        <w:rPr>
          <w:lang w:val="es-ES_tradnl"/>
        </w:rPr>
        <w:t>3)</w:t>
      </w:r>
      <w:r w:rsidRPr="008B7A21">
        <w:rPr>
          <w:lang w:val="es-ES_tradnl"/>
        </w:rPr>
        <w:tab/>
        <w:t>Definir ubicaciones geográficas para que la base de datos limpia de frecuencias asignadas pueda agruparse según su ubicación. A tal fin cada ubicación geográfica se refiere a infraestructuras instaladas en un área específica conocida por un nombre y coordenadas comunes. Significa que las infraestructuras instaladas están lo suficientemente cerca como para generar interferencias si sus permisos les permiten operar en el mismo canal o en un canal adyacente.</w:t>
      </w:r>
    </w:p>
    <w:p w14:paraId="13DDAB36" w14:textId="77777777" w:rsidR="00F73D5B" w:rsidRPr="008B7A21" w:rsidRDefault="00F73D5B" w:rsidP="00F73D5B">
      <w:pPr>
        <w:pStyle w:val="enumlev1"/>
        <w:rPr>
          <w:lang w:val="es-ES_tradnl"/>
        </w:rPr>
      </w:pPr>
      <w:r w:rsidRPr="008B7A21">
        <w:rPr>
          <w:lang w:val="es-ES_tradnl"/>
        </w:rPr>
        <w:t>4)</w:t>
      </w:r>
      <w:r w:rsidRPr="008B7A21">
        <w:rPr>
          <w:lang w:val="es-ES_tradnl"/>
        </w:rPr>
        <w:tab/>
        <w:t>Determinar las ubicaciones congestionadas, agrupadas por banda de frecuencias.</w:t>
      </w:r>
    </w:p>
    <w:p w14:paraId="39FDEC7E" w14:textId="77777777" w:rsidR="00F73D5B" w:rsidRPr="008B7A21" w:rsidRDefault="00F73D5B" w:rsidP="00F73D5B">
      <w:pPr>
        <w:pStyle w:val="enumlev2"/>
        <w:rPr>
          <w:lang w:val="es-ES_tradnl"/>
        </w:rPr>
      </w:pPr>
      <w:r w:rsidRPr="008B7A21">
        <w:rPr>
          <w:lang w:val="es-ES_tradnl"/>
        </w:rPr>
        <w:t>a)</w:t>
      </w:r>
      <w:r w:rsidRPr="008B7A21">
        <w:rPr>
          <w:lang w:val="es-ES_tradnl"/>
        </w:rPr>
        <w:tab/>
        <w:t>Esa actividad comienza con la definición de un parámetro de referencia que permite definir los límites de congestión de una ubicación geográfica concreta en las diferentes bandas. El parámetro elegido es la cantidad de espectro utilizable en una banda de frecuencias particular en cada ubicación geográfica.</w:t>
      </w:r>
    </w:p>
    <w:p w14:paraId="5D666840" w14:textId="77777777" w:rsidR="00F73D5B" w:rsidRPr="008B7A21" w:rsidRDefault="00F73D5B" w:rsidP="00F73D5B">
      <w:pPr>
        <w:pStyle w:val="enumlev2"/>
        <w:rPr>
          <w:lang w:val="es-ES_tradnl"/>
        </w:rPr>
      </w:pPr>
      <w:r w:rsidRPr="008B7A21">
        <w:rPr>
          <w:lang w:val="es-ES_tradnl"/>
        </w:rPr>
        <w:t>b)</w:t>
      </w:r>
      <w:r w:rsidRPr="008B7A21">
        <w:rPr>
          <w:lang w:val="es-ES_tradnl"/>
        </w:rPr>
        <w:tab/>
        <w:t>La cantidad de espectro utilizable se calcula basándose en el Cuadro nacional de atribución de bandas de frecuencias y en sus disposiciones de canales concretas, todo lo cual se basa en las Recomendaciones de la UIT.</w:t>
      </w:r>
    </w:p>
    <w:p w14:paraId="3CBA4E38" w14:textId="77777777" w:rsidR="00F73D5B" w:rsidRPr="008B7A21" w:rsidRDefault="00F73D5B" w:rsidP="00F73D5B">
      <w:pPr>
        <w:pStyle w:val="enumlev2"/>
        <w:rPr>
          <w:lang w:val="es-ES_tradnl"/>
        </w:rPr>
      </w:pPr>
      <w:r w:rsidRPr="008B7A21">
        <w:rPr>
          <w:lang w:val="es-ES_tradnl"/>
        </w:rPr>
        <w:t>c)</w:t>
      </w:r>
      <w:r w:rsidRPr="008B7A21">
        <w:rPr>
          <w:lang w:val="es-ES_tradnl"/>
        </w:rPr>
        <w:tab/>
        <w:t>Así, la cantidad de espectro asignado se mide añadiendo las cantidades de espectro asignado en la base de datos.</w:t>
      </w:r>
    </w:p>
    <w:p w14:paraId="5257948E" w14:textId="77777777" w:rsidR="00F73D5B" w:rsidRPr="008B7A21" w:rsidRDefault="00F73D5B" w:rsidP="00F73D5B">
      <w:pPr>
        <w:pStyle w:val="enumlev2"/>
        <w:rPr>
          <w:lang w:val="es-ES_tradnl"/>
        </w:rPr>
      </w:pPr>
      <w:r w:rsidRPr="008B7A21">
        <w:rPr>
          <w:lang w:val="es-ES_tradnl"/>
        </w:rPr>
        <w:t>d)</w:t>
      </w:r>
      <w:r w:rsidRPr="008B7A21">
        <w:rPr>
          <w:lang w:val="es-ES_tradnl"/>
        </w:rPr>
        <w:tab/>
        <w:t>Los niveles de ocupación en las diferentes ubicaciones geográficas de las diferentes frecuencias se definen aplicando la relación entre la cantidad del espectro asignado y la cantidad del espectro utilizable.</w:t>
      </w:r>
    </w:p>
    <w:p w14:paraId="04EB001A" w14:textId="77777777" w:rsidR="00F73D5B" w:rsidRPr="008B7A21" w:rsidRDefault="00F73D5B" w:rsidP="00F73D5B">
      <w:pPr>
        <w:pStyle w:val="enumlev2"/>
        <w:rPr>
          <w:lang w:val="es-ES_tradnl"/>
        </w:rPr>
      </w:pPr>
      <w:r w:rsidRPr="008B7A21">
        <w:rPr>
          <w:lang w:val="es-ES_tradnl"/>
        </w:rPr>
        <w:t>e)</w:t>
      </w:r>
      <w:r w:rsidRPr="008B7A21">
        <w:rPr>
          <w:lang w:val="es-ES_tradnl"/>
        </w:rPr>
        <w:tab/>
        <w:t>El concepto de ubicaciones geográficas congestionadas, donde se aplican los factores de eficiencia, se define como el área circular cuyo radio parte de un punto central determinado. Los puntos centrales se fijan mediante las coordenadas mencionadas anteriormente (véase el punto número 3)).</w:t>
      </w:r>
    </w:p>
    <w:p w14:paraId="466FAA3B" w14:textId="77777777" w:rsidR="00F73D5B" w:rsidRPr="008B7A21" w:rsidRDefault="00F73D5B" w:rsidP="00F73D5B">
      <w:pPr>
        <w:pStyle w:val="enumlev2"/>
        <w:rPr>
          <w:lang w:val="es-ES_tradnl"/>
        </w:rPr>
      </w:pPr>
      <w:r w:rsidRPr="008B7A21">
        <w:rPr>
          <w:lang w:val="es-ES_tradnl"/>
        </w:rPr>
        <w:t>f)</w:t>
      </w:r>
      <w:r w:rsidRPr="008B7A21">
        <w:rPr>
          <w:lang w:val="es-ES_tradnl"/>
        </w:rPr>
        <w:tab/>
        <w:t xml:space="preserve">Es necesario determinar un radio a partir de la experiencia e información obtenida en la base de datos y mediante la herramienta de simulación. En el caso de Colombia, el radio es de 600 metros porque esa distancia era la máxima para incorporar todas las estaciones de base existentes en las ubicaciones geográficas congestionadas. </w:t>
      </w:r>
    </w:p>
    <w:p w14:paraId="44E26988" w14:textId="77777777" w:rsidR="00F73D5B" w:rsidRPr="008B7A21" w:rsidRDefault="00F73D5B" w:rsidP="00F73D5B">
      <w:pPr>
        <w:pStyle w:val="enumlev1"/>
        <w:rPr>
          <w:lang w:val="es-ES_tradnl"/>
        </w:rPr>
      </w:pPr>
      <w:r w:rsidRPr="008B7A21">
        <w:rPr>
          <w:lang w:val="es-ES_tradnl"/>
        </w:rPr>
        <w:t>5)</w:t>
      </w:r>
      <w:r w:rsidRPr="008B7A21">
        <w:rPr>
          <w:lang w:val="es-ES_tradnl"/>
        </w:rPr>
        <w:tab/>
        <w:t>En paralelo, la ANE fija los rangos de ocupación con sus respectivos niveles de congestión y establece los correspondientes factores. Esos factores se llaman factores de eficiencia y modificarán la fórmula de enlaces punto a punto para mejorar la eficiencia en la asignación y uso del espectro.</w:t>
      </w:r>
    </w:p>
    <w:p w14:paraId="3CF766EA" w14:textId="77777777" w:rsidR="00F73D5B" w:rsidRPr="008B7A21" w:rsidRDefault="00F73D5B" w:rsidP="00F73D5B">
      <w:pPr>
        <w:rPr>
          <w:lang w:val="es-ES_tradnl"/>
        </w:rPr>
      </w:pPr>
      <w:r w:rsidRPr="008B7A21">
        <w:rPr>
          <w:lang w:val="es-ES_tradnl"/>
        </w:rPr>
        <w:t>Los niveles de ocupación y congestión se muestran en el cuadro anterior. Serán válidos dos años y deberán elaborarse estudios para determinar los nuevos niveles de ocupación de las diferentes ubicaciones y áreas de los dos años posteriores. Los resultados debe publicarlos oportunamente el Gobierno para que los operadores puedan calcular y pagar los cánones del espectro anuales sin incurrir en multas o sanciones.</w:t>
      </w:r>
    </w:p>
    <w:p w14:paraId="7A33F70C" w14:textId="77777777" w:rsidR="00F73D5B" w:rsidRPr="008B7A21" w:rsidRDefault="00F73D5B" w:rsidP="00F73D5B">
      <w:pPr>
        <w:rPr>
          <w:lang w:val="es-ES_tradnl"/>
        </w:rPr>
      </w:pPr>
      <w:r w:rsidRPr="008B7A21">
        <w:rPr>
          <w:lang w:val="es-ES_tradnl"/>
        </w:rPr>
        <w:t>En el caso de enlaces punto a multipunto y para determinar la congestión de una banda, el procedimiento es similar al establecido anteriormente con unos pocos ajustes. En particular porque el área congestionada será una ubicación más grande, como una ciudad o incluso un país.</w:t>
      </w:r>
    </w:p>
    <w:p w14:paraId="3699719C" w14:textId="77777777" w:rsidR="00F73D5B" w:rsidRPr="008B7A21" w:rsidRDefault="00F73D5B" w:rsidP="00F73D5B">
      <w:pPr>
        <w:pStyle w:val="Headingb"/>
        <w:rPr>
          <w:lang w:val="es-ES_tradnl"/>
        </w:rPr>
      </w:pPr>
      <w:bookmarkStart w:id="2087" w:name="_Toc454285011"/>
      <w:bookmarkStart w:id="2088" w:name="_Toc462234175"/>
      <w:bookmarkStart w:id="2089" w:name="_Toc499563138"/>
      <w:r w:rsidRPr="008B7A21">
        <w:rPr>
          <w:lang w:val="es-ES_tradnl"/>
        </w:rPr>
        <w:t>Ejemplo de cálculos para un enlace punto a multipunto</w:t>
      </w:r>
      <w:bookmarkEnd w:id="2087"/>
      <w:bookmarkEnd w:id="2088"/>
      <w:bookmarkEnd w:id="2089"/>
    </w:p>
    <w:p w14:paraId="37A83707" w14:textId="77777777" w:rsidR="00F73D5B" w:rsidRPr="008B7A21" w:rsidRDefault="00F73D5B" w:rsidP="00F73D5B">
      <w:pPr>
        <w:rPr>
          <w:lang w:val="es-ES_tradnl"/>
        </w:rPr>
      </w:pPr>
      <w:r w:rsidRPr="008B7A21">
        <w:rPr>
          <w:lang w:val="es-ES_tradnl"/>
        </w:rPr>
        <w:t>El primer paso para calcular los cánones es sustituir en la fórmula los parámetros por los valores concretos para cada parámetro:</w:t>
      </w:r>
    </w:p>
    <w:p w14:paraId="4B53DAB7" w14:textId="77777777" w:rsidR="00F73D5B" w:rsidRPr="008B7A21" w:rsidRDefault="00F73D5B" w:rsidP="00F73D5B">
      <w:pPr>
        <w:pStyle w:val="Blanc"/>
        <w:rPr>
          <w:lang w:val="es-ES_tradnl"/>
        </w:rPr>
      </w:pPr>
    </w:p>
    <w:p w14:paraId="6AFA69C8" w14:textId="77777777" w:rsidR="00F73D5B" w:rsidRPr="008B7A21" w:rsidRDefault="00F73D5B" w:rsidP="00F73D5B">
      <w:pPr>
        <w:pStyle w:val="Equation"/>
        <w:rPr>
          <w:lang w:val="es-ES_tradnl"/>
        </w:rPr>
      </w:pPr>
      <w:r w:rsidRPr="008B7A21">
        <w:rPr>
          <w:lang w:val="es-ES_tradnl"/>
        </w:rPr>
        <w:tab/>
      </w:r>
      <w:r w:rsidRPr="008B7A21">
        <w:rPr>
          <w:lang w:val="es-ES_tradnl"/>
        </w:rPr>
        <w:tab/>
        <w:t>VAC = AB * Fv * Fe * SMMLV</w:t>
      </w:r>
    </w:p>
    <w:p w14:paraId="23B90C8D" w14:textId="77777777" w:rsidR="00F73D5B" w:rsidRPr="008B7A21" w:rsidRDefault="00F73D5B" w:rsidP="00F73D5B">
      <w:pPr>
        <w:pStyle w:val="Blanc"/>
        <w:rPr>
          <w:lang w:val="es-ES_tradnl"/>
        </w:rPr>
      </w:pPr>
    </w:p>
    <w:p w14:paraId="0D235079" w14:textId="77777777" w:rsidR="00F73D5B" w:rsidRPr="008B7A21" w:rsidRDefault="00F73D5B" w:rsidP="00F73D5B">
      <w:pPr>
        <w:rPr>
          <w:lang w:val="es-ES_tradnl"/>
        </w:rPr>
      </w:pPr>
      <w:r w:rsidRPr="008B7A21">
        <w:rPr>
          <w:lang w:val="es-ES_tradnl"/>
        </w:rPr>
        <w:t>donde:</w:t>
      </w:r>
    </w:p>
    <w:p w14:paraId="1ED2DDDE" w14:textId="77777777" w:rsidR="00F73D5B" w:rsidRPr="008B7A21" w:rsidRDefault="00F73D5B" w:rsidP="00F73D5B">
      <w:pPr>
        <w:pStyle w:val="Equationlegend"/>
        <w:rPr>
          <w:szCs w:val="24"/>
          <w:lang w:val="es-ES_tradnl"/>
        </w:rPr>
      </w:pPr>
      <w:r w:rsidRPr="008B7A21">
        <w:rPr>
          <w:lang w:val="es-ES_tradnl"/>
        </w:rPr>
        <w:tab/>
        <w:t>VAC:</w:t>
      </w:r>
      <w:r w:rsidRPr="008B7A21">
        <w:rPr>
          <w:lang w:val="es-ES_tradnl"/>
        </w:rPr>
        <w:tab/>
        <w:t>valor de canon anual</w:t>
      </w:r>
    </w:p>
    <w:p w14:paraId="1A965210" w14:textId="77777777" w:rsidR="00F73D5B" w:rsidRPr="008B7A21" w:rsidRDefault="00F73D5B" w:rsidP="00F73D5B">
      <w:pPr>
        <w:pStyle w:val="Equationlegend"/>
        <w:rPr>
          <w:szCs w:val="24"/>
          <w:lang w:val="es-ES_tradnl"/>
        </w:rPr>
      </w:pPr>
      <w:r w:rsidRPr="008B7A21">
        <w:rPr>
          <w:lang w:val="es-ES_tradnl"/>
        </w:rPr>
        <w:tab/>
        <w:t>AB:</w:t>
      </w:r>
      <w:r w:rsidRPr="008B7A21">
        <w:rPr>
          <w:lang w:val="es-ES_tradnl"/>
        </w:rPr>
        <w:tab/>
        <w:t>ancho de banda</w:t>
      </w:r>
    </w:p>
    <w:p w14:paraId="13D6DD12" w14:textId="77777777" w:rsidR="00F73D5B" w:rsidRPr="008B7A21" w:rsidRDefault="00F73D5B" w:rsidP="00F73D5B">
      <w:pPr>
        <w:pStyle w:val="Equationlegend"/>
        <w:rPr>
          <w:szCs w:val="24"/>
          <w:lang w:val="es-ES_tradnl"/>
        </w:rPr>
      </w:pPr>
      <w:r w:rsidRPr="008B7A21">
        <w:rPr>
          <w:lang w:val="es-ES_tradnl"/>
        </w:rPr>
        <w:tab/>
        <w:t>Fv:</w:t>
      </w:r>
      <w:r w:rsidRPr="008B7A21">
        <w:rPr>
          <w:lang w:val="es-ES_tradnl"/>
        </w:rPr>
        <w:tab/>
        <w:t>factor de ponderación de banda</w:t>
      </w:r>
    </w:p>
    <w:p w14:paraId="34EBCA4A" w14:textId="77777777" w:rsidR="00F73D5B" w:rsidRPr="008B7A21" w:rsidRDefault="00F73D5B" w:rsidP="00F73D5B">
      <w:pPr>
        <w:pStyle w:val="Equationlegend"/>
        <w:rPr>
          <w:szCs w:val="24"/>
          <w:lang w:val="es-ES_tradnl"/>
        </w:rPr>
      </w:pPr>
      <w:r w:rsidRPr="008B7A21">
        <w:rPr>
          <w:lang w:val="es-ES_tradnl"/>
        </w:rPr>
        <w:tab/>
        <w:t>Fe:</w:t>
      </w:r>
      <w:r w:rsidRPr="008B7A21">
        <w:rPr>
          <w:lang w:val="es-ES_tradnl"/>
        </w:rPr>
        <w:tab/>
        <w:t>factor de eficiencia (nuevo elemento que se incorpora a la fórmula)</w:t>
      </w:r>
    </w:p>
    <w:p w14:paraId="54BC4F0D" w14:textId="77777777" w:rsidR="00F73D5B" w:rsidRPr="008B7A21" w:rsidRDefault="00F73D5B" w:rsidP="00F73D5B">
      <w:pPr>
        <w:pStyle w:val="Equationlegend"/>
        <w:rPr>
          <w:szCs w:val="24"/>
          <w:lang w:val="es-ES_tradnl"/>
        </w:rPr>
      </w:pPr>
      <w:r w:rsidRPr="008B7A21">
        <w:rPr>
          <w:lang w:val="es-ES_tradnl"/>
        </w:rPr>
        <w:tab/>
        <w:t>SMMLV</w:t>
      </w:r>
      <w:r w:rsidRPr="008B7A21">
        <w:rPr>
          <w:lang w:val="es-ES_tradnl"/>
        </w:rPr>
        <w:tab/>
        <w:t>salario mínimo mensual, emitido legalmente cada año (salario mínimo de todo un mes).</w:t>
      </w:r>
    </w:p>
    <w:p w14:paraId="57317B37" w14:textId="77777777" w:rsidR="00F73D5B" w:rsidRPr="008B7A21" w:rsidRDefault="00F73D5B" w:rsidP="00F73D5B">
      <w:pPr>
        <w:rPr>
          <w:lang w:val="es-ES_tradnl"/>
        </w:rPr>
      </w:pPr>
      <w:r w:rsidRPr="008B7A21">
        <w:rPr>
          <w:lang w:val="es-ES_tradnl"/>
        </w:rPr>
        <w:t>Así, para el enlace punto a multipunto en la banda 23 GHz cuyo Fv es 0,38 con 28 MHz de ancho de banda y un SMMLV de 250 dólares estadounidenses para un año en concreto, VAC sería 2 660 dólares.</w:t>
      </w:r>
    </w:p>
    <w:p w14:paraId="2050D07D" w14:textId="77777777" w:rsidR="00F73D5B" w:rsidRPr="008B7A21" w:rsidRDefault="00F73D5B" w:rsidP="00F73D5B">
      <w:pPr>
        <w:rPr>
          <w:lang w:val="es-ES_tradnl"/>
        </w:rPr>
      </w:pPr>
      <w:r w:rsidRPr="008B7A21">
        <w:rPr>
          <w:lang w:val="es-ES_tradnl"/>
        </w:rPr>
        <w:t>Por otra parte, si la ubicación donde se sitúa el enlace tiene un nivel de congestión entre 75% y 90%, o un «nivel medio», el factor de eficiencia sería 1,1. En ese caso VAC sería 2 926 dólares estadounidenses.</w:t>
      </w:r>
    </w:p>
    <w:p w14:paraId="575B0747" w14:textId="77777777" w:rsidR="00F73D5B" w:rsidRPr="008B7A21" w:rsidRDefault="00F73D5B" w:rsidP="00F73D5B">
      <w:pPr>
        <w:rPr>
          <w:lang w:val="es-ES_tradnl"/>
        </w:rPr>
      </w:pPr>
      <w:r w:rsidRPr="008B7A21">
        <w:rPr>
          <w:lang w:val="es-ES_tradnl"/>
        </w:rPr>
        <w:t>Si el enlace está situado en un área o ubicación con un nivel de «banda saturada», el factor de eficiencia es 1,3 y su VAC alcanzaría los 3 458 dólares.</w:t>
      </w:r>
    </w:p>
    <w:p w14:paraId="5A330DA7" w14:textId="77777777" w:rsidR="00F73D5B" w:rsidRPr="008B7A21" w:rsidRDefault="00F73D5B" w:rsidP="00F73D5B">
      <w:pPr>
        <w:rPr>
          <w:lang w:val="es-ES_tradnl"/>
        </w:rPr>
      </w:pPr>
      <w:r w:rsidRPr="008B7A21">
        <w:rPr>
          <w:lang w:val="es-ES_tradnl"/>
        </w:rPr>
        <w:t>Colombia publicó una lista con las 82 ubicaciones geográficas congestionadas.</w:t>
      </w:r>
    </w:p>
    <w:p w14:paraId="739F97DB" w14:textId="77777777" w:rsidR="00F73D5B" w:rsidRPr="008B7A21" w:rsidRDefault="00F73D5B" w:rsidP="00F73D5B">
      <w:pPr>
        <w:pStyle w:val="Heading3"/>
        <w:rPr>
          <w:lang w:val="es-ES_tradnl"/>
        </w:rPr>
      </w:pPr>
      <w:bookmarkStart w:id="2090" w:name="_Toc182392000"/>
      <w:bookmarkStart w:id="2091" w:name="_Toc182391589"/>
      <w:bookmarkStart w:id="2092" w:name="_Toc215835453"/>
      <w:r w:rsidRPr="008B7A21">
        <w:rPr>
          <w:bCs/>
          <w:lang w:val="es-ES_tradnl"/>
        </w:rPr>
        <w:t>5.2.14</w:t>
      </w:r>
      <w:r w:rsidRPr="008B7A21">
        <w:rPr>
          <w:lang w:val="es-ES_tradnl"/>
        </w:rPr>
        <w:tab/>
      </w:r>
      <w:r w:rsidRPr="008B7A21">
        <w:rPr>
          <w:bCs/>
          <w:lang w:val="es-ES_tradnl"/>
        </w:rPr>
        <w:t>Experiencia de la India con los pagos por subasta de espectro</w:t>
      </w:r>
      <w:bookmarkEnd w:id="2090"/>
      <w:bookmarkEnd w:id="2091"/>
      <w:bookmarkEnd w:id="2092"/>
    </w:p>
    <w:p w14:paraId="4C91A4BE" w14:textId="69E266B2" w:rsidR="00F73D5B" w:rsidRPr="008B7A21" w:rsidRDefault="00F73D5B" w:rsidP="00F73D5B">
      <w:pPr>
        <w:rPr>
          <w:shd w:val="clear" w:color="auto" w:fill="FFFFFF"/>
          <w:lang w:val="es-ES_tradnl"/>
        </w:rPr>
      </w:pPr>
      <w:r w:rsidRPr="008B7A21">
        <w:rPr>
          <w:lang w:val="es-ES_tradnl"/>
        </w:rPr>
        <w:t>Los precios de las subastas de espectro en la India se determinan mediante un proceso de varias etapas que comprende el cálculo de los precios de reserva, el mecanismo de subasta y la dinámica del mercado. El precio de reserva, que es el precio mínimo al que se puede vender el espectro, es un punto de partida crucial para las subastas de espectro. La Autoridad de Reglamentación de las Telecomunicaciones de la India (TRAI), el organismo regulador, desempeña un papel fundamental en la recomendación de precios de reserva. La TRAI lleva a cabo consultas detalladas con las partes interesadas, analiza los precios de subastas anteriores, los patrones de demanda, el panorama competitivo, los avances tecnológicos y revisa los puntos de referencia internacionales para establecer un precio de reserva realista que refleje las condiciones del mercado. Las diferentes bandas de espectro tienen diferentes características de propagación y casos de uso (por ejemplo, espectro de banda baja para cobertura, espectro de banda alta para capacidad). Estas características también influyen en su valoración. Los objetivos del Gobierno, como la generación de ingresos, la inclusión digital y la promoción de la penetración de la banda ancha, también influyen en la fijación de precios de reserva.</w:t>
      </w:r>
    </w:p>
    <w:p w14:paraId="0A69F45A" w14:textId="1DCA8F99" w:rsidR="00F73D5B" w:rsidRPr="008B7A21" w:rsidRDefault="00F73D5B" w:rsidP="00F73D5B">
      <w:pPr>
        <w:rPr>
          <w:shd w:val="clear" w:color="auto" w:fill="FFFFFF"/>
          <w:lang w:val="es-ES_tradnl"/>
        </w:rPr>
      </w:pPr>
      <w:r w:rsidRPr="008B7A21">
        <w:rPr>
          <w:lang w:val="es-ES_tradnl"/>
        </w:rPr>
        <w:t>En una subasta de espectro realizada en 2010, se obligó a los adjudicatarios a pagar la totalidad de la puja una vez terminada la subasta. Habida cuenta de la salud financiera del sector de las telecomunicaciones, la Administración de la India introdujo condiciones de pago más flexibles, con plazos más largos para los pagos aplazados y tipos de interés más bajos para los pagos fraccionados. A partir de 2012, los licitadores seleccionados tuvieron la opción de pagar la totalidad del pago por adelantado o el pago anticipado de uno o más plazos anuales o el pago parcial por adelantado y el importe restante en diez plazos anuales iguales. Posteriormente, el número de cuotas anuales iguales se incrementó a dieciséis. Actualmente, los adjudicatarios tienen la opción de efectuar el pago total o parcial por adelantado de la puja o de realizar 20 cuotas anuales iguales de la puja, protegiendo debidamente el valor actual neto (VAN) de la puja al tipo de interés aplicable.</w:t>
      </w:r>
    </w:p>
    <w:p w14:paraId="1DCFE6AE" w14:textId="77777777" w:rsidR="00F73D5B" w:rsidRPr="008B7A21" w:rsidRDefault="00F73D5B" w:rsidP="00F73D5B">
      <w:pPr>
        <w:spacing w:after="120"/>
        <w:rPr>
          <w:shd w:val="clear" w:color="auto" w:fill="FFFFFF"/>
          <w:lang w:val="es-ES_tradnl"/>
        </w:rPr>
      </w:pPr>
      <w:r w:rsidRPr="008B7A21">
        <w:rPr>
          <w:lang w:val="es-ES_tradnl"/>
        </w:rPr>
        <w:t>A continuación se resumen brevemente las diversas subastas de espectro realizadas en la India:</w:t>
      </w:r>
    </w:p>
    <w:p w14:paraId="4BD16DB6" w14:textId="77777777" w:rsidR="00F73D5B" w:rsidRPr="00765998" w:rsidRDefault="00F73D5B" w:rsidP="00F73D5B">
      <w:pPr>
        <w:pStyle w:val="TableNo"/>
        <w:rPr>
          <w:lang w:val="es-ES_tradnl" w:eastAsia="ko-KR"/>
        </w:rPr>
      </w:pPr>
      <w:r w:rsidRPr="008B7A21">
        <w:rPr>
          <w:lang w:val="es-ES_tradnl" w:eastAsia="ko-KR"/>
        </w:rPr>
        <w:t>CUADRO 51</w:t>
      </w:r>
    </w:p>
    <w:tbl>
      <w:tblPr>
        <w:tblStyle w:val="TableGrid"/>
        <w:tblW w:w="9639" w:type="dxa"/>
        <w:jc w:val="center"/>
        <w:tblLayout w:type="fixed"/>
        <w:tblLook w:val="04A0" w:firstRow="1" w:lastRow="0" w:firstColumn="1" w:lastColumn="0" w:noHBand="0" w:noVBand="1"/>
      </w:tblPr>
      <w:tblGrid>
        <w:gridCol w:w="1107"/>
        <w:gridCol w:w="5253"/>
        <w:gridCol w:w="3279"/>
      </w:tblGrid>
      <w:tr w:rsidR="00F73D5B" w:rsidRPr="008B7A21" w14:paraId="53263FA1" w14:textId="77777777" w:rsidTr="00765998">
        <w:trPr>
          <w:jc w:val="center"/>
        </w:trPr>
        <w:tc>
          <w:tcPr>
            <w:tcW w:w="1107" w:type="dxa"/>
            <w:tcBorders>
              <w:top w:val="single" w:sz="4" w:space="0" w:color="auto"/>
              <w:left w:val="single" w:sz="4" w:space="0" w:color="auto"/>
              <w:bottom w:val="single" w:sz="4" w:space="0" w:color="auto"/>
              <w:right w:val="single" w:sz="4" w:space="0" w:color="auto"/>
            </w:tcBorders>
            <w:vAlign w:val="bottom"/>
            <w:hideMark/>
          </w:tcPr>
          <w:p w14:paraId="3C6ACA6A" w14:textId="77777777" w:rsidR="00F73D5B" w:rsidRPr="008B7A21" w:rsidRDefault="00F73D5B" w:rsidP="00767A6A">
            <w:pPr>
              <w:pStyle w:val="Tablehead"/>
              <w:rPr>
                <w:rFonts w:ascii="Times New Roman" w:hAnsi="Times New Roman" w:cs="Times New Roman"/>
                <w:color w:val="0D0D0D"/>
                <w:shd w:val="clear" w:color="auto" w:fill="FFFFFF"/>
                <w:lang w:val="es-ES_tradnl"/>
              </w:rPr>
            </w:pPr>
            <w:r w:rsidRPr="008B7A21">
              <w:rPr>
                <w:rFonts w:ascii="Times New Roman" w:hAnsi="Times New Roman" w:cs="Times New Roman"/>
                <w:bCs/>
                <w:color w:val="000000"/>
                <w:lang w:val="es-ES_tradnl"/>
              </w:rPr>
              <w:t>Año</w:t>
            </w:r>
          </w:p>
        </w:tc>
        <w:tc>
          <w:tcPr>
            <w:tcW w:w="5253" w:type="dxa"/>
            <w:tcBorders>
              <w:top w:val="single" w:sz="4" w:space="0" w:color="auto"/>
              <w:left w:val="single" w:sz="4" w:space="0" w:color="auto"/>
              <w:bottom w:val="single" w:sz="4" w:space="0" w:color="auto"/>
              <w:right w:val="single" w:sz="4" w:space="0" w:color="auto"/>
            </w:tcBorders>
            <w:vAlign w:val="bottom"/>
            <w:hideMark/>
          </w:tcPr>
          <w:p w14:paraId="67E4228A" w14:textId="77777777" w:rsidR="00F73D5B" w:rsidRPr="008B7A21" w:rsidRDefault="00F73D5B" w:rsidP="00767A6A">
            <w:pPr>
              <w:pStyle w:val="Tablehead"/>
              <w:rPr>
                <w:rFonts w:ascii="Times New Roman" w:hAnsi="Times New Roman" w:cs="Times New Roman"/>
                <w:shd w:val="clear" w:color="auto" w:fill="FFFFFF"/>
                <w:lang w:val="es-ES_tradnl"/>
              </w:rPr>
            </w:pPr>
            <w:r w:rsidRPr="008B7A21">
              <w:rPr>
                <w:rFonts w:ascii="Times New Roman" w:hAnsi="Times New Roman" w:cs="Times New Roman"/>
                <w:bCs/>
                <w:color w:val="000000"/>
                <w:lang w:val="es-ES_tradnl"/>
              </w:rPr>
              <w:t>Bandas de espectro subastadas</w:t>
            </w:r>
          </w:p>
        </w:tc>
        <w:tc>
          <w:tcPr>
            <w:tcW w:w="3279" w:type="dxa"/>
            <w:tcBorders>
              <w:top w:val="single" w:sz="4" w:space="0" w:color="auto"/>
              <w:left w:val="single" w:sz="4" w:space="0" w:color="auto"/>
              <w:bottom w:val="single" w:sz="4" w:space="0" w:color="auto"/>
              <w:right w:val="single" w:sz="4" w:space="0" w:color="auto"/>
            </w:tcBorders>
            <w:hideMark/>
          </w:tcPr>
          <w:p w14:paraId="360E06C3" w14:textId="77777777" w:rsidR="00F73D5B" w:rsidRPr="008B7A21" w:rsidRDefault="00F73D5B" w:rsidP="00767A6A">
            <w:pPr>
              <w:pStyle w:val="Tablehead"/>
              <w:rPr>
                <w:rFonts w:ascii="Times New Roman" w:hAnsi="Times New Roman" w:cs="Times New Roman"/>
                <w:shd w:val="clear" w:color="auto" w:fill="FFFFFF"/>
                <w:lang w:val="es-ES_tradnl"/>
              </w:rPr>
            </w:pPr>
            <w:r w:rsidRPr="008B7A21">
              <w:rPr>
                <w:rFonts w:ascii="Times New Roman" w:hAnsi="Times New Roman" w:cs="Times New Roman"/>
                <w:bCs/>
                <w:color w:val="000000"/>
                <w:lang w:val="es-ES_tradnl"/>
              </w:rPr>
              <w:t>Ingresos procedentes (en USD)</w:t>
            </w:r>
          </w:p>
        </w:tc>
      </w:tr>
      <w:tr w:rsidR="00F73D5B" w:rsidRPr="008B7A21" w14:paraId="468C3788" w14:textId="77777777" w:rsidTr="00765998">
        <w:trPr>
          <w:jc w:val="center"/>
        </w:trPr>
        <w:tc>
          <w:tcPr>
            <w:tcW w:w="1107" w:type="dxa"/>
            <w:tcBorders>
              <w:top w:val="single" w:sz="4" w:space="0" w:color="auto"/>
              <w:left w:val="single" w:sz="4" w:space="0" w:color="auto"/>
              <w:bottom w:val="single" w:sz="4" w:space="0" w:color="auto"/>
              <w:right w:val="single" w:sz="4" w:space="0" w:color="auto"/>
            </w:tcBorders>
            <w:hideMark/>
          </w:tcPr>
          <w:p w14:paraId="7D63E6B1" w14:textId="77777777" w:rsidR="00F73D5B" w:rsidRPr="008B7A21" w:rsidRDefault="00F73D5B" w:rsidP="00DD0D67">
            <w:pPr>
              <w:pStyle w:val="Tabletext"/>
              <w:jc w:val="center"/>
              <w:rPr>
                <w:rFonts w:ascii="Times New Roman" w:hAnsi="Times New Roman" w:cs="Times New Roman"/>
                <w:shd w:val="clear" w:color="auto" w:fill="FFFFFF"/>
                <w:lang w:val="es-ES_tradnl"/>
              </w:rPr>
            </w:pPr>
            <w:r w:rsidRPr="008B7A21">
              <w:rPr>
                <w:rFonts w:ascii="Times New Roman" w:hAnsi="Times New Roman" w:cs="Times New Roman"/>
                <w:lang w:val="es-ES_tradnl"/>
              </w:rPr>
              <w:t>2010</w:t>
            </w:r>
          </w:p>
        </w:tc>
        <w:tc>
          <w:tcPr>
            <w:tcW w:w="5253" w:type="dxa"/>
            <w:tcBorders>
              <w:top w:val="single" w:sz="4" w:space="0" w:color="auto"/>
              <w:left w:val="single" w:sz="4" w:space="0" w:color="auto"/>
              <w:bottom w:val="single" w:sz="4" w:space="0" w:color="auto"/>
              <w:right w:val="single" w:sz="4" w:space="0" w:color="auto"/>
            </w:tcBorders>
            <w:hideMark/>
          </w:tcPr>
          <w:p w14:paraId="7C960105" w14:textId="356BAC9A" w:rsidR="00F73D5B" w:rsidRPr="008B7A21" w:rsidRDefault="00F73D5B" w:rsidP="00767A6A">
            <w:pPr>
              <w:pStyle w:val="Tabletext"/>
              <w:jc w:val="center"/>
              <w:rPr>
                <w:rFonts w:ascii="Times New Roman" w:hAnsi="Times New Roman" w:cs="Times New Roman"/>
                <w:shd w:val="clear" w:color="auto" w:fill="FFFFFF"/>
                <w:lang w:val="es-ES_tradnl"/>
              </w:rPr>
            </w:pPr>
            <w:r w:rsidRPr="008B7A21">
              <w:rPr>
                <w:rFonts w:ascii="Times New Roman" w:hAnsi="Times New Roman" w:cs="Times New Roman"/>
                <w:color w:val="000000"/>
                <w:lang w:val="es-ES_tradnl"/>
              </w:rPr>
              <w:t>3G (2</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100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 y conexión inalámbrica de banda ancha (2</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300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w:t>
            </w:r>
          </w:p>
        </w:tc>
        <w:tc>
          <w:tcPr>
            <w:tcW w:w="3279" w:type="dxa"/>
            <w:tcBorders>
              <w:top w:val="single" w:sz="4" w:space="0" w:color="auto"/>
              <w:left w:val="single" w:sz="4" w:space="0" w:color="auto"/>
              <w:bottom w:val="single" w:sz="4" w:space="0" w:color="auto"/>
              <w:right w:val="single" w:sz="4" w:space="0" w:color="auto"/>
            </w:tcBorders>
            <w:hideMark/>
          </w:tcPr>
          <w:p w14:paraId="21B20C3D" w14:textId="7DFB412B" w:rsidR="00F73D5B" w:rsidRPr="008B7A21" w:rsidRDefault="00F73D5B" w:rsidP="00767A6A">
            <w:pPr>
              <w:pStyle w:val="Tabletext"/>
              <w:jc w:val="center"/>
              <w:rPr>
                <w:rFonts w:ascii="Times New Roman" w:hAnsi="Times New Roman" w:cs="Times New Roman"/>
                <w:shd w:val="clear" w:color="auto" w:fill="FFFFFF"/>
                <w:lang w:val="es-ES_tradnl"/>
              </w:rPr>
            </w:pPr>
            <w:r w:rsidRPr="008B7A21">
              <w:rPr>
                <w:rFonts w:ascii="Times New Roman" w:hAnsi="Times New Roman" w:cs="Times New Roman"/>
                <w:color w:val="000000"/>
                <w:lang w:val="es-ES_tradnl"/>
              </w:rPr>
              <w:t>Aprox. 12</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730 millones de dólares</w:t>
            </w:r>
          </w:p>
        </w:tc>
      </w:tr>
      <w:tr w:rsidR="00F73D5B" w:rsidRPr="008B7A21" w14:paraId="081CCAF7" w14:textId="77777777" w:rsidTr="00765998">
        <w:trPr>
          <w:jc w:val="center"/>
        </w:trPr>
        <w:tc>
          <w:tcPr>
            <w:tcW w:w="1107" w:type="dxa"/>
            <w:tcBorders>
              <w:top w:val="single" w:sz="4" w:space="0" w:color="auto"/>
              <w:left w:val="single" w:sz="4" w:space="0" w:color="auto"/>
              <w:bottom w:val="single" w:sz="4" w:space="0" w:color="auto"/>
              <w:right w:val="single" w:sz="4" w:space="0" w:color="auto"/>
            </w:tcBorders>
            <w:hideMark/>
          </w:tcPr>
          <w:p w14:paraId="0C3B3F2A" w14:textId="77777777" w:rsidR="00F73D5B" w:rsidRPr="008B7A21" w:rsidRDefault="00F73D5B" w:rsidP="00767A6A">
            <w:pPr>
              <w:pStyle w:val="Tabletext"/>
              <w:jc w:val="center"/>
              <w:rPr>
                <w:rFonts w:ascii="Times New Roman" w:hAnsi="Times New Roman" w:cs="Times New Roman"/>
                <w:shd w:val="clear" w:color="auto" w:fill="FFFFFF"/>
                <w:lang w:val="es-ES_tradnl"/>
              </w:rPr>
            </w:pPr>
            <w:r w:rsidRPr="008B7A21">
              <w:rPr>
                <w:rFonts w:ascii="Times New Roman" w:hAnsi="Times New Roman" w:cs="Times New Roman"/>
                <w:color w:val="000000"/>
                <w:lang w:val="es-ES_tradnl"/>
              </w:rPr>
              <w:t>2012</w:t>
            </w:r>
          </w:p>
        </w:tc>
        <w:tc>
          <w:tcPr>
            <w:tcW w:w="5253" w:type="dxa"/>
            <w:tcBorders>
              <w:top w:val="single" w:sz="4" w:space="0" w:color="auto"/>
              <w:left w:val="single" w:sz="4" w:space="0" w:color="auto"/>
              <w:bottom w:val="single" w:sz="4" w:space="0" w:color="auto"/>
              <w:right w:val="single" w:sz="4" w:space="0" w:color="auto"/>
            </w:tcBorders>
            <w:hideMark/>
          </w:tcPr>
          <w:p w14:paraId="57F2F12B" w14:textId="0EF15BCF" w:rsidR="00F73D5B" w:rsidRPr="008B7A21" w:rsidRDefault="00F73D5B" w:rsidP="00767A6A">
            <w:pPr>
              <w:pStyle w:val="Tabletext"/>
              <w:jc w:val="center"/>
              <w:rPr>
                <w:rFonts w:ascii="Times New Roman" w:hAnsi="Times New Roman" w:cs="Times New Roman"/>
                <w:shd w:val="clear" w:color="auto" w:fill="FFFFFF"/>
                <w:lang w:val="es-ES_tradnl"/>
              </w:rPr>
            </w:pPr>
            <w:r w:rsidRPr="008B7A21">
              <w:rPr>
                <w:rFonts w:ascii="Times New Roman" w:hAnsi="Times New Roman" w:cs="Times New Roman"/>
                <w:color w:val="000000"/>
                <w:lang w:val="es-ES_tradnl"/>
              </w:rPr>
              <w:t>Resubasta 2G (1</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800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 900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 800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w:t>
            </w:r>
          </w:p>
        </w:tc>
        <w:tc>
          <w:tcPr>
            <w:tcW w:w="3279" w:type="dxa"/>
            <w:tcBorders>
              <w:top w:val="single" w:sz="4" w:space="0" w:color="auto"/>
              <w:left w:val="single" w:sz="4" w:space="0" w:color="auto"/>
              <w:bottom w:val="single" w:sz="4" w:space="0" w:color="auto"/>
              <w:right w:val="single" w:sz="4" w:space="0" w:color="auto"/>
            </w:tcBorders>
            <w:hideMark/>
          </w:tcPr>
          <w:p w14:paraId="1E1AE054" w14:textId="4B194D5E" w:rsidR="00F73D5B" w:rsidRPr="008B7A21" w:rsidRDefault="00F73D5B" w:rsidP="00767A6A">
            <w:pPr>
              <w:pStyle w:val="Tabletext"/>
              <w:jc w:val="center"/>
              <w:rPr>
                <w:rFonts w:ascii="Times New Roman" w:hAnsi="Times New Roman" w:cs="Times New Roman"/>
                <w:shd w:val="clear" w:color="auto" w:fill="FFFFFF"/>
                <w:lang w:val="es-ES_tradnl"/>
              </w:rPr>
            </w:pPr>
            <w:r w:rsidRPr="008B7A21">
              <w:rPr>
                <w:rFonts w:ascii="Times New Roman" w:hAnsi="Times New Roman" w:cs="Times New Roman"/>
                <w:color w:val="000000"/>
                <w:lang w:val="es-ES_tradnl"/>
              </w:rPr>
              <w:t>Aprox. 1</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130 millones de dólares</w:t>
            </w:r>
          </w:p>
        </w:tc>
      </w:tr>
      <w:tr w:rsidR="00F73D5B" w:rsidRPr="008B7A21" w14:paraId="3B52736C" w14:textId="77777777" w:rsidTr="00765998">
        <w:trPr>
          <w:jc w:val="center"/>
        </w:trPr>
        <w:tc>
          <w:tcPr>
            <w:tcW w:w="1107" w:type="dxa"/>
            <w:tcBorders>
              <w:top w:val="single" w:sz="4" w:space="0" w:color="auto"/>
              <w:left w:val="single" w:sz="4" w:space="0" w:color="auto"/>
              <w:bottom w:val="single" w:sz="4" w:space="0" w:color="auto"/>
              <w:right w:val="single" w:sz="4" w:space="0" w:color="auto"/>
            </w:tcBorders>
            <w:hideMark/>
          </w:tcPr>
          <w:p w14:paraId="53A30E0B" w14:textId="77777777" w:rsidR="00F73D5B" w:rsidRPr="008B7A21" w:rsidRDefault="00F73D5B" w:rsidP="00767A6A">
            <w:pPr>
              <w:pStyle w:val="Tabletext"/>
              <w:jc w:val="center"/>
              <w:rPr>
                <w:rFonts w:ascii="Times New Roman" w:hAnsi="Times New Roman" w:cs="Times New Roman"/>
                <w:shd w:val="clear" w:color="auto" w:fill="FFFFFF"/>
                <w:lang w:val="es-ES_tradnl"/>
              </w:rPr>
            </w:pPr>
            <w:r w:rsidRPr="008B7A21">
              <w:rPr>
                <w:rFonts w:ascii="Times New Roman" w:hAnsi="Times New Roman" w:cs="Times New Roman"/>
                <w:color w:val="000000"/>
                <w:lang w:val="es-ES_tradnl"/>
              </w:rPr>
              <w:t>2013</w:t>
            </w:r>
          </w:p>
        </w:tc>
        <w:tc>
          <w:tcPr>
            <w:tcW w:w="5253" w:type="dxa"/>
            <w:tcBorders>
              <w:top w:val="single" w:sz="4" w:space="0" w:color="auto"/>
              <w:left w:val="single" w:sz="4" w:space="0" w:color="auto"/>
              <w:bottom w:val="single" w:sz="4" w:space="0" w:color="auto"/>
              <w:right w:val="single" w:sz="4" w:space="0" w:color="auto"/>
            </w:tcBorders>
            <w:hideMark/>
          </w:tcPr>
          <w:p w14:paraId="315E8B32" w14:textId="6B04EF8D" w:rsidR="00F73D5B" w:rsidRPr="008B7A21" w:rsidRDefault="00F73D5B" w:rsidP="00767A6A">
            <w:pPr>
              <w:pStyle w:val="Tabletext"/>
              <w:jc w:val="center"/>
              <w:rPr>
                <w:rFonts w:ascii="Times New Roman" w:hAnsi="Times New Roman" w:cs="Times New Roman"/>
                <w:shd w:val="clear" w:color="auto" w:fill="FFFFFF"/>
                <w:lang w:val="es-ES_tradnl"/>
              </w:rPr>
            </w:pPr>
            <w:r w:rsidRPr="008B7A21">
              <w:rPr>
                <w:rFonts w:ascii="Times New Roman" w:hAnsi="Times New Roman" w:cs="Times New Roman"/>
                <w:color w:val="000000"/>
                <w:lang w:val="es-ES_tradnl"/>
              </w:rPr>
              <w:t>2G (1</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800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 800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w:t>
            </w:r>
          </w:p>
        </w:tc>
        <w:tc>
          <w:tcPr>
            <w:tcW w:w="3279" w:type="dxa"/>
            <w:tcBorders>
              <w:top w:val="single" w:sz="4" w:space="0" w:color="auto"/>
              <w:left w:val="single" w:sz="4" w:space="0" w:color="auto"/>
              <w:bottom w:val="single" w:sz="4" w:space="0" w:color="auto"/>
              <w:right w:val="single" w:sz="4" w:space="0" w:color="auto"/>
            </w:tcBorders>
            <w:hideMark/>
          </w:tcPr>
          <w:p w14:paraId="130ED6C8" w14:textId="77777777" w:rsidR="00F73D5B" w:rsidRPr="008B7A21" w:rsidRDefault="00F73D5B" w:rsidP="00767A6A">
            <w:pPr>
              <w:pStyle w:val="Tabletext"/>
              <w:jc w:val="center"/>
              <w:rPr>
                <w:rFonts w:ascii="Times New Roman" w:hAnsi="Times New Roman" w:cs="Times New Roman"/>
                <w:shd w:val="clear" w:color="auto" w:fill="FFFFFF"/>
                <w:lang w:val="es-ES_tradnl"/>
              </w:rPr>
            </w:pPr>
            <w:r w:rsidRPr="008B7A21">
              <w:rPr>
                <w:rFonts w:ascii="Times New Roman" w:hAnsi="Times New Roman" w:cs="Times New Roman"/>
                <w:color w:val="000000"/>
                <w:lang w:val="es-ES_tradnl"/>
              </w:rPr>
              <w:t>Aprox. 440 millones de dólares</w:t>
            </w:r>
          </w:p>
        </w:tc>
      </w:tr>
      <w:tr w:rsidR="00F73D5B" w:rsidRPr="008B7A21" w14:paraId="7278F435" w14:textId="77777777" w:rsidTr="00765998">
        <w:trPr>
          <w:jc w:val="center"/>
        </w:trPr>
        <w:tc>
          <w:tcPr>
            <w:tcW w:w="1107" w:type="dxa"/>
            <w:tcBorders>
              <w:top w:val="single" w:sz="4" w:space="0" w:color="auto"/>
              <w:left w:val="single" w:sz="4" w:space="0" w:color="auto"/>
              <w:bottom w:val="single" w:sz="4" w:space="0" w:color="auto"/>
              <w:right w:val="single" w:sz="4" w:space="0" w:color="auto"/>
            </w:tcBorders>
            <w:hideMark/>
          </w:tcPr>
          <w:p w14:paraId="6522DBFC" w14:textId="77777777" w:rsidR="00F73D5B" w:rsidRPr="008B7A21" w:rsidRDefault="00F73D5B" w:rsidP="00767A6A">
            <w:pPr>
              <w:pStyle w:val="Tabletext"/>
              <w:jc w:val="center"/>
              <w:rPr>
                <w:rFonts w:ascii="Times New Roman" w:hAnsi="Times New Roman" w:cs="Times New Roman"/>
                <w:shd w:val="clear" w:color="auto" w:fill="FFFFFF"/>
                <w:lang w:val="es-ES_tradnl"/>
              </w:rPr>
            </w:pPr>
            <w:r w:rsidRPr="008B7A21">
              <w:rPr>
                <w:rFonts w:ascii="Times New Roman" w:hAnsi="Times New Roman" w:cs="Times New Roman"/>
                <w:color w:val="000000"/>
                <w:lang w:val="es-ES_tradnl"/>
              </w:rPr>
              <w:t>2014</w:t>
            </w:r>
          </w:p>
        </w:tc>
        <w:tc>
          <w:tcPr>
            <w:tcW w:w="5253" w:type="dxa"/>
            <w:tcBorders>
              <w:top w:val="single" w:sz="4" w:space="0" w:color="auto"/>
              <w:left w:val="single" w:sz="4" w:space="0" w:color="auto"/>
              <w:bottom w:val="single" w:sz="4" w:space="0" w:color="auto"/>
              <w:right w:val="single" w:sz="4" w:space="0" w:color="auto"/>
            </w:tcBorders>
            <w:hideMark/>
          </w:tcPr>
          <w:p w14:paraId="055E4604" w14:textId="59C12526" w:rsidR="00F73D5B" w:rsidRPr="008B7A21" w:rsidRDefault="00F73D5B" w:rsidP="00767A6A">
            <w:pPr>
              <w:pStyle w:val="Tabletext"/>
              <w:jc w:val="center"/>
              <w:rPr>
                <w:rFonts w:ascii="Times New Roman" w:hAnsi="Times New Roman" w:cs="Times New Roman"/>
                <w:shd w:val="clear" w:color="auto" w:fill="FFFFFF"/>
                <w:lang w:val="es-ES_tradnl"/>
              </w:rPr>
            </w:pPr>
            <w:r w:rsidRPr="008B7A21">
              <w:rPr>
                <w:rFonts w:ascii="Times New Roman" w:hAnsi="Times New Roman" w:cs="Times New Roman"/>
                <w:color w:val="000000"/>
                <w:lang w:val="es-ES_tradnl"/>
              </w:rPr>
              <w:t>2G (1</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800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 900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 800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w:t>
            </w:r>
          </w:p>
        </w:tc>
        <w:tc>
          <w:tcPr>
            <w:tcW w:w="3279" w:type="dxa"/>
            <w:tcBorders>
              <w:top w:val="single" w:sz="4" w:space="0" w:color="auto"/>
              <w:left w:val="single" w:sz="4" w:space="0" w:color="auto"/>
              <w:bottom w:val="single" w:sz="4" w:space="0" w:color="auto"/>
              <w:right w:val="single" w:sz="4" w:space="0" w:color="auto"/>
            </w:tcBorders>
            <w:hideMark/>
          </w:tcPr>
          <w:p w14:paraId="0CB0B769" w14:textId="47D4E6D5" w:rsidR="00F73D5B" w:rsidRPr="008B7A21" w:rsidRDefault="00F73D5B" w:rsidP="00767A6A">
            <w:pPr>
              <w:pStyle w:val="Tabletext"/>
              <w:jc w:val="center"/>
              <w:rPr>
                <w:rFonts w:ascii="Times New Roman" w:hAnsi="Times New Roman" w:cs="Times New Roman"/>
                <w:shd w:val="clear" w:color="auto" w:fill="FFFFFF"/>
                <w:lang w:val="es-ES_tradnl"/>
              </w:rPr>
            </w:pPr>
            <w:r w:rsidRPr="008B7A21">
              <w:rPr>
                <w:rFonts w:ascii="Times New Roman" w:hAnsi="Times New Roman" w:cs="Times New Roman"/>
                <w:color w:val="000000"/>
                <w:lang w:val="es-ES_tradnl"/>
              </w:rPr>
              <w:t>Aprox. 7</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270 millones de dólares</w:t>
            </w:r>
          </w:p>
        </w:tc>
      </w:tr>
      <w:tr w:rsidR="00F73D5B" w:rsidRPr="008B7A21" w14:paraId="73CA5684" w14:textId="77777777" w:rsidTr="00765998">
        <w:trPr>
          <w:jc w:val="center"/>
        </w:trPr>
        <w:tc>
          <w:tcPr>
            <w:tcW w:w="1107" w:type="dxa"/>
            <w:tcBorders>
              <w:top w:val="single" w:sz="4" w:space="0" w:color="auto"/>
              <w:left w:val="single" w:sz="4" w:space="0" w:color="auto"/>
              <w:bottom w:val="single" w:sz="4" w:space="0" w:color="auto"/>
              <w:right w:val="single" w:sz="4" w:space="0" w:color="auto"/>
            </w:tcBorders>
            <w:hideMark/>
          </w:tcPr>
          <w:p w14:paraId="253D96E2" w14:textId="77777777" w:rsidR="00F73D5B" w:rsidRPr="008B7A21" w:rsidRDefault="00F73D5B" w:rsidP="00767A6A">
            <w:pPr>
              <w:pStyle w:val="Tabletext"/>
              <w:jc w:val="center"/>
              <w:rPr>
                <w:rFonts w:ascii="Times New Roman" w:hAnsi="Times New Roman" w:cs="Times New Roman"/>
                <w:shd w:val="clear" w:color="auto" w:fill="FFFFFF"/>
                <w:lang w:val="es-ES_tradnl"/>
              </w:rPr>
            </w:pPr>
            <w:r w:rsidRPr="008B7A21">
              <w:rPr>
                <w:rFonts w:ascii="Times New Roman" w:hAnsi="Times New Roman" w:cs="Times New Roman"/>
                <w:color w:val="000000"/>
                <w:lang w:val="es-ES_tradnl"/>
              </w:rPr>
              <w:t>2015</w:t>
            </w:r>
          </w:p>
        </w:tc>
        <w:tc>
          <w:tcPr>
            <w:tcW w:w="5253" w:type="dxa"/>
            <w:tcBorders>
              <w:top w:val="single" w:sz="4" w:space="0" w:color="auto"/>
              <w:left w:val="single" w:sz="4" w:space="0" w:color="auto"/>
              <w:bottom w:val="single" w:sz="4" w:space="0" w:color="auto"/>
              <w:right w:val="single" w:sz="4" w:space="0" w:color="auto"/>
            </w:tcBorders>
            <w:hideMark/>
          </w:tcPr>
          <w:p w14:paraId="46D218DE" w14:textId="786D2C54" w:rsidR="00F73D5B" w:rsidRPr="008B7A21" w:rsidRDefault="00F73D5B" w:rsidP="00767A6A">
            <w:pPr>
              <w:pStyle w:val="Tabletext"/>
              <w:jc w:val="center"/>
              <w:rPr>
                <w:rFonts w:ascii="Times New Roman" w:hAnsi="Times New Roman" w:cs="Times New Roman"/>
                <w:shd w:val="clear" w:color="auto" w:fill="FFFFFF"/>
                <w:lang w:val="es-ES_tradnl"/>
              </w:rPr>
            </w:pPr>
            <w:r w:rsidRPr="008B7A21">
              <w:rPr>
                <w:rFonts w:ascii="Times New Roman" w:hAnsi="Times New Roman" w:cs="Times New Roman"/>
                <w:color w:val="000000"/>
                <w:lang w:val="es-ES_tradnl"/>
              </w:rPr>
              <w:t>2G (1</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800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 900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 800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 3G (2</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100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w:t>
            </w:r>
          </w:p>
        </w:tc>
        <w:tc>
          <w:tcPr>
            <w:tcW w:w="3279" w:type="dxa"/>
            <w:tcBorders>
              <w:top w:val="single" w:sz="4" w:space="0" w:color="auto"/>
              <w:left w:val="single" w:sz="4" w:space="0" w:color="auto"/>
              <w:bottom w:val="single" w:sz="4" w:space="0" w:color="auto"/>
              <w:right w:val="single" w:sz="4" w:space="0" w:color="auto"/>
            </w:tcBorders>
            <w:hideMark/>
          </w:tcPr>
          <w:p w14:paraId="0510E268" w14:textId="5437AE8D" w:rsidR="00F73D5B" w:rsidRPr="008B7A21" w:rsidRDefault="00F73D5B" w:rsidP="00767A6A">
            <w:pPr>
              <w:pStyle w:val="Tabletext"/>
              <w:jc w:val="center"/>
              <w:rPr>
                <w:rFonts w:ascii="Times New Roman" w:hAnsi="Times New Roman" w:cs="Times New Roman"/>
                <w:shd w:val="clear" w:color="auto" w:fill="FFFFFF"/>
                <w:lang w:val="es-ES_tradnl"/>
              </w:rPr>
            </w:pPr>
            <w:r w:rsidRPr="008B7A21">
              <w:rPr>
                <w:rFonts w:ascii="Times New Roman" w:hAnsi="Times New Roman" w:cs="Times New Roman"/>
                <w:color w:val="000000"/>
                <w:lang w:val="es-ES_tradnl"/>
              </w:rPr>
              <w:t>Aprox. 13</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080 millones de dólares</w:t>
            </w:r>
          </w:p>
        </w:tc>
      </w:tr>
      <w:tr w:rsidR="00F73D5B" w:rsidRPr="008B7A21" w14:paraId="68EFE0D9" w14:textId="77777777" w:rsidTr="00765998">
        <w:trPr>
          <w:jc w:val="center"/>
        </w:trPr>
        <w:tc>
          <w:tcPr>
            <w:tcW w:w="1107" w:type="dxa"/>
            <w:tcBorders>
              <w:top w:val="single" w:sz="4" w:space="0" w:color="auto"/>
              <w:left w:val="single" w:sz="4" w:space="0" w:color="auto"/>
              <w:bottom w:val="single" w:sz="4" w:space="0" w:color="auto"/>
              <w:right w:val="single" w:sz="4" w:space="0" w:color="auto"/>
            </w:tcBorders>
            <w:hideMark/>
          </w:tcPr>
          <w:p w14:paraId="346602A3" w14:textId="77777777" w:rsidR="00F73D5B" w:rsidRPr="008B7A21" w:rsidRDefault="00F73D5B" w:rsidP="00767A6A">
            <w:pPr>
              <w:pStyle w:val="Tabletext"/>
              <w:jc w:val="center"/>
              <w:rPr>
                <w:rFonts w:ascii="Times New Roman" w:hAnsi="Times New Roman" w:cs="Times New Roman"/>
                <w:shd w:val="clear" w:color="auto" w:fill="FFFFFF"/>
                <w:lang w:val="es-ES_tradnl"/>
              </w:rPr>
            </w:pPr>
            <w:r w:rsidRPr="008B7A21">
              <w:rPr>
                <w:rFonts w:ascii="Times New Roman" w:hAnsi="Times New Roman" w:cs="Times New Roman"/>
                <w:color w:val="000000"/>
                <w:lang w:val="es-ES_tradnl"/>
              </w:rPr>
              <w:t>2016</w:t>
            </w:r>
          </w:p>
        </w:tc>
        <w:tc>
          <w:tcPr>
            <w:tcW w:w="5253" w:type="dxa"/>
            <w:tcBorders>
              <w:top w:val="single" w:sz="4" w:space="0" w:color="auto"/>
              <w:left w:val="single" w:sz="4" w:space="0" w:color="auto"/>
              <w:bottom w:val="single" w:sz="4" w:space="0" w:color="auto"/>
              <w:right w:val="single" w:sz="4" w:space="0" w:color="auto"/>
            </w:tcBorders>
            <w:hideMark/>
          </w:tcPr>
          <w:p w14:paraId="487FE448" w14:textId="595DB6FF" w:rsidR="00F73D5B" w:rsidRPr="008B7A21" w:rsidRDefault="00F73D5B" w:rsidP="00767A6A">
            <w:pPr>
              <w:pStyle w:val="Tabletext"/>
              <w:jc w:val="center"/>
              <w:rPr>
                <w:rFonts w:ascii="Times New Roman" w:hAnsi="Times New Roman" w:cs="Times New Roman"/>
                <w:shd w:val="clear" w:color="auto" w:fill="FFFFFF"/>
                <w:lang w:val="es-ES_tradnl"/>
              </w:rPr>
            </w:pPr>
            <w:r w:rsidRPr="008B7A21">
              <w:rPr>
                <w:rFonts w:ascii="Times New Roman" w:hAnsi="Times New Roman" w:cs="Times New Roman"/>
                <w:color w:val="000000"/>
                <w:lang w:val="es-ES_tradnl"/>
              </w:rPr>
              <w:t>2G (700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 1</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800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 900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 800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 3G (2</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100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 4G (2</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300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 2</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500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w:t>
            </w:r>
          </w:p>
        </w:tc>
        <w:tc>
          <w:tcPr>
            <w:tcW w:w="3279" w:type="dxa"/>
            <w:tcBorders>
              <w:top w:val="single" w:sz="4" w:space="0" w:color="auto"/>
              <w:left w:val="single" w:sz="4" w:space="0" w:color="auto"/>
              <w:bottom w:val="single" w:sz="4" w:space="0" w:color="auto"/>
              <w:right w:val="single" w:sz="4" w:space="0" w:color="auto"/>
            </w:tcBorders>
            <w:hideMark/>
          </w:tcPr>
          <w:p w14:paraId="6D65796B" w14:textId="3852D007" w:rsidR="00F73D5B" w:rsidRPr="008B7A21" w:rsidRDefault="00F73D5B" w:rsidP="00767A6A">
            <w:pPr>
              <w:pStyle w:val="Tabletext"/>
              <w:jc w:val="center"/>
              <w:rPr>
                <w:rFonts w:ascii="Times New Roman" w:hAnsi="Times New Roman" w:cs="Times New Roman"/>
                <w:shd w:val="clear" w:color="auto" w:fill="FFFFFF"/>
                <w:lang w:val="es-ES_tradnl"/>
              </w:rPr>
            </w:pPr>
            <w:r w:rsidRPr="008B7A21">
              <w:rPr>
                <w:rFonts w:ascii="Times New Roman" w:hAnsi="Times New Roman" w:cs="Times New Roman"/>
                <w:color w:val="000000"/>
                <w:lang w:val="es-ES_tradnl"/>
              </w:rPr>
              <w:t>Aprox. 7</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880 millones de dólares</w:t>
            </w:r>
          </w:p>
        </w:tc>
      </w:tr>
      <w:tr w:rsidR="00F73D5B" w:rsidRPr="008B7A21" w14:paraId="59A09781" w14:textId="77777777" w:rsidTr="00765998">
        <w:trPr>
          <w:jc w:val="center"/>
        </w:trPr>
        <w:tc>
          <w:tcPr>
            <w:tcW w:w="1107" w:type="dxa"/>
            <w:tcBorders>
              <w:top w:val="single" w:sz="4" w:space="0" w:color="auto"/>
              <w:left w:val="single" w:sz="4" w:space="0" w:color="auto"/>
              <w:bottom w:val="single" w:sz="4" w:space="0" w:color="auto"/>
              <w:right w:val="single" w:sz="4" w:space="0" w:color="auto"/>
            </w:tcBorders>
            <w:hideMark/>
          </w:tcPr>
          <w:p w14:paraId="5591E316" w14:textId="77777777" w:rsidR="00F73D5B" w:rsidRPr="008B7A21" w:rsidRDefault="00F73D5B" w:rsidP="00767A6A">
            <w:pPr>
              <w:pStyle w:val="Tabletext"/>
              <w:jc w:val="center"/>
              <w:rPr>
                <w:rFonts w:ascii="Times New Roman" w:hAnsi="Times New Roman" w:cs="Times New Roman"/>
                <w:shd w:val="clear" w:color="auto" w:fill="FFFFFF"/>
                <w:lang w:val="es-ES_tradnl"/>
              </w:rPr>
            </w:pPr>
            <w:r w:rsidRPr="008B7A21">
              <w:rPr>
                <w:rFonts w:ascii="Times New Roman" w:hAnsi="Times New Roman" w:cs="Times New Roman"/>
                <w:color w:val="000000"/>
                <w:lang w:val="es-ES_tradnl"/>
              </w:rPr>
              <w:t>2021</w:t>
            </w:r>
          </w:p>
        </w:tc>
        <w:tc>
          <w:tcPr>
            <w:tcW w:w="5253" w:type="dxa"/>
            <w:tcBorders>
              <w:top w:val="single" w:sz="4" w:space="0" w:color="auto"/>
              <w:left w:val="single" w:sz="4" w:space="0" w:color="auto"/>
              <w:bottom w:val="single" w:sz="4" w:space="0" w:color="auto"/>
              <w:right w:val="single" w:sz="4" w:space="0" w:color="auto"/>
            </w:tcBorders>
            <w:hideMark/>
          </w:tcPr>
          <w:p w14:paraId="58C19F4D" w14:textId="40DCB70E" w:rsidR="00F73D5B" w:rsidRPr="008B7A21" w:rsidRDefault="00F73D5B" w:rsidP="00767A6A">
            <w:pPr>
              <w:pStyle w:val="Tabletext"/>
              <w:jc w:val="center"/>
              <w:rPr>
                <w:rFonts w:ascii="Times New Roman" w:hAnsi="Times New Roman" w:cs="Times New Roman"/>
                <w:shd w:val="clear" w:color="auto" w:fill="FFFFFF"/>
                <w:lang w:val="es-ES_tradnl"/>
              </w:rPr>
            </w:pPr>
            <w:r w:rsidRPr="008B7A21">
              <w:rPr>
                <w:rFonts w:ascii="Times New Roman" w:hAnsi="Times New Roman" w:cs="Times New Roman"/>
                <w:color w:val="000000"/>
                <w:lang w:val="es-ES_tradnl"/>
              </w:rPr>
              <w:t>4G (700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 800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 900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 1</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800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 2</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100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 2</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300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 2</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500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w:t>
            </w:r>
          </w:p>
        </w:tc>
        <w:tc>
          <w:tcPr>
            <w:tcW w:w="3279" w:type="dxa"/>
            <w:tcBorders>
              <w:top w:val="single" w:sz="4" w:space="0" w:color="auto"/>
              <w:left w:val="single" w:sz="4" w:space="0" w:color="auto"/>
              <w:bottom w:val="single" w:sz="4" w:space="0" w:color="auto"/>
              <w:right w:val="single" w:sz="4" w:space="0" w:color="auto"/>
            </w:tcBorders>
            <w:hideMark/>
          </w:tcPr>
          <w:p w14:paraId="170944C9" w14:textId="4E21AAC7" w:rsidR="00F73D5B" w:rsidRPr="008B7A21" w:rsidRDefault="00F73D5B" w:rsidP="00767A6A">
            <w:pPr>
              <w:pStyle w:val="Tabletext"/>
              <w:jc w:val="center"/>
              <w:rPr>
                <w:rFonts w:ascii="Times New Roman" w:hAnsi="Times New Roman" w:cs="Times New Roman"/>
                <w:shd w:val="clear" w:color="auto" w:fill="FFFFFF"/>
                <w:lang w:val="es-ES_tradnl"/>
              </w:rPr>
            </w:pPr>
            <w:r w:rsidRPr="008B7A21">
              <w:rPr>
                <w:rFonts w:ascii="Times New Roman" w:hAnsi="Times New Roman" w:cs="Times New Roman"/>
                <w:color w:val="000000"/>
                <w:lang w:val="es-ES_tradnl"/>
              </w:rPr>
              <w:t>Aprox. 9</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320 millones de dólares</w:t>
            </w:r>
          </w:p>
        </w:tc>
      </w:tr>
      <w:tr w:rsidR="00F73D5B" w:rsidRPr="008B7A21" w14:paraId="3A7E399C" w14:textId="77777777" w:rsidTr="00765998">
        <w:trPr>
          <w:jc w:val="center"/>
        </w:trPr>
        <w:tc>
          <w:tcPr>
            <w:tcW w:w="1107" w:type="dxa"/>
            <w:tcBorders>
              <w:top w:val="single" w:sz="4" w:space="0" w:color="auto"/>
              <w:left w:val="single" w:sz="4" w:space="0" w:color="auto"/>
              <w:bottom w:val="single" w:sz="4" w:space="0" w:color="auto"/>
              <w:right w:val="single" w:sz="4" w:space="0" w:color="auto"/>
            </w:tcBorders>
            <w:hideMark/>
          </w:tcPr>
          <w:p w14:paraId="00E10A75" w14:textId="77777777" w:rsidR="00F73D5B" w:rsidRPr="008B7A21" w:rsidRDefault="00F73D5B" w:rsidP="00767A6A">
            <w:pPr>
              <w:pStyle w:val="Tabletext"/>
              <w:jc w:val="center"/>
              <w:rPr>
                <w:rFonts w:ascii="Times New Roman" w:hAnsi="Times New Roman" w:cs="Times New Roman"/>
                <w:shd w:val="clear" w:color="auto" w:fill="FFFFFF"/>
                <w:lang w:val="es-ES_tradnl"/>
              </w:rPr>
            </w:pPr>
            <w:r w:rsidRPr="008B7A21">
              <w:rPr>
                <w:rFonts w:ascii="Times New Roman" w:hAnsi="Times New Roman" w:cs="Times New Roman"/>
                <w:color w:val="000000"/>
                <w:lang w:val="es-ES_tradnl"/>
              </w:rPr>
              <w:t>2022</w:t>
            </w:r>
          </w:p>
        </w:tc>
        <w:tc>
          <w:tcPr>
            <w:tcW w:w="5253" w:type="dxa"/>
            <w:tcBorders>
              <w:top w:val="single" w:sz="4" w:space="0" w:color="auto"/>
              <w:left w:val="single" w:sz="4" w:space="0" w:color="auto"/>
              <w:bottom w:val="single" w:sz="4" w:space="0" w:color="auto"/>
              <w:right w:val="single" w:sz="4" w:space="0" w:color="auto"/>
            </w:tcBorders>
            <w:hideMark/>
          </w:tcPr>
          <w:p w14:paraId="545ACEC5" w14:textId="36C764B7" w:rsidR="00F73D5B" w:rsidRPr="008B7A21" w:rsidRDefault="00F73D5B" w:rsidP="00767A6A">
            <w:pPr>
              <w:pStyle w:val="Tabletext"/>
              <w:jc w:val="center"/>
              <w:rPr>
                <w:rFonts w:ascii="Times New Roman" w:hAnsi="Times New Roman" w:cs="Times New Roman"/>
                <w:shd w:val="clear" w:color="auto" w:fill="FFFFFF"/>
                <w:lang w:val="es-ES_tradnl"/>
              </w:rPr>
            </w:pPr>
            <w:r w:rsidRPr="008B7A21">
              <w:rPr>
                <w:rFonts w:ascii="Times New Roman" w:hAnsi="Times New Roman" w:cs="Times New Roman"/>
                <w:color w:val="000000"/>
                <w:lang w:val="es-ES_tradnl"/>
              </w:rPr>
              <w:t>5G (600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 700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 800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 900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 1</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800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 2</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100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 2</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300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 2</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500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 3</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300</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MHz, 26</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GHz)</w:t>
            </w:r>
          </w:p>
        </w:tc>
        <w:tc>
          <w:tcPr>
            <w:tcW w:w="3279" w:type="dxa"/>
            <w:tcBorders>
              <w:top w:val="single" w:sz="4" w:space="0" w:color="auto"/>
              <w:left w:val="single" w:sz="4" w:space="0" w:color="auto"/>
              <w:bottom w:val="single" w:sz="4" w:space="0" w:color="auto"/>
              <w:right w:val="single" w:sz="4" w:space="0" w:color="auto"/>
            </w:tcBorders>
            <w:hideMark/>
          </w:tcPr>
          <w:p w14:paraId="3ABB321C" w14:textId="0FBD0CDB" w:rsidR="00F73D5B" w:rsidRPr="008B7A21" w:rsidRDefault="00F73D5B" w:rsidP="00767A6A">
            <w:pPr>
              <w:pStyle w:val="Tabletext"/>
              <w:jc w:val="center"/>
              <w:rPr>
                <w:rFonts w:ascii="Times New Roman" w:hAnsi="Times New Roman" w:cs="Times New Roman"/>
                <w:shd w:val="clear" w:color="auto" w:fill="FFFFFF"/>
                <w:lang w:val="es-ES_tradnl"/>
              </w:rPr>
            </w:pPr>
            <w:r w:rsidRPr="008B7A21">
              <w:rPr>
                <w:rFonts w:ascii="Times New Roman" w:hAnsi="Times New Roman" w:cs="Times New Roman"/>
                <w:color w:val="000000"/>
                <w:lang w:val="es-ES_tradnl"/>
              </w:rPr>
              <w:t>Aprox. 17</w:t>
            </w:r>
            <w:r w:rsidR="00540C72">
              <w:rPr>
                <w:rFonts w:ascii="Times New Roman" w:hAnsi="Times New Roman" w:cs="Times New Roman"/>
                <w:color w:val="000000"/>
                <w:lang w:val="es-ES_tradnl"/>
              </w:rPr>
              <w:t> </w:t>
            </w:r>
            <w:r w:rsidRPr="008B7A21">
              <w:rPr>
                <w:rFonts w:ascii="Times New Roman" w:hAnsi="Times New Roman" w:cs="Times New Roman"/>
                <w:color w:val="000000"/>
                <w:lang w:val="es-ES_tradnl"/>
              </w:rPr>
              <w:t>980 millones de dólares</w:t>
            </w:r>
          </w:p>
        </w:tc>
      </w:tr>
      <w:tr w:rsidR="00F73D5B" w:rsidRPr="008B7A21" w14:paraId="793E06FA" w14:textId="77777777" w:rsidTr="00765998">
        <w:trPr>
          <w:jc w:val="center"/>
        </w:trPr>
        <w:tc>
          <w:tcPr>
            <w:tcW w:w="9639" w:type="dxa"/>
            <w:gridSpan w:val="3"/>
            <w:tcBorders>
              <w:top w:val="single" w:sz="4" w:space="0" w:color="auto"/>
              <w:left w:val="nil"/>
              <w:bottom w:val="nil"/>
              <w:right w:val="nil"/>
            </w:tcBorders>
            <w:hideMark/>
          </w:tcPr>
          <w:p w14:paraId="1774DC8F" w14:textId="20CC9EDF" w:rsidR="00F73D5B" w:rsidRPr="008B7A21" w:rsidRDefault="00F73D5B" w:rsidP="00767A6A">
            <w:pPr>
              <w:pStyle w:val="Tabletext"/>
              <w:rPr>
                <w:rFonts w:ascii="Times New Roman" w:hAnsi="Times New Roman" w:cs="Times New Roman"/>
                <w:shd w:val="clear" w:color="auto" w:fill="FFFFFF"/>
                <w:lang w:val="es-ES_tradnl"/>
              </w:rPr>
            </w:pPr>
            <w:r w:rsidRPr="008B7A21">
              <w:rPr>
                <w:rFonts w:ascii="Times New Roman" w:hAnsi="Times New Roman" w:cs="Times New Roman"/>
                <w:color w:val="000000"/>
                <w:lang w:val="es-ES_tradnl"/>
              </w:rPr>
              <w:t>NOTA: El tipo de cambio considerado para la conversión es 1 dólar estadounidense = 83,48 rupias indias (tipo de cambio al 15</w:t>
            </w:r>
            <w:r w:rsidR="00540C72">
              <w:rPr>
                <w:rFonts w:ascii="Times New Roman" w:hAnsi="Times New Roman" w:cs="Times New Roman"/>
                <w:color w:val="000000"/>
                <w:lang w:val="es-ES_tradnl"/>
              </w:rPr>
              <w:t>/</w:t>
            </w:r>
            <w:r w:rsidRPr="008B7A21">
              <w:rPr>
                <w:rFonts w:ascii="Times New Roman" w:hAnsi="Times New Roman" w:cs="Times New Roman"/>
                <w:color w:val="000000"/>
                <w:lang w:val="es-ES_tradnl"/>
              </w:rPr>
              <w:t>05</w:t>
            </w:r>
            <w:r w:rsidR="00540C72">
              <w:rPr>
                <w:rFonts w:ascii="Times New Roman" w:hAnsi="Times New Roman" w:cs="Times New Roman"/>
                <w:color w:val="000000"/>
                <w:lang w:val="es-ES_tradnl"/>
              </w:rPr>
              <w:t>/</w:t>
            </w:r>
            <w:r w:rsidRPr="008B7A21">
              <w:rPr>
                <w:rFonts w:ascii="Times New Roman" w:hAnsi="Times New Roman" w:cs="Times New Roman"/>
                <w:color w:val="000000"/>
                <w:lang w:val="es-ES_tradnl"/>
              </w:rPr>
              <w:t>2024)</w:t>
            </w:r>
          </w:p>
        </w:tc>
      </w:tr>
    </w:tbl>
    <w:p w14:paraId="07647416" w14:textId="77777777" w:rsidR="00765998" w:rsidRPr="008B7A21" w:rsidRDefault="00765998" w:rsidP="00765998">
      <w:pPr>
        <w:pStyle w:val="Tablefin"/>
        <w:rPr>
          <w:lang w:val="es-ES_tradnl"/>
        </w:rPr>
      </w:pPr>
      <w:bookmarkStart w:id="2093" w:name="_Toc499563139"/>
      <w:bookmarkStart w:id="2094" w:name="_Toc215835454"/>
    </w:p>
    <w:p w14:paraId="7121FDDB" w14:textId="77777777" w:rsidR="00F73D5B" w:rsidRPr="008B7A21" w:rsidRDefault="00F73D5B" w:rsidP="00F73D5B">
      <w:pPr>
        <w:pStyle w:val="Heading2"/>
        <w:rPr>
          <w:lang w:val="es-ES_tradnl"/>
        </w:rPr>
      </w:pPr>
      <w:r w:rsidRPr="008B7A21">
        <w:rPr>
          <w:lang w:val="es-ES_tradnl"/>
        </w:rPr>
        <w:t>5.3</w:t>
      </w:r>
      <w:r w:rsidRPr="008B7A21">
        <w:rPr>
          <w:lang w:val="es-ES_tradnl"/>
        </w:rPr>
        <w:tab/>
        <w:t>Experiencia</w:t>
      </w:r>
      <w:bookmarkEnd w:id="2055"/>
      <w:r w:rsidRPr="008B7A21">
        <w:rPr>
          <w:lang w:val="es-ES_tradnl"/>
        </w:rPr>
        <w:t xml:space="preserve"> adquirida con la utilización de recursos alternativos</w:t>
      </w:r>
      <w:bookmarkEnd w:id="2056"/>
      <w:bookmarkEnd w:id="2057"/>
      <w:bookmarkEnd w:id="2058"/>
      <w:bookmarkEnd w:id="2059"/>
      <w:bookmarkEnd w:id="2060"/>
      <w:bookmarkEnd w:id="2061"/>
      <w:bookmarkEnd w:id="2062"/>
      <w:bookmarkEnd w:id="2063"/>
      <w:bookmarkEnd w:id="2064"/>
      <w:bookmarkEnd w:id="2093"/>
      <w:bookmarkEnd w:id="2094"/>
    </w:p>
    <w:p w14:paraId="4014B54B" w14:textId="77777777" w:rsidR="00F73D5B" w:rsidRPr="008B7A21" w:rsidRDefault="00F73D5B" w:rsidP="00F73D5B">
      <w:pPr>
        <w:rPr>
          <w:lang w:val="es-ES_tradnl"/>
        </w:rPr>
      </w:pPr>
      <w:r w:rsidRPr="008B7A21">
        <w:rPr>
          <w:lang w:val="es-ES_tradnl"/>
        </w:rPr>
        <w:t>Desde hace varios años muchas administraciones recurren a servicios auxiliares para apoyar la gestión nacional del espectro. A continuación, se pasa revista a la experiencia adquirida.</w:t>
      </w:r>
    </w:p>
    <w:p w14:paraId="757BC619" w14:textId="77777777" w:rsidR="00F73D5B" w:rsidRPr="008B7A21" w:rsidRDefault="00F73D5B" w:rsidP="00F73D5B">
      <w:pPr>
        <w:pStyle w:val="Heading3"/>
        <w:rPr>
          <w:lang w:val="es-ES_tradnl"/>
        </w:rPr>
      </w:pPr>
      <w:bookmarkStart w:id="2095" w:name="_Toc306276900"/>
      <w:bookmarkStart w:id="2096" w:name="_Toc307921573"/>
      <w:bookmarkStart w:id="2097" w:name="_Toc307922140"/>
      <w:bookmarkStart w:id="2098" w:name="_Toc307922696"/>
      <w:bookmarkStart w:id="2099" w:name="_Toc307992045"/>
      <w:bookmarkStart w:id="2100" w:name="_Toc307994080"/>
      <w:bookmarkStart w:id="2101" w:name="_Toc307995287"/>
      <w:bookmarkStart w:id="2102" w:name="_Toc307996486"/>
      <w:bookmarkStart w:id="2103" w:name="_Toc308010406"/>
      <w:bookmarkStart w:id="2104" w:name="_Toc499563140"/>
      <w:bookmarkStart w:id="2105" w:name="_Toc215835455"/>
      <w:r w:rsidRPr="008B7A21">
        <w:rPr>
          <w:lang w:val="es-ES_tradnl"/>
        </w:rPr>
        <w:t>5.3.1</w:t>
      </w:r>
      <w:r w:rsidRPr="008B7A21">
        <w:rPr>
          <w:lang w:val="es-ES_tradnl"/>
        </w:rPr>
        <w:tab/>
        <w:t>Canadá</w:t>
      </w:r>
      <w:bookmarkEnd w:id="2095"/>
      <w:bookmarkEnd w:id="2096"/>
      <w:bookmarkEnd w:id="2097"/>
      <w:bookmarkEnd w:id="2098"/>
      <w:bookmarkEnd w:id="2099"/>
      <w:bookmarkEnd w:id="2100"/>
      <w:bookmarkEnd w:id="2101"/>
      <w:bookmarkEnd w:id="2102"/>
      <w:bookmarkEnd w:id="2103"/>
      <w:bookmarkEnd w:id="2104"/>
      <w:bookmarkEnd w:id="2105"/>
    </w:p>
    <w:p w14:paraId="286BB4B4" w14:textId="77777777" w:rsidR="00F73D5B" w:rsidRPr="008B7A21" w:rsidRDefault="00F73D5B" w:rsidP="00F73D5B">
      <w:pPr>
        <w:pStyle w:val="Heading4"/>
        <w:rPr>
          <w:lang w:val="es-ES_tradnl"/>
        </w:rPr>
      </w:pPr>
      <w:r w:rsidRPr="008B7A21">
        <w:rPr>
          <w:lang w:val="es-ES_tradnl"/>
        </w:rPr>
        <w:t>5.3.1.1</w:t>
      </w:r>
      <w:r w:rsidRPr="008B7A21">
        <w:rPr>
          <w:lang w:val="es-ES_tradnl"/>
        </w:rPr>
        <w:tab/>
        <w:t>Proceso de consulta</w:t>
      </w:r>
    </w:p>
    <w:p w14:paraId="47002E8A" w14:textId="77777777" w:rsidR="00F73D5B" w:rsidRPr="008B7A21" w:rsidRDefault="00F73D5B" w:rsidP="00F73D5B">
      <w:pPr>
        <w:rPr>
          <w:lang w:val="es-ES_tradnl"/>
        </w:rPr>
      </w:pPr>
      <w:r w:rsidRPr="008B7A21">
        <w:rPr>
          <w:lang w:val="es-ES_tradnl"/>
        </w:rPr>
        <w:t xml:space="preserve">De conformidad con la legislación y reglamentación estatales sobre instrumentos, los ministerios y las agencias federales deben demostrar que se ha consultado a los canadienses y que han tenido la oportunidad de participar en el desarrollo y en las enmiendas a la reglamentación o los programas jurídicos. En Canadá, la </w:t>
      </w:r>
      <w:r w:rsidRPr="008B7A21">
        <w:rPr>
          <w:i/>
          <w:lang w:val="es-ES_tradnl"/>
        </w:rPr>
        <w:t>Canada Gazette</w:t>
      </w:r>
      <w:r w:rsidRPr="008B7A21">
        <w:rPr>
          <w:lang w:val="es-ES_tradnl"/>
        </w:rPr>
        <w:t xml:space="preserve"> incluye noticias formales públicas, nombramientos oficiales, reglamentación propuesta, regulaciones y leyes del parlamento provenientes de ministerios y agencias gubernamentales. Todas las consultas y noticias se presentan en el sitio web de Industry Canada, proporcionando una oportunidad para que el público aporte comentarios y responda a ellos.</w:t>
      </w:r>
    </w:p>
    <w:p w14:paraId="6D06331B" w14:textId="77777777" w:rsidR="00F73D5B" w:rsidRPr="008B7A21" w:rsidRDefault="00F73D5B" w:rsidP="00F73D5B">
      <w:pPr>
        <w:rPr>
          <w:lang w:val="es-ES_tradnl"/>
        </w:rPr>
      </w:pPr>
      <w:r w:rsidRPr="008B7A21">
        <w:rPr>
          <w:lang w:val="es-ES_tradnl"/>
        </w:rPr>
        <w:t>El gobierno de Canadá también consulta a miembros de la industria mediante la Junta Asesora de Radiocomunicaciones de Canadá (</w:t>
      </w:r>
      <w:r w:rsidRPr="008B7A21">
        <w:rPr>
          <w:i/>
          <w:iCs/>
          <w:lang w:val="es-ES_tradnl"/>
        </w:rPr>
        <w:t>Radio Advisory Board of Canada (RABC)</w:t>
      </w:r>
      <w:r w:rsidRPr="008B7A21">
        <w:rPr>
          <w:lang w:val="es-ES_tradnl"/>
        </w:rPr>
        <w:t>). La RABC es el organismo principal del sector privado que proporciona asesoramiento de carácter técnico al gobierno de Canadá en materia de gestión y utilización del espectro radioeléctrico. La RABC representa a la mayoría de los sectores de las radiocomunicaciones en Canadá, incluidos los fabricantes, los operadores de sistemas inalámbricos y los proveedores de servicio, los operadores de redes, radiodifusores, operadores de redes de seguridad pública y de seguridad nacional y los usuarios. La RABC consta de un cierto número de comités, relativos a comunicaciones móviles y personales, comunicaciones fijas inalámbricas, radiodifusión y compatibilidad electromagnética. La Administración de Canadá participa en sus reuniones como observador. La RABC asesora a la Administración sobre los asuntos relacionados con la política, normas técnicas y procedimientos. A menudo la RABC ha llevado a cabo estudios de ingeniería sobre planes de canalización, cálculos de interferencias o escenarios de compartición y ha proporcionado información importante para el proceso de gestión del espectro en Canadá.</w:t>
      </w:r>
    </w:p>
    <w:p w14:paraId="21E37DE2" w14:textId="77777777" w:rsidR="00F73D5B" w:rsidRPr="008B7A21" w:rsidRDefault="00F73D5B" w:rsidP="00F73D5B">
      <w:pPr>
        <w:pStyle w:val="Heading4"/>
        <w:rPr>
          <w:lang w:val="es-ES_tradnl"/>
        </w:rPr>
      </w:pPr>
      <w:r w:rsidRPr="008B7A21">
        <w:rPr>
          <w:lang w:val="es-ES_tradnl"/>
        </w:rPr>
        <w:t>5.3.1.2</w:t>
      </w:r>
      <w:r w:rsidRPr="008B7A21">
        <w:rPr>
          <w:lang w:val="es-ES_tradnl"/>
        </w:rPr>
        <w:tab/>
        <w:t>Proceso de coordinación de frecuencias</w:t>
      </w:r>
    </w:p>
    <w:p w14:paraId="2F61104F" w14:textId="77777777" w:rsidR="00F73D5B" w:rsidRPr="008B7A21" w:rsidRDefault="00F73D5B" w:rsidP="00F73D5B">
      <w:pPr>
        <w:rPr>
          <w:lang w:val="es-ES_tradnl"/>
        </w:rPr>
      </w:pPr>
      <w:r w:rsidRPr="008B7A21">
        <w:rPr>
          <w:lang w:val="es-ES_tradnl"/>
        </w:rPr>
        <w:t>La organización encargada de la gestión nacional del espectro en Canadá recurre a coordinadores de frecuencias en ciertos casos.</w:t>
      </w:r>
    </w:p>
    <w:p w14:paraId="39BB6BEF" w14:textId="77777777" w:rsidR="00F73D5B" w:rsidRPr="008B7A21" w:rsidRDefault="00F73D5B" w:rsidP="00F73D5B">
      <w:pPr>
        <w:rPr>
          <w:lang w:val="es-ES_tradnl"/>
        </w:rPr>
      </w:pPr>
      <w:r w:rsidRPr="008B7A21">
        <w:rPr>
          <w:lang w:val="es-ES_tradnl"/>
        </w:rPr>
        <w:t>En lo que respecta a los servicios fijo y fijo por satélite, hay que señalar que, si bien incumbe al Ministerio de Industria la tramitación de las solicitudes de licencias, incluido el examen de la interferencia potencial y la coordinación internacional, la coordinación nacional es responsabilidad del solicitante. Los usuarios del servicio fijo mantienen sus propias bases de datos para efectuar sus coordinaciones recíprocas. La mayor parte de las actividades de coordinación se efectúa en el marco de la Asociación de Sistemas de Coordinación de Frecuencias que es una entidad canadiense sin fines lucrativos que tiene por miembros a las principales compañías telefónicas del país. La Asociación explota y administra un sistema informatizado de información y coordinación por microondas.</w:t>
      </w:r>
    </w:p>
    <w:p w14:paraId="6628835E" w14:textId="77777777" w:rsidR="00F73D5B" w:rsidRPr="008B7A21" w:rsidRDefault="00F73D5B" w:rsidP="00F73D5B">
      <w:pPr>
        <w:pStyle w:val="Heading4"/>
        <w:rPr>
          <w:lang w:val="es-ES_tradnl"/>
        </w:rPr>
      </w:pPr>
      <w:r w:rsidRPr="008B7A21">
        <w:rPr>
          <w:lang w:val="es-ES_tradnl"/>
        </w:rPr>
        <w:t>5.3.1.3</w:t>
      </w:r>
      <w:r w:rsidRPr="008B7A21">
        <w:rPr>
          <w:lang w:val="es-ES_tradnl"/>
        </w:rPr>
        <w:tab/>
        <w:t>Difusión de información</w:t>
      </w:r>
    </w:p>
    <w:p w14:paraId="3B449B4B" w14:textId="77777777" w:rsidR="00F73D5B" w:rsidRPr="008B7A21" w:rsidRDefault="00F73D5B" w:rsidP="00F73D5B">
      <w:pPr>
        <w:rPr>
          <w:lang w:val="es-ES_tradnl"/>
        </w:rPr>
      </w:pPr>
      <w:r w:rsidRPr="008B7A21">
        <w:rPr>
          <w:lang w:val="es-ES_tradnl"/>
        </w:rPr>
        <w:t>Para facilitar la difusión de información, los registros de frecuencias asignadas se ponen a disposición del público en general por medio de Internet o en formato CD</w:t>
      </w:r>
      <w:r w:rsidRPr="008B7A21">
        <w:rPr>
          <w:lang w:val="es-ES_tradnl"/>
        </w:rPr>
        <w:noBreakHyphen/>
        <w:t>ROM.</w:t>
      </w:r>
    </w:p>
    <w:p w14:paraId="52066689" w14:textId="77777777" w:rsidR="00F73D5B" w:rsidRPr="008B7A21" w:rsidRDefault="00F73D5B" w:rsidP="00F73D5B">
      <w:pPr>
        <w:pStyle w:val="Heading3"/>
        <w:rPr>
          <w:lang w:val="es-ES_tradnl"/>
        </w:rPr>
      </w:pPr>
      <w:bookmarkStart w:id="2106" w:name="_Toc306276901"/>
      <w:bookmarkStart w:id="2107" w:name="_Toc307921574"/>
      <w:bookmarkStart w:id="2108" w:name="_Toc307922141"/>
      <w:bookmarkStart w:id="2109" w:name="_Toc307922697"/>
      <w:bookmarkStart w:id="2110" w:name="_Toc307992046"/>
      <w:bookmarkStart w:id="2111" w:name="_Toc307994081"/>
      <w:bookmarkStart w:id="2112" w:name="_Toc307995288"/>
      <w:bookmarkStart w:id="2113" w:name="_Toc307996487"/>
      <w:bookmarkStart w:id="2114" w:name="_Toc308010407"/>
      <w:bookmarkStart w:id="2115" w:name="_Toc499563141"/>
      <w:bookmarkStart w:id="2116" w:name="_Toc215835456"/>
      <w:r w:rsidRPr="008B7A21">
        <w:rPr>
          <w:lang w:val="es-ES_tradnl"/>
        </w:rPr>
        <w:t>5.3.2</w:t>
      </w:r>
      <w:r w:rsidRPr="008B7A21">
        <w:rPr>
          <w:lang w:val="es-ES_tradnl"/>
        </w:rPr>
        <w:tab/>
        <w:t>Alemania</w:t>
      </w:r>
      <w:bookmarkEnd w:id="2106"/>
      <w:bookmarkEnd w:id="2107"/>
      <w:bookmarkEnd w:id="2108"/>
      <w:bookmarkEnd w:id="2109"/>
      <w:bookmarkEnd w:id="2110"/>
      <w:bookmarkEnd w:id="2111"/>
      <w:bookmarkEnd w:id="2112"/>
      <w:bookmarkEnd w:id="2113"/>
      <w:bookmarkEnd w:id="2114"/>
      <w:bookmarkEnd w:id="2115"/>
      <w:bookmarkEnd w:id="2116"/>
    </w:p>
    <w:p w14:paraId="5A986AE3" w14:textId="77777777" w:rsidR="00F73D5B" w:rsidRPr="008B7A21" w:rsidRDefault="00F73D5B" w:rsidP="00F73D5B">
      <w:pPr>
        <w:rPr>
          <w:lang w:val="es-ES_tradnl"/>
        </w:rPr>
      </w:pPr>
      <w:r w:rsidRPr="008B7A21">
        <w:rPr>
          <w:lang w:val="es-ES_tradnl"/>
        </w:rPr>
        <w:t>En Alemania, las asociaciones de usuarios desempeñan funciones limitadas de gestión del espectro en lo que atañe a los sistemas de radiocomunicaciones móviles privadas (PMR). Se ha atribuido espectro a ciertas asociaciones de usuarios. Estas asociaciones han participado con éxito durante más de 25 años en la asignación de frecuencias y hoy en día siguen invitadas a apoyar a sus miembros en esos procedimientos de asignación.</w:t>
      </w:r>
    </w:p>
    <w:p w14:paraId="24496D7E" w14:textId="77777777" w:rsidR="00F73D5B" w:rsidRPr="008B7A21" w:rsidRDefault="00F73D5B" w:rsidP="00F73D5B">
      <w:pPr>
        <w:rPr>
          <w:lang w:val="es-ES_tradnl"/>
        </w:rPr>
      </w:pPr>
      <w:r w:rsidRPr="008B7A21">
        <w:rPr>
          <w:lang w:val="es-ES_tradnl"/>
        </w:rPr>
        <w:t>Los expertos de dichas asociaciones asesoran a sus miembros en todos los aspectos de la utilización de las radiocomunicaciones móviles privadas, les explican las disposiciones de la reglamentación nacional y apoyan la planificación de las redes de radiocomunicaciones móviles privadas por parte de los usuarios. La Asociación recomienda a la autoridad reguladora las características de dichas redes, por ejemplo, zonas de cobertura, altura de las antenas y distintivos de llamada. Normalmente, todas las normas técnicas, reglas de planificación de frecuencias y otras condiciones de licencia pertinentes se toman en consideración en las recomendaciones de la asociación de usuarios. La autoridad de reglamentación aprueba en prácticamente todos los casos estas recomendaciones y expide la correspondiente licencia. No obstante, la autoridad reguladora se encarga en todos los casos de la coordinación internacional.</w:t>
      </w:r>
    </w:p>
    <w:p w14:paraId="2FFA4B3F" w14:textId="77777777" w:rsidR="00F73D5B" w:rsidRPr="008B7A21" w:rsidRDefault="00F73D5B" w:rsidP="00F73D5B">
      <w:pPr>
        <w:rPr>
          <w:lang w:val="es-ES_tradnl"/>
        </w:rPr>
      </w:pPr>
      <w:r w:rsidRPr="008B7A21">
        <w:rPr>
          <w:lang w:val="es-ES_tradnl"/>
        </w:rPr>
        <w:t>Las asociaciones de usuarios son financiadas por las contribuciones de sus miembros y trabajan en favor de los usuarios de las radiocomunicaciones móviles privadas. Contribuyen al proceso de planificación del espectro de radiofrecuencias a mediano y largo plazo, representando los intereses de sus miembros en materia de espectro ante la autoridad reguladora. Estas asociaciones son un puente valioso entre la autoridad reguladora y los usuarios.</w:t>
      </w:r>
    </w:p>
    <w:p w14:paraId="30258CE0" w14:textId="77777777" w:rsidR="00F73D5B" w:rsidRPr="008B7A21" w:rsidRDefault="00F73D5B" w:rsidP="00F73D5B">
      <w:pPr>
        <w:pStyle w:val="Heading3"/>
        <w:rPr>
          <w:lang w:val="es-ES_tradnl"/>
        </w:rPr>
      </w:pPr>
      <w:bookmarkStart w:id="2117" w:name="_Toc306276902"/>
      <w:bookmarkStart w:id="2118" w:name="_Toc307921575"/>
      <w:bookmarkStart w:id="2119" w:name="_Toc307922142"/>
      <w:bookmarkStart w:id="2120" w:name="_Toc307922698"/>
      <w:bookmarkStart w:id="2121" w:name="_Toc307992047"/>
      <w:bookmarkStart w:id="2122" w:name="_Toc307994082"/>
      <w:bookmarkStart w:id="2123" w:name="_Toc307995289"/>
      <w:bookmarkStart w:id="2124" w:name="_Toc307996488"/>
      <w:bookmarkStart w:id="2125" w:name="_Toc308010408"/>
      <w:bookmarkStart w:id="2126" w:name="_Toc499563142"/>
      <w:bookmarkStart w:id="2127" w:name="_Toc215835457"/>
      <w:r w:rsidRPr="008B7A21">
        <w:rPr>
          <w:lang w:val="es-ES_tradnl"/>
        </w:rPr>
        <w:t>5.3.3</w:t>
      </w:r>
      <w:r w:rsidRPr="008B7A21">
        <w:rPr>
          <w:lang w:val="es-ES_tradnl"/>
        </w:rPr>
        <w:tab/>
        <w:t>Israel</w:t>
      </w:r>
      <w:bookmarkEnd w:id="2117"/>
      <w:bookmarkEnd w:id="2118"/>
      <w:bookmarkEnd w:id="2119"/>
      <w:bookmarkEnd w:id="2120"/>
      <w:bookmarkEnd w:id="2121"/>
      <w:bookmarkEnd w:id="2122"/>
      <w:bookmarkEnd w:id="2123"/>
      <w:bookmarkEnd w:id="2124"/>
      <w:bookmarkEnd w:id="2125"/>
      <w:bookmarkEnd w:id="2126"/>
      <w:bookmarkEnd w:id="2127"/>
    </w:p>
    <w:p w14:paraId="2B9A30D0" w14:textId="77777777" w:rsidR="00F73D5B" w:rsidRPr="008B7A21" w:rsidRDefault="00F73D5B" w:rsidP="00F73D5B">
      <w:pPr>
        <w:pStyle w:val="enumlev1"/>
        <w:keepNext/>
        <w:keepLines/>
        <w:rPr>
          <w:lang w:val="es-ES_tradnl"/>
        </w:rPr>
      </w:pPr>
      <w:r w:rsidRPr="008B7A21">
        <w:rPr>
          <w:lang w:val="es-ES_tradnl"/>
        </w:rPr>
        <w:t>Israel recurre al sector privado para algunas funciones de gestión del espectro.</w:t>
      </w:r>
    </w:p>
    <w:p w14:paraId="554F6152" w14:textId="77777777" w:rsidR="00F73D5B" w:rsidRPr="008B7A21" w:rsidRDefault="00F73D5B" w:rsidP="00F73D5B">
      <w:pPr>
        <w:keepNext/>
        <w:keepLines/>
        <w:rPr>
          <w:lang w:val="es-ES_tradnl"/>
        </w:rPr>
      </w:pPr>
      <w:r w:rsidRPr="008B7A21">
        <w:rPr>
          <w:lang w:val="es-ES_tradnl"/>
        </w:rPr>
        <w:t>Aunque en el pasado algunos operadores ayudaban a la administración a asignar sus propias frecuencias en una determinada banda, en la actualidad esto se hace únicamente cuando se trata de operadores interurbanos, operadores celulares y, en ciertos casos, enlaces de microondas punto a punto.</w:t>
      </w:r>
    </w:p>
    <w:p w14:paraId="615564BF" w14:textId="77777777" w:rsidR="00F73D5B" w:rsidRPr="008B7A21" w:rsidRDefault="00F73D5B" w:rsidP="00F73D5B">
      <w:pPr>
        <w:rPr>
          <w:lang w:val="es-ES_tradnl"/>
        </w:rPr>
      </w:pPr>
      <w:r w:rsidRPr="008B7A21">
        <w:rPr>
          <w:lang w:val="es-ES_tradnl"/>
        </w:rPr>
        <w:t>La administración sigue recibiendo el apoyo de los operadores y la industria, ya que participan en actividades de la UIT, como las que se realizan en la Conferencia Mundial de Radiocomunicaciones y las Comisiones de Estudio de Radiocomunicaciones (por ejemplo, TADIRAN en la Comisión de Estudio 1 de Radiocomunicaciones y Motorola Israel en la Comisión de Estudio 8 de Radiocomunicaciones).</w:t>
      </w:r>
    </w:p>
    <w:p w14:paraId="2406EB0D" w14:textId="77777777" w:rsidR="00F73D5B" w:rsidRPr="008B7A21" w:rsidRDefault="00F73D5B" w:rsidP="00F73D5B">
      <w:pPr>
        <w:pStyle w:val="Heading3"/>
        <w:rPr>
          <w:lang w:val="es-ES_tradnl"/>
        </w:rPr>
      </w:pPr>
      <w:bookmarkStart w:id="2128" w:name="_Toc306276903"/>
      <w:bookmarkStart w:id="2129" w:name="_Toc307921576"/>
      <w:bookmarkStart w:id="2130" w:name="_Toc307922143"/>
      <w:bookmarkStart w:id="2131" w:name="_Toc307922699"/>
      <w:bookmarkStart w:id="2132" w:name="_Toc307992048"/>
      <w:bookmarkStart w:id="2133" w:name="_Toc307994083"/>
      <w:bookmarkStart w:id="2134" w:name="_Toc307995290"/>
      <w:bookmarkStart w:id="2135" w:name="_Toc307996489"/>
      <w:bookmarkStart w:id="2136" w:name="_Toc308010409"/>
      <w:bookmarkStart w:id="2137" w:name="_Toc499563143"/>
      <w:bookmarkStart w:id="2138" w:name="_Toc215835458"/>
      <w:r w:rsidRPr="008B7A21">
        <w:rPr>
          <w:lang w:val="es-ES_tradnl"/>
        </w:rPr>
        <w:t>5.3.4</w:t>
      </w:r>
      <w:r w:rsidRPr="008B7A21">
        <w:rPr>
          <w:lang w:val="es-ES_tradnl"/>
        </w:rPr>
        <w:tab/>
        <w:t>Federación de Rusia</w:t>
      </w:r>
      <w:bookmarkEnd w:id="2128"/>
      <w:bookmarkEnd w:id="2129"/>
      <w:bookmarkEnd w:id="2130"/>
      <w:bookmarkEnd w:id="2131"/>
      <w:bookmarkEnd w:id="2132"/>
      <w:bookmarkEnd w:id="2133"/>
      <w:bookmarkEnd w:id="2134"/>
      <w:bookmarkEnd w:id="2135"/>
      <w:bookmarkEnd w:id="2136"/>
      <w:bookmarkEnd w:id="2137"/>
      <w:bookmarkEnd w:id="2138"/>
    </w:p>
    <w:p w14:paraId="38740845" w14:textId="77777777" w:rsidR="00F73D5B" w:rsidRPr="008B7A21" w:rsidRDefault="00F73D5B" w:rsidP="00F73D5B">
      <w:pPr>
        <w:rPr>
          <w:lang w:val="es-ES_tradnl"/>
        </w:rPr>
      </w:pPr>
      <w:r w:rsidRPr="008B7A21">
        <w:rPr>
          <w:lang w:val="es-ES_tradnl"/>
        </w:rPr>
        <w:t>En la Federación de Rusia, un gran apoyo a las actividades gubernamentales de gestión del espectro lo proporcionan diversas organizaciones científicas, de desarrollo y de diseño que desempeñan el cometido de coordinadores de frecuencias y consultores en materia de gestión del espectro. Si bien administrativamente estas organizaciones pueden pertenecer a distintos ministerios y otros organismos del Estado, proporcionan realmente conocimientos técnicos independientes en muchas áreas de las radiocomunicaciones, y especialmente en la gestión del espectro, a la Administración de telecomunicaciones de la Federación de Rusia así como a operadores de radiocomunicaciones privados y a diversas organizaciones comerciales que apoyan sus actividades. Debido a la estrecha colaboración con la Administración de telecomunicaciones de la Federación de Rusia, por un lado, y con los operadores de radiocomunicaciones, por otro lado, y gracias a una activa participación en las actividades regionales e internacionales pertinentes, están muy familiarizadas con las necesidades para el desarrollo y la mejora de los distintos servicios de radiocomunicaciones así como sobre los temas de gestión del espectro a escala nacional, regional e internacional.</w:t>
      </w:r>
    </w:p>
    <w:p w14:paraId="566E21E5" w14:textId="77777777" w:rsidR="00F73D5B" w:rsidRPr="008B7A21" w:rsidRDefault="00F73D5B" w:rsidP="00F73D5B">
      <w:pPr>
        <w:rPr>
          <w:lang w:val="es-ES_tradnl"/>
        </w:rPr>
      </w:pPr>
      <w:r w:rsidRPr="008B7A21">
        <w:rPr>
          <w:lang w:val="es-ES_tradnl"/>
        </w:rPr>
        <w:t>Tales organizaciones de gestión del espectro incluyen institutos de investigación, especialmente el Instituto de Investigación y Desarrollo de las Radiocomunicaciones (NIIR) junto con sus anexos, laboratorios de pruebas de homologación, asociaciones de operadores privados y firmas consultoras que trabajan sobra una base comercial.</w:t>
      </w:r>
    </w:p>
    <w:p w14:paraId="5A173E6F" w14:textId="77777777" w:rsidR="00F73D5B" w:rsidRPr="008B7A21" w:rsidRDefault="00F73D5B" w:rsidP="00F73D5B">
      <w:pPr>
        <w:keepNext/>
        <w:keepLines/>
        <w:rPr>
          <w:lang w:val="es-ES_tradnl"/>
        </w:rPr>
      </w:pPr>
      <w:r w:rsidRPr="008B7A21">
        <w:rPr>
          <w:lang w:val="es-ES_tradnl"/>
        </w:rPr>
        <w:t>Las ayudas principales que ofrecen estas organizaciones a la Administración de telecomunicaciones son:</w:t>
      </w:r>
    </w:p>
    <w:p w14:paraId="48C305E9" w14:textId="77777777" w:rsidR="00F73D5B" w:rsidRPr="008B7A21" w:rsidRDefault="00F73D5B" w:rsidP="00F73D5B">
      <w:pPr>
        <w:pStyle w:val="enumlev1"/>
        <w:rPr>
          <w:lang w:val="es-ES_tradnl"/>
        </w:rPr>
      </w:pPr>
      <w:r w:rsidRPr="008B7A21">
        <w:rPr>
          <w:lang w:val="es-ES_tradnl"/>
        </w:rPr>
        <w:t>–</w:t>
      </w:r>
      <w:r w:rsidRPr="008B7A21">
        <w:rPr>
          <w:lang w:val="es-ES_tradnl"/>
        </w:rPr>
        <w:tab/>
        <w:t>la realización, a petición de la Administración, de análisis de interferencia sistemática para aplicaciones de frecuencias del servicio fijo (microondas) y del servicio fijo por satélite, incluyendo temas de coordinación nacional e internacional;</w:t>
      </w:r>
    </w:p>
    <w:p w14:paraId="7CC69076" w14:textId="77777777" w:rsidR="00F73D5B" w:rsidRPr="008B7A21" w:rsidRDefault="00F73D5B" w:rsidP="00F73D5B">
      <w:pPr>
        <w:pStyle w:val="enumlev1"/>
        <w:rPr>
          <w:lang w:val="es-ES_tradnl"/>
        </w:rPr>
      </w:pPr>
      <w:r w:rsidRPr="008B7A21">
        <w:rPr>
          <w:lang w:val="es-ES_tradnl"/>
        </w:rPr>
        <w:t>–</w:t>
      </w:r>
      <w:r w:rsidRPr="008B7A21">
        <w:rPr>
          <w:lang w:val="es-ES_tradnl"/>
        </w:rPr>
        <w:tab/>
        <w:t>la realización de la coordinación de frecuencias de las transmisiones radioeléctricas para los servicios de radiodifusión sonora y de televisión;</w:t>
      </w:r>
    </w:p>
    <w:p w14:paraId="68A0F062" w14:textId="77777777" w:rsidR="00F73D5B" w:rsidRPr="008B7A21" w:rsidRDefault="00F73D5B" w:rsidP="00F73D5B">
      <w:pPr>
        <w:pStyle w:val="enumlev1"/>
        <w:rPr>
          <w:lang w:val="es-ES_tradnl"/>
        </w:rPr>
      </w:pPr>
      <w:r w:rsidRPr="008B7A21">
        <w:rPr>
          <w:lang w:val="es-ES_tradnl"/>
        </w:rPr>
        <w:t>–</w:t>
      </w:r>
      <w:r w:rsidRPr="008B7A21">
        <w:rPr>
          <w:lang w:val="es-ES_tradnl"/>
        </w:rPr>
        <w:tab/>
        <w:t>la realización de investigaciones experimentales sobre la posible atribución adicional de canales de radiodifusión sonora y de televisión en zonas con problemas en el terreno específicos. Basándose en las conclusiones a que se llegue, la administración concede las licencias y los permisos de utilización de frecuencias pertinentes para las actividades de explotación;</w:t>
      </w:r>
    </w:p>
    <w:p w14:paraId="0132C0A3" w14:textId="77777777" w:rsidR="00F73D5B" w:rsidRPr="008B7A21" w:rsidRDefault="00F73D5B" w:rsidP="00F73D5B">
      <w:pPr>
        <w:pStyle w:val="enumlev1"/>
        <w:rPr>
          <w:lang w:val="es-ES_tradnl"/>
        </w:rPr>
      </w:pPr>
      <w:r w:rsidRPr="008B7A21">
        <w:rPr>
          <w:lang w:val="es-ES_tradnl"/>
        </w:rPr>
        <w:t>–</w:t>
      </w:r>
      <w:r w:rsidRPr="008B7A21">
        <w:rPr>
          <w:lang w:val="es-ES_tradnl"/>
        </w:rPr>
        <w:tab/>
        <w:t>el desarrollo de diversos proyectos de normas, especificaciones, recomendaciones, etc. relativos a las redes de radiocomunicaciones y al desarrollo de equipos, análisis de compatibilidad electromagnética y planificación de frecuencias, criterios y condiciones de compartición de frecuencias que debe aprobar la Administración; últimamente estas actividades se relacionan cada vez más con los asuntos reglamentarios y jurídicos correspondientes.</w:t>
      </w:r>
    </w:p>
    <w:p w14:paraId="1314E94F" w14:textId="77777777" w:rsidR="00F73D5B" w:rsidRPr="008B7A21" w:rsidRDefault="00F73D5B" w:rsidP="00F73D5B">
      <w:pPr>
        <w:keepNext/>
        <w:keepLines/>
        <w:rPr>
          <w:lang w:val="es-ES_tradnl"/>
        </w:rPr>
      </w:pPr>
      <w:r w:rsidRPr="008B7A21">
        <w:rPr>
          <w:lang w:val="es-ES_tradnl"/>
        </w:rPr>
        <w:t>Por lo que se refiere a las ayudas a los operadores de radiocomunicaciones, los temas principales son los siguientes:</w:t>
      </w:r>
    </w:p>
    <w:p w14:paraId="2447491A" w14:textId="77777777" w:rsidR="00F73D5B" w:rsidRPr="008B7A21" w:rsidRDefault="00F73D5B" w:rsidP="00F73D5B">
      <w:pPr>
        <w:pStyle w:val="enumlev1"/>
        <w:rPr>
          <w:lang w:val="es-ES_tradnl"/>
        </w:rPr>
      </w:pPr>
      <w:r w:rsidRPr="008B7A21">
        <w:rPr>
          <w:lang w:val="es-ES_tradnl"/>
        </w:rPr>
        <w:t>–</w:t>
      </w:r>
      <w:r w:rsidRPr="008B7A21">
        <w:rPr>
          <w:lang w:val="es-ES_tradnl"/>
        </w:rPr>
        <w:tab/>
        <w:t>explicación de la reglamentación nacional, regional e internacional para su aplicación a los diversos servicios de radiocomunicaciones;</w:t>
      </w:r>
    </w:p>
    <w:p w14:paraId="5DCC41C6" w14:textId="77777777" w:rsidR="00F73D5B" w:rsidRPr="008B7A21" w:rsidRDefault="00F73D5B" w:rsidP="00F73D5B">
      <w:pPr>
        <w:pStyle w:val="enumlev1"/>
        <w:rPr>
          <w:lang w:val="es-ES_tradnl"/>
        </w:rPr>
      </w:pPr>
      <w:r w:rsidRPr="008B7A21">
        <w:rPr>
          <w:lang w:val="es-ES_tradnl"/>
        </w:rPr>
        <w:t>–</w:t>
      </w:r>
      <w:r w:rsidRPr="008B7A21">
        <w:rPr>
          <w:lang w:val="es-ES_tradnl"/>
        </w:rPr>
        <w:tab/>
        <w:t>asistencia en la planificación de usuario de las redes de radiocomunicaciones pertinentes, especialmente las celulares, de entronque, etc., haciendo uso de todas las normas técnicas pertinentes, de la reglamentación para la planificación de frecuencias y de otras condiciones para la concesión de licencias;</w:t>
      </w:r>
    </w:p>
    <w:p w14:paraId="00042A87" w14:textId="77777777" w:rsidR="00F73D5B" w:rsidRPr="008B7A21" w:rsidRDefault="00F73D5B" w:rsidP="00F73D5B">
      <w:pPr>
        <w:pStyle w:val="enumlev1"/>
        <w:rPr>
          <w:lang w:val="es-ES_tradnl"/>
        </w:rPr>
      </w:pPr>
      <w:r w:rsidRPr="008B7A21">
        <w:rPr>
          <w:lang w:val="es-ES_tradnl"/>
        </w:rPr>
        <w:t>–</w:t>
      </w:r>
      <w:r w:rsidRPr="008B7A21">
        <w:rPr>
          <w:lang w:val="es-ES_tradnl"/>
        </w:rPr>
        <w:tab/>
        <w:t>análisis preliminar de los canales de radiodifusión sin interferencia para los organismos de radiodifusión sonora y de TV, cálculo de las zonas de servicios, etc.;</w:t>
      </w:r>
    </w:p>
    <w:p w14:paraId="3AE033E4" w14:textId="77777777" w:rsidR="00F73D5B" w:rsidRPr="008B7A21" w:rsidRDefault="00F73D5B" w:rsidP="00F73D5B">
      <w:pPr>
        <w:pStyle w:val="enumlev1"/>
        <w:rPr>
          <w:lang w:val="es-ES_tradnl"/>
        </w:rPr>
      </w:pPr>
      <w:r w:rsidRPr="008B7A21">
        <w:rPr>
          <w:lang w:val="es-ES_tradnl"/>
        </w:rPr>
        <w:t>–</w:t>
      </w:r>
      <w:r w:rsidRPr="008B7A21">
        <w:rPr>
          <w:lang w:val="es-ES_tradnl"/>
        </w:rPr>
        <w:tab/>
        <w:t>asistencia en la preparación de las solicitudes de licencia pertinentes y documentación de la oferta;</w:t>
      </w:r>
    </w:p>
    <w:p w14:paraId="46338A2C" w14:textId="77777777" w:rsidR="00F73D5B" w:rsidRPr="008B7A21" w:rsidRDefault="00F73D5B" w:rsidP="00F73D5B">
      <w:pPr>
        <w:pStyle w:val="enumlev1"/>
        <w:rPr>
          <w:lang w:val="es-ES_tradnl"/>
        </w:rPr>
      </w:pPr>
      <w:r w:rsidRPr="008B7A21">
        <w:rPr>
          <w:lang w:val="es-ES_tradnl"/>
        </w:rPr>
        <w:t>–</w:t>
      </w:r>
      <w:r w:rsidRPr="008B7A21">
        <w:rPr>
          <w:lang w:val="es-ES_tradnl"/>
        </w:rPr>
        <w:tab/>
        <w:t>asistencia a diversas empresas estatales y comerciales en el campo de la limitación de la interferencia industrial.</w:t>
      </w:r>
    </w:p>
    <w:p w14:paraId="4248813E" w14:textId="77777777" w:rsidR="00F73D5B" w:rsidRPr="008B7A21" w:rsidRDefault="00F73D5B" w:rsidP="00F73D5B">
      <w:pPr>
        <w:pStyle w:val="Heading3"/>
        <w:rPr>
          <w:lang w:val="es-ES_tradnl"/>
        </w:rPr>
      </w:pPr>
      <w:bookmarkStart w:id="2139" w:name="_Toc306276904"/>
      <w:bookmarkStart w:id="2140" w:name="_Toc307921577"/>
      <w:bookmarkStart w:id="2141" w:name="_Toc307922144"/>
      <w:bookmarkStart w:id="2142" w:name="_Toc307922700"/>
      <w:bookmarkStart w:id="2143" w:name="_Toc307992049"/>
      <w:bookmarkStart w:id="2144" w:name="_Toc307994084"/>
      <w:bookmarkStart w:id="2145" w:name="_Toc307995291"/>
      <w:bookmarkStart w:id="2146" w:name="_Toc307996490"/>
      <w:bookmarkStart w:id="2147" w:name="_Toc308010410"/>
      <w:bookmarkStart w:id="2148" w:name="_Toc499563144"/>
      <w:bookmarkStart w:id="2149" w:name="_Toc215835459"/>
      <w:r w:rsidRPr="008B7A21">
        <w:rPr>
          <w:lang w:val="es-ES_tradnl"/>
        </w:rPr>
        <w:t>5.3.5</w:t>
      </w:r>
      <w:r w:rsidRPr="008B7A21">
        <w:rPr>
          <w:lang w:val="es-ES_tradnl"/>
        </w:rPr>
        <w:tab/>
        <w:t>Estados Unidos de América</w:t>
      </w:r>
      <w:bookmarkEnd w:id="2139"/>
      <w:bookmarkEnd w:id="2140"/>
      <w:bookmarkEnd w:id="2141"/>
      <w:bookmarkEnd w:id="2142"/>
      <w:bookmarkEnd w:id="2143"/>
      <w:bookmarkEnd w:id="2144"/>
      <w:bookmarkEnd w:id="2145"/>
      <w:bookmarkEnd w:id="2146"/>
      <w:bookmarkEnd w:id="2147"/>
      <w:bookmarkEnd w:id="2148"/>
      <w:bookmarkEnd w:id="2149"/>
    </w:p>
    <w:p w14:paraId="7292F765" w14:textId="77777777" w:rsidR="00F73D5B" w:rsidRPr="008B7A21" w:rsidRDefault="00F73D5B" w:rsidP="00F73D5B">
      <w:pPr>
        <w:rPr>
          <w:lang w:val="es-ES_tradnl"/>
        </w:rPr>
      </w:pPr>
      <w:r w:rsidRPr="008B7A21">
        <w:rPr>
          <w:lang w:val="es-ES_tradnl"/>
        </w:rPr>
        <w:t>Estados Unidos de América recurre en gran medida a los servicios de coordinación de frecuencias, a los grupos de comunicaciones interesados y a consultores en gestión del espectro del sector privado.</w:t>
      </w:r>
    </w:p>
    <w:p w14:paraId="0B29CFA9" w14:textId="77777777" w:rsidR="00F73D5B" w:rsidRPr="008B7A21" w:rsidRDefault="00F73D5B" w:rsidP="00F73D5B">
      <w:pPr>
        <w:pStyle w:val="Heading4"/>
        <w:rPr>
          <w:lang w:val="es-ES_tradnl"/>
        </w:rPr>
      </w:pPr>
      <w:r w:rsidRPr="008B7A21">
        <w:rPr>
          <w:lang w:val="es-ES_tradnl"/>
        </w:rPr>
        <w:t>5.3.5.1</w:t>
      </w:r>
      <w:r w:rsidRPr="008B7A21">
        <w:rPr>
          <w:lang w:val="es-ES_tradnl"/>
        </w:rPr>
        <w:tab/>
        <w:t>Utilización de grupos de comunicaciones interesados</w:t>
      </w:r>
    </w:p>
    <w:p w14:paraId="5E104482" w14:textId="77777777" w:rsidR="00F73D5B" w:rsidRPr="008B7A21" w:rsidRDefault="00F73D5B" w:rsidP="00F73D5B">
      <w:pPr>
        <w:rPr>
          <w:lang w:val="es-ES_tradnl"/>
        </w:rPr>
      </w:pPr>
      <w:r w:rsidRPr="008B7A21">
        <w:rPr>
          <w:lang w:val="es-ES_tradnl"/>
        </w:rPr>
        <w:t>Las organizaciones estadounidenses de gestión del espectro recurren también en gran medida a comités consultivos. Por ejemplo, la FCC prepara sus propuestas a las conferencias de radiocomunicaciones, basándose en un proceso abierto con intervención de comités consultivos. Además, en su calidad de administrador de la utilización de sistemas de radiocomunicaciones por parte del Gobierno de Estados Unidos de América, la Administración Nacional de Telecomunicaciones e Información (NTIA) depende en gran medida del Comité Consultivo Interdepartamental de Radiocomunicaciones (IRAC), sus subcomités (planificación, gestión técnica y conferencias de radiocomunicaciones) y varios comités ad hoc que asesoran sobre reglamentación y elaboración de políticas. El IRAC es el comité consultivo permanente más antiguo de la administración estadounidense. Aunque no se trata de un órgano privado, constituye un excelente ejemplo de la utilización de órganos asesores o grupos de expertos. La NTIA solicita también asesoramiento sobre la política de gestión del espectro al Comité Consultivo de Gestión de Frecuencias (FMAC), que es un grupo mixto público/privado.</w:t>
      </w:r>
    </w:p>
    <w:p w14:paraId="31211F52" w14:textId="77777777" w:rsidR="00F73D5B" w:rsidRPr="008B7A21" w:rsidRDefault="00F73D5B" w:rsidP="00F73D5B">
      <w:pPr>
        <w:rPr>
          <w:lang w:val="es-ES_tradnl"/>
        </w:rPr>
      </w:pPr>
      <w:r w:rsidRPr="008B7A21">
        <w:rPr>
          <w:lang w:val="es-ES_tradnl"/>
        </w:rPr>
        <w:t>La FCC ha aplicado con éxito también una técnica conocida como la creación negociada de normas, en cuyo marco los diseñadores de sistemas y grupos interesados en la utilización del espectro preparan conjuntamente las disposiciones reglamentarias y normas que regirán sus actividades.</w:t>
      </w:r>
    </w:p>
    <w:p w14:paraId="5EBB5C70" w14:textId="398EB896" w:rsidR="00F73D5B" w:rsidRPr="008B7A21" w:rsidRDefault="00F73D5B" w:rsidP="00F73D5B">
      <w:pPr>
        <w:rPr>
          <w:b/>
          <w:lang w:val="es-ES_tradnl"/>
        </w:rPr>
      </w:pPr>
      <w:r w:rsidRPr="008B7A21">
        <w:rPr>
          <w:lang w:val="es-ES_tradnl"/>
        </w:rPr>
        <w:t xml:space="preserve">La lista de comités asesores de la FCC figura en </w:t>
      </w:r>
      <w:hyperlink r:id="rId268" w:history="1">
        <w:r w:rsidRPr="008B7A21">
          <w:rPr>
            <w:rStyle w:val="Hyperlink"/>
            <w:lang w:val="es-ES_tradnl"/>
          </w:rPr>
          <w:t>https://www.fcc.gov/about-fcc/advisory-committees-fcc</w:t>
        </w:r>
      </w:hyperlink>
      <w:r w:rsidRPr="008B7A21">
        <w:rPr>
          <w:lang w:val="es-ES_tradnl"/>
        </w:rPr>
        <w:t>.</w:t>
      </w:r>
    </w:p>
    <w:p w14:paraId="54D611BF" w14:textId="77777777" w:rsidR="00F73D5B" w:rsidRPr="008B7A21" w:rsidRDefault="00F73D5B" w:rsidP="00F73D5B">
      <w:pPr>
        <w:pStyle w:val="Heading4"/>
        <w:rPr>
          <w:lang w:val="es-ES_tradnl"/>
        </w:rPr>
      </w:pPr>
      <w:r w:rsidRPr="008B7A21">
        <w:rPr>
          <w:lang w:val="es-ES_tradnl"/>
        </w:rPr>
        <w:t>5.3.5.2</w:t>
      </w:r>
      <w:r w:rsidRPr="008B7A21">
        <w:rPr>
          <w:lang w:val="es-ES_tradnl"/>
        </w:rPr>
        <w:tab/>
        <w:t>Utilización de los servicios de coordinación de frecuencias en Estados Unidos de América</w:t>
      </w:r>
    </w:p>
    <w:p w14:paraId="3373BD28" w14:textId="77777777" w:rsidR="00F73D5B" w:rsidRPr="008B7A21" w:rsidRDefault="00F73D5B" w:rsidP="00F73D5B">
      <w:pPr>
        <w:rPr>
          <w:lang w:val="es-ES_tradnl"/>
        </w:rPr>
      </w:pPr>
      <w:r w:rsidRPr="008B7A21">
        <w:rPr>
          <w:lang w:val="es-ES_tradnl"/>
        </w:rPr>
        <w:t>Con arreglo a las normas de la FCC y antes de solicitar una licencia para el suministro de ciertos servicios, el aspirante debe proporcionar información de coordinación técnica o prueba de coordinación previa de la estación proyectada con las estaciones existentes. Los grupos privados suelen desempeñar esta función de coordinación previa.</w:t>
      </w:r>
    </w:p>
    <w:p w14:paraId="7A2C692A" w14:textId="77777777" w:rsidR="00F73D5B" w:rsidRPr="008B7A21" w:rsidRDefault="00F73D5B" w:rsidP="00F73D5B">
      <w:pPr>
        <w:rPr>
          <w:lang w:val="es-ES_tradnl"/>
        </w:rPr>
      </w:pPr>
      <w:r w:rsidRPr="008B7A21">
        <w:rPr>
          <w:lang w:val="es-ES_tradnl"/>
        </w:rPr>
        <w:t>En cuanto a los servicios privados de radiocomunicaciones móviles terrestres, la FCC ha autorizado a una serie de grupos para realizar subatribuciones específicas (por ejemplo, en el caso de los servicios de seguridad pública, industriales y de transporte terrestre) para coordinar las asignaciones de frecuencias con anterioridad a la presentación de solicitudes para obtener la oportuna licencia. Con arreglo a este sistema, los solicitantes que proyecten establecer nuevas estaciones o la modificación de licencias vigentes envían sus solicitudes al servicio de coordinación autorizado, el cual verifica la integridad, exactitud y cumplimiento de las normas de la FCC, recomienda la frecuencia más idónea para el solicitante y transmite la solicitud a la FCC, que expide la licencia directamente al solicitante. La FCC supervisa el nivel de eficacia de estos comités de coordinación. Un funcionamiento constantemente inferior a las normas de la FCC puede llevar a investigar al servicio de coordinación y, en su caso, a su inhabilitación. En caso de desacuerdo entre el solicitante y el servicio de coordinación, incumbe a la FCC zanjar las divergencias.</w:t>
      </w:r>
    </w:p>
    <w:p w14:paraId="14CB74F5" w14:textId="77777777" w:rsidR="00F73D5B" w:rsidRPr="008B7A21" w:rsidRDefault="00F73D5B" w:rsidP="00F73D5B">
      <w:pPr>
        <w:rPr>
          <w:lang w:val="es-ES_tradnl"/>
        </w:rPr>
      </w:pPr>
      <w:r w:rsidRPr="008B7A21">
        <w:rPr>
          <w:lang w:val="es-ES_tradnl"/>
        </w:rPr>
        <w:t>La coordinación previa se efectúa en el caso de otros servicios, por ejemplo el servicio de radiocomunicaciones en microondas punto a punto de la FCC y el servicio privado de operaciones fijas por microondas. Antes de obtener una licencia, los solicitantes deben diseñar los sistemas proyectados con el fin de evitar interferencias y coordinar con los solicitantes y titulares de licencias existentes a los que los sistemas propuestos podrían ocasionar interferencia. La coordinación en estas bandas es efectuada normalmente por el solicitante o el consultor privado en materia de coordinación de frecuencias y depende en gran medida de la cooperación de la industria. No hay servicios de coordinación autorizados para estas bandas. El solicitante debe certificar que el proceso de coordinación se ha concluido antes de que se acepte la solicitud para su tramitación. Los servicios privados de coordinación de frecuencias perciben un canon por sus servicios.</w:t>
      </w:r>
    </w:p>
    <w:p w14:paraId="5C52A8DA" w14:textId="77777777" w:rsidR="00F73D5B" w:rsidRPr="008B7A21" w:rsidRDefault="00F73D5B" w:rsidP="00F73D5B">
      <w:pPr>
        <w:rPr>
          <w:lang w:val="es-ES_tradnl"/>
        </w:rPr>
      </w:pPr>
      <w:r w:rsidRPr="008B7A21">
        <w:rPr>
          <w:lang w:val="es-ES_tradnl"/>
        </w:rPr>
        <w:t>Al exigir la coordinación previa, la FCC intenta que los conflictos suscitados por las interferencias se resuelvan mediante negociación privada antes de que se tramiten las solicitudes. Llevar a cabo con éxito la coordinación que entraña este método atenúa la necesidad de que el Gobierno Federal intervenga por vía administrativa para resolver conflictos privados de acceso al espectro. Desde que la FCC hiciera obligatoria en 1975 la coordinación de frecuencias en las bandas de microondas y llevase a la práctica en 1986 el programa de coordinadores de frecuencias habilitados para las bandas del servicio de radiocomunicaciones móviles terrestres privadas, ha aumentado la rapidez del servicio y se ha reducido la carga que supone la concesión de licencias para la FCC. Asimismo, el primer recurso para los titulares de licencias que tienen problemas de interferencia es pedir la asistencia del correspondiente servicio de coordinación. En la mayoría de los casos, dicho servicio puede solucionar el problema sin que tenga que intervenir la FCC.</w:t>
      </w:r>
    </w:p>
    <w:p w14:paraId="1B6DD3F7" w14:textId="6FEC99DB" w:rsidR="00F73D5B" w:rsidRPr="008B7A21" w:rsidRDefault="00F73D5B" w:rsidP="00DD0D67">
      <w:pPr>
        <w:rPr>
          <w:lang w:val="es-ES_tradnl"/>
        </w:rPr>
      </w:pPr>
      <w:r w:rsidRPr="008B7A21">
        <w:rPr>
          <w:lang w:val="es-ES_tradnl"/>
        </w:rPr>
        <w:t>Los coordinadores de frecuencias para seguridad pública figuran en:</w:t>
      </w:r>
      <w:r w:rsidR="00DD0D67" w:rsidRPr="008B7A21">
        <w:rPr>
          <w:lang w:val="es-ES_tradnl"/>
        </w:rPr>
        <w:br/>
      </w:r>
      <w:hyperlink r:id="rId269" w:history="1">
        <w:r w:rsidR="00DD0D67" w:rsidRPr="008B7A21">
          <w:rPr>
            <w:rStyle w:val="Hyperlink"/>
            <w:lang w:val="es-ES_tradnl"/>
          </w:rPr>
          <w:t>https://www.fcc.gov/general/public-safety-frequency-coordinators</w:t>
        </w:r>
      </w:hyperlink>
      <w:r w:rsidRPr="008B7A21">
        <w:rPr>
          <w:lang w:val="es-ES_tradnl"/>
        </w:rPr>
        <w:t>.</w:t>
      </w:r>
    </w:p>
    <w:p w14:paraId="5F696360" w14:textId="77777777" w:rsidR="00F73D5B" w:rsidRPr="008B7A21" w:rsidRDefault="00F73D5B" w:rsidP="00F73D5B">
      <w:pPr>
        <w:pStyle w:val="Heading4"/>
        <w:rPr>
          <w:lang w:val="es-ES_tradnl"/>
        </w:rPr>
      </w:pPr>
      <w:r w:rsidRPr="008B7A21">
        <w:rPr>
          <w:lang w:val="es-ES_tradnl"/>
        </w:rPr>
        <w:t>5.3.5.3</w:t>
      </w:r>
      <w:r w:rsidRPr="008B7A21">
        <w:rPr>
          <w:lang w:val="es-ES_tradnl"/>
        </w:rPr>
        <w:tab/>
        <w:t>Utilización en Estados Unidos de América de consultores en gestión del espectro</w:t>
      </w:r>
    </w:p>
    <w:p w14:paraId="69164000" w14:textId="77777777" w:rsidR="00F73D5B" w:rsidRPr="008B7A21" w:rsidRDefault="00F73D5B" w:rsidP="00F73D5B">
      <w:pPr>
        <w:rPr>
          <w:lang w:val="es-ES_tradnl"/>
        </w:rPr>
      </w:pPr>
      <w:r w:rsidRPr="008B7A21">
        <w:rPr>
          <w:lang w:val="es-ES_tradnl"/>
        </w:rPr>
        <w:t>Si bien en la actualidad la NTIA y la FCC recurren de forma limitada a consultores en gestión del espectro, organismos federales con grandes intereses en materia de comunicaciones, pero con plantillas limitadas, hacen gran uso de los servicios de consultores técnicos y de contratistas auxiliares. Estos grupos desempeñan un activo papel en una gran variedad de comités consultivos y ad hoc, en los que se analizan problemas técnicos y se prepara documentación. En muchos casos, estos órganos representan los intereses de los organismos gubernamentales en delegaciones ante instituciones internacionales.</w:t>
      </w:r>
    </w:p>
    <w:p w14:paraId="15A22FF2" w14:textId="77777777" w:rsidR="00F73D5B" w:rsidRPr="008B7A21" w:rsidRDefault="00F73D5B" w:rsidP="00F73D5B">
      <w:pPr>
        <w:pStyle w:val="Heading3"/>
        <w:rPr>
          <w:lang w:val="es-ES_tradnl"/>
        </w:rPr>
      </w:pPr>
      <w:bookmarkStart w:id="2150" w:name="_Toc306276905"/>
      <w:bookmarkStart w:id="2151" w:name="_Toc307921578"/>
      <w:bookmarkStart w:id="2152" w:name="_Toc307922145"/>
      <w:bookmarkStart w:id="2153" w:name="_Toc307922701"/>
      <w:bookmarkStart w:id="2154" w:name="_Toc307992050"/>
      <w:bookmarkStart w:id="2155" w:name="_Toc307994085"/>
      <w:bookmarkStart w:id="2156" w:name="_Toc307995292"/>
      <w:bookmarkStart w:id="2157" w:name="_Toc307996491"/>
      <w:bookmarkStart w:id="2158" w:name="_Toc308010411"/>
      <w:bookmarkStart w:id="2159" w:name="_Toc499563145"/>
      <w:bookmarkStart w:id="2160" w:name="_Toc215835460"/>
      <w:r w:rsidRPr="008B7A21">
        <w:rPr>
          <w:lang w:val="es-ES_tradnl"/>
        </w:rPr>
        <w:t>5.3.6</w:t>
      </w:r>
      <w:r w:rsidRPr="008B7A21">
        <w:rPr>
          <w:lang w:val="es-ES_tradnl"/>
        </w:rPr>
        <w:tab/>
        <w:t>Experiencia de China con recursos alternativos</w:t>
      </w:r>
      <w:bookmarkEnd w:id="2150"/>
      <w:bookmarkEnd w:id="2151"/>
      <w:bookmarkEnd w:id="2152"/>
      <w:bookmarkEnd w:id="2153"/>
      <w:bookmarkEnd w:id="2154"/>
      <w:bookmarkEnd w:id="2155"/>
      <w:bookmarkEnd w:id="2156"/>
      <w:bookmarkEnd w:id="2157"/>
      <w:bookmarkEnd w:id="2158"/>
      <w:bookmarkEnd w:id="2159"/>
      <w:bookmarkEnd w:id="2160"/>
    </w:p>
    <w:p w14:paraId="0A1618A1" w14:textId="77777777" w:rsidR="00F73D5B" w:rsidRPr="008B7A21" w:rsidRDefault="00F73D5B" w:rsidP="00F73D5B">
      <w:pPr>
        <w:rPr>
          <w:lang w:val="es-ES_tradnl"/>
        </w:rPr>
      </w:pPr>
      <w:r w:rsidRPr="008B7A21">
        <w:rPr>
          <w:lang w:val="es-ES_tradnl"/>
        </w:rPr>
        <w:t>En China, la Comisión Asesora de Expertos para la planificación de las frecuencias radioeléctricas asesora a la Administración china sobre diferentes asuntos relacionados con las políticas, las normas y el desarrollo técnico de la gestión del espectro. La Comisión Asesora, que se creó en el año 2000, está formada principalmente por expertos reconocidos y experimentados en el ámbito de las comunicaciones móviles y de las comunicaciones por satélite.</w:t>
      </w:r>
    </w:p>
    <w:p w14:paraId="0CBB976E" w14:textId="77777777" w:rsidR="00F73D5B" w:rsidRPr="008B7A21" w:rsidRDefault="00F73D5B" w:rsidP="00F73D5B">
      <w:pPr>
        <w:rPr>
          <w:lang w:val="es-ES_tradnl"/>
        </w:rPr>
      </w:pPr>
      <w:r w:rsidRPr="008B7A21">
        <w:rPr>
          <w:lang w:val="es-ES_tradnl"/>
        </w:rPr>
        <w:t>La principal ayuda proporcionada por el Comisión Asesora de Expertos para la planificación de las frecuencias radioeléctricas es:</w:t>
      </w:r>
    </w:p>
    <w:p w14:paraId="13AD209E" w14:textId="77777777" w:rsidR="00F73D5B" w:rsidRPr="008B7A21" w:rsidRDefault="00F73D5B" w:rsidP="00F73D5B">
      <w:pPr>
        <w:pStyle w:val="enumlev1"/>
        <w:rPr>
          <w:u w:val="single"/>
          <w:lang w:val="es-ES_tradnl"/>
        </w:rPr>
      </w:pPr>
      <w:r w:rsidRPr="008B7A21">
        <w:rPr>
          <w:lang w:val="es-ES_tradnl"/>
        </w:rPr>
        <w:t>–</w:t>
      </w:r>
      <w:r w:rsidRPr="008B7A21">
        <w:rPr>
          <w:lang w:val="es-ES_tradnl"/>
        </w:rPr>
        <w:tab/>
        <w:t>Seguimiento de las propuestas de revisión del Reglamento de Radiocomunicaciones de la UIT, resultados de los estudios de compartición de frecuencias, tendencias y avances en la planificación del espectro radioeléctrico en otros países, asesoramiento sobre la asignación, atribución y adjudicación de frecuencias radioeléctricas en China.</w:t>
      </w:r>
    </w:p>
    <w:p w14:paraId="73C91613" w14:textId="77777777" w:rsidR="00F73D5B" w:rsidRPr="008B7A21" w:rsidRDefault="00F73D5B" w:rsidP="00F73D5B">
      <w:pPr>
        <w:pStyle w:val="enumlev1"/>
        <w:rPr>
          <w:u w:val="single"/>
          <w:lang w:val="es-ES_tradnl"/>
        </w:rPr>
      </w:pPr>
      <w:r w:rsidRPr="008B7A21">
        <w:rPr>
          <w:lang w:val="es-ES_tradnl"/>
        </w:rPr>
        <w:t>–</w:t>
      </w:r>
      <w:r w:rsidRPr="008B7A21">
        <w:rPr>
          <w:lang w:val="es-ES_tradnl"/>
        </w:rPr>
        <w:tab/>
        <w:t>Estudios sobre las tendencias y desarrollos internacionales de nuevas aplicaciones y tecnologías radioeléctricas para llevar a cabo la planificación estratégica del espectro para nuevas aplicaciones y tecnologías en China.</w:t>
      </w:r>
    </w:p>
    <w:p w14:paraId="0460DE74" w14:textId="77777777" w:rsidR="00F73D5B" w:rsidRPr="008B7A21" w:rsidRDefault="00F73D5B" w:rsidP="00F73D5B">
      <w:pPr>
        <w:pStyle w:val="enumlev1"/>
        <w:rPr>
          <w:u w:val="single"/>
          <w:lang w:val="es-ES_tradnl"/>
        </w:rPr>
      </w:pPr>
      <w:r w:rsidRPr="008B7A21">
        <w:rPr>
          <w:lang w:val="es-ES_tradnl"/>
        </w:rPr>
        <w:t>–</w:t>
      </w:r>
      <w:r w:rsidRPr="008B7A21">
        <w:rPr>
          <w:lang w:val="es-ES_tradnl"/>
        </w:rPr>
        <w:tab/>
        <w:t>Asesoramiento sobre la utilización y explotación del espectro y de las órbitas de satélites;</w:t>
      </w:r>
    </w:p>
    <w:p w14:paraId="1342ABE2" w14:textId="77777777" w:rsidR="00F73D5B" w:rsidRPr="008B7A21" w:rsidRDefault="00F73D5B" w:rsidP="00F73D5B">
      <w:pPr>
        <w:pStyle w:val="enumlev1"/>
        <w:rPr>
          <w:u w:val="single"/>
          <w:lang w:val="es-ES_tradnl"/>
        </w:rPr>
      </w:pPr>
      <w:r w:rsidRPr="008B7A21">
        <w:rPr>
          <w:lang w:val="es-ES_tradnl"/>
        </w:rPr>
        <w:t>–</w:t>
      </w:r>
      <w:r w:rsidRPr="008B7A21">
        <w:rPr>
          <w:lang w:val="es-ES_tradnl"/>
        </w:rPr>
        <w:tab/>
        <w:t>Deliberación sobre los proyectos de reglamentos nacionales sobre atribuciones de frecuencias radioeléctricas.</w:t>
      </w:r>
    </w:p>
    <w:p w14:paraId="7FC8C93A" w14:textId="77777777" w:rsidR="00F73D5B" w:rsidRPr="008B7A21" w:rsidRDefault="00F73D5B" w:rsidP="00F73D5B">
      <w:pPr>
        <w:pStyle w:val="enumlev1"/>
        <w:rPr>
          <w:u w:val="single"/>
          <w:lang w:val="es-ES_tradnl"/>
        </w:rPr>
      </w:pPr>
      <w:r w:rsidRPr="008B7A21">
        <w:rPr>
          <w:lang w:val="es-ES_tradnl"/>
        </w:rPr>
        <w:t>–</w:t>
      </w:r>
      <w:r w:rsidRPr="008B7A21">
        <w:rPr>
          <w:lang w:val="es-ES_tradnl"/>
        </w:rPr>
        <w:tab/>
        <w:t>Deliberación sobre los proyectos de investigación científica relativos a la planificación de frecuencias radioeléctricas, así como los métodos y criterios de compartición de frecuencias.</w:t>
      </w:r>
    </w:p>
    <w:p w14:paraId="54DCA4E3" w14:textId="77777777" w:rsidR="00F73D5B" w:rsidRPr="008B7A21" w:rsidRDefault="00F73D5B" w:rsidP="00F73D5B">
      <w:pPr>
        <w:rPr>
          <w:lang w:val="es-ES_tradnl"/>
        </w:rPr>
      </w:pPr>
      <w:r w:rsidRPr="008B7A21">
        <w:rPr>
          <w:lang w:val="es-ES_tradnl"/>
        </w:rPr>
        <w:t>En China, cada cinco años se invita a diferentes expertos a que se incorporen a la Comisión, con una carta formal de empleo. A los cinco años, puede haber algún ajuste en la lista de miembros. Normalmente, la Comisión Asesora de Expertos para la planificación de las frecuencias radioeléctricas, que dispone de una secretaría para tratar los asuntos diarios, está constituida por expertos de institutos de investigación, universidades, empresas chinas y comisiones tecnológicas que pertenecen a diversos ministerios y a otros organismos gubernamentales. Los miembros de la Comisión, que trabajan por correspondencia o correo electrónico en horario habitual, proporcionan realmente una experiencia técnica con fundamento, independiente, objetiva e imparcial en diferentes ámbitos. Cuando se estima necesario, se convoca una reunión con asuntos particulares para su debate.</w:t>
      </w:r>
    </w:p>
    <w:p w14:paraId="2FAE8B2E" w14:textId="77777777" w:rsidR="00F73D5B" w:rsidRPr="008B7A21" w:rsidRDefault="00F73D5B" w:rsidP="00F73D5B">
      <w:pPr>
        <w:rPr>
          <w:lang w:val="es-ES_tradnl"/>
        </w:rPr>
      </w:pPr>
      <w:r w:rsidRPr="008B7A21">
        <w:rPr>
          <w:lang w:val="es-ES_tradnl"/>
        </w:rPr>
        <w:t>Desde el año 2000 hasta ahora, la Comisión Asesora de Expertos para la planificación de las frecuencias radioeléctricas ha tratado muchos asuntos relativos a la planificación nacional de frecuencias, ha proporcionado algunos consejos importantes y significativos para la gestión nacional del espectro y juega un papel importante al estudiar a fondo la planificación nacional de frecuencias y de órbitas satelitales y su gestión, promoviendo la aplicación de nuevas tecnologías de radiocomunicaciones y siguiendo las tendencias y la evolución nacionales en materia de gestión del espectro. El asesoramiento de la Comisión de Expertos resulta importante y la administración lo tiene en consideración cuando establece políticas, en particular en la revisión de la reglamentación nacional sobre atribución de frecuencias radioeléctricas, en la elaboración de planificación de frecuencias para los sistemas de comunicaciones móviles 3G, en el estudio de los puntos del orden del día de la CMR, etc.</w:t>
      </w:r>
    </w:p>
    <w:p w14:paraId="561E4112" w14:textId="77777777" w:rsidR="00F73D5B" w:rsidRPr="008B7A21" w:rsidRDefault="00F73D5B" w:rsidP="00F73D5B">
      <w:pPr>
        <w:pStyle w:val="Heading2"/>
        <w:rPr>
          <w:lang w:val="es-ES_tradnl"/>
        </w:rPr>
      </w:pPr>
      <w:bookmarkStart w:id="2161" w:name="_Toc396187427"/>
      <w:bookmarkStart w:id="2162" w:name="_Toc306276906"/>
      <w:bookmarkStart w:id="2163" w:name="_Toc307921579"/>
      <w:bookmarkStart w:id="2164" w:name="_Toc307922146"/>
      <w:bookmarkStart w:id="2165" w:name="_Toc307922702"/>
      <w:bookmarkStart w:id="2166" w:name="_Toc307992051"/>
      <w:bookmarkStart w:id="2167" w:name="_Toc307994086"/>
      <w:bookmarkStart w:id="2168" w:name="_Toc307995293"/>
      <w:bookmarkStart w:id="2169" w:name="_Toc307996492"/>
      <w:bookmarkStart w:id="2170" w:name="_Toc308010412"/>
      <w:bookmarkStart w:id="2171" w:name="_Toc499563146"/>
      <w:bookmarkStart w:id="2172" w:name="_Toc215835461"/>
      <w:r w:rsidRPr="008B7A21">
        <w:rPr>
          <w:lang w:val="es-ES_tradnl"/>
        </w:rPr>
        <w:t>5.4</w:t>
      </w:r>
      <w:r w:rsidRPr="008B7A21">
        <w:rPr>
          <w:lang w:val="es-ES_tradnl"/>
        </w:rPr>
        <w:tab/>
        <w:t>Otras experiencias</w:t>
      </w:r>
      <w:bookmarkEnd w:id="2161"/>
      <w:bookmarkEnd w:id="2162"/>
      <w:bookmarkEnd w:id="2163"/>
      <w:bookmarkEnd w:id="2164"/>
      <w:bookmarkEnd w:id="2165"/>
      <w:bookmarkEnd w:id="2166"/>
      <w:bookmarkEnd w:id="2167"/>
      <w:bookmarkEnd w:id="2168"/>
      <w:bookmarkEnd w:id="2169"/>
      <w:bookmarkEnd w:id="2170"/>
      <w:bookmarkEnd w:id="2171"/>
      <w:bookmarkEnd w:id="2172"/>
    </w:p>
    <w:p w14:paraId="61B335D0" w14:textId="77777777" w:rsidR="00F73D5B" w:rsidRPr="008B7A21" w:rsidRDefault="00F73D5B" w:rsidP="00F73D5B">
      <w:pPr>
        <w:pStyle w:val="Heading3"/>
        <w:rPr>
          <w:lang w:val="es-ES_tradnl"/>
        </w:rPr>
      </w:pPr>
      <w:bookmarkStart w:id="2173" w:name="_Toc306276907"/>
      <w:bookmarkStart w:id="2174" w:name="_Toc307921580"/>
      <w:bookmarkStart w:id="2175" w:name="_Toc307922147"/>
      <w:bookmarkStart w:id="2176" w:name="_Toc307922703"/>
      <w:bookmarkStart w:id="2177" w:name="_Toc307992052"/>
      <w:bookmarkStart w:id="2178" w:name="_Toc307994087"/>
      <w:bookmarkStart w:id="2179" w:name="_Toc307995294"/>
      <w:bookmarkStart w:id="2180" w:name="_Toc307996493"/>
      <w:bookmarkStart w:id="2181" w:name="_Toc308010413"/>
      <w:bookmarkStart w:id="2182" w:name="_Toc499563147"/>
      <w:bookmarkStart w:id="2183" w:name="_Toc215835462"/>
      <w:r w:rsidRPr="008B7A21">
        <w:rPr>
          <w:lang w:val="es-ES_tradnl"/>
        </w:rPr>
        <w:t>5.4.1</w:t>
      </w:r>
      <w:r w:rsidRPr="008B7A21">
        <w:rPr>
          <w:lang w:val="es-ES_tradnl"/>
        </w:rPr>
        <w:tab/>
        <w:t>Servicio de aficionados</w:t>
      </w:r>
      <w:bookmarkEnd w:id="2173"/>
      <w:bookmarkEnd w:id="2174"/>
      <w:bookmarkEnd w:id="2175"/>
      <w:bookmarkEnd w:id="2176"/>
      <w:bookmarkEnd w:id="2177"/>
      <w:bookmarkEnd w:id="2178"/>
      <w:bookmarkEnd w:id="2179"/>
      <w:bookmarkEnd w:id="2180"/>
      <w:bookmarkEnd w:id="2181"/>
      <w:bookmarkEnd w:id="2182"/>
      <w:bookmarkEnd w:id="2183"/>
    </w:p>
    <w:p w14:paraId="33246A71" w14:textId="77777777" w:rsidR="00F73D5B" w:rsidRPr="008B7A21" w:rsidRDefault="00F73D5B" w:rsidP="00F73D5B">
      <w:pPr>
        <w:rPr>
          <w:lang w:val="es-ES_tradnl"/>
        </w:rPr>
      </w:pPr>
      <w:r w:rsidRPr="008B7A21">
        <w:rPr>
          <w:lang w:val="es-ES_tradnl"/>
        </w:rPr>
        <w:t>En general, las estaciones de aficionados son libres de seleccionar frecuencias en función de la ocupación de la banda y de las condiciones de propagación, ya que los servicios gubernamentales de gestión del espectro no les asignan frecuencias específicas. Los planes de frecuencias de alcance nacional, regional y local se establecen mediante acuerdo oficioso para conciliar aplicaciones compatibles dentro de un servicio, principalmente por clase de emisión, por ejemplo, telegrafía, datos y señales vocales.</w:t>
      </w:r>
    </w:p>
    <w:p w14:paraId="171450E3" w14:textId="77777777" w:rsidR="00F73D5B" w:rsidRPr="008B7A21" w:rsidRDefault="00F73D5B" w:rsidP="00F73D5B">
      <w:pPr>
        <w:keepNext/>
        <w:keepLines/>
        <w:rPr>
          <w:lang w:val="es-ES_tradnl"/>
        </w:rPr>
      </w:pPr>
      <w:r w:rsidRPr="008B7A21">
        <w:rPr>
          <w:lang w:val="es-ES_tradnl"/>
        </w:rPr>
        <w:t>Las principales excepciones en el caso de estaciones que seleccionan frecuencias en tiempo real están constituidas por los repetidores vocales en ondas métricas y decimétricas, las estaciones de radioenlaces para la transmisión en modo paquetes y las radiobalizas de investigación de las condiciones de propagación, que utilizan frecuencias específicas a largo plazo. Algunas administraciones cuentan con disposiciones reglamentarias que favorecen el establecimiento de servicios privados de coordinación de frecuencias, especialmente con el fin de mantener bases de datos sobre los usuarios y, mediante recomendación en lugar de asignación, coordinan la selección de las frecuencias de los repetidores vocales para reducir al mínimo la interferencia dentro de sus zonas geográficas.</w:t>
      </w:r>
    </w:p>
    <w:p w14:paraId="016FD428" w14:textId="77777777" w:rsidR="00F73D5B" w:rsidRPr="008B7A21" w:rsidRDefault="00F73D5B" w:rsidP="00F73D5B">
      <w:pPr>
        <w:rPr>
          <w:lang w:val="es-ES_tradnl"/>
        </w:rPr>
      </w:pPr>
      <w:r w:rsidRPr="008B7A21">
        <w:rPr>
          <w:lang w:val="es-ES_tradnl"/>
        </w:rPr>
        <w:t>Las frecuencias del servicio de aficionados por satélite tienen carácter internacional y son coordinadas por las organizaciones encargadas de dicho servicio, conocidas con el nombre de Radio Amateur Satellite Corporation (USA) (AMSAT).</w:t>
      </w:r>
    </w:p>
    <w:p w14:paraId="3A2AC525" w14:textId="77777777" w:rsidR="00F73D5B" w:rsidRPr="008B7A21" w:rsidRDefault="00F73D5B" w:rsidP="00F73D5B">
      <w:pPr>
        <w:rPr>
          <w:lang w:val="es-ES_tradnl"/>
        </w:rPr>
      </w:pPr>
      <w:r w:rsidRPr="008B7A21">
        <w:rPr>
          <w:lang w:val="es-ES_tradnl"/>
        </w:rPr>
        <w:t>Las tres organizaciones regionales de la Unión Internacional de Radioaficionados (IARU) establecen también una planificación oficiosa de las bandas. Las organizaciones de la IARU y las AMSAT cooperan en asuntos relacionados con la utilización de frecuencias.</w:t>
      </w:r>
    </w:p>
    <w:p w14:paraId="15D9E247" w14:textId="77777777" w:rsidR="00F73D5B" w:rsidRPr="008B7A21" w:rsidRDefault="00F73D5B" w:rsidP="00F73D5B">
      <w:pPr>
        <w:pStyle w:val="Heading3"/>
        <w:rPr>
          <w:lang w:val="es-ES_tradnl"/>
        </w:rPr>
      </w:pPr>
      <w:bookmarkStart w:id="2184" w:name="_Toc306276908"/>
      <w:bookmarkStart w:id="2185" w:name="_Toc307921581"/>
      <w:bookmarkStart w:id="2186" w:name="_Toc307922148"/>
      <w:bookmarkStart w:id="2187" w:name="_Toc307922704"/>
      <w:bookmarkStart w:id="2188" w:name="_Toc307992053"/>
      <w:bookmarkStart w:id="2189" w:name="_Toc307994088"/>
      <w:bookmarkStart w:id="2190" w:name="_Toc307995295"/>
      <w:bookmarkStart w:id="2191" w:name="_Toc307996494"/>
      <w:bookmarkStart w:id="2192" w:name="_Toc308010414"/>
      <w:bookmarkStart w:id="2193" w:name="_Toc499563148"/>
      <w:bookmarkStart w:id="2194" w:name="_Toc215835463"/>
      <w:r w:rsidRPr="008B7A21">
        <w:rPr>
          <w:lang w:val="es-ES_tradnl"/>
        </w:rPr>
        <w:t>5.4.2</w:t>
      </w:r>
      <w:r w:rsidRPr="008B7A21">
        <w:rPr>
          <w:lang w:val="es-ES_tradnl"/>
        </w:rPr>
        <w:tab/>
        <w:t>Sistemas de zona y de alta densidad</w:t>
      </w:r>
      <w:bookmarkEnd w:id="2184"/>
      <w:bookmarkEnd w:id="2185"/>
      <w:bookmarkEnd w:id="2186"/>
      <w:bookmarkEnd w:id="2187"/>
      <w:bookmarkEnd w:id="2188"/>
      <w:bookmarkEnd w:id="2189"/>
      <w:bookmarkEnd w:id="2190"/>
      <w:bookmarkEnd w:id="2191"/>
      <w:bookmarkEnd w:id="2192"/>
      <w:bookmarkEnd w:id="2193"/>
      <w:bookmarkEnd w:id="2194"/>
    </w:p>
    <w:p w14:paraId="62CA87D2" w14:textId="77777777" w:rsidR="00F73D5B" w:rsidRPr="008B7A21" w:rsidRDefault="00F73D5B" w:rsidP="00F73D5B">
      <w:pPr>
        <w:rPr>
          <w:lang w:val="es-ES_tradnl"/>
        </w:rPr>
      </w:pPr>
      <w:r w:rsidRPr="008B7A21">
        <w:rPr>
          <w:lang w:val="es-ES_tradnl"/>
        </w:rPr>
        <w:t>Muchas administraciones han experimentado con la autorización de sistemas de zona a una gama de frecuencias. Se ha hecho fundamentalmente para sistemas celulares, de comunicaciones personales y de alta densidad.</w:t>
      </w:r>
    </w:p>
    <w:p w14:paraId="0EC96ED1" w14:textId="77777777" w:rsidR="00F73D5B" w:rsidRPr="008B7A21" w:rsidRDefault="00F73D5B" w:rsidP="00F73D5B">
      <w:pPr>
        <w:pStyle w:val="Heading3"/>
        <w:rPr>
          <w:lang w:val="es-ES_tradnl"/>
        </w:rPr>
      </w:pPr>
      <w:bookmarkStart w:id="2195" w:name="_Toc306276909"/>
      <w:bookmarkStart w:id="2196" w:name="_Toc307921582"/>
      <w:bookmarkStart w:id="2197" w:name="_Toc307922149"/>
      <w:bookmarkStart w:id="2198" w:name="_Toc307922705"/>
      <w:bookmarkStart w:id="2199" w:name="_Toc307992054"/>
      <w:bookmarkStart w:id="2200" w:name="_Toc307994089"/>
      <w:bookmarkStart w:id="2201" w:name="_Toc307995296"/>
      <w:bookmarkStart w:id="2202" w:name="_Toc307996495"/>
      <w:bookmarkStart w:id="2203" w:name="_Toc308010415"/>
      <w:bookmarkStart w:id="2204" w:name="_Toc499563149"/>
      <w:bookmarkStart w:id="2205" w:name="_Toc215835464"/>
      <w:r w:rsidRPr="008B7A21">
        <w:rPr>
          <w:lang w:val="es-ES_tradnl"/>
        </w:rPr>
        <w:t>5.4.3</w:t>
      </w:r>
      <w:r w:rsidRPr="008B7A21">
        <w:rPr>
          <w:lang w:val="es-ES_tradnl"/>
        </w:rPr>
        <w:tab/>
        <w:t>Servicios espaciales, uso orbital y cánones del espectro</w:t>
      </w:r>
      <w:bookmarkEnd w:id="2195"/>
      <w:bookmarkEnd w:id="2196"/>
      <w:bookmarkEnd w:id="2197"/>
      <w:bookmarkEnd w:id="2198"/>
      <w:bookmarkEnd w:id="2199"/>
      <w:bookmarkEnd w:id="2200"/>
      <w:bookmarkEnd w:id="2201"/>
      <w:bookmarkEnd w:id="2202"/>
      <w:bookmarkEnd w:id="2203"/>
      <w:bookmarkEnd w:id="2204"/>
      <w:bookmarkEnd w:id="2205"/>
    </w:p>
    <w:p w14:paraId="60ACEE23" w14:textId="77777777" w:rsidR="00F73D5B" w:rsidRPr="008B7A21" w:rsidRDefault="00F73D5B" w:rsidP="00F73D5B">
      <w:pPr>
        <w:rPr>
          <w:lang w:val="es-ES_tradnl"/>
        </w:rPr>
      </w:pPr>
      <w:r w:rsidRPr="008B7A21">
        <w:rPr>
          <w:lang w:val="es-ES_tradnl"/>
        </w:rPr>
        <w:t>El acceso permanente al espectro para aplicaciones espaciales requiere un enfoque equilibrado en las políticas impositivas de las administraciones que no afecte a la viabilidad a largo plazo de los servicios espaciales y del sector en su conjunto. Los efectos de los cánones, subastas y otros planes que generan ingresos, tomados en su conjunto para todos los países donde existan recursos espaciales, pueden hacer imposible desde el punto de vista económico la ejecución de esas infraestructuras críticas. Por ejemplo, la falta de planteamientos nacionales armonizados sobre las estructuras de los cánones de un sistema SMS integrado y planificado y de sus sistemas terrenos complementarios para lograr un uso más eficiente del espectro podría impedir al desarrollo de este tipo de sistemas integrados. Serían preferibles opciones económicas que mejoren el uso eficiente de la órbita y de los recursos espectrales. Estas opciones podrían limitar las solicitudes de coordinación a las más importantes y a las que estén mejor adaptadas, y podrían aumentar los recursos de la Oficina de Radiocomunicaciones. Por otra parte, podrían considerarse como una ampliación de la competencia reglamentaria de la UIT y, por tanto, una reducción de la soberanía nacional, sin mencionar la dificultad de acordar los importes de los cánones y el posible perjuicio a las entidades de países en desarrollo. Los cánones pueden no ser disuasivos para los participantes más importantes y podrían reducir la competencia.</w:t>
      </w:r>
    </w:p>
    <w:p w14:paraId="6538A6FB" w14:textId="77777777" w:rsidR="00F73D5B" w:rsidRPr="008B7A21" w:rsidRDefault="00F73D5B" w:rsidP="00F73D5B">
      <w:pPr>
        <w:rPr>
          <w:lang w:val="es-ES_tradnl"/>
        </w:rPr>
      </w:pPr>
      <w:r w:rsidRPr="008B7A21">
        <w:rPr>
          <w:lang w:val="es-ES_tradnl"/>
        </w:rPr>
        <w:t>Este asunto no es competencia de la UIT, puesto que las estructuras de los cánones dependen de las administraciones nacionales. Sin embargo, la cuestión podría servir para liderar y atraer la atención sobre un tema importante que está afectando a la comunidad espacial y que puede ser uno de los posibles instrumentos que garanticen el uso eficiente del espectro para los servicios espaciales.</w:t>
      </w:r>
    </w:p>
    <w:p w14:paraId="496AC519" w14:textId="77777777" w:rsidR="00F73D5B" w:rsidRDefault="00F73D5B" w:rsidP="00F73D5B">
      <w:pPr>
        <w:rPr>
          <w:lang w:val="es-ES_tradnl"/>
        </w:rPr>
      </w:pPr>
      <w:r w:rsidRPr="008B7A21">
        <w:rPr>
          <w:lang w:val="es-ES_tradnl"/>
        </w:rPr>
        <w:t>Un enfoque coordinado en materia de modelos para cánones de sistemas espaciales podría dar lugar a un uso más eficiente del espectro en todo el mundo y facilitar las valoraciones de los costes a los operadores de satélites. A este respecto, la UIT puede facilitar una plataforma de debate excelente sobre modelos para estos cánones, puede estudiar y sugerir métodos de cálculo y criterios y podría hacer comparaciones técnicas, contrastando los modelos de espectro aplicados por las administraciones para servicios espaciales comparables.</w:t>
      </w:r>
    </w:p>
    <w:p w14:paraId="57093E21" w14:textId="77777777" w:rsidR="00765998" w:rsidRDefault="00765998" w:rsidP="00F73D5B">
      <w:pPr>
        <w:rPr>
          <w:lang w:val="es-ES_tradnl"/>
        </w:rPr>
      </w:pPr>
    </w:p>
    <w:p w14:paraId="5476350D" w14:textId="77777777" w:rsidR="00765998" w:rsidRPr="008B7A21" w:rsidRDefault="00765998" w:rsidP="00F73D5B">
      <w:pPr>
        <w:rPr>
          <w:lang w:val="es-ES_tradnl"/>
        </w:rPr>
      </w:pPr>
    </w:p>
    <w:p w14:paraId="59DF1679" w14:textId="77777777" w:rsidR="00F73D5B" w:rsidRPr="008B7A21" w:rsidRDefault="00F73D5B" w:rsidP="00F73D5B">
      <w:pPr>
        <w:pStyle w:val="Reftitle"/>
        <w:rPr>
          <w:lang w:val="es-ES_tradnl"/>
        </w:rPr>
      </w:pPr>
      <w:bookmarkStart w:id="2206" w:name="_Toc307922706"/>
      <w:bookmarkStart w:id="2207" w:name="_Toc307992055"/>
      <w:bookmarkStart w:id="2208" w:name="_Toc307994090"/>
      <w:bookmarkStart w:id="2209" w:name="_Toc307995297"/>
      <w:bookmarkStart w:id="2210" w:name="_Toc307996496"/>
      <w:bookmarkStart w:id="2211" w:name="_Toc308010416"/>
      <w:bookmarkStart w:id="2212" w:name="_Toc499563150"/>
      <w:r w:rsidRPr="008B7A21">
        <w:rPr>
          <w:lang w:val="es-ES_tradnl"/>
        </w:rPr>
        <w:t>Referencias</w:t>
      </w:r>
      <w:bookmarkEnd w:id="2206"/>
      <w:bookmarkEnd w:id="2207"/>
      <w:bookmarkEnd w:id="2208"/>
      <w:bookmarkEnd w:id="2209"/>
      <w:bookmarkEnd w:id="2210"/>
      <w:bookmarkEnd w:id="2211"/>
      <w:bookmarkEnd w:id="2212"/>
    </w:p>
    <w:p w14:paraId="5E6E14EB" w14:textId="77777777" w:rsidR="00F73D5B" w:rsidRPr="008B7A21" w:rsidRDefault="00F73D5B" w:rsidP="00F73D5B">
      <w:pPr>
        <w:pStyle w:val="Blanc"/>
        <w:rPr>
          <w:lang w:val="es-ES_tradnl"/>
        </w:rPr>
      </w:pPr>
    </w:p>
    <w:p w14:paraId="402569F7" w14:textId="77777777" w:rsidR="00F73D5B" w:rsidRPr="008B7A21" w:rsidRDefault="00F73D5B" w:rsidP="00F73D5B">
      <w:pPr>
        <w:pStyle w:val="Reftext"/>
        <w:rPr>
          <w:lang w:val="es-ES_tradnl"/>
        </w:rPr>
      </w:pPr>
      <w:r w:rsidRPr="008B7A21">
        <w:rPr>
          <w:lang w:val="es-ES_tradnl"/>
        </w:rPr>
        <w:t>[1]</w:t>
      </w:r>
      <w:r w:rsidRPr="008B7A21">
        <w:rPr>
          <w:lang w:val="es-ES_tradnl"/>
        </w:rPr>
        <w:tab/>
        <w:t>YOUSSEF M., KALMAN E., BENZONI, L. [June, 1995], Technico-Economic Methods For Radio Spectrum Assignment. IEEE Communications Magazine.</w:t>
      </w:r>
    </w:p>
    <w:p w14:paraId="765F0676" w14:textId="77777777" w:rsidR="00F73D5B" w:rsidRPr="008B7A21" w:rsidRDefault="00F73D5B" w:rsidP="00F73D5B">
      <w:pPr>
        <w:pStyle w:val="Reftext"/>
        <w:rPr>
          <w:lang w:val="es-ES_tradnl"/>
        </w:rPr>
      </w:pPr>
      <w:r w:rsidRPr="008B7A21">
        <w:rPr>
          <w:lang w:val="es-ES_tradnl"/>
        </w:rPr>
        <w:t>[2]</w:t>
      </w:r>
      <w:r w:rsidRPr="008B7A21">
        <w:rPr>
          <w:lang w:val="es-ES_tradnl"/>
        </w:rPr>
        <w:tab/>
        <w:t>NERA and Smith System Engineering (1995), «The Economic impact of the Use of Radio in the UK» for the Radiocommunications Agency (RA) and the Office of Telecommunications (Oftel) and now replaced by the report by Europe Economics for OFCOM for the year ending 31 March 2006.</w:t>
      </w:r>
    </w:p>
    <w:p w14:paraId="3687E5FD" w14:textId="77777777" w:rsidR="00F73D5B" w:rsidRPr="008B7A21" w:rsidRDefault="00F73D5B" w:rsidP="00F73D5B">
      <w:pPr>
        <w:pStyle w:val="Reftext"/>
        <w:rPr>
          <w:lang w:val="es-ES_tradnl"/>
        </w:rPr>
      </w:pPr>
      <w:r w:rsidRPr="008B7A21">
        <w:rPr>
          <w:lang w:val="es-ES_tradnl"/>
        </w:rPr>
        <w:t>[3]</w:t>
      </w:r>
      <w:r w:rsidRPr="008B7A21">
        <w:rPr>
          <w:lang w:val="es-ES_tradnl"/>
        </w:rPr>
        <w:tab/>
        <w:t>NOZDRIN, V. [2003], Spectrum pricing. Regional Radiocommunication Seminar, Lusaka 2003.</w:t>
      </w:r>
    </w:p>
    <w:p w14:paraId="168EDDF9" w14:textId="77777777" w:rsidR="00F73D5B" w:rsidRPr="008B7A21" w:rsidRDefault="00F73D5B" w:rsidP="00F73D5B">
      <w:pPr>
        <w:pStyle w:val="Reftext"/>
        <w:rPr>
          <w:lang w:val="es-ES_tradnl"/>
        </w:rPr>
      </w:pPr>
      <w:r w:rsidRPr="008B7A21">
        <w:rPr>
          <w:lang w:val="es-ES_tradnl"/>
        </w:rPr>
        <w:t>[4]</w:t>
      </w:r>
      <w:r w:rsidRPr="008B7A21">
        <w:rPr>
          <w:lang w:val="es-ES_tradnl"/>
        </w:rPr>
        <w:tab/>
        <w:t>ERC Report 76 (1999) «The role of spectrum pricing as a means of supporting spectrum management».</w:t>
      </w:r>
    </w:p>
    <w:p w14:paraId="01E662BE" w14:textId="77777777" w:rsidR="00F73D5B" w:rsidRPr="008B7A21" w:rsidRDefault="00F73D5B" w:rsidP="00F73D5B">
      <w:pPr>
        <w:pStyle w:val="Reftext"/>
        <w:rPr>
          <w:lang w:val="es-ES_tradnl"/>
        </w:rPr>
      </w:pPr>
      <w:r w:rsidRPr="008B7A21">
        <w:rPr>
          <w:lang w:val="es-ES_tradnl"/>
        </w:rPr>
        <w:t>[5]</w:t>
      </w:r>
      <w:r w:rsidRPr="008B7A21">
        <w:rPr>
          <w:lang w:val="es-ES_tradnl"/>
        </w:rPr>
        <w:tab/>
        <w:t xml:space="preserve">MCMILLAN [1994], </w:t>
      </w:r>
      <w:r w:rsidRPr="008B7A21">
        <w:rPr>
          <w:bCs/>
          <w:lang w:val="es-ES_tradnl" w:eastAsia="zh-CN"/>
        </w:rPr>
        <w:t xml:space="preserve">Why auction the spectrum? </w:t>
      </w:r>
      <w:r w:rsidRPr="008B7A21">
        <w:rPr>
          <w:lang w:val="es-ES_tradnl"/>
        </w:rPr>
        <w:t>University of California.</w:t>
      </w:r>
    </w:p>
    <w:p w14:paraId="7E66B8DC" w14:textId="77777777" w:rsidR="00F73D5B" w:rsidRPr="008B7A21" w:rsidRDefault="00F73D5B" w:rsidP="00F73D5B">
      <w:pPr>
        <w:pStyle w:val="Reftext"/>
        <w:rPr>
          <w:lang w:val="es-ES_tradnl"/>
        </w:rPr>
      </w:pPr>
      <w:r w:rsidRPr="008B7A21">
        <w:rPr>
          <w:lang w:val="es-ES_tradnl"/>
        </w:rPr>
        <w:t>[6]</w:t>
      </w:r>
      <w:r w:rsidRPr="008B7A21">
        <w:rPr>
          <w:lang w:val="es-ES_tradnl"/>
        </w:rPr>
        <w:tab/>
        <w:t xml:space="preserve">MCMILLAN, J. [Summer 1994], Selling Spectrum Rights. </w:t>
      </w:r>
      <w:r w:rsidRPr="008B7A21">
        <w:rPr>
          <w:i/>
          <w:lang w:val="es-ES_tradnl"/>
        </w:rPr>
        <w:t>J. Economic Perspectives</w:t>
      </w:r>
      <w:r w:rsidRPr="008B7A21">
        <w:rPr>
          <w:lang w:val="es-ES_tradnl"/>
        </w:rPr>
        <w:t>, Vol. 8, 3, p. 145-162.</w:t>
      </w:r>
    </w:p>
    <w:p w14:paraId="45CEC5B6" w14:textId="77777777" w:rsidR="00F73D5B" w:rsidRPr="008B7A21" w:rsidRDefault="00F73D5B" w:rsidP="00F73D5B">
      <w:pPr>
        <w:pStyle w:val="Reftext"/>
        <w:rPr>
          <w:lang w:val="es-ES_tradnl"/>
        </w:rPr>
      </w:pPr>
      <w:r w:rsidRPr="008B7A21">
        <w:rPr>
          <w:lang w:val="es-ES_tradnl"/>
        </w:rPr>
        <w:t>[7]</w:t>
      </w:r>
      <w:r w:rsidRPr="008B7A21">
        <w:rPr>
          <w:lang w:val="es-ES_tradnl"/>
        </w:rPr>
        <w:tab/>
        <w:t xml:space="preserve">BYKHOVSKY, M.A., KUSHTUEV, A.I., NOZDRIN, V.V. and PAVLIOUK, A.P. [1998], Auctions as an effective contemporary method of spectrum management. </w:t>
      </w:r>
      <w:r w:rsidRPr="008B7A21">
        <w:rPr>
          <w:i/>
          <w:iCs/>
          <w:lang w:val="es-ES_tradnl"/>
        </w:rPr>
        <w:t>Elektrosvyaz.</w:t>
      </w:r>
    </w:p>
    <w:p w14:paraId="2883B65A" w14:textId="77777777" w:rsidR="00F73D5B" w:rsidRPr="008B7A21" w:rsidRDefault="00F73D5B" w:rsidP="00F73D5B">
      <w:pPr>
        <w:pStyle w:val="Reftext"/>
        <w:rPr>
          <w:lang w:val="es-ES_tradnl"/>
        </w:rPr>
      </w:pPr>
      <w:r w:rsidRPr="008B7A21">
        <w:rPr>
          <w:lang w:val="es-ES_tradnl"/>
        </w:rPr>
        <w:t>[8]</w:t>
      </w:r>
      <w:r w:rsidRPr="008B7A21">
        <w:rPr>
          <w:lang w:val="es-ES_tradnl"/>
        </w:rPr>
        <w:tab/>
        <w:t xml:space="preserve">BYKHOVSKY, M.A. [1993], Frequency planning of cellular mobile networks. </w:t>
      </w:r>
      <w:r w:rsidRPr="008B7A21">
        <w:rPr>
          <w:i/>
          <w:iCs/>
          <w:lang w:val="es-ES_tradnl"/>
        </w:rPr>
        <w:t>Elektrosvyaz.</w:t>
      </w:r>
    </w:p>
    <w:p w14:paraId="5FF76F5D" w14:textId="77777777" w:rsidR="00F73D5B" w:rsidRPr="008B7A21" w:rsidRDefault="00F73D5B" w:rsidP="00F73D5B">
      <w:pPr>
        <w:pStyle w:val="Reftext"/>
        <w:rPr>
          <w:lang w:val="es-ES_tradnl"/>
        </w:rPr>
      </w:pPr>
      <w:r w:rsidRPr="008B7A21">
        <w:rPr>
          <w:lang w:val="es-ES_tradnl"/>
        </w:rPr>
        <w:t>[9]</w:t>
      </w:r>
      <w:r w:rsidRPr="008B7A21">
        <w:rPr>
          <w:lang w:val="es-ES_tradnl"/>
        </w:rPr>
        <w:tab/>
        <w:t xml:space="preserve">Mazar H. (2016) «Radio Spectrum Management: Policies, Regulations and Techniques» </w:t>
      </w:r>
      <w:r w:rsidRPr="008B7A21">
        <w:rPr>
          <w:rStyle w:val="InternetLink"/>
          <w:lang w:val="es-ES_tradnl"/>
        </w:rPr>
        <w:t>Wiley</w:t>
      </w:r>
      <w:r w:rsidRPr="008B7A21">
        <w:rPr>
          <w:lang w:val="es-ES_tradnl"/>
        </w:rPr>
        <w:t>.</w:t>
      </w:r>
    </w:p>
    <w:p w14:paraId="3278265E" w14:textId="77777777" w:rsidR="00F73D5B" w:rsidRPr="008B7A21" w:rsidRDefault="00F73D5B" w:rsidP="00F73D5B">
      <w:pPr>
        <w:pStyle w:val="Reftext"/>
        <w:rPr>
          <w:lang w:val="es-ES_tradnl"/>
        </w:rPr>
      </w:pPr>
      <w:r w:rsidRPr="008B7A21">
        <w:rPr>
          <w:lang w:val="es-ES_tradnl"/>
        </w:rPr>
        <w:t>[10]</w:t>
      </w:r>
      <w:r w:rsidRPr="008B7A21">
        <w:rPr>
          <w:lang w:val="es-ES_tradnl"/>
        </w:rPr>
        <w:tab/>
      </w:r>
      <w:bookmarkStart w:id="2213" w:name="_Hlk514539658"/>
      <w:r w:rsidRPr="008B7A21">
        <w:rPr>
          <w:szCs w:val="24"/>
          <w:lang w:val="es-ES_tradnl"/>
        </w:rPr>
        <w:t>Informe UIT-D (2016),</w:t>
      </w:r>
      <w:r w:rsidRPr="008B7A21">
        <w:rPr>
          <w:color w:val="006600"/>
          <w:szCs w:val="24"/>
          <w:lang w:val="es-ES_tradnl"/>
        </w:rPr>
        <w:t xml:space="preserve"> </w:t>
      </w:r>
      <w:bookmarkEnd w:id="2213"/>
      <w:r w:rsidRPr="008B7A21">
        <w:rPr>
          <w:lang w:val="es-ES_tradnl"/>
        </w:rPr>
        <w:t>Directrices para la revisión de las metodologías de fijación de precios del espectro y la elaboración de baremos de cánones de espectro.</w:t>
      </w:r>
    </w:p>
    <w:p w14:paraId="4664A6FC" w14:textId="77777777" w:rsidR="00F73D5B" w:rsidRPr="008B7A21" w:rsidRDefault="00F73D5B" w:rsidP="00F73D5B">
      <w:pPr>
        <w:rPr>
          <w:lang w:val="es-ES_tradnl"/>
        </w:rPr>
      </w:pPr>
    </w:p>
    <w:p w14:paraId="6D838515" w14:textId="77777777" w:rsidR="00F73D5B" w:rsidRPr="008B7A21" w:rsidRDefault="00F73D5B" w:rsidP="00765998">
      <w:pPr>
        <w:pStyle w:val="Reftitle"/>
        <w:rPr>
          <w:lang w:val="es-ES_tradnl"/>
        </w:rPr>
      </w:pPr>
      <w:bookmarkStart w:id="2214" w:name="_Toc307922707"/>
      <w:bookmarkStart w:id="2215" w:name="_Toc307992056"/>
      <w:bookmarkStart w:id="2216" w:name="_Toc307994091"/>
      <w:bookmarkStart w:id="2217" w:name="_Toc307995298"/>
      <w:bookmarkStart w:id="2218" w:name="_Toc307996497"/>
      <w:bookmarkStart w:id="2219" w:name="_Toc308010417"/>
      <w:bookmarkStart w:id="2220" w:name="_Toc499563151"/>
      <w:r w:rsidRPr="008B7A21">
        <w:rPr>
          <w:lang w:val="es-ES_tradnl"/>
        </w:rPr>
        <w:t>GLOSARIO</w:t>
      </w:r>
      <w:bookmarkEnd w:id="2214"/>
      <w:bookmarkEnd w:id="2215"/>
      <w:bookmarkEnd w:id="2216"/>
      <w:bookmarkEnd w:id="2217"/>
      <w:bookmarkEnd w:id="2218"/>
      <w:bookmarkEnd w:id="2219"/>
      <w:bookmarkEnd w:id="2220"/>
    </w:p>
    <w:p w14:paraId="69956B4A" w14:textId="77777777" w:rsidR="00F73D5B" w:rsidRPr="008B7A21" w:rsidRDefault="00F73D5B" w:rsidP="00F73D5B">
      <w:pPr>
        <w:pStyle w:val="Normalaftertitle"/>
        <w:rPr>
          <w:lang w:val="es-ES_tradnl"/>
        </w:rPr>
      </w:pPr>
      <w:r w:rsidRPr="008B7A21">
        <w:rPr>
          <w:lang w:val="es-ES_tradnl"/>
        </w:rPr>
        <w:t xml:space="preserve">Los términos que se definen en el presente glosario figuran en </w:t>
      </w:r>
      <w:r w:rsidRPr="008B7A21">
        <w:rPr>
          <w:i/>
          <w:lang w:val="es-ES_tradnl"/>
        </w:rPr>
        <w:t>itálicas</w:t>
      </w:r>
      <w:r w:rsidRPr="008B7A21">
        <w:rPr>
          <w:lang w:val="es-ES_tradnl"/>
        </w:rPr>
        <w:t>.</w:t>
      </w:r>
    </w:p>
    <w:p w14:paraId="2441EF0B" w14:textId="77777777" w:rsidR="00F73D5B" w:rsidRPr="008B7A21" w:rsidRDefault="00F73D5B" w:rsidP="00F73D5B">
      <w:pPr>
        <w:rPr>
          <w:lang w:val="es-ES_tradnl"/>
        </w:rPr>
      </w:pPr>
      <w:r w:rsidRPr="008B7A21">
        <w:rPr>
          <w:lang w:val="es-ES_tradnl"/>
        </w:rPr>
        <w:t>Por motivos de claridad, en este documento se han utilizado las siguientes definiciones propias del presente documento. Las definiciones de los términos «adjudicación» y «asignación» son ligeramente diferentes a las que figuran respectivamente en los Artículos 1.17 y 1.18 del Reglamento de Radiocomunicaciones.</w:t>
      </w:r>
    </w:p>
    <w:p w14:paraId="107C47D3" w14:textId="77777777" w:rsidR="00F73D5B" w:rsidRPr="008B7A21" w:rsidRDefault="00F73D5B" w:rsidP="00F73D5B">
      <w:pPr>
        <w:pStyle w:val="enumlev1"/>
        <w:rPr>
          <w:u w:val="single"/>
          <w:lang w:val="es-ES_tradnl"/>
        </w:rPr>
      </w:pPr>
      <w:r w:rsidRPr="008B7A21">
        <w:rPr>
          <w:lang w:val="es-ES_tradnl"/>
        </w:rPr>
        <w:t>1)</w:t>
      </w:r>
      <w:r w:rsidRPr="008B7A21">
        <w:rPr>
          <w:lang w:val="es-ES_tradnl"/>
        </w:rPr>
        <w:tab/>
        <w:t xml:space="preserve">Se entiende por </w:t>
      </w:r>
      <w:r w:rsidRPr="008B7A21">
        <w:rPr>
          <w:i/>
          <w:lang w:val="es-ES_tradnl"/>
        </w:rPr>
        <w:t>asignación</w:t>
      </w:r>
      <w:r w:rsidRPr="008B7A21">
        <w:rPr>
          <w:lang w:val="es-ES_tradnl"/>
        </w:rPr>
        <w:t xml:space="preserve"> la autorización acordada para la autorización de una frecuencia en un emplazamiento determinado y según condiciones identificadas. Una frecuencia de este tipo se conoce como </w:t>
      </w:r>
      <w:r w:rsidRPr="008B7A21">
        <w:rPr>
          <w:i/>
          <w:lang w:val="es-ES_tradnl"/>
        </w:rPr>
        <w:t>frecuencia asignada</w:t>
      </w:r>
      <w:r w:rsidRPr="008B7A21">
        <w:rPr>
          <w:lang w:val="es-ES_tradnl"/>
        </w:rPr>
        <w:t>.</w:t>
      </w:r>
    </w:p>
    <w:p w14:paraId="0ADC206E" w14:textId="77777777" w:rsidR="00F73D5B" w:rsidRPr="008B7A21" w:rsidRDefault="00F73D5B" w:rsidP="00F73D5B">
      <w:pPr>
        <w:pStyle w:val="enumlev1"/>
        <w:rPr>
          <w:u w:val="single"/>
          <w:lang w:val="es-ES_tradnl"/>
        </w:rPr>
      </w:pPr>
      <w:r w:rsidRPr="008B7A21">
        <w:rPr>
          <w:lang w:val="es-ES_tradnl"/>
        </w:rPr>
        <w:t>2)</w:t>
      </w:r>
      <w:r w:rsidRPr="008B7A21">
        <w:rPr>
          <w:lang w:val="es-ES_tradnl"/>
        </w:rPr>
        <w:tab/>
        <w:t xml:space="preserve">Se entiende por </w:t>
      </w:r>
      <w:r w:rsidRPr="008B7A21">
        <w:rPr>
          <w:i/>
          <w:lang w:val="es-ES_tradnl"/>
        </w:rPr>
        <w:t>superficie de atribución</w:t>
      </w:r>
      <w:r w:rsidRPr="008B7A21">
        <w:rPr>
          <w:lang w:val="es-ES_tradnl"/>
        </w:rPr>
        <w:t xml:space="preserve"> de una asignación, la parte del territorio en la que puede utilizarse la frecuencia asignada. </w:t>
      </w:r>
    </w:p>
    <w:p w14:paraId="39D4C6F8" w14:textId="77777777" w:rsidR="00F73D5B" w:rsidRPr="008B7A21" w:rsidRDefault="00F73D5B" w:rsidP="00F73D5B">
      <w:pPr>
        <w:pStyle w:val="enumlev1"/>
        <w:rPr>
          <w:u w:val="single"/>
          <w:lang w:val="es-ES_tradnl"/>
        </w:rPr>
      </w:pPr>
      <w:r w:rsidRPr="008B7A21">
        <w:rPr>
          <w:lang w:val="es-ES_tradnl"/>
        </w:rPr>
        <w:t>3)</w:t>
      </w:r>
      <w:r w:rsidRPr="008B7A21">
        <w:rPr>
          <w:lang w:val="es-ES_tradnl"/>
        </w:rPr>
        <w:tab/>
        <w:t xml:space="preserve">Se entiende por </w:t>
      </w:r>
      <w:r w:rsidRPr="008B7A21">
        <w:rPr>
          <w:i/>
          <w:lang w:val="es-ES_tradnl"/>
        </w:rPr>
        <w:t>adjudicación</w:t>
      </w:r>
      <w:r w:rsidRPr="008B7A21">
        <w:rPr>
          <w:lang w:val="es-ES_tradnl"/>
        </w:rPr>
        <w:t xml:space="preserve"> la autorización acordada para la utilización de un bloque de frecuencias en una zona geográfica determinada. Ese tipo de frecuencias recibe el nombre de </w:t>
      </w:r>
      <w:r w:rsidRPr="008B7A21">
        <w:rPr>
          <w:i/>
          <w:lang w:val="es-ES_tradnl"/>
        </w:rPr>
        <w:t>frecuencias adjudicadas</w:t>
      </w:r>
      <w:r w:rsidRPr="008B7A21">
        <w:rPr>
          <w:lang w:val="es-ES_tradnl"/>
        </w:rPr>
        <w:t>.</w:t>
      </w:r>
    </w:p>
    <w:p w14:paraId="32E1FBF9" w14:textId="77777777" w:rsidR="00F73D5B" w:rsidRPr="008B7A21" w:rsidRDefault="00F73D5B" w:rsidP="00F73D5B">
      <w:pPr>
        <w:rPr>
          <w:lang w:val="es-ES_tradnl"/>
        </w:rPr>
      </w:pPr>
      <w:r w:rsidRPr="008B7A21">
        <w:rPr>
          <w:b/>
          <w:lang w:val="es-ES_tradnl"/>
        </w:rPr>
        <w:t xml:space="preserve">Fijación administrativa de precios </w:t>
      </w:r>
      <w:r w:rsidRPr="008B7A21">
        <w:rPr>
          <w:lang w:val="es-ES_tradnl"/>
        </w:rPr>
        <w:t>(</w:t>
      </w:r>
      <w:r w:rsidRPr="008B7A21">
        <w:rPr>
          <w:i/>
          <w:iCs/>
          <w:lang w:val="es-ES_tradnl"/>
        </w:rPr>
        <w:t>administrative pricing</w:t>
      </w:r>
      <w:r w:rsidRPr="008B7A21">
        <w:rPr>
          <w:lang w:val="es-ES_tradnl"/>
        </w:rPr>
        <w:t xml:space="preserve">): Procedimiento de </w:t>
      </w:r>
      <w:r w:rsidRPr="008B7A21">
        <w:rPr>
          <w:i/>
          <w:lang w:val="es-ES_tradnl"/>
        </w:rPr>
        <w:t>establecimiento de precios por utilización del espectro</w:t>
      </w:r>
      <w:r w:rsidRPr="008B7A21">
        <w:rPr>
          <w:lang w:val="es-ES_tradnl"/>
        </w:rPr>
        <w:t xml:space="preserve"> en virtud del cual las autoridades encargadas de la gestión del espectro establecen cánones por la </w:t>
      </w:r>
      <w:r w:rsidRPr="008B7A21">
        <w:rPr>
          <w:iCs/>
          <w:lang w:val="es-ES_tradnl"/>
        </w:rPr>
        <w:t>licencia de equipos</w:t>
      </w:r>
      <w:r w:rsidRPr="008B7A21">
        <w:rPr>
          <w:i/>
          <w:lang w:val="es-ES_tradnl"/>
        </w:rPr>
        <w:t xml:space="preserve"> </w:t>
      </w:r>
      <w:r w:rsidRPr="008B7A21">
        <w:rPr>
          <w:lang w:val="es-ES_tradnl"/>
        </w:rPr>
        <w:t>o tasas aplicables</w:t>
      </w:r>
      <w:r w:rsidRPr="008B7A21">
        <w:rPr>
          <w:i/>
          <w:lang w:val="es-ES_tradnl"/>
        </w:rPr>
        <w:t xml:space="preserve"> </w:t>
      </w:r>
      <w:r w:rsidRPr="008B7A21">
        <w:rPr>
          <w:lang w:val="es-ES_tradnl"/>
        </w:rPr>
        <w:t xml:space="preserve">a los </w:t>
      </w:r>
      <w:r w:rsidRPr="008B7A21">
        <w:rPr>
          <w:i/>
          <w:lang w:val="es-ES_tradnl"/>
        </w:rPr>
        <w:t>derechos sobre el espectro</w:t>
      </w:r>
      <w:r w:rsidRPr="008B7A21">
        <w:rPr>
          <w:lang w:val="es-ES_tradnl"/>
        </w:rPr>
        <w:t>. La fijación administrativa de precios puede adoptar distintas formas, como por ejemplo:</w:t>
      </w:r>
    </w:p>
    <w:p w14:paraId="228C5E2B" w14:textId="77777777" w:rsidR="00F73D5B" w:rsidRPr="008B7A21" w:rsidRDefault="00F73D5B" w:rsidP="00F73D5B">
      <w:pPr>
        <w:pStyle w:val="enumlev1"/>
        <w:rPr>
          <w:u w:val="single"/>
          <w:lang w:val="es-ES_tradnl"/>
        </w:rPr>
      </w:pPr>
      <w:r w:rsidRPr="008B7A21">
        <w:rPr>
          <w:lang w:val="es-ES_tradnl"/>
        </w:rPr>
        <w:t>–</w:t>
      </w:r>
      <w:r w:rsidRPr="008B7A21">
        <w:rPr>
          <w:lang w:val="es-ES_tradnl"/>
        </w:rPr>
        <w:tab/>
      </w:r>
      <w:r w:rsidRPr="008B7A21">
        <w:rPr>
          <w:i/>
          <w:lang w:val="es-ES_tradnl"/>
        </w:rPr>
        <w:t>fijación de precios sombra</w:t>
      </w:r>
      <w:r w:rsidRPr="008B7A21">
        <w:rPr>
          <w:lang w:val="es-ES_tradnl"/>
        </w:rPr>
        <w:t xml:space="preserve"> (véase más arriba);</w:t>
      </w:r>
    </w:p>
    <w:p w14:paraId="7E0561DF" w14:textId="77777777" w:rsidR="00F73D5B" w:rsidRPr="008B7A21" w:rsidRDefault="00F73D5B" w:rsidP="00F73D5B">
      <w:pPr>
        <w:pStyle w:val="enumlev1"/>
        <w:rPr>
          <w:lang w:val="es-ES_tradnl"/>
        </w:rPr>
      </w:pPr>
      <w:r w:rsidRPr="008B7A21">
        <w:rPr>
          <w:lang w:val="es-ES_tradnl"/>
        </w:rPr>
        <w:t>–</w:t>
      </w:r>
      <w:r w:rsidRPr="008B7A21">
        <w:rPr>
          <w:lang w:val="es-ES_tradnl"/>
        </w:rPr>
        <w:tab/>
      </w:r>
      <w:r w:rsidRPr="008B7A21">
        <w:rPr>
          <w:i/>
          <w:lang w:val="es-ES_tradnl"/>
        </w:rPr>
        <w:t>fijación de precios incentivadores</w:t>
      </w:r>
      <w:r w:rsidRPr="008B7A21">
        <w:rPr>
          <w:lang w:val="es-ES_tradnl"/>
        </w:rPr>
        <w:t>, que tratan de promover la utilización eficaz del espectro;</w:t>
      </w:r>
    </w:p>
    <w:p w14:paraId="2F88A871" w14:textId="77777777" w:rsidR="00F73D5B" w:rsidRPr="008B7A21" w:rsidRDefault="00F73D5B" w:rsidP="00F73D5B">
      <w:pPr>
        <w:pStyle w:val="enumlev1"/>
        <w:rPr>
          <w:lang w:val="es-ES_tradnl"/>
        </w:rPr>
      </w:pPr>
      <w:r w:rsidRPr="008B7A21">
        <w:rPr>
          <w:lang w:val="es-ES_tradnl"/>
        </w:rPr>
        <w:t>–</w:t>
      </w:r>
      <w:r w:rsidRPr="008B7A21">
        <w:rPr>
          <w:lang w:val="es-ES_tradnl"/>
        </w:rPr>
        <w:tab/>
      </w:r>
      <w:r w:rsidRPr="008B7A21">
        <w:rPr>
          <w:i/>
          <w:lang w:val="es-ES_tradnl"/>
        </w:rPr>
        <w:t>fijación reglamentaria de precios</w:t>
      </w:r>
      <w:r w:rsidRPr="008B7A21">
        <w:rPr>
          <w:lang w:val="es-ES_tradnl"/>
        </w:rPr>
        <w:t>, en que los cánones se establecen sin atender a consideraciones comerciales, por ejemplo, cubrir los costes de gestión del espectro.</w:t>
      </w:r>
    </w:p>
    <w:p w14:paraId="28B2B76A" w14:textId="77777777" w:rsidR="00F73D5B" w:rsidRPr="008B7A21" w:rsidRDefault="00F73D5B" w:rsidP="00F73D5B">
      <w:pPr>
        <w:rPr>
          <w:lang w:val="es-ES_tradnl"/>
        </w:rPr>
      </w:pPr>
      <w:r w:rsidRPr="008B7A21">
        <w:rPr>
          <w:b/>
          <w:lang w:val="es-ES_tradnl"/>
        </w:rPr>
        <w:t>Licencia de equipos</w:t>
      </w:r>
      <w:r w:rsidRPr="008B7A21">
        <w:rPr>
          <w:lang w:val="es-ES_tradnl"/>
        </w:rPr>
        <w:t xml:space="preserve"> (</w:t>
      </w:r>
      <w:r w:rsidRPr="008B7A21">
        <w:rPr>
          <w:i/>
          <w:iCs/>
          <w:lang w:val="es-ES_tradnl"/>
        </w:rPr>
        <w:t>apparatus licence</w:t>
      </w:r>
      <w:r w:rsidRPr="008B7A21">
        <w:rPr>
          <w:lang w:val="es-ES_tradnl"/>
        </w:rPr>
        <w:t>): Permiso para instalar o utilizar equipo radioeléctrico, especificando la frecuencia o banda de frecuencias que habrá que utilizarse, pueden imponerse también condiciones que restrinjan aspectos tales como el tipo de aparato que debe usarse, la potencia, la zona de cobertura, la ubicación geográfica o el servicio que debe suministrarse. El alcance y especificidad de las restricciones dependerán de las circunstancias de cada caso y las características del servicio de que se trate.</w:t>
      </w:r>
    </w:p>
    <w:p w14:paraId="6B333878" w14:textId="77777777" w:rsidR="00F73D5B" w:rsidRPr="008B7A21" w:rsidRDefault="00F73D5B" w:rsidP="00F73D5B">
      <w:pPr>
        <w:rPr>
          <w:lang w:val="es-ES_tradnl"/>
        </w:rPr>
      </w:pPr>
      <w:r w:rsidRPr="008B7A21">
        <w:rPr>
          <w:b/>
          <w:lang w:val="es-ES_tradnl"/>
        </w:rPr>
        <w:t>Subasta</w:t>
      </w:r>
      <w:r w:rsidRPr="008B7A21">
        <w:rPr>
          <w:lang w:val="es-ES_tradnl"/>
        </w:rPr>
        <w:t xml:space="preserve"> (</w:t>
      </w:r>
      <w:r w:rsidRPr="008B7A21">
        <w:rPr>
          <w:i/>
          <w:iCs/>
          <w:lang w:val="es-ES_tradnl"/>
        </w:rPr>
        <w:t>auction</w:t>
      </w:r>
      <w:r w:rsidRPr="008B7A21">
        <w:rPr>
          <w:lang w:val="es-ES_tradnl"/>
        </w:rPr>
        <w:t>):</w:t>
      </w:r>
      <w:r w:rsidRPr="008B7A21">
        <w:rPr>
          <w:b/>
          <w:lang w:val="es-ES_tradnl"/>
        </w:rPr>
        <w:t xml:space="preserve"> </w:t>
      </w:r>
      <w:r w:rsidRPr="008B7A21">
        <w:rPr>
          <w:lang w:val="es-ES_tradnl"/>
        </w:rPr>
        <w:t xml:space="preserve">Se trata de un procedimiento de </w:t>
      </w:r>
      <w:r w:rsidRPr="008B7A21">
        <w:rPr>
          <w:i/>
          <w:lang w:val="es-ES_tradnl"/>
        </w:rPr>
        <w:t>fijación de precios por utilización del espectro</w:t>
      </w:r>
      <w:r w:rsidRPr="008B7A21">
        <w:rPr>
          <w:lang w:val="es-ES_tradnl"/>
        </w:rPr>
        <w:t xml:space="preserve">, así como de un mecanismo de asignación de espectro, mediante el cual se asignan </w:t>
      </w:r>
      <w:r w:rsidRPr="008B7A21">
        <w:rPr>
          <w:i/>
          <w:lang w:val="es-ES_tradnl"/>
        </w:rPr>
        <w:t>licencias de aparatos</w:t>
      </w:r>
      <w:r w:rsidRPr="008B7A21">
        <w:rPr>
          <w:lang w:val="es-ES_tradnl"/>
        </w:rPr>
        <w:t xml:space="preserve"> o se aplican </w:t>
      </w:r>
      <w:r w:rsidRPr="008B7A21">
        <w:rPr>
          <w:i/>
          <w:lang w:val="es-ES_tradnl"/>
        </w:rPr>
        <w:t>derechos sobre el espectro</w:t>
      </w:r>
      <w:r w:rsidRPr="008B7A21">
        <w:rPr>
          <w:lang w:val="es-ES_tradnl"/>
        </w:rPr>
        <w:t xml:space="preserve"> al ganador o ganadores de un proceso competitivo, seleccionados en base a los precios ofrecidos. (En ciertos países, pueden tomarse también en consideración en la evaluación de las ofertas o como criterios de admisión otros factores objetivos, por ejemplo, la calidad de servicio, la rapidez de expansión y la viabilidad financiera.) Las </w:t>
      </w:r>
      <w:r w:rsidRPr="008B7A21">
        <w:rPr>
          <w:i/>
          <w:lang w:val="es-ES_tradnl"/>
        </w:rPr>
        <w:t xml:space="preserve">subastas </w:t>
      </w:r>
      <w:r w:rsidRPr="008B7A21">
        <w:rPr>
          <w:lang w:val="es-ES_tradnl"/>
        </w:rPr>
        <w:t>pueden adoptar, entre otras, las siguientes modalidades:</w:t>
      </w:r>
    </w:p>
    <w:p w14:paraId="270A4111" w14:textId="77777777" w:rsidR="00F73D5B" w:rsidRPr="008B7A21" w:rsidRDefault="00F73D5B" w:rsidP="00F73D5B">
      <w:pPr>
        <w:pStyle w:val="enumlev1"/>
        <w:rPr>
          <w:lang w:val="es-ES_tradnl"/>
        </w:rPr>
      </w:pPr>
      <w:r w:rsidRPr="008B7A21">
        <w:rPr>
          <w:lang w:val="es-ES_tradnl"/>
        </w:rPr>
        <w:t>–</w:t>
      </w:r>
      <w:r w:rsidRPr="008B7A21">
        <w:rPr>
          <w:lang w:val="es-ES_tradnl"/>
        </w:rPr>
        <w:tab/>
      </w:r>
      <w:r w:rsidRPr="008B7A21">
        <w:rPr>
          <w:i/>
          <w:lang w:val="es-ES_tradnl"/>
        </w:rPr>
        <w:t>puja al alza</w:t>
      </w:r>
      <w:r w:rsidRPr="008B7A21">
        <w:rPr>
          <w:lang w:val="es-ES_tradnl"/>
        </w:rPr>
        <w:t>, cuando el subastador sube el precio hasta que queda un solo ofertante;</w:t>
      </w:r>
    </w:p>
    <w:p w14:paraId="4F6EEB30" w14:textId="77777777" w:rsidR="00F73D5B" w:rsidRPr="008B7A21" w:rsidRDefault="00F73D5B" w:rsidP="00F73D5B">
      <w:pPr>
        <w:pStyle w:val="enumlev1"/>
        <w:rPr>
          <w:lang w:val="es-ES_tradnl"/>
        </w:rPr>
      </w:pPr>
      <w:r w:rsidRPr="008B7A21">
        <w:rPr>
          <w:lang w:val="es-ES_tradnl"/>
        </w:rPr>
        <w:t>–</w:t>
      </w:r>
      <w:r w:rsidRPr="008B7A21">
        <w:rPr>
          <w:lang w:val="es-ES_tradnl"/>
        </w:rPr>
        <w:tab/>
      </w:r>
      <w:r w:rsidRPr="008B7A21">
        <w:rPr>
          <w:i/>
          <w:lang w:val="es-ES_tradnl"/>
        </w:rPr>
        <w:t>puja en oferta cerrada, primer precio</w:t>
      </w:r>
      <w:r w:rsidRPr="008B7A21">
        <w:rPr>
          <w:lang w:val="es-ES_tradnl"/>
        </w:rPr>
        <w:t>, cuando los licitadores presentan ofertas cerradas y la más elevada de ellas es la ganadora;</w:t>
      </w:r>
    </w:p>
    <w:p w14:paraId="6D416B40" w14:textId="77777777" w:rsidR="00F73D5B" w:rsidRPr="008B7A21" w:rsidRDefault="00F73D5B" w:rsidP="00F73D5B">
      <w:pPr>
        <w:pStyle w:val="enumlev1"/>
        <w:rPr>
          <w:lang w:val="es-ES_tradnl"/>
        </w:rPr>
      </w:pPr>
      <w:r w:rsidRPr="008B7A21">
        <w:rPr>
          <w:lang w:val="es-ES_tradnl"/>
        </w:rPr>
        <w:t>–</w:t>
      </w:r>
      <w:r w:rsidRPr="008B7A21">
        <w:rPr>
          <w:lang w:val="es-ES_tradnl"/>
        </w:rPr>
        <w:tab/>
      </w:r>
      <w:r w:rsidRPr="008B7A21">
        <w:rPr>
          <w:i/>
          <w:lang w:val="es-ES_tradnl"/>
        </w:rPr>
        <w:t>puja en oferta cerrada, segundo precio</w:t>
      </w:r>
      <w:r w:rsidRPr="008B7A21">
        <w:rPr>
          <w:lang w:val="es-ES_tradnl"/>
        </w:rPr>
        <w:t>, cuando los licitadores presentan ofertas cerradas y la más elevada de éstas es la ganadora, pero el licitador ganador abona el monto de la segunda oferta más elevada;</w:t>
      </w:r>
    </w:p>
    <w:p w14:paraId="01BC55CA" w14:textId="77777777" w:rsidR="00F73D5B" w:rsidRPr="008B7A21" w:rsidRDefault="00F73D5B" w:rsidP="00F73D5B">
      <w:pPr>
        <w:pStyle w:val="enumlev1"/>
        <w:rPr>
          <w:lang w:val="es-ES_tradnl"/>
        </w:rPr>
      </w:pPr>
      <w:r w:rsidRPr="008B7A21">
        <w:rPr>
          <w:lang w:val="es-ES_tradnl"/>
        </w:rPr>
        <w:t>–</w:t>
      </w:r>
      <w:r w:rsidRPr="008B7A21">
        <w:rPr>
          <w:lang w:val="es-ES_tradnl"/>
        </w:rPr>
        <w:tab/>
      </w:r>
      <w:r w:rsidRPr="008B7A21">
        <w:rPr>
          <w:i/>
          <w:lang w:val="es-ES_tradnl"/>
        </w:rPr>
        <w:t>puja a la baja</w:t>
      </w:r>
      <w:r w:rsidRPr="008B7A21">
        <w:rPr>
          <w:lang w:val="es-ES_tradnl"/>
        </w:rPr>
        <w:t>, cuando el subastador anuncia un precio elevado y va reduciéndolo hasta que un ofertante declara en voz alta que «ésa es su oferta»;</w:t>
      </w:r>
    </w:p>
    <w:p w14:paraId="3133CA46" w14:textId="77777777" w:rsidR="00F73D5B" w:rsidRPr="008B7A21" w:rsidRDefault="00F73D5B" w:rsidP="00F73D5B">
      <w:pPr>
        <w:pStyle w:val="enumlev1"/>
        <w:keepNext/>
        <w:keepLines/>
        <w:rPr>
          <w:lang w:val="es-ES_tradnl"/>
        </w:rPr>
      </w:pPr>
      <w:r w:rsidRPr="008B7A21">
        <w:rPr>
          <w:lang w:val="es-ES_tradnl"/>
        </w:rPr>
        <w:t>–</w:t>
      </w:r>
      <w:r w:rsidRPr="008B7A21">
        <w:rPr>
          <w:lang w:val="es-ES_tradnl"/>
        </w:rPr>
        <w:tab/>
      </w:r>
      <w:r w:rsidRPr="008B7A21">
        <w:rPr>
          <w:i/>
          <w:lang w:val="es-ES_tradnl"/>
        </w:rPr>
        <w:t>puja simultánea con múltiples vueltas</w:t>
      </w:r>
      <w:r w:rsidRPr="008B7A21">
        <w:rPr>
          <w:lang w:val="es-ES_tradnl"/>
        </w:rPr>
        <w:t xml:space="preserve">, se trata de un método que preconizó en primer lugar la Comisión Federal de Comunicaciones (FCC) de Estados Unidos de América y que entraña varias vueltas de licitación en relación con un número de lotes que se ofrecen simultáneamente. La oferta más elevada en cada lote se da a conocer a todos los licitadores antes de la próxima vuelta en que se aceptan una vez más ofertas con respecto a todos los lotes. La identidad de quien ha hecho la oferta más elevada se revela en el momento de cerrar la subasta, aunque puede o no ser revelada después de cada vuelta. Este procedimiento continúa hasta que en una vuelta no se presenten nuevas ofertas con respecto a ninguno de los lotes. Aunque esta modalidad es más compleja que las subastas a una sola vuelta, da una mayor flexibilidad para que los ofertantes combinen lotes de diferentes formas y, por ser más abierta que un proceso de ofertas cerradas, reduce la </w:t>
      </w:r>
      <w:r w:rsidRPr="008B7A21">
        <w:rPr>
          <w:i/>
          <w:lang w:val="es-ES_tradnl"/>
        </w:rPr>
        <w:t>maldición del ganador</w:t>
      </w:r>
      <w:r w:rsidRPr="008B7A21">
        <w:rPr>
          <w:lang w:val="es-ES_tradnl"/>
        </w:rPr>
        <w:t>, lo cual hace que los ofertantes participen con mayor confianza.</w:t>
      </w:r>
    </w:p>
    <w:p w14:paraId="2AE3B97F" w14:textId="77777777" w:rsidR="00F73D5B" w:rsidRPr="008B7A21" w:rsidRDefault="00F73D5B" w:rsidP="00F73D5B">
      <w:pPr>
        <w:rPr>
          <w:lang w:val="es-ES_tradnl"/>
        </w:rPr>
      </w:pPr>
      <w:r w:rsidRPr="008B7A21">
        <w:rPr>
          <w:lang w:val="es-ES_tradnl"/>
        </w:rPr>
        <w:t xml:space="preserve">Por regla general, se considera que la </w:t>
      </w:r>
      <w:r w:rsidRPr="008B7A21">
        <w:rPr>
          <w:i/>
          <w:lang w:val="es-ES_tradnl"/>
        </w:rPr>
        <w:t>subasta</w:t>
      </w:r>
      <w:r w:rsidRPr="008B7A21">
        <w:rPr>
          <w:lang w:val="es-ES_tradnl"/>
        </w:rPr>
        <w:t xml:space="preserve"> ofrece eficiencia económica, transparencia y rapidez mayores que otros métodos de asignación y permiten revertir íntegramente a la administración subastadora el valor que tienen en el mercado los derechos sobre el espectro. Por otra parte, las subastas pueden tener resultados contrarios a la competencia si dan lugar a que los grandes operadores adquieran una concentración excesiva del espectro disponible. Ahora bien, para impedir que esto ocurra, pueden establecerse diferentes salvaguardias, por ejemplo, restricciones al volumen de espectro que un determinado ofertante puede «obtener o subordinar» la existencia del derecho a su ejercicio a fin de combatir el acaparamiento.</w:t>
      </w:r>
    </w:p>
    <w:p w14:paraId="7D50145A" w14:textId="77777777" w:rsidR="00F73D5B" w:rsidRPr="008B7A21" w:rsidRDefault="00F73D5B" w:rsidP="00F73D5B">
      <w:pPr>
        <w:rPr>
          <w:lang w:val="es-ES_tradnl"/>
        </w:rPr>
      </w:pPr>
      <w:r w:rsidRPr="008B7A21">
        <w:rPr>
          <w:b/>
          <w:lang w:val="es-ES_tradnl"/>
        </w:rPr>
        <w:t>Oferta con crédito</w:t>
      </w:r>
      <w:r w:rsidRPr="008B7A21">
        <w:rPr>
          <w:lang w:val="es-ES_tradnl"/>
        </w:rPr>
        <w:t xml:space="preserve"> (</w:t>
      </w:r>
      <w:r w:rsidRPr="008B7A21">
        <w:rPr>
          <w:i/>
          <w:iCs/>
          <w:lang w:val="es-ES_tradnl"/>
        </w:rPr>
        <w:t>bidding credit</w:t>
      </w:r>
      <w:r w:rsidRPr="008B7A21">
        <w:rPr>
          <w:lang w:val="es-ES_tradnl"/>
        </w:rPr>
        <w:t xml:space="preserve">): Se trata de un descuento concedido a ciertos ofertantes. En ciertas subastas de la FCC, se conceden créditos a las ofertas de pequeñas empresas. Por ejemplo un crédito del 25% significa que una empresa que presente una oferta ganadora por valor de 1 000 000 de dólares de los Estados Unidos de América, abonará únicamente 750 000 dólares de los Estados Unidos de América. En un principio, se propusieron también créditos a las ofertas en favor de las mujeres y las minorías étnicas; no obstante, la FCC eliminó esta práctica tras el fallo </w:t>
      </w:r>
      <w:r w:rsidRPr="008B7A21">
        <w:rPr>
          <w:i/>
          <w:lang w:val="es-ES_tradnl"/>
        </w:rPr>
        <w:t xml:space="preserve">Adarand </w:t>
      </w:r>
      <w:r w:rsidRPr="008B7A21">
        <w:rPr>
          <w:lang w:val="es-ES_tradnl"/>
        </w:rPr>
        <w:t>del Tribunal Supremo de Estados Unidos de América, que declaró que dichas preferencias eran discriminatorias, y, por tanto, ilegales.</w:t>
      </w:r>
    </w:p>
    <w:p w14:paraId="0429AB06" w14:textId="77777777" w:rsidR="00F73D5B" w:rsidRPr="008B7A21" w:rsidRDefault="00F73D5B" w:rsidP="00F73D5B">
      <w:pPr>
        <w:rPr>
          <w:lang w:val="es-ES_tradnl"/>
        </w:rPr>
      </w:pPr>
      <w:r w:rsidRPr="008B7A21">
        <w:rPr>
          <w:b/>
          <w:lang w:val="es-ES_tradnl"/>
        </w:rPr>
        <w:t>Renta diferencial</w:t>
      </w:r>
      <w:r w:rsidRPr="008B7A21">
        <w:rPr>
          <w:lang w:val="es-ES_tradnl"/>
        </w:rPr>
        <w:t xml:space="preserve"> (</w:t>
      </w:r>
      <w:r w:rsidRPr="008B7A21">
        <w:rPr>
          <w:i/>
          <w:iCs/>
          <w:lang w:val="es-ES_tradnl"/>
        </w:rPr>
        <w:t>differential rent</w:t>
      </w:r>
      <w:r w:rsidRPr="008B7A21">
        <w:rPr>
          <w:lang w:val="es-ES_tradnl"/>
        </w:rPr>
        <w:t>): Renta atribuible a las diferentes características de un recurso, por ejemplo, características de propagación más deseables en una banda de frecuencias que en otra.</w:t>
      </w:r>
    </w:p>
    <w:p w14:paraId="4D92AF10" w14:textId="77777777" w:rsidR="00F73D5B" w:rsidRPr="008B7A21" w:rsidRDefault="00F73D5B" w:rsidP="00F73D5B">
      <w:pPr>
        <w:rPr>
          <w:lang w:val="es-ES_tradnl"/>
        </w:rPr>
      </w:pPr>
      <w:r w:rsidRPr="008B7A21">
        <w:rPr>
          <w:b/>
          <w:lang w:val="es-ES_tradnl"/>
        </w:rPr>
        <w:t>Principio de la prioridad en el tiempo</w:t>
      </w:r>
      <w:r w:rsidRPr="008B7A21">
        <w:rPr>
          <w:lang w:val="es-ES_tradnl"/>
        </w:rPr>
        <w:t xml:space="preserve"> (</w:t>
      </w:r>
      <w:r w:rsidRPr="008B7A21">
        <w:rPr>
          <w:i/>
          <w:iCs/>
          <w:lang w:val="es-ES_tradnl"/>
        </w:rPr>
        <w:t>first-come</w:t>
      </w:r>
      <w:r w:rsidRPr="008B7A21">
        <w:rPr>
          <w:lang w:val="es-ES_tradnl"/>
        </w:rPr>
        <w:t xml:space="preserve">, </w:t>
      </w:r>
      <w:r w:rsidRPr="008B7A21">
        <w:rPr>
          <w:i/>
          <w:iCs/>
          <w:lang w:val="es-ES_tradnl"/>
        </w:rPr>
        <w:t>first served</w:t>
      </w:r>
      <w:r w:rsidRPr="008B7A21">
        <w:rPr>
          <w:lang w:val="es-ES_tradnl"/>
        </w:rPr>
        <w:t>): Se trata de un procedimiento en el que se asigna una cierta cantidad de espectro a todos los solicitantes hasta que el espectro se agota, a reserva únicamente del cumplimiento de ciertos criterios mínimos de carácter técnico o financiero. Este procedimiento es el que se ha aplicado normalmente para efectuar asignaciones de alcance modesto, por ejemplo en la concesión de licencias individuales para radiocomunicaciones comerciales privadas y enlaces fijos. Este método es más eficaz cuando el espectro que ha de asignarse no es escaso.</w:t>
      </w:r>
    </w:p>
    <w:p w14:paraId="0F52E743" w14:textId="77777777" w:rsidR="00F73D5B" w:rsidRPr="008B7A21" w:rsidRDefault="00F73D5B" w:rsidP="00F73D5B">
      <w:pPr>
        <w:rPr>
          <w:lang w:val="es-ES_tradnl"/>
        </w:rPr>
      </w:pPr>
      <w:r w:rsidRPr="008B7A21">
        <w:rPr>
          <w:b/>
          <w:lang w:val="es-ES_tradnl"/>
        </w:rPr>
        <w:t>Producto interior bruto (PIB)</w:t>
      </w:r>
      <w:r w:rsidRPr="008B7A21">
        <w:rPr>
          <w:lang w:val="es-ES_tradnl"/>
        </w:rPr>
        <w:t xml:space="preserve"> (</w:t>
      </w:r>
      <w:r w:rsidRPr="008B7A21">
        <w:rPr>
          <w:i/>
          <w:iCs/>
          <w:lang w:val="es-ES_tradnl"/>
        </w:rPr>
        <w:t>gross domestic product (GDP)</w:t>
      </w:r>
      <w:r w:rsidRPr="008B7A21">
        <w:rPr>
          <w:lang w:val="es-ES_tradnl"/>
        </w:rPr>
        <w:t>): La suma del valor de todos los bienes y servicios finales vendidos en el territorio de un país en un año.</w:t>
      </w:r>
    </w:p>
    <w:p w14:paraId="7A7E9EC6" w14:textId="77777777" w:rsidR="00F73D5B" w:rsidRPr="008B7A21" w:rsidRDefault="00F73D5B" w:rsidP="00F73D5B">
      <w:pPr>
        <w:rPr>
          <w:lang w:val="es-ES_tradnl"/>
        </w:rPr>
      </w:pPr>
      <w:r w:rsidRPr="008B7A21">
        <w:rPr>
          <w:b/>
          <w:lang w:val="es-ES_tradnl"/>
        </w:rPr>
        <w:t>Lotería</w:t>
      </w:r>
      <w:r w:rsidRPr="008B7A21">
        <w:rPr>
          <w:lang w:val="es-ES_tradnl"/>
        </w:rPr>
        <w:t xml:space="preserve"> (</w:t>
      </w:r>
      <w:r w:rsidRPr="008B7A21">
        <w:rPr>
          <w:i/>
          <w:iCs/>
          <w:lang w:val="es-ES_tradnl"/>
        </w:rPr>
        <w:t>lottery</w:t>
      </w:r>
      <w:r w:rsidRPr="008B7A21">
        <w:rPr>
          <w:lang w:val="es-ES_tradnl"/>
        </w:rPr>
        <w:t xml:space="preserve">): Se trata de un procedimiento para asignar </w:t>
      </w:r>
      <w:r w:rsidRPr="008B7A21">
        <w:rPr>
          <w:i/>
          <w:lang w:val="es-ES_tradnl"/>
        </w:rPr>
        <w:t>licencias de aparatos</w:t>
      </w:r>
      <w:r w:rsidRPr="008B7A21">
        <w:rPr>
          <w:lang w:val="es-ES_tradnl"/>
        </w:rPr>
        <w:t xml:space="preserve"> o </w:t>
      </w:r>
      <w:r w:rsidRPr="008B7A21">
        <w:rPr>
          <w:i/>
          <w:lang w:val="es-ES_tradnl"/>
        </w:rPr>
        <w:t>derechos sobre el espectro</w:t>
      </w:r>
      <w:r w:rsidRPr="008B7A21">
        <w:rPr>
          <w:lang w:val="es-ES_tradnl"/>
        </w:rPr>
        <w:t xml:space="preserve"> a solicitantes seleccionados al azar. La </w:t>
      </w:r>
      <w:r w:rsidRPr="008B7A21">
        <w:rPr>
          <w:i/>
          <w:lang w:val="es-ES_tradnl"/>
        </w:rPr>
        <w:t>Lotería</w:t>
      </w:r>
      <w:r w:rsidRPr="008B7A21">
        <w:rPr>
          <w:lang w:val="es-ES_tradnl"/>
        </w:rPr>
        <w:t xml:space="preserve"> es interesante por la rapidez y simplicidad, pero es poco probable que produzca resultados óptimos desde un punto de vista económico y puede prestarse a que una serie de especuladores presenten solicitudes por puro afán de lucro.</w:t>
      </w:r>
    </w:p>
    <w:p w14:paraId="669DFCED" w14:textId="77777777" w:rsidR="00F73D5B" w:rsidRPr="008B7A21" w:rsidRDefault="00F73D5B" w:rsidP="00F73D5B">
      <w:pPr>
        <w:rPr>
          <w:lang w:val="es-ES_tradnl"/>
        </w:rPr>
      </w:pPr>
      <w:r w:rsidRPr="008B7A21">
        <w:rPr>
          <w:b/>
          <w:lang w:val="es-ES_tradnl"/>
        </w:rPr>
        <w:t>Exclusividad mutua</w:t>
      </w:r>
      <w:r w:rsidRPr="008B7A21">
        <w:rPr>
          <w:lang w:val="es-ES_tradnl"/>
        </w:rPr>
        <w:t xml:space="preserve"> (</w:t>
      </w:r>
      <w:r w:rsidRPr="008B7A21">
        <w:rPr>
          <w:i/>
          <w:iCs/>
          <w:lang w:val="es-ES_tradnl"/>
        </w:rPr>
        <w:t>mutual exclusivity</w:t>
      </w:r>
      <w:r w:rsidRPr="008B7A21">
        <w:rPr>
          <w:lang w:val="es-ES_tradnl"/>
        </w:rPr>
        <w:t>): Este caso ocurre cuando dos o más solicitantes compiten por la misma asignación de espectro.</w:t>
      </w:r>
    </w:p>
    <w:p w14:paraId="55FCF89F" w14:textId="77777777" w:rsidR="00F73D5B" w:rsidRPr="008B7A21" w:rsidRDefault="00F73D5B" w:rsidP="00F73D5B">
      <w:pPr>
        <w:rPr>
          <w:lang w:val="es-ES_tradnl"/>
        </w:rPr>
      </w:pPr>
      <w:r w:rsidRPr="008B7A21">
        <w:rPr>
          <w:b/>
          <w:lang w:val="es-ES_tradnl"/>
        </w:rPr>
        <w:t>Oligopolio</w:t>
      </w:r>
      <w:r w:rsidRPr="008B7A21">
        <w:rPr>
          <w:lang w:val="es-ES_tradnl"/>
        </w:rPr>
        <w:t xml:space="preserve"> (</w:t>
      </w:r>
      <w:r w:rsidRPr="008B7A21">
        <w:rPr>
          <w:i/>
          <w:iCs/>
          <w:lang w:val="es-ES_tradnl"/>
        </w:rPr>
        <w:t>oligopoly</w:t>
      </w:r>
      <w:r w:rsidRPr="008B7A21">
        <w:rPr>
          <w:lang w:val="es-ES_tradnl"/>
        </w:rPr>
        <w:t>): Se trata de una situación en que sólo un reducido número de empresas suministra un producto o servicio. Esta situación contrasta con una situación de monopolio, en que sólo una compañía suministra un producto o servicio.</w:t>
      </w:r>
    </w:p>
    <w:p w14:paraId="64DAD482" w14:textId="77777777" w:rsidR="00F73D5B" w:rsidRPr="008B7A21" w:rsidRDefault="00F73D5B" w:rsidP="00F73D5B">
      <w:pPr>
        <w:keepNext/>
        <w:keepLines/>
        <w:spacing w:before="100"/>
        <w:rPr>
          <w:lang w:val="es-ES_tradnl"/>
        </w:rPr>
      </w:pPr>
      <w:r w:rsidRPr="008B7A21">
        <w:rPr>
          <w:b/>
          <w:lang w:val="es-ES_tradnl"/>
        </w:rPr>
        <w:t>Coste de oportunidad</w:t>
      </w:r>
      <w:r w:rsidRPr="008B7A21">
        <w:rPr>
          <w:lang w:val="es-ES_tradnl"/>
        </w:rPr>
        <w:t xml:space="preserve"> (</w:t>
      </w:r>
      <w:r w:rsidRPr="008B7A21">
        <w:rPr>
          <w:i/>
          <w:iCs/>
          <w:lang w:val="es-ES_tradnl"/>
        </w:rPr>
        <w:t>opportunity cost</w:t>
      </w:r>
      <w:r w:rsidRPr="008B7A21">
        <w:rPr>
          <w:lang w:val="es-ES_tradnl"/>
        </w:rPr>
        <w:t>): Los beneficios a que se renuncia por no asignar un recurso a su mejor utilización alternativa. Por ejemplo, la mejor utilización alternativa de una banda de frecuencias utilizada por un servicio de radiodifusión puede ser un servicio móvil. En una subasta, el ofertante dispuesto a pagar más será el ganador, ya que presentará una oferta superior en valor a la del ofertante cuya disposición a pagar venga en segundo lugar. Esta segunda evaluación más elevada representa el coste de oportunidad.</w:t>
      </w:r>
    </w:p>
    <w:p w14:paraId="3A177CE2" w14:textId="77777777" w:rsidR="00F73D5B" w:rsidRPr="008B7A21" w:rsidRDefault="00F73D5B" w:rsidP="00F73D5B">
      <w:pPr>
        <w:spacing w:before="100"/>
        <w:rPr>
          <w:lang w:val="es-ES_tradnl"/>
        </w:rPr>
      </w:pPr>
      <w:r w:rsidRPr="008B7A21">
        <w:rPr>
          <w:b/>
          <w:lang w:val="es-ES_tradnl"/>
        </w:rPr>
        <w:t>Rentas de recursos</w:t>
      </w:r>
      <w:r w:rsidRPr="008B7A21">
        <w:rPr>
          <w:lang w:val="es-ES_tradnl"/>
        </w:rPr>
        <w:t xml:space="preserve"> (</w:t>
      </w:r>
      <w:r w:rsidRPr="008B7A21">
        <w:rPr>
          <w:i/>
          <w:iCs/>
          <w:lang w:val="es-ES_tradnl"/>
        </w:rPr>
        <w:t>resource rents</w:t>
      </w:r>
      <w:r w:rsidRPr="008B7A21">
        <w:rPr>
          <w:lang w:val="es-ES_tradnl"/>
        </w:rPr>
        <w:t>): Término que utilizan los economistas para definir el valor de un recurso. La renta de un derecho sobre un recurso, por ejemplo, un derecho sobre el espectro, puede cuantificarse, basándose en el precio que se pagaría por dicho derecho en un mercado abierto.</w:t>
      </w:r>
    </w:p>
    <w:p w14:paraId="321EB508" w14:textId="77777777" w:rsidR="00F73D5B" w:rsidRPr="008B7A21" w:rsidRDefault="00F73D5B" w:rsidP="00F73D5B">
      <w:pPr>
        <w:spacing w:before="100"/>
        <w:rPr>
          <w:lang w:val="es-ES_tradnl"/>
        </w:rPr>
      </w:pPr>
      <w:r w:rsidRPr="008B7A21">
        <w:rPr>
          <w:b/>
          <w:lang w:val="es-ES_tradnl"/>
        </w:rPr>
        <w:t>Renta de escasez</w:t>
      </w:r>
      <w:r w:rsidRPr="008B7A21">
        <w:rPr>
          <w:lang w:val="es-ES_tradnl"/>
        </w:rPr>
        <w:t xml:space="preserve"> (</w:t>
      </w:r>
      <w:r w:rsidRPr="008B7A21">
        <w:rPr>
          <w:i/>
          <w:iCs/>
          <w:lang w:val="es-ES_tradnl"/>
        </w:rPr>
        <w:t>scarcity rent</w:t>
      </w:r>
      <w:r w:rsidRPr="008B7A21">
        <w:rPr>
          <w:lang w:val="es-ES_tradnl"/>
        </w:rPr>
        <w:t>): Renta atribuible a la demanda de un recurso cuando ésta excede su oferta a un precio nulo.</w:t>
      </w:r>
    </w:p>
    <w:p w14:paraId="5F13BFF5" w14:textId="77777777" w:rsidR="00F73D5B" w:rsidRPr="008B7A21" w:rsidRDefault="00F73D5B" w:rsidP="00F73D5B">
      <w:pPr>
        <w:spacing w:before="100"/>
        <w:rPr>
          <w:lang w:val="es-ES_tradnl"/>
        </w:rPr>
      </w:pPr>
      <w:r w:rsidRPr="008B7A21">
        <w:rPr>
          <w:b/>
          <w:lang w:val="es-ES_tradnl"/>
        </w:rPr>
        <w:t>Mercado secundario</w:t>
      </w:r>
      <w:r w:rsidRPr="008B7A21">
        <w:rPr>
          <w:lang w:val="es-ES_tradnl"/>
        </w:rPr>
        <w:t xml:space="preserve"> (</w:t>
      </w:r>
      <w:r w:rsidRPr="008B7A21">
        <w:rPr>
          <w:i/>
          <w:iCs/>
          <w:lang w:val="es-ES_tradnl"/>
        </w:rPr>
        <w:t>secondary trading</w:t>
      </w:r>
      <w:r w:rsidRPr="008B7A21">
        <w:rPr>
          <w:lang w:val="es-ES_tradnl"/>
        </w:rPr>
        <w:t xml:space="preserve">): Se trata de la compra y venta de </w:t>
      </w:r>
      <w:r w:rsidRPr="008B7A21">
        <w:rPr>
          <w:i/>
          <w:lang w:val="es-ES_tradnl"/>
        </w:rPr>
        <w:t>licencias de aparatos</w:t>
      </w:r>
      <w:r w:rsidRPr="008B7A21">
        <w:rPr>
          <w:lang w:val="es-ES_tradnl"/>
        </w:rPr>
        <w:t xml:space="preserve"> o de </w:t>
      </w:r>
      <w:r w:rsidRPr="008B7A21">
        <w:rPr>
          <w:i/>
          <w:lang w:val="es-ES_tradnl"/>
        </w:rPr>
        <w:t>derechos sobre el espectro</w:t>
      </w:r>
      <w:r w:rsidRPr="008B7A21">
        <w:rPr>
          <w:lang w:val="es-ES_tradnl"/>
        </w:rPr>
        <w:t xml:space="preserve"> tras su asignación inicial por la autoridad encargada de la gestión del espectro. Este tipo de operaciones puede tener lugar directamente entre las partes o a través de un intermediario.</w:t>
      </w:r>
    </w:p>
    <w:p w14:paraId="13B801DC" w14:textId="77777777" w:rsidR="00F73D5B" w:rsidRPr="008B7A21" w:rsidRDefault="00F73D5B" w:rsidP="00F73D5B">
      <w:pPr>
        <w:spacing w:before="100"/>
        <w:rPr>
          <w:lang w:val="es-ES_tradnl"/>
        </w:rPr>
      </w:pPr>
      <w:r w:rsidRPr="008B7A21">
        <w:rPr>
          <w:b/>
          <w:lang w:val="es-ES_tradnl"/>
        </w:rPr>
        <w:t>Fijación de precios sombra</w:t>
      </w:r>
      <w:r w:rsidRPr="008B7A21">
        <w:rPr>
          <w:lang w:val="es-ES_tradnl"/>
        </w:rPr>
        <w:t xml:space="preserve"> (</w:t>
      </w:r>
      <w:r w:rsidRPr="008B7A21">
        <w:rPr>
          <w:i/>
          <w:iCs/>
          <w:lang w:val="es-ES_tradnl"/>
        </w:rPr>
        <w:t>shadow pricing</w:t>
      </w:r>
      <w:r w:rsidRPr="008B7A21">
        <w:rPr>
          <w:lang w:val="es-ES_tradnl"/>
        </w:rPr>
        <w:t>): Método administrativo en el cual el precio se fija con arreglo a una serie de criterios predefinidos con la idea de imitar el efecto de las fuerzas del mercado. Los parámetros normalmente utilizados incluyen la anchura de banda, la ubicación de las frecuencias, la ubicación geográfica y la zona de cobertura.</w:t>
      </w:r>
    </w:p>
    <w:p w14:paraId="152BFEF6" w14:textId="77777777" w:rsidR="00F73D5B" w:rsidRPr="008B7A21" w:rsidRDefault="00F73D5B" w:rsidP="00F73D5B">
      <w:pPr>
        <w:spacing w:before="100"/>
        <w:rPr>
          <w:lang w:val="es-ES_tradnl"/>
        </w:rPr>
      </w:pPr>
      <w:r w:rsidRPr="008B7A21">
        <w:rPr>
          <w:b/>
          <w:lang w:val="es-ES_tradnl"/>
        </w:rPr>
        <w:t>Establecimiento de precios por la utilización del espectro</w:t>
      </w:r>
      <w:r w:rsidRPr="008B7A21">
        <w:rPr>
          <w:lang w:val="es-ES_tradnl"/>
        </w:rPr>
        <w:t xml:space="preserve"> (</w:t>
      </w:r>
      <w:r w:rsidRPr="008B7A21">
        <w:rPr>
          <w:i/>
          <w:iCs/>
          <w:lang w:val="es-ES_tradnl"/>
        </w:rPr>
        <w:t>spectrum pricing</w:t>
      </w:r>
      <w:r w:rsidRPr="008B7A21">
        <w:rPr>
          <w:lang w:val="es-ES_tradnl"/>
        </w:rPr>
        <w:t xml:space="preserve">): Este término genérico se utiliza para referirse al recurso a la remuneración como instrumento de gestión del espectro y abarca la </w:t>
      </w:r>
      <w:r w:rsidRPr="008B7A21">
        <w:rPr>
          <w:i/>
          <w:iCs/>
          <w:lang w:val="es-ES_tradnl"/>
        </w:rPr>
        <w:t>fijación administrativa de precios con incentivo</w:t>
      </w:r>
      <w:r w:rsidRPr="008B7A21">
        <w:rPr>
          <w:lang w:val="es-ES_tradnl"/>
        </w:rPr>
        <w:t xml:space="preserve"> y la </w:t>
      </w:r>
      <w:r w:rsidRPr="008B7A21">
        <w:rPr>
          <w:i/>
          <w:lang w:val="es-ES_tradnl"/>
        </w:rPr>
        <w:t>subasta</w:t>
      </w:r>
      <w:r w:rsidRPr="008B7A21">
        <w:rPr>
          <w:lang w:val="es-ES_tradnl"/>
        </w:rPr>
        <w:t xml:space="preserve"> de </w:t>
      </w:r>
      <w:r w:rsidRPr="008B7A21">
        <w:rPr>
          <w:i/>
          <w:lang w:val="es-ES_tradnl"/>
        </w:rPr>
        <w:t>licencias de aparatos</w:t>
      </w:r>
      <w:r w:rsidRPr="008B7A21">
        <w:rPr>
          <w:lang w:val="es-ES_tradnl"/>
        </w:rPr>
        <w:t xml:space="preserve"> o de </w:t>
      </w:r>
      <w:r w:rsidRPr="008B7A21">
        <w:rPr>
          <w:i/>
          <w:lang w:val="es-ES_tradnl"/>
        </w:rPr>
        <w:t>derechos sobre el espectro</w:t>
      </w:r>
      <w:r w:rsidRPr="008B7A21">
        <w:rPr>
          <w:lang w:val="es-ES_tradnl"/>
        </w:rPr>
        <w:t xml:space="preserve">. Los precios por la </w:t>
      </w:r>
      <w:r w:rsidRPr="008B7A21">
        <w:rPr>
          <w:i/>
          <w:lang w:val="es-ES_tradnl"/>
        </w:rPr>
        <w:t>utilización del espectro</w:t>
      </w:r>
      <w:r w:rsidRPr="008B7A21">
        <w:rPr>
          <w:lang w:val="es-ES_tradnl"/>
        </w:rPr>
        <w:t xml:space="preserve"> no están referidos a los costes plenamente atribuidos de la gestión del espectro, imputables a una determinada categoría de usuarios, ya que la idea es equilibrar la oferta y la demanda de espectro o alcanzar otros objetivos de política de gestión del espectro, por ejemplo, promover la introducción de nuevos servicios o fomentar la competencia.</w:t>
      </w:r>
    </w:p>
    <w:p w14:paraId="53E0D305" w14:textId="77777777" w:rsidR="00F73D5B" w:rsidRPr="008B7A21" w:rsidRDefault="00F73D5B" w:rsidP="00F73D5B">
      <w:pPr>
        <w:spacing w:before="100"/>
        <w:rPr>
          <w:lang w:val="es-ES_tradnl"/>
        </w:rPr>
      </w:pPr>
      <w:r w:rsidRPr="008B7A21">
        <w:rPr>
          <w:b/>
          <w:lang w:val="es-ES_tradnl"/>
        </w:rPr>
        <w:t>Derechos sobre el espectro</w:t>
      </w:r>
      <w:r w:rsidRPr="008B7A21">
        <w:rPr>
          <w:lang w:val="es-ES_tradnl"/>
        </w:rPr>
        <w:t xml:space="preserve"> (</w:t>
      </w:r>
      <w:r w:rsidRPr="008B7A21">
        <w:rPr>
          <w:i/>
          <w:iCs/>
          <w:lang w:val="es-ES_tradnl"/>
        </w:rPr>
        <w:t>spectrum rights</w:t>
      </w:r>
      <w:r w:rsidRPr="008B7A21">
        <w:rPr>
          <w:lang w:val="es-ES_tradnl"/>
        </w:rPr>
        <w:t xml:space="preserve">): El derecho, análogo al derecho de propiedad, a utilizar una frecuencia o gama de frecuencias en una ubicación dada o en todo el país o región considerados durante un cierto periodo con arreglo a lo que dictamina el Reglamento de Radiocomunicaciones de la UIT. Aparte de las condiciones técnicas contra la interferencia que pueda ocasionarse a </w:t>
      </w:r>
      <w:r w:rsidRPr="008B7A21">
        <w:rPr>
          <w:i/>
          <w:lang w:val="es-ES_tradnl"/>
        </w:rPr>
        <w:t>derechos</w:t>
      </w:r>
      <w:r w:rsidRPr="008B7A21">
        <w:rPr>
          <w:lang w:val="es-ES_tradnl"/>
        </w:rPr>
        <w:t xml:space="preserve"> </w:t>
      </w:r>
      <w:r w:rsidRPr="008B7A21">
        <w:rPr>
          <w:i/>
          <w:lang w:val="es-ES_tradnl"/>
        </w:rPr>
        <w:t xml:space="preserve">sobre el espectro </w:t>
      </w:r>
      <w:r w:rsidRPr="008B7A21">
        <w:rPr>
          <w:lang w:val="es-ES_tradnl"/>
        </w:rPr>
        <w:t xml:space="preserve">adyacente, las restricciones sobre el tipo de equipo que deba utilizarse o el servicio que haya de suministrarse pueden ser mínimas. Cabe la posibilidad de acumular </w:t>
      </w:r>
      <w:r w:rsidRPr="008B7A21">
        <w:rPr>
          <w:i/>
          <w:lang w:val="es-ES_tradnl"/>
        </w:rPr>
        <w:t>derechos sobre el espectro</w:t>
      </w:r>
      <w:r w:rsidRPr="008B7A21">
        <w:rPr>
          <w:lang w:val="es-ES_tradnl"/>
        </w:rPr>
        <w:t xml:space="preserve"> para aumentar la anchura de banda o la zona de cobertura.</w:t>
      </w:r>
    </w:p>
    <w:p w14:paraId="730C54BC" w14:textId="77777777" w:rsidR="00F73D5B" w:rsidRPr="008B7A21" w:rsidRDefault="00F73D5B" w:rsidP="00F73D5B">
      <w:pPr>
        <w:spacing w:before="100"/>
        <w:rPr>
          <w:lang w:val="es-ES_tradnl"/>
        </w:rPr>
      </w:pPr>
      <w:r w:rsidRPr="008B7A21">
        <w:rPr>
          <w:b/>
          <w:lang w:val="es-ES_tradnl"/>
        </w:rPr>
        <w:t>Condiciones habilitadoras</w:t>
      </w:r>
      <w:r w:rsidRPr="008B7A21">
        <w:rPr>
          <w:lang w:val="es-ES_tradnl"/>
        </w:rPr>
        <w:t xml:space="preserve"> (</w:t>
      </w:r>
      <w:r w:rsidRPr="008B7A21">
        <w:rPr>
          <w:i/>
          <w:iCs/>
          <w:lang w:val="es-ES_tradnl"/>
        </w:rPr>
        <w:t>threshold qualifications</w:t>
      </w:r>
      <w:r w:rsidRPr="008B7A21">
        <w:rPr>
          <w:lang w:val="es-ES_tradnl"/>
        </w:rPr>
        <w:t>): Se trata de los requisitos indispensables para participar en ciertos procedimientos, por ejemplo una lotería o subasta. Las condiciones habilitadoras pueden incluir factores tales como la viabilidad financiera y técnica y un plan de servicio que satisfaga una serie de objetivos sociales.</w:t>
      </w:r>
    </w:p>
    <w:p w14:paraId="3B1B9C0B" w14:textId="77777777" w:rsidR="00F73D5B" w:rsidRPr="008B7A21" w:rsidRDefault="00F73D5B" w:rsidP="00F73D5B">
      <w:pPr>
        <w:spacing w:before="100"/>
        <w:rPr>
          <w:lang w:val="es-ES_tradnl"/>
        </w:rPr>
      </w:pPr>
      <w:r w:rsidRPr="008B7A21">
        <w:rPr>
          <w:b/>
          <w:lang w:val="es-ES_tradnl"/>
        </w:rPr>
        <w:t>Enriquecimiento sin causa</w:t>
      </w:r>
      <w:r w:rsidRPr="008B7A21">
        <w:rPr>
          <w:lang w:val="es-ES_tradnl"/>
        </w:rPr>
        <w:t xml:space="preserve"> (</w:t>
      </w:r>
      <w:r w:rsidRPr="008B7A21">
        <w:rPr>
          <w:i/>
          <w:iCs/>
          <w:lang w:val="es-ES_tradnl"/>
        </w:rPr>
        <w:t>unjust enrichment</w:t>
      </w:r>
      <w:r w:rsidRPr="008B7A21">
        <w:rPr>
          <w:lang w:val="es-ES_tradnl"/>
        </w:rPr>
        <w:t>): Asignación de frecuencia de especial valor en favor de una persona o compañía, que sobrepasa los derechos de dicho particular o empresa a la asignación.</w:t>
      </w:r>
    </w:p>
    <w:p w14:paraId="2D3E33A1" w14:textId="77777777" w:rsidR="00F73D5B" w:rsidRPr="008B7A21" w:rsidRDefault="00F73D5B" w:rsidP="00F73D5B">
      <w:pPr>
        <w:spacing w:before="100"/>
        <w:rPr>
          <w:i/>
          <w:lang w:val="es-ES_tradnl"/>
        </w:rPr>
      </w:pPr>
      <w:r w:rsidRPr="008B7A21">
        <w:rPr>
          <w:b/>
          <w:lang w:val="es-ES_tradnl"/>
        </w:rPr>
        <w:t>La «maldición del ganador»</w:t>
      </w:r>
      <w:r w:rsidRPr="008B7A21">
        <w:rPr>
          <w:lang w:val="es-ES_tradnl"/>
        </w:rPr>
        <w:t xml:space="preserve"> (</w:t>
      </w:r>
      <w:r w:rsidRPr="008B7A21">
        <w:rPr>
          <w:i/>
          <w:iCs/>
          <w:lang w:val="es-ES_tradnl"/>
        </w:rPr>
        <w:t>winner's curse</w:t>
      </w:r>
      <w:r w:rsidRPr="008B7A21">
        <w:rPr>
          <w:lang w:val="es-ES_tradnl"/>
        </w:rPr>
        <w:t>): Efecto que puede derivarse de una subasta, normalmente del tipo con puja en oferta cerrada. Suponiendo que algunos ofertantes sobrestimarán el valor del lote subastado, el ganador puede ser más optimista que hábil, a la hora de evaluar el lote subastado. En una puja en oferta cerrada, el producto de la subasta puede reducirse en la medida en que los ofertantes intenten reducir al mínimo este efecto, que</w:t>
      </w:r>
      <w:r w:rsidRPr="008B7A21">
        <w:rPr>
          <w:b/>
          <w:i/>
          <w:lang w:val="es-ES_tradnl"/>
        </w:rPr>
        <w:t xml:space="preserve"> </w:t>
      </w:r>
      <w:r w:rsidRPr="008B7A21">
        <w:rPr>
          <w:lang w:val="es-ES_tradnl"/>
        </w:rPr>
        <w:t xml:space="preserve">pueden reducirse o eliminarse organizando debidamente la subasta y recurriendo, en particular, a la subasta con varias vueltas (véase la </w:t>
      </w:r>
      <w:r w:rsidRPr="008B7A21">
        <w:rPr>
          <w:i/>
          <w:lang w:val="es-ES_tradnl"/>
        </w:rPr>
        <w:t>puja simultánea a varias vueltas</w:t>
      </w:r>
      <w:r w:rsidRPr="008B7A21">
        <w:rPr>
          <w:iCs/>
          <w:lang w:val="es-ES_tradnl"/>
        </w:rPr>
        <w:t>)</w:t>
      </w:r>
      <w:r w:rsidRPr="008B7A21">
        <w:rPr>
          <w:i/>
          <w:lang w:val="es-ES_tradnl"/>
        </w:rPr>
        <w:t>.</w:t>
      </w:r>
    </w:p>
    <w:p w14:paraId="464F74F7" w14:textId="77777777" w:rsidR="00F73D5B" w:rsidRPr="008B7A21" w:rsidRDefault="00F73D5B" w:rsidP="00F73D5B">
      <w:pPr>
        <w:pStyle w:val="AnnexNoTitle"/>
        <w:rPr>
          <w:lang w:val="es-ES_tradnl" w:eastAsia="ko-KR"/>
        </w:rPr>
      </w:pPr>
      <w:bookmarkStart w:id="2221" w:name="_Toc307922708"/>
      <w:bookmarkStart w:id="2222" w:name="_Toc307992057"/>
      <w:bookmarkStart w:id="2223" w:name="_Toc307994092"/>
      <w:bookmarkStart w:id="2224" w:name="_Toc307995299"/>
      <w:bookmarkStart w:id="2225" w:name="_Toc307996498"/>
      <w:bookmarkStart w:id="2226" w:name="_Toc308010418"/>
      <w:bookmarkStart w:id="2227" w:name="_Toc499563152"/>
      <w:bookmarkStart w:id="2228" w:name="anexo1"/>
      <w:r w:rsidRPr="008B7A21">
        <w:rPr>
          <w:lang w:val="es-ES_tradnl" w:eastAsia="ko-KR"/>
        </w:rPr>
        <w:t>Anexo 1</w:t>
      </w:r>
      <w:bookmarkEnd w:id="2221"/>
      <w:bookmarkEnd w:id="2222"/>
      <w:bookmarkEnd w:id="2223"/>
      <w:bookmarkEnd w:id="2224"/>
      <w:bookmarkEnd w:id="2225"/>
      <w:bookmarkEnd w:id="2226"/>
      <w:bookmarkEnd w:id="2227"/>
      <w:bookmarkEnd w:id="2228"/>
    </w:p>
    <w:p w14:paraId="4B05DBDE" w14:textId="5484EBF9" w:rsidR="00F73D5B" w:rsidRPr="008B7A21" w:rsidRDefault="00F73D5B" w:rsidP="009207AE">
      <w:pPr>
        <w:pStyle w:val="Heading3"/>
        <w:rPr>
          <w:lang w:val="es-ES_tradnl"/>
        </w:rPr>
      </w:pPr>
      <w:bookmarkStart w:id="2229" w:name="_Toc306276910"/>
      <w:bookmarkStart w:id="2230" w:name="_Toc307921583"/>
      <w:bookmarkStart w:id="2231" w:name="_Toc307922150"/>
      <w:bookmarkStart w:id="2232" w:name="_Toc307922709"/>
      <w:bookmarkStart w:id="2233" w:name="_Toc307992058"/>
      <w:bookmarkStart w:id="2234" w:name="_Toc307994093"/>
      <w:bookmarkStart w:id="2235" w:name="_Toc307995300"/>
      <w:bookmarkStart w:id="2236" w:name="_Toc307996499"/>
      <w:bookmarkStart w:id="2237" w:name="_Toc308010419"/>
      <w:bookmarkStart w:id="2238" w:name="_Toc499563153"/>
      <w:bookmarkStart w:id="2239" w:name="_Toc215835465"/>
      <w:r w:rsidRPr="008B7A21">
        <w:rPr>
          <w:bCs/>
          <w:lang w:val="es-ES_tradnl"/>
        </w:rPr>
        <w:t>1</w:t>
      </w:r>
      <w:r w:rsidRPr="008B7A21">
        <w:rPr>
          <w:bCs/>
          <w:lang w:val="es-ES_tradnl"/>
        </w:rPr>
        <w:tab/>
        <w:t>Reglamento</w:t>
      </w:r>
      <w:r w:rsidRPr="008B7A21">
        <w:rPr>
          <w:lang w:val="es-ES_tradnl"/>
        </w:rPr>
        <w:t xml:space="preserve"> sobre cánones del espectro de los Emiratos Árabes Unidos</w:t>
      </w:r>
      <w:bookmarkEnd w:id="2229"/>
      <w:bookmarkEnd w:id="2230"/>
      <w:bookmarkEnd w:id="2231"/>
      <w:bookmarkEnd w:id="2232"/>
      <w:bookmarkEnd w:id="2233"/>
      <w:bookmarkEnd w:id="2234"/>
      <w:bookmarkEnd w:id="2235"/>
      <w:bookmarkEnd w:id="2236"/>
      <w:bookmarkEnd w:id="2237"/>
      <w:bookmarkEnd w:id="2238"/>
      <w:bookmarkEnd w:id="2239"/>
    </w:p>
    <w:p w14:paraId="731AE064" w14:textId="77777777" w:rsidR="00F73D5B" w:rsidRPr="008B7A21" w:rsidRDefault="00F73D5B" w:rsidP="00F73D5B">
      <w:pPr>
        <w:pStyle w:val="ArtNo"/>
        <w:rPr>
          <w:lang w:val="es-ES_tradnl"/>
        </w:rPr>
      </w:pPr>
      <w:r w:rsidRPr="008B7A21">
        <w:rPr>
          <w:lang w:val="es-ES_tradnl"/>
        </w:rPr>
        <w:t>ARTÍCULO (1)</w:t>
      </w:r>
    </w:p>
    <w:p w14:paraId="691F4035" w14:textId="77777777" w:rsidR="00F73D5B" w:rsidRPr="008B7A21" w:rsidRDefault="00F73D5B" w:rsidP="00F73D5B">
      <w:pPr>
        <w:pStyle w:val="Arttitle"/>
        <w:rPr>
          <w:lang w:val="es-ES_tradnl"/>
        </w:rPr>
      </w:pPr>
      <w:r w:rsidRPr="008B7A21">
        <w:rPr>
          <w:lang w:val="es-ES_tradnl"/>
        </w:rPr>
        <w:t>Objeto</w:t>
      </w:r>
    </w:p>
    <w:p w14:paraId="4062F701" w14:textId="77777777" w:rsidR="009207AE" w:rsidRPr="008B7A21" w:rsidRDefault="009207AE" w:rsidP="009207AE">
      <w:pPr>
        <w:pStyle w:val="Blanc"/>
        <w:rPr>
          <w:lang w:val="es-ES_tradnl" w:eastAsia="ko-KR"/>
        </w:rPr>
      </w:pPr>
    </w:p>
    <w:p w14:paraId="644720DA" w14:textId="77777777" w:rsidR="00F73D5B" w:rsidRPr="008B7A21" w:rsidRDefault="00F73D5B" w:rsidP="00F73D5B">
      <w:pPr>
        <w:pStyle w:val="enumlev1"/>
        <w:rPr>
          <w:lang w:val="es-ES_tradnl"/>
        </w:rPr>
      </w:pPr>
      <w:r w:rsidRPr="008B7A21">
        <w:rPr>
          <w:lang w:val="es-ES_tradnl"/>
        </w:rPr>
        <w:t>1.1</w:t>
      </w:r>
      <w:r w:rsidRPr="008B7A21">
        <w:rPr>
          <w:lang w:val="es-ES_tradnl"/>
        </w:rPr>
        <w:tab/>
        <w:t>De conformidad con el Decreto Ley Federal número 3 de 2003 enmendado y su Orden Ejecutiva, este Reglamento establece la planificación de cánones del espectro para autorizaciones de utilización del espectro radioeléctrico y de los equipos inalámbricos. Los cánones del espectro se recaudarán por adelantado para la presentación, registro, autorización, expedición y renovación de autorizaciones, salvo si se determina una exención en el presente Reglamento.</w:t>
      </w:r>
    </w:p>
    <w:p w14:paraId="5FF7E073" w14:textId="77777777" w:rsidR="00F73D5B" w:rsidRPr="008B7A21" w:rsidRDefault="00F73D5B" w:rsidP="00F73D5B">
      <w:pPr>
        <w:pStyle w:val="ArtNo"/>
        <w:rPr>
          <w:lang w:val="es-ES_tradnl"/>
        </w:rPr>
      </w:pPr>
      <w:r w:rsidRPr="008B7A21">
        <w:rPr>
          <w:lang w:val="es-ES_tradnl"/>
        </w:rPr>
        <w:t>ARTÍCULO (2)</w:t>
      </w:r>
    </w:p>
    <w:p w14:paraId="436A8BA5" w14:textId="77777777" w:rsidR="00F73D5B" w:rsidRPr="008B7A21" w:rsidRDefault="00F73D5B" w:rsidP="00F73D5B">
      <w:pPr>
        <w:pStyle w:val="Arttitle"/>
        <w:rPr>
          <w:lang w:val="es-ES_tradnl"/>
        </w:rPr>
      </w:pPr>
      <w:r w:rsidRPr="008B7A21">
        <w:rPr>
          <w:lang w:val="es-ES_tradnl"/>
        </w:rPr>
        <w:t>Definiciones</w:t>
      </w:r>
    </w:p>
    <w:p w14:paraId="30A380D4" w14:textId="77777777" w:rsidR="009207AE" w:rsidRPr="008B7A21" w:rsidRDefault="009207AE" w:rsidP="009207AE">
      <w:pPr>
        <w:pStyle w:val="Blanc"/>
        <w:rPr>
          <w:lang w:val="es-ES_tradnl" w:eastAsia="ko-KR"/>
        </w:rPr>
      </w:pPr>
    </w:p>
    <w:p w14:paraId="590027C8" w14:textId="77777777" w:rsidR="00F73D5B" w:rsidRPr="008B7A21" w:rsidRDefault="00F73D5B" w:rsidP="00F73D5B">
      <w:pPr>
        <w:pStyle w:val="enumlev1"/>
        <w:rPr>
          <w:lang w:val="es-ES_tradnl"/>
        </w:rPr>
      </w:pPr>
      <w:r w:rsidRPr="008B7A21">
        <w:rPr>
          <w:lang w:val="es-ES_tradnl"/>
        </w:rPr>
        <w:t>2.1</w:t>
      </w:r>
      <w:r w:rsidRPr="008B7A21">
        <w:rPr>
          <w:lang w:val="es-ES_tradnl"/>
        </w:rPr>
        <w:tab/>
        <w:t>Al aplicar este Reglamento, los siguientes términos tendrán los significados presentados a menos que el contexto indique lo contrario. Cualquier término definido en la lista siguiente será conforme al Decreto Ley Federal número 3 de 2003 enmendado y su Orden Ejecutiva:</w:t>
      </w:r>
    </w:p>
    <w:p w14:paraId="7603134C" w14:textId="77777777" w:rsidR="00F73D5B" w:rsidRPr="008B7A21" w:rsidRDefault="00F73D5B" w:rsidP="00F73D5B">
      <w:pPr>
        <w:pStyle w:val="enumlev1"/>
        <w:rPr>
          <w:lang w:val="es-ES_tradnl"/>
        </w:rPr>
      </w:pPr>
      <w:r w:rsidRPr="008B7A21">
        <w:rPr>
          <w:lang w:val="es-ES_tradnl"/>
        </w:rPr>
        <w:t>2.1.1</w:t>
      </w:r>
      <w:r w:rsidRPr="008B7A21">
        <w:rPr>
          <w:lang w:val="es-ES_tradnl"/>
        </w:rPr>
        <w:tab/>
      </w:r>
      <w:r w:rsidRPr="008B7A21">
        <w:rPr>
          <w:b/>
          <w:lang w:val="es-ES_tradnl"/>
        </w:rPr>
        <w:t>«Solicitante»</w:t>
      </w:r>
      <w:r w:rsidRPr="008B7A21">
        <w:rPr>
          <w:lang w:val="es-ES_tradnl"/>
        </w:rPr>
        <w:t>: Cualquier persona que ha solicitado una licencia o una autorización de conformidad con la Ley de Telecomunicaciones y otros instrumentos reglamentarios establecidos por la TRA.</w:t>
      </w:r>
    </w:p>
    <w:p w14:paraId="6F083D2C" w14:textId="77777777" w:rsidR="00F73D5B" w:rsidRPr="008B7A21" w:rsidRDefault="00F73D5B" w:rsidP="00F73D5B">
      <w:pPr>
        <w:pStyle w:val="enumlev1"/>
        <w:rPr>
          <w:lang w:val="es-ES_tradnl"/>
        </w:rPr>
      </w:pPr>
      <w:r w:rsidRPr="008B7A21">
        <w:rPr>
          <w:lang w:val="es-ES_tradnl"/>
        </w:rPr>
        <w:t>2.1.2</w:t>
      </w:r>
      <w:r w:rsidRPr="008B7A21">
        <w:rPr>
          <w:lang w:val="es-ES_tradnl"/>
        </w:rPr>
        <w:tab/>
      </w:r>
      <w:r w:rsidRPr="008B7A21">
        <w:rPr>
          <w:b/>
          <w:lang w:val="es-ES_tradnl"/>
        </w:rPr>
        <w:t>«Solicitud»</w:t>
      </w:r>
      <w:r w:rsidRPr="008B7A21">
        <w:rPr>
          <w:lang w:val="es-ES_tradnl"/>
        </w:rPr>
        <w:t>: Petición de expedición de una licencia o una autorización, recibida en la TRA mediante los formularios pertinentes, siguiendo el procedimiento en vigor.</w:t>
      </w:r>
    </w:p>
    <w:p w14:paraId="2A1FB6D9" w14:textId="77777777" w:rsidR="00F73D5B" w:rsidRPr="008B7A21" w:rsidRDefault="00F73D5B" w:rsidP="00F73D5B">
      <w:pPr>
        <w:pStyle w:val="enumlev1"/>
        <w:rPr>
          <w:lang w:val="es-ES_tradnl"/>
        </w:rPr>
      </w:pPr>
      <w:r w:rsidRPr="008B7A21">
        <w:rPr>
          <w:lang w:val="es-ES_tradnl"/>
        </w:rPr>
        <w:t>2.1.3</w:t>
      </w:r>
      <w:r w:rsidRPr="008B7A21">
        <w:rPr>
          <w:lang w:val="es-ES_tradnl"/>
        </w:rPr>
        <w:tab/>
      </w:r>
      <w:r w:rsidRPr="008B7A21">
        <w:rPr>
          <w:b/>
          <w:lang w:val="es-ES_tradnl"/>
        </w:rPr>
        <w:t>«Frecuencia asignada»</w:t>
      </w:r>
      <w:r w:rsidRPr="008B7A21">
        <w:rPr>
          <w:lang w:val="es-ES_tradnl"/>
        </w:rPr>
        <w:t>: Centro de la banda de frecuencias asignada a una estación por la TRA.</w:t>
      </w:r>
    </w:p>
    <w:p w14:paraId="1DB67209" w14:textId="77777777" w:rsidR="00F73D5B" w:rsidRPr="008B7A21" w:rsidRDefault="00F73D5B" w:rsidP="00F73D5B">
      <w:pPr>
        <w:pStyle w:val="enumlev1"/>
        <w:rPr>
          <w:lang w:val="es-ES_tradnl"/>
        </w:rPr>
      </w:pPr>
      <w:r w:rsidRPr="008B7A21">
        <w:rPr>
          <w:lang w:val="es-ES_tradnl"/>
        </w:rPr>
        <w:t>2.1.4</w:t>
      </w:r>
      <w:r w:rsidRPr="008B7A21">
        <w:rPr>
          <w:lang w:val="es-ES_tradnl"/>
        </w:rPr>
        <w:tab/>
      </w:r>
      <w:r w:rsidRPr="008B7A21">
        <w:rPr>
          <w:b/>
          <w:lang w:val="es-ES_tradnl"/>
        </w:rPr>
        <w:t>«TRA»</w:t>
      </w:r>
      <w:r w:rsidRPr="008B7A21">
        <w:rPr>
          <w:lang w:val="es-ES_tradnl"/>
        </w:rPr>
        <w:t>: Autoridad general para la regulación del sector de las telecomunicaciones conocida como Autoridad de Regulación de las Telecomunicaciones (TRA) creada en el Artículo 6 del Decreto Ley Federal número 3 de 2003 de los EAU.</w:t>
      </w:r>
    </w:p>
    <w:p w14:paraId="7B417684" w14:textId="77777777" w:rsidR="00F73D5B" w:rsidRPr="008B7A21" w:rsidRDefault="00F73D5B" w:rsidP="00F73D5B">
      <w:pPr>
        <w:pStyle w:val="enumlev1"/>
        <w:rPr>
          <w:lang w:val="es-ES_tradnl"/>
        </w:rPr>
      </w:pPr>
      <w:r w:rsidRPr="008B7A21">
        <w:rPr>
          <w:lang w:val="es-ES_tradnl"/>
        </w:rPr>
        <w:t>2.1.5</w:t>
      </w:r>
      <w:r w:rsidRPr="008B7A21">
        <w:rPr>
          <w:lang w:val="es-ES_tradnl"/>
        </w:rPr>
        <w:tab/>
      </w:r>
      <w:r w:rsidRPr="008B7A21">
        <w:rPr>
          <w:b/>
          <w:lang w:val="es-ES_tradnl"/>
        </w:rPr>
        <w:t>«Autorización»</w:t>
      </w:r>
      <w:r w:rsidRPr="008B7A21">
        <w:rPr>
          <w:lang w:val="es-ES_tradnl"/>
        </w:rPr>
        <w:t>: Autorización para el uso del espectro de las frecuencias otorgada por la TRA.</w:t>
      </w:r>
    </w:p>
    <w:p w14:paraId="196CAF73" w14:textId="77777777" w:rsidR="00F73D5B" w:rsidRPr="008B7A21" w:rsidRDefault="00F73D5B" w:rsidP="00F73D5B">
      <w:pPr>
        <w:pStyle w:val="enumlev1"/>
        <w:rPr>
          <w:lang w:val="es-ES_tradnl"/>
        </w:rPr>
      </w:pPr>
      <w:r w:rsidRPr="008B7A21">
        <w:rPr>
          <w:lang w:val="es-ES_tradnl"/>
        </w:rPr>
        <w:t>2.1.6</w:t>
      </w:r>
      <w:r w:rsidRPr="008B7A21">
        <w:rPr>
          <w:lang w:val="es-ES_tradnl"/>
        </w:rPr>
        <w:tab/>
      </w:r>
      <w:r w:rsidRPr="008B7A21">
        <w:rPr>
          <w:b/>
          <w:lang w:val="es-ES_tradnl"/>
        </w:rPr>
        <w:t>«Usuario autorizado»</w:t>
      </w:r>
      <w:r w:rsidRPr="008B7A21">
        <w:rPr>
          <w:lang w:val="es-ES_tradnl"/>
        </w:rPr>
        <w:t>: Persona que ha obtenido una autorización de la TRA.</w:t>
      </w:r>
    </w:p>
    <w:p w14:paraId="79938E3D" w14:textId="77777777" w:rsidR="00F73D5B" w:rsidRPr="008B7A21" w:rsidRDefault="00F73D5B" w:rsidP="00F73D5B">
      <w:pPr>
        <w:pStyle w:val="enumlev1"/>
        <w:rPr>
          <w:lang w:val="es-ES_tradnl"/>
        </w:rPr>
      </w:pPr>
      <w:r w:rsidRPr="008B7A21">
        <w:rPr>
          <w:lang w:val="es-ES_tradnl"/>
        </w:rPr>
        <w:t>2.1.7</w:t>
      </w:r>
      <w:r w:rsidRPr="008B7A21">
        <w:rPr>
          <w:lang w:val="es-ES_tradnl"/>
        </w:rPr>
        <w:tab/>
      </w:r>
      <w:r w:rsidRPr="008B7A21">
        <w:rPr>
          <w:b/>
          <w:lang w:val="es-ES_tradnl"/>
        </w:rPr>
        <w:t>«Autorización de clase»</w:t>
      </w:r>
      <w:r w:rsidRPr="008B7A21">
        <w:rPr>
          <w:lang w:val="es-ES_tradnl"/>
        </w:rPr>
        <w:t>: Autorización que permite la explotación de equipos inalámbricos por una persona en las bandas de frecuencias asignadas sujeta a los términos y condiciones estipuladas por la TRA.</w:t>
      </w:r>
    </w:p>
    <w:p w14:paraId="2CC4B498" w14:textId="77777777" w:rsidR="00F73D5B" w:rsidRPr="008B7A21" w:rsidRDefault="00F73D5B" w:rsidP="00F73D5B">
      <w:pPr>
        <w:pStyle w:val="enumlev1"/>
        <w:rPr>
          <w:lang w:val="es-ES_tradnl"/>
        </w:rPr>
      </w:pPr>
      <w:r w:rsidRPr="008B7A21">
        <w:rPr>
          <w:lang w:val="es-ES_tradnl"/>
        </w:rPr>
        <w:t>2.1.8</w:t>
      </w:r>
      <w:r w:rsidRPr="008B7A21">
        <w:rPr>
          <w:lang w:val="es-ES_tradnl"/>
        </w:rPr>
        <w:tab/>
      </w:r>
      <w:r w:rsidRPr="008B7A21">
        <w:rPr>
          <w:b/>
          <w:lang w:val="es-ES_tradnl"/>
        </w:rPr>
        <w:t>«Plan nacional del espectro»</w:t>
      </w:r>
      <w:r w:rsidRPr="008B7A21">
        <w:rPr>
          <w:lang w:val="es-ES_tradnl"/>
        </w:rPr>
        <w:t>: Plan de atribución de frecuencias radioeléctricas para los EAU y cualquiera de sus modificaciones.</w:t>
      </w:r>
    </w:p>
    <w:p w14:paraId="1150FD91" w14:textId="77777777" w:rsidR="00F73D5B" w:rsidRPr="008B7A21" w:rsidRDefault="00F73D5B" w:rsidP="00F73D5B">
      <w:pPr>
        <w:pStyle w:val="enumlev1"/>
        <w:rPr>
          <w:lang w:val="es-ES_tradnl"/>
        </w:rPr>
      </w:pPr>
      <w:r w:rsidRPr="008B7A21">
        <w:rPr>
          <w:lang w:val="es-ES_tradnl"/>
        </w:rPr>
        <w:t>2.1.9</w:t>
      </w:r>
      <w:r w:rsidRPr="008B7A21">
        <w:rPr>
          <w:lang w:val="es-ES_tradnl"/>
        </w:rPr>
        <w:tab/>
      </w:r>
      <w:r w:rsidRPr="008B7A21">
        <w:rPr>
          <w:b/>
          <w:lang w:val="es-ES_tradnl"/>
        </w:rPr>
        <w:t>«Persona»</w:t>
      </w:r>
      <w:r w:rsidRPr="008B7A21">
        <w:rPr>
          <w:lang w:val="es-ES_tradnl"/>
        </w:rPr>
        <w:t xml:space="preserve"> incluye «entidades jurídicas» así como «personas físicas».</w:t>
      </w:r>
    </w:p>
    <w:p w14:paraId="6B1C6F0D" w14:textId="77777777" w:rsidR="00F73D5B" w:rsidRPr="008B7A21" w:rsidRDefault="00F73D5B" w:rsidP="00F73D5B">
      <w:pPr>
        <w:pStyle w:val="enumlev1"/>
        <w:rPr>
          <w:lang w:val="es-ES_tradnl"/>
        </w:rPr>
      </w:pPr>
      <w:r w:rsidRPr="008B7A21">
        <w:rPr>
          <w:lang w:val="es-ES_tradnl"/>
        </w:rPr>
        <w:t>2.1.10</w:t>
      </w:r>
      <w:r w:rsidRPr="008B7A21">
        <w:rPr>
          <w:lang w:val="es-ES_tradnl"/>
        </w:rPr>
        <w:tab/>
      </w:r>
      <w:r w:rsidRPr="008B7A21">
        <w:rPr>
          <w:b/>
          <w:lang w:val="es-ES_tradnl"/>
        </w:rPr>
        <w:t>«Servicio de radiocomunicaciones»</w:t>
      </w:r>
      <w:r w:rsidRPr="008B7A21">
        <w:rPr>
          <w:lang w:val="es-ES_tradnl"/>
        </w:rPr>
        <w:t>: Transmisión o recepción de frecuencias radio eléctricas que se pueden utilizar para el transporte de datos, mensajes, voz o imágenes visuales, o para la operación o control de equipos o aparatos.</w:t>
      </w:r>
    </w:p>
    <w:p w14:paraId="3CDD3B96" w14:textId="77777777" w:rsidR="00F73D5B" w:rsidRPr="008B7A21" w:rsidRDefault="00F73D5B" w:rsidP="00F73D5B">
      <w:pPr>
        <w:pStyle w:val="enumlev1"/>
        <w:rPr>
          <w:lang w:val="es-ES_tradnl"/>
        </w:rPr>
      </w:pPr>
      <w:r w:rsidRPr="008B7A21">
        <w:rPr>
          <w:lang w:val="es-ES_tradnl"/>
        </w:rPr>
        <w:t>2.1.11</w:t>
      </w:r>
      <w:r w:rsidRPr="008B7A21">
        <w:rPr>
          <w:lang w:val="es-ES_tradnl"/>
        </w:rPr>
        <w:tab/>
      </w:r>
      <w:r w:rsidRPr="008B7A21">
        <w:rPr>
          <w:b/>
          <w:lang w:val="es-ES_tradnl"/>
        </w:rPr>
        <w:t>«Frecuencia radioeléctrica»</w:t>
      </w:r>
      <w:r w:rsidRPr="008B7A21">
        <w:rPr>
          <w:lang w:val="es-ES_tradnl"/>
        </w:rPr>
        <w:t>: Energía electromagnética radiada medida en Hz o en ciclos por segundo.</w:t>
      </w:r>
    </w:p>
    <w:p w14:paraId="0E43B8B2" w14:textId="77777777" w:rsidR="00F73D5B" w:rsidRPr="008B7A21" w:rsidRDefault="00F73D5B" w:rsidP="00F73D5B">
      <w:pPr>
        <w:pStyle w:val="enumlev1"/>
        <w:rPr>
          <w:lang w:val="es-ES_tradnl"/>
        </w:rPr>
      </w:pPr>
      <w:r w:rsidRPr="008B7A21">
        <w:rPr>
          <w:lang w:val="es-ES_tradnl"/>
        </w:rPr>
        <w:lastRenderedPageBreak/>
        <w:t>2.1.12</w:t>
      </w:r>
      <w:r w:rsidRPr="008B7A21">
        <w:rPr>
          <w:lang w:val="es-ES_tradnl"/>
        </w:rPr>
        <w:tab/>
      </w:r>
      <w:r w:rsidRPr="008B7A21">
        <w:rPr>
          <w:b/>
          <w:lang w:val="es-ES_tradnl"/>
        </w:rPr>
        <w:t>«Autorización de espectro de frecuencias»</w:t>
      </w:r>
      <w:r w:rsidRPr="008B7A21">
        <w:rPr>
          <w:lang w:val="es-ES_tradnl"/>
        </w:rPr>
        <w:t>: Autorización que permite el uso de frecuencias radioeléctricas sujetas a los términos y condiciones estipulados por la TRA.</w:t>
      </w:r>
    </w:p>
    <w:p w14:paraId="571137EA" w14:textId="77777777" w:rsidR="00F73D5B" w:rsidRPr="008B7A21" w:rsidRDefault="00F73D5B" w:rsidP="00F73D5B">
      <w:pPr>
        <w:pStyle w:val="enumlev1"/>
        <w:rPr>
          <w:lang w:val="es-ES_tradnl"/>
        </w:rPr>
      </w:pPr>
      <w:r w:rsidRPr="008B7A21">
        <w:rPr>
          <w:lang w:val="es-ES_tradnl"/>
        </w:rPr>
        <w:t>2.1.13</w:t>
      </w:r>
      <w:r w:rsidRPr="008B7A21">
        <w:rPr>
          <w:lang w:val="es-ES_tradnl"/>
        </w:rPr>
        <w:tab/>
      </w:r>
      <w:r w:rsidRPr="008B7A21">
        <w:rPr>
          <w:b/>
          <w:lang w:val="es-ES_tradnl"/>
        </w:rPr>
        <w:t>«Instrumentos reglamentarios»</w:t>
      </w:r>
      <w:r w:rsidRPr="008B7A21">
        <w:rPr>
          <w:lang w:val="es-ES_tradnl"/>
        </w:rPr>
        <w:t>: Cualquier instrumento adoptado por la autoridad dentro de sus competencias, incluidos entre otros la reglamentación, decisiones sobre vulneración, directrices, instrucciones, directivas y recomendaciones y políticas reglamentarias.</w:t>
      </w:r>
    </w:p>
    <w:p w14:paraId="4A9AEF23" w14:textId="77777777" w:rsidR="00F73D5B" w:rsidRPr="008B7A21" w:rsidRDefault="00F73D5B" w:rsidP="00F73D5B">
      <w:pPr>
        <w:pStyle w:val="enumlev1"/>
        <w:rPr>
          <w:lang w:val="es-ES_tradnl"/>
        </w:rPr>
      </w:pPr>
      <w:r w:rsidRPr="008B7A21">
        <w:rPr>
          <w:lang w:val="es-ES_tradnl"/>
        </w:rPr>
        <w:t>2.1.14</w:t>
      </w:r>
      <w:r w:rsidRPr="008B7A21">
        <w:rPr>
          <w:lang w:val="es-ES_tradnl"/>
        </w:rPr>
        <w:tab/>
      </w:r>
      <w:r w:rsidRPr="008B7A21">
        <w:rPr>
          <w:b/>
          <w:lang w:val="es-ES_tradnl"/>
        </w:rPr>
        <w:t>«Estación»</w:t>
      </w:r>
      <w:r w:rsidRPr="008B7A21">
        <w:rPr>
          <w:lang w:val="es-ES_tradnl"/>
        </w:rPr>
        <w:t>: Instalación explotada por un usuario autorizado para prestar un servicio de radiocomunicaciones.</w:t>
      </w:r>
    </w:p>
    <w:p w14:paraId="34D4F778" w14:textId="77777777" w:rsidR="00F73D5B" w:rsidRPr="008B7A21" w:rsidRDefault="00F73D5B" w:rsidP="00F73D5B">
      <w:pPr>
        <w:pStyle w:val="enumlev1"/>
        <w:rPr>
          <w:lang w:val="es-ES_tradnl"/>
        </w:rPr>
      </w:pPr>
      <w:r w:rsidRPr="008B7A21">
        <w:rPr>
          <w:lang w:val="es-ES_tradnl"/>
        </w:rPr>
        <w:t>2.1.15</w:t>
      </w:r>
      <w:r w:rsidRPr="008B7A21">
        <w:rPr>
          <w:lang w:val="es-ES_tradnl"/>
        </w:rPr>
        <w:tab/>
      </w:r>
      <w:r w:rsidRPr="008B7A21">
        <w:rPr>
          <w:b/>
          <w:lang w:val="es-ES_tradnl"/>
        </w:rPr>
        <w:t>«Autorización temporal»</w:t>
      </w:r>
      <w:r w:rsidRPr="008B7A21">
        <w:rPr>
          <w:lang w:val="es-ES_tradnl"/>
        </w:rPr>
        <w:t>: Autorización expedida por la TRA que permite el uso de frecuencias asignadas durante un periodo de hasta 90 días.</w:t>
      </w:r>
    </w:p>
    <w:p w14:paraId="692683B1" w14:textId="77777777" w:rsidR="00F73D5B" w:rsidRPr="008B7A21" w:rsidRDefault="00F73D5B" w:rsidP="00F73D5B">
      <w:pPr>
        <w:pStyle w:val="enumlev1"/>
        <w:rPr>
          <w:lang w:val="es-ES_tradnl"/>
        </w:rPr>
      </w:pPr>
      <w:r w:rsidRPr="008B7A21">
        <w:rPr>
          <w:lang w:val="es-ES_tradnl"/>
        </w:rPr>
        <w:t>2.1.16</w:t>
      </w:r>
      <w:r w:rsidRPr="008B7A21">
        <w:rPr>
          <w:lang w:val="es-ES_tradnl"/>
        </w:rPr>
        <w:tab/>
      </w:r>
      <w:r w:rsidRPr="008B7A21">
        <w:rPr>
          <w:b/>
          <w:lang w:val="es-ES_tradnl"/>
        </w:rPr>
        <w:t>«EAU»</w:t>
      </w:r>
      <w:r w:rsidRPr="008B7A21">
        <w:rPr>
          <w:lang w:val="es-ES_tradnl"/>
        </w:rPr>
        <w:t>: Emiratos Árabes Unidos incluidos su espacio aéreo y sus aguas territoriales.</w:t>
      </w:r>
    </w:p>
    <w:p w14:paraId="059719FC" w14:textId="77777777" w:rsidR="00F73D5B" w:rsidRPr="008B7A21" w:rsidRDefault="00F73D5B" w:rsidP="00F73D5B">
      <w:pPr>
        <w:pStyle w:val="enumlev1"/>
        <w:rPr>
          <w:lang w:val="es-ES_tradnl"/>
        </w:rPr>
      </w:pPr>
      <w:r w:rsidRPr="008B7A21">
        <w:rPr>
          <w:lang w:val="es-ES_tradnl"/>
        </w:rPr>
        <w:t>2.1.17</w:t>
      </w:r>
      <w:r w:rsidRPr="008B7A21">
        <w:rPr>
          <w:lang w:val="es-ES_tradnl"/>
        </w:rPr>
        <w:tab/>
      </w:r>
      <w:r w:rsidRPr="008B7A21">
        <w:rPr>
          <w:b/>
          <w:lang w:val="es-ES_tradnl"/>
        </w:rPr>
        <w:t>«Equipo inalámbrico»</w:t>
      </w:r>
      <w:r w:rsidRPr="008B7A21">
        <w:rPr>
          <w:lang w:val="es-ES_tradnl"/>
        </w:rPr>
        <w:t>: Categoría de aparatos de telecomunicaciones utilizada para el servicio de radiocomunicaciones.</w:t>
      </w:r>
    </w:p>
    <w:p w14:paraId="1394834D" w14:textId="77777777" w:rsidR="00F73D5B" w:rsidRPr="008B7A21" w:rsidRDefault="00F73D5B" w:rsidP="00F73D5B">
      <w:pPr>
        <w:pStyle w:val="ArtNo"/>
        <w:rPr>
          <w:lang w:val="es-ES_tradnl"/>
        </w:rPr>
      </w:pPr>
      <w:r w:rsidRPr="008B7A21">
        <w:rPr>
          <w:lang w:val="es-ES_tradnl"/>
        </w:rPr>
        <w:t>ARTÍCULO (3)</w:t>
      </w:r>
    </w:p>
    <w:p w14:paraId="437DDD97" w14:textId="77777777" w:rsidR="00F73D5B" w:rsidRPr="008B7A21" w:rsidRDefault="00F73D5B" w:rsidP="00F73D5B">
      <w:pPr>
        <w:pStyle w:val="Arttitle"/>
        <w:rPr>
          <w:lang w:val="es-ES_tradnl"/>
        </w:rPr>
      </w:pPr>
      <w:r w:rsidRPr="008B7A21">
        <w:rPr>
          <w:lang w:val="es-ES_tradnl"/>
        </w:rPr>
        <w:t>Cánones por tramitación de solicitudes</w:t>
      </w:r>
    </w:p>
    <w:p w14:paraId="0467FF1C" w14:textId="77777777" w:rsidR="009207AE" w:rsidRPr="008B7A21" w:rsidRDefault="009207AE" w:rsidP="009207AE">
      <w:pPr>
        <w:pStyle w:val="Blanc"/>
        <w:rPr>
          <w:lang w:val="es-ES_tradnl" w:eastAsia="ko-KR"/>
        </w:rPr>
      </w:pPr>
    </w:p>
    <w:p w14:paraId="07D4B8D5" w14:textId="77777777" w:rsidR="00F73D5B" w:rsidRPr="008B7A21" w:rsidRDefault="00F73D5B" w:rsidP="00F73D5B">
      <w:pPr>
        <w:pStyle w:val="enumlev1"/>
        <w:rPr>
          <w:lang w:val="es-ES_tradnl"/>
        </w:rPr>
      </w:pPr>
      <w:r w:rsidRPr="008B7A21">
        <w:rPr>
          <w:lang w:val="es-ES_tradnl"/>
        </w:rPr>
        <w:t>3.1</w:t>
      </w:r>
      <w:r w:rsidRPr="008B7A21">
        <w:rPr>
          <w:lang w:val="es-ES_tradnl"/>
        </w:rPr>
        <w:tab/>
        <w:t>Cada solicitud de autorización para el uso del espectro radioeléctrico requiere el pago por adelantado no restituible de 500 Dirhams para su tramitación, independientemente del resultado final de la citada solicitud. La TRA puede aconsejar a ciertas entidades gubernamentales, operadores con licencia o cualquier usuario importante que realice el pago de los cánones por tramitación de solicitudes junto con el de los cánones del espectro. La factura y recibo de los cánones por tramitación de solicitudes sólo se deben presentar si lo solicita el peticionario. Sólo se considerarán para su tramitación las solicitudes que hayan realizado el pago y así lo demuestre el solicitante. El canon por tramitación de solicitudes para la modificación de una autorización se presentará junto con la factura anual del canon del espectro.</w:t>
      </w:r>
    </w:p>
    <w:p w14:paraId="130FA89B" w14:textId="77777777" w:rsidR="00F73D5B" w:rsidRPr="008B7A21" w:rsidRDefault="00F73D5B" w:rsidP="00F73D5B">
      <w:pPr>
        <w:pStyle w:val="ArtNo"/>
        <w:rPr>
          <w:lang w:val="es-ES_tradnl"/>
        </w:rPr>
      </w:pPr>
      <w:r w:rsidRPr="008B7A21">
        <w:rPr>
          <w:lang w:val="es-ES_tradnl"/>
        </w:rPr>
        <w:t>ARTÍCULO (4)</w:t>
      </w:r>
    </w:p>
    <w:p w14:paraId="5AC3FA0E" w14:textId="77777777" w:rsidR="00F73D5B" w:rsidRPr="008B7A21" w:rsidRDefault="00F73D5B" w:rsidP="00F73D5B">
      <w:pPr>
        <w:pStyle w:val="Arttitle"/>
        <w:rPr>
          <w:lang w:val="es-ES_tradnl"/>
        </w:rPr>
      </w:pPr>
      <w:r w:rsidRPr="008B7A21">
        <w:rPr>
          <w:lang w:val="es-ES_tradnl"/>
        </w:rPr>
        <w:t>Exención de cánones por tramitación de solicitudes</w:t>
      </w:r>
    </w:p>
    <w:p w14:paraId="68E89C41" w14:textId="77777777" w:rsidR="009207AE" w:rsidRPr="008B7A21" w:rsidRDefault="009207AE" w:rsidP="009207AE">
      <w:pPr>
        <w:pStyle w:val="Blanc"/>
        <w:rPr>
          <w:lang w:val="es-ES_tradnl" w:eastAsia="ko-KR"/>
        </w:rPr>
      </w:pPr>
    </w:p>
    <w:p w14:paraId="21CA8076" w14:textId="77777777" w:rsidR="00F73D5B" w:rsidRPr="008B7A21" w:rsidRDefault="00F73D5B" w:rsidP="00F73D5B">
      <w:pPr>
        <w:pStyle w:val="enumlev1"/>
        <w:rPr>
          <w:lang w:val="es-ES_tradnl"/>
        </w:rPr>
      </w:pPr>
      <w:r w:rsidRPr="008B7A21">
        <w:rPr>
          <w:lang w:val="es-ES_tradnl"/>
        </w:rPr>
        <w:t>4.1</w:t>
      </w:r>
      <w:r w:rsidRPr="008B7A21">
        <w:rPr>
          <w:lang w:val="es-ES_tradnl"/>
        </w:rPr>
        <w:tab/>
        <w:t>Las solicitudes siguientes estarán exentas de los cánones por tramitación de solicitudes:</w:t>
      </w:r>
    </w:p>
    <w:p w14:paraId="70AEEC15" w14:textId="77777777" w:rsidR="00F73D5B" w:rsidRPr="008B7A21" w:rsidRDefault="00F73D5B" w:rsidP="00F73D5B">
      <w:pPr>
        <w:pStyle w:val="enumlev2"/>
        <w:rPr>
          <w:lang w:val="es-ES_tradnl"/>
        </w:rPr>
      </w:pPr>
      <w:r w:rsidRPr="008B7A21">
        <w:rPr>
          <w:lang w:val="es-ES_tradnl"/>
        </w:rPr>
        <w:t>a)</w:t>
      </w:r>
      <w:r w:rsidRPr="008B7A21">
        <w:rPr>
          <w:lang w:val="es-ES_tradnl"/>
        </w:rPr>
        <w:tab/>
        <w:t>solicitudes para pequeños barcos pesqueros de arrastre;</w:t>
      </w:r>
    </w:p>
    <w:p w14:paraId="01A3CAD5" w14:textId="77777777" w:rsidR="00F73D5B" w:rsidRPr="008B7A21" w:rsidRDefault="00F73D5B" w:rsidP="00F73D5B">
      <w:pPr>
        <w:pStyle w:val="enumlev2"/>
        <w:rPr>
          <w:lang w:val="es-ES_tradnl"/>
        </w:rPr>
      </w:pPr>
      <w:r w:rsidRPr="008B7A21">
        <w:rPr>
          <w:lang w:val="es-ES_tradnl"/>
        </w:rPr>
        <w:t>b)</w:t>
      </w:r>
      <w:r w:rsidRPr="008B7A21">
        <w:rPr>
          <w:lang w:val="es-ES_tradnl"/>
        </w:rPr>
        <w:tab/>
        <w:t>solicitudes para autorizaciones de radioaficionados;</w:t>
      </w:r>
    </w:p>
    <w:p w14:paraId="03A901C2" w14:textId="77777777" w:rsidR="00F73D5B" w:rsidRPr="008B7A21" w:rsidRDefault="00F73D5B" w:rsidP="00F73D5B">
      <w:pPr>
        <w:pStyle w:val="enumlev2"/>
        <w:rPr>
          <w:lang w:val="es-ES_tradnl"/>
        </w:rPr>
      </w:pPr>
      <w:r w:rsidRPr="008B7A21">
        <w:rPr>
          <w:lang w:val="es-ES_tradnl"/>
        </w:rPr>
        <w:t>c)</w:t>
      </w:r>
      <w:r w:rsidRPr="008B7A21">
        <w:rPr>
          <w:lang w:val="es-ES_tradnl"/>
        </w:rPr>
        <w:tab/>
        <w:t>solicitudes para el uso personal de radios móviles privadas para jockeys de camellos y para cazadores;</w:t>
      </w:r>
    </w:p>
    <w:p w14:paraId="05B521AF" w14:textId="77777777" w:rsidR="00F73D5B" w:rsidRPr="008B7A21" w:rsidRDefault="00F73D5B" w:rsidP="00F73D5B">
      <w:pPr>
        <w:pStyle w:val="enumlev2"/>
        <w:rPr>
          <w:lang w:val="es-ES_tradnl"/>
        </w:rPr>
      </w:pPr>
      <w:r w:rsidRPr="008B7A21">
        <w:rPr>
          <w:lang w:val="es-ES_tradnl"/>
        </w:rPr>
        <w:t>d)</w:t>
      </w:r>
      <w:r w:rsidRPr="008B7A21">
        <w:rPr>
          <w:lang w:val="es-ES_tradnl"/>
        </w:rPr>
        <w:tab/>
        <w:t>solicitudes realizadas por clubes no comerciales para aficiones tales como el aeromodelismo;</w:t>
      </w:r>
    </w:p>
    <w:p w14:paraId="10D9EA03" w14:textId="77777777" w:rsidR="00F73D5B" w:rsidRPr="008B7A21" w:rsidRDefault="00F73D5B" w:rsidP="00F73D5B">
      <w:pPr>
        <w:pStyle w:val="enumlev2"/>
        <w:rPr>
          <w:lang w:val="es-ES_tradnl"/>
        </w:rPr>
      </w:pPr>
      <w:r w:rsidRPr="008B7A21">
        <w:rPr>
          <w:lang w:val="es-ES_tradnl"/>
        </w:rPr>
        <w:t>e)</w:t>
      </w:r>
      <w:r w:rsidRPr="008B7A21">
        <w:rPr>
          <w:lang w:val="es-ES_tradnl"/>
        </w:rPr>
        <w:tab/>
        <w:t>solicitudes realizadas por instituciones de investigación y educación para uso privativo;</w:t>
      </w:r>
    </w:p>
    <w:p w14:paraId="12F32878" w14:textId="77777777" w:rsidR="00F73D5B" w:rsidRPr="008B7A21" w:rsidRDefault="00F73D5B" w:rsidP="00F73D5B">
      <w:pPr>
        <w:pStyle w:val="enumlev2"/>
        <w:rPr>
          <w:lang w:val="es-ES_tradnl"/>
        </w:rPr>
      </w:pPr>
      <w:r w:rsidRPr="008B7A21">
        <w:rPr>
          <w:lang w:val="es-ES_tradnl"/>
        </w:rPr>
        <w:t>f)</w:t>
      </w:r>
      <w:r w:rsidRPr="008B7A21">
        <w:rPr>
          <w:lang w:val="es-ES_tradnl"/>
        </w:rPr>
        <w:tab/>
        <w:t>solicitudes realizadas por misiones extranjeras, consulados y embajadas para correspondencia oficial o visitas de dignatarios cuando se presenten a través del Ministerio de Asuntos Exteriores de los EAU.</w:t>
      </w:r>
    </w:p>
    <w:p w14:paraId="15644E86" w14:textId="77777777" w:rsidR="00F73D5B" w:rsidRPr="008B7A21" w:rsidRDefault="00F73D5B" w:rsidP="00F73D5B">
      <w:pPr>
        <w:pStyle w:val="ArtNo"/>
        <w:rPr>
          <w:lang w:val="es-ES_tradnl"/>
        </w:rPr>
      </w:pPr>
      <w:r w:rsidRPr="008B7A21">
        <w:rPr>
          <w:lang w:val="es-ES_tradnl"/>
        </w:rPr>
        <w:lastRenderedPageBreak/>
        <w:t>ARTÍCULO (5)</w:t>
      </w:r>
    </w:p>
    <w:p w14:paraId="442536BB" w14:textId="77777777" w:rsidR="00F73D5B" w:rsidRPr="008B7A21" w:rsidRDefault="00F73D5B" w:rsidP="00F73D5B">
      <w:pPr>
        <w:pStyle w:val="Arttitle"/>
        <w:rPr>
          <w:lang w:val="es-ES_tradnl"/>
        </w:rPr>
      </w:pPr>
      <w:r w:rsidRPr="008B7A21">
        <w:rPr>
          <w:lang w:val="es-ES_tradnl"/>
        </w:rPr>
        <w:t>Cánones del espectro para nuevas solicitudes</w:t>
      </w:r>
    </w:p>
    <w:p w14:paraId="7DF781A4" w14:textId="77777777" w:rsidR="009207AE" w:rsidRPr="008B7A21" w:rsidRDefault="009207AE" w:rsidP="009207AE">
      <w:pPr>
        <w:pStyle w:val="Blanc"/>
        <w:rPr>
          <w:lang w:val="es-ES_tradnl" w:eastAsia="ko-KR"/>
        </w:rPr>
      </w:pPr>
    </w:p>
    <w:p w14:paraId="504C6E6B" w14:textId="77777777" w:rsidR="00F73D5B" w:rsidRPr="008B7A21" w:rsidRDefault="00F73D5B" w:rsidP="00F73D5B">
      <w:pPr>
        <w:pStyle w:val="enumlev1"/>
        <w:rPr>
          <w:lang w:val="es-ES_tradnl"/>
        </w:rPr>
      </w:pPr>
      <w:r w:rsidRPr="008B7A21">
        <w:rPr>
          <w:lang w:val="es-ES_tradnl"/>
        </w:rPr>
        <w:t>5.1</w:t>
      </w:r>
      <w:r w:rsidRPr="008B7A21">
        <w:rPr>
          <w:lang w:val="es-ES_tradnl"/>
        </w:rPr>
        <w:tab/>
        <w:t>Los cánones del espectro se deben pagar por adelantado. Una vez tramitada la nueva solicitud, la TRA informará al solicitante sobre el canon, calculado para el periodo de validez de la autorización, empezando a partir de la fecha de expedición. El solicitante debe presentar a la TRA la prueba de pago de inmediato y no más tarde de treinta (30) días a partir de la fecha de expedición de la factura. La recepción de la factura en la TRA, una vez verificada, se considerará como prueba del pago para el otorgamiento de la autorización. Si no se recibe el pago, la TRA cancelará la solicitud y, si el solicitante desea reiterar esa solicitud, deberá volver a presentarla con un nuevo canon de tramitación de solicitud.</w:t>
      </w:r>
    </w:p>
    <w:p w14:paraId="48D7F662" w14:textId="77777777" w:rsidR="00F73D5B" w:rsidRPr="008B7A21" w:rsidRDefault="00F73D5B" w:rsidP="00F73D5B">
      <w:pPr>
        <w:pStyle w:val="ArtNo"/>
        <w:rPr>
          <w:lang w:val="es-ES_tradnl"/>
        </w:rPr>
      </w:pPr>
      <w:r w:rsidRPr="008B7A21">
        <w:rPr>
          <w:lang w:val="es-ES_tradnl"/>
        </w:rPr>
        <w:t>ARTÍCULO (6)</w:t>
      </w:r>
    </w:p>
    <w:p w14:paraId="2013F95A" w14:textId="77777777" w:rsidR="00F73D5B" w:rsidRPr="008B7A21" w:rsidRDefault="00F73D5B" w:rsidP="00F73D5B">
      <w:pPr>
        <w:pStyle w:val="Arttitle"/>
        <w:rPr>
          <w:lang w:val="es-ES_tradnl"/>
        </w:rPr>
      </w:pPr>
      <w:r w:rsidRPr="008B7A21">
        <w:rPr>
          <w:lang w:val="es-ES_tradnl"/>
        </w:rPr>
        <w:t>Cánones del espectro para renovaciones de solicitudes</w:t>
      </w:r>
    </w:p>
    <w:p w14:paraId="08BE5F5F" w14:textId="77777777" w:rsidR="009207AE" w:rsidRPr="008B7A21" w:rsidRDefault="009207AE" w:rsidP="009207AE">
      <w:pPr>
        <w:pStyle w:val="Blanc"/>
        <w:rPr>
          <w:lang w:val="es-ES_tradnl" w:eastAsia="ko-KR"/>
        </w:rPr>
      </w:pPr>
    </w:p>
    <w:p w14:paraId="0D5F8D78" w14:textId="77777777" w:rsidR="00F73D5B" w:rsidRPr="008B7A21" w:rsidRDefault="00F73D5B" w:rsidP="00F73D5B">
      <w:pPr>
        <w:pStyle w:val="enumlev1"/>
        <w:rPr>
          <w:lang w:val="es-ES_tradnl"/>
        </w:rPr>
      </w:pPr>
      <w:r w:rsidRPr="008B7A21">
        <w:rPr>
          <w:lang w:val="es-ES_tradnl"/>
        </w:rPr>
        <w:t>6.1</w:t>
      </w:r>
      <w:r w:rsidRPr="008B7A21">
        <w:rPr>
          <w:lang w:val="es-ES_tradnl"/>
        </w:rPr>
        <w:tab/>
        <w:t>El usuario autorizado es el responsable de solicitar a la TRA la renovación de la autorización, durante el periodo correspondiente, treinta (30) días antes de que expire la autorización. La TRA puede otorgar al usuario autorizado un periodo de gracia de quince (15) días tras el vencimiento para pagar los cánones del espectro de renovación sin tasas adicionales.</w:t>
      </w:r>
    </w:p>
    <w:p w14:paraId="417BCA24" w14:textId="77777777" w:rsidR="00F73D5B" w:rsidRPr="008B7A21" w:rsidRDefault="00F73D5B" w:rsidP="00F73D5B">
      <w:pPr>
        <w:pStyle w:val="ArtNo"/>
        <w:rPr>
          <w:lang w:val="es-ES_tradnl"/>
        </w:rPr>
      </w:pPr>
      <w:r w:rsidRPr="008B7A21">
        <w:rPr>
          <w:lang w:val="es-ES_tradnl"/>
        </w:rPr>
        <w:t>ARTÍCULO (7)</w:t>
      </w:r>
    </w:p>
    <w:p w14:paraId="4506AB42" w14:textId="77777777" w:rsidR="00F73D5B" w:rsidRPr="008B7A21" w:rsidRDefault="00F73D5B" w:rsidP="00F73D5B">
      <w:pPr>
        <w:pStyle w:val="Arttitle"/>
        <w:rPr>
          <w:lang w:val="es-ES_tradnl"/>
        </w:rPr>
      </w:pPr>
      <w:r w:rsidRPr="008B7A21">
        <w:rPr>
          <w:lang w:val="es-ES_tradnl"/>
        </w:rPr>
        <w:t>Tasas adicionales para la renovación de autorizaciones fuera de plazo</w:t>
      </w:r>
    </w:p>
    <w:p w14:paraId="7D3E4F4F" w14:textId="77777777" w:rsidR="009207AE" w:rsidRPr="008B7A21" w:rsidRDefault="009207AE" w:rsidP="009207AE">
      <w:pPr>
        <w:pStyle w:val="Blanc"/>
        <w:rPr>
          <w:lang w:val="es-ES_tradnl" w:eastAsia="ko-KR"/>
        </w:rPr>
      </w:pPr>
    </w:p>
    <w:p w14:paraId="0520794D" w14:textId="77777777" w:rsidR="00F73D5B" w:rsidRPr="008B7A21" w:rsidRDefault="00F73D5B" w:rsidP="00F73D5B">
      <w:pPr>
        <w:pStyle w:val="enumlev1"/>
        <w:rPr>
          <w:lang w:val="es-ES_tradnl"/>
        </w:rPr>
      </w:pPr>
      <w:r w:rsidRPr="008B7A21">
        <w:rPr>
          <w:lang w:val="es-ES_tradnl"/>
        </w:rPr>
        <w:t>7.1</w:t>
      </w:r>
      <w:r w:rsidRPr="008B7A21">
        <w:rPr>
          <w:lang w:val="es-ES_tradnl"/>
        </w:rPr>
        <w:tab/>
        <w:t>La TRA emitirá una nueva factura (suprimiendo la factura impagada) con una tasa adicional del 10% de la cantidad debida por el canon del espectro 15 días después del vencimiento de la autorización y hasta un máximo de 45 días de dicho vencimiento tras lo cual la TRA puede cancelar la autorización.</w:t>
      </w:r>
    </w:p>
    <w:p w14:paraId="53105479" w14:textId="77777777" w:rsidR="00F73D5B" w:rsidRPr="008B7A21" w:rsidRDefault="00F73D5B" w:rsidP="00F73D5B">
      <w:pPr>
        <w:pStyle w:val="ArtNo"/>
        <w:rPr>
          <w:lang w:val="es-ES_tradnl"/>
        </w:rPr>
      </w:pPr>
      <w:r w:rsidRPr="008B7A21">
        <w:rPr>
          <w:lang w:val="es-ES_tradnl"/>
        </w:rPr>
        <w:t>ARTÍCULO (8)</w:t>
      </w:r>
    </w:p>
    <w:p w14:paraId="348593A7" w14:textId="77777777" w:rsidR="00F73D5B" w:rsidRPr="008B7A21" w:rsidRDefault="00F73D5B" w:rsidP="00F73D5B">
      <w:pPr>
        <w:pStyle w:val="Arttitle"/>
        <w:rPr>
          <w:lang w:val="es-ES_tradnl"/>
        </w:rPr>
      </w:pPr>
      <w:r w:rsidRPr="008B7A21">
        <w:rPr>
          <w:lang w:val="es-ES_tradnl"/>
        </w:rPr>
        <w:t xml:space="preserve">Cánones por reproducción de autorizaciones </w:t>
      </w:r>
    </w:p>
    <w:p w14:paraId="5371FBCD" w14:textId="77777777" w:rsidR="009207AE" w:rsidRPr="008B7A21" w:rsidRDefault="009207AE" w:rsidP="009207AE">
      <w:pPr>
        <w:pStyle w:val="Blanc"/>
        <w:rPr>
          <w:lang w:val="es-ES_tradnl" w:eastAsia="ko-KR"/>
        </w:rPr>
      </w:pPr>
    </w:p>
    <w:p w14:paraId="1E171D13" w14:textId="77777777" w:rsidR="00F73D5B" w:rsidRPr="008B7A21" w:rsidRDefault="00F73D5B" w:rsidP="00F73D5B">
      <w:pPr>
        <w:pStyle w:val="enumlev1"/>
        <w:rPr>
          <w:lang w:val="es-ES_tradnl"/>
        </w:rPr>
      </w:pPr>
      <w:r w:rsidRPr="008B7A21">
        <w:rPr>
          <w:lang w:val="es-ES_tradnl"/>
        </w:rPr>
        <w:t>8.1</w:t>
      </w:r>
      <w:r w:rsidRPr="008B7A21">
        <w:rPr>
          <w:lang w:val="es-ES_tradnl"/>
        </w:rPr>
        <w:tab/>
        <w:t>En el caso de que se dañe o pierda una autorización, el usuario autorizado debe solicitar a la TRA la reproducción de la autorización. Se cobrará un pago sin devolución de cien (100) Dirhams por adelantado para la reproducción de cada autorización solicitada.</w:t>
      </w:r>
    </w:p>
    <w:p w14:paraId="13BBA908" w14:textId="77777777" w:rsidR="00F73D5B" w:rsidRPr="008B7A21" w:rsidRDefault="00F73D5B" w:rsidP="00F73D5B">
      <w:pPr>
        <w:pStyle w:val="ArtNo"/>
        <w:rPr>
          <w:lang w:val="es-ES_tradnl"/>
        </w:rPr>
      </w:pPr>
      <w:r w:rsidRPr="008B7A21">
        <w:rPr>
          <w:lang w:val="es-ES_tradnl"/>
        </w:rPr>
        <w:lastRenderedPageBreak/>
        <w:t>ARTÍCULO (9)</w:t>
      </w:r>
    </w:p>
    <w:p w14:paraId="21505713" w14:textId="77777777" w:rsidR="00F73D5B" w:rsidRPr="008B7A21" w:rsidRDefault="00F73D5B" w:rsidP="00F73D5B">
      <w:pPr>
        <w:pStyle w:val="Arttitle"/>
        <w:rPr>
          <w:lang w:val="es-ES_tradnl"/>
        </w:rPr>
      </w:pPr>
      <w:r w:rsidRPr="008B7A21">
        <w:rPr>
          <w:lang w:val="es-ES_tradnl"/>
        </w:rPr>
        <w:t xml:space="preserve">Cánones por modificación de autorizaciones </w:t>
      </w:r>
    </w:p>
    <w:p w14:paraId="73573734" w14:textId="77777777" w:rsidR="009207AE" w:rsidRPr="008B7A21" w:rsidRDefault="009207AE" w:rsidP="009207AE">
      <w:pPr>
        <w:pStyle w:val="Blanc"/>
        <w:rPr>
          <w:lang w:val="es-ES_tradnl" w:eastAsia="ko-KR"/>
        </w:rPr>
      </w:pPr>
    </w:p>
    <w:p w14:paraId="208D9DC4" w14:textId="77777777" w:rsidR="00F73D5B" w:rsidRPr="008B7A21" w:rsidRDefault="00F73D5B" w:rsidP="00F73D5B">
      <w:pPr>
        <w:pStyle w:val="enumlev1"/>
        <w:keepNext/>
        <w:keepLines/>
        <w:rPr>
          <w:lang w:val="es-ES_tradnl"/>
        </w:rPr>
      </w:pPr>
      <w:r w:rsidRPr="008B7A21">
        <w:rPr>
          <w:lang w:val="es-ES_tradnl"/>
        </w:rPr>
        <w:t>9.1</w:t>
      </w:r>
      <w:r w:rsidRPr="008B7A21">
        <w:rPr>
          <w:lang w:val="es-ES_tradnl"/>
        </w:rPr>
        <w:tab/>
        <w:t xml:space="preserve">El usuario autorizado puede solicitar la modificación de una autorización. Se cobrará una cantidad no recuperable de cien (100) Dirhams por la modificación de la autorización solicitada. Las modificaciones relativas a los datos de la persona de contacto en las autorizaciones suponen el pago del canon por reproducción mencionado en el Artículo (8) previo a la expedición de la autorización. La petición de modificación de cualquier dato del emplazamiento o la adición de equipos inalámbricos o el cambio de datos técnicos precisa el pago de los cánones de tramitación de solicitudes mencionados en el Artículo (3) anterior. En el caso de que la TRA apruebe la modificación, se calcularán los cánones anuales del espectro mediante prorrateo. El usuario autorizado deberá pagar la diferencia por adelantado a la TRA. Si la diferencia es a favor del usuario autorizado, la TRA no la devolverá y los cánones anuales para el año siguiente se calcularán a partir de los cánones revisados. El canon por tramitación de solicitudes para la modificación o reproducción de una autorización se emitirá junto con la factura de los cánones del espectro anuales. </w:t>
      </w:r>
    </w:p>
    <w:p w14:paraId="78798544" w14:textId="77777777" w:rsidR="00F73D5B" w:rsidRPr="008B7A21" w:rsidRDefault="00F73D5B" w:rsidP="00F73D5B">
      <w:pPr>
        <w:pStyle w:val="ArtNo"/>
        <w:rPr>
          <w:lang w:val="es-ES_tradnl"/>
        </w:rPr>
      </w:pPr>
      <w:r w:rsidRPr="008B7A21">
        <w:rPr>
          <w:lang w:val="es-ES_tradnl"/>
        </w:rPr>
        <w:t>ARTÍCULO (10)</w:t>
      </w:r>
    </w:p>
    <w:p w14:paraId="68FA7C35" w14:textId="77777777" w:rsidR="00F73D5B" w:rsidRPr="008B7A21" w:rsidRDefault="00F73D5B" w:rsidP="00F73D5B">
      <w:pPr>
        <w:pStyle w:val="Arttitle"/>
        <w:rPr>
          <w:lang w:val="es-ES_tradnl"/>
        </w:rPr>
      </w:pPr>
      <w:r w:rsidRPr="008B7A21">
        <w:rPr>
          <w:lang w:val="es-ES_tradnl"/>
        </w:rPr>
        <w:t xml:space="preserve">Cánones por cancelación de autorizaciones </w:t>
      </w:r>
    </w:p>
    <w:p w14:paraId="6C7BFCDB" w14:textId="77777777" w:rsidR="00F73D5B" w:rsidRPr="008B7A21" w:rsidRDefault="00F73D5B" w:rsidP="00F73D5B">
      <w:pPr>
        <w:pStyle w:val="Blanc"/>
        <w:rPr>
          <w:lang w:val="es-ES_tradnl" w:eastAsia="ko-KR"/>
        </w:rPr>
      </w:pPr>
    </w:p>
    <w:p w14:paraId="6BA04435" w14:textId="77777777" w:rsidR="00F73D5B" w:rsidRPr="008B7A21" w:rsidRDefault="00F73D5B" w:rsidP="00F73D5B">
      <w:pPr>
        <w:pStyle w:val="enumlev1"/>
        <w:rPr>
          <w:lang w:val="es-ES_tradnl"/>
        </w:rPr>
      </w:pPr>
      <w:r w:rsidRPr="008B7A21">
        <w:rPr>
          <w:lang w:val="es-ES_tradnl"/>
        </w:rPr>
        <w:t>10.1</w:t>
      </w:r>
      <w:r w:rsidRPr="008B7A21">
        <w:rPr>
          <w:lang w:val="es-ES_tradnl"/>
        </w:rPr>
        <w:tab/>
        <w:t>El usuario autorizado puede solicitar la cancelación de una autorización. No existe ningún canon por cancelación y la TRA no realizará ninguna devolución en cualquier liquidación.</w:t>
      </w:r>
    </w:p>
    <w:p w14:paraId="1BAED515" w14:textId="77777777" w:rsidR="00F73D5B" w:rsidRPr="008B7A21" w:rsidRDefault="00F73D5B" w:rsidP="00F73D5B">
      <w:pPr>
        <w:pStyle w:val="ArtNo"/>
        <w:rPr>
          <w:lang w:val="es-ES_tradnl"/>
        </w:rPr>
      </w:pPr>
      <w:r w:rsidRPr="008B7A21">
        <w:rPr>
          <w:lang w:val="es-ES_tradnl"/>
        </w:rPr>
        <w:t>ARTÍCULO (11)</w:t>
      </w:r>
    </w:p>
    <w:p w14:paraId="067D593D" w14:textId="77777777" w:rsidR="00F73D5B" w:rsidRPr="008B7A21" w:rsidRDefault="00F73D5B" w:rsidP="00F73D5B">
      <w:pPr>
        <w:pStyle w:val="Arttitle"/>
        <w:rPr>
          <w:lang w:val="es-ES_tradnl"/>
        </w:rPr>
      </w:pPr>
      <w:r w:rsidRPr="008B7A21">
        <w:rPr>
          <w:lang w:val="es-ES_tradnl"/>
        </w:rPr>
        <w:t>Cánones del espectro para el servicio público móvil terrestre (celular)</w:t>
      </w:r>
    </w:p>
    <w:p w14:paraId="17C14709" w14:textId="77777777" w:rsidR="009207AE" w:rsidRPr="008B7A21" w:rsidRDefault="009207AE" w:rsidP="009207AE">
      <w:pPr>
        <w:pStyle w:val="Blanc"/>
        <w:rPr>
          <w:lang w:val="es-ES_tradnl" w:eastAsia="ko-KR"/>
        </w:rPr>
      </w:pPr>
    </w:p>
    <w:p w14:paraId="11D54045" w14:textId="77777777" w:rsidR="00F73D5B" w:rsidRPr="008B7A21" w:rsidRDefault="00F73D5B" w:rsidP="00F73D5B">
      <w:pPr>
        <w:pStyle w:val="enumlev1"/>
        <w:rPr>
          <w:lang w:val="es-ES_tradnl"/>
        </w:rPr>
      </w:pPr>
      <w:r w:rsidRPr="008B7A21">
        <w:rPr>
          <w:lang w:val="es-ES_tradnl"/>
        </w:rPr>
        <w:t>11.1</w:t>
      </w:r>
      <w:r w:rsidRPr="008B7A21">
        <w:rPr>
          <w:lang w:val="es-ES_tradnl"/>
        </w:rPr>
        <w:tab/>
        <w:t>El canon anual del espectro para los servicios móviles públicos terrestres (celular) (incluidos el GSM, UMTS e IMT) se calcularán de la forma siguiente:</w:t>
      </w:r>
    </w:p>
    <w:p w14:paraId="10D64F36" w14:textId="77777777" w:rsidR="00F73D5B" w:rsidRPr="008B7A21" w:rsidRDefault="00F73D5B" w:rsidP="00F73D5B">
      <w:pPr>
        <w:pStyle w:val="Equation"/>
        <w:rPr>
          <w:lang w:val="es-ES_tradnl"/>
        </w:rPr>
      </w:pPr>
      <w:r w:rsidRPr="008B7A21">
        <w:rPr>
          <w:lang w:val="es-ES_tradnl"/>
        </w:rPr>
        <w:tab/>
      </w:r>
      <w:r w:rsidRPr="008B7A21">
        <w:rPr>
          <w:lang w:val="es-ES_tradnl"/>
        </w:rPr>
        <w:tab/>
        <w:t>Precio del espectro = [FF </w:t>
      </w:r>
      <w:r w:rsidRPr="008B7A21">
        <w:rPr>
          <w:lang w:val="es-ES_tradnl"/>
        </w:rPr>
        <w:sym w:font="Symbol" w:char="F0B4"/>
      </w:r>
      <w:r w:rsidRPr="008B7A21">
        <w:rPr>
          <w:lang w:val="es-ES_tradnl"/>
        </w:rPr>
        <w:t> CF </w:t>
      </w:r>
      <w:r w:rsidRPr="008B7A21">
        <w:rPr>
          <w:lang w:val="es-ES_tradnl"/>
        </w:rPr>
        <w:sym w:font="Symbol" w:char="F0B4"/>
      </w:r>
      <w:r w:rsidRPr="008B7A21">
        <w:rPr>
          <w:lang w:val="es-ES_tradnl"/>
        </w:rPr>
        <w:t> P </w:t>
      </w:r>
      <w:r w:rsidRPr="008B7A21">
        <w:rPr>
          <w:lang w:val="es-ES_tradnl"/>
        </w:rPr>
        <w:sym w:font="Symbol" w:char="F0B4"/>
      </w:r>
      <w:r w:rsidRPr="008B7A21">
        <w:rPr>
          <w:lang w:val="es-ES_tradnl"/>
        </w:rPr>
        <w:t> BW] / 4 000</w:t>
      </w:r>
    </w:p>
    <w:p w14:paraId="08A987EA" w14:textId="77777777" w:rsidR="00F73D5B" w:rsidRPr="008B7A21" w:rsidRDefault="00F73D5B" w:rsidP="00F73D5B">
      <w:pPr>
        <w:pStyle w:val="enumlev1"/>
        <w:rPr>
          <w:lang w:val="es-ES_tradnl"/>
        </w:rPr>
      </w:pPr>
      <w:r w:rsidRPr="008B7A21">
        <w:rPr>
          <w:lang w:val="es-ES_tradnl"/>
        </w:rPr>
        <w:tab/>
        <w:t>donde:</w:t>
      </w:r>
    </w:p>
    <w:p w14:paraId="6ACFBF72" w14:textId="77777777" w:rsidR="00F73D5B" w:rsidRPr="008B7A21" w:rsidRDefault="00F73D5B" w:rsidP="009207AE">
      <w:pPr>
        <w:pStyle w:val="enumlev1"/>
        <w:spacing w:after="120"/>
        <w:rPr>
          <w:lang w:val="es-ES_tradnl"/>
        </w:rPr>
      </w:pPr>
      <w:r w:rsidRPr="008B7A21">
        <w:rPr>
          <w:b/>
          <w:lang w:val="es-ES_tradnl"/>
        </w:rPr>
        <w:tab/>
        <w:t>FF</w:t>
      </w:r>
      <w:r w:rsidRPr="008B7A21">
        <w:rPr>
          <w:lang w:val="es-ES_tradnl"/>
        </w:rPr>
        <w:t xml:space="preserve"> = Factor de frecuencia que se determinará de la forma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8"/>
        <w:gridCol w:w="3299"/>
      </w:tblGrid>
      <w:tr w:rsidR="00F73D5B" w:rsidRPr="008B7A21" w14:paraId="33838DF8" w14:textId="77777777" w:rsidTr="00767A6A">
        <w:trPr>
          <w:trHeight w:val="514"/>
          <w:jc w:val="center"/>
        </w:trPr>
        <w:tc>
          <w:tcPr>
            <w:tcW w:w="4828" w:type="dxa"/>
            <w:tcBorders>
              <w:top w:val="single" w:sz="4" w:space="0" w:color="auto"/>
              <w:left w:val="single" w:sz="4" w:space="0" w:color="auto"/>
              <w:bottom w:val="single" w:sz="4" w:space="0" w:color="auto"/>
              <w:right w:val="single" w:sz="4" w:space="0" w:color="auto"/>
            </w:tcBorders>
            <w:vAlign w:val="center"/>
          </w:tcPr>
          <w:p w14:paraId="29D47CA2" w14:textId="77777777" w:rsidR="00F73D5B" w:rsidRPr="008B7A21" w:rsidRDefault="00F73D5B" w:rsidP="00767A6A">
            <w:pPr>
              <w:pStyle w:val="Tablehead"/>
              <w:rPr>
                <w:lang w:val="es-ES_tradnl"/>
              </w:rPr>
            </w:pPr>
            <w:r w:rsidRPr="008B7A21">
              <w:rPr>
                <w:lang w:val="es-ES_tradnl"/>
              </w:rPr>
              <w:t>Gama de frecuencias</w:t>
            </w:r>
          </w:p>
        </w:tc>
        <w:tc>
          <w:tcPr>
            <w:tcW w:w="3299" w:type="dxa"/>
            <w:tcBorders>
              <w:top w:val="single" w:sz="4" w:space="0" w:color="auto"/>
              <w:left w:val="single" w:sz="4" w:space="0" w:color="auto"/>
              <w:bottom w:val="single" w:sz="4" w:space="0" w:color="auto"/>
              <w:right w:val="single" w:sz="4" w:space="0" w:color="auto"/>
            </w:tcBorders>
            <w:vAlign w:val="center"/>
          </w:tcPr>
          <w:p w14:paraId="57BE1DA1" w14:textId="77777777" w:rsidR="00F73D5B" w:rsidRPr="008B7A21" w:rsidRDefault="00F73D5B" w:rsidP="00767A6A">
            <w:pPr>
              <w:pStyle w:val="Tablehead"/>
              <w:rPr>
                <w:lang w:val="es-ES_tradnl"/>
              </w:rPr>
            </w:pPr>
            <w:r w:rsidRPr="008B7A21">
              <w:rPr>
                <w:lang w:val="es-ES_tradnl"/>
              </w:rPr>
              <w:t>Factor de frecuencia (FF)</w:t>
            </w:r>
          </w:p>
        </w:tc>
      </w:tr>
      <w:tr w:rsidR="00F73D5B" w:rsidRPr="008B7A21" w14:paraId="18E8E909" w14:textId="77777777" w:rsidTr="00767A6A">
        <w:trPr>
          <w:jc w:val="center"/>
        </w:trPr>
        <w:tc>
          <w:tcPr>
            <w:tcW w:w="4828" w:type="dxa"/>
            <w:tcBorders>
              <w:top w:val="single" w:sz="4" w:space="0" w:color="auto"/>
              <w:left w:val="single" w:sz="4" w:space="0" w:color="auto"/>
              <w:bottom w:val="single" w:sz="4" w:space="0" w:color="auto"/>
              <w:right w:val="single" w:sz="4" w:space="0" w:color="auto"/>
            </w:tcBorders>
          </w:tcPr>
          <w:p w14:paraId="58EA2CD2" w14:textId="77777777" w:rsidR="00F73D5B" w:rsidRPr="008B7A21" w:rsidRDefault="00F73D5B" w:rsidP="00767A6A">
            <w:pPr>
              <w:pStyle w:val="Tabletext"/>
              <w:jc w:val="center"/>
              <w:rPr>
                <w:lang w:val="es-ES_tradnl"/>
              </w:rPr>
            </w:pPr>
            <w:r w:rsidRPr="008B7A21">
              <w:rPr>
                <w:lang w:val="es-ES_tradnl"/>
              </w:rPr>
              <w:t>900 MHz o menos</w:t>
            </w:r>
          </w:p>
        </w:tc>
        <w:tc>
          <w:tcPr>
            <w:tcW w:w="3299" w:type="dxa"/>
            <w:tcBorders>
              <w:top w:val="single" w:sz="4" w:space="0" w:color="auto"/>
              <w:left w:val="single" w:sz="4" w:space="0" w:color="auto"/>
              <w:bottom w:val="single" w:sz="4" w:space="0" w:color="auto"/>
              <w:right w:val="single" w:sz="4" w:space="0" w:color="auto"/>
            </w:tcBorders>
          </w:tcPr>
          <w:p w14:paraId="2AC66A4E" w14:textId="77777777" w:rsidR="00F73D5B" w:rsidRPr="008B7A21" w:rsidRDefault="00F73D5B" w:rsidP="00767A6A">
            <w:pPr>
              <w:pStyle w:val="Tabletext"/>
              <w:jc w:val="center"/>
              <w:rPr>
                <w:lang w:val="es-ES_tradnl"/>
              </w:rPr>
            </w:pPr>
            <w:r w:rsidRPr="008B7A21">
              <w:rPr>
                <w:lang w:val="es-ES_tradnl"/>
              </w:rPr>
              <w:t>1,00</w:t>
            </w:r>
          </w:p>
        </w:tc>
      </w:tr>
      <w:tr w:rsidR="00F73D5B" w:rsidRPr="008B7A21" w14:paraId="7E85B161" w14:textId="77777777" w:rsidTr="00767A6A">
        <w:trPr>
          <w:jc w:val="center"/>
        </w:trPr>
        <w:tc>
          <w:tcPr>
            <w:tcW w:w="4828" w:type="dxa"/>
            <w:tcBorders>
              <w:top w:val="single" w:sz="4" w:space="0" w:color="auto"/>
              <w:left w:val="single" w:sz="4" w:space="0" w:color="auto"/>
              <w:bottom w:val="single" w:sz="4" w:space="0" w:color="auto"/>
              <w:right w:val="single" w:sz="4" w:space="0" w:color="auto"/>
            </w:tcBorders>
          </w:tcPr>
          <w:p w14:paraId="3A40C8AD" w14:textId="77777777" w:rsidR="00F73D5B" w:rsidRPr="008B7A21" w:rsidRDefault="00F73D5B" w:rsidP="00767A6A">
            <w:pPr>
              <w:pStyle w:val="Tabletext"/>
              <w:jc w:val="center"/>
              <w:rPr>
                <w:lang w:val="es-ES_tradnl"/>
              </w:rPr>
            </w:pPr>
            <w:r w:rsidRPr="008B7A21">
              <w:rPr>
                <w:lang w:val="es-ES_tradnl"/>
              </w:rPr>
              <w:t>1 800 MHz</w:t>
            </w:r>
          </w:p>
        </w:tc>
        <w:tc>
          <w:tcPr>
            <w:tcW w:w="3299" w:type="dxa"/>
            <w:tcBorders>
              <w:top w:val="single" w:sz="4" w:space="0" w:color="auto"/>
              <w:left w:val="single" w:sz="4" w:space="0" w:color="auto"/>
              <w:bottom w:val="single" w:sz="4" w:space="0" w:color="auto"/>
              <w:right w:val="single" w:sz="4" w:space="0" w:color="auto"/>
            </w:tcBorders>
          </w:tcPr>
          <w:p w14:paraId="625F567C" w14:textId="77777777" w:rsidR="00F73D5B" w:rsidRPr="008B7A21" w:rsidRDefault="00F73D5B" w:rsidP="00767A6A">
            <w:pPr>
              <w:pStyle w:val="Tabletext"/>
              <w:jc w:val="center"/>
              <w:rPr>
                <w:lang w:val="es-ES_tradnl"/>
              </w:rPr>
            </w:pPr>
            <w:r w:rsidRPr="008B7A21">
              <w:rPr>
                <w:lang w:val="es-ES_tradnl"/>
              </w:rPr>
              <w:t>0,75</w:t>
            </w:r>
          </w:p>
        </w:tc>
      </w:tr>
      <w:tr w:rsidR="00F73D5B" w:rsidRPr="008B7A21" w14:paraId="26DC7FF1" w14:textId="77777777" w:rsidTr="00767A6A">
        <w:trPr>
          <w:jc w:val="center"/>
        </w:trPr>
        <w:tc>
          <w:tcPr>
            <w:tcW w:w="4828" w:type="dxa"/>
            <w:tcBorders>
              <w:top w:val="single" w:sz="4" w:space="0" w:color="auto"/>
              <w:left w:val="single" w:sz="4" w:space="0" w:color="auto"/>
              <w:bottom w:val="single" w:sz="4" w:space="0" w:color="auto"/>
              <w:right w:val="single" w:sz="4" w:space="0" w:color="auto"/>
            </w:tcBorders>
          </w:tcPr>
          <w:p w14:paraId="69F2CA60" w14:textId="77777777" w:rsidR="00F73D5B" w:rsidRPr="008B7A21" w:rsidRDefault="00F73D5B" w:rsidP="00767A6A">
            <w:pPr>
              <w:pStyle w:val="Tabletext"/>
              <w:jc w:val="center"/>
              <w:rPr>
                <w:lang w:val="es-ES_tradnl"/>
              </w:rPr>
            </w:pPr>
            <w:r w:rsidRPr="008B7A21">
              <w:rPr>
                <w:lang w:val="es-ES_tradnl"/>
              </w:rPr>
              <w:t>2,1 GHz</w:t>
            </w:r>
          </w:p>
        </w:tc>
        <w:tc>
          <w:tcPr>
            <w:tcW w:w="3299" w:type="dxa"/>
            <w:tcBorders>
              <w:top w:val="single" w:sz="4" w:space="0" w:color="auto"/>
              <w:left w:val="single" w:sz="4" w:space="0" w:color="auto"/>
              <w:bottom w:val="single" w:sz="4" w:space="0" w:color="auto"/>
              <w:right w:val="single" w:sz="4" w:space="0" w:color="auto"/>
            </w:tcBorders>
          </w:tcPr>
          <w:p w14:paraId="224AB3B2" w14:textId="77777777" w:rsidR="00F73D5B" w:rsidRPr="008B7A21" w:rsidRDefault="00F73D5B" w:rsidP="00767A6A">
            <w:pPr>
              <w:pStyle w:val="Tabletext"/>
              <w:jc w:val="center"/>
              <w:rPr>
                <w:lang w:val="es-ES_tradnl"/>
              </w:rPr>
            </w:pPr>
            <w:r w:rsidRPr="008B7A21">
              <w:rPr>
                <w:lang w:val="es-ES_tradnl"/>
              </w:rPr>
              <w:t>0,60</w:t>
            </w:r>
          </w:p>
        </w:tc>
      </w:tr>
      <w:tr w:rsidR="00F73D5B" w:rsidRPr="008B7A21" w14:paraId="3F67126B" w14:textId="77777777" w:rsidTr="00767A6A">
        <w:trPr>
          <w:jc w:val="center"/>
        </w:trPr>
        <w:tc>
          <w:tcPr>
            <w:tcW w:w="4828" w:type="dxa"/>
            <w:tcBorders>
              <w:top w:val="single" w:sz="4" w:space="0" w:color="auto"/>
              <w:left w:val="single" w:sz="4" w:space="0" w:color="auto"/>
              <w:bottom w:val="single" w:sz="4" w:space="0" w:color="auto"/>
              <w:right w:val="single" w:sz="4" w:space="0" w:color="auto"/>
            </w:tcBorders>
          </w:tcPr>
          <w:p w14:paraId="742516F1" w14:textId="77777777" w:rsidR="00F73D5B" w:rsidRPr="008B7A21" w:rsidRDefault="00F73D5B" w:rsidP="00767A6A">
            <w:pPr>
              <w:pStyle w:val="Tabletext"/>
              <w:jc w:val="center"/>
              <w:rPr>
                <w:lang w:val="es-ES_tradnl"/>
              </w:rPr>
            </w:pPr>
            <w:r w:rsidRPr="008B7A21">
              <w:rPr>
                <w:lang w:val="es-ES_tradnl"/>
              </w:rPr>
              <w:t>2,5 GHz</w:t>
            </w:r>
          </w:p>
        </w:tc>
        <w:tc>
          <w:tcPr>
            <w:tcW w:w="3299" w:type="dxa"/>
            <w:tcBorders>
              <w:top w:val="single" w:sz="4" w:space="0" w:color="auto"/>
              <w:left w:val="single" w:sz="4" w:space="0" w:color="auto"/>
              <w:bottom w:val="single" w:sz="4" w:space="0" w:color="auto"/>
              <w:right w:val="single" w:sz="4" w:space="0" w:color="auto"/>
            </w:tcBorders>
          </w:tcPr>
          <w:p w14:paraId="4DEE05F3" w14:textId="77777777" w:rsidR="00F73D5B" w:rsidRPr="008B7A21" w:rsidRDefault="00F73D5B" w:rsidP="00767A6A">
            <w:pPr>
              <w:pStyle w:val="Tabletext"/>
              <w:jc w:val="center"/>
              <w:rPr>
                <w:lang w:val="es-ES_tradnl"/>
              </w:rPr>
            </w:pPr>
            <w:r w:rsidRPr="008B7A21">
              <w:rPr>
                <w:lang w:val="es-ES_tradnl"/>
              </w:rPr>
              <w:t>0,50</w:t>
            </w:r>
          </w:p>
        </w:tc>
      </w:tr>
      <w:tr w:rsidR="00F73D5B" w:rsidRPr="008B7A21" w14:paraId="0DD6635E" w14:textId="77777777" w:rsidTr="00767A6A">
        <w:trPr>
          <w:jc w:val="center"/>
        </w:trPr>
        <w:tc>
          <w:tcPr>
            <w:tcW w:w="8127" w:type="dxa"/>
            <w:gridSpan w:val="2"/>
            <w:tcBorders>
              <w:top w:val="single" w:sz="4" w:space="0" w:color="auto"/>
              <w:left w:val="nil"/>
              <w:bottom w:val="nil"/>
              <w:right w:val="nil"/>
            </w:tcBorders>
          </w:tcPr>
          <w:p w14:paraId="703A7639" w14:textId="77777777" w:rsidR="00F73D5B" w:rsidRPr="008B7A21" w:rsidRDefault="00F73D5B" w:rsidP="00767A6A">
            <w:pPr>
              <w:pStyle w:val="TableLegendNote"/>
              <w:rPr>
                <w:lang w:val="es-ES_tradnl"/>
              </w:rPr>
            </w:pPr>
            <w:r w:rsidRPr="008B7A21">
              <w:rPr>
                <w:lang w:val="es-ES_tradnl"/>
              </w:rPr>
              <w:t>NOTA 1 –</w:t>
            </w:r>
            <w:r w:rsidRPr="008B7A21">
              <w:rPr>
                <w:lang w:val="es-ES_tradnl" w:eastAsia="ko-KR"/>
              </w:rPr>
              <w:t> La TRA es la única con potestad para determinar el factor de frecuencia (FF) en cualquier otra gama de frecuencias no mencionada anteriormente que se solicite para servicios públicos móviles terrestres o similares.</w:t>
            </w:r>
          </w:p>
        </w:tc>
      </w:tr>
    </w:tbl>
    <w:p w14:paraId="74AECDF5" w14:textId="77777777" w:rsidR="00F73D5B" w:rsidRPr="008B7A21" w:rsidRDefault="00F73D5B" w:rsidP="00F73D5B">
      <w:pPr>
        <w:pStyle w:val="Tablefin"/>
        <w:rPr>
          <w:lang w:val="es-ES_tradnl" w:eastAsia="ko-KR"/>
        </w:rPr>
      </w:pPr>
    </w:p>
    <w:p w14:paraId="712034C6" w14:textId="77777777" w:rsidR="00F73D5B" w:rsidRPr="008B7A21" w:rsidRDefault="00F73D5B" w:rsidP="00F73D5B">
      <w:pPr>
        <w:pStyle w:val="enumlev1"/>
        <w:keepNext/>
        <w:keepLines/>
        <w:rPr>
          <w:lang w:val="es-ES_tradnl"/>
        </w:rPr>
      </w:pPr>
      <w:r w:rsidRPr="008B7A21">
        <w:rPr>
          <w:b/>
          <w:lang w:val="es-ES_tradnl"/>
        </w:rPr>
        <w:lastRenderedPageBreak/>
        <w:tab/>
        <w:t>CF</w:t>
      </w:r>
      <w:r w:rsidRPr="008B7A21">
        <w:rPr>
          <w:lang w:val="es-ES_tradnl"/>
        </w:rPr>
        <w:t xml:space="preserve"> = Factor de cobertura que depende de la zona geográfica y se determinará de la forma siguiente:</w:t>
      </w:r>
    </w:p>
    <w:p w14:paraId="7B958B09" w14:textId="77777777" w:rsidR="00F73D5B" w:rsidRPr="008B7A21" w:rsidRDefault="00F73D5B" w:rsidP="00F73D5B">
      <w:pPr>
        <w:pStyle w:val="Blanc"/>
        <w:rPr>
          <w:lang w:val="es-ES_tradnl"/>
        </w:rPr>
      </w:pPr>
    </w:p>
    <w:tbl>
      <w:tblPr>
        <w:tblW w:w="878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1587"/>
        <w:gridCol w:w="1644"/>
        <w:gridCol w:w="2948"/>
        <w:gridCol w:w="1587"/>
      </w:tblGrid>
      <w:tr w:rsidR="00F73D5B" w:rsidRPr="008B7A21" w14:paraId="59B7CB56" w14:textId="77777777" w:rsidTr="00767A6A">
        <w:trPr>
          <w:trHeight w:val="514"/>
        </w:trPr>
        <w:tc>
          <w:tcPr>
            <w:tcW w:w="1020" w:type="dxa"/>
            <w:tcBorders>
              <w:top w:val="single" w:sz="4" w:space="0" w:color="auto"/>
              <w:left w:val="single" w:sz="4" w:space="0" w:color="auto"/>
              <w:bottom w:val="single" w:sz="4" w:space="0" w:color="auto"/>
              <w:right w:val="single" w:sz="4" w:space="0" w:color="auto"/>
            </w:tcBorders>
            <w:vAlign w:val="center"/>
          </w:tcPr>
          <w:p w14:paraId="3303C2E5" w14:textId="77777777" w:rsidR="00F73D5B" w:rsidRPr="008B7A21" w:rsidRDefault="00F73D5B" w:rsidP="00767A6A">
            <w:pPr>
              <w:pStyle w:val="Tablehead"/>
              <w:rPr>
                <w:lang w:val="es-ES_tradnl"/>
              </w:rPr>
            </w:pPr>
            <w:r w:rsidRPr="008B7A21">
              <w:rPr>
                <w:lang w:val="es-ES_tradnl"/>
              </w:rPr>
              <w:t xml:space="preserve">Zona </w:t>
            </w:r>
          </w:p>
        </w:tc>
        <w:tc>
          <w:tcPr>
            <w:tcW w:w="1587" w:type="dxa"/>
            <w:tcBorders>
              <w:top w:val="single" w:sz="4" w:space="0" w:color="auto"/>
              <w:left w:val="single" w:sz="4" w:space="0" w:color="auto"/>
              <w:bottom w:val="single" w:sz="4" w:space="0" w:color="auto"/>
              <w:right w:val="single" w:sz="4" w:space="0" w:color="auto"/>
            </w:tcBorders>
            <w:vAlign w:val="center"/>
          </w:tcPr>
          <w:p w14:paraId="325890F3" w14:textId="77777777" w:rsidR="00F73D5B" w:rsidRPr="008B7A21" w:rsidRDefault="00F73D5B" w:rsidP="00767A6A">
            <w:pPr>
              <w:pStyle w:val="Tablehead"/>
              <w:rPr>
                <w:lang w:val="es-ES_tradnl"/>
              </w:rPr>
            </w:pPr>
            <w:r w:rsidRPr="008B7A21">
              <w:rPr>
                <w:lang w:val="es-ES_tradnl"/>
              </w:rPr>
              <w:t>Zona rural o en su sede</w:t>
            </w:r>
          </w:p>
        </w:tc>
        <w:tc>
          <w:tcPr>
            <w:tcW w:w="1644" w:type="dxa"/>
            <w:tcBorders>
              <w:top w:val="single" w:sz="4" w:space="0" w:color="auto"/>
              <w:left w:val="single" w:sz="4" w:space="0" w:color="auto"/>
              <w:bottom w:val="single" w:sz="4" w:space="0" w:color="auto"/>
              <w:right w:val="single" w:sz="4" w:space="0" w:color="auto"/>
            </w:tcBorders>
            <w:vAlign w:val="center"/>
          </w:tcPr>
          <w:p w14:paraId="0ABD983E" w14:textId="77777777" w:rsidR="00F73D5B" w:rsidRPr="008B7A21" w:rsidRDefault="00F73D5B" w:rsidP="00767A6A">
            <w:pPr>
              <w:pStyle w:val="Tablehead"/>
              <w:rPr>
                <w:lang w:val="es-ES_tradnl"/>
              </w:rPr>
            </w:pPr>
            <w:r w:rsidRPr="008B7A21">
              <w:rPr>
                <w:lang w:val="es-ES_tradnl"/>
              </w:rPr>
              <w:t>Zona urbana en un Emirato</w:t>
            </w:r>
          </w:p>
        </w:tc>
        <w:tc>
          <w:tcPr>
            <w:tcW w:w="2948" w:type="dxa"/>
            <w:tcBorders>
              <w:top w:val="single" w:sz="4" w:space="0" w:color="auto"/>
              <w:left w:val="single" w:sz="4" w:space="0" w:color="auto"/>
              <w:bottom w:val="single" w:sz="4" w:space="0" w:color="auto"/>
              <w:right w:val="single" w:sz="4" w:space="0" w:color="auto"/>
            </w:tcBorders>
            <w:vAlign w:val="center"/>
          </w:tcPr>
          <w:p w14:paraId="26862D76" w14:textId="77777777" w:rsidR="00F73D5B" w:rsidRPr="008B7A21" w:rsidRDefault="00F73D5B" w:rsidP="00767A6A">
            <w:pPr>
              <w:pStyle w:val="Tablehead"/>
              <w:rPr>
                <w:lang w:val="es-ES_tradnl"/>
              </w:rPr>
            </w:pPr>
            <w:r w:rsidRPr="008B7A21">
              <w:rPr>
                <w:lang w:val="es-ES_tradnl"/>
              </w:rPr>
              <w:t>Todo el Emirato</w:t>
            </w:r>
          </w:p>
        </w:tc>
        <w:tc>
          <w:tcPr>
            <w:tcW w:w="1587" w:type="dxa"/>
            <w:tcBorders>
              <w:top w:val="single" w:sz="4" w:space="0" w:color="auto"/>
              <w:left w:val="single" w:sz="4" w:space="0" w:color="auto"/>
              <w:bottom w:val="single" w:sz="4" w:space="0" w:color="auto"/>
              <w:right w:val="single" w:sz="4" w:space="0" w:color="auto"/>
            </w:tcBorders>
            <w:vAlign w:val="center"/>
          </w:tcPr>
          <w:p w14:paraId="048ABE6B" w14:textId="77777777" w:rsidR="00F73D5B" w:rsidRPr="008B7A21" w:rsidRDefault="00F73D5B" w:rsidP="00767A6A">
            <w:pPr>
              <w:pStyle w:val="Tablehead"/>
              <w:rPr>
                <w:lang w:val="es-ES_tradnl"/>
              </w:rPr>
            </w:pPr>
            <w:r w:rsidRPr="008B7A21">
              <w:rPr>
                <w:lang w:val="es-ES_tradnl"/>
              </w:rPr>
              <w:t>Más de tres Emiratos</w:t>
            </w:r>
          </w:p>
        </w:tc>
      </w:tr>
      <w:tr w:rsidR="00F73D5B" w:rsidRPr="008B7A21" w14:paraId="0E767C00" w14:textId="77777777" w:rsidTr="00767A6A">
        <w:tc>
          <w:tcPr>
            <w:tcW w:w="1020" w:type="dxa"/>
            <w:tcBorders>
              <w:top w:val="single" w:sz="4" w:space="0" w:color="auto"/>
              <w:left w:val="single" w:sz="4" w:space="0" w:color="auto"/>
              <w:bottom w:val="single" w:sz="4" w:space="0" w:color="auto"/>
              <w:right w:val="single" w:sz="4" w:space="0" w:color="auto"/>
            </w:tcBorders>
          </w:tcPr>
          <w:p w14:paraId="7B00927B" w14:textId="77777777" w:rsidR="00F73D5B" w:rsidRPr="008B7A21" w:rsidRDefault="00F73D5B" w:rsidP="00767A6A">
            <w:pPr>
              <w:pStyle w:val="Tabletext"/>
              <w:jc w:val="center"/>
              <w:rPr>
                <w:lang w:val="es-ES_tradnl"/>
              </w:rPr>
            </w:pPr>
            <w:r w:rsidRPr="008B7A21">
              <w:rPr>
                <w:lang w:val="es-ES_tradnl"/>
              </w:rPr>
              <w:t>CF</w:t>
            </w:r>
          </w:p>
        </w:tc>
        <w:tc>
          <w:tcPr>
            <w:tcW w:w="1587" w:type="dxa"/>
            <w:tcBorders>
              <w:top w:val="single" w:sz="4" w:space="0" w:color="auto"/>
              <w:left w:val="single" w:sz="4" w:space="0" w:color="auto"/>
              <w:bottom w:val="single" w:sz="4" w:space="0" w:color="auto"/>
              <w:right w:val="single" w:sz="4" w:space="0" w:color="auto"/>
            </w:tcBorders>
          </w:tcPr>
          <w:p w14:paraId="60007CA1" w14:textId="77777777" w:rsidR="00F73D5B" w:rsidRPr="008B7A21" w:rsidRDefault="00F73D5B" w:rsidP="00767A6A">
            <w:pPr>
              <w:pStyle w:val="Tabletext"/>
              <w:jc w:val="center"/>
              <w:rPr>
                <w:lang w:val="es-ES_tradnl"/>
              </w:rPr>
            </w:pPr>
            <w:r w:rsidRPr="008B7A21">
              <w:rPr>
                <w:lang w:val="es-ES_tradnl"/>
              </w:rPr>
              <w:t>100</w:t>
            </w:r>
          </w:p>
        </w:tc>
        <w:tc>
          <w:tcPr>
            <w:tcW w:w="1644" w:type="dxa"/>
            <w:tcBorders>
              <w:top w:val="single" w:sz="4" w:space="0" w:color="auto"/>
              <w:left w:val="single" w:sz="4" w:space="0" w:color="auto"/>
              <w:bottom w:val="single" w:sz="4" w:space="0" w:color="auto"/>
              <w:right w:val="single" w:sz="4" w:space="0" w:color="auto"/>
            </w:tcBorders>
          </w:tcPr>
          <w:p w14:paraId="0DBA27C0" w14:textId="77777777" w:rsidR="00F73D5B" w:rsidRPr="008B7A21" w:rsidRDefault="00F73D5B" w:rsidP="00767A6A">
            <w:pPr>
              <w:pStyle w:val="Tabletext"/>
              <w:jc w:val="center"/>
              <w:rPr>
                <w:lang w:val="es-ES_tradnl"/>
              </w:rPr>
            </w:pPr>
            <w:r w:rsidRPr="008B7A21">
              <w:rPr>
                <w:lang w:val="es-ES_tradnl"/>
              </w:rPr>
              <w:t>500</w:t>
            </w:r>
          </w:p>
        </w:tc>
        <w:tc>
          <w:tcPr>
            <w:tcW w:w="2948" w:type="dxa"/>
            <w:tcBorders>
              <w:top w:val="single" w:sz="4" w:space="0" w:color="auto"/>
              <w:left w:val="single" w:sz="4" w:space="0" w:color="auto"/>
              <w:bottom w:val="single" w:sz="4" w:space="0" w:color="auto"/>
              <w:right w:val="single" w:sz="4" w:space="0" w:color="auto"/>
            </w:tcBorders>
          </w:tcPr>
          <w:p w14:paraId="39939C82" w14:textId="77777777" w:rsidR="00F73D5B" w:rsidRPr="008B7A21" w:rsidRDefault="00F73D5B" w:rsidP="00767A6A">
            <w:pPr>
              <w:pStyle w:val="Tabletext"/>
              <w:jc w:val="left"/>
              <w:rPr>
                <w:lang w:val="es-ES_tradnl"/>
              </w:rPr>
            </w:pPr>
            <w:r w:rsidRPr="008B7A21">
              <w:rPr>
                <w:lang w:val="es-ES_tradnl"/>
              </w:rPr>
              <w:t>2 000 para Abu Dhabi o Dubái</w:t>
            </w:r>
          </w:p>
          <w:p w14:paraId="6EE8040F" w14:textId="77777777" w:rsidR="00F73D5B" w:rsidRPr="008B7A21" w:rsidRDefault="00F73D5B" w:rsidP="00767A6A">
            <w:pPr>
              <w:pStyle w:val="Tabletext"/>
              <w:jc w:val="left"/>
              <w:rPr>
                <w:lang w:val="es-ES_tradnl"/>
              </w:rPr>
            </w:pPr>
            <w:r w:rsidRPr="008B7A21">
              <w:rPr>
                <w:lang w:val="es-ES_tradnl"/>
              </w:rPr>
              <w:t>1 000 para otros Emiratos</w:t>
            </w:r>
          </w:p>
        </w:tc>
        <w:tc>
          <w:tcPr>
            <w:tcW w:w="1587" w:type="dxa"/>
            <w:tcBorders>
              <w:top w:val="single" w:sz="4" w:space="0" w:color="auto"/>
              <w:left w:val="single" w:sz="4" w:space="0" w:color="auto"/>
              <w:bottom w:val="single" w:sz="4" w:space="0" w:color="auto"/>
              <w:right w:val="single" w:sz="4" w:space="0" w:color="auto"/>
            </w:tcBorders>
          </w:tcPr>
          <w:p w14:paraId="55F0B5AC" w14:textId="77777777" w:rsidR="00F73D5B" w:rsidRPr="008B7A21" w:rsidRDefault="00F73D5B" w:rsidP="00767A6A">
            <w:pPr>
              <w:pStyle w:val="Tabletext"/>
              <w:jc w:val="center"/>
              <w:rPr>
                <w:lang w:val="es-ES_tradnl"/>
              </w:rPr>
            </w:pPr>
            <w:r w:rsidRPr="008B7A21">
              <w:rPr>
                <w:lang w:val="es-ES_tradnl"/>
              </w:rPr>
              <w:t>4 000</w:t>
            </w:r>
          </w:p>
        </w:tc>
      </w:tr>
    </w:tbl>
    <w:p w14:paraId="727FD0C8" w14:textId="77777777" w:rsidR="00F73D5B" w:rsidRPr="008B7A21" w:rsidRDefault="00F73D5B" w:rsidP="00F73D5B">
      <w:pPr>
        <w:pStyle w:val="Tablefin"/>
        <w:rPr>
          <w:sz w:val="16"/>
          <w:szCs w:val="16"/>
          <w:lang w:val="es-ES_tradnl"/>
        </w:rPr>
      </w:pPr>
    </w:p>
    <w:p w14:paraId="2C797F1F" w14:textId="77777777" w:rsidR="00F73D5B" w:rsidRPr="008B7A21" w:rsidRDefault="00F73D5B" w:rsidP="00F73D5B">
      <w:pPr>
        <w:pStyle w:val="enumlev1"/>
        <w:rPr>
          <w:lang w:val="es-ES_tradnl"/>
        </w:rPr>
      </w:pPr>
      <w:r w:rsidRPr="008B7A21">
        <w:rPr>
          <w:b/>
          <w:lang w:val="es-ES_tradnl"/>
        </w:rPr>
        <w:tab/>
        <w:t>P</w:t>
      </w:r>
      <w:r w:rsidRPr="008B7A21">
        <w:rPr>
          <w:lang w:val="es-ES_tradnl"/>
        </w:rPr>
        <w:t> = Precio por MHz, actualmente fijado en 978 560 (novecientos setenta y ocho mil quinientos sesenta) Dirhams al año. La TRA puede llevar a cabo un estudio en cualquier momento para revisar este precio.</w:t>
      </w:r>
    </w:p>
    <w:p w14:paraId="4C0E827B" w14:textId="77777777" w:rsidR="00F73D5B" w:rsidRPr="008B7A21" w:rsidRDefault="00F73D5B" w:rsidP="00F73D5B">
      <w:pPr>
        <w:pStyle w:val="enumlev1"/>
        <w:rPr>
          <w:lang w:val="es-ES_tradnl"/>
        </w:rPr>
      </w:pPr>
      <w:r w:rsidRPr="008B7A21">
        <w:rPr>
          <w:b/>
          <w:lang w:val="es-ES_tradnl"/>
        </w:rPr>
        <w:tab/>
        <w:t>BW</w:t>
      </w:r>
      <w:r w:rsidRPr="008B7A21">
        <w:rPr>
          <w:lang w:val="es-ES_tradnl"/>
        </w:rPr>
        <w:t> = Anchura de banda asignada en MHz. Para las asignaciones dúplex de 2</w:t>
      </w:r>
      <w:r w:rsidRPr="008B7A21">
        <w:rPr>
          <w:lang w:val="es-ES_tradnl"/>
        </w:rPr>
        <w:sym w:font="Symbol" w:char="F0B4"/>
      </w:r>
      <w:r w:rsidRPr="008B7A21">
        <w:rPr>
          <w:lang w:val="es-ES_tradnl"/>
        </w:rPr>
        <w:t>20 MHz se considerará de 40 MHz.</w:t>
      </w:r>
    </w:p>
    <w:p w14:paraId="63B087B1" w14:textId="77777777" w:rsidR="00F73D5B" w:rsidRPr="008B7A21" w:rsidRDefault="00F73D5B" w:rsidP="00F73D5B">
      <w:pPr>
        <w:pStyle w:val="Note"/>
        <w:ind w:left="794"/>
        <w:rPr>
          <w:lang w:val="es-ES_tradnl" w:eastAsia="ko-KR"/>
        </w:rPr>
      </w:pPr>
      <w:r w:rsidRPr="008B7A21">
        <w:rPr>
          <w:lang w:val="es-ES_tradnl"/>
        </w:rPr>
        <w:t>NOTA 1 –</w:t>
      </w:r>
      <w:r w:rsidRPr="008B7A21">
        <w:rPr>
          <w:lang w:val="es-ES_tradnl" w:eastAsia="ko-KR"/>
        </w:rPr>
        <w:t xml:space="preserve"> La TRA es la única con potestad para determinar el factor de cobertura para una solicitud. </w:t>
      </w:r>
    </w:p>
    <w:p w14:paraId="24BC808B" w14:textId="77777777" w:rsidR="00F73D5B" w:rsidRPr="008B7A21" w:rsidRDefault="00F73D5B" w:rsidP="00F73D5B">
      <w:pPr>
        <w:pStyle w:val="ArtNo"/>
        <w:rPr>
          <w:lang w:val="es-ES_tradnl"/>
        </w:rPr>
      </w:pPr>
      <w:r w:rsidRPr="008B7A21">
        <w:rPr>
          <w:lang w:val="es-ES_tradnl"/>
        </w:rPr>
        <w:t>ARTÍCULO (12)</w:t>
      </w:r>
    </w:p>
    <w:p w14:paraId="6E9C1635" w14:textId="77777777" w:rsidR="00F73D5B" w:rsidRPr="008B7A21" w:rsidRDefault="00F73D5B" w:rsidP="00F73D5B">
      <w:pPr>
        <w:pStyle w:val="Arttitle"/>
        <w:rPr>
          <w:lang w:val="es-ES_tradnl"/>
        </w:rPr>
      </w:pPr>
      <w:r w:rsidRPr="008B7A21">
        <w:rPr>
          <w:lang w:val="es-ES_tradnl"/>
        </w:rPr>
        <w:t>Cánones del espectro para radiocomunicaciones móviles privadas,</w:t>
      </w:r>
      <w:r w:rsidRPr="008B7A21">
        <w:rPr>
          <w:lang w:val="es-ES_tradnl"/>
        </w:rPr>
        <w:br/>
        <w:t>de radiobúsqueda, interurbanas y móviles de acceso público</w:t>
      </w:r>
    </w:p>
    <w:p w14:paraId="245CFE8A" w14:textId="77777777" w:rsidR="009207AE" w:rsidRPr="008B7A21" w:rsidRDefault="009207AE" w:rsidP="009207AE">
      <w:pPr>
        <w:pStyle w:val="Blanc"/>
        <w:rPr>
          <w:lang w:val="es-ES_tradnl" w:eastAsia="ko-KR"/>
        </w:rPr>
      </w:pPr>
    </w:p>
    <w:p w14:paraId="08433B9C" w14:textId="77777777" w:rsidR="00F73D5B" w:rsidRPr="008B7A21" w:rsidRDefault="00F73D5B" w:rsidP="00F73D5B">
      <w:pPr>
        <w:pStyle w:val="enumlev1"/>
        <w:rPr>
          <w:lang w:val="es-ES_tradnl"/>
        </w:rPr>
      </w:pPr>
      <w:r w:rsidRPr="008B7A21">
        <w:rPr>
          <w:lang w:val="es-ES_tradnl"/>
        </w:rPr>
        <w:t>12.1</w:t>
      </w:r>
      <w:r w:rsidRPr="008B7A21">
        <w:rPr>
          <w:lang w:val="es-ES_tradnl"/>
        </w:rPr>
        <w:tab/>
        <w:t>Los cánones anuales del espectro para radiocomunicaciones móviles privadas (en la gama de frecuencia de 30 MHz a 700 MHz) se calcularán de la forma siguiente:</w:t>
      </w:r>
    </w:p>
    <w:p w14:paraId="16527211" w14:textId="77777777" w:rsidR="00F73D5B" w:rsidRPr="008B7A21" w:rsidRDefault="00F73D5B" w:rsidP="00F73D5B">
      <w:pPr>
        <w:pStyle w:val="Equation"/>
        <w:rPr>
          <w:lang w:val="es-ES_tradnl"/>
        </w:rPr>
      </w:pPr>
      <w:r w:rsidRPr="008B7A21">
        <w:rPr>
          <w:lang w:val="es-ES_tradnl"/>
        </w:rPr>
        <w:tab/>
      </w:r>
      <w:r w:rsidRPr="008B7A21">
        <w:rPr>
          <w:lang w:val="es-ES_tradnl"/>
        </w:rPr>
        <w:tab/>
        <w:t xml:space="preserve">Canon del espectro = NC </w:t>
      </w:r>
      <w:r w:rsidRPr="008B7A21">
        <w:rPr>
          <w:lang w:val="es-ES_tradnl"/>
        </w:rPr>
        <w:sym w:font="Symbol" w:char="F0B4"/>
      </w:r>
      <w:r w:rsidRPr="008B7A21">
        <w:rPr>
          <w:lang w:val="es-ES_tradnl"/>
        </w:rPr>
        <w:t xml:space="preserve"> CF + SUM (WE </w:t>
      </w:r>
      <w:r w:rsidRPr="008B7A21">
        <w:rPr>
          <w:lang w:val="es-ES_tradnl"/>
        </w:rPr>
        <w:sym w:font="Symbol" w:char="F0B4"/>
      </w:r>
      <w:r w:rsidRPr="008B7A21">
        <w:rPr>
          <w:lang w:val="es-ES_tradnl"/>
        </w:rPr>
        <w:t xml:space="preserve"> 500 </w:t>
      </w:r>
      <w:r w:rsidRPr="008B7A21">
        <w:rPr>
          <w:lang w:val="es-ES_tradnl"/>
        </w:rPr>
        <w:sym w:font="Symbol" w:char="F0B4"/>
      </w:r>
      <w:r w:rsidRPr="008B7A21">
        <w:rPr>
          <w:lang w:val="es-ES_tradnl"/>
        </w:rPr>
        <w:t xml:space="preserve"> PF)</w:t>
      </w:r>
    </w:p>
    <w:p w14:paraId="73EEB7F6" w14:textId="77777777" w:rsidR="00F73D5B" w:rsidRPr="008B7A21" w:rsidRDefault="00F73D5B" w:rsidP="00F73D5B">
      <w:pPr>
        <w:pStyle w:val="enumlev1"/>
        <w:rPr>
          <w:lang w:val="es-ES_tradnl"/>
        </w:rPr>
      </w:pPr>
      <w:r w:rsidRPr="008B7A21">
        <w:rPr>
          <w:lang w:val="es-ES_tradnl"/>
        </w:rPr>
        <w:tab/>
        <w:t>donde:</w:t>
      </w:r>
    </w:p>
    <w:p w14:paraId="281444A4" w14:textId="77777777" w:rsidR="00F73D5B" w:rsidRPr="008B7A21" w:rsidRDefault="00F73D5B" w:rsidP="00F73D5B">
      <w:pPr>
        <w:pStyle w:val="enumlev1"/>
        <w:rPr>
          <w:lang w:val="es-ES_tradnl"/>
        </w:rPr>
      </w:pPr>
      <w:r w:rsidRPr="008B7A21">
        <w:rPr>
          <w:b/>
          <w:lang w:val="es-ES_tradnl"/>
        </w:rPr>
        <w:tab/>
        <w:t>NC</w:t>
      </w:r>
      <w:r w:rsidRPr="008B7A21">
        <w:rPr>
          <w:lang w:val="es-ES_tradnl"/>
        </w:rPr>
        <w:t> = Número de canales (de una anchura de banda de 6,25 kHz equivalente cada uno) que se asignarán al solicitante.</w:t>
      </w:r>
    </w:p>
    <w:p w14:paraId="2C9A0D30" w14:textId="77777777" w:rsidR="00F73D5B" w:rsidRPr="008B7A21" w:rsidRDefault="00F73D5B" w:rsidP="00F73D5B">
      <w:pPr>
        <w:pStyle w:val="enumlev1"/>
        <w:rPr>
          <w:lang w:val="es-ES_tradnl"/>
        </w:rPr>
      </w:pPr>
      <w:r w:rsidRPr="008B7A21">
        <w:rPr>
          <w:b/>
          <w:lang w:val="es-ES_tradnl"/>
        </w:rPr>
        <w:tab/>
        <w:t>WE</w:t>
      </w:r>
      <w:r w:rsidRPr="008B7A21">
        <w:rPr>
          <w:lang w:val="es-ES_tradnl"/>
        </w:rPr>
        <w:t> = Equipos inalámbricos (incluidos los portátiles) que se incluirán en el cálculo.</w:t>
      </w:r>
    </w:p>
    <w:p w14:paraId="2CF8BA76" w14:textId="77777777" w:rsidR="00F73D5B" w:rsidRPr="008B7A21" w:rsidRDefault="00F73D5B" w:rsidP="00F73D5B">
      <w:pPr>
        <w:pStyle w:val="enumlev1"/>
        <w:rPr>
          <w:lang w:val="es-ES_tradnl"/>
        </w:rPr>
      </w:pPr>
      <w:r w:rsidRPr="008B7A21">
        <w:rPr>
          <w:b/>
          <w:lang w:val="es-ES_tradnl"/>
        </w:rPr>
        <w:tab/>
        <w:t xml:space="preserve">SUM (WE </w:t>
      </w:r>
      <w:r w:rsidRPr="008B7A21">
        <w:rPr>
          <w:b/>
          <w:lang w:val="es-ES_tradnl"/>
        </w:rPr>
        <w:sym w:font="Symbol" w:char="F0B4"/>
      </w:r>
      <w:r w:rsidRPr="008B7A21">
        <w:rPr>
          <w:b/>
          <w:lang w:val="es-ES_tradnl"/>
        </w:rPr>
        <w:t xml:space="preserve"> 500 </w:t>
      </w:r>
      <w:r w:rsidRPr="008B7A21">
        <w:rPr>
          <w:b/>
          <w:lang w:val="es-ES_tradnl"/>
        </w:rPr>
        <w:sym w:font="Symbol" w:char="F0B4"/>
      </w:r>
      <w:r w:rsidRPr="008B7A21">
        <w:rPr>
          <w:b/>
          <w:lang w:val="es-ES_tradnl"/>
        </w:rPr>
        <w:t xml:space="preserve"> PF)</w:t>
      </w:r>
      <w:r w:rsidRPr="008B7A21">
        <w:rPr>
          <w:lang w:val="es-ES_tradnl"/>
        </w:rPr>
        <w:t xml:space="preserve"> = Suma total de cada equipo inalámbrico multiplicado por 500 y multiplicado por el factor de potencia.</w:t>
      </w:r>
    </w:p>
    <w:p w14:paraId="5D161A68" w14:textId="77777777" w:rsidR="00F73D5B" w:rsidRPr="008B7A21" w:rsidRDefault="00F73D5B" w:rsidP="00F73D5B">
      <w:pPr>
        <w:pStyle w:val="enumlev1"/>
        <w:rPr>
          <w:lang w:val="es-ES_tradnl"/>
        </w:rPr>
      </w:pPr>
      <w:r w:rsidRPr="008B7A21">
        <w:rPr>
          <w:b/>
          <w:lang w:val="es-ES_tradnl"/>
        </w:rPr>
        <w:tab/>
        <w:t>PF</w:t>
      </w:r>
      <w:r w:rsidRPr="008B7A21">
        <w:rPr>
          <w:lang w:val="es-ES_tradnl"/>
        </w:rPr>
        <w:t> = Factor de potencia que depende de la potencia radiada autorizada (p.i.r.e.) para el equipo que se determinará de la forma siguiente:</w:t>
      </w:r>
    </w:p>
    <w:p w14:paraId="33FFE3F2" w14:textId="77777777" w:rsidR="00F73D5B" w:rsidRPr="008B7A21" w:rsidRDefault="00F73D5B" w:rsidP="00F73D5B">
      <w:pPr>
        <w:pStyle w:val="Blanc"/>
        <w:rPr>
          <w:lang w:val="es-ES_tradnl"/>
        </w:rPr>
      </w:pPr>
    </w:p>
    <w:tbl>
      <w:tblPr>
        <w:tblW w:w="8863" w:type="dxa"/>
        <w:tblInd w:w="7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277"/>
        <w:gridCol w:w="1706"/>
        <w:gridCol w:w="1128"/>
        <w:gridCol w:w="1409"/>
        <w:gridCol w:w="1970"/>
        <w:gridCol w:w="1373"/>
      </w:tblGrid>
      <w:tr w:rsidR="00F73D5B" w:rsidRPr="008B7A21" w14:paraId="71F3B110" w14:textId="77777777" w:rsidTr="00767A6A">
        <w:trPr>
          <w:trHeight w:val="330"/>
        </w:trPr>
        <w:tc>
          <w:tcPr>
            <w:tcW w:w="1277" w:type="dxa"/>
          </w:tcPr>
          <w:p w14:paraId="7AD87E6C" w14:textId="77777777" w:rsidR="00F73D5B" w:rsidRPr="008B7A21" w:rsidRDefault="00F73D5B" w:rsidP="00767A6A">
            <w:pPr>
              <w:pStyle w:val="Tablehead"/>
              <w:rPr>
                <w:lang w:val="es-ES_tradnl"/>
              </w:rPr>
            </w:pPr>
            <w:r w:rsidRPr="008B7A21">
              <w:rPr>
                <w:lang w:val="es-ES_tradnl"/>
              </w:rPr>
              <w:t xml:space="preserve">Potencia </w:t>
            </w:r>
          </w:p>
        </w:tc>
        <w:tc>
          <w:tcPr>
            <w:tcW w:w="1706" w:type="dxa"/>
          </w:tcPr>
          <w:p w14:paraId="5E76E853" w14:textId="77777777" w:rsidR="00F73D5B" w:rsidRPr="008B7A21" w:rsidRDefault="00F73D5B" w:rsidP="00767A6A">
            <w:pPr>
              <w:pStyle w:val="Tablehead"/>
              <w:rPr>
                <w:lang w:val="es-ES_tradnl"/>
              </w:rPr>
            </w:pPr>
            <w:r w:rsidRPr="008B7A21">
              <w:rPr>
                <w:lang w:val="es-ES_tradnl"/>
              </w:rPr>
              <w:t>Inferior a 1 W</w:t>
            </w:r>
          </w:p>
        </w:tc>
        <w:tc>
          <w:tcPr>
            <w:tcW w:w="1128" w:type="dxa"/>
          </w:tcPr>
          <w:p w14:paraId="12BB91FF" w14:textId="77777777" w:rsidR="00F73D5B" w:rsidRPr="008B7A21" w:rsidRDefault="00F73D5B" w:rsidP="00767A6A">
            <w:pPr>
              <w:pStyle w:val="Tablehead"/>
              <w:rPr>
                <w:lang w:val="es-ES_tradnl"/>
              </w:rPr>
            </w:pPr>
            <w:r w:rsidRPr="008B7A21">
              <w:rPr>
                <w:lang w:val="es-ES_tradnl"/>
              </w:rPr>
              <w:t>1 – 5 W</w:t>
            </w:r>
          </w:p>
        </w:tc>
        <w:tc>
          <w:tcPr>
            <w:tcW w:w="1409" w:type="dxa"/>
          </w:tcPr>
          <w:p w14:paraId="40DC8EF2" w14:textId="77777777" w:rsidR="00F73D5B" w:rsidRPr="008B7A21" w:rsidRDefault="00F73D5B" w:rsidP="00767A6A">
            <w:pPr>
              <w:pStyle w:val="Tablehead"/>
              <w:rPr>
                <w:lang w:val="es-ES_tradnl"/>
              </w:rPr>
            </w:pPr>
            <w:r w:rsidRPr="008B7A21">
              <w:rPr>
                <w:lang w:val="es-ES_tradnl"/>
              </w:rPr>
              <w:t>&gt; 5 – 10 W</w:t>
            </w:r>
          </w:p>
        </w:tc>
        <w:tc>
          <w:tcPr>
            <w:tcW w:w="1970" w:type="dxa"/>
          </w:tcPr>
          <w:p w14:paraId="6864B34D" w14:textId="77777777" w:rsidR="00F73D5B" w:rsidRPr="008B7A21" w:rsidRDefault="00F73D5B" w:rsidP="00767A6A">
            <w:pPr>
              <w:pStyle w:val="Tablehead"/>
              <w:rPr>
                <w:lang w:val="es-ES_tradnl"/>
              </w:rPr>
            </w:pPr>
            <w:r w:rsidRPr="008B7A21">
              <w:rPr>
                <w:lang w:val="es-ES_tradnl"/>
              </w:rPr>
              <w:t>&gt; 10 – 20 W</w:t>
            </w:r>
          </w:p>
        </w:tc>
        <w:tc>
          <w:tcPr>
            <w:tcW w:w="1373" w:type="dxa"/>
          </w:tcPr>
          <w:p w14:paraId="7A3F858F" w14:textId="77777777" w:rsidR="00F73D5B" w:rsidRPr="008B7A21" w:rsidRDefault="00F73D5B" w:rsidP="00767A6A">
            <w:pPr>
              <w:pStyle w:val="Tablehead"/>
              <w:rPr>
                <w:lang w:val="es-ES_tradnl"/>
              </w:rPr>
            </w:pPr>
            <w:r w:rsidRPr="008B7A21">
              <w:rPr>
                <w:lang w:val="es-ES_tradnl"/>
              </w:rPr>
              <w:t>&gt; 20 W</w:t>
            </w:r>
          </w:p>
        </w:tc>
      </w:tr>
      <w:tr w:rsidR="00F73D5B" w:rsidRPr="008B7A21" w14:paraId="6163EA1F" w14:textId="77777777" w:rsidTr="00767A6A">
        <w:trPr>
          <w:trHeight w:val="330"/>
        </w:trPr>
        <w:tc>
          <w:tcPr>
            <w:tcW w:w="1277" w:type="dxa"/>
          </w:tcPr>
          <w:p w14:paraId="2CDCA53B" w14:textId="77777777" w:rsidR="00F73D5B" w:rsidRPr="008B7A21" w:rsidRDefault="00F73D5B" w:rsidP="00767A6A">
            <w:pPr>
              <w:pStyle w:val="Tabletext"/>
              <w:jc w:val="center"/>
              <w:rPr>
                <w:lang w:val="es-ES_tradnl"/>
              </w:rPr>
            </w:pPr>
            <w:r w:rsidRPr="008B7A21">
              <w:rPr>
                <w:lang w:val="es-ES_tradnl"/>
              </w:rPr>
              <w:t>PF</w:t>
            </w:r>
          </w:p>
        </w:tc>
        <w:tc>
          <w:tcPr>
            <w:tcW w:w="0" w:type="auto"/>
          </w:tcPr>
          <w:p w14:paraId="27BB89FF" w14:textId="77777777" w:rsidR="00F73D5B" w:rsidRPr="008B7A21" w:rsidRDefault="00F73D5B" w:rsidP="00767A6A">
            <w:pPr>
              <w:pStyle w:val="Tabletext"/>
              <w:jc w:val="center"/>
              <w:rPr>
                <w:lang w:val="es-ES_tradnl"/>
              </w:rPr>
            </w:pPr>
            <w:r w:rsidRPr="008B7A21">
              <w:rPr>
                <w:lang w:val="es-ES_tradnl"/>
              </w:rPr>
              <w:t>0,25</w:t>
            </w:r>
          </w:p>
        </w:tc>
        <w:tc>
          <w:tcPr>
            <w:tcW w:w="1128" w:type="dxa"/>
          </w:tcPr>
          <w:p w14:paraId="60A9D300" w14:textId="77777777" w:rsidR="00F73D5B" w:rsidRPr="008B7A21" w:rsidRDefault="00F73D5B" w:rsidP="00767A6A">
            <w:pPr>
              <w:pStyle w:val="Tabletext"/>
              <w:jc w:val="center"/>
              <w:rPr>
                <w:lang w:val="es-ES_tradnl"/>
              </w:rPr>
            </w:pPr>
            <w:r w:rsidRPr="008B7A21">
              <w:rPr>
                <w:lang w:val="es-ES_tradnl"/>
              </w:rPr>
              <w:t>1</w:t>
            </w:r>
          </w:p>
        </w:tc>
        <w:tc>
          <w:tcPr>
            <w:tcW w:w="1409" w:type="dxa"/>
          </w:tcPr>
          <w:p w14:paraId="6E109F42" w14:textId="77777777" w:rsidR="00F73D5B" w:rsidRPr="008B7A21" w:rsidRDefault="00F73D5B" w:rsidP="00767A6A">
            <w:pPr>
              <w:pStyle w:val="Tabletext"/>
              <w:jc w:val="center"/>
              <w:rPr>
                <w:lang w:val="es-ES_tradnl"/>
              </w:rPr>
            </w:pPr>
            <w:r w:rsidRPr="008B7A21">
              <w:rPr>
                <w:lang w:val="es-ES_tradnl"/>
              </w:rPr>
              <w:t>2</w:t>
            </w:r>
          </w:p>
        </w:tc>
        <w:tc>
          <w:tcPr>
            <w:tcW w:w="1970" w:type="dxa"/>
          </w:tcPr>
          <w:p w14:paraId="0EBA9546" w14:textId="77777777" w:rsidR="00F73D5B" w:rsidRPr="008B7A21" w:rsidRDefault="00F73D5B" w:rsidP="00767A6A">
            <w:pPr>
              <w:pStyle w:val="Tabletext"/>
              <w:jc w:val="center"/>
              <w:rPr>
                <w:lang w:val="es-ES_tradnl"/>
              </w:rPr>
            </w:pPr>
            <w:r w:rsidRPr="008B7A21">
              <w:rPr>
                <w:lang w:val="es-ES_tradnl"/>
              </w:rPr>
              <w:t>3</w:t>
            </w:r>
          </w:p>
        </w:tc>
        <w:tc>
          <w:tcPr>
            <w:tcW w:w="1373" w:type="dxa"/>
          </w:tcPr>
          <w:p w14:paraId="26FD604B" w14:textId="77777777" w:rsidR="00F73D5B" w:rsidRPr="008B7A21" w:rsidRDefault="00F73D5B" w:rsidP="00767A6A">
            <w:pPr>
              <w:pStyle w:val="Tabletext"/>
              <w:jc w:val="center"/>
              <w:rPr>
                <w:lang w:val="es-ES_tradnl"/>
              </w:rPr>
            </w:pPr>
            <w:r w:rsidRPr="008B7A21">
              <w:rPr>
                <w:lang w:val="es-ES_tradnl"/>
              </w:rPr>
              <w:t>4</w:t>
            </w:r>
          </w:p>
        </w:tc>
      </w:tr>
    </w:tbl>
    <w:p w14:paraId="51198F09" w14:textId="77777777" w:rsidR="00F73D5B" w:rsidRPr="008B7A21" w:rsidRDefault="00F73D5B" w:rsidP="00F73D5B">
      <w:pPr>
        <w:pStyle w:val="Tablefin"/>
        <w:rPr>
          <w:sz w:val="16"/>
          <w:lang w:val="es-ES_tradnl"/>
        </w:rPr>
      </w:pPr>
    </w:p>
    <w:p w14:paraId="5C913C10" w14:textId="77777777" w:rsidR="00F73D5B" w:rsidRPr="008B7A21" w:rsidRDefault="00F73D5B" w:rsidP="00F73D5B">
      <w:pPr>
        <w:pStyle w:val="enumlev1"/>
        <w:rPr>
          <w:lang w:val="es-ES_tradnl"/>
        </w:rPr>
      </w:pPr>
      <w:r w:rsidRPr="008B7A21">
        <w:rPr>
          <w:b/>
          <w:lang w:val="es-ES_tradnl"/>
        </w:rPr>
        <w:tab/>
        <w:t>CF</w:t>
      </w:r>
      <w:r w:rsidRPr="008B7A21">
        <w:rPr>
          <w:lang w:val="es-ES_tradnl"/>
        </w:rPr>
        <w:t> = Factor de cobertura que depende de la zona geográfica y se determinará de la forma siguiente:</w:t>
      </w:r>
    </w:p>
    <w:p w14:paraId="4ABA0BF3" w14:textId="77777777" w:rsidR="00F73D5B" w:rsidRPr="008B7A21" w:rsidRDefault="00F73D5B" w:rsidP="00F73D5B">
      <w:pPr>
        <w:pStyle w:val="Blanc"/>
        <w:rPr>
          <w:lang w:val="es-ES_tradnl"/>
        </w:rPr>
      </w:pPr>
    </w:p>
    <w:tbl>
      <w:tblPr>
        <w:tblW w:w="890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
        <w:gridCol w:w="1588"/>
        <w:gridCol w:w="1702"/>
        <w:gridCol w:w="3007"/>
        <w:gridCol w:w="1532"/>
      </w:tblGrid>
      <w:tr w:rsidR="00F73D5B" w:rsidRPr="008B7A21" w14:paraId="2F8BDC2C" w14:textId="77777777" w:rsidTr="00767A6A">
        <w:trPr>
          <w:trHeight w:val="514"/>
        </w:trPr>
        <w:tc>
          <w:tcPr>
            <w:tcW w:w="1077" w:type="dxa"/>
            <w:tcBorders>
              <w:top w:val="single" w:sz="4" w:space="0" w:color="auto"/>
              <w:left w:val="single" w:sz="4" w:space="0" w:color="auto"/>
              <w:bottom w:val="single" w:sz="4" w:space="0" w:color="auto"/>
              <w:right w:val="single" w:sz="4" w:space="0" w:color="auto"/>
            </w:tcBorders>
            <w:vAlign w:val="center"/>
          </w:tcPr>
          <w:p w14:paraId="5E6956D2" w14:textId="77777777" w:rsidR="00F73D5B" w:rsidRPr="008B7A21" w:rsidRDefault="00F73D5B" w:rsidP="00767A6A">
            <w:pPr>
              <w:pStyle w:val="Tablehead"/>
              <w:rPr>
                <w:lang w:val="es-ES_tradnl"/>
              </w:rPr>
            </w:pPr>
            <w:r w:rsidRPr="008B7A21">
              <w:rPr>
                <w:lang w:val="es-ES_tradnl"/>
              </w:rPr>
              <w:t>Zona</w:t>
            </w:r>
          </w:p>
        </w:tc>
        <w:tc>
          <w:tcPr>
            <w:tcW w:w="1587" w:type="dxa"/>
            <w:tcBorders>
              <w:top w:val="single" w:sz="4" w:space="0" w:color="auto"/>
              <w:left w:val="single" w:sz="4" w:space="0" w:color="auto"/>
              <w:bottom w:val="single" w:sz="4" w:space="0" w:color="auto"/>
              <w:right w:val="single" w:sz="4" w:space="0" w:color="auto"/>
            </w:tcBorders>
            <w:vAlign w:val="center"/>
          </w:tcPr>
          <w:p w14:paraId="0A34A590" w14:textId="77777777" w:rsidR="00F73D5B" w:rsidRPr="008B7A21" w:rsidRDefault="00F73D5B" w:rsidP="00767A6A">
            <w:pPr>
              <w:pStyle w:val="Tablehead"/>
              <w:rPr>
                <w:lang w:val="es-ES_tradnl"/>
              </w:rPr>
            </w:pPr>
            <w:r w:rsidRPr="008B7A21">
              <w:rPr>
                <w:lang w:val="es-ES_tradnl"/>
              </w:rPr>
              <w:t>Zona rural o en su sede</w:t>
            </w:r>
          </w:p>
        </w:tc>
        <w:tc>
          <w:tcPr>
            <w:tcW w:w="1701" w:type="dxa"/>
            <w:tcBorders>
              <w:top w:val="single" w:sz="4" w:space="0" w:color="auto"/>
              <w:left w:val="single" w:sz="4" w:space="0" w:color="auto"/>
              <w:bottom w:val="single" w:sz="4" w:space="0" w:color="auto"/>
              <w:right w:val="single" w:sz="4" w:space="0" w:color="auto"/>
            </w:tcBorders>
            <w:vAlign w:val="center"/>
          </w:tcPr>
          <w:p w14:paraId="20C02EAD" w14:textId="77777777" w:rsidR="00F73D5B" w:rsidRPr="008B7A21" w:rsidRDefault="00F73D5B" w:rsidP="00767A6A">
            <w:pPr>
              <w:pStyle w:val="Tablehead"/>
              <w:rPr>
                <w:lang w:val="es-ES_tradnl"/>
              </w:rPr>
            </w:pPr>
            <w:r w:rsidRPr="008B7A21">
              <w:rPr>
                <w:lang w:val="es-ES_tradnl"/>
              </w:rPr>
              <w:t>Zona urbana en un Emirato</w:t>
            </w:r>
          </w:p>
        </w:tc>
        <w:tc>
          <w:tcPr>
            <w:tcW w:w="3005" w:type="dxa"/>
            <w:tcBorders>
              <w:top w:val="single" w:sz="4" w:space="0" w:color="auto"/>
              <w:left w:val="single" w:sz="4" w:space="0" w:color="auto"/>
              <w:bottom w:val="single" w:sz="4" w:space="0" w:color="auto"/>
              <w:right w:val="single" w:sz="4" w:space="0" w:color="auto"/>
            </w:tcBorders>
            <w:vAlign w:val="center"/>
          </w:tcPr>
          <w:p w14:paraId="07CB6084" w14:textId="77777777" w:rsidR="00F73D5B" w:rsidRPr="008B7A21" w:rsidRDefault="00F73D5B" w:rsidP="00767A6A">
            <w:pPr>
              <w:pStyle w:val="Tablehead"/>
              <w:rPr>
                <w:lang w:val="es-ES_tradnl"/>
              </w:rPr>
            </w:pPr>
            <w:r w:rsidRPr="008B7A21">
              <w:rPr>
                <w:lang w:val="es-ES_tradnl"/>
              </w:rPr>
              <w:t>Todo el Emirato</w:t>
            </w:r>
          </w:p>
        </w:tc>
        <w:tc>
          <w:tcPr>
            <w:tcW w:w="1531" w:type="dxa"/>
            <w:tcBorders>
              <w:top w:val="single" w:sz="4" w:space="0" w:color="auto"/>
              <w:left w:val="single" w:sz="4" w:space="0" w:color="auto"/>
              <w:bottom w:val="single" w:sz="4" w:space="0" w:color="auto"/>
              <w:right w:val="single" w:sz="4" w:space="0" w:color="auto"/>
            </w:tcBorders>
            <w:vAlign w:val="center"/>
          </w:tcPr>
          <w:p w14:paraId="20426E3D" w14:textId="77777777" w:rsidR="00F73D5B" w:rsidRPr="008B7A21" w:rsidRDefault="00F73D5B" w:rsidP="00767A6A">
            <w:pPr>
              <w:pStyle w:val="Tablehead"/>
              <w:rPr>
                <w:lang w:val="es-ES_tradnl"/>
              </w:rPr>
            </w:pPr>
            <w:r w:rsidRPr="008B7A21">
              <w:rPr>
                <w:lang w:val="es-ES_tradnl"/>
              </w:rPr>
              <w:t>Más de tres Emiratos</w:t>
            </w:r>
          </w:p>
        </w:tc>
      </w:tr>
      <w:tr w:rsidR="00F73D5B" w:rsidRPr="008B7A21" w14:paraId="333E63DC" w14:textId="77777777" w:rsidTr="00767A6A">
        <w:tc>
          <w:tcPr>
            <w:tcW w:w="1077" w:type="dxa"/>
            <w:tcBorders>
              <w:top w:val="single" w:sz="4" w:space="0" w:color="auto"/>
              <w:left w:val="single" w:sz="4" w:space="0" w:color="auto"/>
              <w:bottom w:val="single" w:sz="4" w:space="0" w:color="auto"/>
              <w:right w:val="single" w:sz="4" w:space="0" w:color="auto"/>
            </w:tcBorders>
          </w:tcPr>
          <w:p w14:paraId="238A5ECD" w14:textId="77777777" w:rsidR="00F73D5B" w:rsidRPr="008B7A21" w:rsidRDefault="00F73D5B" w:rsidP="00767A6A">
            <w:pPr>
              <w:pStyle w:val="Tabletext"/>
              <w:jc w:val="center"/>
              <w:rPr>
                <w:lang w:val="es-ES_tradnl"/>
              </w:rPr>
            </w:pPr>
            <w:r w:rsidRPr="008B7A21">
              <w:rPr>
                <w:lang w:val="es-ES_tradnl"/>
              </w:rPr>
              <w:t>CF</w:t>
            </w:r>
          </w:p>
        </w:tc>
        <w:tc>
          <w:tcPr>
            <w:tcW w:w="1587" w:type="dxa"/>
            <w:tcBorders>
              <w:top w:val="single" w:sz="4" w:space="0" w:color="auto"/>
              <w:left w:val="single" w:sz="4" w:space="0" w:color="auto"/>
              <w:bottom w:val="single" w:sz="4" w:space="0" w:color="auto"/>
              <w:right w:val="single" w:sz="4" w:space="0" w:color="auto"/>
            </w:tcBorders>
          </w:tcPr>
          <w:p w14:paraId="0E6397A5" w14:textId="77777777" w:rsidR="00F73D5B" w:rsidRPr="008B7A21" w:rsidRDefault="00F73D5B" w:rsidP="00767A6A">
            <w:pPr>
              <w:pStyle w:val="Tabletext"/>
              <w:jc w:val="center"/>
              <w:rPr>
                <w:lang w:val="es-ES_tradnl"/>
              </w:rPr>
            </w:pPr>
            <w:r w:rsidRPr="008B7A21">
              <w:rPr>
                <w:lang w:val="es-ES_tradnl"/>
              </w:rPr>
              <w:t>100</w:t>
            </w:r>
          </w:p>
        </w:tc>
        <w:tc>
          <w:tcPr>
            <w:tcW w:w="1701" w:type="dxa"/>
            <w:tcBorders>
              <w:top w:val="single" w:sz="4" w:space="0" w:color="auto"/>
              <w:left w:val="single" w:sz="4" w:space="0" w:color="auto"/>
              <w:bottom w:val="single" w:sz="4" w:space="0" w:color="auto"/>
              <w:right w:val="single" w:sz="4" w:space="0" w:color="auto"/>
            </w:tcBorders>
          </w:tcPr>
          <w:p w14:paraId="1DBD5F1F" w14:textId="77777777" w:rsidR="00F73D5B" w:rsidRPr="008B7A21" w:rsidRDefault="00F73D5B" w:rsidP="00767A6A">
            <w:pPr>
              <w:pStyle w:val="Tabletext"/>
              <w:jc w:val="center"/>
              <w:rPr>
                <w:lang w:val="es-ES_tradnl"/>
              </w:rPr>
            </w:pPr>
            <w:r w:rsidRPr="008B7A21">
              <w:rPr>
                <w:lang w:val="es-ES_tradnl"/>
              </w:rPr>
              <w:t>500</w:t>
            </w:r>
          </w:p>
        </w:tc>
        <w:tc>
          <w:tcPr>
            <w:tcW w:w="3005" w:type="dxa"/>
            <w:tcBorders>
              <w:top w:val="single" w:sz="4" w:space="0" w:color="auto"/>
              <w:left w:val="single" w:sz="4" w:space="0" w:color="auto"/>
              <w:bottom w:val="single" w:sz="4" w:space="0" w:color="auto"/>
              <w:right w:val="single" w:sz="4" w:space="0" w:color="auto"/>
            </w:tcBorders>
          </w:tcPr>
          <w:p w14:paraId="04F6FB5C" w14:textId="77777777" w:rsidR="00F73D5B" w:rsidRPr="008B7A21" w:rsidRDefault="00F73D5B" w:rsidP="00767A6A">
            <w:pPr>
              <w:pStyle w:val="Tabletext"/>
              <w:jc w:val="left"/>
              <w:rPr>
                <w:lang w:val="es-ES_tradnl"/>
              </w:rPr>
            </w:pPr>
            <w:r w:rsidRPr="008B7A21">
              <w:rPr>
                <w:lang w:val="es-ES_tradnl"/>
              </w:rPr>
              <w:t>2 000 para Abu Dhabi o Dubái</w:t>
            </w:r>
          </w:p>
          <w:p w14:paraId="1215BCC2" w14:textId="77777777" w:rsidR="00F73D5B" w:rsidRPr="008B7A21" w:rsidRDefault="00F73D5B" w:rsidP="00767A6A">
            <w:pPr>
              <w:pStyle w:val="Tabletext"/>
              <w:jc w:val="left"/>
              <w:rPr>
                <w:lang w:val="es-ES_tradnl"/>
              </w:rPr>
            </w:pPr>
            <w:r w:rsidRPr="008B7A21">
              <w:rPr>
                <w:lang w:val="es-ES_tradnl"/>
              </w:rPr>
              <w:t>1 000 para otros Emiratos</w:t>
            </w:r>
          </w:p>
        </w:tc>
        <w:tc>
          <w:tcPr>
            <w:tcW w:w="1531" w:type="dxa"/>
            <w:tcBorders>
              <w:top w:val="single" w:sz="4" w:space="0" w:color="auto"/>
              <w:left w:val="single" w:sz="4" w:space="0" w:color="auto"/>
              <w:bottom w:val="single" w:sz="4" w:space="0" w:color="auto"/>
              <w:right w:val="single" w:sz="4" w:space="0" w:color="auto"/>
            </w:tcBorders>
          </w:tcPr>
          <w:p w14:paraId="66F72B20" w14:textId="77777777" w:rsidR="00F73D5B" w:rsidRPr="008B7A21" w:rsidRDefault="00F73D5B" w:rsidP="00767A6A">
            <w:pPr>
              <w:pStyle w:val="Tabletext"/>
              <w:jc w:val="center"/>
              <w:rPr>
                <w:lang w:val="es-ES_tradnl"/>
              </w:rPr>
            </w:pPr>
            <w:r w:rsidRPr="008B7A21">
              <w:rPr>
                <w:lang w:val="es-ES_tradnl"/>
              </w:rPr>
              <w:t>4 000</w:t>
            </w:r>
          </w:p>
        </w:tc>
      </w:tr>
      <w:tr w:rsidR="00F73D5B" w:rsidRPr="008B7A21" w14:paraId="63DDCEE2" w14:textId="77777777" w:rsidTr="00767A6A">
        <w:tc>
          <w:tcPr>
            <w:tcW w:w="8901" w:type="dxa"/>
            <w:gridSpan w:val="5"/>
            <w:tcBorders>
              <w:top w:val="single" w:sz="4" w:space="0" w:color="auto"/>
              <w:left w:val="nil"/>
              <w:bottom w:val="nil"/>
              <w:right w:val="nil"/>
            </w:tcBorders>
          </w:tcPr>
          <w:p w14:paraId="7B89C4B6" w14:textId="77777777" w:rsidR="00F73D5B" w:rsidRPr="008B7A21" w:rsidRDefault="00F73D5B" w:rsidP="00767A6A">
            <w:pPr>
              <w:pStyle w:val="TableLegendNote"/>
              <w:rPr>
                <w:lang w:val="es-ES_tradnl"/>
              </w:rPr>
            </w:pPr>
            <w:r w:rsidRPr="008B7A21">
              <w:rPr>
                <w:lang w:val="es-ES_tradnl"/>
              </w:rPr>
              <w:t>NOTA 1 –</w:t>
            </w:r>
            <w:r w:rsidRPr="008B7A21">
              <w:rPr>
                <w:lang w:val="es-ES_tradnl" w:eastAsia="ko-KR"/>
              </w:rPr>
              <w:t> La TRA es la única con potestad para determinar el factor de cobertura para una solicitud.</w:t>
            </w:r>
          </w:p>
          <w:p w14:paraId="6F4C797E" w14:textId="77777777" w:rsidR="00F73D5B" w:rsidRPr="008B7A21" w:rsidRDefault="00F73D5B" w:rsidP="00767A6A">
            <w:pPr>
              <w:pStyle w:val="TableLegendNote"/>
              <w:spacing w:before="40"/>
              <w:rPr>
                <w:lang w:val="es-ES_tradnl"/>
              </w:rPr>
            </w:pPr>
            <w:r w:rsidRPr="008B7A21">
              <w:rPr>
                <w:lang w:val="es-ES_tradnl" w:eastAsia="ko-KR"/>
              </w:rPr>
              <w:t xml:space="preserve">NOTA 2 – El canon para las radiocomunicaciones móviles privadas a bordo de barcos será de </w:t>
            </w:r>
            <w:r w:rsidRPr="008B7A21">
              <w:rPr>
                <w:b/>
                <w:lang w:val="es-ES_tradnl" w:eastAsia="ko-KR"/>
              </w:rPr>
              <w:t>CF</w:t>
            </w:r>
            <w:r w:rsidRPr="008B7A21">
              <w:rPr>
                <w:lang w:val="es-ES_tradnl" w:eastAsia="ko-KR"/>
              </w:rPr>
              <w:t> = 100.</w:t>
            </w:r>
          </w:p>
        </w:tc>
      </w:tr>
    </w:tbl>
    <w:p w14:paraId="4F569489" w14:textId="77777777" w:rsidR="00F73D5B" w:rsidRPr="008B7A21" w:rsidRDefault="00F73D5B" w:rsidP="00F73D5B">
      <w:pPr>
        <w:pStyle w:val="enumlev1"/>
        <w:keepNext/>
        <w:keepLines/>
        <w:rPr>
          <w:lang w:val="es-ES_tradnl"/>
        </w:rPr>
      </w:pPr>
      <w:r w:rsidRPr="008B7A21">
        <w:rPr>
          <w:lang w:val="es-ES_tradnl"/>
        </w:rPr>
        <w:lastRenderedPageBreak/>
        <w:t>12.2</w:t>
      </w:r>
      <w:r w:rsidRPr="008B7A21">
        <w:rPr>
          <w:lang w:val="es-ES_tradnl"/>
        </w:rPr>
        <w:tab/>
        <w:t>Los cánones anuales del espectro para radiocomunicaciones móviles privadas (sólo vehículos) que no estén localizados (es decir, no conectados a una estación base) se calcularán de la forma siguiente:</w:t>
      </w:r>
    </w:p>
    <w:p w14:paraId="478D1CD8" w14:textId="77777777" w:rsidR="00F73D5B" w:rsidRPr="008B7A21" w:rsidRDefault="00F73D5B" w:rsidP="00F73D5B">
      <w:pPr>
        <w:pStyle w:val="Equation"/>
        <w:rPr>
          <w:lang w:val="es-ES_tradnl"/>
        </w:rPr>
      </w:pPr>
      <w:r w:rsidRPr="008B7A21">
        <w:rPr>
          <w:lang w:val="es-ES_tradnl"/>
        </w:rPr>
        <w:tab/>
      </w:r>
      <w:r w:rsidRPr="008B7A21">
        <w:rPr>
          <w:lang w:val="es-ES_tradnl"/>
        </w:rPr>
        <w:tab/>
        <w:t xml:space="preserve">Cánones del espectro = NC </w:t>
      </w:r>
      <w:r w:rsidRPr="008B7A21">
        <w:rPr>
          <w:lang w:val="es-ES_tradnl"/>
        </w:rPr>
        <w:sym w:font="Symbol" w:char="F0B4"/>
      </w:r>
      <w:r w:rsidRPr="008B7A21">
        <w:rPr>
          <w:lang w:val="es-ES_tradnl"/>
        </w:rPr>
        <w:t xml:space="preserve"> CF</w:t>
      </w:r>
    </w:p>
    <w:p w14:paraId="0B98527A" w14:textId="77777777" w:rsidR="00F73D5B" w:rsidRPr="008B7A21" w:rsidRDefault="00F73D5B" w:rsidP="00F73D5B">
      <w:pPr>
        <w:pStyle w:val="enumlev1"/>
        <w:rPr>
          <w:lang w:val="es-ES_tradnl"/>
        </w:rPr>
      </w:pPr>
      <w:r w:rsidRPr="008B7A21">
        <w:rPr>
          <w:lang w:val="es-ES_tradnl"/>
        </w:rPr>
        <w:tab/>
        <w:t>donde:</w:t>
      </w:r>
    </w:p>
    <w:p w14:paraId="6DA0DB26" w14:textId="77777777" w:rsidR="00F73D5B" w:rsidRPr="008B7A21" w:rsidRDefault="00F73D5B" w:rsidP="00F73D5B">
      <w:pPr>
        <w:pStyle w:val="enumlev1"/>
        <w:rPr>
          <w:lang w:val="es-ES_tradnl"/>
        </w:rPr>
      </w:pPr>
      <w:r w:rsidRPr="008B7A21">
        <w:rPr>
          <w:b/>
          <w:lang w:val="es-ES_tradnl"/>
        </w:rPr>
        <w:tab/>
        <w:t>NC</w:t>
      </w:r>
      <w:r w:rsidRPr="008B7A21">
        <w:rPr>
          <w:lang w:val="es-ES_tradnl"/>
        </w:rPr>
        <w:t> = Número de canales (de una anchura de banda de 12,5 kHz equivalente cada uno) que se asignarán al solicitante.</w:t>
      </w:r>
    </w:p>
    <w:p w14:paraId="4F042FEC" w14:textId="77777777" w:rsidR="00F73D5B" w:rsidRPr="008B7A21" w:rsidRDefault="00F73D5B" w:rsidP="00F73D5B">
      <w:pPr>
        <w:pStyle w:val="enumlev1"/>
        <w:rPr>
          <w:lang w:val="es-ES_tradnl"/>
        </w:rPr>
      </w:pPr>
      <w:r w:rsidRPr="008B7A21">
        <w:rPr>
          <w:b/>
          <w:lang w:val="es-ES_tradnl"/>
        </w:rPr>
        <w:tab/>
        <w:t>CF</w:t>
      </w:r>
      <w:r w:rsidRPr="008B7A21">
        <w:rPr>
          <w:lang w:val="es-ES_tradnl"/>
        </w:rPr>
        <w:t> = Factor de cobertura que depende de la zona geográfica y se determinará de la forma siguiente:</w:t>
      </w:r>
    </w:p>
    <w:p w14:paraId="6EAF58F5" w14:textId="77777777" w:rsidR="00F73D5B" w:rsidRPr="008B7A21" w:rsidRDefault="00F73D5B" w:rsidP="00F73D5B">
      <w:pPr>
        <w:pStyle w:val="Blanc"/>
        <w:rPr>
          <w:lang w:val="es-ES_tradnl"/>
        </w:rPr>
      </w:pPr>
    </w:p>
    <w:tbl>
      <w:tblPr>
        <w:tblW w:w="8901"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
        <w:gridCol w:w="1587"/>
        <w:gridCol w:w="1701"/>
        <w:gridCol w:w="3005"/>
        <w:gridCol w:w="1531"/>
      </w:tblGrid>
      <w:tr w:rsidR="00F73D5B" w:rsidRPr="008B7A21" w14:paraId="26B98CFF" w14:textId="77777777" w:rsidTr="00767A6A">
        <w:trPr>
          <w:trHeight w:val="514"/>
        </w:trPr>
        <w:tc>
          <w:tcPr>
            <w:tcW w:w="1077" w:type="dxa"/>
            <w:tcBorders>
              <w:top w:val="single" w:sz="4" w:space="0" w:color="auto"/>
              <w:left w:val="single" w:sz="4" w:space="0" w:color="auto"/>
              <w:bottom w:val="single" w:sz="4" w:space="0" w:color="auto"/>
              <w:right w:val="single" w:sz="4" w:space="0" w:color="auto"/>
            </w:tcBorders>
            <w:vAlign w:val="center"/>
          </w:tcPr>
          <w:p w14:paraId="57F4A23E" w14:textId="77777777" w:rsidR="00F73D5B" w:rsidRPr="008B7A21" w:rsidRDefault="00F73D5B" w:rsidP="00767A6A">
            <w:pPr>
              <w:pStyle w:val="Tablehead"/>
              <w:rPr>
                <w:lang w:val="es-ES_tradnl"/>
              </w:rPr>
            </w:pPr>
            <w:r w:rsidRPr="008B7A21">
              <w:rPr>
                <w:lang w:val="es-ES_tradnl"/>
              </w:rPr>
              <w:t>Zona</w:t>
            </w:r>
          </w:p>
        </w:tc>
        <w:tc>
          <w:tcPr>
            <w:tcW w:w="1587" w:type="dxa"/>
            <w:tcBorders>
              <w:top w:val="single" w:sz="4" w:space="0" w:color="auto"/>
              <w:left w:val="single" w:sz="4" w:space="0" w:color="auto"/>
              <w:bottom w:val="single" w:sz="4" w:space="0" w:color="auto"/>
              <w:right w:val="single" w:sz="4" w:space="0" w:color="auto"/>
            </w:tcBorders>
            <w:vAlign w:val="center"/>
          </w:tcPr>
          <w:p w14:paraId="5F010C73" w14:textId="77777777" w:rsidR="00F73D5B" w:rsidRPr="008B7A21" w:rsidRDefault="00F73D5B" w:rsidP="00767A6A">
            <w:pPr>
              <w:pStyle w:val="Tablehead"/>
              <w:rPr>
                <w:lang w:val="es-ES_tradnl"/>
              </w:rPr>
            </w:pPr>
            <w:r w:rsidRPr="008B7A21">
              <w:rPr>
                <w:lang w:val="es-ES_tradnl"/>
              </w:rPr>
              <w:t>Zona rural o en su sede</w:t>
            </w:r>
          </w:p>
        </w:tc>
        <w:tc>
          <w:tcPr>
            <w:tcW w:w="1701" w:type="dxa"/>
            <w:tcBorders>
              <w:top w:val="single" w:sz="4" w:space="0" w:color="auto"/>
              <w:left w:val="single" w:sz="4" w:space="0" w:color="auto"/>
              <w:bottom w:val="single" w:sz="4" w:space="0" w:color="auto"/>
              <w:right w:val="single" w:sz="4" w:space="0" w:color="auto"/>
            </w:tcBorders>
            <w:vAlign w:val="center"/>
          </w:tcPr>
          <w:p w14:paraId="46476F25" w14:textId="77777777" w:rsidR="00F73D5B" w:rsidRPr="008B7A21" w:rsidRDefault="00F73D5B" w:rsidP="00767A6A">
            <w:pPr>
              <w:pStyle w:val="Tablehead"/>
              <w:rPr>
                <w:lang w:val="es-ES_tradnl"/>
              </w:rPr>
            </w:pPr>
            <w:r w:rsidRPr="008B7A21">
              <w:rPr>
                <w:lang w:val="es-ES_tradnl"/>
              </w:rPr>
              <w:t>Zona urbana en un Emirato</w:t>
            </w:r>
          </w:p>
        </w:tc>
        <w:tc>
          <w:tcPr>
            <w:tcW w:w="3005" w:type="dxa"/>
            <w:tcBorders>
              <w:top w:val="single" w:sz="4" w:space="0" w:color="auto"/>
              <w:left w:val="single" w:sz="4" w:space="0" w:color="auto"/>
              <w:bottom w:val="single" w:sz="4" w:space="0" w:color="auto"/>
              <w:right w:val="single" w:sz="4" w:space="0" w:color="auto"/>
            </w:tcBorders>
            <w:vAlign w:val="center"/>
          </w:tcPr>
          <w:p w14:paraId="3D7FB057" w14:textId="77777777" w:rsidR="00F73D5B" w:rsidRPr="008B7A21" w:rsidRDefault="00F73D5B" w:rsidP="00767A6A">
            <w:pPr>
              <w:pStyle w:val="Tablehead"/>
              <w:rPr>
                <w:lang w:val="es-ES_tradnl"/>
              </w:rPr>
            </w:pPr>
            <w:r w:rsidRPr="008B7A21">
              <w:rPr>
                <w:lang w:val="es-ES_tradnl"/>
              </w:rPr>
              <w:t>Todo el Emirato</w:t>
            </w:r>
          </w:p>
        </w:tc>
        <w:tc>
          <w:tcPr>
            <w:tcW w:w="1531" w:type="dxa"/>
            <w:tcBorders>
              <w:top w:val="single" w:sz="4" w:space="0" w:color="auto"/>
              <w:left w:val="single" w:sz="4" w:space="0" w:color="auto"/>
              <w:bottom w:val="single" w:sz="4" w:space="0" w:color="auto"/>
              <w:right w:val="single" w:sz="4" w:space="0" w:color="auto"/>
            </w:tcBorders>
            <w:vAlign w:val="center"/>
          </w:tcPr>
          <w:p w14:paraId="669CC189" w14:textId="77777777" w:rsidR="00F73D5B" w:rsidRPr="008B7A21" w:rsidRDefault="00F73D5B" w:rsidP="00767A6A">
            <w:pPr>
              <w:pStyle w:val="Tablehead"/>
              <w:rPr>
                <w:lang w:val="es-ES_tradnl"/>
              </w:rPr>
            </w:pPr>
            <w:r w:rsidRPr="008B7A21">
              <w:rPr>
                <w:lang w:val="es-ES_tradnl"/>
              </w:rPr>
              <w:t>Más de tres Emiratos</w:t>
            </w:r>
          </w:p>
        </w:tc>
      </w:tr>
      <w:tr w:rsidR="00F73D5B" w:rsidRPr="008B7A21" w14:paraId="5AFB6570" w14:textId="77777777" w:rsidTr="00767A6A">
        <w:tc>
          <w:tcPr>
            <w:tcW w:w="1077" w:type="dxa"/>
            <w:tcBorders>
              <w:top w:val="single" w:sz="4" w:space="0" w:color="auto"/>
              <w:left w:val="single" w:sz="4" w:space="0" w:color="auto"/>
              <w:bottom w:val="single" w:sz="4" w:space="0" w:color="auto"/>
              <w:right w:val="single" w:sz="4" w:space="0" w:color="auto"/>
            </w:tcBorders>
          </w:tcPr>
          <w:p w14:paraId="3762DF84" w14:textId="77777777" w:rsidR="00F73D5B" w:rsidRPr="008B7A21" w:rsidRDefault="00F73D5B" w:rsidP="00767A6A">
            <w:pPr>
              <w:pStyle w:val="Tabletext"/>
              <w:jc w:val="center"/>
              <w:rPr>
                <w:lang w:val="es-ES_tradnl"/>
              </w:rPr>
            </w:pPr>
            <w:r w:rsidRPr="008B7A21">
              <w:rPr>
                <w:lang w:val="es-ES_tradnl"/>
              </w:rPr>
              <w:t>CF</w:t>
            </w:r>
          </w:p>
        </w:tc>
        <w:tc>
          <w:tcPr>
            <w:tcW w:w="1587" w:type="dxa"/>
            <w:tcBorders>
              <w:top w:val="single" w:sz="4" w:space="0" w:color="auto"/>
              <w:left w:val="single" w:sz="4" w:space="0" w:color="auto"/>
              <w:bottom w:val="single" w:sz="4" w:space="0" w:color="auto"/>
              <w:right w:val="single" w:sz="4" w:space="0" w:color="auto"/>
            </w:tcBorders>
          </w:tcPr>
          <w:p w14:paraId="67258C5D" w14:textId="77777777" w:rsidR="00F73D5B" w:rsidRPr="008B7A21" w:rsidRDefault="00F73D5B" w:rsidP="00767A6A">
            <w:pPr>
              <w:pStyle w:val="Tabletext"/>
              <w:jc w:val="center"/>
              <w:rPr>
                <w:lang w:val="es-ES_tradnl"/>
              </w:rPr>
            </w:pPr>
            <w:r w:rsidRPr="008B7A21">
              <w:rPr>
                <w:lang w:val="es-ES_tradnl"/>
              </w:rPr>
              <w:t>100</w:t>
            </w:r>
          </w:p>
        </w:tc>
        <w:tc>
          <w:tcPr>
            <w:tcW w:w="1701" w:type="dxa"/>
            <w:tcBorders>
              <w:top w:val="single" w:sz="4" w:space="0" w:color="auto"/>
              <w:left w:val="single" w:sz="4" w:space="0" w:color="auto"/>
              <w:bottom w:val="single" w:sz="4" w:space="0" w:color="auto"/>
              <w:right w:val="single" w:sz="4" w:space="0" w:color="auto"/>
            </w:tcBorders>
          </w:tcPr>
          <w:p w14:paraId="2686BB94" w14:textId="77777777" w:rsidR="00F73D5B" w:rsidRPr="008B7A21" w:rsidRDefault="00F73D5B" w:rsidP="00767A6A">
            <w:pPr>
              <w:pStyle w:val="Tabletext"/>
              <w:jc w:val="center"/>
              <w:rPr>
                <w:lang w:val="es-ES_tradnl"/>
              </w:rPr>
            </w:pPr>
            <w:r w:rsidRPr="008B7A21">
              <w:rPr>
                <w:lang w:val="es-ES_tradnl"/>
              </w:rPr>
              <w:t>500</w:t>
            </w:r>
          </w:p>
        </w:tc>
        <w:tc>
          <w:tcPr>
            <w:tcW w:w="3005" w:type="dxa"/>
            <w:tcBorders>
              <w:top w:val="single" w:sz="4" w:space="0" w:color="auto"/>
              <w:left w:val="single" w:sz="4" w:space="0" w:color="auto"/>
              <w:bottom w:val="single" w:sz="4" w:space="0" w:color="auto"/>
              <w:right w:val="single" w:sz="4" w:space="0" w:color="auto"/>
            </w:tcBorders>
          </w:tcPr>
          <w:p w14:paraId="19D6F6E8" w14:textId="77777777" w:rsidR="00F73D5B" w:rsidRPr="008B7A21" w:rsidRDefault="00F73D5B" w:rsidP="00767A6A">
            <w:pPr>
              <w:pStyle w:val="Tabletext"/>
              <w:jc w:val="left"/>
              <w:rPr>
                <w:lang w:val="es-ES_tradnl"/>
              </w:rPr>
            </w:pPr>
            <w:r w:rsidRPr="008B7A21">
              <w:rPr>
                <w:lang w:val="es-ES_tradnl"/>
              </w:rPr>
              <w:t>2 000 para Abu Dhabi o Dubái</w:t>
            </w:r>
          </w:p>
          <w:p w14:paraId="66CAE976" w14:textId="77777777" w:rsidR="00F73D5B" w:rsidRPr="008B7A21" w:rsidRDefault="00F73D5B" w:rsidP="00767A6A">
            <w:pPr>
              <w:pStyle w:val="Tabletext"/>
              <w:jc w:val="left"/>
              <w:rPr>
                <w:lang w:val="es-ES_tradnl"/>
              </w:rPr>
            </w:pPr>
            <w:r w:rsidRPr="008B7A21">
              <w:rPr>
                <w:lang w:val="es-ES_tradnl"/>
              </w:rPr>
              <w:t>1 000 para otros Emiratos</w:t>
            </w:r>
          </w:p>
        </w:tc>
        <w:tc>
          <w:tcPr>
            <w:tcW w:w="1531" w:type="dxa"/>
            <w:tcBorders>
              <w:top w:val="single" w:sz="4" w:space="0" w:color="auto"/>
              <w:left w:val="single" w:sz="4" w:space="0" w:color="auto"/>
              <w:bottom w:val="single" w:sz="4" w:space="0" w:color="auto"/>
              <w:right w:val="single" w:sz="4" w:space="0" w:color="auto"/>
            </w:tcBorders>
          </w:tcPr>
          <w:p w14:paraId="116B4324" w14:textId="77777777" w:rsidR="00F73D5B" w:rsidRPr="008B7A21" w:rsidRDefault="00F73D5B" w:rsidP="00767A6A">
            <w:pPr>
              <w:pStyle w:val="Tabletext"/>
              <w:jc w:val="center"/>
              <w:rPr>
                <w:lang w:val="es-ES_tradnl"/>
              </w:rPr>
            </w:pPr>
            <w:r w:rsidRPr="008B7A21">
              <w:rPr>
                <w:lang w:val="es-ES_tradnl"/>
              </w:rPr>
              <w:t>4 000</w:t>
            </w:r>
          </w:p>
        </w:tc>
      </w:tr>
      <w:tr w:rsidR="00F73D5B" w:rsidRPr="008B7A21" w14:paraId="406B2220" w14:textId="77777777" w:rsidTr="00767A6A">
        <w:tc>
          <w:tcPr>
            <w:tcW w:w="8901" w:type="dxa"/>
            <w:gridSpan w:val="5"/>
            <w:tcBorders>
              <w:top w:val="single" w:sz="4" w:space="0" w:color="auto"/>
              <w:left w:val="nil"/>
              <w:bottom w:val="nil"/>
              <w:right w:val="nil"/>
            </w:tcBorders>
          </w:tcPr>
          <w:p w14:paraId="796F5DB7" w14:textId="77777777" w:rsidR="00F73D5B" w:rsidRPr="008B7A21" w:rsidRDefault="00F73D5B" w:rsidP="00767A6A">
            <w:pPr>
              <w:pStyle w:val="TableLegendNote"/>
              <w:rPr>
                <w:lang w:val="es-ES_tradnl"/>
              </w:rPr>
            </w:pPr>
            <w:r w:rsidRPr="008B7A21">
              <w:rPr>
                <w:lang w:val="es-ES_tradnl"/>
              </w:rPr>
              <w:t>NOTA 1 – La TRA es la única con potestad para determinar el factor de cobertura para una solicitud.</w:t>
            </w:r>
          </w:p>
        </w:tc>
      </w:tr>
    </w:tbl>
    <w:p w14:paraId="69090E26" w14:textId="77777777" w:rsidR="00F73D5B" w:rsidRPr="008B7A21" w:rsidRDefault="00F73D5B" w:rsidP="00F73D5B">
      <w:pPr>
        <w:pStyle w:val="Tablefin"/>
        <w:rPr>
          <w:sz w:val="16"/>
          <w:szCs w:val="16"/>
          <w:lang w:val="es-ES_tradnl"/>
        </w:rPr>
      </w:pPr>
    </w:p>
    <w:p w14:paraId="1B70B08F" w14:textId="77777777" w:rsidR="00F73D5B" w:rsidRPr="008B7A21" w:rsidRDefault="00F73D5B" w:rsidP="00F73D5B">
      <w:pPr>
        <w:pStyle w:val="enumlev1"/>
        <w:rPr>
          <w:lang w:val="es-ES_tradnl"/>
        </w:rPr>
      </w:pPr>
      <w:r w:rsidRPr="008B7A21">
        <w:rPr>
          <w:lang w:val="es-ES_tradnl"/>
        </w:rPr>
        <w:t>12.3</w:t>
      </w:r>
      <w:r w:rsidRPr="008B7A21">
        <w:rPr>
          <w:lang w:val="es-ES_tradnl"/>
        </w:rPr>
        <w:tab/>
        <w:t>Los cánones anuales del espectro para radiocomunicaciones móviles privadas utilizadas por empresas de taxi se calcularán para la estación base de conformidad con el Artículo 12.2 y se establecen cánones diferenciados de 300 Dirhams para cada taxi equipado con una radio.</w:t>
      </w:r>
    </w:p>
    <w:p w14:paraId="4D320EE0" w14:textId="77777777" w:rsidR="00F73D5B" w:rsidRPr="008B7A21" w:rsidRDefault="00F73D5B" w:rsidP="00F73D5B">
      <w:pPr>
        <w:pStyle w:val="enumlev1"/>
        <w:rPr>
          <w:lang w:val="es-ES_tradnl"/>
        </w:rPr>
      </w:pPr>
      <w:r w:rsidRPr="008B7A21">
        <w:rPr>
          <w:lang w:val="es-ES_tradnl"/>
        </w:rPr>
        <w:t>12.4</w:t>
      </w:r>
      <w:r w:rsidRPr="008B7A21">
        <w:rPr>
          <w:lang w:val="es-ES_tradnl"/>
        </w:rPr>
        <w:tab/>
        <w:t xml:space="preserve">Los cánones anuales del espectro para radiocomunicaciones móviles privadas utilizadas en los circuitos de carreras de camellos se calcularán de la forma siguiente: </w:t>
      </w:r>
    </w:p>
    <w:p w14:paraId="147198AB" w14:textId="77777777" w:rsidR="00F73D5B" w:rsidRPr="008B7A21" w:rsidRDefault="00F73D5B" w:rsidP="00F73D5B">
      <w:pPr>
        <w:pStyle w:val="Equation"/>
        <w:rPr>
          <w:lang w:val="es-ES_tradnl"/>
        </w:rPr>
      </w:pPr>
      <w:r w:rsidRPr="008B7A21">
        <w:rPr>
          <w:lang w:val="es-ES_tradnl"/>
        </w:rPr>
        <w:tab/>
      </w:r>
      <w:r w:rsidRPr="008B7A21">
        <w:rPr>
          <w:lang w:val="es-ES_tradnl"/>
        </w:rPr>
        <w:tab/>
        <w:t xml:space="preserve">Canon del espectro = NC </w:t>
      </w:r>
      <w:r w:rsidRPr="008B7A21">
        <w:rPr>
          <w:lang w:val="es-ES_tradnl"/>
        </w:rPr>
        <w:sym w:font="Symbol" w:char="F0B4"/>
      </w:r>
      <w:r w:rsidRPr="008B7A21">
        <w:rPr>
          <w:lang w:val="es-ES_tradnl"/>
        </w:rPr>
        <w:t xml:space="preserve"> 50 + WE </w:t>
      </w:r>
      <w:r w:rsidRPr="008B7A21">
        <w:rPr>
          <w:lang w:val="es-ES_tradnl"/>
        </w:rPr>
        <w:sym w:font="Symbol" w:char="F0B4"/>
      </w:r>
      <w:r w:rsidRPr="008B7A21">
        <w:rPr>
          <w:lang w:val="es-ES_tradnl"/>
        </w:rPr>
        <w:t xml:space="preserve"> 100</w:t>
      </w:r>
    </w:p>
    <w:p w14:paraId="64FAA42C" w14:textId="77777777" w:rsidR="00F73D5B" w:rsidRPr="008B7A21" w:rsidRDefault="00F73D5B" w:rsidP="00F73D5B">
      <w:pPr>
        <w:pStyle w:val="enumlev1"/>
        <w:rPr>
          <w:lang w:val="es-ES_tradnl"/>
        </w:rPr>
      </w:pPr>
      <w:r w:rsidRPr="008B7A21">
        <w:rPr>
          <w:lang w:val="es-ES_tradnl"/>
        </w:rPr>
        <w:tab/>
        <w:t>donde:</w:t>
      </w:r>
    </w:p>
    <w:p w14:paraId="7E7913D5" w14:textId="77777777" w:rsidR="00F73D5B" w:rsidRPr="008B7A21" w:rsidRDefault="00F73D5B" w:rsidP="00F73D5B">
      <w:pPr>
        <w:pStyle w:val="enumlev1"/>
        <w:rPr>
          <w:lang w:val="es-ES_tradnl"/>
        </w:rPr>
      </w:pPr>
      <w:r w:rsidRPr="008B7A21">
        <w:rPr>
          <w:b/>
          <w:lang w:val="es-ES_tradnl"/>
        </w:rPr>
        <w:tab/>
        <w:t>NC</w:t>
      </w:r>
      <w:r w:rsidRPr="008B7A21">
        <w:rPr>
          <w:lang w:val="es-ES_tradnl"/>
        </w:rPr>
        <w:t> = Número de canales (de una anchura de banda de 6,25 kHz equivalente cada uno) que se asignarán al solicitante.</w:t>
      </w:r>
    </w:p>
    <w:p w14:paraId="05FAC925" w14:textId="77777777" w:rsidR="00F73D5B" w:rsidRPr="008B7A21" w:rsidRDefault="00F73D5B" w:rsidP="00F73D5B">
      <w:pPr>
        <w:pStyle w:val="enumlev1"/>
        <w:rPr>
          <w:lang w:val="es-ES_tradnl"/>
        </w:rPr>
      </w:pPr>
      <w:r w:rsidRPr="008B7A21">
        <w:rPr>
          <w:b/>
          <w:lang w:val="es-ES_tradnl"/>
        </w:rPr>
        <w:tab/>
        <w:t>WE</w:t>
      </w:r>
      <w:r w:rsidRPr="008B7A21">
        <w:rPr>
          <w:lang w:val="es-ES_tradnl"/>
        </w:rPr>
        <w:t> = Equipo inalámbrico (incluidos los equipos portátiles) que se incluirán en el cálculo.</w:t>
      </w:r>
    </w:p>
    <w:p w14:paraId="0103402D" w14:textId="77777777" w:rsidR="00F73D5B" w:rsidRPr="008B7A21" w:rsidRDefault="00F73D5B" w:rsidP="00F73D5B">
      <w:pPr>
        <w:pStyle w:val="enumlev1"/>
        <w:rPr>
          <w:lang w:val="es-ES_tradnl"/>
        </w:rPr>
      </w:pPr>
      <w:r w:rsidRPr="008B7A21">
        <w:rPr>
          <w:lang w:val="es-ES_tradnl"/>
        </w:rPr>
        <w:t>12.5</w:t>
      </w:r>
      <w:r w:rsidRPr="008B7A21">
        <w:rPr>
          <w:lang w:val="es-ES_tradnl"/>
        </w:rPr>
        <w:tab/>
        <w:t xml:space="preserve">Los cánones anuales del espectro para la radiobúsqueda pública se calcularán para la estación de base de conformidad con el Artículo 12.1 sin cánones adicionales para los equipos portátiles. </w:t>
      </w:r>
    </w:p>
    <w:p w14:paraId="74C1A682" w14:textId="77777777" w:rsidR="00F73D5B" w:rsidRPr="008B7A21" w:rsidRDefault="00F73D5B" w:rsidP="00F73D5B">
      <w:pPr>
        <w:pStyle w:val="enumlev1"/>
        <w:rPr>
          <w:lang w:val="es-ES_tradnl"/>
        </w:rPr>
      </w:pPr>
      <w:r w:rsidRPr="008B7A21">
        <w:rPr>
          <w:lang w:val="es-ES_tradnl"/>
        </w:rPr>
        <w:t>12.6</w:t>
      </w:r>
      <w:r w:rsidRPr="008B7A21">
        <w:rPr>
          <w:lang w:val="es-ES_tradnl"/>
        </w:rPr>
        <w:tab/>
        <w:t xml:space="preserve">Los cánones anuales del espectro para enlaces analógicos (como MPT 1327) se calcularán de conformidad con el Artículo 12.1 anterior. </w:t>
      </w:r>
    </w:p>
    <w:p w14:paraId="441DB0DB" w14:textId="77777777" w:rsidR="00F73D5B" w:rsidRPr="008B7A21" w:rsidRDefault="00F73D5B" w:rsidP="00F73D5B">
      <w:pPr>
        <w:pStyle w:val="enumlev1"/>
        <w:keepNext/>
        <w:keepLines/>
        <w:rPr>
          <w:lang w:val="es-ES_tradnl"/>
        </w:rPr>
      </w:pPr>
      <w:r w:rsidRPr="008B7A21">
        <w:rPr>
          <w:lang w:val="es-ES_tradnl"/>
        </w:rPr>
        <w:t>12.7</w:t>
      </w:r>
      <w:r w:rsidRPr="008B7A21">
        <w:rPr>
          <w:lang w:val="es-ES_tradnl"/>
        </w:rPr>
        <w:tab/>
        <w:t>Los cánones anuales del espectro para radioenlaces digitales (como TETRA, TETRAPOL, EDACS, APCO, etc.) se calcularán de la forma siguiente:</w:t>
      </w:r>
    </w:p>
    <w:p w14:paraId="421688AA" w14:textId="77777777" w:rsidR="00F73D5B" w:rsidRPr="008B7A21" w:rsidRDefault="00F73D5B" w:rsidP="00F73D5B">
      <w:pPr>
        <w:pStyle w:val="Equation"/>
        <w:rPr>
          <w:lang w:val="es-ES_tradnl"/>
        </w:rPr>
      </w:pPr>
      <w:r w:rsidRPr="008B7A21">
        <w:rPr>
          <w:lang w:val="es-ES_tradnl"/>
        </w:rPr>
        <w:tab/>
      </w:r>
      <w:r w:rsidRPr="008B7A21">
        <w:rPr>
          <w:lang w:val="es-ES_tradnl"/>
        </w:rPr>
        <w:tab/>
        <w:t xml:space="preserve">Canon del espectro = NC </w:t>
      </w:r>
      <w:r w:rsidRPr="008B7A21">
        <w:rPr>
          <w:lang w:val="es-ES_tradnl"/>
        </w:rPr>
        <w:sym w:font="Symbol" w:char="F0B4"/>
      </w:r>
      <w:r w:rsidRPr="008B7A21">
        <w:rPr>
          <w:lang w:val="es-ES_tradnl"/>
        </w:rPr>
        <w:t xml:space="preserve"> CF</w:t>
      </w:r>
    </w:p>
    <w:p w14:paraId="7585CA0E" w14:textId="77777777" w:rsidR="00F73D5B" w:rsidRPr="008B7A21" w:rsidRDefault="00F73D5B" w:rsidP="00F73D5B">
      <w:pPr>
        <w:pStyle w:val="enumlev1"/>
        <w:rPr>
          <w:lang w:val="es-ES_tradnl"/>
        </w:rPr>
      </w:pPr>
      <w:r w:rsidRPr="008B7A21">
        <w:rPr>
          <w:lang w:val="es-ES_tradnl"/>
        </w:rPr>
        <w:tab/>
        <w:t>donde:</w:t>
      </w:r>
    </w:p>
    <w:p w14:paraId="28A5754C" w14:textId="77777777" w:rsidR="00F73D5B" w:rsidRPr="008B7A21" w:rsidRDefault="00F73D5B" w:rsidP="00F73D5B">
      <w:pPr>
        <w:pStyle w:val="enumlev1"/>
        <w:rPr>
          <w:lang w:val="es-ES_tradnl"/>
        </w:rPr>
      </w:pPr>
      <w:r w:rsidRPr="008B7A21">
        <w:rPr>
          <w:b/>
          <w:lang w:val="es-ES_tradnl"/>
        </w:rPr>
        <w:tab/>
        <w:t>NC</w:t>
      </w:r>
      <w:r w:rsidRPr="008B7A21">
        <w:rPr>
          <w:lang w:val="es-ES_tradnl"/>
        </w:rPr>
        <w:t> = Número de canales (de una anchura de banda de 25 kHz equivalentes cada uno) que se asignarán al solicitante.</w:t>
      </w:r>
    </w:p>
    <w:p w14:paraId="6E91A1F9" w14:textId="77777777" w:rsidR="00F73D5B" w:rsidRPr="008B7A21" w:rsidRDefault="00F73D5B" w:rsidP="00F73D5B">
      <w:pPr>
        <w:pStyle w:val="enumlev1"/>
        <w:rPr>
          <w:lang w:val="es-ES_tradnl"/>
        </w:rPr>
      </w:pPr>
      <w:r w:rsidRPr="008B7A21">
        <w:rPr>
          <w:b/>
          <w:lang w:val="es-ES_tradnl"/>
        </w:rPr>
        <w:tab/>
        <w:t>CF</w:t>
      </w:r>
      <w:r w:rsidRPr="008B7A21">
        <w:rPr>
          <w:lang w:val="es-ES_tradnl"/>
        </w:rPr>
        <w:t> = Factor de cobertura que depende de la zona geográfica y que se determinará de la forma siguiente:</w:t>
      </w:r>
    </w:p>
    <w:p w14:paraId="63FFC497" w14:textId="77777777" w:rsidR="00F73D5B" w:rsidRPr="008B7A21" w:rsidRDefault="00F73D5B" w:rsidP="00F73D5B">
      <w:pPr>
        <w:pStyle w:val="Blanc"/>
        <w:rPr>
          <w:lang w:val="es-ES_tradnl"/>
        </w:rPr>
      </w:pPr>
    </w:p>
    <w:tbl>
      <w:tblPr>
        <w:tblW w:w="8901"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
        <w:gridCol w:w="1587"/>
        <w:gridCol w:w="1701"/>
        <w:gridCol w:w="3005"/>
        <w:gridCol w:w="1531"/>
      </w:tblGrid>
      <w:tr w:rsidR="00F73D5B" w:rsidRPr="008B7A21" w14:paraId="2FB220F3" w14:textId="77777777" w:rsidTr="00767A6A">
        <w:trPr>
          <w:trHeight w:val="514"/>
        </w:trPr>
        <w:tc>
          <w:tcPr>
            <w:tcW w:w="1077" w:type="dxa"/>
            <w:tcBorders>
              <w:top w:val="single" w:sz="4" w:space="0" w:color="auto"/>
              <w:left w:val="single" w:sz="4" w:space="0" w:color="auto"/>
              <w:bottom w:val="single" w:sz="4" w:space="0" w:color="auto"/>
              <w:right w:val="single" w:sz="4" w:space="0" w:color="auto"/>
            </w:tcBorders>
            <w:vAlign w:val="center"/>
          </w:tcPr>
          <w:p w14:paraId="6625CDDD" w14:textId="77777777" w:rsidR="00F73D5B" w:rsidRPr="008B7A21" w:rsidRDefault="00F73D5B" w:rsidP="00767A6A">
            <w:pPr>
              <w:pStyle w:val="Tablehead"/>
              <w:rPr>
                <w:lang w:val="es-ES_tradnl"/>
              </w:rPr>
            </w:pPr>
            <w:r w:rsidRPr="008B7A21">
              <w:rPr>
                <w:lang w:val="es-ES_tradnl"/>
              </w:rPr>
              <w:t xml:space="preserve">Zona </w:t>
            </w:r>
          </w:p>
        </w:tc>
        <w:tc>
          <w:tcPr>
            <w:tcW w:w="1587" w:type="dxa"/>
            <w:tcBorders>
              <w:top w:val="single" w:sz="4" w:space="0" w:color="auto"/>
              <w:left w:val="single" w:sz="4" w:space="0" w:color="auto"/>
              <w:bottom w:val="single" w:sz="4" w:space="0" w:color="auto"/>
              <w:right w:val="single" w:sz="4" w:space="0" w:color="auto"/>
            </w:tcBorders>
            <w:vAlign w:val="center"/>
          </w:tcPr>
          <w:p w14:paraId="53577E89" w14:textId="77777777" w:rsidR="00F73D5B" w:rsidRPr="008B7A21" w:rsidRDefault="00F73D5B" w:rsidP="00767A6A">
            <w:pPr>
              <w:pStyle w:val="Tablehead"/>
              <w:rPr>
                <w:lang w:val="es-ES_tradnl"/>
              </w:rPr>
            </w:pPr>
            <w:r w:rsidRPr="008B7A21">
              <w:rPr>
                <w:lang w:val="es-ES_tradnl"/>
              </w:rPr>
              <w:t>Zona rural o en su sede</w:t>
            </w:r>
          </w:p>
        </w:tc>
        <w:tc>
          <w:tcPr>
            <w:tcW w:w="1701" w:type="dxa"/>
            <w:tcBorders>
              <w:top w:val="single" w:sz="4" w:space="0" w:color="auto"/>
              <w:left w:val="single" w:sz="4" w:space="0" w:color="auto"/>
              <w:bottom w:val="single" w:sz="4" w:space="0" w:color="auto"/>
              <w:right w:val="single" w:sz="4" w:space="0" w:color="auto"/>
            </w:tcBorders>
            <w:vAlign w:val="center"/>
          </w:tcPr>
          <w:p w14:paraId="5E9E3325" w14:textId="77777777" w:rsidR="00F73D5B" w:rsidRPr="008B7A21" w:rsidRDefault="00F73D5B" w:rsidP="00767A6A">
            <w:pPr>
              <w:pStyle w:val="Tablehead"/>
              <w:rPr>
                <w:lang w:val="es-ES_tradnl"/>
              </w:rPr>
            </w:pPr>
            <w:r w:rsidRPr="008B7A21">
              <w:rPr>
                <w:lang w:val="es-ES_tradnl"/>
              </w:rPr>
              <w:t>Zona urbana en un Emirato</w:t>
            </w:r>
          </w:p>
        </w:tc>
        <w:tc>
          <w:tcPr>
            <w:tcW w:w="3005" w:type="dxa"/>
            <w:tcBorders>
              <w:top w:val="single" w:sz="4" w:space="0" w:color="auto"/>
              <w:left w:val="single" w:sz="4" w:space="0" w:color="auto"/>
              <w:bottom w:val="single" w:sz="4" w:space="0" w:color="auto"/>
              <w:right w:val="single" w:sz="4" w:space="0" w:color="auto"/>
            </w:tcBorders>
            <w:vAlign w:val="center"/>
          </w:tcPr>
          <w:p w14:paraId="761D096D" w14:textId="77777777" w:rsidR="00F73D5B" w:rsidRPr="008B7A21" w:rsidRDefault="00F73D5B" w:rsidP="00767A6A">
            <w:pPr>
              <w:pStyle w:val="Tablehead"/>
              <w:rPr>
                <w:lang w:val="es-ES_tradnl"/>
              </w:rPr>
            </w:pPr>
            <w:r w:rsidRPr="008B7A21">
              <w:rPr>
                <w:lang w:val="es-ES_tradnl"/>
              </w:rPr>
              <w:t>Todo el Emirato</w:t>
            </w:r>
          </w:p>
        </w:tc>
        <w:tc>
          <w:tcPr>
            <w:tcW w:w="1531" w:type="dxa"/>
            <w:tcBorders>
              <w:top w:val="single" w:sz="4" w:space="0" w:color="auto"/>
              <w:left w:val="single" w:sz="4" w:space="0" w:color="auto"/>
              <w:bottom w:val="single" w:sz="4" w:space="0" w:color="auto"/>
              <w:right w:val="single" w:sz="4" w:space="0" w:color="auto"/>
            </w:tcBorders>
            <w:vAlign w:val="center"/>
          </w:tcPr>
          <w:p w14:paraId="52FF8585" w14:textId="77777777" w:rsidR="00F73D5B" w:rsidRPr="008B7A21" w:rsidRDefault="00F73D5B" w:rsidP="00767A6A">
            <w:pPr>
              <w:pStyle w:val="Tablehead"/>
              <w:rPr>
                <w:lang w:val="es-ES_tradnl"/>
              </w:rPr>
            </w:pPr>
            <w:r w:rsidRPr="008B7A21">
              <w:rPr>
                <w:lang w:val="es-ES_tradnl"/>
              </w:rPr>
              <w:t>Más de tres Emiratos</w:t>
            </w:r>
          </w:p>
        </w:tc>
      </w:tr>
      <w:tr w:rsidR="00F73D5B" w:rsidRPr="008B7A21" w14:paraId="33ADD5C4" w14:textId="77777777" w:rsidTr="00767A6A">
        <w:tc>
          <w:tcPr>
            <w:tcW w:w="1077" w:type="dxa"/>
            <w:tcBorders>
              <w:top w:val="single" w:sz="4" w:space="0" w:color="auto"/>
              <w:left w:val="single" w:sz="4" w:space="0" w:color="auto"/>
              <w:bottom w:val="single" w:sz="4" w:space="0" w:color="auto"/>
              <w:right w:val="single" w:sz="4" w:space="0" w:color="auto"/>
            </w:tcBorders>
          </w:tcPr>
          <w:p w14:paraId="5FA6D7C0" w14:textId="77777777" w:rsidR="00F73D5B" w:rsidRPr="008B7A21" w:rsidRDefault="00F73D5B" w:rsidP="00767A6A">
            <w:pPr>
              <w:pStyle w:val="Tabletext"/>
              <w:jc w:val="center"/>
              <w:rPr>
                <w:lang w:val="es-ES_tradnl"/>
              </w:rPr>
            </w:pPr>
            <w:r w:rsidRPr="008B7A21">
              <w:rPr>
                <w:lang w:val="es-ES_tradnl"/>
              </w:rPr>
              <w:t>CF</w:t>
            </w:r>
          </w:p>
        </w:tc>
        <w:tc>
          <w:tcPr>
            <w:tcW w:w="1587" w:type="dxa"/>
            <w:tcBorders>
              <w:top w:val="single" w:sz="4" w:space="0" w:color="auto"/>
              <w:left w:val="single" w:sz="4" w:space="0" w:color="auto"/>
              <w:bottom w:val="single" w:sz="4" w:space="0" w:color="auto"/>
              <w:right w:val="single" w:sz="4" w:space="0" w:color="auto"/>
            </w:tcBorders>
          </w:tcPr>
          <w:p w14:paraId="1EAFD9E9" w14:textId="77777777" w:rsidR="00F73D5B" w:rsidRPr="008B7A21" w:rsidRDefault="00F73D5B" w:rsidP="00767A6A">
            <w:pPr>
              <w:pStyle w:val="Tabletext"/>
              <w:jc w:val="center"/>
              <w:rPr>
                <w:lang w:val="es-ES_tradnl"/>
              </w:rPr>
            </w:pPr>
            <w:r w:rsidRPr="008B7A21">
              <w:rPr>
                <w:lang w:val="es-ES_tradnl"/>
              </w:rPr>
              <w:t>100</w:t>
            </w:r>
          </w:p>
        </w:tc>
        <w:tc>
          <w:tcPr>
            <w:tcW w:w="1701" w:type="dxa"/>
            <w:tcBorders>
              <w:top w:val="single" w:sz="4" w:space="0" w:color="auto"/>
              <w:left w:val="single" w:sz="4" w:space="0" w:color="auto"/>
              <w:bottom w:val="single" w:sz="4" w:space="0" w:color="auto"/>
              <w:right w:val="single" w:sz="4" w:space="0" w:color="auto"/>
            </w:tcBorders>
          </w:tcPr>
          <w:p w14:paraId="5B478E78" w14:textId="77777777" w:rsidR="00F73D5B" w:rsidRPr="008B7A21" w:rsidRDefault="00F73D5B" w:rsidP="00767A6A">
            <w:pPr>
              <w:pStyle w:val="Tabletext"/>
              <w:jc w:val="center"/>
              <w:rPr>
                <w:lang w:val="es-ES_tradnl"/>
              </w:rPr>
            </w:pPr>
            <w:r w:rsidRPr="008B7A21">
              <w:rPr>
                <w:lang w:val="es-ES_tradnl"/>
              </w:rPr>
              <w:t>500</w:t>
            </w:r>
          </w:p>
        </w:tc>
        <w:tc>
          <w:tcPr>
            <w:tcW w:w="3005" w:type="dxa"/>
            <w:tcBorders>
              <w:top w:val="single" w:sz="4" w:space="0" w:color="auto"/>
              <w:left w:val="single" w:sz="4" w:space="0" w:color="auto"/>
              <w:bottom w:val="single" w:sz="4" w:space="0" w:color="auto"/>
              <w:right w:val="single" w:sz="4" w:space="0" w:color="auto"/>
            </w:tcBorders>
          </w:tcPr>
          <w:p w14:paraId="63316EBA" w14:textId="77777777" w:rsidR="00F73D5B" w:rsidRPr="008B7A21" w:rsidRDefault="00F73D5B" w:rsidP="00767A6A">
            <w:pPr>
              <w:pStyle w:val="Tabletext"/>
              <w:jc w:val="left"/>
              <w:rPr>
                <w:lang w:val="es-ES_tradnl"/>
              </w:rPr>
            </w:pPr>
            <w:r w:rsidRPr="008B7A21">
              <w:rPr>
                <w:lang w:val="es-ES_tradnl"/>
              </w:rPr>
              <w:t>2 000 para Abu Dhabi o Dubái</w:t>
            </w:r>
          </w:p>
          <w:p w14:paraId="7A71CD4D" w14:textId="77777777" w:rsidR="00F73D5B" w:rsidRPr="008B7A21" w:rsidRDefault="00F73D5B" w:rsidP="00767A6A">
            <w:pPr>
              <w:pStyle w:val="Tabletext"/>
              <w:jc w:val="left"/>
              <w:rPr>
                <w:lang w:val="es-ES_tradnl"/>
              </w:rPr>
            </w:pPr>
            <w:r w:rsidRPr="008B7A21">
              <w:rPr>
                <w:lang w:val="es-ES_tradnl"/>
              </w:rPr>
              <w:t>1 000 para otros Emiratos</w:t>
            </w:r>
          </w:p>
        </w:tc>
        <w:tc>
          <w:tcPr>
            <w:tcW w:w="1531" w:type="dxa"/>
            <w:tcBorders>
              <w:top w:val="single" w:sz="4" w:space="0" w:color="auto"/>
              <w:left w:val="single" w:sz="4" w:space="0" w:color="auto"/>
              <w:bottom w:val="single" w:sz="4" w:space="0" w:color="auto"/>
              <w:right w:val="single" w:sz="4" w:space="0" w:color="auto"/>
            </w:tcBorders>
          </w:tcPr>
          <w:p w14:paraId="7ADE0D36" w14:textId="77777777" w:rsidR="00F73D5B" w:rsidRPr="008B7A21" w:rsidRDefault="00F73D5B" w:rsidP="00767A6A">
            <w:pPr>
              <w:pStyle w:val="Tabletext"/>
              <w:jc w:val="center"/>
              <w:rPr>
                <w:lang w:val="es-ES_tradnl"/>
              </w:rPr>
            </w:pPr>
            <w:r w:rsidRPr="008B7A21">
              <w:rPr>
                <w:lang w:val="es-ES_tradnl"/>
              </w:rPr>
              <w:t>4 000</w:t>
            </w:r>
          </w:p>
        </w:tc>
      </w:tr>
      <w:tr w:rsidR="00F73D5B" w:rsidRPr="008B7A21" w14:paraId="1150B86A" w14:textId="77777777" w:rsidTr="00767A6A">
        <w:tc>
          <w:tcPr>
            <w:tcW w:w="8901" w:type="dxa"/>
            <w:gridSpan w:val="5"/>
            <w:tcBorders>
              <w:top w:val="single" w:sz="4" w:space="0" w:color="auto"/>
              <w:left w:val="nil"/>
              <w:bottom w:val="nil"/>
              <w:right w:val="nil"/>
            </w:tcBorders>
          </w:tcPr>
          <w:p w14:paraId="2EEE9180" w14:textId="77777777" w:rsidR="00F73D5B" w:rsidRPr="008B7A21" w:rsidRDefault="00F73D5B" w:rsidP="00767A6A">
            <w:pPr>
              <w:pStyle w:val="TableLegendNote"/>
              <w:rPr>
                <w:lang w:val="es-ES_tradnl"/>
              </w:rPr>
            </w:pPr>
            <w:r w:rsidRPr="008B7A21">
              <w:rPr>
                <w:lang w:val="es-ES_tradnl"/>
              </w:rPr>
              <w:t>NOTA 1 – La TRA es la única con potestad para determinar el factor de cobertura para una solicitud.</w:t>
            </w:r>
          </w:p>
        </w:tc>
      </w:tr>
    </w:tbl>
    <w:p w14:paraId="60BF76F9" w14:textId="77777777" w:rsidR="00F73D5B" w:rsidRPr="008B7A21" w:rsidRDefault="00F73D5B" w:rsidP="00F73D5B">
      <w:pPr>
        <w:pStyle w:val="ArtNo"/>
        <w:rPr>
          <w:lang w:val="es-ES_tradnl"/>
        </w:rPr>
      </w:pPr>
      <w:r w:rsidRPr="008B7A21">
        <w:rPr>
          <w:lang w:val="es-ES_tradnl"/>
        </w:rPr>
        <w:lastRenderedPageBreak/>
        <w:t>ARTÍCULO (13)</w:t>
      </w:r>
    </w:p>
    <w:p w14:paraId="2C441EB3" w14:textId="77777777" w:rsidR="00F73D5B" w:rsidRPr="008B7A21" w:rsidRDefault="00F73D5B" w:rsidP="00F73D5B">
      <w:pPr>
        <w:pStyle w:val="Arttitle"/>
        <w:rPr>
          <w:lang w:val="es-ES_tradnl"/>
        </w:rPr>
      </w:pPr>
      <w:r w:rsidRPr="008B7A21">
        <w:rPr>
          <w:lang w:val="es-ES_tradnl"/>
        </w:rPr>
        <w:t>Cánones del espectro para enlaces fijos (punto a punto)</w:t>
      </w:r>
    </w:p>
    <w:p w14:paraId="39A38BA9" w14:textId="77777777" w:rsidR="009207AE" w:rsidRPr="008B7A21" w:rsidRDefault="009207AE" w:rsidP="009207AE">
      <w:pPr>
        <w:pStyle w:val="Blanc"/>
        <w:rPr>
          <w:lang w:val="es-ES_tradnl" w:eastAsia="ko-KR"/>
        </w:rPr>
      </w:pPr>
    </w:p>
    <w:p w14:paraId="4A50D9DB" w14:textId="77777777" w:rsidR="00F73D5B" w:rsidRPr="008B7A21" w:rsidRDefault="00F73D5B" w:rsidP="00F73D5B">
      <w:pPr>
        <w:pStyle w:val="enumlev1"/>
        <w:rPr>
          <w:lang w:val="es-ES_tradnl"/>
        </w:rPr>
      </w:pPr>
      <w:r w:rsidRPr="008B7A21">
        <w:rPr>
          <w:lang w:val="es-ES_tradnl"/>
        </w:rPr>
        <w:t>13.1</w:t>
      </w:r>
      <w:r w:rsidRPr="008B7A21">
        <w:rPr>
          <w:lang w:val="es-ES_tradnl"/>
        </w:rPr>
        <w:tab/>
        <w:t>El canon anual del espectro para cada enlace fijo punto a punto por encima de 2 GHz se calculará de la forma siguiente:</w:t>
      </w:r>
    </w:p>
    <w:p w14:paraId="1AC271B7" w14:textId="77777777" w:rsidR="00F73D5B" w:rsidRPr="008B7A21" w:rsidRDefault="00F73D5B" w:rsidP="00F73D5B">
      <w:pPr>
        <w:pStyle w:val="Equation"/>
        <w:rPr>
          <w:lang w:val="es-ES_tradnl"/>
        </w:rPr>
      </w:pPr>
      <w:r w:rsidRPr="008B7A21">
        <w:rPr>
          <w:lang w:val="es-ES_tradnl"/>
        </w:rPr>
        <w:tab/>
      </w:r>
      <w:r w:rsidRPr="008B7A21">
        <w:rPr>
          <w:lang w:val="es-ES_tradnl"/>
        </w:rPr>
        <w:tab/>
        <w:t xml:space="preserve">Canon del espectro = F </w:t>
      </w:r>
      <w:r w:rsidRPr="008B7A21">
        <w:rPr>
          <w:lang w:val="es-ES_tradnl"/>
        </w:rPr>
        <w:sym w:font="Symbol" w:char="F0B4"/>
      </w:r>
      <w:r w:rsidRPr="008B7A21">
        <w:rPr>
          <w:lang w:val="es-ES_tradnl"/>
        </w:rPr>
        <w:t xml:space="preserve"> 2 000 + BW </w:t>
      </w:r>
      <w:r w:rsidRPr="008B7A21">
        <w:rPr>
          <w:lang w:val="es-ES_tradnl"/>
        </w:rPr>
        <w:sym w:font="Symbol" w:char="F0B4"/>
      </w:r>
      <w:r w:rsidRPr="008B7A21">
        <w:rPr>
          <w:lang w:val="es-ES_tradnl"/>
        </w:rPr>
        <w:t xml:space="preserve"> 1 000</w:t>
      </w:r>
    </w:p>
    <w:p w14:paraId="30913413" w14:textId="77777777" w:rsidR="00F73D5B" w:rsidRPr="008B7A21" w:rsidRDefault="00F73D5B" w:rsidP="00F73D5B">
      <w:pPr>
        <w:pStyle w:val="enumlev1"/>
        <w:keepNext/>
        <w:keepLines/>
        <w:rPr>
          <w:lang w:val="es-ES_tradnl"/>
        </w:rPr>
      </w:pPr>
      <w:r w:rsidRPr="008B7A21">
        <w:rPr>
          <w:lang w:val="es-ES_tradnl"/>
        </w:rPr>
        <w:tab/>
        <w:t>donde:</w:t>
      </w:r>
    </w:p>
    <w:tbl>
      <w:tblPr>
        <w:tblW w:w="0" w:type="auto"/>
        <w:tblInd w:w="7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048"/>
        <w:gridCol w:w="850"/>
        <w:gridCol w:w="3798"/>
      </w:tblGrid>
      <w:tr w:rsidR="00F73D5B" w:rsidRPr="008B7A21" w14:paraId="36C081C6" w14:textId="77777777" w:rsidTr="00767A6A">
        <w:trPr>
          <w:trHeight w:val="608"/>
        </w:trPr>
        <w:tc>
          <w:tcPr>
            <w:tcW w:w="4048" w:type="dxa"/>
            <w:tcBorders>
              <w:top w:val="nil"/>
              <w:left w:val="nil"/>
              <w:bottom w:val="nil"/>
              <w:right w:val="nil"/>
            </w:tcBorders>
          </w:tcPr>
          <w:p w14:paraId="4D879864" w14:textId="77777777" w:rsidR="00F73D5B" w:rsidRPr="008B7A21" w:rsidRDefault="00F73D5B" w:rsidP="00767A6A">
            <w:pPr>
              <w:keepNext/>
              <w:keepLines/>
              <w:ind w:left="-85"/>
              <w:jc w:val="left"/>
              <w:rPr>
                <w:lang w:val="es-ES_tradnl"/>
              </w:rPr>
            </w:pPr>
            <w:r w:rsidRPr="008B7A21">
              <w:rPr>
                <w:b/>
                <w:bCs/>
                <w:lang w:val="es-ES_tradnl"/>
              </w:rPr>
              <w:t>F</w:t>
            </w:r>
            <w:r w:rsidRPr="008B7A21">
              <w:rPr>
                <w:lang w:val="es-ES_tradnl"/>
              </w:rPr>
              <w:t xml:space="preserve"> </w:t>
            </w:r>
            <w:r w:rsidRPr="008B7A21">
              <w:rPr>
                <w:bCs/>
                <w:lang w:val="es-ES_tradnl"/>
              </w:rPr>
              <w:t xml:space="preserve">= </w:t>
            </w:r>
            <w:r w:rsidRPr="008B7A21">
              <w:rPr>
                <w:lang w:val="es-ES_tradnl"/>
              </w:rPr>
              <w:t>Factor de la gama de frecuencias según lo siguiente:</w:t>
            </w:r>
          </w:p>
        </w:tc>
        <w:tc>
          <w:tcPr>
            <w:tcW w:w="850" w:type="dxa"/>
            <w:tcBorders>
              <w:top w:val="nil"/>
              <w:left w:val="nil"/>
              <w:bottom w:val="nil"/>
              <w:right w:val="nil"/>
            </w:tcBorders>
          </w:tcPr>
          <w:p w14:paraId="65EE05D9" w14:textId="77777777" w:rsidR="00F73D5B" w:rsidRPr="008B7A21" w:rsidRDefault="00F73D5B" w:rsidP="00767A6A">
            <w:pPr>
              <w:keepNext/>
              <w:keepLines/>
              <w:jc w:val="left"/>
              <w:rPr>
                <w:lang w:val="es-ES_tradnl"/>
              </w:rPr>
            </w:pPr>
          </w:p>
        </w:tc>
        <w:tc>
          <w:tcPr>
            <w:tcW w:w="3798" w:type="dxa"/>
            <w:tcBorders>
              <w:top w:val="nil"/>
              <w:left w:val="nil"/>
              <w:bottom w:val="nil"/>
              <w:right w:val="nil"/>
            </w:tcBorders>
          </w:tcPr>
          <w:p w14:paraId="776347A5" w14:textId="77777777" w:rsidR="00F73D5B" w:rsidRPr="008B7A21" w:rsidRDefault="00F73D5B" w:rsidP="00767A6A">
            <w:pPr>
              <w:keepNext/>
              <w:keepLines/>
              <w:ind w:left="-85"/>
              <w:jc w:val="left"/>
              <w:rPr>
                <w:lang w:val="es-ES_tradnl"/>
              </w:rPr>
            </w:pPr>
            <w:r w:rsidRPr="008B7A21">
              <w:rPr>
                <w:b/>
                <w:bCs/>
                <w:lang w:val="es-ES_tradnl"/>
              </w:rPr>
              <w:t>BW</w:t>
            </w:r>
            <w:r w:rsidRPr="008B7A21">
              <w:rPr>
                <w:lang w:val="es-ES_tradnl"/>
              </w:rPr>
              <w:t xml:space="preserve"> </w:t>
            </w:r>
            <w:r w:rsidRPr="008B7A21">
              <w:rPr>
                <w:bCs/>
                <w:lang w:val="es-ES_tradnl"/>
              </w:rPr>
              <w:t>=</w:t>
            </w:r>
            <w:r w:rsidRPr="008B7A21">
              <w:rPr>
                <w:lang w:val="es-ES_tradnl"/>
              </w:rPr>
              <w:t xml:space="preserve"> Factor de anchura de banda según lo siguiente:</w:t>
            </w:r>
          </w:p>
        </w:tc>
      </w:tr>
    </w:tbl>
    <w:p w14:paraId="123F5416" w14:textId="77777777" w:rsidR="00F73D5B" w:rsidRPr="008B7A21" w:rsidRDefault="00F73D5B" w:rsidP="00F73D5B">
      <w:pPr>
        <w:pStyle w:val="Blanc"/>
        <w:rPr>
          <w:lang w:val="es-ES_tradnl"/>
        </w:rPr>
      </w:pPr>
    </w:p>
    <w:tbl>
      <w:tblPr>
        <w:tblW w:w="0" w:type="auto"/>
        <w:tblInd w:w="7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088"/>
        <w:gridCol w:w="964"/>
        <w:gridCol w:w="850"/>
        <w:gridCol w:w="2835"/>
        <w:gridCol w:w="964"/>
      </w:tblGrid>
      <w:tr w:rsidR="00F73D5B" w:rsidRPr="008B7A21" w14:paraId="04B99F37" w14:textId="77777777" w:rsidTr="00767A6A">
        <w:trPr>
          <w:trHeight w:val="608"/>
        </w:trPr>
        <w:tc>
          <w:tcPr>
            <w:tcW w:w="3088" w:type="dxa"/>
            <w:tcBorders>
              <w:top w:val="single" w:sz="4" w:space="0" w:color="auto"/>
            </w:tcBorders>
            <w:vAlign w:val="center"/>
          </w:tcPr>
          <w:p w14:paraId="22898A97" w14:textId="77777777" w:rsidR="00F73D5B" w:rsidRPr="008B7A21" w:rsidRDefault="00F73D5B" w:rsidP="00767A6A">
            <w:pPr>
              <w:pStyle w:val="Tablehead"/>
              <w:keepLines/>
              <w:rPr>
                <w:lang w:val="es-ES_tradnl"/>
              </w:rPr>
            </w:pPr>
            <w:r w:rsidRPr="008B7A21">
              <w:rPr>
                <w:lang w:val="es-ES_tradnl"/>
              </w:rPr>
              <w:t>Gama de frecuencias</w:t>
            </w:r>
          </w:p>
        </w:tc>
        <w:tc>
          <w:tcPr>
            <w:tcW w:w="964" w:type="dxa"/>
            <w:tcBorders>
              <w:top w:val="single" w:sz="4" w:space="0" w:color="auto"/>
            </w:tcBorders>
          </w:tcPr>
          <w:p w14:paraId="119677FC" w14:textId="77777777" w:rsidR="00F73D5B" w:rsidRPr="008B7A21" w:rsidRDefault="00F73D5B" w:rsidP="00767A6A">
            <w:pPr>
              <w:pStyle w:val="Tablehead"/>
              <w:keepLines/>
              <w:rPr>
                <w:lang w:val="es-ES_tradnl"/>
              </w:rPr>
            </w:pPr>
            <w:r w:rsidRPr="008B7A21">
              <w:rPr>
                <w:lang w:val="es-ES_tradnl"/>
              </w:rPr>
              <w:t xml:space="preserve">Factor </w:t>
            </w:r>
            <w:r w:rsidRPr="008B7A21">
              <w:rPr>
                <w:lang w:val="es-ES_tradnl"/>
              </w:rPr>
              <w:br/>
              <w:t xml:space="preserve">F </w:t>
            </w:r>
          </w:p>
        </w:tc>
        <w:tc>
          <w:tcPr>
            <w:tcW w:w="850" w:type="dxa"/>
            <w:tcBorders>
              <w:top w:val="nil"/>
              <w:bottom w:val="nil"/>
            </w:tcBorders>
          </w:tcPr>
          <w:p w14:paraId="5485A9B4" w14:textId="77777777" w:rsidR="00F73D5B" w:rsidRPr="008B7A21" w:rsidRDefault="00F73D5B" w:rsidP="00767A6A">
            <w:pPr>
              <w:pStyle w:val="Tablehead"/>
              <w:keepLines/>
              <w:rPr>
                <w:lang w:val="es-ES_tradnl"/>
              </w:rPr>
            </w:pPr>
          </w:p>
        </w:tc>
        <w:tc>
          <w:tcPr>
            <w:tcW w:w="2835" w:type="dxa"/>
            <w:tcBorders>
              <w:top w:val="single" w:sz="4" w:space="0" w:color="auto"/>
            </w:tcBorders>
            <w:vAlign w:val="center"/>
          </w:tcPr>
          <w:p w14:paraId="26CC5035" w14:textId="77777777" w:rsidR="00F73D5B" w:rsidRPr="008B7A21" w:rsidRDefault="00F73D5B" w:rsidP="00767A6A">
            <w:pPr>
              <w:pStyle w:val="Tablehead"/>
              <w:keepLines/>
              <w:rPr>
                <w:lang w:val="es-ES_tradnl"/>
              </w:rPr>
            </w:pPr>
            <w:r w:rsidRPr="008B7A21">
              <w:rPr>
                <w:lang w:val="es-ES_tradnl"/>
              </w:rPr>
              <w:t>Anchura de banda</w:t>
            </w:r>
          </w:p>
        </w:tc>
        <w:tc>
          <w:tcPr>
            <w:tcW w:w="964" w:type="dxa"/>
            <w:tcBorders>
              <w:top w:val="single" w:sz="4" w:space="0" w:color="auto"/>
            </w:tcBorders>
          </w:tcPr>
          <w:p w14:paraId="072DD7BA" w14:textId="77777777" w:rsidR="00F73D5B" w:rsidRPr="008B7A21" w:rsidRDefault="00F73D5B" w:rsidP="00767A6A">
            <w:pPr>
              <w:pStyle w:val="Tablehead"/>
              <w:keepLines/>
              <w:rPr>
                <w:lang w:val="es-ES_tradnl"/>
              </w:rPr>
            </w:pPr>
            <w:r w:rsidRPr="008B7A21">
              <w:rPr>
                <w:lang w:val="es-ES_tradnl"/>
              </w:rPr>
              <w:t>Factor</w:t>
            </w:r>
            <w:r w:rsidRPr="008B7A21">
              <w:rPr>
                <w:lang w:val="es-ES_tradnl"/>
              </w:rPr>
              <w:br/>
              <w:t xml:space="preserve">BW </w:t>
            </w:r>
          </w:p>
        </w:tc>
      </w:tr>
      <w:tr w:rsidR="00F73D5B" w:rsidRPr="008B7A21" w14:paraId="261DDC90" w14:textId="77777777" w:rsidTr="00767A6A">
        <w:trPr>
          <w:trHeight w:val="319"/>
        </w:trPr>
        <w:tc>
          <w:tcPr>
            <w:tcW w:w="3088" w:type="dxa"/>
          </w:tcPr>
          <w:p w14:paraId="601DADA3" w14:textId="77777777" w:rsidR="00F73D5B" w:rsidRPr="008B7A21" w:rsidRDefault="00F73D5B" w:rsidP="00767A6A">
            <w:pPr>
              <w:pStyle w:val="Tabletext"/>
              <w:keepNext/>
              <w:keepLines/>
              <w:jc w:val="center"/>
              <w:rPr>
                <w:lang w:val="es-ES_tradnl"/>
              </w:rPr>
            </w:pPr>
            <w:r w:rsidRPr="008B7A21">
              <w:rPr>
                <w:lang w:val="es-ES_tradnl"/>
              </w:rPr>
              <w:t>2 GHz – 3 GHz</w:t>
            </w:r>
          </w:p>
        </w:tc>
        <w:tc>
          <w:tcPr>
            <w:tcW w:w="964" w:type="dxa"/>
          </w:tcPr>
          <w:p w14:paraId="6D9B29F1" w14:textId="77777777" w:rsidR="00F73D5B" w:rsidRPr="008B7A21" w:rsidRDefault="00F73D5B" w:rsidP="00767A6A">
            <w:pPr>
              <w:pStyle w:val="Tabletext"/>
              <w:keepNext/>
              <w:keepLines/>
              <w:jc w:val="center"/>
              <w:rPr>
                <w:lang w:val="es-ES_tradnl"/>
              </w:rPr>
            </w:pPr>
            <w:r w:rsidRPr="008B7A21">
              <w:rPr>
                <w:lang w:val="es-ES_tradnl"/>
              </w:rPr>
              <w:t>4</w:t>
            </w:r>
          </w:p>
        </w:tc>
        <w:tc>
          <w:tcPr>
            <w:tcW w:w="850" w:type="dxa"/>
            <w:tcBorders>
              <w:top w:val="nil"/>
              <w:bottom w:val="nil"/>
            </w:tcBorders>
          </w:tcPr>
          <w:p w14:paraId="74A4F9AF" w14:textId="77777777" w:rsidR="00F73D5B" w:rsidRPr="008B7A21" w:rsidRDefault="00F73D5B" w:rsidP="00767A6A">
            <w:pPr>
              <w:pStyle w:val="Tabletext"/>
              <w:keepNext/>
              <w:keepLines/>
              <w:jc w:val="center"/>
              <w:rPr>
                <w:lang w:val="es-ES_tradnl"/>
              </w:rPr>
            </w:pPr>
          </w:p>
        </w:tc>
        <w:tc>
          <w:tcPr>
            <w:tcW w:w="2835" w:type="dxa"/>
          </w:tcPr>
          <w:p w14:paraId="780BA795" w14:textId="77777777" w:rsidR="00F73D5B" w:rsidRPr="008B7A21" w:rsidRDefault="00F73D5B" w:rsidP="00767A6A">
            <w:pPr>
              <w:pStyle w:val="Tabletext"/>
              <w:keepNext/>
              <w:keepLines/>
              <w:jc w:val="center"/>
              <w:rPr>
                <w:lang w:val="es-ES_tradnl"/>
              </w:rPr>
            </w:pPr>
            <w:r w:rsidRPr="008B7A21">
              <w:rPr>
                <w:lang w:val="es-ES_tradnl"/>
              </w:rPr>
              <w:t>7 MHz o menos</w:t>
            </w:r>
          </w:p>
        </w:tc>
        <w:tc>
          <w:tcPr>
            <w:tcW w:w="964" w:type="dxa"/>
          </w:tcPr>
          <w:p w14:paraId="7228E674" w14:textId="77777777" w:rsidR="00F73D5B" w:rsidRPr="008B7A21" w:rsidRDefault="00F73D5B" w:rsidP="00767A6A">
            <w:pPr>
              <w:pStyle w:val="Tabletext"/>
              <w:keepNext/>
              <w:keepLines/>
              <w:jc w:val="center"/>
              <w:rPr>
                <w:lang w:val="es-ES_tradnl"/>
              </w:rPr>
            </w:pPr>
            <w:r w:rsidRPr="008B7A21">
              <w:rPr>
                <w:lang w:val="es-ES_tradnl"/>
              </w:rPr>
              <w:t>1</w:t>
            </w:r>
          </w:p>
        </w:tc>
      </w:tr>
      <w:tr w:rsidR="00F73D5B" w:rsidRPr="008B7A21" w14:paraId="10BF1B0C" w14:textId="77777777" w:rsidTr="00767A6A">
        <w:trPr>
          <w:trHeight w:val="319"/>
        </w:trPr>
        <w:tc>
          <w:tcPr>
            <w:tcW w:w="3088" w:type="dxa"/>
          </w:tcPr>
          <w:p w14:paraId="62A353DB" w14:textId="77777777" w:rsidR="00F73D5B" w:rsidRPr="008B7A21" w:rsidRDefault="00F73D5B" w:rsidP="00767A6A">
            <w:pPr>
              <w:pStyle w:val="Tabletext"/>
              <w:jc w:val="center"/>
              <w:rPr>
                <w:lang w:val="es-ES_tradnl"/>
              </w:rPr>
            </w:pPr>
            <w:r w:rsidRPr="008B7A21">
              <w:rPr>
                <w:lang w:val="es-ES_tradnl"/>
              </w:rPr>
              <w:t>&gt; 3 GHz – 14 GHz</w:t>
            </w:r>
          </w:p>
        </w:tc>
        <w:tc>
          <w:tcPr>
            <w:tcW w:w="964" w:type="dxa"/>
          </w:tcPr>
          <w:p w14:paraId="2ED4E6B4" w14:textId="77777777" w:rsidR="00F73D5B" w:rsidRPr="008B7A21" w:rsidRDefault="00F73D5B" w:rsidP="00767A6A">
            <w:pPr>
              <w:pStyle w:val="Tabletext"/>
              <w:jc w:val="center"/>
              <w:rPr>
                <w:lang w:val="es-ES_tradnl"/>
              </w:rPr>
            </w:pPr>
            <w:r w:rsidRPr="008B7A21">
              <w:rPr>
                <w:lang w:val="es-ES_tradnl"/>
              </w:rPr>
              <w:t>3</w:t>
            </w:r>
          </w:p>
        </w:tc>
        <w:tc>
          <w:tcPr>
            <w:tcW w:w="850" w:type="dxa"/>
            <w:tcBorders>
              <w:top w:val="nil"/>
              <w:bottom w:val="nil"/>
            </w:tcBorders>
          </w:tcPr>
          <w:p w14:paraId="38A361AE" w14:textId="77777777" w:rsidR="00F73D5B" w:rsidRPr="008B7A21" w:rsidRDefault="00F73D5B" w:rsidP="00767A6A">
            <w:pPr>
              <w:pStyle w:val="Tabletext"/>
              <w:jc w:val="center"/>
              <w:rPr>
                <w:lang w:val="es-ES_tradnl"/>
              </w:rPr>
            </w:pPr>
          </w:p>
        </w:tc>
        <w:tc>
          <w:tcPr>
            <w:tcW w:w="2835" w:type="dxa"/>
          </w:tcPr>
          <w:p w14:paraId="6EE72554" w14:textId="77777777" w:rsidR="00F73D5B" w:rsidRPr="008B7A21" w:rsidRDefault="00F73D5B" w:rsidP="00767A6A">
            <w:pPr>
              <w:pStyle w:val="Tabletext"/>
              <w:jc w:val="center"/>
              <w:rPr>
                <w:lang w:val="es-ES_tradnl"/>
              </w:rPr>
            </w:pPr>
            <w:r w:rsidRPr="008B7A21">
              <w:rPr>
                <w:lang w:val="es-ES_tradnl"/>
              </w:rPr>
              <w:t>&gt; 7 MHz – 28 MHz</w:t>
            </w:r>
          </w:p>
        </w:tc>
        <w:tc>
          <w:tcPr>
            <w:tcW w:w="964" w:type="dxa"/>
          </w:tcPr>
          <w:p w14:paraId="348FEE8B" w14:textId="77777777" w:rsidR="00F73D5B" w:rsidRPr="008B7A21" w:rsidRDefault="00F73D5B" w:rsidP="00767A6A">
            <w:pPr>
              <w:pStyle w:val="Tabletext"/>
              <w:jc w:val="center"/>
              <w:rPr>
                <w:lang w:val="es-ES_tradnl"/>
              </w:rPr>
            </w:pPr>
            <w:r w:rsidRPr="008B7A21">
              <w:rPr>
                <w:lang w:val="es-ES_tradnl"/>
              </w:rPr>
              <w:t>2</w:t>
            </w:r>
          </w:p>
        </w:tc>
      </w:tr>
      <w:tr w:rsidR="00F73D5B" w:rsidRPr="008B7A21" w14:paraId="66A4617D" w14:textId="77777777" w:rsidTr="00767A6A">
        <w:trPr>
          <w:trHeight w:val="319"/>
        </w:trPr>
        <w:tc>
          <w:tcPr>
            <w:tcW w:w="3088" w:type="dxa"/>
          </w:tcPr>
          <w:p w14:paraId="0E7D58F4" w14:textId="77777777" w:rsidR="00F73D5B" w:rsidRPr="008B7A21" w:rsidRDefault="00F73D5B" w:rsidP="00767A6A">
            <w:pPr>
              <w:pStyle w:val="Tabletext"/>
              <w:jc w:val="center"/>
              <w:rPr>
                <w:lang w:val="es-ES_tradnl"/>
              </w:rPr>
            </w:pPr>
            <w:r w:rsidRPr="008B7A21">
              <w:rPr>
                <w:lang w:val="es-ES_tradnl"/>
              </w:rPr>
              <w:t>&gt; 14 GHz – 40 GHz</w:t>
            </w:r>
          </w:p>
        </w:tc>
        <w:tc>
          <w:tcPr>
            <w:tcW w:w="964" w:type="dxa"/>
          </w:tcPr>
          <w:p w14:paraId="79CA47F4" w14:textId="77777777" w:rsidR="00F73D5B" w:rsidRPr="008B7A21" w:rsidRDefault="00F73D5B" w:rsidP="00767A6A">
            <w:pPr>
              <w:pStyle w:val="Tabletext"/>
              <w:jc w:val="center"/>
              <w:rPr>
                <w:lang w:val="es-ES_tradnl"/>
              </w:rPr>
            </w:pPr>
            <w:r w:rsidRPr="008B7A21">
              <w:rPr>
                <w:lang w:val="es-ES_tradnl"/>
              </w:rPr>
              <w:t>2</w:t>
            </w:r>
          </w:p>
        </w:tc>
        <w:tc>
          <w:tcPr>
            <w:tcW w:w="850" w:type="dxa"/>
            <w:tcBorders>
              <w:top w:val="nil"/>
              <w:bottom w:val="nil"/>
            </w:tcBorders>
          </w:tcPr>
          <w:p w14:paraId="60374823" w14:textId="77777777" w:rsidR="00F73D5B" w:rsidRPr="008B7A21" w:rsidRDefault="00F73D5B" w:rsidP="00767A6A">
            <w:pPr>
              <w:pStyle w:val="Tabletext"/>
              <w:jc w:val="center"/>
              <w:rPr>
                <w:lang w:val="es-ES_tradnl"/>
              </w:rPr>
            </w:pPr>
          </w:p>
        </w:tc>
        <w:tc>
          <w:tcPr>
            <w:tcW w:w="2835" w:type="dxa"/>
          </w:tcPr>
          <w:p w14:paraId="43D74127" w14:textId="77777777" w:rsidR="00F73D5B" w:rsidRPr="008B7A21" w:rsidRDefault="00F73D5B" w:rsidP="00767A6A">
            <w:pPr>
              <w:pStyle w:val="Tabletext"/>
              <w:jc w:val="center"/>
              <w:rPr>
                <w:lang w:val="es-ES_tradnl"/>
              </w:rPr>
            </w:pPr>
            <w:r w:rsidRPr="008B7A21">
              <w:rPr>
                <w:lang w:val="es-ES_tradnl"/>
              </w:rPr>
              <w:t>&gt; 28 MHz – 56 MHz</w:t>
            </w:r>
          </w:p>
        </w:tc>
        <w:tc>
          <w:tcPr>
            <w:tcW w:w="964" w:type="dxa"/>
          </w:tcPr>
          <w:p w14:paraId="33EB5839" w14:textId="77777777" w:rsidR="00F73D5B" w:rsidRPr="008B7A21" w:rsidRDefault="00F73D5B" w:rsidP="00767A6A">
            <w:pPr>
              <w:pStyle w:val="Tabletext"/>
              <w:jc w:val="center"/>
              <w:rPr>
                <w:lang w:val="es-ES_tradnl"/>
              </w:rPr>
            </w:pPr>
            <w:r w:rsidRPr="008B7A21">
              <w:rPr>
                <w:lang w:val="es-ES_tradnl"/>
              </w:rPr>
              <w:t>3</w:t>
            </w:r>
          </w:p>
        </w:tc>
      </w:tr>
      <w:tr w:rsidR="00F73D5B" w:rsidRPr="008B7A21" w14:paraId="79B70FC3" w14:textId="77777777" w:rsidTr="00767A6A">
        <w:trPr>
          <w:trHeight w:val="319"/>
        </w:trPr>
        <w:tc>
          <w:tcPr>
            <w:tcW w:w="3088" w:type="dxa"/>
          </w:tcPr>
          <w:p w14:paraId="4B3CEFFF" w14:textId="77777777" w:rsidR="00F73D5B" w:rsidRPr="008B7A21" w:rsidRDefault="00F73D5B" w:rsidP="00767A6A">
            <w:pPr>
              <w:pStyle w:val="Tabletext"/>
              <w:jc w:val="center"/>
              <w:rPr>
                <w:lang w:val="es-ES_tradnl"/>
              </w:rPr>
            </w:pPr>
            <w:r w:rsidRPr="008B7A21">
              <w:rPr>
                <w:lang w:val="es-ES_tradnl"/>
              </w:rPr>
              <w:t>Por encima de 40 GHz</w:t>
            </w:r>
          </w:p>
        </w:tc>
        <w:tc>
          <w:tcPr>
            <w:tcW w:w="964" w:type="dxa"/>
          </w:tcPr>
          <w:p w14:paraId="7BCFDF93" w14:textId="77777777" w:rsidR="00F73D5B" w:rsidRPr="008B7A21" w:rsidRDefault="00F73D5B" w:rsidP="00767A6A">
            <w:pPr>
              <w:pStyle w:val="Tabletext"/>
              <w:jc w:val="center"/>
              <w:rPr>
                <w:lang w:val="es-ES_tradnl"/>
              </w:rPr>
            </w:pPr>
            <w:r w:rsidRPr="008B7A21">
              <w:rPr>
                <w:lang w:val="es-ES_tradnl"/>
              </w:rPr>
              <w:t>1</w:t>
            </w:r>
          </w:p>
        </w:tc>
        <w:tc>
          <w:tcPr>
            <w:tcW w:w="850" w:type="dxa"/>
            <w:tcBorders>
              <w:top w:val="nil"/>
              <w:bottom w:val="nil"/>
            </w:tcBorders>
          </w:tcPr>
          <w:p w14:paraId="70C117B7" w14:textId="77777777" w:rsidR="00F73D5B" w:rsidRPr="008B7A21" w:rsidRDefault="00F73D5B" w:rsidP="00767A6A">
            <w:pPr>
              <w:pStyle w:val="Tabletext"/>
              <w:jc w:val="center"/>
              <w:rPr>
                <w:lang w:val="es-ES_tradnl"/>
              </w:rPr>
            </w:pPr>
          </w:p>
        </w:tc>
        <w:tc>
          <w:tcPr>
            <w:tcW w:w="2835" w:type="dxa"/>
          </w:tcPr>
          <w:p w14:paraId="3AB7B780" w14:textId="77777777" w:rsidR="00F73D5B" w:rsidRPr="008B7A21" w:rsidRDefault="00F73D5B" w:rsidP="00767A6A">
            <w:pPr>
              <w:pStyle w:val="Tabletext"/>
              <w:jc w:val="center"/>
              <w:rPr>
                <w:lang w:val="es-ES_tradnl"/>
              </w:rPr>
            </w:pPr>
            <w:r w:rsidRPr="008B7A21">
              <w:rPr>
                <w:lang w:val="es-ES_tradnl"/>
              </w:rPr>
              <w:t>Más de 56 MHz</w:t>
            </w:r>
          </w:p>
        </w:tc>
        <w:tc>
          <w:tcPr>
            <w:tcW w:w="964" w:type="dxa"/>
          </w:tcPr>
          <w:p w14:paraId="35077242" w14:textId="77777777" w:rsidR="00F73D5B" w:rsidRPr="008B7A21" w:rsidRDefault="00F73D5B" w:rsidP="00767A6A">
            <w:pPr>
              <w:pStyle w:val="Tabletext"/>
              <w:jc w:val="center"/>
              <w:rPr>
                <w:lang w:val="es-ES_tradnl"/>
              </w:rPr>
            </w:pPr>
            <w:r w:rsidRPr="008B7A21">
              <w:rPr>
                <w:lang w:val="es-ES_tradnl"/>
              </w:rPr>
              <w:t>4</w:t>
            </w:r>
          </w:p>
        </w:tc>
      </w:tr>
    </w:tbl>
    <w:p w14:paraId="7EE4981C" w14:textId="77777777" w:rsidR="00F73D5B" w:rsidRPr="008B7A21" w:rsidRDefault="00F73D5B" w:rsidP="00F73D5B">
      <w:pPr>
        <w:pStyle w:val="Tablefin"/>
        <w:rPr>
          <w:lang w:val="es-ES_tradnl"/>
        </w:rPr>
      </w:pPr>
    </w:p>
    <w:p w14:paraId="22AC5625" w14:textId="77777777" w:rsidR="00F73D5B" w:rsidRPr="008B7A21" w:rsidRDefault="00F73D5B" w:rsidP="00F73D5B">
      <w:pPr>
        <w:pStyle w:val="enumlev1"/>
        <w:rPr>
          <w:lang w:val="es-ES_tradnl"/>
        </w:rPr>
      </w:pPr>
      <w:r w:rsidRPr="008B7A21">
        <w:rPr>
          <w:lang w:val="es-ES_tradnl"/>
        </w:rPr>
        <w:t>13.2</w:t>
      </w:r>
      <w:r w:rsidRPr="008B7A21">
        <w:rPr>
          <w:lang w:val="es-ES_tradnl"/>
        </w:rPr>
        <w:tab/>
        <w:t>La anchura de banda para cada enlace fijo punto a punto por encima de 2 GHz se calculará a partir de la anchura de banda del canal (por ejemplo, para cada par de frecuencias de 3,5 MHz + 3,5 MHz = 7 MHz tendrá un factor BW de 1). La diversidad de frecuencias se cobrará como enlace separado pero la diversidad espacial y la explotación con redundancia caliente no aumentará el canon.</w:t>
      </w:r>
    </w:p>
    <w:p w14:paraId="4871998A" w14:textId="77777777" w:rsidR="00F73D5B" w:rsidRPr="008B7A21" w:rsidRDefault="00F73D5B" w:rsidP="00F73D5B">
      <w:pPr>
        <w:pStyle w:val="enumlev1"/>
        <w:rPr>
          <w:lang w:val="es-ES_tradnl"/>
        </w:rPr>
      </w:pPr>
      <w:r w:rsidRPr="008B7A21">
        <w:rPr>
          <w:lang w:val="es-ES_tradnl"/>
        </w:rPr>
        <w:t>13.3</w:t>
      </w:r>
      <w:r w:rsidRPr="008B7A21">
        <w:rPr>
          <w:lang w:val="es-ES_tradnl"/>
        </w:rPr>
        <w:tab/>
        <w:t>Para enlaces en un único sentido y enlaces que utilizan la misma frecuencia portadora para transmisión y recepción, el factor de anchura de banda será la anchura de banda asignada.</w:t>
      </w:r>
    </w:p>
    <w:p w14:paraId="491C23A4" w14:textId="77777777" w:rsidR="00F73D5B" w:rsidRPr="008B7A21" w:rsidRDefault="00F73D5B" w:rsidP="00F73D5B">
      <w:pPr>
        <w:pStyle w:val="enumlev1"/>
        <w:rPr>
          <w:lang w:val="es-ES_tradnl"/>
        </w:rPr>
      </w:pPr>
      <w:r w:rsidRPr="008B7A21">
        <w:rPr>
          <w:lang w:val="es-ES_tradnl"/>
        </w:rPr>
        <w:t>13.4</w:t>
      </w:r>
      <w:r w:rsidRPr="008B7A21">
        <w:rPr>
          <w:lang w:val="es-ES_tradnl"/>
        </w:rPr>
        <w:tab/>
        <w:t>En casos excepcionales, cuando así lo decida la TRA, en los que se asignan pares de frecuencias para todos los enlaces punto a punto de los EAU por encima de 2 GHz, los cánones anuales del espectro serán diez veces el canon anual del espectro para un enlace (con los mismos parámetros) basado en un factor de reutilización de 10.</w:t>
      </w:r>
    </w:p>
    <w:p w14:paraId="5790229E" w14:textId="77777777" w:rsidR="00F73D5B" w:rsidRPr="008B7A21" w:rsidRDefault="00F73D5B" w:rsidP="00F73D5B">
      <w:pPr>
        <w:pStyle w:val="enumlev1"/>
        <w:rPr>
          <w:lang w:val="es-ES_tradnl"/>
        </w:rPr>
      </w:pPr>
      <w:r w:rsidRPr="008B7A21">
        <w:rPr>
          <w:lang w:val="es-ES_tradnl"/>
        </w:rPr>
        <w:t>13.5</w:t>
      </w:r>
      <w:r w:rsidRPr="008B7A21">
        <w:rPr>
          <w:lang w:val="es-ES_tradnl"/>
        </w:rPr>
        <w:tab/>
        <w:t>El canon anual del espectro para cada enlace fijo punto a punto por debajo de 2 GHz con capacidad inferior a 64 kbit/s, se calculará de la forma siguiente:</w:t>
      </w:r>
    </w:p>
    <w:p w14:paraId="4F8CF1A5" w14:textId="77777777" w:rsidR="00F73D5B" w:rsidRPr="008B7A21" w:rsidRDefault="00F73D5B" w:rsidP="00F73D5B">
      <w:pPr>
        <w:pStyle w:val="Equation"/>
        <w:rPr>
          <w:lang w:val="es-ES_tradnl"/>
        </w:rPr>
      </w:pPr>
      <w:r w:rsidRPr="008B7A21">
        <w:rPr>
          <w:lang w:val="es-ES_tradnl"/>
        </w:rPr>
        <w:tab/>
      </w:r>
      <w:r w:rsidRPr="008B7A21">
        <w:rPr>
          <w:lang w:val="es-ES_tradnl"/>
        </w:rPr>
        <w:tab/>
        <w:t xml:space="preserve">Canon del espectro = BW </w:t>
      </w:r>
      <w:r w:rsidRPr="008B7A21">
        <w:rPr>
          <w:lang w:val="es-ES_tradnl"/>
        </w:rPr>
        <w:sym w:font="Symbol" w:char="F0B4"/>
      </w:r>
      <w:r w:rsidRPr="008B7A21">
        <w:rPr>
          <w:lang w:val="es-ES_tradnl"/>
        </w:rPr>
        <w:t xml:space="preserve"> 1 000</w:t>
      </w:r>
    </w:p>
    <w:p w14:paraId="6D1F3682" w14:textId="77777777" w:rsidR="00F73D5B" w:rsidRPr="008B7A21" w:rsidRDefault="00F73D5B" w:rsidP="00F73D5B">
      <w:pPr>
        <w:pStyle w:val="enumlev1"/>
        <w:rPr>
          <w:lang w:val="es-ES_tradnl"/>
        </w:rPr>
      </w:pPr>
      <w:r w:rsidRPr="008B7A21">
        <w:rPr>
          <w:lang w:val="es-ES_tradnl"/>
        </w:rPr>
        <w:tab/>
        <w:t>donde:</w:t>
      </w:r>
    </w:p>
    <w:p w14:paraId="617B04D2" w14:textId="77777777" w:rsidR="00F73D5B" w:rsidRPr="008B7A21" w:rsidRDefault="00F73D5B" w:rsidP="00F73D5B">
      <w:pPr>
        <w:pStyle w:val="enumlev1"/>
        <w:rPr>
          <w:lang w:val="es-ES_tradnl"/>
        </w:rPr>
      </w:pPr>
      <w:r w:rsidRPr="008B7A21">
        <w:rPr>
          <w:b/>
          <w:lang w:val="es-ES_tradnl"/>
        </w:rPr>
        <w:tab/>
        <w:t>BW</w:t>
      </w:r>
      <w:r w:rsidRPr="008B7A21">
        <w:rPr>
          <w:lang w:val="es-ES_tradnl"/>
        </w:rPr>
        <w:t xml:space="preserve"> es la anchura de banda total en kHz para todos los canales de ese enlace.</w:t>
      </w:r>
    </w:p>
    <w:p w14:paraId="4774E632" w14:textId="77777777" w:rsidR="00F73D5B" w:rsidRPr="008B7A21" w:rsidRDefault="00F73D5B" w:rsidP="00F73D5B">
      <w:pPr>
        <w:pStyle w:val="enumlev1"/>
        <w:rPr>
          <w:lang w:val="es-ES_tradnl"/>
        </w:rPr>
      </w:pPr>
      <w:r w:rsidRPr="008B7A21">
        <w:rPr>
          <w:lang w:val="es-ES_tradnl"/>
        </w:rPr>
        <w:t>13.6</w:t>
      </w:r>
      <w:r w:rsidRPr="008B7A21">
        <w:rPr>
          <w:lang w:val="es-ES_tradnl"/>
        </w:rPr>
        <w:tab/>
        <w:t>El canon anual del espectro para cada enlace fijo punto a punto por debajo de 2 GHz con alta capacidad o superior a 64 kbit/s, se calculará de la forma siguiente:</w:t>
      </w:r>
    </w:p>
    <w:p w14:paraId="6AAFFA4E" w14:textId="77777777" w:rsidR="00F73D5B" w:rsidRPr="008B7A21" w:rsidRDefault="00F73D5B" w:rsidP="00F73D5B">
      <w:pPr>
        <w:pStyle w:val="Equation"/>
        <w:rPr>
          <w:lang w:val="es-ES_tradnl"/>
        </w:rPr>
      </w:pPr>
      <w:r w:rsidRPr="008B7A21">
        <w:rPr>
          <w:lang w:val="es-ES_tradnl"/>
        </w:rPr>
        <w:tab/>
      </w:r>
      <w:r w:rsidRPr="008B7A21">
        <w:rPr>
          <w:lang w:val="es-ES_tradnl"/>
        </w:rPr>
        <w:tab/>
        <w:t xml:space="preserve">Canon del espectro = BW </w:t>
      </w:r>
      <w:r w:rsidRPr="008B7A21">
        <w:rPr>
          <w:lang w:val="es-ES_tradnl"/>
        </w:rPr>
        <w:sym w:font="Symbol" w:char="F0B4"/>
      </w:r>
      <w:r w:rsidRPr="008B7A21">
        <w:rPr>
          <w:lang w:val="es-ES_tradnl"/>
        </w:rPr>
        <w:t xml:space="preserve"> 2 000</w:t>
      </w:r>
    </w:p>
    <w:p w14:paraId="7C2282FC" w14:textId="77777777" w:rsidR="00F73D5B" w:rsidRPr="008B7A21" w:rsidRDefault="00F73D5B" w:rsidP="00F73D5B">
      <w:pPr>
        <w:pStyle w:val="enumlev1"/>
        <w:rPr>
          <w:lang w:val="es-ES_tradnl"/>
        </w:rPr>
      </w:pPr>
      <w:r w:rsidRPr="008B7A21">
        <w:rPr>
          <w:lang w:val="es-ES_tradnl"/>
        </w:rPr>
        <w:tab/>
        <w:t>donde:</w:t>
      </w:r>
    </w:p>
    <w:p w14:paraId="5307F907" w14:textId="77777777" w:rsidR="00F73D5B" w:rsidRPr="008B7A21" w:rsidRDefault="00F73D5B" w:rsidP="00F73D5B">
      <w:pPr>
        <w:pStyle w:val="enumlev1"/>
        <w:rPr>
          <w:lang w:val="es-ES_tradnl"/>
        </w:rPr>
      </w:pPr>
      <w:r w:rsidRPr="008B7A21">
        <w:rPr>
          <w:b/>
          <w:lang w:val="es-ES_tradnl"/>
        </w:rPr>
        <w:tab/>
        <w:t>BW</w:t>
      </w:r>
      <w:r w:rsidRPr="008B7A21">
        <w:rPr>
          <w:lang w:val="es-ES_tradnl"/>
        </w:rPr>
        <w:t xml:space="preserve"> es la anchura de banda total en MHz para todos los canales de ese enlace.</w:t>
      </w:r>
    </w:p>
    <w:p w14:paraId="73E96891" w14:textId="77777777" w:rsidR="00F73D5B" w:rsidRPr="008B7A21" w:rsidRDefault="00F73D5B" w:rsidP="00F73D5B">
      <w:pPr>
        <w:pStyle w:val="ArtNo"/>
        <w:rPr>
          <w:lang w:val="es-ES_tradnl"/>
        </w:rPr>
      </w:pPr>
      <w:r w:rsidRPr="008B7A21">
        <w:rPr>
          <w:lang w:val="es-ES_tradnl"/>
        </w:rPr>
        <w:lastRenderedPageBreak/>
        <w:t>ARTÍCULO (14)</w:t>
      </w:r>
    </w:p>
    <w:p w14:paraId="5C5D7983" w14:textId="77777777" w:rsidR="00F73D5B" w:rsidRPr="008B7A21" w:rsidRDefault="00F73D5B" w:rsidP="00F73D5B">
      <w:pPr>
        <w:pStyle w:val="Arttitle"/>
        <w:rPr>
          <w:lang w:val="es-ES_tradnl"/>
        </w:rPr>
      </w:pPr>
      <w:r w:rsidRPr="008B7A21">
        <w:rPr>
          <w:lang w:val="es-ES_tradnl"/>
        </w:rPr>
        <w:t>Cánones del espectro para redes FWA (PMP, WLL),</w:t>
      </w:r>
      <w:r w:rsidRPr="008B7A21">
        <w:rPr>
          <w:lang w:val="es-ES_tradnl"/>
        </w:rPr>
        <w:br/>
        <w:t>SCADA, telemetría, Mesh</w:t>
      </w:r>
    </w:p>
    <w:p w14:paraId="090B73BB" w14:textId="77777777" w:rsidR="00F73D5B" w:rsidRPr="008B7A21" w:rsidRDefault="00F73D5B" w:rsidP="00F73D5B">
      <w:pPr>
        <w:pStyle w:val="Blanc"/>
        <w:rPr>
          <w:lang w:val="es-ES_tradnl" w:eastAsia="ko-KR"/>
        </w:rPr>
      </w:pPr>
    </w:p>
    <w:p w14:paraId="176377F2" w14:textId="77777777" w:rsidR="00F73D5B" w:rsidRPr="008B7A21" w:rsidRDefault="00F73D5B" w:rsidP="00F73D5B">
      <w:pPr>
        <w:pStyle w:val="enumlev1"/>
        <w:rPr>
          <w:lang w:val="es-ES_tradnl"/>
        </w:rPr>
      </w:pPr>
      <w:r w:rsidRPr="008B7A21">
        <w:rPr>
          <w:lang w:val="es-ES_tradnl"/>
        </w:rPr>
        <w:t>14.1</w:t>
      </w:r>
      <w:r w:rsidRPr="008B7A21">
        <w:rPr>
          <w:lang w:val="es-ES_tradnl"/>
        </w:rPr>
        <w:tab/>
        <w:t>El canon anual del espectro para redes de acceso fijo inalámbrico (incluido el bucle local inalámbrico y punto a multipunto), SCADA, de telemetría y Mesh por debajo de 2 GHz, se calculará de la forma siguiente:</w:t>
      </w:r>
    </w:p>
    <w:p w14:paraId="5DFD3C6E" w14:textId="77777777" w:rsidR="00F73D5B" w:rsidRPr="008B7A21" w:rsidRDefault="00F73D5B" w:rsidP="00F73D5B">
      <w:pPr>
        <w:jc w:val="center"/>
        <w:rPr>
          <w:lang w:val="es-ES_tradnl"/>
        </w:rPr>
      </w:pPr>
      <w:r w:rsidRPr="008B7A21">
        <w:rPr>
          <w:lang w:val="es-ES_tradnl"/>
        </w:rPr>
        <w:t xml:space="preserve">Canon del espectro = BW </w:t>
      </w:r>
      <w:r w:rsidRPr="008B7A21">
        <w:rPr>
          <w:lang w:val="es-ES_tradnl"/>
        </w:rPr>
        <w:sym w:font="Symbol" w:char="F0B4"/>
      </w:r>
      <w:r w:rsidRPr="008B7A21">
        <w:rPr>
          <w:lang w:val="es-ES_tradnl"/>
        </w:rPr>
        <w:t xml:space="preserve"> CF </w:t>
      </w:r>
      <w:r w:rsidRPr="008B7A21">
        <w:rPr>
          <w:lang w:val="es-ES_tradnl"/>
        </w:rPr>
        <w:sym w:font="Symbol" w:char="F0B4"/>
      </w:r>
      <w:r w:rsidRPr="008B7A21">
        <w:rPr>
          <w:lang w:val="es-ES_tradnl"/>
        </w:rPr>
        <w:t xml:space="preserve"> 10</w:t>
      </w:r>
    </w:p>
    <w:p w14:paraId="570426AB" w14:textId="77777777" w:rsidR="00F73D5B" w:rsidRPr="008B7A21" w:rsidRDefault="00F73D5B" w:rsidP="00F73D5B">
      <w:pPr>
        <w:pStyle w:val="enumlev1"/>
        <w:rPr>
          <w:lang w:val="es-ES_tradnl"/>
        </w:rPr>
      </w:pPr>
      <w:r w:rsidRPr="008B7A21">
        <w:rPr>
          <w:lang w:val="es-ES_tradnl"/>
        </w:rPr>
        <w:tab/>
        <w:t>donde:</w:t>
      </w:r>
    </w:p>
    <w:p w14:paraId="554C5EBD" w14:textId="77777777" w:rsidR="00F73D5B" w:rsidRPr="008B7A21" w:rsidRDefault="00F73D5B" w:rsidP="00F73D5B">
      <w:pPr>
        <w:pStyle w:val="enumlev1"/>
        <w:rPr>
          <w:lang w:val="es-ES_tradnl"/>
        </w:rPr>
      </w:pPr>
      <w:r w:rsidRPr="008B7A21">
        <w:rPr>
          <w:b/>
          <w:lang w:val="es-ES_tradnl"/>
        </w:rPr>
        <w:tab/>
        <w:t>BW</w:t>
      </w:r>
      <w:r w:rsidRPr="008B7A21">
        <w:rPr>
          <w:lang w:val="es-ES_tradnl"/>
        </w:rPr>
        <w:t xml:space="preserve"> = Anchura de banda total en kHz.</w:t>
      </w:r>
    </w:p>
    <w:p w14:paraId="6DDB52B9" w14:textId="77777777" w:rsidR="00F73D5B" w:rsidRPr="008B7A21" w:rsidRDefault="00F73D5B" w:rsidP="00F73D5B">
      <w:pPr>
        <w:pStyle w:val="enumlev1"/>
        <w:rPr>
          <w:lang w:val="es-ES_tradnl"/>
        </w:rPr>
      </w:pPr>
      <w:r w:rsidRPr="008B7A21">
        <w:rPr>
          <w:b/>
          <w:lang w:val="es-ES_tradnl"/>
        </w:rPr>
        <w:tab/>
        <w:t>CF</w:t>
      </w:r>
      <w:r w:rsidRPr="008B7A21">
        <w:rPr>
          <w:lang w:val="es-ES_tradnl"/>
        </w:rPr>
        <w:t xml:space="preserve"> = Factor de cobertura que depende de la zona geográfica y que se determinará de la forma siguiente:</w:t>
      </w:r>
    </w:p>
    <w:p w14:paraId="120169C9" w14:textId="77777777" w:rsidR="00F73D5B" w:rsidRPr="008B7A21" w:rsidRDefault="00F73D5B" w:rsidP="00F73D5B">
      <w:pPr>
        <w:pStyle w:val="Blanc"/>
        <w:rPr>
          <w:lang w:val="es-ES_tradnl"/>
        </w:rPr>
      </w:pPr>
    </w:p>
    <w:tbl>
      <w:tblPr>
        <w:tblW w:w="8901"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
        <w:gridCol w:w="1587"/>
        <w:gridCol w:w="1701"/>
        <w:gridCol w:w="3005"/>
        <w:gridCol w:w="1531"/>
      </w:tblGrid>
      <w:tr w:rsidR="00F73D5B" w:rsidRPr="008B7A21" w14:paraId="74F8BB94" w14:textId="77777777" w:rsidTr="00767A6A">
        <w:trPr>
          <w:trHeight w:val="514"/>
        </w:trPr>
        <w:tc>
          <w:tcPr>
            <w:tcW w:w="1077" w:type="dxa"/>
            <w:tcBorders>
              <w:top w:val="single" w:sz="4" w:space="0" w:color="auto"/>
              <w:left w:val="single" w:sz="4" w:space="0" w:color="auto"/>
              <w:bottom w:val="single" w:sz="4" w:space="0" w:color="auto"/>
              <w:right w:val="single" w:sz="4" w:space="0" w:color="auto"/>
            </w:tcBorders>
            <w:vAlign w:val="center"/>
          </w:tcPr>
          <w:p w14:paraId="5B44111F" w14:textId="77777777" w:rsidR="00F73D5B" w:rsidRPr="008B7A21" w:rsidRDefault="00F73D5B" w:rsidP="00767A6A">
            <w:pPr>
              <w:pStyle w:val="Tablehead"/>
              <w:rPr>
                <w:lang w:val="es-ES_tradnl"/>
              </w:rPr>
            </w:pPr>
            <w:r w:rsidRPr="008B7A21">
              <w:rPr>
                <w:lang w:val="es-ES_tradnl"/>
              </w:rPr>
              <w:t xml:space="preserve">Zona </w:t>
            </w:r>
          </w:p>
        </w:tc>
        <w:tc>
          <w:tcPr>
            <w:tcW w:w="1587" w:type="dxa"/>
            <w:tcBorders>
              <w:top w:val="single" w:sz="4" w:space="0" w:color="auto"/>
              <w:left w:val="single" w:sz="4" w:space="0" w:color="auto"/>
              <w:bottom w:val="single" w:sz="4" w:space="0" w:color="auto"/>
              <w:right w:val="single" w:sz="4" w:space="0" w:color="auto"/>
            </w:tcBorders>
            <w:vAlign w:val="center"/>
          </w:tcPr>
          <w:p w14:paraId="5D51A894" w14:textId="77777777" w:rsidR="00F73D5B" w:rsidRPr="008B7A21" w:rsidRDefault="00F73D5B" w:rsidP="00767A6A">
            <w:pPr>
              <w:pStyle w:val="Tablehead"/>
              <w:rPr>
                <w:lang w:val="es-ES_tradnl"/>
              </w:rPr>
            </w:pPr>
            <w:r w:rsidRPr="008B7A21">
              <w:rPr>
                <w:lang w:val="es-ES_tradnl"/>
              </w:rPr>
              <w:t>Zona rural o en su sede</w:t>
            </w:r>
          </w:p>
        </w:tc>
        <w:tc>
          <w:tcPr>
            <w:tcW w:w="1701" w:type="dxa"/>
            <w:tcBorders>
              <w:top w:val="single" w:sz="4" w:space="0" w:color="auto"/>
              <w:left w:val="single" w:sz="4" w:space="0" w:color="auto"/>
              <w:bottom w:val="single" w:sz="4" w:space="0" w:color="auto"/>
              <w:right w:val="single" w:sz="4" w:space="0" w:color="auto"/>
            </w:tcBorders>
            <w:vAlign w:val="center"/>
          </w:tcPr>
          <w:p w14:paraId="20BD1933" w14:textId="77777777" w:rsidR="00F73D5B" w:rsidRPr="008B7A21" w:rsidRDefault="00F73D5B" w:rsidP="00767A6A">
            <w:pPr>
              <w:pStyle w:val="Tablehead"/>
              <w:rPr>
                <w:lang w:val="es-ES_tradnl"/>
              </w:rPr>
            </w:pPr>
            <w:r w:rsidRPr="008B7A21">
              <w:rPr>
                <w:lang w:val="es-ES_tradnl"/>
              </w:rPr>
              <w:t>Zona urbana en un Emirato</w:t>
            </w:r>
          </w:p>
        </w:tc>
        <w:tc>
          <w:tcPr>
            <w:tcW w:w="3005" w:type="dxa"/>
            <w:tcBorders>
              <w:top w:val="single" w:sz="4" w:space="0" w:color="auto"/>
              <w:left w:val="single" w:sz="4" w:space="0" w:color="auto"/>
              <w:bottom w:val="single" w:sz="4" w:space="0" w:color="auto"/>
              <w:right w:val="single" w:sz="4" w:space="0" w:color="auto"/>
            </w:tcBorders>
            <w:vAlign w:val="center"/>
          </w:tcPr>
          <w:p w14:paraId="117C6E6E" w14:textId="77777777" w:rsidR="00F73D5B" w:rsidRPr="008B7A21" w:rsidRDefault="00F73D5B" w:rsidP="00767A6A">
            <w:pPr>
              <w:pStyle w:val="Tablehead"/>
              <w:rPr>
                <w:lang w:val="es-ES_tradnl"/>
              </w:rPr>
            </w:pPr>
            <w:r w:rsidRPr="008B7A21">
              <w:rPr>
                <w:lang w:val="es-ES_tradnl"/>
              </w:rPr>
              <w:t>Todo el Emirato</w:t>
            </w:r>
          </w:p>
        </w:tc>
        <w:tc>
          <w:tcPr>
            <w:tcW w:w="1531" w:type="dxa"/>
            <w:tcBorders>
              <w:top w:val="single" w:sz="4" w:space="0" w:color="auto"/>
              <w:left w:val="single" w:sz="4" w:space="0" w:color="auto"/>
              <w:bottom w:val="single" w:sz="4" w:space="0" w:color="auto"/>
              <w:right w:val="single" w:sz="4" w:space="0" w:color="auto"/>
            </w:tcBorders>
            <w:vAlign w:val="center"/>
          </w:tcPr>
          <w:p w14:paraId="6DA52E93" w14:textId="77777777" w:rsidR="00F73D5B" w:rsidRPr="008B7A21" w:rsidRDefault="00F73D5B" w:rsidP="00767A6A">
            <w:pPr>
              <w:pStyle w:val="Tablehead"/>
              <w:rPr>
                <w:lang w:val="es-ES_tradnl"/>
              </w:rPr>
            </w:pPr>
            <w:r w:rsidRPr="008B7A21">
              <w:rPr>
                <w:lang w:val="es-ES_tradnl"/>
              </w:rPr>
              <w:t>Más de tres Emiratos</w:t>
            </w:r>
          </w:p>
        </w:tc>
      </w:tr>
      <w:tr w:rsidR="00F73D5B" w:rsidRPr="008B7A21" w14:paraId="3319962E" w14:textId="77777777" w:rsidTr="00767A6A">
        <w:tc>
          <w:tcPr>
            <w:tcW w:w="1077" w:type="dxa"/>
            <w:tcBorders>
              <w:top w:val="single" w:sz="4" w:space="0" w:color="auto"/>
              <w:left w:val="single" w:sz="4" w:space="0" w:color="auto"/>
              <w:bottom w:val="single" w:sz="4" w:space="0" w:color="auto"/>
              <w:right w:val="single" w:sz="4" w:space="0" w:color="auto"/>
            </w:tcBorders>
          </w:tcPr>
          <w:p w14:paraId="0541187A" w14:textId="77777777" w:rsidR="00F73D5B" w:rsidRPr="008B7A21" w:rsidRDefault="00F73D5B" w:rsidP="00767A6A">
            <w:pPr>
              <w:pStyle w:val="Tabletext"/>
              <w:jc w:val="center"/>
              <w:rPr>
                <w:lang w:val="es-ES_tradnl"/>
              </w:rPr>
            </w:pPr>
            <w:r w:rsidRPr="008B7A21">
              <w:rPr>
                <w:lang w:val="es-ES_tradnl"/>
              </w:rPr>
              <w:t>CF</w:t>
            </w:r>
          </w:p>
        </w:tc>
        <w:tc>
          <w:tcPr>
            <w:tcW w:w="1587" w:type="dxa"/>
            <w:tcBorders>
              <w:top w:val="single" w:sz="4" w:space="0" w:color="auto"/>
              <w:left w:val="single" w:sz="4" w:space="0" w:color="auto"/>
              <w:bottom w:val="single" w:sz="4" w:space="0" w:color="auto"/>
              <w:right w:val="single" w:sz="4" w:space="0" w:color="auto"/>
            </w:tcBorders>
          </w:tcPr>
          <w:p w14:paraId="2D54AF9A" w14:textId="77777777" w:rsidR="00F73D5B" w:rsidRPr="008B7A21" w:rsidRDefault="00F73D5B" w:rsidP="00767A6A">
            <w:pPr>
              <w:pStyle w:val="Tabletext"/>
              <w:jc w:val="center"/>
              <w:rPr>
                <w:lang w:val="es-ES_tradnl"/>
              </w:rPr>
            </w:pPr>
            <w:r w:rsidRPr="008B7A21">
              <w:rPr>
                <w:lang w:val="es-ES_tradnl"/>
              </w:rPr>
              <w:t>100</w:t>
            </w:r>
          </w:p>
        </w:tc>
        <w:tc>
          <w:tcPr>
            <w:tcW w:w="1701" w:type="dxa"/>
            <w:tcBorders>
              <w:top w:val="single" w:sz="4" w:space="0" w:color="auto"/>
              <w:left w:val="single" w:sz="4" w:space="0" w:color="auto"/>
              <w:bottom w:val="single" w:sz="4" w:space="0" w:color="auto"/>
              <w:right w:val="single" w:sz="4" w:space="0" w:color="auto"/>
            </w:tcBorders>
          </w:tcPr>
          <w:p w14:paraId="24E17207" w14:textId="77777777" w:rsidR="00F73D5B" w:rsidRPr="008B7A21" w:rsidRDefault="00F73D5B" w:rsidP="00767A6A">
            <w:pPr>
              <w:pStyle w:val="Tabletext"/>
              <w:jc w:val="center"/>
              <w:rPr>
                <w:lang w:val="es-ES_tradnl"/>
              </w:rPr>
            </w:pPr>
            <w:r w:rsidRPr="008B7A21">
              <w:rPr>
                <w:lang w:val="es-ES_tradnl"/>
              </w:rPr>
              <w:t>500</w:t>
            </w:r>
          </w:p>
        </w:tc>
        <w:tc>
          <w:tcPr>
            <w:tcW w:w="3005" w:type="dxa"/>
            <w:tcBorders>
              <w:top w:val="single" w:sz="4" w:space="0" w:color="auto"/>
              <w:left w:val="single" w:sz="4" w:space="0" w:color="auto"/>
              <w:bottom w:val="single" w:sz="4" w:space="0" w:color="auto"/>
              <w:right w:val="single" w:sz="4" w:space="0" w:color="auto"/>
            </w:tcBorders>
          </w:tcPr>
          <w:p w14:paraId="77E02A2A" w14:textId="77777777" w:rsidR="00F73D5B" w:rsidRPr="008B7A21" w:rsidRDefault="00F73D5B" w:rsidP="00767A6A">
            <w:pPr>
              <w:pStyle w:val="Tabletext"/>
              <w:jc w:val="left"/>
              <w:rPr>
                <w:lang w:val="es-ES_tradnl"/>
              </w:rPr>
            </w:pPr>
            <w:r w:rsidRPr="008B7A21">
              <w:rPr>
                <w:lang w:val="es-ES_tradnl"/>
              </w:rPr>
              <w:t>2 000 para Abu Dhabi o Dubái</w:t>
            </w:r>
          </w:p>
          <w:p w14:paraId="6DBE933A" w14:textId="77777777" w:rsidR="00F73D5B" w:rsidRPr="008B7A21" w:rsidRDefault="00F73D5B" w:rsidP="00767A6A">
            <w:pPr>
              <w:pStyle w:val="Tabletext"/>
              <w:jc w:val="left"/>
              <w:rPr>
                <w:lang w:val="es-ES_tradnl"/>
              </w:rPr>
            </w:pPr>
            <w:r w:rsidRPr="008B7A21">
              <w:rPr>
                <w:lang w:val="es-ES_tradnl"/>
              </w:rPr>
              <w:t>1 000 para otros Emiratos</w:t>
            </w:r>
          </w:p>
        </w:tc>
        <w:tc>
          <w:tcPr>
            <w:tcW w:w="1531" w:type="dxa"/>
            <w:tcBorders>
              <w:top w:val="single" w:sz="4" w:space="0" w:color="auto"/>
              <w:left w:val="single" w:sz="4" w:space="0" w:color="auto"/>
              <w:bottom w:val="single" w:sz="4" w:space="0" w:color="auto"/>
              <w:right w:val="single" w:sz="4" w:space="0" w:color="auto"/>
            </w:tcBorders>
          </w:tcPr>
          <w:p w14:paraId="43230F95" w14:textId="77777777" w:rsidR="00F73D5B" w:rsidRPr="008B7A21" w:rsidRDefault="00F73D5B" w:rsidP="00767A6A">
            <w:pPr>
              <w:pStyle w:val="Tabletext"/>
              <w:jc w:val="center"/>
              <w:rPr>
                <w:lang w:val="es-ES_tradnl"/>
              </w:rPr>
            </w:pPr>
            <w:r w:rsidRPr="008B7A21">
              <w:rPr>
                <w:lang w:val="es-ES_tradnl"/>
              </w:rPr>
              <w:t>4 000</w:t>
            </w:r>
          </w:p>
        </w:tc>
      </w:tr>
      <w:tr w:rsidR="00F73D5B" w:rsidRPr="008B7A21" w14:paraId="4A377756" w14:textId="77777777" w:rsidTr="00767A6A">
        <w:tc>
          <w:tcPr>
            <w:tcW w:w="8901" w:type="dxa"/>
            <w:gridSpan w:val="5"/>
            <w:tcBorders>
              <w:top w:val="single" w:sz="4" w:space="0" w:color="auto"/>
              <w:left w:val="nil"/>
              <w:bottom w:val="nil"/>
              <w:right w:val="nil"/>
            </w:tcBorders>
          </w:tcPr>
          <w:p w14:paraId="77A32E63" w14:textId="77777777" w:rsidR="00F73D5B" w:rsidRPr="008B7A21" w:rsidRDefault="00F73D5B" w:rsidP="00767A6A">
            <w:pPr>
              <w:pStyle w:val="TableLegendNote"/>
              <w:rPr>
                <w:lang w:val="es-ES_tradnl"/>
              </w:rPr>
            </w:pPr>
            <w:r w:rsidRPr="008B7A21">
              <w:rPr>
                <w:lang w:val="es-ES_tradnl"/>
              </w:rPr>
              <w:t>NOTA 1 – La TRA es la única con potestad para determinar el factor de cobertura para una solicitud.</w:t>
            </w:r>
          </w:p>
        </w:tc>
      </w:tr>
    </w:tbl>
    <w:p w14:paraId="4CEA0352" w14:textId="77777777" w:rsidR="00F73D5B" w:rsidRPr="008B7A21" w:rsidRDefault="00F73D5B" w:rsidP="00F73D5B">
      <w:pPr>
        <w:pStyle w:val="Tablefin"/>
        <w:rPr>
          <w:lang w:val="es-ES_tradnl"/>
        </w:rPr>
      </w:pPr>
    </w:p>
    <w:p w14:paraId="488E3BE7" w14:textId="77777777" w:rsidR="00F73D5B" w:rsidRPr="008B7A21" w:rsidRDefault="00F73D5B" w:rsidP="00F73D5B">
      <w:pPr>
        <w:pStyle w:val="enumlev1"/>
        <w:rPr>
          <w:lang w:val="es-ES_tradnl"/>
        </w:rPr>
      </w:pPr>
      <w:r w:rsidRPr="008B7A21">
        <w:rPr>
          <w:lang w:val="es-ES_tradnl"/>
        </w:rPr>
        <w:t>14.2</w:t>
      </w:r>
      <w:r w:rsidRPr="008B7A21">
        <w:rPr>
          <w:lang w:val="es-ES_tradnl"/>
        </w:rPr>
        <w:tab/>
        <w:t>El canon anual del espectro para redes de acceso fijo inalámbrico (incluido el bucle local inalámbrico y punto a multipunto), SCADA, fijo de banda ancha y redes Mesh por encima de 2 GHz, se calculará de la forma siguiente:</w:t>
      </w:r>
    </w:p>
    <w:p w14:paraId="139CE1F7" w14:textId="77777777" w:rsidR="00F73D5B" w:rsidRPr="008B7A21" w:rsidRDefault="00F73D5B" w:rsidP="00F73D5B">
      <w:pPr>
        <w:jc w:val="center"/>
        <w:rPr>
          <w:lang w:val="es-ES_tradnl"/>
        </w:rPr>
      </w:pPr>
      <w:r w:rsidRPr="008B7A21">
        <w:rPr>
          <w:lang w:val="es-ES_tradnl"/>
        </w:rPr>
        <w:t xml:space="preserve">Canon del espectro = BW </w:t>
      </w:r>
      <w:r w:rsidRPr="008B7A21">
        <w:rPr>
          <w:lang w:val="es-ES_tradnl"/>
        </w:rPr>
        <w:sym w:font="Symbol" w:char="F0B4"/>
      </w:r>
      <w:r w:rsidRPr="008B7A21">
        <w:rPr>
          <w:lang w:val="es-ES_tradnl"/>
        </w:rPr>
        <w:t xml:space="preserve"> CF </w:t>
      </w:r>
      <w:r w:rsidRPr="008B7A21">
        <w:rPr>
          <w:lang w:val="es-ES_tradnl"/>
        </w:rPr>
        <w:sym w:font="Symbol" w:char="F0B4"/>
      </w:r>
      <w:r w:rsidRPr="008B7A21">
        <w:rPr>
          <w:lang w:val="es-ES_tradnl"/>
        </w:rPr>
        <w:t xml:space="preserve"> FF</w:t>
      </w:r>
    </w:p>
    <w:p w14:paraId="04957A6E" w14:textId="77777777" w:rsidR="00F73D5B" w:rsidRPr="008B7A21" w:rsidRDefault="00F73D5B" w:rsidP="00F73D5B">
      <w:pPr>
        <w:pStyle w:val="enumlev1"/>
        <w:rPr>
          <w:lang w:val="es-ES_tradnl"/>
        </w:rPr>
      </w:pPr>
      <w:r w:rsidRPr="008B7A21">
        <w:rPr>
          <w:lang w:val="es-ES_tradnl"/>
        </w:rPr>
        <w:tab/>
        <w:t>donde:</w:t>
      </w:r>
    </w:p>
    <w:p w14:paraId="75867C30" w14:textId="77777777" w:rsidR="00F73D5B" w:rsidRPr="008B7A21" w:rsidRDefault="00F73D5B" w:rsidP="00F73D5B">
      <w:pPr>
        <w:pStyle w:val="enumlev1"/>
        <w:rPr>
          <w:lang w:val="es-ES_tradnl"/>
        </w:rPr>
      </w:pPr>
      <w:r w:rsidRPr="008B7A21">
        <w:rPr>
          <w:b/>
          <w:lang w:val="es-ES_tradnl"/>
        </w:rPr>
        <w:tab/>
        <w:t>BW</w:t>
      </w:r>
      <w:r w:rsidRPr="008B7A21">
        <w:rPr>
          <w:lang w:val="es-ES_tradnl"/>
        </w:rPr>
        <w:t xml:space="preserve"> = Anchura de banda total en MHz.</w:t>
      </w:r>
    </w:p>
    <w:p w14:paraId="4357406A" w14:textId="77777777" w:rsidR="00F73D5B" w:rsidRPr="008B7A21" w:rsidRDefault="00F73D5B" w:rsidP="00F73D5B">
      <w:pPr>
        <w:pStyle w:val="Note"/>
        <w:ind w:left="794" w:hanging="794"/>
        <w:rPr>
          <w:i/>
          <w:iCs/>
          <w:lang w:val="es-ES_tradnl" w:eastAsia="ko-KR"/>
        </w:rPr>
      </w:pPr>
      <w:r w:rsidRPr="008B7A21">
        <w:rPr>
          <w:lang w:val="es-ES_tradnl"/>
        </w:rPr>
        <w:tab/>
      </w:r>
      <w:r w:rsidRPr="008B7A21">
        <w:rPr>
          <w:i/>
          <w:iCs/>
          <w:lang w:val="es-ES_tradnl"/>
        </w:rPr>
        <w:t>NOTA 1 –</w:t>
      </w:r>
      <w:r w:rsidRPr="008B7A21">
        <w:rPr>
          <w:i/>
          <w:iCs/>
          <w:lang w:val="es-ES_tradnl" w:eastAsia="ko-KR"/>
        </w:rPr>
        <w:t> Para redes (incluidos vehículos) que utilizan 2,4 y 5,8 GHz se añadirá la anchura de banda total de ambas bandas.</w:t>
      </w:r>
    </w:p>
    <w:p w14:paraId="054EE978" w14:textId="77777777" w:rsidR="00F73D5B" w:rsidRPr="008B7A21" w:rsidRDefault="00F73D5B" w:rsidP="00F73D5B">
      <w:pPr>
        <w:pStyle w:val="enumlev1"/>
        <w:rPr>
          <w:lang w:val="es-ES_tradnl"/>
        </w:rPr>
      </w:pPr>
      <w:r w:rsidRPr="008B7A21">
        <w:rPr>
          <w:b/>
          <w:lang w:val="es-ES_tradnl"/>
        </w:rPr>
        <w:tab/>
        <w:t>CF</w:t>
      </w:r>
      <w:r w:rsidRPr="008B7A21">
        <w:rPr>
          <w:lang w:val="es-ES_tradnl"/>
        </w:rPr>
        <w:t xml:space="preserve"> = Factor de cobertura que depende de la zona geográfica y que se determinará de la forma siguiente:</w:t>
      </w:r>
    </w:p>
    <w:p w14:paraId="3F5F5498" w14:textId="77777777" w:rsidR="00F73D5B" w:rsidRPr="008B7A21" w:rsidRDefault="00F73D5B" w:rsidP="00F73D5B">
      <w:pPr>
        <w:pStyle w:val="Blanc"/>
        <w:rPr>
          <w:lang w:val="es-ES_tradnl"/>
        </w:rPr>
      </w:pPr>
    </w:p>
    <w:tbl>
      <w:tblPr>
        <w:tblW w:w="878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
        <w:gridCol w:w="1587"/>
        <w:gridCol w:w="1701"/>
        <w:gridCol w:w="3005"/>
        <w:gridCol w:w="1531"/>
      </w:tblGrid>
      <w:tr w:rsidR="00F73D5B" w:rsidRPr="008B7A21" w14:paraId="335C1F16" w14:textId="77777777" w:rsidTr="00767A6A">
        <w:trPr>
          <w:trHeight w:val="514"/>
        </w:trPr>
        <w:tc>
          <w:tcPr>
            <w:tcW w:w="964" w:type="dxa"/>
            <w:tcBorders>
              <w:top w:val="single" w:sz="4" w:space="0" w:color="auto"/>
              <w:left w:val="single" w:sz="4" w:space="0" w:color="auto"/>
              <w:bottom w:val="single" w:sz="4" w:space="0" w:color="auto"/>
              <w:right w:val="single" w:sz="4" w:space="0" w:color="auto"/>
            </w:tcBorders>
            <w:vAlign w:val="center"/>
          </w:tcPr>
          <w:p w14:paraId="473D274E" w14:textId="77777777" w:rsidR="00F73D5B" w:rsidRPr="008B7A21" w:rsidRDefault="00F73D5B" w:rsidP="00767A6A">
            <w:pPr>
              <w:pStyle w:val="Tablehead"/>
              <w:rPr>
                <w:lang w:val="es-ES_tradnl"/>
              </w:rPr>
            </w:pPr>
            <w:r w:rsidRPr="008B7A21">
              <w:rPr>
                <w:lang w:val="es-ES_tradnl"/>
              </w:rPr>
              <w:t xml:space="preserve">Zona </w:t>
            </w:r>
          </w:p>
        </w:tc>
        <w:tc>
          <w:tcPr>
            <w:tcW w:w="1587" w:type="dxa"/>
            <w:tcBorders>
              <w:top w:val="single" w:sz="4" w:space="0" w:color="auto"/>
              <w:left w:val="single" w:sz="4" w:space="0" w:color="auto"/>
              <w:bottom w:val="single" w:sz="4" w:space="0" w:color="auto"/>
              <w:right w:val="single" w:sz="4" w:space="0" w:color="auto"/>
            </w:tcBorders>
            <w:vAlign w:val="center"/>
          </w:tcPr>
          <w:p w14:paraId="1019BE3F" w14:textId="77777777" w:rsidR="00F73D5B" w:rsidRPr="008B7A21" w:rsidRDefault="00F73D5B" w:rsidP="00767A6A">
            <w:pPr>
              <w:pStyle w:val="Tablehead"/>
              <w:rPr>
                <w:lang w:val="es-ES_tradnl"/>
              </w:rPr>
            </w:pPr>
            <w:r w:rsidRPr="008B7A21">
              <w:rPr>
                <w:lang w:val="es-ES_tradnl"/>
              </w:rPr>
              <w:t>Zona rural o en su sede</w:t>
            </w:r>
          </w:p>
        </w:tc>
        <w:tc>
          <w:tcPr>
            <w:tcW w:w="1701" w:type="dxa"/>
            <w:tcBorders>
              <w:top w:val="single" w:sz="4" w:space="0" w:color="auto"/>
              <w:left w:val="single" w:sz="4" w:space="0" w:color="auto"/>
              <w:bottom w:val="single" w:sz="4" w:space="0" w:color="auto"/>
              <w:right w:val="single" w:sz="4" w:space="0" w:color="auto"/>
            </w:tcBorders>
            <w:vAlign w:val="center"/>
          </w:tcPr>
          <w:p w14:paraId="46A4215F" w14:textId="77777777" w:rsidR="00F73D5B" w:rsidRPr="008B7A21" w:rsidRDefault="00F73D5B" w:rsidP="00767A6A">
            <w:pPr>
              <w:pStyle w:val="Tablehead"/>
              <w:rPr>
                <w:lang w:val="es-ES_tradnl"/>
              </w:rPr>
            </w:pPr>
            <w:r w:rsidRPr="008B7A21">
              <w:rPr>
                <w:lang w:val="es-ES_tradnl"/>
              </w:rPr>
              <w:t>Zona urbana en un Emirato</w:t>
            </w:r>
          </w:p>
        </w:tc>
        <w:tc>
          <w:tcPr>
            <w:tcW w:w="3005" w:type="dxa"/>
            <w:tcBorders>
              <w:top w:val="single" w:sz="4" w:space="0" w:color="auto"/>
              <w:left w:val="single" w:sz="4" w:space="0" w:color="auto"/>
              <w:bottom w:val="single" w:sz="4" w:space="0" w:color="auto"/>
              <w:right w:val="single" w:sz="4" w:space="0" w:color="auto"/>
            </w:tcBorders>
            <w:vAlign w:val="center"/>
          </w:tcPr>
          <w:p w14:paraId="21A112FA" w14:textId="77777777" w:rsidR="00F73D5B" w:rsidRPr="008B7A21" w:rsidRDefault="00F73D5B" w:rsidP="00767A6A">
            <w:pPr>
              <w:pStyle w:val="Tablehead"/>
              <w:rPr>
                <w:lang w:val="es-ES_tradnl"/>
              </w:rPr>
            </w:pPr>
            <w:r w:rsidRPr="008B7A21">
              <w:rPr>
                <w:lang w:val="es-ES_tradnl"/>
              </w:rPr>
              <w:t>Todo el Emirato</w:t>
            </w:r>
          </w:p>
        </w:tc>
        <w:tc>
          <w:tcPr>
            <w:tcW w:w="1531" w:type="dxa"/>
            <w:tcBorders>
              <w:top w:val="single" w:sz="4" w:space="0" w:color="auto"/>
              <w:left w:val="single" w:sz="4" w:space="0" w:color="auto"/>
              <w:bottom w:val="single" w:sz="4" w:space="0" w:color="auto"/>
              <w:right w:val="single" w:sz="4" w:space="0" w:color="auto"/>
            </w:tcBorders>
            <w:vAlign w:val="center"/>
          </w:tcPr>
          <w:p w14:paraId="3B61D604" w14:textId="77777777" w:rsidR="00F73D5B" w:rsidRPr="008B7A21" w:rsidRDefault="00F73D5B" w:rsidP="00767A6A">
            <w:pPr>
              <w:pStyle w:val="Tablehead"/>
              <w:rPr>
                <w:lang w:val="es-ES_tradnl"/>
              </w:rPr>
            </w:pPr>
            <w:r w:rsidRPr="008B7A21">
              <w:rPr>
                <w:lang w:val="es-ES_tradnl"/>
              </w:rPr>
              <w:t>Más de tres Emiratos</w:t>
            </w:r>
          </w:p>
        </w:tc>
      </w:tr>
      <w:tr w:rsidR="00F73D5B" w:rsidRPr="008B7A21" w14:paraId="7996E7FB" w14:textId="77777777" w:rsidTr="00767A6A">
        <w:tc>
          <w:tcPr>
            <w:tcW w:w="964" w:type="dxa"/>
            <w:tcBorders>
              <w:top w:val="single" w:sz="4" w:space="0" w:color="auto"/>
              <w:left w:val="single" w:sz="4" w:space="0" w:color="auto"/>
              <w:bottom w:val="single" w:sz="4" w:space="0" w:color="auto"/>
              <w:right w:val="single" w:sz="4" w:space="0" w:color="auto"/>
            </w:tcBorders>
          </w:tcPr>
          <w:p w14:paraId="70215B57" w14:textId="77777777" w:rsidR="00F73D5B" w:rsidRPr="008B7A21" w:rsidRDefault="00F73D5B" w:rsidP="00767A6A">
            <w:pPr>
              <w:pStyle w:val="Tabletext"/>
              <w:jc w:val="center"/>
              <w:rPr>
                <w:lang w:val="es-ES_tradnl"/>
              </w:rPr>
            </w:pPr>
            <w:r w:rsidRPr="008B7A21">
              <w:rPr>
                <w:lang w:val="es-ES_tradnl"/>
              </w:rPr>
              <w:t>CF</w:t>
            </w:r>
          </w:p>
        </w:tc>
        <w:tc>
          <w:tcPr>
            <w:tcW w:w="1587" w:type="dxa"/>
            <w:tcBorders>
              <w:top w:val="single" w:sz="4" w:space="0" w:color="auto"/>
              <w:left w:val="single" w:sz="4" w:space="0" w:color="auto"/>
              <w:bottom w:val="single" w:sz="4" w:space="0" w:color="auto"/>
              <w:right w:val="single" w:sz="4" w:space="0" w:color="auto"/>
            </w:tcBorders>
          </w:tcPr>
          <w:p w14:paraId="4ABA1C54" w14:textId="77777777" w:rsidR="00F73D5B" w:rsidRPr="008B7A21" w:rsidRDefault="00F73D5B" w:rsidP="00767A6A">
            <w:pPr>
              <w:pStyle w:val="Tabletext"/>
              <w:jc w:val="center"/>
              <w:rPr>
                <w:lang w:val="es-ES_tradnl"/>
              </w:rPr>
            </w:pPr>
            <w:r w:rsidRPr="008B7A21">
              <w:rPr>
                <w:lang w:val="es-ES_tradnl"/>
              </w:rPr>
              <w:t>100</w:t>
            </w:r>
          </w:p>
        </w:tc>
        <w:tc>
          <w:tcPr>
            <w:tcW w:w="1701" w:type="dxa"/>
            <w:tcBorders>
              <w:top w:val="single" w:sz="4" w:space="0" w:color="auto"/>
              <w:left w:val="single" w:sz="4" w:space="0" w:color="auto"/>
              <w:bottom w:val="single" w:sz="4" w:space="0" w:color="auto"/>
              <w:right w:val="single" w:sz="4" w:space="0" w:color="auto"/>
            </w:tcBorders>
          </w:tcPr>
          <w:p w14:paraId="60DDA8F1" w14:textId="77777777" w:rsidR="00F73D5B" w:rsidRPr="008B7A21" w:rsidRDefault="00F73D5B" w:rsidP="00767A6A">
            <w:pPr>
              <w:pStyle w:val="Tabletext"/>
              <w:jc w:val="center"/>
              <w:rPr>
                <w:lang w:val="es-ES_tradnl"/>
              </w:rPr>
            </w:pPr>
            <w:r w:rsidRPr="008B7A21">
              <w:rPr>
                <w:lang w:val="es-ES_tradnl"/>
              </w:rPr>
              <w:t>500</w:t>
            </w:r>
          </w:p>
        </w:tc>
        <w:tc>
          <w:tcPr>
            <w:tcW w:w="3005" w:type="dxa"/>
            <w:tcBorders>
              <w:top w:val="single" w:sz="4" w:space="0" w:color="auto"/>
              <w:left w:val="single" w:sz="4" w:space="0" w:color="auto"/>
              <w:bottom w:val="single" w:sz="4" w:space="0" w:color="auto"/>
              <w:right w:val="single" w:sz="4" w:space="0" w:color="auto"/>
            </w:tcBorders>
          </w:tcPr>
          <w:p w14:paraId="32A70B01" w14:textId="77777777" w:rsidR="00F73D5B" w:rsidRPr="008B7A21" w:rsidRDefault="00F73D5B" w:rsidP="00767A6A">
            <w:pPr>
              <w:pStyle w:val="Tabletext"/>
              <w:jc w:val="left"/>
              <w:rPr>
                <w:lang w:val="es-ES_tradnl"/>
              </w:rPr>
            </w:pPr>
            <w:r w:rsidRPr="008B7A21">
              <w:rPr>
                <w:lang w:val="es-ES_tradnl"/>
              </w:rPr>
              <w:t>2 000 para Abu Dhabi o Dubái</w:t>
            </w:r>
          </w:p>
          <w:p w14:paraId="4D5DFCF4" w14:textId="77777777" w:rsidR="00F73D5B" w:rsidRPr="008B7A21" w:rsidRDefault="00F73D5B" w:rsidP="00767A6A">
            <w:pPr>
              <w:pStyle w:val="Tabletext"/>
              <w:jc w:val="left"/>
              <w:rPr>
                <w:lang w:val="es-ES_tradnl"/>
              </w:rPr>
            </w:pPr>
            <w:r w:rsidRPr="008B7A21">
              <w:rPr>
                <w:lang w:val="es-ES_tradnl"/>
              </w:rPr>
              <w:t>1 000 para otros Emiratos</w:t>
            </w:r>
          </w:p>
        </w:tc>
        <w:tc>
          <w:tcPr>
            <w:tcW w:w="1531" w:type="dxa"/>
            <w:tcBorders>
              <w:top w:val="single" w:sz="4" w:space="0" w:color="auto"/>
              <w:left w:val="single" w:sz="4" w:space="0" w:color="auto"/>
              <w:bottom w:val="single" w:sz="4" w:space="0" w:color="auto"/>
              <w:right w:val="single" w:sz="4" w:space="0" w:color="auto"/>
            </w:tcBorders>
          </w:tcPr>
          <w:p w14:paraId="29BE0372" w14:textId="77777777" w:rsidR="00F73D5B" w:rsidRPr="008B7A21" w:rsidRDefault="00F73D5B" w:rsidP="00767A6A">
            <w:pPr>
              <w:pStyle w:val="Tabletext"/>
              <w:jc w:val="center"/>
              <w:rPr>
                <w:lang w:val="es-ES_tradnl"/>
              </w:rPr>
            </w:pPr>
            <w:r w:rsidRPr="008B7A21">
              <w:rPr>
                <w:lang w:val="es-ES_tradnl"/>
              </w:rPr>
              <w:t>4 000</w:t>
            </w:r>
          </w:p>
        </w:tc>
      </w:tr>
    </w:tbl>
    <w:p w14:paraId="2D4E7189" w14:textId="77777777" w:rsidR="00F73D5B" w:rsidRPr="008B7A21" w:rsidRDefault="00F73D5B" w:rsidP="00F73D5B">
      <w:pPr>
        <w:pStyle w:val="Tablefin"/>
        <w:rPr>
          <w:lang w:val="es-ES_tradnl"/>
        </w:rPr>
      </w:pPr>
    </w:p>
    <w:p w14:paraId="3566573B" w14:textId="77777777" w:rsidR="00F73D5B" w:rsidRPr="008B7A21" w:rsidRDefault="00F73D5B" w:rsidP="00F73D5B">
      <w:pPr>
        <w:keepNext/>
        <w:keepLines/>
        <w:rPr>
          <w:lang w:val="es-ES_tradnl"/>
        </w:rPr>
      </w:pPr>
      <w:r w:rsidRPr="008B7A21">
        <w:rPr>
          <w:b/>
          <w:lang w:val="es-ES_tradnl"/>
        </w:rPr>
        <w:lastRenderedPageBreak/>
        <w:tab/>
        <w:t>FF</w:t>
      </w:r>
      <w:r w:rsidRPr="008B7A21">
        <w:rPr>
          <w:lang w:val="es-ES_tradnl"/>
        </w:rPr>
        <w:t xml:space="preserve"> = Factor de frecuencia que se determinará de la forma siguiente:</w:t>
      </w:r>
    </w:p>
    <w:p w14:paraId="322D50B2" w14:textId="77777777" w:rsidR="00F73D5B" w:rsidRPr="008B7A21" w:rsidRDefault="00F73D5B" w:rsidP="00F73D5B">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3"/>
        <w:gridCol w:w="2796"/>
      </w:tblGrid>
      <w:tr w:rsidR="00F73D5B" w:rsidRPr="008B7A21" w14:paraId="1CEEE4EF" w14:textId="77777777" w:rsidTr="00767A6A">
        <w:trPr>
          <w:trHeight w:val="390"/>
          <w:jc w:val="center"/>
        </w:trPr>
        <w:tc>
          <w:tcPr>
            <w:tcW w:w="3363" w:type="dxa"/>
          </w:tcPr>
          <w:p w14:paraId="0F7D8379" w14:textId="77777777" w:rsidR="00F73D5B" w:rsidRPr="008B7A21" w:rsidRDefault="00F73D5B" w:rsidP="00767A6A">
            <w:pPr>
              <w:pStyle w:val="Tablehead"/>
              <w:keepLines/>
              <w:rPr>
                <w:lang w:val="es-ES_tradnl"/>
              </w:rPr>
            </w:pPr>
            <w:r w:rsidRPr="008B7A21">
              <w:rPr>
                <w:lang w:val="es-ES_tradnl"/>
              </w:rPr>
              <w:t>Gama de frecuencias</w:t>
            </w:r>
          </w:p>
        </w:tc>
        <w:tc>
          <w:tcPr>
            <w:tcW w:w="2796" w:type="dxa"/>
          </w:tcPr>
          <w:p w14:paraId="5D298562" w14:textId="77777777" w:rsidR="00F73D5B" w:rsidRPr="008B7A21" w:rsidRDefault="00F73D5B" w:rsidP="00767A6A">
            <w:pPr>
              <w:pStyle w:val="Tablehead"/>
              <w:keepLines/>
              <w:rPr>
                <w:lang w:val="es-ES_tradnl"/>
              </w:rPr>
            </w:pPr>
            <w:r w:rsidRPr="008B7A21">
              <w:rPr>
                <w:lang w:val="es-ES_tradnl"/>
              </w:rPr>
              <w:t>Factor de frecuencia (FF)</w:t>
            </w:r>
          </w:p>
        </w:tc>
      </w:tr>
      <w:tr w:rsidR="00F73D5B" w:rsidRPr="008B7A21" w14:paraId="265EA432" w14:textId="77777777" w:rsidTr="00767A6A">
        <w:trPr>
          <w:trHeight w:val="390"/>
          <w:jc w:val="center"/>
        </w:trPr>
        <w:tc>
          <w:tcPr>
            <w:tcW w:w="3363" w:type="dxa"/>
          </w:tcPr>
          <w:p w14:paraId="13D1609F" w14:textId="77777777" w:rsidR="00F73D5B" w:rsidRPr="008B7A21" w:rsidRDefault="00F73D5B" w:rsidP="00767A6A">
            <w:pPr>
              <w:pStyle w:val="Tabletext"/>
              <w:keepNext/>
              <w:keepLines/>
              <w:jc w:val="center"/>
              <w:rPr>
                <w:lang w:val="es-ES_tradnl"/>
              </w:rPr>
            </w:pPr>
            <w:r w:rsidRPr="008B7A21">
              <w:rPr>
                <w:lang w:val="es-ES_tradnl"/>
              </w:rPr>
              <w:t xml:space="preserve">2 GHz &lt; </w:t>
            </w:r>
            <w:r w:rsidRPr="008B7A21">
              <w:rPr>
                <w:i/>
                <w:iCs/>
                <w:lang w:val="es-ES_tradnl"/>
              </w:rPr>
              <w:t>f</w:t>
            </w:r>
            <w:r w:rsidRPr="008B7A21">
              <w:rPr>
                <w:lang w:val="es-ES_tradnl"/>
              </w:rPr>
              <w:t xml:space="preserve"> ≤ 6 GHz</w:t>
            </w:r>
          </w:p>
        </w:tc>
        <w:tc>
          <w:tcPr>
            <w:tcW w:w="2796" w:type="dxa"/>
          </w:tcPr>
          <w:p w14:paraId="6274654A" w14:textId="77777777" w:rsidR="00F73D5B" w:rsidRPr="008B7A21" w:rsidRDefault="00F73D5B" w:rsidP="00767A6A">
            <w:pPr>
              <w:pStyle w:val="Tabletext"/>
              <w:keepNext/>
              <w:keepLines/>
              <w:jc w:val="center"/>
              <w:rPr>
                <w:lang w:val="es-ES_tradnl"/>
              </w:rPr>
            </w:pPr>
            <w:r w:rsidRPr="008B7A21">
              <w:rPr>
                <w:lang w:val="es-ES_tradnl"/>
              </w:rPr>
              <w:t>5</w:t>
            </w:r>
          </w:p>
        </w:tc>
      </w:tr>
      <w:tr w:rsidR="00F73D5B" w:rsidRPr="008B7A21" w14:paraId="68B042E7" w14:textId="77777777" w:rsidTr="00767A6A">
        <w:trPr>
          <w:trHeight w:val="390"/>
          <w:jc w:val="center"/>
        </w:trPr>
        <w:tc>
          <w:tcPr>
            <w:tcW w:w="3363" w:type="dxa"/>
          </w:tcPr>
          <w:p w14:paraId="17CDE39D" w14:textId="77777777" w:rsidR="00F73D5B" w:rsidRPr="008B7A21" w:rsidRDefault="00F73D5B" w:rsidP="00767A6A">
            <w:pPr>
              <w:pStyle w:val="Tabletext"/>
              <w:keepNext/>
              <w:keepLines/>
              <w:jc w:val="center"/>
              <w:rPr>
                <w:lang w:val="es-ES_tradnl"/>
              </w:rPr>
            </w:pPr>
            <w:r w:rsidRPr="008B7A21">
              <w:rPr>
                <w:lang w:val="es-ES_tradnl"/>
              </w:rPr>
              <w:t xml:space="preserve">6 GHz &lt; </w:t>
            </w:r>
            <w:r w:rsidRPr="008B7A21">
              <w:rPr>
                <w:i/>
                <w:iCs/>
                <w:lang w:val="es-ES_tradnl"/>
              </w:rPr>
              <w:t>f</w:t>
            </w:r>
            <w:r w:rsidRPr="008B7A21">
              <w:rPr>
                <w:lang w:val="es-ES_tradnl"/>
              </w:rPr>
              <w:t xml:space="preserve"> ≤ 11 GHz</w:t>
            </w:r>
          </w:p>
        </w:tc>
        <w:tc>
          <w:tcPr>
            <w:tcW w:w="2796" w:type="dxa"/>
          </w:tcPr>
          <w:p w14:paraId="50A1C285" w14:textId="77777777" w:rsidR="00F73D5B" w:rsidRPr="008B7A21" w:rsidRDefault="00F73D5B" w:rsidP="00767A6A">
            <w:pPr>
              <w:pStyle w:val="Tabletext"/>
              <w:keepNext/>
              <w:keepLines/>
              <w:jc w:val="center"/>
              <w:rPr>
                <w:lang w:val="es-ES_tradnl"/>
              </w:rPr>
            </w:pPr>
            <w:r w:rsidRPr="008B7A21">
              <w:rPr>
                <w:lang w:val="es-ES_tradnl"/>
              </w:rPr>
              <w:t>4</w:t>
            </w:r>
          </w:p>
        </w:tc>
      </w:tr>
      <w:tr w:rsidR="00F73D5B" w:rsidRPr="008B7A21" w14:paraId="1D40E869" w14:textId="77777777" w:rsidTr="00767A6A">
        <w:trPr>
          <w:trHeight w:val="390"/>
          <w:jc w:val="center"/>
        </w:trPr>
        <w:tc>
          <w:tcPr>
            <w:tcW w:w="3363" w:type="dxa"/>
          </w:tcPr>
          <w:p w14:paraId="4D0388E9" w14:textId="77777777" w:rsidR="00F73D5B" w:rsidRPr="008B7A21" w:rsidRDefault="00F73D5B" w:rsidP="00767A6A">
            <w:pPr>
              <w:pStyle w:val="Tabletext"/>
              <w:keepNext/>
              <w:keepLines/>
              <w:jc w:val="center"/>
              <w:rPr>
                <w:lang w:val="es-ES_tradnl"/>
              </w:rPr>
            </w:pPr>
            <w:r w:rsidRPr="008B7A21">
              <w:rPr>
                <w:lang w:val="es-ES_tradnl"/>
              </w:rPr>
              <w:t xml:space="preserve">11 GHz &lt; </w:t>
            </w:r>
            <w:r w:rsidRPr="008B7A21">
              <w:rPr>
                <w:i/>
                <w:iCs/>
                <w:lang w:val="es-ES_tradnl"/>
              </w:rPr>
              <w:t>f</w:t>
            </w:r>
            <w:r w:rsidRPr="008B7A21">
              <w:rPr>
                <w:lang w:val="es-ES_tradnl"/>
              </w:rPr>
              <w:t xml:space="preserve"> ≤ 14 GHz</w:t>
            </w:r>
          </w:p>
        </w:tc>
        <w:tc>
          <w:tcPr>
            <w:tcW w:w="2796" w:type="dxa"/>
          </w:tcPr>
          <w:p w14:paraId="1BA82930" w14:textId="77777777" w:rsidR="00F73D5B" w:rsidRPr="008B7A21" w:rsidRDefault="00F73D5B" w:rsidP="00767A6A">
            <w:pPr>
              <w:pStyle w:val="Tabletext"/>
              <w:keepNext/>
              <w:keepLines/>
              <w:jc w:val="center"/>
              <w:rPr>
                <w:lang w:val="es-ES_tradnl"/>
              </w:rPr>
            </w:pPr>
            <w:r w:rsidRPr="008B7A21">
              <w:rPr>
                <w:lang w:val="es-ES_tradnl"/>
              </w:rPr>
              <w:t>3</w:t>
            </w:r>
          </w:p>
        </w:tc>
      </w:tr>
      <w:tr w:rsidR="00F73D5B" w:rsidRPr="008B7A21" w14:paraId="28617FB3" w14:textId="77777777" w:rsidTr="00767A6A">
        <w:trPr>
          <w:trHeight w:val="406"/>
          <w:jc w:val="center"/>
        </w:trPr>
        <w:tc>
          <w:tcPr>
            <w:tcW w:w="3363" w:type="dxa"/>
          </w:tcPr>
          <w:p w14:paraId="5E20D30B" w14:textId="77777777" w:rsidR="00F73D5B" w:rsidRPr="008B7A21" w:rsidRDefault="00F73D5B" w:rsidP="00767A6A">
            <w:pPr>
              <w:pStyle w:val="Tabletext"/>
              <w:keepNext/>
              <w:keepLines/>
              <w:jc w:val="center"/>
              <w:rPr>
                <w:lang w:val="es-ES_tradnl"/>
              </w:rPr>
            </w:pPr>
            <w:r w:rsidRPr="008B7A21">
              <w:rPr>
                <w:lang w:val="es-ES_tradnl"/>
              </w:rPr>
              <w:t xml:space="preserve">14 GHz &lt; </w:t>
            </w:r>
            <w:r w:rsidRPr="008B7A21">
              <w:rPr>
                <w:i/>
                <w:iCs/>
                <w:lang w:val="es-ES_tradnl"/>
              </w:rPr>
              <w:t>f</w:t>
            </w:r>
            <w:r w:rsidRPr="008B7A21">
              <w:rPr>
                <w:lang w:val="es-ES_tradnl"/>
              </w:rPr>
              <w:t xml:space="preserve"> ≤ 40 GHz</w:t>
            </w:r>
          </w:p>
        </w:tc>
        <w:tc>
          <w:tcPr>
            <w:tcW w:w="2796" w:type="dxa"/>
          </w:tcPr>
          <w:p w14:paraId="2C4D311A" w14:textId="77777777" w:rsidR="00F73D5B" w:rsidRPr="008B7A21" w:rsidRDefault="00F73D5B" w:rsidP="00767A6A">
            <w:pPr>
              <w:pStyle w:val="Tabletext"/>
              <w:keepNext/>
              <w:keepLines/>
              <w:jc w:val="center"/>
              <w:rPr>
                <w:lang w:val="es-ES_tradnl"/>
              </w:rPr>
            </w:pPr>
            <w:r w:rsidRPr="008B7A21">
              <w:rPr>
                <w:lang w:val="es-ES_tradnl"/>
              </w:rPr>
              <w:t>2</w:t>
            </w:r>
          </w:p>
        </w:tc>
      </w:tr>
      <w:tr w:rsidR="00F73D5B" w:rsidRPr="008B7A21" w14:paraId="37C45EF6" w14:textId="77777777" w:rsidTr="00767A6A">
        <w:trPr>
          <w:trHeight w:val="406"/>
          <w:jc w:val="center"/>
        </w:trPr>
        <w:tc>
          <w:tcPr>
            <w:tcW w:w="3363" w:type="dxa"/>
          </w:tcPr>
          <w:p w14:paraId="3F6CB3EB" w14:textId="77777777" w:rsidR="00F73D5B" w:rsidRPr="008B7A21" w:rsidRDefault="00F73D5B" w:rsidP="00767A6A">
            <w:pPr>
              <w:pStyle w:val="Tabletext"/>
              <w:keepNext/>
              <w:keepLines/>
              <w:jc w:val="center"/>
              <w:rPr>
                <w:lang w:val="es-ES_tradnl"/>
              </w:rPr>
            </w:pPr>
            <w:r w:rsidRPr="008B7A21">
              <w:rPr>
                <w:lang w:val="es-ES_tradnl"/>
              </w:rPr>
              <w:t xml:space="preserve">40 GHz &lt; </w:t>
            </w:r>
            <w:r w:rsidRPr="008B7A21">
              <w:rPr>
                <w:i/>
                <w:iCs/>
                <w:lang w:val="es-ES_tradnl"/>
              </w:rPr>
              <w:t>f</w:t>
            </w:r>
          </w:p>
        </w:tc>
        <w:tc>
          <w:tcPr>
            <w:tcW w:w="2796" w:type="dxa"/>
          </w:tcPr>
          <w:p w14:paraId="483F198F" w14:textId="77777777" w:rsidR="00F73D5B" w:rsidRPr="008B7A21" w:rsidRDefault="00F73D5B" w:rsidP="00767A6A">
            <w:pPr>
              <w:pStyle w:val="Tabletext"/>
              <w:keepNext/>
              <w:keepLines/>
              <w:jc w:val="center"/>
              <w:rPr>
                <w:lang w:val="es-ES_tradnl"/>
              </w:rPr>
            </w:pPr>
            <w:r w:rsidRPr="008B7A21">
              <w:rPr>
                <w:lang w:val="es-ES_tradnl"/>
              </w:rPr>
              <w:t>1</w:t>
            </w:r>
          </w:p>
        </w:tc>
      </w:tr>
      <w:tr w:rsidR="00F73D5B" w:rsidRPr="008B7A21" w14:paraId="27A3F16D" w14:textId="77777777" w:rsidTr="00767A6A">
        <w:trPr>
          <w:trHeight w:val="406"/>
          <w:jc w:val="center"/>
        </w:trPr>
        <w:tc>
          <w:tcPr>
            <w:tcW w:w="6159" w:type="dxa"/>
            <w:gridSpan w:val="2"/>
            <w:tcBorders>
              <w:left w:val="nil"/>
              <w:bottom w:val="nil"/>
              <w:right w:val="nil"/>
            </w:tcBorders>
          </w:tcPr>
          <w:p w14:paraId="037BDF4F" w14:textId="77777777" w:rsidR="00F73D5B" w:rsidRPr="008B7A21" w:rsidRDefault="00F73D5B" w:rsidP="00767A6A">
            <w:pPr>
              <w:pStyle w:val="Tablelegend"/>
              <w:keepNext/>
              <w:keepLines/>
              <w:rPr>
                <w:lang w:val="es-ES_tradnl"/>
              </w:rPr>
            </w:pPr>
            <w:r w:rsidRPr="008B7A21">
              <w:rPr>
                <w:i/>
                <w:iCs/>
                <w:sz w:val="10"/>
                <w:szCs w:val="10"/>
                <w:lang w:val="es-ES_tradnl"/>
              </w:rPr>
              <w:t> </w:t>
            </w:r>
            <w:r w:rsidRPr="008B7A21">
              <w:rPr>
                <w:i/>
                <w:iCs/>
                <w:lang w:val="es-ES_tradnl"/>
              </w:rPr>
              <w:t>f</w:t>
            </w:r>
            <w:r w:rsidRPr="008B7A21">
              <w:rPr>
                <w:lang w:val="es-ES_tradnl"/>
              </w:rPr>
              <w:t xml:space="preserve"> = frecuencia asignada.</w:t>
            </w:r>
          </w:p>
          <w:p w14:paraId="4232884E" w14:textId="77777777" w:rsidR="00F73D5B" w:rsidRPr="008B7A21" w:rsidRDefault="00F73D5B" w:rsidP="00767A6A">
            <w:pPr>
              <w:pStyle w:val="Tablelegend"/>
              <w:keepNext/>
              <w:keepLines/>
              <w:ind w:left="-85" w:firstLine="0"/>
              <w:rPr>
                <w:lang w:val="es-ES_tradnl"/>
              </w:rPr>
            </w:pPr>
            <w:r w:rsidRPr="008B7A21">
              <w:rPr>
                <w:lang w:val="es-ES_tradnl"/>
              </w:rPr>
              <w:t>NOTA 1 – La TRA es la única con potestad para determinar el factor de cobertura para una solicitud.</w:t>
            </w:r>
          </w:p>
        </w:tc>
      </w:tr>
    </w:tbl>
    <w:p w14:paraId="5771BB50" w14:textId="77777777" w:rsidR="00F73D5B" w:rsidRPr="008B7A21" w:rsidRDefault="00F73D5B" w:rsidP="00F73D5B">
      <w:pPr>
        <w:pStyle w:val="Tablefin"/>
        <w:rPr>
          <w:lang w:val="es-ES_tradnl"/>
        </w:rPr>
      </w:pPr>
    </w:p>
    <w:p w14:paraId="47AFFC74" w14:textId="77777777" w:rsidR="00F73D5B" w:rsidRPr="008B7A21" w:rsidRDefault="00F73D5B" w:rsidP="00F73D5B">
      <w:pPr>
        <w:pStyle w:val="ArtNo"/>
        <w:rPr>
          <w:lang w:val="es-ES_tradnl"/>
        </w:rPr>
      </w:pPr>
      <w:r w:rsidRPr="008B7A21">
        <w:rPr>
          <w:lang w:val="es-ES_tradnl"/>
        </w:rPr>
        <w:t>ARTÍCULO (15)</w:t>
      </w:r>
    </w:p>
    <w:p w14:paraId="4574B6BF" w14:textId="77777777" w:rsidR="00F73D5B" w:rsidRPr="008B7A21" w:rsidRDefault="00F73D5B" w:rsidP="00F73D5B">
      <w:pPr>
        <w:pStyle w:val="Arttitle"/>
        <w:rPr>
          <w:lang w:val="es-ES_tradnl"/>
        </w:rPr>
      </w:pPr>
      <w:r w:rsidRPr="008B7A21">
        <w:rPr>
          <w:lang w:val="es-ES_tradnl"/>
        </w:rPr>
        <w:t>Cánones del espectro para enlaces ópticos y láser</w:t>
      </w:r>
    </w:p>
    <w:p w14:paraId="2993979A" w14:textId="77777777" w:rsidR="00F73D5B" w:rsidRPr="008B7A21" w:rsidRDefault="00F73D5B" w:rsidP="00F73D5B">
      <w:pPr>
        <w:pStyle w:val="Blanc"/>
        <w:rPr>
          <w:lang w:val="es-ES_tradnl" w:eastAsia="ko-KR"/>
        </w:rPr>
      </w:pPr>
    </w:p>
    <w:p w14:paraId="1E2BBD19" w14:textId="77777777" w:rsidR="00F73D5B" w:rsidRPr="008B7A21" w:rsidRDefault="00F73D5B" w:rsidP="00F73D5B">
      <w:pPr>
        <w:pStyle w:val="enumlev1"/>
        <w:rPr>
          <w:lang w:val="es-ES_tradnl"/>
        </w:rPr>
      </w:pPr>
      <w:r w:rsidRPr="008B7A21">
        <w:rPr>
          <w:lang w:val="es-ES_tradnl"/>
        </w:rPr>
        <w:t>15.1</w:t>
      </w:r>
      <w:r w:rsidRPr="008B7A21">
        <w:rPr>
          <w:lang w:val="es-ES_tradnl"/>
        </w:rPr>
        <w:tab/>
        <w:t>El canon anual del espectro para enlaces ópticos y láser en espacio libre será de cincuenta (50) Dirhams.</w:t>
      </w:r>
    </w:p>
    <w:p w14:paraId="090F4FE6" w14:textId="77777777" w:rsidR="00F73D5B" w:rsidRPr="008B7A21" w:rsidRDefault="00F73D5B" w:rsidP="00F73D5B">
      <w:pPr>
        <w:pStyle w:val="ArtNo"/>
        <w:rPr>
          <w:lang w:val="es-ES_tradnl"/>
        </w:rPr>
      </w:pPr>
      <w:r w:rsidRPr="008B7A21">
        <w:rPr>
          <w:lang w:val="es-ES_tradnl"/>
        </w:rPr>
        <w:t>ARTÍCULO (16)</w:t>
      </w:r>
    </w:p>
    <w:p w14:paraId="2B78DC3C" w14:textId="77777777" w:rsidR="00F73D5B" w:rsidRPr="008B7A21" w:rsidRDefault="00F73D5B" w:rsidP="00F73D5B">
      <w:pPr>
        <w:pStyle w:val="Arttitle"/>
        <w:rPr>
          <w:lang w:val="es-ES_tradnl"/>
        </w:rPr>
      </w:pPr>
      <w:r w:rsidRPr="008B7A21">
        <w:rPr>
          <w:lang w:val="es-ES_tradnl"/>
        </w:rPr>
        <w:t>Cánones del espectro para WLAN y telefonía sin hilos</w:t>
      </w:r>
    </w:p>
    <w:p w14:paraId="56A5ADAE" w14:textId="77777777" w:rsidR="00F73D5B" w:rsidRPr="008B7A21" w:rsidRDefault="00F73D5B" w:rsidP="00F73D5B">
      <w:pPr>
        <w:pStyle w:val="Blanc"/>
        <w:rPr>
          <w:lang w:val="es-ES_tradnl" w:eastAsia="ko-KR"/>
        </w:rPr>
      </w:pPr>
    </w:p>
    <w:p w14:paraId="2D04DBC8" w14:textId="77777777" w:rsidR="00F73D5B" w:rsidRPr="008B7A21" w:rsidRDefault="00F73D5B" w:rsidP="00F73D5B">
      <w:pPr>
        <w:pStyle w:val="enumlev1"/>
        <w:rPr>
          <w:lang w:val="es-ES_tradnl"/>
        </w:rPr>
      </w:pPr>
      <w:r w:rsidRPr="008B7A21">
        <w:rPr>
          <w:lang w:val="es-ES_tradnl"/>
        </w:rPr>
        <w:t>16.1</w:t>
      </w:r>
      <w:r w:rsidRPr="008B7A21">
        <w:rPr>
          <w:lang w:val="es-ES_tradnl"/>
        </w:rPr>
        <w:tab/>
        <w:t>El uso en el interior de los edificios de redes WLAN y de telefonía sin hilos basadas en DECT, cuando se realice siguiendo la reglamentación de la TRA, estará exenta del canon del espectro.</w:t>
      </w:r>
    </w:p>
    <w:p w14:paraId="07291CA9" w14:textId="77777777" w:rsidR="00F73D5B" w:rsidRPr="008B7A21" w:rsidRDefault="00F73D5B" w:rsidP="00F73D5B">
      <w:pPr>
        <w:pStyle w:val="ArtNo"/>
        <w:rPr>
          <w:lang w:val="es-ES_tradnl"/>
        </w:rPr>
      </w:pPr>
      <w:r w:rsidRPr="008B7A21">
        <w:rPr>
          <w:lang w:val="es-ES_tradnl"/>
        </w:rPr>
        <w:t>ARTÍCULO (17)</w:t>
      </w:r>
    </w:p>
    <w:p w14:paraId="4F3D3352" w14:textId="77777777" w:rsidR="00F73D5B" w:rsidRPr="008B7A21" w:rsidRDefault="00F73D5B" w:rsidP="00F73D5B">
      <w:pPr>
        <w:pStyle w:val="Arttitle"/>
        <w:rPr>
          <w:lang w:val="es-ES_tradnl"/>
        </w:rPr>
      </w:pPr>
      <w:r w:rsidRPr="008B7A21">
        <w:rPr>
          <w:lang w:val="es-ES_tradnl"/>
        </w:rPr>
        <w:t>Cánones del espectro para GMPCS</w:t>
      </w:r>
    </w:p>
    <w:p w14:paraId="79E6A5E8" w14:textId="77777777" w:rsidR="00F73D5B" w:rsidRPr="008B7A21" w:rsidRDefault="00F73D5B" w:rsidP="00F73D5B">
      <w:pPr>
        <w:pStyle w:val="Blanc"/>
        <w:rPr>
          <w:lang w:val="es-ES_tradnl" w:eastAsia="ko-KR"/>
        </w:rPr>
      </w:pPr>
    </w:p>
    <w:p w14:paraId="20779C4F" w14:textId="77777777" w:rsidR="00F73D5B" w:rsidRPr="008B7A21" w:rsidRDefault="00F73D5B" w:rsidP="00F73D5B">
      <w:pPr>
        <w:pStyle w:val="enumlev1"/>
        <w:rPr>
          <w:lang w:val="es-ES_tradnl"/>
        </w:rPr>
      </w:pPr>
      <w:r w:rsidRPr="008B7A21">
        <w:rPr>
          <w:lang w:val="es-ES_tradnl"/>
        </w:rPr>
        <w:t>17.1</w:t>
      </w:r>
      <w:r w:rsidRPr="008B7A21">
        <w:rPr>
          <w:lang w:val="es-ES_tradnl"/>
        </w:rPr>
        <w:tab/>
        <w:t>El canon anual del espectro para las comunicaciones personales móviles mundiales por satélite (GMPCS) (incluido su uso terrestre, aeronáutico y marítimo) se calculará de la forma siguiente:</w:t>
      </w:r>
    </w:p>
    <w:p w14:paraId="27B45340" w14:textId="77777777" w:rsidR="00F73D5B" w:rsidRPr="008B7A21" w:rsidRDefault="00F73D5B" w:rsidP="00F73D5B">
      <w:pPr>
        <w:jc w:val="center"/>
        <w:rPr>
          <w:lang w:val="es-ES_tradnl"/>
        </w:rPr>
      </w:pPr>
      <w:r w:rsidRPr="008B7A21">
        <w:rPr>
          <w:lang w:val="es-ES_tradnl"/>
        </w:rPr>
        <w:t xml:space="preserve">Canon del espectro = BW </w:t>
      </w:r>
      <w:r w:rsidRPr="008B7A21">
        <w:rPr>
          <w:lang w:val="es-ES_tradnl"/>
        </w:rPr>
        <w:sym w:font="Symbol" w:char="F0B4"/>
      </w:r>
      <w:r w:rsidRPr="008B7A21">
        <w:rPr>
          <w:lang w:val="es-ES_tradnl"/>
        </w:rPr>
        <w:t xml:space="preserve"> 5 000</w:t>
      </w:r>
    </w:p>
    <w:p w14:paraId="4BEA7BD7" w14:textId="77777777" w:rsidR="00F73D5B" w:rsidRPr="008B7A21" w:rsidRDefault="00F73D5B" w:rsidP="00F73D5B">
      <w:pPr>
        <w:pStyle w:val="enumlev1"/>
        <w:keepNext/>
        <w:keepLines/>
        <w:rPr>
          <w:lang w:val="es-ES_tradnl"/>
        </w:rPr>
      </w:pPr>
      <w:r w:rsidRPr="008B7A21">
        <w:rPr>
          <w:lang w:val="es-ES_tradnl"/>
        </w:rPr>
        <w:lastRenderedPageBreak/>
        <w:tab/>
        <w:t>donde:</w:t>
      </w:r>
    </w:p>
    <w:p w14:paraId="7D9DCCC8" w14:textId="77777777" w:rsidR="00F73D5B" w:rsidRPr="008B7A21" w:rsidRDefault="00F73D5B" w:rsidP="00F73D5B">
      <w:pPr>
        <w:pStyle w:val="enumlev1"/>
        <w:keepNext/>
        <w:keepLines/>
        <w:rPr>
          <w:lang w:val="es-ES_tradnl"/>
        </w:rPr>
      </w:pPr>
      <w:r w:rsidRPr="008B7A21">
        <w:rPr>
          <w:b/>
          <w:lang w:val="es-ES_tradnl"/>
        </w:rPr>
        <w:tab/>
        <w:t>BW</w:t>
      </w:r>
      <w:r w:rsidRPr="008B7A21">
        <w:rPr>
          <w:lang w:val="es-ES_tradnl"/>
        </w:rPr>
        <w:t xml:space="preserve"> = Factor de anchura de banda basado en la anchura de banda 2 </w:t>
      </w:r>
      <w:r w:rsidRPr="008B7A21">
        <w:rPr>
          <w:lang w:val="es-ES_tradnl"/>
        </w:rPr>
        <w:sym w:font="Symbol" w:char="F0B4"/>
      </w:r>
      <w:r w:rsidRPr="008B7A21">
        <w:rPr>
          <w:lang w:val="es-ES_tradnl"/>
        </w:rPr>
        <w:t> 1 MHz utilizada que se determinará de la forma siguiente:</w:t>
      </w:r>
    </w:p>
    <w:p w14:paraId="29C60127" w14:textId="77777777" w:rsidR="00F73D5B" w:rsidRPr="008B7A21" w:rsidRDefault="00F73D5B" w:rsidP="00F73D5B">
      <w:pPr>
        <w:pStyle w:val="Blanc"/>
        <w:rPr>
          <w:lang w:val="es-ES_tradnl" w:eastAsia="ko-KR"/>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685"/>
        <w:gridCol w:w="1417"/>
      </w:tblGrid>
      <w:tr w:rsidR="00F73D5B" w:rsidRPr="008B7A21" w14:paraId="05451E93" w14:textId="77777777" w:rsidTr="00767A6A">
        <w:trPr>
          <w:trHeight w:val="332"/>
          <w:jc w:val="center"/>
        </w:trPr>
        <w:tc>
          <w:tcPr>
            <w:tcW w:w="3685" w:type="dxa"/>
          </w:tcPr>
          <w:p w14:paraId="2C270F9C" w14:textId="77777777" w:rsidR="00F73D5B" w:rsidRPr="008B7A21" w:rsidRDefault="00F73D5B" w:rsidP="00767A6A">
            <w:pPr>
              <w:pStyle w:val="Tablehead"/>
              <w:keepLines/>
              <w:rPr>
                <w:lang w:val="es-ES_tradnl"/>
              </w:rPr>
            </w:pPr>
            <w:r w:rsidRPr="008B7A21">
              <w:rPr>
                <w:lang w:val="es-ES_tradnl"/>
              </w:rPr>
              <w:t>Anchura de banda</w:t>
            </w:r>
          </w:p>
        </w:tc>
        <w:tc>
          <w:tcPr>
            <w:tcW w:w="1417" w:type="dxa"/>
          </w:tcPr>
          <w:p w14:paraId="718E905C" w14:textId="77777777" w:rsidR="00F73D5B" w:rsidRPr="008B7A21" w:rsidRDefault="00F73D5B" w:rsidP="00767A6A">
            <w:pPr>
              <w:pStyle w:val="Tablehead"/>
              <w:keepLines/>
              <w:rPr>
                <w:lang w:val="es-ES_tradnl"/>
              </w:rPr>
            </w:pPr>
            <w:r w:rsidRPr="008B7A21">
              <w:rPr>
                <w:lang w:val="es-ES_tradnl"/>
              </w:rPr>
              <w:t>Factor BW</w:t>
            </w:r>
          </w:p>
        </w:tc>
      </w:tr>
      <w:tr w:rsidR="00F73D5B" w:rsidRPr="008B7A21" w14:paraId="535ED2FF" w14:textId="77777777" w:rsidTr="00767A6A">
        <w:trPr>
          <w:trHeight w:val="319"/>
          <w:jc w:val="center"/>
        </w:trPr>
        <w:tc>
          <w:tcPr>
            <w:tcW w:w="3685" w:type="dxa"/>
          </w:tcPr>
          <w:p w14:paraId="47B29856" w14:textId="77777777" w:rsidR="00F73D5B" w:rsidRPr="008B7A21" w:rsidRDefault="00F73D5B" w:rsidP="00767A6A">
            <w:pPr>
              <w:pStyle w:val="Tabletext"/>
              <w:keepNext/>
              <w:keepLines/>
              <w:jc w:val="left"/>
              <w:rPr>
                <w:lang w:val="es-ES_tradnl"/>
              </w:rPr>
            </w:pPr>
            <w:r w:rsidRPr="008B7A21">
              <w:rPr>
                <w:lang w:val="es-ES_tradnl"/>
              </w:rPr>
              <w:t xml:space="preserve">Menos de 2 </w:t>
            </w:r>
            <w:r w:rsidRPr="008B7A21">
              <w:rPr>
                <w:lang w:val="es-ES_tradnl"/>
              </w:rPr>
              <w:sym w:font="Symbol" w:char="F0B4"/>
            </w:r>
            <w:r w:rsidRPr="008B7A21">
              <w:rPr>
                <w:lang w:val="es-ES_tradnl"/>
              </w:rPr>
              <w:t xml:space="preserve"> 1 MHz </w:t>
            </w:r>
          </w:p>
        </w:tc>
        <w:tc>
          <w:tcPr>
            <w:tcW w:w="1417" w:type="dxa"/>
          </w:tcPr>
          <w:p w14:paraId="298AF828" w14:textId="77777777" w:rsidR="00F73D5B" w:rsidRPr="008B7A21" w:rsidRDefault="00F73D5B" w:rsidP="00767A6A">
            <w:pPr>
              <w:pStyle w:val="Tabletext"/>
              <w:keepNext/>
              <w:keepLines/>
              <w:jc w:val="center"/>
              <w:rPr>
                <w:lang w:val="es-ES_tradnl"/>
              </w:rPr>
            </w:pPr>
            <w:r w:rsidRPr="008B7A21">
              <w:rPr>
                <w:lang w:val="es-ES_tradnl"/>
              </w:rPr>
              <w:t>3</w:t>
            </w:r>
          </w:p>
        </w:tc>
      </w:tr>
      <w:tr w:rsidR="00F73D5B" w:rsidRPr="008B7A21" w14:paraId="2844560C" w14:textId="77777777" w:rsidTr="00767A6A">
        <w:trPr>
          <w:trHeight w:val="319"/>
          <w:jc w:val="center"/>
        </w:trPr>
        <w:tc>
          <w:tcPr>
            <w:tcW w:w="3685" w:type="dxa"/>
          </w:tcPr>
          <w:p w14:paraId="77D170E0" w14:textId="77777777" w:rsidR="00F73D5B" w:rsidRPr="008B7A21" w:rsidRDefault="00F73D5B" w:rsidP="00767A6A">
            <w:pPr>
              <w:pStyle w:val="Tabletext"/>
              <w:keepNext/>
              <w:keepLines/>
              <w:jc w:val="left"/>
              <w:rPr>
                <w:lang w:val="es-ES_tradnl"/>
              </w:rPr>
            </w:pPr>
            <w:r w:rsidRPr="008B7A21">
              <w:rPr>
                <w:lang w:val="es-ES_tradnl"/>
              </w:rPr>
              <w:t xml:space="preserve">2 </w:t>
            </w:r>
            <w:r w:rsidRPr="008B7A21">
              <w:rPr>
                <w:lang w:val="es-ES_tradnl"/>
              </w:rPr>
              <w:sym w:font="Symbol" w:char="F0B4"/>
            </w:r>
            <w:r w:rsidRPr="008B7A21">
              <w:rPr>
                <w:lang w:val="es-ES_tradnl"/>
              </w:rPr>
              <w:t xml:space="preserve"> 1 MHz – Menos de 4 </w:t>
            </w:r>
            <w:r w:rsidRPr="008B7A21">
              <w:rPr>
                <w:lang w:val="es-ES_tradnl"/>
              </w:rPr>
              <w:sym w:font="Symbol" w:char="F0B4"/>
            </w:r>
            <w:r w:rsidRPr="008B7A21">
              <w:rPr>
                <w:lang w:val="es-ES_tradnl"/>
              </w:rPr>
              <w:t xml:space="preserve">1 MHz </w:t>
            </w:r>
          </w:p>
        </w:tc>
        <w:tc>
          <w:tcPr>
            <w:tcW w:w="1417" w:type="dxa"/>
          </w:tcPr>
          <w:p w14:paraId="38E44553" w14:textId="77777777" w:rsidR="00F73D5B" w:rsidRPr="008B7A21" w:rsidRDefault="00F73D5B" w:rsidP="00767A6A">
            <w:pPr>
              <w:pStyle w:val="Tabletext"/>
              <w:keepNext/>
              <w:keepLines/>
              <w:jc w:val="center"/>
              <w:rPr>
                <w:lang w:val="es-ES_tradnl"/>
              </w:rPr>
            </w:pPr>
            <w:r w:rsidRPr="008B7A21">
              <w:rPr>
                <w:lang w:val="es-ES_tradnl"/>
              </w:rPr>
              <w:t>6</w:t>
            </w:r>
          </w:p>
        </w:tc>
      </w:tr>
      <w:tr w:rsidR="00F73D5B" w:rsidRPr="008B7A21" w14:paraId="1446C52E" w14:textId="77777777" w:rsidTr="00767A6A">
        <w:trPr>
          <w:trHeight w:val="319"/>
          <w:jc w:val="center"/>
        </w:trPr>
        <w:tc>
          <w:tcPr>
            <w:tcW w:w="3685" w:type="dxa"/>
          </w:tcPr>
          <w:p w14:paraId="60A5DC7B" w14:textId="77777777" w:rsidR="00F73D5B" w:rsidRPr="008B7A21" w:rsidRDefault="00F73D5B" w:rsidP="00767A6A">
            <w:pPr>
              <w:pStyle w:val="Tabletext"/>
              <w:keepNext/>
              <w:keepLines/>
              <w:jc w:val="left"/>
              <w:rPr>
                <w:lang w:val="es-ES_tradnl"/>
              </w:rPr>
            </w:pPr>
            <w:r w:rsidRPr="008B7A21">
              <w:rPr>
                <w:lang w:val="es-ES_tradnl"/>
              </w:rPr>
              <w:t xml:space="preserve">4 </w:t>
            </w:r>
            <w:r w:rsidRPr="008B7A21">
              <w:rPr>
                <w:lang w:val="es-ES_tradnl"/>
              </w:rPr>
              <w:sym w:font="Symbol" w:char="F0B4"/>
            </w:r>
            <w:r w:rsidRPr="008B7A21">
              <w:rPr>
                <w:lang w:val="es-ES_tradnl"/>
              </w:rPr>
              <w:t xml:space="preserve"> 1 MHz – Menos de 6 </w:t>
            </w:r>
            <w:r w:rsidRPr="008B7A21">
              <w:rPr>
                <w:lang w:val="es-ES_tradnl"/>
              </w:rPr>
              <w:sym w:font="Symbol" w:char="F0B4"/>
            </w:r>
            <w:r w:rsidRPr="008B7A21">
              <w:rPr>
                <w:lang w:val="es-ES_tradnl"/>
              </w:rPr>
              <w:t xml:space="preserve"> 1 MHz </w:t>
            </w:r>
          </w:p>
        </w:tc>
        <w:tc>
          <w:tcPr>
            <w:tcW w:w="1417" w:type="dxa"/>
          </w:tcPr>
          <w:p w14:paraId="56083785" w14:textId="77777777" w:rsidR="00F73D5B" w:rsidRPr="008B7A21" w:rsidRDefault="00F73D5B" w:rsidP="00767A6A">
            <w:pPr>
              <w:pStyle w:val="Tabletext"/>
              <w:keepNext/>
              <w:keepLines/>
              <w:jc w:val="center"/>
              <w:rPr>
                <w:lang w:val="es-ES_tradnl"/>
              </w:rPr>
            </w:pPr>
            <w:r w:rsidRPr="008B7A21">
              <w:rPr>
                <w:lang w:val="es-ES_tradnl"/>
              </w:rPr>
              <w:t>9</w:t>
            </w:r>
          </w:p>
        </w:tc>
      </w:tr>
      <w:tr w:rsidR="00F73D5B" w:rsidRPr="008B7A21" w14:paraId="170AC0DC" w14:textId="77777777" w:rsidTr="00767A6A">
        <w:trPr>
          <w:trHeight w:val="319"/>
          <w:jc w:val="center"/>
        </w:trPr>
        <w:tc>
          <w:tcPr>
            <w:tcW w:w="3685" w:type="dxa"/>
          </w:tcPr>
          <w:p w14:paraId="7A0743B5" w14:textId="77777777" w:rsidR="00F73D5B" w:rsidRPr="008B7A21" w:rsidRDefault="00F73D5B" w:rsidP="00767A6A">
            <w:pPr>
              <w:pStyle w:val="Tabletext"/>
              <w:keepNext/>
              <w:keepLines/>
              <w:jc w:val="left"/>
              <w:rPr>
                <w:lang w:val="es-ES_tradnl"/>
              </w:rPr>
            </w:pPr>
            <w:r w:rsidRPr="008B7A21">
              <w:rPr>
                <w:lang w:val="es-ES_tradnl"/>
              </w:rPr>
              <w:t xml:space="preserve">6 </w:t>
            </w:r>
            <w:r w:rsidRPr="008B7A21">
              <w:rPr>
                <w:lang w:val="es-ES_tradnl"/>
              </w:rPr>
              <w:sym w:font="Symbol" w:char="F0B4"/>
            </w:r>
            <w:r w:rsidRPr="008B7A21">
              <w:rPr>
                <w:lang w:val="es-ES_tradnl"/>
              </w:rPr>
              <w:t xml:space="preserve"> 1 MHz – Menos de 8 </w:t>
            </w:r>
            <w:r w:rsidRPr="008B7A21">
              <w:rPr>
                <w:lang w:val="es-ES_tradnl"/>
              </w:rPr>
              <w:sym w:font="Symbol" w:char="F0B4"/>
            </w:r>
            <w:r w:rsidRPr="008B7A21">
              <w:rPr>
                <w:lang w:val="es-ES_tradnl"/>
              </w:rPr>
              <w:t xml:space="preserve"> 1 MHz </w:t>
            </w:r>
          </w:p>
        </w:tc>
        <w:tc>
          <w:tcPr>
            <w:tcW w:w="1417" w:type="dxa"/>
          </w:tcPr>
          <w:p w14:paraId="03BD7A55" w14:textId="77777777" w:rsidR="00F73D5B" w:rsidRPr="008B7A21" w:rsidRDefault="00F73D5B" w:rsidP="00767A6A">
            <w:pPr>
              <w:pStyle w:val="Tabletext"/>
              <w:keepNext/>
              <w:keepLines/>
              <w:jc w:val="center"/>
              <w:rPr>
                <w:lang w:val="es-ES_tradnl"/>
              </w:rPr>
            </w:pPr>
            <w:r w:rsidRPr="008B7A21">
              <w:rPr>
                <w:lang w:val="es-ES_tradnl"/>
              </w:rPr>
              <w:t>12</w:t>
            </w:r>
          </w:p>
        </w:tc>
      </w:tr>
      <w:tr w:rsidR="00F73D5B" w:rsidRPr="008B7A21" w14:paraId="6444DB52" w14:textId="77777777" w:rsidTr="00767A6A">
        <w:trPr>
          <w:trHeight w:val="319"/>
          <w:jc w:val="center"/>
        </w:trPr>
        <w:tc>
          <w:tcPr>
            <w:tcW w:w="3685" w:type="dxa"/>
          </w:tcPr>
          <w:p w14:paraId="12957152" w14:textId="77777777" w:rsidR="00F73D5B" w:rsidRPr="008B7A21" w:rsidRDefault="00F73D5B" w:rsidP="00767A6A">
            <w:pPr>
              <w:pStyle w:val="Tabletext"/>
              <w:keepNext/>
              <w:keepLines/>
              <w:jc w:val="left"/>
              <w:rPr>
                <w:lang w:val="es-ES_tradnl"/>
              </w:rPr>
            </w:pPr>
            <w:r w:rsidRPr="008B7A21">
              <w:rPr>
                <w:lang w:val="es-ES_tradnl"/>
              </w:rPr>
              <w:t xml:space="preserve">8 </w:t>
            </w:r>
            <w:r w:rsidRPr="008B7A21">
              <w:rPr>
                <w:lang w:val="es-ES_tradnl"/>
              </w:rPr>
              <w:sym w:font="Symbol" w:char="F0B4"/>
            </w:r>
            <w:r w:rsidRPr="008B7A21">
              <w:rPr>
                <w:lang w:val="es-ES_tradnl"/>
              </w:rPr>
              <w:t xml:space="preserve"> 1 MHz – Menos de 10 </w:t>
            </w:r>
            <w:r w:rsidRPr="008B7A21">
              <w:rPr>
                <w:lang w:val="es-ES_tradnl"/>
              </w:rPr>
              <w:sym w:font="Symbol" w:char="F0B4"/>
            </w:r>
            <w:r w:rsidRPr="008B7A21">
              <w:rPr>
                <w:lang w:val="es-ES_tradnl"/>
              </w:rPr>
              <w:t xml:space="preserve"> 1 MHz </w:t>
            </w:r>
          </w:p>
        </w:tc>
        <w:tc>
          <w:tcPr>
            <w:tcW w:w="1417" w:type="dxa"/>
          </w:tcPr>
          <w:p w14:paraId="0A290F83" w14:textId="77777777" w:rsidR="00F73D5B" w:rsidRPr="008B7A21" w:rsidRDefault="00F73D5B" w:rsidP="00767A6A">
            <w:pPr>
              <w:pStyle w:val="Tabletext"/>
              <w:keepNext/>
              <w:keepLines/>
              <w:jc w:val="center"/>
              <w:rPr>
                <w:lang w:val="es-ES_tradnl"/>
              </w:rPr>
            </w:pPr>
            <w:r w:rsidRPr="008B7A21">
              <w:rPr>
                <w:lang w:val="es-ES_tradnl"/>
              </w:rPr>
              <w:t>15</w:t>
            </w:r>
          </w:p>
        </w:tc>
      </w:tr>
      <w:tr w:rsidR="00F73D5B" w:rsidRPr="008B7A21" w14:paraId="0971F00C" w14:textId="77777777" w:rsidTr="00767A6A">
        <w:trPr>
          <w:trHeight w:val="319"/>
          <w:jc w:val="center"/>
        </w:trPr>
        <w:tc>
          <w:tcPr>
            <w:tcW w:w="3685" w:type="dxa"/>
          </w:tcPr>
          <w:p w14:paraId="409EC49C" w14:textId="77777777" w:rsidR="00F73D5B" w:rsidRPr="008B7A21" w:rsidRDefault="00F73D5B" w:rsidP="00767A6A">
            <w:pPr>
              <w:pStyle w:val="Tabletext"/>
              <w:keepNext/>
              <w:keepLines/>
              <w:jc w:val="left"/>
              <w:rPr>
                <w:lang w:val="es-ES_tradnl"/>
              </w:rPr>
            </w:pPr>
            <w:r w:rsidRPr="008B7A21">
              <w:rPr>
                <w:lang w:val="es-ES_tradnl"/>
              </w:rPr>
              <w:t xml:space="preserve">10 </w:t>
            </w:r>
            <w:r w:rsidRPr="008B7A21">
              <w:rPr>
                <w:lang w:val="es-ES_tradnl"/>
              </w:rPr>
              <w:sym w:font="Symbol" w:char="F0B4"/>
            </w:r>
            <w:r w:rsidRPr="008B7A21">
              <w:rPr>
                <w:lang w:val="es-ES_tradnl"/>
              </w:rPr>
              <w:t xml:space="preserve"> 1 MHz</w:t>
            </w:r>
          </w:p>
        </w:tc>
        <w:tc>
          <w:tcPr>
            <w:tcW w:w="1417" w:type="dxa"/>
          </w:tcPr>
          <w:p w14:paraId="25E97D20" w14:textId="77777777" w:rsidR="00F73D5B" w:rsidRPr="008B7A21" w:rsidRDefault="00F73D5B" w:rsidP="00767A6A">
            <w:pPr>
              <w:pStyle w:val="Tabletext"/>
              <w:keepNext/>
              <w:keepLines/>
              <w:jc w:val="center"/>
              <w:rPr>
                <w:lang w:val="es-ES_tradnl"/>
              </w:rPr>
            </w:pPr>
            <w:r w:rsidRPr="008B7A21">
              <w:rPr>
                <w:lang w:val="es-ES_tradnl"/>
              </w:rPr>
              <w:t>18</w:t>
            </w:r>
          </w:p>
        </w:tc>
      </w:tr>
      <w:tr w:rsidR="00F73D5B" w:rsidRPr="008B7A21" w14:paraId="65C249AD" w14:textId="77777777" w:rsidTr="00767A6A">
        <w:trPr>
          <w:trHeight w:val="319"/>
          <w:jc w:val="center"/>
        </w:trPr>
        <w:tc>
          <w:tcPr>
            <w:tcW w:w="3685" w:type="dxa"/>
          </w:tcPr>
          <w:p w14:paraId="7312B168" w14:textId="77777777" w:rsidR="00F73D5B" w:rsidRPr="008B7A21" w:rsidRDefault="00F73D5B" w:rsidP="00767A6A">
            <w:pPr>
              <w:pStyle w:val="Tabletext"/>
              <w:keepNext/>
              <w:keepLines/>
              <w:jc w:val="left"/>
              <w:rPr>
                <w:lang w:val="es-ES_tradnl"/>
              </w:rPr>
            </w:pPr>
            <w:r w:rsidRPr="008B7A21">
              <w:rPr>
                <w:lang w:val="es-ES_tradnl"/>
              </w:rPr>
              <w:t xml:space="preserve">Por cada 2 </w:t>
            </w:r>
            <w:r w:rsidRPr="008B7A21">
              <w:rPr>
                <w:lang w:val="es-ES_tradnl"/>
              </w:rPr>
              <w:sym w:font="Symbol" w:char="F0B4"/>
            </w:r>
            <w:r w:rsidRPr="008B7A21">
              <w:rPr>
                <w:lang w:val="es-ES_tradnl"/>
              </w:rPr>
              <w:t xml:space="preserve"> 1 MHz adicional</w:t>
            </w:r>
          </w:p>
        </w:tc>
        <w:tc>
          <w:tcPr>
            <w:tcW w:w="1417" w:type="dxa"/>
          </w:tcPr>
          <w:p w14:paraId="2F2CD3B3" w14:textId="77777777" w:rsidR="00F73D5B" w:rsidRPr="008B7A21" w:rsidRDefault="00F73D5B" w:rsidP="00767A6A">
            <w:pPr>
              <w:pStyle w:val="Tabletext"/>
              <w:keepNext/>
              <w:keepLines/>
              <w:jc w:val="center"/>
              <w:rPr>
                <w:lang w:val="es-ES_tradnl"/>
              </w:rPr>
            </w:pPr>
            <w:r w:rsidRPr="008B7A21">
              <w:rPr>
                <w:lang w:val="es-ES_tradnl"/>
              </w:rPr>
              <w:t>3</w:t>
            </w:r>
          </w:p>
        </w:tc>
      </w:tr>
    </w:tbl>
    <w:p w14:paraId="69914EE8" w14:textId="77777777" w:rsidR="00F73D5B" w:rsidRPr="008B7A21" w:rsidRDefault="00F73D5B" w:rsidP="00F73D5B">
      <w:pPr>
        <w:pStyle w:val="Tablefin"/>
        <w:rPr>
          <w:lang w:val="es-ES_tradnl"/>
        </w:rPr>
      </w:pPr>
    </w:p>
    <w:p w14:paraId="068D0B0D" w14:textId="77777777" w:rsidR="00F73D5B" w:rsidRPr="008B7A21" w:rsidRDefault="00F73D5B" w:rsidP="00F73D5B">
      <w:pPr>
        <w:pStyle w:val="ArtNo"/>
        <w:rPr>
          <w:lang w:val="es-ES_tradnl"/>
        </w:rPr>
      </w:pPr>
      <w:r w:rsidRPr="008B7A21">
        <w:rPr>
          <w:lang w:val="es-ES_tradnl"/>
        </w:rPr>
        <w:t>ARTÍCULO (18)</w:t>
      </w:r>
    </w:p>
    <w:p w14:paraId="6BEDB35C" w14:textId="77777777" w:rsidR="00F73D5B" w:rsidRPr="008B7A21" w:rsidRDefault="00F73D5B" w:rsidP="00F73D5B">
      <w:pPr>
        <w:pStyle w:val="Arttitle"/>
        <w:rPr>
          <w:lang w:val="es-ES_tradnl"/>
        </w:rPr>
      </w:pPr>
      <w:r w:rsidRPr="008B7A21">
        <w:rPr>
          <w:lang w:val="es-ES_tradnl"/>
        </w:rPr>
        <w:t>Cánones del espectro para aficionados</w:t>
      </w:r>
    </w:p>
    <w:p w14:paraId="1906AEC2" w14:textId="77777777" w:rsidR="00F73D5B" w:rsidRPr="008B7A21" w:rsidRDefault="00F73D5B" w:rsidP="00F73D5B">
      <w:pPr>
        <w:pStyle w:val="Blanc"/>
        <w:rPr>
          <w:lang w:val="es-ES_tradnl" w:eastAsia="ko-KR"/>
        </w:rPr>
      </w:pPr>
    </w:p>
    <w:p w14:paraId="306B1654" w14:textId="77777777" w:rsidR="00F73D5B" w:rsidRPr="008B7A21" w:rsidRDefault="00F73D5B" w:rsidP="00F73D5B">
      <w:pPr>
        <w:pStyle w:val="enumlev1"/>
        <w:rPr>
          <w:lang w:val="es-ES_tradnl"/>
        </w:rPr>
      </w:pPr>
      <w:r w:rsidRPr="008B7A21">
        <w:rPr>
          <w:lang w:val="es-ES_tradnl"/>
        </w:rPr>
        <w:t>18.1</w:t>
      </w:r>
      <w:r w:rsidRPr="008B7A21">
        <w:rPr>
          <w:lang w:val="es-ES_tradnl"/>
        </w:rPr>
        <w:tab/>
        <w:t>El canon anual del espectro para licencias de aficionados será de doscientos (200) Dirhams pagados por adelantado.</w:t>
      </w:r>
    </w:p>
    <w:p w14:paraId="35B51CF7" w14:textId="77777777" w:rsidR="00F73D5B" w:rsidRPr="008B7A21" w:rsidRDefault="00F73D5B" w:rsidP="00F73D5B">
      <w:pPr>
        <w:pStyle w:val="ArtNo"/>
        <w:rPr>
          <w:lang w:val="es-ES_tradnl"/>
        </w:rPr>
      </w:pPr>
      <w:r w:rsidRPr="008B7A21">
        <w:rPr>
          <w:lang w:val="es-ES_tradnl"/>
        </w:rPr>
        <w:t>ARTÍCULO (19)</w:t>
      </w:r>
    </w:p>
    <w:p w14:paraId="00250EBE" w14:textId="77777777" w:rsidR="00F73D5B" w:rsidRPr="008B7A21" w:rsidRDefault="00F73D5B" w:rsidP="00F73D5B">
      <w:pPr>
        <w:pStyle w:val="Arttitle"/>
        <w:rPr>
          <w:lang w:val="es-ES_tradnl"/>
        </w:rPr>
      </w:pPr>
      <w:r w:rsidRPr="008B7A21">
        <w:rPr>
          <w:lang w:val="es-ES_tradnl"/>
        </w:rPr>
        <w:t>Cánones del espectro para estaciones radioeléctricas aeronáuticas</w:t>
      </w:r>
    </w:p>
    <w:p w14:paraId="28B34ECA" w14:textId="77777777" w:rsidR="00F73D5B" w:rsidRPr="008B7A21" w:rsidRDefault="00F73D5B" w:rsidP="00F73D5B">
      <w:pPr>
        <w:pStyle w:val="Blanc"/>
        <w:rPr>
          <w:lang w:val="es-ES_tradnl" w:eastAsia="ko-KR"/>
        </w:rPr>
      </w:pPr>
    </w:p>
    <w:p w14:paraId="01E264F8" w14:textId="77777777" w:rsidR="00F73D5B" w:rsidRPr="008B7A21" w:rsidRDefault="00F73D5B" w:rsidP="00F73D5B">
      <w:pPr>
        <w:pStyle w:val="enumlev1"/>
        <w:rPr>
          <w:lang w:val="es-ES_tradnl"/>
        </w:rPr>
      </w:pPr>
      <w:r w:rsidRPr="008B7A21">
        <w:rPr>
          <w:lang w:val="es-ES_tradnl"/>
        </w:rPr>
        <w:t>19.1</w:t>
      </w:r>
      <w:r w:rsidRPr="008B7A21">
        <w:rPr>
          <w:lang w:val="es-ES_tradnl"/>
        </w:rPr>
        <w:tab/>
        <w:t>El canon anual para cada licencia de avión y helicóptero será de mil (1 000) Dirhams que incluye todos los equipos inalámbricos de a bordo.</w:t>
      </w:r>
    </w:p>
    <w:p w14:paraId="654827D4" w14:textId="77777777" w:rsidR="00F73D5B" w:rsidRPr="008B7A21" w:rsidRDefault="00F73D5B" w:rsidP="00F73D5B">
      <w:pPr>
        <w:pStyle w:val="enumlev1"/>
        <w:rPr>
          <w:lang w:val="es-ES_tradnl"/>
        </w:rPr>
      </w:pPr>
      <w:r w:rsidRPr="008B7A21">
        <w:rPr>
          <w:lang w:val="es-ES_tradnl"/>
        </w:rPr>
        <w:t>19.2</w:t>
      </w:r>
      <w:r w:rsidRPr="008B7A21">
        <w:rPr>
          <w:lang w:val="es-ES_tradnl"/>
        </w:rPr>
        <w:tab/>
        <w:t xml:space="preserve">El canon anual para planeadores y globos será de trescientos (300) Dirhams. </w:t>
      </w:r>
    </w:p>
    <w:p w14:paraId="1C2CD087" w14:textId="77777777" w:rsidR="00F73D5B" w:rsidRPr="008B7A21" w:rsidRDefault="00F73D5B" w:rsidP="00F73D5B">
      <w:pPr>
        <w:pStyle w:val="enumlev1"/>
        <w:rPr>
          <w:lang w:val="es-ES_tradnl"/>
        </w:rPr>
      </w:pPr>
      <w:r w:rsidRPr="008B7A21">
        <w:rPr>
          <w:lang w:val="es-ES_tradnl"/>
        </w:rPr>
        <w:t>19.3</w:t>
      </w:r>
      <w:r w:rsidRPr="008B7A21">
        <w:rPr>
          <w:lang w:val="es-ES_tradnl"/>
        </w:rPr>
        <w:tab/>
        <w:t>El canon anual para enlaces entre tierra y aire será conforme al Artículo (12).</w:t>
      </w:r>
    </w:p>
    <w:p w14:paraId="7E4893B8" w14:textId="77777777" w:rsidR="00F73D5B" w:rsidRPr="008B7A21" w:rsidRDefault="00F73D5B" w:rsidP="00F73D5B">
      <w:pPr>
        <w:pStyle w:val="enumlev1"/>
        <w:rPr>
          <w:lang w:val="es-ES_tradnl"/>
        </w:rPr>
      </w:pPr>
      <w:r w:rsidRPr="008B7A21">
        <w:rPr>
          <w:lang w:val="es-ES_tradnl"/>
        </w:rPr>
        <w:t>19.4</w:t>
      </w:r>
      <w:r w:rsidRPr="008B7A21">
        <w:rPr>
          <w:lang w:val="es-ES_tradnl"/>
        </w:rPr>
        <w:tab/>
        <w:t>Los enlaces de ondas decamétricas entre tierra y aire pagarán de conformidad con el Artículo (13).</w:t>
      </w:r>
    </w:p>
    <w:p w14:paraId="683A236E" w14:textId="77777777" w:rsidR="00F73D5B" w:rsidRPr="008B7A21" w:rsidRDefault="00F73D5B" w:rsidP="00F73D5B">
      <w:pPr>
        <w:pStyle w:val="ArtNo"/>
        <w:rPr>
          <w:lang w:val="es-ES_tradnl"/>
        </w:rPr>
      </w:pPr>
      <w:r w:rsidRPr="008B7A21">
        <w:rPr>
          <w:lang w:val="es-ES_tradnl"/>
        </w:rPr>
        <w:t>ARTÍCULO (20)</w:t>
      </w:r>
    </w:p>
    <w:p w14:paraId="196E2574" w14:textId="77777777" w:rsidR="00F73D5B" w:rsidRPr="008B7A21" w:rsidRDefault="00F73D5B" w:rsidP="00F73D5B">
      <w:pPr>
        <w:pStyle w:val="Arttitle"/>
        <w:rPr>
          <w:lang w:val="es-ES_tradnl"/>
        </w:rPr>
      </w:pPr>
      <w:r w:rsidRPr="008B7A21">
        <w:rPr>
          <w:lang w:val="es-ES_tradnl"/>
        </w:rPr>
        <w:t>Cánones del espectro para servicios radioeléctricos marítimos</w:t>
      </w:r>
    </w:p>
    <w:p w14:paraId="319F9B99" w14:textId="77777777" w:rsidR="00F73D5B" w:rsidRPr="008B7A21" w:rsidRDefault="00F73D5B" w:rsidP="00F73D5B">
      <w:pPr>
        <w:pStyle w:val="Blanc"/>
        <w:rPr>
          <w:lang w:val="es-ES_tradnl" w:eastAsia="ko-KR"/>
        </w:rPr>
      </w:pPr>
    </w:p>
    <w:p w14:paraId="532108DC" w14:textId="77777777" w:rsidR="00F73D5B" w:rsidRPr="008B7A21" w:rsidRDefault="00F73D5B" w:rsidP="00F73D5B">
      <w:pPr>
        <w:pStyle w:val="enumlev1"/>
        <w:rPr>
          <w:lang w:val="es-ES_tradnl"/>
        </w:rPr>
      </w:pPr>
      <w:r w:rsidRPr="008B7A21">
        <w:rPr>
          <w:lang w:val="es-ES_tradnl"/>
        </w:rPr>
        <w:t>20.1</w:t>
      </w:r>
      <w:r w:rsidRPr="008B7A21">
        <w:rPr>
          <w:lang w:val="es-ES_tradnl"/>
        </w:rPr>
        <w:tab/>
        <w:t>El canon anual del espectro para cada licencia de barcos pequeños de pesca será de doscientos (200) Dirhams para dos años.</w:t>
      </w:r>
    </w:p>
    <w:p w14:paraId="355DB651" w14:textId="77777777" w:rsidR="00F73D5B" w:rsidRPr="008B7A21" w:rsidRDefault="00F73D5B" w:rsidP="00F73D5B">
      <w:pPr>
        <w:pStyle w:val="enumlev1"/>
        <w:rPr>
          <w:lang w:val="es-ES_tradnl"/>
        </w:rPr>
      </w:pPr>
      <w:r w:rsidRPr="008B7A21">
        <w:rPr>
          <w:lang w:val="es-ES_tradnl"/>
        </w:rPr>
        <w:t>20.2</w:t>
      </w:r>
      <w:r w:rsidRPr="008B7A21">
        <w:rPr>
          <w:lang w:val="es-ES_tradnl"/>
        </w:rPr>
        <w:tab/>
        <w:t>El canon anual del espectro para cada licencia de barco de recreo será de quinientos (500) Dirhams.</w:t>
      </w:r>
    </w:p>
    <w:p w14:paraId="67280575" w14:textId="77777777" w:rsidR="00F73D5B" w:rsidRPr="008B7A21" w:rsidRDefault="00F73D5B" w:rsidP="00F73D5B">
      <w:pPr>
        <w:pStyle w:val="enumlev1"/>
        <w:rPr>
          <w:lang w:val="es-ES_tradnl"/>
        </w:rPr>
      </w:pPr>
      <w:r w:rsidRPr="008B7A21">
        <w:rPr>
          <w:lang w:val="es-ES_tradnl"/>
        </w:rPr>
        <w:t>20.3</w:t>
      </w:r>
      <w:r w:rsidRPr="008B7A21">
        <w:rPr>
          <w:lang w:val="es-ES_tradnl"/>
        </w:rPr>
        <w:tab/>
        <w:t>El canon anual del espectro para cada licencia de barco de litoral (dentro de las aguas territoriales y sin MMSI) será de quinientos (500) Dirhams.</w:t>
      </w:r>
    </w:p>
    <w:p w14:paraId="05665703" w14:textId="77777777" w:rsidR="00F73D5B" w:rsidRPr="008B7A21" w:rsidRDefault="00F73D5B" w:rsidP="00F73D5B">
      <w:pPr>
        <w:pStyle w:val="enumlev1"/>
        <w:rPr>
          <w:lang w:val="es-ES_tradnl"/>
        </w:rPr>
      </w:pPr>
      <w:r w:rsidRPr="008B7A21">
        <w:rPr>
          <w:lang w:val="es-ES_tradnl"/>
        </w:rPr>
        <w:t>20.4</w:t>
      </w:r>
      <w:r w:rsidRPr="008B7A21">
        <w:rPr>
          <w:lang w:val="es-ES_tradnl"/>
        </w:rPr>
        <w:tab/>
        <w:t>El canon anual del espectro para cada barco (fuera de las aguas territoriales y sin MMSI) será de mil (1 000) Dirhams.</w:t>
      </w:r>
    </w:p>
    <w:p w14:paraId="4224CB15" w14:textId="77777777" w:rsidR="00F73D5B" w:rsidRPr="008B7A21" w:rsidRDefault="00F73D5B" w:rsidP="00F73D5B">
      <w:pPr>
        <w:pStyle w:val="Note"/>
        <w:ind w:left="794" w:hanging="794"/>
        <w:rPr>
          <w:i/>
          <w:iCs/>
          <w:lang w:val="es-ES_tradnl" w:eastAsia="ko-KR"/>
        </w:rPr>
      </w:pPr>
      <w:r w:rsidRPr="008B7A21">
        <w:rPr>
          <w:lang w:val="es-ES_tradnl"/>
        </w:rPr>
        <w:lastRenderedPageBreak/>
        <w:tab/>
      </w:r>
      <w:r w:rsidRPr="008B7A21">
        <w:rPr>
          <w:i/>
          <w:iCs/>
          <w:lang w:val="es-ES_tradnl"/>
        </w:rPr>
        <w:t>NOTA 1 –</w:t>
      </w:r>
      <w:r w:rsidRPr="008B7A21">
        <w:rPr>
          <w:i/>
          <w:iCs/>
          <w:lang w:val="es-ES_tradnl" w:eastAsia="ko-KR"/>
        </w:rPr>
        <w:t> Los Artículos 21.3 y 21.4 estarán sujetos a la utilización del canal de frecuencias marítimas internacionales de conformidad con el Reglamento de Radiocomunicaciones de la UIT, en otro caso, la solicitud se considerará como de radiocomunicación móvil privada.</w:t>
      </w:r>
    </w:p>
    <w:p w14:paraId="5CB61CD6" w14:textId="77777777" w:rsidR="00F73D5B" w:rsidRPr="008B7A21" w:rsidRDefault="00F73D5B" w:rsidP="00F73D5B">
      <w:pPr>
        <w:pStyle w:val="ArtNo"/>
        <w:rPr>
          <w:lang w:val="es-ES_tradnl"/>
        </w:rPr>
      </w:pPr>
      <w:r w:rsidRPr="008B7A21">
        <w:rPr>
          <w:lang w:val="es-ES_tradnl"/>
        </w:rPr>
        <w:t>ARTÍCULO (21)</w:t>
      </w:r>
    </w:p>
    <w:p w14:paraId="517D152F" w14:textId="77777777" w:rsidR="00F73D5B" w:rsidRPr="008B7A21" w:rsidRDefault="00F73D5B" w:rsidP="00F73D5B">
      <w:pPr>
        <w:pStyle w:val="Arttitle"/>
        <w:rPr>
          <w:lang w:val="es-ES_tradnl"/>
        </w:rPr>
      </w:pPr>
      <w:r w:rsidRPr="008B7A21">
        <w:rPr>
          <w:lang w:val="es-ES_tradnl"/>
        </w:rPr>
        <w:t>Cánones del espectro para servicios espaciales</w:t>
      </w:r>
      <w:r w:rsidRPr="008B7A21">
        <w:rPr>
          <w:lang w:val="es-ES_tradnl"/>
        </w:rPr>
        <w:br/>
        <w:t>y servicios auxiliares</w:t>
      </w:r>
    </w:p>
    <w:p w14:paraId="46A284F0" w14:textId="77777777" w:rsidR="00F73D5B" w:rsidRPr="008B7A21" w:rsidRDefault="00F73D5B" w:rsidP="00F73D5B">
      <w:pPr>
        <w:pStyle w:val="Blanc"/>
        <w:rPr>
          <w:lang w:val="es-ES_tradnl" w:eastAsia="ko-KR"/>
        </w:rPr>
      </w:pPr>
    </w:p>
    <w:p w14:paraId="63D2D55C" w14:textId="77777777" w:rsidR="00F73D5B" w:rsidRPr="008B7A21" w:rsidRDefault="00F73D5B" w:rsidP="00F73D5B">
      <w:pPr>
        <w:pStyle w:val="enumlev1"/>
        <w:rPr>
          <w:lang w:val="es-ES_tradnl"/>
        </w:rPr>
      </w:pPr>
      <w:r w:rsidRPr="008B7A21">
        <w:rPr>
          <w:lang w:val="es-ES_tradnl"/>
        </w:rPr>
        <w:t>21.1</w:t>
      </w:r>
      <w:r w:rsidRPr="008B7A21">
        <w:rPr>
          <w:lang w:val="es-ES_tradnl"/>
        </w:rPr>
        <w:tab/>
        <w:t>El canon anual del espectro para cada VSAT privada será de cinco mil (5 000) Dirhams.</w:t>
      </w:r>
    </w:p>
    <w:p w14:paraId="2A501306" w14:textId="77777777" w:rsidR="00F73D5B" w:rsidRPr="008B7A21" w:rsidRDefault="00F73D5B" w:rsidP="00F73D5B">
      <w:pPr>
        <w:pStyle w:val="enumlev1"/>
        <w:rPr>
          <w:lang w:val="es-ES_tradnl"/>
        </w:rPr>
      </w:pPr>
      <w:r w:rsidRPr="008B7A21">
        <w:rPr>
          <w:lang w:val="es-ES_tradnl"/>
        </w:rPr>
        <w:t>21.2</w:t>
      </w:r>
      <w:r w:rsidRPr="008B7A21">
        <w:rPr>
          <w:lang w:val="es-ES_tradnl"/>
        </w:rPr>
        <w:tab/>
        <w:t>El canon anual del espectro para cada antena de estación terrena será de cincuenta mil (50 000) Dirhams.</w:t>
      </w:r>
    </w:p>
    <w:p w14:paraId="5CF69688" w14:textId="77777777" w:rsidR="00F73D5B" w:rsidRPr="008B7A21" w:rsidRDefault="00F73D5B" w:rsidP="00F73D5B">
      <w:pPr>
        <w:pStyle w:val="enumlev1"/>
        <w:rPr>
          <w:lang w:val="es-ES_tradnl"/>
        </w:rPr>
      </w:pPr>
      <w:r w:rsidRPr="008B7A21">
        <w:rPr>
          <w:lang w:val="es-ES_tradnl"/>
        </w:rPr>
        <w:t>21.3</w:t>
      </w:r>
      <w:r w:rsidRPr="008B7A21">
        <w:rPr>
          <w:lang w:val="es-ES_tradnl"/>
        </w:rPr>
        <w:tab/>
        <w:t>Las estaciones de televisión de recepción solamente estarán exentas de pago.</w:t>
      </w:r>
    </w:p>
    <w:p w14:paraId="7AF9D8F0" w14:textId="77777777" w:rsidR="00F73D5B" w:rsidRPr="008B7A21" w:rsidRDefault="00F73D5B" w:rsidP="00F73D5B">
      <w:pPr>
        <w:pStyle w:val="enumlev1"/>
        <w:rPr>
          <w:lang w:val="es-ES_tradnl"/>
        </w:rPr>
      </w:pPr>
      <w:r w:rsidRPr="008B7A21">
        <w:rPr>
          <w:lang w:val="es-ES_tradnl"/>
        </w:rPr>
        <w:t>21.4</w:t>
      </w:r>
      <w:r w:rsidRPr="008B7A21">
        <w:rPr>
          <w:lang w:val="es-ES_tradnl"/>
        </w:rPr>
        <w:tab/>
        <w:t>El canon anual del espectro para cada DSNG será de cinco mil (5 000) Dirhams.</w:t>
      </w:r>
    </w:p>
    <w:p w14:paraId="5E0460DA" w14:textId="77777777" w:rsidR="00F73D5B" w:rsidRPr="008B7A21" w:rsidRDefault="00F73D5B" w:rsidP="00F73D5B">
      <w:pPr>
        <w:pStyle w:val="enumlev1"/>
        <w:rPr>
          <w:lang w:val="es-ES_tradnl"/>
        </w:rPr>
      </w:pPr>
      <w:r w:rsidRPr="008B7A21">
        <w:rPr>
          <w:lang w:val="es-ES_tradnl"/>
        </w:rPr>
        <w:t>21.5</w:t>
      </w:r>
      <w:r w:rsidRPr="008B7A21">
        <w:rPr>
          <w:lang w:val="es-ES_tradnl"/>
        </w:rPr>
        <w:tab/>
        <w:t>El canon anual del espectro para prestar servicios aeronáuticos móviles por satélite será de diez mil (10 000) Dirhams.</w:t>
      </w:r>
    </w:p>
    <w:p w14:paraId="69047A29" w14:textId="77777777" w:rsidR="00F73D5B" w:rsidRPr="008B7A21" w:rsidRDefault="00F73D5B" w:rsidP="00F73D5B">
      <w:pPr>
        <w:pStyle w:val="enumlev1"/>
        <w:rPr>
          <w:lang w:val="es-ES_tradnl"/>
        </w:rPr>
      </w:pPr>
      <w:r w:rsidRPr="008B7A21">
        <w:rPr>
          <w:lang w:val="es-ES_tradnl"/>
        </w:rPr>
        <w:t>21.6</w:t>
      </w:r>
      <w:r w:rsidRPr="008B7A21">
        <w:rPr>
          <w:lang w:val="es-ES_tradnl"/>
        </w:rPr>
        <w:tab/>
        <w:t>El canon anual del espectro para prestar servicios marítimos móviles por satélite será de diez mil (10 000) Dirhams.</w:t>
      </w:r>
    </w:p>
    <w:p w14:paraId="6BCF7778" w14:textId="77777777" w:rsidR="00F73D5B" w:rsidRPr="008B7A21" w:rsidRDefault="00F73D5B" w:rsidP="00F73D5B">
      <w:pPr>
        <w:pStyle w:val="enumlev1"/>
        <w:rPr>
          <w:lang w:val="es-ES_tradnl"/>
        </w:rPr>
      </w:pPr>
      <w:r w:rsidRPr="008B7A21">
        <w:rPr>
          <w:lang w:val="es-ES_tradnl"/>
        </w:rPr>
        <w:t>21.7</w:t>
      </w:r>
      <w:r w:rsidRPr="008B7A21">
        <w:rPr>
          <w:lang w:val="es-ES_tradnl"/>
        </w:rPr>
        <w:tab/>
        <w:t>El canon anual del espectro para prestar servicios de exploración de la Tierra por satélite será de diez mil (10 000) Dirhams.</w:t>
      </w:r>
    </w:p>
    <w:p w14:paraId="11272B1C" w14:textId="77777777" w:rsidR="00F73D5B" w:rsidRPr="008B7A21" w:rsidRDefault="00F73D5B" w:rsidP="00F73D5B">
      <w:pPr>
        <w:pStyle w:val="enumlev1"/>
        <w:rPr>
          <w:lang w:val="es-ES_tradnl"/>
        </w:rPr>
      </w:pPr>
      <w:r w:rsidRPr="008B7A21">
        <w:rPr>
          <w:lang w:val="es-ES_tradnl"/>
        </w:rPr>
        <w:t>21.8</w:t>
      </w:r>
      <w:r w:rsidRPr="008B7A21">
        <w:rPr>
          <w:lang w:val="es-ES_tradnl"/>
        </w:rPr>
        <w:tab/>
        <w:t>El canon anual del espectro para HAPS lo determinará la TRA en función del objeto de la utilización.</w:t>
      </w:r>
    </w:p>
    <w:p w14:paraId="6C6187F8" w14:textId="77777777" w:rsidR="00F73D5B" w:rsidRPr="008B7A21" w:rsidRDefault="00F73D5B" w:rsidP="00F73D5B">
      <w:pPr>
        <w:pStyle w:val="ArtNo"/>
        <w:rPr>
          <w:lang w:val="es-ES_tradnl"/>
        </w:rPr>
      </w:pPr>
      <w:r w:rsidRPr="008B7A21">
        <w:rPr>
          <w:lang w:val="es-ES_tradnl"/>
        </w:rPr>
        <w:t>ARTÍCULO (22)</w:t>
      </w:r>
    </w:p>
    <w:p w14:paraId="74AA37D7" w14:textId="77777777" w:rsidR="00F73D5B" w:rsidRPr="008B7A21" w:rsidRDefault="00F73D5B" w:rsidP="00F73D5B">
      <w:pPr>
        <w:pStyle w:val="Arttitle"/>
        <w:rPr>
          <w:lang w:val="es-ES_tradnl"/>
        </w:rPr>
      </w:pPr>
      <w:r w:rsidRPr="008B7A21">
        <w:rPr>
          <w:lang w:val="es-ES_tradnl"/>
        </w:rPr>
        <w:t>Cánones del espectro para estaciones de radionavegación</w:t>
      </w:r>
    </w:p>
    <w:p w14:paraId="412D31F6" w14:textId="77777777" w:rsidR="00F73D5B" w:rsidRPr="008B7A21" w:rsidRDefault="00F73D5B" w:rsidP="00F73D5B">
      <w:pPr>
        <w:pStyle w:val="Blanc"/>
        <w:rPr>
          <w:lang w:val="es-ES_tradnl" w:eastAsia="ko-KR"/>
        </w:rPr>
      </w:pPr>
    </w:p>
    <w:p w14:paraId="7DE271C5" w14:textId="77777777" w:rsidR="00F73D5B" w:rsidRPr="008B7A21" w:rsidRDefault="00F73D5B" w:rsidP="00F73D5B">
      <w:pPr>
        <w:pStyle w:val="enumlev1"/>
        <w:rPr>
          <w:lang w:val="es-ES_tradnl"/>
        </w:rPr>
      </w:pPr>
      <w:r w:rsidRPr="008B7A21">
        <w:rPr>
          <w:lang w:val="es-ES_tradnl"/>
        </w:rPr>
        <w:t>22.1</w:t>
      </w:r>
      <w:r w:rsidRPr="008B7A21">
        <w:rPr>
          <w:lang w:val="es-ES_tradnl"/>
        </w:rPr>
        <w:tab/>
        <w:t>El canon anual del espectro para cada estación de radionavegación será de mil (1 000) Dirhams.</w:t>
      </w:r>
    </w:p>
    <w:p w14:paraId="1D2ABA63" w14:textId="77777777" w:rsidR="00F73D5B" w:rsidRPr="008B7A21" w:rsidRDefault="00F73D5B" w:rsidP="00F73D5B">
      <w:pPr>
        <w:pStyle w:val="ArtNo"/>
        <w:rPr>
          <w:lang w:val="es-ES_tradnl"/>
        </w:rPr>
      </w:pPr>
      <w:r w:rsidRPr="008B7A21">
        <w:rPr>
          <w:lang w:val="es-ES_tradnl"/>
        </w:rPr>
        <w:t>ARTÍCULO (23)</w:t>
      </w:r>
    </w:p>
    <w:p w14:paraId="0B3D26D5" w14:textId="77777777" w:rsidR="00F73D5B" w:rsidRPr="008B7A21" w:rsidRDefault="00F73D5B" w:rsidP="00F73D5B">
      <w:pPr>
        <w:pStyle w:val="Arttitle"/>
        <w:rPr>
          <w:lang w:val="es-ES_tradnl"/>
        </w:rPr>
      </w:pPr>
      <w:r w:rsidRPr="008B7A21">
        <w:rPr>
          <w:lang w:val="es-ES_tradnl"/>
        </w:rPr>
        <w:t>Cánones del espectro para estaciones de radioastronomía</w:t>
      </w:r>
    </w:p>
    <w:p w14:paraId="44077C11" w14:textId="77777777" w:rsidR="00F73D5B" w:rsidRPr="008B7A21" w:rsidRDefault="00F73D5B" w:rsidP="00F73D5B">
      <w:pPr>
        <w:pStyle w:val="Blanc"/>
        <w:rPr>
          <w:lang w:val="es-ES_tradnl" w:eastAsia="ko-KR"/>
        </w:rPr>
      </w:pPr>
    </w:p>
    <w:p w14:paraId="6E2F64FA" w14:textId="77777777" w:rsidR="00F73D5B" w:rsidRPr="008B7A21" w:rsidRDefault="00F73D5B" w:rsidP="00F73D5B">
      <w:pPr>
        <w:pStyle w:val="enumlev1"/>
        <w:rPr>
          <w:lang w:val="es-ES_tradnl"/>
        </w:rPr>
      </w:pPr>
      <w:r w:rsidRPr="008B7A21">
        <w:rPr>
          <w:lang w:val="es-ES_tradnl"/>
        </w:rPr>
        <w:t>23.1</w:t>
      </w:r>
      <w:r w:rsidRPr="008B7A21">
        <w:rPr>
          <w:lang w:val="es-ES_tradnl"/>
        </w:rPr>
        <w:tab/>
        <w:t>El canon anual del espectro para cada estación de radioastronomía será de quinientos (500) Dirhams.</w:t>
      </w:r>
    </w:p>
    <w:p w14:paraId="2B41ABA1" w14:textId="77777777" w:rsidR="00F73D5B" w:rsidRPr="008B7A21" w:rsidRDefault="00F73D5B" w:rsidP="00F73D5B">
      <w:pPr>
        <w:pStyle w:val="ArtNo"/>
        <w:rPr>
          <w:lang w:val="es-ES_tradnl"/>
        </w:rPr>
      </w:pPr>
      <w:r w:rsidRPr="008B7A21">
        <w:rPr>
          <w:lang w:val="es-ES_tradnl"/>
        </w:rPr>
        <w:t>ARTÍCULO (24)</w:t>
      </w:r>
    </w:p>
    <w:p w14:paraId="11620D0B" w14:textId="77777777" w:rsidR="00F73D5B" w:rsidRPr="008B7A21" w:rsidRDefault="00F73D5B" w:rsidP="00F73D5B">
      <w:pPr>
        <w:pStyle w:val="Arttitle"/>
        <w:rPr>
          <w:lang w:val="es-ES_tradnl"/>
        </w:rPr>
      </w:pPr>
      <w:r w:rsidRPr="008B7A21">
        <w:rPr>
          <w:lang w:val="es-ES_tradnl"/>
        </w:rPr>
        <w:t>Cánones del espectro para estaciones de radiolocalización</w:t>
      </w:r>
    </w:p>
    <w:p w14:paraId="799B1265" w14:textId="77777777" w:rsidR="00F73D5B" w:rsidRPr="008B7A21" w:rsidRDefault="00F73D5B" w:rsidP="00F73D5B">
      <w:pPr>
        <w:pStyle w:val="Blanc"/>
        <w:rPr>
          <w:lang w:val="es-ES_tradnl" w:eastAsia="ko-KR"/>
        </w:rPr>
      </w:pPr>
    </w:p>
    <w:p w14:paraId="4D1D9DC2" w14:textId="77777777" w:rsidR="00F73D5B" w:rsidRPr="008B7A21" w:rsidRDefault="00F73D5B" w:rsidP="00F73D5B">
      <w:pPr>
        <w:pStyle w:val="enumlev1"/>
        <w:rPr>
          <w:lang w:val="es-ES_tradnl"/>
        </w:rPr>
      </w:pPr>
      <w:r w:rsidRPr="008B7A21">
        <w:rPr>
          <w:lang w:val="es-ES_tradnl"/>
        </w:rPr>
        <w:t>24.1</w:t>
      </w:r>
      <w:r w:rsidRPr="008B7A21">
        <w:rPr>
          <w:lang w:val="es-ES_tradnl"/>
        </w:rPr>
        <w:tab/>
        <w:t>El canon anual del espectro para cada radar costero marítimo, radar meteorológico, radar basado en tierra, vigilancia aeronáutica, control de aproximación, movimientos oceánicos y de superficie y de seguimiento será de cinco mil (5 000) Dirhams.</w:t>
      </w:r>
    </w:p>
    <w:p w14:paraId="0439F911" w14:textId="77777777" w:rsidR="00F73D5B" w:rsidRPr="008B7A21" w:rsidRDefault="00F73D5B" w:rsidP="00F73D5B">
      <w:pPr>
        <w:pStyle w:val="Blanc"/>
        <w:keepNext w:val="0"/>
        <w:keepLines w:val="0"/>
        <w:rPr>
          <w:lang w:val="es-ES_tradnl" w:eastAsia="ko-KR"/>
        </w:rPr>
      </w:pPr>
    </w:p>
    <w:p w14:paraId="3F14AFA2" w14:textId="77777777" w:rsidR="00F73D5B" w:rsidRPr="008B7A21" w:rsidRDefault="00F73D5B" w:rsidP="00F73D5B">
      <w:pPr>
        <w:pStyle w:val="ArtNo"/>
        <w:rPr>
          <w:lang w:val="es-ES_tradnl"/>
        </w:rPr>
      </w:pPr>
      <w:r w:rsidRPr="008B7A21">
        <w:rPr>
          <w:lang w:val="es-ES_tradnl"/>
        </w:rPr>
        <w:lastRenderedPageBreak/>
        <w:t>ARTÍCULO (25)</w:t>
      </w:r>
    </w:p>
    <w:p w14:paraId="17A2A502" w14:textId="77777777" w:rsidR="00F73D5B" w:rsidRPr="008B7A21" w:rsidRDefault="00F73D5B" w:rsidP="00F73D5B">
      <w:pPr>
        <w:pStyle w:val="Arttitle"/>
        <w:rPr>
          <w:lang w:val="es-ES_tradnl"/>
        </w:rPr>
      </w:pPr>
      <w:r w:rsidRPr="008B7A21">
        <w:rPr>
          <w:lang w:val="es-ES_tradnl"/>
        </w:rPr>
        <w:t>Cánones del espectro para el servicio de radiodifusión</w:t>
      </w:r>
    </w:p>
    <w:p w14:paraId="55A0F852" w14:textId="77777777" w:rsidR="00F73D5B" w:rsidRPr="008B7A21" w:rsidRDefault="00F73D5B" w:rsidP="00F73D5B">
      <w:pPr>
        <w:pStyle w:val="Blanc"/>
        <w:rPr>
          <w:lang w:val="es-ES_tradnl" w:eastAsia="ko-KR"/>
        </w:rPr>
      </w:pPr>
    </w:p>
    <w:p w14:paraId="1B633D47" w14:textId="77777777" w:rsidR="00F73D5B" w:rsidRPr="008B7A21" w:rsidRDefault="00F73D5B" w:rsidP="00F73D5B">
      <w:pPr>
        <w:pStyle w:val="enumlev1"/>
        <w:rPr>
          <w:lang w:val="es-ES_tradnl"/>
        </w:rPr>
      </w:pPr>
      <w:r w:rsidRPr="008B7A21">
        <w:rPr>
          <w:lang w:val="es-ES_tradnl"/>
        </w:rPr>
        <w:t>25.1</w:t>
      </w:r>
      <w:r w:rsidRPr="008B7A21">
        <w:rPr>
          <w:lang w:val="es-ES_tradnl"/>
        </w:rPr>
        <w:tab/>
        <w:t>Radiodifusión terrenal, sonora y de televisión.</w:t>
      </w:r>
    </w:p>
    <w:p w14:paraId="49329E51" w14:textId="77777777" w:rsidR="00F73D5B" w:rsidRPr="008B7A21" w:rsidRDefault="00F73D5B" w:rsidP="00F73D5B">
      <w:pPr>
        <w:rPr>
          <w:lang w:val="es-ES_tradnl"/>
        </w:rPr>
      </w:pPr>
      <w:r w:rsidRPr="008B7A21">
        <w:rPr>
          <w:lang w:val="es-ES_tradnl"/>
        </w:rPr>
        <w:t>El canon anual del espectro para una estación individual de radiodifusión se calculará de la forma siguiente:</w:t>
      </w:r>
    </w:p>
    <w:p w14:paraId="35F054E1" w14:textId="77777777" w:rsidR="00F73D5B" w:rsidRPr="008B7A21" w:rsidRDefault="00F73D5B" w:rsidP="00F73D5B">
      <w:pPr>
        <w:pStyle w:val="Equation"/>
        <w:rPr>
          <w:lang w:val="es-ES_tradnl"/>
        </w:rPr>
      </w:pPr>
      <w:r w:rsidRPr="008B7A21">
        <w:rPr>
          <w:lang w:val="es-ES_tradnl"/>
        </w:rPr>
        <w:tab/>
      </w:r>
      <w:r w:rsidRPr="008B7A21">
        <w:rPr>
          <w:lang w:val="es-ES_tradnl"/>
        </w:rPr>
        <w:tab/>
        <w:t>Canon del espectro (por estación) = B + (P </w:t>
      </w:r>
      <w:r w:rsidRPr="008B7A21">
        <w:rPr>
          <w:lang w:val="es-ES_tradnl"/>
        </w:rPr>
        <w:sym w:font="Symbol" w:char="F0B4"/>
      </w:r>
      <w:r w:rsidRPr="008B7A21">
        <w:rPr>
          <w:lang w:val="es-ES_tradnl"/>
        </w:rPr>
        <w:t> ST </w:t>
      </w:r>
      <w:r w:rsidRPr="008B7A21">
        <w:rPr>
          <w:lang w:val="es-ES_tradnl"/>
        </w:rPr>
        <w:sym w:font="Symbol" w:char="F0B4"/>
      </w:r>
      <w:r w:rsidRPr="008B7A21">
        <w:rPr>
          <w:lang w:val="es-ES_tradnl"/>
        </w:rPr>
        <w:t> SZ </w:t>
      </w:r>
      <w:r w:rsidRPr="008B7A21">
        <w:rPr>
          <w:lang w:val="es-ES_tradnl"/>
        </w:rPr>
        <w:sym w:font="Symbol" w:char="F0B4"/>
      </w:r>
      <w:r w:rsidRPr="008B7A21">
        <w:rPr>
          <w:lang w:val="es-ES_tradnl"/>
        </w:rPr>
        <w:t> H </w:t>
      </w:r>
      <w:r w:rsidRPr="008B7A21">
        <w:rPr>
          <w:lang w:val="es-ES_tradnl"/>
        </w:rPr>
        <w:sym w:font="Symbol" w:char="F0B4"/>
      </w:r>
      <w:r w:rsidRPr="008B7A21">
        <w:rPr>
          <w:lang w:val="es-ES_tradnl"/>
        </w:rPr>
        <w:t> C)</w:t>
      </w:r>
    </w:p>
    <w:p w14:paraId="5FF51234" w14:textId="77777777" w:rsidR="00F73D5B" w:rsidRPr="008B7A21" w:rsidRDefault="00F73D5B" w:rsidP="00F73D5B">
      <w:pPr>
        <w:rPr>
          <w:lang w:val="es-ES_tradnl"/>
        </w:rPr>
      </w:pPr>
      <w:r w:rsidRPr="008B7A21">
        <w:rPr>
          <w:lang w:val="es-ES_tradnl"/>
        </w:rPr>
        <w:tab/>
        <w:t>donde:</w:t>
      </w:r>
    </w:p>
    <w:p w14:paraId="57C84642" w14:textId="77777777" w:rsidR="00F73D5B" w:rsidRPr="008B7A21" w:rsidRDefault="00F73D5B" w:rsidP="00F73D5B">
      <w:pPr>
        <w:pStyle w:val="enumlev1"/>
        <w:rPr>
          <w:lang w:val="es-ES_tradnl"/>
        </w:rPr>
      </w:pPr>
      <w:r w:rsidRPr="008B7A21">
        <w:rPr>
          <w:b/>
          <w:lang w:val="es-ES_tradnl"/>
        </w:rPr>
        <w:tab/>
        <w:t>B</w:t>
      </w:r>
      <w:r w:rsidRPr="008B7A21">
        <w:rPr>
          <w:lang w:val="es-ES_tradnl"/>
        </w:rPr>
        <w:t xml:space="preserve"> = </w:t>
      </w:r>
      <w:r w:rsidRPr="008B7A21">
        <w:rPr>
          <w:b/>
          <w:lang w:val="es-ES_tradnl"/>
        </w:rPr>
        <w:t>Canon básico</w:t>
      </w:r>
      <w:r w:rsidRPr="008B7A21">
        <w:rPr>
          <w:lang w:val="es-ES_tradnl"/>
        </w:rPr>
        <w:t xml:space="preserve"> = 40 000 (cuarenta mil) Dirhams</w:t>
      </w:r>
    </w:p>
    <w:p w14:paraId="393C24FF" w14:textId="77777777" w:rsidR="00F73D5B" w:rsidRPr="008B7A21" w:rsidRDefault="00F73D5B" w:rsidP="00F73D5B">
      <w:pPr>
        <w:pStyle w:val="enumlev1"/>
        <w:rPr>
          <w:lang w:val="es-ES_tradnl"/>
        </w:rPr>
      </w:pPr>
      <w:r w:rsidRPr="008B7A21">
        <w:rPr>
          <w:b/>
          <w:lang w:val="es-ES_tradnl"/>
        </w:rPr>
        <w:tab/>
        <w:t>P</w:t>
      </w:r>
      <w:r w:rsidRPr="008B7A21">
        <w:rPr>
          <w:lang w:val="es-ES_tradnl"/>
        </w:rPr>
        <w:t> = </w:t>
      </w:r>
      <w:r w:rsidRPr="008B7A21">
        <w:rPr>
          <w:b/>
          <w:lang w:val="es-ES_tradnl"/>
        </w:rPr>
        <w:t>Factor de potencia</w:t>
      </w:r>
      <w:r w:rsidRPr="008B7A21">
        <w:rPr>
          <w:lang w:val="es-ES_tradnl"/>
        </w:rPr>
        <w:t xml:space="preserve"> será la potencia, expresada en kilovatios [KW] a la salida del transmisor de potencia (en el caso de transmisiones de ondas largas, medias o cortas) y la potencia radiada efectiva (p.r.e.) en los demás casos.</w:t>
      </w:r>
    </w:p>
    <w:p w14:paraId="53642E5E" w14:textId="77777777" w:rsidR="00F73D5B" w:rsidRPr="008B7A21" w:rsidRDefault="00F73D5B" w:rsidP="00F73D5B">
      <w:pPr>
        <w:rPr>
          <w:lang w:val="es-ES_tradnl"/>
        </w:rPr>
      </w:pPr>
      <w:r w:rsidRPr="008B7A21">
        <w:rPr>
          <w:b/>
          <w:lang w:val="es-ES_tradnl"/>
        </w:rPr>
        <w:tab/>
        <w:t>ST</w:t>
      </w:r>
      <w:r w:rsidRPr="008B7A21">
        <w:rPr>
          <w:lang w:val="es-ES_tradnl"/>
        </w:rPr>
        <w:t xml:space="preserve"> = </w:t>
      </w:r>
      <w:r w:rsidRPr="008B7A21">
        <w:rPr>
          <w:b/>
          <w:lang w:val="es-ES_tradnl"/>
        </w:rPr>
        <w:t>Factor del tipo de servicio</w:t>
      </w:r>
      <w:r w:rsidRPr="008B7A21">
        <w:rPr>
          <w:lang w:val="es-ES_tradnl"/>
        </w:rPr>
        <w:t xml:space="preserve"> que se calculará como sigue:</w:t>
      </w:r>
    </w:p>
    <w:p w14:paraId="45539CEC" w14:textId="77777777" w:rsidR="00F73D5B" w:rsidRPr="008B7A21" w:rsidRDefault="00F73D5B" w:rsidP="00F73D5B">
      <w:pPr>
        <w:pStyle w:val="Note"/>
        <w:tabs>
          <w:tab w:val="left" w:pos="794"/>
        </w:tabs>
        <w:ind w:left="794" w:hanging="794"/>
        <w:rPr>
          <w:lang w:val="es-ES_tradnl" w:eastAsia="ko-KR"/>
        </w:rPr>
      </w:pPr>
      <w:r w:rsidRPr="008B7A21">
        <w:rPr>
          <w:lang w:val="es-ES_tradnl"/>
        </w:rPr>
        <w:tab/>
        <w:t>NOTA 1 –</w:t>
      </w:r>
      <w:r w:rsidRPr="008B7A21">
        <w:rPr>
          <w:lang w:val="es-ES_tradnl" w:eastAsia="ko-KR"/>
        </w:rPr>
        <w:t> Cuando se utilice una red de una única frecuencia (SFN) se tratará toda la red como un único transmisor y se cobrará el canon básico para esa SFN mientras que el resto de los cánones del espectro se cobrarán por estación.</w:t>
      </w:r>
    </w:p>
    <w:p w14:paraId="33B7DC3B" w14:textId="77777777" w:rsidR="00F73D5B" w:rsidRPr="008B7A21" w:rsidRDefault="00F73D5B" w:rsidP="00F73D5B">
      <w:pPr>
        <w:pStyle w:val="TableNo"/>
        <w:rPr>
          <w:lang w:val="es-ES_tradnl"/>
        </w:rPr>
      </w:pPr>
      <w:r w:rsidRPr="008B7A21">
        <w:rPr>
          <w:lang w:val="es-ES_tradnl"/>
        </w:rPr>
        <w:t>CUADRO 1</w:t>
      </w:r>
    </w:p>
    <w:p w14:paraId="2F889CC0" w14:textId="77777777" w:rsidR="00F73D5B" w:rsidRPr="008B7A21" w:rsidRDefault="00F73D5B" w:rsidP="00F73D5B">
      <w:pPr>
        <w:pStyle w:val="Tabletitle"/>
        <w:rPr>
          <w:lang w:val="es-ES_tradnl"/>
        </w:rPr>
      </w:pPr>
      <w:r w:rsidRPr="008B7A21">
        <w:rPr>
          <w:lang w:val="es-ES_tradnl"/>
        </w:rPr>
        <w:t>Definición de los factores del tipo de servicio para servicios</w:t>
      </w:r>
      <w:r w:rsidRPr="008B7A21">
        <w:rPr>
          <w:lang w:val="es-ES_tradnl"/>
        </w:rPr>
        <w:br/>
        <w:t>de radiodifusión sonora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7"/>
        <w:gridCol w:w="2570"/>
        <w:gridCol w:w="1542"/>
        <w:gridCol w:w="2120"/>
      </w:tblGrid>
      <w:tr w:rsidR="00F73D5B" w:rsidRPr="008B7A21" w14:paraId="3581D19A" w14:textId="77777777" w:rsidTr="009207AE">
        <w:trPr>
          <w:trHeight w:val="454"/>
          <w:jc w:val="center"/>
        </w:trPr>
        <w:tc>
          <w:tcPr>
            <w:tcW w:w="8504" w:type="dxa"/>
            <w:gridSpan w:val="4"/>
          </w:tcPr>
          <w:p w14:paraId="26F23902" w14:textId="77777777" w:rsidR="00F73D5B" w:rsidRPr="008B7A21" w:rsidRDefault="00F73D5B" w:rsidP="00767A6A">
            <w:pPr>
              <w:pStyle w:val="Tablehead"/>
              <w:rPr>
                <w:lang w:val="es-ES_tradnl"/>
              </w:rPr>
            </w:pPr>
            <w:r w:rsidRPr="008B7A21">
              <w:rPr>
                <w:lang w:val="es-ES_tradnl"/>
              </w:rPr>
              <w:t>Servicio de radiodifusión sonora</w:t>
            </w:r>
          </w:p>
        </w:tc>
      </w:tr>
      <w:tr w:rsidR="00F73D5B" w:rsidRPr="008B7A21" w14:paraId="343FF3B0" w14:textId="77777777" w:rsidTr="009207AE">
        <w:trPr>
          <w:trHeight w:val="454"/>
          <w:jc w:val="center"/>
        </w:trPr>
        <w:tc>
          <w:tcPr>
            <w:tcW w:w="3005" w:type="dxa"/>
            <w:vAlign w:val="center"/>
          </w:tcPr>
          <w:p w14:paraId="5052CC8C" w14:textId="77777777" w:rsidR="00F73D5B" w:rsidRPr="008B7A21" w:rsidRDefault="00F73D5B" w:rsidP="00767A6A">
            <w:pPr>
              <w:pStyle w:val="Tablehead"/>
              <w:rPr>
                <w:lang w:val="es-ES_tradnl"/>
              </w:rPr>
            </w:pPr>
            <w:r w:rsidRPr="008B7A21">
              <w:rPr>
                <w:lang w:val="es-ES_tradnl"/>
              </w:rPr>
              <w:t>Tipo de servicio</w:t>
            </w:r>
          </w:p>
        </w:tc>
        <w:tc>
          <w:tcPr>
            <w:tcW w:w="2268" w:type="dxa"/>
            <w:vAlign w:val="center"/>
          </w:tcPr>
          <w:p w14:paraId="137DFB44" w14:textId="77777777" w:rsidR="00F73D5B" w:rsidRPr="008B7A21" w:rsidRDefault="00F73D5B" w:rsidP="00767A6A">
            <w:pPr>
              <w:pStyle w:val="Tablehead"/>
              <w:rPr>
                <w:lang w:val="es-ES_tradnl"/>
              </w:rPr>
            </w:pPr>
            <w:r w:rsidRPr="008B7A21">
              <w:rPr>
                <w:lang w:val="es-ES_tradnl"/>
              </w:rPr>
              <w:t>Gama de frecuencias</w:t>
            </w:r>
          </w:p>
        </w:tc>
        <w:tc>
          <w:tcPr>
            <w:tcW w:w="1361" w:type="dxa"/>
          </w:tcPr>
          <w:p w14:paraId="631D2276" w14:textId="77777777" w:rsidR="00F73D5B" w:rsidRPr="008B7A21" w:rsidRDefault="00F73D5B" w:rsidP="00767A6A">
            <w:pPr>
              <w:pStyle w:val="Tablehead"/>
              <w:rPr>
                <w:lang w:val="es-ES_tradnl"/>
              </w:rPr>
            </w:pPr>
            <w:r w:rsidRPr="008B7A21">
              <w:rPr>
                <w:lang w:val="es-ES_tradnl"/>
              </w:rPr>
              <w:t>Anchura</w:t>
            </w:r>
            <w:r w:rsidRPr="008B7A21">
              <w:rPr>
                <w:lang w:val="es-ES_tradnl"/>
              </w:rPr>
              <w:br/>
              <w:t>de banda</w:t>
            </w:r>
          </w:p>
        </w:tc>
        <w:tc>
          <w:tcPr>
            <w:tcW w:w="1871" w:type="dxa"/>
          </w:tcPr>
          <w:p w14:paraId="6FC002FF" w14:textId="77777777" w:rsidR="00F73D5B" w:rsidRPr="008B7A21" w:rsidRDefault="00F73D5B" w:rsidP="00767A6A">
            <w:pPr>
              <w:pStyle w:val="Tablehead"/>
              <w:rPr>
                <w:lang w:val="es-ES_tradnl"/>
              </w:rPr>
            </w:pPr>
            <w:r w:rsidRPr="008B7A21">
              <w:rPr>
                <w:lang w:val="es-ES_tradnl"/>
              </w:rPr>
              <w:t>Factor del tipo</w:t>
            </w:r>
            <w:r w:rsidRPr="008B7A21">
              <w:rPr>
                <w:lang w:val="es-ES_tradnl"/>
              </w:rPr>
              <w:br/>
              <w:t xml:space="preserve">de servicio </w:t>
            </w:r>
          </w:p>
        </w:tc>
      </w:tr>
      <w:tr w:rsidR="00F73D5B" w:rsidRPr="008B7A21" w14:paraId="405C95DD" w14:textId="77777777" w:rsidTr="009207AE">
        <w:trPr>
          <w:trHeight w:val="454"/>
          <w:jc w:val="center"/>
        </w:trPr>
        <w:tc>
          <w:tcPr>
            <w:tcW w:w="3005" w:type="dxa"/>
            <w:vMerge w:val="restart"/>
          </w:tcPr>
          <w:p w14:paraId="147474F1" w14:textId="77777777" w:rsidR="00F73D5B" w:rsidRPr="008B7A21" w:rsidRDefault="00F73D5B" w:rsidP="00767A6A">
            <w:pPr>
              <w:pStyle w:val="Tabletext"/>
              <w:keepNext/>
              <w:keepLines/>
              <w:jc w:val="left"/>
              <w:rPr>
                <w:lang w:val="es-ES_tradnl"/>
              </w:rPr>
            </w:pPr>
            <w:r w:rsidRPr="008B7A21">
              <w:rPr>
                <w:lang w:val="es-ES_tradnl"/>
              </w:rPr>
              <w:t>Radiodifusión sonora en ondas kilométricas y decamétricas</w:t>
            </w:r>
          </w:p>
        </w:tc>
        <w:tc>
          <w:tcPr>
            <w:tcW w:w="2268" w:type="dxa"/>
          </w:tcPr>
          <w:p w14:paraId="52B6F866" w14:textId="77777777" w:rsidR="00F73D5B" w:rsidRPr="008B7A21" w:rsidRDefault="00F73D5B" w:rsidP="00767A6A">
            <w:pPr>
              <w:pStyle w:val="Tabletext"/>
              <w:keepNext/>
              <w:keepLines/>
              <w:jc w:val="center"/>
              <w:rPr>
                <w:lang w:val="es-ES_tradnl"/>
              </w:rPr>
            </w:pPr>
            <w:r w:rsidRPr="008B7A21">
              <w:rPr>
                <w:lang w:val="es-ES_tradnl"/>
              </w:rPr>
              <w:t>148,5-283,5 kHz</w:t>
            </w:r>
          </w:p>
        </w:tc>
        <w:tc>
          <w:tcPr>
            <w:tcW w:w="1361" w:type="dxa"/>
          </w:tcPr>
          <w:p w14:paraId="50643965" w14:textId="77777777" w:rsidR="00F73D5B" w:rsidRPr="008B7A21" w:rsidRDefault="00F73D5B" w:rsidP="00767A6A">
            <w:pPr>
              <w:pStyle w:val="Tabletext"/>
              <w:keepNext/>
              <w:keepLines/>
              <w:jc w:val="center"/>
              <w:rPr>
                <w:lang w:val="es-ES_tradnl"/>
              </w:rPr>
            </w:pPr>
            <w:r w:rsidRPr="008B7A21">
              <w:rPr>
                <w:lang w:val="es-ES_tradnl"/>
              </w:rPr>
              <w:t>9 kHz</w:t>
            </w:r>
          </w:p>
        </w:tc>
        <w:tc>
          <w:tcPr>
            <w:tcW w:w="1871" w:type="dxa"/>
            <w:vMerge w:val="restart"/>
            <w:vAlign w:val="center"/>
          </w:tcPr>
          <w:p w14:paraId="2FFAB773" w14:textId="77777777" w:rsidR="00F73D5B" w:rsidRPr="008B7A21" w:rsidRDefault="00F73D5B" w:rsidP="00767A6A">
            <w:pPr>
              <w:pStyle w:val="Tabletext"/>
              <w:keepNext/>
              <w:keepLines/>
              <w:jc w:val="center"/>
              <w:rPr>
                <w:lang w:val="es-ES_tradnl"/>
              </w:rPr>
            </w:pPr>
            <w:r w:rsidRPr="008B7A21">
              <w:rPr>
                <w:lang w:val="es-ES_tradnl"/>
              </w:rPr>
              <w:t>4,5</w:t>
            </w:r>
          </w:p>
        </w:tc>
      </w:tr>
      <w:tr w:rsidR="00F73D5B" w:rsidRPr="008B7A21" w14:paraId="229C2ABB" w14:textId="77777777" w:rsidTr="009207AE">
        <w:trPr>
          <w:trHeight w:val="454"/>
          <w:jc w:val="center"/>
        </w:trPr>
        <w:tc>
          <w:tcPr>
            <w:tcW w:w="3005" w:type="dxa"/>
            <w:vMerge/>
          </w:tcPr>
          <w:p w14:paraId="3AEE0605" w14:textId="77777777" w:rsidR="00F73D5B" w:rsidRPr="008B7A21" w:rsidRDefault="00F73D5B" w:rsidP="00767A6A">
            <w:pPr>
              <w:pStyle w:val="Tabletext"/>
              <w:keepNext/>
              <w:keepLines/>
              <w:jc w:val="left"/>
              <w:rPr>
                <w:lang w:val="es-ES_tradnl"/>
              </w:rPr>
            </w:pPr>
          </w:p>
        </w:tc>
        <w:tc>
          <w:tcPr>
            <w:tcW w:w="2268" w:type="dxa"/>
          </w:tcPr>
          <w:p w14:paraId="5869B346" w14:textId="77777777" w:rsidR="00F73D5B" w:rsidRPr="008B7A21" w:rsidRDefault="00F73D5B" w:rsidP="00767A6A">
            <w:pPr>
              <w:pStyle w:val="Tabletext"/>
              <w:keepNext/>
              <w:keepLines/>
              <w:jc w:val="center"/>
              <w:rPr>
                <w:lang w:val="es-ES_tradnl"/>
              </w:rPr>
            </w:pPr>
            <w:r w:rsidRPr="008B7A21">
              <w:rPr>
                <w:lang w:val="es-ES_tradnl"/>
              </w:rPr>
              <w:t>526,5-1 606,5 kHz</w:t>
            </w:r>
          </w:p>
        </w:tc>
        <w:tc>
          <w:tcPr>
            <w:tcW w:w="1361" w:type="dxa"/>
          </w:tcPr>
          <w:p w14:paraId="6A0F6CE1" w14:textId="77777777" w:rsidR="00F73D5B" w:rsidRPr="008B7A21" w:rsidRDefault="00F73D5B" w:rsidP="00767A6A">
            <w:pPr>
              <w:pStyle w:val="Tabletext"/>
              <w:keepNext/>
              <w:keepLines/>
              <w:jc w:val="center"/>
              <w:rPr>
                <w:lang w:val="es-ES_tradnl"/>
              </w:rPr>
            </w:pPr>
            <w:r w:rsidRPr="008B7A21">
              <w:rPr>
                <w:lang w:val="es-ES_tradnl"/>
              </w:rPr>
              <w:t>9 kHz</w:t>
            </w:r>
          </w:p>
        </w:tc>
        <w:tc>
          <w:tcPr>
            <w:tcW w:w="1871" w:type="dxa"/>
            <w:vMerge/>
          </w:tcPr>
          <w:p w14:paraId="6CD0D584" w14:textId="77777777" w:rsidR="00F73D5B" w:rsidRPr="008B7A21" w:rsidRDefault="00F73D5B" w:rsidP="00767A6A">
            <w:pPr>
              <w:pStyle w:val="Tabletext"/>
              <w:keepNext/>
              <w:keepLines/>
              <w:jc w:val="center"/>
              <w:rPr>
                <w:lang w:val="es-ES_tradnl"/>
              </w:rPr>
            </w:pPr>
          </w:p>
        </w:tc>
      </w:tr>
      <w:tr w:rsidR="00F73D5B" w:rsidRPr="008B7A21" w14:paraId="27BAEC13" w14:textId="77777777" w:rsidTr="009207AE">
        <w:trPr>
          <w:trHeight w:val="454"/>
          <w:jc w:val="center"/>
        </w:trPr>
        <w:tc>
          <w:tcPr>
            <w:tcW w:w="3005" w:type="dxa"/>
            <w:vMerge w:val="restart"/>
          </w:tcPr>
          <w:p w14:paraId="5C20127C" w14:textId="77777777" w:rsidR="00F73D5B" w:rsidRPr="008B7A21" w:rsidRDefault="00F73D5B" w:rsidP="00767A6A">
            <w:pPr>
              <w:pStyle w:val="Tabletext"/>
              <w:keepNext/>
              <w:keepLines/>
              <w:jc w:val="left"/>
              <w:rPr>
                <w:lang w:val="es-ES_tradnl"/>
              </w:rPr>
            </w:pPr>
            <w:r w:rsidRPr="008B7A21">
              <w:rPr>
                <w:lang w:val="es-ES_tradnl"/>
              </w:rPr>
              <w:t>Radiodifusión sonora en ondas métricas</w:t>
            </w:r>
          </w:p>
        </w:tc>
        <w:tc>
          <w:tcPr>
            <w:tcW w:w="2268" w:type="dxa"/>
          </w:tcPr>
          <w:p w14:paraId="557214FC" w14:textId="77777777" w:rsidR="00F73D5B" w:rsidRPr="008B7A21" w:rsidRDefault="00F73D5B" w:rsidP="00767A6A">
            <w:pPr>
              <w:pStyle w:val="Tabletext"/>
              <w:keepNext/>
              <w:keepLines/>
              <w:jc w:val="center"/>
              <w:rPr>
                <w:lang w:val="es-ES_tradnl"/>
              </w:rPr>
            </w:pPr>
            <w:r w:rsidRPr="008B7A21">
              <w:rPr>
                <w:lang w:val="es-ES_tradnl"/>
              </w:rPr>
              <w:t>87,5-108 MHz</w:t>
            </w:r>
          </w:p>
        </w:tc>
        <w:tc>
          <w:tcPr>
            <w:tcW w:w="1361" w:type="dxa"/>
          </w:tcPr>
          <w:p w14:paraId="149BDDA4" w14:textId="77777777" w:rsidR="00F73D5B" w:rsidRPr="008B7A21" w:rsidRDefault="00F73D5B" w:rsidP="00767A6A">
            <w:pPr>
              <w:pStyle w:val="Tabletext"/>
              <w:keepNext/>
              <w:keepLines/>
              <w:jc w:val="center"/>
              <w:rPr>
                <w:lang w:val="es-ES_tradnl"/>
              </w:rPr>
            </w:pPr>
            <w:r w:rsidRPr="008B7A21">
              <w:rPr>
                <w:lang w:val="es-ES_tradnl"/>
              </w:rPr>
              <w:t>200 kHz</w:t>
            </w:r>
          </w:p>
        </w:tc>
        <w:tc>
          <w:tcPr>
            <w:tcW w:w="1871" w:type="dxa"/>
          </w:tcPr>
          <w:p w14:paraId="3A92AB1B" w14:textId="77777777" w:rsidR="00F73D5B" w:rsidRPr="008B7A21" w:rsidRDefault="00F73D5B" w:rsidP="00767A6A">
            <w:pPr>
              <w:pStyle w:val="Tabletext"/>
              <w:keepNext/>
              <w:keepLines/>
              <w:jc w:val="center"/>
              <w:rPr>
                <w:lang w:val="es-ES_tradnl"/>
              </w:rPr>
            </w:pPr>
            <w:r w:rsidRPr="008B7A21">
              <w:rPr>
                <w:lang w:val="es-ES_tradnl"/>
              </w:rPr>
              <w:t>11</w:t>
            </w:r>
          </w:p>
        </w:tc>
      </w:tr>
      <w:tr w:rsidR="00F73D5B" w:rsidRPr="008B7A21" w14:paraId="08B77160" w14:textId="77777777" w:rsidTr="009207AE">
        <w:trPr>
          <w:trHeight w:val="454"/>
          <w:jc w:val="center"/>
        </w:trPr>
        <w:tc>
          <w:tcPr>
            <w:tcW w:w="3005" w:type="dxa"/>
            <w:vMerge/>
          </w:tcPr>
          <w:p w14:paraId="48FF5065" w14:textId="77777777" w:rsidR="00F73D5B" w:rsidRPr="008B7A21" w:rsidRDefault="00F73D5B" w:rsidP="00767A6A">
            <w:pPr>
              <w:pStyle w:val="Tabletext"/>
              <w:jc w:val="center"/>
              <w:rPr>
                <w:lang w:val="es-ES_tradnl"/>
              </w:rPr>
            </w:pPr>
          </w:p>
        </w:tc>
        <w:tc>
          <w:tcPr>
            <w:tcW w:w="2268" w:type="dxa"/>
          </w:tcPr>
          <w:p w14:paraId="05BC1513" w14:textId="77777777" w:rsidR="00F73D5B" w:rsidRPr="008B7A21" w:rsidRDefault="00F73D5B" w:rsidP="00767A6A">
            <w:pPr>
              <w:pStyle w:val="Tabletext"/>
              <w:jc w:val="center"/>
              <w:rPr>
                <w:lang w:val="es-ES_tradnl"/>
              </w:rPr>
            </w:pPr>
            <w:r w:rsidRPr="008B7A21">
              <w:rPr>
                <w:lang w:val="es-ES_tradnl"/>
              </w:rPr>
              <w:t>174-230 MHz</w:t>
            </w:r>
          </w:p>
        </w:tc>
        <w:tc>
          <w:tcPr>
            <w:tcW w:w="1361" w:type="dxa"/>
          </w:tcPr>
          <w:p w14:paraId="1B814056" w14:textId="77777777" w:rsidR="00F73D5B" w:rsidRPr="008B7A21" w:rsidRDefault="00F73D5B" w:rsidP="00767A6A">
            <w:pPr>
              <w:pStyle w:val="Tabletext"/>
              <w:jc w:val="center"/>
              <w:rPr>
                <w:lang w:val="es-ES_tradnl"/>
              </w:rPr>
            </w:pPr>
            <w:r w:rsidRPr="008B7A21">
              <w:rPr>
                <w:lang w:val="es-ES_tradnl"/>
              </w:rPr>
              <w:t>1,536 MHz</w:t>
            </w:r>
          </w:p>
        </w:tc>
        <w:tc>
          <w:tcPr>
            <w:tcW w:w="1871" w:type="dxa"/>
          </w:tcPr>
          <w:p w14:paraId="488DF331" w14:textId="77777777" w:rsidR="00F73D5B" w:rsidRPr="008B7A21" w:rsidRDefault="00F73D5B" w:rsidP="00767A6A">
            <w:pPr>
              <w:pStyle w:val="Tabletext"/>
              <w:jc w:val="center"/>
              <w:rPr>
                <w:lang w:val="es-ES_tradnl"/>
              </w:rPr>
            </w:pPr>
            <w:r w:rsidRPr="008B7A21">
              <w:rPr>
                <w:lang w:val="es-ES_tradnl"/>
              </w:rPr>
              <w:t>21</w:t>
            </w:r>
          </w:p>
        </w:tc>
      </w:tr>
    </w:tbl>
    <w:p w14:paraId="008529CC" w14:textId="77777777" w:rsidR="00F73D5B" w:rsidRPr="008B7A21" w:rsidRDefault="00F73D5B" w:rsidP="00F73D5B">
      <w:pPr>
        <w:pStyle w:val="Tablefin"/>
        <w:rPr>
          <w:lang w:val="es-ES_tradnl"/>
        </w:rPr>
      </w:pPr>
    </w:p>
    <w:p w14:paraId="0FA13A40" w14:textId="77777777" w:rsidR="00F73D5B" w:rsidRPr="008B7A21" w:rsidRDefault="00F73D5B" w:rsidP="00F73D5B">
      <w:pPr>
        <w:pStyle w:val="TableNo"/>
        <w:keepLines/>
        <w:rPr>
          <w:lang w:val="es-ES_tradnl"/>
        </w:rPr>
      </w:pPr>
      <w:r w:rsidRPr="008B7A21">
        <w:rPr>
          <w:lang w:val="es-ES_tradnl"/>
        </w:rPr>
        <w:lastRenderedPageBreak/>
        <w:t>CUADRO 2</w:t>
      </w:r>
    </w:p>
    <w:p w14:paraId="37445323" w14:textId="77777777" w:rsidR="00F73D5B" w:rsidRPr="008B7A21" w:rsidRDefault="00F73D5B" w:rsidP="00F73D5B">
      <w:pPr>
        <w:pStyle w:val="Tabletitle"/>
        <w:keepLines/>
        <w:rPr>
          <w:lang w:val="es-ES_tradnl"/>
        </w:rPr>
      </w:pPr>
      <w:r w:rsidRPr="008B7A21">
        <w:rPr>
          <w:lang w:val="es-ES_tradnl"/>
        </w:rPr>
        <w:t>Definición de los factores del tipo de servicio para servicios</w:t>
      </w:r>
      <w:r w:rsidRPr="008B7A21">
        <w:rPr>
          <w:lang w:val="es-ES_tradnl"/>
        </w:rPr>
        <w:br/>
        <w:t>de radiodifusión de televisión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9"/>
        <w:gridCol w:w="2763"/>
        <w:gridCol w:w="1542"/>
        <w:gridCol w:w="2185"/>
      </w:tblGrid>
      <w:tr w:rsidR="00F73D5B" w:rsidRPr="008B7A21" w14:paraId="6240F704" w14:textId="77777777" w:rsidTr="009207AE">
        <w:trPr>
          <w:trHeight w:val="397"/>
          <w:jc w:val="center"/>
        </w:trPr>
        <w:tc>
          <w:tcPr>
            <w:tcW w:w="8505" w:type="dxa"/>
            <w:gridSpan w:val="4"/>
          </w:tcPr>
          <w:p w14:paraId="5336394C" w14:textId="77777777" w:rsidR="00F73D5B" w:rsidRPr="008B7A21" w:rsidRDefault="00F73D5B" w:rsidP="00767A6A">
            <w:pPr>
              <w:pStyle w:val="Tablehead"/>
              <w:keepLines/>
              <w:rPr>
                <w:lang w:val="es-ES_tradnl"/>
              </w:rPr>
            </w:pPr>
            <w:r w:rsidRPr="008B7A21">
              <w:rPr>
                <w:lang w:val="es-ES_tradnl"/>
              </w:rPr>
              <w:t>Servicio de radiodifusión de televisión</w:t>
            </w:r>
          </w:p>
        </w:tc>
      </w:tr>
      <w:tr w:rsidR="00F73D5B" w:rsidRPr="008B7A21" w14:paraId="1F9DA28C" w14:textId="77777777" w:rsidTr="009207AE">
        <w:trPr>
          <w:trHeight w:val="397"/>
          <w:jc w:val="center"/>
        </w:trPr>
        <w:tc>
          <w:tcPr>
            <w:tcW w:w="2778" w:type="dxa"/>
            <w:vAlign w:val="center"/>
          </w:tcPr>
          <w:p w14:paraId="71514F8F" w14:textId="77777777" w:rsidR="00F73D5B" w:rsidRPr="008B7A21" w:rsidRDefault="00F73D5B" w:rsidP="00767A6A">
            <w:pPr>
              <w:pStyle w:val="Tablehead"/>
              <w:keepLines/>
              <w:rPr>
                <w:lang w:val="es-ES_tradnl"/>
              </w:rPr>
            </w:pPr>
            <w:r w:rsidRPr="008B7A21">
              <w:rPr>
                <w:lang w:val="es-ES_tradnl"/>
              </w:rPr>
              <w:t>Tipo de servicio</w:t>
            </w:r>
          </w:p>
        </w:tc>
        <w:tc>
          <w:tcPr>
            <w:tcW w:w="2438" w:type="dxa"/>
            <w:vAlign w:val="center"/>
          </w:tcPr>
          <w:p w14:paraId="57660B7F" w14:textId="77777777" w:rsidR="00F73D5B" w:rsidRPr="008B7A21" w:rsidRDefault="00F73D5B" w:rsidP="00767A6A">
            <w:pPr>
              <w:pStyle w:val="Tablehead"/>
              <w:keepLines/>
              <w:rPr>
                <w:lang w:val="es-ES_tradnl"/>
              </w:rPr>
            </w:pPr>
            <w:r w:rsidRPr="008B7A21">
              <w:rPr>
                <w:lang w:val="es-ES_tradnl"/>
              </w:rPr>
              <w:t>Gama de frecuencias</w:t>
            </w:r>
          </w:p>
        </w:tc>
        <w:tc>
          <w:tcPr>
            <w:tcW w:w="1361" w:type="dxa"/>
          </w:tcPr>
          <w:p w14:paraId="00D3EC5E" w14:textId="77777777" w:rsidR="00F73D5B" w:rsidRPr="008B7A21" w:rsidRDefault="00F73D5B" w:rsidP="00767A6A">
            <w:pPr>
              <w:pStyle w:val="Tablehead"/>
              <w:keepLines/>
              <w:rPr>
                <w:lang w:val="es-ES_tradnl"/>
              </w:rPr>
            </w:pPr>
            <w:r w:rsidRPr="008B7A21">
              <w:rPr>
                <w:lang w:val="es-ES_tradnl"/>
              </w:rPr>
              <w:t>Anchura de banda</w:t>
            </w:r>
          </w:p>
        </w:tc>
        <w:tc>
          <w:tcPr>
            <w:tcW w:w="1928" w:type="dxa"/>
          </w:tcPr>
          <w:p w14:paraId="5D1F94D5" w14:textId="77777777" w:rsidR="00F73D5B" w:rsidRPr="008B7A21" w:rsidRDefault="00F73D5B" w:rsidP="00767A6A">
            <w:pPr>
              <w:pStyle w:val="Tablehead"/>
              <w:keepLines/>
              <w:rPr>
                <w:lang w:val="es-ES_tradnl"/>
              </w:rPr>
            </w:pPr>
            <w:r w:rsidRPr="008B7A21">
              <w:rPr>
                <w:lang w:val="es-ES_tradnl"/>
              </w:rPr>
              <w:t xml:space="preserve">Factor del tipo de servicio </w:t>
            </w:r>
          </w:p>
        </w:tc>
      </w:tr>
      <w:tr w:rsidR="00F73D5B" w:rsidRPr="008B7A21" w14:paraId="5C2E2BAE" w14:textId="77777777" w:rsidTr="009207AE">
        <w:trPr>
          <w:trHeight w:val="397"/>
          <w:jc w:val="center"/>
        </w:trPr>
        <w:tc>
          <w:tcPr>
            <w:tcW w:w="2778" w:type="dxa"/>
            <w:vMerge w:val="restart"/>
          </w:tcPr>
          <w:p w14:paraId="7D719AC4" w14:textId="77777777" w:rsidR="00F73D5B" w:rsidRPr="008B7A21" w:rsidRDefault="00F73D5B" w:rsidP="00767A6A">
            <w:pPr>
              <w:pStyle w:val="Tabletext"/>
              <w:keepNext/>
              <w:keepLines/>
              <w:jc w:val="left"/>
              <w:rPr>
                <w:lang w:val="es-ES_tradnl"/>
              </w:rPr>
            </w:pPr>
            <w:r w:rsidRPr="008B7A21">
              <w:rPr>
                <w:lang w:val="es-ES_tradnl"/>
              </w:rPr>
              <w:t>Televisión analógica terrenal</w:t>
            </w:r>
          </w:p>
        </w:tc>
        <w:tc>
          <w:tcPr>
            <w:tcW w:w="2438" w:type="dxa"/>
          </w:tcPr>
          <w:p w14:paraId="0A4B3D1A" w14:textId="77777777" w:rsidR="00F73D5B" w:rsidRPr="008B7A21" w:rsidRDefault="00F73D5B" w:rsidP="00767A6A">
            <w:pPr>
              <w:pStyle w:val="Tabletext"/>
              <w:keepNext/>
              <w:keepLines/>
              <w:jc w:val="center"/>
              <w:rPr>
                <w:lang w:val="es-ES_tradnl"/>
              </w:rPr>
            </w:pPr>
            <w:r w:rsidRPr="008B7A21">
              <w:rPr>
                <w:lang w:val="es-ES_tradnl"/>
              </w:rPr>
              <w:t>47-68 MHz</w:t>
            </w:r>
          </w:p>
        </w:tc>
        <w:tc>
          <w:tcPr>
            <w:tcW w:w="1361" w:type="dxa"/>
            <w:vMerge w:val="restart"/>
            <w:vAlign w:val="center"/>
          </w:tcPr>
          <w:p w14:paraId="0373D781" w14:textId="77777777" w:rsidR="00F73D5B" w:rsidRPr="008B7A21" w:rsidRDefault="00F73D5B" w:rsidP="00767A6A">
            <w:pPr>
              <w:pStyle w:val="Tabletext"/>
              <w:keepNext/>
              <w:keepLines/>
              <w:jc w:val="center"/>
              <w:rPr>
                <w:lang w:val="es-ES_tradnl"/>
              </w:rPr>
            </w:pPr>
            <w:r w:rsidRPr="008B7A21">
              <w:rPr>
                <w:lang w:val="es-ES_tradnl"/>
              </w:rPr>
              <w:t>7 MHz</w:t>
            </w:r>
          </w:p>
        </w:tc>
        <w:tc>
          <w:tcPr>
            <w:tcW w:w="1928" w:type="dxa"/>
            <w:vMerge w:val="restart"/>
            <w:vAlign w:val="center"/>
          </w:tcPr>
          <w:p w14:paraId="0E1F272A" w14:textId="77777777" w:rsidR="00F73D5B" w:rsidRPr="008B7A21" w:rsidRDefault="00F73D5B" w:rsidP="00767A6A">
            <w:pPr>
              <w:pStyle w:val="Tabletext"/>
              <w:keepNext/>
              <w:keepLines/>
              <w:jc w:val="center"/>
              <w:rPr>
                <w:lang w:val="es-ES_tradnl"/>
              </w:rPr>
            </w:pPr>
            <w:r w:rsidRPr="008B7A21">
              <w:rPr>
                <w:lang w:val="es-ES_tradnl"/>
              </w:rPr>
              <w:t>12</w:t>
            </w:r>
          </w:p>
        </w:tc>
      </w:tr>
      <w:tr w:rsidR="00F73D5B" w:rsidRPr="008B7A21" w14:paraId="7D2FDD82" w14:textId="77777777" w:rsidTr="009207AE">
        <w:trPr>
          <w:trHeight w:val="397"/>
          <w:jc w:val="center"/>
        </w:trPr>
        <w:tc>
          <w:tcPr>
            <w:tcW w:w="2778" w:type="dxa"/>
            <w:vMerge/>
          </w:tcPr>
          <w:p w14:paraId="724E9F9A" w14:textId="77777777" w:rsidR="00F73D5B" w:rsidRPr="008B7A21" w:rsidRDefault="00F73D5B" w:rsidP="00767A6A">
            <w:pPr>
              <w:pStyle w:val="Tabletext"/>
              <w:keepNext/>
              <w:keepLines/>
              <w:jc w:val="left"/>
              <w:rPr>
                <w:lang w:val="es-ES_tradnl"/>
              </w:rPr>
            </w:pPr>
          </w:p>
        </w:tc>
        <w:tc>
          <w:tcPr>
            <w:tcW w:w="2438" w:type="dxa"/>
          </w:tcPr>
          <w:p w14:paraId="4D4DDEA4" w14:textId="77777777" w:rsidR="00F73D5B" w:rsidRPr="008B7A21" w:rsidRDefault="00F73D5B" w:rsidP="00767A6A">
            <w:pPr>
              <w:pStyle w:val="Tabletext"/>
              <w:keepNext/>
              <w:keepLines/>
              <w:jc w:val="center"/>
              <w:rPr>
                <w:lang w:val="es-ES_tradnl"/>
              </w:rPr>
            </w:pPr>
            <w:r w:rsidRPr="008B7A21">
              <w:rPr>
                <w:lang w:val="es-ES_tradnl"/>
              </w:rPr>
              <w:t>174-230 MHz</w:t>
            </w:r>
          </w:p>
        </w:tc>
        <w:tc>
          <w:tcPr>
            <w:tcW w:w="1361" w:type="dxa"/>
            <w:vMerge/>
          </w:tcPr>
          <w:p w14:paraId="3F63119F" w14:textId="77777777" w:rsidR="00F73D5B" w:rsidRPr="008B7A21" w:rsidRDefault="00F73D5B" w:rsidP="00767A6A">
            <w:pPr>
              <w:pStyle w:val="Tabletext"/>
              <w:keepNext/>
              <w:keepLines/>
              <w:jc w:val="center"/>
              <w:rPr>
                <w:lang w:val="es-ES_tradnl"/>
              </w:rPr>
            </w:pPr>
          </w:p>
        </w:tc>
        <w:tc>
          <w:tcPr>
            <w:tcW w:w="1928" w:type="dxa"/>
            <w:vMerge/>
          </w:tcPr>
          <w:p w14:paraId="56A7C4A5" w14:textId="77777777" w:rsidR="00F73D5B" w:rsidRPr="008B7A21" w:rsidRDefault="00F73D5B" w:rsidP="00767A6A">
            <w:pPr>
              <w:pStyle w:val="Tabletext"/>
              <w:keepNext/>
              <w:keepLines/>
              <w:jc w:val="center"/>
              <w:rPr>
                <w:lang w:val="es-ES_tradnl"/>
              </w:rPr>
            </w:pPr>
          </w:p>
        </w:tc>
      </w:tr>
      <w:tr w:rsidR="00F73D5B" w:rsidRPr="008B7A21" w14:paraId="6F169407" w14:textId="77777777" w:rsidTr="009207AE">
        <w:trPr>
          <w:trHeight w:val="397"/>
          <w:jc w:val="center"/>
        </w:trPr>
        <w:tc>
          <w:tcPr>
            <w:tcW w:w="2778" w:type="dxa"/>
            <w:vMerge/>
          </w:tcPr>
          <w:p w14:paraId="3051AFD3" w14:textId="77777777" w:rsidR="00F73D5B" w:rsidRPr="008B7A21" w:rsidRDefault="00F73D5B" w:rsidP="00767A6A">
            <w:pPr>
              <w:pStyle w:val="Tabletext"/>
              <w:keepNext/>
              <w:keepLines/>
              <w:jc w:val="left"/>
              <w:rPr>
                <w:lang w:val="es-ES_tradnl"/>
              </w:rPr>
            </w:pPr>
          </w:p>
        </w:tc>
        <w:tc>
          <w:tcPr>
            <w:tcW w:w="2438" w:type="dxa"/>
          </w:tcPr>
          <w:p w14:paraId="48D30532" w14:textId="77777777" w:rsidR="00F73D5B" w:rsidRPr="008B7A21" w:rsidRDefault="00F73D5B" w:rsidP="00767A6A">
            <w:pPr>
              <w:pStyle w:val="Tabletext"/>
              <w:keepNext/>
              <w:keepLines/>
              <w:jc w:val="center"/>
              <w:rPr>
                <w:lang w:val="es-ES_tradnl"/>
              </w:rPr>
            </w:pPr>
            <w:r w:rsidRPr="008B7A21">
              <w:rPr>
                <w:lang w:val="es-ES_tradnl"/>
              </w:rPr>
              <w:t>470-862 MHz</w:t>
            </w:r>
          </w:p>
        </w:tc>
        <w:tc>
          <w:tcPr>
            <w:tcW w:w="1361" w:type="dxa"/>
          </w:tcPr>
          <w:p w14:paraId="627B3D4F" w14:textId="77777777" w:rsidR="00F73D5B" w:rsidRPr="008B7A21" w:rsidRDefault="00F73D5B" w:rsidP="00767A6A">
            <w:pPr>
              <w:pStyle w:val="Tabletext"/>
              <w:keepNext/>
              <w:keepLines/>
              <w:jc w:val="center"/>
              <w:rPr>
                <w:lang w:val="es-ES_tradnl"/>
              </w:rPr>
            </w:pPr>
            <w:r w:rsidRPr="008B7A21">
              <w:rPr>
                <w:lang w:val="es-ES_tradnl"/>
              </w:rPr>
              <w:t>8 MHz</w:t>
            </w:r>
          </w:p>
        </w:tc>
        <w:tc>
          <w:tcPr>
            <w:tcW w:w="1928" w:type="dxa"/>
          </w:tcPr>
          <w:p w14:paraId="2CEBD9FD" w14:textId="77777777" w:rsidR="00F73D5B" w:rsidRPr="008B7A21" w:rsidRDefault="00F73D5B" w:rsidP="00767A6A">
            <w:pPr>
              <w:pStyle w:val="Tabletext"/>
              <w:keepNext/>
              <w:keepLines/>
              <w:jc w:val="center"/>
              <w:rPr>
                <w:lang w:val="es-ES_tradnl"/>
              </w:rPr>
            </w:pPr>
            <w:r w:rsidRPr="008B7A21">
              <w:rPr>
                <w:lang w:val="es-ES_tradnl"/>
              </w:rPr>
              <w:t>14</w:t>
            </w:r>
          </w:p>
        </w:tc>
      </w:tr>
      <w:tr w:rsidR="00F73D5B" w:rsidRPr="008B7A21" w14:paraId="121637DB" w14:textId="77777777" w:rsidTr="009207AE">
        <w:trPr>
          <w:trHeight w:val="397"/>
          <w:jc w:val="center"/>
        </w:trPr>
        <w:tc>
          <w:tcPr>
            <w:tcW w:w="2778" w:type="dxa"/>
            <w:vMerge w:val="restart"/>
          </w:tcPr>
          <w:p w14:paraId="5039B792" w14:textId="77777777" w:rsidR="00F73D5B" w:rsidRPr="008B7A21" w:rsidRDefault="00F73D5B" w:rsidP="00767A6A">
            <w:pPr>
              <w:pStyle w:val="Tabletext"/>
              <w:keepNext/>
              <w:keepLines/>
              <w:jc w:val="left"/>
              <w:rPr>
                <w:lang w:val="es-ES_tradnl"/>
              </w:rPr>
            </w:pPr>
            <w:r w:rsidRPr="008B7A21">
              <w:rPr>
                <w:lang w:val="es-ES_tradnl"/>
              </w:rPr>
              <w:t>Radiodifusión de televisión digital terrenal</w:t>
            </w:r>
          </w:p>
        </w:tc>
        <w:tc>
          <w:tcPr>
            <w:tcW w:w="2438" w:type="dxa"/>
          </w:tcPr>
          <w:p w14:paraId="51442C96" w14:textId="77777777" w:rsidR="00F73D5B" w:rsidRPr="008B7A21" w:rsidRDefault="00F73D5B" w:rsidP="00767A6A">
            <w:pPr>
              <w:pStyle w:val="Tabletext"/>
              <w:keepNext/>
              <w:keepLines/>
              <w:jc w:val="center"/>
              <w:rPr>
                <w:lang w:val="es-ES_tradnl"/>
              </w:rPr>
            </w:pPr>
            <w:r w:rsidRPr="008B7A21">
              <w:rPr>
                <w:lang w:val="es-ES_tradnl"/>
              </w:rPr>
              <w:t>174-230 MHz</w:t>
            </w:r>
          </w:p>
        </w:tc>
        <w:tc>
          <w:tcPr>
            <w:tcW w:w="1361" w:type="dxa"/>
          </w:tcPr>
          <w:p w14:paraId="3F6F5A72" w14:textId="77777777" w:rsidR="00F73D5B" w:rsidRPr="008B7A21" w:rsidRDefault="00F73D5B" w:rsidP="00767A6A">
            <w:pPr>
              <w:pStyle w:val="Tabletext"/>
              <w:keepNext/>
              <w:keepLines/>
              <w:jc w:val="center"/>
              <w:rPr>
                <w:lang w:val="es-ES_tradnl"/>
              </w:rPr>
            </w:pPr>
            <w:r w:rsidRPr="008B7A21">
              <w:rPr>
                <w:lang w:val="es-ES_tradnl"/>
              </w:rPr>
              <w:t>7 MHz</w:t>
            </w:r>
          </w:p>
        </w:tc>
        <w:tc>
          <w:tcPr>
            <w:tcW w:w="1928" w:type="dxa"/>
          </w:tcPr>
          <w:p w14:paraId="2DEDAD18" w14:textId="77777777" w:rsidR="00F73D5B" w:rsidRPr="008B7A21" w:rsidRDefault="00F73D5B" w:rsidP="00767A6A">
            <w:pPr>
              <w:pStyle w:val="Tabletext"/>
              <w:keepNext/>
              <w:keepLines/>
              <w:jc w:val="center"/>
              <w:rPr>
                <w:lang w:val="es-ES_tradnl"/>
              </w:rPr>
            </w:pPr>
            <w:r w:rsidRPr="008B7A21">
              <w:rPr>
                <w:lang w:val="es-ES_tradnl"/>
              </w:rPr>
              <w:t>60</w:t>
            </w:r>
          </w:p>
        </w:tc>
      </w:tr>
      <w:tr w:rsidR="00F73D5B" w:rsidRPr="008B7A21" w14:paraId="212D03C8" w14:textId="77777777" w:rsidTr="009207AE">
        <w:trPr>
          <w:trHeight w:val="397"/>
          <w:jc w:val="center"/>
        </w:trPr>
        <w:tc>
          <w:tcPr>
            <w:tcW w:w="2778" w:type="dxa"/>
            <w:vMerge/>
          </w:tcPr>
          <w:p w14:paraId="796980A1" w14:textId="77777777" w:rsidR="00F73D5B" w:rsidRPr="008B7A21" w:rsidRDefault="00F73D5B" w:rsidP="00767A6A">
            <w:pPr>
              <w:pStyle w:val="Tabletext"/>
              <w:keepNext/>
              <w:keepLines/>
              <w:jc w:val="left"/>
              <w:rPr>
                <w:lang w:val="es-ES_tradnl"/>
              </w:rPr>
            </w:pPr>
          </w:p>
        </w:tc>
        <w:tc>
          <w:tcPr>
            <w:tcW w:w="2438" w:type="dxa"/>
          </w:tcPr>
          <w:p w14:paraId="5F78A9E8" w14:textId="77777777" w:rsidR="00F73D5B" w:rsidRPr="008B7A21" w:rsidRDefault="00F73D5B" w:rsidP="00767A6A">
            <w:pPr>
              <w:pStyle w:val="Tabletext"/>
              <w:keepNext/>
              <w:keepLines/>
              <w:jc w:val="center"/>
              <w:rPr>
                <w:lang w:val="es-ES_tradnl"/>
              </w:rPr>
            </w:pPr>
            <w:r w:rsidRPr="008B7A21">
              <w:rPr>
                <w:lang w:val="es-ES_tradnl"/>
              </w:rPr>
              <w:t>470-862 MHz</w:t>
            </w:r>
          </w:p>
        </w:tc>
        <w:tc>
          <w:tcPr>
            <w:tcW w:w="1361" w:type="dxa"/>
          </w:tcPr>
          <w:p w14:paraId="331B0837" w14:textId="77777777" w:rsidR="00F73D5B" w:rsidRPr="008B7A21" w:rsidRDefault="00F73D5B" w:rsidP="00767A6A">
            <w:pPr>
              <w:pStyle w:val="Tabletext"/>
              <w:keepNext/>
              <w:keepLines/>
              <w:jc w:val="center"/>
              <w:rPr>
                <w:lang w:val="es-ES_tradnl"/>
              </w:rPr>
            </w:pPr>
            <w:r w:rsidRPr="008B7A21">
              <w:rPr>
                <w:lang w:val="es-ES_tradnl"/>
              </w:rPr>
              <w:t>8 MHz</w:t>
            </w:r>
          </w:p>
        </w:tc>
        <w:tc>
          <w:tcPr>
            <w:tcW w:w="1928" w:type="dxa"/>
          </w:tcPr>
          <w:p w14:paraId="2F170524" w14:textId="77777777" w:rsidR="00F73D5B" w:rsidRPr="008B7A21" w:rsidRDefault="00F73D5B" w:rsidP="00767A6A">
            <w:pPr>
              <w:pStyle w:val="Tabletext"/>
              <w:keepNext/>
              <w:keepLines/>
              <w:jc w:val="center"/>
              <w:rPr>
                <w:lang w:val="es-ES_tradnl"/>
              </w:rPr>
            </w:pPr>
            <w:r w:rsidRPr="008B7A21">
              <w:rPr>
                <w:lang w:val="es-ES_tradnl"/>
              </w:rPr>
              <w:t>68</w:t>
            </w:r>
          </w:p>
        </w:tc>
      </w:tr>
      <w:tr w:rsidR="00F73D5B" w:rsidRPr="008B7A21" w14:paraId="57C7EEB8" w14:textId="77777777" w:rsidTr="009207AE">
        <w:trPr>
          <w:trHeight w:val="397"/>
          <w:jc w:val="center"/>
        </w:trPr>
        <w:tc>
          <w:tcPr>
            <w:tcW w:w="2778" w:type="dxa"/>
            <w:vMerge w:val="restart"/>
          </w:tcPr>
          <w:p w14:paraId="56F6D0FE" w14:textId="77777777" w:rsidR="00F73D5B" w:rsidRPr="008B7A21" w:rsidRDefault="00F73D5B" w:rsidP="00767A6A">
            <w:pPr>
              <w:pStyle w:val="Tabletext"/>
              <w:keepNext/>
              <w:keepLines/>
              <w:jc w:val="left"/>
              <w:rPr>
                <w:lang w:val="es-ES_tradnl"/>
              </w:rPr>
            </w:pPr>
            <w:r w:rsidRPr="008B7A21">
              <w:rPr>
                <w:lang w:val="es-ES_tradnl"/>
              </w:rPr>
              <w:t>Radiodifusión de televisión móvil terrenal</w:t>
            </w:r>
          </w:p>
        </w:tc>
        <w:tc>
          <w:tcPr>
            <w:tcW w:w="2438" w:type="dxa"/>
          </w:tcPr>
          <w:p w14:paraId="55BC8919" w14:textId="77777777" w:rsidR="00F73D5B" w:rsidRPr="008B7A21" w:rsidRDefault="00F73D5B" w:rsidP="00767A6A">
            <w:pPr>
              <w:pStyle w:val="Tabletext"/>
              <w:keepNext/>
              <w:keepLines/>
              <w:jc w:val="center"/>
              <w:rPr>
                <w:lang w:val="es-ES_tradnl"/>
              </w:rPr>
            </w:pPr>
            <w:r w:rsidRPr="008B7A21">
              <w:rPr>
                <w:lang w:val="es-ES_tradnl"/>
              </w:rPr>
              <w:t>174-230 MHz</w:t>
            </w:r>
          </w:p>
        </w:tc>
        <w:tc>
          <w:tcPr>
            <w:tcW w:w="1361" w:type="dxa"/>
          </w:tcPr>
          <w:p w14:paraId="3CE46258" w14:textId="77777777" w:rsidR="00F73D5B" w:rsidRPr="008B7A21" w:rsidRDefault="00F73D5B" w:rsidP="00767A6A">
            <w:pPr>
              <w:pStyle w:val="Tabletext"/>
              <w:keepNext/>
              <w:keepLines/>
              <w:jc w:val="center"/>
              <w:rPr>
                <w:lang w:val="es-ES_tradnl"/>
              </w:rPr>
            </w:pPr>
            <w:r w:rsidRPr="008B7A21">
              <w:rPr>
                <w:lang w:val="es-ES_tradnl"/>
              </w:rPr>
              <w:t>7 MHz</w:t>
            </w:r>
          </w:p>
        </w:tc>
        <w:tc>
          <w:tcPr>
            <w:tcW w:w="1928" w:type="dxa"/>
          </w:tcPr>
          <w:p w14:paraId="209D90C7" w14:textId="77777777" w:rsidR="00F73D5B" w:rsidRPr="008B7A21" w:rsidRDefault="00F73D5B" w:rsidP="00767A6A">
            <w:pPr>
              <w:pStyle w:val="Tabletext"/>
              <w:keepNext/>
              <w:keepLines/>
              <w:jc w:val="center"/>
              <w:rPr>
                <w:lang w:val="es-ES_tradnl"/>
              </w:rPr>
            </w:pPr>
            <w:r w:rsidRPr="008B7A21">
              <w:rPr>
                <w:lang w:val="es-ES_tradnl"/>
              </w:rPr>
              <w:t>119</w:t>
            </w:r>
          </w:p>
        </w:tc>
      </w:tr>
      <w:tr w:rsidR="00F73D5B" w:rsidRPr="008B7A21" w14:paraId="6044903A" w14:textId="77777777" w:rsidTr="009207AE">
        <w:trPr>
          <w:trHeight w:val="397"/>
          <w:jc w:val="center"/>
        </w:trPr>
        <w:tc>
          <w:tcPr>
            <w:tcW w:w="2778" w:type="dxa"/>
            <w:vMerge/>
          </w:tcPr>
          <w:p w14:paraId="2C1DED2D" w14:textId="77777777" w:rsidR="00F73D5B" w:rsidRPr="008B7A21" w:rsidRDefault="00F73D5B" w:rsidP="00767A6A">
            <w:pPr>
              <w:pStyle w:val="Tabletext"/>
              <w:keepNext/>
              <w:keepLines/>
              <w:rPr>
                <w:lang w:val="es-ES_tradnl"/>
              </w:rPr>
            </w:pPr>
          </w:p>
        </w:tc>
        <w:tc>
          <w:tcPr>
            <w:tcW w:w="2438" w:type="dxa"/>
          </w:tcPr>
          <w:p w14:paraId="13209325" w14:textId="77777777" w:rsidR="00F73D5B" w:rsidRPr="008B7A21" w:rsidRDefault="00F73D5B" w:rsidP="00767A6A">
            <w:pPr>
              <w:pStyle w:val="Tabletext"/>
              <w:keepNext/>
              <w:keepLines/>
              <w:jc w:val="center"/>
              <w:rPr>
                <w:lang w:val="es-ES_tradnl"/>
              </w:rPr>
            </w:pPr>
            <w:r w:rsidRPr="008B7A21">
              <w:rPr>
                <w:lang w:val="es-ES_tradnl"/>
              </w:rPr>
              <w:t>470-862 MHz</w:t>
            </w:r>
          </w:p>
        </w:tc>
        <w:tc>
          <w:tcPr>
            <w:tcW w:w="1361" w:type="dxa"/>
          </w:tcPr>
          <w:p w14:paraId="63B9A3F8" w14:textId="77777777" w:rsidR="00F73D5B" w:rsidRPr="008B7A21" w:rsidRDefault="00F73D5B" w:rsidP="00767A6A">
            <w:pPr>
              <w:pStyle w:val="Tabletext"/>
              <w:keepNext/>
              <w:keepLines/>
              <w:jc w:val="center"/>
              <w:rPr>
                <w:lang w:val="es-ES_tradnl"/>
              </w:rPr>
            </w:pPr>
            <w:r w:rsidRPr="008B7A21">
              <w:rPr>
                <w:lang w:val="es-ES_tradnl"/>
              </w:rPr>
              <w:t>8 MHz</w:t>
            </w:r>
          </w:p>
        </w:tc>
        <w:tc>
          <w:tcPr>
            <w:tcW w:w="1928" w:type="dxa"/>
          </w:tcPr>
          <w:p w14:paraId="63D43D67" w14:textId="77777777" w:rsidR="00F73D5B" w:rsidRPr="008B7A21" w:rsidRDefault="00F73D5B" w:rsidP="00767A6A">
            <w:pPr>
              <w:pStyle w:val="Tabletext"/>
              <w:keepNext/>
              <w:keepLines/>
              <w:jc w:val="center"/>
              <w:rPr>
                <w:lang w:val="es-ES_tradnl"/>
              </w:rPr>
            </w:pPr>
            <w:r w:rsidRPr="008B7A21">
              <w:rPr>
                <w:lang w:val="es-ES_tradnl"/>
              </w:rPr>
              <w:t>136</w:t>
            </w:r>
          </w:p>
        </w:tc>
      </w:tr>
      <w:tr w:rsidR="00F73D5B" w:rsidRPr="008B7A21" w14:paraId="1C6A5800" w14:textId="77777777" w:rsidTr="009207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8505" w:type="dxa"/>
            <w:gridSpan w:val="4"/>
          </w:tcPr>
          <w:p w14:paraId="415DEBEB" w14:textId="77777777" w:rsidR="00F73D5B" w:rsidRPr="008B7A21" w:rsidRDefault="00F73D5B" w:rsidP="00767A6A">
            <w:pPr>
              <w:pStyle w:val="TableLegendNote"/>
              <w:rPr>
                <w:lang w:val="es-ES_tradnl"/>
              </w:rPr>
            </w:pPr>
            <w:r w:rsidRPr="008B7A21">
              <w:rPr>
                <w:lang w:val="es-ES_tradnl"/>
              </w:rPr>
              <w:t>NOTA 1 –</w:t>
            </w:r>
            <w:r w:rsidRPr="008B7A21">
              <w:rPr>
                <w:lang w:val="es-ES_tradnl" w:bidi="ar-AE"/>
              </w:rPr>
              <w:t xml:space="preserve"> El factor del tipo de servicio para la televisión analógica terrenal será aplicable hasta diciembre de </w:t>
            </w:r>
            <w:r w:rsidRPr="008B7A21">
              <w:rPr>
                <w:lang w:val="es-ES_tradnl"/>
              </w:rPr>
              <w:t>2015. A partir de esa fecha, el factor del tipo de servicio para la radiodifusión de televisión digital terrenal se aplicará para la televisión analógica terrenal.</w:t>
            </w:r>
          </w:p>
          <w:p w14:paraId="4B3070F6" w14:textId="77777777" w:rsidR="00F73D5B" w:rsidRPr="008B7A21" w:rsidRDefault="00F73D5B" w:rsidP="00767A6A">
            <w:pPr>
              <w:pStyle w:val="TableLegendNote"/>
              <w:rPr>
                <w:lang w:val="es-ES_tradnl"/>
              </w:rPr>
            </w:pPr>
            <w:r w:rsidRPr="008B7A21">
              <w:rPr>
                <w:lang w:val="es-ES_tradnl"/>
              </w:rPr>
              <w:t>NOTA 2 –</w:t>
            </w:r>
            <w:r w:rsidRPr="008B7A21">
              <w:rPr>
                <w:lang w:val="es-ES_tradnl" w:bidi="ar-AE"/>
              </w:rPr>
              <w:t> </w:t>
            </w:r>
            <w:r w:rsidRPr="008B7A21">
              <w:rPr>
                <w:lang w:val="es-ES_tradnl"/>
              </w:rPr>
              <w:t xml:space="preserve">El factor del tipo de servicio se puede calcular prorrateando con respecto a la anchura de banda mencionada anteriormente y a la gama de frecuencias más próxima cuando se requiera la autorización para un servicio de radiodifusión similar en una banda de frecuencias no mencionada anteriormente. </w:t>
            </w:r>
          </w:p>
        </w:tc>
      </w:tr>
    </w:tbl>
    <w:p w14:paraId="36BEA82E" w14:textId="77777777" w:rsidR="00F73D5B" w:rsidRPr="008B7A21" w:rsidRDefault="00F73D5B" w:rsidP="00F73D5B">
      <w:pPr>
        <w:pStyle w:val="Tablefin"/>
        <w:rPr>
          <w:lang w:val="es-ES_tradnl"/>
        </w:rPr>
      </w:pPr>
    </w:p>
    <w:p w14:paraId="4B46BEAF" w14:textId="77777777" w:rsidR="00F73D5B" w:rsidRPr="008B7A21" w:rsidRDefault="00F73D5B" w:rsidP="00F73D5B">
      <w:pPr>
        <w:pStyle w:val="enumlev1"/>
        <w:keepNext/>
        <w:keepLines/>
        <w:rPr>
          <w:lang w:val="es-ES_tradnl"/>
        </w:rPr>
      </w:pPr>
      <w:r w:rsidRPr="008B7A21">
        <w:rPr>
          <w:b/>
          <w:lang w:val="es-ES_tradnl"/>
        </w:rPr>
        <w:tab/>
        <w:t>SZ</w:t>
      </w:r>
      <w:r w:rsidRPr="008B7A21">
        <w:rPr>
          <w:lang w:val="es-ES_tradnl"/>
        </w:rPr>
        <w:t xml:space="preserve"> = </w:t>
      </w:r>
      <w:r w:rsidRPr="008B7A21">
        <w:rPr>
          <w:b/>
          <w:lang w:val="es-ES_tradnl"/>
        </w:rPr>
        <w:t>Factor de zona de servicio</w:t>
      </w:r>
      <w:r w:rsidRPr="008B7A21">
        <w:rPr>
          <w:lang w:val="es-ES_tradnl"/>
        </w:rPr>
        <w:t xml:space="preserve"> que se calcula de la forma siguiente:</w:t>
      </w:r>
    </w:p>
    <w:p w14:paraId="5A4E1C0F" w14:textId="77777777" w:rsidR="00F73D5B" w:rsidRPr="008B7A21" w:rsidRDefault="00F73D5B" w:rsidP="00F73D5B">
      <w:pPr>
        <w:pStyle w:val="TableNo"/>
        <w:rPr>
          <w:lang w:val="es-ES_tradnl"/>
        </w:rPr>
      </w:pPr>
      <w:r w:rsidRPr="008B7A21">
        <w:rPr>
          <w:lang w:val="es-ES_tradnl"/>
        </w:rPr>
        <w:t>CUADRO 3</w:t>
      </w:r>
    </w:p>
    <w:p w14:paraId="01975F11" w14:textId="77777777" w:rsidR="00F73D5B" w:rsidRPr="008B7A21" w:rsidRDefault="00F73D5B" w:rsidP="00F73D5B">
      <w:pPr>
        <w:pStyle w:val="Tabletitle"/>
        <w:rPr>
          <w:lang w:val="es-ES_tradnl"/>
        </w:rPr>
      </w:pPr>
      <w:r w:rsidRPr="008B7A21">
        <w:rPr>
          <w:lang w:val="es-ES_tradnl"/>
        </w:rPr>
        <w:t>Definición de los factores de zona de servicio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5244"/>
        <w:gridCol w:w="2273"/>
      </w:tblGrid>
      <w:tr w:rsidR="00F73D5B" w:rsidRPr="008B7A21" w14:paraId="71CF4931" w14:textId="77777777" w:rsidTr="009207AE">
        <w:trPr>
          <w:trHeight w:val="680"/>
          <w:jc w:val="center"/>
        </w:trPr>
        <w:tc>
          <w:tcPr>
            <w:tcW w:w="2122" w:type="dxa"/>
            <w:vAlign w:val="center"/>
          </w:tcPr>
          <w:p w14:paraId="2726CD12" w14:textId="77777777" w:rsidR="00F73D5B" w:rsidRPr="008B7A21" w:rsidRDefault="00F73D5B" w:rsidP="00767A6A">
            <w:pPr>
              <w:pStyle w:val="Tablehead"/>
              <w:rPr>
                <w:lang w:val="es-ES_tradnl"/>
              </w:rPr>
            </w:pPr>
            <w:r w:rsidRPr="008B7A21">
              <w:rPr>
                <w:lang w:val="es-ES_tradnl"/>
              </w:rPr>
              <w:t>Factor de zona de servicio (SZ)</w:t>
            </w:r>
          </w:p>
        </w:tc>
        <w:tc>
          <w:tcPr>
            <w:tcW w:w="5244" w:type="dxa"/>
            <w:vAlign w:val="center"/>
          </w:tcPr>
          <w:p w14:paraId="1695E05E" w14:textId="77777777" w:rsidR="00F73D5B" w:rsidRPr="008B7A21" w:rsidRDefault="00F73D5B" w:rsidP="00767A6A">
            <w:pPr>
              <w:pStyle w:val="Tablehead"/>
              <w:rPr>
                <w:lang w:val="es-ES_tradnl"/>
              </w:rPr>
            </w:pPr>
            <w:r w:rsidRPr="008B7A21">
              <w:rPr>
                <w:lang w:val="es-ES_tradnl"/>
              </w:rPr>
              <w:t>Zona de servicio</w:t>
            </w:r>
          </w:p>
        </w:tc>
        <w:tc>
          <w:tcPr>
            <w:tcW w:w="2273" w:type="dxa"/>
            <w:vAlign w:val="center"/>
          </w:tcPr>
          <w:p w14:paraId="0ECD374D" w14:textId="77777777" w:rsidR="00F73D5B" w:rsidRPr="008B7A21" w:rsidRDefault="00F73D5B" w:rsidP="00767A6A">
            <w:pPr>
              <w:pStyle w:val="Tablehead"/>
              <w:rPr>
                <w:lang w:val="es-ES_tradnl"/>
              </w:rPr>
            </w:pPr>
            <w:r w:rsidRPr="008B7A21">
              <w:rPr>
                <w:lang w:val="es-ES_tradnl"/>
              </w:rPr>
              <w:t>Vértices del polígono</w:t>
            </w:r>
          </w:p>
        </w:tc>
      </w:tr>
      <w:tr w:rsidR="00F73D5B" w:rsidRPr="008B7A21" w14:paraId="21872F72" w14:textId="77777777" w:rsidTr="009207AE">
        <w:trPr>
          <w:trHeight w:val="1142"/>
          <w:jc w:val="center"/>
        </w:trPr>
        <w:tc>
          <w:tcPr>
            <w:tcW w:w="2122" w:type="dxa"/>
            <w:vMerge w:val="restart"/>
          </w:tcPr>
          <w:p w14:paraId="3837D88C" w14:textId="77777777" w:rsidR="00F73D5B" w:rsidRPr="008B7A21" w:rsidRDefault="00F73D5B" w:rsidP="00767A6A">
            <w:pPr>
              <w:pStyle w:val="Tabletext"/>
              <w:jc w:val="left"/>
              <w:rPr>
                <w:lang w:val="es-ES_tradnl" w:eastAsia="de-DE"/>
              </w:rPr>
            </w:pPr>
            <w:r w:rsidRPr="008B7A21">
              <w:rPr>
                <w:lang w:val="es-ES_tradnl" w:eastAsia="de-DE"/>
              </w:rPr>
              <w:t>1,00 (alto)</w:t>
            </w:r>
          </w:p>
        </w:tc>
        <w:tc>
          <w:tcPr>
            <w:tcW w:w="5244" w:type="dxa"/>
          </w:tcPr>
          <w:p w14:paraId="517B38C4" w14:textId="77777777" w:rsidR="00F73D5B" w:rsidRPr="008B7A21" w:rsidRDefault="00F73D5B" w:rsidP="00767A6A">
            <w:pPr>
              <w:pStyle w:val="Tabletext"/>
              <w:jc w:val="left"/>
              <w:rPr>
                <w:lang w:val="es-ES_tradnl" w:eastAsia="de-DE"/>
              </w:rPr>
            </w:pPr>
            <w:r w:rsidRPr="008B7A21">
              <w:rPr>
                <w:lang w:val="es-ES_tradnl" w:eastAsia="de-DE"/>
              </w:rPr>
              <w:t>Ciudad de Abu Dhabi y alrededores</w:t>
            </w:r>
          </w:p>
        </w:tc>
        <w:tc>
          <w:tcPr>
            <w:tcW w:w="2273" w:type="dxa"/>
          </w:tcPr>
          <w:p w14:paraId="7F3DA319" w14:textId="77777777" w:rsidR="00F73D5B" w:rsidRPr="008B7A21" w:rsidRDefault="00F73D5B" w:rsidP="00767A6A">
            <w:pPr>
              <w:pStyle w:val="Tabletext"/>
              <w:jc w:val="left"/>
              <w:rPr>
                <w:lang w:val="es-ES_tradnl"/>
              </w:rPr>
            </w:pPr>
            <w:r w:rsidRPr="008B7A21">
              <w:rPr>
                <w:lang w:val="es-ES_tradnl"/>
              </w:rPr>
              <w:t>54° 30' E – 24° 45' N</w:t>
            </w:r>
          </w:p>
          <w:p w14:paraId="7AA6E57F" w14:textId="77777777" w:rsidR="00F73D5B" w:rsidRPr="008B7A21" w:rsidRDefault="00F73D5B" w:rsidP="00767A6A">
            <w:pPr>
              <w:pStyle w:val="Tabletext"/>
              <w:jc w:val="left"/>
              <w:rPr>
                <w:lang w:val="es-ES_tradnl"/>
              </w:rPr>
            </w:pPr>
            <w:r w:rsidRPr="008B7A21">
              <w:rPr>
                <w:lang w:val="es-ES_tradnl"/>
              </w:rPr>
              <w:t>55° 15' E – 24° 40' N</w:t>
            </w:r>
          </w:p>
          <w:p w14:paraId="6FBF3D3C" w14:textId="77777777" w:rsidR="00F73D5B" w:rsidRPr="008B7A21" w:rsidRDefault="00F73D5B" w:rsidP="00767A6A">
            <w:pPr>
              <w:pStyle w:val="Tabletext"/>
              <w:jc w:val="left"/>
              <w:rPr>
                <w:lang w:val="es-ES_tradnl"/>
              </w:rPr>
            </w:pPr>
            <w:r w:rsidRPr="008B7A21">
              <w:rPr>
                <w:lang w:val="es-ES_tradnl"/>
              </w:rPr>
              <w:t>55° 00' E – 24° 05' N</w:t>
            </w:r>
          </w:p>
          <w:p w14:paraId="169D09A1" w14:textId="77777777" w:rsidR="00F73D5B" w:rsidRPr="008B7A21" w:rsidRDefault="00F73D5B" w:rsidP="00767A6A">
            <w:pPr>
              <w:pStyle w:val="Tabletext"/>
              <w:jc w:val="left"/>
              <w:rPr>
                <w:lang w:val="es-ES_tradnl"/>
              </w:rPr>
            </w:pPr>
            <w:r w:rsidRPr="008B7A21">
              <w:rPr>
                <w:lang w:val="es-ES_tradnl"/>
              </w:rPr>
              <w:t>54° 00' E – 24° 20' N</w:t>
            </w:r>
          </w:p>
        </w:tc>
      </w:tr>
      <w:tr w:rsidR="00F73D5B" w:rsidRPr="008B7A21" w14:paraId="4B981799" w14:textId="77777777" w:rsidTr="009207AE">
        <w:trPr>
          <w:trHeight w:val="1192"/>
          <w:jc w:val="center"/>
        </w:trPr>
        <w:tc>
          <w:tcPr>
            <w:tcW w:w="2122" w:type="dxa"/>
            <w:vMerge/>
          </w:tcPr>
          <w:p w14:paraId="5A33E69A" w14:textId="77777777" w:rsidR="00F73D5B" w:rsidRPr="008B7A21" w:rsidRDefault="00F73D5B" w:rsidP="00767A6A">
            <w:pPr>
              <w:pStyle w:val="Tabletext"/>
              <w:jc w:val="left"/>
              <w:rPr>
                <w:lang w:val="es-ES_tradnl"/>
              </w:rPr>
            </w:pPr>
          </w:p>
        </w:tc>
        <w:tc>
          <w:tcPr>
            <w:tcW w:w="5244" w:type="dxa"/>
          </w:tcPr>
          <w:p w14:paraId="14229902" w14:textId="77777777" w:rsidR="00F73D5B" w:rsidRPr="008B7A21" w:rsidRDefault="00F73D5B" w:rsidP="00767A6A">
            <w:pPr>
              <w:pStyle w:val="Tabletext"/>
              <w:jc w:val="left"/>
              <w:rPr>
                <w:lang w:val="es-ES_tradnl"/>
              </w:rPr>
            </w:pPr>
            <w:r w:rsidRPr="008B7A21">
              <w:rPr>
                <w:lang w:val="es-ES_tradnl"/>
              </w:rPr>
              <w:t>Ciudades y alrededores de Dubái, Sharjah, Ajman y Umm Al Quwein</w:t>
            </w:r>
          </w:p>
        </w:tc>
        <w:tc>
          <w:tcPr>
            <w:tcW w:w="2273" w:type="dxa"/>
          </w:tcPr>
          <w:p w14:paraId="0E54AD42" w14:textId="77777777" w:rsidR="00F73D5B" w:rsidRPr="008B7A21" w:rsidRDefault="00F73D5B" w:rsidP="00767A6A">
            <w:pPr>
              <w:pStyle w:val="Tabletext"/>
              <w:jc w:val="left"/>
              <w:rPr>
                <w:lang w:val="es-ES_tradnl"/>
              </w:rPr>
            </w:pPr>
            <w:r w:rsidRPr="008B7A21">
              <w:rPr>
                <w:lang w:val="es-ES_tradnl"/>
              </w:rPr>
              <w:t>55° 30' E – 25° 40' N</w:t>
            </w:r>
          </w:p>
          <w:p w14:paraId="6187740C" w14:textId="77777777" w:rsidR="00F73D5B" w:rsidRPr="008B7A21" w:rsidRDefault="00F73D5B" w:rsidP="00767A6A">
            <w:pPr>
              <w:pStyle w:val="Tabletext"/>
              <w:jc w:val="left"/>
              <w:rPr>
                <w:lang w:val="es-ES_tradnl"/>
              </w:rPr>
            </w:pPr>
            <w:r w:rsidRPr="008B7A21">
              <w:rPr>
                <w:lang w:val="es-ES_tradnl"/>
              </w:rPr>
              <w:t>55° 55' E – 25° 20' N</w:t>
            </w:r>
          </w:p>
          <w:p w14:paraId="247BDD9B" w14:textId="77777777" w:rsidR="00F73D5B" w:rsidRPr="008B7A21" w:rsidRDefault="00F73D5B" w:rsidP="00767A6A">
            <w:pPr>
              <w:pStyle w:val="Tabletext"/>
              <w:jc w:val="left"/>
              <w:rPr>
                <w:lang w:val="es-ES_tradnl"/>
              </w:rPr>
            </w:pPr>
            <w:r w:rsidRPr="008B7A21">
              <w:rPr>
                <w:lang w:val="es-ES_tradnl"/>
              </w:rPr>
              <w:t>55° 15' E – 24° 40' N</w:t>
            </w:r>
          </w:p>
          <w:p w14:paraId="3EF156B4" w14:textId="77777777" w:rsidR="00F73D5B" w:rsidRPr="008B7A21" w:rsidRDefault="00F73D5B" w:rsidP="00767A6A">
            <w:pPr>
              <w:pStyle w:val="Tabletext"/>
              <w:jc w:val="left"/>
              <w:rPr>
                <w:lang w:val="es-ES_tradnl"/>
              </w:rPr>
            </w:pPr>
            <w:r w:rsidRPr="008B7A21">
              <w:rPr>
                <w:lang w:val="es-ES_tradnl"/>
              </w:rPr>
              <w:t>54° 30' E – 24° 45' N</w:t>
            </w:r>
          </w:p>
        </w:tc>
      </w:tr>
    </w:tbl>
    <w:p w14:paraId="26AEABEF" w14:textId="37608AB7" w:rsidR="009207AE" w:rsidRDefault="009207AE" w:rsidP="009207AE">
      <w:pPr>
        <w:pStyle w:val="TableNo"/>
        <w:rPr>
          <w:lang w:val="es-ES_tradnl"/>
        </w:rPr>
      </w:pPr>
      <w:r w:rsidRPr="008B7A21">
        <w:rPr>
          <w:lang w:val="es-ES_tradnl"/>
        </w:rPr>
        <w:lastRenderedPageBreak/>
        <w:t>CUADRO 3</w:t>
      </w:r>
      <w:r>
        <w:rPr>
          <w:lang w:val="es-ES_tradnl"/>
        </w:rPr>
        <w:t xml:space="preserve"> (</w:t>
      </w:r>
      <w:r w:rsidRPr="009207AE">
        <w:rPr>
          <w:i/>
          <w:iCs/>
          <w:lang w:val="es-ES_tradnl"/>
        </w:rPr>
        <w:t>fin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5244"/>
        <w:gridCol w:w="2273"/>
      </w:tblGrid>
      <w:tr w:rsidR="009207AE" w:rsidRPr="008B7A21" w14:paraId="0A627AC6" w14:textId="77777777" w:rsidTr="00AA0D97">
        <w:trPr>
          <w:trHeight w:val="680"/>
          <w:jc w:val="center"/>
        </w:trPr>
        <w:tc>
          <w:tcPr>
            <w:tcW w:w="2122" w:type="dxa"/>
            <w:vAlign w:val="center"/>
          </w:tcPr>
          <w:p w14:paraId="173AC6E3" w14:textId="77777777" w:rsidR="009207AE" w:rsidRPr="008B7A21" w:rsidRDefault="009207AE" w:rsidP="00AA0D97">
            <w:pPr>
              <w:pStyle w:val="Tablehead"/>
              <w:rPr>
                <w:lang w:val="es-ES_tradnl"/>
              </w:rPr>
            </w:pPr>
            <w:r w:rsidRPr="008B7A21">
              <w:rPr>
                <w:lang w:val="es-ES_tradnl"/>
              </w:rPr>
              <w:t>Factor de zona de servicio (SZ)</w:t>
            </w:r>
          </w:p>
        </w:tc>
        <w:tc>
          <w:tcPr>
            <w:tcW w:w="5244" w:type="dxa"/>
            <w:vAlign w:val="center"/>
          </w:tcPr>
          <w:p w14:paraId="44ECAAF6" w14:textId="77777777" w:rsidR="009207AE" w:rsidRPr="008B7A21" w:rsidRDefault="009207AE" w:rsidP="00AA0D97">
            <w:pPr>
              <w:pStyle w:val="Tablehead"/>
              <w:rPr>
                <w:lang w:val="es-ES_tradnl"/>
              </w:rPr>
            </w:pPr>
            <w:r w:rsidRPr="008B7A21">
              <w:rPr>
                <w:lang w:val="es-ES_tradnl"/>
              </w:rPr>
              <w:t>Zona de servicio</w:t>
            </w:r>
          </w:p>
        </w:tc>
        <w:tc>
          <w:tcPr>
            <w:tcW w:w="2273" w:type="dxa"/>
            <w:vAlign w:val="center"/>
          </w:tcPr>
          <w:p w14:paraId="4667778F" w14:textId="77777777" w:rsidR="009207AE" w:rsidRPr="008B7A21" w:rsidRDefault="009207AE" w:rsidP="00AA0D97">
            <w:pPr>
              <w:pStyle w:val="Tablehead"/>
              <w:rPr>
                <w:lang w:val="es-ES_tradnl"/>
              </w:rPr>
            </w:pPr>
            <w:r w:rsidRPr="008B7A21">
              <w:rPr>
                <w:lang w:val="es-ES_tradnl"/>
              </w:rPr>
              <w:t>Vértices del polígono</w:t>
            </w:r>
          </w:p>
        </w:tc>
      </w:tr>
      <w:tr w:rsidR="00F73D5B" w:rsidRPr="008B7A21" w14:paraId="42965E98" w14:textId="77777777" w:rsidTr="009207AE">
        <w:trPr>
          <w:trHeight w:val="1057"/>
          <w:jc w:val="center"/>
        </w:trPr>
        <w:tc>
          <w:tcPr>
            <w:tcW w:w="2122" w:type="dxa"/>
            <w:vMerge w:val="restart"/>
          </w:tcPr>
          <w:p w14:paraId="776F36B5" w14:textId="77777777" w:rsidR="00F73D5B" w:rsidRPr="008B7A21" w:rsidRDefault="00F73D5B" w:rsidP="00767A6A">
            <w:pPr>
              <w:pStyle w:val="Tabletext"/>
              <w:keepNext/>
              <w:keepLines/>
              <w:jc w:val="left"/>
              <w:rPr>
                <w:lang w:val="es-ES_tradnl"/>
              </w:rPr>
            </w:pPr>
            <w:r w:rsidRPr="008B7A21">
              <w:rPr>
                <w:lang w:val="es-ES_tradnl"/>
              </w:rPr>
              <w:t>0,75 (medio)</w:t>
            </w:r>
          </w:p>
        </w:tc>
        <w:tc>
          <w:tcPr>
            <w:tcW w:w="5244" w:type="dxa"/>
          </w:tcPr>
          <w:p w14:paraId="0092AF6D" w14:textId="77777777" w:rsidR="00F73D5B" w:rsidRPr="008B7A21" w:rsidRDefault="00F73D5B" w:rsidP="00767A6A">
            <w:pPr>
              <w:pStyle w:val="Tabletext"/>
              <w:keepNext/>
              <w:keepLines/>
              <w:jc w:val="left"/>
              <w:rPr>
                <w:lang w:val="es-ES_tradnl"/>
              </w:rPr>
            </w:pPr>
            <w:r w:rsidRPr="008B7A21">
              <w:rPr>
                <w:lang w:val="es-ES_tradnl"/>
              </w:rPr>
              <w:t>Zona entre Abu Dhabi y Al Ain</w:t>
            </w:r>
          </w:p>
        </w:tc>
        <w:tc>
          <w:tcPr>
            <w:tcW w:w="2273" w:type="dxa"/>
          </w:tcPr>
          <w:p w14:paraId="16608AD8" w14:textId="77777777" w:rsidR="00F73D5B" w:rsidRPr="008B7A21" w:rsidRDefault="00F73D5B" w:rsidP="00767A6A">
            <w:pPr>
              <w:pStyle w:val="Tabletext"/>
              <w:keepNext/>
              <w:keepLines/>
              <w:jc w:val="left"/>
              <w:rPr>
                <w:lang w:val="es-ES_tradnl"/>
              </w:rPr>
            </w:pPr>
            <w:r w:rsidRPr="008B7A21">
              <w:rPr>
                <w:lang w:val="es-ES_tradnl"/>
              </w:rPr>
              <w:t>55° 00' E – 24° 20' N</w:t>
            </w:r>
          </w:p>
          <w:p w14:paraId="10BB3453" w14:textId="77777777" w:rsidR="00F73D5B" w:rsidRPr="008B7A21" w:rsidRDefault="00F73D5B" w:rsidP="00767A6A">
            <w:pPr>
              <w:pStyle w:val="Tabletext"/>
              <w:keepNext/>
              <w:keepLines/>
              <w:jc w:val="left"/>
              <w:rPr>
                <w:lang w:val="es-ES_tradnl"/>
              </w:rPr>
            </w:pPr>
            <w:r w:rsidRPr="008B7A21">
              <w:rPr>
                <w:lang w:val="es-ES_tradnl"/>
              </w:rPr>
              <w:t>55° 30' E – 24° 20' N</w:t>
            </w:r>
          </w:p>
          <w:p w14:paraId="78D30770" w14:textId="77777777" w:rsidR="00F73D5B" w:rsidRPr="008B7A21" w:rsidRDefault="00F73D5B" w:rsidP="00767A6A">
            <w:pPr>
              <w:pStyle w:val="Tabletext"/>
              <w:keepNext/>
              <w:keepLines/>
              <w:jc w:val="left"/>
              <w:rPr>
                <w:lang w:val="es-ES_tradnl"/>
              </w:rPr>
            </w:pPr>
            <w:r w:rsidRPr="008B7A21">
              <w:rPr>
                <w:lang w:val="es-ES_tradnl"/>
              </w:rPr>
              <w:t>55° 30' E – 24° 00' N</w:t>
            </w:r>
          </w:p>
          <w:p w14:paraId="52D14D7C" w14:textId="77777777" w:rsidR="00F73D5B" w:rsidRPr="008B7A21" w:rsidRDefault="00F73D5B" w:rsidP="00767A6A">
            <w:pPr>
              <w:pStyle w:val="Tabletext"/>
              <w:keepNext/>
              <w:keepLines/>
              <w:jc w:val="left"/>
              <w:rPr>
                <w:lang w:val="es-ES_tradnl"/>
              </w:rPr>
            </w:pPr>
            <w:r w:rsidRPr="008B7A21">
              <w:rPr>
                <w:lang w:val="es-ES_tradnl"/>
              </w:rPr>
              <w:t>55° 00' E – 24° 05' N</w:t>
            </w:r>
          </w:p>
        </w:tc>
      </w:tr>
      <w:tr w:rsidR="00F73D5B" w:rsidRPr="008B7A21" w14:paraId="2B3E0911" w14:textId="77777777" w:rsidTr="009207AE">
        <w:trPr>
          <w:trHeight w:val="1057"/>
          <w:jc w:val="center"/>
        </w:trPr>
        <w:tc>
          <w:tcPr>
            <w:tcW w:w="2122" w:type="dxa"/>
            <w:vMerge/>
          </w:tcPr>
          <w:p w14:paraId="1DB7D12D" w14:textId="77777777" w:rsidR="00F73D5B" w:rsidRPr="008B7A21" w:rsidRDefault="00F73D5B" w:rsidP="00767A6A">
            <w:pPr>
              <w:pStyle w:val="Tabletext"/>
              <w:rPr>
                <w:lang w:val="es-ES_tradnl"/>
              </w:rPr>
            </w:pPr>
          </w:p>
        </w:tc>
        <w:tc>
          <w:tcPr>
            <w:tcW w:w="5244" w:type="dxa"/>
          </w:tcPr>
          <w:p w14:paraId="2FE06AAA" w14:textId="77777777" w:rsidR="00F73D5B" w:rsidRPr="008B7A21" w:rsidRDefault="00F73D5B" w:rsidP="00767A6A">
            <w:pPr>
              <w:pStyle w:val="Tabletext"/>
              <w:jc w:val="left"/>
              <w:rPr>
                <w:lang w:val="es-ES_tradnl"/>
              </w:rPr>
            </w:pPr>
            <w:r w:rsidRPr="008B7A21">
              <w:rPr>
                <w:lang w:val="es-ES_tradnl"/>
              </w:rPr>
              <w:t>Ciudades y alrededores de</w:t>
            </w:r>
            <w:r w:rsidRPr="008B7A21">
              <w:rPr>
                <w:lang w:val="es-ES_tradnl" w:eastAsia="de-DE"/>
              </w:rPr>
              <w:t xml:space="preserve"> Al Ain</w:t>
            </w:r>
          </w:p>
        </w:tc>
        <w:tc>
          <w:tcPr>
            <w:tcW w:w="2273" w:type="dxa"/>
          </w:tcPr>
          <w:p w14:paraId="4F68C1E4" w14:textId="77777777" w:rsidR="00F73D5B" w:rsidRPr="008B7A21" w:rsidRDefault="00F73D5B" w:rsidP="00767A6A">
            <w:pPr>
              <w:pStyle w:val="Tabletext"/>
              <w:jc w:val="left"/>
              <w:rPr>
                <w:lang w:val="es-ES_tradnl"/>
              </w:rPr>
            </w:pPr>
            <w:r w:rsidRPr="008B7A21">
              <w:rPr>
                <w:lang w:val="es-ES_tradnl"/>
              </w:rPr>
              <w:t>55° 30' E – 24° 20' N</w:t>
            </w:r>
          </w:p>
          <w:p w14:paraId="00E32245" w14:textId="77777777" w:rsidR="00F73D5B" w:rsidRPr="008B7A21" w:rsidRDefault="00F73D5B" w:rsidP="00767A6A">
            <w:pPr>
              <w:pStyle w:val="Tabletext"/>
              <w:jc w:val="left"/>
              <w:rPr>
                <w:lang w:val="es-ES_tradnl"/>
              </w:rPr>
            </w:pPr>
            <w:r w:rsidRPr="008B7A21">
              <w:rPr>
                <w:lang w:val="es-ES_tradnl"/>
              </w:rPr>
              <w:t>55° 50' E – 24° 20' N</w:t>
            </w:r>
          </w:p>
          <w:p w14:paraId="24A66DC3" w14:textId="77777777" w:rsidR="00F73D5B" w:rsidRPr="008B7A21" w:rsidRDefault="00F73D5B" w:rsidP="00767A6A">
            <w:pPr>
              <w:pStyle w:val="Tabletext"/>
              <w:jc w:val="left"/>
              <w:rPr>
                <w:lang w:val="es-ES_tradnl"/>
              </w:rPr>
            </w:pPr>
            <w:r w:rsidRPr="008B7A21">
              <w:rPr>
                <w:lang w:val="es-ES_tradnl"/>
              </w:rPr>
              <w:t>55° 50' E – 24° 00' N</w:t>
            </w:r>
          </w:p>
          <w:p w14:paraId="1FCD8A44" w14:textId="77777777" w:rsidR="00F73D5B" w:rsidRPr="008B7A21" w:rsidRDefault="00F73D5B" w:rsidP="00767A6A">
            <w:pPr>
              <w:pStyle w:val="Tabletext"/>
              <w:jc w:val="left"/>
              <w:rPr>
                <w:lang w:val="es-ES_tradnl"/>
              </w:rPr>
            </w:pPr>
            <w:r w:rsidRPr="008B7A21">
              <w:rPr>
                <w:lang w:val="es-ES_tradnl"/>
              </w:rPr>
              <w:t>55° 30' E – 24° 00' N</w:t>
            </w:r>
          </w:p>
        </w:tc>
      </w:tr>
      <w:tr w:rsidR="00F73D5B" w:rsidRPr="008B7A21" w14:paraId="08CA62AF" w14:textId="77777777" w:rsidTr="009207AE">
        <w:trPr>
          <w:trHeight w:val="1237"/>
          <w:jc w:val="center"/>
        </w:trPr>
        <w:tc>
          <w:tcPr>
            <w:tcW w:w="2122" w:type="dxa"/>
            <w:vMerge/>
          </w:tcPr>
          <w:p w14:paraId="05EE8F68" w14:textId="77777777" w:rsidR="00F73D5B" w:rsidRPr="008B7A21" w:rsidRDefault="00F73D5B" w:rsidP="00767A6A">
            <w:pPr>
              <w:pStyle w:val="Tabletext"/>
              <w:rPr>
                <w:lang w:val="es-ES_tradnl"/>
              </w:rPr>
            </w:pPr>
          </w:p>
        </w:tc>
        <w:tc>
          <w:tcPr>
            <w:tcW w:w="5244" w:type="dxa"/>
          </w:tcPr>
          <w:p w14:paraId="2C0049C8" w14:textId="77777777" w:rsidR="00F73D5B" w:rsidRPr="008B7A21" w:rsidRDefault="00F73D5B" w:rsidP="00767A6A">
            <w:pPr>
              <w:pStyle w:val="Tabletext"/>
              <w:jc w:val="left"/>
              <w:rPr>
                <w:lang w:val="es-ES_tradnl" w:eastAsia="de-DE"/>
              </w:rPr>
            </w:pPr>
            <w:r w:rsidRPr="008B7A21">
              <w:rPr>
                <w:lang w:val="es-ES_tradnl"/>
              </w:rPr>
              <w:t>Ciudades y alrededores de</w:t>
            </w:r>
            <w:r w:rsidRPr="008B7A21">
              <w:rPr>
                <w:lang w:val="es-ES_tradnl" w:eastAsia="de-DE"/>
              </w:rPr>
              <w:t xml:space="preserve"> Fujairah</w:t>
            </w:r>
          </w:p>
        </w:tc>
        <w:tc>
          <w:tcPr>
            <w:tcW w:w="2273" w:type="dxa"/>
            <w:vAlign w:val="center"/>
          </w:tcPr>
          <w:p w14:paraId="221B5A4F" w14:textId="77777777" w:rsidR="00F73D5B" w:rsidRPr="008B7A21" w:rsidRDefault="00F73D5B" w:rsidP="00767A6A">
            <w:pPr>
              <w:pStyle w:val="Tabletext"/>
              <w:jc w:val="left"/>
              <w:rPr>
                <w:lang w:val="es-ES_tradnl"/>
              </w:rPr>
            </w:pPr>
            <w:r w:rsidRPr="008B7A21">
              <w:rPr>
                <w:lang w:val="es-ES_tradnl"/>
              </w:rPr>
              <w:t>56° 15' E – 25° 15' N</w:t>
            </w:r>
          </w:p>
          <w:p w14:paraId="0E643FF6" w14:textId="77777777" w:rsidR="00F73D5B" w:rsidRPr="008B7A21" w:rsidRDefault="00F73D5B" w:rsidP="00767A6A">
            <w:pPr>
              <w:pStyle w:val="Tabletext"/>
              <w:jc w:val="left"/>
              <w:rPr>
                <w:lang w:val="es-ES_tradnl"/>
              </w:rPr>
            </w:pPr>
            <w:r w:rsidRPr="008B7A21">
              <w:rPr>
                <w:lang w:val="es-ES_tradnl"/>
              </w:rPr>
              <w:t>56° 25' E – 25° 15' N</w:t>
            </w:r>
          </w:p>
          <w:p w14:paraId="36F6857D" w14:textId="77777777" w:rsidR="00F73D5B" w:rsidRPr="008B7A21" w:rsidRDefault="00F73D5B" w:rsidP="00767A6A">
            <w:pPr>
              <w:pStyle w:val="Tabletext"/>
              <w:jc w:val="left"/>
              <w:rPr>
                <w:lang w:val="es-ES_tradnl"/>
              </w:rPr>
            </w:pPr>
            <w:r w:rsidRPr="008B7A21">
              <w:rPr>
                <w:lang w:val="es-ES_tradnl"/>
              </w:rPr>
              <w:t>56° 25' E – 25° 00' N</w:t>
            </w:r>
          </w:p>
          <w:p w14:paraId="2A6BE8B0" w14:textId="77777777" w:rsidR="00F73D5B" w:rsidRPr="008B7A21" w:rsidRDefault="00F73D5B" w:rsidP="00767A6A">
            <w:pPr>
              <w:pStyle w:val="Tabletext"/>
              <w:jc w:val="left"/>
              <w:rPr>
                <w:lang w:val="es-ES_tradnl"/>
              </w:rPr>
            </w:pPr>
            <w:r w:rsidRPr="008B7A21">
              <w:rPr>
                <w:lang w:val="es-ES_tradnl"/>
              </w:rPr>
              <w:t>56° 15' E – 25° 00' N</w:t>
            </w:r>
          </w:p>
        </w:tc>
      </w:tr>
      <w:tr w:rsidR="00F73D5B" w:rsidRPr="008B7A21" w14:paraId="24AFE8A5" w14:textId="77777777" w:rsidTr="009207AE">
        <w:trPr>
          <w:trHeight w:val="1250"/>
          <w:jc w:val="center"/>
        </w:trPr>
        <w:tc>
          <w:tcPr>
            <w:tcW w:w="2122" w:type="dxa"/>
            <w:vMerge/>
          </w:tcPr>
          <w:p w14:paraId="573896A2" w14:textId="77777777" w:rsidR="00F73D5B" w:rsidRPr="008B7A21" w:rsidRDefault="00F73D5B" w:rsidP="00767A6A">
            <w:pPr>
              <w:pStyle w:val="Tabletext"/>
              <w:rPr>
                <w:lang w:val="es-ES_tradnl"/>
              </w:rPr>
            </w:pPr>
          </w:p>
        </w:tc>
        <w:tc>
          <w:tcPr>
            <w:tcW w:w="5244" w:type="dxa"/>
          </w:tcPr>
          <w:p w14:paraId="30F7B47F" w14:textId="77777777" w:rsidR="00F73D5B" w:rsidRPr="008B7A21" w:rsidRDefault="00F73D5B" w:rsidP="00767A6A">
            <w:pPr>
              <w:pStyle w:val="Tabletext"/>
              <w:jc w:val="left"/>
              <w:rPr>
                <w:lang w:val="es-ES_tradnl" w:eastAsia="de-DE"/>
              </w:rPr>
            </w:pPr>
            <w:r w:rsidRPr="008B7A21">
              <w:rPr>
                <w:lang w:val="es-ES_tradnl"/>
              </w:rPr>
              <w:t>Ciudades y alrededores de</w:t>
            </w:r>
            <w:r w:rsidRPr="008B7A21">
              <w:rPr>
                <w:lang w:val="es-ES_tradnl" w:eastAsia="de-DE"/>
              </w:rPr>
              <w:t xml:space="preserve"> Ras Al Khaimah</w:t>
            </w:r>
          </w:p>
        </w:tc>
        <w:tc>
          <w:tcPr>
            <w:tcW w:w="2273" w:type="dxa"/>
            <w:vAlign w:val="center"/>
          </w:tcPr>
          <w:p w14:paraId="29D43857" w14:textId="77777777" w:rsidR="00F73D5B" w:rsidRPr="008B7A21" w:rsidRDefault="00F73D5B" w:rsidP="00767A6A">
            <w:pPr>
              <w:pStyle w:val="Tabletext"/>
              <w:jc w:val="left"/>
              <w:rPr>
                <w:lang w:val="es-ES_tradnl" w:eastAsia="de-DE"/>
              </w:rPr>
            </w:pPr>
            <w:r w:rsidRPr="008B7A21">
              <w:rPr>
                <w:lang w:val="es-ES_tradnl" w:eastAsia="de-DE"/>
              </w:rPr>
              <w:t>55° 50' E – 25° 55' N</w:t>
            </w:r>
          </w:p>
          <w:p w14:paraId="4D823107" w14:textId="77777777" w:rsidR="00F73D5B" w:rsidRPr="008B7A21" w:rsidRDefault="00F73D5B" w:rsidP="00767A6A">
            <w:pPr>
              <w:pStyle w:val="Tabletext"/>
              <w:jc w:val="left"/>
              <w:rPr>
                <w:lang w:val="es-ES_tradnl" w:eastAsia="de-DE"/>
              </w:rPr>
            </w:pPr>
            <w:r w:rsidRPr="008B7A21">
              <w:rPr>
                <w:lang w:val="es-ES_tradnl" w:eastAsia="de-DE"/>
              </w:rPr>
              <w:t>56° 05' E – 25° 55' N</w:t>
            </w:r>
          </w:p>
          <w:p w14:paraId="169FC811" w14:textId="77777777" w:rsidR="00F73D5B" w:rsidRPr="008B7A21" w:rsidRDefault="00F73D5B" w:rsidP="00767A6A">
            <w:pPr>
              <w:pStyle w:val="Tabletext"/>
              <w:jc w:val="left"/>
              <w:rPr>
                <w:lang w:val="es-ES_tradnl" w:eastAsia="de-DE"/>
              </w:rPr>
            </w:pPr>
            <w:r w:rsidRPr="008B7A21">
              <w:rPr>
                <w:lang w:val="es-ES_tradnl" w:eastAsia="de-DE"/>
              </w:rPr>
              <w:t>56° 05' E – 25° 40' N</w:t>
            </w:r>
          </w:p>
          <w:p w14:paraId="0ACAE495" w14:textId="77777777" w:rsidR="00F73D5B" w:rsidRPr="008B7A21" w:rsidRDefault="00F73D5B" w:rsidP="00767A6A">
            <w:pPr>
              <w:pStyle w:val="Tabletext"/>
              <w:jc w:val="left"/>
              <w:rPr>
                <w:lang w:val="es-ES_tradnl" w:eastAsia="de-DE"/>
              </w:rPr>
            </w:pPr>
            <w:r w:rsidRPr="008B7A21">
              <w:rPr>
                <w:lang w:val="es-ES_tradnl" w:eastAsia="de-DE"/>
              </w:rPr>
              <w:t>55° 50' E – 25° 40' N</w:t>
            </w:r>
          </w:p>
        </w:tc>
      </w:tr>
      <w:tr w:rsidR="00F73D5B" w:rsidRPr="008B7A21" w14:paraId="6711E520" w14:textId="77777777" w:rsidTr="009207AE">
        <w:trPr>
          <w:trHeight w:val="958"/>
          <w:jc w:val="center"/>
        </w:trPr>
        <w:tc>
          <w:tcPr>
            <w:tcW w:w="2122" w:type="dxa"/>
            <w:vMerge/>
          </w:tcPr>
          <w:p w14:paraId="0B7CC47B" w14:textId="77777777" w:rsidR="00F73D5B" w:rsidRPr="008B7A21" w:rsidRDefault="00F73D5B" w:rsidP="00767A6A">
            <w:pPr>
              <w:pStyle w:val="Tabletext"/>
              <w:rPr>
                <w:lang w:val="es-ES_tradnl"/>
              </w:rPr>
            </w:pPr>
          </w:p>
        </w:tc>
        <w:tc>
          <w:tcPr>
            <w:tcW w:w="5244" w:type="dxa"/>
          </w:tcPr>
          <w:p w14:paraId="4C8A618C" w14:textId="77777777" w:rsidR="00F73D5B" w:rsidRPr="008B7A21" w:rsidRDefault="00F73D5B" w:rsidP="00767A6A">
            <w:pPr>
              <w:pStyle w:val="Tabletext"/>
              <w:jc w:val="left"/>
              <w:rPr>
                <w:lang w:val="es-ES_tradnl" w:eastAsia="de-DE"/>
              </w:rPr>
            </w:pPr>
            <w:r w:rsidRPr="008B7A21">
              <w:rPr>
                <w:lang w:val="es-ES_tradnl" w:eastAsia="de-DE"/>
              </w:rPr>
              <w:t xml:space="preserve">Zona entre </w:t>
            </w:r>
            <w:r w:rsidRPr="008B7A21">
              <w:rPr>
                <w:lang w:val="es-ES_tradnl"/>
              </w:rPr>
              <w:t xml:space="preserve">Umm Al Quwein y </w:t>
            </w:r>
            <w:r w:rsidRPr="008B7A21">
              <w:rPr>
                <w:lang w:val="es-ES_tradnl" w:eastAsia="de-DE"/>
              </w:rPr>
              <w:t>Ras Al Khaimah</w:t>
            </w:r>
          </w:p>
        </w:tc>
        <w:tc>
          <w:tcPr>
            <w:tcW w:w="2273" w:type="dxa"/>
          </w:tcPr>
          <w:p w14:paraId="73CD20E8" w14:textId="77777777" w:rsidR="00F73D5B" w:rsidRPr="008B7A21" w:rsidRDefault="00F73D5B" w:rsidP="00767A6A">
            <w:pPr>
              <w:pStyle w:val="Tabletext"/>
              <w:jc w:val="left"/>
              <w:rPr>
                <w:lang w:val="es-ES_tradnl"/>
              </w:rPr>
            </w:pPr>
            <w:r w:rsidRPr="008B7A21">
              <w:rPr>
                <w:lang w:val="es-ES_tradnl"/>
              </w:rPr>
              <w:t>55° 30' E – 25° 40' N</w:t>
            </w:r>
          </w:p>
          <w:p w14:paraId="1F745773" w14:textId="77777777" w:rsidR="00F73D5B" w:rsidRPr="008B7A21" w:rsidRDefault="00F73D5B" w:rsidP="00767A6A">
            <w:pPr>
              <w:pStyle w:val="Tabletext"/>
              <w:jc w:val="left"/>
              <w:rPr>
                <w:lang w:val="es-ES_tradnl"/>
              </w:rPr>
            </w:pPr>
            <w:r w:rsidRPr="008B7A21">
              <w:rPr>
                <w:lang w:val="es-ES_tradnl"/>
              </w:rPr>
              <w:t>56° 05' E – 25° 40' N</w:t>
            </w:r>
          </w:p>
          <w:p w14:paraId="4D4B914C" w14:textId="77777777" w:rsidR="00F73D5B" w:rsidRPr="008B7A21" w:rsidRDefault="00F73D5B" w:rsidP="00767A6A">
            <w:pPr>
              <w:pStyle w:val="Tabletext"/>
              <w:jc w:val="left"/>
              <w:rPr>
                <w:lang w:val="es-ES_tradnl"/>
              </w:rPr>
            </w:pPr>
            <w:r w:rsidRPr="008B7A21">
              <w:rPr>
                <w:lang w:val="es-ES_tradnl"/>
              </w:rPr>
              <w:t>55° 55' E – 25° 20' N</w:t>
            </w:r>
          </w:p>
        </w:tc>
      </w:tr>
      <w:tr w:rsidR="00F73D5B" w:rsidRPr="008B7A21" w14:paraId="0F4F6974" w14:textId="77777777" w:rsidTr="009207AE">
        <w:trPr>
          <w:trHeight w:val="350"/>
          <w:jc w:val="center"/>
        </w:trPr>
        <w:tc>
          <w:tcPr>
            <w:tcW w:w="2122" w:type="dxa"/>
            <w:vAlign w:val="center"/>
          </w:tcPr>
          <w:p w14:paraId="348FF8A2" w14:textId="77777777" w:rsidR="00F73D5B" w:rsidRPr="008B7A21" w:rsidRDefault="00F73D5B" w:rsidP="00767A6A">
            <w:pPr>
              <w:pStyle w:val="Tabletext"/>
              <w:jc w:val="left"/>
              <w:rPr>
                <w:lang w:val="es-ES_tradnl" w:eastAsia="de-DE"/>
              </w:rPr>
            </w:pPr>
            <w:r w:rsidRPr="008B7A21">
              <w:rPr>
                <w:lang w:val="es-ES_tradnl" w:eastAsia="de-DE"/>
              </w:rPr>
              <w:t>0,50 (bajo)</w:t>
            </w:r>
          </w:p>
        </w:tc>
        <w:tc>
          <w:tcPr>
            <w:tcW w:w="7517" w:type="dxa"/>
            <w:gridSpan w:val="2"/>
            <w:vAlign w:val="center"/>
          </w:tcPr>
          <w:p w14:paraId="124229EF" w14:textId="77777777" w:rsidR="00F73D5B" w:rsidRPr="008B7A21" w:rsidRDefault="00F73D5B" w:rsidP="00767A6A">
            <w:pPr>
              <w:pStyle w:val="Tabletext"/>
              <w:jc w:val="left"/>
              <w:rPr>
                <w:lang w:val="es-ES_tradnl" w:eastAsia="de-DE"/>
              </w:rPr>
            </w:pPr>
            <w:r w:rsidRPr="008B7A21">
              <w:rPr>
                <w:lang w:val="es-ES_tradnl" w:eastAsia="de-DE"/>
              </w:rPr>
              <w:t>Todas las zonas restantes</w:t>
            </w:r>
          </w:p>
        </w:tc>
      </w:tr>
      <w:tr w:rsidR="00F73D5B" w:rsidRPr="008B7A21" w14:paraId="1A0E1296" w14:textId="77777777" w:rsidTr="009207AE">
        <w:trPr>
          <w:trHeight w:val="350"/>
          <w:jc w:val="center"/>
        </w:trPr>
        <w:tc>
          <w:tcPr>
            <w:tcW w:w="9639" w:type="dxa"/>
            <w:gridSpan w:val="3"/>
            <w:tcBorders>
              <w:left w:val="nil"/>
              <w:bottom w:val="nil"/>
              <w:right w:val="nil"/>
            </w:tcBorders>
            <w:vAlign w:val="center"/>
          </w:tcPr>
          <w:p w14:paraId="748D4062" w14:textId="77777777" w:rsidR="00F73D5B" w:rsidRPr="008B7A21" w:rsidRDefault="00F73D5B" w:rsidP="00767A6A">
            <w:pPr>
              <w:pStyle w:val="TableLegendNote"/>
              <w:rPr>
                <w:lang w:val="es-ES_tradnl"/>
              </w:rPr>
            </w:pPr>
            <w:r w:rsidRPr="008B7A21">
              <w:rPr>
                <w:lang w:val="es-ES_tradnl"/>
              </w:rPr>
              <w:t>NOTA 1 – Cualquier transmisión desde una cierta ubicación que tenga un factor de zona de servicio medio o bajo (en parte o en su totalidad) en el interior de una zona de servicio con un factor mayor, aumentará el factor de esa estación en particular a un nivel superior que podría aumentar dos pasos según lo decida la TRA. La TRA es la única con potestad para determinar la zona de servicio para una solicitud.</w:t>
            </w:r>
          </w:p>
          <w:p w14:paraId="69EBE71C" w14:textId="77777777" w:rsidR="00F73D5B" w:rsidRPr="008B7A21" w:rsidRDefault="00F73D5B" w:rsidP="00767A6A">
            <w:pPr>
              <w:pStyle w:val="TableLegendNote"/>
              <w:rPr>
                <w:lang w:val="es-ES_tradnl" w:eastAsia="de-DE"/>
              </w:rPr>
            </w:pPr>
            <w:r w:rsidRPr="008B7A21">
              <w:rPr>
                <w:lang w:val="es-ES_tradnl"/>
              </w:rPr>
              <w:t xml:space="preserve">NOTA 2 – Para los servicios de radiodifusión en ondas decamétricas y en bandas de frecuencias inferiores, el factor de zona de servicio </w:t>
            </w:r>
            <w:r w:rsidRPr="008B7A21">
              <w:rPr>
                <w:b/>
                <w:bCs/>
                <w:lang w:val="es-ES_tradnl"/>
              </w:rPr>
              <w:t>SZ</w:t>
            </w:r>
            <w:r w:rsidRPr="008B7A21">
              <w:rPr>
                <w:lang w:val="es-ES_tradnl"/>
              </w:rPr>
              <w:t xml:space="preserve"> = 1.</w:t>
            </w:r>
          </w:p>
        </w:tc>
      </w:tr>
    </w:tbl>
    <w:p w14:paraId="28EBD02C" w14:textId="77777777" w:rsidR="00F73D5B" w:rsidRPr="008B7A21" w:rsidRDefault="00F73D5B" w:rsidP="00F73D5B">
      <w:pPr>
        <w:pStyle w:val="Tablefin"/>
        <w:rPr>
          <w:lang w:val="es-ES_tradnl"/>
        </w:rPr>
      </w:pPr>
    </w:p>
    <w:p w14:paraId="3A99B147" w14:textId="77777777" w:rsidR="00F73D5B" w:rsidRPr="008B7A21" w:rsidRDefault="00F73D5B" w:rsidP="00F73D5B">
      <w:pPr>
        <w:pStyle w:val="enumlev1"/>
        <w:keepNext/>
        <w:keepLines/>
        <w:rPr>
          <w:lang w:val="es-ES_tradnl"/>
        </w:rPr>
      </w:pPr>
      <w:r w:rsidRPr="008B7A21">
        <w:rPr>
          <w:b/>
          <w:lang w:val="es-ES_tradnl"/>
        </w:rPr>
        <w:tab/>
        <w:t>H</w:t>
      </w:r>
      <w:r w:rsidRPr="008B7A21">
        <w:rPr>
          <w:lang w:val="es-ES_tradnl"/>
        </w:rPr>
        <w:t xml:space="preserve"> = </w:t>
      </w:r>
      <w:r w:rsidRPr="008B7A21">
        <w:rPr>
          <w:b/>
          <w:lang w:val="es-ES_tradnl"/>
        </w:rPr>
        <w:t>Factor de altura de antena</w:t>
      </w:r>
      <w:r w:rsidRPr="008B7A21">
        <w:rPr>
          <w:lang w:val="es-ES_tradnl"/>
        </w:rPr>
        <w:t xml:space="preserve"> es la altura de antena sobre el suelo en metros, incluidas las alturas de edificios, torres o colinas. </w:t>
      </w:r>
    </w:p>
    <w:p w14:paraId="3532C4F0" w14:textId="77777777" w:rsidR="00F73D5B" w:rsidRPr="008B7A21" w:rsidRDefault="00F73D5B" w:rsidP="00F73D5B">
      <w:pPr>
        <w:pStyle w:val="enumlev1"/>
        <w:keepNext/>
        <w:keepLines/>
        <w:rPr>
          <w:lang w:val="es-ES_tradnl"/>
        </w:rPr>
      </w:pPr>
      <w:r w:rsidRPr="008B7A21">
        <w:rPr>
          <w:b/>
          <w:lang w:val="es-ES_tradnl"/>
        </w:rPr>
        <w:tab/>
        <w:t>C</w:t>
      </w:r>
      <w:r w:rsidRPr="008B7A21">
        <w:rPr>
          <w:lang w:val="es-ES_tradnl"/>
        </w:rPr>
        <w:t xml:space="preserve"> = </w:t>
      </w:r>
      <w:r w:rsidRPr="008B7A21">
        <w:rPr>
          <w:b/>
          <w:lang w:val="es-ES_tradnl"/>
        </w:rPr>
        <w:t xml:space="preserve">Factor de corrección </w:t>
      </w:r>
      <w:r w:rsidRPr="008B7A21">
        <w:rPr>
          <w:lang w:val="es-ES_tradnl"/>
        </w:rPr>
        <w:t>siguiente:</w:t>
      </w:r>
    </w:p>
    <w:p w14:paraId="77BA0459" w14:textId="77777777" w:rsidR="00F73D5B" w:rsidRPr="008B7A21" w:rsidRDefault="00F73D5B" w:rsidP="00F73D5B">
      <w:pPr>
        <w:pStyle w:val="enumlev2"/>
        <w:rPr>
          <w:lang w:val="es-ES_tradnl"/>
        </w:rPr>
      </w:pPr>
      <w:r w:rsidRPr="008B7A21">
        <w:rPr>
          <w:lang w:val="es-ES_tradnl"/>
        </w:rPr>
        <w:t>a)</w:t>
      </w:r>
      <w:r w:rsidRPr="008B7A21">
        <w:rPr>
          <w:lang w:val="es-ES_tradnl"/>
        </w:rPr>
        <w:tab/>
        <w:t xml:space="preserve">Para estaciones de radiodifusión gubernamentales, que funcionan sin ánimo de lucro, se deberá aplicar el factor de corrección </w:t>
      </w:r>
      <w:r w:rsidRPr="008B7A21">
        <w:rPr>
          <w:b/>
          <w:lang w:val="es-ES_tradnl"/>
        </w:rPr>
        <w:t>C</w:t>
      </w:r>
      <w:r w:rsidRPr="008B7A21">
        <w:rPr>
          <w:lang w:val="es-ES_tradnl"/>
        </w:rPr>
        <w:t xml:space="preserve"> = 0,5.</w:t>
      </w:r>
    </w:p>
    <w:p w14:paraId="3645D061" w14:textId="77777777" w:rsidR="00F73D5B" w:rsidRPr="008B7A21" w:rsidRDefault="00F73D5B" w:rsidP="00F73D5B">
      <w:pPr>
        <w:pStyle w:val="enumlev2"/>
        <w:rPr>
          <w:lang w:val="es-ES_tradnl"/>
        </w:rPr>
      </w:pPr>
      <w:r w:rsidRPr="008B7A21">
        <w:rPr>
          <w:lang w:val="es-ES_tradnl"/>
        </w:rPr>
        <w:t>b)</w:t>
      </w:r>
      <w:r w:rsidRPr="008B7A21">
        <w:rPr>
          <w:lang w:val="es-ES_tradnl"/>
        </w:rPr>
        <w:tab/>
        <w:t xml:space="preserve">Para promover las estaciones digitales, los transmisores de radiodifusión sonora y de televisión terrenales digitales (salvo la radiodifusión de televisión móvil terrenal – en portátiles) gozarán de una reducción del 50% durante el periodo anterior al 30 de diciembre de 2015 (es decir, factor de corrección </w:t>
      </w:r>
      <w:r w:rsidRPr="008B7A21">
        <w:rPr>
          <w:b/>
          <w:lang w:val="es-ES_tradnl"/>
        </w:rPr>
        <w:t>C</w:t>
      </w:r>
      <w:r w:rsidRPr="008B7A21">
        <w:rPr>
          <w:lang w:val="es-ES_tradnl"/>
        </w:rPr>
        <w:t> = 0,5). Esta reducción se limita al periodo de tiempo especificado anteriormente y puede dar lugar a otras condiciones según lo determine la TRA.</w:t>
      </w:r>
    </w:p>
    <w:p w14:paraId="2F57F16E" w14:textId="77777777" w:rsidR="00F73D5B" w:rsidRPr="008B7A21" w:rsidRDefault="00F73D5B" w:rsidP="00F73D5B">
      <w:pPr>
        <w:pStyle w:val="enumlev2"/>
        <w:rPr>
          <w:lang w:val="es-ES_tradnl"/>
        </w:rPr>
      </w:pPr>
      <w:r w:rsidRPr="008B7A21">
        <w:rPr>
          <w:lang w:val="es-ES_tradnl"/>
        </w:rPr>
        <w:t>c)</w:t>
      </w:r>
      <w:r w:rsidRPr="008B7A21">
        <w:rPr>
          <w:lang w:val="es-ES_tradnl"/>
        </w:rPr>
        <w:tab/>
        <w:t xml:space="preserve">Para las restantes asignaciones, el factor de corrección </w:t>
      </w:r>
      <w:r w:rsidRPr="008B7A21">
        <w:rPr>
          <w:b/>
          <w:lang w:val="es-ES_tradnl"/>
        </w:rPr>
        <w:t>C</w:t>
      </w:r>
      <w:r w:rsidRPr="008B7A21">
        <w:rPr>
          <w:lang w:val="es-ES_tradnl"/>
        </w:rPr>
        <w:t xml:space="preserve"> = 1.</w:t>
      </w:r>
    </w:p>
    <w:p w14:paraId="5BD5DAC8" w14:textId="77777777" w:rsidR="00F73D5B" w:rsidRPr="008B7A21" w:rsidRDefault="00F73D5B" w:rsidP="009207AE">
      <w:pPr>
        <w:pStyle w:val="enumlev1"/>
        <w:keepNext/>
        <w:keepLines/>
        <w:rPr>
          <w:lang w:val="es-ES_tradnl"/>
        </w:rPr>
      </w:pPr>
      <w:r w:rsidRPr="008B7A21">
        <w:rPr>
          <w:lang w:val="es-ES_tradnl"/>
        </w:rPr>
        <w:lastRenderedPageBreak/>
        <w:t>25.2</w:t>
      </w:r>
      <w:r w:rsidRPr="008B7A21">
        <w:rPr>
          <w:lang w:val="es-ES_tradnl"/>
        </w:rPr>
        <w:tab/>
        <w:t>Radiodifusión sonora estacional en ondas decamétricas:</w:t>
      </w:r>
    </w:p>
    <w:p w14:paraId="363711FC" w14:textId="77777777" w:rsidR="00F73D5B" w:rsidRPr="008B7A21" w:rsidRDefault="00F73D5B" w:rsidP="009207AE">
      <w:pPr>
        <w:keepNext/>
        <w:keepLines/>
        <w:ind w:left="794" w:hanging="794"/>
        <w:rPr>
          <w:lang w:val="es-ES_tradnl"/>
        </w:rPr>
      </w:pPr>
      <w:r w:rsidRPr="008B7A21">
        <w:rPr>
          <w:lang w:val="es-ES_tradnl"/>
        </w:rPr>
        <w:tab/>
        <w:t>Para los servicios de radiodifusión sonora estacional en ondas decamétricas, el canon del espectro se cobrará por transmisor y para cada transmisor, el canon anual del espectro será:</w:t>
      </w:r>
    </w:p>
    <w:p w14:paraId="79B9B687" w14:textId="77777777" w:rsidR="00F73D5B" w:rsidRPr="008B7A21" w:rsidRDefault="00F73D5B" w:rsidP="009207AE">
      <w:pPr>
        <w:pStyle w:val="Equation"/>
        <w:keepNext/>
        <w:keepLines/>
        <w:rPr>
          <w:lang w:val="es-ES_tradnl"/>
        </w:rPr>
      </w:pPr>
      <w:r w:rsidRPr="008B7A21">
        <w:rPr>
          <w:lang w:val="es-ES_tradnl"/>
        </w:rPr>
        <w:tab/>
        <w:t>    Canon anual del espectro para cada transmisor en ondas decamétricas = 20 000 Dirhams</w:t>
      </w:r>
    </w:p>
    <w:p w14:paraId="649C4BE8" w14:textId="77777777" w:rsidR="00F73D5B" w:rsidRPr="008B7A21" w:rsidRDefault="00F73D5B" w:rsidP="00F73D5B">
      <w:pPr>
        <w:pStyle w:val="enumlev1"/>
        <w:rPr>
          <w:lang w:val="es-ES_tradnl"/>
        </w:rPr>
      </w:pPr>
      <w:r w:rsidRPr="008B7A21">
        <w:rPr>
          <w:lang w:val="es-ES_tradnl"/>
        </w:rPr>
        <w:t>25.3</w:t>
      </w:r>
      <w:r w:rsidRPr="008B7A21">
        <w:rPr>
          <w:lang w:val="es-ES_tradnl"/>
        </w:rPr>
        <w:tab/>
        <w:t>Radiodifusión sonora y de televisión por satélite:</w:t>
      </w:r>
    </w:p>
    <w:p w14:paraId="5B18EEA7" w14:textId="77777777" w:rsidR="00F73D5B" w:rsidRPr="008B7A21" w:rsidRDefault="00F73D5B" w:rsidP="00F73D5B">
      <w:pPr>
        <w:pStyle w:val="enumlev1"/>
        <w:rPr>
          <w:lang w:val="es-ES_tradnl"/>
        </w:rPr>
      </w:pPr>
      <w:r w:rsidRPr="008B7A21">
        <w:rPr>
          <w:lang w:val="es-ES_tradnl"/>
        </w:rPr>
        <w:tab/>
        <w:t>El enlace ascendente para DAB, DVB-S y DVB-SH deberá pagar 200 000 Dirhams por unidad multiplex y DVB-RCS 400 000 Dirhams por unidad multiplex.</w:t>
      </w:r>
    </w:p>
    <w:p w14:paraId="668861AB" w14:textId="77777777" w:rsidR="00F73D5B" w:rsidRPr="008B7A21" w:rsidRDefault="00F73D5B" w:rsidP="00F73D5B">
      <w:pPr>
        <w:pStyle w:val="Note"/>
        <w:tabs>
          <w:tab w:val="left" w:pos="794"/>
        </w:tabs>
        <w:ind w:left="794" w:hanging="794"/>
        <w:rPr>
          <w:lang w:val="es-ES_tradnl" w:eastAsia="ko-KR"/>
        </w:rPr>
      </w:pPr>
      <w:r w:rsidRPr="008B7A21">
        <w:rPr>
          <w:lang w:val="es-ES_tradnl"/>
        </w:rPr>
        <w:tab/>
        <w:t>NOTA 1 –</w:t>
      </w:r>
      <w:r w:rsidRPr="008B7A21">
        <w:rPr>
          <w:lang w:val="es-ES_tradnl" w:eastAsia="ko-KR"/>
        </w:rPr>
        <w:t> Una unidad multiplex se define como un canal (señal) con la anchura de banda adecuada que incluye varios programas combinados mediante multiplexación digital. La TRA es la única con potestad para determinar la unidad multiplex para una solicitud.</w:t>
      </w:r>
    </w:p>
    <w:p w14:paraId="42B814A7" w14:textId="77777777" w:rsidR="00F73D5B" w:rsidRPr="008B7A21" w:rsidRDefault="00F73D5B" w:rsidP="00F73D5B">
      <w:pPr>
        <w:pStyle w:val="ArtNo"/>
        <w:rPr>
          <w:lang w:val="es-ES_tradnl"/>
        </w:rPr>
      </w:pPr>
      <w:r w:rsidRPr="008B7A21">
        <w:rPr>
          <w:lang w:val="es-ES_tradnl"/>
        </w:rPr>
        <w:t>ARTÍCULO (26)</w:t>
      </w:r>
    </w:p>
    <w:p w14:paraId="2AFD2A5A" w14:textId="77777777" w:rsidR="00F73D5B" w:rsidRPr="008B7A21" w:rsidRDefault="00F73D5B" w:rsidP="00F73D5B">
      <w:pPr>
        <w:pStyle w:val="Arttitle"/>
        <w:rPr>
          <w:lang w:val="es-ES_tradnl"/>
        </w:rPr>
      </w:pPr>
      <w:r w:rsidRPr="008B7A21">
        <w:rPr>
          <w:lang w:val="es-ES_tradnl"/>
        </w:rPr>
        <w:t>Dispositivos de corto alcance</w:t>
      </w:r>
    </w:p>
    <w:p w14:paraId="4D4E96CF" w14:textId="77777777" w:rsidR="00F73D5B" w:rsidRPr="008B7A21" w:rsidRDefault="00F73D5B" w:rsidP="00F73D5B">
      <w:pPr>
        <w:pStyle w:val="Blanc"/>
        <w:rPr>
          <w:lang w:val="es-ES_tradnl" w:eastAsia="ko-KR"/>
        </w:rPr>
      </w:pPr>
    </w:p>
    <w:p w14:paraId="5AFC746A" w14:textId="77777777" w:rsidR="00F73D5B" w:rsidRPr="008B7A21" w:rsidRDefault="00F73D5B" w:rsidP="00F73D5B">
      <w:pPr>
        <w:pStyle w:val="enumlev1"/>
        <w:rPr>
          <w:lang w:val="es-ES_tradnl"/>
        </w:rPr>
      </w:pPr>
      <w:r w:rsidRPr="008B7A21">
        <w:rPr>
          <w:lang w:val="es-ES_tradnl"/>
        </w:rPr>
        <w:t>26.1</w:t>
      </w:r>
      <w:r w:rsidRPr="008B7A21">
        <w:rPr>
          <w:lang w:val="es-ES_tradnl"/>
        </w:rPr>
        <w:tab/>
        <w:t xml:space="preserve">Todos los equipos de transmisión inalámbricos que cumplen los criterios de los dispositivos de corto alcance determinados por la TRA estarán exentos de cánones anuales del espectro. </w:t>
      </w:r>
    </w:p>
    <w:p w14:paraId="220AF1F5" w14:textId="77777777" w:rsidR="00F73D5B" w:rsidRPr="008B7A21" w:rsidRDefault="00F73D5B" w:rsidP="00F73D5B">
      <w:pPr>
        <w:pStyle w:val="enumlev1"/>
        <w:rPr>
          <w:lang w:val="es-ES_tradnl"/>
        </w:rPr>
      </w:pPr>
      <w:r w:rsidRPr="008B7A21">
        <w:rPr>
          <w:lang w:val="es-ES_tradnl"/>
        </w:rPr>
        <w:t>26.2</w:t>
      </w:r>
      <w:r w:rsidRPr="008B7A21">
        <w:rPr>
          <w:lang w:val="es-ES_tradnl"/>
        </w:rPr>
        <w:tab/>
        <w:t>Dispositivos de transmisión de baja potencia que cumple los criterios de este tipo de dispositivos determinados por la TRA deberán pagar como sigue:</w:t>
      </w:r>
    </w:p>
    <w:p w14:paraId="720A9C0E" w14:textId="77777777" w:rsidR="00F73D5B" w:rsidRPr="009207AE" w:rsidRDefault="00F73D5B" w:rsidP="00F73D5B">
      <w:pPr>
        <w:pStyle w:val="TableNo"/>
        <w:rPr>
          <w:lang w:val="es-ES_tradnl"/>
        </w:rPr>
      </w:pPr>
      <w:r w:rsidRPr="009207AE">
        <w:rPr>
          <w:lang w:val="es-ES_tradnl"/>
        </w:rPr>
        <w:t>CUADRO 4</w:t>
      </w:r>
    </w:p>
    <w:p w14:paraId="1C11C4FE" w14:textId="77777777" w:rsidR="00F73D5B" w:rsidRPr="009207AE" w:rsidRDefault="00F73D5B" w:rsidP="009207AE">
      <w:pPr>
        <w:pStyle w:val="Tabletitle"/>
      </w:pPr>
      <w:r w:rsidRPr="009207AE">
        <w:t>Canon anual para equipos de baja potencia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984"/>
      </w:tblGrid>
      <w:tr w:rsidR="00F73D5B" w:rsidRPr="008B7A21" w14:paraId="39BB0F47" w14:textId="77777777" w:rsidTr="00767A6A">
        <w:trPr>
          <w:cantSplit/>
          <w:jc w:val="center"/>
        </w:trPr>
        <w:tc>
          <w:tcPr>
            <w:tcW w:w="2835" w:type="dxa"/>
          </w:tcPr>
          <w:p w14:paraId="70BEFA25" w14:textId="77777777" w:rsidR="00F73D5B" w:rsidRPr="008B7A21" w:rsidRDefault="00F73D5B" w:rsidP="00767A6A">
            <w:pPr>
              <w:pStyle w:val="Tablehead"/>
              <w:rPr>
                <w:lang w:val="es-ES_tradnl"/>
              </w:rPr>
            </w:pPr>
            <w:r w:rsidRPr="008B7A21">
              <w:rPr>
                <w:lang w:val="es-ES_tradnl"/>
              </w:rPr>
              <w:t>Potencia radiada</w:t>
            </w:r>
          </w:p>
        </w:tc>
        <w:tc>
          <w:tcPr>
            <w:tcW w:w="1984" w:type="dxa"/>
          </w:tcPr>
          <w:p w14:paraId="698F4E48" w14:textId="77777777" w:rsidR="00F73D5B" w:rsidRPr="008B7A21" w:rsidRDefault="00F73D5B" w:rsidP="00767A6A">
            <w:pPr>
              <w:pStyle w:val="Tablehead"/>
              <w:rPr>
                <w:lang w:val="es-ES_tradnl"/>
              </w:rPr>
            </w:pPr>
            <w:r w:rsidRPr="008B7A21">
              <w:rPr>
                <w:lang w:val="es-ES_tradnl"/>
              </w:rPr>
              <w:t>Canon anual</w:t>
            </w:r>
          </w:p>
        </w:tc>
      </w:tr>
      <w:tr w:rsidR="00F73D5B" w:rsidRPr="008B7A21" w14:paraId="33F94F2B" w14:textId="77777777" w:rsidTr="00767A6A">
        <w:trPr>
          <w:trHeight w:hRule="exact" w:val="340"/>
          <w:jc w:val="center"/>
        </w:trPr>
        <w:tc>
          <w:tcPr>
            <w:tcW w:w="2835" w:type="dxa"/>
            <w:vAlign w:val="center"/>
          </w:tcPr>
          <w:p w14:paraId="5845D894" w14:textId="77777777" w:rsidR="00F73D5B" w:rsidRPr="008B7A21" w:rsidRDefault="00F73D5B" w:rsidP="009207AE">
            <w:pPr>
              <w:pStyle w:val="Tabletext"/>
              <w:jc w:val="center"/>
              <w:rPr>
                <w:lang w:val="es-ES_tradnl"/>
              </w:rPr>
            </w:pPr>
            <w:r w:rsidRPr="008B7A21">
              <w:rPr>
                <w:lang w:val="es-ES_tradnl"/>
              </w:rPr>
              <w:t>≤ 10 mW</w:t>
            </w:r>
          </w:p>
        </w:tc>
        <w:tc>
          <w:tcPr>
            <w:tcW w:w="1984" w:type="dxa"/>
            <w:vAlign w:val="center"/>
          </w:tcPr>
          <w:p w14:paraId="0A92920A" w14:textId="77777777" w:rsidR="00F73D5B" w:rsidRPr="008B7A21" w:rsidRDefault="00F73D5B" w:rsidP="00767A6A">
            <w:pPr>
              <w:pStyle w:val="Tabletext"/>
              <w:rPr>
                <w:lang w:val="es-ES_tradnl"/>
              </w:rPr>
            </w:pPr>
            <w:r w:rsidRPr="008B7A21">
              <w:rPr>
                <w:lang w:val="es-ES_tradnl"/>
              </w:rPr>
              <w:t>100 Dirhams</w:t>
            </w:r>
          </w:p>
        </w:tc>
      </w:tr>
      <w:tr w:rsidR="00F73D5B" w:rsidRPr="008B7A21" w14:paraId="5AB4CE2A" w14:textId="77777777" w:rsidTr="00767A6A">
        <w:trPr>
          <w:trHeight w:hRule="exact" w:val="340"/>
          <w:jc w:val="center"/>
        </w:trPr>
        <w:tc>
          <w:tcPr>
            <w:tcW w:w="2835" w:type="dxa"/>
            <w:tcBorders>
              <w:bottom w:val="single" w:sz="4" w:space="0" w:color="auto"/>
            </w:tcBorders>
            <w:vAlign w:val="center"/>
          </w:tcPr>
          <w:p w14:paraId="7E5EEDAC" w14:textId="77777777" w:rsidR="00F73D5B" w:rsidRPr="008B7A21" w:rsidRDefault="00F73D5B" w:rsidP="009207AE">
            <w:pPr>
              <w:pStyle w:val="Tabletext"/>
              <w:jc w:val="center"/>
              <w:rPr>
                <w:lang w:val="es-ES_tradnl"/>
              </w:rPr>
            </w:pPr>
            <w:r w:rsidRPr="008B7A21">
              <w:rPr>
                <w:lang w:val="es-ES_tradnl"/>
              </w:rPr>
              <w:t>10 mW ≤ 100 mW</w:t>
            </w:r>
          </w:p>
        </w:tc>
        <w:tc>
          <w:tcPr>
            <w:tcW w:w="1984" w:type="dxa"/>
            <w:tcBorders>
              <w:bottom w:val="single" w:sz="4" w:space="0" w:color="auto"/>
            </w:tcBorders>
            <w:vAlign w:val="center"/>
          </w:tcPr>
          <w:p w14:paraId="1AD0E383" w14:textId="77777777" w:rsidR="00F73D5B" w:rsidRPr="008B7A21" w:rsidRDefault="00F73D5B" w:rsidP="00767A6A">
            <w:pPr>
              <w:pStyle w:val="Tabletext"/>
              <w:rPr>
                <w:lang w:val="es-ES_tradnl"/>
              </w:rPr>
            </w:pPr>
            <w:r w:rsidRPr="008B7A21">
              <w:rPr>
                <w:lang w:val="es-ES_tradnl"/>
              </w:rPr>
              <w:t>200 Dirhams</w:t>
            </w:r>
          </w:p>
        </w:tc>
      </w:tr>
      <w:tr w:rsidR="00F73D5B" w:rsidRPr="008B7A21" w14:paraId="357E459C" w14:textId="77777777" w:rsidTr="00767A6A">
        <w:trPr>
          <w:trHeight w:hRule="exact" w:val="340"/>
          <w:jc w:val="center"/>
        </w:trPr>
        <w:tc>
          <w:tcPr>
            <w:tcW w:w="2835" w:type="dxa"/>
            <w:tcBorders>
              <w:bottom w:val="single" w:sz="4" w:space="0" w:color="auto"/>
            </w:tcBorders>
            <w:vAlign w:val="center"/>
          </w:tcPr>
          <w:p w14:paraId="6555F639" w14:textId="77777777" w:rsidR="00F73D5B" w:rsidRPr="008B7A21" w:rsidRDefault="00F73D5B" w:rsidP="009207AE">
            <w:pPr>
              <w:pStyle w:val="Tabletext"/>
              <w:jc w:val="center"/>
              <w:rPr>
                <w:lang w:val="es-ES_tradnl"/>
              </w:rPr>
            </w:pPr>
            <w:r w:rsidRPr="008B7A21">
              <w:rPr>
                <w:lang w:val="es-ES_tradnl"/>
              </w:rPr>
              <w:t>100 mW ≤ 1 W</w:t>
            </w:r>
          </w:p>
        </w:tc>
        <w:tc>
          <w:tcPr>
            <w:tcW w:w="1984" w:type="dxa"/>
            <w:tcBorders>
              <w:bottom w:val="single" w:sz="4" w:space="0" w:color="auto"/>
            </w:tcBorders>
            <w:vAlign w:val="center"/>
          </w:tcPr>
          <w:p w14:paraId="2DD3E829" w14:textId="77777777" w:rsidR="00F73D5B" w:rsidRPr="008B7A21" w:rsidRDefault="00F73D5B" w:rsidP="00767A6A">
            <w:pPr>
              <w:pStyle w:val="Tabletext"/>
              <w:rPr>
                <w:lang w:val="es-ES_tradnl"/>
              </w:rPr>
            </w:pPr>
            <w:r w:rsidRPr="008B7A21">
              <w:rPr>
                <w:lang w:val="es-ES_tradnl"/>
              </w:rPr>
              <w:t>400 Dirhams</w:t>
            </w:r>
          </w:p>
        </w:tc>
      </w:tr>
    </w:tbl>
    <w:p w14:paraId="48414DE9" w14:textId="77777777" w:rsidR="00F73D5B" w:rsidRPr="008B7A21" w:rsidRDefault="00F73D5B" w:rsidP="00F73D5B">
      <w:pPr>
        <w:pStyle w:val="Tablefin"/>
        <w:rPr>
          <w:lang w:val="es-ES_tradnl" w:eastAsia="ko-KR"/>
        </w:rPr>
      </w:pPr>
    </w:p>
    <w:p w14:paraId="7462CA3A" w14:textId="77777777" w:rsidR="00F73D5B" w:rsidRPr="008B7A21" w:rsidRDefault="00F73D5B" w:rsidP="00F73D5B">
      <w:pPr>
        <w:pStyle w:val="ArtNo"/>
        <w:rPr>
          <w:lang w:val="es-ES_tradnl"/>
        </w:rPr>
      </w:pPr>
      <w:r w:rsidRPr="008B7A21">
        <w:rPr>
          <w:lang w:val="es-ES_tradnl"/>
        </w:rPr>
        <w:t>ARTÍCULO (27)</w:t>
      </w:r>
    </w:p>
    <w:p w14:paraId="0CF513A7" w14:textId="77777777" w:rsidR="00F73D5B" w:rsidRPr="008B7A21" w:rsidRDefault="00F73D5B" w:rsidP="00F73D5B">
      <w:pPr>
        <w:pStyle w:val="Arttitle"/>
        <w:rPr>
          <w:lang w:val="es-ES_tradnl"/>
        </w:rPr>
      </w:pPr>
      <w:r w:rsidRPr="008B7A21">
        <w:rPr>
          <w:lang w:val="es-ES_tradnl"/>
        </w:rPr>
        <w:t>Frecuencias de emergencia y ante desastres</w:t>
      </w:r>
    </w:p>
    <w:p w14:paraId="30FF9575" w14:textId="77777777" w:rsidR="00F73D5B" w:rsidRPr="008B7A21" w:rsidRDefault="00F73D5B" w:rsidP="00F73D5B">
      <w:pPr>
        <w:pStyle w:val="Blanc"/>
        <w:rPr>
          <w:lang w:val="es-ES_tradnl" w:eastAsia="ko-KR"/>
        </w:rPr>
      </w:pPr>
    </w:p>
    <w:p w14:paraId="58156E49" w14:textId="77777777" w:rsidR="00F73D5B" w:rsidRPr="008B7A21" w:rsidRDefault="00F73D5B" w:rsidP="00F73D5B">
      <w:pPr>
        <w:pStyle w:val="enumlev1"/>
        <w:rPr>
          <w:lang w:val="es-ES_tradnl"/>
        </w:rPr>
      </w:pPr>
      <w:r w:rsidRPr="008B7A21">
        <w:rPr>
          <w:lang w:val="es-ES_tradnl"/>
        </w:rPr>
        <w:t>27.1</w:t>
      </w:r>
      <w:r w:rsidRPr="008B7A21">
        <w:rPr>
          <w:lang w:val="es-ES_tradnl"/>
        </w:rPr>
        <w:tab/>
        <w:t>Todas las frecuencias de emergencia, socorro y seguridad de la vida identificadas en el Plan nacional del espectro y en el Cuadro nacional de atribución de frecuencias están exentas de pago. Todos los equipos de transmisión inalámbricos construidos exclusivamente para la seguridad de la vida y aceptados por la TRA como pertenecientes a esa categoría estarán exentos de los cánones del espectro.</w:t>
      </w:r>
    </w:p>
    <w:p w14:paraId="4934DCFB" w14:textId="77777777" w:rsidR="00F73D5B" w:rsidRPr="008B7A21" w:rsidRDefault="00F73D5B" w:rsidP="00F73D5B">
      <w:pPr>
        <w:pStyle w:val="ArtNo"/>
        <w:rPr>
          <w:lang w:val="es-ES_tradnl"/>
        </w:rPr>
      </w:pPr>
      <w:r w:rsidRPr="008B7A21">
        <w:rPr>
          <w:lang w:val="es-ES_tradnl"/>
        </w:rPr>
        <w:lastRenderedPageBreak/>
        <w:t>ARTÍCULO (28)</w:t>
      </w:r>
    </w:p>
    <w:p w14:paraId="0C0E69B2" w14:textId="77777777" w:rsidR="00F73D5B" w:rsidRPr="008B7A21" w:rsidRDefault="00F73D5B" w:rsidP="00F73D5B">
      <w:pPr>
        <w:pStyle w:val="Arttitle"/>
        <w:rPr>
          <w:lang w:val="es-ES_tradnl"/>
        </w:rPr>
      </w:pPr>
      <w:r w:rsidRPr="008B7A21">
        <w:rPr>
          <w:lang w:val="es-ES_tradnl"/>
        </w:rPr>
        <w:t>Autorizaciones temporales</w:t>
      </w:r>
    </w:p>
    <w:p w14:paraId="1FF98358" w14:textId="77777777" w:rsidR="00F73D5B" w:rsidRPr="008B7A21" w:rsidRDefault="00F73D5B" w:rsidP="00F73D5B">
      <w:pPr>
        <w:pStyle w:val="Blanc"/>
        <w:rPr>
          <w:lang w:val="es-ES_tradnl" w:eastAsia="ko-KR"/>
        </w:rPr>
      </w:pPr>
    </w:p>
    <w:p w14:paraId="42308ADB" w14:textId="77777777" w:rsidR="00F73D5B" w:rsidRPr="008B7A21" w:rsidRDefault="00F73D5B" w:rsidP="00F73D5B">
      <w:pPr>
        <w:pStyle w:val="enumlev1"/>
        <w:keepNext/>
        <w:keepLines/>
        <w:rPr>
          <w:lang w:val="es-ES_tradnl"/>
        </w:rPr>
      </w:pPr>
      <w:r w:rsidRPr="008B7A21">
        <w:rPr>
          <w:lang w:val="es-ES_tradnl"/>
        </w:rPr>
        <w:t>28.1</w:t>
      </w:r>
      <w:r w:rsidRPr="008B7A21">
        <w:rPr>
          <w:lang w:val="es-ES_tradnl"/>
        </w:rPr>
        <w:tab/>
        <w:t xml:space="preserve">El canon anual del espectro para autorizaciones temporales se calculará prorrateando los cánones anuales del espectro de conformidad con el servicio de radiocomunicaciones correspondiente. Sin embargo, se cobrará un mínimo de 100 Dirhams como canon del espectro en el caso de el canon resulte inferior a esa cantidad sea inferior. El canon del espectro para autorizaciones temporales se considera aparte del canon de tramitación de solicitudes. </w:t>
      </w:r>
    </w:p>
    <w:p w14:paraId="5B4BBCC3" w14:textId="77777777" w:rsidR="00F73D5B" w:rsidRPr="008B7A21" w:rsidRDefault="00F73D5B" w:rsidP="00F73D5B">
      <w:pPr>
        <w:pStyle w:val="Blanc"/>
        <w:keepNext w:val="0"/>
        <w:keepLines w:val="0"/>
        <w:rPr>
          <w:lang w:val="es-ES_tradnl" w:eastAsia="ko-KR"/>
        </w:rPr>
      </w:pPr>
    </w:p>
    <w:p w14:paraId="03957071" w14:textId="77777777" w:rsidR="00F73D5B" w:rsidRPr="008B7A21" w:rsidRDefault="00F73D5B" w:rsidP="00F73D5B">
      <w:pPr>
        <w:pStyle w:val="ArtNo"/>
        <w:rPr>
          <w:lang w:val="es-ES_tradnl"/>
        </w:rPr>
      </w:pPr>
      <w:r w:rsidRPr="008B7A21">
        <w:rPr>
          <w:lang w:val="es-ES_tradnl"/>
        </w:rPr>
        <w:t>ARTÍCULO (29)</w:t>
      </w:r>
    </w:p>
    <w:p w14:paraId="17074C3C" w14:textId="77777777" w:rsidR="00F73D5B" w:rsidRPr="008B7A21" w:rsidRDefault="00F73D5B" w:rsidP="00F73D5B">
      <w:pPr>
        <w:pStyle w:val="Arttitle"/>
        <w:rPr>
          <w:lang w:val="es-ES_tradnl"/>
        </w:rPr>
      </w:pPr>
      <w:r w:rsidRPr="008B7A21">
        <w:rPr>
          <w:lang w:val="es-ES_tradnl"/>
        </w:rPr>
        <w:t>Otros servicios radioeléctricos</w:t>
      </w:r>
    </w:p>
    <w:p w14:paraId="0E046195" w14:textId="77777777" w:rsidR="00F73D5B" w:rsidRPr="008B7A21" w:rsidRDefault="00F73D5B" w:rsidP="00F73D5B">
      <w:pPr>
        <w:pStyle w:val="Blanc"/>
        <w:rPr>
          <w:lang w:val="es-ES_tradnl" w:eastAsia="ko-KR"/>
        </w:rPr>
      </w:pPr>
    </w:p>
    <w:p w14:paraId="5920450E" w14:textId="77777777" w:rsidR="00F73D5B" w:rsidRPr="008B7A21" w:rsidRDefault="00F73D5B" w:rsidP="00F73D5B">
      <w:pPr>
        <w:pStyle w:val="enumlev1"/>
        <w:rPr>
          <w:lang w:val="es-ES_tradnl"/>
        </w:rPr>
      </w:pPr>
      <w:r w:rsidRPr="008B7A21">
        <w:rPr>
          <w:lang w:val="es-ES_tradnl"/>
        </w:rPr>
        <w:t>29.1</w:t>
      </w:r>
      <w:r w:rsidRPr="008B7A21">
        <w:rPr>
          <w:lang w:val="es-ES_tradnl"/>
        </w:rPr>
        <w:tab/>
        <w:t>Los cánones anuales del espectro para una autorización que no esté incluida en los artículos anteriores serán determinados por la TRA y se aprobarán con el visto bueno del Director General de la TRA, incluso antes de que figuren en la edición revisada de este Reglamento.</w:t>
      </w:r>
    </w:p>
    <w:p w14:paraId="4605FF34" w14:textId="77777777" w:rsidR="00F73D5B" w:rsidRPr="008B7A21" w:rsidRDefault="00F73D5B" w:rsidP="00F73D5B">
      <w:pPr>
        <w:pStyle w:val="Blanc"/>
        <w:keepNext w:val="0"/>
        <w:keepLines w:val="0"/>
        <w:rPr>
          <w:lang w:val="es-ES_tradnl" w:eastAsia="ko-KR"/>
        </w:rPr>
      </w:pPr>
    </w:p>
    <w:p w14:paraId="6F1C54EA" w14:textId="77777777" w:rsidR="00F73D5B" w:rsidRPr="008B7A21" w:rsidRDefault="00F73D5B" w:rsidP="00F73D5B">
      <w:pPr>
        <w:pStyle w:val="ArtNo"/>
        <w:rPr>
          <w:lang w:val="es-ES_tradnl"/>
        </w:rPr>
      </w:pPr>
      <w:r w:rsidRPr="008B7A21">
        <w:rPr>
          <w:lang w:val="es-ES_tradnl"/>
        </w:rPr>
        <w:t>ARTÍCULO (30)</w:t>
      </w:r>
    </w:p>
    <w:p w14:paraId="2CF28BD8" w14:textId="77777777" w:rsidR="00F73D5B" w:rsidRPr="008B7A21" w:rsidRDefault="00F73D5B" w:rsidP="00F73D5B">
      <w:pPr>
        <w:pStyle w:val="Arttitle"/>
        <w:rPr>
          <w:lang w:val="es-ES_tradnl"/>
        </w:rPr>
      </w:pPr>
      <w:r w:rsidRPr="008B7A21">
        <w:rPr>
          <w:lang w:val="es-ES_tradnl"/>
        </w:rPr>
        <w:t>Cánones por tramitación y comprobación</w:t>
      </w:r>
      <w:r w:rsidRPr="008B7A21">
        <w:rPr>
          <w:lang w:val="es-ES_tradnl"/>
        </w:rPr>
        <w:br/>
        <w:t xml:space="preserve">de reclamaciones de interferencias </w:t>
      </w:r>
    </w:p>
    <w:p w14:paraId="6FEBBA9A" w14:textId="77777777" w:rsidR="00F73D5B" w:rsidRPr="008B7A21" w:rsidRDefault="00F73D5B" w:rsidP="00F73D5B">
      <w:pPr>
        <w:pStyle w:val="Blanc"/>
        <w:rPr>
          <w:lang w:val="es-ES_tradnl" w:eastAsia="ko-KR"/>
        </w:rPr>
      </w:pPr>
    </w:p>
    <w:p w14:paraId="41629DAE" w14:textId="77777777" w:rsidR="00F73D5B" w:rsidRPr="008B7A21" w:rsidRDefault="00F73D5B" w:rsidP="00F73D5B">
      <w:pPr>
        <w:pStyle w:val="enumlev1"/>
        <w:rPr>
          <w:lang w:val="es-ES_tradnl"/>
        </w:rPr>
      </w:pPr>
      <w:r w:rsidRPr="008B7A21">
        <w:rPr>
          <w:lang w:val="es-ES_tradnl"/>
        </w:rPr>
        <w:t>30.1</w:t>
      </w:r>
      <w:r w:rsidRPr="008B7A21">
        <w:rPr>
          <w:lang w:val="es-ES_tradnl"/>
        </w:rPr>
        <w:tab/>
        <w:t xml:space="preserve">La TRA no cobrará por atender las reclamaciones ni la comprobación de interferencias. </w:t>
      </w:r>
    </w:p>
    <w:p w14:paraId="083E10CF" w14:textId="77777777" w:rsidR="00F73D5B" w:rsidRPr="008B7A21" w:rsidRDefault="00F73D5B" w:rsidP="00F73D5B">
      <w:pPr>
        <w:pStyle w:val="ArtNo"/>
        <w:rPr>
          <w:lang w:val="es-ES_tradnl"/>
        </w:rPr>
      </w:pPr>
      <w:r w:rsidRPr="008B7A21">
        <w:rPr>
          <w:lang w:val="es-ES_tradnl"/>
        </w:rPr>
        <w:t>ARTÍCULO (31)</w:t>
      </w:r>
    </w:p>
    <w:p w14:paraId="5017975C" w14:textId="77777777" w:rsidR="00F73D5B" w:rsidRPr="008B7A21" w:rsidRDefault="00F73D5B" w:rsidP="00F73D5B">
      <w:pPr>
        <w:pStyle w:val="Arttitle"/>
        <w:rPr>
          <w:lang w:val="es-ES_tradnl"/>
        </w:rPr>
      </w:pPr>
      <w:r w:rsidRPr="008B7A21">
        <w:rPr>
          <w:lang w:val="es-ES_tradnl"/>
        </w:rPr>
        <w:t>Canon para embajadas, consulados y</w:t>
      </w:r>
      <w:r w:rsidRPr="008B7A21">
        <w:rPr>
          <w:lang w:val="es-ES_tradnl"/>
        </w:rPr>
        <w:br/>
        <w:t>misiones diplomáticas extranjeras</w:t>
      </w:r>
    </w:p>
    <w:p w14:paraId="34168D2C" w14:textId="77777777" w:rsidR="00F73D5B" w:rsidRPr="008B7A21" w:rsidRDefault="00F73D5B" w:rsidP="00F73D5B">
      <w:pPr>
        <w:pStyle w:val="Blanc"/>
        <w:rPr>
          <w:lang w:val="es-ES_tradnl" w:eastAsia="ko-KR"/>
        </w:rPr>
      </w:pPr>
    </w:p>
    <w:p w14:paraId="6032A846" w14:textId="77777777" w:rsidR="00F73D5B" w:rsidRPr="008B7A21" w:rsidRDefault="00F73D5B" w:rsidP="00F73D5B">
      <w:pPr>
        <w:pStyle w:val="enumlev1"/>
        <w:rPr>
          <w:lang w:val="es-ES_tradnl"/>
        </w:rPr>
      </w:pPr>
      <w:r w:rsidRPr="008B7A21">
        <w:rPr>
          <w:lang w:val="es-ES_tradnl"/>
        </w:rPr>
        <w:t>31.1</w:t>
      </w:r>
      <w:r w:rsidRPr="008B7A21">
        <w:rPr>
          <w:lang w:val="es-ES_tradnl"/>
        </w:rPr>
        <w:tab/>
        <w:t>Las embajadas, consulados, misiones diplomáticas extranjeras y visitas de estado de dignatarios estarán exentos de los cánones del espectro siempre que la embajada, consulado y misión de los EAU en el país de origen disponga de la misma exención. Esta exención será aplicable para la correspondencia oficial incluida en el Convenio de Viena para correspondencia diplomática y para las solicitudes dirigidas a la TRA a través del Ministerio de Asuntos Exteriores de los EAU.</w:t>
      </w:r>
    </w:p>
    <w:p w14:paraId="32CD6343" w14:textId="77777777" w:rsidR="00F73D5B" w:rsidRPr="008B7A21" w:rsidRDefault="00F73D5B" w:rsidP="00F73D5B">
      <w:pPr>
        <w:pStyle w:val="ArtNo"/>
        <w:rPr>
          <w:lang w:val="es-ES_tradnl"/>
        </w:rPr>
      </w:pPr>
      <w:r w:rsidRPr="008B7A21">
        <w:rPr>
          <w:lang w:val="es-ES_tradnl"/>
        </w:rPr>
        <w:t>ARTÍCULO (32)</w:t>
      </w:r>
    </w:p>
    <w:p w14:paraId="0C65C2D5" w14:textId="77777777" w:rsidR="00F73D5B" w:rsidRPr="008B7A21" w:rsidRDefault="00F73D5B" w:rsidP="00F73D5B">
      <w:pPr>
        <w:pStyle w:val="Arttitle"/>
        <w:rPr>
          <w:lang w:val="es-ES_tradnl"/>
        </w:rPr>
      </w:pPr>
      <w:r w:rsidRPr="008B7A21">
        <w:rPr>
          <w:lang w:val="es-ES_tradnl"/>
        </w:rPr>
        <w:t>Cánones por peritajes de emplazamientos</w:t>
      </w:r>
    </w:p>
    <w:p w14:paraId="36F00F6A" w14:textId="77777777" w:rsidR="00F73D5B" w:rsidRPr="008B7A21" w:rsidRDefault="00F73D5B" w:rsidP="00F73D5B">
      <w:pPr>
        <w:pStyle w:val="Blanc"/>
        <w:rPr>
          <w:lang w:val="es-ES_tradnl" w:eastAsia="ko-KR"/>
        </w:rPr>
      </w:pPr>
    </w:p>
    <w:p w14:paraId="328C2B87" w14:textId="77777777" w:rsidR="00F73D5B" w:rsidRPr="008B7A21" w:rsidRDefault="00F73D5B" w:rsidP="00F73D5B">
      <w:pPr>
        <w:pStyle w:val="enumlev1"/>
        <w:keepNext/>
        <w:keepLines/>
        <w:rPr>
          <w:lang w:val="es-ES_tradnl"/>
        </w:rPr>
      </w:pPr>
      <w:r w:rsidRPr="008B7A21">
        <w:rPr>
          <w:lang w:val="es-ES_tradnl"/>
        </w:rPr>
        <w:t>32.1</w:t>
      </w:r>
      <w:r w:rsidRPr="008B7A21">
        <w:rPr>
          <w:lang w:val="es-ES_tradnl"/>
        </w:rPr>
        <w:tab/>
        <w:t>Se cobrarán los siguientes cánones para los peritajes de emplazamientos llevados a cabo por la TRA a petición del solicitante o del usuario autorizado como asistencia técnica:</w:t>
      </w:r>
    </w:p>
    <w:p w14:paraId="466EA199" w14:textId="77777777" w:rsidR="00F73D5B" w:rsidRPr="008B7A21" w:rsidRDefault="00F73D5B" w:rsidP="00F73D5B">
      <w:pPr>
        <w:pStyle w:val="enumlev1"/>
        <w:rPr>
          <w:lang w:val="es-ES_tradnl"/>
        </w:rPr>
      </w:pPr>
      <w:r w:rsidRPr="008B7A21">
        <w:rPr>
          <w:lang w:val="es-ES_tradnl"/>
        </w:rPr>
        <w:tab/>
        <w:t>      </w:t>
      </w:r>
      <w:r w:rsidRPr="008B7A21">
        <w:rPr>
          <w:b/>
          <w:bCs/>
          <w:lang w:val="es-ES_tradnl"/>
        </w:rPr>
        <w:t>Canon por peritajes de emplazamientos</w:t>
      </w:r>
      <w:r w:rsidRPr="008B7A21">
        <w:rPr>
          <w:lang w:val="es-ES_tradnl"/>
        </w:rPr>
        <w:t xml:space="preserve"> = 2 500 Dirhams por día para cada visita.</w:t>
      </w:r>
    </w:p>
    <w:p w14:paraId="620EB5FF" w14:textId="77777777" w:rsidR="00F73D5B" w:rsidRPr="008B7A21" w:rsidRDefault="00F73D5B" w:rsidP="00F73D5B">
      <w:pPr>
        <w:pStyle w:val="ArtNo"/>
        <w:rPr>
          <w:lang w:val="es-ES_tradnl"/>
        </w:rPr>
      </w:pPr>
      <w:r w:rsidRPr="008B7A21">
        <w:rPr>
          <w:lang w:val="es-ES_tradnl"/>
        </w:rPr>
        <w:lastRenderedPageBreak/>
        <w:t>ARTÍCULO (33)</w:t>
      </w:r>
    </w:p>
    <w:p w14:paraId="6968DD89" w14:textId="77777777" w:rsidR="00F73D5B" w:rsidRPr="008B7A21" w:rsidRDefault="00F73D5B" w:rsidP="00F73D5B">
      <w:pPr>
        <w:pStyle w:val="Arttitle"/>
        <w:rPr>
          <w:lang w:val="es-ES_tradnl"/>
        </w:rPr>
      </w:pPr>
      <w:r w:rsidRPr="008B7A21">
        <w:rPr>
          <w:lang w:val="es-ES_tradnl"/>
        </w:rPr>
        <w:t>Obligación de pago</w:t>
      </w:r>
    </w:p>
    <w:p w14:paraId="7707D22B" w14:textId="77777777" w:rsidR="00F73D5B" w:rsidRPr="008B7A21" w:rsidRDefault="00F73D5B" w:rsidP="00F73D5B">
      <w:pPr>
        <w:pStyle w:val="Blanc"/>
        <w:rPr>
          <w:lang w:val="es-ES_tradnl" w:eastAsia="ko-KR"/>
        </w:rPr>
      </w:pPr>
    </w:p>
    <w:p w14:paraId="0216B010" w14:textId="77777777" w:rsidR="00F73D5B" w:rsidRPr="008B7A21" w:rsidRDefault="00F73D5B" w:rsidP="00F73D5B">
      <w:pPr>
        <w:pStyle w:val="enumlev1"/>
        <w:rPr>
          <w:lang w:val="es-ES_tradnl"/>
        </w:rPr>
      </w:pPr>
      <w:r w:rsidRPr="008B7A21">
        <w:rPr>
          <w:lang w:val="es-ES_tradnl"/>
        </w:rPr>
        <w:t>33.1</w:t>
      </w:r>
      <w:r w:rsidRPr="008B7A21">
        <w:rPr>
          <w:lang w:val="es-ES_tradnl"/>
        </w:rPr>
        <w:tab/>
        <w:t xml:space="preserve">Todos los solicitantes sin excepción salvo en los casos fijados en este Reglamento deben pagar los cánones del espectro por adelantado. Los cánones del espectro no se consideran impuestos federales o tasas o impuestos locales y se deben considerar una tasa por el uso de un recurso nacional escaso como es el espectro radioeléctrico. Los usuarios autorizados tendrán que pagar las cantidades debidas dentro de los plazos estipulados, incluso en los casos en los que el usuario autorizado discrepe sobre la totalidad o parte de su importe. </w:t>
      </w:r>
    </w:p>
    <w:p w14:paraId="629C9B73" w14:textId="77777777" w:rsidR="00F73D5B" w:rsidRPr="008B7A21" w:rsidRDefault="00F73D5B" w:rsidP="00F73D5B">
      <w:pPr>
        <w:pStyle w:val="ArtNo"/>
        <w:rPr>
          <w:lang w:val="es-ES_tradnl"/>
        </w:rPr>
      </w:pPr>
      <w:r w:rsidRPr="008B7A21">
        <w:rPr>
          <w:lang w:val="es-ES_tradnl"/>
        </w:rPr>
        <w:t>ARTÍCULO (34)</w:t>
      </w:r>
    </w:p>
    <w:p w14:paraId="2D0479AC" w14:textId="77777777" w:rsidR="00F73D5B" w:rsidRPr="008B7A21" w:rsidRDefault="00F73D5B" w:rsidP="00F73D5B">
      <w:pPr>
        <w:pStyle w:val="Arttitle"/>
        <w:rPr>
          <w:lang w:val="es-ES_tradnl"/>
        </w:rPr>
      </w:pPr>
      <w:r w:rsidRPr="008B7A21">
        <w:rPr>
          <w:lang w:val="es-ES_tradnl"/>
        </w:rPr>
        <w:t>Métodos de pago</w:t>
      </w:r>
    </w:p>
    <w:p w14:paraId="1FBC8EBB" w14:textId="77777777" w:rsidR="00F73D5B" w:rsidRPr="008B7A21" w:rsidRDefault="00F73D5B" w:rsidP="00F73D5B">
      <w:pPr>
        <w:pStyle w:val="Blanc"/>
        <w:rPr>
          <w:lang w:val="es-ES_tradnl" w:eastAsia="ko-KR"/>
        </w:rPr>
      </w:pPr>
    </w:p>
    <w:p w14:paraId="1FBC6E35" w14:textId="77777777" w:rsidR="00F73D5B" w:rsidRPr="008B7A21" w:rsidRDefault="00F73D5B" w:rsidP="00F73D5B">
      <w:pPr>
        <w:pStyle w:val="enumlev1"/>
        <w:rPr>
          <w:lang w:val="es-ES_tradnl"/>
        </w:rPr>
      </w:pPr>
      <w:r w:rsidRPr="008B7A21">
        <w:rPr>
          <w:lang w:val="es-ES_tradnl"/>
        </w:rPr>
        <w:t>34.1</w:t>
      </w:r>
      <w:r w:rsidRPr="008B7A21">
        <w:rPr>
          <w:lang w:val="es-ES_tradnl"/>
        </w:rPr>
        <w:tab/>
        <w:t>La TRA acepta el pago de los cánones del espectro y de otras tasas asociadas de la forma siguiente:</w:t>
      </w:r>
    </w:p>
    <w:p w14:paraId="1ADCABAB" w14:textId="77777777" w:rsidR="00F73D5B" w:rsidRPr="008B7A21" w:rsidRDefault="00F73D5B" w:rsidP="00F73D5B">
      <w:pPr>
        <w:pStyle w:val="enumlev2"/>
        <w:rPr>
          <w:lang w:val="es-ES_tradnl"/>
        </w:rPr>
      </w:pPr>
      <w:r w:rsidRPr="008B7A21">
        <w:rPr>
          <w:lang w:val="es-ES_tradnl"/>
        </w:rPr>
        <w:t>–</w:t>
      </w:r>
      <w:r w:rsidRPr="008B7A21">
        <w:rPr>
          <w:lang w:val="es-ES_tradnl"/>
        </w:rPr>
        <w:tab/>
        <w:t>E-Dirham.</w:t>
      </w:r>
    </w:p>
    <w:p w14:paraId="1EB26C61" w14:textId="77777777" w:rsidR="00F73D5B" w:rsidRPr="008B7A21" w:rsidRDefault="00F73D5B" w:rsidP="00F73D5B">
      <w:pPr>
        <w:pStyle w:val="enumlev2"/>
        <w:rPr>
          <w:lang w:val="es-ES_tradnl"/>
        </w:rPr>
      </w:pPr>
      <w:r w:rsidRPr="008B7A21">
        <w:rPr>
          <w:lang w:val="es-ES_tradnl"/>
        </w:rPr>
        <w:t>–</w:t>
      </w:r>
      <w:r w:rsidRPr="008B7A21">
        <w:rPr>
          <w:lang w:val="es-ES_tradnl"/>
        </w:rPr>
        <w:tab/>
        <w:t>Cheque o depósito en metálico en una cuenta bancaria de la TRA.</w:t>
      </w:r>
    </w:p>
    <w:p w14:paraId="3DF493FD" w14:textId="77777777" w:rsidR="00F73D5B" w:rsidRPr="008B7A21" w:rsidRDefault="00F73D5B" w:rsidP="00F73D5B">
      <w:pPr>
        <w:pStyle w:val="enumlev2"/>
        <w:rPr>
          <w:lang w:val="es-ES_tradnl"/>
        </w:rPr>
      </w:pPr>
      <w:r w:rsidRPr="008B7A21">
        <w:rPr>
          <w:lang w:val="es-ES_tradnl"/>
        </w:rPr>
        <w:t>–</w:t>
      </w:r>
      <w:r w:rsidRPr="008B7A21">
        <w:rPr>
          <w:lang w:val="es-ES_tradnl"/>
        </w:rPr>
        <w:tab/>
        <w:t>En metálico.</w:t>
      </w:r>
    </w:p>
    <w:p w14:paraId="6ADE2713" w14:textId="77777777" w:rsidR="00F73D5B" w:rsidRPr="008B7A21" w:rsidRDefault="00F73D5B" w:rsidP="00F73D5B">
      <w:pPr>
        <w:pStyle w:val="enumlev2"/>
        <w:rPr>
          <w:lang w:val="es-ES_tradnl"/>
        </w:rPr>
      </w:pPr>
      <w:r w:rsidRPr="008B7A21">
        <w:rPr>
          <w:lang w:val="es-ES_tradnl"/>
        </w:rPr>
        <w:t>–</w:t>
      </w:r>
      <w:r w:rsidRPr="008B7A21">
        <w:rPr>
          <w:lang w:val="es-ES_tradnl"/>
        </w:rPr>
        <w:tab/>
        <w:t>Por transferencia.</w:t>
      </w:r>
    </w:p>
    <w:p w14:paraId="678DFFC2" w14:textId="77777777" w:rsidR="00F73D5B" w:rsidRPr="008B7A21" w:rsidRDefault="00F73D5B" w:rsidP="00F73D5B">
      <w:pPr>
        <w:pStyle w:val="enumlev2"/>
        <w:rPr>
          <w:lang w:val="es-ES_tradnl"/>
        </w:rPr>
      </w:pPr>
      <w:r w:rsidRPr="008B7A21">
        <w:rPr>
          <w:lang w:val="es-ES_tradnl"/>
        </w:rPr>
        <w:t>–</w:t>
      </w:r>
      <w:r w:rsidRPr="008B7A21">
        <w:rPr>
          <w:lang w:val="es-ES_tradnl"/>
        </w:rPr>
        <w:tab/>
        <w:t>Por pago electrónico (cuando esté disponible).</w:t>
      </w:r>
    </w:p>
    <w:p w14:paraId="1891974A" w14:textId="77777777" w:rsidR="00F73D5B" w:rsidRPr="008B7A21" w:rsidRDefault="00F73D5B" w:rsidP="00F73D5B">
      <w:pPr>
        <w:pStyle w:val="ArtNo"/>
        <w:rPr>
          <w:lang w:val="es-ES_tradnl"/>
        </w:rPr>
      </w:pPr>
      <w:r w:rsidRPr="008B7A21">
        <w:rPr>
          <w:lang w:val="es-ES_tradnl"/>
        </w:rPr>
        <w:t>ARTÍCULO (35)</w:t>
      </w:r>
    </w:p>
    <w:p w14:paraId="2465A642" w14:textId="77777777" w:rsidR="00F73D5B" w:rsidRPr="008B7A21" w:rsidRDefault="00F73D5B" w:rsidP="00F73D5B">
      <w:pPr>
        <w:pStyle w:val="Arttitle"/>
        <w:rPr>
          <w:lang w:val="es-ES_tradnl"/>
        </w:rPr>
      </w:pPr>
      <w:r w:rsidRPr="008B7A21">
        <w:rPr>
          <w:lang w:val="es-ES_tradnl"/>
        </w:rPr>
        <w:t>Sanciones</w:t>
      </w:r>
    </w:p>
    <w:p w14:paraId="6AA80A8A" w14:textId="77777777" w:rsidR="00F73D5B" w:rsidRPr="008B7A21" w:rsidRDefault="00F73D5B" w:rsidP="00F73D5B">
      <w:pPr>
        <w:pStyle w:val="Blanc"/>
        <w:rPr>
          <w:lang w:val="es-ES_tradnl" w:eastAsia="ko-KR"/>
        </w:rPr>
      </w:pPr>
    </w:p>
    <w:p w14:paraId="4BA944CC" w14:textId="77777777" w:rsidR="00F73D5B" w:rsidRPr="008B7A21" w:rsidRDefault="00F73D5B" w:rsidP="00F73D5B">
      <w:pPr>
        <w:pStyle w:val="enumlev1"/>
        <w:rPr>
          <w:lang w:val="es-ES_tradnl"/>
        </w:rPr>
      </w:pPr>
      <w:r w:rsidRPr="008B7A21">
        <w:rPr>
          <w:lang w:val="es-ES_tradnl"/>
        </w:rPr>
        <w:t>35.1</w:t>
      </w:r>
      <w:r w:rsidRPr="008B7A21">
        <w:rPr>
          <w:lang w:val="es-ES_tradnl"/>
        </w:rPr>
        <w:tab/>
        <w:t>Por cualquier violación de este Reglamento se aplicarán las sanciones que figuran en el Decreto Ley Federal N.° 3 de 2003.</w:t>
      </w:r>
    </w:p>
    <w:p w14:paraId="05E26B3D" w14:textId="77777777" w:rsidR="00F73D5B" w:rsidRPr="008B7A21" w:rsidRDefault="00F73D5B" w:rsidP="00F73D5B">
      <w:pPr>
        <w:rPr>
          <w:lang w:val="es-ES_tradnl"/>
        </w:rPr>
      </w:pPr>
      <w:r w:rsidRPr="008B7A21">
        <w:rPr>
          <w:lang w:val="es-ES_tradnl"/>
        </w:rPr>
        <w:br w:type="page"/>
      </w:r>
      <w:bookmarkStart w:id="2240" w:name="_Toc306276911"/>
      <w:bookmarkStart w:id="2241" w:name="_Toc307921584"/>
      <w:bookmarkStart w:id="2242" w:name="_Toc307922151"/>
      <w:bookmarkStart w:id="2243" w:name="_Toc307922710"/>
      <w:bookmarkStart w:id="2244" w:name="_Toc307992059"/>
      <w:bookmarkStart w:id="2245" w:name="_Toc307994094"/>
      <w:bookmarkStart w:id="2246" w:name="_Toc307995301"/>
      <w:bookmarkStart w:id="2247" w:name="_Toc307996500"/>
      <w:bookmarkStart w:id="2248" w:name="_Toc308010420"/>
    </w:p>
    <w:p w14:paraId="5A38BE0D" w14:textId="22FF9145" w:rsidR="00F73D5B" w:rsidRPr="008B7A21" w:rsidRDefault="00F73D5B" w:rsidP="009207AE">
      <w:pPr>
        <w:pStyle w:val="Heading3"/>
        <w:rPr>
          <w:lang w:val="es-ES_tradnl"/>
        </w:rPr>
      </w:pPr>
      <w:bookmarkStart w:id="2249" w:name="_Toc499563154"/>
      <w:bookmarkStart w:id="2250" w:name="_Toc215835466"/>
      <w:r w:rsidRPr="008B7A21">
        <w:rPr>
          <w:lang w:val="es-ES_tradnl"/>
        </w:rPr>
        <w:lastRenderedPageBreak/>
        <w:t>2</w:t>
      </w:r>
      <w:r w:rsidRPr="008B7A21">
        <w:rPr>
          <w:lang w:val="es-ES_tradnl"/>
        </w:rPr>
        <w:tab/>
        <w:t>Política de cánones en la República de Côte D'Ivoire</w:t>
      </w:r>
      <w:bookmarkEnd w:id="2240"/>
      <w:bookmarkEnd w:id="2241"/>
      <w:bookmarkEnd w:id="2242"/>
      <w:bookmarkEnd w:id="2243"/>
      <w:bookmarkEnd w:id="2244"/>
      <w:bookmarkEnd w:id="2245"/>
      <w:bookmarkEnd w:id="2246"/>
      <w:bookmarkEnd w:id="2247"/>
      <w:bookmarkEnd w:id="2248"/>
      <w:bookmarkEnd w:id="2249"/>
      <w:bookmarkEnd w:id="2250"/>
    </w:p>
    <w:p w14:paraId="4DDFF015" w14:textId="77777777" w:rsidR="00F73D5B" w:rsidRPr="008B7A21" w:rsidRDefault="00F73D5B" w:rsidP="00F73D5B">
      <w:pPr>
        <w:rPr>
          <w:lang w:val="es-ES_tradnl"/>
        </w:rPr>
      </w:pPr>
    </w:p>
    <w:p w14:paraId="230A3D08" w14:textId="77777777" w:rsidR="00F73D5B" w:rsidRPr="008B7A21" w:rsidRDefault="00F73D5B" w:rsidP="00F73D5B">
      <w:pPr>
        <w:jc w:val="center"/>
        <w:rPr>
          <w:sz w:val="32"/>
          <w:szCs w:val="32"/>
          <w:lang w:val="es-ES_tradnl"/>
        </w:rPr>
      </w:pPr>
      <w:r w:rsidRPr="008B7A21">
        <w:rPr>
          <w:sz w:val="32"/>
          <w:szCs w:val="32"/>
          <w:lang w:val="es-ES_tradnl"/>
        </w:rPr>
        <w:t>REPÚBLICA DE COTE D'IVOIRE</w:t>
      </w:r>
    </w:p>
    <w:p w14:paraId="5AD428DB" w14:textId="77777777" w:rsidR="00F73D5B" w:rsidRPr="008B7A21" w:rsidRDefault="00F73D5B" w:rsidP="00F73D5B">
      <w:pPr>
        <w:jc w:val="center"/>
        <w:rPr>
          <w:lang w:val="es-ES_tradnl"/>
        </w:rPr>
      </w:pPr>
      <w:r w:rsidRPr="008B7A21">
        <w:rPr>
          <w:lang w:val="es-ES_tradnl"/>
        </w:rPr>
        <w:t>UNIDAD-DISCIPLINA-TRABAJO</w:t>
      </w:r>
    </w:p>
    <w:p w14:paraId="1830484E" w14:textId="77777777" w:rsidR="00F73D5B" w:rsidRPr="008B7A21" w:rsidRDefault="00F73D5B" w:rsidP="00F73D5B">
      <w:pPr>
        <w:jc w:val="center"/>
        <w:rPr>
          <w:b/>
          <w:bCs/>
          <w:lang w:val="es-ES_tradnl"/>
        </w:rPr>
      </w:pPr>
      <w:r w:rsidRPr="008B7A21">
        <w:rPr>
          <w:b/>
          <w:bCs/>
          <w:lang w:val="es-ES_tradnl"/>
        </w:rPr>
        <w:t>------------------</w:t>
      </w:r>
    </w:p>
    <w:tbl>
      <w:tblPr>
        <w:tblW w:w="0" w:type="auto"/>
        <w:tblLook w:val="00A0" w:firstRow="1" w:lastRow="0" w:firstColumn="1" w:lastColumn="0" w:noHBand="0" w:noVBand="0"/>
      </w:tblPr>
      <w:tblGrid>
        <w:gridCol w:w="4827"/>
        <w:gridCol w:w="4812"/>
      </w:tblGrid>
      <w:tr w:rsidR="00F73D5B" w:rsidRPr="008B7A21" w14:paraId="3483552A" w14:textId="77777777" w:rsidTr="00767A6A">
        <w:tc>
          <w:tcPr>
            <w:tcW w:w="4927" w:type="dxa"/>
          </w:tcPr>
          <w:p w14:paraId="0F529DA6" w14:textId="77777777" w:rsidR="00F73D5B" w:rsidRPr="008B7A21" w:rsidRDefault="00F73D5B" w:rsidP="00767A6A">
            <w:pPr>
              <w:rPr>
                <w:lang w:val="es-ES_tradnl"/>
              </w:rPr>
            </w:pPr>
            <w:r w:rsidRPr="008B7A21">
              <w:rPr>
                <w:szCs w:val="24"/>
                <w:lang w:val="es-ES_tradnl"/>
              </w:rPr>
              <w:t>Ministerio de Infraestructuras Económicas</w:t>
            </w:r>
          </w:p>
        </w:tc>
        <w:tc>
          <w:tcPr>
            <w:tcW w:w="4928" w:type="dxa"/>
          </w:tcPr>
          <w:p w14:paraId="6F769D74" w14:textId="77777777" w:rsidR="00F73D5B" w:rsidRPr="008B7A21" w:rsidRDefault="00F73D5B" w:rsidP="00767A6A">
            <w:pPr>
              <w:rPr>
                <w:lang w:val="es-ES_tradnl"/>
              </w:rPr>
            </w:pPr>
            <w:r w:rsidRPr="008B7A21">
              <w:rPr>
                <w:szCs w:val="24"/>
                <w:lang w:val="es-ES_tradnl"/>
              </w:rPr>
              <w:t>Ministerio de Economía y Hacienda</w:t>
            </w:r>
          </w:p>
        </w:tc>
      </w:tr>
      <w:tr w:rsidR="00F73D5B" w:rsidRPr="008B7A21" w14:paraId="402CC231" w14:textId="77777777" w:rsidTr="00767A6A">
        <w:tc>
          <w:tcPr>
            <w:tcW w:w="4927" w:type="dxa"/>
          </w:tcPr>
          <w:p w14:paraId="2D6706FF" w14:textId="77777777" w:rsidR="00F73D5B" w:rsidRPr="008B7A21" w:rsidRDefault="00F73D5B" w:rsidP="00767A6A">
            <w:pPr>
              <w:rPr>
                <w:lang w:val="es-ES_tradnl"/>
              </w:rPr>
            </w:pPr>
            <w:r w:rsidRPr="008B7A21">
              <w:rPr>
                <w:lang w:val="es-ES_tradnl"/>
              </w:rPr>
              <w:tab/>
            </w:r>
          </w:p>
        </w:tc>
        <w:tc>
          <w:tcPr>
            <w:tcW w:w="4928" w:type="dxa"/>
          </w:tcPr>
          <w:p w14:paraId="64843D33" w14:textId="77777777" w:rsidR="00F73D5B" w:rsidRPr="008B7A21" w:rsidRDefault="00F73D5B" w:rsidP="00767A6A">
            <w:pPr>
              <w:rPr>
                <w:lang w:val="es-ES_tradnl"/>
              </w:rPr>
            </w:pPr>
            <w:r w:rsidRPr="008B7A21">
              <w:rPr>
                <w:lang w:val="es-ES_tradnl"/>
              </w:rPr>
              <w:tab/>
            </w:r>
          </w:p>
        </w:tc>
      </w:tr>
    </w:tbl>
    <w:p w14:paraId="1022A486" w14:textId="77777777" w:rsidR="00F73D5B" w:rsidRPr="008B7A21" w:rsidRDefault="00F73D5B" w:rsidP="00F73D5B">
      <w:pPr>
        <w:pStyle w:val="Tablefin"/>
        <w:rPr>
          <w:lang w:val="es-ES_tradnl"/>
        </w:rPr>
      </w:pPr>
    </w:p>
    <w:p w14:paraId="1C0E708A" w14:textId="77777777" w:rsidR="00F73D5B" w:rsidRPr="008B7A21" w:rsidRDefault="00F73D5B" w:rsidP="00F73D5B">
      <w:pPr>
        <w:rPr>
          <w:szCs w:val="24"/>
          <w:lang w:val="es-ES_tradnl"/>
        </w:rPr>
      </w:pPr>
      <w:r w:rsidRPr="008B7A21">
        <w:rPr>
          <w:szCs w:val="24"/>
          <w:lang w:val="es-ES_tradnl"/>
        </w:rPr>
        <w:t xml:space="preserve">ORDEN </w:t>
      </w:r>
      <w:r w:rsidRPr="008B7A21">
        <w:rPr>
          <w:lang w:val="es-ES_tradnl"/>
        </w:rPr>
        <w:t>N.° </w:t>
      </w:r>
      <w:proofErr w:type="gramStart"/>
      <w:r w:rsidRPr="008B7A21">
        <w:rPr>
          <w:szCs w:val="24"/>
          <w:lang w:val="es-ES_tradnl"/>
        </w:rPr>
        <w:t>…….</w:t>
      </w:r>
      <w:proofErr w:type="gramEnd"/>
      <w:r w:rsidRPr="008B7A21">
        <w:rPr>
          <w:szCs w:val="24"/>
          <w:lang w:val="es-ES_tradnl"/>
        </w:rPr>
        <w:t>. DE …. QUE FIJA LAS CUANTÍAS DE LOS CÁNONES, IMPUESTOS Y TASAS SOBRE LAS RADIOCOMUNICACIONES</w:t>
      </w:r>
    </w:p>
    <w:p w14:paraId="71001906" w14:textId="77777777" w:rsidR="00F73D5B" w:rsidRPr="008B7A21" w:rsidRDefault="00F73D5B" w:rsidP="00F73D5B">
      <w:pPr>
        <w:rPr>
          <w:szCs w:val="24"/>
          <w:lang w:val="es-ES_tradnl"/>
        </w:rPr>
      </w:pPr>
      <w:r w:rsidRPr="008B7A21">
        <w:rPr>
          <w:szCs w:val="24"/>
          <w:lang w:val="es-ES_tradnl"/>
        </w:rPr>
        <w:t>EL MINISTRO DE INFRAESTRUCTURAS ECONÓMICAS</w:t>
      </w:r>
    </w:p>
    <w:p w14:paraId="2BCCF28B" w14:textId="77777777" w:rsidR="00F73D5B" w:rsidRPr="008B7A21" w:rsidRDefault="00F73D5B" w:rsidP="00F73D5B">
      <w:pPr>
        <w:rPr>
          <w:szCs w:val="24"/>
          <w:lang w:val="es-ES_tradnl"/>
        </w:rPr>
      </w:pPr>
      <w:r w:rsidRPr="008B7A21">
        <w:rPr>
          <w:szCs w:val="24"/>
          <w:lang w:val="es-ES_tradnl"/>
        </w:rPr>
        <w:t>EL MINISTRO DE ECONOMÍA Y HACIENDA</w:t>
      </w:r>
    </w:p>
    <w:p w14:paraId="70817F9B" w14:textId="77777777" w:rsidR="00F73D5B" w:rsidRPr="008B7A21" w:rsidRDefault="00F73D5B" w:rsidP="00F73D5B">
      <w:pPr>
        <w:rPr>
          <w:szCs w:val="24"/>
          <w:lang w:val="es-ES_tradnl"/>
        </w:rPr>
      </w:pPr>
      <w:r w:rsidRPr="008B7A21">
        <w:rPr>
          <w:szCs w:val="24"/>
          <w:lang w:val="es-ES_tradnl"/>
        </w:rPr>
        <w:t xml:space="preserve">Considerando la Ley </w:t>
      </w:r>
      <w:r w:rsidRPr="008B7A21">
        <w:rPr>
          <w:lang w:val="es-ES_tradnl"/>
        </w:rPr>
        <w:t>N.°</w:t>
      </w:r>
      <w:r w:rsidRPr="008B7A21">
        <w:rPr>
          <w:szCs w:val="24"/>
          <w:lang w:val="es-ES_tradnl"/>
        </w:rPr>
        <w:t xml:space="preserve"> 95-526 de 7 de julio de 1995 sobre Telecomunicaciones.</w:t>
      </w:r>
    </w:p>
    <w:p w14:paraId="33095798" w14:textId="77777777" w:rsidR="00F73D5B" w:rsidRPr="008B7A21" w:rsidRDefault="00F73D5B" w:rsidP="00F73D5B">
      <w:pPr>
        <w:rPr>
          <w:szCs w:val="24"/>
          <w:lang w:val="es-ES_tradnl"/>
        </w:rPr>
      </w:pPr>
      <w:r w:rsidRPr="008B7A21">
        <w:rPr>
          <w:szCs w:val="24"/>
          <w:lang w:val="es-ES_tradnl"/>
        </w:rPr>
        <w:t xml:space="preserve">Considerando el Decreto </w:t>
      </w:r>
      <w:r w:rsidRPr="008B7A21">
        <w:rPr>
          <w:lang w:val="es-ES_tradnl"/>
        </w:rPr>
        <w:t>N.°</w:t>
      </w:r>
      <w:r w:rsidRPr="008B7A21">
        <w:rPr>
          <w:szCs w:val="24"/>
          <w:lang w:val="es-ES_tradnl"/>
        </w:rPr>
        <w:t xml:space="preserve"> 95-554 de 19 de julio de 1995 que organiza y fija el funcionamiento de una entidad pública denominada Agence des Télécommunications de Côte d'Ivoire (ATCI).</w:t>
      </w:r>
    </w:p>
    <w:p w14:paraId="0872267B" w14:textId="77777777" w:rsidR="00F73D5B" w:rsidRPr="008B7A21" w:rsidRDefault="00F73D5B" w:rsidP="00F73D5B">
      <w:pPr>
        <w:rPr>
          <w:szCs w:val="24"/>
          <w:lang w:val="es-ES_tradnl"/>
        </w:rPr>
      </w:pPr>
      <w:r w:rsidRPr="008B7A21">
        <w:rPr>
          <w:szCs w:val="24"/>
          <w:lang w:val="es-ES_tradnl"/>
        </w:rPr>
        <w:t xml:space="preserve">Considerando el Decreto </w:t>
      </w:r>
      <w:r w:rsidRPr="008B7A21">
        <w:rPr>
          <w:lang w:val="es-ES_tradnl"/>
        </w:rPr>
        <w:t>N.°</w:t>
      </w:r>
      <w:r w:rsidRPr="008B7A21">
        <w:rPr>
          <w:szCs w:val="24"/>
          <w:lang w:val="es-ES_tradnl"/>
        </w:rPr>
        <w:t xml:space="preserve"> 96-PR/002 de 26 de enero de 1996 que nombra a los miembros del Gobierno y que fue modificado por el Decreto </w:t>
      </w:r>
      <w:r w:rsidRPr="008B7A21">
        <w:rPr>
          <w:lang w:val="es-ES_tradnl"/>
        </w:rPr>
        <w:t>N.°</w:t>
      </w:r>
      <w:r w:rsidRPr="008B7A21">
        <w:rPr>
          <w:szCs w:val="24"/>
          <w:lang w:val="es-ES_tradnl"/>
        </w:rPr>
        <w:t xml:space="preserve"> 96-PR/10 de 10 de agosto de 1996.</w:t>
      </w:r>
    </w:p>
    <w:p w14:paraId="1E3B025F" w14:textId="77777777" w:rsidR="00F73D5B" w:rsidRPr="008B7A21" w:rsidRDefault="00F73D5B" w:rsidP="00F73D5B">
      <w:pPr>
        <w:rPr>
          <w:szCs w:val="24"/>
          <w:lang w:val="es-ES_tradnl"/>
        </w:rPr>
      </w:pPr>
      <w:r w:rsidRPr="008B7A21">
        <w:rPr>
          <w:szCs w:val="24"/>
          <w:lang w:val="es-ES_tradnl"/>
        </w:rPr>
        <w:t xml:space="preserve">Considerando el Decreto </w:t>
      </w:r>
      <w:r w:rsidRPr="008B7A21">
        <w:rPr>
          <w:lang w:val="es-ES_tradnl"/>
        </w:rPr>
        <w:t>N.° </w:t>
      </w:r>
      <w:r w:rsidRPr="008B7A21">
        <w:rPr>
          <w:szCs w:val="24"/>
          <w:lang w:val="es-ES_tradnl"/>
        </w:rPr>
        <w:t>… que define los cánones, impuestos y tasas sobre las radiocomunicaciones.</w:t>
      </w:r>
    </w:p>
    <w:p w14:paraId="58D6A724" w14:textId="77777777" w:rsidR="00F73D5B" w:rsidRPr="008B7A21" w:rsidRDefault="00F73D5B" w:rsidP="00F73D5B">
      <w:pPr>
        <w:rPr>
          <w:szCs w:val="24"/>
          <w:lang w:val="es-ES_tradnl"/>
        </w:rPr>
      </w:pPr>
      <w:r w:rsidRPr="008B7A21">
        <w:rPr>
          <w:szCs w:val="24"/>
          <w:lang w:val="es-ES_tradnl"/>
        </w:rPr>
        <w:t>Considerando la necesidad del servicio.</w:t>
      </w:r>
    </w:p>
    <w:p w14:paraId="3DD6E57F" w14:textId="77777777" w:rsidR="00F73D5B" w:rsidRPr="008B7A21" w:rsidRDefault="00F73D5B" w:rsidP="00F73D5B">
      <w:pPr>
        <w:rPr>
          <w:szCs w:val="24"/>
          <w:lang w:val="es-ES_tradnl"/>
        </w:rPr>
      </w:pPr>
    </w:p>
    <w:p w14:paraId="782F15AC" w14:textId="77777777" w:rsidR="00F73D5B" w:rsidRPr="008B7A21" w:rsidRDefault="00F73D5B" w:rsidP="00F73D5B">
      <w:pPr>
        <w:jc w:val="center"/>
        <w:rPr>
          <w:b/>
          <w:bCs/>
          <w:sz w:val="28"/>
          <w:szCs w:val="28"/>
          <w:lang w:val="es-ES_tradnl"/>
        </w:rPr>
      </w:pPr>
      <w:r w:rsidRPr="008B7A21">
        <w:rPr>
          <w:b/>
          <w:bCs/>
          <w:sz w:val="28"/>
          <w:szCs w:val="28"/>
          <w:lang w:val="es-ES_tradnl"/>
        </w:rPr>
        <w:t>ORDENA</w:t>
      </w:r>
    </w:p>
    <w:p w14:paraId="415F4DD6" w14:textId="77777777" w:rsidR="00F73D5B" w:rsidRPr="008B7A21" w:rsidRDefault="00F73D5B" w:rsidP="00F73D5B">
      <w:pPr>
        <w:pStyle w:val="Headingb"/>
        <w:rPr>
          <w:lang w:val="es-ES_tradnl"/>
        </w:rPr>
      </w:pPr>
      <w:bookmarkStart w:id="2251" w:name="_Toc307922711"/>
      <w:bookmarkStart w:id="2252" w:name="_Toc307992060"/>
      <w:bookmarkStart w:id="2253" w:name="_Toc307993875"/>
      <w:bookmarkStart w:id="2254" w:name="_Toc307994095"/>
      <w:bookmarkStart w:id="2255" w:name="_Toc307996501"/>
      <w:bookmarkStart w:id="2256" w:name="_Toc499563155"/>
      <w:r w:rsidRPr="008B7A21">
        <w:rPr>
          <w:lang w:val="es-ES_tradnl"/>
        </w:rPr>
        <w:t>Artículo 1</w:t>
      </w:r>
      <w:bookmarkEnd w:id="2251"/>
      <w:bookmarkEnd w:id="2252"/>
      <w:bookmarkEnd w:id="2253"/>
      <w:bookmarkEnd w:id="2254"/>
      <w:bookmarkEnd w:id="2255"/>
      <w:bookmarkEnd w:id="2256"/>
    </w:p>
    <w:p w14:paraId="0039E961" w14:textId="77777777" w:rsidR="00F73D5B" w:rsidRPr="008B7A21" w:rsidRDefault="00F73D5B" w:rsidP="00F73D5B">
      <w:pPr>
        <w:rPr>
          <w:lang w:val="es-ES_tradnl"/>
        </w:rPr>
      </w:pPr>
      <w:r w:rsidRPr="008B7A21">
        <w:rPr>
          <w:lang w:val="es-ES_tradnl"/>
        </w:rPr>
        <w:t>La cuantía para los cánones, impuestos y tasas sobre redes radioeléctricas que deben pagarse de conformidad con las normas y reglamentos en vigor se fijan en el anexo a esta Orden.</w:t>
      </w:r>
    </w:p>
    <w:p w14:paraId="48BAF186" w14:textId="77777777" w:rsidR="00F73D5B" w:rsidRPr="008B7A21" w:rsidRDefault="00F73D5B" w:rsidP="00F73D5B">
      <w:pPr>
        <w:pStyle w:val="Headingb"/>
        <w:rPr>
          <w:lang w:val="es-ES_tradnl"/>
        </w:rPr>
      </w:pPr>
      <w:bookmarkStart w:id="2257" w:name="_Toc307922712"/>
      <w:bookmarkStart w:id="2258" w:name="_Toc307992061"/>
      <w:bookmarkStart w:id="2259" w:name="_Toc307993876"/>
      <w:bookmarkStart w:id="2260" w:name="_Toc307994096"/>
      <w:bookmarkStart w:id="2261" w:name="_Toc307996502"/>
      <w:bookmarkStart w:id="2262" w:name="_Toc499563156"/>
      <w:r w:rsidRPr="008B7A21">
        <w:rPr>
          <w:lang w:val="es-ES_tradnl"/>
        </w:rPr>
        <w:t>Artículo 2</w:t>
      </w:r>
      <w:bookmarkEnd w:id="2257"/>
      <w:bookmarkEnd w:id="2258"/>
      <w:bookmarkEnd w:id="2259"/>
      <w:bookmarkEnd w:id="2260"/>
      <w:bookmarkEnd w:id="2261"/>
      <w:bookmarkEnd w:id="2262"/>
    </w:p>
    <w:p w14:paraId="46D07FDE" w14:textId="77777777" w:rsidR="00F73D5B" w:rsidRPr="008B7A21" w:rsidRDefault="00F73D5B" w:rsidP="00F73D5B">
      <w:pPr>
        <w:rPr>
          <w:lang w:val="es-ES_tradnl"/>
        </w:rPr>
      </w:pPr>
      <w:r w:rsidRPr="008B7A21">
        <w:rPr>
          <w:lang w:val="es-ES_tradnl"/>
        </w:rPr>
        <w:t>La Agence des Télécommunications de Côte d'Ivoire tiene la responsabilidad de poner en práctica esta Orden que entrará en vigor en la fecha de su firma y su publicación en el Boletín Oficial de la República de Côte d'Ivoire.</w:t>
      </w:r>
    </w:p>
    <w:p w14:paraId="47C635E0" w14:textId="77777777" w:rsidR="00F73D5B" w:rsidRPr="008B7A21" w:rsidRDefault="00F73D5B" w:rsidP="00F73D5B">
      <w:pPr>
        <w:rPr>
          <w:lang w:val="es-ES_tradnl"/>
        </w:rPr>
      </w:pPr>
    </w:p>
    <w:p w14:paraId="1A0D9E21" w14:textId="77777777" w:rsidR="00F73D5B" w:rsidRPr="008B7A21" w:rsidRDefault="00F73D5B" w:rsidP="00F73D5B">
      <w:pPr>
        <w:jc w:val="center"/>
        <w:rPr>
          <w:lang w:val="es-ES_tradnl"/>
        </w:rPr>
      </w:pPr>
      <w:r w:rsidRPr="008B7A21">
        <w:rPr>
          <w:lang w:val="es-ES_tradnl"/>
        </w:rPr>
        <w:t xml:space="preserve">Hecho en Abidján en </w:t>
      </w:r>
      <w:proofErr w:type="gramStart"/>
      <w:r w:rsidRPr="008B7A21">
        <w:rPr>
          <w:lang w:val="es-ES_tradnl"/>
        </w:rPr>
        <w:t>…….</w:t>
      </w:r>
      <w:proofErr w:type="gramEnd"/>
      <w:r w:rsidRPr="008B7A21">
        <w:rPr>
          <w:lang w:val="es-ES_tradnl"/>
        </w:rPr>
        <w:t>.</w:t>
      </w:r>
    </w:p>
    <w:p w14:paraId="177823F8" w14:textId="77777777" w:rsidR="00F73D5B" w:rsidRPr="008B7A21" w:rsidRDefault="00F73D5B" w:rsidP="00F73D5B">
      <w:pPr>
        <w:rPr>
          <w:lang w:val="es-ES_tradnl"/>
        </w:rPr>
      </w:pPr>
    </w:p>
    <w:p w14:paraId="77089B9C" w14:textId="77777777" w:rsidR="00F73D5B" w:rsidRPr="008B7A21" w:rsidRDefault="00F73D5B" w:rsidP="00F73D5B">
      <w:pPr>
        <w:rPr>
          <w:lang w:val="es-ES_tradnl"/>
        </w:rPr>
      </w:pPr>
    </w:p>
    <w:p w14:paraId="2046AA8E" w14:textId="77777777" w:rsidR="00F73D5B" w:rsidRPr="008B7A21" w:rsidRDefault="00F73D5B" w:rsidP="00F73D5B">
      <w:pPr>
        <w:rPr>
          <w:lang w:val="es-ES_tradnl"/>
        </w:rPr>
      </w:pPr>
    </w:p>
    <w:p w14:paraId="5209DF3A" w14:textId="77777777" w:rsidR="00F73D5B" w:rsidRPr="008B7A21" w:rsidRDefault="00F73D5B" w:rsidP="00F73D5B">
      <w:pPr>
        <w:tabs>
          <w:tab w:val="clear" w:pos="794"/>
          <w:tab w:val="clear" w:pos="1191"/>
          <w:tab w:val="clear" w:pos="1588"/>
          <w:tab w:val="clear" w:pos="1985"/>
          <w:tab w:val="center" w:pos="1701"/>
          <w:tab w:val="center" w:pos="5670"/>
        </w:tabs>
        <w:rPr>
          <w:lang w:val="es-ES_tradnl"/>
        </w:rPr>
      </w:pPr>
      <w:r w:rsidRPr="008B7A21">
        <w:rPr>
          <w:lang w:val="es-ES_tradnl"/>
        </w:rPr>
        <w:t>El Ministro de Infraestructuras Económicas</w:t>
      </w:r>
      <w:r w:rsidRPr="008B7A21">
        <w:rPr>
          <w:lang w:val="es-ES_tradnl"/>
        </w:rPr>
        <w:tab/>
      </w:r>
      <w:r w:rsidRPr="008B7A21">
        <w:rPr>
          <w:lang w:val="es-ES_tradnl"/>
        </w:rPr>
        <w:tab/>
        <w:t>El Ministro de Economía y Hacienda</w:t>
      </w:r>
    </w:p>
    <w:p w14:paraId="5FC5A583" w14:textId="77777777" w:rsidR="00F73D5B" w:rsidRPr="008B7A21" w:rsidRDefault="00F73D5B" w:rsidP="00F73D5B">
      <w:pPr>
        <w:tabs>
          <w:tab w:val="clear" w:pos="794"/>
          <w:tab w:val="clear" w:pos="1191"/>
          <w:tab w:val="clear" w:pos="1588"/>
          <w:tab w:val="clear" w:pos="1985"/>
          <w:tab w:val="center" w:pos="1701"/>
          <w:tab w:val="center" w:pos="6237"/>
        </w:tabs>
        <w:rPr>
          <w:lang w:val="es-ES_tradnl"/>
        </w:rPr>
      </w:pPr>
      <w:r w:rsidRPr="008B7A21">
        <w:rPr>
          <w:lang w:val="es-ES_tradnl"/>
        </w:rPr>
        <w:tab/>
        <w:t>AKELE Ezan</w:t>
      </w:r>
      <w:r w:rsidRPr="008B7A21">
        <w:rPr>
          <w:lang w:val="es-ES_tradnl"/>
        </w:rPr>
        <w:tab/>
      </w:r>
      <w:r w:rsidRPr="008B7A21">
        <w:rPr>
          <w:lang w:val="es-ES_tradnl"/>
        </w:rPr>
        <w:tab/>
        <w:t>N'Goran NIAMIEN</w:t>
      </w:r>
    </w:p>
    <w:p w14:paraId="3C6B6C94" w14:textId="77777777" w:rsidR="00F73D5B" w:rsidRPr="008B7A21" w:rsidRDefault="00F73D5B" w:rsidP="00F73D5B">
      <w:pPr>
        <w:jc w:val="center"/>
        <w:rPr>
          <w:lang w:val="es-ES_tradnl"/>
        </w:rPr>
      </w:pPr>
      <w:r w:rsidRPr="008B7A21">
        <w:rPr>
          <w:lang w:val="es-ES_tradnl"/>
        </w:rPr>
        <w:br w:type="page"/>
      </w:r>
      <w:r w:rsidRPr="008B7A21">
        <w:rPr>
          <w:lang w:val="es-ES_tradnl"/>
        </w:rPr>
        <w:lastRenderedPageBreak/>
        <w:t>CUANTÍA DE LOS CÁNONES, IMPUESTOS Y TASAS</w:t>
      </w:r>
      <w:r w:rsidRPr="008B7A21">
        <w:rPr>
          <w:lang w:val="es-ES_tradnl"/>
        </w:rPr>
        <w:br/>
        <w:t>SOBRE REDES RADIOELÉCTRICAS</w:t>
      </w:r>
    </w:p>
    <w:p w14:paraId="00314961" w14:textId="77777777" w:rsidR="00F73D5B" w:rsidRPr="008B7A21" w:rsidRDefault="00F73D5B" w:rsidP="009207AE">
      <w:pPr>
        <w:pStyle w:val="Headingb"/>
        <w:spacing w:before="480" w:after="120"/>
        <w:rPr>
          <w:lang w:val="es-ES_tradnl"/>
        </w:rPr>
      </w:pPr>
      <w:bookmarkStart w:id="2263" w:name="_Toc306276912"/>
      <w:bookmarkStart w:id="2264" w:name="_Toc307921585"/>
      <w:bookmarkStart w:id="2265" w:name="_Toc307922152"/>
      <w:bookmarkStart w:id="2266" w:name="_Toc307922713"/>
      <w:bookmarkStart w:id="2267" w:name="_Toc307992062"/>
      <w:bookmarkStart w:id="2268" w:name="_Toc307993877"/>
      <w:bookmarkStart w:id="2269" w:name="_Toc307994097"/>
      <w:bookmarkStart w:id="2270" w:name="_Toc307995302"/>
      <w:bookmarkStart w:id="2271" w:name="_Toc307996503"/>
      <w:bookmarkStart w:id="2272" w:name="_Toc308010421"/>
      <w:bookmarkStart w:id="2273" w:name="_Toc499563157"/>
      <w:bookmarkStart w:id="2274" w:name="_Toc215835467"/>
      <w:r w:rsidRPr="008B7A21">
        <w:rPr>
          <w:lang w:val="es-ES_tradnl"/>
        </w:rPr>
        <w:t>A.</w:t>
      </w:r>
      <w:r w:rsidRPr="008B7A21">
        <w:rPr>
          <w:lang w:val="es-ES_tradnl"/>
        </w:rPr>
        <w:tab/>
        <w:t>SERVICIO DE RADIOCOMUNICACIONES TERRENALES</w:t>
      </w:r>
      <w:bookmarkEnd w:id="2263"/>
      <w:bookmarkEnd w:id="2264"/>
      <w:bookmarkEnd w:id="2265"/>
      <w:bookmarkEnd w:id="2266"/>
      <w:bookmarkEnd w:id="2267"/>
      <w:bookmarkEnd w:id="2268"/>
      <w:bookmarkEnd w:id="2269"/>
      <w:bookmarkEnd w:id="2270"/>
      <w:bookmarkEnd w:id="2271"/>
      <w:bookmarkEnd w:id="2272"/>
      <w:bookmarkEnd w:id="2273"/>
      <w:bookmarkEnd w:id="227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1303"/>
        <w:gridCol w:w="1229"/>
        <w:gridCol w:w="1501"/>
        <w:gridCol w:w="1500"/>
      </w:tblGrid>
      <w:tr w:rsidR="00F73D5B" w:rsidRPr="008B7A21" w14:paraId="47D7EF19" w14:textId="77777777" w:rsidTr="00767A6A">
        <w:trPr>
          <w:tblHeader/>
          <w:jc w:val="center"/>
        </w:trPr>
        <w:tc>
          <w:tcPr>
            <w:tcW w:w="4106" w:type="dxa"/>
            <w:vAlign w:val="center"/>
          </w:tcPr>
          <w:p w14:paraId="7DD8B905" w14:textId="77777777" w:rsidR="00F73D5B" w:rsidRPr="008B7A21" w:rsidRDefault="00F73D5B" w:rsidP="00767A6A">
            <w:pPr>
              <w:pStyle w:val="Tablehead"/>
              <w:rPr>
                <w:sz w:val="16"/>
                <w:szCs w:val="16"/>
                <w:lang w:val="es-ES_tradnl"/>
              </w:rPr>
            </w:pPr>
            <w:r w:rsidRPr="008B7A21">
              <w:rPr>
                <w:sz w:val="16"/>
                <w:szCs w:val="16"/>
                <w:lang w:val="es-ES_tradnl"/>
              </w:rPr>
              <w:t>REDES O ESTACIONES</w:t>
            </w:r>
          </w:p>
        </w:tc>
        <w:tc>
          <w:tcPr>
            <w:tcW w:w="1303" w:type="dxa"/>
            <w:vAlign w:val="center"/>
          </w:tcPr>
          <w:p w14:paraId="7E3EEA27" w14:textId="77777777" w:rsidR="00F73D5B" w:rsidRPr="008B7A21" w:rsidRDefault="00F73D5B" w:rsidP="00767A6A">
            <w:pPr>
              <w:pStyle w:val="Tablehead"/>
              <w:rPr>
                <w:sz w:val="16"/>
                <w:szCs w:val="16"/>
                <w:lang w:val="es-ES_tradnl"/>
              </w:rPr>
            </w:pPr>
            <w:r w:rsidRPr="008B7A21">
              <w:rPr>
                <w:sz w:val="16"/>
                <w:szCs w:val="16"/>
                <w:lang w:val="es-ES_tradnl"/>
              </w:rPr>
              <w:t>Canon por tramitación de expedientes</w:t>
            </w:r>
          </w:p>
        </w:tc>
        <w:tc>
          <w:tcPr>
            <w:tcW w:w="1229" w:type="dxa"/>
            <w:vAlign w:val="center"/>
          </w:tcPr>
          <w:p w14:paraId="4EA9D3A0" w14:textId="77777777" w:rsidR="00F73D5B" w:rsidRPr="008B7A21" w:rsidRDefault="00F73D5B" w:rsidP="00767A6A">
            <w:pPr>
              <w:pStyle w:val="Tablehead"/>
              <w:rPr>
                <w:sz w:val="16"/>
                <w:szCs w:val="16"/>
                <w:lang w:val="es-ES_tradnl"/>
              </w:rPr>
            </w:pPr>
            <w:r w:rsidRPr="008B7A21">
              <w:rPr>
                <w:sz w:val="16"/>
                <w:szCs w:val="16"/>
                <w:lang w:val="es-ES_tradnl"/>
              </w:rPr>
              <w:t>Cánones por visitas o control de las estaciones en CFA</w:t>
            </w:r>
          </w:p>
        </w:tc>
        <w:tc>
          <w:tcPr>
            <w:tcW w:w="1501" w:type="dxa"/>
            <w:vAlign w:val="center"/>
          </w:tcPr>
          <w:p w14:paraId="64288BE5" w14:textId="77777777" w:rsidR="00F73D5B" w:rsidRPr="008B7A21" w:rsidRDefault="00F73D5B" w:rsidP="00767A6A">
            <w:pPr>
              <w:pStyle w:val="Tablehead"/>
              <w:rPr>
                <w:sz w:val="16"/>
                <w:szCs w:val="16"/>
                <w:lang w:val="es-ES_tradnl"/>
              </w:rPr>
            </w:pPr>
            <w:r w:rsidRPr="008B7A21">
              <w:rPr>
                <w:sz w:val="16"/>
                <w:szCs w:val="16"/>
                <w:lang w:val="es-ES_tradnl"/>
              </w:rPr>
              <w:t>Contribución a los costes de gestión</w:t>
            </w:r>
          </w:p>
        </w:tc>
        <w:tc>
          <w:tcPr>
            <w:tcW w:w="1500" w:type="dxa"/>
            <w:vAlign w:val="center"/>
          </w:tcPr>
          <w:p w14:paraId="028BCA2E" w14:textId="77777777" w:rsidR="00F73D5B" w:rsidRPr="008B7A21" w:rsidRDefault="00F73D5B" w:rsidP="00767A6A">
            <w:pPr>
              <w:pStyle w:val="Tablehead"/>
              <w:rPr>
                <w:sz w:val="16"/>
                <w:szCs w:val="16"/>
                <w:lang w:val="es-ES_tradnl"/>
              </w:rPr>
            </w:pPr>
            <w:r w:rsidRPr="008B7A21">
              <w:rPr>
                <w:sz w:val="16"/>
                <w:szCs w:val="16"/>
                <w:lang w:val="es-ES_tradnl"/>
              </w:rPr>
              <w:t>Tasas por el uso de frecuencias o de canales radioeléctricos</w:t>
            </w:r>
          </w:p>
        </w:tc>
      </w:tr>
      <w:tr w:rsidR="00F73D5B" w:rsidRPr="008B7A21" w14:paraId="3104A66E" w14:textId="77777777" w:rsidTr="00767A6A">
        <w:trPr>
          <w:jc w:val="center"/>
        </w:trPr>
        <w:tc>
          <w:tcPr>
            <w:tcW w:w="4106" w:type="dxa"/>
          </w:tcPr>
          <w:p w14:paraId="41FC6841" w14:textId="77777777" w:rsidR="00F73D5B" w:rsidRPr="008B7A21" w:rsidRDefault="00F73D5B" w:rsidP="00767A6A">
            <w:pPr>
              <w:pStyle w:val="Tabletext"/>
              <w:ind w:left="284" w:hanging="284"/>
              <w:jc w:val="left"/>
              <w:rPr>
                <w:sz w:val="16"/>
                <w:szCs w:val="16"/>
                <w:lang w:val="es-ES_tradnl"/>
              </w:rPr>
            </w:pPr>
            <w:r w:rsidRPr="008B7A21">
              <w:rPr>
                <w:sz w:val="16"/>
                <w:szCs w:val="16"/>
                <w:lang w:val="es-ES_tradnl"/>
              </w:rPr>
              <w:t>I</w:t>
            </w:r>
            <w:r w:rsidRPr="008B7A21">
              <w:rPr>
                <w:sz w:val="16"/>
                <w:szCs w:val="16"/>
                <w:lang w:val="es-ES_tradnl"/>
              </w:rPr>
              <w:tab/>
              <w:t>REDES FIJAS Y REDES TERRENALES MÓVILES INDEPENDIENTES PARA USO PRIVADO (servicios sin ánimo de lucro)</w:t>
            </w:r>
          </w:p>
        </w:tc>
        <w:tc>
          <w:tcPr>
            <w:tcW w:w="1303" w:type="dxa"/>
          </w:tcPr>
          <w:p w14:paraId="0B384BC0" w14:textId="77777777" w:rsidR="00F73D5B" w:rsidRPr="008B7A21" w:rsidRDefault="00F73D5B" w:rsidP="00767A6A">
            <w:pPr>
              <w:pStyle w:val="Tabletext"/>
              <w:rPr>
                <w:sz w:val="16"/>
                <w:szCs w:val="16"/>
                <w:lang w:val="es-ES_tradnl"/>
              </w:rPr>
            </w:pPr>
          </w:p>
        </w:tc>
        <w:tc>
          <w:tcPr>
            <w:tcW w:w="1229" w:type="dxa"/>
          </w:tcPr>
          <w:p w14:paraId="09BEB8D4" w14:textId="77777777" w:rsidR="00F73D5B" w:rsidRPr="008B7A21" w:rsidRDefault="00F73D5B" w:rsidP="00767A6A">
            <w:pPr>
              <w:pStyle w:val="Tabletext"/>
              <w:rPr>
                <w:sz w:val="16"/>
                <w:szCs w:val="16"/>
                <w:lang w:val="es-ES_tradnl"/>
              </w:rPr>
            </w:pPr>
          </w:p>
        </w:tc>
        <w:tc>
          <w:tcPr>
            <w:tcW w:w="1501" w:type="dxa"/>
          </w:tcPr>
          <w:p w14:paraId="74C559B4" w14:textId="77777777" w:rsidR="00F73D5B" w:rsidRPr="008B7A21" w:rsidRDefault="00F73D5B" w:rsidP="00767A6A">
            <w:pPr>
              <w:pStyle w:val="Tabletext"/>
              <w:rPr>
                <w:sz w:val="16"/>
                <w:szCs w:val="16"/>
                <w:lang w:val="es-ES_tradnl"/>
              </w:rPr>
            </w:pPr>
          </w:p>
        </w:tc>
        <w:tc>
          <w:tcPr>
            <w:tcW w:w="1500" w:type="dxa"/>
          </w:tcPr>
          <w:p w14:paraId="520F538A" w14:textId="77777777" w:rsidR="00F73D5B" w:rsidRPr="008B7A21" w:rsidRDefault="00F73D5B" w:rsidP="00767A6A">
            <w:pPr>
              <w:pStyle w:val="Tabletext"/>
              <w:rPr>
                <w:sz w:val="16"/>
                <w:szCs w:val="16"/>
                <w:lang w:val="es-ES_tradnl"/>
              </w:rPr>
            </w:pPr>
          </w:p>
        </w:tc>
      </w:tr>
      <w:tr w:rsidR="00F73D5B" w:rsidRPr="008B7A21" w14:paraId="4791DCF4" w14:textId="77777777" w:rsidTr="00767A6A">
        <w:trPr>
          <w:jc w:val="center"/>
        </w:trPr>
        <w:tc>
          <w:tcPr>
            <w:tcW w:w="4106" w:type="dxa"/>
          </w:tcPr>
          <w:p w14:paraId="1A71A6E0" w14:textId="77777777" w:rsidR="00F73D5B" w:rsidRPr="008B7A21" w:rsidRDefault="00F73D5B" w:rsidP="00767A6A">
            <w:pPr>
              <w:pStyle w:val="Tabletext"/>
              <w:tabs>
                <w:tab w:val="clear" w:pos="284"/>
                <w:tab w:val="left" w:pos="171"/>
              </w:tabs>
              <w:ind w:left="313" w:hanging="313"/>
              <w:jc w:val="left"/>
              <w:rPr>
                <w:sz w:val="16"/>
                <w:szCs w:val="16"/>
                <w:lang w:val="es-ES_tradnl"/>
              </w:rPr>
            </w:pPr>
            <w:r w:rsidRPr="008B7A21">
              <w:rPr>
                <w:sz w:val="16"/>
                <w:szCs w:val="16"/>
                <w:lang w:val="es-ES_tradnl"/>
              </w:rPr>
              <w:t>I.1 – Red radioeléctrica en ondas métricas y decimétricas</w:t>
            </w:r>
            <w:r w:rsidRPr="008B7A21">
              <w:rPr>
                <w:sz w:val="16"/>
                <w:szCs w:val="16"/>
                <w:lang w:val="es-ES_tradnl"/>
              </w:rPr>
              <w:br/>
              <w:t xml:space="preserve"> (Anchura de banda = 12,5 KHz)</w:t>
            </w:r>
          </w:p>
        </w:tc>
        <w:tc>
          <w:tcPr>
            <w:tcW w:w="1303" w:type="dxa"/>
          </w:tcPr>
          <w:p w14:paraId="151B9BD8" w14:textId="77777777" w:rsidR="00F73D5B" w:rsidRPr="008B7A21" w:rsidRDefault="00F73D5B" w:rsidP="00767A6A">
            <w:pPr>
              <w:pStyle w:val="Tabletext"/>
              <w:rPr>
                <w:sz w:val="16"/>
                <w:szCs w:val="16"/>
                <w:lang w:val="es-ES_tradnl"/>
              </w:rPr>
            </w:pPr>
            <w:r w:rsidRPr="008B7A21">
              <w:rPr>
                <w:sz w:val="16"/>
                <w:szCs w:val="16"/>
                <w:lang w:val="es-ES_tradnl"/>
              </w:rPr>
              <w:t>11 600</w:t>
            </w:r>
          </w:p>
        </w:tc>
        <w:tc>
          <w:tcPr>
            <w:tcW w:w="1229" w:type="dxa"/>
          </w:tcPr>
          <w:p w14:paraId="5F367759" w14:textId="77777777" w:rsidR="00F73D5B" w:rsidRPr="008B7A21" w:rsidRDefault="00F73D5B" w:rsidP="00767A6A">
            <w:pPr>
              <w:pStyle w:val="Tabletext"/>
              <w:rPr>
                <w:sz w:val="16"/>
                <w:szCs w:val="16"/>
                <w:lang w:val="es-ES_tradnl"/>
              </w:rPr>
            </w:pPr>
          </w:p>
        </w:tc>
        <w:tc>
          <w:tcPr>
            <w:tcW w:w="1501" w:type="dxa"/>
          </w:tcPr>
          <w:p w14:paraId="478D6EEB" w14:textId="77777777" w:rsidR="00F73D5B" w:rsidRPr="008B7A21" w:rsidRDefault="00F73D5B" w:rsidP="00767A6A">
            <w:pPr>
              <w:pStyle w:val="Tabletext"/>
              <w:rPr>
                <w:sz w:val="16"/>
                <w:szCs w:val="16"/>
                <w:lang w:val="es-ES_tradnl"/>
              </w:rPr>
            </w:pPr>
          </w:p>
        </w:tc>
        <w:tc>
          <w:tcPr>
            <w:tcW w:w="1500" w:type="dxa"/>
          </w:tcPr>
          <w:p w14:paraId="17E50231" w14:textId="77777777" w:rsidR="00F73D5B" w:rsidRPr="008B7A21" w:rsidRDefault="00F73D5B" w:rsidP="00767A6A">
            <w:pPr>
              <w:pStyle w:val="Tabletext"/>
              <w:rPr>
                <w:sz w:val="16"/>
                <w:szCs w:val="16"/>
                <w:lang w:val="es-ES_tradnl"/>
              </w:rPr>
            </w:pPr>
          </w:p>
        </w:tc>
      </w:tr>
      <w:tr w:rsidR="00F73D5B" w:rsidRPr="008B7A21" w14:paraId="5C3977E6" w14:textId="77777777" w:rsidTr="00767A6A">
        <w:trPr>
          <w:jc w:val="center"/>
        </w:trPr>
        <w:tc>
          <w:tcPr>
            <w:tcW w:w="4106" w:type="dxa"/>
          </w:tcPr>
          <w:p w14:paraId="41D65D99" w14:textId="77777777" w:rsidR="00F73D5B" w:rsidRPr="008B7A21" w:rsidRDefault="00F73D5B" w:rsidP="00767A6A">
            <w:pPr>
              <w:pStyle w:val="Tabletext"/>
              <w:spacing w:before="0"/>
              <w:jc w:val="left"/>
              <w:rPr>
                <w:sz w:val="16"/>
                <w:szCs w:val="16"/>
                <w:lang w:val="es-ES_tradnl"/>
              </w:rPr>
            </w:pPr>
            <w:r w:rsidRPr="008B7A21">
              <w:rPr>
                <w:sz w:val="16"/>
                <w:szCs w:val="16"/>
                <w:lang w:val="es-ES_tradnl"/>
              </w:rPr>
              <w:t>a1. Potencia transmitida igual o inferior a 10 W</w:t>
            </w:r>
          </w:p>
          <w:p w14:paraId="57D19211" w14:textId="77777777" w:rsidR="00F73D5B" w:rsidRPr="008B7A21" w:rsidRDefault="00F73D5B" w:rsidP="00767A6A">
            <w:pPr>
              <w:pStyle w:val="Tabletext"/>
              <w:jc w:val="left"/>
              <w:rPr>
                <w:sz w:val="16"/>
                <w:szCs w:val="16"/>
                <w:lang w:val="es-ES_tradnl"/>
              </w:rPr>
            </w:pPr>
            <w:r w:rsidRPr="008B7A21">
              <w:rPr>
                <w:sz w:val="16"/>
                <w:szCs w:val="16"/>
                <w:lang w:val="es-ES_tradnl"/>
              </w:rPr>
              <w:t>a2. Potencia transmitida entre 10 y 25 W</w:t>
            </w:r>
          </w:p>
          <w:p w14:paraId="1DDD8E10" w14:textId="77777777" w:rsidR="00F73D5B" w:rsidRPr="008B7A21" w:rsidRDefault="00F73D5B" w:rsidP="00767A6A">
            <w:pPr>
              <w:pStyle w:val="Tabletext"/>
              <w:jc w:val="left"/>
              <w:rPr>
                <w:sz w:val="16"/>
                <w:szCs w:val="16"/>
                <w:lang w:val="es-ES_tradnl"/>
              </w:rPr>
            </w:pPr>
            <w:r w:rsidRPr="008B7A21">
              <w:rPr>
                <w:sz w:val="16"/>
                <w:szCs w:val="16"/>
                <w:lang w:val="es-ES_tradnl"/>
              </w:rPr>
              <w:t>a3. Potencia transmitida superior a 25 W</w:t>
            </w:r>
          </w:p>
        </w:tc>
        <w:tc>
          <w:tcPr>
            <w:tcW w:w="1303" w:type="dxa"/>
          </w:tcPr>
          <w:p w14:paraId="579FC744" w14:textId="77777777" w:rsidR="00F73D5B" w:rsidRPr="008B7A21" w:rsidRDefault="00F73D5B" w:rsidP="00767A6A">
            <w:pPr>
              <w:pStyle w:val="Tabletext"/>
              <w:rPr>
                <w:sz w:val="16"/>
                <w:szCs w:val="16"/>
                <w:lang w:val="es-ES_tradnl"/>
              </w:rPr>
            </w:pPr>
          </w:p>
        </w:tc>
        <w:tc>
          <w:tcPr>
            <w:tcW w:w="1229" w:type="dxa"/>
          </w:tcPr>
          <w:p w14:paraId="27AC522C" w14:textId="77777777" w:rsidR="00F73D5B" w:rsidRPr="008B7A21" w:rsidRDefault="00F73D5B" w:rsidP="00767A6A">
            <w:pPr>
              <w:pStyle w:val="Tabletext"/>
              <w:rPr>
                <w:sz w:val="16"/>
                <w:szCs w:val="16"/>
                <w:lang w:val="es-ES_tradnl"/>
              </w:rPr>
            </w:pPr>
            <w:r w:rsidRPr="008B7A21">
              <w:rPr>
                <w:sz w:val="16"/>
                <w:szCs w:val="16"/>
                <w:lang w:val="es-ES_tradnl"/>
              </w:rPr>
              <w:t>87 000</w:t>
            </w:r>
          </w:p>
          <w:p w14:paraId="18D92CFE" w14:textId="77777777" w:rsidR="00F73D5B" w:rsidRPr="008B7A21" w:rsidRDefault="00F73D5B" w:rsidP="00767A6A">
            <w:pPr>
              <w:pStyle w:val="Tabletext"/>
              <w:rPr>
                <w:sz w:val="16"/>
                <w:szCs w:val="16"/>
                <w:lang w:val="es-ES_tradnl"/>
              </w:rPr>
            </w:pPr>
            <w:r w:rsidRPr="008B7A21">
              <w:rPr>
                <w:sz w:val="16"/>
                <w:szCs w:val="16"/>
                <w:lang w:val="es-ES_tradnl"/>
              </w:rPr>
              <w:t>14 500</w:t>
            </w:r>
          </w:p>
          <w:p w14:paraId="5E9FB8EE" w14:textId="77777777" w:rsidR="00F73D5B" w:rsidRPr="008B7A21" w:rsidRDefault="00F73D5B" w:rsidP="00767A6A">
            <w:pPr>
              <w:pStyle w:val="Tabletext"/>
              <w:rPr>
                <w:sz w:val="16"/>
                <w:szCs w:val="16"/>
                <w:lang w:val="es-ES_tradnl"/>
              </w:rPr>
            </w:pPr>
            <w:r w:rsidRPr="008B7A21">
              <w:rPr>
                <w:sz w:val="16"/>
                <w:szCs w:val="16"/>
                <w:lang w:val="es-ES_tradnl"/>
              </w:rPr>
              <w:t>58 000</w:t>
            </w:r>
          </w:p>
        </w:tc>
        <w:tc>
          <w:tcPr>
            <w:tcW w:w="1501" w:type="dxa"/>
          </w:tcPr>
          <w:p w14:paraId="30866631" w14:textId="77777777" w:rsidR="00F73D5B" w:rsidRPr="008B7A21" w:rsidRDefault="00F73D5B" w:rsidP="00767A6A">
            <w:pPr>
              <w:pStyle w:val="Tabletext"/>
              <w:rPr>
                <w:sz w:val="16"/>
                <w:szCs w:val="16"/>
                <w:lang w:val="es-ES_tradnl"/>
              </w:rPr>
            </w:pPr>
          </w:p>
        </w:tc>
        <w:tc>
          <w:tcPr>
            <w:tcW w:w="1500" w:type="dxa"/>
          </w:tcPr>
          <w:p w14:paraId="2F0B3693" w14:textId="77777777" w:rsidR="00F73D5B" w:rsidRPr="008B7A21" w:rsidRDefault="00F73D5B" w:rsidP="00767A6A">
            <w:pPr>
              <w:pStyle w:val="Tabletext"/>
              <w:rPr>
                <w:sz w:val="16"/>
                <w:szCs w:val="16"/>
                <w:lang w:val="es-ES_tradnl"/>
              </w:rPr>
            </w:pPr>
          </w:p>
        </w:tc>
      </w:tr>
      <w:tr w:rsidR="00F73D5B" w:rsidRPr="008B7A21" w14:paraId="247A529C" w14:textId="77777777" w:rsidTr="00767A6A">
        <w:trPr>
          <w:jc w:val="center"/>
        </w:trPr>
        <w:tc>
          <w:tcPr>
            <w:tcW w:w="4106" w:type="dxa"/>
          </w:tcPr>
          <w:p w14:paraId="23B98BDF" w14:textId="77777777" w:rsidR="00F73D5B" w:rsidRPr="008B7A21" w:rsidRDefault="00F73D5B" w:rsidP="00767A6A">
            <w:pPr>
              <w:pStyle w:val="Tabletext"/>
              <w:jc w:val="left"/>
              <w:rPr>
                <w:sz w:val="16"/>
                <w:szCs w:val="16"/>
                <w:lang w:val="es-ES_tradnl"/>
              </w:rPr>
            </w:pPr>
            <w:r w:rsidRPr="008B7A21">
              <w:rPr>
                <w:sz w:val="16"/>
                <w:szCs w:val="16"/>
                <w:lang w:val="es-ES_tradnl"/>
              </w:rPr>
              <w:t>b1. Enlaces locales sin relevador (menos de 10 km)</w:t>
            </w:r>
          </w:p>
          <w:p w14:paraId="2037B145" w14:textId="77777777" w:rsidR="00F73D5B" w:rsidRPr="008B7A21" w:rsidRDefault="00F73D5B" w:rsidP="00767A6A">
            <w:pPr>
              <w:pStyle w:val="Tabletext"/>
              <w:jc w:val="left"/>
              <w:rPr>
                <w:sz w:val="16"/>
                <w:szCs w:val="16"/>
                <w:lang w:val="es-ES_tradnl"/>
              </w:rPr>
            </w:pPr>
            <w:r w:rsidRPr="008B7A21">
              <w:rPr>
                <w:sz w:val="16"/>
                <w:szCs w:val="16"/>
                <w:lang w:val="es-ES_tradnl"/>
              </w:rPr>
              <w:t>b2. Enlaces locales con relevador (menos de 25 km)</w:t>
            </w:r>
          </w:p>
          <w:p w14:paraId="139873F1" w14:textId="77777777" w:rsidR="00F73D5B" w:rsidRPr="008B7A21" w:rsidRDefault="00F73D5B" w:rsidP="00767A6A">
            <w:pPr>
              <w:pStyle w:val="Tabletext"/>
              <w:jc w:val="left"/>
              <w:rPr>
                <w:sz w:val="16"/>
                <w:szCs w:val="16"/>
                <w:lang w:val="es-ES_tradnl"/>
              </w:rPr>
            </w:pPr>
            <w:r w:rsidRPr="008B7A21">
              <w:rPr>
                <w:sz w:val="16"/>
                <w:szCs w:val="16"/>
                <w:lang w:val="es-ES_tradnl"/>
              </w:rPr>
              <w:t>b3. Enlaces locales en Abidján</w:t>
            </w:r>
          </w:p>
        </w:tc>
        <w:tc>
          <w:tcPr>
            <w:tcW w:w="1303" w:type="dxa"/>
          </w:tcPr>
          <w:p w14:paraId="5AA4B027" w14:textId="77777777" w:rsidR="00F73D5B" w:rsidRPr="008B7A21" w:rsidRDefault="00F73D5B" w:rsidP="00767A6A">
            <w:pPr>
              <w:pStyle w:val="Tabletext"/>
              <w:rPr>
                <w:sz w:val="16"/>
                <w:szCs w:val="16"/>
                <w:lang w:val="es-ES_tradnl"/>
              </w:rPr>
            </w:pPr>
          </w:p>
        </w:tc>
        <w:tc>
          <w:tcPr>
            <w:tcW w:w="1229" w:type="dxa"/>
          </w:tcPr>
          <w:p w14:paraId="7B06AC92" w14:textId="77777777" w:rsidR="00F73D5B" w:rsidRPr="008B7A21" w:rsidRDefault="00F73D5B" w:rsidP="00767A6A">
            <w:pPr>
              <w:pStyle w:val="Tabletext"/>
              <w:rPr>
                <w:sz w:val="16"/>
                <w:szCs w:val="16"/>
                <w:lang w:val="es-ES_tradnl"/>
              </w:rPr>
            </w:pPr>
          </w:p>
        </w:tc>
        <w:tc>
          <w:tcPr>
            <w:tcW w:w="1501" w:type="dxa"/>
          </w:tcPr>
          <w:p w14:paraId="4A17462A" w14:textId="77777777" w:rsidR="00F73D5B" w:rsidRPr="008B7A21" w:rsidRDefault="00F73D5B" w:rsidP="00767A6A">
            <w:pPr>
              <w:pStyle w:val="Tabletext"/>
              <w:rPr>
                <w:sz w:val="16"/>
                <w:szCs w:val="16"/>
                <w:lang w:val="es-ES_tradnl"/>
              </w:rPr>
            </w:pPr>
          </w:p>
        </w:tc>
        <w:tc>
          <w:tcPr>
            <w:tcW w:w="1500" w:type="dxa"/>
          </w:tcPr>
          <w:p w14:paraId="79EB8D19" w14:textId="77777777" w:rsidR="00F73D5B" w:rsidRPr="008B7A21" w:rsidRDefault="00F73D5B" w:rsidP="00767A6A">
            <w:pPr>
              <w:pStyle w:val="Tabletext"/>
              <w:rPr>
                <w:sz w:val="16"/>
                <w:szCs w:val="16"/>
                <w:lang w:val="es-ES_tradnl"/>
              </w:rPr>
            </w:pPr>
            <w:r w:rsidRPr="008B7A21">
              <w:rPr>
                <w:sz w:val="16"/>
                <w:szCs w:val="16"/>
                <w:lang w:val="es-ES_tradnl"/>
              </w:rPr>
              <w:t>1 450 000</w:t>
            </w:r>
          </w:p>
          <w:p w14:paraId="5C910219" w14:textId="77777777" w:rsidR="00F73D5B" w:rsidRPr="008B7A21" w:rsidRDefault="00F73D5B" w:rsidP="00767A6A">
            <w:pPr>
              <w:pStyle w:val="Tabletext"/>
              <w:rPr>
                <w:sz w:val="16"/>
                <w:szCs w:val="16"/>
                <w:lang w:val="es-ES_tradnl"/>
              </w:rPr>
            </w:pPr>
            <w:r w:rsidRPr="008B7A21">
              <w:rPr>
                <w:sz w:val="16"/>
                <w:szCs w:val="16"/>
                <w:lang w:val="es-ES_tradnl"/>
              </w:rPr>
              <w:t>362 500</w:t>
            </w:r>
          </w:p>
          <w:p w14:paraId="420A6966" w14:textId="138FE908" w:rsidR="00F73D5B" w:rsidRPr="008B7A21" w:rsidRDefault="003C4963" w:rsidP="00767A6A">
            <w:pPr>
              <w:pStyle w:val="Tabletext"/>
              <w:rPr>
                <w:sz w:val="16"/>
                <w:szCs w:val="16"/>
                <w:lang w:val="es-ES_tradnl"/>
              </w:rPr>
            </w:pPr>
            <w:r>
              <w:rPr>
                <w:sz w:val="16"/>
                <w:szCs w:val="16"/>
                <w:lang w:val="es-ES_tradnl"/>
              </w:rPr>
              <w:t>El doble de los impuestos</w:t>
            </w:r>
          </w:p>
        </w:tc>
      </w:tr>
      <w:tr w:rsidR="00F73D5B" w:rsidRPr="008B7A21" w14:paraId="7624A85F" w14:textId="77777777" w:rsidTr="00767A6A">
        <w:trPr>
          <w:jc w:val="center"/>
        </w:trPr>
        <w:tc>
          <w:tcPr>
            <w:tcW w:w="4106" w:type="dxa"/>
          </w:tcPr>
          <w:p w14:paraId="03BFFB60" w14:textId="77777777" w:rsidR="00F73D5B" w:rsidRPr="008B7A21" w:rsidRDefault="00F73D5B" w:rsidP="00767A6A">
            <w:pPr>
              <w:pStyle w:val="Tabletext"/>
              <w:jc w:val="left"/>
              <w:rPr>
                <w:sz w:val="16"/>
                <w:szCs w:val="16"/>
                <w:lang w:val="es-ES_tradnl"/>
              </w:rPr>
            </w:pPr>
            <w:r w:rsidRPr="008B7A21">
              <w:rPr>
                <w:sz w:val="16"/>
                <w:szCs w:val="16"/>
                <w:lang w:val="es-ES_tradnl"/>
              </w:rPr>
              <w:t>c1. Red con menos de 10 equipos en Abidján</w:t>
            </w:r>
          </w:p>
          <w:p w14:paraId="771B3709" w14:textId="77777777" w:rsidR="00F73D5B" w:rsidRPr="008B7A21" w:rsidRDefault="00F73D5B" w:rsidP="00767A6A">
            <w:pPr>
              <w:pStyle w:val="Tabletext"/>
              <w:jc w:val="left"/>
              <w:rPr>
                <w:sz w:val="16"/>
                <w:szCs w:val="16"/>
                <w:lang w:val="es-ES_tradnl"/>
              </w:rPr>
            </w:pPr>
            <w:r w:rsidRPr="008B7A21">
              <w:rPr>
                <w:sz w:val="16"/>
                <w:szCs w:val="16"/>
                <w:lang w:val="es-ES_tradnl"/>
              </w:rPr>
              <w:t>c2. Red con entre 10 a 50 equipos en Abidján</w:t>
            </w:r>
          </w:p>
          <w:p w14:paraId="6A1B5811" w14:textId="77777777" w:rsidR="00F73D5B" w:rsidRPr="008B7A21" w:rsidRDefault="00F73D5B" w:rsidP="00767A6A">
            <w:pPr>
              <w:pStyle w:val="Tabletext"/>
              <w:jc w:val="left"/>
              <w:rPr>
                <w:sz w:val="16"/>
                <w:szCs w:val="16"/>
                <w:lang w:val="es-ES_tradnl"/>
              </w:rPr>
            </w:pPr>
            <w:r w:rsidRPr="008B7A21">
              <w:rPr>
                <w:sz w:val="16"/>
                <w:szCs w:val="16"/>
                <w:lang w:val="es-ES_tradnl"/>
              </w:rPr>
              <w:t>c3. Red con más de 50 equipos en Abidján</w:t>
            </w:r>
          </w:p>
          <w:p w14:paraId="360E717F" w14:textId="77777777" w:rsidR="00F73D5B" w:rsidRPr="008B7A21" w:rsidRDefault="00F73D5B" w:rsidP="00767A6A">
            <w:pPr>
              <w:pStyle w:val="Tabletext"/>
              <w:jc w:val="left"/>
              <w:rPr>
                <w:sz w:val="16"/>
                <w:szCs w:val="16"/>
                <w:lang w:val="es-ES_tradnl"/>
              </w:rPr>
            </w:pPr>
            <w:r w:rsidRPr="008B7A21">
              <w:rPr>
                <w:sz w:val="16"/>
                <w:szCs w:val="16"/>
                <w:lang w:val="es-ES_tradnl"/>
              </w:rPr>
              <w:t>c4. Red fuera de Abidján</w:t>
            </w:r>
          </w:p>
        </w:tc>
        <w:tc>
          <w:tcPr>
            <w:tcW w:w="1303" w:type="dxa"/>
          </w:tcPr>
          <w:p w14:paraId="6324EF80" w14:textId="77777777" w:rsidR="00F73D5B" w:rsidRPr="008B7A21" w:rsidRDefault="00F73D5B" w:rsidP="00767A6A">
            <w:pPr>
              <w:pStyle w:val="Tabletext"/>
              <w:rPr>
                <w:sz w:val="16"/>
                <w:szCs w:val="16"/>
                <w:lang w:val="es-ES_tradnl"/>
              </w:rPr>
            </w:pPr>
          </w:p>
        </w:tc>
        <w:tc>
          <w:tcPr>
            <w:tcW w:w="1229" w:type="dxa"/>
          </w:tcPr>
          <w:p w14:paraId="1B04DD97" w14:textId="77777777" w:rsidR="00F73D5B" w:rsidRPr="008B7A21" w:rsidRDefault="00F73D5B" w:rsidP="00767A6A">
            <w:pPr>
              <w:pStyle w:val="Tabletext"/>
              <w:rPr>
                <w:sz w:val="16"/>
                <w:szCs w:val="16"/>
                <w:lang w:val="es-ES_tradnl"/>
              </w:rPr>
            </w:pPr>
          </w:p>
        </w:tc>
        <w:tc>
          <w:tcPr>
            <w:tcW w:w="1501" w:type="dxa"/>
          </w:tcPr>
          <w:p w14:paraId="24B5A666" w14:textId="77777777" w:rsidR="00F73D5B" w:rsidRPr="008B7A21" w:rsidRDefault="00F73D5B" w:rsidP="00767A6A">
            <w:pPr>
              <w:pStyle w:val="Tabletext"/>
              <w:rPr>
                <w:sz w:val="16"/>
                <w:szCs w:val="16"/>
                <w:lang w:val="es-ES_tradnl"/>
              </w:rPr>
            </w:pPr>
            <w:r w:rsidRPr="008B7A21">
              <w:rPr>
                <w:sz w:val="16"/>
                <w:szCs w:val="16"/>
                <w:lang w:val="es-ES_tradnl"/>
              </w:rPr>
              <w:t>290 000</w:t>
            </w:r>
          </w:p>
          <w:p w14:paraId="67BD67E6" w14:textId="77777777" w:rsidR="00F73D5B" w:rsidRPr="008B7A21" w:rsidRDefault="00F73D5B" w:rsidP="00767A6A">
            <w:pPr>
              <w:pStyle w:val="Tabletext"/>
              <w:rPr>
                <w:sz w:val="16"/>
                <w:szCs w:val="16"/>
                <w:lang w:val="es-ES_tradnl"/>
              </w:rPr>
            </w:pPr>
            <w:r w:rsidRPr="008B7A21">
              <w:rPr>
                <w:sz w:val="16"/>
                <w:szCs w:val="16"/>
                <w:lang w:val="es-ES_tradnl"/>
              </w:rPr>
              <w:t>145 000</w:t>
            </w:r>
          </w:p>
          <w:p w14:paraId="6847E261" w14:textId="77777777" w:rsidR="00F73D5B" w:rsidRPr="008B7A21" w:rsidRDefault="00F73D5B" w:rsidP="00767A6A">
            <w:pPr>
              <w:pStyle w:val="Tabletext"/>
              <w:rPr>
                <w:sz w:val="16"/>
                <w:szCs w:val="16"/>
                <w:lang w:val="es-ES_tradnl"/>
              </w:rPr>
            </w:pPr>
            <w:r w:rsidRPr="008B7A21">
              <w:rPr>
                <w:sz w:val="16"/>
                <w:szCs w:val="16"/>
                <w:lang w:val="es-ES_tradnl"/>
              </w:rPr>
              <w:t>58 000</w:t>
            </w:r>
          </w:p>
          <w:p w14:paraId="28C49ECC" w14:textId="77777777" w:rsidR="00F73D5B" w:rsidRPr="008B7A21" w:rsidRDefault="00F73D5B" w:rsidP="00767A6A">
            <w:pPr>
              <w:pStyle w:val="Tabletext"/>
              <w:rPr>
                <w:sz w:val="16"/>
                <w:szCs w:val="16"/>
                <w:lang w:val="es-ES_tradnl"/>
              </w:rPr>
            </w:pPr>
            <w:r w:rsidRPr="008B7A21">
              <w:rPr>
                <w:sz w:val="16"/>
                <w:szCs w:val="16"/>
                <w:lang w:val="es-ES_tradnl"/>
              </w:rPr>
              <w:t>58 000</w:t>
            </w:r>
          </w:p>
        </w:tc>
        <w:tc>
          <w:tcPr>
            <w:tcW w:w="1500" w:type="dxa"/>
          </w:tcPr>
          <w:p w14:paraId="1A0CBFBE" w14:textId="77777777" w:rsidR="00F73D5B" w:rsidRPr="008B7A21" w:rsidRDefault="00F73D5B" w:rsidP="00767A6A">
            <w:pPr>
              <w:pStyle w:val="Tabletext"/>
              <w:rPr>
                <w:sz w:val="16"/>
                <w:szCs w:val="16"/>
                <w:lang w:val="es-ES_tradnl"/>
              </w:rPr>
            </w:pPr>
          </w:p>
        </w:tc>
      </w:tr>
      <w:tr w:rsidR="00F73D5B" w:rsidRPr="008B7A21" w14:paraId="26F43E0B" w14:textId="77777777" w:rsidTr="00767A6A">
        <w:trPr>
          <w:jc w:val="center"/>
        </w:trPr>
        <w:tc>
          <w:tcPr>
            <w:tcW w:w="4106" w:type="dxa"/>
          </w:tcPr>
          <w:p w14:paraId="775C483C" w14:textId="77777777" w:rsidR="00F73D5B" w:rsidRPr="008B7A21" w:rsidRDefault="00F73D5B" w:rsidP="00767A6A">
            <w:pPr>
              <w:pStyle w:val="Tabletext"/>
              <w:jc w:val="left"/>
              <w:rPr>
                <w:sz w:val="16"/>
                <w:szCs w:val="16"/>
                <w:lang w:val="es-ES_tradnl"/>
              </w:rPr>
            </w:pPr>
            <w:r w:rsidRPr="008B7A21">
              <w:rPr>
                <w:sz w:val="16"/>
                <w:szCs w:val="16"/>
                <w:lang w:val="es-ES_tradnl"/>
              </w:rPr>
              <w:t>I.2 – Red radioeléctrica en ondas decamétricas y kilométrica</w:t>
            </w:r>
            <w:r w:rsidRPr="008B7A21">
              <w:rPr>
                <w:sz w:val="16"/>
                <w:szCs w:val="16"/>
                <w:lang w:val="es-ES_tradnl"/>
              </w:rPr>
              <w:br/>
            </w:r>
            <w:r w:rsidRPr="008B7A21">
              <w:rPr>
                <w:sz w:val="16"/>
                <w:szCs w:val="16"/>
                <w:lang w:val="es-ES_tradnl"/>
              </w:rPr>
              <w:tab/>
              <w:t xml:space="preserve"> (con anchura de banda igual a 3 KHz)</w:t>
            </w:r>
          </w:p>
        </w:tc>
        <w:tc>
          <w:tcPr>
            <w:tcW w:w="1303" w:type="dxa"/>
          </w:tcPr>
          <w:p w14:paraId="2A4C0C3A" w14:textId="77777777" w:rsidR="00F73D5B" w:rsidRPr="008B7A21" w:rsidRDefault="00F73D5B" w:rsidP="00767A6A">
            <w:pPr>
              <w:pStyle w:val="Tabletext"/>
              <w:rPr>
                <w:sz w:val="16"/>
                <w:szCs w:val="16"/>
                <w:lang w:val="es-ES_tradnl"/>
              </w:rPr>
            </w:pPr>
            <w:r w:rsidRPr="008B7A21">
              <w:rPr>
                <w:sz w:val="16"/>
                <w:szCs w:val="16"/>
                <w:lang w:val="es-ES_tradnl"/>
              </w:rPr>
              <w:t>11 600</w:t>
            </w:r>
          </w:p>
        </w:tc>
        <w:tc>
          <w:tcPr>
            <w:tcW w:w="1229" w:type="dxa"/>
          </w:tcPr>
          <w:p w14:paraId="427DCC3C" w14:textId="77777777" w:rsidR="00F73D5B" w:rsidRPr="008B7A21" w:rsidRDefault="00F73D5B" w:rsidP="00767A6A">
            <w:pPr>
              <w:pStyle w:val="Tabletext"/>
              <w:rPr>
                <w:sz w:val="16"/>
                <w:szCs w:val="16"/>
                <w:lang w:val="es-ES_tradnl"/>
              </w:rPr>
            </w:pPr>
          </w:p>
        </w:tc>
        <w:tc>
          <w:tcPr>
            <w:tcW w:w="1501" w:type="dxa"/>
          </w:tcPr>
          <w:p w14:paraId="6F10F85B" w14:textId="77777777" w:rsidR="00F73D5B" w:rsidRPr="008B7A21" w:rsidRDefault="00F73D5B" w:rsidP="00767A6A">
            <w:pPr>
              <w:pStyle w:val="Tabletext"/>
              <w:rPr>
                <w:sz w:val="16"/>
                <w:szCs w:val="16"/>
                <w:lang w:val="es-ES_tradnl"/>
              </w:rPr>
            </w:pPr>
          </w:p>
        </w:tc>
        <w:tc>
          <w:tcPr>
            <w:tcW w:w="1500" w:type="dxa"/>
          </w:tcPr>
          <w:p w14:paraId="79149DBC" w14:textId="77777777" w:rsidR="00F73D5B" w:rsidRPr="008B7A21" w:rsidRDefault="00F73D5B" w:rsidP="00767A6A">
            <w:pPr>
              <w:pStyle w:val="Tabletext"/>
              <w:rPr>
                <w:sz w:val="16"/>
                <w:szCs w:val="16"/>
                <w:lang w:val="es-ES_tradnl"/>
              </w:rPr>
            </w:pPr>
          </w:p>
        </w:tc>
      </w:tr>
      <w:tr w:rsidR="00F73D5B" w:rsidRPr="008B7A21" w14:paraId="1C319AEF" w14:textId="77777777" w:rsidTr="00767A6A">
        <w:trPr>
          <w:jc w:val="center"/>
        </w:trPr>
        <w:tc>
          <w:tcPr>
            <w:tcW w:w="4106" w:type="dxa"/>
          </w:tcPr>
          <w:p w14:paraId="02FCF282" w14:textId="77777777" w:rsidR="00F73D5B" w:rsidRPr="008B7A21" w:rsidRDefault="00F73D5B" w:rsidP="00767A6A">
            <w:pPr>
              <w:pStyle w:val="Tabletext"/>
              <w:jc w:val="left"/>
              <w:rPr>
                <w:sz w:val="16"/>
                <w:szCs w:val="16"/>
                <w:lang w:val="es-ES_tradnl"/>
              </w:rPr>
            </w:pPr>
            <w:r w:rsidRPr="008B7A21">
              <w:rPr>
                <w:sz w:val="16"/>
                <w:szCs w:val="16"/>
                <w:lang w:val="es-ES_tradnl"/>
              </w:rPr>
              <w:t>a1. Transmisor de menos de 50 W</w:t>
            </w:r>
          </w:p>
          <w:p w14:paraId="3CF015C8" w14:textId="77777777" w:rsidR="00F73D5B" w:rsidRPr="008B7A21" w:rsidRDefault="00F73D5B" w:rsidP="00767A6A">
            <w:pPr>
              <w:pStyle w:val="Tabletext"/>
              <w:jc w:val="left"/>
              <w:rPr>
                <w:sz w:val="16"/>
                <w:szCs w:val="16"/>
                <w:lang w:val="es-ES_tradnl"/>
              </w:rPr>
            </w:pPr>
            <w:r w:rsidRPr="008B7A21">
              <w:rPr>
                <w:sz w:val="16"/>
                <w:szCs w:val="16"/>
                <w:lang w:val="es-ES_tradnl"/>
              </w:rPr>
              <w:t>a2. Transmisor entre 50 y 150 W</w:t>
            </w:r>
          </w:p>
          <w:p w14:paraId="6180681B" w14:textId="77777777" w:rsidR="00F73D5B" w:rsidRPr="008B7A21" w:rsidRDefault="00F73D5B" w:rsidP="00767A6A">
            <w:pPr>
              <w:pStyle w:val="Tabletext"/>
              <w:jc w:val="left"/>
              <w:rPr>
                <w:sz w:val="16"/>
                <w:szCs w:val="16"/>
                <w:lang w:val="es-ES_tradnl"/>
              </w:rPr>
            </w:pPr>
            <w:r w:rsidRPr="008B7A21">
              <w:rPr>
                <w:sz w:val="16"/>
                <w:szCs w:val="16"/>
                <w:lang w:val="es-ES_tradnl"/>
              </w:rPr>
              <w:t>a3. Transmisor de más de 150 W</w:t>
            </w:r>
          </w:p>
        </w:tc>
        <w:tc>
          <w:tcPr>
            <w:tcW w:w="1303" w:type="dxa"/>
          </w:tcPr>
          <w:p w14:paraId="1626CB79" w14:textId="77777777" w:rsidR="00F73D5B" w:rsidRPr="008B7A21" w:rsidRDefault="00F73D5B" w:rsidP="00767A6A">
            <w:pPr>
              <w:pStyle w:val="Tabletext"/>
              <w:rPr>
                <w:sz w:val="16"/>
                <w:szCs w:val="16"/>
                <w:lang w:val="es-ES_tradnl"/>
              </w:rPr>
            </w:pPr>
          </w:p>
        </w:tc>
        <w:tc>
          <w:tcPr>
            <w:tcW w:w="1229" w:type="dxa"/>
          </w:tcPr>
          <w:p w14:paraId="69589781" w14:textId="77777777" w:rsidR="00F73D5B" w:rsidRPr="008B7A21" w:rsidRDefault="00F73D5B" w:rsidP="00767A6A">
            <w:pPr>
              <w:pStyle w:val="Tabletext"/>
              <w:rPr>
                <w:sz w:val="16"/>
                <w:szCs w:val="16"/>
                <w:lang w:val="es-ES_tradnl"/>
              </w:rPr>
            </w:pPr>
            <w:r w:rsidRPr="008B7A21">
              <w:rPr>
                <w:sz w:val="16"/>
                <w:szCs w:val="16"/>
                <w:lang w:val="es-ES_tradnl"/>
              </w:rPr>
              <w:t>14 500</w:t>
            </w:r>
          </w:p>
          <w:p w14:paraId="06B912B3" w14:textId="77777777" w:rsidR="00F73D5B" w:rsidRPr="008B7A21" w:rsidRDefault="00F73D5B" w:rsidP="00767A6A">
            <w:pPr>
              <w:pStyle w:val="Tabletext"/>
              <w:rPr>
                <w:sz w:val="16"/>
                <w:szCs w:val="16"/>
                <w:lang w:val="es-ES_tradnl"/>
              </w:rPr>
            </w:pPr>
            <w:r w:rsidRPr="008B7A21">
              <w:rPr>
                <w:sz w:val="16"/>
                <w:szCs w:val="16"/>
                <w:lang w:val="es-ES_tradnl"/>
              </w:rPr>
              <w:t>17 400</w:t>
            </w:r>
          </w:p>
          <w:p w14:paraId="050F008C" w14:textId="77777777" w:rsidR="00F73D5B" w:rsidRPr="008B7A21" w:rsidRDefault="00F73D5B" w:rsidP="00767A6A">
            <w:pPr>
              <w:pStyle w:val="Tabletext"/>
              <w:rPr>
                <w:sz w:val="16"/>
                <w:szCs w:val="16"/>
                <w:lang w:val="es-ES_tradnl"/>
              </w:rPr>
            </w:pPr>
            <w:r w:rsidRPr="008B7A21">
              <w:rPr>
                <w:sz w:val="16"/>
                <w:szCs w:val="16"/>
                <w:lang w:val="es-ES_tradnl"/>
              </w:rPr>
              <w:t>58 000</w:t>
            </w:r>
          </w:p>
        </w:tc>
        <w:tc>
          <w:tcPr>
            <w:tcW w:w="1501" w:type="dxa"/>
          </w:tcPr>
          <w:p w14:paraId="2B94B215" w14:textId="77777777" w:rsidR="00F73D5B" w:rsidRPr="008B7A21" w:rsidRDefault="00F73D5B" w:rsidP="00767A6A">
            <w:pPr>
              <w:pStyle w:val="Tabletext"/>
              <w:rPr>
                <w:sz w:val="16"/>
                <w:szCs w:val="16"/>
                <w:lang w:val="es-ES_tradnl"/>
              </w:rPr>
            </w:pPr>
          </w:p>
        </w:tc>
        <w:tc>
          <w:tcPr>
            <w:tcW w:w="1500" w:type="dxa"/>
          </w:tcPr>
          <w:p w14:paraId="0280A474" w14:textId="77777777" w:rsidR="00F73D5B" w:rsidRPr="008B7A21" w:rsidRDefault="00F73D5B" w:rsidP="00767A6A">
            <w:pPr>
              <w:pStyle w:val="Tabletext"/>
              <w:rPr>
                <w:sz w:val="16"/>
                <w:szCs w:val="16"/>
                <w:lang w:val="es-ES_tradnl"/>
              </w:rPr>
            </w:pPr>
          </w:p>
        </w:tc>
      </w:tr>
      <w:tr w:rsidR="00F73D5B" w:rsidRPr="008B7A21" w14:paraId="6CF0051C" w14:textId="77777777" w:rsidTr="00767A6A">
        <w:trPr>
          <w:jc w:val="center"/>
        </w:trPr>
        <w:tc>
          <w:tcPr>
            <w:tcW w:w="4106" w:type="dxa"/>
          </w:tcPr>
          <w:p w14:paraId="36117D6C" w14:textId="77777777" w:rsidR="00F73D5B" w:rsidRPr="008B7A21" w:rsidRDefault="00F73D5B" w:rsidP="00767A6A">
            <w:pPr>
              <w:pStyle w:val="Tabletext"/>
              <w:jc w:val="left"/>
              <w:rPr>
                <w:sz w:val="16"/>
                <w:szCs w:val="16"/>
                <w:lang w:val="es-ES_tradnl"/>
              </w:rPr>
            </w:pPr>
            <w:r w:rsidRPr="008B7A21">
              <w:rPr>
                <w:sz w:val="16"/>
                <w:szCs w:val="16"/>
                <w:lang w:val="es-ES_tradnl"/>
              </w:rPr>
              <w:t>b1. Enlaces regionales (promedio de 100 km)</w:t>
            </w:r>
          </w:p>
          <w:p w14:paraId="5805645C" w14:textId="77777777" w:rsidR="00F73D5B" w:rsidRPr="008B7A21" w:rsidRDefault="00F73D5B" w:rsidP="00767A6A">
            <w:pPr>
              <w:pStyle w:val="Tabletext"/>
              <w:jc w:val="left"/>
              <w:rPr>
                <w:sz w:val="16"/>
                <w:szCs w:val="16"/>
                <w:lang w:val="es-ES_tradnl"/>
              </w:rPr>
            </w:pPr>
            <w:r w:rsidRPr="008B7A21">
              <w:rPr>
                <w:sz w:val="16"/>
                <w:szCs w:val="16"/>
                <w:lang w:val="es-ES_tradnl"/>
              </w:rPr>
              <w:t>b2. Enlaces intrarregionales (promedio de 250 km)</w:t>
            </w:r>
          </w:p>
          <w:p w14:paraId="61E80C3D" w14:textId="77777777" w:rsidR="00F73D5B" w:rsidRPr="008B7A21" w:rsidRDefault="00F73D5B" w:rsidP="00767A6A">
            <w:pPr>
              <w:pStyle w:val="Tabletext"/>
              <w:jc w:val="left"/>
              <w:rPr>
                <w:sz w:val="16"/>
                <w:szCs w:val="16"/>
                <w:lang w:val="es-ES_tradnl"/>
              </w:rPr>
            </w:pPr>
            <w:r w:rsidRPr="008B7A21">
              <w:rPr>
                <w:sz w:val="16"/>
                <w:szCs w:val="16"/>
                <w:lang w:val="es-ES_tradnl"/>
              </w:rPr>
              <w:t>b3. Enlaces nacionales (promedio de 500 km)</w:t>
            </w:r>
          </w:p>
        </w:tc>
        <w:tc>
          <w:tcPr>
            <w:tcW w:w="1303" w:type="dxa"/>
          </w:tcPr>
          <w:p w14:paraId="1E2A72CE" w14:textId="77777777" w:rsidR="00F73D5B" w:rsidRPr="008B7A21" w:rsidRDefault="00F73D5B" w:rsidP="00767A6A">
            <w:pPr>
              <w:pStyle w:val="Tabletext"/>
              <w:rPr>
                <w:sz w:val="16"/>
                <w:szCs w:val="16"/>
                <w:lang w:val="es-ES_tradnl"/>
              </w:rPr>
            </w:pPr>
          </w:p>
        </w:tc>
        <w:tc>
          <w:tcPr>
            <w:tcW w:w="1229" w:type="dxa"/>
          </w:tcPr>
          <w:p w14:paraId="5D82F8DD" w14:textId="77777777" w:rsidR="00F73D5B" w:rsidRPr="008B7A21" w:rsidRDefault="00F73D5B" w:rsidP="00767A6A">
            <w:pPr>
              <w:pStyle w:val="Tabletext"/>
              <w:rPr>
                <w:sz w:val="16"/>
                <w:szCs w:val="16"/>
                <w:lang w:val="es-ES_tradnl"/>
              </w:rPr>
            </w:pPr>
          </w:p>
        </w:tc>
        <w:tc>
          <w:tcPr>
            <w:tcW w:w="1501" w:type="dxa"/>
          </w:tcPr>
          <w:p w14:paraId="049220B0" w14:textId="77777777" w:rsidR="00F73D5B" w:rsidRPr="008B7A21" w:rsidRDefault="00F73D5B" w:rsidP="00767A6A">
            <w:pPr>
              <w:pStyle w:val="Tabletext"/>
              <w:rPr>
                <w:sz w:val="16"/>
                <w:szCs w:val="16"/>
                <w:lang w:val="es-ES_tradnl"/>
              </w:rPr>
            </w:pPr>
          </w:p>
        </w:tc>
        <w:tc>
          <w:tcPr>
            <w:tcW w:w="1500" w:type="dxa"/>
          </w:tcPr>
          <w:p w14:paraId="74FCB0B7" w14:textId="77777777" w:rsidR="00F73D5B" w:rsidRPr="008B7A21" w:rsidRDefault="00F73D5B" w:rsidP="00767A6A">
            <w:pPr>
              <w:pStyle w:val="Tabletext"/>
              <w:rPr>
                <w:sz w:val="16"/>
                <w:szCs w:val="16"/>
                <w:lang w:val="es-ES_tradnl"/>
              </w:rPr>
            </w:pPr>
            <w:r w:rsidRPr="008B7A21">
              <w:rPr>
                <w:sz w:val="16"/>
                <w:szCs w:val="16"/>
                <w:lang w:val="es-ES_tradnl"/>
              </w:rPr>
              <w:t>348 000</w:t>
            </w:r>
          </w:p>
          <w:p w14:paraId="1D143FD6" w14:textId="77777777" w:rsidR="00F73D5B" w:rsidRPr="008B7A21" w:rsidRDefault="00F73D5B" w:rsidP="00767A6A">
            <w:pPr>
              <w:pStyle w:val="Tabletext"/>
              <w:rPr>
                <w:sz w:val="16"/>
                <w:szCs w:val="16"/>
                <w:lang w:val="es-ES_tradnl"/>
              </w:rPr>
            </w:pPr>
            <w:r w:rsidRPr="008B7A21">
              <w:rPr>
                <w:sz w:val="16"/>
                <w:szCs w:val="16"/>
                <w:lang w:val="es-ES_tradnl"/>
              </w:rPr>
              <w:t>870 000</w:t>
            </w:r>
          </w:p>
          <w:p w14:paraId="2CE1C930" w14:textId="77777777" w:rsidR="00F73D5B" w:rsidRPr="008B7A21" w:rsidRDefault="00F73D5B" w:rsidP="00767A6A">
            <w:pPr>
              <w:pStyle w:val="Tabletext"/>
              <w:rPr>
                <w:sz w:val="16"/>
                <w:szCs w:val="16"/>
                <w:lang w:val="es-ES_tradnl"/>
              </w:rPr>
            </w:pPr>
            <w:r w:rsidRPr="008B7A21">
              <w:rPr>
                <w:sz w:val="16"/>
                <w:szCs w:val="16"/>
                <w:lang w:val="es-ES_tradnl"/>
              </w:rPr>
              <w:t>1 740 000</w:t>
            </w:r>
          </w:p>
        </w:tc>
      </w:tr>
      <w:tr w:rsidR="00F73D5B" w:rsidRPr="008B7A21" w14:paraId="207BC50C" w14:textId="77777777" w:rsidTr="00767A6A">
        <w:trPr>
          <w:jc w:val="center"/>
        </w:trPr>
        <w:tc>
          <w:tcPr>
            <w:tcW w:w="4106" w:type="dxa"/>
          </w:tcPr>
          <w:p w14:paraId="4F00F8BC" w14:textId="77777777" w:rsidR="00F73D5B" w:rsidRPr="008B7A21" w:rsidRDefault="00F73D5B" w:rsidP="00767A6A">
            <w:pPr>
              <w:pStyle w:val="Tabletext"/>
              <w:jc w:val="left"/>
              <w:rPr>
                <w:sz w:val="16"/>
                <w:szCs w:val="16"/>
                <w:lang w:val="es-ES_tradnl"/>
              </w:rPr>
            </w:pPr>
            <w:r w:rsidRPr="008B7A21">
              <w:rPr>
                <w:sz w:val="16"/>
                <w:szCs w:val="16"/>
                <w:lang w:val="es-ES_tradnl"/>
              </w:rPr>
              <w:t>c1. Red con menos de 5 estaciones</w:t>
            </w:r>
          </w:p>
          <w:p w14:paraId="73531DFC" w14:textId="77777777" w:rsidR="00F73D5B" w:rsidRPr="008B7A21" w:rsidRDefault="00F73D5B" w:rsidP="00767A6A">
            <w:pPr>
              <w:pStyle w:val="Tabletext"/>
              <w:jc w:val="left"/>
              <w:rPr>
                <w:sz w:val="16"/>
                <w:szCs w:val="16"/>
                <w:lang w:val="es-ES_tradnl"/>
              </w:rPr>
            </w:pPr>
            <w:r w:rsidRPr="008B7A21">
              <w:rPr>
                <w:sz w:val="16"/>
                <w:szCs w:val="16"/>
                <w:lang w:val="es-ES_tradnl"/>
              </w:rPr>
              <w:t>c2. Red con entre 5 a 10 estaciones</w:t>
            </w:r>
          </w:p>
          <w:p w14:paraId="56B236A5" w14:textId="77777777" w:rsidR="00F73D5B" w:rsidRPr="008B7A21" w:rsidRDefault="00F73D5B" w:rsidP="00767A6A">
            <w:pPr>
              <w:pStyle w:val="Tabletext"/>
              <w:jc w:val="left"/>
              <w:rPr>
                <w:sz w:val="16"/>
                <w:szCs w:val="16"/>
                <w:lang w:val="es-ES_tradnl"/>
              </w:rPr>
            </w:pPr>
            <w:r w:rsidRPr="008B7A21">
              <w:rPr>
                <w:sz w:val="16"/>
                <w:szCs w:val="16"/>
                <w:lang w:val="es-ES_tradnl"/>
              </w:rPr>
              <w:t>c3. Red con más de 10 estaciones</w:t>
            </w:r>
          </w:p>
        </w:tc>
        <w:tc>
          <w:tcPr>
            <w:tcW w:w="1303" w:type="dxa"/>
          </w:tcPr>
          <w:p w14:paraId="0DE73994" w14:textId="77777777" w:rsidR="00F73D5B" w:rsidRPr="008B7A21" w:rsidRDefault="00F73D5B" w:rsidP="00767A6A">
            <w:pPr>
              <w:pStyle w:val="Tabletext"/>
              <w:rPr>
                <w:sz w:val="16"/>
                <w:szCs w:val="16"/>
                <w:lang w:val="es-ES_tradnl"/>
              </w:rPr>
            </w:pPr>
          </w:p>
        </w:tc>
        <w:tc>
          <w:tcPr>
            <w:tcW w:w="1229" w:type="dxa"/>
          </w:tcPr>
          <w:p w14:paraId="7A9889E0" w14:textId="77777777" w:rsidR="00F73D5B" w:rsidRPr="008B7A21" w:rsidRDefault="00F73D5B" w:rsidP="00767A6A">
            <w:pPr>
              <w:pStyle w:val="Tabletext"/>
              <w:rPr>
                <w:sz w:val="16"/>
                <w:szCs w:val="16"/>
                <w:lang w:val="es-ES_tradnl"/>
              </w:rPr>
            </w:pPr>
          </w:p>
        </w:tc>
        <w:tc>
          <w:tcPr>
            <w:tcW w:w="1501" w:type="dxa"/>
          </w:tcPr>
          <w:p w14:paraId="48EE4F89" w14:textId="77777777" w:rsidR="00F73D5B" w:rsidRPr="008B7A21" w:rsidRDefault="00F73D5B" w:rsidP="00767A6A">
            <w:pPr>
              <w:pStyle w:val="Tabletext"/>
              <w:rPr>
                <w:sz w:val="16"/>
                <w:szCs w:val="16"/>
                <w:lang w:val="es-ES_tradnl"/>
              </w:rPr>
            </w:pPr>
            <w:r w:rsidRPr="008B7A21">
              <w:rPr>
                <w:sz w:val="16"/>
                <w:szCs w:val="16"/>
                <w:lang w:val="es-ES_tradnl"/>
              </w:rPr>
              <w:t>58 000</w:t>
            </w:r>
          </w:p>
          <w:p w14:paraId="796E09AA" w14:textId="77777777" w:rsidR="00F73D5B" w:rsidRPr="008B7A21" w:rsidRDefault="00F73D5B" w:rsidP="00767A6A">
            <w:pPr>
              <w:pStyle w:val="Tabletext"/>
              <w:rPr>
                <w:sz w:val="16"/>
                <w:szCs w:val="16"/>
                <w:lang w:val="es-ES_tradnl"/>
              </w:rPr>
            </w:pPr>
            <w:r w:rsidRPr="008B7A21">
              <w:rPr>
                <w:sz w:val="16"/>
                <w:szCs w:val="16"/>
                <w:lang w:val="es-ES_tradnl"/>
              </w:rPr>
              <w:t>87 000</w:t>
            </w:r>
          </w:p>
          <w:p w14:paraId="0D75C93B" w14:textId="77777777" w:rsidR="00F73D5B" w:rsidRPr="008B7A21" w:rsidRDefault="00F73D5B" w:rsidP="00767A6A">
            <w:pPr>
              <w:pStyle w:val="Tabletext"/>
              <w:rPr>
                <w:sz w:val="16"/>
                <w:szCs w:val="16"/>
                <w:lang w:val="es-ES_tradnl"/>
              </w:rPr>
            </w:pPr>
            <w:r w:rsidRPr="008B7A21">
              <w:rPr>
                <w:sz w:val="16"/>
                <w:szCs w:val="16"/>
                <w:lang w:val="es-ES_tradnl"/>
              </w:rPr>
              <w:t>145 000</w:t>
            </w:r>
          </w:p>
        </w:tc>
        <w:tc>
          <w:tcPr>
            <w:tcW w:w="1500" w:type="dxa"/>
          </w:tcPr>
          <w:p w14:paraId="7AB58351" w14:textId="77777777" w:rsidR="00F73D5B" w:rsidRPr="008B7A21" w:rsidRDefault="00F73D5B" w:rsidP="00767A6A">
            <w:pPr>
              <w:pStyle w:val="Tabletext"/>
              <w:rPr>
                <w:sz w:val="16"/>
                <w:szCs w:val="16"/>
                <w:lang w:val="es-ES_tradnl"/>
              </w:rPr>
            </w:pPr>
          </w:p>
        </w:tc>
      </w:tr>
      <w:tr w:rsidR="00F73D5B" w:rsidRPr="008B7A21" w14:paraId="74875723" w14:textId="77777777" w:rsidTr="00767A6A">
        <w:trPr>
          <w:jc w:val="center"/>
        </w:trPr>
        <w:tc>
          <w:tcPr>
            <w:tcW w:w="4106" w:type="dxa"/>
          </w:tcPr>
          <w:p w14:paraId="47431255" w14:textId="77777777" w:rsidR="00F73D5B" w:rsidRPr="008B7A21" w:rsidRDefault="00F73D5B" w:rsidP="00767A6A">
            <w:pPr>
              <w:pStyle w:val="Tabletext"/>
              <w:jc w:val="left"/>
              <w:rPr>
                <w:sz w:val="16"/>
                <w:szCs w:val="16"/>
                <w:lang w:val="es-ES_tradnl"/>
              </w:rPr>
            </w:pPr>
            <w:r w:rsidRPr="008B7A21">
              <w:rPr>
                <w:sz w:val="16"/>
                <w:szCs w:val="16"/>
                <w:lang w:val="es-ES_tradnl"/>
              </w:rPr>
              <w:t>I.3 – Redes radioeléctricas de investigación/</w:t>
            </w:r>
            <w:r w:rsidRPr="008B7A21">
              <w:rPr>
                <w:sz w:val="16"/>
                <w:szCs w:val="16"/>
                <w:lang w:val="es-ES_tradnl"/>
              </w:rPr>
              <w:br/>
              <w:t>Mensajes (radiobúsqueda) (anchura de banda de 12,5 KHz)</w:t>
            </w:r>
          </w:p>
        </w:tc>
        <w:tc>
          <w:tcPr>
            <w:tcW w:w="1303" w:type="dxa"/>
          </w:tcPr>
          <w:p w14:paraId="732330D3" w14:textId="77777777" w:rsidR="00F73D5B" w:rsidRPr="008B7A21" w:rsidRDefault="00F73D5B" w:rsidP="00767A6A">
            <w:pPr>
              <w:pStyle w:val="Tabletext"/>
              <w:rPr>
                <w:sz w:val="16"/>
                <w:szCs w:val="16"/>
                <w:lang w:val="es-ES_tradnl"/>
              </w:rPr>
            </w:pPr>
          </w:p>
        </w:tc>
        <w:tc>
          <w:tcPr>
            <w:tcW w:w="1229" w:type="dxa"/>
          </w:tcPr>
          <w:p w14:paraId="281508B6" w14:textId="77777777" w:rsidR="00F73D5B" w:rsidRPr="008B7A21" w:rsidRDefault="00F73D5B" w:rsidP="00767A6A">
            <w:pPr>
              <w:pStyle w:val="Tabletext"/>
              <w:rPr>
                <w:sz w:val="16"/>
                <w:szCs w:val="16"/>
                <w:lang w:val="es-ES_tradnl"/>
              </w:rPr>
            </w:pPr>
            <w:r w:rsidRPr="008B7A21">
              <w:rPr>
                <w:sz w:val="16"/>
                <w:szCs w:val="16"/>
                <w:lang w:val="es-ES_tradnl"/>
              </w:rPr>
              <w:t>34 800</w:t>
            </w:r>
          </w:p>
        </w:tc>
        <w:tc>
          <w:tcPr>
            <w:tcW w:w="1501" w:type="dxa"/>
          </w:tcPr>
          <w:p w14:paraId="49FC03E9" w14:textId="77777777" w:rsidR="00F73D5B" w:rsidRPr="008B7A21" w:rsidRDefault="00F73D5B" w:rsidP="00767A6A">
            <w:pPr>
              <w:pStyle w:val="Tabletext"/>
              <w:rPr>
                <w:sz w:val="16"/>
                <w:szCs w:val="16"/>
                <w:lang w:val="es-ES_tradnl"/>
              </w:rPr>
            </w:pPr>
          </w:p>
        </w:tc>
        <w:tc>
          <w:tcPr>
            <w:tcW w:w="1500" w:type="dxa"/>
          </w:tcPr>
          <w:p w14:paraId="642EDAA8" w14:textId="77777777" w:rsidR="00F73D5B" w:rsidRPr="008B7A21" w:rsidRDefault="00F73D5B" w:rsidP="00767A6A">
            <w:pPr>
              <w:pStyle w:val="Tabletext"/>
              <w:rPr>
                <w:sz w:val="16"/>
                <w:szCs w:val="16"/>
                <w:lang w:val="es-ES_tradnl"/>
              </w:rPr>
            </w:pPr>
          </w:p>
        </w:tc>
      </w:tr>
      <w:tr w:rsidR="00F73D5B" w:rsidRPr="008B7A21" w14:paraId="41AABC6D" w14:textId="77777777" w:rsidTr="00767A6A">
        <w:trPr>
          <w:jc w:val="center"/>
        </w:trPr>
        <w:tc>
          <w:tcPr>
            <w:tcW w:w="4106" w:type="dxa"/>
          </w:tcPr>
          <w:p w14:paraId="0726E071" w14:textId="77777777" w:rsidR="00F73D5B" w:rsidRPr="008B7A21" w:rsidRDefault="00F73D5B" w:rsidP="00767A6A">
            <w:pPr>
              <w:pStyle w:val="Tabletext"/>
              <w:keepNext/>
              <w:keepLines/>
              <w:jc w:val="left"/>
              <w:rPr>
                <w:sz w:val="16"/>
                <w:szCs w:val="16"/>
                <w:lang w:val="es-ES_tradnl"/>
              </w:rPr>
            </w:pPr>
            <w:r w:rsidRPr="008B7A21">
              <w:rPr>
                <w:sz w:val="16"/>
                <w:szCs w:val="16"/>
                <w:lang w:val="es-ES_tradnl"/>
              </w:rPr>
              <w:t>a1. Red local (urbana)</w:t>
            </w:r>
          </w:p>
          <w:p w14:paraId="797CF2F0" w14:textId="77777777" w:rsidR="00F73D5B" w:rsidRPr="008B7A21" w:rsidRDefault="00F73D5B" w:rsidP="00767A6A">
            <w:pPr>
              <w:pStyle w:val="Tabletext"/>
              <w:jc w:val="left"/>
              <w:rPr>
                <w:sz w:val="16"/>
                <w:szCs w:val="16"/>
                <w:lang w:val="es-ES_tradnl"/>
              </w:rPr>
            </w:pPr>
            <w:r w:rsidRPr="008B7A21">
              <w:rPr>
                <w:sz w:val="16"/>
                <w:szCs w:val="16"/>
                <w:lang w:val="es-ES_tradnl"/>
              </w:rPr>
              <w:t>a2. Red regional (interurbana)</w:t>
            </w:r>
          </w:p>
          <w:p w14:paraId="4980E19D" w14:textId="77777777" w:rsidR="00F73D5B" w:rsidRPr="008B7A21" w:rsidRDefault="00F73D5B" w:rsidP="00767A6A">
            <w:pPr>
              <w:pStyle w:val="Tabletext"/>
              <w:jc w:val="left"/>
              <w:rPr>
                <w:sz w:val="16"/>
                <w:szCs w:val="16"/>
                <w:lang w:val="es-ES_tradnl"/>
              </w:rPr>
            </w:pPr>
            <w:r w:rsidRPr="008B7A21">
              <w:rPr>
                <w:sz w:val="16"/>
                <w:szCs w:val="16"/>
                <w:lang w:val="es-ES_tradnl"/>
              </w:rPr>
              <w:t>a3. Red nacional</w:t>
            </w:r>
          </w:p>
        </w:tc>
        <w:tc>
          <w:tcPr>
            <w:tcW w:w="1303" w:type="dxa"/>
          </w:tcPr>
          <w:p w14:paraId="705C2AC2" w14:textId="77777777" w:rsidR="00F73D5B" w:rsidRPr="008B7A21" w:rsidRDefault="00F73D5B" w:rsidP="00767A6A">
            <w:pPr>
              <w:pStyle w:val="Tabletext"/>
              <w:rPr>
                <w:sz w:val="16"/>
                <w:szCs w:val="16"/>
                <w:lang w:val="es-ES_tradnl"/>
              </w:rPr>
            </w:pPr>
            <w:r w:rsidRPr="008B7A21">
              <w:rPr>
                <w:sz w:val="16"/>
                <w:szCs w:val="16"/>
                <w:lang w:val="es-ES_tradnl"/>
              </w:rPr>
              <w:t>116 000</w:t>
            </w:r>
          </w:p>
          <w:p w14:paraId="1AE155CE" w14:textId="77777777" w:rsidR="00F73D5B" w:rsidRPr="008B7A21" w:rsidRDefault="00F73D5B" w:rsidP="00767A6A">
            <w:pPr>
              <w:pStyle w:val="Tabletext"/>
              <w:rPr>
                <w:sz w:val="16"/>
                <w:szCs w:val="16"/>
                <w:lang w:val="es-ES_tradnl"/>
              </w:rPr>
            </w:pPr>
            <w:r w:rsidRPr="008B7A21">
              <w:rPr>
                <w:sz w:val="16"/>
                <w:szCs w:val="16"/>
                <w:lang w:val="es-ES_tradnl"/>
              </w:rPr>
              <w:t>290 000</w:t>
            </w:r>
          </w:p>
          <w:p w14:paraId="51A58718" w14:textId="77777777" w:rsidR="00F73D5B" w:rsidRPr="008B7A21" w:rsidRDefault="00F73D5B" w:rsidP="00767A6A">
            <w:pPr>
              <w:pStyle w:val="Tabletext"/>
              <w:rPr>
                <w:sz w:val="16"/>
                <w:szCs w:val="16"/>
                <w:lang w:val="es-ES_tradnl"/>
              </w:rPr>
            </w:pPr>
            <w:r w:rsidRPr="008B7A21">
              <w:rPr>
                <w:sz w:val="16"/>
                <w:szCs w:val="16"/>
                <w:lang w:val="es-ES_tradnl"/>
              </w:rPr>
              <w:t>580 000</w:t>
            </w:r>
          </w:p>
        </w:tc>
        <w:tc>
          <w:tcPr>
            <w:tcW w:w="1229" w:type="dxa"/>
          </w:tcPr>
          <w:p w14:paraId="563C7397" w14:textId="77777777" w:rsidR="00F73D5B" w:rsidRPr="008B7A21" w:rsidRDefault="00F73D5B" w:rsidP="00767A6A">
            <w:pPr>
              <w:pStyle w:val="Tabletext"/>
              <w:rPr>
                <w:sz w:val="16"/>
                <w:szCs w:val="16"/>
                <w:lang w:val="es-ES_tradnl"/>
              </w:rPr>
            </w:pPr>
          </w:p>
        </w:tc>
        <w:tc>
          <w:tcPr>
            <w:tcW w:w="1501" w:type="dxa"/>
          </w:tcPr>
          <w:p w14:paraId="682B59D2" w14:textId="77777777" w:rsidR="00F73D5B" w:rsidRPr="008B7A21" w:rsidRDefault="00F73D5B" w:rsidP="00767A6A">
            <w:pPr>
              <w:pStyle w:val="Tabletext"/>
              <w:rPr>
                <w:sz w:val="16"/>
                <w:szCs w:val="16"/>
                <w:lang w:val="es-ES_tradnl"/>
              </w:rPr>
            </w:pPr>
          </w:p>
        </w:tc>
        <w:tc>
          <w:tcPr>
            <w:tcW w:w="1500" w:type="dxa"/>
          </w:tcPr>
          <w:p w14:paraId="6221B1B1" w14:textId="77777777" w:rsidR="00F73D5B" w:rsidRPr="008B7A21" w:rsidRDefault="00F73D5B" w:rsidP="00767A6A">
            <w:pPr>
              <w:pStyle w:val="Tabletext"/>
              <w:rPr>
                <w:sz w:val="16"/>
                <w:szCs w:val="16"/>
                <w:lang w:val="es-ES_tradnl"/>
              </w:rPr>
            </w:pPr>
          </w:p>
        </w:tc>
      </w:tr>
      <w:tr w:rsidR="00F73D5B" w:rsidRPr="008B7A21" w14:paraId="7A6B3023" w14:textId="77777777" w:rsidTr="00767A6A">
        <w:trPr>
          <w:jc w:val="center"/>
        </w:trPr>
        <w:tc>
          <w:tcPr>
            <w:tcW w:w="4106" w:type="dxa"/>
          </w:tcPr>
          <w:p w14:paraId="4E0B755E" w14:textId="77777777" w:rsidR="00F73D5B" w:rsidRPr="008B7A21" w:rsidRDefault="00F73D5B" w:rsidP="00767A6A">
            <w:pPr>
              <w:pStyle w:val="Tabletext"/>
              <w:jc w:val="left"/>
              <w:rPr>
                <w:sz w:val="16"/>
                <w:szCs w:val="16"/>
                <w:lang w:val="es-ES_tradnl"/>
              </w:rPr>
            </w:pPr>
            <w:r w:rsidRPr="008B7A21">
              <w:rPr>
                <w:sz w:val="16"/>
                <w:szCs w:val="16"/>
                <w:lang w:val="es-ES_tradnl"/>
              </w:rPr>
              <w:t>b1. Estación de base</w:t>
            </w:r>
          </w:p>
        </w:tc>
        <w:tc>
          <w:tcPr>
            <w:tcW w:w="1303" w:type="dxa"/>
          </w:tcPr>
          <w:p w14:paraId="28A273D6" w14:textId="77777777" w:rsidR="00F73D5B" w:rsidRPr="008B7A21" w:rsidRDefault="00F73D5B" w:rsidP="00767A6A">
            <w:pPr>
              <w:pStyle w:val="Tabletext"/>
              <w:rPr>
                <w:sz w:val="16"/>
                <w:szCs w:val="16"/>
                <w:lang w:val="es-ES_tradnl"/>
              </w:rPr>
            </w:pPr>
          </w:p>
        </w:tc>
        <w:tc>
          <w:tcPr>
            <w:tcW w:w="1229" w:type="dxa"/>
          </w:tcPr>
          <w:p w14:paraId="7B42A6AA" w14:textId="77777777" w:rsidR="00F73D5B" w:rsidRPr="008B7A21" w:rsidRDefault="00F73D5B" w:rsidP="00767A6A">
            <w:pPr>
              <w:pStyle w:val="Tabletext"/>
              <w:rPr>
                <w:sz w:val="16"/>
                <w:szCs w:val="16"/>
                <w:lang w:val="es-ES_tradnl"/>
              </w:rPr>
            </w:pPr>
            <w:r w:rsidRPr="008B7A21">
              <w:rPr>
                <w:sz w:val="16"/>
                <w:szCs w:val="16"/>
                <w:lang w:val="es-ES_tradnl"/>
              </w:rPr>
              <w:t>34 800</w:t>
            </w:r>
          </w:p>
        </w:tc>
        <w:tc>
          <w:tcPr>
            <w:tcW w:w="1501" w:type="dxa"/>
          </w:tcPr>
          <w:p w14:paraId="4700C45D" w14:textId="77777777" w:rsidR="00F73D5B" w:rsidRPr="008B7A21" w:rsidRDefault="00F73D5B" w:rsidP="00767A6A">
            <w:pPr>
              <w:pStyle w:val="Tabletext"/>
              <w:rPr>
                <w:sz w:val="16"/>
                <w:szCs w:val="16"/>
                <w:lang w:val="es-ES_tradnl"/>
              </w:rPr>
            </w:pPr>
          </w:p>
        </w:tc>
        <w:tc>
          <w:tcPr>
            <w:tcW w:w="1500" w:type="dxa"/>
          </w:tcPr>
          <w:p w14:paraId="037A0053" w14:textId="77777777" w:rsidR="00F73D5B" w:rsidRPr="008B7A21" w:rsidRDefault="00F73D5B" w:rsidP="00767A6A">
            <w:pPr>
              <w:pStyle w:val="Tabletext"/>
              <w:rPr>
                <w:sz w:val="16"/>
                <w:szCs w:val="16"/>
                <w:lang w:val="es-ES_tradnl"/>
              </w:rPr>
            </w:pPr>
          </w:p>
        </w:tc>
      </w:tr>
      <w:tr w:rsidR="00F73D5B" w:rsidRPr="008B7A21" w14:paraId="79EA5D9D" w14:textId="77777777" w:rsidTr="00767A6A">
        <w:trPr>
          <w:jc w:val="center"/>
        </w:trPr>
        <w:tc>
          <w:tcPr>
            <w:tcW w:w="4106" w:type="dxa"/>
          </w:tcPr>
          <w:p w14:paraId="7D22B38F" w14:textId="77777777" w:rsidR="00F73D5B" w:rsidRPr="008B7A21" w:rsidRDefault="00F73D5B" w:rsidP="00767A6A">
            <w:pPr>
              <w:pStyle w:val="Tabletext"/>
              <w:jc w:val="left"/>
              <w:rPr>
                <w:sz w:val="16"/>
                <w:szCs w:val="16"/>
                <w:lang w:val="es-ES_tradnl"/>
              </w:rPr>
            </w:pPr>
            <w:r w:rsidRPr="008B7A21">
              <w:rPr>
                <w:sz w:val="16"/>
                <w:szCs w:val="16"/>
                <w:lang w:val="es-ES_tradnl"/>
              </w:rPr>
              <w:t>c1. Frecuencia disponible localmente</w:t>
            </w:r>
          </w:p>
          <w:p w14:paraId="374F771A" w14:textId="77777777" w:rsidR="00F73D5B" w:rsidRPr="008B7A21" w:rsidRDefault="00F73D5B" w:rsidP="00767A6A">
            <w:pPr>
              <w:pStyle w:val="Tabletext"/>
              <w:jc w:val="left"/>
              <w:rPr>
                <w:sz w:val="16"/>
                <w:szCs w:val="16"/>
                <w:lang w:val="es-ES_tradnl"/>
              </w:rPr>
            </w:pPr>
            <w:r w:rsidRPr="008B7A21">
              <w:rPr>
                <w:sz w:val="16"/>
                <w:szCs w:val="16"/>
                <w:lang w:val="es-ES_tradnl"/>
              </w:rPr>
              <w:t xml:space="preserve">c2. Frecuencia disponible regional </w:t>
            </w:r>
          </w:p>
          <w:p w14:paraId="7E98E78C" w14:textId="77777777" w:rsidR="00F73D5B" w:rsidRPr="008B7A21" w:rsidRDefault="00F73D5B" w:rsidP="00767A6A">
            <w:pPr>
              <w:pStyle w:val="Tabletext"/>
              <w:jc w:val="left"/>
              <w:rPr>
                <w:sz w:val="16"/>
                <w:szCs w:val="16"/>
                <w:lang w:val="es-ES_tradnl"/>
              </w:rPr>
            </w:pPr>
            <w:r w:rsidRPr="008B7A21">
              <w:rPr>
                <w:sz w:val="16"/>
                <w:szCs w:val="16"/>
                <w:lang w:val="es-ES_tradnl"/>
              </w:rPr>
              <w:t>c3. Frecuencia disponible en todo el territorio nacional</w:t>
            </w:r>
          </w:p>
        </w:tc>
        <w:tc>
          <w:tcPr>
            <w:tcW w:w="1303" w:type="dxa"/>
          </w:tcPr>
          <w:p w14:paraId="4AF7F486" w14:textId="77777777" w:rsidR="00F73D5B" w:rsidRPr="008B7A21" w:rsidRDefault="00F73D5B" w:rsidP="00767A6A">
            <w:pPr>
              <w:pStyle w:val="Tabletext"/>
              <w:rPr>
                <w:sz w:val="16"/>
                <w:szCs w:val="16"/>
                <w:lang w:val="es-ES_tradnl"/>
              </w:rPr>
            </w:pPr>
          </w:p>
        </w:tc>
        <w:tc>
          <w:tcPr>
            <w:tcW w:w="1229" w:type="dxa"/>
          </w:tcPr>
          <w:p w14:paraId="256C8C87" w14:textId="77777777" w:rsidR="00F73D5B" w:rsidRPr="008B7A21" w:rsidRDefault="00F73D5B" w:rsidP="00767A6A">
            <w:pPr>
              <w:pStyle w:val="Tabletext"/>
              <w:rPr>
                <w:sz w:val="16"/>
                <w:szCs w:val="16"/>
                <w:lang w:val="es-ES_tradnl"/>
              </w:rPr>
            </w:pPr>
          </w:p>
        </w:tc>
        <w:tc>
          <w:tcPr>
            <w:tcW w:w="1501" w:type="dxa"/>
          </w:tcPr>
          <w:p w14:paraId="5057D455" w14:textId="77777777" w:rsidR="00F73D5B" w:rsidRPr="008B7A21" w:rsidRDefault="00F73D5B" w:rsidP="00767A6A">
            <w:pPr>
              <w:pStyle w:val="Tabletext"/>
              <w:rPr>
                <w:sz w:val="16"/>
                <w:szCs w:val="16"/>
                <w:lang w:val="es-ES_tradnl"/>
              </w:rPr>
            </w:pPr>
          </w:p>
        </w:tc>
        <w:tc>
          <w:tcPr>
            <w:tcW w:w="1500" w:type="dxa"/>
          </w:tcPr>
          <w:p w14:paraId="5479B10C" w14:textId="77777777" w:rsidR="00F73D5B" w:rsidRPr="008B7A21" w:rsidRDefault="00F73D5B" w:rsidP="00767A6A">
            <w:pPr>
              <w:pStyle w:val="Tabletext"/>
              <w:rPr>
                <w:sz w:val="16"/>
                <w:szCs w:val="16"/>
                <w:lang w:val="es-ES_tradnl"/>
              </w:rPr>
            </w:pPr>
            <w:r w:rsidRPr="008B7A21">
              <w:rPr>
                <w:sz w:val="16"/>
                <w:szCs w:val="16"/>
                <w:lang w:val="es-ES_tradnl"/>
              </w:rPr>
              <w:t>1 044 000</w:t>
            </w:r>
          </w:p>
          <w:p w14:paraId="5B89EFFA" w14:textId="77777777" w:rsidR="00F73D5B" w:rsidRPr="008B7A21" w:rsidRDefault="00F73D5B" w:rsidP="00767A6A">
            <w:pPr>
              <w:pStyle w:val="Tabletext"/>
              <w:rPr>
                <w:sz w:val="16"/>
                <w:szCs w:val="16"/>
                <w:lang w:val="es-ES_tradnl"/>
              </w:rPr>
            </w:pPr>
            <w:r w:rsidRPr="008B7A21">
              <w:rPr>
                <w:sz w:val="16"/>
                <w:szCs w:val="16"/>
                <w:lang w:val="es-ES_tradnl"/>
              </w:rPr>
              <w:t>3 480 000</w:t>
            </w:r>
          </w:p>
          <w:p w14:paraId="55C822C2" w14:textId="77777777" w:rsidR="00F73D5B" w:rsidRPr="008B7A21" w:rsidRDefault="00F73D5B" w:rsidP="00767A6A">
            <w:pPr>
              <w:pStyle w:val="Tabletext"/>
              <w:rPr>
                <w:sz w:val="16"/>
                <w:szCs w:val="16"/>
                <w:lang w:val="es-ES_tradnl"/>
              </w:rPr>
            </w:pPr>
            <w:r w:rsidRPr="008B7A21">
              <w:rPr>
                <w:sz w:val="16"/>
                <w:szCs w:val="16"/>
                <w:lang w:val="es-ES_tradnl"/>
              </w:rPr>
              <w:t>5 800 000</w:t>
            </w:r>
          </w:p>
        </w:tc>
      </w:tr>
      <w:tr w:rsidR="00F73D5B" w:rsidRPr="008B7A21" w14:paraId="0DC1091A" w14:textId="77777777" w:rsidTr="00767A6A">
        <w:trPr>
          <w:jc w:val="center"/>
        </w:trPr>
        <w:tc>
          <w:tcPr>
            <w:tcW w:w="4106" w:type="dxa"/>
          </w:tcPr>
          <w:p w14:paraId="2F165AE1" w14:textId="77777777" w:rsidR="00F73D5B" w:rsidRPr="008B7A21" w:rsidRDefault="00F73D5B" w:rsidP="00767A6A">
            <w:pPr>
              <w:pStyle w:val="Tabletext"/>
              <w:jc w:val="left"/>
              <w:rPr>
                <w:sz w:val="16"/>
                <w:szCs w:val="16"/>
                <w:lang w:val="es-ES_tradnl"/>
              </w:rPr>
            </w:pPr>
            <w:r w:rsidRPr="008B7A21">
              <w:rPr>
                <w:sz w:val="16"/>
                <w:szCs w:val="16"/>
                <w:lang w:val="es-ES_tradnl"/>
              </w:rPr>
              <w:t>I.4 – Red de recursos compartidos (troncal)</w:t>
            </w:r>
            <w:r w:rsidRPr="008B7A21">
              <w:rPr>
                <w:sz w:val="16"/>
                <w:szCs w:val="16"/>
                <w:lang w:val="es-ES_tradnl"/>
              </w:rPr>
              <w:br/>
              <w:t>(con una anchura de banda de 12,5 KHz)</w:t>
            </w:r>
          </w:p>
        </w:tc>
        <w:tc>
          <w:tcPr>
            <w:tcW w:w="1303" w:type="dxa"/>
          </w:tcPr>
          <w:p w14:paraId="07A9338C" w14:textId="77777777" w:rsidR="00F73D5B" w:rsidRPr="008B7A21" w:rsidRDefault="00F73D5B" w:rsidP="00767A6A">
            <w:pPr>
              <w:pStyle w:val="Tabletext"/>
              <w:rPr>
                <w:sz w:val="16"/>
                <w:szCs w:val="16"/>
                <w:lang w:val="es-ES_tradnl"/>
              </w:rPr>
            </w:pPr>
          </w:p>
        </w:tc>
        <w:tc>
          <w:tcPr>
            <w:tcW w:w="1229" w:type="dxa"/>
          </w:tcPr>
          <w:p w14:paraId="012B321E" w14:textId="77777777" w:rsidR="00F73D5B" w:rsidRPr="008B7A21" w:rsidRDefault="00F73D5B" w:rsidP="00767A6A">
            <w:pPr>
              <w:pStyle w:val="Tabletext"/>
              <w:rPr>
                <w:sz w:val="16"/>
                <w:szCs w:val="16"/>
                <w:lang w:val="es-ES_tradnl"/>
              </w:rPr>
            </w:pPr>
          </w:p>
        </w:tc>
        <w:tc>
          <w:tcPr>
            <w:tcW w:w="1501" w:type="dxa"/>
          </w:tcPr>
          <w:p w14:paraId="712E5B79" w14:textId="77777777" w:rsidR="00F73D5B" w:rsidRPr="008B7A21" w:rsidRDefault="00F73D5B" w:rsidP="00767A6A">
            <w:pPr>
              <w:pStyle w:val="Tabletext"/>
              <w:rPr>
                <w:sz w:val="16"/>
                <w:szCs w:val="16"/>
                <w:lang w:val="es-ES_tradnl"/>
              </w:rPr>
            </w:pPr>
          </w:p>
        </w:tc>
        <w:tc>
          <w:tcPr>
            <w:tcW w:w="1500" w:type="dxa"/>
          </w:tcPr>
          <w:p w14:paraId="1A78221A" w14:textId="77777777" w:rsidR="00F73D5B" w:rsidRPr="008B7A21" w:rsidRDefault="00F73D5B" w:rsidP="00767A6A">
            <w:pPr>
              <w:pStyle w:val="Tabletext"/>
              <w:rPr>
                <w:sz w:val="16"/>
                <w:szCs w:val="16"/>
                <w:lang w:val="es-ES_tradnl"/>
              </w:rPr>
            </w:pPr>
          </w:p>
        </w:tc>
      </w:tr>
      <w:tr w:rsidR="00F73D5B" w:rsidRPr="008B7A21" w14:paraId="33422CBA" w14:textId="77777777" w:rsidTr="00767A6A">
        <w:trPr>
          <w:jc w:val="center"/>
        </w:trPr>
        <w:tc>
          <w:tcPr>
            <w:tcW w:w="4106" w:type="dxa"/>
          </w:tcPr>
          <w:p w14:paraId="4186F320" w14:textId="77777777" w:rsidR="00F73D5B" w:rsidRPr="008B7A21" w:rsidRDefault="00F73D5B" w:rsidP="00767A6A">
            <w:pPr>
              <w:pStyle w:val="Tabletext"/>
              <w:jc w:val="left"/>
              <w:rPr>
                <w:sz w:val="16"/>
                <w:szCs w:val="16"/>
                <w:lang w:val="es-ES_tradnl"/>
              </w:rPr>
            </w:pPr>
            <w:r w:rsidRPr="008B7A21">
              <w:rPr>
                <w:sz w:val="16"/>
                <w:szCs w:val="16"/>
                <w:lang w:val="es-ES_tradnl"/>
              </w:rPr>
              <w:t>a1. Red local</w:t>
            </w:r>
          </w:p>
          <w:p w14:paraId="7129F3CE" w14:textId="77777777" w:rsidR="00F73D5B" w:rsidRPr="008B7A21" w:rsidRDefault="00F73D5B" w:rsidP="00767A6A">
            <w:pPr>
              <w:pStyle w:val="Tabletext"/>
              <w:jc w:val="left"/>
              <w:rPr>
                <w:sz w:val="16"/>
                <w:szCs w:val="16"/>
                <w:lang w:val="es-ES_tradnl"/>
              </w:rPr>
            </w:pPr>
            <w:r w:rsidRPr="008B7A21">
              <w:rPr>
                <w:sz w:val="16"/>
                <w:szCs w:val="16"/>
                <w:lang w:val="es-ES_tradnl"/>
              </w:rPr>
              <w:t>a2. Red regional</w:t>
            </w:r>
          </w:p>
          <w:p w14:paraId="717B163A" w14:textId="77777777" w:rsidR="00F73D5B" w:rsidRPr="008B7A21" w:rsidRDefault="00F73D5B" w:rsidP="00767A6A">
            <w:pPr>
              <w:pStyle w:val="Tabletext"/>
              <w:jc w:val="left"/>
              <w:rPr>
                <w:sz w:val="16"/>
                <w:szCs w:val="16"/>
                <w:lang w:val="es-ES_tradnl"/>
              </w:rPr>
            </w:pPr>
            <w:r w:rsidRPr="008B7A21">
              <w:rPr>
                <w:sz w:val="16"/>
                <w:szCs w:val="16"/>
                <w:lang w:val="es-ES_tradnl"/>
              </w:rPr>
              <w:t>a3. Red nacional</w:t>
            </w:r>
          </w:p>
        </w:tc>
        <w:tc>
          <w:tcPr>
            <w:tcW w:w="1303" w:type="dxa"/>
          </w:tcPr>
          <w:p w14:paraId="1A109A98" w14:textId="77777777" w:rsidR="00F73D5B" w:rsidRPr="008B7A21" w:rsidRDefault="00F73D5B" w:rsidP="00767A6A">
            <w:pPr>
              <w:pStyle w:val="Tabletext"/>
              <w:rPr>
                <w:sz w:val="16"/>
                <w:szCs w:val="16"/>
                <w:lang w:val="es-ES_tradnl"/>
              </w:rPr>
            </w:pPr>
            <w:r w:rsidRPr="008B7A21">
              <w:rPr>
                <w:sz w:val="16"/>
                <w:szCs w:val="16"/>
                <w:lang w:val="es-ES_tradnl"/>
              </w:rPr>
              <w:t>16 000</w:t>
            </w:r>
          </w:p>
          <w:p w14:paraId="0A0785E0" w14:textId="77777777" w:rsidR="00F73D5B" w:rsidRPr="008B7A21" w:rsidRDefault="00F73D5B" w:rsidP="00767A6A">
            <w:pPr>
              <w:pStyle w:val="Tabletext"/>
              <w:rPr>
                <w:sz w:val="16"/>
                <w:szCs w:val="16"/>
                <w:lang w:val="es-ES_tradnl"/>
              </w:rPr>
            </w:pPr>
            <w:r w:rsidRPr="008B7A21">
              <w:rPr>
                <w:sz w:val="16"/>
                <w:szCs w:val="16"/>
                <w:lang w:val="es-ES_tradnl"/>
              </w:rPr>
              <w:t>290 000</w:t>
            </w:r>
          </w:p>
          <w:p w14:paraId="5DA78EE2" w14:textId="77777777" w:rsidR="00F73D5B" w:rsidRPr="008B7A21" w:rsidRDefault="00F73D5B" w:rsidP="00767A6A">
            <w:pPr>
              <w:pStyle w:val="Tabletext"/>
              <w:rPr>
                <w:sz w:val="16"/>
                <w:szCs w:val="16"/>
                <w:lang w:val="es-ES_tradnl"/>
              </w:rPr>
            </w:pPr>
            <w:r w:rsidRPr="008B7A21">
              <w:rPr>
                <w:sz w:val="16"/>
                <w:szCs w:val="16"/>
                <w:lang w:val="es-ES_tradnl"/>
              </w:rPr>
              <w:t>580 000</w:t>
            </w:r>
          </w:p>
        </w:tc>
        <w:tc>
          <w:tcPr>
            <w:tcW w:w="1229" w:type="dxa"/>
          </w:tcPr>
          <w:p w14:paraId="002149E6" w14:textId="77777777" w:rsidR="00F73D5B" w:rsidRPr="008B7A21" w:rsidRDefault="00F73D5B" w:rsidP="00767A6A">
            <w:pPr>
              <w:pStyle w:val="Tabletext"/>
              <w:rPr>
                <w:sz w:val="16"/>
                <w:szCs w:val="16"/>
                <w:lang w:val="es-ES_tradnl"/>
              </w:rPr>
            </w:pPr>
          </w:p>
        </w:tc>
        <w:tc>
          <w:tcPr>
            <w:tcW w:w="1501" w:type="dxa"/>
          </w:tcPr>
          <w:p w14:paraId="181CAF35" w14:textId="77777777" w:rsidR="00F73D5B" w:rsidRPr="008B7A21" w:rsidRDefault="00F73D5B" w:rsidP="00767A6A">
            <w:pPr>
              <w:pStyle w:val="Tabletext"/>
              <w:rPr>
                <w:sz w:val="16"/>
                <w:szCs w:val="16"/>
                <w:lang w:val="es-ES_tradnl"/>
              </w:rPr>
            </w:pPr>
          </w:p>
        </w:tc>
        <w:tc>
          <w:tcPr>
            <w:tcW w:w="1500" w:type="dxa"/>
          </w:tcPr>
          <w:p w14:paraId="1F7A5601" w14:textId="77777777" w:rsidR="00F73D5B" w:rsidRPr="008B7A21" w:rsidRDefault="00F73D5B" w:rsidP="00767A6A">
            <w:pPr>
              <w:pStyle w:val="Tabletext"/>
              <w:rPr>
                <w:sz w:val="16"/>
                <w:szCs w:val="16"/>
                <w:lang w:val="es-ES_tradnl"/>
              </w:rPr>
            </w:pPr>
          </w:p>
        </w:tc>
      </w:tr>
      <w:tr w:rsidR="00F73D5B" w:rsidRPr="008B7A21" w14:paraId="6E4AD805" w14:textId="77777777" w:rsidTr="00767A6A">
        <w:trPr>
          <w:jc w:val="center"/>
        </w:trPr>
        <w:tc>
          <w:tcPr>
            <w:tcW w:w="4106" w:type="dxa"/>
          </w:tcPr>
          <w:p w14:paraId="0CBAA8C0" w14:textId="77777777" w:rsidR="00F73D5B" w:rsidRPr="008B7A21" w:rsidRDefault="00F73D5B" w:rsidP="00767A6A">
            <w:pPr>
              <w:pStyle w:val="Tabletext"/>
              <w:jc w:val="left"/>
              <w:rPr>
                <w:sz w:val="16"/>
                <w:szCs w:val="16"/>
                <w:lang w:val="es-ES_tradnl"/>
              </w:rPr>
            </w:pPr>
            <w:r w:rsidRPr="008B7A21">
              <w:rPr>
                <w:sz w:val="16"/>
                <w:szCs w:val="16"/>
                <w:lang w:val="es-ES_tradnl"/>
              </w:rPr>
              <w:t>b1. Estación de base</w:t>
            </w:r>
          </w:p>
        </w:tc>
        <w:tc>
          <w:tcPr>
            <w:tcW w:w="1303" w:type="dxa"/>
          </w:tcPr>
          <w:p w14:paraId="6FE884AB" w14:textId="77777777" w:rsidR="00F73D5B" w:rsidRPr="008B7A21" w:rsidRDefault="00F73D5B" w:rsidP="00767A6A">
            <w:pPr>
              <w:pStyle w:val="Tabletext"/>
              <w:rPr>
                <w:sz w:val="16"/>
                <w:szCs w:val="16"/>
                <w:lang w:val="es-ES_tradnl"/>
              </w:rPr>
            </w:pPr>
          </w:p>
        </w:tc>
        <w:tc>
          <w:tcPr>
            <w:tcW w:w="1229" w:type="dxa"/>
          </w:tcPr>
          <w:p w14:paraId="463699CB" w14:textId="77777777" w:rsidR="00F73D5B" w:rsidRPr="008B7A21" w:rsidRDefault="00F73D5B" w:rsidP="00767A6A">
            <w:pPr>
              <w:pStyle w:val="Tabletext"/>
              <w:rPr>
                <w:sz w:val="16"/>
                <w:szCs w:val="16"/>
                <w:lang w:val="es-ES_tradnl"/>
              </w:rPr>
            </w:pPr>
            <w:r w:rsidRPr="008B7A21">
              <w:rPr>
                <w:sz w:val="16"/>
                <w:szCs w:val="16"/>
                <w:lang w:val="es-ES_tradnl"/>
              </w:rPr>
              <w:t>34 800</w:t>
            </w:r>
          </w:p>
        </w:tc>
        <w:tc>
          <w:tcPr>
            <w:tcW w:w="1501" w:type="dxa"/>
          </w:tcPr>
          <w:p w14:paraId="37B6DC62" w14:textId="77777777" w:rsidR="00F73D5B" w:rsidRPr="008B7A21" w:rsidRDefault="00F73D5B" w:rsidP="00767A6A">
            <w:pPr>
              <w:pStyle w:val="Tabletext"/>
              <w:rPr>
                <w:sz w:val="16"/>
                <w:szCs w:val="16"/>
                <w:lang w:val="es-ES_tradnl"/>
              </w:rPr>
            </w:pPr>
          </w:p>
        </w:tc>
        <w:tc>
          <w:tcPr>
            <w:tcW w:w="1500" w:type="dxa"/>
          </w:tcPr>
          <w:p w14:paraId="7D317B0F" w14:textId="77777777" w:rsidR="00F73D5B" w:rsidRPr="008B7A21" w:rsidRDefault="00F73D5B" w:rsidP="00767A6A">
            <w:pPr>
              <w:pStyle w:val="Tabletext"/>
              <w:rPr>
                <w:sz w:val="16"/>
                <w:szCs w:val="16"/>
                <w:lang w:val="es-ES_tradnl"/>
              </w:rPr>
            </w:pPr>
          </w:p>
        </w:tc>
      </w:tr>
      <w:tr w:rsidR="00F73D5B" w:rsidRPr="008B7A21" w14:paraId="4DDD4BEC" w14:textId="77777777" w:rsidTr="00767A6A">
        <w:trPr>
          <w:jc w:val="center"/>
        </w:trPr>
        <w:tc>
          <w:tcPr>
            <w:tcW w:w="4106" w:type="dxa"/>
          </w:tcPr>
          <w:p w14:paraId="484E3579" w14:textId="77777777" w:rsidR="00F73D5B" w:rsidRPr="008B7A21" w:rsidRDefault="00F73D5B" w:rsidP="00767A6A">
            <w:pPr>
              <w:pStyle w:val="Tabletext"/>
              <w:jc w:val="left"/>
              <w:rPr>
                <w:sz w:val="16"/>
                <w:szCs w:val="16"/>
                <w:lang w:val="es-ES_tradnl"/>
              </w:rPr>
            </w:pPr>
            <w:r w:rsidRPr="008B7A21">
              <w:rPr>
                <w:sz w:val="16"/>
                <w:szCs w:val="16"/>
                <w:lang w:val="es-ES_tradnl"/>
              </w:rPr>
              <w:t>c1. Canal dúplex disponible localmente</w:t>
            </w:r>
          </w:p>
          <w:p w14:paraId="7B662DF5" w14:textId="77777777" w:rsidR="00F73D5B" w:rsidRPr="008B7A21" w:rsidRDefault="00F73D5B" w:rsidP="00767A6A">
            <w:pPr>
              <w:pStyle w:val="Tabletext"/>
              <w:jc w:val="left"/>
              <w:rPr>
                <w:sz w:val="16"/>
                <w:szCs w:val="16"/>
                <w:lang w:val="es-ES_tradnl"/>
              </w:rPr>
            </w:pPr>
            <w:r w:rsidRPr="008B7A21">
              <w:rPr>
                <w:sz w:val="16"/>
                <w:szCs w:val="16"/>
                <w:lang w:val="es-ES_tradnl"/>
              </w:rPr>
              <w:t>c2. Canal dúplex disponible en el plan regional</w:t>
            </w:r>
          </w:p>
          <w:p w14:paraId="19FE0964" w14:textId="77777777" w:rsidR="00F73D5B" w:rsidRPr="008B7A21" w:rsidRDefault="00F73D5B" w:rsidP="00767A6A">
            <w:pPr>
              <w:pStyle w:val="Tabletext"/>
              <w:jc w:val="left"/>
              <w:rPr>
                <w:sz w:val="16"/>
                <w:szCs w:val="16"/>
                <w:lang w:val="es-ES_tradnl"/>
              </w:rPr>
            </w:pPr>
            <w:r w:rsidRPr="008B7A21">
              <w:rPr>
                <w:sz w:val="16"/>
                <w:szCs w:val="16"/>
                <w:lang w:val="es-ES_tradnl"/>
              </w:rPr>
              <w:t>c3. Canal dúplex disponible en todo el territorio nacional</w:t>
            </w:r>
          </w:p>
        </w:tc>
        <w:tc>
          <w:tcPr>
            <w:tcW w:w="1303" w:type="dxa"/>
          </w:tcPr>
          <w:p w14:paraId="41BAFEB2" w14:textId="77777777" w:rsidR="00F73D5B" w:rsidRPr="008B7A21" w:rsidRDefault="00F73D5B" w:rsidP="00767A6A">
            <w:pPr>
              <w:pStyle w:val="Tabletext"/>
              <w:rPr>
                <w:sz w:val="16"/>
                <w:szCs w:val="16"/>
                <w:lang w:val="es-ES_tradnl"/>
              </w:rPr>
            </w:pPr>
          </w:p>
        </w:tc>
        <w:tc>
          <w:tcPr>
            <w:tcW w:w="1229" w:type="dxa"/>
          </w:tcPr>
          <w:p w14:paraId="3DC9C370" w14:textId="77777777" w:rsidR="00F73D5B" w:rsidRPr="008B7A21" w:rsidRDefault="00F73D5B" w:rsidP="00767A6A">
            <w:pPr>
              <w:pStyle w:val="Tabletext"/>
              <w:rPr>
                <w:sz w:val="16"/>
                <w:szCs w:val="16"/>
                <w:lang w:val="es-ES_tradnl"/>
              </w:rPr>
            </w:pPr>
          </w:p>
        </w:tc>
        <w:tc>
          <w:tcPr>
            <w:tcW w:w="1501" w:type="dxa"/>
          </w:tcPr>
          <w:p w14:paraId="005B7230" w14:textId="77777777" w:rsidR="00F73D5B" w:rsidRPr="008B7A21" w:rsidRDefault="00F73D5B" w:rsidP="00767A6A">
            <w:pPr>
              <w:pStyle w:val="Tabletext"/>
              <w:rPr>
                <w:sz w:val="16"/>
                <w:szCs w:val="16"/>
                <w:lang w:val="es-ES_tradnl"/>
              </w:rPr>
            </w:pPr>
          </w:p>
        </w:tc>
        <w:tc>
          <w:tcPr>
            <w:tcW w:w="1500" w:type="dxa"/>
          </w:tcPr>
          <w:p w14:paraId="4F384E63" w14:textId="77777777" w:rsidR="00F73D5B" w:rsidRPr="008B7A21" w:rsidRDefault="00F73D5B" w:rsidP="00767A6A">
            <w:pPr>
              <w:pStyle w:val="Tabletext"/>
              <w:rPr>
                <w:sz w:val="16"/>
                <w:szCs w:val="16"/>
                <w:lang w:val="es-ES_tradnl"/>
              </w:rPr>
            </w:pPr>
            <w:r w:rsidRPr="008B7A21">
              <w:rPr>
                <w:sz w:val="16"/>
                <w:szCs w:val="16"/>
                <w:lang w:val="es-ES_tradnl"/>
              </w:rPr>
              <w:t>1 740 000</w:t>
            </w:r>
          </w:p>
          <w:p w14:paraId="3E241996" w14:textId="77777777" w:rsidR="00F73D5B" w:rsidRPr="008B7A21" w:rsidRDefault="00F73D5B" w:rsidP="00767A6A">
            <w:pPr>
              <w:pStyle w:val="Tabletext"/>
              <w:rPr>
                <w:sz w:val="16"/>
                <w:szCs w:val="16"/>
                <w:lang w:val="es-ES_tradnl"/>
              </w:rPr>
            </w:pPr>
            <w:r w:rsidRPr="008B7A21">
              <w:rPr>
                <w:sz w:val="16"/>
                <w:szCs w:val="16"/>
                <w:lang w:val="es-ES_tradnl"/>
              </w:rPr>
              <w:t>5 800 000</w:t>
            </w:r>
          </w:p>
          <w:p w14:paraId="09F66DC1" w14:textId="77777777" w:rsidR="00F73D5B" w:rsidRPr="008B7A21" w:rsidRDefault="00F73D5B" w:rsidP="00767A6A">
            <w:pPr>
              <w:pStyle w:val="Tabletext"/>
              <w:rPr>
                <w:sz w:val="16"/>
                <w:szCs w:val="16"/>
                <w:lang w:val="es-ES_tradnl"/>
              </w:rPr>
            </w:pPr>
            <w:r w:rsidRPr="008B7A21">
              <w:rPr>
                <w:sz w:val="16"/>
                <w:szCs w:val="16"/>
                <w:lang w:val="es-ES_tradnl"/>
              </w:rPr>
              <w:t>8 700 000</w:t>
            </w:r>
          </w:p>
        </w:tc>
      </w:tr>
      <w:tr w:rsidR="00F73D5B" w:rsidRPr="008B7A21" w14:paraId="49C4E6D7" w14:textId="77777777" w:rsidTr="00767A6A">
        <w:trPr>
          <w:jc w:val="center"/>
        </w:trPr>
        <w:tc>
          <w:tcPr>
            <w:tcW w:w="4106" w:type="dxa"/>
          </w:tcPr>
          <w:p w14:paraId="3DB66929" w14:textId="77777777" w:rsidR="00F73D5B" w:rsidRPr="008B7A21" w:rsidRDefault="00F73D5B" w:rsidP="00767A6A">
            <w:pPr>
              <w:pStyle w:val="Tabletext"/>
              <w:jc w:val="left"/>
              <w:rPr>
                <w:sz w:val="16"/>
                <w:szCs w:val="16"/>
                <w:lang w:val="es-ES_tradnl"/>
              </w:rPr>
            </w:pPr>
            <w:r w:rsidRPr="008B7A21">
              <w:rPr>
                <w:sz w:val="16"/>
                <w:szCs w:val="16"/>
                <w:lang w:val="es-ES_tradnl"/>
              </w:rPr>
              <w:t>I.5 – Enlaces de microondas por encima de 1 GHz</w:t>
            </w:r>
          </w:p>
        </w:tc>
        <w:tc>
          <w:tcPr>
            <w:tcW w:w="1303" w:type="dxa"/>
          </w:tcPr>
          <w:p w14:paraId="19ED2E3A" w14:textId="77777777" w:rsidR="00F73D5B" w:rsidRPr="008B7A21" w:rsidRDefault="00F73D5B" w:rsidP="00767A6A">
            <w:pPr>
              <w:pStyle w:val="Tabletext"/>
              <w:rPr>
                <w:sz w:val="16"/>
                <w:szCs w:val="16"/>
                <w:lang w:val="es-ES_tradnl"/>
              </w:rPr>
            </w:pPr>
          </w:p>
        </w:tc>
        <w:tc>
          <w:tcPr>
            <w:tcW w:w="1229" w:type="dxa"/>
          </w:tcPr>
          <w:p w14:paraId="3B1322DD" w14:textId="77777777" w:rsidR="00F73D5B" w:rsidRPr="008B7A21" w:rsidRDefault="00F73D5B" w:rsidP="00767A6A">
            <w:pPr>
              <w:pStyle w:val="Tabletext"/>
              <w:rPr>
                <w:sz w:val="16"/>
                <w:szCs w:val="16"/>
                <w:lang w:val="es-ES_tradnl"/>
              </w:rPr>
            </w:pPr>
          </w:p>
        </w:tc>
        <w:tc>
          <w:tcPr>
            <w:tcW w:w="1501" w:type="dxa"/>
          </w:tcPr>
          <w:p w14:paraId="682D502D" w14:textId="77777777" w:rsidR="00F73D5B" w:rsidRPr="008B7A21" w:rsidRDefault="00F73D5B" w:rsidP="00767A6A">
            <w:pPr>
              <w:pStyle w:val="Tabletext"/>
              <w:rPr>
                <w:sz w:val="16"/>
                <w:szCs w:val="16"/>
                <w:lang w:val="es-ES_tradnl"/>
              </w:rPr>
            </w:pPr>
          </w:p>
        </w:tc>
        <w:tc>
          <w:tcPr>
            <w:tcW w:w="1500" w:type="dxa"/>
          </w:tcPr>
          <w:p w14:paraId="2D69AAA9" w14:textId="77777777" w:rsidR="00F73D5B" w:rsidRPr="008B7A21" w:rsidRDefault="00F73D5B" w:rsidP="00767A6A">
            <w:pPr>
              <w:pStyle w:val="Tabletext"/>
              <w:rPr>
                <w:sz w:val="16"/>
                <w:szCs w:val="16"/>
                <w:lang w:val="es-ES_tradnl"/>
              </w:rPr>
            </w:pPr>
          </w:p>
        </w:tc>
      </w:tr>
      <w:tr w:rsidR="00F73D5B" w:rsidRPr="008B7A21" w14:paraId="59F4BDF6" w14:textId="77777777" w:rsidTr="00767A6A">
        <w:trPr>
          <w:jc w:val="center"/>
        </w:trPr>
        <w:tc>
          <w:tcPr>
            <w:tcW w:w="4106" w:type="dxa"/>
          </w:tcPr>
          <w:p w14:paraId="21D8B0F5" w14:textId="77777777" w:rsidR="00F73D5B" w:rsidRPr="008B7A21" w:rsidRDefault="00F73D5B" w:rsidP="00767A6A">
            <w:pPr>
              <w:pStyle w:val="Tabletext"/>
              <w:jc w:val="left"/>
              <w:rPr>
                <w:sz w:val="16"/>
                <w:szCs w:val="16"/>
                <w:lang w:val="es-ES_tradnl"/>
              </w:rPr>
            </w:pPr>
            <w:r w:rsidRPr="008B7A21">
              <w:rPr>
                <w:sz w:val="16"/>
                <w:szCs w:val="16"/>
                <w:lang w:val="es-ES_tradnl"/>
              </w:rPr>
              <w:t xml:space="preserve">a1. Red troncal o local </w:t>
            </w:r>
          </w:p>
          <w:p w14:paraId="11095B3B" w14:textId="77777777" w:rsidR="00F73D5B" w:rsidRPr="008B7A21" w:rsidRDefault="00F73D5B" w:rsidP="00767A6A">
            <w:pPr>
              <w:pStyle w:val="Tabletext"/>
              <w:jc w:val="left"/>
              <w:rPr>
                <w:sz w:val="16"/>
                <w:szCs w:val="16"/>
                <w:lang w:val="es-ES_tradnl"/>
              </w:rPr>
            </w:pPr>
            <w:r w:rsidRPr="008B7A21">
              <w:rPr>
                <w:sz w:val="16"/>
                <w:szCs w:val="16"/>
                <w:lang w:val="es-ES_tradnl"/>
              </w:rPr>
              <w:t xml:space="preserve">a2. Red troncal o regional </w:t>
            </w:r>
          </w:p>
          <w:p w14:paraId="2EFDB110" w14:textId="77777777" w:rsidR="00F73D5B" w:rsidRPr="008B7A21" w:rsidRDefault="00F73D5B" w:rsidP="00767A6A">
            <w:pPr>
              <w:pStyle w:val="Tabletext"/>
              <w:jc w:val="left"/>
              <w:rPr>
                <w:sz w:val="16"/>
                <w:szCs w:val="16"/>
                <w:lang w:val="es-ES_tradnl"/>
              </w:rPr>
            </w:pPr>
            <w:r w:rsidRPr="008B7A21">
              <w:rPr>
                <w:sz w:val="16"/>
                <w:szCs w:val="16"/>
                <w:lang w:val="es-ES_tradnl"/>
              </w:rPr>
              <w:t>a3. Red troncal o nacional</w:t>
            </w:r>
          </w:p>
        </w:tc>
        <w:tc>
          <w:tcPr>
            <w:tcW w:w="1303" w:type="dxa"/>
          </w:tcPr>
          <w:p w14:paraId="557E895B" w14:textId="77777777" w:rsidR="00F73D5B" w:rsidRPr="008B7A21" w:rsidRDefault="00F73D5B" w:rsidP="00767A6A">
            <w:pPr>
              <w:pStyle w:val="Tabletext"/>
              <w:rPr>
                <w:sz w:val="16"/>
                <w:szCs w:val="16"/>
                <w:lang w:val="es-ES_tradnl"/>
              </w:rPr>
            </w:pPr>
            <w:r w:rsidRPr="008B7A21">
              <w:rPr>
                <w:sz w:val="16"/>
                <w:szCs w:val="16"/>
                <w:lang w:val="es-ES_tradnl"/>
              </w:rPr>
              <w:t>116 000</w:t>
            </w:r>
          </w:p>
          <w:p w14:paraId="72683A07" w14:textId="77777777" w:rsidR="00F73D5B" w:rsidRPr="008B7A21" w:rsidRDefault="00F73D5B" w:rsidP="00767A6A">
            <w:pPr>
              <w:pStyle w:val="Tabletext"/>
              <w:rPr>
                <w:sz w:val="16"/>
                <w:szCs w:val="16"/>
                <w:lang w:val="es-ES_tradnl"/>
              </w:rPr>
            </w:pPr>
            <w:r w:rsidRPr="008B7A21">
              <w:rPr>
                <w:sz w:val="16"/>
                <w:szCs w:val="16"/>
                <w:lang w:val="es-ES_tradnl"/>
              </w:rPr>
              <w:t>290 000</w:t>
            </w:r>
          </w:p>
          <w:p w14:paraId="238713CF" w14:textId="77777777" w:rsidR="00F73D5B" w:rsidRPr="008B7A21" w:rsidRDefault="00F73D5B" w:rsidP="00767A6A">
            <w:pPr>
              <w:pStyle w:val="Tabletext"/>
              <w:rPr>
                <w:sz w:val="16"/>
                <w:szCs w:val="16"/>
                <w:lang w:val="es-ES_tradnl"/>
              </w:rPr>
            </w:pPr>
            <w:r w:rsidRPr="008B7A21">
              <w:rPr>
                <w:sz w:val="16"/>
                <w:szCs w:val="16"/>
                <w:lang w:val="es-ES_tradnl"/>
              </w:rPr>
              <w:t>580 000</w:t>
            </w:r>
          </w:p>
        </w:tc>
        <w:tc>
          <w:tcPr>
            <w:tcW w:w="1229" w:type="dxa"/>
          </w:tcPr>
          <w:p w14:paraId="100FAA05" w14:textId="77777777" w:rsidR="00F73D5B" w:rsidRPr="008B7A21" w:rsidRDefault="00F73D5B" w:rsidP="00767A6A">
            <w:pPr>
              <w:pStyle w:val="Tabletext"/>
              <w:rPr>
                <w:sz w:val="16"/>
                <w:szCs w:val="16"/>
                <w:lang w:val="es-ES_tradnl"/>
              </w:rPr>
            </w:pPr>
          </w:p>
        </w:tc>
        <w:tc>
          <w:tcPr>
            <w:tcW w:w="1501" w:type="dxa"/>
          </w:tcPr>
          <w:p w14:paraId="43FA2FAC" w14:textId="77777777" w:rsidR="00F73D5B" w:rsidRPr="008B7A21" w:rsidRDefault="00F73D5B" w:rsidP="00767A6A">
            <w:pPr>
              <w:pStyle w:val="Tabletext"/>
              <w:rPr>
                <w:sz w:val="16"/>
                <w:szCs w:val="16"/>
                <w:lang w:val="es-ES_tradnl"/>
              </w:rPr>
            </w:pPr>
          </w:p>
        </w:tc>
        <w:tc>
          <w:tcPr>
            <w:tcW w:w="1500" w:type="dxa"/>
          </w:tcPr>
          <w:p w14:paraId="7003B99D" w14:textId="77777777" w:rsidR="00F73D5B" w:rsidRPr="008B7A21" w:rsidRDefault="00F73D5B" w:rsidP="00767A6A">
            <w:pPr>
              <w:pStyle w:val="Tabletext"/>
              <w:rPr>
                <w:sz w:val="16"/>
                <w:szCs w:val="16"/>
                <w:lang w:val="es-ES_tradnl"/>
              </w:rPr>
            </w:pPr>
          </w:p>
        </w:tc>
      </w:tr>
      <w:tr w:rsidR="00F73D5B" w:rsidRPr="008B7A21" w14:paraId="1A759DFD" w14:textId="77777777" w:rsidTr="00767A6A">
        <w:trPr>
          <w:jc w:val="center"/>
        </w:trPr>
        <w:tc>
          <w:tcPr>
            <w:tcW w:w="4106" w:type="dxa"/>
          </w:tcPr>
          <w:p w14:paraId="1D285F03" w14:textId="77777777" w:rsidR="00F73D5B" w:rsidRPr="008B7A21" w:rsidRDefault="00F73D5B" w:rsidP="00767A6A">
            <w:pPr>
              <w:pStyle w:val="Tabletext"/>
              <w:keepNext/>
              <w:keepLines/>
              <w:jc w:val="left"/>
              <w:rPr>
                <w:sz w:val="16"/>
                <w:szCs w:val="16"/>
                <w:lang w:val="es-ES_tradnl"/>
              </w:rPr>
            </w:pPr>
            <w:r w:rsidRPr="008B7A21">
              <w:rPr>
                <w:sz w:val="16"/>
                <w:szCs w:val="16"/>
                <w:lang w:val="es-ES_tradnl"/>
              </w:rPr>
              <w:lastRenderedPageBreak/>
              <w:t>b1. Estación terminal</w:t>
            </w:r>
          </w:p>
          <w:p w14:paraId="30D1A4FF" w14:textId="09131B6F" w:rsidR="00F73D5B" w:rsidRPr="008B7A21" w:rsidRDefault="00F73D5B" w:rsidP="00767A6A">
            <w:pPr>
              <w:pStyle w:val="Tabletext"/>
              <w:keepNext/>
              <w:keepLines/>
              <w:jc w:val="left"/>
              <w:rPr>
                <w:sz w:val="16"/>
                <w:szCs w:val="16"/>
                <w:lang w:val="es-ES_tradnl"/>
              </w:rPr>
            </w:pPr>
            <w:r w:rsidRPr="008B7A21">
              <w:rPr>
                <w:sz w:val="16"/>
                <w:szCs w:val="16"/>
                <w:lang w:val="es-ES_tradnl"/>
              </w:rPr>
              <w:t>b2.</w:t>
            </w:r>
            <w:r w:rsidR="003C4963">
              <w:rPr>
                <w:sz w:val="16"/>
                <w:szCs w:val="16"/>
                <w:lang w:val="es-ES_tradnl"/>
              </w:rPr>
              <w:t xml:space="preserve"> Estación de retransmisión</w:t>
            </w:r>
          </w:p>
        </w:tc>
        <w:tc>
          <w:tcPr>
            <w:tcW w:w="1303" w:type="dxa"/>
          </w:tcPr>
          <w:p w14:paraId="75B3993C" w14:textId="77777777" w:rsidR="00F73D5B" w:rsidRPr="008B7A21" w:rsidRDefault="00F73D5B" w:rsidP="00767A6A">
            <w:pPr>
              <w:pStyle w:val="Tabletext"/>
              <w:keepNext/>
              <w:keepLines/>
              <w:rPr>
                <w:sz w:val="16"/>
                <w:szCs w:val="16"/>
                <w:lang w:val="es-ES_tradnl"/>
              </w:rPr>
            </w:pPr>
          </w:p>
        </w:tc>
        <w:tc>
          <w:tcPr>
            <w:tcW w:w="1229" w:type="dxa"/>
          </w:tcPr>
          <w:p w14:paraId="060A8165" w14:textId="77777777" w:rsidR="00F73D5B" w:rsidRPr="008B7A21" w:rsidRDefault="00F73D5B" w:rsidP="00767A6A">
            <w:pPr>
              <w:pStyle w:val="Tabletext"/>
              <w:keepNext/>
              <w:keepLines/>
              <w:rPr>
                <w:sz w:val="16"/>
                <w:szCs w:val="16"/>
                <w:lang w:val="es-ES_tradnl"/>
              </w:rPr>
            </w:pPr>
            <w:r w:rsidRPr="008B7A21">
              <w:rPr>
                <w:sz w:val="16"/>
                <w:szCs w:val="16"/>
                <w:lang w:val="es-ES_tradnl"/>
              </w:rPr>
              <w:t>34 800</w:t>
            </w:r>
          </w:p>
          <w:p w14:paraId="5C12B710" w14:textId="77777777" w:rsidR="00F73D5B" w:rsidRPr="008B7A21" w:rsidRDefault="00F73D5B" w:rsidP="00767A6A">
            <w:pPr>
              <w:pStyle w:val="Tabletext"/>
              <w:keepNext/>
              <w:keepLines/>
              <w:rPr>
                <w:sz w:val="16"/>
                <w:szCs w:val="16"/>
                <w:lang w:val="es-ES_tradnl"/>
              </w:rPr>
            </w:pPr>
            <w:r w:rsidRPr="008B7A21">
              <w:rPr>
                <w:sz w:val="16"/>
                <w:szCs w:val="16"/>
                <w:lang w:val="es-ES_tradnl"/>
              </w:rPr>
              <w:t>29 000</w:t>
            </w:r>
          </w:p>
        </w:tc>
        <w:tc>
          <w:tcPr>
            <w:tcW w:w="1501" w:type="dxa"/>
          </w:tcPr>
          <w:p w14:paraId="5505C391" w14:textId="77777777" w:rsidR="00F73D5B" w:rsidRPr="008B7A21" w:rsidRDefault="00F73D5B" w:rsidP="00767A6A">
            <w:pPr>
              <w:pStyle w:val="Tabletext"/>
              <w:keepNext/>
              <w:keepLines/>
              <w:rPr>
                <w:sz w:val="16"/>
                <w:szCs w:val="16"/>
                <w:lang w:val="es-ES_tradnl"/>
              </w:rPr>
            </w:pPr>
          </w:p>
        </w:tc>
        <w:tc>
          <w:tcPr>
            <w:tcW w:w="1500" w:type="dxa"/>
          </w:tcPr>
          <w:p w14:paraId="592C7AF3" w14:textId="77777777" w:rsidR="00F73D5B" w:rsidRPr="008B7A21" w:rsidRDefault="00F73D5B" w:rsidP="00767A6A">
            <w:pPr>
              <w:pStyle w:val="Tabletext"/>
              <w:keepNext/>
              <w:keepLines/>
              <w:rPr>
                <w:sz w:val="16"/>
                <w:szCs w:val="16"/>
                <w:lang w:val="es-ES_tradnl"/>
              </w:rPr>
            </w:pPr>
          </w:p>
        </w:tc>
      </w:tr>
      <w:tr w:rsidR="00F73D5B" w:rsidRPr="008B7A21" w14:paraId="3D6D29E4" w14:textId="77777777" w:rsidTr="00767A6A">
        <w:trPr>
          <w:jc w:val="center"/>
        </w:trPr>
        <w:tc>
          <w:tcPr>
            <w:tcW w:w="4106" w:type="dxa"/>
          </w:tcPr>
          <w:p w14:paraId="2D3AA0FE" w14:textId="77777777" w:rsidR="00F73D5B" w:rsidRPr="008B7A21" w:rsidRDefault="00F73D5B" w:rsidP="00767A6A">
            <w:pPr>
              <w:pStyle w:val="Tabletext"/>
              <w:ind w:left="284" w:hanging="284"/>
              <w:jc w:val="left"/>
              <w:rPr>
                <w:sz w:val="16"/>
                <w:szCs w:val="16"/>
                <w:lang w:val="es-ES_tradnl"/>
              </w:rPr>
            </w:pPr>
            <w:r w:rsidRPr="008B7A21">
              <w:rPr>
                <w:sz w:val="16"/>
                <w:szCs w:val="16"/>
                <w:lang w:val="es-ES_tradnl"/>
              </w:rPr>
              <w:t>c1.</w:t>
            </w:r>
            <w:r w:rsidRPr="008B7A21">
              <w:rPr>
                <w:sz w:val="16"/>
                <w:szCs w:val="16"/>
                <w:lang w:val="es-ES_tradnl"/>
              </w:rPr>
              <w:tab/>
              <w:t>Enlaces de entre 1 a 24 canales telefónicos o superiores a 2,1 Mbit/s</w:t>
            </w:r>
          </w:p>
          <w:p w14:paraId="3D3EFEF3" w14:textId="77777777" w:rsidR="00F73D5B" w:rsidRPr="008B7A21" w:rsidRDefault="00F73D5B" w:rsidP="00767A6A">
            <w:pPr>
              <w:pStyle w:val="Tabletext"/>
              <w:ind w:left="284" w:hanging="284"/>
              <w:jc w:val="left"/>
              <w:rPr>
                <w:sz w:val="16"/>
                <w:szCs w:val="16"/>
                <w:lang w:val="es-ES_tradnl"/>
              </w:rPr>
            </w:pPr>
            <w:r w:rsidRPr="008B7A21">
              <w:rPr>
                <w:sz w:val="16"/>
                <w:szCs w:val="16"/>
                <w:lang w:val="es-ES_tradnl"/>
              </w:rPr>
              <w:t>c2.</w:t>
            </w:r>
            <w:r w:rsidRPr="008B7A21">
              <w:rPr>
                <w:sz w:val="16"/>
                <w:szCs w:val="16"/>
                <w:lang w:val="es-ES_tradnl"/>
              </w:rPr>
              <w:tab/>
              <w:t>Enlaces de entre 25 a 120 canales telefónicos o entre 2,1 a 8 Mbit/s</w:t>
            </w:r>
          </w:p>
          <w:p w14:paraId="34C77F7A" w14:textId="77777777" w:rsidR="00F73D5B" w:rsidRPr="008B7A21" w:rsidRDefault="00F73D5B" w:rsidP="00767A6A">
            <w:pPr>
              <w:pStyle w:val="Tabletext"/>
              <w:ind w:left="284" w:hanging="284"/>
              <w:jc w:val="left"/>
              <w:rPr>
                <w:sz w:val="16"/>
                <w:szCs w:val="16"/>
                <w:lang w:val="es-ES_tradnl"/>
              </w:rPr>
            </w:pPr>
            <w:r w:rsidRPr="008B7A21">
              <w:rPr>
                <w:sz w:val="16"/>
                <w:szCs w:val="16"/>
                <w:lang w:val="es-ES_tradnl"/>
              </w:rPr>
              <w:t>c3.</w:t>
            </w:r>
            <w:r w:rsidRPr="008B7A21">
              <w:rPr>
                <w:sz w:val="16"/>
                <w:szCs w:val="16"/>
                <w:lang w:val="es-ES_tradnl"/>
              </w:rPr>
              <w:tab/>
              <w:t>Enlaces de entre 121 a 600 canales telefónicos o entre 8 a 34 Mbit/s</w:t>
            </w:r>
          </w:p>
          <w:p w14:paraId="647244EF" w14:textId="77777777" w:rsidR="00F73D5B" w:rsidRPr="008B7A21" w:rsidRDefault="00F73D5B" w:rsidP="00767A6A">
            <w:pPr>
              <w:pStyle w:val="Tabletext"/>
              <w:ind w:left="284" w:right="-57" w:hanging="284"/>
              <w:jc w:val="left"/>
              <w:rPr>
                <w:sz w:val="16"/>
                <w:szCs w:val="16"/>
                <w:lang w:val="es-ES_tradnl"/>
              </w:rPr>
            </w:pPr>
            <w:r w:rsidRPr="008B7A21">
              <w:rPr>
                <w:sz w:val="16"/>
                <w:szCs w:val="16"/>
                <w:lang w:val="es-ES_tradnl"/>
              </w:rPr>
              <w:t>c4.</w:t>
            </w:r>
            <w:r w:rsidRPr="008B7A21">
              <w:rPr>
                <w:sz w:val="16"/>
                <w:szCs w:val="16"/>
                <w:lang w:val="es-ES_tradnl"/>
              </w:rPr>
              <w:tab/>
              <w:t>Enlaces con más de 600 canales telefónicos o más de 34 Mbit/s</w:t>
            </w:r>
          </w:p>
        </w:tc>
        <w:tc>
          <w:tcPr>
            <w:tcW w:w="1303" w:type="dxa"/>
          </w:tcPr>
          <w:p w14:paraId="0ECB67F5" w14:textId="77777777" w:rsidR="00F73D5B" w:rsidRPr="008B7A21" w:rsidRDefault="00F73D5B" w:rsidP="00767A6A">
            <w:pPr>
              <w:pStyle w:val="Tabletext"/>
              <w:rPr>
                <w:sz w:val="16"/>
                <w:szCs w:val="16"/>
                <w:lang w:val="es-ES_tradnl"/>
              </w:rPr>
            </w:pPr>
          </w:p>
        </w:tc>
        <w:tc>
          <w:tcPr>
            <w:tcW w:w="1229" w:type="dxa"/>
          </w:tcPr>
          <w:p w14:paraId="2C5FE165" w14:textId="77777777" w:rsidR="00F73D5B" w:rsidRPr="008B7A21" w:rsidRDefault="00F73D5B" w:rsidP="00767A6A">
            <w:pPr>
              <w:pStyle w:val="Tabletext"/>
              <w:rPr>
                <w:sz w:val="16"/>
                <w:szCs w:val="16"/>
                <w:lang w:val="es-ES_tradnl"/>
              </w:rPr>
            </w:pPr>
          </w:p>
        </w:tc>
        <w:tc>
          <w:tcPr>
            <w:tcW w:w="1501" w:type="dxa"/>
          </w:tcPr>
          <w:p w14:paraId="7556ACCA" w14:textId="77777777" w:rsidR="00F73D5B" w:rsidRPr="008B7A21" w:rsidRDefault="00F73D5B" w:rsidP="00767A6A">
            <w:pPr>
              <w:pStyle w:val="Tabletext"/>
              <w:rPr>
                <w:sz w:val="16"/>
                <w:szCs w:val="16"/>
                <w:lang w:val="es-ES_tradnl"/>
              </w:rPr>
            </w:pPr>
          </w:p>
        </w:tc>
        <w:tc>
          <w:tcPr>
            <w:tcW w:w="1500" w:type="dxa"/>
          </w:tcPr>
          <w:p w14:paraId="192FBE11" w14:textId="77777777" w:rsidR="00F73D5B" w:rsidRPr="008B7A21" w:rsidRDefault="00F73D5B" w:rsidP="00767A6A">
            <w:pPr>
              <w:pStyle w:val="Tabletext"/>
              <w:rPr>
                <w:sz w:val="16"/>
                <w:szCs w:val="16"/>
                <w:lang w:val="es-ES_tradnl"/>
              </w:rPr>
            </w:pPr>
            <w:r w:rsidRPr="008B7A21">
              <w:rPr>
                <w:sz w:val="16"/>
                <w:szCs w:val="16"/>
                <w:lang w:val="es-ES_tradnl"/>
              </w:rPr>
              <w:br/>
              <w:t>1 160 000</w:t>
            </w:r>
          </w:p>
          <w:p w14:paraId="579B4F3E" w14:textId="77777777" w:rsidR="00F73D5B" w:rsidRPr="008B7A21" w:rsidRDefault="00F73D5B" w:rsidP="00767A6A">
            <w:pPr>
              <w:pStyle w:val="Tabletext"/>
              <w:rPr>
                <w:sz w:val="16"/>
                <w:szCs w:val="16"/>
                <w:lang w:val="es-ES_tradnl"/>
              </w:rPr>
            </w:pPr>
            <w:r w:rsidRPr="008B7A21">
              <w:rPr>
                <w:sz w:val="16"/>
                <w:szCs w:val="16"/>
                <w:lang w:val="es-ES_tradnl"/>
              </w:rPr>
              <w:br/>
              <w:t>1 450 000</w:t>
            </w:r>
          </w:p>
          <w:p w14:paraId="7C3BD8C8" w14:textId="77777777" w:rsidR="00F73D5B" w:rsidRPr="008B7A21" w:rsidRDefault="00F73D5B" w:rsidP="00767A6A">
            <w:pPr>
              <w:pStyle w:val="Tabletext"/>
              <w:rPr>
                <w:sz w:val="16"/>
                <w:szCs w:val="16"/>
                <w:lang w:val="es-ES_tradnl"/>
              </w:rPr>
            </w:pPr>
            <w:r w:rsidRPr="008B7A21">
              <w:rPr>
                <w:sz w:val="16"/>
                <w:szCs w:val="16"/>
                <w:lang w:val="es-ES_tradnl"/>
              </w:rPr>
              <w:br/>
              <w:t>1 740 000</w:t>
            </w:r>
          </w:p>
          <w:p w14:paraId="1EF87A01" w14:textId="77777777" w:rsidR="00F73D5B" w:rsidRPr="008B7A21" w:rsidRDefault="00F73D5B" w:rsidP="00767A6A">
            <w:pPr>
              <w:pStyle w:val="Tabletext"/>
              <w:rPr>
                <w:sz w:val="16"/>
                <w:szCs w:val="16"/>
                <w:lang w:val="es-ES_tradnl"/>
              </w:rPr>
            </w:pPr>
            <w:r w:rsidRPr="008B7A21">
              <w:rPr>
                <w:sz w:val="16"/>
                <w:szCs w:val="16"/>
                <w:lang w:val="es-ES_tradnl"/>
              </w:rPr>
              <w:br/>
              <w:t>2 900 000</w:t>
            </w:r>
          </w:p>
        </w:tc>
      </w:tr>
      <w:tr w:rsidR="00F73D5B" w:rsidRPr="008B7A21" w14:paraId="79B27C39" w14:textId="77777777" w:rsidTr="00767A6A">
        <w:trPr>
          <w:jc w:val="center"/>
        </w:trPr>
        <w:tc>
          <w:tcPr>
            <w:tcW w:w="4106" w:type="dxa"/>
            <w:tcBorders>
              <w:top w:val="single" w:sz="4" w:space="0" w:color="auto"/>
              <w:left w:val="single" w:sz="4" w:space="0" w:color="auto"/>
              <w:bottom w:val="single" w:sz="4" w:space="0" w:color="auto"/>
              <w:right w:val="single" w:sz="4" w:space="0" w:color="auto"/>
            </w:tcBorders>
          </w:tcPr>
          <w:p w14:paraId="1FECEC24" w14:textId="77777777" w:rsidR="00F73D5B" w:rsidRPr="008B7A21" w:rsidRDefault="00F73D5B" w:rsidP="00767A6A">
            <w:pPr>
              <w:pStyle w:val="Tabletext"/>
              <w:ind w:left="284" w:hanging="284"/>
              <w:jc w:val="left"/>
              <w:rPr>
                <w:sz w:val="16"/>
                <w:szCs w:val="16"/>
                <w:lang w:val="es-ES_tradnl"/>
              </w:rPr>
            </w:pPr>
            <w:r w:rsidRPr="008B7A21">
              <w:rPr>
                <w:sz w:val="16"/>
                <w:szCs w:val="16"/>
                <w:lang w:val="es-ES_tradnl"/>
              </w:rPr>
              <w:t>II.</w:t>
            </w:r>
            <w:r w:rsidRPr="008B7A21">
              <w:rPr>
                <w:sz w:val="16"/>
                <w:szCs w:val="16"/>
                <w:lang w:val="es-ES_tradnl"/>
              </w:rPr>
              <w:tab/>
              <w:t>REDES FIJAS Y MÓVILES TERRENALES ABIERTAS AL PÚBLICO (con ánimo de lucro)</w:t>
            </w:r>
          </w:p>
        </w:tc>
        <w:tc>
          <w:tcPr>
            <w:tcW w:w="1303" w:type="dxa"/>
            <w:tcBorders>
              <w:top w:val="single" w:sz="4" w:space="0" w:color="auto"/>
              <w:left w:val="single" w:sz="4" w:space="0" w:color="auto"/>
              <w:bottom w:val="single" w:sz="4" w:space="0" w:color="auto"/>
              <w:right w:val="single" w:sz="4" w:space="0" w:color="auto"/>
            </w:tcBorders>
          </w:tcPr>
          <w:p w14:paraId="5F2BF286" w14:textId="77777777" w:rsidR="00F73D5B" w:rsidRPr="008B7A21" w:rsidRDefault="00F73D5B" w:rsidP="00767A6A">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14:paraId="3403E987" w14:textId="77777777" w:rsidR="00F73D5B" w:rsidRPr="008B7A21" w:rsidRDefault="00F73D5B" w:rsidP="00767A6A">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14:paraId="1522BAA2" w14:textId="77777777" w:rsidR="00F73D5B" w:rsidRPr="008B7A21" w:rsidRDefault="00F73D5B" w:rsidP="00767A6A">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14:paraId="705EA37A" w14:textId="77777777" w:rsidR="00F73D5B" w:rsidRPr="008B7A21" w:rsidRDefault="00F73D5B" w:rsidP="00767A6A">
            <w:pPr>
              <w:pStyle w:val="Tabletext"/>
              <w:rPr>
                <w:sz w:val="16"/>
                <w:szCs w:val="16"/>
                <w:lang w:val="es-ES_tradnl"/>
              </w:rPr>
            </w:pPr>
          </w:p>
        </w:tc>
      </w:tr>
      <w:tr w:rsidR="00F73D5B" w:rsidRPr="008B7A21" w14:paraId="22822377" w14:textId="77777777" w:rsidTr="00767A6A">
        <w:trPr>
          <w:jc w:val="center"/>
        </w:trPr>
        <w:tc>
          <w:tcPr>
            <w:tcW w:w="4106" w:type="dxa"/>
            <w:tcBorders>
              <w:top w:val="single" w:sz="4" w:space="0" w:color="auto"/>
              <w:left w:val="single" w:sz="4" w:space="0" w:color="auto"/>
              <w:bottom w:val="single" w:sz="4" w:space="0" w:color="auto"/>
              <w:right w:val="single" w:sz="4" w:space="0" w:color="auto"/>
            </w:tcBorders>
          </w:tcPr>
          <w:p w14:paraId="4F548F1E" w14:textId="77777777" w:rsidR="00F73D5B" w:rsidRPr="008B7A21" w:rsidRDefault="00F73D5B" w:rsidP="00767A6A">
            <w:pPr>
              <w:pStyle w:val="Tabletext"/>
              <w:ind w:left="284" w:hanging="284"/>
              <w:jc w:val="left"/>
              <w:rPr>
                <w:sz w:val="16"/>
                <w:szCs w:val="16"/>
                <w:lang w:val="es-ES_tradnl"/>
              </w:rPr>
            </w:pPr>
            <w:r w:rsidRPr="008B7A21">
              <w:rPr>
                <w:sz w:val="16"/>
                <w:szCs w:val="16"/>
                <w:lang w:val="es-ES_tradnl"/>
              </w:rPr>
              <w:t>II.1.</w:t>
            </w:r>
            <w:r w:rsidRPr="008B7A21">
              <w:rPr>
                <w:sz w:val="16"/>
                <w:szCs w:val="16"/>
                <w:lang w:val="es-ES_tradnl"/>
              </w:rPr>
              <w:tab/>
              <w:t>Redes de investigación y mensajería (radiobúsqueda) (con una anchura de banda de 12,5 KHz)</w:t>
            </w:r>
          </w:p>
        </w:tc>
        <w:tc>
          <w:tcPr>
            <w:tcW w:w="1303" w:type="dxa"/>
            <w:tcBorders>
              <w:top w:val="single" w:sz="4" w:space="0" w:color="auto"/>
              <w:left w:val="single" w:sz="4" w:space="0" w:color="auto"/>
              <w:bottom w:val="single" w:sz="4" w:space="0" w:color="auto"/>
              <w:right w:val="single" w:sz="4" w:space="0" w:color="auto"/>
            </w:tcBorders>
          </w:tcPr>
          <w:p w14:paraId="7A0347D7" w14:textId="77777777" w:rsidR="00F73D5B" w:rsidRPr="008B7A21" w:rsidRDefault="00F73D5B" w:rsidP="00767A6A">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14:paraId="6AE7EA0E" w14:textId="77777777" w:rsidR="00F73D5B" w:rsidRPr="008B7A21" w:rsidRDefault="00F73D5B" w:rsidP="00767A6A">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14:paraId="5E0B0B1A" w14:textId="77777777" w:rsidR="00F73D5B" w:rsidRPr="008B7A21" w:rsidRDefault="00F73D5B" w:rsidP="00767A6A">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14:paraId="68B5D390" w14:textId="77777777" w:rsidR="00F73D5B" w:rsidRPr="008B7A21" w:rsidRDefault="00F73D5B" w:rsidP="00767A6A">
            <w:pPr>
              <w:pStyle w:val="Tabletext"/>
              <w:rPr>
                <w:sz w:val="16"/>
                <w:szCs w:val="16"/>
                <w:lang w:val="es-ES_tradnl"/>
              </w:rPr>
            </w:pPr>
          </w:p>
        </w:tc>
      </w:tr>
      <w:tr w:rsidR="00F73D5B" w:rsidRPr="008B7A21" w14:paraId="65F16B95" w14:textId="77777777" w:rsidTr="00767A6A">
        <w:trPr>
          <w:jc w:val="center"/>
        </w:trPr>
        <w:tc>
          <w:tcPr>
            <w:tcW w:w="4106" w:type="dxa"/>
            <w:tcBorders>
              <w:top w:val="single" w:sz="4" w:space="0" w:color="auto"/>
              <w:left w:val="single" w:sz="4" w:space="0" w:color="auto"/>
              <w:bottom w:val="single" w:sz="4" w:space="0" w:color="auto"/>
              <w:right w:val="single" w:sz="4" w:space="0" w:color="auto"/>
            </w:tcBorders>
          </w:tcPr>
          <w:p w14:paraId="75975223" w14:textId="77777777" w:rsidR="00F73D5B" w:rsidRPr="008B7A21" w:rsidRDefault="00F73D5B" w:rsidP="00767A6A">
            <w:pPr>
              <w:pStyle w:val="Tabletext"/>
              <w:jc w:val="left"/>
              <w:rPr>
                <w:sz w:val="16"/>
                <w:szCs w:val="16"/>
                <w:lang w:val="es-ES_tradnl"/>
              </w:rPr>
            </w:pPr>
            <w:r w:rsidRPr="008B7A21">
              <w:rPr>
                <w:sz w:val="16"/>
                <w:szCs w:val="16"/>
                <w:lang w:val="es-ES_tradnl"/>
              </w:rPr>
              <w:t>a1. Red local (urbana)</w:t>
            </w:r>
          </w:p>
          <w:p w14:paraId="4936F49D" w14:textId="77777777" w:rsidR="00F73D5B" w:rsidRPr="008B7A21" w:rsidRDefault="00F73D5B" w:rsidP="00767A6A">
            <w:pPr>
              <w:pStyle w:val="Tabletext"/>
              <w:jc w:val="left"/>
              <w:rPr>
                <w:sz w:val="16"/>
                <w:szCs w:val="16"/>
                <w:lang w:val="es-ES_tradnl"/>
              </w:rPr>
            </w:pPr>
            <w:r w:rsidRPr="008B7A21">
              <w:rPr>
                <w:sz w:val="16"/>
                <w:szCs w:val="16"/>
                <w:lang w:val="es-ES_tradnl"/>
              </w:rPr>
              <w:t>a2. Red regional (interurbana)</w:t>
            </w:r>
          </w:p>
          <w:p w14:paraId="5C52F417" w14:textId="77777777" w:rsidR="00F73D5B" w:rsidRPr="008B7A21" w:rsidRDefault="00F73D5B" w:rsidP="00767A6A">
            <w:pPr>
              <w:pStyle w:val="Tabletext"/>
              <w:ind w:left="284" w:hanging="284"/>
              <w:jc w:val="left"/>
              <w:rPr>
                <w:sz w:val="16"/>
                <w:szCs w:val="16"/>
                <w:lang w:val="es-ES_tradnl"/>
              </w:rPr>
            </w:pPr>
            <w:r w:rsidRPr="008B7A21">
              <w:rPr>
                <w:sz w:val="16"/>
                <w:szCs w:val="16"/>
                <w:lang w:val="es-ES_tradnl"/>
              </w:rPr>
              <w:t>a3. Red nacional</w:t>
            </w:r>
          </w:p>
        </w:tc>
        <w:tc>
          <w:tcPr>
            <w:tcW w:w="1303" w:type="dxa"/>
            <w:tcBorders>
              <w:top w:val="single" w:sz="4" w:space="0" w:color="auto"/>
              <w:left w:val="single" w:sz="4" w:space="0" w:color="auto"/>
              <w:bottom w:val="single" w:sz="4" w:space="0" w:color="auto"/>
              <w:right w:val="single" w:sz="4" w:space="0" w:color="auto"/>
            </w:tcBorders>
          </w:tcPr>
          <w:p w14:paraId="756AF403" w14:textId="77777777" w:rsidR="00F73D5B" w:rsidRPr="008B7A21" w:rsidRDefault="00F73D5B" w:rsidP="00767A6A">
            <w:pPr>
              <w:pStyle w:val="Tabletext"/>
              <w:rPr>
                <w:sz w:val="16"/>
                <w:szCs w:val="16"/>
                <w:lang w:val="es-ES_tradnl"/>
              </w:rPr>
            </w:pPr>
            <w:r w:rsidRPr="008B7A21">
              <w:rPr>
                <w:sz w:val="16"/>
                <w:szCs w:val="16"/>
                <w:lang w:val="es-ES_tradnl"/>
              </w:rPr>
              <w:t>1 160 000</w:t>
            </w:r>
          </w:p>
          <w:p w14:paraId="2320193E" w14:textId="77777777" w:rsidR="00F73D5B" w:rsidRPr="008B7A21" w:rsidRDefault="00F73D5B" w:rsidP="00767A6A">
            <w:pPr>
              <w:pStyle w:val="Tabletext"/>
              <w:rPr>
                <w:sz w:val="16"/>
                <w:szCs w:val="16"/>
                <w:lang w:val="es-ES_tradnl"/>
              </w:rPr>
            </w:pPr>
            <w:r w:rsidRPr="008B7A21">
              <w:rPr>
                <w:sz w:val="16"/>
                <w:szCs w:val="16"/>
                <w:lang w:val="es-ES_tradnl"/>
              </w:rPr>
              <w:t>1 740 000</w:t>
            </w:r>
          </w:p>
          <w:p w14:paraId="217526A2" w14:textId="77777777" w:rsidR="00F73D5B" w:rsidRPr="008B7A21" w:rsidRDefault="00F73D5B" w:rsidP="00767A6A">
            <w:pPr>
              <w:pStyle w:val="Tabletext"/>
              <w:rPr>
                <w:sz w:val="16"/>
                <w:szCs w:val="16"/>
                <w:lang w:val="es-ES_tradnl"/>
              </w:rPr>
            </w:pPr>
            <w:r w:rsidRPr="008B7A21">
              <w:rPr>
                <w:sz w:val="16"/>
                <w:szCs w:val="16"/>
                <w:lang w:val="es-ES_tradnl"/>
              </w:rPr>
              <w:t>3 770 000</w:t>
            </w:r>
          </w:p>
        </w:tc>
        <w:tc>
          <w:tcPr>
            <w:tcW w:w="1229" w:type="dxa"/>
            <w:tcBorders>
              <w:top w:val="single" w:sz="4" w:space="0" w:color="auto"/>
              <w:left w:val="single" w:sz="4" w:space="0" w:color="auto"/>
              <w:bottom w:val="single" w:sz="4" w:space="0" w:color="auto"/>
              <w:right w:val="single" w:sz="4" w:space="0" w:color="auto"/>
            </w:tcBorders>
          </w:tcPr>
          <w:p w14:paraId="2657D6CA" w14:textId="77777777" w:rsidR="00F73D5B" w:rsidRPr="008B7A21" w:rsidRDefault="00F73D5B" w:rsidP="00767A6A">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14:paraId="12D7D73B" w14:textId="77777777" w:rsidR="00F73D5B" w:rsidRPr="008B7A21" w:rsidRDefault="00F73D5B" w:rsidP="00767A6A">
            <w:pPr>
              <w:pStyle w:val="Tabletext"/>
              <w:rPr>
                <w:sz w:val="16"/>
                <w:szCs w:val="16"/>
                <w:lang w:val="es-ES_tradnl"/>
              </w:rPr>
            </w:pPr>
            <w:r w:rsidRPr="008B7A21">
              <w:rPr>
                <w:sz w:val="16"/>
                <w:szCs w:val="16"/>
                <w:lang w:val="es-ES_tradnl"/>
              </w:rPr>
              <w:t>5 800 000</w:t>
            </w:r>
          </w:p>
          <w:p w14:paraId="7D68AFB9" w14:textId="77777777" w:rsidR="00F73D5B" w:rsidRPr="008B7A21" w:rsidRDefault="00F73D5B" w:rsidP="00767A6A">
            <w:pPr>
              <w:pStyle w:val="Tabletext"/>
              <w:rPr>
                <w:sz w:val="16"/>
                <w:szCs w:val="16"/>
                <w:lang w:val="es-ES_tradnl"/>
              </w:rPr>
            </w:pPr>
            <w:r w:rsidRPr="008B7A21">
              <w:rPr>
                <w:sz w:val="16"/>
                <w:szCs w:val="16"/>
                <w:lang w:val="es-ES_tradnl"/>
              </w:rPr>
              <w:t>14 500 000</w:t>
            </w:r>
          </w:p>
          <w:p w14:paraId="342A3C60" w14:textId="77777777" w:rsidR="00F73D5B" w:rsidRPr="008B7A21" w:rsidRDefault="00F73D5B" w:rsidP="00767A6A">
            <w:pPr>
              <w:pStyle w:val="Tabletext"/>
              <w:rPr>
                <w:sz w:val="16"/>
                <w:szCs w:val="16"/>
                <w:lang w:val="es-ES_tradnl"/>
              </w:rPr>
            </w:pPr>
            <w:r w:rsidRPr="008B7A21">
              <w:rPr>
                <w:sz w:val="16"/>
                <w:szCs w:val="16"/>
                <w:lang w:val="es-ES_tradnl"/>
              </w:rPr>
              <w:t>29 000000</w:t>
            </w:r>
          </w:p>
        </w:tc>
        <w:tc>
          <w:tcPr>
            <w:tcW w:w="1500" w:type="dxa"/>
            <w:tcBorders>
              <w:top w:val="single" w:sz="4" w:space="0" w:color="auto"/>
              <w:left w:val="single" w:sz="4" w:space="0" w:color="auto"/>
              <w:bottom w:val="single" w:sz="4" w:space="0" w:color="auto"/>
              <w:right w:val="single" w:sz="4" w:space="0" w:color="auto"/>
            </w:tcBorders>
          </w:tcPr>
          <w:p w14:paraId="535B0591" w14:textId="77777777" w:rsidR="00F73D5B" w:rsidRPr="008B7A21" w:rsidRDefault="00F73D5B" w:rsidP="00767A6A">
            <w:pPr>
              <w:pStyle w:val="Tabletext"/>
              <w:rPr>
                <w:sz w:val="16"/>
                <w:szCs w:val="16"/>
                <w:lang w:val="es-ES_tradnl"/>
              </w:rPr>
            </w:pPr>
          </w:p>
        </w:tc>
      </w:tr>
      <w:tr w:rsidR="00F73D5B" w:rsidRPr="008B7A21" w14:paraId="289E9F0E" w14:textId="77777777" w:rsidTr="00767A6A">
        <w:trPr>
          <w:jc w:val="center"/>
        </w:trPr>
        <w:tc>
          <w:tcPr>
            <w:tcW w:w="4106" w:type="dxa"/>
            <w:tcBorders>
              <w:top w:val="single" w:sz="4" w:space="0" w:color="auto"/>
              <w:left w:val="single" w:sz="4" w:space="0" w:color="auto"/>
              <w:bottom w:val="single" w:sz="4" w:space="0" w:color="auto"/>
              <w:right w:val="single" w:sz="4" w:space="0" w:color="auto"/>
            </w:tcBorders>
          </w:tcPr>
          <w:p w14:paraId="79B92025" w14:textId="77777777" w:rsidR="00F73D5B" w:rsidRPr="008B7A21" w:rsidRDefault="00F73D5B" w:rsidP="00767A6A">
            <w:pPr>
              <w:pStyle w:val="Tabletext"/>
              <w:ind w:left="284" w:hanging="284"/>
              <w:jc w:val="left"/>
              <w:rPr>
                <w:sz w:val="16"/>
                <w:szCs w:val="16"/>
                <w:lang w:val="es-ES_tradnl"/>
              </w:rPr>
            </w:pPr>
            <w:r w:rsidRPr="008B7A21">
              <w:rPr>
                <w:sz w:val="16"/>
                <w:szCs w:val="16"/>
                <w:lang w:val="es-ES_tradnl"/>
              </w:rPr>
              <w:t>b1. Estación de base</w:t>
            </w:r>
          </w:p>
        </w:tc>
        <w:tc>
          <w:tcPr>
            <w:tcW w:w="1303" w:type="dxa"/>
            <w:tcBorders>
              <w:top w:val="single" w:sz="4" w:space="0" w:color="auto"/>
              <w:left w:val="single" w:sz="4" w:space="0" w:color="auto"/>
              <w:bottom w:val="single" w:sz="4" w:space="0" w:color="auto"/>
              <w:right w:val="single" w:sz="4" w:space="0" w:color="auto"/>
            </w:tcBorders>
          </w:tcPr>
          <w:p w14:paraId="4E1336A8" w14:textId="77777777" w:rsidR="00F73D5B" w:rsidRPr="008B7A21" w:rsidRDefault="00F73D5B" w:rsidP="00767A6A">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14:paraId="5224B7C0" w14:textId="77777777" w:rsidR="00F73D5B" w:rsidRPr="008B7A21" w:rsidRDefault="00F73D5B" w:rsidP="00767A6A">
            <w:pPr>
              <w:pStyle w:val="Tabletext"/>
              <w:rPr>
                <w:sz w:val="16"/>
                <w:szCs w:val="16"/>
                <w:lang w:val="es-ES_tradnl"/>
              </w:rPr>
            </w:pPr>
            <w:r w:rsidRPr="008B7A21">
              <w:rPr>
                <w:sz w:val="16"/>
                <w:szCs w:val="16"/>
                <w:lang w:val="es-ES_tradnl"/>
              </w:rPr>
              <w:t>34 800</w:t>
            </w:r>
          </w:p>
        </w:tc>
        <w:tc>
          <w:tcPr>
            <w:tcW w:w="1501" w:type="dxa"/>
            <w:tcBorders>
              <w:top w:val="single" w:sz="4" w:space="0" w:color="auto"/>
              <w:left w:val="single" w:sz="4" w:space="0" w:color="auto"/>
              <w:bottom w:val="single" w:sz="4" w:space="0" w:color="auto"/>
              <w:right w:val="single" w:sz="4" w:space="0" w:color="auto"/>
            </w:tcBorders>
          </w:tcPr>
          <w:p w14:paraId="65AA3017" w14:textId="77777777" w:rsidR="00F73D5B" w:rsidRPr="008B7A21" w:rsidRDefault="00F73D5B" w:rsidP="00767A6A">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14:paraId="4D03DF69" w14:textId="77777777" w:rsidR="00F73D5B" w:rsidRPr="008B7A21" w:rsidRDefault="00F73D5B" w:rsidP="00767A6A">
            <w:pPr>
              <w:pStyle w:val="Tabletext"/>
              <w:rPr>
                <w:sz w:val="16"/>
                <w:szCs w:val="16"/>
                <w:lang w:val="es-ES_tradnl"/>
              </w:rPr>
            </w:pPr>
          </w:p>
        </w:tc>
      </w:tr>
      <w:tr w:rsidR="00F73D5B" w:rsidRPr="008B7A21" w14:paraId="78673F0F" w14:textId="77777777" w:rsidTr="00767A6A">
        <w:trPr>
          <w:jc w:val="center"/>
        </w:trPr>
        <w:tc>
          <w:tcPr>
            <w:tcW w:w="4106" w:type="dxa"/>
            <w:tcBorders>
              <w:top w:val="single" w:sz="4" w:space="0" w:color="auto"/>
              <w:left w:val="single" w:sz="4" w:space="0" w:color="auto"/>
              <w:bottom w:val="single" w:sz="4" w:space="0" w:color="auto"/>
              <w:right w:val="single" w:sz="4" w:space="0" w:color="auto"/>
            </w:tcBorders>
          </w:tcPr>
          <w:p w14:paraId="6848A2BE" w14:textId="77777777" w:rsidR="00F73D5B" w:rsidRPr="008B7A21" w:rsidRDefault="00F73D5B" w:rsidP="00767A6A">
            <w:pPr>
              <w:pStyle w:val="Tabletext"/>
              <w:jc w:val="left"/>
              <w:rPr>
                <w:sz w:val="16"/>
                <w:szCs w:val="16"/>
                <w:lang w:val="es-ES_tradnl"/>
              </w:rPr>
            </w:pPr>
            <w:r w:rsidRPr="008B7A21">
              <w:rPr>
                <w:sz w:val="16"/>
                <w:szCs w:val="16"/>
                <w:lang w:val="es-ES_tradnl"/>
              </w:rPr>
              <w:t>c1. Frecuencia disponible localmente</w:t>
            </w:r>
          </w:p>
          <w:p w14:paraId="459837E0" w14:textId="77777777" w:rsidR="00F73D5B" w:rsidRPr="008B7A21" w:rsidRDefault="00F73D5B" w:rsidP="00767A6A">
            <w:pPr>
              <w:pStyle w:val="Tabletext"/>
              <w:jc w:val="left"/>
              <w:rPr>
                <w:sz w:val="16"/>
                <w:szCs w:val="16"/>
                <w:lang w:val="es-ES_tradnl"/>
              </w:rPr>
            </w:pPr>
            <w:r w:rsidRPr="008B7A21">
              <w:rPr>
                <w:sz w:val="16"/>
                <w:szCs w:val="16"/>
                <w:lang w:val="es-ES_tradnl"/>
              </w:rPr>
              <w:t>c2. Frecuencia disponible regional</w:t>
            </w:r>
          </w:p>
          <w:p w14:paraId="7BA478F1" w14:textId="77777777" w:rsidR="00F73D5B" w:rsidRPr="008B7A21" w:rsidRDefault="00F73D5B" w:rsidP="00767A6A">
            <w:pPr>
              <w:pStyle w:val="Tabletext"/>
              <w:ind w:left="284" w:hanging="284"/>
              <w:jc w:val="left"/>
              <w:rPr>
                <w:sz w:val="16"/>
                <w:szCs w:val="16"/>
                <w:lang w:val="es-ES_tradnl"/>
              </w:rPr>
            </w:pPr>
            <w:r w:rsidRPr="008B7A21">
              <w:rPr>
                <w:sz w:val="16"/>
                <w:szCs w:val="16"/>
                <w:lang w:val="es-ES_tradnl"/>
              </w:rPr>
              <w:t>c3.</w:t>
            </w:r>
            <w:r w:rsidRPr="008B7A21">
              <w:rPr>
                <w:sz w:val="16"/>
                <w:szCs w:val="16"/>
                <w:lang w:val="es-ES_tradnl"/>
              </w:rPr>
              <w:tab/>
              <w:t>Frecuencia disponible en todo el territorio nacional</w:t>
            </w:r>
          </w:p>
        </w:tc>
        <w:tc>
          <w:tcPr>
            <w:tcW w:w="1303" w:type="dxa"/>
            <w:tcBorders>
              <w:top w:val="single" w:sz="4" w:space="0" w:color="auto"/>
              <w:left w:val="single" w:sz="4" w:space="0" w:color="auto"/>
              <w:bottom w:val="single" w:sz="4" w:space="0" w:color="auto"/>
              <w:right w:val="single" w:sz="4" w:space="0" w:color="auto"/>
            </w:tcBorders>
          </w:tcPr>
          <w:p w14:paraId="6FC0BD51" w14:textId="77777777" w:rsidR="00F73D5B" w:rsidRPr="008B7A21" w:rsidRDefault="00F73D5B" w:rsidP="00767A6A">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14:paraId="502BD1B9" w14:textId="77777777" w:rsidR="00F73D5B" w:rsidRPr="008B7A21" w:rsidRDefault="00F73D5B" w:rsidP="00767A6A">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14:paraId="3C198571" w14:textId="77777777" w:rsidR="00F73D5B" w:rsidRPr="008B7A21" w:rsidRDefault="00F73D5B" w:rsidP="00767A6A">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14:paraId="3A2114B8" w14:textId="77777777" w:rsidR="00F73D5B" w:rsidRPr="008B7A21" w:rsidRDefault="00F73D5B" w:rsidP="00767A6A">
            <w:pPr>
              <w:pStyle w:val="Tabletext"/>
              <w:rPr>
                <w:sz w:val="16"/>
                <w:szCs w:val="16"/>
                <w:lang w:val="es-ES_tradnl"/>
              </w:rPr>
            </w:pPr>
            <w:r w:rsidRPr="008B7A21">
              <w:rPr>
                <w:sz w:val="16"/>
                <w:szCs w:val="16"/>
                <w:lang w:val="es-ES_tradnl"/>
              </w:rPr>
              <w:t>3 480 000</w:t>
            </w:r>
          </w:p>
          <w:p w14:paraId="2224BA6D" w14:textId="77777777" w:rsidR="00F73D5B" w:rsidRPr="008B7A21" w:rsidRDefault="00F73D5B" w:rsidP="00767A6A">
            <w:pPr>
              <w:pStyle w:val="Tabletext"/>
              <w:rPr>
                <w:sz w:val="16"/>
                <w:szCs w:val="16"/>
                <w:lang w:val="es-ES_tradnl"/>
              </w:rPr>
            </w:pPr>
            <w:r w:rsidRPr="008B7A21">
              <w:rPr>
                <w:sz w:val="16"/>
                <w:szCs w:val="16"/>
                <w:lang w:val="es-ES_tradnl"/>
              </w:rPr>
              <w:t>5 800 000</w:t>
            </w:r>
          </w:p>
          <w:p w14:paraId="7610AA6E" w14:textId="77777777" w:rsidR="00F73D5B" w:rsidRPr="008B7A21" w:rsidRDefault="00F73D5B" w:rsidP="00767A6A">
            <w:pPr>
              <w:pStyle w:val="Tabletext"/>
              <w:rPr>
                <w:sz w:val="16"/>
                <w:szCs w:val="16"/>
                <w:lang w:val="es-ES_tradnl"/>
              </w:rPr>
            </w:pPr>
            <w:r w:rsidRPr="008B7A21">
              <w:rPr>
                <w:sz w:val="16"/>
                <w:szCs w:val="16"/>
                <w:lang w:val="es-ES_tradnl"/>
              </w:rPr>
              <w:t>8 700 000</w:t>
            </w:r>
          </w:p>
        </w:tc>
      </w:tr>
      <w:tr w:rsidR="00F73D5B" w:rsidRPr="008B7A21" w14:paraId="04C92A43" w14:textId="77777777" w:rsidTr="00767A6A">
        <w:trPr>
          <w:jc w:val="center"/>
        </w:trPr>
        <w:tc>
          <w:tcPr>
            <w:tcW w:w="4106" w:type="dxa"/>
            <w:tcBorders>
              <w:top w:val="single" w:sz="4" w:space="0" w:color="auto"/>
              <w:left w:val="single" w:sz="4" w:space="0" w:color="auto"/>
              <w:bottom w:val="single" w:sz="4" w:space="0" w:color="auto"/>
              <w:right w:val="single" w:sz="4" w:space="0" w:color="auto"/>
            </w:tcBorders>
          </w:tcPr>
          <w:p w14:paraId="2BEB2174" w14:textId="77777777" w:rsidR="00F73D5B" w:rsidRPr="008B7A21" w:rsidRDefault="00F73D5B" w:rsidP="00767A6A">
            <w:pPr>
              <w:pStyle w:val="Tabletext"/>
              <w:ind w:left="284" w:hanging="284"/>
              <w:jc w:val="left"/>
              <w:rPr>
                <w:sz w:val="16"/>
                <w:szCs w:val="16"/>
                <w:lang w:val="es-ES_tradnl"/>
              </w:rPr>
            </w:pPr>
            <w:r w:rsidRPr="008B7A21">
              <w:rPr>
                <w:sz w:val="16"/>
                <w:szCs w:val="16"/>
                <w:lang w:val="es-ES_tradnl"/>
              </w:rPr>
              <w:t>II.2.</w:t>
            </w:r>
            <w:r w:rsidRPr="008B7A21">
              <w:rPr>
                <w:sz w:val="16"/>
                <w:szCs w:val="16"/>
                <w:lang w:val="es-ES_tradnl"/>
              </w:rPr>
              <w:tab/>
              <w:t xml:space="preserve">Redes de recursos compartidos (troncal) </w:t>
            </w:r>
            <w:r w:rsidRPr="008B7A21">
              <w:rPr>
                <w:sz w:val="16"/>
                <w:szCs w:val="16"/>
                <w:lang w:val="es-ES_tradnl"/>
              </w:rPr>
              <w:br/>
              <w:t>(con canales de 12,5 KHz)</w:t>
            </w:r>
          </w:p>
        </w:tc>
        <w:tc>
          <w:tcPr>
            <w:tcW w:w="1303" w:type="dxa"/>
            <w:tcBorders>
              <w:top w:val="single" w:sz="4" w:space="0" w:color="auto"/>
              <w:left w:val="single" w:sz="4" w:space="0" w:color="auto"/>
              <w:bottom w:val="single" w:sz="4" w:space="0" w:color="auto"/>
              <w:right w:val="single" w:sz="4" w:space="0" w:color="auto"/>
            </w:tcBorders>
          </w:tcPr>
          <w:p w14:paraId="766F347B" w14:textId="77777777" w:rsidR="00F73D5B" w:rsidRPr="008B7A21" w:rsidRDefault="00F73D5B" w:rsidP="00767A6A">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14:paraId="233D4E9E" w14:textId="77777777" w:rsidR="00F73D5B" w:rsidRPr="008B7A21" w:rsidRDefault="00F73D5B" w:rsidP="00767A6A">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14:paraId="01FDC7AA" w14:textId="77777777" w:rsidR="00F73D5B" w:rsidRPr="008B7A21" w:rsidRDefault="00F73D5B" w:rsidP="00767A6A">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14:paraId="7FE16413" w14:textId="77777777" w:rsidR="00F73D5B" w:rsidRPr="008B7A21" w:rsidRDefault="00F73D5B" w:rsidP="00767A6A">
            <w:pPr>
              <w:pStyle w:val="Tabletext"/>
              <w:rPr>
                <w:sz w:val="16"/>
                <w:szCs w:val="16"/>
                <w:lang w:val="es-ES_tradnl"/>
              </w:rPr>
            </w:pPr>
          </w:p>
        </w:tc>
      </w:tr>
      <w:tr w:rsidR="00F73D5B" w:rsidRPr="008B7A21" w14:paraId="080B2BC9" w14:textId="77777777" w:rsidTr="00767A6A">
        <w:trPr>
          <w:jc w:val="center"/>
        </w:trPr>
        <w:tc>
          <w:tcPr>
            <w:tcW w:w="4106" w:type="dxa"/>
            <w:tcBorders>
              <w:top w:val="single" w:sz="4" w:space="0" w:color="auto"/>
              <w:left w:val="single" w:sz="4" w:space="0" w:color="auto"/>
              <w:bottom w:val="single" w:sz="4" w:space="0" w:color="auto"/>
              <w:right w:val="single" w:sz="4" w:space="0" w:color="auto"/>
            </w:tcBorders>
          </w:tcPr>
          <w:p w14:paraId="34671266" w14:textId="77777777" w:rsidR="00F73D5B" w:rsidRPr="008B7A21" w:rsidRDefault="00F73D5B" w:rsidP="00767A6A">
            <w:pPr>
              <w:pStyle w:val="Tabletext"/>
              <w:jc w:val="left"/>
              <w:rPr>
                <w:sz w:val="16"/>
                <w:szCs w:val="16"/>
                <w:lang w:val="es-ES_tradnl"/>
              </w:rPr>
            </w:pPr>
            <w:r w:rsidRPr="008B7A21">
              <w:rPr>
                <w:sz w:val="16"/>
                <w:szCs w:val="16"/>
                <w:lang w:val="es-ES_tradnl"/>
              </w:rPr>
              <w:t>a1. Red local (urbana)</w:t>
            </w:r>
          </w:p>
          <w:p w14:paraId="7139A686" w14:textId="77777777" w:rsidR="00F73D5B" w:rsidRPr="008B7A21" w:rsidRDefault="00F73D5B" w:rsidP="00767A6A">
            <w:pPr>
              <w:pStyle w:val="Tabletext"/>
              <w:jc w:val="left"/>
              <w:rPr>
                <w:sz w:val="16"/>
                <w:szCs w:val="16"/>
                <w:lang w:val="es-ES_tradnl"/>
              </w:rPr>
            </w:pPr>
            <w:r w:rsidRPr="008B7A21">
              <w:rPr>
                <w:sz w:val="16"/>
                <w:szCs w:val="16"/>
                <w:lang w:val="es-ES_tradnl"/>
              </w:rPr>
              <w:t>a2. Red regional (interurbana)</w:t>
            </w:r>
          </w:p>
          <w:p w14:paraId="4BB649DB" w14:textId="77777777" w:rsidR="00F73D5B" w:rsidRPr="008B7A21" w:rsidRDefault="00F73D5B" w:rsidP="00767A6A">
            <w:pPr>
              <w:pStyle w:val="Tabletext"/>
              <w:ind w:left="284" w:hanging="284"/>
              <w:jc w:val="left"/>
              <w:rPr>
                <w:sz w:val="16"/>
                <w:szCs w:val="16"/>
                <w:lang w:val="es-ES_tradnl"/>
              </w:rPr>
            </w:pPr>
            <w:r w:rsidRPr="008B7A21">
              <w:rPr>
                <w:sz w:val="16"/>
                <w:szCs w:val="16"/>
                <w:lang w:val="es-ES_tradnl"/>
              </w:rPr>
              <w:t>a3. Red nacional</w:t>
            </w:r>
          </w:p>
        </w:tc>
        <w:tc>
          <w:tcPr>
            <w:tcW w:w="1303" w:type="dxa"/>
            <w:tcBorders>
              <w:top w:val="single" w:sz="4" w:space="0" w:color="auto"/>
              <w:left w:val="single" w:sz="4" w:space="0" w:color="auto"/>
              <w:bottom w:val="single" w:sz="4" w:space="0" w:color="auto"/>
              <w:right w:val="single" w:sz="4" w:space="0" w:color="auto"/>
            </w:tcBorders>
          </w:tcPr>
          <w:p w14:paraId="2B3C350B" w14:textId="77777777" w:rsidR="00F73D5B" w:rsidRPr="008B7A21" w:rsidRDefault="00F73D5B" w:rsidP="00767A6A">
            <w:pPr>
              <w:pStyle w:val="Tabletext"/>
              <w:rPr>
                <w:sz w:val="16"/>
                <w:szCs w:val="16"/>
                <w:lang w:val="es-ES_tradnl"/>
              </w:rPr>
            </w:pPr>
            <w:r w:rsidRPr="008B7A21">
              <w:rPr>
                <w:sz w:val="16"/>
                <w:szCs w:val="16"/>
                <w:lang w:val="es-ES_tradnl"/>
              </w:rPr>
              <w:t>1 160 000</w:t>
            </w:r>
          </w:p>
          <w:p w14:paraId="3FCBC2B5" w14:textId="77777777" w:rsidR="00F73D5B" w:rsidRPr="008B7A21" w:rsidRDefault="00F73D5B" w:rsidP="00767A6A">
            <w:pPr>
              <w:pStyle w:val="Tabletext"/>
              <w:rPr>
                <w:sz w:val="16"/>
                <w:szCs w:val="16"/>
                <w:lang w:val="es-ES_tradnl"/>
              </w:rPr>
            </w:pPr>
            <w:r w:rsidRPr="008B7A21">
              <w:rPr>
                <w:sz w:val="16"/>
                <w:szCs w:val="16"/>
                <w:lang w:val="es-ES_tradnl"/>
              </w:rPr>
              <w:t>1 740 000</w:t>
            </w:r>
          </w:p>
          <w:p w14:paraId="06F9802F" w14:textId="77777777" w:rsidR="00F73D5B" w:rsidRPr="008B7A21" w:rsidRDefault="00F73D5B" w:rsidP="00767A6A">
            <w:pPr>
              <w:pStyle w:val="Tabletext"/>
              <w:rPr>
                <w:sz w:val="16"/>
                <w:szCs w:val="16"/>
                <w:lang w:val="es-ES_tradnl"/>
              </w:rPr>
            </w:pPr>
            <w:r w:rsidRPr="008B7A21">
              <w:rPr>
                <w:sz w:val="16"/>
                <w:szCs w:val="16"/>
                <w:lang w:val="es-ES_tradnl"/>
              </w:rPr>
              <w:t>3 770 000</w:t>
            </w:r>
          </w:p>
        </w:tc>
        <w:tc>
          <w:tcPr>
            <w:tcW w:w="1229" w:type="dxa"/>
            <w:tcBorders>
              <w:top w:val="single" w:sz="4" w:space="0" w:color="auto"/>
              <w:left w:val="single" w:sz="4" w:space="0" w:color="auto"/>
              <w:bottom w:val="single" w:sz="4" w:space="0" w:color="auto"/>
              <w:right w:val="single" w:sz="4" w:space="0" w:color="auto"/>
            </w:tcBorders>
          </w:tcPr>
          <w:p w14:paraId="2CB74A2A" w14:textId="77777777" w:rsidR="00F73D5B" w:rsidRPr="008B7A21" w:rsidRDefault="00F73D5B" w:rsidP="00767A6A">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14:paraId="0EA504DA" w14:textId="77777777" w:rsidR="00F73D5B" w:rsidRPr="008B7A21" w:rsidRDefault="00F73D5B" w:rsidP="00767A6A">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14:paraId="6BB7DFA2" w14:textId="77777777" w:rsidR="00F73D5B" w:rsidRPr="008B7A21" w:rsidRDefault="00F73D5B" w:rsidP="00767A6A">
            <w:pPr>
              <w:pStyle w:val="Tabletext"/>
              <w:rPr>
                <w:sz w:val="16"/>
                <w:szCs w:val="16"/>
                <w:lang w:val="es-ES_tradnl"/>
              </w:rPr>
            </w:pPr>
          </w:p>
        </w:tc>
      </w:tr>
      <w:tr w:rsidR="00F73D5B" w:rsidRPr="008B7A21" w14:paraId="3C4C1202" w14:textId="77777777" w:rsidTr="00767A6A">
        <w:trPr>
          <w:jc w:val="center"/>
        </w:trPr>
        <w:tc>
          <w:tcPr>
            <w:tcW w:w="4106" w:type="dxa"/>
            <w:tcBorders>
              <w:top w:val="single" w:sz="4" w:space="0" w:color="auto"/>
              <w:left w:val="single" w:sz="4" w:space="0" w:color="auto"/>
              <w:bottom w:val="single" w:sz="4" w:space="0" w:color="auto"/>
              <w:right w:val="single" w:sz="4" w:space="0" w:color="auto"/>
            </w:tcBorders>
          </w:tcPr>
          <w:p w14:paraId="2F9B8115" w14:textId="77777777" w:rsidR="00F73D5B" w:rsidRPr="008B7A21" w:rsidRDefault="00F73D5B" w:rsidP="00767A6A">
            <w:pPr>
              <w:pStyle w:val="Tabletext"/>
              <w:ind w:left="284" w:hanging="284"/>
              <w:jc w:val="left"/>
              <w:rPr>
                <w:sz w:val="16"/>
                <w:szCs w:val="16"/>
                <w:lang w:val="es-ES_tradnl"/>
              </w:rPr>
            </w:pPr>
            <w:r w:rsidRPr="008B7A21">
              <w:rPr>
                <w:sz w:val="16"/>
                <w:szCs w:val="16"/>
                <w:lang w:val="es-ES_tradnl"/>
              </w:rPr>
              <w:t>b1. Estación de base</w:t>
            </w:r>
          </w:p>
        </w:tc>
        <w:tc>
          <w:tcPr>
            <w:tcW w:w="1303" w:type="dxa"/>
            <w:tcBorders>
              <w:top w:val="single" w:sz="4" w:space="0" w:color="auto"/>
              <w:left w:val="single" w:sz="4" w:space="0" w:color="auto"/>
              <w:bottom w:val="single" w:sz="4" w:space="0" w:color="auto"/>
              <w:right w:val="single" w:sz="4" w:space="0" w:color="auto"/>
            </w:tcBorders>
          </w:tcPr>
          <w:p w14:paraId="7BB3CBE8" w14:textId="77777777" w:rsidR="00F73D5B" w:rsidRPr="008B7A21" w:rsidRDefault="00F73D5B" w:rsidP="00767A6A">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14:paraId="3BA275D9" w14:textId="77777777" w:rsidR="00F73D5B" w:rsidRPr="008B7A21" w:rsidRDefault="00F73D5B" w:rsidP="00767A6A">
            <w:pPr>
              <w:pStyle w:val="Tabletext"/>
              <w:rPr>
                <w:sz w:val="16"/>
                <w:szCs w:val="16"/>
                <w:lang w:val="es-ES_tradnl"/>
              </w:rPr>
            </w:pPr>
            <w:r w:rsidRPr="008B7A21">
              <w:rPr>
                <w:sz w:val="16"/>
                <w:szCs w:val="16"/>
                <w:lang w:val="es-ES_tradnl"/>
              </w:rPr>
              <w:t>34 800</w:t>
            </w:r>
          </w:p>
        </w:tc>
        <w:tc>
          <w:tcPr>
            <w:tcW w:w="1501" w:type="dxa"/>
            <w:tcBorders>
              <w:top w:val="single" w:sz="4" w:space="0" w:color="auto"/>
              <w:left w:val="single" w:sz="4" w:space="0" w:color="auto"/>
              <w:bottom w:val="single" w:sz="4" w:space="0" w:color="auto"/>
              <w:right w:val="single" w:sz="4" w:space="0" w:color="auto"/>
            </w:tcBorders>
          </w:tcPr>
          <w:p w14:paraId="628FD554" w14:textId="77777777" w:rsidR="00F73D5B" w:rsidRPr="008B7A21" w:rsidRDefault="00F73D5B" w:rsidP="00767A6A">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14:paraId="42F7ED01" w14:textId="77777777" w:rsidR="00F73D5B" w:rsidRPr="008B7A21" w:rsidRDefault="00F73D5B" w:rsidP="00767A6A">
            <w:pPr>
              <w:pStyle w:val="Tabletext"/>
              <w:rPr>
                <w:sz w:val="16"/>
                <w:szCs w:val="16"/>
                <w:lang w:val="es-ES_tradnl"/>
              </w:rPr>
            </w:pPr>
          </w:p>
        </w:tc>
      </w:tr>
      <w:tr w:rsidR="00F73D5B" w:rsidRPr="008B7A21" w14:paraId="0BCADF8F" w14:textId="77777777" w:rsidTr="00767A6A">
        <w:trPr>
          <w:jc w:val="center"/>
        </w:trPr>
        <w:tc>
          <w:tcPr>
            <w:tcW w:w="4106" w:type="dxa"/>
            <w:tcBorders>
              <w:top w:val="single" w:sz="4" w:space="0" w:color="auto"/>
              <w:left w:val="single" w:sz="4" w:space="0" w:color="auto"/>
              <w:bottom w:val="single" w:sz="4" w:space="0" w:color="auto"/>
              <w:right w:val="single" w:sz="4" w:space="0" w:color="auto"/>
            </w:tcBorders>
          </w:tcPr>
          <w:p w14:paraId="4D5BBDFA" w14:textId="77777777" w:rsidR="00F73D5B" w:rsidRPr="008B7A21" w:rsidRDefault="00F73D5B" w:rsidP="00767A6A">
            <w:pPr>
              <w:pStyle w:val="Tabletext"/>
              <w:jc w:val="left"/>
              <w:rPr>
                <w:sz w:val="16"/>
                <w:szCs w:val="16"/>
                <w:lang w:val="es-ES_tradnl"/>
              </w:rPr>
            </w:pPr>
            <w:r w:rsidRPr="008B7A21">
              <w:rPr>
                <w:sz w:val="16"/>
                <w:szCs w:val="16"/>
                <w:lang w:val="es-ES_tradnl"/>
              </w:rPr>
              <w:t>c1. Frecuencia disponible localmente</w:t>
            </w:r>
          </w:p>
          <w:p w14:paraId="53940533" w14:textId="77777777" w:rsidR="00F73D5B" w:rsidRPr="008B7A21" w:rsidRDefault="00F73D5B" w:rsidP="00767A6A">
            <w:pPr>
              <w:pStyle w:val="Tabletext"/>
              <w:jc w:val="left"/>
              <w:rPr>
                <w:sz w:val="16"/>
                <w:szCs w:val="16"/>
                <w:lang w:val="es-ES_tradnl"/>
              </w:rPr>
            </w:pPr>
            <w:r w:rsidRPr="008B7A21">
              <w:rPr>
                <w:sz w:val="16"/>
                <w:szCs w:val="16"/>
                <w:lang w:val="es-ES_tradnl"/>
              </w:rPr>
              <w:t>c2. Frecuencia disponible regional</w:t>
            </w:r>
          </w:p>
          <w:p w14:paraId="70984626" w14:textId="77777777" w:rsidR="00F73D5B" w:rsidRPr="008B7A21" w:rsidRDefault="00F73D5B" w:rsidP="00767A6A">
            <w:pPr>
              <w:pStyle w:val="Tabletext"/>
              <w:ind w:left="284" w:hanging="284"/>
              <w:jc w:val="left"/>
              <w:rPr>
                <w:sz w:val="16"/>
                <w:szCs w:val="16"/>
                <w:lang w:val="es-ES_tradnl"/>
              </w:rPr>
            </w:pPr>
            <w:r w:rsidRPr="008B7A21">
              <w:rPr>
                <w:sz w:val="16"/>
                <w:szCs w:val="16"/>
                <w:lang w:val="es-ES_tradnl"/>
              </w:rPr>
              <w:t>c3. Frecuencia disponible en todo el territorio nacional</w:t>
            </w:r>
          </w:p>
        </w:tc>
        <w:tc>
          <w:tcPr>
            <w:tcW w:w="1303" w:type="dxa"/>
            <w:tcBorders>
              <w:top w:val="single" w:sz="4" w:space="0" w:color="auto"/>
              <w:left w:val="single" w:sz="4" w:space="0" w:color="auto"/>
              <w:bottom w:val="single" w:sz="4" w:space="0" w:color="auto"/>
              <w:right w:val="single" w:sz="4" w:space="0" w:color="auto"/>
            </w:tcBorders>
          </w:tcPr>
          <w:p w14:paraId="1CC80ABB" w14:textId="77777777" w:rsidR="00F73D5B" w:rsidRPr="008B7A21" w:rsidRDefault="00F73D5B" w:rsidP="00767A6A">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14:paraId="41506334" w14:textId="77777777" w:rsidR="00F73D5B" w:rsidRPr="008B7A21" w:rsidRDefault="00F73D5B" w:rsidP="00767A6A">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14:paraId="43FA8F5E" w14:textId="77777777" w:rsidR="00F73D5B" w:rsidRPr="008B7A21" w:rsidRDefault="00F73D5B" w:rsidP="00767A6A">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14:paraId="7E5ADBF1" w14:textId="77777777" w:rsidR="00F73D5B" w:rsidRPr="008B7A21" w:rsidRDefault="00F73D5B" w:rsidP="00767A6A">
            <w:pPr>
              <w:pStyle w:val="Tabletext"/>
              <w:rPr>
                <w:sz w:val="16"/>
                <w:szCs w:val="16"/>
                <w:lang w:val="es-ES_tradnl"/>
              </w:rPr>
            </w:pPr>
            <w:r w:rsidRPr="008B7A21">
              <w:rPr>
                <w:sz w:val="16"/>
                <w:szCs w:val="16"/>
                <w:lang w:val="es-ES_tradnl"/>
              </w:rPr>
              <w:t>5 800 000</w:t>
            </w:r>
          </w:p>
          <w:p w14:paraId="7EB4A1BC" w14:textId="77777777" w:rsidR="00F73D5B" w:rsidRPr="008B7A21" w:rsidRDefault="00F73D5B" w:rsidP="00767A6A">
            <w:pPr>
              <w:pStyle w:val="Tabletext"/>
              <w:rPr>
                <w:sz w:val="16"/>
                <w:szCs w:val="16"/>
                <w:lang w:val="es-ES_tradnl"/>
              </w:rPr>
            </w:pPr>
            <w:r w:rsidRPr="008B7A21">
              <w:rPr>
                <w:sz w:val="16"/>
                <w:szCs w:val="16"/>
                <w:lang w:val="es-ES_tradnl"/>
              </w:rPr>
              <w:t>8 700 000</w:t>
            </w:r>
          </w:p>
          <w:p w14:paraId="72ADACCB" w14:textId="77777777" w:rsidR="00F73D5B" w:rsidRPr="008B7A21" w:rsidRDefault="00F73D5B" w:rsidP="00767A6A">
            <w:pPr>
              <w:pStyle w:val="Tabletext"/>
              <w:rPr>
                <w:sz w:val="16"/>
                <w:szCs w:val="16"/>
                <w:lang w:val="es-ES_tradnl"/>
              </w:rPr>
            </w:pPr>
            <w:r w:rsidRPr="008B7A21">
              <w:rPr>
                <w:sz w:val="16"/>
                <w:szCs w:val="16"/>
                <w:lang w:val="es-ES_tradnl"/>
              </w:rPr>
              <w:t>10 440 000</w:t>
            </w:r>
          </w:p>
        </w:tc>
      </w:tr>
      <w:tr w:rsidR="00F73D5B" w:rsidRPr="008B7A21" w14:paraId="084C6DA4" w14:textId="77777777" w:rsidTr="00767A6A">
        <w:trPr>
          <w:jc w:val="center"/>
        </w:trPr>
        <w:tc>
          <w:tcPr>
            <w:tcW w:w="4106" w:type="dxa"/>
            <w:tcBorders>
              <w:top w:val="single" w:sz="4" w:space="0" w:color="auto"/>
              <w:left w:val="single" w:sz="4" w:space="0" w:color="auto"/>
              <w:bottom w:val="single" w:sz="4" w:space="0" w:color="auto"/>
              <w:right w:val="single" w:sz="4" w:space="0" w:color="auto"/>
            </w:tcBorders>
          </w:tcPr>
          <w:p w14:paraId="00EF3583" w14:textId="77777777" w:rsidR="00F73D5B" w:rsidRPr="008B7A21" w:rsidRDefault="00F73D5B" w:rsidP="00767A6A">
            <w:pPr>
              <w:pStyle w:val="Tabletext"/>
              <w:ind w:left="284" w:hanging="284"/>
              <w:jc w:val="left"/>
              <w:rPr>
                <w:sz w:val="16"/>
                <w:szCs w:val="16"/>
                <w:lang w:val="es-ES_tradnl"/>
              </w:rPr>
            </w:pPr>
            <w:r w:rsidRPr="008B7A21">
              <w:rPr>
                <w:sz w:val="16"/>
                <w:szCs w:val="16"/>
                <w:lang w:val="es-ES_tradnl"/>
              </w:rPr>
              <w:t>II.3. Red celular</w:t>
            </w:r>
          </w:p>
        </w:tc>
        <w:tc>
          <w:tcPr>
            <w:tcW w:w="1303" w:type="dxa"/>
            <w:tcBorders>
              <w:top w:val="single" w:sz="4" w:space="0" w:color="auto"/>
              <w:left w:val="single" w:sz="4" w:space="0" w:color="auto"/>
              <w:bottom w:val="single" w:sz="4" w:space="0" w:color="auto"/>
              <w:right w:val="single" w:sz="4" w:space="0" w:color="auto"/>
            </w:tcBorders>
          </w:tcPr>
          <w:p w14:paraId="73E49DC8" w14:textId="77777777" w:rsidR="00F73D5B" w:rsidRPr="008B7A21" w:rsidRDefault="00F73D5B" w:rsidP="00767A6A">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14:paraId="2485EE88" w14:textId="77777777" w:rsidR="00F73D5B" w:rsidRPr="008B7A21" w:rsidRDefault="00F73D5B" w:rsidP="00767A6A">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14:paraId="411C9393" w14:textId="77777777" w:rsidR="00F73D5B" w:rsidRPr="008B7A21" w:rsidRDefault="00F73D5B" w:rsidP="00767A6A">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14:paraId="005642C7" w14:textId="77777777" w:rsidR="00F73D5B" w:rsidRPr="008B7A21" w:rsidRDefault="00F73D5B" w:rsidP="00767A6A">
            <w:pPr>
              <w:pStyle w:val="Tabletext"/>
              <w:rPr>
                <w:sz w:val="16"/>
                <w:szCs w:val="16"/>
                <w:lang w:val="es-ES_tradnl"/>
              </w:rPr>
            </w:pPr>
          </w:p>
        </w:tc>
      </w:tr>
      <w:tr w:rsidR="00F73D5B" w:rsidRPr="008B7A21" w14:paraId="50B40B28" w14:textId="77777777" w:rsidTr="00767A6A">
        <w:trPr>
          <w:jc w:val="center"/>
        </w:trPr>
        <w:tc>
          <w:tcPr>
            <w:tcW w:w="4106" w:type="dxa"/>
            <w:tcBorders>
              <w:top w:val="single" w:sz="4" w:space="0" w:color="auto"/>
              <w:left w:val="single" w:sz="4" w:space="0" w:color="auto"/>
              <w:bottom w:val="single" w:sz="4" w:space="0" w:color="auto"/>
              <w:right w:val="single" w:sz="4" w:space="0" w:color="auto"/>
            </w:tcBorders>
          </w:tcPr>
          <w:p w14:paraId="7716D989" w14:textId="77777777" w:rsidR="00F73D5B" w:rsidRPr="008B7A21" w:rsidRDefault="00F73D5B" w:rsidP="00767A6A">
            <w:pPr>
              <w:pStyle w:val="Tabletext"/>
              <w:ind w:left="284" w:hanging="284"/>
              <w:jc w:val="left"/>
              <w:rPr>
                <w:sz w:val="16"/>
                <w:szCs w:val="16"/>
                <w:lang w:val="es-ES_tradnl"/>
              </w:rPr>
            </w:pPr>
            <w:r w:rsidRPr="008B7A21">
              <w:rPr>
                <w:sz w:val="16"/>
                <w:szCs w:val="16"/>
                <w:lang w:val="es-ES_tradnl"/>
              </w:rPr>
              <w:t>a1. Estación de base</w:t>
            </w:r>
          </w:p>
        </w:tc>
        <w:tc>
          <w:tcPr>
            <w:tcW w:w="1303" w:type="dxa"/>
            <w:tcBorders>
              <w:top w:val="single" w:sz="4" w:space="0" w:color="auto"/>
              <w:left w:val="single" w:sz="4" w:space="0" w:color="auto"/>
              <w:bottom w:val="single" w:sz="4" w:space="0" w:color="auto"/>
              <w:right w:val="single" w:sz="4" w:space="0" w:color="auto"/>
            </w:tcBorders>
          </w:tcPr>
          <w:p w14:paraId="42A44463" w14:textId="77777777" w:rsidR="00F73D5B" w:rsidRPr="008B7A21" w:rsidRDefault="00F73D5B" w:rsidP="00767A6A">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14:paraId="32E05C9D" w14:textId="77777777" w:rsidR="00F73D5B" w:rsidRPr="008B7A21" w:rsidRDefault="00F73D5B" w:rsidP="00767A6A">
            <w:pPr>
              <w:pStyle w:val="Tabletext"/>
              <w:rPr>
                <w:sz w:val="16"/>
                <w:szCs w:val="16"/>
                <w:lang w:val="es-ES_tradnl"/>
              </w:rPr>
            </w:pPr>
            <w:r w:rsidRPr="008B7A21">
              <w:rPr>
                <w:sz w:val="16"/>
                <w:szCs w:val="16"/>
                <w:lang w:val="es-ES_tradnl"/>
              </w:rPr>
              <w:t>34 800</w:t>
            </w:r>
          </w:p>
        </w:tc>
        <w:tc>
          <w:tcPr>
            <w:tcW w:w="1501" w:type="dxa"/>
            <w:tcBorders>
              <w:top w:val="single" w:sz="4" w:space="0" w:color="auto"/>
              <w:left w:val="single" w:sz="4" w:space="0" w:color="auto"/>
              <w:bottom w:val="single" w:sz="4" w:space="0" w:color="auto"/>
              <w:right w:val="single" w:sz="4" w:space="0" w:color="auto"/>
            </w:tcBorders>
          </w:tcPr>
          <w:p w14:paraId="644DB3EC" w14:textId="77777777" w:rsidR="00F73D5B" w:rsidRPr="008B7A21" w:rsidRDefault="00F73D5B" w:rsidP="00767A6A">
            <w:pPr>
              <w:pStyle w:val="Tabletext"/>
              <w:rPr>
                <w:sz w:val="16"/>
                <w:szCs w:val="16"/>
                <w:lang w:val="es-ES_tradnl"/>
              </w:rPr>
            </w:pPr>
            <w:r w:rsidRPr="008B7A21">
              <w:rPr>
                <w:sz w:val="16"/>
                <w:szCs w:val="16"/>
                <w:lang w:val="es-ES_tradnl"/>
              </w:rPr>
              <w:t>29 000 000</w:t>
            </w:r>
          </w:p>
        </w:tc>
        <w:tc>
          <w:tcPr>
            <w:tcW w:w="1500" w:type="dxa"/>
            <w:tcBorders>
              <w:top w:val="single" w:sz="4" w:space="0" w:color="auto"/>
              <w:left w:val="single" w:sz="4" w:space="0" w:color="auto"/>
              <w:bottom w:val="single" w:sz="4" w:space="0" w:color="auto"/>
              <w:right w:val="single" w:sz="4" w:space="0" w:color="auto"/>
            </w:tcBorders>
          </w:tcPr>
          <w:p w14:paraId="13FC4A1E" w14:textId="77777777" w:rsidR="00F73D5B" w:rsidRPr="008B7A21" w:rsidRDefault="00F73D5B" w:rsidP="00767A6A">
            <w:pPr>
              <w:pStyle w:val="Tabletext"/>
              <w:rPr>
                <w:sz w:val="16"/>
                <w:szCs w:val="16"/>
                <w:lang w:val="es-ES_tradnl"/>
              </w:rPr>
            </w:pPr>
          </w:p>
        </w:tc>
      </w:tr>
      <w:tr w:rsidR="00F73D5B" w:rsidRPr="008B7A21" w14:paraId="50DEB29F" w14:textId="77777777" w:rsidTr="00767A6A">
        <w:trPr>
          <w:jc w:val="center"/>
        </w:trPr>
        <w:tc>
          <w:tcPr>
            <w:tcW w:w="4106" w:type="dxa"/>
            <w:tcBorders>
              <w:top w:val="single" w:sz="4" w:space="0" w:color="auto"/>
              <w:left w:val="single" w:sz="4" w:space="0" w:color="auto"/>
              <w:bottom w:val="single" w:sz="4" w:space="0" w:color="auto"/>
              <w:right w:val="single" w:sz="4" w:space="0" w:color="auto"/>
            </w:tcBorders>
          </w:tcPr>
          <w:p w14:paraId="261CE875" w14:textId="77777777" w:rsidR="00F73D5B" w:rsidRPr="008B7A21" w:rsidRDefault="00F73D5B" w:rsidP="00767A6A">
            <w:pPr>
              <w:pStyle w:val="Tabletext"/>
              <w:tabs>
                <w:tab w:val="clear" w:pos="284"/>
                <w:tab w:val="left" w:pos="171"/>
              </w:tabs>
              <w:ind w:left="284" w:hanging="284"/>
              <w:jc w:val="left"/>
              <w:rPr>
                <w:sz w:val="16"/>
                <w:szCs w:val="16"/>
                <w:lang w:val="es-ES_tradnl"/>
              </w:rPr>
            </w:pPr>
            <w:r w:rsidRPr="008B7A21">
              <w:rPr>
                <w:sz w:val="16"/>
                <w:szCs w:val="16"/>
                <w:lang w:val="es-ES_tradnl"/>
              </w:rPr>
              <w:t>b1.</w:t>
            </w:r>
            <w:r w:rsidRPr="008B7A21">
              <w:rPr>
                <w:sz w:val="16"/>
                <w:szCs w:val="16"/>
                <w:lang w:val="es-ES_tradnl"/>
              </w:rPr>
              <w:tab/>
              <w:t>Para canal dúplex disponible en todo el territorio nacional (con una anchura de banda = 200 KHz)</w:t>
            </w:r>
          </w:p>
        </w:tc>
        <w:tc>
          <w:tcPr>
            <w:tcW w:w="1303" w:type="dxa"/>
            <w:tcBorders>
              <w:top w:val="single" w:sz="4" w:space="0" w:color="auto"/>
              <w:left w:val="single" w:sz="4" w:space="0" w:color="auto"/>
              <w:bottom w:val="single" w:sz="4" w:space="0" w:color="auto"/>
              <w:right w:val="single" w:sz="4" w:space="0" w:color="auto"/>
            </w:tcBorders>
          </w:tcPr>
          <w:p w14:paraId="3E0E8BB3" w14:textId="77777777" w:rsidR="00F73D5B" w:rsidRPr="008B7A21" w:rsidRDefault="00F73D5B" w:rsidP="00767A6A">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14:paraId="4F121889" w14:textId="77777777" w:rsidR="00F73D5B" w:rsidRPr="008B7A21" w:rsidRDefault="00F73D5B" w:rsidP="00767A6A">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14:paraId="044416B1" w14:textId="77777777" w:rsidR="00F73D5B" w:rsidRPr="008B7A21" w:rsidRDefault="00F73D5B" w:rsidP="00767A6A">
            <w:pPr>
              <w:pStyle w:val="Tabletext"/>
              <w:rPr>
                <w:sz w:val="16"/>
                <w:szCs w:val="16"/>
                <w:lang w:val="es-ES_tradnl"/>
              </w:rPr>
            </w:pPr>
            <w:r w:rsidRPr="008B7A21">
              <w:rPr>
                <w:sz w:val="16"/>
                <w:szCs w:val="16"/>
                <w:lang w:val="es-ES_tradnl"/>
              </w:rPr>
              <w:t>10 440 000</w:t>
            </w:r>
          </w:p>
        </w:tc>
        <w:tc>
          <w:tcPr>
            <w:tcW w:w="1500" w:type="dxa"/>
            <w:tcBorders>
              <w:top w:val="single" w:sz="4" w:space="0" w:color="auto"/>
              <w:left w:val="single" w:sz="4" w:space="0" w:color="auto"/>
              <w:bottom w:val="single" w:sz="4" w:space="0" w:color="auto"/>
              <w:right w:val="single" w:sz="4" w:space="0" w:color="auto"/>
            </w:tcBorders>
          </w:tcPr>
          <w:p w14:paraId="43272C63" w14:textId="77777777" w:rsidR="00F73D5B" w:rsidRPr="008B7A21" w:rsidRDefault="00F73D5B" w:rsidP="00767A6A">
            <w:pPr>
              <w:pStyle w:val="Tabletext"/>
              <w:rPr>
                <w:sz w:val="16"/>
                <w:szCs w:val="16"/>
                <w:lang w:val="es-ES_tradnl"/>
              </w:rPr>
            </w:pPr>
            <w:r w:rsidRPr="008B7A21">
              <w:rPr>
                <w:sz w:val="16"/>
                <w:szCs w:val="16"/>
                <w:lang w:val="es-ES_tradnl"/>
              </w:rPr>
              <w:t>10 440 000</w:t>
            </w:r>
          </w:p>
        </w:tc>
      </w:tr>
      <w:tr w:rsidR="00F73D5B" w:rsidRPr="008B7A21" w14:paraId="278F7D6C" w14:textId="77777777" w:rsidTr="00767A6A">
        <w:trPr>
          <w:jc w:val="center"/>
        </w:trPr>
        <w:tc>
          <w:tcPr>
            <w:tcW w:w="4106" w:type="dxa"/>
            <w:tcBorders>
              <w:top w:val="single" w:sz="4" w:space="0" w:color="auto"/>
              <w:left w:val="single" w:sz="4" w:space="0" w:color="auto"/>
              <w:bottom w:val="single" w:sz="4" w:space="0" w:color="auto"/>
              <w:right w:val="single" w:sz="4" w:space="0" w:color="auto"/>
            </w:tcBorders>
          </w:tcPr>
          <w:p w14:paraId="0A7763BE" w14:textId="77777777" w:rsidR="00F73D5B" w:rsidRPr="008B7A21" w:rsidRDefault="00F73D5B" w:rsidP="00767A6A">
            <w:pPr>
              <w:pStyle w:val="Tabletext"/>
              <w:ind w:left="284" w:hanging="284"/>
              <w:jc w:val="left"/>
              <w:rPr>
                <w:sz w:val="16"/>
                <w:szCs w:val="16"/>
                <w:lang w:val="es-ES_tradnl"/>
              </w:rPr>
            </w:pPr>
            <w:r w:rsidRPr="008B7A21">
              <w:rPr>
                <w:sz w:val="16"/>
                <w:szCs w:val="16"/>
                <w:lang w:val="es-ES_tradnl"/>
              </w:rPr>
              <w:t>II.4. Enlaces de microondas por encima de 1 GHz</w:t>
            </w:r>
          </w:p>
        </w:tc>
        <w:tc>
          <w:tcPr>
            <w:tcW w:w="1303" w:type="dxa"/>
            <w:tcBorders>
              <w:top w:val="single" w:sz="4" w:space="0" w:color="auto"/>
              <w:left w:val="single" w:sz="4" w:space="0" w:color="auto"/>
              <w:bottom w:val="single" w:sz="4" w:space="0" w:color="auto"/>
              <w:right w:val="single" w:sz="4" w:space="0" w:color="auto"/>
            </w:tcBorders>
          </w:tcPr>
          <w:p w14:paraId="213A2BAB" w14:textId="77777777" w:rsidR="00F73D5B" w:rsidRPr="008B7A21" w:rsidRDefault="00F73D5B" w:rsidP="00767A6A">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14:paraId="4FAA0913" w14:textId="77777777" w:rsidR="00F73D5B" w:rsidRPr="008B7A21" w:rsidRDefault="00F73D5B" w:rsidP="00767A6A">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14:paraId="492B0275" w14:textId="77777777" w:rsidR="00F73D5B" w:rsidRPr="008B7A21" w:rsidRDefault="00F73D5B" w:rsidP="00767A6A">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14:paraId="120A1334" w14:textId="77777777" w:rsidR="00F73D5B" w:rsidRPr="008B7A21" w:rsidRDefault="00F73D5B" w:rsidP="00767A6A">
            <w:pPr>
              <w:pStyle w:val="Tabletext"/>
              <w:rPr>
                <w:sz w:val="16"/>
                <w:szCs w:val="16"/>
                <w:lang w:val="es-ES_tradnl"/>
              </w:rPr>
            </w:pPr>
          </w:p>
        </w:tc>
      </w:tr>
      <w:tr w:rsidR="00F73D5B" w:rsidRPr="008B7A21" w14:paraId="750401A3" w14:textId="77777777" w:rsidTr="00767A6A">
        <w:trPr>
          <w:jc w:val="center"/>
        </w:trPr>
        <w:tc>
          <w:tcPr>
            <w:tcW w:w="4106" w:type="dxa"/>
            <w:tcBorders>
              <w:top w:val="single" w:sz="4" w:space="0" w:color="auto"/>
              <w:left w:val="single" w:sz="4" w:space="0" w:color="auto"/>
              <w:bottom w:val="single" w:sz="4" w:space="0" w:color="auto"/>
              <w:right w:val="single" w:sz="4" w:space="0" w:color="auto"/>
            </w:tcBorders>
          </w:tcPr>
          <w:p w14:paraId="46CB4F4E" w14:textId="77777777" w:rsidR="00F73D5B" w:rsidRPr="008B7A21" w:rsidRDefault="00F73D5B" w:rsidP="00767A6A">
            <w:pPr>
              <w:pStyle w:val="Tabletext"/>
              <w:jc w:val="left"/>
              <w:rPr>
                <w:sz w:val="16"/>
                <w:szCs w:val="16"/>
                <w:lang w:val="es-ES_tradnl"/>
              </w:rPr>
            </w:pPr>
            <w:r w:rsidRPr="008B7A21">
              <w:rPr>
                <w:sz w:val="16"/>
                <w:szCs w:val="16"/>
                <w:lang w:val="es-ES_tradnl"/>
              </w:rPr>
              <w:t>a1. Enlaces locales</w:t>
            </w:r>
          </w:p>
          <w:p w14:paraId="00AE5096" w14:textId="77777777" w:rsidR="00F73D5B" w:rsidRPr="008B7A21" w:rsidRDefault="00F73D5B" w:rsidP="00767A6A">
            <w:pPr>
              <w:pStyle w:val="Tabletext"/>
              <w:jc w:val="left"/>
              <w:rPr>
                <w:sz w:val="16"/>
                <w:szCs w:val="16"/>
                <w:lang w:val="es-ES_tradnl"/>
              </w:rPr>
            </w:pPr>
            <w:r w:rsidRPr="008B7A21">
              <w:rPr>
                <w:sz w:val="16"/>
                <w:szCs w:val="16"/>
                <w:lang w:val="es-ES_tradnl"/>
              </w:rPr>
              <w:t>a2. Enlaces regionales</w:t>
            </w:r>
          </w:p>
          <w:p w14:paraId="3A563786" w14:textId="77777777" w:rsidR="00F73D5B" w:rsidRPr="008B7A21" w:rsidRDefault="00F73D5B" w:rsidP="00767A6A">
            <w:pPr>
              <w:pStyle w:val="Tabletext"/>
              <w:ind w:left="284" w:hanging="284"/>
              <w:jc w:val="left"/>
              <w:rPr>
                <w:sz w:val="16"/>
                <w:szCs w:val="16"/>
                <w:lang w:val="es-ES_tradnl"/>
              </w:rPr>
            </w:pPr>
            <w:r w:rsidRPr="008B7A21">
              <w:rPr>
                <w:sz w:val="16"/>
                <w:szCs w:val="16"/>
                <w:lang w:val="es-ES_tradnl"/>
              </w:rPr>
              <w:t>a3. Enlaces nacionales</w:t>
            </w:r>
          </w:p>
        </w:tc>
        <w:tc>
          <w:tcPr>
            <w:tcW w:w="1303" w:type="dxa"/>
            <w:tcBorders>
              <w:top w:val="single" w:sz="4" w:space="0" w:color="auto"/>
              <w:left w:val="single" w:sz="4" w:space="0" w:color="auto"/>
              <w:bottom w:val="single" w:sz="4" w:space="0" w:color="auto"/>
              <w:right w:val="single" w:sz="4" w:space="0" w:color="auto"/>
            </w:tcBorders>
          </w:tcPr>
          <w:p w14:paraId="189CEFE4" w14:textId="77777777" w:rsidR="00F73D5B" w:rsidRPr="008B7A21" w:rsidRDefault="00F73D5B" w:rsidP="00767A6A">
            <w:pPr>
              <w:pStyle w:val="Tabletext"/>
              <w:rPr>
                <w:sz w:val="16"/>
                <w:szCs w:val="16"/>
                <w:lang w:val="es-ES_tradnl"/>
              </w:rPr>
            </w:pPr>
            <w:r w:rsidRPr="008B7A21">
              <w:rPr>
                <w:sz w:val="16"/>
                <w:szCs w:val="16"/>
                <w:lang w:val="es-ES_tradnl"/>
              </w:rPr>
              <w:t>1 160 000</w:t>
            </w:r>
          </w:p>
          <w:p w14:paraId="57ABC575" w14:textId="77777777" w:rsidR="00F73D5B" w:rsidRPr="008B7A21" w:rsidRDefault="00F73D5B" w:rsidP="00767A6A">
            <w:pPr>
              <w:pStyle w:val="Tabletext"/>
              <w:rPr>
                <w:sz w:val="16"/>
                <w:szCs w:val="16"/>
                <w:lang w:val="es-ES_tradnl"/>
              </w:rPr>
            </w:pPr>
            <w:r w:rsidRPr="008B7A21">
              <w:rPr>
                <w:sz w:val="16"/>
                <w:szCs w:val="16"/>
                <w:lang w:val="es-ES_tradnl"/>
              </w:rPr>
              <w:t>1 740 000</w:t>
            </w:r>
          </w:p>
          <w:p w14:paraId="73C30C37" w14:textId="77777777" w:rsidR="00F73D5B" w:rsidRPr="008B7A21" w:rsidRDefault="00F73D5B" w:rsidP="00767A6A">
            <w:pPr>
              <w:pStyle w:val="Tabletext"/>
              <w:rPr>
                <w:sz w:val="16"/>
                <w:szCs w:val="16"/>
                <w:lang w:val="es-ES_tradnl"/>
              </w:rPr>
            </w:pPr>
            <w:r w:rsidRPr="008B7A21">
              <w:rPr>
                <w:sz w:val="16"/>
                <w:szCs w:val="16"/>
                <w:lang w:val="es-ES_tradnl"/>
              </w:rPr>
              <w:t>3 770 000</w:t>
            </w:r>
          </w:p>
        </w:tc>
        <w:tc>
          <w:tcPr>
            <w:tcW w:w="1229" w:type="dxa"/>
            <w:tcBorders>
              <w:top w:val="single" w:sz="4" w:space="0" w:color="auto"/>
              <w:left w:val="single" w:sz="4" w:space="0" w:color="auto"/>
              <w:bottom w:val="single" w:sz="4" w:space="0" w:color="auto"/>
              <w:right w:val="single" w:sz="4" w:space="0" w:color="auto"/>
            </w:tcBorders>
          </w:tcPr>
          <w:p w14:paraId="1CB89DB5" w14:textId="77777777" w:rsidR="00F73D5B" w:rsidRPr="008B7A21" w:rsidRDefault="00F73D5B" w:rsidP="00767A6A">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14:paraId="7186E8D1" w14:textId="77777777" w:rsidR="00F73D5B" w:rsidRPr="008B7A21" w:rsidRDefault="00F73D5B" w:rsidP="00767A6A">
            <w:pPr>
              <w:pStyle w:val="Tabletext"/>
              <w:rPr>
                <w:sz w:val="16"/>
                <w:szCs w:val="16"/>
                <w:lang w:val="es-ES_tradnl"/>
              </w:rPr>
            </w:pPr>
            <w:r w:rsidRPr="008B7A21">
              <w:rPr>
                <w:sz w:val="16"/>
                <w:szCs w:val="16"/>
                <w:lang w:val="es-ES_tradnl"/>
              </w:rPr>
              <w:t>5 800 000</w:t>
            </w:r>
          </w:p>
          <w:p w14:paraId="5F9E7F61" w14:textId="77777777" w:rsidR="00F73D5B" w:rsidRPr="008B7A21" w:rsidRDefault="00F73D5B" w:rsidP="00767A6A">
            <w:pPr>
              <w:pStyle w:val="Tabletext"/>
              <w:rPr>
                <w:sz w:val="16"/>
                <w:szCs w:val="16"/>
                <w:lang w:val="es-ES_tradnl"/>
              </w:rPr>
            </w:pPr>
            <w:r w:rsidRPr="008B7A21">
              <w:rPr>
                <w:sz w:val="16"/>
                <w:szCs w:val="16"/>
                <w:lang w:val="es-ES_tradnl"/>
              </w:rPr>
              <w:t>14 500 000</w:t>
            </w:r>
          </w:p>
          <w:p w14:paraId="5E8983FA" w14:textId="77777777" w:rsidR="00F73D5B" w:rsidRPr="008B7A21" w:rsidRDefault="00F73D5B" w:rsidP="00767A6A">
            <w:pPr>
              <w:pStyle w:val="Tabletext"/>
              <w:rPr>
                <w:sz w:val="16"/>
                <w:szCs w:val="16"/>
                <w:lang w:val="es-ES_tradnl"/>
              </w:rPr>
            </w:pPr>
            <w:r w:rsidRPr="008B7A21">
              <w:rPr>
                <w:sz w:val="16"/>
                <w:szCs w:val="16"/>
                <w:lang w:val="es-ES_tradnl"/>
              </w:rPr>
              <w:t>29 000 000</w:t>
            </w:r>
          </w:p>
        </w:tc>
        <w:tc>
          <w:tcPr>
            <w:tcW w:w="1500" w:type="dxa"/>
            <w:tcBorders>
              <w:top w:val="single" w:sz="4" w:space="0" w:color="auto"/>
              <w:left w:val="single" w:sz="4" w:space="0" w:color="auto"/>
              <w:bottom w:val="single" w:sz="4" w:space="0" w:color="auto"/>
              <w:right w:val="single" w:sz="4" w:space="0" w:color="auto"/>
            </w:tcBorders>
          </w:tcPr>
          <w:p w14:paraId="5C99028F" w14:textId="77777777" w:rsidR="00F73D5B" w:rsidRPr="008B7A21" w:rsidRDefault="00F73D5B" w:rsidP="00767A6A">
            <w:pPr>
              <w:pStyle w:val="Tabletext"/>
              <w:rPr>
                <w:sz w:val="16"/>
                <w:szCs w:val="16"/>
                <w:lang w:val="es-ES_tradnl"/>
              </w:rPr>
            </w:pPr>
          </w:p>
        </w:tc>
      </w:tr>
      <w:tr w:rsidR="00F73D5B" w:rsidRPr="008B7A21" w14:paraId="4B9288DE" w14:textId="77777777" w:rsidTr="00767A6A">
        <w:trPr>
          <w:jc w:val="center"/>
        </w:trPr>
        <w:tc>
          <w:tcPr>
            <w:tcW w:w="4106" w:type="dxa"/>
            <w:tcBorders>
              <w:top w:val="single" w:sz="4" w:space="0" w:color="auto"/>
              <w:left w:val="single" w:sz="4" w:space="0" w:color="auto"/>
              <w:bottom w:val="single" w:sz="4" w:space="0" w:color="auto"/>
              <w:right w:val="single" w:sz="4" w:space="0" w:color="auto"/>
            </w:tcBorders>
          </w:tcPr>
          <w:p w14:paraId="35BFB450" w14:textId="77777777" w:rsidR="00F73D5B" w:rsidRPr="008B7A21" w:rsidRDefault="00F73D5B" w:rsidP="00767A6A">
            <w:pPr>
              <w:pStyle w:val="Tabletext"/>
              <w:jc w:val="left"/>
              <w:rPr>
                <w:sz w:val="16"/>
                <w:szCs w:val="16"/>
                <w:lang w:val="es-ES_tradnl"/>
              </w:rPr>
            </w:pPr>
            <w:r w:rsidRPr="008B7A21">
              <w:rPr>
                <w:sz w:val="16"/>
                <w:szCs w:val="16"/>
                <w:lang w:val="es-ES_tradnl"/>
              </w:rPr>
              <w:t>b1. Estación terminal</w:t>
            </w:r>
          </w:p>
          <w:p w14:paraId="167542B2" w14:textId="77777777" w:rsidR="00F73D5B" w:rsidRPr="008B7A21" w:rsidRDefault="00F73D5B" w:rsidP="00767A6A">
            <w:pPr>
              <w:pStyle w:val="Tabletext"/>
              <w:jc w:val="left"/>
              <w:rPr>
                <w:sz w:val="20"/>
                <w:lang w:val="es-ES_tradnl"/>
              </w:rPr>
            </w:pPr>
            <w:r w:rsidRPr="008B7A21">
              <w:rPr>
                <w:sz w:val="16"/>
                <w:szCs w:val="16"/>
                <w:lang w:val="es-ES_tradnl"/>
              </w:rPr>
              <w:t>b2. Estación terminal</w:t>
            </w:r>
          </w:p>
        </w:tc>
        <w:tc>
          <w:tcPr>
            <w:tcW w:w="1303" w:type="dxa"/>
            <w:tcBorders>
              <w:top w:val="single" w:sz="4" w:space="0" w:color="auto"/>
              <w:left w:val="single" w:sz="4" w:space="0" w:color="auto"/>
              <w:bottom w:val="single" w:sz="4" w:space="0" w:color="auto"/>
              <w:right w:val="single" w:sz="4" w:space="0" w:color="auto"/>
            </w:tcBorders>
          </w:tcPr>
          <w:p w14:paraId="2B8C7424" w14:textId="77777777" w:rsidR="00F73D5B" w:rsidRPr="008B7A21" w:rsidRDefault="00F73D5B" w:rsidP="00767A6A">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14:paraId="46505BE0" w14:textId="77777777" w:rsidR="00F73D5B" w:rsidRPr="008B7A21" w:rsidRDefault="00F73D5B" w:rsidP="00767A6A">
            <w:pPr>
              <w:pStyle w:val="Tabletext"/>
              <w:rPr>
                <w:sz w:val="16"/>
                <w:szCs w:val="16"/>
                <w:lang w:val="es-ES_tradnl"/>
              </w:rPr>
            </w:pPr>
            <w:r w:rsidRPr="008B7A21">
              <w:rPr>
                <w:sz w:val="16"/>
                <w:szCs w:val="16"/>
                <w:lang w:val="es-ES_tradnl"/>
              </w:rPr>
              <w:t>34 800</w:t>
            </w:r>
          </w:p>
          <w:p w14:paraId="13E16F34" w14:textId="77777777" w:rsidR="00F73D5B" w:rsidRPr="008B7A21" w:rsidRDefault="00F73D5B" w:rsidP="00767A6A">
            <w:pPr>
              <w:pStyle w:val="Tabletext"/>
              <w:rPr>
                <w:sz w:val="16"/>
                <w:szCs w:val="16"/>
                <w:lang w:val="es-ES_tradnl"/>
              </w:rPr>
            </w:pPr>
            <w:r w:rsidRPr="008B7A21">
              <w:rPr>
                <w:sz w:val="16"/>
                <w:szCs w:val="16"/>
                <w:lang w:val="es-ES_tradnl"/>
              </w:rPr>
              <w:t>29 000</w:t>
            </w:r>
          </w:p>
        </w:tc>
        <w:tc>
          <w:tcPr>
            <w:tcW w:w="1501" w:type="dxa"/>
            <w:tcBorders>
              <w:top w:val="single" w:sz="4" w:space="0" w:color="auto"/>
              <w:left w:val="single" w:sz="4" w:space="0" w:color="auto"/>
              <w:bottom w:val="single" w:sz="4" w:space="0" w:color="auto"/>
              <w:right w:val="single" w:sz="4" w:space="0" w:color="auto"/>
            </w:tcBorders>
          </w:tcPr>
          <w:p w14:paraId="4A73D4AA" w14:textId="77777777" w:rsidR="00F73D5B" w:rsidRPr="008B7A21" w:rsidRDefault="00F73D5B" w:rsidP="00767A6A">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14:paraId="58B24F21" w14:textId="77777777" w:rsidR="00F73D5B" w:rsidRPr="008B7A21" w:rsidRDefault="00F73D5B" w:rsidP="00767A6A">
            <w:pPr>
              <w:pStyle w:val="Tabletext"/>
              <w:rPr>
                <w:sz w:val="16"/>
                <w:szCs w:val="16"/>
                <w:lang w:val="es-ES_tradnl"/>
              </w:rPr>
            </w:pPr>
          </w:p>
        </w:tc>
      </w:tr>
      <w:tr w:rsidR="00F73D5B" w:rsidRPr="008B7A21" w14:paraId="619A74A8" w14:textId="77777777" w:rsidTr="00767A6A">
        <w:trPr>
          <w:jc w:val="center"/>
        </w:trPr>
        <w:tc>
          <w:tcPr>
            <w:tcW w:w="4106" w:type="dxa"/>
            <w:tcBorders>
              <w:top w:val="single" w:sz="4" w:space="0" w:color="auto"/>
              <w:left w:val="single" w:sz="4" w:space="0" w:color="auto"/>
              <w:bottom w:val="single" w:sz="4" w:space="0" w:color="auto"/>
              <w:right w:val="single" w:sz="4" w:space="0" w:color="auto"/>
            </w:tcBorders>
          </w:tcPr>
          <w:p w14:paraId="4F998B5B" w14:textId="77777777" w:rsidR="00F73D5B" w:rsidRPr="008B7A21" w:rsidRDefault="00F73D5B" w:rsidP="00767A6A">
            <w:pPr>
              <w:pStyle w:val="Tabletext"/>
              <w:jc w:val="left"/>
              <w:rPr>
                <w:sz w:val="16"/>
                <w:szCs w:val="16"/>
                <w:lang w:val="es-ES_tradnl"/>
              </w:rPr>
            </w:pPr>
            <w:r w:rsidRPr="008B7A21">
              <w:rPr>
                <w:sz w:val="16"/>
                <w:szCs w:val="16"/>
                <w:lang w:val="es-ES_tradnl"/>
              </w:rPr>
              <w:t>c1.</w:t>
            </w:r>
            <w:r w:rsidRPr="008B7A21">
              <w:rPr>
                <w:sz w:val="16"/>
                <w:szCs w:val="16"/>
                <w:lang w:val="es-ES_tradnl"/>
              </w:rPr>
              <w:tab/>
              <w:t>Enlaces de 120 canales telefónicos o 8 Mbit/s</w:t>
            </w:r>
          </w:p>
          <w:p w14:paraId="508412AD" w14:textId="77777777" w:rsidR="00F73D5B" w:rsidRPr="008B7A21" w:rsidRDefault="00F73D5B" w:rsidP="00767A6A">
            <w:pPr>
              <w:pStyle w:val="Tabletext"/>
              <w:ind w:left="284" w:hanging="284"/>
              <w:jc w:val="left"/>
              <w:rPr>
                <w:sz w:val="16"/>
                <w:szCs w:val="16"/>
                <w:lang w:val="es-ES_tradnl"/>
              </w:rPr>
            </w:pPr>
            <w:r w:rsidRPr="008B7A21">
              <w:rPr>
                <w:sz w:val="16"/>
                <w:szCs w:val="16"/>
                <w:lang w:val="es-ES_tradnl"/>
              </w:rPr>
              <w:t>c2.</w:t>
            </w:r>
            <w:r w:rsidRPr="008B7A21">
              <w:rPr>
                <w:sz w:val="16"/>
                <w:szCs w:val="16"/>
                <w:lang w:val="es-ES_tradnl"/>
              </w:rPr>
              <w:tab/>
              <w:t>Enlaces con entre 121 y 600 canales telefónicos o entre 2,1-8 Mbit/s</w:t>
            </w:r>
          </w:p>
          <w:p w14:paraId="75CD50E9" w14:textId="77777777" w:rsidR="00F73D5B" w:rsidRPr="008B7A21" w:rsidRDefault="00F73D5B" w:rsidP="00767A6A">
            <w:pPr>
              <w:pStyle w:val="Tabletext"/>
              <w:ind w:left="284" w:hanging="284"/>
              <w:jc w:val="left"/>
              <w:rPr>
                <w:sz w:val="16"/>
                <w:szCs w:val="16"/>
                <w:lang w:val="es-ES_tradnl"/>
              </w:rPr>
            </w:pPr>
            <w:r w:rsidRPr="008B7A21">
              <w:rPr>
                <w:sz w:val="16"/>
                <w:szCs w:val="16"/>
                <w:lang w:val="es-ES_tradnl"/>
              </w:rPr>
              <w:t>c3.</w:t>
            </w:r>
            <w:r w:rsidRPr="008B7A21">
              <w:rPr>
                <w:sz w:val="16"/>
                <w:szCs w:val="16"/>
                <w:lang w:val="es-ES_tradnl"/>
              </w:rPr>
              <w:tab/>
              <w:t>Enlaces con más de 1 200 canales telefónicos o más de 70 Mbit/s</w:t>
            </w:r>
          </w:p>
        </w:tc>
        <w:tc>
          <w:tcPr>
            <w:tcW w:w="1303" w:type="dxa"/>
            <w:tcBorders>
              <w:top w:val="single" w:sz="4" w:space="0" w:color="auto"/>
              <w:left w:val="single" w:sz="4" w:space="0" w:color="auto"/>
              <w:bottom w:val="single" w:sz="4" w:space="0" w:color="auto"/>
              <w:right w:val="single" w:sz="4" w:space="0" w:color="auto"/>
            </w:tcBorders>
          </w:tcPr>
          <w:p w14:paraId="60A5E138" w14:textId="77777777" w:rsidR="00F73D5B" w:rsidRPr="008B7A21" w:rsidRDefault="00F73D5B" w:rsidP="00767A6A">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14:paraId="56BE14CF" w14:textId="77777777" w:rsidR="00F73D5B" w:rsidRPr="008B7A21" w:rsidRDefault="00F73D5B" w:rsidP="00767A6A">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14:paraId="55311F84" w14:textId="77777777" w:rsidR="00F73D5B" w:rsidRPr="008B7A21" w:rsidRDefault="00F73D5B" w:rsidP="00767A6A">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14:paraId="5892EE62" w14:textId="77777777" w:rsidR="00F73D5B" w:rsidRPr="008B7A21" w:rsidRDefault="00F73D5B" w:rsidP="00767A6A">
            <w:pPr>
              <w:pStyle w:val="Tabletext"/>
              <w:rPr>
                <w:sz w:val="16"/>
                <w:szCs w:val="16"/>
                <w:lang w:val="es-ES_tradnl"/>
              </w:rPr>
            </w:pPr>
            <w:r w:rsidRPr="008B7A21">
              <w:rPr>
                <w:sz w:val="16"/>
                <w:szCs w:val="16"/>
                <w:lang w:val="es-ES_tradnl"/>
              </w:rPr>
              <w:t>5 800 000</w:t>
            </w:r>
          </w:p>
          <w:p w14:paraId="17D000DE" w14:textId="77777777" w:rsidR="00F73D5B" w:rsidRPr="008B7A21" w:rsidRDefault="00F73D5B" w:rsidP="00767A6A">
            <w:pPr>
              <w:pStyle w:val="Tabletext"/>
              <w:rPr>
                <w:sz w:val="16"/>
                <w:szCs w:val="16"/>
                <w:lang w:val="es-ES_tradnl"/>
              </w:rPr>
            </w:pPr>
            <w:r w:rsidRPr="008B7A21">
              <w:rPr>
                <w:sz w:val="16"/>
                <w:szCs w:val="16"/>
                <w:lang w:val="es-ES_tradnl"/>
              </w:rPr>
              <w:t>10 440 000</w:t>
            </w:r>
          </w:p>
          <w:p w14:paraId="21BE0145" w14:textId="77777777" w:rsidR="00F73D5B" w:rsidRPr="008B7A21" w:rsidRDefault="00F73D5B" w:rsidP="00767A6A">
            <w:pPr>
              <w:pStyle w:val="Tabletext"/>
              <w:rPr>
                <w:sz w:val="16"/>
                <w:szCs w:val="16"/>
                <w:lang w:val="es-ES_tradnl"/>
              </w:rPr>
            </w:pPr>
            <w:r w:rsidRPr="008B7A21">
              <w:rPr>
                <w:sz w:val="16"/>
                <w:szCs w:val="16"/>
                <w:lang w:val="es-ES_tradnl"/>
              </w:rPr>
              <w:t>14 500 000</w:t>
            </w:r>
          </w:p>
          <w:p w14:paraId="11436586" w14:textId="77777777" w:rsidR="00F73D5B" w:rsidRPr="008B7A21" w:rsidRDefault="00F73D5B" w:rsidP="00767A6A">
            <w:pPr>
              <w:pStyle w:val="Tabletext"/>
              <w:rPr>
                <w:sz w:val="16"/>
                <w:szCs w:val="16"/>
                <w:lang w:val="es-ES_tradnl"/>
              </w:rPr>
            </w:pPr>
            <w:r w:rsidRPr="008B7A21">
              <w:rPr>
                <w:sz w:val="16"/>
                <w:szCs w:val="16"/>
                <w:lang w:val="es-ES_tradnl"/>
              </w:rPr>
              <w:t>17 400 000</w:t>
            </w:r>
          </w:p>
        </w:tc>
      </w:tr>
      <w:tr w:rsidR="00F73D5B" w:rsidRPr="008B7A21" w14:paraId="3290A417" w14:textId="77777777" w:rsidTr="00767A6A">
        <w:trPr>
          <w:jc w:val="center"/>
        </w:trPr>
        <w:tc>
          <w:tcPr>
            <w:tcW w:w="4106" w:type="dxa"/>
            <w:tcBorders>
              <w:top w:val="single" w:sz="4" w:space="0" w:color="auto"/>
              <w:left w:val="single" w:sz="4" w:space="0" w:color="auto"/>
              <w:bottom w:val="single" w:sz="4" w:space="0" w:color="auto"/>
              <w:right w:val="single" w:sz="4" w:space="0" w:color="auto"/>
            </w:tcBorders>
          </w:tcPr>
          <w:p w14:paraId="7D7A4CF6" w14:textId="77777777" w:rsidR="00F73D5B" w:rsidRPr="008B7A21" w:rsidRDefault="00F73D5B" w:rsidP="00767A6A">
            <w:pPr>
              <w:pStyle w:val="Tabletext"/>
              <w:ind w:left="284" w:hanging="284"/>
              <w:jc w:val="left"/>
              <w:rPr>
                <w:sz w:val="16"/>
                <w:szCs w:val="16"/>
                <w:lang w:val="es-ES_tradnl"/>
              </w:rPr>
            </w:pPr>
            <w:r w:rsidRPr="008B7A21">
              <w:rPr>
                <w:sz w:val="16"/>
                <w:szCs w:val="16"/>
                <w:lang w:val="es-ES_tradnl"/>
              </w:rPr>
              <w:t>III.</w:t>
            </w:r>
            <w:r w:rsidRPr="008B7A21">
              <w:rPr>
                <w:sz w:val="16"/>
                <w:szCs w:val="16"/>
                <w:lang w:val="es-ES_tradnl"/>
              </w:rPr>
              <w:tab/>
              <w:t>SERVICIO RADIOELÉCTRICO MARÍTIMO TERRENAL</w:t>
            </w:r>
          </w:p>
        </w:tc>
        <w:tc>
          <w:tcPr>
            <w:tcW w:w="1303" w:type="dxa"/>
            <w:tcBorders>
              <w:top w:val="single" w:sz="4" w:space="0" w:color="auto"/>
              <w:left w:val="single" w:sz="4" w:space="0" w:color="auto"/>
              <w:bottom w:val="single" w:sz="4" w:space="0" w:color="auto"/>
              <w:right w:val="single" w:sz="4" w:space="0" w:color="auto"/>
            </w:tcBorders>
          </w:tcPr>
          <w:p w14:paraId="57E763D7" w14:textId="77777777" w:rsidR="00F73D5B" w:rsidRPr="008B7A21" w:rsidRDefault="00F73D5B" w:rsidP="00767A6A">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14:paraId="62EE0D4A" w14:textId="77777777" w:rsidR="00F73D5B" w:rsidRPr="008B7A21" w:rsidRDefault="00F73D5B" w:rsidP="00767A6A">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14:paraId="6180B615" w14:textId="77777777" w:rsidR="00F73D5B" w:rsidRPr="008B7A21" w:rsidRDefault="00F73D5B" w:rsidP="00767A6A">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14:paraId="21D63A8B" w14:textId="77777777" w:rsidR="00F73D5B" w:rsidRPr="008B7A21" w:rsidRDefault="00F73D5B" w:rsidP="00767A6A">
            <w:pPr>
              <w:pStyle w:val="Tabletext"/>
              <w:rPr>
                <w:sz w:val="16"/>
                <w:szCs w:val="16"/>
                <w:lang w:val="es-ES_tradnl"/>
              </w:rPr>
            </w:pPr>
          </w:p>
        </w:tc>
      </w:tr>
      <w:tr w:rsidR="00F73D5B" w:rsidRPr="008B7A21" w14:paraId="6B5AB669" w14:textId="77777777" w:rsidTr="00767A6A">
        <w:trPr>
          <w:jc w:val="center"/>
        </w:trPr>
        <w:tc>
          <w:tcPr>
            <w:tcW w:w="4106" w:type="dxa"/>
            <w:tcBorders>
              <w:top w:val="single" w:sz="4" w:space="0" w:color="auto"/>
              <w:left w:val="single" w:sz="4" w:space="0" w:color="auto"/>
              <w:bottom w:val="single" w:sz="4" w:space="0" w:color="auto"/>
              <w:right w:val="single" w:sz="4" w:space="0" w:color="auto"/>
            </w:tcBorders>
          </w:tcPr>
          <w:p w14:paraId="71F3C5AB" w14:textId="77777777" w:rsidR="00F73D5B" w:rsidRPr="008B7A21" w:rsidRDefault="00F73D5B" w:rsidP="00767A6A">
            <w:pPr>
              <w:pStyle w:val="Tabletext"/>
              <w:jc w:val="left"/>
              <w:rPr>
                <w:sz w:val="16"/>
                <w:szCs w:val="16"/>
                <w:lang w:val="es-ES_tradnl"/>
              </w:rPr>
            </w:pPr>
            <w:r w:rsidRPr="008B7A21">
              <w:rPr>
                <w:sz w:val="16"/>
                <w:szCs w:val="16"/>
                <w:lang w:val="es-ES_tradnl"/>
              </w:rPr>
              <w:t>III.1.</w:t>
            </w:r>
            <w:r w:rsidRPr="008B7A21">
              <w:rPr>
                <w:sz w:val="16"/>
                <w:szCs w:val="16"/>
                <w:lang w:val="es-ES_tradnl"/>
              </w:rPr>
              <w:tab/>
              <w:t>Estación costera privada (sin ánimo de lucro)</w:t>
            </w:r>
          </w:p>
        </w:tc>
        <w:tc>
          <w:tcPr>
            <w:tcW w:w="1303" w:type="dxa"/>
            <w:tcBorders>
              <w:top w:val="single" w:sz="4" w:space="0" w:color="auto"/>
              <w:left w:val="single" w:sz="4" w:space="0" w:color="auto"/>
              <w:bottom w:val="single" w:sz="4" w:space="0" w:color="auto"/>
              <w:right w:val="single" w:sz="4" w:space="0" w:color="auto"/>
            </w:tcBorders>
          </w:tcPr>
          <w:p w14:paraId="2FF31D9E" w14:textId="77777777" w:rsidR="00F73D5B" w:rsidRPr="008B7A21" w:rsidRDefault="00F73D5B" w:rsidP="00767A6A">
            <w:pPr>
              <w:pStyle w:val="Tabletext"/>
              <w:rPr>
                <w:sz w:val="16"/>
                <w:szCs w:val="16"/>
                <w:lang w:val="es-ES_tradnl"/>
              </w:rPr>
            </w:pPr>
            <w:r w:rsidRPr="008B7A21">
              <w:rPr>
                <w:sz w:val="16"/>
                <w:szCs w:val="16"/>
                <w:lang w:val="es-ES_tradnl"/>
              </w:rPr>
              <w:t>580 000</w:t>
            </w:r>
          </w:p>
        </w:tc>
        <w:tc>
          <w:tcPr>
            <w:tcW w:w="1229" w:type="dxa"/>
            <w:tcBorders>
              <w:top w:val="single" w:sz="4" w:space="0" w:color="auto"/>
              <w:left w:val="single" w:sz="4" w:space="0" w:color="auto"/>
              <w:bottom w:val="single" w:sz="4" w:space="0" w:color="auto"/>
              <w:right w:val="single" w:sz="4" w:space="0" w:color="auto"/>
            </w:tcBorders>
          </w:tcPr>
          <w:p w14:paraId="1CC410D7" w14:textId="77777777" w:rsidR="00F73D5B" w:rsidRPr="008B7A21" w:rsidRDefault="00F73D5B" w:rsidP="00767A6A">
            <w:pPr>
              <w:pStyle w:val="Tabletext"/>
              <w:rPr>
                <w:sz w:val="16"/>
                <w:szCs w:val="16"/>
                <w:lang w:val="es-ES_tradnl"/>
              </w:rPr>
            </w:pPr>
            <w:r w:rsidRPr="008B7A21">
              <w:rPr>
                <w:sz w:val="16"/>
                <w:szCs w:val="16"/>
                <w:lang w:val="es-ES_tradnl"/>
              </w:rPr>
              <w:t>87 000</w:t>
            </w:r>
          </w:p>
        </w:tc>
        <w:tc>
          <w:tcPr>
            <w:tcW w:w="1501" w:type="dxa"/>
            <w:tcBorders>
              <w:top w:val="single" w:sz="4" w:space="0" w:color="auto"/>
              <w:left w:val="single" w:sz="4" w:space="0" w:color="auto"/>
              <w:bottom w:val="single" w:sz="4" w:space="0" w:color="auto"/>
              <w:right w:val="single" w:sz="4" w:space="0" w:color="auto"/>
            </w:tcBorders>
          </w:tcPr>
          <w:p w14:paraId="28C6C4CD" w14:textId="77777777" w:rsidR="00F73D5B" w:rsidRPr="008B7A21" w:rsidRDefault="00F73D5B" w:rsidP="00767A6A">
            <w:pPr>
              <w:pStyle w:val="Tabletext"/>
              <w:rPr>
                <w:sz w:val="16"/>
                <w:szCs w:val="16"/>
                <w:lang w:val="es-ES_tradnl"/>
              </w:rPr>
            </w:pPr>
            <w:r w:rsidRPr="008B7A21">
              <w:rPr>
                <w:sz w:val="16"/>
                <w:szCs w:val="16"/>
                <w:lang w:val="es-ES_tradnl"/>
              </w:rPr>
              <w:t>3 480 000</w:t>
            </w:r>
          </w:p>
        </w:tc>
        <w:tc>
          <w:tcPr>
            <w:tcW w:w="1500" w:type="dxa"/>
            <w:tcBorders>
              <w:top w:val="single" w:sz="4" w:space="0" w:color="auto"/>
              <w:left w:val="single" w:sz="4" w:space="0" w:color="auto"/>
              <w:bottom w:val="single" w:sz="4" w:space="0" w:color="auto"/>
              <w:right w:val="single" w:sz="4" w:space="0" w:color="auto"/>
            </w:tcBorders>
          </w:tcPr>
          <w:p w14:paraId="6C78A4E4" w14:textId="77777777" w:rsidR="00F73D5B" w:rsidRPr="008B7A21" w:rsidRDefault="00F73D5B" w:rsidP="00767A6A">
            <w:pPr>
              <w:pStyle w:val="Tabletext"/>
              <w:rPr>
                <w:sz w:val="16"/>
                <w:szCs w:val="16"/>
                <w:lang w:val="es-ES_tradnl"/>
              </w:rPr>
            </w:pPr>
          </w:p>
        </w:tc>
      </w:tr>
      <w:tr w:rsidR="00F73D5B" w:rsidRPr="008B7A21" w14:paraId="293C2736" w14:textId="77777777" w:rsidTr="00767A6A">
        <w:trPr>
          <w:jc w:val="center"/>
        </w:trPr>
        <w:tc>
          <w:tcPr>
            <w:tcW w:w="4106" w:type="dxa"/>
            <w:tcBorders>
              <w:top w:val="single" w:sz="4" w:space="0" w:color="auto"/>
              <w:left w:val="single" w:sz="4" w:space="0" w:color="auto"/>
              <w:bottom w:val="single" w:sz="4" w:space="0" w:color="auto"/>
              <w:right w:val="single" w:sz="4" w:space="0" w:color="auto"/>
            </w:tcBorders>
          </w:tcPr>
          <w:p w14:paraId="1214D674" w14:textId="77777777" w:rsidR="00F73D5B" w:rsidRPr="008B7A21" w:rsidRDefault="00F73D5B" w:rsidP="00767A6A">
            <w:pPr>
              <w:pStyle w:val="Tabletext"/>
              <w:ind w:left="284" w:hanging="284"/>
              <w:jc w:val="left"/>
              <w:rPr>
                <w:sz w:val="16"/>
                <w:szCs w:val="16"/>
                <w:lang w:val="es-ES_tradnl"/>
              </w:rPr>
            </w:pPr>
            <w:r w:rsidRPr="008B7A21">
              <w:rPr>
                <w:sz w:val="16"/>
                <w:szCs w:val="16"/>
                <w:lang w:val="es-ES_tradnl"/>
              </w:rPr>
              <w:t>a1.</w:t>
            </w:r>
            <w:r w:rsidRPr="008B7A21">
              <w:rPr>
                <w:sz w:val="16"/>
                <w:szCs w:val="16"/>
                <w:lang w:val="es-ES_tradnl"/>
              </w:rPr>
              <w:tab/>
              <w:t>Enlaces radioeléctricos en ondas métricas (25KHz)</w:t>
            </w:r>
          </w:p>
          <w:p w14:paraId="4473E0CE" w14:textId="77777777" w:rsidR="00F73D5B" w:rsidRPr="008B7A21" w:rsidRDefault="00F73D5B" w:rsidP="00767A6A">
            <w:pPr>
              <w:pStyle w:val="Tabletext"/>
              <w:ind w:left="284" w:hanging="284"/>
              <w:jc w:val="left"/>
              <w:rPr>
                <w:sz w:val="16"/>
                <w:szCs w:val="16"/>
                <w:lang w:val="es-ES_tradnl"/>
              </w:rPr>
            </w:pPr>
            <w:r w:rsidRPr="008B7A21">
              <w:rPr>
                <w:sz w:val="16"/>
                <w:szCs w:val="16"/>
                <w:lang w:val="es-ES_tradnl"/>
              </w:rPr>
              <w:t>a2.</w:t>
            </w:r>
            <w:r w:rsidRPr="008B7A21">
              <w:rPr>
                <w:sz w:val="16"/>
                <w:szCs w:val="16"/>
                <w:lang w:val="es-ES_tradnl"/>
              </w:rPr>
              <w:tab/>
              <w:t>Enlaces radioeléctricos en ondas decamétricas y kilométricas (inferiores a 1 KHz)</w:t>
            </w:r>
          </w:p>
          <w:p w14:paraId="2C840F4F" w14:textId="77777777" w:rsidR="00F73D5B" w:rsidRPr="008B7A21" w:rsidRDefault="00F73D5B" w:rsidP="00767A6A">
            <w:pPr>
              <w:pStyle w:val="Tabletext"/>
              <w:ind w:left="284" w:hanging="284"/>
              <w:jc w:val="left"/>
              <w:rPr>
                <w:sz w:val="16"/>
                <w:szCs w:val="16"/>
                <w:lang w:val="es-ES_tradnl"/>
              </w:rPr>
            </w:pPr>
            <w:r w:rsidRPr="008B7A21">
              <w:rPr>
                <w:sz w:val="16"/>
                <w:szCs w:val="16"/>
                <w:lang w:val="es-ES_tradnl"/>
              </w:rPr>
              <w:t>a3.</w:t>
            </w:r>
            <w:r w:rsidRPr="008B7A21">
              <w:rPr>
                <w:sz w:val="16"/>
                <w:szCs w:val="16"/>
                <w:lang w:val="es-ES_tradnl"/>
              </w:rPr>
              <w:tab/>
              <w:t>Enlaces radioeléctricos en ondas decamétricas y kilométricas (3KHz)</w:t>
            </w:r>
          </w:p>
        </w:tc>
        <w:tc>
          <w:tcPr>
            <w:tcW w:w="1303" w:type="dxa"/>
            <w:tcBorders>
              <w:top w:val="single" w:sz="4" w:space="0" w:color="auto"/>
              <w:left w:val="single" w:sz="4" w:space="0" w:color="auto"/>
              <w:bottom w:val="single" w:sz="4" w:space="0" w:color="auto"/>
              <w:right w:val="single" w:sz="4" w:space="0" w:color="auto"/>
            </w:tcBorders>
          </w:tcPr>
          <w:p w14:paraId="614C26AF" w14:textId="77777777" w:rsidR="00F73D5B" w:rsidRPr="008B7A21" w:rsidRDefault="00F73D5B" w:rsidP="00767A6A">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14:paraId="4174F160" w14:textId="77777777" w:rsidR="00F73D5B" w:rsidRPr="008B7A21" w:rsidRDefault="00F73D5B" w:rsidP="00767A6A">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14:paraId="3E5CB5A2" w14:textId="77777777" w:rsidR="00F73D5B" w:rsidRPr="008B7A21" w:rsidRDefault="00F73D5B" w:rsidP="00767A6A">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14:paraId="05B0E5D1" w14:textId="77777777" w:rsidR="00F73D5B" w:rsidRPr="008B7A21" w:rsidRDefault="00F73D5B" w:rsidP="00767A6A">
            <w:pPr>
              <w:pStyle w:val="Tabletext"/>
              <w:rPr>
                <w:sz w:val="16"/>
                <w:szCs w:val="16"/>
                <w:lang w:val="es-ES_tradnl"/>
              </w:rPr>
            </w:pPr>
            <w:r w:rsidRPr="008B7A21">
              <w:rPr>
                <w:sz w:val="16"/>
                <w:szCs w:val="16"/>
                <w:lang w:val="es-ES_tradnl"/>
              </w:rPr>
              <w:t>174 000</w:t>
            </w:r>
          </w:p>
          <w:p w14:paraId="6E6D2DDB" w14:textId="77777777" w:rsidR="00F73D5B" w:rsidRPr="008B7A21" w:rsidRDefault="00F73D5B" w:rsidP="00767A6A">
            <w:pPr>
              <w:pStyle w:val="Tabletext"/>
              <w:rPr>
                <w:sz w:val="16"/>
                <w:szCs w:val="16"/>
                <w:lang w:val="es-ES_tradnl"/>
              </w:rPr>
            </w:pPr>
            <w:r w:rsidRPr="008B7A21">
              <w:rPr>
                <w:sz w:val="16"/>
                <w:szCs w:val="16"/>
                <w:lang w:val="es-ES_tradnl"/>
              </w:rPr>
              <w:t>139 200</w:t>
            </w:r>
          </w:p>
          <w:p w14:paraId="6D852DD5" w14:textId="77777777" w:rsidR="00F73D5B" w:rsidRPr="008B7A21" w:rsidRDefault="00F73D5B" w:rsidP="00767A6A">
            <w:pPr>
              <w:pStyle w:val="Tabletext"/>
              <w:rPr>
                <w:sz w:val="16"/>
                <w:szCs w:val="16"/>
                <w:lang w:val="es-ES_tradnl"/>
              </w:rPr>
            </w:pPr>
            <w:r w:rsidRPr="008B7A21">
              <w:rPr>
                <w:sz w:val="16"/>
                <w:szCs w:val="16"/>
                <w:lang w:val="es-ES_tradnl"/>
              </w:rPr>
              <w:t>417 600</w:t>
            </w:r>
          </w:p>
        </w:tc>
      </w:tr>
      <w:tr w:rsidR="00F73D5B" w:rsidRPr="008B7A21" w14:paraId="46BE3B0C" w14:textId="77777777" w:rsidTr="00767A6A">
        <w:trPr>
          <w:jc w:val="center"/>
        </w:trPr>
        <w:tc>
          <w:tcPr>
            <w:tcW w:w="4106" w:type="dxa"/>
            <w:tcBorders>
              <w:top w:val="single" w:sz="4" w:space="0" w:color="auto"/>
              <w:left w:val="single" w:sz="4" w:space="0" w:color="auto"/>
              <w:bottom w:val="single" w:sz="4" w:space="0" w:color="auto"/>
              <w:right w:val="single" w:sz="4" w:space="0" w:color="auto"/>
            </w:tcBorders>
          </w:tcPr>
          <w:p w14:paraId="03B90C93" w14:textId="77777777" w:rsidR="00F73D5B" w:rsidRPr="008B7A21" w:rsidRDefault="00F73D5B" w:rsidP="00767A6A">
            <w:pPr>
              <w:pStyle w:val="Tabletext"/>
              <w:tabs>
                <w:tab w:val="clear" w:pos="567"/>
                <w:tab w:val="left" w:pos="454"/>
              </w:tabs>
              <w:ind w:left="454" w:hanging="454"/>
              <w:jc w:val="left"/>
              <w:rPr>
                <w:sz w:val="16"/>
                <w:szCs w:val="16"/>
                <w:lang w:val="es-ES_tradnl"/>
              </w:rPr>
            </w:pPr>
            <w:r w:rsidRPr="008B7A21">
              <w:rPr>
                <w:sz w:val="16"/>
                <w:szCs w:val="16"/>
                <w:lang w:val="es-ES_tradnl"/>
              </w:rPr>
              <w:t>III.2.</w:t>
            </w:r>
            <w:r w:rsidRPr="008B7A21">
              <w:rPr>
                <w:sz w:val="16"/>
                <w:szCs w:val="16"/>
                <w:lang w:val="es-ES_tradnl"/>
              </w:rPr>
              <w:tab/>
              <w:t>Estación costera abierta al público (servicio comercial)</w:t>
            </w:r>
          </w:p>
        </w:tc>
        <w:tc>
          <w:tcPr>
            <w:tcW w:w="1303" w:type="dxa"/>
            <w:tcBorders>
              <w:top w:val="single" w:sz="4" w:space="0" w:color="auto"/>
              <w:left w:val="single" w:sz="4" w:space="0" w:color="auto"/>
              <w:bottom w:val="single" w:sz="4" w:space="0" w:color="auto"/>
              <w:right w:val="single" w:sz="4" w:space="0" w:color="auto"/>
            </w:tcBorders>
          </w:tcPr>
          <w:p w14:paraId="6D242197" w14:textId="77777777" w:rsidR="00F73D5B" w:rsidRPr="008B7A21" w:rsidRDefault="00F73D5B" w:rsidP="00767A6A">
            <w:pPr>
              <w:pStyle w:val="Tabletext"/>
              <w:rPr>
                <w:sz w:val="16"/>
                <w:szCs w:val="16"/>
                <w:lang w:val="es-ES_tradnl"/>
              </w:rPr>
            </w:pPr>
            <w:r w:rsidRPr="008B7A21">
              <w:rPr>
                <w:sz w:val="16"/>
                <w:szCs w:val="16"/>
                <w:lang w:val="es-ES_tradnl"/>
              </w:rPr>
              <w:t>1 450 000</w:t>
            </w:r>
          </w:p>
        </w:tc>
        <w:tc>
          <w:tcPr>
            <w:tcW w:w="1229" w:type="dxa"/>
            <w:tcBorders>
              <w:top w:val="single" w:sz="4" w:space="0" w:color="auto"/>
              <w:left w:val="single" w:sz="4" w:space="0" w:color="auto"/>
              <w:bottom w:val="single" w:sz="4" w:space="0" w:color="auto"/>
              <w:right w:val="single" w:sz="4" w:space="0" w:color="auto"/>
            </w:tcBorders>
          </w:tcPr>
          <w:p w14:paraId="1E2994EB" w14:textId="77777777" w:rsidR="00F73D5B" w:rsidRPr="008B7A21" w:rsidRDefault="00F73D5B" w:rsidP="00767A6A">
            <w:pPr>
              <w:pStyle w:val="Tabletext"/>
              <w:rPr>
                <w:sz w:val="16"/>
                <w:szCs w:val="16"/>
                <w:lang w:val="es-ES_tradnl"/>
              </w:rPr>
            </w:pPr>
            <w:r w:rsidRPr="008B7A21">
              <w:rPr>
                <w:sz w:val="16"/>
                <w:szCs w:val="16"/>
                <w:lang w:val="es-ES_tradnl"/>
              </w:rPr>
              <w:t>580 000</w:t>
            </w:r>
          </w:p>
        </w:tc>
        <w:tc>
          <w:tcPr>
            <w:tcW w:w="1501" w:type="dxa"/>
            <w:tcBorders>
              <w:top w:val="single" w:sz="4" w:space="0" w:color="auto"/>
              <w:left w:val="single" w:sz="4" w:space="0" w:color="auto"/>
              <w:bottom w:val="single" w:sz="4" w:space="0" w:color="auto"/>
              <w:right w:val="single" w:sz="4" w:space="0" w:color="auto"/>
            </w:tcBorders>
          </w:tcPr>
          <w:p w14:paraId="3C42C6F9" w14:textId="77777777" w:rsidR="00F73D5B" w:rsidRPr="008B7A21" w:rsidRDefault="00F73D5B" w:rsidP="00767A6A">
            <w:pPr>
              <w:pStyle w:val="Tabletext"/>
              <w:rPr>
                <w:sz w:val="16"/>
                <w:szCs w:val="16"/>
                <w:lang w:val="es-ES_tradnl"/>
              </w:rPr>
            </w:pPr>
            <w:r w:rsidRPr="008B7A21">
              <w:rPr>
                <w:sz w:val="16"/>
                <w:szCs w:val="16"/>
                <w:lang w:val="es-ES_tradnl"/>
              </w:rPr>
              <w:t>8 700 000</w:t>
            </w:r>
          </w:p>
        </w:tc>
        <w:tc>
          <w:tcPr>
            <w:tcW w:w="1500" w:type="dxa"/>
            <w:tcBorders>
              <w:top w:val="single" w:sz="4" w:space="0" w:color="auto"/>
              <w:left w:val="single" w:sz="4" w:space="0" w:color="auto"/>
              <w:bottom w:val="single" w:sz="4" w:space="0" w:color="auto"/>
              <w:right w:val="single" w:sz="4" w:space="0" w:color="auto"/>
            </w:tcBorders>
          </w:tcPr>
          <w:p w14:paraId="68D822DC" w14:textId="77777777" w:rsidR="00F73D5B" w:rsidRPr="008B7A21" w:rsidRDefault="00F73D5B" w:rsidP="00767A6A">
            <w:pPr>
              <w:pStyle w:val="Tabletext"/>
              <w:rPr>
                <w:sz w:val="16"/>
                <w:szCs w:val="16"/>
                <w:lang w:val="es-ES_tradnl"/>
              </w:rPr>
            </w:pPr>
          </w:p>
        </w:tc>
      </w:tr>
      <w:tr w:rsidR="00F73D5B" w:rsidRPr="008B7A21" w14:paraId="1E65D0B1" w14:textId="77777777" w:rsidTr="00767A6A">
        <w:trPr>
          <w:jc w:val="center"/>
        </w:trPr>
        <w:tc>
          <w:tcPr>
            <w:tcW w:w="4106" w:type="dxa"/>
            <w:tcBorders>
              <w:top w:val="single" w:sz="4" w:space="0" w:color="auto"/>
              <w:left w:val="single" w:sz="4" w:space="0" w:color="auto"/>
              <w:bottom w:val="single" w:sz="4" w:space="0" w:color="auto"/>
              <w:right w:val="single" w:sz="4" w:space="0" w:color="auto"/>
            </w:tcBorders>
          </w:tcPr>
          <w:p w14:paraId="0AEC0F22" w14:textId="77777777" w:rsidR="00F73D5B" w:rsidRPr="008B7A21" w:rsidRDefault="00F73D5B" w:rsidP="00767A6A">
            <w:pPr>
              <w:pStyle w:val="Tabletext"/>
              <w:keepNext/>
              <w:keepLines/>
              <w:ind w:left="284" w:hanging="284"/>
              <w:jc w:val="left"/>
              <w:rPr>
                <w:sz w:val="16"/>
                <w:szCs w:val="16"/>
                <w:lang w:val="es-ES_tradnl"/>
              </w:rPr>
            </w:pPr>
            <w:r w:rsidRPr="008B7A21">
              <w:rPr>
                <w:sz w:val="16"/>
                <w:szCs w:val="16"/>
                <w:lang w:val="es-ES_tradnl"/>
              </w:rPr>
              <w:lastRenderedPageBreak/>
              <w:t>a1.</w:t>
            </w:r>
            <w:r w:rsidRPr="008B7A21">
              <w:rPr>
                <w:sz w:val="16"/>
                <w:szCs w:val="16"/>
                <w:lang w:val="es-ES_tradnl"/>
              </w:rPr>
              <w:tab/>
              <w:t>Enlaces radioeléctricos en ondas métricas (25KHz)</w:t>
            </w:r>
          </w:p>
          <w:p w14:paraId="1D0D41AD" w14:textId="77777777" w:rsidR="00F73D5B" w:rsidRPr="008B7A21" w:rsidRDefault="00F73D5B" w:rsidP="00767A6A">
            <w:pPr>
              <w:pStyle w:val="Tabletext"/>
              <w:keepNext/>
              <w:keepLines/>
              <w:ind w:left="284" w:hanging="284"/>
              <w:jc w:val="left"/>
              <w:rPr>
                <w:sz w:val="16"/>
                <w:szCs w:val="16"/>
                <w:lang w:val="es-ES_tradnl"/>
              </w:rPr>
            </w:pPr>
            <w:r w:rsidRPr="008B7A21">
              <w:rPr>
                <w:sz w:val="16"/>
                <w:szCs w:val="16"/>
                <w:lang w:val="es-ES_tradnl"/>
              </w:rPr>
              <w:t>a2.</w:t>
            </w:r>
            <w:r w:rsidRPr="008B7A21">
              <w:rPr>
                <w:sz w:val="16"/>
                <w:szCs w:val="16"/>
                <w:lang w:val="es-ES_tradnl"/>
              </w:rPr>
              <w:tab/>
              <w:t>Enlaces radioeléctricos en ondas decamétricas y kilométricas (inferiores a 1 KHz)</w:t>
            </w:r>
          </w:p>
          <w:p w14:paraId="209D57C6" w14:textId="77777777" w:rsidR="00F73D5B" w:rsidRPr="008B7A21" w:rsidRDefault="00F73D5B" w:rsidP="00767A6A">
            <w:pPr>
              <w:pStyle w:val="Tabletext"/>
              <w:keepNext/>
              <w:keepLines/>
              <w:ind w:left="284" w:hanging="284"/>
              <w:jc w:val="left"/>
              <w:rPr>
                <w:sz w:val="16"/>
                <w:szCs w:val="16"/>
                <w:lang w:val="es-ES_tradnl"/>
              </w:rPr>
            </w:pPr>
            <w:r w:rsidRPr="008B7A21">
              <w:rPr>
                <w:sz w:val="16"/>
                <w:szCs w:val="16"/>
                <w:lang w:val="es-ES_tradnl"/>
              </w:rPr>
              <w:t>a3.</w:t>
            </w:r>
            <w:r w:rsidRPr="008B7A21">
              <w:rPr>
                <w:sz w:val="16"/>
                <w:szCs w:val="16"/>
                <w:lang w:val="es-ES_tradnl"/>
              </w:rPr>
              <w:tab/>
              <w:t>Enlaces radioeléctricos en ondas decamétricas y kilométricas (3KHz)</w:t>
            </w:r>
          </w:p>
        </w:tc>
        <w:tc>
          <w:tcPr>
            <w:tcW w:w="1303" w:type="dxa"/>
            <w:tcBorders>
              <w:top w:val="single" w:sz="4" w:space="0" w:color="auto"/>
              <w:left w:val="single" w:sz="4" w:space="0" w:color="auto"/>
              <w:bottom w:val="single" w:sz="4" w:space="0" w:color="auto"/>
              <w:right w:val="single" w:sz="4" w:space="0" w:color="auto"/>
            </w:tcBorders>
          </w:tcPr>
          <w:p w14:paraId="4F3D1D2C" w14:textId="77777777" w:rsidR="00F73D5B" w:rsidRPr="008B7A21" w:rsidRDefault="00F73D5B" w:rsidP="00767A6A">
            <w:pPr>
              <w:pStyle w:val="Tabletext"/>
              <w:keepNext/>
              <w:keepLines/>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14:paraId="7694FD71" w14:textId="77777777" w:rsidR="00F73D5B" w:rsidRPr="008B7A21" w:rsidRDefault="00F73D5B" w:rsidP="00767A6A">
            <w:pPr>
              <w:pStyle w:val="Tabletext"/>
              <w:keepNext/>
              <w:keepLines/>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14:paraId="4CCBDDCC" w14:textId="77777777" w:rsidR="00F73D5B" w:rsidRPr="008B7A21" w:rsidRDefault="00F73D5B" w:rsidP="00767A6A">
            <w:pPr>
              <w:pStyle w:val="Tabletext"/>
              <w:keepNext/>
              <w:keepLines/>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14:paraId="4408BDCA" w14:textId="77777777" w:rsidR="00F73D5B" w:rsidRPr="008B7A21" w:rsidRDefault="00F73D5B" w:rsidP="00767A6A">
            <w:pPr>
              <w:pStyle w:val="Tabletext"/>
              <w:keepNext/>
              <w:keepLines/>
              <w:rPr>
                <w:sz w:val="16"/>
                <w:szCs w:val="16"/>
                <w:lang w:val="es-ES_tradnl"/>
              </w:rPr>
            </w:pPr>
          </w:p>
        </w:tc>
      </w:tr>
      <w:tr w:rsidR="00F73D5B" w:rsidRPr="008B7A21" w14:paraId="1C37B745" w14:textId="77777777" w:rsidTr="00767A6A">
        <w:trPr>
          <w:jc w:val="center"/>
        </w:trPr>
        <w:tc>
          <w:tcPr>
            <w:tcW w:w="4106" w:type="dxa"/>
            <w:tcBorders>
              <w:top w:val="single" w:sz="4" w:space="0" w:color="auto"/>
              <w:left w:val="single" w:sz="4" w:space="0" w:color="auto"/>
              <w:bottom w:val="single" w:sz="4" w:space="0" w:color="auto"/>
              <w:right w:val="single" w:sz="4" w:space="0" w:color="auto"/>
            </w:tcBorders>
          </w:tcPr>
          <w:p w14:paraId="4303D5C4" w14:textId="77777777" w:rsidR="00F73D5B" w:rsidRPr="008B7A21" w:rsidRDefault="00F73D5B" w:rsidP="00767A6A">
            <w:pPr>
              <w:pStyle w:val="Tabletext"/>
              <w:jc w:val="left"/>
              <w:rPr>
                <w:sz w:val="16"/>
                <w:szCs w:val="16"/>
                <w:lang w:val="es-ES_tradnl"/>
              </w:rPr>
            </w:pPr>
            <w:r w:rsidRPr="008B7A21">
              <w:rPr>
                <w:sz w:val="16"/>
                <w:szCs w:val="16"/>
                <w:lang w:val="es-ES_tradnl"/>
              </w:rPr>
              <w:t>III.3.</w:t>
            </w:r>
            <w:r w:rsidRPr="008B7A21">
              <w:rPr>
                <w:sz w:val="16"/>
                <w:szCs w:val="16"/>
                <w:lang w:val="es-ES_tradnl"/>
              </w:rPr>
              <w:tab/>
              <w:t>Estaciones comerciales de barco</w:t>
            </w:r>
          </w:p>
        </w:tc>
        <w:tc>
          <w:tcPr>
            <w:tcW w:w="1303" w:type="dxa"/>
            <w:tcBorders>
              <w:top w:val="single" w:sz="4" w:space="0" w:color="auto"/>
              <w:left w:val="single" w:sz="4" w:space="0" w:color="auto"/>
              <w:bottom w:val="single" w:sz="4" w:space="0" w:color="auto"/>
              <w:right w:val="single" w:sz="4" w:space="0" w:color="auto"/>
            </w:tcBorders>
          </w:tcPr>
          <w:p w14:paraId="052C9447" w14:textId="77777777" w:rsidR="00F73D5B" w:rsidRPr="008B7A21" w:rsidRDefault="00F73D5B" w:rsidP="00767A6A">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14:paraId="1A4113A1" w14:textId="77777777" w:rsidR="00F73D5B" w:rsidRPr="008B7A21" w:rsidRDefault="00F73D5B" w:rsidP="00767A6A">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14:paraId="4D9AC4EE" w14:textId="77777777" w:rsidR="00F73D5B" w:rsidRPr="008B7A21" w:rsidRDefault="00F73D5B" w:rsidP="00767A6A">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14:paraId="4581B634" w14:textId="77777777" w:rsidR="00F73D5B" w:rsidRPr="008B7A21" w:rsidRDefault="00F73D5B" w:rsidP="00767A6A">
            <w:pPr>
              <w:pStyle w:val="Tabletext"/>
              <w:rPr>
                <w:sz w:val="16"/>
                <w:szCs w:val="16"/>
                <w:lang w:val="es-ES_tradnl"/>
              </w:rPr>
            </w:pPr>
          </w:p>
        </w:tc>
      </w:tr>
      <w:tr w:rsidR="00F73D5B" w:rsidRPr="008B7A21" w14:paraId="5B3D24E0" w14:textId="77777777" w:rsidTr="00767A6A">
        <w:trPr>
          <w:jc w:val="center"/>
        </w:trPr>
        <w:tc>
          <w:tcPr>
            <w:tcW w:w="4106" w:type="dxa"/>
            <w:tcBorders>
              <w:top w:val="single" w:sz="4" w:space="0" w:color="auto"/>
              <w:left w:val="single" w:sz="4" w:space="0" w:color="auto"/>
              <w:bottom w:val="single" w:sz="4" w:space="0" w:color="auto"/>
              <w:right w:val="single" w:sz="4" w:space="0" w:color="auto"/>
            </w:tcBorders>
          </w:tcPr>
          <w:p w14:paraId="207E8565" w14:textId="77777777" w:rsidR="00F73D5B" w:rsidRPr="008B7A21" w:rsidRDefault="00F73D5B" w:rsidP="00767A6A">
            <w:pPr>
              <w:pStyle w:val="Tabletext"/>
              <w:jc w:val="left"/>
              <w:rPr>
                <w:sz w:val="16"/>
                <w:szCs w:val="16"/>
                <w:lang w:val="es-ES_tradnl"/>
              </w:rPr>
            </w:pPr>
            <w:r w:rsidRPr="008B7A21">
              <w:rPr>
                <w:sz w:val="16"/>
                <w:szCs w:val="16"/>
                <w:lang w:val="es-ES_tradnl"/>
              </w:rPr>
              <w:t>a1. Operaciones portuarias</w:t>
            </w:r>
          </w:p>
        </w:tc>
        <w:tc>
          <w:tcPr>
            <w:tcW w:w="1303" w:type="dxa"/>
            <w:tcBorders>
              <w:top w:val="single" w:sz="4" w:space="0" w:color="auto"/>
              <w:left w:val="single" w:sz="4" w:space="0" w:color="auto"/>
              <w:bottom w:val="single" w:sz="4" w:space="0" w:color="auto"/>
              <w:right w:val="single" w:sz="4" w:space="0" w:color="auto"/>
            </w:tcBorders>
          </w:tcPr>
          <w:p w14:paraId="30D0376E" w14:textId="77777777" w:rsidR="00F73D5B" w:rsidRPr="008B7A21" w:rsidRDefault="00F73D5B" w:rsidP="00767A6A">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14:paraId="3EEB323B" w14:textId="77777777" w:rsidR="00F73D5B" w:rsidRPr="008B7A21" w:rsidRDefault="00F73D5B" w:rsidP="00767A6A">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14:paraId="5FF2CEE8" w14:textId="77777777" w:rsidR="00F73D5B" w:rsidRPr="008B7A21" w:rsidRDefault="00F73D5B" w:rsidP="00767A6A">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14:paraId="00F89372" w14:textId="77777777" w:rsidR="00F73D5B" w:rsidRPr="008B7A21" w:rsidRDefault="00F73D5B" w:rsidP="00767A6A">
            <w:pPr>
              <w:pStyle w:val="Tabletext"/>
              <w:rPr>
                <w:sz w:val="16"/>
                <w:szCs w:val="16"/>
                <w:lang w:val="es-ES_tradnl"/>
              </w:rPr>
            </w:pPr>
            <w:r w:rsidRPr="008B7A21">
              <w:rPr>
                <w:sz w:val="16"/>
                <w:szCs w:val="16"/>
                <w:lang w:val="es-ES_tradnl"/>
              </w:rPr>
              <w:t>174 000</w:t>
            </w:r>
          </w:p>
        </w:tc>
      </w:tr>
      <w:tr w:rsidR="00F73D5B" w:rsidRPr="008B7A21" w14:paraId="29D2CE90" w14:textId="77777777" w:rsidTr="00767A6A">
        <w:trPr>
          <w:jc w:val="center"/>
        </w:trPr>
        <w:tc>
          <w:tcPr>
            <w:tcW w:w="4106" w:type="dxa"/>
            <w:tcBorders>
              <w:top w:val="single" w:sz="4" w:space="0" w:color="auto"/>
              <w:left w:val="single" w:sz="4" w:space="0" w:color="auto"/>
              <w:bottom w:val="single" w:sz="4" w:space="0" w:color="auto"/>
              <w:right w:val="single" w:sz="4" w:space="0" w:color="auto"/>
            </w:tcBorders>
          </w:tcPr>
          <w:p w14:paraId="53BC8283" w14:textId="77777777" w:rsidR="00F73D5B" w:rsidRPr="008B7A21" w:rsidRDefault="00F73D5B" w:rsidP="00767A6A">
            <w:pPr>
              <w:pStyle w:val="Tabletext"/>
              <w:jc w:val="left"/>
              <w:rPr>
                <w:sz w:val="16"/>
                <w:szCs w:val="16"/>
                <w:lang w:val="es-ES_tradnl"/>
              </w:rPr>
            </w:pPr>
            <w:r w:rsidRPr="008B7A21">
              <w:rPr>
                <w:sz w:val="16"/>
                <w:szCs w:val="16"/>
                <w:lang w:val="es-ES_tradnl"/>
              </w:rPr>
              <w:t>III.4.</w:t>
            </w:r>
            <w:r w:rsidRPr="008B7A21">
              <w:rPr>
                <w:sz w:val="16"/>
                <w:szCs w:val="16"/>
                <w:lang w:val="es-ES_tradnl"/>
              </w:rPr>
              <w:tab/>
              <w:t>Estaciones de pesquero</w:t>
            </w:r>
          </w:p>
        </w:tc>
        <w:tc>
          <w:tcPr>
            <w:tcW w:w="1303" w:type="dxa"/>
            <w:tcBorders>
              <w:top w:val="single" w:sz="4" w:space="0" w:color="auto"/>
              <w:left w:val="single" w:sz="4" w:space="0" w:color="auto"/>
              <w:bottom w:val="single" w:sz="4" w:space="0" w:color="auto"/>
              <w:right w:val="single" w:sz="4" w:space="0" w:color="auto"/>
            </w:tcBorders>
          </w:tcPr>
          <w:p w14:paraId="01E7B86E" w14:textId="77777777" w:rsidR="00F73D5B" w:rsidRPr="008B7A21" w:rsidRDefault="00F73D5B" w:rsidP="00767A6A">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14:paraId="319B0976" w14:textId="77777777" w:rsidR="00F73D5B" w:rsidRPr="008B7A21" w:rsidRDefault="00F73D5B" w:rsidP="00767A6A">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14:paraId="23C6C1DF" w14:textId="77777777" w:rsidR="00F73D5B" w:rsidRPr="008B7A21" w:rsidRDefault="00F73D5B" w:rsidP="00767A6A">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14:paraId="1B0855DD" w14:textId="77777777" w:rsidR="00F73D5B" w:rsidRPr="008B7A21" w:rsidRDefault="00F73D5B" w:rsidP="00767A6A">
            <w:pPr>
              <w:pStyle w:val="Tabletext"/>
              <w:rPr>
                <w:sz w:val="16"/>
                <w:szCs w:val="16"/>
                <w:lang w:val="es-ES_tradnl"/>
              </w:rPr>
            </w:pPr>
          </w:p>
        </w:tc>
      </w:tr>
      <w:tr w:rsidR="00F73D5B" w:rsidRPr="008B7A21" w14:paraId="5BEFB318" w14:textId="77777777" w:rsidTr="00767A6A">
        <w:trPr>
          <w:jc w:val="center"/>
        </w:trPr>
        <w:tc>
          <w:tcPr>
            <w:tcW w:w="4106" w:type="dxa"/>
            <w:tcBorders>
              <w:top w:val="single" w:sz="4" w:space="0" w:color="auto"/>
              <w:left w:val="single" w:sz="4" w:space="0" w:color="auto"/>
              <w:bottom w:val="single" w:sz="4" w:space="0" w:color="auto"/>
              <w:right w:val="single" w:sz="4" w:space="0" w:color="auto"/>
            </w:tcBorders>
          </w:tcPr>
          <w:p w14:paraId="174B2489" w14:textId="77777777" w:rsidR="00F73D5B" w:rsidRPr="008B7A21" w:rsidRDefault="00F73D5B" w:rsidP="00767A6A">
            <w:pPr>
              <w:pStyle w:val="Tabletext"/>
              <w:jc w:val="left"/>
              <w:rPr>
                <w:sz w:val="16"/>
                <w:szCs w:val="16"/>
                <w:lang w:val="es-ES_tradnl"/>
              </w:rPr>
            </w:pPr>
            <w:r w:rsidRPr="008B7A21">
              <w:rPr>
                <w:sz w:val="16"/>
                <w:szCs w:val="16"/>
                <w:lang w:val="es-ES_tradnl"/>
              </w:rPr>
              <w:t>a1. De menos de 150 toneladas</w:t>
            </w:r>
          </w:p>
          <w:p w14:paraId="38C5546B" w14:textId="77777777" w:rsidR="00F73D5B" w:rsidRPr="008B7A21" w:rsidRDefault="00F73D5B" w:rsidP="00767A6A">
            <w:pPr>
              <w:pStyle w:val="Tabletext"/>
              <w:jc w:val="left"/>
              <w:rPr>
                <w:sz w:val="16"/>
                <w:szCs w:val="16"/>
                <w:lang w:val="es-ES_tradnl"/>
              </w:rPr>
            </w:pPr>
            <w:r w:rsidRPr="008B7A21">
              <w:rPr>
                <w:sz w:val="16"/>
                <w:szCs w:val="16"/>
                <w:lang w:val="es-ES_tradnl"/>
              </w:rPr>
              <w:t>a2. De más de 150 toneladas</w:t>
            </w:r>
          </w:p>
        </w:tc>
        <w:tc>
          <w:tcPr>
            <w:tcW w:w="1303" w:type="dxa"/>
            <w:tcBorders>
              <w:top w:val="single" w:sz="4" w:space="0" w:color="auto"/>
              <w:left w:val="single" w:sz="4" w:space="0" w:color="auto"/>
              <w:bottom w:val="single" w:sz="4" w:space="0" w:color="auto"/>
              <w:right w:val="single" w:sz="4" w:space="0" w:color="auto"/>
            </w:tcBorders>
          </w:tcPr>
          <w:p w14:paraId="05444CA4" w14:textId="77777777" w:rsidR="00F73D5B" w:rsidRPr="008B7A21" w:rsidRDefault="00F73D5B" w:rsidP="00767A6A">
            <w:pPr>
              <w:pStyle w:val="Tabletext"/>
              <w:rPr>
                <w:sz w:val="16"/>
                <w:szCs w:val="16"/>
                <w:lang w:val="es-ES_tradnl"/>
              </w:rPr>
            </w:pPr>
            <w:r w:rsidRPr="008B7A21">
              <w:rPr>
                <w:sz w:val="16"/>
                <w:szCs w:val="16"/>
                <w:lang w:val="es-ES_tradnl"/>
              </w:rPr>
              <w:t>11 600</w:t>
            </w:r>
          </w:p>
          <w:p w14:paraId="283CD2CC" w14:textId="77777777" w:rsidR="00F73D5B" w:rsidRPr="008B7A21" w:rsidRDefault="00F73D5B" w:rsidP="00767A6A">
            <w:pPr>
              <w:pStyle w:val="Tabletext"/>
              <w:rPr>
                <w:sz w:val="16"/>
                <w:szCs w:val="16"/>
                <w:lang w:val="es-ES_tradnl"/>
              </w:rPr>
            </w:pPr>
            <w:r w:rsidRPr="008B7A21">
              <w:rPr>
                <w:sz w:val="16"/>
                <w:szCs w:val="16"/>
                <w:lang w:val="es-ES_tradnl"/>
              </w:rPr>
              <w:t>11 600</w:t>
            </w:r>
          </w:p>
        </w:tc>
        <w:tc>
          <w:tcPr>
            <w:tcW w:w="1229" w:type="dxa"/>
            <w:tcBorders>
              <w:top w:val="single" w:sz="4" w:space="0" w:color="auto"/>
              <w:left w:val="single" w:sz="4" w:space="0" w:color="auto"/>
              <w:bottom w:val="single" w:sz="4" w:space="0" w:color="auto"/>
              <w:right w:val="single" w:sz="4" w:space="0" w:color="auto"/>
            </w:tcBorders>
          </w:tcPr>
          <w:p w14:paraId="406F9DD2" w14:textId="77777777" w:rsidR="00F73D5B" w:rsidRPr="008B7A21" w:rsidRDefault="00F73D5B" w:rsidP="00767A6A">
            <w:pPr>
              <w:pStyle w:val="Tabletext"/>
              <w:rPr>
                <w:sz w:val="16"/>
                <w:szCs w:val="16"/>
                <w:lang w:val="es-ES_tradnl"/>
              </w:rPr>
            </w:pPr>
            <w:r w:rsidRPr="008B7A21">
              <w:rPr>
                <w:sz w:val="16"/>
                <w:szCs w:val="16"/>
                <w:lang w:val="es-ES_tradnl"/>
              </w:rPr>
              <w:t>34 800</w:t>
            </w:r>
          </w:p>
          <w:p w14:paraId="15066698" w14:textId="77777777" w:rsidR="00F73D5B" w:rsidRPr="008B7A21" w:rsidRDefault="00F73D5B" w:rsidP="00767A6A">
            <w:pPr>
              <w:pStyle w:val="Tabletext"/>
              <w:rPr>
                <w:sz w:val="16"/>
                <w:szCs w:val="16"/>
                <w:lang w:val="es-ES_tradnl"/>
              </w:rPr>
            </w:pPr>
            <w:r w:rsidRPr="008B7A21">
              <w:rPr>
                <w:sz w:val="16"/>
                <w:szCs w:val="16"/>
                <w:lang w:val="es-ES_tradnl"/>
              </w:rPr>
              <w:t>34 800</w:t>
            </w:r>
          </w:p>
        </w:tc>
        <w:tc>
          <w:tcPr>
            <w:tcW w:w="1501" w:type="dxa"/>
            <w:tcBorders>
              <w:top w:val="single" w:sz="4" w:space="0" w:color="auto"/>
              <w:left w:val="single" w:sz="4" w:space="0" w:color="auto"/>
              <w:bottom w:val="single" w:sz="4" w:space="0" w:color="auto"/>
              <w:right w:val="single" w:sz="4" w:space="0" w:color="auto"/>
            </w:tcBorders>
          </w:tcPr>
          <w:p w14:paraId="319A9EE0" w14:textId="77777777" w:rsidR="00F73D5B" w:rsidRPr="008B7A21" w:rsidRDefault="00F73D5B" w:rsidP="00767A6A">
            <w:pPr>
              <w:pStyle w:val="Tabletext"/>
              <w:rPr>
                <w:sz w:val="16"/>
                <w:szCs w:val="16"/>
                <w:lang w:val="es-ES_tradnl"/>
              </w:rPr>
            </w:pPr>
            <w:r w:rsidRPr="008B7A21">
              <w:rPr>
                <w:sz w:val="16"/>
                <w:szCs w:val="16"/>
                <w:lang w:val="es-ES_tradnl"/>
              </w:rPr>
              <w:t>116 000</w:t>
            </w:r>
          </w:p>
          <w:p w14:paraId="13CDC00F" w14:textId="77777777" w:rsidR="00F73D5B" w:rsidRPr="008B7A21" w:rsidRDefault="00F73D5B" w:rsidP="00767A6A">
            <w:pPr>
              <w:pStyle w:val="Tabletext"/>
              <w:rPr>
                <w:sz w:val="16"/>
                <w:szCs w:val="16"/>
                <w:lang w:val="es-ES_tradnl"/>
              </w:rPr>
            </w:pPr>
            <w:r w:rsidRPr="008B7A21">
              <w:rPr>
                <w:sz w:val="16"/>
                <w:szCs w:val="16"/>
                <w:lang w:val="es-ES_tradnl"/>
              </w:rPr>
              <w:t>174 000</w:t>
            </w:r>
          </w:p>
        </w:tc>
        <w:tc>
          <w:tcPr>
            <w:tcW w:w="1500" w:type="dxa"/>
            <w:tcBorders>
              <w:top w:val="single" w:sz="4" w:space="0" w:color="auto"/>
              <w:left w:val="single" w:sz="4" w:space="0" w:color="auto"/>
              <w:bottom w:val="single" w:sz="4" w:space="0" w:color="auto"/>
              <w:right w:val="single" w:sz="4" w:space="0" w:color="auto"/>
            </w:tcBorders>
          </w:tcPr>
          <w:p w14:paraId="574DBA44" w14:textId="77777777" w:rsidR="00F73D5B" w:rsidRPr="008B7A21" w:rsidRDefault="00F73D5B" w:rsidP="00767A6A">
            <w:pPr>
              <w:pStyle w:val="Tabletext"/>
              <w:rPr>
                <w:sz w:val="16"/>
                <w:szCs w:val="16"/>
                <w:lang w:val="es-ES_tradnl"/>
              </w:rPr>
            </w:pPr>
            <w:r w:rsidRPr="008B7A21">
              <w:rPr>
                <w:sz w:val="16"/>
                <w:szCs w:val="16"/>
                <w:lang w:val="es-ES_tradnl"/>
              </w:rPr>
              <w:t>174 000</w:t>
            </w:r>
          </w:p>
        </w:tc>
      </w:tr>
      <w:tr w:rsidR="00F73D5B" w:rsidRPr="008B7A21" w14:paraId="25073050" w14:textId="77777777" w:rsidTr="00767A6A">
        <w:trPr>
          <w:jc w:val="center"/>
        </w:trPr>
        <w:tc>
          <w:tcPr>
            <w:tcW w:w="4106" w:type="dxa"/>
            <w:tcBorders>
              <w:top w:val="single" w:sz="4" w:space="0" w:color="auto"/>
              <w:left w:val="single" w:sz="4" w:space="0" w:color="auto"/>
              <w:bottom w:val="single" w:sz="4" w:space="0" w:color="auto"/>
              <w:right w:val="single" w:sz="4" w:space="0" w:color="auto"/>
            </w:tcBorders>
          </w:tcPr>
          <w:p w14:paraId="15B68B3E" w14:textId="77777777" w:rsidR="00F73D5B" w:rsidRPr="008B7A21" w:rsidRDefault="00F73D5B" w:rsidP="00767A6A">
            <w:pPr>
              <w:pStyle w:val="Tabletext"/>
              <w:jc w:val="left"/>
              <w:rPr>
                <w:sz w:val="16"/>
                <w:szCs w:val="16"/>
                <w:lang w:val="es-ES_tradnl"/>
              </w:rPr>
            </w:pPr>
            <w:r w:rsidRPr="008B7A21">
              <w:rPr>
                <w:sz w:val="16"/>
                <w:szCs w:val="16"/>
                <w:lang w:val="es-ES_tradnl"/>
              </w:rPr>
              <w:t>b1. Operaciones portuarias</w:t>
            </w:r>
          </w:p>
        </w:tc>
        <w:tc>
          <w:tcPr>
            <w:tcW w:w="1303" w:type="dxa"/>
            <w:tcBorders>
              <w:top w:val="single" w:sz="4" w:space="0" w:color="auto"/>
              <w:left w:val="single" w:sz="4" w:space="0" w:color="auto"/>
              <w:bottom w:val="single" w:sz="4" w:space="0" w:color="auto"/>
              <w:right w:val="single" w:sz="4" w:space="0" w:color="auto"/>
            </w:tcBorders>
          </w:tcPr>
          <w:p w14:paraId="1708961A" w14:textId="77777777" w:rsidR="00F73D5B" w:rsidRPr="008B7A21" w:rsidRDefault="00F73D5B" w:rsidP="00767A6A">
            <w:pPr>
              <w:pStyle w:val="Tabletext"/>
              <w:rPr>
                <w:sz w:val="16"/>
                <w:szCs w:val="16"/>
                <w:lang w:val="es-ES_tradnl"/>
              </w:rPr>
            </w:pPr>
          </w:p>
        </w:tc>
        <w:tc>
          <w:tcPr>
            <w:tcW w:w="1229" w:type="dxa"/>
            <w:tcBorders>
              <w:top w:val="single" w:sz="4" w:space="0" w:color="auto"/>
              <w:left w:val="single" w:sz="4" w:space="0" w:color="auto"/>
              <w:bottom w:val="single" w:sz="4" w:space="0" w:color="auto"/>
              <w:right w:val="single" w:sz="4" w:space="0" w:color="auto"/>
            </w:tcBorders>
          </w:tcPr>
          <w:p w14:paraId="3F732F59" w14:textId="77777777" w:rsidR="00F73D5B" w:rsidRPr="008B7A21" w:rsidRDefault="00F73D5B" w:rsidP="00767A6A">
            <w:pPr>
              <w:pStyle w:val="Tabletext"/>
              <w:rPr>
                <w:sz w:val="16"/>
                <w:szCs w:val="16"/>
                <w:lang w:val="es-ES_tradnl"/>
              </w:rPr>
            </w:pPr>
          </w:p>
        </w:tc>
        <w:tc>
          <w:tcPr>
            <w:tcW w:w="1501" w:type="dxa"/>
            <w:tcBorders>
              <w:top w:val="single" w:sz="4" w:space="0" w:color="auto"/>
              <w:left w:val="single" w:sz="4" w:space="0" w:color="auto"/>
              <w:bottom w:val="single" w:sz="4" w:space="0" w:color="auto"/>
              <w:right w:val="single" w:sz="4" w:space="0" w:color="auto"/>
            </w:tcBorders>
          </w:tcPr>
          <w:p w14:paraId="40EC433F" w14:textId="77777777" w:rsidR="00F73D5B" w:rsidRPr="008B7A21" w:rsidRDefault="00F73D5B" w:rsidP="00767A6A">
            <w:pPr>
              <w:pStyle w:val="Tabletext"/>
              <w:rPr>
                <w:sz w:val="16"/>
                <w:szCs w:val="16"/>
                <w:lang w:val="es-ES_tradnl"/>
              </w:rPr>
            </w:pPr>
          </w:p>
        </w:tc>
        <w:tc>
          <w:tcPr>
            <w:tcW w:w="1500" w:type="dxa"/>
            <w:tcBorders>
              <w:top w:val="single" w:sz="4" w:space="0" w:color="auto"/>
              <w:left w:val="single" w:sz="4" w:space="0" w:color="auto"/>
              <w:bottom w:val="single" w:sz="4" w:space="0" w:color="auto"/>
              <w:right w:val="single" w:sz="4" w:space="0" w:color="auto"/>
            </w:tcBorders>
          </w:tcPr>
          <w:p w14:paraId="42DCA087" w14:textId="77777777" w:rsidR="00F73D5B" w:rsidRPr="008B7A21" w:rsidRDefault="00F73D5B" w:rsidP="00767A6A">
            <w:pPr>
              <w:pStyle w:val="Tabletext"/>
              <w:rPr>
                <w:sz w:val="16"/>
                <w:szCs w:val="16"/>
                <w:lang w:val="es-ES_tradnl"/>
              </w:rPr>
            </w:pPr>
            <w:r w:rsidRPr="008B7A21">
              <w:rPr>
                <w:sz w:val="16"/>
                <w:szCs w:val="16"/>
                <w:lang w:val="es-ES_tradnl"/>
              </w:rPr>
              <w:t>174 000</w:t>
            </w:r>
          </w:p>
        </w:tc>
      </w:tr>
      <w:tr w:rsidR="00F73D5B" w:rsidRPr="008B7A21" w14:paraId="61F708E4" w14:textId="77777777" w:rsidTr="00767A6A">
        <w:trPr>
          <w:jc w:val="center"/>
        </w:trPr>
        <w:tc>
          <w:tcPr>
            <w:tcW w:w="4106" w:type="dxa"/>
            <w:tcBorders>
              <w:top w:val="single" w:sz="4" w:space="0" w:color="auto"/>
              <w:left w:val="single" w:sz="4" w:space="0" w:color="auto"/>
              <w:bottom w:val="single" w:sz="4" w:space="0" w:color="auto"/>
              <w:right w:val="single" w:sz="4" w:space="0" w:color="auto"/>
            </w:tcBorders>
          </w:tcPr>
          <w:p w14:paraId="1FD53BAA" w14:textId="77777777" w:rsidR="00F73D5B" w:rsidRPr="008B7A21" w:rsidRDefault="00F73D5B" w:rsidP="00767A6A">
            <w:pPr>
              <w:pStyle w:val="Tabletext"/>
              <w:jc w:val="left"/>
              <w:rPr>
                <w:sz w:val="16"/>
                <w:szCs w:val="16"/>
                <w:lang w:val="es-ES_tradnl"/>
              </w:rPr>
            </w:pPr>
            <w:r w:rsidRPr="008B7A21">
              <w:rPr>
                <w:sz w:val="16"/>
                <w:szCs w:val="16"/>
                <w:lang w:val="es-ES_tradnl"/>
              </w:rPr>
              <w:t>III.5.</w:t>
            </w:r>
            <w:r w:rsidRPr="008B7A21">
              <w:rPr>
                <w:sz w:val="16"/>
                <w:szCs w:val="16"/>
                <w:lang w:val="es-ES_tradnl"/>
              </w:rPr>
              <w:tab/>
              <w:t>Barcos de turismo / recreo</w:t>
            </w:r>
          </w:p>
        </w:tc>
        <w:tc>
          <w:tcPr>
            <w:tcW w:w="1303" w:type="dxa"/>
            <w:tcBorders>
              <w:top w:val="single" w:sz="4" w:space="0" w:color="auto"/>
              <w:left w:val="single" w:sz="4" w:space="0" w:color="auto"/>
              <w:bottom w:val="single" w:sz="4" w:space="0" w:color="auto"/>
              <w:right w:val="single" w:sz="4" w:space="0" w:color="auto"/>
            </w:tcBorders>
          </w:tcPr>
          <w:p w14:paraId="525EB0FD" w14:textId="77777777" w:rsidR="00F73D5B" w:rsidRPr="008B7A21" w:rsidRDefault="00F73D5B" w:rsidP="00767A6A">
            <w:pPr>
              <w:pStyle w:val="Tabletext"/>
              <w:rPr>
                <w:sz w:val="16"/>
                <w:szCs w:val="16"/>
                <w:lang w:val="es-ES_tradnl"/>
              </w:rPr>
            </w:pPr>
            <w:r w:rsidRPr="008B7A21">
              <w:rPr>
                <w:sz w:val="16"/>
                <w:szCs w:val="16"/>
                <w:lang w:val="es-ES_tradnl"/>
              </w:rPr>
              <w:t>11 600</w:t>
            </w:r>
          </w:p>
        </w:tc>
        <w:tc>
          <w:tcPr>
            <w:tcW w:w="1229" w:type="dxa"/>
            <w:tcBorders>
              <w:top w:val="single" w:sz="4" w:space="0" w:color="auto"/>
              <w:left w:val="single" w:sz="4" w:space="0" w:color="auto"/>
              <w:bottom w:val="single" w:sz="4" w:space="0" w:color="auto"/>
              <w:right w:val="single" w:sz="4" w:space="0" w:color="auto"/>
            </w:tcBorders>
          </w:tcPr>
          <w:p w14:paraId="15B8B7A6" w14:textId="77777777" w:rsidR="00F73D5B" w:rsidRPr="008B7A21" w:rsidRDefault="00F73D5B" w:rsidP="00767A6A">
            <w:pPr>
              <w:pStyle w:val="Tabletext"/>
              <w:rPr>
                <w:sz w:val="16"/>
                <w:szCs w:val="16"/>
                <w:lang w:val="es-ES_tradnl"/>
              </w:rPr>
            </w:pPr>
            <w:r w:rsidRPr="008B7A21">
              <w:rPr>
                <w:sz w:val="16"/>
                <w:szCs w:val="16"/>
                <w:lang w:val="es-ES_tradnl"/>
              </w:rPr>
              <w:t>34 800</w:t>
            </w:r>
          </w:p>
        </w:tc>
        <w:tc>
          <w:tcPr>
            <w:tcW w:w="1501" w:type="dxa"/>
            <w:tcBorders>
              <w:top w:val="single" w:sz="4" w:space="0" w:color="auto"/>
              <w:left w:val="single" w:sz="4" w:space="0" w:color="auto"/>
              <w:bottom w:val="single" w:sz="4" w:space="0" w:color="auto"/>
              <w:right w:val="single" w:sz="4" w:space="0" w:color="auto"/>
            </w:tcBorders>
          </w:tcPr>
          <w:p w14:paraId="6A6A17B2" w14:textId="77777777" w:rsidR="00F73D5B" w:rsidRPr="008B7A21" w:rsidRDefault="00F73D5B" w:rsidP="00767A6A">
            <w:pPr>
              <w:pStyle w:val="Tabletext"/>
              <w:rPr>
                <w:sz w:val="16"/>
                <w:szCs w:val="16"/>
                <w:lang w:val="es-ES_tradnl"/>
              </w:rPr>
            </w:pPr>
            <w:r w:rsidRPr="008B7A21">
              <w:rPr>
                <w:sz w:val="16"/>
                <w:szCs w:val="16"/>
                <w:lang w:val="es-ES_tradnl"/>
              </w:rPr>
              <w:t>58 000</w:t>
            </w:r>
          </w:p>
        </w:tc>
        <w:tc>
          <w:tcPr>
            <w:tcW w:w="1500" w:type="dxa"/>
            <w:tcBorders>
              <w:top w:val="single" w:sz="4" w:space="0" w:color="auto"/>
              <w:left w:val="single" w:sz="4" w:space="0" w:color="auto"/>
              <w:bottom w:val="single" w:sz="4" w:space="0" w:color="auto"/>
              <w:right w:val="single" w:sz="4" w:space="0" w:color="auto"/>
            </w:tcBorders>
          </w:tcPr>
          <w:p w14:paraId="031BF0F1" w14:textId="77777777" w:rsidR="00F73D5B" w:rsidRPr="008B7A21" w:rsidRDefault="00F73D5B" w:rsidP="00767A6A">
            <w:pPr>
              <w:pStyle w:val="Tabletext"/>
              <w:rPr>
                <w:sz w:val="16"/>
                <w:szCs w:val="16"/>
                <w:lang w:val="es-ES_tradnl"/>
              </w:rPr>
            </w:pPr>
            <w:r w:rsidRPr="008B7A21">
              <w:rPr>
                <w:sz w:val="16"/>
                <w:szCs w:val="16"/>
                <w:lang w:val="es-ES_tradnl"/>
              </w:rPr>
              <w:t>Nada</w:t>
            </w:r>
          </w:p>
        </w:tc>
      </w:tr>
      <w:tr w:rsidR="00F73D5B" w:rsidRPr="008B7A21" w14:paraId="78CFE86D" w14:textId="77777777" w:rsidTr="00767A6A">
        <w:trPr>
          <w:jc w:val="center"/>
        </w:trPr>
        <w:tc>
          <w:tcPr>
            <w:tcW w:w="4106" w:type="dxa"/>
            <w:tcBorders>
              <w:top w:val="single" w:sz="4" w:space="0" w:color="auto"/>
              <w:left w:val="single" w:sz="4" w:space="0" w:color="auto"/>
              <w:bottom w:val="single" w:sz="4" w:space="0" w:color="auto"/>
              <w:right w:val="single" w:sz="4" w:space="0" w:color="auto"/>
            </w:tcBorders>
          </w:tcPr>
          <w:p w14:paraId="5D1D0DA3" w14:textId="77777777" w:rsidR="00F73D5B" w:rsidRPr="008B7A21" w:rsidRDefault="00F73D5B" w:rsidP="00767A6A">
            <w:pPr>
              <w:pStyle w:val="Tabletext"/>
              <w:jc w:val="left"/>
              <w:rPr>
                <w:sz w:val="16"/>
                <w:szCs w:val="16"/>
                <w:lang w:val="es-ES_tradnl"/>
              </w:rPr>
            </w:pPr>
            <w:r w:rsidRPr="008B7A21">
              <w:rPr>
                <w:sz w:val="16"/>
                <w:szCs w:val="16"/>
                <w:lang w:val="es-ES_tradnl"/>
              </w:rPr>
              <w:t>III.6.</w:t>
            </w:r>
            <w:r w:rsidRPr="008B7A21">
              <w:rPr>
                <w:sz w:val="16"/>
                <w:szCs w:val="16"/>
                <w:lang w:val="es-ES_tradnl"/>
              </w:rPr>
              <w:tab/>
              <w:t>Transmisor marítimo (receptores de 55 canales)</w:t>
            </w:r>
          </w:p>
        </w:tc>
        <w:tc>
          <w:tcPr>
            <w:tcW w:w="1303" w:type="dxa"/>
            <w:tcBorders>
              <w:top w:val="single" w:sz="4" w:space="0" w:color="auto"/>
              <w:left w:val="single" w:sz="4" w:space="0" w:color="auto"/>
              <w:bottom w:val="single" w:sz="4" w:space="0" w:color="auto"/>
              <w:right w:val="single" w:sz="4" w:space="0" w:color="auto"/>
            </w:tcBorders>
          </w:tcPr>
          <w:p w14:paraId="3EA10BE5" w14:textId="77777777" w:rsidR="00F73D5B" w:rsidRPr="008B7A21" w:rsidRDefault="00F73D5B" w:rsidP="00767A6A">
            <w:pPr>
              <w:pStyle w:val="Tabletext"/>
              <w:rPr>
                <w:sz w:val="16"/>
                <w:szCs w:val="16"/>
                <w:lang w:val="es-ES_tradnl"/>
              </w:rPr>
            </w:pPr>
            <w:r w:rsidRPr="008B7A21">
              <w:rPr>
                <w:sz w:val="16"/>
                <w:szCs w:val="16"/>
                <w:lang w:val="es-ES_tradnl"/>
              </w:rPr>
              <w:t>11 600</w:t>
            </w:r>
          </w:p>
        </w:tc>
        <w:tc>
          <w:tcPr>
            <w:tcW w:w="1229" w:type="dxa"/>
            <w:tcBorders>
              <w:top w:val="single" w:sz="4" w:space="0" w:color="auto"/>
              <w:left w:val="single" w:sz="4" w:space="0" w:color="auto"/>
              <w:bottom w:val="single" w:sz="4" w:space="0" w:color="auto"/>
              <w:right w:val="single" w:sz="4" w:space="0" w:color="auto"/>
            </w:tcBorders>
          </w:tcPr>
          <w:p w14:paraId="43521653" w14:textId="77777777" w:rsidR="00F73D5B" w:rsidRPr="008B7A21" w:rsidRDefault="00F73D5B" w:rsidP="00767A6A">
            <w:pPr>
              <w:pStyle w:val="Tabletext"/>
              <w:rPr>
                <w:sz w:val="16"/>
                <w:szCs w:val="16"/>
                <w:lang w:val="es-ES_tradnl"/>
              </w:rPr>
            </w:pPr>
            <w:r w:rsidRPr="008B7A21">
              <w:rPr>
                <w:sz w:val="16"/>
                <w:szCs w:val="16"/>
                <w:lang w:val="es-ES_tradnl"/>
              </w:rPr>
              <w:t>11 600</w:t>
            </w:r>
          </w:p>
        </w:tc>
        <w:tc>
          <w:tcPr>
            <w:tcW w:w="1501" w:type="dxa"/>
            <w:tcBorders>
              <w:top w:val="single" w:sz="4" w:space="0" w:color="auto"/>
              <w:left w:val="single" w:sz="4" w:space="0" w:color="auto"/>
              <w:bottom w:val="single" w:sz="4" w:space="0" w:color="auto"/>
              <w:right w:val="single" w:sz="4" w:space="0" w:color="auto"/>
            </w:tcBorders>
          </w:tcPr>
          <w:p w14:paraId="3F2F4897" w14:textId="77777777" w:rsidR="00F73D5B" w:rsidRPr="008B7A21" w:rsidRDefault="00F73D5B" w:rsidP="00767A6A">
            <w:pPr>
              <w:pStyle w:val="Tabletext"/>
              <w:rPr>
                <w:sz w:val="16"/>
                <w:szCs w:val="16"/>
                <w:lang w:val="es-ES_tradnl"/>
              </w:rPr>
            </w:pPr>
            <w:r w:rsidRPr="008B7A21">
              <w:rPr>
                <w:sz w:val="16"/>
                <w:szCs w:val="16"/>
                <w:lang w:val="es-ES_tradnl"/>
              </w:rPr>
              <w:t>58 000</w:t>
            </w:r>
          </w:p>
        </w:tc>
        <w:tc>
          <w:tcPr>
            <w:tcW w:w="1500" w:type="dxa"/>
            <w:tcBorders>
              <w:top w:val="single" w:sz="4" w:space="0" w:color="auto"/>
              <w:left w:val="single" w:sz="4" w:space="0" w:color="auto"/>
              <w:bottom w:val="single" w:sz="4" w:space="0" w:color="auto"/>
              <w:right w:val="single" w:sz="4" w:space="0" w:color="auto"/>
            </w:tcBorders>
          </w:tcPr>
          <w:p w14:paraId="1400ABEA" w14:textId="77777777" w:rsidR="00F73D5B" w:rsidRPr="008B7A21" w:rsidRDefault="00F73D5B" w:rsidP="00767A6A">
            <w:pPr>
              <w:pStyle w:val="Tabletext"/>
              <w:rPr>
                <w:sz w:val="16"/>
                <w:szCs w:val="16"/>
                <w:lang w:val="es-ES_tradnl"/>
              </w:rPr>
            </w:pPr>
          </w:p>
        </w:tc>
      </w:tr>
      <w:tr w:rsidR="00F73D5B" w:rsidRPr="008B7A21" w14:paraId="1BBA898D" w14:textId="77777777" w:rsidTr="00767A6A">
        <w:trPr>
          <w:jc w:val="center"/>
        </w:trPr>
        <w:tc>
          <w:tcPr>
            <w:tcW w:w="4106" w:type="dxa"/>
          </w:tcPr>
          <w:p w14:paraId="5B14952F" w14:textId="77777777" w:rsidR="00F73D5B" w:rsidRPr="008B7A21" w:rsidRDefault="00F73D5B" w:rsidP="00767A6A">
            <w:pPr>
              <w:pStyle w:val="Tabletext"/>
              <w:tabs>
                <w:tab w:val="clear" w:pos="284"/>
              </w:tabs>
              <w:rPr>
                <w:sz w:val="16"/>
                <w:szCs w:val="16"/>
                <w:lang w:val="es-ES_tradnl"/>
              </w:rPr>
            </w:pPr>
            <w:r w:rsidRPr="008B7A21">
              <w:rPr>
                <w:sz w:val="16"/>
                <w:szCs w:val="16"/>
                <w:lang w:val="es-ES_tradnl"/>
              </w:rPr>
              <w:t>IV.</w:t>
            </w:r>
            <w:r w:rsidRPr="008B7A21">
              <w:rPr>
                <w:sz w:val="16"/>
                <w:szCs w:val="16"/>
                <w:lang w:val="es-ES_tradnl"/>
              </w:rPr>
              <w:tab/>
              <w:t>Estaciones móviles aeronáuticas</w:t>
            </w:r>
          </w:p>
        </w:tc>
        <w:tc>
          <w:tcPr>
            <w:tcW w:w="1303" w:type="dxa"/>
          </w:tcPr>
          <w:p w14:paraId="3FAC0204" w14:textId="77777777" w:rsidR="00F73D5B" w:rsidRPr="008B7A21" w:rsidRDefault="00F73D5B" w:rsidP="00767A6A">
            <w:pPr>
              <w:pStyle w:val="Tabletext"/>
              <w:rPr>
                <w:sz w:val="16"/>
                <w:szCs w:val="16"/>
                <w:lang w:val="es-ES_tradnl"/>
              </w:rPr>
            </w:pPr>
          </w:p>
        </w:tc>
        <w:tc>
          <w:tcPr>
            <w:tcW w:w="1229" w:type="dxa"/>
          </w:tcPr>
          <w:p w14:paraId="44D63A68" w14:textId="77777777" w:rsidR="00F73D5B" w:rsidRPr="008B7A21" w:rsidRDefault="00F73D5B" w:rsidP="00767A6A">
            <w:pPr>
              <w:pStyle w:val="Tabletext"/>
              <w:rPr>
                <w:sz w:val="16"/>
                <w:szCs w:val="16"/>
                <w:lang w:val="es-ES_tradnl"/>
              </w:rPr>
            </w:pPr>
          </w:p>
        </w:tc>
        <w:tc>
          <w:tcPr>
            <w:tcW w:w="1501" w:type="dxa"/>
          </w:tcPr>
          <w:p w14:paraId="698B7149" w14:textId="77777777" w:rsidR="00F73D5B" w:rsidRPr="008B7A21" w:rsidRDefault="00F73D5B" w:rsidP="00767A6A">
            <w:pPr>
              <w:pStyle w:val="Tabletext"/>
              <w:rPr>
                <w:sz w:val="16"/>
                <w:szCs w:val="16"/>
                <w:lang w:val="es-ES_tradnl"/>
              </w:rPr>
            </w:pPr>
          </w:p>
        </w:tc>
        <w:tc>
          <w:tcPr>
            <w:tcW w:w="1500" w:type="dxa"/>
          </w:tcPr>
          <w:p w14:paraId="2585DEA1" w14:textId="77777777" w:rsidR="00F73D5B" w:rsidRPr="008B7A21" w:rsidRDefault="00F73D5B" w:rsidP="00767A6A">
            <w:pPr>
              <w:pStyle w:val="Tabletext"/>
              <w:rPr>
                <w:sz w:val="16"/>
                <w:szCs w:val="16"/>
                <w:lang w:val="es-ES_tradnl"/>
              </w:rPr>
            </w:pPr>
          </w:p>
        </w:tc>
      </w:tr>
      <w:tr w:rsidR="00F73D5B" w:rsidRPr="008B7A21" w14:paraId="1650C17F" w14:textId="77777777" w:rsidTr="00767A6A">
        <w:trPr>
          <w:jc w:val="center"/>
        </w:trPr>
        <w:tc>
          <w:tcPr>
            <w:tcW w:w="4106" w:type="dxa"/>
          </w:tcPr>
          <w:p w14:paraId="5E3BAF80" w14:textId="77777777" w:rsidR="00F73D5B" w:rsidRPr="008B7A21" w:rsidRDefault="00F73D5B" w:rsidP="00767A6A">
            <w:pPr>
              <w:pStyle w:val="Tabletext"/>
              <w:rPr>
                <w:sz w:val="16"/>
                <w:szCs w:val="16"/>
                <w:lang w:val="es-ES_tradnl"/>
              </w:rPr>
            </w:pPr>
            <w:r w:rsidRPr="008B7A21">
              <w:rPr>
                <w:sz w:val="16"/>
                <w:szCs w:val="16"/>
                <w:lang w:val="es-ES_tradnl"/>
              </w:rPr>
              <w:t>IV.1</w:t>
            </w:r>
            <w:r w:rsidRPr="008B7A21">
              <w:rPr>
                <w:sz w:val="16"/>
                <w:szCs w:val="16"/>
                <w:lang w:val="es-ES_tradnl"/>
              </w:rPr>
              <w:tab/>
              <w:t>Estación aeronáutica privada (no oficial)</w:t>
            </w:r>
          </w:p>
        </w:tc>
        <w:tc>
          <w:tcPr>
            <w:tcW w:w="1303" w:type="dxa"/>
          </w:tcPr>
          <w:p w14:paraId="32C8B411" w14:textId="77777777" w:rsidR="00F73D5B" w:rsidRPr="008B7A21" w:rsidRDefault="00F73D5B" w:rsidP="00767A6A">
            <w:pPr>
              <w:pStyle w:val="Tabletext"/>
              <w:rPr>
                <w:sz w:val="16"/>
                <w:szCs w:val="16"/>
                <w:lang w:val="es-ES_tradnl"/>
              </w:rPr>
            </w:pPr>
            <w:r w:rsidRPr="008B7A21">
              <w:rPr>
                <w:sz w:val="16"/>
                <w:szCs w:val="16"/>
                <w:lang w:val="es-ES_tradnl"/>
              </w:rPr>
              <w:t>116 000</w:t>
            </w:r>
          </w:p>
        </w:tc>
        <w:tc>
          <w:tcPr>
            <w:tcW w:w="1229" w:type="dxa"/>
          </w:tcPr>
          <w:p w14:paraId="58B0BF99" w14:textId="77777777" w:rsidR="00F73D5B" w:rsidRPr="008B7A21" w:rsidRDefault="00F73D5B" w:rsidP="00767A6A">
            <w:pPr>
              <w:pStyle w:val="Tabletext"/>
              <w:rPr>
                <w:sz w:val="16"/>
                <w:szCs w:val="16"/>
                <w:lang w:val="es-ES_tradnl"/>
              </w:rPr>
            </w:pPr>
            <w:r w:rsidRPr="008B7A21">
              <w:rPr>
                <w:sz w:val="16"/>
                <w:szCs w:val="16"/>
                <w:lang w:val="es-ES_tradnl"/>
              </w:rPr>
              <w:t>87 000</w:t>
            </w:r>
          </w:p>
        </w:tc>
        <w:tc>
          <w:tcPr>
            <w:tcW w:w="1501" w:type="dxa"/>
          </w:tcPr>
          <w:p w14:paraId="0FB33F1B" w14:textId="77777777" w:rsidR="00F73D5B" w:rsidRPr="008B7A21" w:rsidRDefault="00F73D5B" w:rsidP="00767A6A">
            <w:pPr>
              <w:pStyle w:val="Tabletext"/>
              <w:rPr>
                <w:sz w:val="16"/>
                <w:szCs w:val="16"/>
                <w:lang w:val="es-ES_tradnl"/>
              </w:rPr>
            </w:pPr>
            <w:r w:rsidRPr="008B7A21">
              <w:rPr>
                <w:sz w:val="16"/>
                <w:szCs w:val="16"/>
                <w:lang w:val="es-ES_tradnl"/>
              </w:rPr>
              <w:t>580 000</w:t>
            </w:r>
          </w:p>
        </w:tc>
        <w:tc>
          <w:tcPr>
            <w:tcW w:w="1500" w:type="dxa"/>
          </w:tcPr>
          <w:p w14:paraId="6A889F36" w14:textId="77777777" w:rsidR="00F73D5B" w:rsidRPr="008B7A21" w:rsidRDefault="00F73D5B" w:rsidP="00767A6A">
            <w:pPr>
              <w:pStyle w:val="Tabletext"/>
              <w:rPr>
                <w:sz w:val="16"/>
                <w:szCs w:val="16"/>
                <w:lang w:val="es-ES_tradnl"/>
              </w:rPr>
            </w:pPr>
          </w:p>
        </w:tc>
      </w:tr>
      <w:tr w:rsidR="00F73D5B" w:rsidRPr="008B7A21" w14:paraId="05E02AD5" w14:textId="77777777" w:rsidTr="00767A6A">
        <w:trPr>
          <w:jc w:val="center"/>
        </w:trPr>
        <w:tc>
          <w:tcPr>
            <w:tcW w:w="4106" w:type="dxa"/>
          </w:tcPr>
          <w:p w14:paraId="331BE7AD" w14:textId="77777777" w:rsidR="00F73D5B" w:rsidRPr="008B7A21" w:rsidRDefault="00F73D5B" w:rsidP="00767A6A">
            <w:pPr>
              <w:pStyle w:val="Tabletext"/>
              <w:jc w:val="left"/>
              <w:rPr>
                <w:sz w:val="16"/>
                <w:szCs w:val="16"/>
                <w:lang w:val="es-ES_tradnl"/>
              </w:rPr>
            </w:pPr>
            <w:r w:rsidRPr="008B7A21">
              <w:rPr>
                <w:sz w:val="16"/>
                <w:szCs w:val="16"/>
                <w:lang w:val="es-ES_tradnl"/>
              </w:rPr>
              <w:t>a1. Enlace tierra-aire</w:t>
            </w:r>
          </w:p>
          <w:p w14:paraId="509396B6" w14:textId="77777777" w:rsidR="00F73D5B" w:rsidRPr="008B7A21" w:rsidRDefault="00F73D5B" w:rsidP="00767A6A">
            <w:pPr>
              <w:pStyle w:val="Tabletext"/>
              <w:jc w:val="left"/>
              <w:rPr>
                <w:sz w:val="20"/>
                <w:lang w:val="es-ES_tradnl"/>
              </w:rPr>
            </w:pPr>
            <w:r w:rsidRPr="008B7A21">
              <w:rPr>
                <w:sz w:val="16"/>
                <w:szCs w:val="16"/>
                <w:lang w:val="es-ES_tradnl"/>
              </w:rPr>
              <w:t>a2. Enlace tierra-tierra</w:t>
            </w:r>
            <w:r w:rsidRPr="008B7A21">
              <w:rPr>
                <w:sz w:val="20"/>
                <w:lang w:val="es-ES_tradnl"/>
              </w:rPr>
              <w:t xml:space="preserve"> </w:t>
            </w:r>
          </w:p>
        </w:tc>
        <w:tc>
          <w:tcPr>
            <w:tcW w:w="1303" w:type="dxa"/>
          </w:tcPr>
          <w:p w14:paraId="4909AD2B" w14:textId="77777777" w:rsidR="00F73D5B" w:rsidRPr="008B7A21" w:rsidRDefault="00F73D5B" w:rsidP="00767A6A">
            <w:pPr>
              <w:pStyle w:val="Tabletext"/>
              <w:rPr>
                <w:sz w:val="16"/>
                <w:szCs w:val="16"/>
                <w:lang w:val="es-ES_tradnl"/>
              </w:rPr>
            </w:pPr>
          </w:p>
        </w:tc>
        <w:tc>
          <w:tcPr>
            <w:tcW w:w="1229" w:type="dxa"/>
          </w:tcPr>
          <w:p w14:paraId="1345176D" w14:textId="77777777" w:rsidR="00F73D5B" w:rsidRPr="008B7A21" w:rsidRDefault="00F73D5B" w:rsidP="00767A6A">
            <w:pPr>
              <w:pStyle w:val="Tabletext"/>
              <w:rPr>
                <w:sz w:val="16"/>
                <w:szCs w:val="16"/>
                <w:lang w:val="es-ES_tradnl"/>
              </w:rPr>
            </w:pPr>
          </w:p>
        </w:tc>
        <w:tc>
          <w:tcPr>
            <w:tcW w:w="1501" w:type="dxa"/>
          </w:tcPr>
          <w:p w14:paraId="5CA06B0A" w14:textId="77777777" w:rsidR="00F73D5B" w:rsidRPr="008B7A21" w:rsidRDefault="00F73D5B" w:rsidP="00767A6A">
            <w:pPr>
              <w:pStyle w:val="Tabletext"/>
              <w:rPr>
                <w:sz w:val="16"/>
                <w:szCs w:val="16"/>
                <w:lang w:val="es-ES_tradnl"/>
              </w:rPr>
            </w:pPr>
          </w:p>
        </w:tc>
        <w:tc>
          <w:tcPr>
            <w:tcW w:w="1500" w:type="dxa"/>
          </w:tcPr>
          <w:p w14:paraId="1137528D" w14:textId="77777777" w:rsidR="00F73D5B" w:rsidRPr="008B7A21" w:rsidRDefault="00F73D5B" w:rsidP="00767A6A">
            <w:pPr>
              <w:pStyle w:val="Tabletext"/>
              <w:rPr>
                <w:sz w:val="16"/>
                <w:szCs w:val="16"/>
                <w:lang w:val="es-ES_tradnl"/>
              </w:rPr>
            </w:pPr>
            <w:r w:rsidRPr="008B7A21">
              <w:rPr>
                <w:sz w:val="16"/>
                <w:szCs w:val="16"/>
                <w:lang w:val="es-ES_tradnl"/>
              </w:rPr>
              <w:t>116 000</w:t>
            </w:r>
          </w:p>
          <w:p w14:paraId="12669EA0" w14:textId="77777777" w:rsidR="00F73D5B" w:rsidRPr="008B7A21" w:rsidRDefault="00F73D5B" w:rsidP="00767A6A">
            <w:pPr>
              <w:pStyle w:val="Tabletext"/>
              <w:rPr>
                <w:sz w:val="16"/>
                <w:szCs w:val="16"/>
                <w:lang w:val="es-ES_tradnl"/>
              </w:rPr>
            </w:pPr>
            <w:r w:rsidRPr="008B7A21">
              <w:rPr>
                <w:sz w:val="16"/>
                <w:szCs w:val="16"/>
                <w:lang w:val="es-ES_tradnl"/>
              </w:rPr>
              <w:t>145 000</w:t>
            </w:r>
          </w:p>
        </w:tc>
      </w:tr>
      <w:tr w:rsidR="00F73D5B" w:rsidRPr="008B7A21" w14:paraId="40C4C22B" w14:textId="77777777" w:rsidTr="00767A6A">
        <w:trPr>
          <w:jc w:val="center"/>
        </w:trPr>
        <w:tc>
          <w:tcPr>
            <w:tcW w:w="4106" w:type="dxa"/>
          </w:tcPr>
          <w:p w14:paraId="03D7E488" w14:textId="77777777" w:rsidR="00F73D5B" w:rsidRPr="008B7A21" w:rsidRDefault="00F73D5B" w:rsidP="00767A6A">
            <w:pPr>
              <w:pStyle w:val="Tabletext"/>
              <w:rPr>
                <w:sz w:val="16"/>
                <w:szCs w:val="16"/>
                <w:lang w:val="es-ES_tradnl"/>
              </w:rPr>
            </w:pPr>
            <w:r w:rsidRPr="008B7A21">
              <w:rPr>
                <w:sz w:val="16"/>
                <w:szCs w:val="16"/>
                <w:lang w:val="es-ES_tradnl"/>
              </w:rPr>
              <w:t>IV.2</w:t>
            </w:r>
            <w:r w:rsidRPr="008B7A21">
              <w:rPr>
                <w:sz w:val="16"/>
                <w:szCs w:val="16"/>
                <w:lang w:val="es-ES_tradnl"/>
              </w:rPr>
              <w:tab/>
              <w:t>Sistema público de transporte de aviación civil</w:t>
            </w:r>
          </w:p>
        </w:tc>
        <w:tc>
          <w:tcPr>
            <w:tcW w:w="1303" w:type="dxa"/>
          </w:tcPr>
          <w:p w14:paraId="0C66DCE6" w14:textId="77777777" w:rsidR="00F73D5B" w:rsidRPr="008B7A21" w:rsidRDefault="00F73D5B" w:rsidP="00767A6A">
            <w:pPr>
              <w:pStyle w:val="Tabletext"/>
              <w:rPr>
                <w:sz w:val="16"/>
                <w:szCs w:val="16"/>
                <w:lang w:val="es-ES_tradnl"/>
              </w:rPr>
            </w:pPr>
            <w:r w:rsidRPr="008B7A21">
              <w:rPr>
                <w:sz w:val="16"/>
                <w:szCs w:val="16"/>
                <w:lang w:val="es-ES_tradnl"/>
              </w:rPr>
              <w:t>17 400</w:t>
            </w:r>
          </w:p>
        </w:tc>
        <w:tc>
          <w:tcPr>
            <w:tcW w:w="1229" w:type="dxa"/>
          </w:tcPr>
          <w:p w14:paraId="61350C77" w14:textId="77777777" w:rsidR="00F73D5B" w:rsidRPr="008B7A21" w:rsidRDefault="00F73D5B" w:rsidP="00767A6A">
            <w:pPr>
              <w:pStyle w:val="Tabletext"/>
              <w:rPr>
                <w:sz w:val="16"/>
                <w:szCs w:val="16"/>
                <w:lang w:val="es-ES_tradnl"/>
              </w:rPr>
            </w:pPr>
            <w:r w:rsidRPr="008B7A21">
              <w:rPr>
                <w:sz w:val="16"/>
                <w:szCs w:val="16"/>
                <w:lang w:val="es-ES_tradnl"/>
              </w:rPr>
              <w:t>58 000</w:t>
            </w:r>
          </w:p>
        </w:tc>
        <w:tc>
          <w:tcPr>
            <w:tcW w:w="1501" w:type="dxa"/>
          </w:tcPr>
          <w:p w14:paraId="4B2C11D0" w14:textId="77777777" w:rsidR="00F73D5B" w:rsidRPr="008B7A21" w:rsidRDefault="00F73D5B" w:rsidP="00767A6A">
            <w:pPr>
              <w:pStyle w:val="Tabletext"/>
              <w:rPr>
                <w:sz w:val="16"/>
                <w:szCs w:val="16"/>
                <w:lang w:val="es-ES_tradnl"/>
              </w:rPr>
            </w:pPr>
            <w:r w:rsidRPr="008B7A21">
              <w:rPr>
                <w:sz w:val="16"/>
                <w:szCs w:val="16"/>
                <w:lang w:val="es-ES_tradnl"/>
              </w:rPr>
              <w:t>290 000</w:t>
            </w:r>
          </w:p>
        </w:tc>
        <w:tc>
          <w:tcPr>
            <w:tcW w:w="1500" w:type="dxa"/>
          </w:tcPr>
          <w:p w14:paraId="74B43792" w14:textId="77777777" w:rsidR="00F73D5B" w:rsidRPr="008B7A21" w:rsidRDefault="00F73D5B" w:rsidP="00767A6A">
            <w:pPr>
              <w:pStyle w:val="Tabletext"/>
              <w:rPr>
                <w:sz w:val="16"/>
                <w:szCs w:val="16"/>
                <w:lang w:val="es-ES_tradnl"/>
              </w:rPr>
            </w:pPr>
            <w:r w:rsidRPr="008B7A21">
              <w:rPr>
                <w:sz w:val="16"/>
                <w:szCs w:val="16"/>
                <w:lang w:val="es-ES_tradnl"/>
              </w:rPr>
              <w:t>Nada</w:t>
            </w:r>
          </w:p>
        </w:tc>
      </w:tr>
      <w:tr w:rsidR="00F73D5B" w:rsidRPr="008B7A21" w14:paraId="3E65F775" w14:textId="77777777" w:rsidTr="00767A6A">
        <w:trPr>
          <w:jc w:val="center"/>
        </w:trPr>
        <w:tc>
          <w:tcPr>
            <w:tcW w:w="4106" w:type="dxa"/>
          </w:tcPr>
          <w:p w14:paraId="5759B546" w14:textId="77777777" w:rsidR="00F73D5B" w:rsidRPr="008B7A21" w:rsidRDefault="00F73D5B" w:rsidP="00767A6A">
            <w:pPr>
              <w:pStyle w:val="Tabletext"/>
              <w:rPr>
                <w:sz w:val="16"/>
                <w:szCs w:val="16"/>
                <w:u w:val="single"/>
                <w:lang w:val="es-ES_tradnl"/>
              </w:rPr>
            </w:pPr>
            <w:r w:rsidRPr="008B7A21">
              <w:rPr>
                <w:sz w:val="16"/>
                <w:szCs w:val="16"/>
                <w:lang w:val="es-ES_tradnl"/>
              </w:rPr>
              <w:t>IV.3</w:t>
            </w:r>
            <w:r w:rsidRPr="008B7A21">
              <w:rPr>
                <w:sz w:val="16"/>
                <w:szCs w:val="16"/>
                <w:lang w:val="es-ES_tradnl"/>
              </w:rPr>
              <w:tab/>
              <w:t>Transporte privado de aviación civil</w:t>
            </w:r>
          </w:p>
        </w:tc>
        <w:tc>
          <w:tcPr>
            <w:tcW w:w="1303" w:type="dxa"/>
          </w:tcPr>
          <w:p w14:paraId="278C2D7A" w14:textId="77777777" w:rsidR="00F73D5B" w:rsidRPr="008B7A21" w:rsidRDefault="00F73D5B" w:rsidP="00767A6A">
            <w:pPr>
              <w:pStyle w:val="Tabletext"/>
              <w:rPr>
                <w:sz w:val="16"/>
                <w:szCs w:val="16"/>
                <w:lang w:val="es-ES_tradnl"/>
              </w:rPr>
            </w:pPr>
            <w:r w:rsidRPr="008B7A21">
              <w:rPr>
                <w:sz w:val="16"/>
                <w:szCs w:val="16"/>
                <w:lang w:val="es-ES_tradnl"/>
              </w:rPr>
              <w:t>11 600</w:t>
            </w:r>
          </w:p>
        </w:tc>
        <w:tc>
          <w:tcPr>
            <w:tcW w:w="1229" w:type="dxa"/>
          </w:tcPr>
          <w:p w14:paraId="47B95C24" w14:textId="77777777" w:rsidR="00F73D5B" w:rsidRPr="008B7A21" w:rsidRDefault="00F73D5B" w:rsidP="00767A6A">
            <w:pPr>
              <w:pStyle w:val="Tabletext"/>
              <w:rPr>
                <w:sz w:val="16"/>
                <w:szCs w:val="16"/>
                <w:lang w:val="es-ES_tradnl"/>
              </w:rPr>
            </w:pPr>
            <w:r w:rsidRPr="008B7A21">
              <w:rPr>
                <w:sz w:val="16"/>
                <w:szCs w:val="16"/>
                <w:lang w:val="es-ES_tradnl"/>
              </w:rPr>
              <w:t>34 800</w:t>
            </w:r>
          </w:p>
        </w:tc>
        <w:tc>
          <w:tcPr>
            <w:tcW w:w="1501" w:type="dxa"/>
          </w:tcPr>
          <w:p w14:paraId="2D109B1C" w14:textId="77777777" w:rsidR="00F73D5B" w:rsidRPr="008B7A21" w:rsidRDefault="00F73D5B" w:rsidP="00767A6A">
            <w:pPr>
              <w:pStyle w:val="Tabletext"/>
              <w:rPr>
                <w:sz w:val="16"/>
                <w:szCs w:val="16"/>
                <w:lang w:val="es-ES_tradnl"/>
              </w:rPr>
            </w:pPr>
            <w:r w:rsidRPr="008B7A21">
              <w:rPr>
                <w:sz w:val="16"/>
                <w:szCs w:val="16"/>
                <w:lang w:val="es-ES_tradnl"/>
              </w:rPr>
              <w:t>58 000</w:t>
            </w:r>
          </w:p>
        </w:tc>
        <w:tc>
          <w:tcPr>
            <w:tcW w:w="1500" w:type="dxa"/>
          </w:tcPr>
          <w:p w14:paraId="711B4654" w14:textId="77777777" w:rsidR="00F73D5B" w:rsidRPr="008B7A21" w:rsidRDefault="00F73D5B" w:rsidP="00767A6A">
            <w:pPr>
              <w:pStyle w:val="Tabletext"/>
              <w:rPr>
                <w:sz w:val="16"/>
                <w:szCs w:val="16"/>
                <w:lang w:val="es-ES_tradnl"/>
              </w:rPr>
            </w:pPr>
            <w:r w:rsidRPr="008B7A21">
              <w:rPr>
                <w:sz w:val="16"/>
                <w:szCs w:val="16"/>
                <w:lang w:val="es-ES_tradnl"/>
              </w:rPr>
              <w:t>Nada</w:t>
            </w:r>
          </w:p>
        </w:tc>
      </w:tr>
      <w:tr w:rsidR="00F73D5B" w:rsidRPr="008B7A21" w14:paraId="32AAA8B0" w14:textId="77777777" w:rsidTr="00767A6A">
        <w:trPr>
          <w:jc w:val="center"/>
        </w:trPr>
        <w:tc>
          <w:tcPr>
            <w:tcW w:w="4106" w:type="dxa"/>
          </w:tcPr>
          <w:p w14:paraId="68D30F8E" w14:textId="77777777" w:rsidR="00F73D5B" w:rsidRPr="008B7A21" w:rsidRDefault="00F73D5B" w:rsidP="00767A6A">
            <w:pPr>
              <w:pStyle w:val="Tabletext"/>
              <w:rPr>
                <w:sz w:val="16"/>
                <w:szCs w:val="16"/>
                <w:u w:val="single"/>
                <w:lang w:val="es-ES_tradnl"/>
              </w:rPr>
            </w:pPr>
            <w:r w:rsidRPr="008B7A21">
              <w:rPr>
                <w:sz w:val="16"/>
                <w:szCs w:val="16"/>
                <w:lang w:val="es-ES_tradnl"/>
              </w:rPr>
              <w:t xml:space="preserve">V. </w:t>
            </w:r>
            <w:r w:rsidRPr="008B7A21">
              <w:rPr>
                <w:sz w:val="16"/>
                <w:szCs w:val="16"/>
                <w:lang w:val="es-ES_tradnl"/>
              </w:rPr>
              <w:tab/>
            </w:r>
            <w:r w:rsidRPr="008B7A21">
              <w:rPr>
                <w:sz w:val="20"/>
                <w:lang w:val="es-ES_tradnl"/>
              </w:rPr>
              <w:t>ESTACIONES DE AFICIONADO</w:t>
            </w:r>
          </w:p>
        </w:tc>
        <w:tc>
          <w:tcPr>
            <w:tcW w:w="1303" w:type="dxa"/>
          </w:tcPr>
          <w:p w14:paraId="0408A271" w14:textId="77777777" w:rsidR="00F73D5B" w:rsidRPr="008B7A21" w:rsidRDefault="00F73D5B" w:rsidP="00767A6A">
            <w:pPr>
              <w:pStyle w:val="Tabletext"/>
              <w:rPr>
                <w:sz w:val="16"/>
                <w:szCs w:val="16"/>
                <w:lang w:val="es-ES_tradnl"/>
              </w:rPr>
            </w:pPr>
          </w:p>
        </w:tc>
        <w:tc>
          <w:tcPr>
            <w:tcW w:w="1229" w:type="dxa"/>
          </w:tcPr>
          <w:p w14:paraId="5A4C7316" w14:textId="77777777" w:rsidR="00F73D5B" w:rsidRPr="008B7A21" w:rsidRDefault="00F73D5B" w:rsidP="00767A6A">
            <w:pPr>
              <w:pStyle w:val="Tabletext"/>
              <w:rPr>
                <w:sz w:val="16"/>
                <w:szCs w:val="16"/>
                <w:lang w:val="es-ES_tradnl"/>
              </w:rPr>
            </w:pPr>
          </w:p>
        </w:tc>
        <w:tc>
          <w:tcPr>
            <w:tcW w:w="1501" w:type="dxa"/>
          </w:tcPr>
          <w:p w14:paraId="41E7E903" w14:textId="77777777" w:rsidR="00F73D5B" w:rsidRPr="008B7A21" w:rsidRDefault="00F73D5B" w:rsidP="00767A6A">
            <w:pPr>
              <w:pStyle w:val="Tabletext"/>
              <w:rPr>
                <w:sz w:val="16"/>
                <w:szCs w:val="16"/>
                <w:lang w:val="es-ES_tradnl"/>
              </w:rPr>
            </w:pPr>
          </w:p>
        </w:tc>
        <w:tc>
          <w:tcPr>
            <w:tcW w:w="1500" w:type="dxa"/>
          </w:tcPr>
          <w:p w14:paraId="78E2DFA5" w14:textId="77777777" w:rsidR="00F73D5B" w:rsidRPr="008B7A21" w:rsidRDefault="00F73D5B" w:rsidP="00767A6A">
            <w:pPr>
              <w:pStyle w:val="Tabletext"/>
              <w:rPr>
                <w:sz w:val="16"/>
                <w:szCs w:val="16"/>
                <w:lang w:val="es-ES_tradnl"/>
              </w:rPr>
            </w:pPr>
          </w:p>
        </w:tc>
      </w:tr>
      <w:tr w:rsidR="00F73D5B" w:rsidRPr="008B7A21" w14:paraId="677A01D5" w14:textId="77777777" w:rsidTr="00767A6A">
        <w:trPr>
          <w:jc w:val="center"/>
        </w:trPr>
        <w:tc>
          <w:tcPr>
            <w:tcW w:w="4106" w:type="dxa"/>
          </w:tcPr>
          <w:p w14:paraId="58164991" w14:textId="77777777" w:rsidR="00F73D5B" w:rsidRPr="008B7A21" w:rsidRDefault="00F73D5B" w:rsidP="00767A6A">
            <w:pPr>
              <w:pStyle w:val="Tabletext"/>
              <w:jc w:val="left"/>
              <w:rPr>
                <w:sz w:val="16"/>
                <w:szCs w:val="16"/>
                <w:lang w:val="es-ES_tradnl"/>
              </w:rPr>
            </w:pPr>
            <w:r w:rsidRPr="008B7A21">
              <w:rPr>
                <w:sz w:val="16"/>
                <w:szCs w:val="16"/>
                <w:lang w:val="es-ES_tradnl"/>
              </w:rPr>
              <w:t>a1.</w:t>
            </w:r>
            <w:r w:rsidRPr="008B7A21">
              <w:rPr>
                <w:sz w:val="16"/>
                <w:szCs w:val="16"/>
                <w:lang w:val="es-ES_tradnl"/>
              </w:rPr>
              <w:tab/>
              <w:t>Estación de radioteléfono en ondas métricas</w:t>
            </w:r>
          </w:p>
          <w:p w14:paraId="6A113383" w14:textId="77777777" w:rsidR="00F73D5B" w:rsidRPr="008B7A21" w:rsidRDefault="00F73D5B" w:rsidP="00767A6A">
            <w:pPr>
              <w:pStyle w:val="Tabletext"/>
              <w:ind w:left="284" w:hanging="284"/>
              <w:jc w:val="left"/>
              <w:rPr>
                <w:sz w:val="16"/>
                <w:szCs w:val="16"/>
                <w:lang w:val="es-ES_tradnl"/>
              </w:rPr>
            </w:pPr>
            <w:r w:rsidRPr="008B7A21">
              <w:rPr>
                <w:sz w:val="16"/>
                <w:szCs w:val="16"/>
                <w:lang w:val="es-ES_tradnl"/>
              </w:rPr>
              <w:t>a2.</w:t>
            </w:r>
            <w:r w:rsidRPr="008B7A21">
              <w:rPr>
                <w:sz w:val="16"/>
                <w:szCs w:val="16"/>
                <w:lang w:val="es-ES_tradnl"/>
              </w:rPr>
              <w:tab/>
              <w:t>Estación de radioteléfono ondas decamétricas y kilométricas</w:t>
            </w:r>
          </w:p>
        </w:tc>
        <w:tc>
          <w:tcPr>
            <w:tcW w:w="1303" w:type="dxa"/>
          </w:tcPr>
          <w:p w14:paraId="30F221C0" w14:textId="77777777" w:rsidR="00F73D5B" w:rsidRPr="008B7A21" w:rsidRDefault="00F73D5B" w:rsidP="00767A6A">
            <w:pPr>
              <w:pStyle w:val="Tabletext"/>
              <w:rPr>
                <w:sz w:val="16"/>
                <w:szCs w:val="16"/>
                <w:lang w:val="es-ES_tradnl"/>
              </w:rPr>
            </w:pPr>
            <w:r w:rsidRPr="008B7A21">
              <w:rPr>
                <w:sz w:val="16"/>
                <w:szCs w:val="16"/>
                <w:lang w:val="es-ES_tradnl"/>
              </w:rPr>
              <w:t>5 800</w:t>
            </w:r>
          </w:p>
          <w:p w14:paraId="54059193" w14:textId="77777777" w:rsidR="00F73D5B" w:rsidRPr="008B7A21" w:rsidRDefault="00F73D5B" w:rsidP="00767A6A">
            <w:pPr>
              <w:pStyle w:val="Tabletext"/>
              <w:rPr>
                <w:sz w:val="16"/>
                <w:szCs w:val="16"/>
                <w:lang w:val="es-ES_tradnl"/>
              </w:rPr>
            </w:pPr>
            <w:r w:rsidRPr="008B7A21">
              <w:rPr>
                <w:sz w:val="16"/>
                <w:szCs w:val="16"/>
                <w:lang w:val="es-ES_tradnl"/>
              </w:rPr>
              <w:t>5 800</w:t>
            </w:r>
          </w:p>
        </w:tc>
        <w:tc>
          <w:tcPr>
            <w:tcW w:w="1229" w:type="dxa"/>
          </w:tcPr>
          <w:p w14:paraId="74AE9189" w14:textId="77777777" w:rsidR="00F73D5B" w:rsidRPr="008B7A21" w:rsidRDefault="00F73D5B" w:rsidP="00767A6A">
            <w:pPr>
              <w:pStyle w:val="Tabletext"/>
              <w:rPr>
                <w:sz w:val="16"/>
                <w:szCs w:val="16"/>
                <w:lang w:val="es-ES_tradnl"/>
              </w:rPr>
            </w:pPr>
            <w:r w:rsidRPr="008B7A21">
              <w:rPr>
                <w:sz w:val="16"/>
                <w:szCs w:val="16"/>
                <w:lang w:val="es-ES_tradnl"/>
              </w:rPr>
              <w:t>8 700</w:t>
            </w:r>
          </w:p>
          <w:p w14:paraId="68122C81" w14:textId="77777777" w:rsidR="00F73D5B" w:rsidRPr="008B7A21" w:rsidRDefault="00F73D5B" w:rsidP="00767A6A">
            <w:pPr>
              <w:pStyle w:val="Tabletext"/>
              <w:rPr>
                <w:sz w:val="16"/>
                <w:szCs w:val="16"/>
                <w:lang w:val="es-ES_tradnl"/>
              </w:rPr>
            </w:pPr>
            <w:r w:rsidRPr="008B7A21">
              <w:rPr>
                <w:sz w:val="16"/>
                <w:szCs w:val="16"/>
                <w:lang w:val="es-ES_tradnl"/>
              </w:rPr>
              <w:t>17 400</w:t>
            </w:r>
          </w:p>
        </w:tc>
        <w:tc>
          <w:tcPr>
            <w:tcW w:w="1501" w:type="dxa"/>
          </w:tcPr>
          <w:p w14:paraId="1C4234E5" w14:textId="77777777" w:rsidR="00F73D5B" w:rsidRPr="008B7A21" w:rsidRDefault="00F73D5B" w:rsidP="00767A6A">
            <w:pPr>
              <w:pStyle w:val="Tabletext"/>
              <w:rPr>
                <w:sz w:val="16"/>
                <w:szCs w:val="16"/>
                <w:lang w:val="es-ES_tradnl"/>
              </w:rPr>
            </w:pPr>
            <w:r w:rsidRPr="008B7A21">
              <w:rPr>
                <w:sz w:val="16"/>
                <w:szCs w:val="16"/>
                <w:lang w:val="es-ES_tradnl"/>
              </w:rPr>
              <w:t>Nada</w:t>
            </w:r>
          </w:p>
          <w:p w14:paraId="32F3FB7A" w14:textId="77777777" w:rsidR="00F73D5B" w:rsidRPr="008B7A21" w:rsidRDefault="00F73D5B" w:rsidP="00767A6A">
            <w:pPr>
              <w:pStyle w:val="Tabletext"/>
              <w:rPr>
                <w:sz w:val="16"/>
                <w:szCs w:val="16"/>
                <w:lang w:val="es-ES_tradnl"/>
              </w:rPr>
            </w:pPr>
            <w:r w:rsidRPr="008B7A21">
              <w:rPr>
                <w:sz w:val="16"/>
                <w:szCs w:val="16"/>
                <w:lang w:val="es-ES_tradnl"/>
              </w:rPr>
              <w:t>Nada</w:t>
            </w:r>
          </w:p>
        </w:tc>
        <w:tc>
          <w:tcPr>
            <w:tcW w:w="1500" w:type="dxa"/>
          </w:tcPr>
          <w:p w14:paraId="55033955" w14:textId="77777777" w:rsidR="00F73D5B" w:rsidRPr="008B7A21" w:rsidRDefault="00F73D5B" w:rsidP="00767A6A">
            <w:pPr>
              <w:pStyle w:val="Tabletext"/>
              <w:rPr>
                <w:sz w:val="16"/>
                <w:szCs w:val="16"/>
                <w:lang w:val="es-ES_tradnl"/>
              </w:rPr>
            </w:pPr>
            <w:r w:rsidRPr="008B7A21">
              <w:rPr>
                <w:sz w:val="16"/>
                <w:szCs w:val="16"/>
                <w:lang w:val="es-ES_tradnl"/>
              </w:rPr>
              <w:t>Nada</w:t>
            </w:r>
          </w:p>
          <w:p w14:paraId="77BB4CB0" w14:textId="77777777" w:rsidR="00F73D5B" w:rsidRPr="008B7A21" w:rsidRDefault="00F73D5B" w:rsidP="00767A6A">
            <w:pPr>
              <w:pStyle w:val="Tabletext"/>
              <w:rPr>
                <w:sz w:val="16"/>
                <w:szCs w:val="16"/>
                <w:lang w:val="es-ES_tradnl"/>
              </w:rPr>
            </w:pPr>
            <w:r w:rsidRPr="008B7A21">
              <w:rPr>
                <w:sz w:val="16"/>
                <w:szCs w:val="16"/>
                <w:lang w:val="es-ES_tradnl"/>
              </w:rPr>
              <w:t>Nada</w:t>
            </w:r>
          </w:p>
        </w:tc>
      </w:tr>
    </w:tbl>
    <w:p w14:paraId="4EA538FF" w14:textId="77777777" w:rsidR="00F73D5B" w:rsidRPr="008B7A21" w:rsidRDefault="00F73D5B" w:rsidP="00F73D5B">
      <w:pPr>
        <w:pStyle w:val="Tablefin"/>
        <w:rPr>
          <w:lang w:val="es-ES_tradnl"/>
        </w:rPr>
      </w:pPr>
    </w:p>
    <w:p w14:paraId="338868B4" w14:textId="77777777" w:rsidR="00F73D5B" w:rsidRPr="008B7A21" w:rsidRDefault="00F73D5B" w:rsidP="009207AE">
      <w:pPr>
        <w:pStyle w:val="Headingb"/>
        <w:spacing w:before="480" w:after="120"/>
        <w:rPr>
          <w:lang w:val="es-ES_tradnl"/>
        </w:rPr>
      </w:pPr>
      <w:bookmarkStart w:id="2275" w:name="_Toc289868890"/>
      <w:bookmarkStart w:id="2276" w:name="_Toc289869049"/>
      <w:bookmarkStart w:id="2277" w:name="_Toc289932355"/>
      <w:bookmarkStart w:id="2278" w:name="_Toc289933403"/>
      <w:bookmarkStart w:id="2279" w:name="_Toc291852966"/>
      <w:bookmarkStart w:id="2280" w:name="_Toc392515950"/>
      <w:bookmarkStart w:id="2281" w:name="_Toc454285031"/>
      <w:bookmarkStart w:id="2282" w:name="_Toc462234195"/>
      <w:bookmarkStart w:id="2283" w:name="_Toc518394286"/>
      <w:bookmarkStart w:id="2284" w:name="_Toc215835468"/>
      <w:r w:rsidRPr="008B7A21">
        <w:rPr>
          <w:lang w:val="es-ES_tradnl"/>
        </w:rPr>
        <w:t>B.</w:t>
      </w:r>
      <w:r w:rsidRPr="008B7A21">
        <w:rPr>
          <w:lang w:val="es-ES_tradnl"/>
        </w:rPr>
        <w:tab/>
      </w:r>
      <w:bookmarkEnd w:id="2275"/>
      <w:bookmarkEnd w:id="2276"/>
      <w:bookmarkEnd w:id="2277"/>
      <w:bookmarkEnd w:id="2278"/>
      <w:bookmarkEnd w:id="2279"/>
      <w:bookmarkEnd w:id="2280"/>
      <w:bookmarkEnd w:id="2281"/>
      <w:bookmarkEnd w:id="2282"/>
      <w:bookmarkEnd w:id="2283"/>
      <w:r w:rsidRPr="008B7A21">
        <w:rPr>
          <w:lang w:val="es-ES_tradnl"/>
        </w:rPr>
        <w:t>RADIOCOMUNICACIONES POR SATÉLITE</w:t>
      </w:r>
      <w:bookmarkEnd w:id="228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9"/>
        <w:gridCol w:w="1204"/>
        <w:gridCol w:w="1560"/>
        <w:gridCol w:w="1559"/>
        <w:gridCol w:w="1417"/>
      </w:tblGrid>
      <w:tr w:rsidR="00F73D5B" w:rsidRPr="008B7A21" w14:paraId="79A89C9F" w14:textId="77777777" w:rsidTr="00767A6A">
        <w:trPr>
          <w:tblHeader/>
          <w:jc w:val="center"/>
        </w:trPr>
        <w:tc>
          <w:tcPr>
            <w:tcW w:w="3899" w:type="dxa"/>
            <w:vAlign w:val="center"/>
          </w:tcPr>
          <w:p w14:paraId="1325819B" w14:textId="77777777" w:rsidR="00F73D5B" w:rsidRPr="008B7A21" w:rsidRDefault="00F73D5B" w:rsidP="00767A6A">
            <w:pPr>
              <w:pStyle w:val="Tablehead"/>
              <w:rPr>
                <w:sz w:val="18"/>
                <w:szCs w:val="18"/>
                <w:lang w:val="es-ES_tradnl"/>
              </w:rPr>
            </w:pPr>
            <w:r w:rsidRPr="008B7A21">
              <w:rPr>
                <w:sz w:val="18"/>
                <w:szCs w:val="18"/>
                <w:lang w:val="es-ES_tradnl"/>
              </w:rPr>
              <w:t>REDES O ESTACIONES</w:t>
            </w:r>
          </w:p>
        </w:tc>
        <w:tc>
          <w:tcPr>
            <w:tcW w:w="1204" w:type="dxa"/>
            <w:vAlign w:val="center"/>
          </w:tcPr>
          <w:p w14:paraId="20E9E456" w14:textId="77777777" w:rsidR="00F73D5B" w:rsidRPr="008B7A21" w:rsidRDefault="00F73D5B" w:rsidP="00767A6A">
            <w:pPr>
              <w:pStyle w:val="Tablehead"/>
              <w:rPr>
                <w:sz w:val="18"/>
                <w:szCs w:val="18"/>
                <w:lang w:val="es-ES_tradnl"/>
              </w:rPr>
            </w:pPr>
            <w:r w:rsidRPr="008B7A21">
              <w:rPr>
                <w:sz w:val="18"/>
                <w:szCs w:val="18"/>
                <w:lang w:val="es-ES_tradnl"/>
              </w:rPr>
              <w:t xml:space="preserve">Tasa de tramitación de solicitud </w:t>
            </w:r>
          </w:p>
        </w:tc>
        <w:tc>
          <w:tcPr>
            <w:tcW w:w="1560" w:type="dxa"/>
            <w:vAlign w:val="center"/>
          </w:tcPr>
          <w:p w14:paraId="47E98697" w14:textId="77777777" w:rsidR="00F73D5B" w:rsidRPr="008B7A21" w:rsidRDefault="00F73D5B" w:rsidP="00767A6A">
            <w:pPr>
              <w:pStyle w:val="Tablehead"/>
              <w:rPr>
                <w:sz w:val="18"/>
                <w:szCs w:val="18"/>
                <w:lang w:val="es-ES_tradnl"/>
              </w:rPr>
            </w:pPr>
            <w:r w:rsidRPr="008B7A21">
              <w:rPr>
                <w:sz w:val="18"/>
                <w:szCs w:val="18"/>
                <w:lang w:val="es-ES_tradnl"/>
              </w:rPr>
              <w:t xml:space="preserve">Tasas de control o visita </w:t>
            </w:r>
          </w:p>
        </w:tc>
        <w:tc>
          <w:tcPr>
            <w:tcW w:w="1559" w:type="dxa"/>
            <w:vAlign w:val="center"/>
          </w:tcPr>
          <w:p w14:paraId="64DD3668" w14:textId="77777777" w:rsidR="00F73D5B" w:rsidRPr="008B7A21" w:rsidRDefault="00F73D5B" w:rsidP="00767A6A">
            <w:pPr>
              <w:pStyle w:val="Tablehead"/>
              <w:rPr>
                <w:sz w:val="18"/>
                <w:szCs w:val="18"/>
                <w:lang w:val="es-ES_tradnl"/>
              </w:rPr>
            </w:pPr>
            <w:r w:rsidRPr="008B7A21">
              <w:rPr>
                <w:sz w:val="18"/>
                <w:szCs w:val="18"/>
                <w:lang w:val="es-ES_tradnl"/>
              </w:rPr>
              <w:t>Contribuciones a los costes de gestión</w:t>
            </w:r>
          </w:p>
        </w:tc>
        <w:tc>
          <w:tcPr>
            <w:tcW w:w="1417" w:type="dxa"/>
            <w:vAlign w:val="center"/>
          </w:tcPr>
          <w:p w14:paraId="157D0EAC" w14:textId="77777777" w:rsidR="00F73D5B" w:rsidRPr="008B7A21" w:rsidRDefault="00F73D5B" w:rsidP="00767A6A">
            <w:pPr>
              <w:pStyle w:val="Tablehead"/>
              <w:rPr>
                <w:sz w:val="18"/>
                <w:szCs w:val="18"/>
                <w:lang w:val="es-ES_tradnl"/>
              </w:rPr>
            </w:pPr>
            <w:r w:rsidRPr="008B7A21">
              <w:rPr>
                <w:sz w:val="18"/>
                <w:szCs w:val="18"/>
                <w:lang w:val="es-ES_tradnl"/>
              </w:rPr>
              <w:t>Tasas por el uso de frecuencias y canales radioeléctricos</w:t>
            </w:r>
          </w:p>
        </w:tc>
      </w:tr>
      <w:tr w:rsidR="00F73D5B" w:rsidRPr="008B7A21" w14:paraId="1C62A8BE" w14:textId="77777777" w:rsidTr="00767A6A">
        <w:trPr>
          <w:jc w:val="center"/>
        </w:trPr>
        <w:tc>
          <w:tcPr>
            <w:tcW w:w="3899" w:type="dxa"/>
          </w:tcPr>
          <w:p w14:paraId="548D6C2F" w14:textId="77777777" w:rsidR="00F73D5B" w:rsidRPr="008B7A21" w:rsidRDefault="00F73D5B" w:rsidP="00767A6A">
            <w:pPr>
              <w:pStyle w:val="Tabletext"/>
              <w:ind w:left="284" w:hanging="284"/>
              <w:jc w:val="left"/>
              <w:rPr>
                <w:sz w:val="18"/>
                <w:szCs w:val="18"/>
                <w:lang w:val="es-ES_tradnl"/>
              </w:rPr>
            </w:pPr>
            <w:r w:rsidRPr="008B7A21">
              <w:rPr>
                <w:sz w:val="18"/>
                <w:szCs w:val="18"/>
                <w:lang w:val="es-ES_tradnl"/>
              </w:rPr>
              <w:t>I</w:t>
            </w:r>
            <w:r w:rsidRPr="008B7A21">
              <w:rPr>
                <w:sz w:val="18"/>
                <w:szCs w:val="18"/>
                <w:lang w:val="es-ES_tradnl"/>
              </w:rPr>
              <w:tab/>
              <w:t>REDES PRIVADAS Y ESTACIONES TERRENAS (servicios no comerciales)</w:t>
            </w:r>
          </w:p>
        </w:tc>
        <w:tc>
          <w:tcPr>
            <w:tcW w:w="1204" w:type="dxa"/>
          </w:tcPr>
          <w:p w14:paraId="507C1A9E" w14:textId="77777777" w:rsidR="00F73D5B" w:rsidRPr="008B7A21" w:rsidRDefault="00F73D5B" w:rsidP="00767A6A">
            <w:pPr>
              <w:pStyle w:val="Tabletext"/>
              <w:rPr>
                <w:sz w:val="18"/>
                <w:szCs w:val="18"/>
                <w:lang w:val="es-ES_tradnl"/>
              </w:rPr>
            </w:pPr>
          </w:p>
        </w:tc>
        <w:tc>
          <w:tcPr>
            <w:tcW w:w="1560" w:type="dxa"/>
          </w:tcPr>
          <w:p w14:paraId="44160D8B" w14:textId="77777777" w:rsidR="00F73D5B" w:rsidRPr="008B7A21" w:rsidRDefault="00F73D5B" w:rsidP="00767A6A">
            <w:pPr>
              <w:pStyle w:val="Tabletext"/>
              <w:rPr>
                <w:sz w:val="18"/>
                <w:szCs w:val="18"/>
                <w:lang w:val="es-ES_tradnl"/>
              </w:rPr>
            </w:pPr>
          </w:p>
        </w:tc>
        <w:tc>
          <w:tcPr>
            <w:tcW w:w="1559" w:type="dxa"/>
          </w:tcPr>
          <w:p w14:paraId="1D1267CA" w14:textId="77777777" w:rsidR="00F73D5B" w:rsidRPr="008B7A21" w:rsidRDefault="00F73D5B" w:rsidP="00767A6A">
            <w:pPr>
              <w:pStyle w:val="Tabletext"/>
              <w:rPr>
                <w:sz w:val="18"/>
                <w:szCs w:val="18"/>
                <w:lang w:val="es-ES_tradnl"/>
              </w:rPr>
            </w:pPr>
          </w:p>
        </w:tc>
        <w:tc>
          <w:tcPr>
            <w:tcW w:w="1417" w:type="dxa"/>
          </w:tcPr>
          <w:p w14:paraId="66245F23" w14:textId="77777777" w:rsidR="00F73D5B" w:rsidRPr="008B7A21" w:rsidRDefault="00F73D5B" w:rsidP="00767A6A">
            <w:pPr>
              <w:pStyle w:val="Tabletext"/>
              <w:rPr>
                <w:sz w:val="18"/>
                <w:szCs w:val="18"/>
                <w:lang w:val="es-ES_tradnl"/>
              </w:rPr>
            </w:pPr>
          </w:p>
        </w:tc>
      </w:tr>
      <w:tr w:rsidR="00F73D5B" w:rsidRPr="008B7A21" w14:paraId="26E1B44D" w14:textId="77777777" w:rsidTr="00767A6A">
        <w:trPr>
          <w:jc w:val="center"/>
        </w:trPr>
        <w:tc>
          <w:tcPr>
            <w:tcW w:w="3899" w:type="dxa"/>
          </w:tcPr>
          <w:p w14:paraId="0FF05180" w14:textId="77777777" w:rsidR="00F73D5B" w:rsidRPr="008B7A21" w:rsidRDefault="00F73D5B" w:rsidP="00767A6A">
            <w:pPr>
              <w:pStyle w:val="Tabletext"/>
              <w:rPr>
                <w:sz w:val="18"/>
                <w:szCs w:val="18"/>
                <w:lang w:val="es-ES_tradnl"/>
              </w:rPr>
            </w:pPr>
            <w:r w:rsidRPr="008B7A21">
              <w:rPr>
                <w:sz w:val="18"/>
                <w:szCs w:val="18"/>
                <w:lang w:val="es-ES_tradnl"/>
              </w:rPr>
              <w:t>I.1. Red nacional (fija o móvil)</w:t>
            </w:r>
          </w:p>
        </w:tc>
        <w:tc>
          <w:tcPr>
            <w:tcW w:w="1204" w:type="dxa"/>
          </w:tcPr>
          <w:p w14:paraId="11735220" w14:textId="77777777" w:rsidR="00F73D5B" w:rsidRPr="008B7A21" w:rsidRDefault="00F73D5B" w:rsidP="00767A6A">
            <w:pPr>
              <w:pStyle w:val="Tabletext"/>
              <w:rPr>
                <w:sz w:val="18"/>
                <w:szCs w:val="18"/>
                <w:lang w:val="es-ES_tradnl"/>
              </w:rPr>
            </w:pPr>
            <w:r w:rsidRPr="008B7A21">
              <w:rPr>
                <w:sz w:val="18"/>
                <w:szCs w:val="18"/>
                <w:lang w:val="es-ES_tradnl"/>
              </w:rPr>
              <w:t>1 044 000</w:t>
            </w:r>
          </w:p>
        </w:tc>
        <w:tc>
          <w:tcPr>
            <w:tcW w:w="1560" w:type="dxa"/>
          </w:tcPr>
          <w:p w14:paraId="10225910" w14:textId="77777777" w:rsidR="00F73D5B" w:rsidRPr="008B7A21" w:rsidRDefault="00F73D5B" w:rsidP="00767A6A">
            <w:pPr>
              <w:pStyle w:val="Tabletext"/>
              <w:rPr>
                <w:sz w:val="18"/>
                <w:szCs w:val="18"/>
                <w:lang w:val="es-ES_tradnl"/>
              </w:rPr>
            </w:pPr>
          </w:p>
        </w:tc>
        <w:tc>
          <w:tcPr>
            <w:tcW w:w="1559" w:type="dxa"/>
          </w:tcPr>
          <w:p w14:paraId="10BF8093" w14:textId="77777777" w:rsidR="00F73D5B" w:rsidRPr="008B7A21" w:rsidRDefault="00F73D5B" w:rsidP="00767A6A">
            <w:pPr>
              <w:pStyle w:val="Tabletext"/>
              <w:rPr>
                <w:sz w:val="18"/>
                <w:szCs w:val="18"/>
                <w:lang w:val="es-ES_tradnl"/>
              </w:rPr>
            </w:pPr>
            <w:r w:rsidRPr="008B7A21">
              <w:rPr>
                <w:sz w:val="18"/>
                <w:szCs w:val="18"/>
                <w:lang w:val="es-ES_tradnl"/>
              </w:rPr>
              <w:t>8 700 000</w:t>
            </w:r>
          </w:p>
        </w:tc>
        <w:tc>
          <w:tcPr>
            <w:tcW w:w="1417" w:type="dxa"/>
          </w:tcPr>
          <w:p w14:paraId="1DB43F00" w14:textId="77777777" w:rsidR="00F73D5B" w:rsidRPr="008B7A21" w:rsidRDefault="00F73D5B" w:rsidP="00767A6A">
            <w:pPr>
              <w:pStyle w:val="Tabletext"/>
              <w:rPr>
                <w:sz w:val="18"/>
                <w:szCs w:val="18"/>
                <w:lang w:val="es-ES_tradnl"/>
              </w:rPr>
            </w:pPr>
          </w:p>
        </w:tc>
      </w:tr>
      <w:tr w:rsidR="00F73D5B" w:rsidRPr="008B7A21" w14:paraId="211DE6C2" w14:textId="77777777" w:rsidTr="00767A6A">
        <w:trPr>
          <w:jc w:val="center"/>
        </w:trPr>
        <w:tc>
          <w:tcPr>
            <w:tcW w:w="3899" w:type="dxa"/>
          </w:tcPr>
          <w:p w14:paraId="3BCEA485" w14:textId="77777777" w:rsidR="00F73D5B" w:rsidRPr="008B7A21" w:rsidRDefault="00F73D5B" w:rsidP="00767A6A">
            <w:pPr>
              <w:pStyle w:val="Tabletext"/>
              <w:jc w:val="left"/>
              <w:rPr>
                <w:sz w:val="18"/>
                <w:szCs w:val="18"/>
                <w:lang w:val="es-ES_tradnl"/>
              </w:rPr>
            </w:pPr>
            <w:r w:rsidRPr="008B7A21">
              <w:rPr>
                <w:sz w:val="18"/>
                <w:szCs w:val="18"/>
                <w:lang w:val="es-ES_tradnl"/>
              </w:rPr>
              <w:t>a1. Estación maestra</w:t>
            </w:r>
          </w:p>
          <w:p w14:paraId="018A6527" w14:textId="77777777" w:rsidR="00F73D5B" w:rsidRPr="008B7A21" w:rsidRDefault="00F73D5B" w:rsidP="00767A6A">
            <w:pPr>
              <w:pStyle w:val="Tabletext"/>
              <w:rPr>
                <w:sz w:val="18"/>
                <w:szCs w:val="18"/>
                <w:lang w:val="es-ES_tradnl"/>
              </w:rPr>
            </w:pPr>
            <w:r w:rsidRPr="008B7A21">
              <w:rPr>
                <w:sz w:val="18"/>
                <w:szCs w:val="18"/>
                <w:lang w:val="es-ES_tradnl"/>
              </w:rPr>
              <w:t>a2. Estación secundaria</w:t>
            </w:r>
          </w:p>
        </w:tc>
        <w:tc>
          <w:tcPr>
            <w:tcW w:w="1204" w:type="dxa"/>
          </w:tcPr>
          <w:p w14:paraId="35572CAF" w14:textId="77777777" w:rsidR="00F73D5B" w:rsidRPr="008B7A21" w:rsidRDefault="00F73D5B" w:rsidP="00767A6A">
            <w:pPr>
              <w:pStyle w:val="Tabletext"/>
              <w:rPr>
                <w:sz w:val="18"/>
                <w:szCs w:val="18"/>
                <w:lang w:val="es-ES_tradnl"/>
              </w:rPr>
            </w:pPr>
          </w:p>
        </w:tc>
        <w:tc>
          <w:tcPr>
            <w:tcW w:w="1560" w:type="dxa"/>
          </w:tcPr>
          <w:p w14:paraId="6C5A1329" w14:textId="77777777" w:rsidR="00F73D5B" w:rsidRPr="008B7A21" w:rsidRDefault="00F73D5B" w:rsidP="00767A6A">
            <w:pPr>
              <w:pStyle w:val="Tabletext"/>
              <w:rPr>
                <w:sz w:val="18"/>
                <w:szCs w:val="18"/>
                <w:lang w:val="es-ES_tradnl"/>
              </w:rPr>
            </w:pPr>
            <w:r w:rsidRPr="008B7A21">
              <w:rPr>
                <w:sz w:val="18"/>
                <w:szCs w:val="18"/>
                <w:lang w:val="es-ES_tradnl"/>
              </w:rPr>
              <w:t>87 000</w:t>
            </w:r>
          </w:p>
          <w:p w14:paraId="569DEC37" w14:textId="77777777" w:rsidR="00F73D5B" w:rsidRPr="008B7A21" w:rsidRDefault="00F73D5B" w:rsidP="00767A6A">
            <w:pPr>
              <w:pStyle w:val="Tabletext"/>
              <w:rPr>
                <w:sz w:val="18"/>
                <w:szCs w:val="18"/>
                <w:lang w:val="es-ES_tradnl"/>
              </w:rPr>
            </w:pPr>
            <w:r w:rsidRPr="008B7A21">
              <w:rPr>
                <w:sz w:val="18"/>
                <w:szCs w:val="18"/>
                <w:lang w:val="es-ES_tradnl"/>
              </w:rPr>
              <w:t>34 000</w:t>
            </w:r>
          </w:p>
        </w:tc>
        <w:tc>
          <w:tcPr>
            <w:tcW w:w="1559" w:type="dxa"/>
          </w:tcPr>
          <w:p w14:paraId="037BD3D3" w14:textId="77777777" w:rsidR="00F73D5B" w:rsidRPr="008B7A21" w:rsidRDefault="00F73D5B" w:rsidP="00767A6A">
            <w:pPr>
              <w:pStyle w:val="Tabletext"/>
              <w:rPr>
                <w:sz w:val="18"/>
                <w:szCs w:val="18"/>
                <w:lang w:val="es-ES_tradnl"/>
              </w:rPr>
            </w:pPr>
          </w:p>
        </w:tc>
        <w:tc>
          <w:tcPr>
            <w:tcW w:w="1417" w:type="dxa"/>
          </w:tcPr>
          <w:p w14:paraId="4079F0F6" w14:textId="77777777" w:rsidR="00F73D5B" w:rsidRPr="008B7A21" w:rsidRDefault="00F73D5B" w:rsidP="00767A6A">
            <w:pPr>
              <w:pStyle w:val="Tabletext"/>
              <w:rPr>
                <w:sz w:val="18"/>
                <w:szCs w:val="18"/>
                <w:lang w:val="es-ES_tradnl"/>
              </w:rPr>
            </w:pPr>
          </w:p>
        </w:tc>
      </w:tr>
      <w:tr w:rsidR="00F73D5B" w:rsidRPr="008B7A21" w14:paraId="2EDAB429" w14:textId="77777777" w:rsidTr="00767A6A">
        <w:trPr>
          <w:jc w:val="center"/>
        </w:trPr>
        <w:tc>
          <w:tcPr>
            <w:tcW w:w="3899" w:type="dxa"/>
          </w:tcPr>
          <w:p w14:paraId="132A6EB4" w14:textId="77777777" w:rsidR="00F73D5B" w:rsidRPr="008B7A21" w:rsidRDefault="00F73D5B" w:rsidP="00767A6A">
            <w:pPr>
              <w:pStyle w:val="Tabletext"/>
              <w:ind w:left="284" w:hanging="284"/>
              <w:jc w:val="left"/>
              <w:rPr>
                <w:sz w:val="18"/>
                <w:szCs w:val="18"/>
                <w:lang w:val="es-ES_tradnl"/>
              </w:rPr>
            </w:pPr>
            <w:r w:rsidRPr="008B7A21">
              <w:rPr>
                <w:sz w:val="18"/>
                <w:szCs w:val="18"/>
                <w:lang w:val="es-ES_tradnl"/>
              </w:rPr>
              <w:t>b1.</w:t>
            </w:r>
            <w:r w:rsidRPr="008B7A21">
              <w:rPr>
                <w:sz w:val="18"/>
                <w:szCs w:val="18"/>
                <w:lang w:val="es-ES_tradnl"/>
              </w:rPr>
              <w:tab/>
              <w:t>Enlaces de entre 1 y 24 canales telefónicos o menos de 2,1 Mbit/s</w:t>
            </w:r>
          </w:p>
          <w:p w14:paraId="5DE5BB24" w14:textId="77777777" w:rsidR="00F73D5B" w:rsidRPr="008B7A21" w:rsidRDefault="00F73D5B" w:rsidP="00767A6A">
            <w:pPr>
              <w:pStyle w:val="Tabletext"/>
              <w:ind w:left="284" w:hanging="284"/>
              <w:jc w:val="left"/>
              <w:rPr>
                <w:sz w:val="18"/>
                <w:szCs w:val="18"/>
                <w:lang w:val="es-ES_tradnl"/>
              </w:rPr>
            </w:pPr>
            <w:r w:rsidRPr="008B7A21">
              <w:rPr>
                <w:sz w:val="18"/>
                <w:szCs w:val="18"/>
                <w:lang w:val="es-ES_tradnl"/>
              </w:rPr>
              <w:t>b2.</w:t>
            </w:r>
            <w:r w:rsidRPr="008B7A21">
              <w:rPr>
                <w:sz w:val="18"/>
                <w:szCs w:val="18"/>
                <w:lang w:val="es-ES_tradnl"/>
              </w:rPr>
              <w:tab/>
              <w:t>Enlaces de entre 25 y 120 canales telefónicos o entre 2,1 y 8 Mbit/s</w:t>
            </w:r>
          </w:p>
          <w:p w14:paraId="5149466B" w14:textId="77777777" w:rsidR="00F73D5B" w:rsidRPr="008B7A21" w:rsidRDefault="00F73D5B" w:rsidP="00767A6A">
            <w:pPr>
              <w:pStyle w:val="Tabletext"/>
              <w:ind w:left="284" w:hanging="284"/>
              <w:jc w:val="left"/>
              <w:rPr>
                <w:sz w:val="18"/>
                <w:szCs w:val="18"/>
                <w:lang w:val="es-ES_tradnl"/>
              </w:rPr>
            </w:pPr>
            <w:r w:rsidRPr="008B7A21">
              <w:rPr>
                <w:sz w:val="18"/>
                <w:szCs w:val="18"/>
                <w:lang w:val="es-ES_tradnl"/>
              </w:rPr>
              <w:t>b3.</w:t>
            </w:r>
            <w:r w:rsidRPr="008B7A21">
              <w:rPr>
                <w:sz w:val="18"/>
                <w:szCs w:val="18"/>
                <w:lang w:val="es-ES_tradnl"/>
              </w:rPr>
              <w:tab/>
              <w:t>Enlaces de entre 121 y 600 canales telefónicos o entre 8 y 34 Mbit/se</w:t>
            </w:r>
          </w:p>
          <w:p w14:paraId="031F57C2" w14:textId="77777777" w:rsidR="00F73D5B" w:rsidRPr="008B7A21" w:rsidRDefault="00F73D5B" w:rsidP="00767A6A">
            <w:pPr>
              <w:pStyle w:val="Tabletext"/>
              <w:ind w:left="284" w:hanging="284"/>
              <w:jc w:val="left"/>
              <w:rPr>
                <w:sz w:val="18"/>
                <w:szCs w:val="18"/>
                <w:lang w:val="es-ES_tradnl"/>
              </w:rPr>
            </w:pPr>
            <w:r w:rsidRPr="008B7A21">
              <w:rPr>
                <w:sz w:val="18"/>
                <w:szCs w:val="18"/>
                <w:lang w:val="es-ES_tradnl"/>
              </w:rPr>
              <w:t>b4.</w:t>
            </w:r>
            <w:r w:rsidRPr="008B7A21">
              <w:rPr>
                <w:sz w:val="18"/>
                <w:szCs w:val="18"/>
                <w:lang w:val="es-ES_tradnl"/>
              </w:rPr>
              <w:tab/>
              <w:t>Enlaces con más de 600 canales telefónicos o más de 34 Mbit/s</w:t>
            </w:r>
          </w:p>
        </w:tc>
        <w:tc>
          <w:tcPr>
            <w:tcW w:w="1204" w:type="dxa"/>
          </w:tcPr>
          <w:p w14:paraId="64765BA1" w14:textId="77777777" w:rsidR="00F73D5B" w:rsidRPr="008B7A21" w:rsidRDefault="00F73D5B" w:rsidP="00767A6A">
            <w:pPr>
              <w:pStyle w:val="Tabletext"/>
              <w:rPr>
                <w:sz w:val="18"/>
                <w:szCs w:val="18"/>
                <w:lang w:val="es-ES_tradnl"/>
              </w:rPr>
            </w:pPr>
          </w:p>
        </w:tc>
        <w:tc>
          <w:tcPr>
            <w:tcW w:w="1560" w:type="dxa"/>
          </w:tcPr>
          <w:p w14:paraId="2BA62B80" w14:textId="77777777" w:rsidR="00F73D5B" w:rsidRPr="008B7A21" w:rsidRDefault="00F73D5B" w:rsidP="00767A6A">
            <w:pPr>
              <w:pStyle w:val="Tabletext"/>
              <w:rPr>
                <w:sz w:val="18"/>
                <w:szCs w:val="18"/>
                <w:lang w:val="es-ES_tradnl"/>
              </w:rPr>
            </w:pPr>
          </w:p>
        </w:tc>
        <w:tc>
          <w:tcPr>
            <w:tcW w:w="1559" w:type="dxa"/>
          </w:tcPr>
          <w:p w14:paraId="20DF8938" w14:textId="77777777" w:rsidR="00F73D5B" w:rsidRPr="008B7A21" w:rsidRDefault="00F73D5B" w:rsidP="00767A6A">
            <w:pPr>
              <w:pStyle w:val="Tabletext"/>
              <w:rPr>
                <w:sz w:val="18"/>
                <w:szCs w:val="18"/>
                <w:lang w:val="es-ES_tradnl"/>
              </w:rPr>
            </w:pPr>
          </w:p>
        </w:tc>
        <w:tc>
          <w:tcPr>
            <w:tcW w:w="1417" w:type="dxa"/>
          </w:tcPr>
          <w:p w14:paraId="3A9FFA44" w14:textId="77777777" w:rsidR="00F73D5B" w:rsidRPr="008B7A21" w:rsidRDefault="00F73D5B" w:rsidP="00767A6A">
            <w:pPr>
              <w:pStyle w:val="Tabletext"/>
              <w:rPr>
                <w:sz w:val="18"/>
                <w:szCs w:val="18"/>
                <w:lang w:val="es-ES_tradnl"/>
              </w:rPr>
            </w:pPr>
            <w:r w:rsidRPr="008B7A21">
              <w:rPr>
                <w:sz w:val="18"/>
                <w:szCs w:val="18"/>
                <w:lang w:val="es-ES_tradnl"/>
              </w:rPr>
              <w:br/>
              <w:t>1 160 000</w:t>
            </w:r>
          </w:p>
          <w:p w14:paraId="2650E323" w14:textId="77777777" w:rsidR="00F73D5B" w:rsidRPr="008B7A21" w:rsidRDefault="00F73D5B" w:rsidP="00767A6A">
            <w:pPr>
              <w:pStyle w:val="Tabletext"/>
              <w:rPr>
                <w:sz w:val="18"/>
                <w:szCs w:val="18"/>
                <w:lang w:val="es-ES_tradnl"/>
              </w:rPr>
            </w:pPr>
            <w:r w:rsidRPr="008B7A21">
              <w:rPr>
                <w:sz w:val="18"/>
                <w:szCs w:val="18"/>
                <w:lang w:val="es-ES_tradnl"/>
              </w:rPr>
              <w:br/>
              <w:t>1 450 000</w:t>
            </w:r>
          </w:p>
          <w:p w14:paraId="082686CA" w14:textId="77777777" w:rsidR="00F73D5B" w:rsidRPr="008B7A21" w:rsidRDefault="00F73D5B" w:rsidP="00767A6A">
            <w:pPr>
              <w:pStyle w:val="Tabletext"/>
              <w:rPr>
                <w:sz w:val="18"/>
                <w:szCs w:val="18"/>
                <w:lang w:val="es-ES_tradnl"/>
              </w:rPr>
            </w:pPr>
            <w:r w:rsidRPr="008B7A21">
              <w:rPr>
                <w:sz w:val="18"/>
                <w:szCs w:val="18"/>
                <w:lang w:val="es-ES_tradnl"/>
              </w:rPr>
              <w:br/>
              <w:t>1 740 000</w:t>
            </w:r>
          </w:p>
          <w:p w14:paraId="490DBB64" w14:textId="77777777" w:rsidR="00F73D5B" w:rsidRPr="008B7A21" w:rsidRDefault="00F73D5B" w:rsidP="00767A6A">
            <w:pPr>
              <w:pStyle w:val="Tabletext"/>
              <w:rPr>
                <w:sz w:val="18"/>
                <w:szCs w:val="18"/>
                <w:lang w:val="es-ES_tradnl"/>
              </w:rPr>
            </w:pPr>
            <w:r w:rsidRPr="008B7A21">
              <w:rPr>
                <w:sz w:val="18"/>
                <w:szCs w:val="18"/>
                <w:lang w:val="es-ES_tradnl"/>
              </w:rPr>
              <w:br/>
              <w:t>2 900 000</w:t>
            </w:r>
          </w:p>
        </w:tc>
      </w:tr>
      <w:tr w:rsidR="00F73D5B" w:rsidRPr="008B7A21" w14:paraId="0F53D663" w14:textId="77777777" w:rsidTr="00767A6A">
        <w:trPr>
          <w:jc w:val="center"/>
        </w:trPr>
        <w:tc>
          <w:tcPr>
            <w:tcW w:w="3899" w:type="dxa"/>
          </w:tcPr>
          <w:p w14:paraId="173E51A7" w14:textId="77777777" w:rsidR="00F73D5B" w:rsidRPr="008B7A21" w:rsidRDefault="00F73D5B" w:rsidP="00767A6A">
            <w:pPr>
              <w:pStyle w:val="Tabletext"/>
              <w:ind w:left="284" w:hanging="284"/>
              <w:jc w:val="left"/>
              <w:rPr>
                <w:sz w:val="18"/>
                <w:szCs w:val="18"/>
                <w:lang w:val="es-ES_tradnl"/>
              </w:rPr>
            </w:pPr>
            <w:r w:rsidRPr="008B7A21">
              <w:rPr>
                <w:sz w:val="18"/>
                <w:szCs w:val="18"/>
                <w:lang w:val="es-ES_tradnl"/>
              </w:rPr>
              <w:t>I.2. Estación terrena internacional independiente</w:t>
            </w:r>
          </w:p>
        </w:tc>
        <w:tc>
          <w:tcPr>
            <w:tcW w:w="1204" w:type="dxa"/>
          </w:tcPr>
          <w:p w14:paraId="4CCF3574" w14:textId="77777777" w:rsidR="00F73D5B" w:rsidRPr="008B7A21" w:rsidRDefault="00F73D5B" w:rsidP="00767A6A">
            <w:pPr>
              <w:pStyle w:val="Tabletext"/>
              <w:rPr>
                <w:sz w:val="18"/>
                <w:szCs w:val="18"/>
                <w:lang w:val="es-ES_tradnl"/>
              </w:rPr>
            </w:pPr>
            <w:r w:rsidRPr="008B7A21">
              <w:rPr>
                <w:sz w:val="18"/>
                <w:szCs w:val="18"/>
                <w:lang w:val="es-ES_tradnl"/>
              </w:rPr>
              <w:t>116 000</w:t>
            </w:r>
          </w:p>
        </w:tc>
        <w:tc>
          <w:tcPr>
            <w:tcW w:w="1560" w:type="dxa"/>
          </w:tcPr>
          <w:p w14:paraId="44428F69" w14:textId="77777777" w:rsidR="00F73D5B" w:rsidRPr="008B7A21" w:rsidRDefault="00F73D5B" w:rsidP="00767A6A">
            <w:pPr>
              <w:pStyle w:val="Tabletext"/>
              <w:rPr>
                <w:sz w:val="18"/>
                <w:szCs w:val="18"/>
                <w:lang w:val="es-ES_tradnl"/>
              </w:rPr>
            </w:pPr>
            <w:r w:rsidRPr="008B7A21">
              <w:rPr>
                <w:sz w:val="18"/>
                <w:szCs w:val="18"/>
                <w:lang w:val="es-ES_tradnl"/>
              </w:rPr>
              <w:t>34 800</w:t>
            </w:r>
          </w:p>
        </w:tc>
        <w:tc>
          <w:tcPr>
            <w:tcW w:w="1559" w:type="dxa"/>
          </w:tcPr>
          <w:p w14:paraId="48849B0B" w14:textId="77777777" w:rsidR="00F73D5B" w:rsidRPr="008B7A21" w:rsidRDefault="00F73D5B" w:rsidP="00767A6A">
            <w:pPr>
              <w:pStyle w:val="Tabletext"/>
              <w:rPr>
                <w:sz w:val="18"/>
                <w:szCs w:val="18"/>
                <w:lang w:val="es-ES_tradnl"/>
              </w:rPr>
            </w:pPr>
            <w:r w:rsidRPr="008B7A21">
              <w:rPr>
                <w:sz w:val="18"/>
                <w:szCs w:val="18"/>
                <w:lang w:val="es-ES_tradnl"/>
              </w:rPr>
              <w:t>580 000</w:t>
            </w:r>
          </w:p>
        </w:tc>
        <w:tc>
          <w:tcPr>
            <w:tcW w:w="1417" w:type="dxa"/>
          </w:tcPr>
          <w:p w14:paraId="223CBE0E" w14:textId="77777777" w:rsidR="00F73D5B" w:rsidRPr="008B7A21" w:rsidRDefault="00F73D5B" w:rsidP="00767A6A">
            <w:pPr>
              <w:pStyle w:val="Tabletext"/>
              <w:rPr>
                <w:sz w:val="18"/>
                <w:szCs w:val="18"/>
                <w:lang w:val="es-ES_tradnl"/>
              </w:rPr>
            </w:pPr>
            <w:r w:rsidRPr="008B7A21">
              <w:rPr>
                <w:sz w:val="18"/>
                <w:szCs w:val="18"/>
                <w:lang w:val="es-ES_tradnl"/>
              </w:rPr>
              <w:t>348 000</w:t>
            </w:r>
          </w:p>
        </w:tc>
      </w:tr>
      <w:tr w:rsidR="00F73D5B" w:rsidRPr="008B7A21" w14:paraId="7009E02F" w14:textId="77777777" w:rsidTr="00767A6A">
        <w:trPr>
          <w:jc w:val="center"/>
        </w:trPr>
        <w:tc>
          <w:tcPr>
            <w:tcW w:w="3899" w:type="dxa"/>
          </w:tcPr>
          <w:p w14:paraId="1E544964" w14:textId="77777777" w:rsidR="00F73D5B" w:rsidRPr="008B7A21" w:rsidRDefault="00F73D5B" w:rsidP="00767A6A">
            <w:pPr>
              <w:pStyle w:val="Tabletext"/>
              <w:jc w:val="left"/>
              <w:rPr>
                <w:sz w:val="18"/>
                <w:szCs w:val="18"/>
                <w:lang w:val="es-ES_tradnl"/>
              </w:rPr>
            </w:pPr>
            <w:r w:rsidRPr="008B7A21">
              <w:rPr>
                <w:sz w:val="18"/>
                <w:szCs w:val="18"/>
                <w:lang w:val="es-ES_tradnl"/>
              </w:rPr>
              <w:t>I.3.</w:t>
            </w:r>
            <w:r w:rsidRPr="008B7A21">
              <w:rPr>
                <w:sz w:val="18"/>
                <w:szCs w:val="18"/>
                <w:lang w:val="es-ES_tradnl"/>
              </w:rPr>
              <w:tab/>
              <w:t>Pequeñas estaciones terrenas secundarias internacionales (VSAT)</w:t>
            </w:r>
          </w:p>
        </w:tc>
        <w:tc>
          <w:tcPr>
            <w:tcW w:w="1204" w:type="dxa"/>
          </w:tcPr>
          <w:p w14:paraId="2290485D" w14:textId="77777777" w:rsidR="00F73D5B" w:rsidRPr="008B7A21" w:rsidRDefault="00F73D5B" w:rsidP="00767A6A">
            <w:pPr>
              <w:pStyle w:val="Tabletext"/>
              <w:rPr>
                <w:sz w:val="18"/>
                <w:szCs w:val="18"/>
                <w:lang w:val="es-ES_tradnl"/>
              </w:rPr>
            </w:pPr>
            <w:r w:rsidRPr="008B7A21">
              <w:rPr>
                <w:sz w:val="18"/>
                <w:szCs w:val="18"/>
                <w:lang w:val="es-ES_tradnl"/>
              </w:rPr>
              <w:t>58 000</w:t>
            </w:r>
          </w:p>
        </w:tc>
        <w:tc>
          <w:tcPr>
            <w:tcW w:w="1560" w:type="dxa"/>
          </w:tcPr>
          <w:p w14:paraId="1434D2C2" w14:textId="77777777" w:rsidR="00F73D5B" w:rsidRPr="008B7A21" w:rsidRDefault="00F73D5B" w:rsidP="00767A6A">
            <w:pPr>
              <w:pStyle w:val="Tabletext"/>
              <w:rPr>
                <w:sz w:val="18"/>
                <w:szCs w:val="18"/>
                <w:lang w:val="es-ES_tradnl"/>
              </w:rPr>
            </w:pPr>
            <w:r w:rsidRPr="008B7A21">
              <w:rPr>
                <w:sz w:val="18"/>
                <w:szCs w:val="18"/>
                <w:lang w:val="es-ES_tradnl"/>
              </w:rPr>
              <w:t>34 800</w:t>
            </w:r>
          </w:p>
        </w:tc>
        <w:tc>
          <w:tcPr>
            <w:tcW w:w="1559" w:type="dxa"/>
          </w:tcPr>
          <w:p w14:paraId="49860E14" w14:textId="77777777" w:rsidR="00F73D5B" w:rsidRPr="008B7A21" w:rsidRDefault="00F73D5B" w:rsidP="00767A6A">
            <w:pPr>
              <w:pStyle w:val="Tabletext"/>
              <w:rPr>
                <w:sz w:val="18"/>
                <w:szCs w:val="18"/>
                <w:lang w:val="es-ES_tradnl"/>
              </w:rPr>
            </w:pPr>
            <w:r w:rsidRPr="008B7A21">
              <w:rPr>
                <w:sz w:val="18"/>
                <w:szCs w:val="18"/>
                <w:lang w:val="es-ES_tradnl"/>
              </w:rPr>
              <w:t>174 000</w:t>
            </w:r>
          </w:p>
        </w:tc>
        <w:tc>
          <w:tcPr>
            <w:tcW w:w="1417" w:type="dxa"/>
          </w:tcPr>
          <w:p w14:paraId="36D6F88C" w14:textId="77777777" w:rsidR="00F73D5B" w:rsidRPr="008B7A21" w:rsidRDefault="00F73D5B" w:rsidP="00767A6A">
            <w:pPr>
              <w:pStyle w:val="Tabletext"/>
              <w:rPr>
                <w:sz w:val="18"/>
                <w:szCs w:val="18"/>
                <w:lang w:val="es-ES_tradnl"/>
              </w:rPr>
            </w:pPr>
            <w:r w:rsidRPr="008B7A21">
              <w:rPr>
                <w:sz w:val="18"/>
                <w:szCs w:val="18"/>
                <w:lang w:val="es-ES_tradnl"/>
              </w:rPr>
              <w:t>145 000</w:t>
            </w:r>
          </w:p>
        </w:tc>
      </w:tr>
      <w:tr w:rsidR="00F73D5B" w:rsidRPr="008B7A21" w14:paraId="0633134E" w14:textId="77777777" w:rsidTr="00767A6A">
        <w:trPr>
          <w:jc w:val="center"/>
        </w:trPr>
        <w:tc>
          <w:tcPr>
            <w:tcW w:w="3899" w:type="dxa"/>
          </w:tcPr>
          <w:p w14:paraId="45EA564C" w14:textId="77777777" w:rsidR="00F73D5B" w:rsidRPr="008B7A21" w:rsidRDefault="00F73D5B" w:rsidP="00767A6A">
            <w:pPr>
              <w:pStyle w:val="Tabletext"/>
              <w:rPr>
                <w:sz w:val="18"/>
                <w:szCs w:val="18"/>
                <w:lang w:val="es-ES_tradnl"/>
              </w:rPr>
            </w:pPr>
            <w:r w:rsidRPr="008B7A21">
              <w:rPr>
                <w:sz w:val="18"/>
                <w:szCs w:val="18"/>
                <w:lang w:val="es-ES_tradnl"/>
              </w:rPr>
              <w:t>I.4. Estación terrena transportable o móvil</w:t>
            </w:r>
          </w:p>
        </w:tc>
        <w:tc>
          <w:tcPr>
            <w:tcW w:w="1204" w:type="dxa"/>
          </w:tcPr>
          <w:p w14:paraId="49FD78C0" w14:textId="77777777" w:rsidR="00F73D5B" w:rsidRPr="008B7A21" w:rsidRDefault="00F73D5B" w:rsidP="00767A6A">
            <w:pPr>
              <w:pStyle w:val="Tabletext"/>
              <w:rPr>
                <w:sz w:val="18"/>
                <w:szCs w:val="18"/>
                <w:lang w:val="es-ES_tradnl"/>
              </w:rPr>
            </w:pPr>
            <w:r w:rsidRPr="008B7A21">
              <w:rPr>
                <w:sz w:val="18"/>
                <w:szCs w:val="18"/>
                <w:lang w:val="es-ES_tradnl"/>
              </w:rPr>
              <w:t>58 000</w:t>
            </w:r>
          </w:p>
        </w:tc>
        <w:tc>
          <w:tcPr>
            <w:tcW w:w="1560" w:type="dxa"/>
          </w:tcPr>
          <w:p w14:paraId="1C0E411C" w14:textId="77777777" w:rsidR="00F73D5B" w:rsidRPr="008B7A21" w:rsidRDefault="00F73D5B" w:rsidP="00767A6A">
            <w:pPr>
              <w:pStyle w:val="Tabletext"/>
              <w:rPr>
                <w:sz w:val="18"/>
                <w:szCs w:val="18"/>
                <w:lang w:val="es-ES_tradnl"/>
              </w:rPr>
            </w:pPr>
            <w:r w:rsidRPr="008B7A21">
              <w:rPr>
                <w:sz w:val="18"/>
                <w:szCs w:val="18"/>
                <w:lang w:val="es-ES_tradnl"/>
              </w:rPr>
              <w:t>29 000</w:t>
            </w:r>
          </w:p>
        </w:tc>
        <w:tc>
          <w:tcPr>
            <w:tcW w:w="1559" w:type="dxa"/>
          </w:tcPr>
          <w:p w14:paraId="69E47D1A" w14:textId="77777777" w:rsidR="00F73D5B" w:rsidRPr="008B7A21" w:rsidRDefault="00F73D5B" w:rsidP="00767A6A">
            <w:pPr>
              <w:pStyle w:val="Tabletext"/>
              <w:rPr>
                <w:sz w:val="18"/>
                <w:szCs w:val="18"/>
                <w:lang w:val="es-ES_tradnl"/>
              </w:rPr>
            </w:pPr>
            <w:r w:rsidRPr="008B7A21">
              <w:rPr>
                <w:sz w:val="18"/>
                <w:szCs w:val="18"/>
                <w:lang w:val="es-ES_tradnl"/>
              </w:rPr>
              <w:t>145 000</w:t>
            </w:r>
          </w:p>
        </w:tc>
        <w:tc>
          <w:tcPr>
            <w:tcW w:w="1417" w:type="dxa"/>
          </w:tcPr>
          <w:p w14:paraId="7DA0358B" w14:textId="77777777" w:rsidR="00F73D5B" w:rsidRPr="008B7A21" w:rsidRDefault="00F73D5B" w:rsidP="00767A6A">
            <w:pPr>
              <w:pStyle w:val="Tabletext"/>
              <w:rPr>
                <w:sz w:val="18"/>
                <w:szCs w:val="18"/>
                <w:lang w:val="es-ES_tradnl"/>
              </w:rPr>
            </w:pPr>
            <w:r w:rsidRPr="008B7A21">
              <w:rPr>
                <w:sz w:val="18"/>
                <w:szCs w:val="18"/>
                <w:lang w:val="es-ES_tradnl"/>
              </w:rPr>
              <w:t>116 000</w:t>
            </w:r>
          </w:p>
        </w:tc>
      </w:tr>
      <w:tr w:rsidR="00F73D5B" w:rsidRPr="008B7A21" w14:paraId="1ED77519" w14:textId="77777777" w:rsidTr="00767A6A">
        <w:trPr>
          <w:jc w:val="center"/>
        </w:trPr>
        <w:tc>
          <w:tcPr>
            <w:tcW w:w="3899" w:type="dxa"/>
          </w:tcPr>
          <w:p w14:paraId="707849E9" w14:textId="77777777" w:rsidR="00F73D5B" w:rsidRPr="008B7A21" w:rsidRDefault="00F73D5B" w:rsidP="00767A6A">
            <w:pPr>
              <w:pStyle w:val="Tabletext"/>
              <w:rPr>
                <w:sz w:val="18"/>
                <w:szCs w:val="18"/>
                <w:lang w:val="es-ES_tradnl"/>
              </w:rPr>
            </w:pPr>
            <w:r w:rsidRPr="008B7A21">
              <w:rPr>
                <w:sz w:val="18"/>
                <w:szCs w:val="18"/>
                <w:lang w:val="es-ES_tradnl"/>
              </w:rPr>
              <w:t>I.5. Estación terrena de recepción individual</w:t>
            </w:r>
          </w:p>
        </w:tc>
        <w:tc>
          <w:tcPr>
            <w:tcW w:w="1204" w:type="dxa"/>
          </w:tcPr>
          <w:p w14:paraId="51B860C9" w14:textId="77777777" w:rsidR="00F73D5B" w:rsidRPr="008B7A21" w:rsidRDefault="00F73D5B" w:rsidP="00767A6A">
            <w:pPr>
              <w:pStyle w:val="Tabletext"/>
              <w:rPr>
                <w:sz w:val="18"/>
                <w:szCs w:val="18"/>
                <w:lang w:val="es-ES_tradnl"/>
              </w:rPr>
            </w:pPr>
            <w:r w:rsidRPr="008B7A21">
              <w:rPr>
                <w:sz w:val="18"/>
                <w:szCs w:val="18"/>
                <w:lang w:val="es-ES_tradnl"/>
              </w:rPr>
              <w:t>11 600</w:t>
            </w:r>
          </w:p>
        </w:tc>
        <w:tc>
          <w:tcPr>
            <w:tcW w:w="1560" w:type="dxa"/>
          </w:tcPr>
          <w:p w14:paraId="2965E3A6" w14:textId="77777777" w:rsidR="00F73D5B" w:rsidRPr="008B7A21" w:rsidRDefault="00F73D5B" w:rsidP="00767A6A">
            <w:pPr>
              <w:pStyle w:val="Tabletext"/>
              <w:rPr>
                <w:sz w:val="18"/>
                <w:szCs w:val="18"/>
                <w:lang w:val="es-ES_tradnl"/>
              </w:rPr>
            </w:pPr>
            <w:r w:rsidRPr="008B7A21">
              <w:rPr>
                <w:sz w:val="18"/>
                <w:szCs w:val="18"/>
                <w:lang w:val="es-ES_tradnl"/>
              </w:rPr>
              <w:t>14 500</w:t>
            </w:r>
          </w:p>
        </w:tc>
        <w:tc>
          <w:tcPr>
            <w:tcW w:w="1559" w:type="dxa"/>
          </w:tcPr>
          <w:p w14:paraId="44DB2EF9" w14:textId="77777777" w:rsidR="00F73D5B" w:rsidRPr="008B7A21" w:rsidRDefault="00F73D5B" w:rsidP="00767A6A">
            <w:pPr>
              <w:pStyle w:val="Tabletext"/>
              <w:rPr>
                <w:sz w:val="18"/>
                <w:szCs w:val="18"/>
                <w:lang w:val="es-ES_tradnl"/>
              </w:rPr>
            </w:pPr>
            <w:r w:rsidRPr="008B7A21">
              <w:rPr>
                <w:sz w:val="18"/>
                <w:szCs w:val="18"/>
                <w:lang w:val="es-ES_tradnl"/>
              </w:rPr>
              <w:t>Nada</w:t>
            </w:r>
          </w:p>
        </w:tc>
        <w:tc>
          <w:tcPr>
            <w:tcW w:w="1417" w:type="dxa"/>
          </w:tcPr>
          <w:p w14:paraId="27A5CDDE" w14:textId="77777777" w:rsidR="00F73D5B" w:rsidRPr="008B7A21" w:rsidRDefault="00F73D5B" w:rsidP="00767A6A">
            <w:pPr>
              <w:pStyle w:val="Tabletext"/>
              <w:rPr>
                <w:sz w:val="18"/>
                <w:szCs w:val="18"/>
                <w:lang w:val="es-ES_tradnl"/>
              </w:rPr>
            </w:pPr>
            <w:r w:rsidRPr="008B7A21">
              <w:rPr>
                <w:sz w:val="18"/>
                <w:szCs w:val="18"/>
                <w:lang w:val="es-ES_tradnl"/>
              </w:rPr>
              <w:t>Nada</w:t>
            </w:r>
          </w:p>
        </w:tc>
      </w:tr>
      <w:tr w:rsidR="00F73D5B" w:rsidRPr="008B7A21" w14:paraId="69F94672" w14:textId="77777777" w:rsidTr="00767A6A">
        <w:trPr>
          <w:jc w:val="center"/>
        </w:trPr>
        <w:tc>
          <w:tcPr>
            <w:tcW w:w="3899" w:type="dxa"/>
          </w:tcPr>
          <w:p w14:paraId="4AB40371" w14:textId="77777777" w:rsidR="00F73D5B" w:rsidRPr="008B7A21" w:rsidRDefault="00F73D5B" w:rsidP="00767A6A">
            <w:pPr>
              <w:pStyle w:val="Tabletext"/>
              <w:ind w:left="284" w:hanging="284"/>
              <w:jc w:val="left"/>
              <w:rPr>
                <w:sz w:val="18"/>
                <w:szCs w:val="18"/>
                <w:lang w:val="es-ES_tradnl"/>
              </w:rPr>
            </w:pPr>
            <w:r w:rsidRPr="008B7A21">
              <w:rPr>
                <w:sz w:val="18"/>
                <w:szCs w:val="18"/>
                <w:lang w:val="es-ES_tradnl"/>
              </w:rPr>
              <w:lastRenderedPageBreak/>
              <w:t>II.</w:t>
            </w:r>
            <w:r w:rsidRPr="008B7A21">
              <w:rPr>
                <w:sz w:val="18"/>
                <w:szCs w:val="18"/>
                <w:lang w:val="es-ES_tradnl"/>
              </w:rPr>
              <w:tab/>
              <w:t>ESTACIONES Y REDES TERRENALES ABIERTAS AL PÚBLICO (servicios comerciales)</w:t>
            </w:r>
          </w:p>
        </w:tc>
        <w:tc>
          <w:tcPr>
            <w:tcW w:w="1204" w:type="dxa"/>
          </w:tcPr>
          <w:p w14:paraId="76F4EB33" w14:textId="77777777" w:rsidR="00F73D5B" w:rsidRPr="008B7A21" w:rsidRDefault="00F73D5B" w:rsidP="00767A6A">
            <w:pPr>
              <w:pStyle w:val="Tabletext"/>
              <w:rPr>
                <w:sz w:val="18"/>
                <w:szCs w:val="18"/>
                <w:lang w:val="es-ES_tradnl"/>
              </w:rPr>
            </w:pPr>
          </w:p>
        </w:tc>
        <w:tc>
          <w:tcPr>
            <w:tcW w:w="1560" w:type="dxa"/>
          </w:tcPr>
          <w:p w14:paraId="2CF00BF9" w14:textId="77777777" w:rsidR="00F73D5B" w:rsidRPr="008B7A21" w:rsidRDefault="00F73D5B" w:rsidP="00767A6A">
            <w:pPr>
              <w:pStyle w:val="Tabletext"/>
              <w:rPr>
                <w:sz w:val="18"/>
                <w:szCs w:val="18"/>
                <w:lang w:val="es-ES_tradnl"/>
              </w:rPr>
            </w:pPr>
          </w:p>
        </w:tc>
        <w:tc>
          <w:tcPr>
            <w:tcW w:w="1559" w:type="dxa"/>
          </w:tcPr>
          <w:p w14:paraId="10082075" w14:textId="77777777" w:rsidR="00F73D5B" w:rsidRPr="008B7A21" w:rsidRDefault="00F73D5B" w:rsidP="00767A6A">
            <w:pPr>
              <w:pStyle w:val="Tabletext"/>
              <w:rPr>
                <w:sz w:val="18"/>
                <w:szCs w:val="18"/>
                <w:lang w:val="es-ES_tradnl"/>
              </w:rPr>
            </w:pPr>
          </w:p>
        </w:tc>
        <w:tc>
          <w:tcPr>
            <w:tcW w:w="1417" w:type="dxa"/>
          </w:tcPr>
          <w:p w14:paraId="22D1E98B" w14:textId="77777777" w:rsidR="00F73D5B" w:rsidRPr="008B7A21" w:rsidRDefault="00F73D5B" w:rsidP="00767A6A">
            <w:pPr>
              <w:pStyle w:val="Tabletext"/>
              <w:rPr>
                <w:sz w:val="18"/>
                <w:szCs w:val="18"/>
                <w:lang w:val="es-ES_tradnl"/>
              </w:rPr>
            </w:pPr>
          </w:p>
        </w:tc>
      </w:tr>
      <w:tr w:rsidR="00F73D5B" w:rsidRPr="008B7A21" w14:paraId="3A9EF114" w14:textId="77777777" w:rsidTr="00767A6A">
        <w:trPr>
          <w:jc w:val="center"/>
        </w:trPr>
        <w:tc>
          <w:tcPr>
            <w:tcW w:w="3899" w:type="dxa"/>
          </w:tcPr>
          <w:p w14:paraId="1B107229" w14:textId="77777777" w:rsidR="00F73D5B" w:rsidRPr="008B7A21" w:rsidRDefault="00F73D5B" w:rsidP="00767A6A">
            <w:pPr>
              <w:pStyle w:val="Tabletext"/>
              <w:rPr>
                <w:sz w:val="18"/>
                <w:szCs w:val="18"/>
                <w:lang w:val="es-ES_tradnl"/>
              </w:rPr>
            </w:pPr>
            <w:r w:rsidRPr="008B7A21">
              <w:rPr>
                <w:sz w:val="18"/>
                <w:szCs w:val="18"/>
                <w:lang w:val="es-ES_tradnl"/>
              </w:rPr>
              <w:t>II.1. Red nacional abierta al público</w:t>
            </w:r>
          </w:p>
        </w:tc>
        <w:tc>
          <w:tcPr>
            <w:tcW w:w="1204" w:type="dxa"/>
          </w:tcPr>
          <w:p w14:paraId="60F85434" w14:textId="77777777" w:rsidR="00F73D5B" w:rsidRPr="008B7A21" w:rsidRDefault="00F73D5B" w:rsidP="00767A6A">
            <w:pPr>
              <w:pStyle w:val="Tabletext"/>
              <w:rPr>
                <w:sz w:val="18"/>
                <w:szCs w:val="18"/>
                <w:lang w:val="es-ES_tradnl"/>
              </w:rPr>
            </w:pPr>
            <w:r w:rsidRPr="008B7A21">
              <w:rPr>
                <w:sz w:val="18"/>
                <w:szCs w:val="18"/>
                <w:lang w:val="es-ES_tradnl"/>
              </w:rPr>
              <w:t>3 770 000</w:t>
            </w:r>
          </w:p>
        </w:tc>
        <w:tc>
          <w:tcPr>
            <w:tcW w:w="1560" w:type="dxa"/>
          </w:tcPr>
          <w:p w14:paraId="31C32968" w14:textId="77777777" w:rsidR="00F73D5B" w:rsidRPr="008B7A21" w:rsidRDefault="00F73D5B" w:rsidP="00767A6A">
            <w:pPr>
              <w:pStyle w:val="Tabletext"/>
              <w:rPr>
                <w:sz w:val="18"/>
                <w:szCs w:val="18"/>
                <w:lang w:val="es-ES_tradnl"/>
              </w:rPr>
            </w:pPr>
          </w:p>
        </w:tc>
        <w:tc>
          <w:tcPr>
            <w:tcW w:w="1559" w:type="dxa"/>
          </w:tcPr>
          <w:p w14:paraId="27183E71" w14:textId="77777777" w:rsidR="00F73D5B" w:rsidRPr="008B7A21" w:rsidRDefault="00F73D5B" w:rsidP="00767A6A">
            <w:pPr>
              <w:pStyle w:val="Tabletext"/>
              <w:rPr>
                <w:sz w:val="18"/>
                <w:szCs w:val="18"/>
                <w:lang w:val="es-ES_tradnl"/>
              </w:rPr>
            </w:pPr>
            <w:r w:rsidRPr="008B7A21">
              <w:rPr>
                <w:sz w:val="18"/>
                <w:szCs w:val="18"/>
                <w:lang w:val="es-ES_tradnl"/>
              </w:rPr>
              <w:t>29 000 000</w:t>
            </w:r>
          </w:p>
        </w:tc>
        <w:tc>
          <w:tcPr>
            <w:tcW w:w="1417" w:type="dxa"/>
          </w:tcPr>
          <w:p w14:paraId="68204FB6" w14:textId="77777777" w:rsidR="00F73D5B" w:rsidRPr="008B7A21" w:rsidRDefault="00F73D5B" w:rsidP="00767A6A">
            <w:pPr>
              <w:pStyle w:val="Tabletext"/>
              <w:rPr>
                <w:sz w:val="18"/>
                <w:szCs w:val="18"/>
                <w:lang w:val="es-ES_tradnl"/>
              </w:rPr>
            </w:pPr>
          </w:p>
        </w:tc>
      </w:tr>
      <w:tr w:rsidR="00F73D5B" w:rsidRPr="008B7A21" w14:paraId="6103FD74" w14:textId="77777777" w:rsidTr="00767A6A">
        <w:trPr>
          <w:jc w:val="center"/>
        </w:trPr>
        <w:tc>
          <w:tcPr>
            <w:tcW w:w="3899" w:type="dxa"/>
          </w:tcPr>
          <w:p w14:paraId="7E935EAF" w14:textId="77777777" w:rsidR="00F73D5B" w:rsidRPr="008B7A21" w:rsidRDefault="00F73D5B" w:rsidP="00767A6A">
            <w:pPr>
              <w:pStyle w:val="Tabletext"/>
              <w:jc w:val="left"/>
              <w:rPr>
                <w:sz w:val="18"/>
                <w:szCs w:val="18"/>
                <w:lang w:val="es-ES_tradnl"/>
              </w:rPr>
            </w:pPr>
            <w:r w:rsidRPr="008B7A21">
              <w:rPr>
                <w:sz w:val="18"/>
                <w:szCs w:val="18"/>
                <w:lang w:val="es-ES_tradnl"/>
              </w:rPr>
              <w:t>a1.</w:t>
            </w:r>
            <w:r w:rsidRPr="008B7A21">
              <w:rPr>
                <w:sz w:val="18"/>
                <w:szCs w:val="18"/>
                <w:lang w:val="es-ES_tradnl"/>
              </w:rPr>
              <w:tab/>
              <w:t>Estación terrenal aeronáutica o costera</w:t>
            </w:r>
          </w:p>
          <w:p w14:paraId="76A45848" w14:textId="77777777" w:rsidR="00F73D5B" w:rsidRPr="008B7A21" w:rsidRDefault="00F73D5B" w:rsidP="00767A6A">
            <w:pPr>
              <w:pStyle w:val="Tabletext"/>
              <w:ind w:left="284" w:hanging="284"/>
              <w:jc w:val="left"/>
              <w:rPr>
                <w:sz w:val="18"/>
                <w:szCs w:val="18"/>
                <w:lang w:val="es-ES_tradnl"/>
              </w:rPr>
            </w:pPr>
            <w:r w:rsidRPr="008B7A21">
              <w:rPr>
                <w:sz w:val="18"/>
                <w:szCs w:val="18"/>
                <w:lang w:val="es-ES_tradnl"/>
              </w:rPr>
              <w:t>a2.</w:t>
            </w:r>
            <w:r w:rsidRPr="008B7A21">
              <w:rPr>
                <w:sz w:val="18"/>
                <w:szCs w:val="18"/>
                <w:lang w:val="es-ES_tradnl"/>
              </w:rPr>
              <w:tab/>
              <w:t>Estación terrenal aeronáutica-marítima o terrenal</w:t>
            </w:r>
          </w:p>
        </w:tc>
        <w:tc>
          <w:tcPr>
            <w:tcW w:w="1204" w:type="dxa"/>
          </w:tcPr>
          <w:p w14:paraId="19DBB3FA" w14:textId="77777777" w:rsidR="00F73D5B" w:rsidRPr="008B7A21" w:rsidRDefault="00F73D5B" w:rsidP="00767A6A">
            <w:pPr>
              <w:pStyle w:val="Tabletext"/>
              <w:rPr>
                <w:sz w:val="18"/>
                <w:szCs w:val="18"/>
                <w:lang w:val="es-ES_tradnl"/>
              </w:rPr>
            </w:pPr>
          </w:p>
        </w:tc>
        <w:tc>
          <w:tcPr>
            <w:tcW w:w="1560" w:type="dxa"/>
          </w:tcPr>
          <w:p w14:paraId="1C942E00" w14:textId="77777777" w:rsidR="00F73D5B" w:rsidRPr="008B7A21" w:rsidRDefault="00F73D5B" w:rsidP="00767A6A">
            <w:pPr>
              <w:pStyle w:val="Tabletext"/>
              <w:rPr>
                <w:sz w:val="18"/>
                <w:szCs w:val="18"/>
                <w:lang w:val="es-ES_tradnl"/>
              </w:rPr>
            </w:pPr>
            <w:r w:rsidRPr="008B7A21">
              <w:rPr>
                <w:sz w:val="18"/>
                <w:szCs w:val="18"/>
                <w:lang w:val="es-ES_tradnl"/>
              </w:rPr>
              <w:br/>
              <w:t>87 000</w:t>
            </w:r>
          </w:p>
          <w:p w14:paraId="7BB587F8" w14:textId="77777777" w:rsidR="00F73D5B" w:rsidRPr="008B7A21" w:rsidRDefault="00F73D5B" w:rsidP="00767A6A">
            <w:pPr>
              <w:pStyle w:val="Tabletext"/>
              <w:rPr>
                <w:sz w:val="18"/>
                <w:szCs w:val="18"/>
                <w:lang w:val="es-ES_tradnl"/>
              </w:rPr>
            </w:pPr>
            <w:r w:rsidRPr="008B7A21">
              <w:rPr>
                <w:sz w:val="18"/>
                <w:szCs w:val="18"/>
                <w:lang w:val="es-ES_tradnl"/>
              </w:rPr>
              <w:t>58 000</w:t>
            </w:r>
          </w:p>
        </w:tc>
        <w:tc>
          <w:tcPr>
            <w:tcW w:w="1559" w:type="dxa"/>
          </w:tcPr>
          <w:p w14:paraId="7E2E2A5A" w14:textId="77777777" w:rsidR="00F73D5B" w:rsidRPr="008B7A21" w:rsidRDefault="00F73D5B" w:rsidP="00767A6A">
            <w:pPr>
              <w:pStyle w:val="Tabletext"/>
              <w:rPr>
                <w:sz w:val="18"/>
                <w:szCs w:val="18"/>
                <w:lang w:val="es-ES_tradnl"/>
              </w:rPr>
            </w:pPr>
          </w:p>
        </w:tc>
        <w:tc>
          <w:tcPr>
            <w:tcW w:w="1417" w:type="dxa"/>
          </w:tcPr>
          <w:p w14:paraId="4C1BC93D" w14:textId="77777777" w:rsidR="00F73D5B" w:rsidRPr="008B7A21" w:rsidRDefault="00F73D5B" w:rsidP="00767A6A">
            <w:pPr>
              <w:pStyle w:val="Tabletext"/>
              <w:rPr>
                <w:sz w:val="18"/>
                <w:szCs w:val="18"/>
                <w:lang w:val="es-ES_tradnl"/>
              </w:rPr>
            </w:pPr>
          </w:p>
        </w:tc>
      </w:tr>
      <w:tr w:rsidR="00F73D5B" w:rsidRPr="008B7A21" w14:paraId="47FD6243" w14:textId="77777777" w:rsidTr="00767A6A">
        <w:trPr>
          <w:jc w:val="center"/>
        </w:trPr>
        <w:tc>
          <w:tcPr>
            <w:tcW w:w="3899" w:type="dxa"/>
          </w:tcPr>
          <w:p w14:paraId="711F323D" w14:textId="77777777" w:rsidR="00F73D5B" w:rsidRPr="008B7A21" w:rsidRDefault="00F73D5B" w:rsidP="00767A6A">
            <w:pPr>
              <w:pStyle w:val="Tabletext"/>
              <w:ind w:left="284" w:hanging="284"/>
              <w:jc w:val="left"/>
              <w:rPr>
                <w:sz w:val="18"/>
                <w:szCs w:val="18"/>
                <w:lang w:val="es-ES_tradnl"/>
              </w:rPr>
            </w:pPr>
            <w:r w:rsidRPr="008B7A21">
              <w:rPr>
                <w:sz w:val="18"/>
                <w:szCs w:val="18"/>
                <w:lang w:val="es-ES_tradnl"/>
              </w:rPr>
              <w:t>b1.</w:t>
            </w:r>
            <w:r w:rsidRPr="008B7A21">
              <w:rPr>
                <w:sz w:val="18"/>
                <w:szCs w:val="18"/>
                <w:lang w:val="es-ES_tradnl"/>
              </w:rPr>
              <w:tab/>
              <w:t>Enlaces de entre 1 y 120 canales telefónicos o de entre 2 y 8 Mbit/s</w:t>
            </w:r>
          </w:p>
          <w:p w14:paraId="54D74BF7" w14:textId="77777777" w:rsidR="00F73D5B" w:rsidRPr="008B7A21" w:rsidRDefault="00F73D5B" w:rsidP="00767A6A">
            <w:pPr>
              <w:pStyle w:val="Tabletext"/>
              <w:ind w:left="284" w:hanging="284"/>
              <w:jc w:val="left"/>
              <w:rPr>
                <w:sz w:val="18"/>
                <w:szCs w:val="18"/>
                <w:lang w:val="es-ES_tradnl"/>
              </w:rPr>
            </w:pPr>
            <w:r w:rsidRPr="008B7A21">
              <w:rPr>
                <w:sz w:val="18"/>
                <w:szCs w:val="18"/>
                <w:lang w:val="es-ES_tradnl"/>
              </w:rPr>
              <w:t>b2.</w:t>
            </w:r>
            <w:r w:rsidRPr="008B7A21">
              <w:rPr>
                <w:sz w:val="18"/>
                <w:szCs w:val="18"/>
                <w:lang w:val="es-ES_tradnl"/>
              </w:rPr>
              <w:tab/>
              <w:t>Enlaces de entre 121 y 600 canales telefónicos o de entre 8 y 34 Mbit/s</w:t>
            </w:r>
          </w:p>
          <w:p w14:paraId="628A1BAB" w14:textId="77777777" w:rsidR="00F73D5B" w:rsidRPr="008B7A21" w:rsidRDefault="00F73D5B" w:rsidP="00767A6A">
            <w:pPr>
              <w:pStyle w:val="Tabletext"/>
              <w:ind w:left="284" w:hanging="284"/>
              <w:jc w:val="left"/>
              <w:rPr>
                <w:sz w:val="18"/>
                <w:szCs w:val="18"/>
                <w:lang w:val="es-ES_tradnl"/>
              </w:rPr>
            </w:pPr>
            <w:r w:rsidRPr="008B7A21">
              <w:rPr>
                <w:sz w:val="18"/>
                <w:szCs w:val="18"/>
                <w:lang w:val="es-ES_tradnl"/>
              </w:rPr>
              <w:t>b3.</w:t>
            </w:r>
            <w:r w:rsidRPr="008B7A21">
              <w:rPr>
                <w:sz w:val="18"/>
                <w:szCs w:val="18"/>
                <w:lang w:val="es-ES_tradnl"/>
              </w:rPr>
              <w:tab/>
              <w:t>Enlaces de entre 601 y 1200 canales telefónicos o de entre 34 y 70 Mbit/s</w:t>
            </w:r>
          </w:p>
          <w:p w14:paraId="67546043" w14:textId="77777777" w:rsidR="00F73D5B" w:rsidRPr="008B7A21" w:rsidRDefault="00F73D5B" w:rsidP="00767A6A">
            <w:pPr>
              <w:pStyle w:val="Tabletext"/>
              <w:ind w:left="284" w:hanging="284"/>
              <w:rPr>
                <w:sz w:val="18"/>
                <w:szCs w:val="18"/>
                <w:lang w:val="es-ES_tradnl"/>
              </w:rPr>
            </w:pPr>
            <w:r w:rsidRPr="008B7A21">
              <w:rPr>
                <w:sz w:val="18"/>
                <w:szCs w:val="18"/>
                <w:lang w:val="es-ES_tradnl"/>
              </w:rPr>
              <w:t>b4.</w:t>
            </w:r>
            <w:r w:rsidRPr="008B7A21">
              <w:rPr>
                <w:sz w:val="18"/>
                <w:szCs w:val="18"/>
                <w:lang w:val="es-ES_tradnl"/>
              </w:rPr>
              <w:tab/>
              <w:t>Enlaces con más de 1200 canales telefónicos o más de 70 Mbit/s</w:t>
            </w:r>
          </w:p>
        </w:tc>
        <w:tc>
          <w:tcPr>
            <w:tcW w:w="1204" w:type="dxa"/>
          </w:tcPr>
          <w:p w14:paraId="2AFDCED2" w14:textId="77777777" w:rsidR="00F73D5B" w:rsidRPr="008B7A21" w:rsidRDefault="00F73D5B" w:rsidP="00767A6A">
            <w:pPr>
              <w:pStyle w:val="Tabletext"/>
              <w:rPr>
                <w:sz w:val="18"/>
                <w:szCs w:val="18"/>
                <w:lang w:val="es-ES_tradnl"/>
              </w:rPr>
            </w:pPr>
          </w:p>
        </w:tc>
        <w:tc>
          <w:tcPr>
            <w:tcW w:w="1560" w:type="dxa"/>
          </w:tcPr>
          <w:p w14:paraId="65F41804" w14:textId="77777777" w:rsidR="00F73D5B" w:rsidRPr="008B7A21" w:rsidRDefault="00F73D5B" w:rsidP="00767A6A">
            <w:pPr>
              <w:pStyle w:val="Tabletext"/>
              <w:rPr>
                <w:sz w:val="18"/>
                <w:szCs w:val="18"/>
                <w:lang w:val="es-ES_tradnl"/>
              </w:rPr>
            </w:pPr>
          </w:p>
        </w:tc>
        <w:tc>
          <w:tcPr>
            <w:tcW w:w="1559" w:type="dxa"/>
          </w:tcPr>
          <w:p w14:paraId="604A4777" w14:textId="77777777" w:rsidR="00F73D5B" w:rsidRPr="008B7A21" w:rsidRDefault="00F73D5B" w:rsidP="00767A6A">
            <w:pPr>
              <w:pStyle w:val="Tabletext"/>
              <w:rPr>
                <w:sz w:val="18"/>
                <w:szCs w:val="18"/>
                <w:lang w:val="es-ES_tradnl"/>
              </w:rPr>
            </w:pPr>
          </w:p>
        </w:tc>
        <w:tc>
          <w:tcPr>
            <w:tcW w:w="1417" w:type="dxa"/>
          </w:tcPr>
          <w:p w14:paraId="1CA47D4B" w14:textId="77777777" w:rsidR="00F73D5B" w:rsidRPr="008B7A21" w:rsidRDefault="00F73D5B" w:rsidP="00767A6A">
            <w:pPr>
              <w:pStyle w:val="Tabletext"/>
              <w:rPr>
                <w:sz w:val="18"/>
                <w:szCs w:val="18"/>
                <w:lang w:val="es-ES_tradnl"/>
              </w:rPr>
            </w:pPr>
            <w:r w:rsidRPr="008B7A21">
              <w:rPr>
                <w:sz w:val="18"/>
                <w:szCs w:val="18"/>
                <w:lang w:val="es-ES_tradnl"/>
              </w:rPr>
              <w:br/>
              <w:t>5 800 000</w:t>
            </w:r>
          </w:p>
          <w:p w14:paraId="6D6770A6" w14:textId="77777777" w:rsidR="00F73D5B" w:rsidRPr="008B7A21" w:rsidRDefault="00F73D5B" w:rsidP="00767A6A">
            <w:pPr>
              <w:pStyle w:val="Tabletext"/>
              <w:rPr>
                <w:sz w:val="18"/>
                <w:szCs w:val="18"/>
                <w:lang w:val="es-ES_tradnl"/>
              </w:rPr>
            </w:pPr>
            <w:r w:rsidRPr="008B7A21">
              <w:rPr>
                <w:sz w:val="18"/>
                <w:szCs w:val="18"/>
                <w:lang w:val="es-ES_tradnl"/>
              </w:rPr>
              <w:br/>
              <w:t>10 440 000</w:t>
            </w:r>
          </w:p>
          <w:p w14:paraId="3459784E" w14:textId="77777777" w:rsidR="00F73D5B" w:rsidRPr="008B7A21" w:rsidRDefault="00F73D5B" w:rsidP="00767A6A">
            <w:pPr>
              <w:pStyle w:val="Tabletext"/>
              <w:rPr>
                <w:sz w:val="18"/>
                <w:szCs w:val="18"/>
                <w:lang w:val="es-ES_tradnl"/>
              </w:rPr>
            </w:pPr>
            <w:r w:rsidRPr="008B7A21">
              <w:rPr>
                <w:sz w:val="18"/>
                <w:szCs w:val="18"/>
                <w:lang w:val="es-ES_tradnl"/>
              </w:rPr>
              <w:br/>
              <w:t>14 500 000</w:t>
            </w:r>
          </w:p>
          <w:p w14:paraId="676926AB" w14:textId="77777777" w:rsidR="00F73D5B" w:rsidRPr="008B7A21" w:rsidRDefault="00F73D5B" w:rsidP="00767A6A">
            <w:pPr>
              <w:pStyle w:val="Tabletext"/>
              <w:rPr>
                <w:sz w:val="18"/>
                <w:szCs w:val="18"/>
                <w:lang w:val="es-ES_tradnl"/>
              </w:rPr>
            </w:pPr>
            <w:r w:rsidRPr="008B7A21">
              <w:rPr>
                <w:sz w:val="18"/>
                <w:szCs w:val="18"/>
                <w:lang w:val="es-ES_tradnl"/>
              </w:rPr>
              <w:br/>
              <w:t>17 400 000</w:t>
            </w:r>
          </w:p>
        </w:tc>
      </w:tr>
      <w:tr w:rsidR="00F73D5B" w:rsidRPr="008B7A21" w14:paraId="12F9CA40" w14:textId="77777777" w:rsidTr="00767A6A">
        <w:trPr>
          <w:jc w:val="center"/>
        </w:trPr>
        <w:tc>
          <w:tcPr>
            <w:tcW w:w="3899" w:type="dxa"/>
          </w:tcPr>
          <w:p w14:paraId="5EAF6CA5" w14:textId="77777777" w:rsidR="00F73D5B" w:rsidRPr="008B7A21" w:rsidRDefault="00F73D5B" w:rsidP="00767A6A">
            <w:pPr>
              <w:pStyle w:val="Tabletext"/>
              <w:tabs>
                <w:tab w:val="clear" w:pos="567"/>
                <w:tab w:val="left" w:pos="454"/>
              </w:tabs>
              <w:rPr>
                <w:sz w:val="18"/>
                <w:szCs w:val="18"/>
                <w:lang w:val="es-ES_tradnl"/>
              </w:rPr>
            </w:pPr>
            <w:r w:rsidRPr="008B7A21">
              <w:rPr>
                <w:sz w:val="18"/>
                <w:szCs w:val="18"/>
                <w:lang w:val="es-ES_tradnl"/>
              </w:rPr>
              <w:t>II.2.</w:t>
            </w:r>
            <w:r w:rsidRPr="008B7A21">
              <w:rPr>
                <w:sz w:val="18"/>
                <w:szCs w:val="18"/>
                <w:lang w:val="es-ES_tradnl"/>
              </w:rPr>
              <w:tab/>
              <w:t>Estaciones terrenales terrestres vinculadas a redes públicas internacionales</w:t>
            </w:r>
          </w:p>
        </w:tc>
        <w:tc>
          <w:tcPr>
            <w:tcW w:w="1204" w:type="dxa"/>
          </w:tcPr>
          <w:p w14:paraId="0AE7DAA6" w14:textId="77777777" w:rsidR="00F73D5B" w:rsidRPr="008B7A21" w:rsidRDefault="00F73D5B" w:rsidP="00767A6A">
            <w:pPr>
              <w:pStyle w:val="Tabletext"/>
              <w:rPr>
                <w:sz w:val="18"/>
                <w:szCs w:val="18"/>
                <w:lang w:val="es-ES_tradnl"/>
              </w:rPr>
            </w:pPr>
            <w:r w:rsidRPr="008B7A21">
              <w:rPr>
                <w:sz w:val="18"/>
                <w:szCs w:val="18"/>
                <w:lang w:val="es-ES_tradnl"/>
              </w:rPr>
              <w:t>1 740 000</w:t>
            </w:r>
          </w:p>
        </w:tc>
        <w:tc>
          <w:tcPr>
            <w:tcW w:w="1560" w:type="dxa"/>
          </w:tcPr>
          <w:p w14:paraId="7BBBCA93" w14:textId="77777777" w:rsidR="00F73D5B" w:rsidRPr="008B7A21" w:rsidRDefault="00F73D5B" w:rsidP="00767A6A">
            <w:pPr>
              <w:pStyle w:val="Tabletext"/>
              <w:rPr>
                <w:sz w:val="18"/>
                <w:szCs w:val="18"/>
                <w:lang w:val="es-ES_tradnl"/>
              </w:rPr>
            </w:pPr>
            <w:r w:rsidRPr="008B7A21">
              <w:rPr>
                <w:sz w:val="18"/>
                <w:szCs w:val="18"/>
                <w:lang w:val="es-ES_tradnl"/>
              </w:rPr>
              <w:t>87 000</w:t>
            </w:r>
          </w:p>
        </w:tc>
        <w:tc>
          <w:tcPr>
            <w:tcW w:w="1559" w:type="dxa"/>
          </w:tcPr>
          <w:p w14:paraId="6E57530C" w14:textId="77777777" w:rsidR="00F73D5B" w:rsidRPr="008B7A21" w:rsidRDefault="00F73D5B" w:rsidP="00767A6A">
            <w:pPr>
              <w:pStyle w:val="Tabletext"/>
              <w:rPr>
                <w:sz w:val="18"/>
                <w:szCs w:val="18"/>
                <w:lang w:val="es-ES_tradnl"/>
              </w:rPr>
            </w:pPr>
            <w:r w:rsidRPr="008B7A21">
              <w:rPr>
                <w:sz w:val="18"/>
                <w:szCs w:val="18"/>
                <w:lang w:val="es-ES_tradnl"/>
              </w:rPr>
              <w:t>11 600 000</w:t>
            </w:r>
          </w:p>
        </w:tc>
        <w:tc>
          <w:tcPr>
            <w:tcW w:w="1417" w:type="dxa"/>
          </w:tcPr>
          <w:p w14:paraId="2719F80F" w14:textId="77777777" w:rsidR="00F73D5B" w:rsidRPr="008B7A21" w:rsidRDefault="00F73D5B" w:rsidP="00767A6A">
            <w:pPr>
              <w:pStyle w:val="Tabletext"/>
              <w:rPr>
                <w:sz w:val="18"/>
                <w:szCs w:val="18"/>
                <w:lang w:val="es-ES_tradnl"/>
              </w:rPr>
            </w:pPr>
            <w:r w:rsidRPr="008B7A21">
              <w:rPr>
                <w:sz w:val="18"/>
                <w:szCs w:val="18"/>
                <w:lang w:val="es-ES_tradnl"/>
              </w:rPr>
              <w:t>3 480 000</w:t>
            </w:r>
          </w:p>
          <w:p w14:paraId="2A4E254D" w14:textId="77777777" w:rsidR="00F73D5B" w:rsidRPr="008B7A21" w:rsidRDefault="00F73D5B" w:rsidP="00767A6A">
            <w:pPr>
              <w:pStyle w:val="Tabletext"/>
              <w:rPr>
                <w:sz w:val="18"/>
                <w:szCs w:val="18"/>
                <w:lang w:val="es-ES_tradnl"/>
              </w:rPr>
            </w:pPr>
          </w:p>
        </w:tc>
      </w:tr>
      <w:tr w:rsidR="00F73D5B" w:rsidRPr="008B7A21" w14:paraId="08C3FADC" w14:textId="77777777" w:rsidTr="00767A6A">
        <w:trPr>
          <w:jc w:val="center"/>
        </w:trPr>
        <w:tc>
          <w:tcPr>
            <w:tcW w:w="3899" w:type="dxa"/>
          </w:tcPr>
          <w:p w14:paraId="13D0B379" w14:textId="77777777" w:rsidR="00F73D5B" w:rsidRPr="008B7A21" w:rsidRDefault="00F73D5B" w:rsidP="00767A6A">
            <w:pPr>
              <w:pStyle w:val="Tabletext"/>
              <w:tabs>
                <w:tab w:val="clear" w:pos="567"/>
                <w:tab w:val="left" w:pos="454"/>
              </w:tabs>
              <w:jc w:val="left"/>
              <w:rPr>
                <w:sz w:val="18"/>
                <w:szCs w:val="18"/>
                <w:lang w:val="es-ES_tradnl"/>
              </w:rPr>
            </w:pPr>
            <w:r w:rsidRPr="008B7A21">
              <w:rPr>
                <w:sz w:val="18"/>
                <w:szCs w:val="18"/>
                <w:lang w:val="es-ES_tradnl"/>
              </w:rPr>
              <w:t>II.3.</w:t>
            </w:r>
            <w:r w:rsidRPr="008B7A21">
              <w:rPr>
                <w:sz w:val="18"/>
                <w:szCs w:val="18"/>
                <w:lang w:val="es-ES_tradnl"/>
              </w:rPr>
              <w:tab/>
              <w:t>Estaciones terrenales vinculadas a redes internacionales independientes</w:t>
            </w:r>
          </w:p>
        </w:tc>
        <w:tc>
          <w:tcPr>
            <w:tcW w:w="1204" w:type="dxa"/>
          </w:tcPr>
          <w:p w14:paraId="4881E19A" w14:textId="77777777" w:rsidR="00F73D5B" w:rsidRPr="008B7A21" w:rsidRDefault="00F73D5B" w:rsidP="00767A6A">
            <w:pPr>
              <w:pStyle w:val="Tabletext"/>
              <w:rPr>
                <w:sz w:val="18"/>
                <w:szCs w:val="18"/>
                <w:lang w:val="es-ES_tradnl"/>
              </w:rPr>
            </w:pPr>
            <w:r w:rsidRPr="008B7A21">
              <w:rPr>
                <w:sz w:val="18"/>
                <w:szCs w:val="18"/>
                <w:lang w:val="es-ES_tradnl"/>
              </w:rPr>
              <w:t>870 000</w:t>
            </w:r>
          </w:p>
        </w:tc>
        <w:tc>
          <w:tcPr>
            <w:tcW w:w="1560" w:type="dxa"/>
          </w:tcPr>
          <w:p w14:paraId="39B8B713" w14:textId="77777777" w:rsidR="00F73D5B" w:rsidRPr="008B7A21" w:rsidRDefault="00F73D5B" w:rsidP="00767A6A">
            <w:pPr>
              <w:pStyle w:val="Tabletext"/>
              <w:rPr>
                <w:sz w:val="18"/>
                <w:szCs w:val="18"/>
                <w:lang w:val="es-ES_tradnl"/>
              </w:rPr>
            </w:pPr>
            <w:r w:rsidRPr="008B7A21">
              <w:rPr>
                <w:sz w:val="18"/>
                <w:szCs w:val="18"/>
                <w:lang w:val="es-ES_tradnl"/>
              </w:rPr>
              <w:t>34 800</w:t>
            </w:r>
          </w:p>
        </w:tc>
        <w:tc>
          <w:tcPr>
            <w:tcW w:w="1559" w:type="dxa"/>
          </w:tcPr>
          <w:p w14:paraId="7E541D7A" w14:textId="77777777" w:rsidR="00F73D5B" w:rsidRPr="008B7A21" w:rsidRDefault="00F73D5B" w:rsidP="00767A6A">
            <w:pPr>
              <w:pStyle w:val="Tabletext"/>
              <w:rPr>
                <w:sz w:val="18"/>
                <w:szCs w:val="18"/>
                <w:lang w:val="es-ES_tradnl"/>
              </w:rPr>
            </w:pPr>
            <w:r w:rsidRPr="008B7A21">
              <w:rPr>
                <w:sz w:val="18"/>
                <w:szCs w:val="18"/>
                <w:lang w:val="es-ES_tradnl"/>
              </w:rPr>
              <w:t>5 800 000</w:t>
            </w:r>
          </w:p>
        </w:tc>
        <w:tc>
          <w:tcPr>
            <w:tcW w:w="1417" w:type="dxa"/>
          </w:tcPr>
          <w:p w14:paraId="7BFBDFC1" w14:textId="77777777" w:rsidR="00F73D5B" w:rsidRPr="008B7A21" w:rsidRDefault="00F73D5B" w:rsidP="00767A6A">
            <w:pPr>
              <w:pStyle w:val="Tabletext"/>
              <w:rPr>
                <w:sz w:val="18"/>
                <w:szCs w:val="18"/>
                <w:lang w:val="es-ES_tradnl"/>
              </w:rPr>
            </w:pPr>
            <w:r w:rsidRPr="008B7A21">
              <w:rPr>
                <w:sz w:val="18"/>
                <w:szCs w:val="18"/>
                <w:lang w:val="es-ES_tradnl"/>
              </w:rPr>
              <w:t>1 740 000</w:t>
            </w:r>
          </w:p>
        </w:tc>
      </w:tr>
      <w:tr w:rsidR="00F73D5B" w:rsidRPr="008B7A21" w14:paraId="6D5E11D9" w14:textId="77777777" w:rsidTr="00767A6A">
        <w:trPr>
          <w:jc w:val="center"/>
        </w:trPr>
        <w:tc>
          <w:tcPr>
            <w:tcW w:w="3899" w:type="dxa"/>
          </w:tcPr>
          <w:p w14:paraId="617B7441" w14:textId="77777777" w:rsidR="00F73D5B" w:rsidRPr="008B7A21" w:rsidRDefault="00F73D5B" w:rsidP="00767A6A">
            <w:pPr>
              <w:pStyle w:val="Tabletext"/>
              <w:tabs>
                <w:tab w:val="clear" w:pos="567"/>
                <w:tab w:val="left" w:pos="454"/>
              </w:tabs>
              <w:rPr>
                <w:sz w:val="18"/>
                <w:szCs w:val="18"/>
                <w:lang w:val="es-ES_tradnl"/>
              </w:rPr>
            </w:pPr>
            <w:r w:rsidRPr="008B7A21">
              <w:rPr>
                <w:sz w:val="18"/>
                <w:szCs w:val="18"/>
                <w:lang w:val="es-ES_tradnl"/>
              </w:rPr>
              <w:t>II.4.</w:t>
            </w:r>
            <w:r w:rsidRPr="008B7A21">
              <w:rPr>
                <w:sz w:val="18"/>
                <w:szCs w:val="18"/>
                <w:lang w:val="es-ES_tradnl"/>
              </w:rPr>
              <w:tab/>
              <w:t>Estaciones terrenas de recepción comunitaria</w:t>
            </w:r>
          </w:p>
        </w:tc>
        <w:tc>
          <w:tcPr>
            <w:tcW w:w="1204" w:type="dxa"/>
          </w:tcPr>
          <w:p w14:paraId="5827D381" w14:textId="77777777" w:rsidR="00F73D5B" w:rsidRPr="008B7A21" w:rsidRDefault="00F73D5B" w:rsidP="00767A6A">
            <w:pPr>
              <w:pStyle w:val="Tabletext"/>
              <w:rPr>
                <w:sz w:val="18"/>
                <w:szCs w:val="18"/>
                <w:lang w:val="es-ES_tradnl"/>
              </w:rPr>
            </w:pPr>
            <w:r w:rsidRPr="008B7A21">
              <w:rPr>
                <w:sz w:val="18"/>
                <w:szCs w:val="18"/>
                <w:lang w:val="es-ES_tradnl"/>
              </w:rPr>
              <w:t>580 000</w:t>
            </w:r>
          </w:p>
        </w:tc>
        <w:tc>
          <w:tcPr>
            <w:tcW w:w="1560" w:type="dxa"/>
          </w:tcPr>
          <w:p w14:paraId="0AE9D94D" w14:textId="77777777" w:rsidR="00F73D5B" w:rsidRPr="008B7A21" w:rsidRDefault="00F73D5B" w:rsidP="00767A6A">
            <w:pPr>
              <w:pStyle w:val="Tabletext"/>
              <w:rPr>
                <w:sz w:val="18"/>
                <w:szCs w:val="18"/>
                <w:lang w:val="es-ES_tradnl"/>
              </w:rPr>
            </w:pPr>
            <w:r w:rsidRPr="008B7A21">
              <w:rPr>
                <w:sz w:val="18"/>
                <w:szCs w:val="18"/>
                <w:lang w:val="es-ES_tradnl"/>
              </w:rPr>
              <w:t>34 800</w:t>
            </w:r>
          </w:p>
        </w:tc>
        <w:tc>
          <w:tcPr>
            <w:tcW w:w="1559" w:type="dxa"/>
          </w:tcPr>
          <w:p w14:paraId="484225DB" w14:textId="77777777" w:rsidR="00F73D5B" w:rsidRPr="008B7A21" w:rsidRDefault="00F73D5B" w:rsidP="00767A6A">
            <w:pPr>
              <w:pStyle w:val="Tabletext"/>
              <w:rPr>
                <w:sz w:val="18"/>
                <w:szCs w:val="18"/>
                <w:lang w:val="es-ES_tradnl"/>
              </w:rPr>
            </w:pPr>
            <w:r w:rsidRPr="008B7A21">
              <w:rPr>
                <w:sz w:val="18"/>
                <w:szCs w:val="18"/>
                <w:lang w:val="es-ES_tradnl"/>
              </w:rPr>
              <w:t>29 900 000</w:t>
            </w:r>
          </w:p>
        </w:tc>
        <w:tc>
          <w:tcPr>
            <w:tcW w:w="1417" w:type="dxa"/>
          </w:tcPr>
          <w:p w14:paraId="2CB315F5" w14:textId="77777777" w:rsidR="00F73D5B" w:rsidRPr="008B7A21" w:rsidRDefault="00F73D5B" w:rsidP="00767A6A">
            <w:pPr>
              <w:pStyle w:val="Tabletext"/>
              <w:rPr>
                <w:sz w:val="18"/>
                <w:szCs w:val="18"/>
                <w:lang w:val="es-ES_tradnl"/>
              </w:rPr>
            </w:pPr>
            <w:r w:rsidRPr="008B7A21">
              <w:rPr>
                <w:sz w:val="18"/>
                <w:szCs w:val="18"/>
                <w:lang w:val="es-ES_tradnl"/>
              </w:rPr>
              <w:t>580 000</w:t>
            </w:r>
          </w:p>
        </w:tc>
      </w:tr>
      <w:tr w:rsidR="00F73D5B" w:rsidRPr="008B7A21" w14:paraId="4A133C54" w14:textId="77777777" w:rsidTr="00767A6A">
        <w:trPr>
          <w:jc w:val="center"/>
        </w:trPr>
        <w:tc>
          <w:tcPr>
            <w:tcW w:w="3899" w:type="dxa"/>
          </w:tcPr>
          <w:p w14:paraId="4CDF945D" w14:textId="77777777" w:rsidR="00F73D5B" w:rsidRPr="008B7A21" w:rsidRDefault="00F73D5B" w:rsidP="00767A6A">
            <w:pPr>
              <w:pStyle w:val="Tabletext"/>
              <w:jc w:val="left"/>
              <w:rPr>
                <w:sz w:val="18"/>
                <w:szCs w:val="18"/>
                <w:lang w:val="es-ES_tradnl"/>
              </w:rPr>
            </w:pPr>
            <w:r w:rsidRPr="008B7A21">
              <w:rPr>
                <w:sz w:val="18"/>
                <w:szCs w:val="18"/>
                <w:lang w:val="es-ES_tradnl"/>
              </w:rPr>
              <w:t>a1. Recepción de menos de 5 programas</w:t>
            </w:r>
          </w:p>
          <w:p w14:paraId="384B883B" w14:textId="77777777" w:rsidR="00F73D5B" w:rsidRPr="008B7A21" w:rsidRDefault="00F73D5B" w:rsidP="00767A6A">
            <w:pPr>
              <w:pStyle w:val="Tabletext"/>
              <w:jc w:val="left"/>
              <w:rPr>
                <w:sz w:val="18"/>
                <w:szCs w:val="18"/>
                <w:lang w:val="es-ES_tradnl"/>
              </w:rPr>
            </w:pPr>
            <w:r w:rsidRPr="008B7A21">
              <w:rPr>
                <w:sz w:val="18"/>
                <w:szCs w:val="18"/>
                <w:lang w:val="es-ES_tradnl"/>
              </w:rPr>
              <w:t>a2. Recepción de entre 5 a 10 programas</w:t>
            </w:r>
          </w:p>
          <w:p w14:paraId="44B60E1C" w14:textId="77777777" w:rsidR="00F73D5B" w:rsidRPr="008B7A21" w:rsidRDefault="00F73D5B" w:rsidP="00767A6A">
            <w:pPr>
              <w:pStyle w:val="Tabletext"/>
              <w:rPr>
                <w:sz w:val="18"/>
                <w:szCs w:val="18"/>
                <w:lang w:val="es-ES_tradnl"/>
              </w:rPr>
            </w:pPr>
            <w:r w:rsidRPr="008B7A21">
              <w:rPr>
                <w:sz w:val="18"/>
                <w:szCs w:val="18"/>
                <w:lang w:val="es-ES_tradnl"/>
              </w:rPr>
              <w:t>a3. Recepción de más de 10 programas</w:t>
            </w:r>
          </w:p>
        </w:tc>
        <w:tc>
          <w:tcPr>
            <w:tcW w:w="1204" w:type="dxa"/>
          </w:tcPr>
          <w:p w14:paraId="17481760" w14:textId="77777777" w:rsidR="00F73D5B" w:rsidRPr="008B7A21" w:rsidRDefault="00F73D5B" w:rsidP="00767A6A">
            <w:pPr>
              <w:pStyle w:val="Tabletext"/>
              <w:rPr>
                <w:sz w:val="18"/>
                <w:szCs w:val="18"/>
                <w:lang w:val="es-ES_tradnl"/>
              </w:rPr>
            </w:pPr>
            <w:r w:rsidRPr="008B7A21">
              <w:rPr>
                <w:sz w:val="18"/>
                <w:szCs w:val="18"/>
                <w:lang w:val="es-ES_tradnl"/>
              </w:rPr>
              <w:t>29 000</w:t>
            </w:r>
          </w:p>
          <w:p w14:paraId="43B57120" w14:textId="77777777" w:rsidR="00F73D5B" w:rsidRPr="008B7A21" w:rsidRDefault="00F73D5B" w:rsidP="00767A6A">
            <w:pPr>
              <w:pStyle w:val="Tabletext"/>
              <w:rPr>
                <w:sz w:val="18"/>
                <w:szCs w:val="18"/>
                <w:lang w:val="es-ES_tradnl"/>
              </w:rPr>
            </w:pPr>
            <w:r w:rsidRPr="008B7A21">
              <w:rPr>
                <w:sz w:val="18"/>
                <w:szCs w:val="18"/>
                <w:lang w:val="es-ES_tradnl"/>
              </w:rPr>
              <w:t>58 000</w:t>
            </w:r>
          </w:p>
          <w:p w14:paraId="22C1BBC2" w14:textId="77777777" w:rsidR="00F73D5B" w:rsidRPr="008B7A21" w:rsidRDefault="00F73D5B" w:rsidP="00767A6A">
            <w:pPr>
              <w:pStyle w:val="Tabletext"/>
              <w:rPr>
                <w:sz w:val="18"/>
                <w:szCs w:val="18"/>
                <w:lang w:val="es-ES_tradnl"/>
              </w:rPr>
            </w:pPr>
            <w:r w:rsidRPr="008B7A21">
              <w:rPr>
                <w:sz w:val="18"/>
                <w:szCs w:val="18"/>
                <w:lang w:val="es-ES_tradnl"/>
              </w:rPr>
              <w:t>145 000</w:t>
            </w:r>
          </w:p>
        </w:tc>
        <w:tc>
          <w:tcPr>
            <w:tcW w:w="1560" w:type="dxa"/>
          </w:tcPr>
          <w:p w14:paraId="7D4CC0DD" w14:textId="77777777" w:rsidR="00F73D5B" w:rsidRPr="008B7A21" w:rsidRDefault="00F73D5B" w:rsidP="00767A6A">
            <w:pPr>
              <w:pStyle w:val="Tabletext"/>
              <w:rPr>
                <w:sz w:val="18"/>
                <w:szCs w:val="18"/>
                <w:lang w:val="es-ES_tradnl"/>
              </w:rPr>
            </w:pPr>
            <w:r w:rsidRPr="008B7A21">
              <w:rPr>
                <w:sz w:val="18"/>
                <w:szCs w:val="18"/>
                <w:lang w:val="es-ES_tradnl"/>
              </w:rPr>
              <w:t>14 500</w:t>
            </w:r>
          </w:p>
          <w:p w14:paraId="048FD1C1" w14:textId="77777777" w:rsidR="00F73D5B" w:rsidRPr="008B7A21" w:rsidRDefault="00F73D5B" w:rsidP="00767A6A">
            <w:pPr>
              <w:pStyle w:val="Tabletext"/>
              <w:rPr>
                <w:sz w:val="18"/>
                <w:szCs w:val="18"/>
                <w:lang w:val="es-ES_tradnl"/>
              </w:rPr>
            </w:pPr>
            <w:r w:rsidRPr="008B7A21">
              <w:rPr>
                <w:sz w:val="18"/>
                <w:szCs w:val="18"/>
                <w:lang w:val="es-ES_tradnl"/>
              </w:rPr>
              <w:t>29 000</w:t>
            </w:r>
          </w:p>
          <w:p w14:paraId="1C6E8925" w14:textId="77777777" w:rsidR="00F73D5B" w:rsidRPr="008B7A21" w:rsidRDefault="00F73D5B" w:rsidP="00767A6A">
            <w:pPr>
              <w:pStyle w:val="Tabletext"/>
              <w:rPr>
                <w:sz w:val="18"/>
                <w:szCs w:val="18"/>
                <w:lang w:val="es-ES_tradnl"/>
              </w:rPr>
            </w:pPr>
            <w:r w:rsidRPr="008B7A21">
              <w:rPr>
                <w:sz w:val="18"/>
                <w:szCs w:val="18"/>
                <w:lang w:val="es-ES_tradnl"/>
              </w:rPr>
              <w:t>58 000</w:t>
            </w:r>
          </w:p>
        </w:tc>
        <w:tc>
          <w:tcPr>
            <w:tcW w:w="1559" w:type="dxa"/>
          </w:tcPr>
          <w:p w14:paraId="5790147A" w14:textId="77777777" w:rsidR="00F73D5B" w:rsidRPr="008B7A21" w:rsidRDefault="00F73D5B" w:rsidP="00767A6A">
            <w:pPr>
              <w:pStyle w:val="Tabletext"/>
              <w:rPr>
                <w:sz w:val="18"/>
                <w:szCs w:val="18"/>
                <w:lang w:val="es-ES_tradnl"/>
              </w:rPr>
            </w:pPr>
            <w:r w:rsidRPr="008B7A21">
              <w:rPr>
                <w:sz w:val="18"/>
                <w:szCs w:val="18"/>
                <w:lang w:val="es-ES_tradnl"/>
              </w:rPr>
              <w:t>1 450 000</w:t>
            </w:r>
          </w:p>
          <w:p w14:paraId="4D6E6376" w14:textId="77777777" w:rsidR="00F73D5B" w:rsidRPr="008B7A21" w:rsidRDefault="00F73D5B" w:rsidP="00767A6A">
            <w:pPr>
              <w:pStyle w:val="Tabletext"/>
              <w:rPr>
                <w:sz w:val="18"/>
                <w:szCs w:val="18"/>
                <w:lang w:val="es-ES_tradnl"/>
              </w:rPr>
            </w:pPr>
            <w:r w:rsidRPr="008B7A21">
              <w:rPr>
                <w:sz w:val="18"/>
                <w:szCs w:val="18"/>
                <w:lang w:val="es-ES_tradnl"/>
              </w:rPr>
              <w:t>5 800 000</w:t>
            </w:r>
          </w:p>
          <w:p w14:paraId="1EEA8939" w14:textId="77777777" w:rsidR="00F73D5B" w:rsidRPr="008B7A21" w:rsidRDefault="00F73D5B" w:rsidP="00767A6A">
            <w:pPr>
              <w:pStyle w:val="Tabletext"/>
              <w:rPr>
                <w:sz w:val="18"/>
                <w:szCs w:val="18"/>
                <w:lang w:val="es-ES_tradnl"/>
              </w:rPr>
            </w:pPr>
            <w:r w:rsidRPr="008B7A21">
              <w:rPr>
                <w:sz w:val="18"/>
                <w:szCs w:val="18"/>
                <w:lang w:val="es-ES_tradnl"/>
              </w:rPr>
              <w:t>1 160 000</w:t>
            </w:r>
          </w:p>
        </w:tc>
        <w:tc>
          <w:tcPr>
            <w:tcW w:w="1417" w:type="dxa"/>
          </w:tcPr>
          <w:p w14:paraId="269F2401" w14:textId="77777777" w:rsidR="00F73D5B" w:rsidRPr="008B7A21" w:rsidRDefault="00F73D5B" w:rsidP="00767A6A">
            <w:pPr>
              <w:pStyle w:val="Tabletext"/>
              <w:rPr>
                <w:sz w:val="18"/>
                <w:szCs w:val="18"/>
                <w:lang w:val="es-ES_tradnl"/>
              </w:rPr>
            </w:pPr>
            <w:r w:rsidRPr="008B7A21">
              <w:rPr>
                <w:sz w:val="18"/>
                <w:szCs w:val="18"/>
                <w:lang w:val="es-ES_tradnl"/>
              </w:rPr>
              <w:t>1 450 000</w:t>
            </w:r>
          </w:p>
          <w:p w14:paraId="4234FB1A" w14:textId="77777777" w:rsidR="00F73D5B" w:rsidRPr="008B7A21" w:rsidRDefault="00F73D5B" w:rsidP="00767A6A">
            <w:pPr>
              <w:pStyle w:val="Tabletext"/>
              <w:rPr>
                <w:sz w:val="18"/>
                <w:szCs w:val="18"/>
                <w:lang w:val="es-ES_tradnl"/>
              </w:rPr>
            </w:pPr>
            <w:r w:rsidRPr="008B7A21">
              <w:rPr>
                <w:sz w:val="18"/>
                <w:szCs w:val="18"/>
                <w:lang w:val="es-ES_tradnl"/>
              </w:rPr>
              <w:t>5 800 000</w:t>
            </w:r>
          </w:p>
          <w:p w14:paraId="0591EBE4" w14:textId="77777777" w:rsidR="00F73D5B" w:rsidRPr="008B7A21" w:rsidRDefault="00F73D5B" w:rsidP="00767A6A">
            <w:pPr>
              <w:pStyle w:val="Tabletext"/>
              <w:rPr>
                <w:sz w:val="18"/>
                <w:szCs w:val="18"/>
                <w:lang w:val="es-ES_tradnl"/>
              </w:rPr>
            </w:pPr>
            <w:r w:rsidRPr="008B7A21">
              <w:rPr>
                <w:sz w:val="18"/>
                <w:szCs w:val="18"/>
                <w:lang w:val="es-ES_tradnl"/>
              </w:rPr>
              <w:t>11 600 000</w:t>
            </w:r>
          </w:p>
        </w:tc>
      </w:tr>
    </w:tbl>
    <w:p w14:paraId="5EFE4CB0" w14:textId="77777777" w:rsidR="00F73D5B" w:rsidRPr="008B7A21" w:rsidRDefault="00F73D5B" w:rsidP="00F73D5B">
      <w:pPr>
        <w:pStyle w:val="Tablefin"/>
        <w:rPr>
          <w:lang w:val="es-ES_tradnl"/>
        </w:rPr>
      </w:pPr>
    </w:p>
    <w:p w14:paraId="5CD0E489" w14:textId="77777777" w:rsidR="00F73D5B" w:rsidRPr="008B7A21" w:rsidRDefault="00F73D5B" w:rsidP="009207AE">
      <w:pPr>
        <w:pStyle w:val="Headingb"/>
        <w:spacing w:before="480" w:after="120"/>
        <w:rPr>
          <w:lang w:val="es-ES_tradnl"/>
        </w:rPr>
      </w:pPr>
      <w:bookmarkStart w:id="2285" w:name="_Toc306276914"/>
      <w:bookmarkStart w:id="2286" w:name="_Toc307921587"/>
      <w:bookmarkStart w:id="2287" w:name="_Toc307922154"/>
      <w:bookmarkStart w:id="2288" w:name="_Toc307922715"/>
      <w:bookmarkStart w:id="2289" w:name="_Toc307992064"/>
      <w:bookmarkStart w:id="2290" w:name="_Toc307993879"/>
      <w:bookmarkStart w:id="2291" w:name="_Toc307994099"/>
      <w:bookmarkStart w:id="2292" w:name="_Toc307995304"/>
      <w:bookmarkStart w:id="2293" w:name="_Toc307996505"/>
      <w:bookmarkStart w:id="2294" w:name="_Toc308010423"/>
      <w:bookmarkStart w:id="2295" w:name="_Toc499563159"/>
      <w:bookmarkStart w:id="2296" w:name="_Toc215835469"/>
      <w:r w:rsidRPr="008B7A21">
        <w:rPr>
          <w:lang w:val="es-ES_tradnl"/>
        </w:rPr>
        <w:t>C.</w:t>
      </w:r>
      <w:r w:rsidRPr="008B7A21">
        <w:rPr>
          <w:lang w:val="es-ES_tradnl"/>
        </w:rPr>
        <w:tab/>
        <w:t>UTILIZACIÓN TEMPORAL DE ESTACIONES RADIOELÉCTRICAS</w:t>
      </w:r>
      <w:bookmarkEnd w:id="2285"/>
      <w:bookmarkEnd w:id="2286"/>
      <w:bookmarkEnd w:id="2287"/>
      <w:bookmarkEnd w:id="2288"/>
      <w:bookmarkEnd w:id="2289"/>
      <w:bookmarkEnd w:id="2290"/>
      <w:bookmarkEnd w:id="2291"/>
      <w:bookmarkEnd w:id="2292"/>
      <w:bookmarkEnd w:id="2293"/>
      <w:bookmarkEnd w:id="2294"/>
      <w:bookmarkEnd w:id="2295"/>
      <w:bookmarkEnd w:id="229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1457"/>
        <w:gridCol w:w="1383"/>
        <w:gridCol w:w="1559"/>
        <w:gridCol w:w="1559"/>
      </w:tblGrid>
      <w:tr w:rsidR="00F73D5B" w:rsidRPr="008B7A21" w14:paraId="4544771B" w14:textId="77777777" w:rsidTr="00767A6A">
        <w:trPr>
          <w:jc w:val="center"/>
        </w:trPr>
        <w:tc>
          <w:tcPr>
            <w:tcW w:w="3681" w:type="dxa"/>
            <w:vAlign w:val="center"/>
          </w:tcPr>
          <w:p w14:paraId="54DC4B7D" w14:textId="77777777" w:rsidR="00F73D5B" w:rsidRPr="008B7A21" w:rsidRDefault="00F73D5B" w:rsidP="00767A6A">
            <w:pPr>
              <w:pStyle w:val="Tablehead"/>
              <w:rPr>
                <w:sz w:val="18"/>
                <w:szCs w:val="18"/>
                <w:lang w:val="es-ES_tradnl"/>
              </w:rPr>
            </w:pPr>
            <w:r w:rsidRPr="008B7A21">
              <w:rPr>
                <w:sz w:val="18"/>
                <w:szCs w:val="18"/>
                <w:lang w:val="es-ES_tradnl"/>
              </w:rPr>
              <w:t>REDES O ESTACIONES</w:t>
            </w:r>
          </w:p>
        </w:tc>
        <w:tc>
          <w:tcPr>
            <w:tcW w:w="1457" w:type="dxa"/>
            <w:vAlign w:val="center"/>
          </w:tcPr>
          <w:p w14:paraId="2248CD95" w14:textId="77777777" w:rsidR="00F73D5B" w:rsidRPr="008B7A21" w:rsidRDefault="00F73D5B" w:rsidP="00767A6A">
            <w:pPr>
              <w:pStyle w:val="Tablehead"/>
              <w:rPr>
                <w:sz w:val="18"/>
                <w:szCs w:val="18"/>
                <w:lang w:val="es-ES_tradnl"/>
              </w:rPr>
            </w:pPr>
            <w:r w:rsidRPr="008B7A21">
              <w:rPr>
                <w:sz w:val="18"/>
                <w:szCs w:val="18"/>
                <w:lang w:val="es-ES_tradnl"/>
              </w:rPr>
              <w:t xml:space="preserve">Tasa de tramitación de solicitud </w:t>
            </w:r>
          </w:p>
        </w:tc>
        <w:tc>
          <w:tcPr>
            <w:tcW w:w="1383" w:type="dxa"/>
            <w:vAlign w:val="center"/>
          </w:tcPr>
          <w:p w14:paraId="5E03986E" w14:textId="77777777" w:rsidR="00F73D5B" w:rsidRPr="008B7A21" w:rsidRDefault="00F73D5B" w:rsidP="00767A6A">
            <w:pPr>
              <w:pStyle w:val="Tablehead"/>
              <w:rPr>
                <w:sz w:val="18"/>
                <w:szCs w:val="18"/>
                <w:lang w:val="es-ES_tradnl"/>
              </w:rPr>
            </w:pPr>
            <w:r w:rsidRPr="008B7A21">
              <w:rPr>
                <w:sz w:val="18"/>
                <w:szCs w:val="18"/>
                <w:lang w:val="es-ES_tradnl"/>
              </w:rPr>
              <w:t xml:space="preserve">Tasas de control o visita </w:t>
            </w:r>
          </w:p>
        </w:tc>
        <w:tc>
          <w:tcPr>
            <w:tcW w:w="1559" w:type="dxa"/>
            <w:vAlign w:val="center"/>
          </w:tcPr>
          <w:p w14:paraId="4AFBA2DB" w14:textId="77777777" w:rsidR="00F73D5B" w:rsidRPr="008B7A21" w:rsidRDefault="00F73D5B" w:rsidP="00767A6A">
            <w:pPr>
              <w:pStyle w:val="Tablehead"/>
              <w:rPr>
                <w:sz w:val="18"/>
                <w:szCs w:val="18"/>
                <w:lang w:val="es-ES_tradnl"/>
              </w:rPr>
            </w:pPr>
            <w:r w:rsidRPr="008B7A21">
              <w:rPr>
                <w:sz w:val="18"/>
                <w:szCs w:val="18"/>
                <w:lang w:val="es-ES_tradnl"/>
              </w:rPr>
              <w:t>Contribuciones a los costes de gestión</w:t>
            </w:r>
          </w:p>
        </w:tc>
        <w:tc>
          <w:tcPr>
            <w:tcW w:w="1559" w:type="dxa"/>
            <w:vAlign w:val="center"/>
          </w:tcPr>
          <w:p w14:paraId="32A37ECE" w14:textId="77777777" w:rsidR="00F73D5B" w:rsidRPr="008B7A21" w:rsidRDefault="00F73D5B" w:rsidP="00767A6A">
            <w:pPr>
              <w:pStyle w:val="Tablehead"/>
              <w:rPr>
                <w:sz w:val="18"/>
                <w:szCs w:val="18"/>
                <w:lang w:val="es-ES_tradnl"/>
              </w:rPr>
            </w:pPr>
            <w:r w:rsidRPr="008B7A21">
              <w:rPr>
                <w:sz w:val="18"/>
                <w:szCs w:val="18"/>
                <w:lang w:val="es-ES_tradnl"/>
              </w:rPr>
              <w:t>Tasas por el uso de frecuencias y canales radioeléctricos</w:t>
            </w:r>
          </w:p>
        </w:tc>
      </w:tr>
      <w:tr w:rsidR="00F73D5B" w:rsidRPr="008B7A21" w14:paraId="3326E749" w14:textId="77777777" w:rsidTr="00767A6A">
        <w:trPr>
          <w:jc w:val="center"/>
        </w:trPr>
        <w:tc>
          <w:tcPr>
            <w:tcW w:w="3681" w:type="dxa"/>
          </w:tcPr>
          <w:p w14:paraId="6E9A3194" w14:textId="77777777" w:rsidR="00F73D5B" w:rsidRPr="008B7A21" w:rsidRDefault="00F73D5B" w:rsidP="00767A6A">
            <w:pPr>
              <w:pStyle w:val="Tabletext"/>
              <w:rPr>
                <w:sz w:val="18"/>
                <w:szCs w:val="18"/>
                <w:lang w:val="es-ES_tradnl"/>
              </w:rPr>
            </w:pPr>
            <w:r w:rsidRPr="008B7A21">
              <w:rPr>
                <w:sz w:val="18"/>
                <w:szCs w:val="18"/>
                <w:lang w:val="es-ES_tradnl"/>
              </w:rPr>
              <w:t>Servicios terrenales</w:t>
            </w:r>
          </w:p>
        </w:tc>
        <w:tc>
          <w:tcPr>
            <w:tcW w:w="1457" w:type="dxa"/>
          </w:tcPr>
          <w:p w14:paraId="2C6CF4C0" w14:textId="77777777" w:rsidR="00F73D5B" w:rsidRPr="008B7A21" w:rsidRDefault="00F73D5B" w:rsidP="00767A6A">
            <w:pPr>
              <w:pStyle w:val="Tabletext"/>
              <w:rPr>
                <w:sz w:val="18"/>
                <w:szCs w:val="18"/>
                <w:lang w:val="es-ES_tradnl"/>
              </w:rPr>
            </w:pPr>
          </w:p>
        </w:tc>
        <w:tc>
          <w:tcPr>
            <w:tcW w:w="1383" w:type="dxa"/>
          </w:tcPr>
          <w:p w14:paraId="6AF6387F" w14:textId="77777777" w:rsidR="00F73D5B" w:rsidRPr="008B7A21" w:rsidRDefault="00F73D5B" w:rsidP="00767A6A">
            <w:pPr>
              <w:pStyle w:val="Tabletext"/>
              <w:rPr>
                <w:sz w:val="18"/>
                <w:szCs w:val="18"/>
                <w:lang w:val="es-ES_tradnl"/>
              </w:rPr>
            </w:pPr>
          </w:p>
        </w:tc>
        <w:tc>
          <w:tcPr>
            <w:tcW w:w="1559" w:type="dxa"/>
          </w:tcPr>
          <w:p w14:paraId="02E25CAC" w14:textId="77777777" w:rsidR="00F73D5B" w:rsidRPr="008B7A21" w:rsidRDefault="00F73D5B" w:rsidP="00767A6A">
            <w:pPr>
              <w:pStyle w:val="Tabletext"/>
              <w:rPr>
                <w:sz w:val="18"/>
                <w:szCs w:val="18"/>
                <w:lang w:val="es-ES_tradnl"/>
              </w:rPr>
            </w:pPr>
          </w:p>
        </w:tc>
        <w:tc>
          <w:tcPr>
            <w:tcW w:w="1559" w:type="dxa"/>
          </w:tcPr>
          <w:p w14:paraId="4109E1C4" w14:textId="77777777" w:rsidR="00F73D5B" w:rsidRPr="008B7A21" w:rsidRDefault="00F73D5B" w:rsidP="00767A6A">
            <w:pPr>
              <w:pStyle w:val="Tabletext"/>
              <w:rPr>
                <w:sz w:val="18"/>
                <w:szCs w:val="18"/>
                <w:lang w:val="es-ES_tradnl"/>
              </w:rPr>
            </w:pPr>
          </w:p>
        </w:tc>
      </w:tr>
      <w:tr w:rsidR="00F73D5B" w:rsidRPr="008B7A21" w14:paraId="6DC5AEB7" w14:textId="77777777" w:rsidTr="00767A6A">
        <w:trPr>
          <w:jc w:val="center"/>
        </w:trPr>
        <w:tc>
          <w:tcPr>
            <w:tcW w:w="3681" w:type="dxa"/>
          </w:tcPr>
          <w:p w14:paraId="7683A625" w14:textId="77777777" w:rsidR="00F73D5B" w:rsidRPr="008B7A21" w:rsidRDefault="00F73D5B" w:rsidP="00767A6A">
            <w:pPr>
              <w:pStyle w:val="Tabletext"/>
              <w:jc w:val="left"/>
              <w:rPr>
                <w:sz w:val="18"/>
                <w:szCs w:val="18"/>
                <w:lang w:val="es-ES_tradnl"/>
              </w:rPr>
            </w:pPr>
            <w:r w:rsidRPr="008B7A21">
              <w:rPr>
                <w:sz w:val="18"/>
                <w:szCs w:val="18"/>
                <w:lang w:val="es-ES_tradnl"/>
              </w:rPr>
              <w:t>a1. Estación fija o de base</w:t>
            </w:r>
          </w:p>
          <w:p w14:paraId="3389D659" w14:textId="77777777" w:rsidR="00F73D5B" w:rsidRPr="008B7A21" w:rsidRDefault="00F73D5B" w:rsidP="00767A6A">
            <w:pPr>
              <w:pStyle w:val="Tabletext"/>
              <w:jc w:val="left"/>
              <w:rPr>
                <w:sz w:val="18"/>
                <w:szCs w:val="18"/>
                <w:lang w:val="es-ES_tradnl"/>
              </w:rPr>
            </w:pPr>
            <w:r w:rsidRPr="008B7A21">
              <w:rPr>
                <w:sz w:val="18"/>
                <w:szCs w:val="18"/>
                <w:lang w:val="es-ES_tradnl"/>
              </w:rPr>
              <w:t>a2. Estación móvil</w:t>
            </w:r>
          </w:p>
          <w:p w14:paraId="49F0E661" w14:textId="77777777" w:rsidR="00F73D5B" w:rsidRPr="008B7A21" w:rsidRDefault="00F73D5B" w:rsidP="00767A6A">
            <w:pPr>
              <w:pStyle w:val="Tabletext"/>
              <w:rPr>
                <w:sz w:val="18"/>
                <w:szCs w:val="18"/>
                <w:lang w:val="es-ES_tradnl"/>
              </w:rPr>
            </w:pPr>
            <w:r w:rsidRPr="008B7A21">
              <w:rPr>
                <w:sz w:val="18"/>
                <w:szCs w:val="18"/>
                <w:lang w:val="es-ES_tradnl"/>
              </w:rPr>
              <w:t>a3. Estación transportable</w:t>
            </w:r>
          </w:p>
        </w:tc>
        <w:tc>
          <w:tcPr>
            <w:tcW w:w="1457" w:type="dxa"/>
          </w:tcPr>
          <w:p w14:paraId="39C2ED1B" w14:textId="77777777" w:rsidR="00F73D5B" w:rsidRPr="008B7A21" w:rsidRDefault="00F73D5B" w:rsidP="00767A6A">
            <w:pPr>
              <w:pStyle w:val="Tabletext"/>
              <w:rPr>
                <w:sz w:val="18"/>
                <w:szCs w:val="18"/>
                <w:lang w:val="es-ES_tradnl"/>
              </w:rPr>
            </w:pPr>
            <w:r w:rsidRPr="008B7A21">
              <w:rPr>
                <w:sz w:val="18"/>
                <w:szCs w:val="18"/>
                <w:lang w:val="es-ES_tradnl"/>
              </w:rPr>
              <w:t>Nada</w:t>
            </w:r>
          </w:p>
          <w:p w14:paraId="060F04CC" w14:textId="77777777" w:rsidR="00F73D5B" w:rsidRPr="008B7A21" w:rsidRDefault="00F73D5B" w:rsidP="00767A6A">
            <w:pPr>
              <w:pStyle w:val="Tabletext"/>
              <w:rPr>
                <w:sz w:val="18"/>
                <w:szCs w:val="18"/>
                <w:lang w:val="es-ES_tradnl"/>
              </w:rPr>
            </w:pPr>
            <w:r w:rsidRPr="008B7A21">
              <w:rPr>
                <w:sz w:val="18"/>
                <w:szCs w:val="18"/>
                <w:lang w:val="es-ES_tradnl"/>
              </w:rPr>
              <w:t xml:space="preserve">Nada </w:t>
            </w:r>
          </w:p>
          <w:p w14:paraId="0937AD60" w14:textId="77777777" w:rsidR="00F73D5B" w:rsidRPr="008B7A21" w:rsidRDefault="00F73D5B" w:rsidP="00767A6A">
            <w:pPr>
              <w:pStyle w:val="Tabletext"/>
              <w:rPr>
                <w:sz w:val="18"/>
                <w:szCs w:val="18"/>
                <w:lang w:val="es-ES_tradnl"/>
              </w:rPr>
            </w:pPr>
            <w:r w:rsidRPr="008B7A21">
              <w:rPr>
                <w:sz w:val="18"/>
                <w:szCs w:val="18"/>
                <w:lang w:val="es-ES_tradnl"/>
              </w:rPr>
              <w:t>Nada</w:t>
            </w:r>
          </w:p>
        </w:tc>
        <w:tc>
          <w:tcPr>
            <w:tcW w:w="1383" w:type="dxa"/>
          </w:tcPr>
          <w:p w14:paraId="3802F63F" w14:textId="77777777" w:rsidR="00F73D5B" w:rsidRPr="008B7A21" w:rsidRDefault="00F73D5B" w:rsidP="00767A6A">
            <w:pPr>
              <w:pStyle w:val="Tabletext"/>
              <w:rPr>
                <w:sz w:val="18"/>
                <w:szCs w:val="18"/>
                <w:lang w:val="es-ES_tradnl"/>
              </w:rPr>
            </w:pPr>
            <w:r w:rsidRPr="008B7A21">
              <w:rPr>
                <w:sz w:val="18"/>
                <w:szCs w:val="18"/>
                <w:lang w:val="es-ES_tradnl"/>
              </w:rPr>
              <w:t>11 600</w:t>
            </w:r>
          </w:p>
          <w:p w14:paraId="64AD9578" w14:textId="77777777" w:rsidR="00F73D5B" w:rsidRPr="008B7A21" w:rsidRDefault="00F73D5B" w:rsidP="00767A6A">
            <w:pPr>
              <w:pStyle w:val="Tabletext"/>
              <w:rPr>
                <w:sz w:val="18"/>
                <w:szCs w:val="18"/>
                <w:lang w:val="es-ES_tradnl"/>
              </w:rPr>
            </w:pPr>
            <w:r w:rsidRPr="008B7A21">
              <w:rPr>
                <w:sz w:val="18"/>
                <w:szCs w:val="18"/>
                <w:lang w:val="es-ES_tradnl"/>
              </w:rPr>
              <w:t>8 700</w:t>
            </w:r>
          </w:p>
          <w:p w14:paraId="724BFA7A" w14:textId="77777777" w:rsidR="00F73D5B" w:rsidRPr="008B7A21" w:rsidRDefault="00F73D5B" w:rsidP="00767A6A">
            <w:pPr>
              <w:pStyle w:val="Tabletext"/>
              <w:rPr>
                <w:sz w:val="18"/>
                <w:szCs w:val="18"/>
                <w:lang w:val="es-ES_tradnl"/>
              </w:rPr>
            </w:pPr>
            <w:r w:rsidRPr="008B7A21">
              <w:rPr>
                <w:sz w:val="18"/>
                <w:szCs w:val="18"/>
                <w:lang w:val="es-ES_tradnl"/>
              </w:rPr>
              <w:t>5 800</w:t>
            </w:r>
          </w:p>
        </w:tc>
        <w:tc>
          <w:tcPr>
            <w:tcW w:w="1559" w:type="dxa"/>
          </w:tcPr>
          <w:p w14:paraId="67D50B03" w14:textId="77777777" w:rsidR="00F73D5B" w:rsidRPr="008B7A21" w:rsidRDefault="00F73D5B" w:rsidP="00767A6A">
            <w:pPr>
              <w:pStyle w:val="Tabletext"/>
              <w:jc w:val="left"/>
              <w:rPr>
                <w:sz w:val="18"/>
                <w:szCs w:val="18"/>
                <w:lang w:val="es-ES_tradnl"/>
              </w:rPr>
            </w:pPr>
            <w:r w:rsidRPr="008B7A21">
              <w:rPr>
                <w:sz w:val="18"/>
                <w:szCs w:val="18"/>
                <w:lang w:val="es-ES_tradnl"/>
              </w:rPr>
              <w:t>Calculado para todo el mes prorrateando en función de la utilización</w:t>
            </w:r>
          </w:p>
        </w:tc>
        <w:tc>
          <w:tcPr>
            <w:tcW w:w="1559" w:type="dxa"/>
          </w:tcPr>
          <w:p w14:paraId="7314531F" w14:textId="77777777" w:rsidR="00F73D5B" w:rsidRPr="008B7A21" w:rsidRDefault="00F73D5B" w:rsidP="00767A6A">
            <w:pPr>
              <w:pStyle w:val="Tabletext"/>
              <w:jc w:val="left"/>
              <w:rPr>
                <w:sz w:val="18"/>
                <w:szCs w:val="18"/>
                <w:lang w:val="es-ES_tradnl"/>
              </w:rPr>
            </w:pPr>
            <w:r w:rsidRPr="008B7A21">
              <w:rPr>
                <w:sz w:val="18"/>
                <w:szCs w:val="18"/>
                <w:lang w:val="es-ES_tradnl"/>
              </w:rPr>
              <w:t>Calculado para todo el mes prorrateando en función de la utilización</w:t>
            </w:r>
          </w:p>
        </w:tc>
      </w:tr>
      <w:tr w:rsidR="00F73D5B" w:rsidRPr="008B7A21" w14:paraId="60570FBA" w14:textId="77777777" w:rsidTr="00767A6A">
        <w:trPr>
          <w:jc w:val="center"/>
        </w:trPr>
        <w:tc>
          <w:tcPr>
            <w:tcW w:w="3681" w:type="dxa"/>
          </w:tcPr>
          <w:p w14:paraId="53CC9665" w14:textId="77777777" w:rsidR="00F73D5B" w:rsidRPr="008B7A21" w:rsidRDefault="00F73D5B" w:rsidP="00767A6A">
            <w:pPr>
              <w:pStyle w:val="Tabletext"/>
              <w:rPr>
                <w:sz w:val="18"/>
                <w:szCs w:val="18"/>
                <w:lang w:val="es-ES_tradnl"/>
              </w:rPr>
            </w:pPr>
            <w:r w:rsidRPr="008B7A21">
              <w:rPr>
                <w:sz w:val="18"/>
                <w:szCs w:val="18"/>
                <w:lang w:val="es-ES_tradnl"/>
              </w:rPr>
              <w:t>Servicios espaciales</w:t>
            </w:r>
          </w:p>
        </w:tc>
        <w:tc>
          <w:tcPr>
            <w:tcW w:w="1457" w:type="dxa"/>
          </w:tcPr>
          <w:p w14:paraId="6AB27A87" w14:textId="77777777" w:rsidR="00F73D5B" w:rsidRPr="008B7A21" w:rsidRDefault="00F73D5B" w:rsidP="00767A6A">
            <w:pPr>
              <w:pStyle w:val="Tabletext"/>
              <w:rPr>
                <w:sz w:val="18"/>
                <w:szCs w:val="18"/>
                <w:lang w:val="es-ES_tradnl"/>
              </w:rPr>
            </w:pPr>
          </w:p>
        </w:tc>
        <w:tc>
          <w:tcPr>
            <w:tcW w:w="1383" w:type="dxa"/>
          </w:tcPr>
          <w:p w14:paraId="5C138514" w14:textId="77777777" w:rsidR="00F73D5B" w:rsidRPr="008B7A21" w:rsidRDefault="00F73D5B" w:rsidP="00767A6A">
            <w:pPr>
              <w:pStyle w:val="Tabletext"/>
              <w:rPr>
                <w:sz w:val="18"/>
                <w:szCs w:val="18"/>
                <w:lang w:val="es-ES_tradnl"/>
              </w:rPr>
            </w:pPr>
          </w:p>
        </w:tc>
        <w:tc>
          <w:tcPr>
            <w:tcW w:w="1559" w:type="dxa"/>
          </w:tcPr>
          <w:p w14:paraId="73E529A7" w14:textId="77777777" w:rsidR="00F73D5B" w:rsidRPr="008B7A21" w:rsidRDefault="00F73D5B" w:rsidP="00767A6A">
            <w:pPr>
              <w:pStyle w:val="Tabletext"/>
              <w:rPr>
                <w:sz w:val="18"/>
                <w:szCs w:val="18"/>
                <w:lang w:val="es-ES_tradnl"/>
              </w:rPr>
            </w:pPr>
          </w:p>
        </w:tc>
        <w:tc>
          <w:tcPr>
            <w:tcW w:w="1559" w:type="dxa"/>
          </w:tcPr>
          <w:p w14:paraId="397BE042" w14:textId="77777777" w:rsidR="00F73D5B" w:rsidRPr="008B7A21" w:rsidRDefault="00F73D5B" w:rsidP="00767A6A">
            <w:pPr>
              <w:pStyle w:val="Tabletext"/>
              <w:rPr>
                <w:sz w:val="18"/>
                <w:szCs w:val="18"/>
                <w:lang w:val="es-ES_tradnl"/>
              </w:rPr>
            </w:pPr>
          </w:p>
        </w:tc>
      </w:tr>
      <w:tr w:rsidR="00F73D5B" w:rsidRPr="008B7A21" w14:paraId="57004685" w14:textId="77777777" w:rsidTr="00767A6A">
        <w:trPr>
          <w:jc w:val="center"/>
        </w:trPr>
        <w:tc>
          <w:tcPr>
            <w:tcW w:w="3681" w:type="dxa"/>
          </w:tcPr>
          <w:p w14:paraId="070344EA" w14:textId="77777777" w:rsidR="00F73D5B" w:rsidRPr="008B7A21" w:rsidRDefault="00F73D5B" w:rsidP="00767A6A">
            <w:pPr>
              <w:pStyle w:val="Tabletext"/>
              <w:ind w:left="284" w:hanging="284"/>
              <w:jc w:val="left"/>
              <w:rPr>
                <w:sz w:val="18"/>
                <w:szCs w:val="18"/>
                <w:lang w:val="es-ES_tradnl"/>
              </w:rPr>
            </w:pPr>
            <w:r w:rsidRPr="008B7A21">
              <w:rPr>
                <w:sz w:val="18"/>
                <w:szCs w:val="18"/>
                <w:lang w:val="es-ES_tradnl"/>
              </w:rPr>
              <w:t>a1.</w:t>
            </w:r>
            <w:r w:rsidRPr="008B7A21">
              <w:rPr>
                <w:sz w:val="18"/>
                <w:szCs w:val="18"/>
                <w:lang w:val="es-ES_tradnl"/>
              </w:rPr>
              <w:tab/>
              <w:t>Estaciones aeronáuticas, costeras o terrenas</w:t>
            </w:r>
          </w:p>
          <w:p w14:paraId="23777F87" w14:textId="77777777" w:rsidR="00F73D5B" w:rsidRPr="008B7A21" w:rsidRDefault="00F73D5B" w:rsidP="00767A6A">
            <w:pPr>
              <w:pStyle w:val="Tabletext"/>
              <w:jc w:val="left"/>
              <w:rPr>
                <w:sz w:val="18"/>
                <w:szCs w:val="18"/>
                <w:lang w:val="es-ES_tradnl"/>
              </w:rPr>
            </w:pPr>
            <w:r w:rsidRPr="008B7A21">
              <w:rPr>
                <w:sz w:val="18"/>
                <w:szCs w:val="18"/>
                <w:lang w:val="es-ES_tradnl"/>
              </w:rPr>
              <w:t>a2.</w:t>
            </w:r>
            <w:r w:rsidRPr="008B7A21">
              <w:rPr>
                <w:sz w:val="18"/>
                <w:szCs w:val="18"/>
                <w:lang w:val="es-ES_tradnl"/>
              </w:rPr>
              <w:tab/>
              <w:t>Estación terrena móvil</w:t>
            </w:r>
          </w:p>
          <w:p w14:paraId="3A643290" w14:textId="77777777" w:rsidR="00F73D5B" w:rsidRPr="008B7A21" w:rsidRDefault="00F73D5B" w:rsidP="00767A6A">
            <w:pPr>
              <w:pStyle w:val="Tabletext"/>
              <w:jc w:val="left"/>
              <w:rPr>
                <w:sz w:val="18"/>
                <w:szCs w:val="18"/>
                <w:lang w:val="es-ES_tradnl"/>
              </w:rPr>
            </w:pPr>
            <w:r w:rsidRPr="008B7A21">
              <w:rPr>
                <w:sz w:val="18"/>
                <w:szCs w:val="18"/>
                <w:lang w:val="es-ES_tradnl"/>
              </w:rPr>
              <w:t>a3. Estaciones terrenas transportables o móviles</w:t>
            </w:r>
          </w:p>
        </w:tc>
        <w:tc>
          <w:tcPr>
            <w:tcW w:w="1457" w:type="dxa"/>
          </w:tcPr>
          <w:p w14:paraId="30F493F5" w14:textId="77777777" w:rsidR="00F73D5B" w:rsidRPr="008B7A21" w:rsidRDefault="00F73D5B" w:rsidP="00767A6A">
            <w:pPr>
              <w:pStyle w:val="Tabletext"/>
              <w:rPr>
                <w:sz w:val="18"/>
                <w:szCs w:val="18"/>
                <w:lang w:val="es-ES_tradnl"/>
              </w:rPr>
            </w:pPr>
            <w:r w:rsidRPr="008B7A21">
              <w:rPr>
                <w:sz w:val="18"/>
                <w:szCs w:val="18"/>
                <w:lang w:val="es-ES_tradnl"/>
              </w:rPr>
              <w:t>Nada</w:t>
            </w:r>
          </w:p>
          <w:p w14:paraId="31DCE915" w14:textId="77777777" w:rsidR="00F73D5B" w:rsidRPr="008B7A21" w:rsidRDefault="00F73D5B" w:rsidP="00767A6A">
            <w:pPr>
              <w:pStyle w:val="Tabletext"/>
              <w:rPr>
                <w:sz w:val="18"/>
                <w:szCs w:val="18"/>
                <w:lang w:val="es-ES_tradnl"/>
              </w:rPr>
            </w:pPr>
            <w:r w:rsidRPr="008B7A21">
              <w:rPr>
                <w:sz w:val="18"/>
                <w:szCs w:val="18"/>
                <w:lang w:val="es-ES_tradnl"/>
              </w:rPr>
              <w:t xml:space="preserve">Nada </w:t>
            </w:r>
          </w:p>
          <w:p w14:paraId="02E6A49F" w14:textId="77777777" w:rsidR="00F73D5B" w:rsidRPr="008B7A21" w:rsidRDefault="00F73D5B" w:rsidP="00767A6A">
            <w:pPr>
              <w:pStyle w:val="Tabletext"/>
              <w:rPr>
                <w:sz w:val="18"/>
                <w:szCs w:val="18"/>
                <w:lang w:val="es-ES_tradnl"/>
              </w:rPr>
            </w:pPr>
            <w:r w:rsidRPr="008B7A21">
              <w:rPr>
                <w:sz w:val="18"/>
                <w:szCs w:val="18"/>
                <w:lang w:val="es-ES_tradnl"/>
              </w:rPr>
              <w:t>Nada</w:t>
            </w:r>
          </w:p>
        </w:tc>
        <w:tc>
          <w:tcPr>
            <w:tcW w:w="1383" w:type="dxa"/>
          </w:tcPr>
          <w:p w14:paraId="65462101" w14:textId="77777777" w:rsidR="00F73D5B" w:rsidRPr="008B7A21" w:rsidRDefault="00F73D5B" w:rsidP="00767A6A">
            <w:pPr>
              <w:pStyle w:val="Tabletext"/>
              <w:rPr>
                <w:sz w:val="18"/>
                <w:szCs w:val="18"/>
                <w:lang w:val="es-ES_tradnl"/>
              </w:rPr>
            </w:pPr>
            <w:r w:rsidRPr="008B7A21">
              <w:rPr>
                <w:sz w:val="18"/>
                <w:szCs w:val="18"/>
                <w:lang w:val="es-ES_tradnl"/>
              </w:rPr>
              <w:t>29 000</w:t>
            </w:r>
          </w:p>
          <w:p w14:paraId="4E6D1AE0" w14:textId="77777777" w:rsidR="00F73D5B" w:rsidRPr="008B7A21" w:rsidRDefault="00F73D5B" w:rsidP="00767A6A">
            <w:pPr>
              <w:pStyle w:val="Tabletext"/>
              <w:rPr>
                <w:sz w:val="18"/>
                <w:szCs w:val="18"/>
                <w:lang w:val="es-ES_tradnl"/>
              </w:rPr>
            </w:pPr>
            <w:r w:rsidRPr="008B7A21">
              <w:rPr>
                <w:sz w:val="18"/>
                <w:szCs w:val="18"/>
                <w:lang w:val="es-ES_tradnl"/>
              </w:rPr>
              <w:t>17 400</w:t>
            </w:r>
          </w:p>
          <w:p w14:paraId="4AACE95A" w14:textId="77777777" w:rsidR="00F73D5B" w:rsidRPr="008B7A21" w:rsidRDefault="00F73D5B" w:rsidP="00767A6A">
            <w:pPr>
              <w:pStyle w:val="Tabletext"/>
              <w:rPr>
                <w:sz w:val="18"/>
                <w:szCs w:val="18"/>
                <w:lang w:val="es-ES_tradnl"/>
              </w:rPr>
            </w:pPr>
            <w:r w:rsidRPr="008B7A21">
              <w:rPr>
                <w:sz w:val="18"/>
                <w:szCs w:val="18"/>
                <w:lang w:val="es-ES_tradnl"/>
              </w:rPr>
              <w:t>11 600</w:t>
            </w:r>
          </w:p>
        </w:tc>
        <w:tc>
          <w:tcPr>
            <w:tcW w:w="1559" w:type="dxa"/>
          </w:tcPr>
          <w:p w14:paraId="668103B3" w14:textId="77777777" w:rsidR="00F73D5B" w:rsidRPr="008B7A21" w:rsidRDefault="00F73D5B" w:rsidP="00767A6A">
            <w:pPr>
              <w:pStyle w:val="Tabletext"/>
              <w:rPr>
                <w:sz w:val="18"/>
                <w:szCs w:val="18"/>
                <w:lang w:val="es-ES_tradnl"/>
              </w:rPr>
            </w:pPr>
          </w:p>
        </w:tc>
        <w:tc>
          <w:tcPr>
            <w:tcW w:w="1559" w:type="dxa"/>
          </w:tcPr>
          <w:p w14:paraId="7E77DA57" w14:textId="77777777" w:rsidR="00F73D5B" w:rsidRPr="008B7A21" w:rsidRDefault="00F73D5B" w:rsidP="00767A6A">
            <w:pPr>
              <w:pStyle w:val="Tabletext"/>
              <w:rPr>
                <w:sz w:val="18"/>
                <w:szCs w:val="18"/>
                <w:lang w:val="es-ES_tradnl"/>
              </w:rPr>
            </w:pPr>
          </w:p>
        </w:tc>
      </w:tr>
    </w:tbl>
    <w:p w14:paraId="409E5387" w14:textId="77777777" w:rsidR="00F73D5B" w:rsidRPr="008B7A21" w:rsidRDefault="00F73D5B" w:rsidP="00F73D5B">
      <w:pPr>
        <w:pStyle w:val="Tablefin"/>
        <w:rPr>
          <w:lang w:val="es-ES_tradnl"/>
        </w:rPr>
      </w:pPr>
      <w:bookmarkStart w:id="2297" w:name="_Toc306276915"/>
      <w:bookmarkStart w:id="2298" w:name="_Toc307921588"/>
      <w:bookmarkStart w:id="2299" w:name="_Toc307922155"/>
      <w:bookmarkStart w:id="2300" w:name="_Toc307922716"/>
      <w:bookmarkStart w:id="2301" w:name="_Toc307992065"/>
      <w:bookmarkStart w:id="2302" w:name="_Toc307993880"/>
      <w:bookmarkStart w:id="2303" w:name="_Toc307994100"/>
      <w:bookmarkStart w:id="2304" w:name="_Toc307995305"/>
      <w:bookmarkStart w:id="2305" w:name="_Toc307996506"/>
      <w:bookmarkStart w:id="2306" w:name="_Toc308010424"/>
    </w:p>
    <w:p w14:paraId="14F73B83" w14:textId="77777777" w:rsidR="00F73D5B" w:rsidRPr="008B7A21" w:rsidRDefault="00F73D5B" w:rsidP="009207AE">
      <w:pPr>
        <w:pStyle w:val="Headingb"/>
        <w:spacing w:before="480" w:after="120"/>
        <w:rPr>
          <w:lang w:val="es-ES_tradnl"/>
        </w:rPr>
      </w:pPr>
      <w:bookmarkStart w:id="2307" w:name="_Toc499563160"/>
      <w:bookmarkStart w:id="2308" w:name="_Toc215835470"/>
      <w:r w:rsidRPr="008B7A21">
        <w:rPr>
          <w:lang w:val="es-ES_tradnl"/>
        </w:rPr>
        <w:t>D.</w:t>
      </w:r>
      <w:r w:rsidRPr="008B7A21">
        <w:rPr>
          <w:lang w:val="es-ES_tradnl"/>
        </w:rPr>
        <w:tab/>
        <w:t>OTROS CÁNONES Y TASAS</w:t>
      </w:r>
      <w:bookmarkEnd w:id="2297"/>
      <w:bookmarkEnd w:id="2298"/>
      <w:bookmarkEnd w:id="2299"/>
      <w:bookmarkEnd w:id="2300"/>
      <w:bookmarkEnd w:id="2301"/>
      <w:bookmarkEnd w:id="2302"/>
      <w:bookmarkEnd w:id="2303"/>
      <w:bookmarkEnd w:id="2304"/>
      <w:bookmarkEnd w:id="2305"/>
      <w:bookmarkEnd w:id="2306"/>
      <w:bookmarkEnd w:id="2307"/>
      <w:bookmarkEnd w:id="2308"/>
    </w:p>
    <w:p w14:paraId="6BB2BF6B" w14:textId="77777777" w:rsidR="00F73D5B" w:rsidRPr="008B7A21" w:rsidRDefault="00F73D5B" w:rsidP="00F73D5B">
      <w:pPr>
        <w:pStyle w:val="Headingi"/>
        <w:rPr>
          <w:lang w:val="es-ES_tradnl"/>
        </w:rPr>
      </w:pPr>
      <w:bookmarkStart w:id="2309" w:name="_Toc215835471"/>
      <w:r w:rsidRPr="008B7A21">
        <w:rPr>
          <w:lang w:val="es-ES_tradnl"/>
        </w:rPr>
        <w:t>I.</w:t>
      </w:r>
      <w:r w:rsidRPr="008B7A21">
        <w:rPr>
          <w:lang w:val="es-ES_tradnl"/>
        </w:rPr>
        <w:tab/>
        <w:t>EQUIPOS ESPECIALES</w:t>
      </w:r>
      <w:bookmarkEnd w:id="2309"/>
    </w:p>
    <w:p w14:paraId="436659DE" w14:textId="77777777" w:rsidR="00F73D5B" w:rsidRPr="008B7A21" w:rsidRDefault="00F73D5B" w:rsidP="00F73D5B">
      <w:pPr>
        <w:rPr>
          <w:lang w:val="es-ES_tradnl"/>
        </w:rPr>
      </w:pPr>
      <w:r w:rsidRPr="008B7A21">
        <w:rPr>
          <w:lang w:val="es-ES_tradnl"/>
        </w:rPr>
        <w:t>1.</w:t>
      </w:r>
      <w:r w:rsidRPr="008B7A21">
        <w:rPr>
          <w:lang w:val="es-ES_tradnl"/>
        </w:rPr>
        <w:tab/>
        <w:t>Transmisores y receptores de baja potencia o equipos CB</w:t>
      </w:r>
    </w:p>
    <w:p w14:paraId="48926600" w14:textId="77777777" w:rsidR="00F73D5B" w:rsidRPr="008B7A21" w:rsidRDefault="00F73D5B" w:rsidP="00F73D5B">
      <w:pPr>
        <w:pStyle w:val="enumlev1"/>
        <w:tabs>
          <w:tab w:val="left" w:pos="6663"/>
        </w:tabs>
        <w:rPr>
          <w:lang w:val="es-ES_tradnl"/>
        </w:rPr>
      </w:pPr>
      <w:r w:rsidRPr="008B7A21">
        <w:rPr>
          <w:lang w:val="es-ES_tradnl"/>
        </w:rPr>
        <w:t>–</w:t>
      </w:r>
      <w:r w:rsidRPr="008B7A21">
        <w:rPr>
          <w:lang w:val="es-ES_tradnl"/>
        </w:rPr>
        <w:tab/>
        <w:t>Tasa anual</w:t>
      </w:r>
      <w:r w:rsidRPr="008B7A21">
        <w:rPr>
          <w:lang w:val="es-ES_tradnl"/>
        </w:rPr>
        <w:tab/>
      </w:r>
      <w:r w:rsidRPr="008B7A21">
        <w:rPr>
          <w:lang w:val="es-ES_tradnl"/>
        </w:rPr>
        <w:tab/>
        <w:t>23 200 F</w:t>
      </w:r>
    </w:p>
    <w:p w14:paraId="335FEB5D" w14:textId="77777777" w:rsidR="00F73D5B" w:rsidRPr="008B7A21" w:rsidRDefault="00F73D5B" w:rsidP="009207AE">
      <w:pPr>
        <w:keepNext/>
        <w:keepLines/>
        <w:spacing w:before="40"/>
        <w:rPr>
          <w:lang w:val="es-ES_tradnl"/>
        </w:rPr>
      </w:pPr>
      <w:r w:rsidRPr="008B7A21">
        <w:rPr>
          <w:lang w:val="es-ES_tradnl"/>
        </w:rPr>
        <w:lastRenderedPageBreak/>
        <w:t>2.</w:t>
      </w:r>
      <w:r w:rsidRPr="008B7A21">
        <w:rPr>
          <w:lang w:val="es-ES_tradnl"/>
        </w:rPr>
        <w:tab/>
        <w:t>Instalación de radiomando reducido</w:t>
      </w:r>
    </w:p>
    <w:p w14:paraId="01D50EB4" w14:textId="77777777" w:rsidR="00F73D5B" w:rsidRPr="008B7A21" w:rsidRDefault="00F73D5B" w:rsidP="009207AE">
      <w:pPr>
        <w:pStyle w:val="enumlev1"/>
        <w:keepNext/>
        <w:keepLines/>
        <w:tabs>
          <w:tab w:val="left" w:pos="6663"/>
        </w:tabs>
        <w:rPr>
          <w:lang w:val="es-ES_tradnl"/>
        </w:rPr>
      </w:pPr>
      <w:r w:rsidRPr="008B7A21">
        <w:rPr>
          <w:lang w:val="es-ES_tradnl"/>
        </w:rPr>
        <w:t>–</w:t>
      </w:r>
      <w:r w:rsidRPr="008B7A21">
        <w:rPr>
          <w:lang w:val="es-ES_tradnl"/>
        </w:rPr>
        <w:tab/>
        <w:t>Tasa especial para 5 años</w:t>
      </w:r>
      <w:r w:rsidRPr="008B7A21">
        <w:rPr>
          <w:lang w:val="es-ES_tradnl"/>
        </w:rPr>
        <w:tab/>
        <w:t>23 200 F</w:t>
      </w:r>
    </w:p>
    <w:p w14:paraId="65A1C08B" w14:textId="77777777" w:rsidR="00F73D5B" w:rsidRPr="008B7A21" w:rsidRDefault="00F73D5B" w:rsidP="00F73D5B">
      <w:pPr>
        <w:pStyle w:val="Headingi"/>
        <w:rPr>
          <w:lang w:val="es-ES_tradnl"/>
        </w:rPr>
      </w:pPr>
      <w:bookmarkStart w:id="2310" w:name="_Toc215835472"/>
      <w:r w:rsidRPr="008B7A21">
        <w:rPr>
          <w:lang w:val="es-ES_tradnl"/>
        </w:rPr>
        <w:t>II.</w:t>
      </w:r>
      <w:r w:rsidRPr="008B7A21">
        <w:rPr>
          <w:lang w:val="es-ES_tradnl"/>
        </w:rPr>
        <w:tab/>
        <w:t>CÁNONES DE LICENCIA/CERTIFICADO</w:t>
      </w:r>
      <w:bookmarkEnd w:id="2310"/>
    </w:p>
    <w:p w14:paraId="09647456" w14:textId="77777777" w:rsidR="00F73D5B" w:rsidRPr="008B7A21" w:rsidRDefault="00F73D5B" w:rsidP="00F73D5B">
      <w:pPr>
        <w:pStyle w:val="Blanc"/>
        <w:rPr>
          <w:lang w:val="es-ES_tradnl"/>
        </w:rPr>
      </w:pPr>
    </w:p>
    <w:tbl>
      <w:tblPr>
        <w:tblW w:w="0" w:type="auto"/>
        <w:tblCellMar>
          <w:left w:w="0" w:type="dxa"/>
          <w:right w:w="0" w:type="dxa"/>
        </w:tblCellMar>
        <w:tblLook w:val="00A0" w:firstRow="1" w:lastRow="0" w:firstColumn="1" w:lastColumn="0" w:noHBand="0" w:noVBand="0"/>
      </w:tblPr>
      <w:tblGrid>
        <w:gridCol w:w="5102"/>
        <w:gridCol w:w="1390"/>
        <w:gridCol w:w="1420"/>
        <w:gridCol w:w="1559"/>
      </w:tblGrid>
      <w:tr w:rsidR="00F73D5B" w:rsidRPr="008B7A21" w14:paraId="37A8716B" w14:textId="77777777" w:rsidTr="00767A6A">
        <w:tc>
          <w:tcPr>
            <w:tcW w:w="5102" w:type="dxa"/>
          </w:tcPr>
          <w:p w14:paraId="6DCFB792" w14:textId="77777777" w:rsidR="00F73D5B" w:rsidRPr="008B7A21" w:rsidRDefault="00F73D5B" w:rsidP="00767A6A">
            <w:pPr>
              <w:keepNext/>
              <w:keepLines/>
              <w:rPr>
                <w:lang w:val="es-ES_tradnl"/>
              </w:rPr>
            </w:pPr>
          </w:p>
        </w:tc>
        <w:tc>
          <w:tcPr>
            <w:tcW w:w="1390" w:type="dxa"/>
          </w:tcPr>
          <w:p w14:paraId="54C23BF2" w14:textId="77777777" w:rsidR="00F73D5B" w:rsidRPr="008B7A21" w:rsidRDefault="00F73D5B" w:rsidP="00767A6A">
            <w:pPr>
              <w:pStyle w:val="Tablehead"/>
              <w:rPr>
                <w:lang w:val="es-ES_tradnl"/>
              </w:rPr>
            </w:pPr>
            <w:r w:rsidRPr="008B7A21">
              <w:rPr>
                <w:lang w:val="es-ES_tradnl"/>
              </w:rPr>
              <w:t>Expedición</w:t>
            </w:r>
          </w:p>
        </w:tc>
        <w:tc>
          <w:tcPr>
            <w:tcW w:w="1420" w:type="dxa"/>
          </w:tcPr>
          <w:p w14:paraId="3A829FEF" w14:textId="77777777" w:rsidR="00F73D5B" w:rsidRPr="008B7A21" w:rsidRDefault="00F73D5B" w:rsidP="00767A6A">
            <w:pPr>
              <w:pStyle w:val="Tablehead"/>
              <w:rPr>
                <w:lang w:val="es-ES_tradnl"/>
              </w:rPr>
            </w:pPr>
            <w:r w:rsidRPr="008B7A21">
              <w:rPr>
                <w:lang w:val="es-ES_tradnl"/>
              </w:rPr>
              <w:t>Renovación</w:t>
            </w:r>
          </w:p>
        </w:tc>
        <w:tc>
          <w:tcPr>
            <w:tcW w:w="1559" w:type="dxa"/>
          </w:tcPr>
          <w:p w14:paraId="403E78AE" w14:textId="77777777" w:rsidR="00F73D5B" w:rsidRPr="008B7A21" w:rsidRDefault="00F73D5B" w:rsidP="00767A6A">
            <w:pPr>
              <w:pStyle w:val="Tablehead"/>
              <w:rPr>
                <w:lang w:val="es-ES_tradnl"/>
              </w:rPr>
            </w:pPr>
            <w:r w:rsidRPr="008B7A21">
              <w:rPr>
                <w:lang w:val="es-ES_tradnl"/>
              </w:rPr>
              <w:t>Duplicación</w:t>
            </w:r>
          </w:p>
        </w:tc>
      </w:tr>
      <w:tr w:rsidR="00F73D5B" w:rsidRPr="008B7A21" w14:paraId="494234A1" w14:textId="77777777" w:rsidTr="00767A6A">
        <w:tc>
          <w:tcPr>
            <w:tcW w:w="5102" w:type="dxa"/>
          </w:tcPr>
          <w:p w14:paraId="5413F747" w14:textId="77777777" w:rsidR="00F73D5B" w:rsidRPr="008B7A21" w:rsidRDefault="00F73D5B" w:rsidP="00767A6A">
            <w:pPr>
              <w:pStyle w:val="Tabletext"/>
              <w:rPr>
                <w:lang w:val="es-ES_tradnl"/>
              </w:rPr>
            </w:pPr>
            <w:r w:rsidRPr="008B7A21">
              <w:rPr>
                <w:lang w:val="es-ES_tradnl"/>
              </w:rPr>
              <w:t>1. Estación de aficionado, aeronáutica o naval</w:t>
            </w:r>
          </w:p>
        </w:tc>
        <w:tc>
          <w:tcPr>
            <w:tcW w:w="1390" w:type="dxa"/>
          </w:tcPr>
          <w:p w14:paraId="1D023DBB" w14:textId="77777777" w:rsidR="00F73D5B" w:rsidRPr="008B7A21" w:rsidRDefault="00F73D5B" w:rsidP="00767A6A">
            <w:pPr>
              <w:pStyle w:val="Tabletext"/>
              <w:jc w:val="center"/>
              <w:rPr>
                <w:lang w:val="es-ES_tradnl"/>
              </w:rPr>
            </w:pPr>
            <w:r w:rsidRPr="008B7A21">
              <w:rPr>
                <w:lang w:val="es-ES_tradnl"/>
              </w:rPr>
              <w:t>5 800</w:t>
            </w:r>
          </w:p>
        </w:tc>
        <w:tc>
          <w:tcPr>
            <w:tcW w:w="1420" w:type="dxa"/>
          </w:tcPr>
          <w:p w14:paraId="7A06E7BA" w14:textId="77777777" w:rsidR="00F73D5B" w:rsidRPr="008B7A21" w:rsidRDefault="00F73D5B" w:rsidP="00767A6A">
            <w:pPr>
              <w:pStyle w:val="Tabletext"/>
              <w:jc w:val="center"/>
              <w:rPr>
                <w:lang w:val="es-ES_tradnl"/>
              </w:rPr>
            </w:pPr>
            <w:r w:rsidRPr="008B7A21">
              <w:rPr>
                <w:lang w:val="es-ES_tradnl"/>
              </w:rPr>
              <w:t>5 800</w:t>
            </w:r>
          </w:p>
        </w:tc>
        <w:tc>
          <w:tcPr>
            <w:tcW w:w="1559" w:type="dxa"/>
          </w:tcPr>
          <w:p w14:paraId="75F4BEA2" w14:textId="77777777" w:rsidR="00F73D5B" w:rsidRPr="008B7A21" w:rsidRDefault="00F73D5B" w:rsidP="00767A6A">
            <w:pPr>
              <w:pStyle w:val="Tabletext"/>
              <w:jc w:val="center"/>
              <w:rPr>
                <w:lang w:val="es-ES_tradnl"/>
              </w:rPr>
            </w:pPr>
            <w:r w:rsidRPr="008B7A21">
              <w:rPr>
                <w:lang w:val="es-ES_tradnl"/>
              </w:rPr>
              <w:t>11 600</w:t>
            </w:r>
          </w:p>
        </w:tc>
      </w:tr>
      <w:tr w:rsidR="00F73D5B" w:rsidRPr="008B7A21" w14:paraId="223F36FD" w14:textId="77777777" w:rsidTr="00767A6A">
        <w:tc>
          <w:tcPr>
            <w:tcW w:w="5102" w:type="dxa"/>
          </w:tcPr>
          <w:p w14:paraId="0BE9CDFF" w14:textId="77777777" w:rsidR="00F73D5B" w:rsidRPr="008B7A21" w:rsidRDefault="00F73D5B" w:rsidP="00767A6A">
            <w:pPr>
              <w:pStyle w:val="Tabletext"/>
              <w:rPr>
                <w:lang w:val="es-ES_tradnl"/>
              </w:rPr>
            </w:pPr>
            <w:r w:rsidRPr="008B7A21">
              <w:rPr>
                <w:lang w:val="es-ES_tradnl"/>
              </w:rPr>
              <w:t>2. Estación terrena de aficionado aeronáutica/naval</w:t>
            </w:r>
          </w:p>
        </w:tc>
        <w:tc>
          <w:tcPr>
            <w:tcW w:w="1390" w:type="dxa"/>
          </w:tcPr>
          <w:p w14:paraId="23906A62" w14:textId="77777777" w:rsidR="00F73D5B" w:rsidRPr="008B7A21" w:rsidRDefault="00F73D5B" w:rsidP="00767A6A">
            <w:pPr>
              <w:pStyle w:val="Tabletext"/>
              <w:jc w:val="center"/>
              <w:rPr>
                <w:lang w:val="es-ES_tradnl"/>
              </w:rPr>
            </w:pPr>
            <w:r w:rsidRPr="008B7A21">
              <w:rPr>
                <w:lang w:val="es-ES_tradnl"/>
              </w:rPr>
              <w:t>11 600</w:t>
            </w:r>
          </w:p>
        </w:tc>
        <w:tc>
          <w:tcPr>
            <w:tcW w:w="1420" w:type="dxa"/>
          </w:tcPr>
          <w:p w14:paraId="764DF4A9" w14:textId="77777777" w:rsidR="00F73D5B" w:rsidRPr="008B7A21" w:rsidRDefault="00F73D5B" w:rsidP="00767A6A">
            <w:pPr>
              <w:pStyle w:val="Tabletext"/>
              <w:jc w:val="center"/>
              <w:rPr>
                <w:lang w:val="es-ES_tradnl"/>
              </w:rPr>
            </w:pPr>
            <w:r w:rsidRPr="008B7A21">
              <w:rPr>
                <w:lang w:val="es-ES_tradnl"/>
              </w:rPr>
              <w:t>11 600</w:t>
            </w:r>
          </w:p>
        </w:tc>
        <w:tc>
          <w:tcPr>
            <w:tcW w:w="1559" w:type="dxa"/>
          </w:tcPr>
          <w:p w14:paraId="27AFE70A" w14:textId="77777777" w:rsidR="00F73D5B" w:rsidRPr="008B7A21" w:rsidRDefault="00F73D5B" w:rsidP="00767A6A">
            <w:pPr>
              <w:pStyle w:val="Tabletext"/>
              <w:jc w:val="center"/>
              <w:rPr>
                <w:lang w:val="es-ES_tradnl"/>
              </w:rPr>
            </w:pPr>
            <w:r w:rsidRPr="008B7A21">
              <w:rPr>
                <w:lang w:val="es-ES_tradnl"/>
              </w:rPr>
              <w:t>23 200</w:t>
            </w:r>
          </w:p>
        </w:tc>
      </w:tr>
      <w:tr w:rsidR="00F73D5B" w:rsidRPr="008B7A21" w14:paraId="51D493C1" w14:textId="77777777" w:rsidTr="00767A6A">
        <w:tc>
          <w:tcPr>
            <w:tcW w:w="5102" w:type="dxa"/>
          </w:tcPr>
          <w:p w14:paraId="6E2D3EE8" w14:textId="77777777" w:rsidR="00F73D5B" w:rsidRPr="008B7A21" w:rsidRDefault="00F73D5B" w:rsidP="00767A6A">
            <w:pPr>
              <w:pStyle w:val="Tabletext"/>
              <w:rPr>
                <w:lang w:val="es-ES_tradnl"/>
              </w:rPr>
            </w:pPr>
            <w:r w:rsidRPr="008B7A21">
              <w:rPr>
                <w:lang w:val="es-ES_tradnl"/>
              </w:rPr>
              <w:t>3. Certificado de operador</w:t>
            </w:r>
          </w:p>
        </w:tc>
        <w:tc>
          <w:tcPr>
            <w:tcW w:w="1390" w:type="dxa"/>
          </w:tcPr>
          <w:p w14:paraId="58D3308F" w14:textId="77777777" w:rsidR="00F73D5B" w:rsidRPr="008B7A21" w:rsidRDefault="00F73D5B" w:rsidP="00767A6A">
            <w:pPr>
              <w:pStyle w:val="Tabletext"/>
              <w:jc w:val="center"/>
              <w:rPr>
                <w:lang w:val="es-ES_tradnl"/>
              </w:rPr>
            </w:pPr>
            <w:r w:rsidRPr="008B7A21">
              <w:rPr>
                <w:lang w:val="es-ES_tradnl"/>
              </w:rPr>
              <w:t>5 800</w:t>
            </w:r>
          </w:p>
        </w:tc>
        <w:tc>
          <w:tcPr>
            <w:tcW w:w="1420" w:type="dxa"/>
          </w:tcPr>
          <w:p w14:paraId="38FAB58B" w14:textId="77777777" w:rsidR="00F73D5B" w:rsidRPr="008B7A21" w:rsidRDefault="00F73D5B" w:rsidP="00767A6A">
            <w:pPr>
              <w:pStyle w:val="Tabletext"/>
              <w:jc w:val="center"/>
              <w:rPr>
                <w:lang w:val="es-ES_tradnl"/>
              </w:rPr>
            </w:pPr>
            <w:r w:rsidRPr="008B7A21">
              <w:rPr>
                <w:lang w:val="es-ES_tradnl"/>
              </w:rPr>
              <w:t>–</w:t>
            </w:r>
          </w:p>
        </w:tc>
        <w:tc>
          <w:tcPr>
            <w:tcW w:w="1559" w:type="dxa"/>
          </w:tcPr>
          <w:p w14:paraId="051355F0" w14:textId="77777777" w:rsidR="00F73D5B" w:rsidRPr="008B7A21" w:rsidRDefault="00F73D5B" w:rsidP="00767A6A">
            <w:pPr>
              <w:pStyle w:val="Tabletext"/>
              <w:jc w:val="center"/>
              <w:rPr>
                <w:lang w:val="es-ES_tradnl"/>
              </w:rPr>
            </w:pPr>
            <w:r w:rsidRPr="008B7A21">
              <w:rPr>
                <w:lang w:val="es-ES_tradnl"/>
              </w:rPr>
              <w:t>11 600</w:t>
            </w:r>
          </w:p>
        </w:tc>
      </w:tr>
    </w:tbl>
    <w:p w14:paraId="63353C76" w14:textId="77777777" w:rsidR="00F73D5B" w:rsidRPr="008B7A21" w:rsidRDefault="00F73D5B" w:rsidP="00F73D5B">
      <w:pPr>
        <w:pStyle w:val="Headingi"/>
        <w:rPr>
          <w:lang w:val="es-ES_tradnl"/>
        </w:rPr>
      </w:pPr>
      <w:bookmarkStart w:id="2311" w:name="_Toc215835473"/>
      <w:r w:rsidRPr="008B7A21">
        <w:rPr>
          <w:lang w:val="es-ES_tradnl"/>
        </w:rPr>
        <w:t>III.</w:t>
      </w:r>
      <w:r w:rsidRPr="008B7A21">
        <w:rPr>
          <w:lang w:val="es-ES_tradnl"/>
        </w:rPr>
        <w:tab/>
        <w:t>TASAS DE EXAMEN PARA LA EXPEDICIÓN DE CERTIFICADOS DE OPERADOR</w:t>
      </w:r>
      <w:bookmarkEnd w:id="2311"/>
    </w:p>
    <w:p w14:paraId="0C5D638C" w14:textId="77777777" w:rsidR="00F73D5B" w:rsidRPr="008B7A21" w:rsidRDefault="00F73D5B" w:rsidP="00F73D5B">
      <w:pPr>
        <w:rPr>
          <w:lang w:val="es-ES_tradnl"/>
        </w:rPr>
      </w:pPr>
      <w:r w:rsidRPr="008B7A21">
        <w:rPr>
          <w:lang w:val="es-ES_tradnl"/>
        </w:rPr>
        <w:t>1</w:t>
      </w:r>
      <w:r w:rsidRPr="008B7A21">
        <w:rPr>
          <w:lang w:val="es-ES_tradnl"/>
        </w:rPr>
        <w:tab/>
        <w:t>Operador radiotelegráfico para estación de barco</w:t>
      </w:r>
    </w:p>
    <w:p w14:paraId="75C09BD1" w14:textId="77777777" w:rsidR="00F73D5B" w:rsidRPr="008B7A21" w:rsidRDefault="00F73D5B" w:rsidP="00F73D5B">
      <w:pPr>
        <w:pStyle w:val="enumlev1"/>
        <w:rPr>
          <w:lang w:val="es-ES_tradnl"/>
        </w:rPr>
      </w:pPr>
      <w:r w:rsidRPr="008B7A21">
        <w:rPr>
          <w:lang w:val="es-ES_tradnl"/>
        </w:rPr>
        <w:t>a)</w:t>
      </w:r>
      <w:r w:rsidRPr="008B7A21">
        <w:rPr>
          <w:lang w:val="es-ES_tradnl"/>
        </w:rPr>
        <w:tab/>
        <w:t>Certificado general para operador de radiocomunicaciones</w:t>
      </w:r>
      <w:r w:rsidRPr="008B7A21">
        <w:rPr>
          <w:lang w:val="es-ES_tradnl"/>
        </w:rPr>
        <w:tab/>
      </w:r>
      <w:r w:rsidRPr="008B7A21">
        <w:rPr>
          <w:lang w:val="es-ES_tradnl"/>
        </w:rPr>
        <w:tab/>
        <w:t>58 000F</w:t>
      </w:r>
    </w:p>
    <w:p w14:paraId="79269656" w14:textId="77777777" w:rsidR="00F73D5B" w:rsidRPr="008B7A21" w:rsidRDefault="00F73D5B" w:rsidP="00F73D5B">
      <w:pPr>
        <w:pStyle w:val="enumlev1"/>
        <w:rPr>
          <w:lang w:val="es-ES_tradnl"/>
        </w:rPr>
      </w:pPr>
      <w:r w:rsidRPr="008B7A21">
        <w:rPr>
          <w:lang w:val="es-ES_tradnl"/>
        </w:rPr>
        <w:t>b)</w:t>
      </w:r>
      <w:r w:rsidRPr="008B7A21">
        <w:rPr>
          <w:lang w:val="es-ES_tradnl"/>
        </w:rPr>
        <w:tab/>
        <w:t>Operador radiotelegráfico de primera clase</w:t>
      </w:r>
      <w:r w:rsidRPr="008B7A21">
        <w:rPr>
          <w:lang w:val="es-ES_tradnl"/>
        </w:rPr>
        <w:tab/>
      </w:r>
      <w:r w:rsidRPr="008B7A21">
        <w:rPr>
          <w:lang w:val="es-ES_tradnl"/>
        </w:rPr>
        <w:tab/>
      </w:r>
      <w:r w:rsidRPr="008B7A21">
        <w:rPr>
          <w:lang w:val="es-ES_tradnl"/>
        </w:rPr>
        <w:tab/>
      </w:r>
      <w:r w:rsidRPr="008B7A21">
        <w:rPr>
          <w:lang w:val="es-ES_tradnl"/>
        </w:rPr>
        <w:tab/>
        <w:t>29 000F</w:t>
      </w:r>
    </w:p>
    <w:p w14:paraId="5862535B" w14:textId="77777777" w:rsidR="00F73D5B" w:rsidRPr="008B7A21" w:rsidRDefault="00F73D5B" w:rsidP="00F73D5B">
      <w:pPr>
        <w:pStyle w:val="enumlev1"/>
        <w:rPr>
          <w:lang w:val="es-ES_tradnl"/>
        </w:rPr>
      </w:pPr>
      <w:r w:rsidRPr="008B7A21">
        <w:rPr>
          <w:lang w:val="es-ES_tradnl"/>
        </w:rPr>
        <w:t>c)</w:t>
      </w:r>
      <w:r w:rsidRPr="008B7A21">
        <w:rPr>
          <w:lang w:val="es-ES_tradnl"/>
        </w:rPr>
        <w:tab/>
        <w:t>Operador radiotelegráfico de segunda clase</w:t>
      </w:r>
      <w:r w:rsidRPr="008B7A21">
        <w:rPr>
          <w:lang w:val="es-ES_tradnl"/>
        </w:rPr>
        <w:tab/>
      </w:r>
      <w:r w:rsidRPr="008B7A21">
        <w:rPr>
          <w:lang w:val="es-ES_tradnl"/>
        </w:rPr>
        <w:tab/>
      </w:r>
      <w:r w:rsidRPr="008B7A21">
        <w:rPr>
          <w:lang w:val="es-ES_tradnl"/>
        </w:rPr>
        <w:tab/>
      </w:r>
      <w:r w:rsidRPr="008B7A21">
        <w:rPr>
          <w:lang w:val="es-ES_tradnl"/>
        </w:rPr>
        <w:tab/>
        <w:t>29 000F</w:t>
      </w:r>
    </w:p>
    <w:p w14:paraId="4F24BC79" w14:textId="77777777" w:rsidR="00F73D5B" w:rsidRPr="008B7A21" w:rsidRDefault="00F73D5B" w:rsidP="00F73D5B">
      <w:pPr>
        <w:pStyle w:val="enumlev1"/>
        <w:rPr>
          <w:lang w:val="es-ES_tradnl"/>
        </w:rPr>
      </w:pPr>
      <w:r w:rsidRPr="008B7A21">
        <w:rPr>
          <w:lang w:val="es-ES_tradnl"/>
        </w:rPr>
        <w:t>d)</w:t>
      </w:r>
      <w:r w:rsidRPr="008B7A21">
        <w:rPr>
          <w:lang w:val="es-ES_tradnl"/>
        </w:rPr>
        <w:tab/>
        <w:t>Certificado de operador radiotelegráfico especial</w:t>
      </w:r>
      <w:r w:rsidRPr="008B7A21">
        <w:rPr>
          <w:lang w:val="es-ES_tradnl"/>
        </w:rPr>
        <w:tab/>
      </w:r>
      <w:r w:rsidRPr="008B7A21">
        <w:rPr>
          <w:lang w:val="es-ES_tradnl"/>
        </w:rPr>
        <w:tab/>
      </w:r>
      <w:r w:rsidRPr="008B7A21">
        <w:rPr>
          <w:lang w:val="es-ES_tradnl"/>
        </w:rPr>
        <w:tab/>
        <w:t>29 000F</w:t>
      </w:r>
    </w:p>
    <w:p w14:paraId="4F5F55CF" w14:textId="77777777" w:rsidR="00F73D5B" w:rsidRPr="008B7A21" w:rsidRDefault="00F73D5B" w:rsidP="00F73D5B">
      <w:pPr>
        <w:rPr>
          <w:lang w:val="es-ES_tradnl"/>
        </w:rPr>
      </w:pPr>
      <w:r w:rsidRPr="008B7A21">
        <w:rPr>
          <w:lang w:val="es-ES_tradnl"/>
        </w:rPr>
        <w:t>2</w:t>
      </w:r>
      <w:r w:rsidRPr="008B7A21">
        <w:rPr>
          <w:lang w:val="es-ES_tradnl"/>
        </w:rPr>
        <w:tab/>
        <w:t>Radiotelegrafista para estaciones aeronáuticas o navales</w:t>
      </w:r>
    </w:p>
    <w:p w14:paraId="176BB69A" w14:textId="77777777" w:rsidR="00F73D5B" w:rsidRPr="008B7A21" w:rsidRDefault="00F73D5B" w:rsidP="00F73D5B">
      <w:pPr>
        <w:pStyle w:val="enumlev1"/>
        <w:rPr>
          <w:lang w:val="es-ES_tradnl"/>
        </w:rPr>
      </w:pPr>
      <w:r w:rsidRPr="008B7A21">
        <w:rPr>
          <w:lang w:val="es-ES_tradnl"/>
        </w:rPr>
        <w:t>a)</w:t>
      </w:r>
      <w:r w:rsidRPr="008B7A21">
        <w:rPr>
          <w:lang w:val="es-ES_tradnl"/>
        </w:rPr>
        <w:tab/>
        <w:t>Certificado general</w:t>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t>14 500F</w:t>
      </w:r>
    </w:p>
    <w:p w14:paraId="1A48E19A" w14:textId="77777777" w:rsidR="00F73D5B" w:rsidRPr="008B7A21" w:rsidRDefault="00F73D5B" w:rsidP="00F73D5B">
      <w:pPr>
        <w:pStyle w:val="enumlev1"/>
        <w:rPr>
          <w:lang w:val="es-ES_tradnl"/>
        </w:rPr>
      </w:pPr>
      <w:r w:rsidRPr="008B7A21">
        <w:rPr>
          <w:lang w:val="es-ES_tradnl"/>
        </w:rPr>
        <w:t>b)</w:t>
      </w:r>
      <w:r w:rsidRPr="008B7A21">
        <w:rPr>
          <w:lang w:val="es-ES_tradnl"/>
        </w:rPr>
        <w:tab/>
        <w:t>Certificado restringido</w:t>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t>14 500F</w:t>
      </w:r>
    </w:p>
    <w:p w14:paraId="79039880" w14:textId="77777777" w:rsidR="00F73D5B" w:rsidRPr="008B7A21" w:rsidRDefault="00F73D5B" w:rsidP="00F73D5B">
      <w:pPr>
        <w:rPr>
          <w:lang w:val="es-ES_tradnl"/>
        </w:rPr>
      </w:pPr>
      <w:r w:rsidRPr="008B7A21">
        <w:rPr>
          <w:lang w:val="es-ES_tradnl"/>
        </w:rPr>
        <w:t>3</w:t>
      </w:r>
      <w:r w:rsidRPr="008B7A21">
        <w:rPr>
          <w:lang w:val="es-ES_tradnl"/>
        </w:rPr>
        <w:tab/>
        <w:t>Certificado de operador para estación de radioaficionado</w:t>
      </w:r>
    </w:p>
    <w:p w14:paraId="19FE5240" w14:textId="77777777" w:rsidR="00F73D5B" w:rsidRPr="008B7A21" w:rsidRDefault="00F73D5B" w:rsidP="00F73D5B">
      <w:pPr>
        <w:pStyle w:val="enumlev1"/>
        <w:rPr>
          <w:lang w:val="es-ES_tradnl"/>
        </w:rPr>
      </w:pPr>
      <w:r w:rsidRPr="008B7A21">
        <w:rPr>
          <w:lang w:val="es-ES_tradnl"/>
        </w:rPr>
        <w:t>a)</w:t>
      </w:r>
      <w:r w:rsidRPr="008B7A21">
        <w:rPr>
          <w:lang w:val="es-ES_tradnl"/>
        </w:rPr>
        <w:tab/>
        <w:t>Radiotelegrafista</w:t>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t>14 500F</w:t>
      </w:r>
    </w:p>
    <w:p w14:paraId="4CA61C85" w14:textId="77777777" w:rsidR="00F73D5B" w:rsidRPr="008B7A21" w:rsidRDefault="00F73D5B" w:rsidP="00F73D5B">
      <w:pPr>
        <w:pStyle w:val="enumlev1"/>
        <w:rPr>
          <w:lang w:val="es-ES_tradnl"/>
        </w:rPr>
      </w:pPr>
      <w:r w:rsidRPr="008B7A21">
        <w:rPr>
          <w:lang w:val="es-ES_tradnl"/>
        </w:rPr>
        <w:t>b)</w:t>
      </w:r>
      <w:r w:rsidRPr="008B7A21">
        <w:rPr>
          <w:lang w:val="es-ES_tradnl"/>
        </w:rPr>
        <w:tab/>
        <w:t>Operador radiotelefónico</w:t>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t>14 500F</w:t>
      </w:r>
    </w:p>
    <w:p w14:paraId="1BA0E7CB" w14:textId="77777777" w:rsidR="00F73D5B" w:rsidRPr="008B7A21" w:rsidRDefault="00F73D5B" w:rsidP="00F73D5B">
      <w:pPr>
        <w:pStyle w:val="Headingi"/>
        <w:rPr>
          <w:lang w:val="es-ES_tradnl"/>
        </w:rPr>
      </w:pPr>
      <w:bookmarkStart w:id="2312" w:name="_Toc215835474"/>
      <w:r w:rsidRPr="008B7A21">
        <w:rPr>
          <w:lang w:val="es-ES_tradnl"/>
        </w:rPr>
        <w:t>IV.</w:t>
      </w:r>
      <w:r w:rsidRPr="008B7A21">
        <w:rPr>
          <w:lang w:val="es-ES_tradnl"/>
        </w:rPr>
        <w:tab/>
        <w:t>TASAS POR LA EXPEDICIÓN DE AUTORIZACIONES</w:t>
      </w:r>
      <w:bookmarkEnd w:id="2312"/>
    </w:p>
    <w:p w14:paraId="06E9298C" w14:textId="77777777" w:rsidR="00F73D5B" w:rsidRPr="008B7A21" w:rsidRDefault="00F73D5B" w:rsidP="00F73D5B">
      <w:pPr>
        <w:rPr>
          <w:lang w:val="es-ES_tradnl"/>
        </w:rPr>
      </w:pP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t>Tasa por tramitación de expediente</w:t>
      </w:r>
      <w:r w:rsidRPr="008B7A21">
        <w:rPr>
          <w:lang w:val="es-ES_tradnl"/>
        </w:rPr>
        <w:tab/>
        <w:t>Tasa de autorización</w:t>
      </w:r>
    </w:p>
    <w:p w14:paraId="39EB8852" w14:textId="77777777" w:rsidR="00F73D5B" w:rsidRPr="008B7A21" w:rsidRDefault="00F73D5B" w:rsidP="00F73D5B">
      <w:pPr>
        <w:pStyle w:val="enumlev1"/>
        <w:tabs>
          <w:tab w:val="clear" w:pos="794"/>
          <w:tab w:val="left" w:pos="567"/>
        </w:tabs>
        <w:rPr>
          <w:lang w:val="es-ES_tradnl"/>
        </w:rPr>
      </w:pPr>
      <w:r w:rsidRPr="008B7A21">
        <w:rPr>
          <w:lang w:val="es-ES_tradnl"/>
        </w:rPr>
        <w:t>1.</w:t>
      </w:r>
      <w:r w:rsidRPr="008B7A21">
        <w:rPr>
          <w:lang w:val="es-ES_tradnl"/>
        </w:rPr>
        <w:tab/>
        <w:t>Instalador privado</w:t>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t xml:space="preserve">58 000F </w:t>
      </w:r>
      <w:r w:rsidRPr="008B7A21">
        <w:rPr>
          <w:lang w:val="es-ES_tradnl"/>
        </w:rPr>
        <w:tab/>
        <w:t>348 000F</w:t>
      </w:r>
    </w:p>
    <w:p w14:paraId="1BD98EED" w14:textId="77777777" w:rsidR="00F73D5B" w:rsidRPr="008B7A21" w:rsidRDefault="00F73D5B" w:rsidP="00F73D5B">
      <w:pPr>
        <w:pStyle w:val="enumlev1"/>
        <w:tabs>
          <w:tab w:val="clear" w:pos="794"/>
          <w:tab w:val="left" w:pos="567"/>
        </w:tabs>
        <w:rPr>
          <w:lang w:val="es-ES_tradnl"/>
        </w:rPr>
      </w:pPr>
      <w:r w:rsidRPr="008B7A21">
        <w:rPr>
          <w:lang w:val="es-ES_tradnl"/>
        </w:rPr>
        <w:t>2.</w:t>
      </w:r>
      <w:r w:rsidRPr="008B7A21">
        <w:rPr>
          <w:lang w:val="es-ES_tradnl"/>
        </w:rPr>
        <w:tab/>
        <w:t>Reventa</w:t>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t>58 000F</w:t>
      </w:r>
      <w:r w:rsidRPr="008B7A21">
        <w:rPr>
          <w:lang w:val="es-ES_tradnl"/>
        </w:rPr>
        <w:tab/>
        <w:t>145 000F</w:t>
      </w:r>
    </w:p>
    <w:p w14:paraId="044CEB79" w14:textId="77777777" w:rsidR="00F73D5B" w:rsidRPr="008B7A21" w:rsidRDefault="00F73D5B" w:rsidP="00F73D5B">
      <w:pPr>
        <w:pStyle w:val="enumlev1"/>
        <w:tabs>
          <w:tab w:val="clear" w:pos="794"/>
          <w:tab w:val="left" w:pos="567"/>
        </w:tabs>
        <w:rPr>
          <w:lang w:val="es-ES_tradnl"/>
        </w:rPr>
      </w:pPr>
      <w:r w:rsidRPr="008B7A21">
        <w:rPr>
          <w:lang w:val="es-ES_tradnl"/>
        </w:rPr>
        <w:t>3.</w:t>
      </w:r>
      <w:r w:rsidRPr="008B7A21">
        <w:rPr>
          <w:lang w:val="es-ES_tradnl"/>
        </w:rPr>
        <w:tab/>
        <w:t>Equipo terminal simple</w:t>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t xml:space="preserve">  5 800F</w:t>
      </w:r>
      <w:r w:rsidRPr="008B7A21">
        <w:rPr>
          <w:lang w:val="es-ES_tradnl"/>
        </w:rPr>
        <w:tab/>
        <w:t xml:space="preserve">  58 000F</w:t>
      </w:r>
    </w:p>
    <w:p w14:paraId="15F23E7A" w14:textId="77777777" w:rsidR="00F73D5B" w:rsidRPr="008B7A21" w:rsidRDefault="00F73D5B" w:rsidP="00F73D5B">
      <w:pPr>
        <w:pStyle w:val="enumlev1"/>
        <w:tabs>
          <w:tab w:val="clear" w:pos="794"/>
          <w:tab w:val="left" w:pos="567"/>
        </w:tabs>
        <w:rPr>
          <w:lang w:val="es-ES_tradnl"/>
        </w:rPr>
      </w:pPr>
      <w:r w:rsidRPr="008B7A21">
        <w:rPr>
          <w:lang w:val="es-ES_tradnl"/>
        </w:rPr>
        <w:t>4.</w:t>
      </w:r>
      <w:r w:rsidRPr="008B7A21">
        <w:rPr>
          <w:lang w:val="es-ES_tradnl"/>
        </w:rPr>
        <w:tab/>
        <w:t>Equipo terminal complejo</w:t>
      </w:r>
      <w:r w:rsidRPr="008B7A21">
        <w:rPr>
          <w:lang w:val="es-ES_tradnl"/>
        </w:rPr>
        <w:tab/>
      </w:r>
      <w:r w:rsidRPr="008B7A21">
        <w:rPr>
          <w:lang w:val="es-ES_tradnl"/>
        </w:rPr>
        <w:tab/>
      </w:r>
      <w:r w:rsidRPr="008B7A21">
        <w:rPr>
          <w:lang w:val="es-ES_tradnl"/>
        </w:rPr>
        <w:tab/>
      </w:r>
      <w:r w:rsidRPr="008B7A21">
        <w:rPr>
          <w:lang w:val="es-ES_tradnl"/>
        </w:rPr>
        <w:tab/>
        <w:t>11 600F</w:t>
      </w:r>
      <w:r w:rsidRPr="008B7A21">
        <w:rPr>
          <w:lang w:val="es-ES_tradnl"/>
        </w:rPr>
        <w:tab/>
        <w:t>116 000F</w:t>
      </w:r>
    </w:p>
    <w:p w14:paraId="095386AC" w14:textId="77777777" w:rsidR="00F73D5B" w:rsidRPr="008B7A21" w:rsidRDefault="00F73D5B" w:rsidP="00F73D5B">
      <w:pPr>
        <w:pStyle w:val="Headingi"/>
        <w:rPr>
          <w:lang w:val="es-ES_tradnl"/>
        </w:rPr>
      </w:pPr>
      <w:bookmarkStart w:id="2313" w:name="_Toc215835475"/>
      <w:r w:rsidRPr="008B7A21">
        <w:rPr>
          <w:lang w:val="es-ES_tradnl"/>
        </w:rPr>
        <w:t>V.</w:t>
      </w:r>
      <w:r w:rsidRPr="008B7A21">
        <w:rPr>
          <w:lang w:val="es-ES_tradnl"/>
        </w:rPr>
        <w:tab/>
        <w:t>TASAS POR INTERVENCIÓN EN LAS REDES</w:t>
      </w:r>
      <w:bookmarkEnd w:id="2313"/>
    </w:p>
    <w:p w14:paraId="64621860" w14:textId="77777777" w:rsidR="00F73D5B" w:rsidRPr="008B7A21" w:rsidRDefault="00F73D5B" w:rsidP="00F73D5B">
      <w:pPr>
        <w:pStyle w:val="enumlev1"/>
        <w:tabs>
          <w:tab w:val="clear" w:pos="794"/>
          <w:tab w:val="left" w:pos="567"/>
        </w:tabs>
        <w:rPr>
          <w:lang w:val="es-ES_tradnl"/>
        </w:rPr>
      </w:pPr>
      <w:r w:rsidRPr="008B7A21">
        <w:rPr>
          <w:lang w:val="es-ES_tradnl"/>
        </w:rPr>
        <w:t>1.</w:t>
      </w:r>
      <w:r w:rsidRPr="008B7A21">
        <w:rPr>
          <w:lang w:val="es-ES_tradnl"/>
        </w:rPr>
        <w:tab/>
        <w:t>Interferencia</w:t>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t>116 000F</w:t>
      </w:r>
    </w:p>
    <w:p w14:paraId="224DF4F1" w14:textId="77777777" w:rsidR="00F73D5B" w:rsidRPr="008B7A21" w:rsidRDefault="00F73D5B" w:rsidP="00F73D5B">
      <w:pPr>
        <w:pStyle w:val="enumlev1"/>
        <w:tabs>
          <w:tab w:val="clear" w:pos="794"/>
          <w:tab w:val="left" w:pos="567"/>
        </w:tabs>
        <w:rPr>
          <w:lang w:val="es-ES_tradnl"/>
        </w:rPr>
      </w:pPr>
      <w:r w:rsidRPr="008B7A21">
        <w:rPr>
          <w:lang w:val="es-ES_tradnl"/>
        </w:rPr>
        <w:t>2.</w:t>
      </w:r>
      <w:r w:rsidRPr="008B7A21">
        <w:rPr>
          <w:lang w:val="es-ES_tradnl"/>
        </w:rPr>
        <w:tab/>
        <w:t xml:space="preserve">No conformidad de las instalaciones </w:t>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t>145 000F</w:t>
      </w:r>
    </w:p>
    <w:p w14:paraId="23BA81C4" w14:textId="77777777" w:rsidR="00F73D5B" w:rsidRPr="008B7A21" w:rsidRDefault="00F73D5B" w:rsidP="00F73D5B">
      <w:pPr>
        <w:pStyle w:val="enumlev1"/>
        <w:tabs>
          <w:tab w:val="clear" w:pos="794"/>
          <w:tab w:val="left" w:pos="567"/>
        </w:tabs>
        <w:rPr>
          <w:lang w:val="es-ES_tradnl"/>
        </w:rPr>
      </w:pPr>
      <w:r w:rsidRPr="008B7A21">
        <w:rPr>
          <w:lang w:val="es-ES_tradnl"/>
        </w:rPr>
        <w:t>3.</w:t>
      </w:r>
      <w:r w:rsidRPr="008B7A21">
        <w:rPr>
          <w:lang w:val="es-ES_tradnl"/>
        </w:rPr>
        <w:tab/>
        <w:t>Otros</w:t>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t xml:space="preserve">  58 000F</w:t>
      </w:r>
    </w:p>
    <w:p w14:paraId="4511093B" w14:textId="77777777" w:rsidR="00F73D5B" w:rsidRPr="008B7A21" w:rsidRDefault="00F73D5B" w:rsidP="00F73D5B">
      <w:pPr>
        <w:pStyle w:val="Headingi"/>
        <w:rPr>
          <w:lang w:val="es-ES_tradnl"/>
        </w:rPr>
      </w:pPr>
      <w:bookmarkStart w:id="2314" w:name="_Toc215835476"/>
      <w:r w:rsidRPr="008B7A21">
        <w:rPr>
          <w:lang w:val="es-ES_tradnl"/>
        </w:rPr>
        <w:t>VI.</w:t>
      </w:r>
      <w:r w:rsidRPr="008B7A21">
        <w:rPr>
          <w:lang w:val="es-ES_tradnl"/>
        </w:rPr>
        <w:tab/>
        <w:t>ETIQUETADO</w:t>
      </w:r>
      <w:bookmarkEnd w:id="2314"/>
    </w:p>
    <w:p w14:paraId="399BEBC9" w14:textId="77777777" w:rsidR="00F73D5B" w:rsidRPr="008B7A21" w:rsidRDefault="00F73D5B" w:rsidP="00F73D5B">
      <w:pPr>
        <w:pStyle w:val="enumlev1"/>
        <w:tabs>
          <w:tab w:val="clear" w:pos="794"/>
          <w:tab w:val="left" w:pos="567"/>
        </w:tabs>
        <w:rPr>
          <w:lang w:val="es-ES_tradnl"/>
        </w:rPr>
      </w:pPr>
      <w:r w:rsidRPr="008B7A21">
        <w:rPr>
          <w:lang w:val="es-ES_tradnl"/>
        </w:rPr>
        <w:t>1.</w:t>
      </w:r>
      <w:r w:rsidRPr="008B7A21">
        <w:rPr>
          <w:lang w:val="es-ES_tradnl"/>
        </w:rPr>
        <w:tab/>
        <w:t>Equipo fijo</w:t>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t>2 900F</w:t>
      </w:r>
    </w:p>
    <w:p w14:paraId="2DB13F35" w14:textId="77777777" w:rsidR="00F73D5B" w:rsidRPr="008B7A21" w:rsidRDefault="00F73D5B" w:rsidP="00F73D5B">
      <w:pPr>
        <w:pStyle w:val="enumlev1"/>
        <w:tabs>
          <w:tab w:val="clear" w:pos="794"/>
          <w:tab w:val="left" w:pos="567"/>
        </w:tabs>
        <w:rPr>
          <w:lang w:val="es-ES_tradnl"/>
        </w:rPr>
      </w:pPr>
      <w:r w:rsidRPr="008B7A21">
        <w:rPr>
          <w:lang w:val="es-ES_tradnl"/>
        </w:rPr>
        <w:t>2.</w:t>
      </w:r>
      <w:r w:rsidRPr="008B7A21">
        <w:rPr>
          <w:lang w:val="es-ES_tradnl"/>
        </w:rPr>
        <w:tab/>
        <w:t>Equipo móvil</w:t>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t>1 740F</w:t>
      </w:r>
    </w:p>
    <w:p w14:paraId="03D2AF25" w14:textId="77777777" w:rsidR="00F73D5B" w:rsidRPr="008B7A21" w:rsidRDefault="00F73D5B" w:rsidP="00F73D5B">
      <w:pPr>
        <w:pStyle w:val="enumlev1"/>
        <w:tabs>
          <w:tab w:val="clear" w:pos="794"/>
          <w:tab w:val="left" w:pos="567"/>
        </w:tabs>
        <w:rPr>
          <w:lang w:val="es-ES_tradnl"/>
        </w:rPr>
      </w:pPr>
      <w:r w:rsidRPr="008B7A21">
        <w:rPr>
          <w:lang w:val="es-ES_tradnl"/>
        </w:rPr>
        <w:t>3.</w:t>
      </w:r>
      <w:r w:rsidRPr="008B7A21">
        <w:rPr>
          <w:lang w:val="es-ES_tradnl"/>
        </w:rPr>
        <w:tab/>
        <w:t>Equipo portátil</w:t>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r>
      <w:r w:rsidRPr="008B7A21">
        <w:rPr>
          <w:lang w:val="es-ES_tradnl"/>
        </w:rPr>
        <w:tab/>
        <w:t>1 160F</w:t>
      </w:r>
      <w:r w:rsidRPr="008B7A21">
        <w:rPr>
          <w:lang w:val="es-ES_tradnl"/>
        </w:rPr>
        <w:tab/>
      </w:r>
    </w:p>
    <w:p w14:paraId="4495DE94" w14:textId="77777777" w:rsidR="00F73D5B" w:rsidRPr="008B7A21" w:rsidRDefault="00F73D5B" w:rsidP="00F73D5B">
      <w:pPr>
        <w:rPr>
          <w:lang w:val="es-ES_tradnl"/>
        </w:rPr>
      </w:pPr>
    </w:p>
    <w:p w14:paraId="4488C030" w14:textId="77777777" w:rsidR="00F73D5B" w:rsidRPr="008B7A21" w:rsidRDefault="00F73D5B" w:rsidP="00F73D5B">
      <w:pPr>
        <w:rPr>
          <w:lang w:val="es-ES_tradnl"/>
        </w:rPr>
      </w:pPr>
    </w:p>
    <w:p w14:paraId="4D41C4E8" w14:textId="77777777" w:rsidR="00F73D5B" w:rsidRPr="008B7A21" w:rsidRDefault="00F73D5B" w:rsidP="00F73D5B">
      <w:pPr>
        <w:rPr>
          <w:lang w:val="es-ES_tradnl"/>
        </w:rPr>
      </w:pPr>
    </w:p>
    <w:p w14:paraId="6F2BDF74" w14:textId="77777777" w:rsidR="00F73D5B" w:rsidRPr="008B7A21" w:rsidRDefault="00F73D5B" w:rsidP="009207AE">
      <w:pPr>
        <w:pStyle w:val="Headingb"/>
        <w:jc w:val="center"/>
        <w:rPr>
          <w:lang w:val="es-ES_tradnl"/>
        </w:rPr>
      </w:pPr>
      <w:bookmarkStart w:id="2315" w:name="_Toc307922717"/>
      <w:bookmarkStart w:id="2316" w:name="_Toc307992066"/>
      <w:bookmarkStart w:id="2317" w:name="_Toc307993881"/>
      <w:bookmarkStart w:id="2318" w:name="_Toc307994101"/>
      <w:bookmarkStart w:id="2319" w:name="_Toc307996507"/>
      <w:bookmarkStart w:id="2320" w:name="_Toc499563161"/>
      <w:r w:rsidRPr="008B7A21">
        <w:rPr>
          <w:lang w:val="es-ES_tradnl"/>
        </w:rPr>
        <w:lastRenderedPageBreak/>
        <w:t>REPÚBLICA DE COTE D'IVOIRE</w:t>
      </w:r>
      <w:bookmarkEnd w:id="2315"/>
      <w:bookmarkEnd w:id="2316"/>
      <w:bookmarkEnd w:id="2317"/>
      <w:bookmarkEnd w:id="2318"/>
      <w:bookmarkEnd w:id="2319"/>
      <w:bookmarkEnd w:id="2320"/>
    </w:p>
    <w:p w14:paraId="012869EB" w14:textId="77777777" w:rsidR="00F73D5B" w:rsidRPr="008B7A21" w:rsidRDefault="00F73D5B" w:rsidP="009207AE">
      <w:pPr>
        <w:pStyle w:val="Headingb"/>
        <w:jc w:val="center"/>
        <w:rPr>
          <w:lang w:val="es-ES_tradnl"/>
        </w:rPr>
      </w:pPr>
      <w:bookmarkStart w:id="2321" w:name="_Toc307922718"/>
      <w:bookmarkStart w:id="2322" w:name="_Toc307992067"/>
      <w:bookmarkStart w:id="2323" w:name="_Toc307993882"/>
      <w:bookmarkStart w:id="2324" w:name="_Toc307994102"/>
      <w:bookmarkStart w:id="2325" w:name="_Toc307996508"/>
      <w:bookmarkStart w:id="2326" w:name="_Toc499563162"/>
      <w:r w:rsidRPr="008B7A21">
        <w:rPr>
          <w:lang w:val="es-ES_tradnl"/>
        </w:rPr>
        <w:t>CONVENIO DE CONCESIÓN</w:t>
      </w:r>
      <w:bookmarkEnd w:id="2321"/>
      <w:bookmarkEnd w:id="2322"/>
      <w:bookmarkEnd w:id="2323"/>
      <w:bookmarkEnd w:id="2324"/>
      <w:bookmarkEnd w:id="2325"/>
      <w:bookmarkEnd w:id="2326"/>
    </w:p>
    <w:p w14:paraId="06740AC1" w14:textId="77777777" w:rsidR="00F73D5B" w:rsidRPr="008B7A21" w:rsidRDefault="00F73D5B" w:rsidP="009207AE">
      <w:pPr>
        <w:pStyle w:val="Headingb"/>
        <w:jc w:val="center"/>
        <w:rPr>
          <w:lang w:val="es-ES_tradnl"/>
        </w:rPr>
      </w:pPr>
      <w:bookmarkStart w:id="2327" w:name="_Toc307922719"/>
      <w:bookmarkStart w:id="2328" w:name="_Toc307992068"/>
      <w:bookmarkStart w:id="2329" w:name="_Toc307993883"/>
      <w:bookmarkStart w:id="2330" w:name="_Toc307994103"/>
      <w:bookmarkStart w:id="2331" w:name="_Toc307996509"/>
      <w:bookmarkStart w:id="2332" w:name="_Toc499563163"/>
      <w:bookmarkStart w:id="2333" w:name="_Toc526166879"/>
      <w:r w:rsidRPr="008B7A21">
        <w:rPr>
          <w:lang w:val="es-ES_tradnl"/>
        </w:rPr>
        <w:t>Anexo 15</w:t>
      </w:r>
      <w:bookmarkStart w:id="2334" w:name="_Toc307922720"/>
      <w:bookmarkStart w:id="2335" w:name="_Toc307992069"/>
      <w:bookmarkStart w:id="2336" w:name="_Toc307993884"/>
      <w:bookmarkStart w:id="2337" w:name="_Toc307994104"/>
      <w:bookmarkStart w:id="2338" w:name="_Toc307996510"/>
      <w:bookmarkStart w:id="2339" w:name="_Toc499563164"/>
      <w:bookmarkEnd w:id="2327"/>
      <w:bookmarkEnd w:id="2328"/>
      <w:bookmarkEnd w:id="2329"/>
      <w:bookmarkEnd w:id="2330"/>
      <w:bookmarkEnd w:id="2331"/>
      <w:bookmarkEnd w:id="2332"/>
      <w:r w:rsidRPr="008B7A21">
        <w:rPr>
          <w:lang w:val="es-ES_tradnl"/>
        </w:rPr>
        <w:br/>
      </w:r>
      <w:r w:rsidRPr="008B7A21">
        <w:rPr>
          <w:lang w:val="es-ES_tradnl"/>
        </w:rPr>
        <w:br/>
        <w:t xml:space="preserve">Proyecto de decreto que fija los cánones, impuestos y tasas </w:t>
      </w:r>
      <w:r w:rsidRPr="008B7A21">
        <w:rPr>
          <w:lang w:val="es-ES_tradnl"/>
        </w:rPr>
        <w:br/>
        <w:t>sobre los servicios de radiocomunicaciones</w:t>
      </w:r>
      <w:bookmarkEnd w:id="2333"/>
      <w:bookmarkEnd w:id="2334"/>
      <w:bookmarkEnd w:id="2335"/>
      <w:bookmarkEnd w:id="2336"/>
      <w:bookmarkEnd w:id="2337"/>
      <w:bookmarkEnd w:id="2338"/>
      <w:bookmarkEnd w:id="2339"/>
    </w:p>
    <w:p w14:paraId="2CCD524D" w14:textId="77777777" w:rsidR="00F73D5B" w:rsidRPr="008B7A21" w:rsidRDefault="00F73D5B" w:rsidP="00F73D5B">
      <w:pPr>
        <w:spacing w:before="0"/>
        <w:jc w:val="center"/>
        <w:rPr>
          <w:lang w:val="es-ES_tradnl"/>
        </w:rPr>
      </w:pPr>
    </w:p>
    <w:p w14:paraId="5BDB1E2F" w14:textId="77777777" w:rsidR="00F73D5B" w:rsidRPr="008B7A21" w:rsidRDefault="00F73D5B" w:rsidP="00F73D5B">
      <w:pPr>
        <w:jc w:val="center"/>
        <w:rPr>
          <w:szCs w:val="24"/>
          <w:lang w:val="es-ES_tradnl"/>
        </w:rPr>
      </w:pPr>
      <w:r w:rsidRPr="008B7A21">
        <w:rPr>
          <w:szCs w:val="24"/>
          <w:lang w:val="es-ES_tradnl"/>
        </w:rPr>
        <w:t>REPÚBLICA DE COTE D'IVOIRE</w:t>
      </w:r>
    </w:p>
    <w:p w14:paraId="0021D332" w14:textId="77777777" w:rsidR="00F73D5B" w:rsidRPr="008B7A21" w:rsidRDefault="00F73D5B" w:rsidP="00F73D5B">
      <w:pPr>
        <w:jc w:val="center"/>
        <w:rPr>
          <w:szCs w:val="24"/>
          <w:lang w:val="es-ES_tradnl"/>
        </w:rPr>
      </w:pPr>
      <w:r w:rsidRPr="008B7A21">
        <w:rPr>
          <w:szCs w:val="24"/>
          <w:lang w:val="es-ES_tradnl"/>
        </w:rPr>
        <w:t>Unidad-Disciplina-Trabajo</w:t>
      </w:r>
    </w:p>
    <w:p w14:paraId="2CAFE65A" w14:textId="77777777" w:rsidR="00F73D5B" w:rsidRPr="008B7A21" w:rsidRDefault="00F73D5B" w:rsidP="00F73D5B">
      <w:pPr>
        <w:rPr>
          <w:lang w:val="es-ES_tradnl"/>
        </w:rPr>
      </w:pPr>
    </w:p>
    <w:p w14:paraId="7324E595" w14:textId="77777777" w:rsidR="00F73D5B" w:rsidRPr="008B7A21" w:rsidRDefault="00F73D5B" w:rsidP="00F73D5B">
      <w:pPr>
        <w:rPr>
          <w:lang w:val="es-ES_tradnl"/>
        </w:rPr>
      </w:pPr>
    </w:p>
    <w:p w14:paraId="69887A04" w14:textId="77777777" w:rsidR="00F73D5B" w:rsidRPr="008B7A21" w:rsidRDefault="00F73D5B" w:rsidP="00F73D5B">
      <w:pPr>
        <w:rPr>
          <w:szCs w:val="24"/>
          <w:lang w:val="es-ES_tradnl"/>
        </w:rPr>
      </w:pPr>
      <w:r w:rsidRPr="008B7A21">
        <w:rPr>
          <w:szCs w:val="24"/>
          <w:lang w:val="es-ES_tradnl"/>
        </w:rPr>
        <w:t>Ministerio de Infraestructuras Económicas</w:t>
      </w:r>
      <w:r w:rsidRPr="008B7A21">
        <w:rPr>
          <w:szCs w:val="24"/>
          <w:lang w:val="es-ES_tradnl"/>
        </w:rPr>
        <w:tab/>
      </w:r>
      <w:r w:rsidRPr="008B7A21">
        <w:rPr>
          <w:szCs w:val="24"/>
          <w:lang w:val="es-ES_tradnl"/>
        </w:rPr>
        <w:tab/>
      </w:r>
      <w:r w:rsidRPr="008B7A21">
        <w:rPr>
          <w:szCs w:val="24"/>
          <w:lang w:val="es-ES_tradnl"/>
        </w:rPr>
        <w:tab/>
        <w:t>Ministerio de Economía y Hacienda</w:t>
      </w:r>
    </w:p>
    <w:p w14:paraId="33BDD314" w14:textId="77777777" w:rsidR="00F73D5B" w:rsidRPr="008B7A21" w:rsidRDefault="00F73D5B" w:rsidP="00F73D5B">
      <w:pPr>
        <w:rPr>
          <w:lang w:val="es-ES_tradnl"/>
        </w:rPr>
      </w:pPr>
    </w:p>
    <w:p w14:paraId="14578820" w14:textId="77777777" w:rsidR="00F73D5B" w:rsidRPr="008B7A21" w:rsidRDefault="00F73D5B" w:rsidP="00F73D5B">
      <w:pPr>
        <w:rPr>
          <w:lang w:val="es-ES_tradnl"/>
        </w:rPr>
      </w:pPr>
    </w:p>
    <w:p w14:paraId="7D0DEFA4" w14:textId="77777777" w:rsidR="00F73D5B" w:rsidRPr="008B7A21" w:rsidRDefault="00F73D5B" w:rsidP="00F73D5B">
      <w:pPr>
        <w:jc w:val="center"/>
        <w:rPr>
          <w:lang w:val="es-ES_tradnl"/>
        </w:rPr>
      </w:pPr>
      <w:r w:rsidRPr="008B7A21">
        <w:rPr>
          <w:lang w:val="es-ES_tradnl"/>
        </w:rPr>
        <w:t>ORDEN N.° 97/173/ de 19/03/97 QUE DEFINE LOS CÁNONES, IMPUESTOS</w:t>
      </w:r>
      <w:r w:rsidRPr="008B7A21">
        <w:rPr>
          <w:lang w:val="es-ES_tradnl"/>
        </w:rPr>
        <w:br/>
        <w:t>Y TASAS EN LOS SERVICIOS DE RADIOCOMUNICACIONES</w:t>
      </w:r>
    </w:p>
    <w:p w14:paraId="1AAF5360" w14:textId="77777777" w:rsidR="00F73D5B" w:rsidRPr="008B7A21" w:rsidRDefault="00F73D5B" w:rsidP="00F73D5B">
      <w:pPr>
        <w:pStyle w:val="Blanc"/>
        <w:rPr>
          <w:lang w:val="es-ES_tradnl"/>
        </w:rPr>
      </w:pPr>
    </w:p>
    <w:p w14:paraId="531E59D3" w14:textId="77777777" w:rsidR="00F73D5B" w:rsidRPr="008B7A21" w:rsidRDefault="00F73D5B" w:rsidP="00F73D5B">
      <w:pPr>
        <w:jc w:val="center"/>
        <w:rPr>
          <w:lang w:val="es-ES_tradnl"/>
        </w:rPr>
      </w:pPr>
      <w:r w:rsidRPr="008B7A21">
        <w:rPr>
          <w:lang w:val="es-ES_tradnl"/>
        </w:rPr>
        <w:t>EL PRESIDENTE DE LA REPÚBLICA</w:t>
      </w:r>
    </w:p>
    <w:p w14:paraId="4E68C639" w14:textId="77777777" w:rsidR="00F73D5B" w:rsidRPr="008B7A21" w:rsidRDefault="00F73D5B" w:rsidP="00F73D5B">
      <w:pPr>
        <w:pStyle w:val="Normalaftertitle"/>
        <w:rPr>
          <w:lang w:val="es-ES_tradnl"/>
        </w:rPr>
      </w:pPr>
    </w:p>
    <w:p w14:paraId="248958FE" w14:textId="77777777" w:rsidR="00F73D5B" w:rsidRPr="008B7A21" w:rsidRDefault="00F73D5B" w:rsidP="00F73D5B">
      <w:pPr>
        <w:pStyle w:val="Normalaftertitle"/>
        <w:rPr>
          <w:lang w:val="es-ES_tradnl"/>
        </w:rPr>
      </w:pPr>
      <w:r w:rsidRPr="008B7A21">
        <w:rPr>
          <w:lang w:val="es-ES_tradnl"/>
        </w:rPr>
        <w:t>Considerando el informe conjunto del Ministro de Economía y Hacienda y del Ministro de Infraestructuras Económicas.</w:t>
      </w:r>
    </w:p>
    <w:p w14:paraId="4427CB69" w14:textId="77777777" w:rsidR="00F73D5B" w:rsidRPr="008B7A21" w:rsidRDefault="00F73D5B" w:rsidP="00F73D5B">
      <w:pPr>
        <w:rPr>
          <w:lang w:val="es-ES_tradnl"/>
        </w:rPr>
      </w:pPr>
      <w:r w:rsidRPr="008B7A21">
        <w:rPr>
          <w:lang w:val="es-ES_tradnl"/>
        </w:rPr>
        <w:t>Considerando la Constitución.</w:t>
      </w:r>
    </w:p>
    <w:p w14:paraId="45B34B65" w14:textId="77777777" w:rsidR="00F73D5B" w:rsidRPr="008B7A21" w:rsidRDefault="00F73D5B" w:rsidP="00F73D5B">
      <w:pPr>
        <w:rPr>
          <w:lang w:val="es-ES_tradnl"/>
        </w:rPr>
      </w:pPr>
      <w:r w:rsidRPr="008B7A21">
        <w:rPr>
          <w:lang w:val="es-ES_tradnl"/>
        </w:rPr>
        <w:t>Considerando la Ley N.° 95-526 de 7 de julio de 1995 sobre Telecomunicaciones.</w:t>
      </w:r>
    </w:p>
    <w:p w14:paraId="0A6029C7" w14:textId="77777777" w:rsidR="00F73D5B" w:rsidRPr="008B7A21" w:rsidRDefault="00F73D5B" w:rsidP="00F73D5B">
      <w:pPr>
        <w:rPr>
          <w:lang w:val="es-ES_tradnl"/>
        </w:rPr>
      </w:pPr>
      <w:r w:rsidRPr="008B7A21">
        <w:rPr>
          <w:lang w:val="es-ES_tradnl"/>
        </w:rPr>
        <w:t>Considerando el Decreto N.° 85-1089 de 16 de octubre de 1985 que fija el Reglamento de radiocomunicaciones privadas en Côte d'Ivoire.</w:t>
      </w:r>
    </w:p>
    <w:p w14:paraId="262F60BB" w14:textId="77777777" w:rsidR="00F73D5B" w:rsidRPr="008B7A21" w:rsidRDefault="00F73D5B" w:rsidP="00F73D5B">
      <w:pPr>
        <w:rPr>
          <w:lang w:val="es-ES_tradnl"/>
        </w:rPr>
      </w:pPr>
      <w:r w:rsidRPr="008B7A21">
        <w:rPr>
          <w:lang w:val="es-ES_tradnl"/>
        </w:rPr>
        <w:t>Considerando el Decreto N.° 95-554 de 19 de julio de 1995 que determina la organización y funcionamiento de una entidad pública especial denominada en lo que sigue Agence des Télécommunications de Côte d'Ivoire.</w:t>
      </w:r>
    </w:p>
    <w:p w14:paraId="029EAA92" w14:textId="77777777" w:rsidR="00F73D5B" w:rsidRPr="008B7A21" w:rsidRDefault="00F73D5B" w:rsidP="00F73D5B">
      <w:pPr>
        <w:rPr>
          <w:lang w:val="es-ES_tradnl"/>
        </w:rPr>
      </w:pPr>
      <w:r w:rsidRPr="008B7A21">
        <w:rPr>
          <w:lang w:val="es-ES_tradnl"/>
        </w:rPr>
        <w:t>Considerando el Decreto N.° 96-PR/002 de 26 de enero de 1996 que nombra a los miembros del Gobierno; modificado por el Decreto N.° 96-PR/10 de 10 de agosto de 1996.</w:t>
      </w:r>
    </w:p>
    <w:p w14:paraId="1C026534" w14:textId="77777777" w:rsidR="00F73D5B" w:rsidRPr="008B7A21" w:rsidRDefault="00F73D5B" w:rsidP="00F73D5B">
      <w:pPr>
        <w:rPr>
          <w:lang w:val="es-ES_tradnl"/>
        </w:rPr>
      </w:pPr>
      <w:r w:rsidRPr="008B7A21">
        <w:rPr>
          <w:lang w:val="es-ES_tradnl"/>
        </w:rPr>
        <w:t>Considerando el Decreto N.  96-179 de uno de marzo de 1996 que fija las atribuciones de los miembros del Gobierno.</w:t>
      </w:r>
    </w:p>
    <w:p w14:paraId="22F13E48" w14:textId="77777777" w:rsidR="00F73D5B" w:rsidRPr="008B7A21" w:rsidRDefault="00F73D5B" w:rsidP="00F73D5B">
      <w:pPr>
        <w:keepNext/>
        <w:keepLines/>
        <w:jc w:val="center"/>
        <w:rPr>
          <w:lang w:val="es-ES_tradnl"/>
        </w:rPr>
      </w:pPr>
      <w:r w:rsidRPr="008B7A21">
        <w:rPr>
          <w:lang w:val="es-ES_tradnl"/>
        </w:rPr>
        <w:lastRenderedPageBreak/>
        <w:t>TRAS LA CONSIDERACIÓN DEL CONSEJO DE MINISTROS:</w:t>
      </w:r>
    </w:p>
    <w:p w14:paraId="1BEF1817" w14:textId="77777777" w:rsidR="00F73D5B" w:rsidRPr="008B7A21" w:rsidRDefault="00F73D5B" w:rsidP="00F73D5B">
      <w:pPr>
        <w:keepNext/>
        <w:keepLines/>
        <w:jc w:val="center"/>
        <w:rPr>
          <w:lang w:val="es-ES_tradnl"/>
        </w:rPr>
      </w:pPr>
      <w:r w:rsidRPr="008B7A21">
        <w:rPr>
          <w:lang w:val="es-ES_tradnl"/>
        </w:rPr>
        <w:t>DECRETA</w:t>
      </w:r>
    </w:p>
    <w:p w14:paraId="3E7BEC38" w14:textId="77777777" w:rsidR="00F73D5B" w:rsidRPr="008B7A21" w:rsidRDefault="00F73D5B" w:rsidP="00F73D5B">
      <w:pPr>
        <w:keepNext/>
        <w:keepLines/>
        <w:jc w:val="center"/>
        <w:rPr>
          <w:lang w:val="es-ES_tradnl"/>
        </w:rPr>
      </w:pPr>
    </w:p>
    <w:p w14:paraId="3321ED39" w14:textId="77777777" w:rsidR="00F73D5B" w:rsidRPr="008B7A21" w:rsidRDefault="00F73D5B" w:rsidP="00F73D5B">
      <w:pPr>
        <w:keepNext/>
        <w:keepLines/>
        <w:jc w:val="center"/>
        <w:rPr>
          <w:lang w:val="es-ES_tradnl"/>
        </w:rPr>
      </w:pPr>
      <w:r w:rsidRPr="008B7A21">
        <w:rPr>
          <w:lang w:val="es-ES_tradnl"/>
        </w:rPr>
        <w:t>CAPÍTULO I</w:t>
      </w:r>
    </w:p>
    <w:p w14:paraId="3796651F" w14:textId="77777777" w:rsidR="00F73D5B" w:rsidRPr="008B7A21" w:rsidRDefault="00F73D5B" w:rsidP="00F73D5B">
      <w:pPr>
        <w:keepNext/>
        <w:keepLines/>
        <w:jc w:val="center"/>
        <w:rPr>
          <w:lang w:val="es-ES_tradnl"/>
        </w:rPr>
      </w:pPr>
      <w:r w:rsidRPr="008B7A21">
        <w:rPr>
          <w:lang w:val="es-ES_tradnl"/>
        </w:rPr>
        <w:t>DISPOSICIONES GENERALES: ÁMBITO DE APLICACIÓN</w:t>
      </w:r>
    </w:p>
    <w:p w14:paraId="1FB21FB2" w14:textId="77777777" w:rsidR="00F73D5B" w:rsidRPr="008B7A21" w:rsidRDefault="00F73D5B" w:rsidP="00F73D5B">
      <w:pPr>
        <w:pStyle w:val="Normalaftertitle"/>
        <w:rPr>
          <w:lang w:val="es-ES_tradnl"/>
        </w:rPr>
      </w:pPr>
      <w:r w:rsidRPr="008B7A21">
        <w:rPr>
          <w:lang w:val="es-ES_tradnl"/>
        </w:rPr>
        <w:t>Artículo 1: A tenor de las aplicaciones de los Artículos 6, 8, 20, 24 y 51 de la Ley N.° 95-526 de 7 de julio de 1995 de Telecomunicaciones, este decreto define los cánones, impuestos, tasas y contribuciones que hay que devengar a la Agence des Télécommunications de Côte d'Ivoire (ATCI) por los solicitantes o los que tienen autorizaciones en materia de radiocomunicaciones.</w:t>
      </w:r>
    </w:p>
    <w:p w14:paraId="0F76A371" w14:textId="77777777" w:rsidR="00F73D5B" w:rsidRPr="008B7A21" w:rsidRDefault="00F73D5B" w:rsidP="00F73D5B">
      <w:pPr>
        <w:rPr>
          <w:lang w:val="es-ES_tradnl"/>
        </w:rPr>
      </w:pPr>
    </w:p>
    <w:p w14:paraId="3561DFB4" w14:textId="77777777" w:rsidR="00F73D5B" w:rsidRPr="008B7A21" w:rsidRDefault="00F73D5B" w:rsidP="00F73D5B">
      <w:pPr>
        <w:jc w:val="center"/>
        <w:rPr>
          <w:lang w:val="es-ES_tradnl"/>
        </w:rPr>
      </w:pPr>
      <w:r w:rsidRPr="008B7A21">
        <w:rPr>
          <w:lang w:val="es-ES_tradnl"/>
        </w:rPr>
        <w:t>CAPÍTULO II</w:t>
      </w:r>
    </w:p>
    <w:p w14:paraId="06CFCC1E" w14:textId="77777777" w:rsidR="00F73D5B" w:rsidRPr="008B7A21" w:rsidRDefault="00F73D5B" w:rsidP="00F73D5B">
      <w:pPr>
        <w:jc w:val="center"/>
        <w:rPr>
          <w:lang w:val="es-ES_tradnl"/>
        </w:rPr>
      </w:pPr>
      <w:r w:rsidRPr="008B7A21">
        <w:rPr>
          <w:lang w:val="es-ES_tradnl"/>
        </w:rPr>
        <w:t>CÁNONES, TASAS Y CONTRIBUCIONES APLICABLES</w:t>
      </w:r>
      <w:r w:rsidRPr="008B7A21">
        <w:rPr>
          <w:lang w:val="es-ES_tradnl"/>
        </w:rPr>
        <w:br/>
        <w:t>A LAS REDES Y ESTACIONES RADIOELÉCTRICAS</w:t>
      </w:r>
    </w:p>
    <w:p w14:paraId="6CD65890" w14:textId="77777777" w:rsidR="00F73D5B" w:rsidRPr="008B7A21" w:rsidRDefault="00F73D5B" w:rsidP="00F73D5B">
      <w:pPr>
        <w:pStyle w:val="Normalaftertitle"/>
        <w:rPr>
          <w:lang w:val="es-ES_tradnl"/>
        </w:rPr>
      </w:pPr>
      <w:r w:rsidRPr="008B7A21">
        <w:rPr>
          <w:lang w:val="es-ES_tradnl"/>
        </w:rPr>
        <w:t>Sección I: Redes radioeléctricas de los servicios fijo y móvil, redes y estaciones terrenas de los servicios fijo por satélite y móvil por satélite.</w:t>
      </w:r>
    </w:p>
    <w:p w14:paraId="761078F5" w14:textId="77777777" w:rsidR="00F73D5B" w:rsidRPr="008B7A21" w:rsidRDefault="00F73D5B" w:rsidP="00F73D5B">
      <w:pPr>
        <w:rPr>
          <w:lang w:val="es-ES_tradnl"/>
        </w:rPr>
      </w:pPr>
      <w:r w:rsidRPr="008B7A21">
        <w:rPr>
          <w:lang w:val="es-ES_tradnl"/>
        </w:rPr>
        <w:t>Artículo 2: Los solicitantes o adjudicatarios de autorizaciones relativas a las redes radioeléctricas para los servicios fijo y móvil terrenal, así como de redes y estaciones terrenas para los servicios fijo por satélite y móvil por satélite deben satisfacer los cánones, tasas y contribuciones siguientes:</w:t>
      </w:r>
    </w:p>
    <w:p w14:paraId="70FD3787" w14:textId="77777777" w:rsidR="00F73D5B" w:rsidRPr="008B7A21" w:rsidRDefault="00F73D5B" w:rsidP="00F73D5B">
      <w:pPr>
        <w:pStyle w:val="enumlev1"/>
        <w:rPr>
          <w:lang w:val="es-ES_tradnl"/>
        </w:rPr>
      </w:pPr>
      <w:r w:rsidRPr="008B7A21">
        <w:rPr>
          <w:lang w:val="es-ES_tradnl"/>
        </w:rPr>
        <w:t>–</w:t>
      </w:r>
      <w:r w:rsidRPr="008B7A21">
        <w:rPr>
          <w:lang w:val="es-ES_tradnl"/>
        </w:rPr>
        <w:tab/>
        <w:t>cánones por tramitación de expedientes;</w:t>
      </w:r>
    </w:p>
    <w:p w14:paraId="3D481EDE" w14:textId="77777777" w:rsidR="00F73D5B" w:rsidRPr="008B7A21" w:rsidRDefault="00F73D5B" w:rsidP="00F73D5B">
      <w:pPr>
        <w:pStyle w:val="enumlev1"/>
        <w:rPr>
          <w:lang w:val="es-ES_tradnl"/>
        </w:rPr>
      </w:pPr>
      <w:r w:rsidRPr="008B7A21">
        <w:rPr>
          <w:lang w:val="es-ES_tradnl"/>
        </w:rPr>
        <w:t>–</w:t>
      </w:r>
      <w:r w:rsidRPr="008B7A21">
        <w:rPr>
          <w:lang w:val="es-ES_tradnl"/>
        </w:rPr>
        <w:tab/>
        <w:t>cánones por la verificación de las estaciones radioeléctricas;</w:t>
      </w:r>
    </w:p>
    <w:p w14:paraId="12D508FC" w14:textId="77777777" w:rsidR="00F73D5B" w:rsidRPr="008B7A21" w:rsidRDefault="00F73D5B" w:rsidP="00F73D5B">
      <w:pPr>
        <w:pStyle w:val="enumlev1"/>
        <w:rPr>
          <w:lang w:val="es-ES_tradnl"/>
        </w:rPr>
      </w:pPr>
      <w:r w:rsidRPr="008B7A21">
        <w:rPr>
          <w:lang w:val="es-ES_tradnl"/>
        </w:rPr>
        <w:t>–</w:t>
      </w:r>
      <w:r w:rsidRPr="008B7A21">
        <w:rPr>
          <w:lang w:val="es-ES_tradnl"/>
        </w:rPr>
        <w:tab/>
        <w:t>contribución a los costes de gestión;</w:t>
      </w:r>
    </w:p>
    <w:p w14:paraId="11C67953" w14:textId="77777777" w:rsidR="00F73D5B" w:rsidRPr="008B7A21" w:rsidRDefault="00F73D5B" w:rsidP="00F73D5B">
      <w:pPr>
        <w:pStyle w:val="enumlev1"/>
        <w:rPr>
          <w:lang w:val="es-ES_tradnl"/>
        </w:rPr>
      </w:pPr>
      <w:r w:rsidRPr="008B7A21">
        <w:rPr>
          <w:lang w:val="es-ES_tradnl"/>
        </w:rPr>
        <w:t>–</w:t>
      </w:r>
      <w:r w:rsidRPr="008B7A21">
        <w:rPr>
          <w:lang w:val="es-ES_tradnl"/>
        </w:rPr>
        <w:tab/>
        <w:t>tasas por la utilización de las frecuencias radioeléctricas.</w:t>
      </w:r>
    </w:p>
    <w:p w14:paraId="06292D76" w14:textId="77777777" w:rsidR="00F73D5B" w:rsidRPr="008B7A21" w:rsidRDefault="00F73D5B" w:rsidP="00F73D5B">
      <w:pPr>
        <w:rPr>
          <w:lang w:val="es-ES_tradnl"/>
        </w:rPr>
      </w:pPr>
      <w:r w:rsidRPr="008B7A21">
        <w:rPr>
          <w:lang w:val="es-ES_tradnl"/>
        </w:rPr>
        <w:t>Sección II: Estaciones terrenas comunitarias sólo de recepción.</w:t>
      </w:r>
    </w:p>
    <w:p w14:paraId="74C1C634" w14:textId="77777777" w:rsidR="00F73D5B" w:rsidRPr="008B7A21" w:rsidRDefault="00F73D5B" w:rsidP="00F73D5B">
      <w:pPr>
        <w:rPr>
          <w:lang w:val="es-ES_tradnl"/>
        </w:rPr>
      </w:pPr>
      <w:r w:rsidRPr="008B7A21">
        <w:rPr>
          <w:lang w:val="es-ES_tradnl"/>
        </w:rPr>
        <w:t>Artículo 3: Los solicitantes o adjudicatarios de autorizaciones relativas a la instalación de estaciones de radiodifusión para la recepción colectiva o la recepción para su redistribución de conformidad con las disposiciones del Artículo 20 de la Ley N.° 95-526 de 07 de julio de 1995 General de Telecomunicaciones deberán pagar los cánones, tasas y contribuciones estipulados en el Artículo 2 anterior.</w:t>
      </w:r>
    </w:p>
    <w:p w14:paraId="48DDBDE3" w14:textId="77777777" w:rsidR="00F73D5B" w:rsidRPr="008B7A21" w:rsidRDefault="00F73D5B" w:rsidP="00F73D5B">
      <w:pPr>
        <w:rPr>
          <w:lang w:val="es-ES_tradnl"/>
        </w:rPr>
      </w:pPr>
      <w:r w:rsidRPr="008B7A21">
        <w:rPr>
          <w:lang w:val="es-ES_tradnl"/>
        </w:rPr>
        <w:t>Sección III: Estaciones de radioaficionado.</w:t>
      </w:r>
    </w:p>
    <w:p w14:paraId="7DCA972F" w14:textId="77777777" w:rsidR="00F73D5B" w:rsidRPr="008B7A21" w:rsidRDefault="00F73D5B" w:rsidP="00F73D5B">
      <w:pPr>
        <w:rPr>
          <w:lang w:val="es-ES_tradnl"/>
        </w:rPr>
      </w:pPr>
      <w:r w:rsidRPr="008B7A21">
        <w:rPr>
          <w:lang w:val="es-ES_tradnl"/>
        </w:rPr>
        <w:t>Artículo 4: Los solicitantes o adjudicatarios de autorizaciones para estaciones de aficionado deberán pagar los cánones siguientes:</w:t>
      </w:r>
    </w:p>
    <w:p w14:paraId="6016F197" w14:textId="77777777" w:rsidR="00F73D5B" w:rsidRPr="008B7A21" w:rsidRDefault="00F73D5B" w:rsidP="00F73D5B">
      <w:pPr>
        <w:pStyle w:val="enumlev1"/>
        <w:rPr>
          <w:lang w:val="es-ES_tradnl"/>
        </w:rPr>
      </w:pPr>
      <w:r w:rsidRPr="008B7A21">
        <w:rPr>
          <w:lang w:val="es-ES_tradnl"/>
        </w:rPr>
        <w:t>–</w:t>
      </w:r>
      <w:r w:rsidRPr="008B7A21">
        <w:rPr>
          <w:lang w:val="es-ES_tradnl"/>
        </w:rPr>
        <w:tab/>
        <w:t>canon por tramitación de expedientes;</w:t>
      </w:r>
    </w:p>
    <w:p w14:paraId="6B3F1016" w14:textId="77777777" w:rsidR="00F73D5B" w:rsidRPr="008B7A21" w:rsidRDefault="00F73D5B" w:rsidP="00F73D5B">
      <w:pPr>
        <w:pStyle w:val="enumlev1"/>
        <w:rPr>
          <w:lang w:val="es-ES_tradnl"/>
        </w:rPr>
      </w:pPr>
      <w:r w:rsidRPr="008B7A21">
        <w:rPr>
          <w:lang w:val="es-ES_tradnl"/>
        </w:rPr>
        <w:t>–</w:t>
      </w:r>
      <w:r w:rsidRPr="008B7A21">
        <w:rPr>
          <w:lang w:val="es-ES_tradnl"/>
        </w:rPr>
        <w:tab/>
        <w:t>tasa por la verificación de las estaciones;</w:t>
      </w:r>
    </w:p>
    <w:p w14:paraId="6D58FAD9" w14:textId="77777777" w:rsidR="00F73D5B" w:rsidRPr="008B7A21" w:rsidRDefault="00F73D5B" w:rsidP="00F73D5B">
      <w:pPr>
        <w:rPr>
          <w:lang w:val="es-ES_tradnl"/>
        </w:rPr>
      </w:pPr>
      <w:r w:rsidRPr="008B7A21">
        <w:rPr>
          <w:lang w:val="es-ES_tradnl"/>
        </w:rPr>
        <w:t>Sección IV: Utilización temporal de redes radioeléctricas.</w:t>
      </w:r>
    </w:p>
    <w:p w14:paraId="099C558A" w14:textId="77777777" w:rsidR="00F73D5B" w:rsidRPr="008B7A21" w:rsidRDefault="00F73D5B" w:rsidP="00F73D5B">
      <w:pPr>
        <w:rPr>
          <w:lang w:val="es-ES_tradnl"/>
        </w:rPr>
      </w:pPr>
      <w:r w:rsidRPr="008B7A21">
        <w:rPr>
          <w:lang w:val="es-ES_tradnl"/>
        </w:rPr>
        <w:t>Artículo 5: Las estaciones radioeléctricas terrenales y terrenas que se utilizan temporalmente deberán pagar las tasas y cánones siguientes:</w:t>
      </w:r>
    </w:p>
    <w:p w14:paraId="4D8A489A" w14:textId="77777777" w:rsidR="00F73D5B" w:rsidRPr="008B7A21" w:rsidRDefault="00F73D5B" w:rsidP="00F73D5B">
      <w:pPr>
        <w:pStyle w:val="enumlev1"/>
        <w:rPr>
          <w:lang w:val="es-ES_tradnl"/>
        </w:rPr>
      </w:pPr>
      <w:r w:rsidRPr="008B7A21">
        <w:rPr>
          <w:lang w:val="es-ES_tradnl"/>
        </w:rPr>
        <w:t>–</w:t>
      </w:r>
      <w:r w:rsidRPr="008B7A21">
        <w:rPr>
          <w:lang w:val="es-ES_tradnl"/>
        </w:rPr>
        <w:tab/>
        <w:t>tasa de control;</w:t>
      </w:r>
    </w:p>
    <w:p w14:paraId="4D1021FF" w14:textId="77777777" w:rsidR="00F73D5B" w:rsidRPr="008B7A21" w:rsidRDefault="00F73D5B" w:rsidP="00F73D5B">
      <w:pPr>
        <w:pStyle w:val="enumlev1"/>
        <w:rPr>
          <w:lang w:val="es-ES_tradnl"/>
        </w:rPr>
      </w:pPr>
      <w:r w:rsidRPr="008B7A21">
        <w:rPr>
          <w:lang w:val="es-ES_tradnl"/>
        </w:rPr>
        <w:t>–</w:t>
      </w:r>
      <w:r w:rsidRPr="008B7A21">
        <w:rPr>
          <w:lang w:val="es-ES_tradnl"/>
        </w:rPr>
        <w:tab/>
        <w:t>canon de contribución a los costes de gestión y tasas por el uso de las frecuencias radioeléctricas calculadas mensualmente.</w:t>
      </w:r>
    </w:p>
    <w:p w14:paraId="7EF51C9C" w14:textId="77777777" w:rsidR="00F73D5B" w:rsidRPr="008B7A21" w:rsidRDefault="00F73D5B" w:rsidP="00F73D5B">
      <w:pPr>
        <w:keepNext/>
        <w:keepLines/>
        <w:rPr>
          <w:lang w:val="es-ES_tradnl"/>
        </w:rPr>
      </w:pPr>
      <w:r w:rsidRPr="008B7A21">
        <w:rPr>
          <w:lang w:val="es-ES_tradnl"/>
        </w:rPr>
        <w:lastRenderedPageBreak/>
        <w:t>Sección V: Transmisores y receptores de baja potencia o equipos CB.</w:t>
      </w:r>
    </w:p>
    <w:p w14:paraId="1C5778DF" w14:textId="77777777" w:rsidR="00F73D5B" w:rsidRPr="008B7A21" w:rsidRDefault="00F73D5B" w:rsidP="00F73D5B">
      <w:pPr>
        <w:rPr>
          <w:lang w:val="es-ES_tradnl"/>
        </w:rPr>
      </w:pPr>
      <w:r w:rsidRPr="008B7A21">
        <w:rPr>
          <w:lang w:val="es-ES_tradnl"/>
        </w:rPr>
        <w:t>Artículo 6: El uso de transmisores y receptores que funcionan en canales simples denominados CB, están sometidos al pago de una tasa, sin devolución, en el momento de obtener la autorización.</w:t>
      </w:r>
    </w:p>
    <w:p w14:paraId="62C4C193" w14:textId="77777777" w:rsidR="00F73D5B" w:rsidRPr="008B7A21" w:rsidRDefault="00F73D5B" w:rsidP="00F73D5B">
      <w:pPr>
        <w:rPr>
          <w:lang w:val="es-ES_tradnl"/>
        </w:rPr>
      </w:pPr>
      <w:r w:rsidRPr="008B7A21">
        <w:rPr>
          <w:lang w:val="es-ES_tradnl"/>
        </w:rPr>
        <w:t>Los equipos CB con un máximo de 40 canales que funcionan exclusivamente en modulación angular y que tienen una potencia máxima de 4 W no están sujetos a cánones.</w:t>
      </w:r>
    </w:p>
    <w:p w14:paraId="314317F1" w14:textId="77777777" w:rsidR="00F73D5B" w:rsidRPr="008B7A21" w:rsidRDefault="00F73D5B" w:rsidP="00F73D5B">
      <w:pPr>
        <w:rPr>
          <w:lang w:val="es-ES_tradnl"/>
        </w:rPr>
      </w:pPr>
      <w:r w:rsidRPr="008B7A21">
        <w:rPr>
          <w:lang w:val="es-ES_tradnl"/>
        </w:rPr>
        <w:t>Sección VI: Instalación de radiomando reducido.</w:t>
      </w:r>
    </w:p>
    <w:p w14:paraId="75FA55D5" w14:textId="77777777" w:rsidR="00F73D5B" w:rsidRPr="008B7A21" w:rsidRDefault="00F73D5B" w:rsidP="00F73D5B">
      <w:pPr>
        <w:rPr>
          <w:lang w:val="es-ES_tradnl"/>
        </w:rPr>
      </w:pPr>
      <w:r w:rsidRPr="008B7A21">
        <w:rPr>
          <w:lang w:val="es-ES_tradnl"/>
        </w:rPr>
        <w:t>Artículo 7: El uso de equipos transmisores y receptores reducidos con menos de cinco (5) vatios destinados a radiomando, salvo aquellos autorizados con todos sus derechos, están sujetos al pago de impuestos durante un periodo de cinco (5) años, que se recaudan con antelación y sin devolución.</w:t>
      </w:r>
    </w:p>
    <w:p w14:paraId="1FBBD20E" w14:textId="77777777" w:rsidR="00F73D5B" w:rsidRPr="008B7A21" w:rsidRDefault="00F73D5B" w:rsidP="00F73D5B">
      <w:pPr>
        <w:keepNext/>
        <w:keepLines/>
        <w:rPr>
          <w:lang w:val="es-ES_tradnl"/>
        </w:rPr>
      </w:pPr>
      <w:r w:rsidRPr="008B7A21">
        <w:rPr>
          <w:lang w:val="es-ES_tradnl"/>
        </w:rPr>
        <w:t>Sección VII: Porcentajes y modalidad de pago de los cánones y tasas radioeléctricos.</w:t>
      </w:r>
    </w:p>
    <w:p w14:paraId="0376185D" w14:textId="77777777" w:rsidR="00F73D5B" w:rsidRPr="008B7A21" w:rsidRDefault="00F73D5B" w:rsidP="00F73D5B">
      <w:pPr>
        <w:keepNext/>
        <w:keepLines/>
        <w:rPr>
          <w:lang w:val="es-ES_tradnl"/>
        </w:rPr>
      </w:pPr>
      <w:r w:rsidRPr="008B7A21">
        <w:rPr>
          <w:lang w:val="es-ES_tradnl"/>
        </w:rPr>
        <w:t>Artículo 8: Las modalidades de pago de los cánones, tasas y contribuciones estipulados en las Secciones I a IV anteriores son las siguientes:</w:t>
      </w:r>
    </w:p>
    <w:p w14:paraId="649160E1" w14:textId="77777777" w:rsidR="00F73D5B" w:rsidRPr="008B7A21" w:rsidRDefault="00F73D5B" w:rsidP="00F73D5B">
      <w:pPr>
        <w:pStyle w:val="enumlev1"/>
        <w:rPr>
          <w:lang w:val="es-ES_tradnl"/>
        </w:rPr>
      </w:pPr>
      <w:r w:rsidRPr="008B7A21">
        <w:rPr>
          <w:lang w:val="es-ES_tradnl"/>
        </w:rPr>
        <w:t>–</w:t>
      </w:r>
      <w:r w:rsidRPr="008B7A21">
        <w:rPr>
          <w:lang w:val="es-ES_tradnl"/>
        </w:rPr>
        <w:tab/>
        <w:t>los cánones por tramitación de expedientes, las tasas mensuales y sin devolución se pagan con anterioridad a que se expidan las autorizaciones;</w:t>
      </w:r>
    </w:p>
    <w:p w14:paraId="383E8150" w14:textId="77777777" w:rsidR="00F73D5B" w:rsidRPr="008B7A21" w:rsidRDefault="00F73D5B" w:rsidP="00F73D5B">
      <w:pPr>
        <w:pStyle w:val="enumlev1"/>
        <w:rPr>
          <w:lang w:val="es-ES_tradnl"/>
        </w:rPr>
      </w:pPr>
      <w:r w:rsidRPr="008B7A21">
        <w:rPr>
          <w:lang w:val="es-ES_tradnl"/>
        </w:rPr>
        <w:t>–</w:t>
      </w:r>
      <w:r w:rsidRPr="008B7A21">
        <w:rPr>
          <w:lang w:val="es-ES_tradnl"/>
        </w:rPr>
        <w:tab/>
        <w:t>la tasa de verificación de estaciones y las contribuciones por costes de gestión se pagan con antelación y anualmente sin devolución;</w:t>
      </w:r>
    </w:p>
    <w:p w14:paraId="50F3B147" w14:textId="77777777" w:rsidR="00F73D5B" w:rsidRPr="008B7A21" w:rsidRDefault="00F73D5B" w:rsidP="00F73D5B">
      <w:pPr>
        <w:pStyle w:val="enumlev1"/>
        <w:rPr>
          <w:lang w:val="es-ES_tradnl"/>
        </w:rPr>
      </w:pPr>
      <w:r w:rsidRPr="008B7A21">
        <w:rPr>
          <w:lang w:val="es-ES_tradnl"/>
        </w:rPr>
        <w:t>–</w:t>
      </w:r>
      <w:r w:rsidRPr="008B7A21">
        <w:rPr>
          <w:lang w:val="es-ES_tradnl"/>
        </w:rPr>
        <w:tab/>
        <w:t>las tasas por la utilización de las frecuencias radioeléctricas son anuales y la primera anualidad corresponde a la fecha de puesta en servicio de las estaciones, mientras que para los años siguientes se aplican desde el uno de enero.</w:t>
      </w:r>
    </w:p>
    <w:p w14:paraId="2FE4DB1E" w14:textId="77777777" w:rsidR="00F73D5B" w:rsidRPr="008B7A21" w:rsidRDefault="00F73D5B" w:rsidP="00F73D5B">
      <w:pPr>
        <w:rPr>
          <w:lang w:val="es-ES_tradnl"/>
        </w:rPr>
      </w:pPr>
      <w:r w:rsidRPr="008B7A21">
        <w:rPr>
          <w:lang w:val="es-ES_tradnl"/>
        </w:rPr>
        <w:t>Artículo 9: El pago de los cánones y tasas se certifica mediante una etiqueta adherida al equipo, vehículo o barco para estaciones móviles.</w:t>
      </w:r>
    </w:p>
    <w:p w14:paraId="79B6DE12" w14:textId="77777777" w:rsidR="00F73D5B" w:rsidRPr="008B7A21" w:rsidRDefault="00F73D5B" w:rsidP="00F73D5B">
      <w:pPr>
        <w:rPr>
          <w:lang w:val="es-ES_tradnl"/>
        </w:rPr>
      </w:pPr>
    </w:p>
    <w:p w14:paraId="750EAD72" w14:textId="77777777" w:rsidR="00F73D5B" w:rsidRPr="008B7A21" w:rsidRDefault="00F73D5B" w:rsidP="00F73D5B">
      <w:pPr>
        <w:jc w:val="center"/>
        <w:rPr>
          <w:lang w:val="es-ES_tradnl"/>
        </w:rPr>
      </w:pPr>
      <w:r w:rsidRPr="008B7A21">
        <w:rPr>
          <w:lang w:val="es-ES_tradnl"/>
        </w:rPr>
        <w:t>CAPÍTULO III</w:t>
      </w:r>
    </w:p>
    <w:p w14:paraId="4F20E014" w14:textId="77777777" w:rsidR="00F73D5B" w:rsidRPr="008B7A21" w:rsidRDefault="00F73D5B" w:rsidP="00F73D5B">
      <w:pPr>
        <w:jc w:val="center"/>
        <w:rPr>
          <w:lang w:val="es-ES_tradnl"/>
        </w:rPr>
      </w:pPr>
      <w:r w:rsidRPr="008B7A21">
        <w:rPr>
          <w:lang w:val="es-ES_tradnl"/>
        </w:rPr>
        <w:t>CÁNONES Y OTRAS TASAS</w:t>
      </w:r>
    </w:p>
    <w:p w14:paraId="3B414E3C" w14:textId="77777777" w:rsidR="00F73D5B" w:rsidRPr="008B7A21" w:rsidRDefault="00F73D5B" w:rsidP="00F73D5B">
      <w:pPr>
        <w:pStyle w:val="Normalaftertitle"/>
        <w:rPr>
          <w:lang w:val="es-ES_tradnl"/>
        </w:rPr>
      </w:pPr>
      <w:r w:rsidRPr="008B7A21">
        <w:rPr>
          <w:lang w:val="es-ES_tradnl"/>
        </w:rPr>
        <w:t>Sección I: Cánones de examen.</w:t>
      </w:r>
    </w:p>
    <w:p w14:paraId="53632E02" w14:textId="77777777" w:rsidR="00F73D5B" w:rsidRPr="008B7A21" w:rsidRDefault="00F73D5B" w:rsidP="00F73D5B">
      <w:pPr>
        <w:rPr>
          <w:lang w:val="es-ES_tradnl"/>
        </w:rPr>
      </w:pPr>
      <w:r w:rsidRPr="008B7A21">
        <w:rPr>
          <w:lang w:val="es-ES_tradnl"/>
        </w:rPr>
        <w:t>Artículo 10: Para la obtención de certificados de operador radiotelegráfico, operador radiotelefónico o de un certificado para ambos, los cánones de examen se pagarán antes de que se inicien los exámenes. Los mismos cánones se pagarán al expedir el certificado o certificados para aquellos que tengan titulación militar como operadores.</w:t>
      </w:r>
    </w:p>
    <w:p w14:paraId="1EE8F73E" w14:textId="77777777" w:rsidR="00F73D5B" w:rsidRPr="008B7A21" w:rsidRDefault="00F73D5B" w:rsidP="00F73D5B">
      <w:pPr>
        <w:rPr>
          <w:lang w:val="es-ES_tradnl"/>
        </w:rPr>
      </w:pPr>
      <w:r w:rsidRPr="008B7A21">
        <w:rPr>
          <w:lang w:val="es-ES_tradnl"/>
        </w:rPr>
        <w:t xml:space="preserve">Artículo 11: Cuando se expida o renueve o se otorgue un duplicado de licencia de radioaficionado, de licencia aeronáutica o de barco y un certificado de operador se pagarán cánones fijos y sin devolución. </w:t>
      </w:r>
    </w:p>
    <w:p w14:paraId="6A61CA4E" w14:textId="77777777" w:rsidR="00F73D5B" w:rsidRPr="008B7A21" w:rsidRDefault="00F73D5B" w:rsidP="00F73D5B">
      <w:pPr>
        <w:rPr>
          <w:lang w:val="es-ES_tradnl"/>
        </w:rPr>
      </w:pPr>
      <w:r w:rsidRPr="008B7A21">
        <w:rPr>
          <w:lang w:val="es-ES_tradnl"/>
        </w:rPr>
        <w:t>Sección II: Tasas de intervención.</w:t>
      </w:r>
    </w:p>
    <w:p w14:paraId="449B08CC" w14:textId="77777777" w:rsidR="00F73D5B" w:rsidRPr="008B7A21" w:rsidRDefault="00F73D5B" w:rsidP="00F73D5B">
      <w:pPr>
        <w:rPr>
          <w:lang w:val="es-ES_tradnl"/>
        </w:rPr>
      </w:pPr>
      <w:r w:rsidRPr="008B7A21">
        <w:rPr>
          <w:lang w:val="es-ES_tradnl"/>
        </w:rPr>
        <w:t>Artículo 12: Se pagan tasas fijas excepcionales por interferencias radioeléctricas sobre frecuencias con uso autorizado o por instalaciones que no han respetado las normas según estipula el Capítulo II anterior dando lugar al pago de una tasa fija por cada intervención. Esta tasa las pagará el propietario de la estación que esté interfiriendo a otras estaciones o el propietario de una instalación no conforme.</w:t>
      </w:r>
    </w:p>
    <w:p w14:paraId="0AAD5A9F" w14:textId="77777777" w:rsidR="00F73D5B" w:rsidRPr="008B7A21" w:rsidRDefault="00F73D5B" w:rsidP="00F73D5B">
      <w:pPr>
        <w:keepNext/>
        <w:keepLines/>
        <w:rPr>
          <w:lang w:val="es-ES_tradnl"/>
        </w:rPr>
      </w:pPr>
      <w:r w:rsidRPr="008B7A21">
        <w:rPr>
          <w:lang w:val="es-ES_tradnl"/>
        </w:rPr>
        <w:t>Sección III: Tasas de instalación.</w:t>
      </w:r>
    </w:p>
    <w:p w14:paraId="377A3771" w14:textId="77777777" w:rsidR="00F73D5B" w:rsidRPr="008B7A21" w:rsidRDefault="00F73D5B" w:rsidP="00F73D5B">
      <w:pPr>
        <w:keepNext/>
        <w:keepLines/>
        <w:rPr>
          <w:lang w:val="es-ES_tradnl"/>
        </w:rPr>
      </w:pPr>
      <w:r w:rsidRPr="008B7A21">
        <w:rPr>
          <w:lang w:val="es-ES_tradnl"/>
        </w:rPr>
        <w:t>Artículo 13: La puesta en marcha de equipos terminales y la autorización de instaladores de radiocomunicaciones privados deberán pagar tasas no reembolsables de la forma siguiente:</w:t>
      </w:r>
    </w:p>
    <w:p w14:paraId="66ADADEF" w14:textId="77777777" w:rsidR="00F73D5B" w:rsidRPr="008B7A21" w:rsidRDefault="00F73D5B" w:rsidP="00F73D5B">
      <w:pPr>
        <w:pStyle w:val="enumlev1"/>
        <w:rPr>
          <w:lang w:val="es-ES_tradnl"/>
        </w:rPr>
      </w:pPr>
      <w:r w:rsidRPr="008B7A21">
        <w:rPr>
          <w:lang w:val="es-ES_tradnl"/>
        </w:rPr>
        <w:t>1)</w:t>
      </w:r>
      <w:r w:rsidRPr="008B7A21">
        <w:rPr>
          <w:lang w:val="es-ES_tradnl"/>
        </w:rPr>
        <w:tab/>
      </w:r>
      <w:r w:rsidRPr="008B7A21">
        <w:rPr>
          <w:b/>
          <w:lang w:val="es-ES_tradnl"/>
        </w:rPr>
        <w:t>Para equipos</w:t>
      </w:r>
      <w:r w:rsidRPr="008B7A21">
        <w:rPr>
          <w:lang w:val="es-ES_tradnl"/>
        </w:rPr>
        <w:t>: Un canon por tramitación del expediente y un canon por el control técnico del equipo.</w:t>
      </w:r>
    </w:p>
    <w:p w14:paraId="2FF69965" w14:textId="77777777" w:rsidR="00F73D5B" w:rsidRPr="008B7A21" w:rsidRDefault="00F73D5B" w:rsidP="00F73D5B">
      <w:pPr>
        <w:pStyle w:val="enumlev1"/>
        <w:rPr>
          <w:lang w:val="es-ES_tradnl"/>
        </w:rPr>
      </w:pPr>
      <w:r w:rsidRPr="008B7A21">
        <w:rPr>
          <w:bCs/>
          <w:lang w:val="es-ES_tradnl"/>
        </w:rPr>
        <w:lastRenderedPageBreak/>
        <w:t>2)</w:t>
      </w:r>
      <w:r w:rsidRPr="008B7A21">
        <w:rPr>
          <w:b/>
          <w:lang w:val="es-ES_tradnl"/>
        </w:rPr>
        <w:tab/>
        <w:t>Para instaladores privados</w:t>
      </w:r>
      <w:r w:rsidRPr="008B7A21">
        <w:rPr>
          <w:lang w:val="es-ES_tradnl"/>
        </w:rPr>
        <w:t>: Un canon por tramitación del expediente y una tasa por la puesta en servicio que se paga durante la expedición o renovación de la autorización.</w:t>
      </w:r>
    </w:p>
    <w:p w14:paraId="22677CED" w14:textId="77777777" w:rsidR="00F73D5B" w:rsidRPr="008B7A21" w:rsidRDefault="00F73D5B" w:rsidP="00F73D5B">
      <w:pPr>
        <w:rPr>
          <w:lang w:val="es-ES_tradnl"/>
        </w:rPr>
      </w:pPr>
    </w:p>
    <w:p w14:paraId="166B78BA" w14:textId="77777777" w:rsidR="00F73D5B" w:rsidRPr="008B7A21" w:rsidRDefault="00F73D5B" w:rsidP="00F73D5B">
      <w:pPr>
        <w:keepNext/>
        <w:keepLines/>
        <w:jc w:val="center"/>
        <w:rPr>
          <w:lang w:val="es-ES_tradnl"/>
        </w:rPr>
      </w:pPr>
      <w:r w:rsidRPr="008B7A21">
        <w:rPr>
          <w:lang w:val="es-ES_tradnl"/>
        </w:rPr>
        <w:t>CAPÍTULO IV</w:t>
      </w:r>
    </w:p>
    <w:p w14:paraId="34032BA6" w14:textId="77777777" w:rsidR="00F73D5B" w:rsidRPr="008B7A21" w:rsidRDefault="00F73D5B" w:rsidP="00F73D5B">
      <w:pPr>
        <w:keepNext/>
        <w:keepLines/>
        <w:jc w:val="center"/>
        <w:rPr>
          <w:lang w:val="es-ES_tradnl"/>
        </w:rPr>
      </w:pPr>
      <w:r w:rsidRPr="008B7A21">
        <w:rPr>
          <w:lang w:val="es-ES_tradnl"/>
        </w:rPr>
        <w:t>DISPOSICIONES PENALES</w:t>
      </w:r>
    </w:p>
    <w:p w14:paraId="78AE3BFE" w14:textId="77777777" w:rsidR="00F73D5B" w:rsidRPr="008B7A21" w:rsidRDefault="00F73D5B" w:rsidP="00F73D5B">
      <w:pPr>
        <w:pStyle w:val="Normalaftertitle"/>
        <w:rPr>
          <w:lang w:val="es-ES_tradnl"/>
        </w:rPr>
      </w:pPr>
      <w:r w:rsidRPr="008B7A21">
        <w:rPr>
          <w:lang w:val="es-ES_tradnl"/>
        </w:rPr>
        <w:t>Artículo 14: Cualquier infracción a las disposiciones de este Decreto estarán sancionadas por los Artículos 14 y 35 de la Ley N.° 95-526 de 7 de julio de 1995 sobre Telecomunicaciones.</w:t>
      </w:r>
    </w:p>
    <w:p w14:paraId="4F40846C" w14:textId="77777777" w:rsidR="00F73D5B" w:rsidRPr="008B7A21" w:rsidRDefault="00F73D5B" w:rsidP="00F73D5B">
      <w:pPr>
        <w:rPr>
          <w:lang w:val="es-ES_tradnl"/>
        </w:rPr>
      </w:pPr>
      <w:r w:rsidRPr="008B7A21">
        <w:rPr>
          <w:lang w:val="es-ES_tradnl"/>
        </w:rPr>
        <w:t>Artículo 15: Asimismo, el impago de los cánones, tasas o contribuciones requeridos dará lugar a la suspensión de la autorización y al embargo del equipo radioeléctrico.</w:t>
      </w:r>
    </w:p>
    <w:p w14:paraId="7924F487" w14:textId="77777777" w:rsidR="00F73D5B" w:rsidRPr="008B7A21" w:rsidRDefault="00F73D5B" w:rsidP="00F73D5B">
      <w:pPr>
        <w:rPr>
          <w:lang w:val="es-ES_tradnl"/>
        </w:rPr>
      </w:pPr>
    </w:p>
    <w:p w14:paraId="57882041" w14:textId="77777777" w:rsidR="00F73D5B" w:rsidRPr="008B7A21" w:rsidRDefault="00F73D5B" w:rsidP="00F73D5B">
      <w:pPr>
        <w:jc w:val="center"/>
        <w:rPr>
          <w:lang w:val="es-ES_tradnl"/>
        </w:rPr>
      </w:pPr>
      <w:r w:rsidRPr="008B7A21">
        <w:rPr>
          <w:lang w:val="es-ES_tradnl"/>
        </w:rPr>
        <w:t>CAPÍTULO V</w:t>
      </w:r>
    </w:p>
    <w:p w14:paraId="1C4A4DDC" w14:textId="77777777" w:rsidR="00F73D5B" w:rsidRPr="008B7A21" w:rsidRDefault="00F73D5B" w:rsidP="00F73D5B">
      <w:pPr>
        <w:jc w:val="center"/>
        <w:rPr>
          <w:lang w:val="es-ES_tradnl"/>
        </w:rPr>
      </w:pPr>
      <w:r w:rsidRPr="008B7A21">
        <w:rPr>
          <w:lang w:val="es-ES_tradnl"/>
        </w:rPr>
        <w:t>DISPOSICIONES FINALES</w:t>
      </w:r>
    </w:p>
    <w:p w14:paraId="6999A824" w14:textId="77777777" w:rsidR="00F73D5B" w:rsidRPr="008B7A21" w:rsidRDefault="00F73D5B" w:rsidP="00F73D5B">
      <w:pPr>
        <w:pStyle w:val="Normalaftertitle"/>
        <w:rPr>
          <w:lang w:val="es-ES_tradnl"/>
        </w:rPr>
      </w:pPr>
      <w:r w:rsidRPr="008B7A21">
        <w:rPr>
          <w:lang w:val="es-ES_tradnl"/>
        </w:rPr>
        <w:t>Artículo 16: Los importes de los cánones, tasas y contribuciones a devengar de conformidad con las disposiciones de este decreto, se fijan mediante Orden Ministerial conjunta del Ministerio de Economía y Hacienda y del Ministerio responsable de las telecomunicaciones.</w:t>
      </w:r>
    </w:p>
    <w:p w14:paraId="46D46843" w14:textId="77777777" w:rsidR="00F73D5B" w:rsidRPr="008B7A21" w:rsidRDefault="00F73D5B" w:rsidP="00F73D5B">
      <w:pPr>
        <w:rPr>
          <w:lang w:val="es-ES_tradnl"/>
        </w:rPr>
      </w:pPr>
      <w:r w:rsidRPr="008B7A21">
        <w:rPr>
          <w:lang w:val="es-ES_tradnl"/>
        </w:rPr>
        <w:t>Artículo 17: Se suprimen todas las disposiciones contrarias a este decreto, en particular los Artículos 16, 17, 18, 19, 20, 21 y 22 del Decreto N.° 85-1089 de 16 de octubre de 1985 que determina la regulación sobre las radiocomunicaciones privadas.</w:t>
      </w:r>
    </w:p>
    <w:p w14:paraId="5DB09D7E" w14:textId="77777777" w:rsidR="00F73D5B" w:rsidRPr="008B7A21" w:rsidRDefault="00F73D5B" w:rsidP="00F73D5B">
      <w:pPr>
        <w:rPr>
          <w:lang w:val="es-ES_tradnl"/>
        </w:rPr>
      </w:pPr>
      <w:r w:rsidRPr="008B7A21">
        <w:rPr>
          <w:lang w:val="es-ES_tradnl"/>
        </w:rPr>
        <w:t>Artículo 18: El presente decreto entrará en vigor en la fecha de su firma y se publicará en el Boletín Oficial de la República de Côte d'Ivoire.</w:t>
      </w:r>
    </w:p>
    <w:p w14:paraId="5B96CBBB" w14:textId="77777777" w:rsidR="00F73D5B" w:rsidRPr="008B7A21" w:rsidRDefault="00F73D5B" w:rsidP="00F73D5B">
      <w:pPr>
        <w:rPr>
          <w:lang w:val="es-ES_tradnl"/>
        </w:rPr>
      </w:pPr>
      <w:r w:rsidRPr="008B7A21">
        <w:rPr>
          <w:lang w:val="es-ES_tradnl"/>
        </w:rPr>
        <w:t>Artículo 19: El Ministro de Telecomunicaciones y el Ministro de Economía y Hacienda han elaborado este decreto.</w:t>
      </w:r>
    </w:p>
    <w:p w14:paraId="4312A06C" w14:textId="77777777" w:rsidR="00F73D5B" w:rsidRPr="008B7A21" w:rsidRDefault="00F73D5B" w:rsidP="00F73D5B">
      <w:pPr>
        <w:rPr>
          <w:lang w:val="es-ES_tradnl"/>
        </w:rPr>
      </w:pPr>
    </w:p>
    <w:p w14:paraId="3CA120C2" w14:textId="77777777" w:rsidR="00F73D5B" w:rsidRPr="008B7A21" w:rsidRDefault="00F73D5B" w:rsidP="00F73D5B">
      <w:pPr>
        <w:rPr>
          <w:lang w:val="es-ES_tradnl"/>
        </w:rPr>
      </w:pPr>
    </w:p>
    <w:p w14:paraId="0C727DEF" w14:textId="77777777" w:rsidR="00F73D5B" w:rsidRPr="008B7A21" w:rsidRDefault="00F73D5B" w:rsidP="00F73D5B">
      <w:pPr>
        <w:rPr>
          <w:lang w:val="es-ES_tradnl"/>
        </w:rPr>
      </w:pPr>
    </w:p>
    <w:p w14:paraId="1F55E9EE" w14:textId="77777777" w:rsidR="00F73D5B" w:rsidRPr="008B7A21" w:rsidRDefault="00F73D5B" w:rsidP="00F73D5B">
      <w:pPr>
        <w:jc w:val="left"/>
        <w:rPr>
          <w:lang w:val="es-ES_tradnl"/>
        </w:rPr>
      </w:pPr>
      <w:r w:rsidRPr="008B7A21">
        <w:rPr>
          <w:lang w:val="es-ES_tradnl"/>
        </w:rPr>
        <w:t>Hecho en Abidján</w:t>
      </w:r>
      <w:r w:rsidRPr="008B7A21">
        <w:rPr>
          <w:lang w:val="es-ES_tradnl"/>
        </w:rPr>
        <w:br/>
        <w:t>Henri KONAN BEDIE</w:t>
      </w:r>
    </w:p>
    <w:p w14:paraId="51D84FFE" w14:textId="77777777" w:rsidR="008B7A21" w:rsidRDefault="008B7A21" w:rsidP="009207AE"/>
    <w:p w14:paraId="18ED75A3" w14:textId="77777777" w:rsidR="009207AE" w:rsidRDefault="009207AE" w:rsidP="009207AE">
      <w:pPr>
        <w:pStyle w:val="Line"/>
      </w:pPr>
    </w:p>
    <w:sectPr w:rsidR="009207AE" w:rsidSect="00DC60ED">
      <w:footerReference w:type="default" r:id="rId270"/>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CDEFA" w14:textId="77777777" w:rsidR="00C23458" w:rsidRDefault="00C23458">
      <w:r>
        <w:separator/>
      </w:r>
    </w:p>
  </w:endnote>
  <w:endnote w:type="continuationSeparator" w:id="0">
    <w:p w14:paraId="046797D2" w14:textId="77777777" w:rsidR="00C23458" w:rsidRDefault="00C23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E9A0E"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72960" w14:textId="77777777" w:rsidR="00C23458" w:rsidRDefault="00C23458">
      <w:r>
        <w:separator/>
      </w:r>
    </w:p>
  </w:footnote>
  <w:footnote w:type="continuationSeparator" w:id="0">
    <w:p w14:paraId="71048F1F" w14:textId="77777777" w:rsidR="00C23458" w:rsidRDefault="00C23458">
      <w:r>
        <w:continuationSeparator/>
      </w:r>
    </w:p>
  </w:footnote>
  <w:footnote w:id="1">
    <w:p w14:paraId="5595EC60" w14:textId="77777777" w:rsidR="00F73D5B" w:rsidRPr="00B84ADF" w:rsidRDefault="00F73D5B" w:rsidP="00F73D5B">
      <w:pPr>
        <w:pStyle w:val="FootnoteText"/>
      </w:pPr>
      <w:r w:rsidRPr="00B84ADF">
        <w:rPr>
          <w:rStyle w:val="FootnoteReference"/>
        </w:rPr>
        <w:footnoteRef/>
      </w:r>
      <w:r w:rsidRPr="00B84ADF">
        <w:t xml:space="preserve"> </w:t>
      </w:r>
      <w:r w:rsidRPr="00B84ADF">
        <w:tab/>
        <w:t>Origen: A. M. YOUSSEF, E. KALMAN, L. BENZONI, «Technico-Economic Methods For Radio Spectrum Assignment», en IEEE Communications Magazine, junio de 1995.</w:t>
      </w:r>
    </w:p>
  </w:footnote>
  <w:footnote w:id="2">
    <w:p w14:paraId="7399F87D" w14:textId="77777777" w:rsidR="00F73D5B" w:rsidRPr="00C30BAB" w:rsidRDefault="00F73D5B" w:rsidP="00F73D5B">
      <w:pPr>
        <w:pStyle w:val="FootnoteText"/>
      </w:pPr>
      <w:r w:rsidRPr="00B84ADF">
        <w:rPr>
          <w:rStyle w:val="FootnoteReference"/>
        </w:rPr>
        <w:footnoteRef/>
      </w:r>
      <w:r w:rsidRPr="00C30BAB">
        <w:tab/>
        <w:t>SMITH-NERA (1996) – Estudio sobre la utilización de la fijación de precios del espectro, elaborado por Smith Group y NERA para la Radio Agencia del Reino Unido. Véase también el Informe preparado por</w:t>
      </w:r>
      <w:r>
        <w:t xml:space="preserve"> </w:t>
      </w:r>
      <w:r w:rsidRPr="00C30BAB">
        <w:t>Europe Economics para OFCOM para el año que finaliza el 31 de marzo de 2006.</w:t>
      </w:r>
    </w:p>
  </w:footnote>
  <w:footnote w:id="3">
    <w:p w14:paraId="74DEB68A" w14:textId="77777777" w:rsidR="00F73D5B" w:rsidRPr="00C30BAB" w:rsidRDefault="00F73D5B" w:rsidP="00F73D5B">
      <w:pPr>
        <w:pStyle w:val="FootnoteText"/>
      </w:pPr>
      <w:r w:rsidRPr="00B84ADF">
        <w:rPr>
          <w:rStyle w:val="FootnoteReference"/>
        </w:rPr>
        <w:footnoteRef/>
      </w:r>
      <w:r w:rsidRPr="00C30BAB">
        <w:tab/>
        <w:t>NOZDRIN, V. [2003] Spectrum pricing. Seminario Regional de Radiocomunicaciones, Lasaka 2003.</w:t>
      </w:r>
    </w:p>
  </w:footnote>
  <w:footnote w:id="4">
    <w:p w14:paraId="1F0DB1F6" w14:textId="77777777" w:rsidR="00F73D5B" w:rsidRPr="00B84ADF" w:rsidRDefault="00F73D5B" w:rsidP="00F73D5B">
      <w:pPr>
        <w:pStyle w:val="FootnoteText"/>
      </w:pPr>
      <w:r w:rsidRPr="00B84ADF">
        <w:rPr>
          <w:rStyle w:val="FootnoteReference"/>
        </w:rPr>
        <w:footnoteRef/>
      </w:r>
      <w:r w:rsidRPr="00B84ADF">
        <w:rPr>
          <w:rStyle w:val="FootnoteReference"/>
        </w:rPr>
        <w:tab/>
      </w:r>
      <w:r>
        <w:t>El término de fijación de precios utilizado en esta sección debe interpretarse en consonancia con el número </w:t>
      </w:r>
      <w:r w:rsidRPr="00B84ADF">
        <w:t xml:space="preserve">155 </w:t>
      </w:r>
      <w:r>
        <w:t xml:space="preserve">de la Constitución y el Convenio de la UIT </w:t>
      </w:r>
      <w:r w:rsidRPr="00B84ADF">
        <w:t>(</w:t>
      </w:r>
      <w:r>
        <w:t xml:space="preserve">edición </w:t>
      </w:r>
      <w:r w:rsidRPr="00B84ADF">
        <w:t>2015).</w:t>
      </w:r>
    </w:p>
  </w:footnote>
  <w:footnote w:id="5">
    <w:p w14:paraId="6B70FE82" w14:textId="77777777" w:rsidR="00F73D5B" w:rsidRPr="00B84ADF" w:rsidRDefault="00F73D5B" w:rsidP="00F73D5B">
      <w:pPr>
        <w:pStyle w:val="FootnoteText"/>
      </w:pPr>
      <w:r w:rsidRPr="00B84ADF">
        <w:rPr>
          <w:rStyle w:val="FootnoteReference"/>
        </w:rPr>
        <w:footnoteRef/>
      </w:r>
      <w:r w:rsidRPr="00B84ADF">
        <w:rPr>
          <w:rStyle w:val="FootnoteReference"/>
        </w:rPr>
        <w:tab/>
      </w:r>
      <w:r w:rsidRPr="00B84ADF">
        <w:t>El modificador del canon corresponde a las circunstancias particulares del espectro cuyo precio se trata de determinar</w:t>
      </w:r>
      <w:r w:rsidRPr="00B84ADF">
        <w:rPr>
          <w:rFonts w:eastAsia="SimSun"/>
        </w:rPr>
        <w:t>.</w:t>
      </w:r>
    </w:p>
  </w:footnote>
  <w:footnote w:id="6">
    <w:p w14:paraId="68E0C0C1" w14:textId="77777777" w:rsidR="00F73D5B" w:rsidRPr="00B84ADF" w:rsidRDefault="00F73D5B" w:rsidP="00F73D5B">
      <w:pPr>
        <w:pStyle w:val="FootnoteText"/>
      </w:pPr>
      <w:r w:rsidRPr="00B84ADF">
        <w:rPr>
          <w:rStyle w:val="FootnoteReference"/>
        </w:rPr>
        <w:footnoteRef/>
      </w:r>
      <w:r w:rsidRPr="00B84ADF">
        <w:rPr>
          <w:rStyle w:val="FootnoteReference"/>
        </w:rPr>
        <w:tab/>
      </w:r>
      <w:r w:rsidRPr="00B84ADF">
        <w:rPr>
          <w:szCs w:val="24"/>
        </w:rPr>
        <w:t xml:space="preserve">Este factor puede </w:t>
      </w:r>
      <w:r w:rsidRPr="00C30BAB">
        <w:rPr>
          <w:szCs w:val="24"/>
        </w:rPr>
        <w:t>excluirse</w:t>
      </w:r>
      <w:r w:rsidRPr="00B84ADF">
        <w:rPr>
          <w:szCs w:val="24"/>
        </w:rPr>
        <w:t xml:space="preserve"> en el caso de acuerdos de compartición de espectro entre operadores, en </w:t>
      </w:r>
      <w:r w:rsidRPr="00C30BAB">
        <w:rPr>
          <w:szCs w:val="24"/>
        </w:rPr>
        <w:t>virtud</w:t>
      </w:r>
      <w:r w:rsidRPr="00B84ADF">
        <w:rPr>
          <w:szCs w:val="24"/>
        </w:rPr>
        <w:t xml:space="preserve"> de lo dispuesto en la </w:t>
      </w:r>
      <w:r w:rsidRPr="00C30BAB">
        <w:rPr>
          <w:szCs w:val="24"/>
        </w:rPr>
        <w:t>normativa</w:t>
      </w:r>
      <w:r w:rsidRPr="00B84ADF">
        <w:rPr>
          <w:szCs w:val="24"/>
        </w:rPr>
        <w:t xml:space="preserve"> nacional; véase el </w:t>
      </w:r>
      <w:r w:rsidRPr="00482EF1">
        <w:rPr>
          <w:szCs w:val="24"/>
        </w:rPr>
        <w:t xml:space="preserve">Informe </w:t>
      </w:r>
      <w:hyperlink r:id="rId1" w:history="1">
        <w:r w:rsidRPr="00482EF1">
          <w:rPr>
            <w:rStyle w:val="Hyperlink"/>
            <w:color w:val="auto"/>
            <w:szCs w:val="24"/>
            <w:u w:val="none"/>
          </w:rPr>
          <w:t>UIT-R SM.2404</w:t>
        </w:r>
      </w:hyperlink>
      <w:r w:rsidRPr="00482EF1">
        <w:rPr>
          <w:szCs w:val="24"/>
        </w:rPr>
        <w:t xml:space="preserve"> – Instrumentos </w:t>
      </w:r>
      <w:r w:rsidRPr="00B84ADF">
        <w:rPr>
          <w:szCs w:val="24"/>
        </w:rPr>
        <w:t>reglamentarios para mejorar la utilización compartida del espectro.</w:t>
      </w:r>
    </w:p>
  </w:footnote>
  <w:footnote w:id="7">
    <w:p w14:paraId="114F8BF3" w14:textId="77777777" w:rsidR="00F73D5B" w:rsidRPr="00B84ADF" w:rsidRDefault="00F73D5B" w:rsidP="00F73D5B">
      <w:pPr>
        <w:pStyle w:val="FootnoteText"/>
      </w:pPr>
      <w:r w:rsidRPr="00B84ADF">
        <w:rPr>
          <w:rStyle w:val="FootnoteReference"/>
        </w:rPr>
        <w:footnoteRef/>
      </w:r>
      <w:r w:rsidRPr="00B84ADF">
        <w:rPr>
          <w:rStyle w:val="FootnoteReference"/>
        </w:rPr>
        <w:tab/>
      </w:r>
      <w:r w:rsidRPr="00B84ADF">
        <w:t xml:space="preserve">Al emplear parámetros subjetivos y objetivos, la fórmula se convierte en subjetiva, reduciendo así la objetividad que se espera al determinar el coste de oportunidad. </w:t>
      </w:r>
    </w:p>
  </w:footnote>
  <w:footnote w:id="8">
    <w:p w14:paraId="33B8A8F8" w14:textId="34BB53E8" w:rsidR="00F73D5B" w:rsidRPr="00B84ADF" w:rsidRDefault="00F73D5B" w:rsidP="00F73D5B">
      <w:pPr>
        <w:pStyle w:val="FootnoteText"/>
      </w:pPr>
      <w:r w:rsidRPr="00B84ADF">
        <w:rPr>
          <w:rStyle w:val="FootnoteReference"/>
        </w:rPr>
        <w:footnoteRef/>
      </w:r>
      <w:r w:rsidRPr="00B84ADF">
        <w:rPr>
          <w:rStyle w:val="FootnoteReference"/>
        </w:rPr>
        <w:tab/>
      </w:r>
      <w:hyperlink r:id="rId2" w:history="1">
        <w:r w:rsidRPr="002C7262">
          <w:rPr>
            <w:rStyle w:val="Hyperlink"/>
            <w:szCs w:val="24"/>
          </w:rPr>
          <w:t>Memorando Presidencia de EEUU de 2013</w:t>
        </w:r>
      </w:hyperlink>
      <w:r>
        <w:rPr>
          <w:szCs w:val="24"/>
        </w:rPr>
        <w:t xml:space="preserve"> «</w:t>
      </w:r>
      <w:r w:rsidRPr="00B84ADF">
        <w:rPr>
          <w:szCs w:val="24"/>
        </w:rPr>
        <w:t xml:space="preserve">…abarcar un mayor número de bandas espectrales que pueden ser candidatas para el acceso compartido, en particular las que se encuentran en </w:t>
      </w:r>
      <w:r w:rsidRPr="002C7262">
        <w:rPr>
          <w:szCs w:val="24"/>
        </w:rPr>
        <w:t xml:space="preserve">la </w:t>
      </w:r>
      <w:r w:rsidRPr="002C7262">
        <w:rPr>
          <w:szCs w:val="24"/>
          <w:u w:val="single"/>
        </w:rPr>
        <w:t>gama por debajo de</w:t>
      </w:r>
      <w:r w:rsidRPr="00B84ADF">
        <w:rPr>
          <w:szCs w:val="24"/>
        </w:rPr>
        <w:t xml:space="preserve"> </w:t>
      </w:r>
      <w:r>
        <w:rPr>
          <w:szCs w:val="24"/>
          <w:u w:val="single"/>
        </w:rPr>
        <w:t>6 </w:t>
      </w:r>
      <w:r w:rsidRPr="00B84ADF">
        <w:rPr>
          <w:szCs w:val="24"/>
          <w:u w:val="single"/>
        </w:rPr>
        <w:t>GHz</w:t>
      </w:r>
      <w:r w:rsidR="00193BE8" w:rsidRPr="005511C7">
        <w:rPr>
          <w:lang w:val="es-ES_tradnl"/>
        </w:rPr>
        <w:t>»</w:t>
      </w:r>
      <w:r w:rsidRPr="00B84ADF">
        <w:rPr>
          <w:szCs w:val="24"/>
        </w:rPr>
        <w:t xml:space="preserve">. Véase también el Informe UIT-D, Cuadro 3, factores de </w:t>
      </w:r>
      <w:r w:rsidRPr="00C30BAB">
        <w:rPr>
          <w:szCs w:val="24"/>
        </w:rPr>
        <w:t>congestión</w:t>
      </w:r>
      <w:r w:rsidRPr="00B84ADF">
        <w:rPr>
          <w:szCs w:val="24"/>
        </w:rPr>
        <w:t xml:space="preserve"> según la banda [10].</w:t>
      </w:r>
    </w:p>
  </w:footnote>
  <w:footnote w:id="9">
    <w:p w14:paraId="4E36F4B4" w14:textId="77777777" w:rsidR="00F73D5B" w:rsidRPr="00C30BAB" w:rsidRDefault="00F73D5B" w:rsidP="00F73D5B">
      <w:pPr>
        <w:pStyle w:val="FootnoteText"/>
      </w:pPr>
      <w:r w:rsidRPr="00B84ADF">
        <w:rPr>
          <w:rStyle w:val="FootnoteReference"/>
        </w:rPr>
        <w:footnoteRef/>
      </w:r>
      <w:r w:rsidRPr="00C30BAB">
        <w:tab/>
        <w:t>Informe ERC (1998) sobre la Introducción de criterios económicos en la gestión del espectro y los principios de cánones y tasas en la CEPT, Informe ERC 53, marzo, Manchester.</w:t>
      </w:r>
    </w:p>
  </w:footnote>
  <w:footnote w:id="10">
    <w:p w14:paraId="2D568997" w14:textId="77777777" w:rsidR="00F73D5B" w:rsidRPr="00B84ADF" w:rsidRDefault="00F73D5B" w:rsidP="00F73D5B">
      <w:pPr>
        <w:pStyle w:val="FootnoteText"/>
      </w:pPr>
      <w:r w:rsidRPr="00B84ADF">
        <w:rPr>
          <w:rStyle w:val="FootnoteReference"/>
        </w:rPr>
        <w:footnoteRef/>
      </w:r>
      <w:r w:rsidRPr="00B84ADF">
        <w:t xml:space="preserve"> Las experiencias de países solo representan la opinión de las respectivas administraciones.</w:t>
      </w:r>
    </w:p>
  </w:footnote>
  <w:footnote w:id="11">
    <w:p w14:paraId="6BE9246B" w14:textId="77777777" w:rsidR="00F73D5B" w:rsidRPr="00B84ADF" w:rsidRDefault="00F73D5B" w:rsidP="00F73D5B">
      <w:pPr>
        <w:pStyle w:val="FootnoteText"/>
      </w:pPr>
      <w:r w:rsidRPr="00B84ADF">
        <w:rPr>
          <w:rStyle w:val="FootnoteReference"/>
          <w:sz w:val="20"/>
        </w:rPr>
        <w:footnoteRef/>
      </w:r>
      <w:r w:rsidRPr="00B84ADF">
        <w:tab/>
        <w:t>Canon de licencia – Pago exento al licitador ganador.</w:t>
      </w:r>
    </w:p>
  </w:footnote>
  <w:footnote w:id="12">
    <w:p w14:paraId="6A271069" w14:textId="77777777" w:rsidR="00F73D5B" w:rsidRPr="00B84ADF" w:rsidRDefault="00F73D5B" w:rsidP="00F73D5B">
      <w:pPr>
        <w:pStyle w:val="FootnoteText"/>
      </w:pPr>
      <w:r w:rsidRPr="006679CF">
        <w:rPr>
          <w:rStyle w:val="FootnoteReference"/>
          <w:szCs w:val="18"/>
        </w:rPr>
        <w:footnoteRef/>
      </w:r>
      <w:r w:rsidRPr="006679CF">
        <w:rPr>
          <w:sz w:val="18"/>
          <w:szCs w:val="18"/>
        </w:rPr>
        <w:tab/>
      </w:r>
      <w:r w:rsidRPr="00B84ADF">
        <w:t>Cantidad de canon de licencia basada en resultados de proceso de licitación.</w:t>
      </w:r>
    </w:p>
  </w:footnote>
  <w:footnote w:id="13">
    <w:p w14:paraId="77AD6994" w14:textId="77777777" w:rsidR="00F73D5B" w:rsidRPr="00B84ADF" w:rsidRDefault="00F73D5B" w:rsidP="00F73D5B">
      <w:pPr>
        <w:pStyle w:val="FootnoteText"/>
        <w:rPr>
          <w:sz w:val="20"/>
        </w:rPr>
      </w:pPr>
      <w:r w:rsidRPr="006679CF">
        <w:rPr>
          <w:rStyle w:val="FootnoteReference"/>
          <w:szCs w:val="18"/>
        </w:rPr>
        <w:footnoteRef/>
      </w:r>
      <w:r w:rsidRPr="00B84ADF">
        <w:rPr>
          <w:sz w:val="20"/>
        </w:rPr>
        <w:tab/>
      </w:r>
      <w:r w:rsidRPr="00B84ADF">
        <w:t xml:space="preserve">La cantidad del pago no depende del modo en que se atribuyen las frecuencias. Los métodos para determinar el pago único y el pago anual para el uso de frecuencias se establece en el </w:t>
      </w:r>
      <w:r w:rsidRPr="00B84ADF">
        <w:rPr>
          <w:szCs w:val="24"/>
        </w:rPr>
        <w:t xml:space="preserve">§ </w:t>
      </w:r>
      <w:r w:rsidRPr="00B84ADF">
        <w:t>5.2.7.</w:t>
      </w:r>
    </w:p>
  </w:footnote>
  <w:footnote w:id="14">
    <w:p w14:paraId="52B84003" w14:textId="77777777" w:rsidR="00F73D5B" w:rsidRPr="00B84ADF" w:rsidRDefault="00F73D5B" w:rsidP="00F73D5B">
      <w:pPr>
        <w:pStyle w:val="FootnoteText"/>
        <w:rPr>
          <w:sz w:val="20"/>
        </w:rPr>
      </w:pPr>
      <w:r w:rsidRPr="00B84ADF">
        <w:rPr>
          <w:rStyle w:val="FootnoteReference"/>
          <w:szCs w:val="18"/>
        </w:rPr>
        <w:footnoteRef/>
      </w:r>
      <w:r w:rsidRPr="00B84ADF">
        <w:rPr>
          <w:sz w:val="18"/>
          <w:szCs w:val="18"/>
        </w:rPr>
        <w:tab/>
      </w:r>
      <w:r w:rsidRPr="00B84ADF">
        <w:t>Se concedieron puntos adicionales a un licitador capaz de invertir al menos 243,75 millones de rublos, de fondos propios o prestados, para cumplir las obligaciones relativas al despliegue de una red móvil GSM en la banda de 1 800 MHz.</w:t>
      </w:r>
    </w:p>
  </w:footnote>
  <w:footnote w:id="15">
    <w:p w14:paraId="017C86A4" w14:textId="77777777" w:rsidR="00F73D5B" w:rsidRPr="00B84ADF" w:rsidRDefault="00F73D5B" w:rsidP="00F73D5B">
      <w:pPr>
        <w:ind w:left="255" w:hanging="255"/>
        <w:rPr>
          <w:sz w:val="22"/>
          <w:szCs w:val="22"/>
        </w:rPr>
      </w:pPr>
      <w:r w:rsidRPr="00B84ADF">
        <w:rPr>
          <w:rStyle w:val="FootnoteReference"/>
          <w:szCs w:val="18"/>
        </w:rPr>
        <w:footnoteRef/>
      </w:r>
      <w:r w:rsidRPr="00B84ADF">
        <w:rPr>
          <w:sz w:val="18"/>
          <w:szCs w:val="18"/>
        </w:rPr>
        <w:tab/>
      </w:r>
      <w:r w:rsidRPr="00B84ADF">
        <w:rPr>
          <w:sz w:val="22"/>
          <w:szCs w:val="22"/>
        </w:rPr>
        <w:t>Se concedieron puntos adicionales al licitador que se comprometía a prestar servicios de radiotelefonía móvil en el territorio del concurso del lote en todas las poblaciones de 2 000-100 000 habitantes, y en al menos un 10% de las poblaciones con 200-2 000 habitantes, en un periodo de dos a tres años.</w:t>
      </w:r>
    </w:p>
  </w:footnote>
  <w:footnote w:id="16">
    <w:p w14:paraId="2145E300" w14:textId="77777777" w:rsidR="00F73D5B" w:rsidRPr="00B84ADF" w:rsidRDefault="00F73D5B" w:rsidP="00F73D5B">
      <w:pPr>
        <w:ind w:left="255" w:hanging="255"/>
      </w:pPr>
      <w:r w:rsidRPr="00B84ADF">
        <w:rPr>
          <w:rStyle w:val="FootnoteReference"/>
          <w:szCs w:val="18"/>
        </w:rPr>
        <w:footnoteRef/>
      </w:r>
      <w:r w:rsidRPr="00B84ADF">
        <w:rPr>
          <w:sz w:val="18"/>
          <w:szCs w:val="18"/>
        </w:rPr>
        <w:tab/>
      </w:r>
      <w:r w:rsidRPr="00B84ADF">
        <w:rPr>
          <w:rStyle w:val="FootnoteTextChar"/>
        </w:rPr>
        <w:t>En un año, al menos un 10% de poblaciones con al menos 2 000 habitantes; en dos años – 25%; en tres años – 40%; en cuatro años – 65%; en cinco años – 85%; en seis años – 95%; en siete años – 99,9%.</w:t>
      </w:r>
    </w:p>
  </w:footnote>
  <w:footnote w:id="17">
    <w:p w14:paraId="11222AEE" w14:textId="77777777" w:rsidR="00F73D5B" w:rsidRPr="00B84ADF" w:rsidRDefault="00F73D5B" w:rsidP="00F73D5B">
      <w:pPr>
        <w:pStyle w:val="FootnoteText"/>
      </w:pPr>
      <w:r w:rsidRPr="00B84ADF">
        <w:rPr>
          <w:rStyle w:val="FootnoteReference"/>
        </w:rPr>
        <w:footnoteRef/>
      </w:r>
      <w:r w:rsidRPr="00B84ADF">
        <w:rPr>
          <w:rStyle w:val="FootnoteReference"/>
        </w:rPr>
        <w:tab/>
      </w:r>
      <w:r w:rsidRPr="00B84ADF">
        <w:t>Al mes de junio de 2018, 1 won su</w:t>
      </w:r>
      <w:r>
        <w:t>r</w:t>
      </w:r>
      <w:r w:rsidRPr="00B84ADF">
        <w:t>coreano</w:t>
      </w:r>
      <w:r>
        <w:t xml:space="preserve"> </w:t>
      </w:r>
      <w:r w:rsidRPr="00B84ADF">
        <w:t>(KRW) equiva</w:t>
      </w:r>
      <w:r>
        <w:t>l</w:t>
      </w:r>
      <w:r w:rsidRPr="00B84ADF">
        <w:t xml:space="preserve">ía a 0,00093 </w:t>
      </w:r>
      <w:r>
        <w:t>dólares de los Estados Unidos de América</w:t>
      </w:r>
      <w:r w:rsidRPr="00B84AD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87D23"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3"/>
      <w:gridCol w:w="5937"/>
    </w:tblGrid>
    <w:tr w:rsidR="005B0371" w:rsidRPr="00A239D1" w14:paraId="2894DD67" w14:textId="77777777" w:rsidTr="00EF01E2">
      <w:tc>
        <w:tcPr>
          <w:tcW w:w="4634" w:type="dxa"/>
          <w:vAlign w:val="center"/>
        </w:tcPr>
        <w:p w14:paraId="11752D18"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574FB9B9"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w:t>
          </w:r>
          <w:r w:rsidR="00B20F3A">
            <w:rPr>
              <w:rFonts w:asciiTheme="minorBidi" w:hAnsiTheme="minorBidi"/>
              <w:b/>
              <w:spacing w:val="4"/>
              <w:szCs w:val="24"/>
            </w:rPr>
            <w:t>ó</w:t>
          </w:r>
          <w:r w:rsidRPr="00260B24">
            <w:rPr>
              <w:rFonts w:asciiTheme="minorBidi" w:hAnsiTheme="minorBidi"/>
              <w:b/>
              <w:spacing w:val="4"/>
              <w:szCs w:val="24"/>
            </w:rPr>
            <w:t>n</w:t>
          </w:r>
          <w:r w:rsidR="00A25EE2">
            <w:rPr>
              <w:rFonts w:asciiTheme="minorBidi" w:hAnsiTheme="minorBidi"/>
              <w:b/>
              <w:spacing w:val="4"/>
              <w:szCs w:val="24"/>
            </w:rPr>
            <w:t xml:space="preserve"> </w:t>
          </w:r>
          <w:r w:rsidR="00B20F3A">
            <w:rPr>
              <w:rFonts w:asciiTheme="minorBidi" w:hAnsiTheme="minorBidi"/>
              <w:b/>
              <w:spacing w:val="4"/>
              <w:szCs w:val="24"/>
            </w:rPr>
            <w:t>I</w:t>
          </w:r>
          <w:r w:rsidR="00A25EE2" w:rsidRPr="00260B24">
            <w:rPr>
              <w:rFonts w:asciiTheme="minorBidi" w:hAnsiTheme="minorBidi"/>
              <w:b/>
              <w:spacing w:val="4"/>
              <w:szCs w:val="24"/>
            </w:rPr>
            <w:t>nterna</w:t>
          </w:r>
          <w:r w:rsidR="0069322D">
            <w:rPr>
              <w:rFonts w:asciiTheme="minorBidi" w:hAnsiTheme="minorBidi"/>
              <w:b/>
              <w:spacing w:val="4"/>
              <w:szCs w:val="24"/>
            </w:rPr>
            <w:t>c</w:t>
          </w:r>
          <w:r w:rsidR="00A25EE2" w:rsidRPr="00260B24">
            <w:rPr>
              <w:rFonts w:asciiTheme="minorBidi" w:hAnsiTheme="minorBidi"/>
              <w:b/>
              <w:spacing w:val="4"/>
              <w:szCs w:val="24"/>
            </w:rPr>
            <w:t xml:space="preserve">ional </w:t>
          </w:r>
          <w:r w:rsidR="00A25EE2">
            <w:rPr>
              <w:rFonts w:asciiTheme="minorBidi" w:hAnsiTheme="minorBidi"/>
              <w:b/>
              <w:spacing w:val="4"/>
              <w:szCs w:val="24"/>
            </w:rPr>
            <w:t xml:space="preserve">de </w:t>
          </w:r>
          <w:r w:rsidR="0069322D">
            <w:rPr>
              <w:rFonts w:asciiTheme="minorBidi" w:hAnsiTheme="minorBidi"/>
              <w:b/>
              <w:spacing w:val="4"/>
              <w:szCs w:val="24"/>
            </w:rPr>
            <w:t>Te</w:t>
          </w:r>
          <w:r w:rsidR="00A25EE2" w:rsidRPr="00260B24">
            <w:rPr>
              <w:rFonts w:asciiTheme="minorBidi" w:hAnsiTheme="minorBidi"/>
              <w:b/>
              <w:spacing w:val="4"/>
              <w:szCs w:val="24"/>
            </w:rPr>
            <w:t>l</w:t>
          </w:r>
          <w:r w:rsidR="0069322D">
            <w:rPr>
              <w:rFonts w:asciiTheme="minorBidi" w:hAnsiTheme="minorBidi"/>
              <w:b/>
              <w:spacing w:val="4"/>
              <w:szCs w:val="24"/>
            </w:rPr>
            <w:t>e</w:t>
          </w:r>
          <w:r w:rsidR="00A25EE2" w:rsidRPr="00260B24">
            <w:rPr>
              <w:rFonts w:asciiTheme="minorBidi" w:hAnsiTheme="minorBidi"/>
              <w:b/>
              <w:spacing w:val="4"/>
              <w:szCs w:val="24"/>
            </w:rPr>
            <w:t>comunica</w:t>
          </w:r>
          <w:r w:rsidR="0069322D">
            <w:rPr>
              <w:rFonts w:asciiTheme="minorBidi" w:hAnsiTheme="minorBidi"/>
              <w:b/>
              <w:spacing w:val="4"/>
              <w:szCs w:val="24"/>
            </w:rPr>
            <w:t>c</w:t>
          </w:r>
          <w:r w:rsidR="00A25EE2" w:rsidRPr="00260B24">
            <w:rPr>
              <w:rFonts w:asciiTheme="minorBidi" w:hAnsiTheme="minorBidi"/>
              <w:b/>
              <w:spacing w:val="4"/>
              <w:szCs w:val="24"/>
            </w:rPr>
            <w:t>ion</w:t>
          </w:r>
          <w:r w:rsidR="0069322D">
            <w:rPr>
              <w:rFonts w:asciiTheme="minorBidi" w:hAnsiTheme="minorBidi"/>
              <w:b/>
              <w:spacing w:val="4"/>
              <w:szCs w:val="24"/>
            </w:rPr>
            <w:t>e</w:t>
          </w:r>
          <w:r w:rsidR="00A25EE2">
            <w:rPr>
              <w:rFonts w:asciiTheme="minorBidi" w:hAnsiTheme="minorBidi"/>
              <w:b/>
              <w:spacing w:val="4"/>
              <w:szCs w:val="24"/>
            </w:rPr>
            <w:t>s</w:t>
          </w:r>
        </w:p>
      </w:tc>
    </w:tr>
    <w:tr w:rsidR="005B0371" w:rsidRPr="00A239D1" w14:paraId="7B37CDC5" w14:textId="77777777" w:rsidTr="00EF01E2">
      <w:tc>
        <w:tcPr>
          <w:tcW w:w="4634" w:type="dxa"/>
          <w:vAlign w:val="center"/>
        </w:tcPr>
        <w:p w14:paraId="71FE812C" w14:textId="77777777" w:rsidR="00EE47C4" w:rsidRPr="00260B24" w:rsidRDefault="00EE47C4" w:rsidP="00744F8B">
          <w:pPr>
            <w:pStyle w:val="Header"/>
            <w:jc w:val="left"/>
            <w:rPr>
              <w:rFonts w:asciiTheme="minorBidi" w:hAnsiTheme="minorBidi"/>
              <w:spacing w:val="4"/>
              <w:sz w:val="21"/>
              <w:szCs w:val="21"/>
            </w:rPr>
          </w:pPr>
        </w:p>
      </w:tc>
      <w:tc>
        <w:tcPr>
          <w:tcW w:w="5998" w:type="dxa"/>
          <w:vAlign w:val="center"/>
        </w:tcPr>
        <w:p w14:paraId="4BAE5D22"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Sect</w:t>
          </w:r>
          <w:r w:rsidR="0069322D">
            <w:rPr>
              <w:rFonts w:asciiTheme="minorBidi" w:hAnsiTheme="minorBidi"/>
              <w:spacing w:val="4"/>
              <w:szCs w:val="24"/>
            </w:rPr>
            <w:t>o</w:t>
          </w:r>
          <w:r>
            <w:rPr>
              <w:rFonts w:asciiTheme="minorBidi" w:hAnsiTheme="minorBidi"/>
              <w:spacing w:val="4"/>
              <w:szCs w:val="24"/>
            </w:rPr>
            <w:t xml:space="preserve">r de </w:t>
          </w:r>
          <w:r w:rsidR="00EE47C4" w:rsidRPr="00260B24">
            <w:rPr>
              <w:rFonts w:asciiTheme="minorBidi" w:hAnsiTheme="minorBidi"/>
              <w:spacing w:val="4"/>
              <w:szCs w:val="24"/>
            </w:rPr>
            <w:t>Radiocomunica</w:t>
          </w:r>
          <w:r w:rsidR="0069322D">
            <w:rPr>
              <w:rFonts w:asciiTheme="minorBidi" w:hAnsiTheme="minorBidi"/>
              <w:spacing w:val="4"/>
              <w:szCs w:val="24"/>
            </w:rPr>
            <w:t>c</w:t>
          </w:r>
          <w:r w:rsidR="00EE47C4" w:rsidRPr="00260B24">
            <w:rPr>
              <w:rFonts w:asciiTheme="minorBidi" w:hAnsiTheme="minorBidi"/>
              <w:spacing w:val="4"/>
              <w:szCs w:val="24"/>
            </w:rPr>
            <w:t>ion</w:t>
          </w:r>
          <w:r w:rsidR="0069322D">
            <w:rPr>
              <w:rFonts w:asciiTheme="minorBidi" w:hAnsiTheme="minorBidi"/>
              <w:spacing w:val="4"/>
              <w:szCs w:val="24"/>
            </w:rPr>
            <w:t>e</w:t>
          </w:r>
          <w:r>
            <w:rPr>
              <w:rFonts w:asciiTheme="minorBidi" w:hAnsiTheme="minorBidi"/>
              <w:spacing w:val="4"/>
              <w:szCs w:val="24"/>
            </w:rPr>
            <w:t>s</w:t>
          </w:r>
        </w:p>
      </w:tc>
    </w:tr>
  </w:tbl>
  <w:p w14:paraId="26DDF867" w14:textId="77777777" w:rsidR="00282E86" w:rsidRDefault="00EF01E2"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1AE3328F" wp14:editId="19175E9C">
          <wp:simplePos x="0" y="0"/>
          <wp:positionH relativeFrom="column">
            <wp:posOffset>-252095</wp:posOffset>
          </wp:positionH>
          <wp:positionV relativeFrom="paragraph">
            <wp:posOffset>-539115</wp:posOffset>
          </wp:positionV>
          <wp:extent cx="1781175" cy="383540"/>
          <wp:effectExtent l="0" t="0" r="0" b="0"/>
          <wp:wrapNone/>
          <wp:docPr id="1333894785" name="Picture 1333894785" descr="ITU Publicacio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 Publicacion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383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8F4862" w14:textId="77777777" w:rsidR="00EE47C4" w:rsidRDefault="00194A37" w:rsidP="004A6FEB">
    <w:pPr>
      <w:pStyle w:val="Header"/>
    </w:pPr>
    <w:r>
      <w:rPr>
        <w:noProof/>
      </w:rPr>
      <mc:AlternateContent>
        <mc:Choice Requires="wpg">
          <w:drawing>
            <wp:anchor distT="0" distB="0" distL="114300" distR="114300" simplePos="0" relativeHeight="251662336" behindDoc="0" locked="0" layoutInCell="1" allowOverlap="1" wp14:anchorId="3095452A" wp14:editId="698B2277">
              <wp:simplePos x="0" y="0"/>
              <wp:positionH relativeFrom="page">
                <wp:posOffset>-13335</wp:posOffset>
              </wp:positionH>
              <wp:positionV relativeFrom="page">
                <wp:posOffset>1162050</wp:posOffset>
              </wp:positionV>
              <wp:extent cx="7560310" cy="236220"/>
              <wp:effectExtent l="0" t="0" r="2540" b="0"/>
              <wp:wrapNone/>
              <wp:docPr id="13" name="Group 13"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14"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CB78C" id="Group 13" o:spid="_x0000_s1026" alt="Header separation line" style="position:absolute;margin-left:-1.05pt;margin-top:91.5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CF514" w14:textId="070AD924"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B20F3A">
      <w:rPr>
        <w:rStyle w:val="PageNumber"/>
        <w:b/>
        <w:bCs/>
        <w:lang w:val="en-GB"/>
      </w:rPr>
      <w:t>ii</w:t>
    </w:r>
    <w:r>
      <w:rPr>
        <w:rStyle w:val="PageNumber"/>
        <w:b/>
        <w:bCs/>
      </w:rPr>
      <w:fldChar w:fldCharType="end"/>
    </w:r>
    <w:r>
      <w:rPr>
        <w:lang w:val="en-US"/>
      </w:rPr>
      <w:tab/>
    </w:r>
    <w:r w:rsidR="009F5368">
      <w:rPr>
        <w:b/>
        <w:bCs/>
        <w:lang w:val="en-US"/>
      </w:rPr>
      <w:fldChar w:fldCharType="begin"/>
    </w:r>
    <w:r w:rsidR="009F5368">
      <w:rPr>
        <w:b/>
        <w:bCs/>
        <w:lang w:val="en-US"/>
      </w:rPr>
      <w:instrText xml:space="preserve"> DOCPROPERTY  "Header 3"  \* MERGEFORMAT </w:instrText>
    </w:r>
    <w:r w:rsidR="009F5368">
      <w:rPr>
        <w:b/>
        <w:bCs/>
        <w:lang w:val="en-US"/>
      </w:rPr>
      <w:fldChar w:fldCharType="separate"/>
    </w:r>
    <w:r w:rsidR="00D34AF0">
      <w:rPr>
        <w:b/>
        <w:bCs/>
        <w:lang w:val="en-US"/>
      </w:rPr>
      <w:t xml:space="preserve">I. </w:t>
    </w:r>
    <w:r w:rsidR="009F5368">
      <w:rPr>
        <w:b/>
        <w:bCs/>
        <w:lang w:val="en-US"/>
      </w:rPr>
      <w:fldChar w:fldCharType="end"/>
    </w:r>
    <w:r w:rsidRPr="00B20F3A">
      <w:rPr>
        <w:b/>
        <w:bCs/>
        <w:lang w:val="en-GB"/>
      </w:rPr>
      <w:t xml:space="preserve"> </w:t>
    </w:r>
    <w:r w:rsidR="00F73D5B">
      <w:rPr>
        <w:b/>
        <w:bCs/>
        <w:lang w:val="en-GB"/>
      </w:rPr>
      <w:t>UIT-R  SM.2012-</w:t>
    </w:r>
    <w:r w:rsidR="007044BB">
      <w:rPr>
        <w:b/>
        <w:bCs/>
        <w:lang w:val="en-GB"/>
      </w:rPr>
      <w:t>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9F46A" w14:textId="0B34660D" w:rsidR="001B164E" w:rsidRDefault="001B164E">
    <w:pPr>
      <w:pStyle w:val="Header"/>
    </w:pPr>
    <w:r>
      <w:tab/>
    </w:r>
    <w:r w:rsidR="009F5368">
      <w:rPr>
        <w:b/>
        <w:bCs/>
      </w:rPr>
      <w:fldChar w:fldCharType="begin"/>
    </w:r>
    <w:r w:rsidR="009F5368">
      <w:rPr>
        <w:b/>
        <w:bCs/>
      </w:rPr>
      <w:instrText xml:space="preserve"> DOCPROPERTY  "Header 3"  \* MERGEFORMAT </w:instrText>
    </w:r>
    <w:r w:rsidR="009F5368">
      <w:rPr>
        <w:b/>
        <w:bCs/>
      </w:rPr>
      <w:fldChar w:fldCharType="separate"/>
    </w:r>
    <w:r w:rsidR="00D34AF0">
      <w:rPr>
        <w:b/>
        <w:bCs/>
      </w:rPr>
      <w:t xml:space="preserve">I. </w:t>
    </w:r>
    <w:r w:rsidR="009F5368">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D34AF0">
      <w:rPr>
        <w:b/>
        <w:bCs/>
        <w:noProof/>
      </w:rPr>
      <w:t>UIT-R  SM.2012-7</w:t>
    </w:r>
    <w:r w:rsidR="006C37D5">
      <w:rPr>
        <w:b/>
        <w:bCs/>
      </w:rPr>
      <w:fldChar w:fldCharType="end"/>
    </w:r>
    <w:r w:rsidR="00F73D5B">
      <w:rPr>
        <w:b/>
        <w:bCs/>
      </w:rPr>
      <w:t>d</w:t>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5A6B7" w14:textId="08C50FEC" w:rsidR="00F73D5B" w:rsidRDefault="00F73D5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46</w:t>
    </w:r>
    <w:r>
      <w:rPr>
        <w:rStyle w:val="PageNumber"/>
        <w:b/>
        <w:bCs/>
      </w:rPr>
      <w:fldChar w:fldCharType="end"/>
    </w:r>
    <w:r>
      <w:rPr>
        <w:lang w:val="en-US"/>
      </w:rPr>
      <w:tab/>
    </w:r>
    <w:r>
      <w:rPr>
        <w:b/>
        <w:bCs/>
      </w:rPr>
      <w:fldChar w:fldCharType="begin"/>
    </w:r>
    <w:r>
      <w:rPr>
        <w:b/>
        <w:bCs/>
        <w:lang w:val="en-US"/>
      </w:rPr>
      <w:instrText xml:space="preserve"> DOCPROPERTY "Header 3" \* MERGEFORMAT </w:instrText>
    </w:r>
    <w:r>
      <w:rPr>
        <w:b/>
        <w:bCs/>
      </w:rPr>
      <w:fldChar w:fldCharType="separate"/>
    </w:r>
    <w:r w:rsidR="00D34AF0">
      <w:rPr>
        <w:b/>
        <w:bCs/>
        <w:lang w:val="en-US"/>
      </w:rPr>
      <w:t xml:space="preserve">I. </w:t>
    </w:r>
    <w:r>
      <w:rPr>
        <w:b/>
        <w:bCs/>
      </w:rPr>
      <w:fldChar w:fldCharType="end"/>
    </w:r>
    <w:r>
      <w:rPr>
        <w:b/>
        <w:bCs/>
        <w:lang w:val="en-US"/>
      </w:rPr>
      <w:t xml:space="preserve"> </w:t>
    </w:r>
    <w:r>
      <w:rPr>
        <w:b/>
        <w:bCs/>
      </w:rPr>
      <w:fldChar w:fldCharType="begin"/>
    </w:r>
    <w:r>
      <w:rPr>
        <w:b/>
        <w:bCs/>
        <w:lang w:val="en-US"/>
      </w:rPr>
      <w:instrText>styleref href</w:instrText>
    </w:r>
    <w:r>
      <w:rPr>
        <w:b/>
        <w:bCs/>
      </w:rPr>
      <w:fldChar w:fldCharType="separate"/>
    </w:r>
    <w:r w:rsidR="007A4381">
      <w:rPr>
        <w:b/>
        <w:bCs/>
        <w:noProof/>
        <w:lang w:val="en-US"/>
      </w:rPr>
      <w:t>UIT-R  SM.2012-7</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BF74" w14:textId="0643E872" w:rsidR="00F73D5B" w:rsidRDefault="00F73D5B">
    <w:pPr>
      <w:pStyle w:val="Header"/>
      <w:rPr>
        <w:lang w:val="en-US"/>
      </w:rPr>
    </w:pPr>
    <w:r>
      <w:tab/>
    </w:r>
    <w:r>
      <w:rPr>
        <w:b/>
        <w:bCs/>
      </w:rPr>
      <w:fldChar w:fldCharType="begin"/>
    </w:r>
    <w:r>
      <w:rPr>
        <w:b/>
        <w:bCs/>
        <w:lang w:val="en-US"/>
      </w:rPr>
      <w:instrText xml:space="preserve"> DOCPROPERTY "Header 3" \* MERGEFORMAT </w:instrText>
    </w:r>
    <w:r>
      <w:rPr>
        <w:b/>
        <w:bCs/>
      </w:rPr>
      <w:fldChar w:fldCharType="separate"/>
    </w:r>
    <w:r w:rsidR="00D34AF0">
      <w:rPr>
        <w:b/>
        <w:bCs/>
        <w:lang w:val="en-US"/>
      </w:rPr>
      <w:t xml:space="preserve">I. </w:t>
    </w:r>
    <w:r>
      <w:rPr>
        <w:b/>
        <w:bCs/>
      </w:rPr>
      <w:fldChar w:fldCharType="end"/>
    </w:r>
    <w:r>
      <w:rPr>
        <w:b/>
        <w:bCs/>
        <w:lang w:val="en-US"/>
      </w:rPr>
      <w:t xml:space="preserve"> </w:t>
    </w:r>
    <w:r>
      <w:rPr>
        <w:b/>
        <w:bCs/>
      </w:rPr>
      <w:fldChar w:fldCharType="begin"/>
    </w:r>
    <w:r>
      <w:rPr>
        <w:b/>
        <w:bCs/>
        <w:lang w:val="en-US"/>
      </w:rPr>
      <w:instrText>styleref href</w:instrText>
    </w:r>
    <w:r>
      <w:rPr>
        <w:b/>
        <w:bCs/>
      </w:rPr>
      <w:fldChar w:fldCharType="separate"/>
    </w:r>
    <w:r w:rsidR="007A4381">
      <w:rPr>
        <w:b/>
        <w:bCs/>
        <w:noProof/>
        <w:lang w:val="en-US"/>
      </w:rPr>
      <w:t>UIT-R  SM.2012-7</w:t>
    </w:r>
    <w:r>
      <w:rPr>
        <w:b/>
        <w:bCs/>
      </w:rPr>
      <w:fldChar w:fldCharType="end"/>
    </w:r>
    <w:r>
      <w:rPr>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45</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4C97A" w14:textId="44A2763E" w:rsidR="00F73D5B" w:rsidRDefault="00F73D5B">
    <w:pPr>
      <w:pStyle w:val="Header"/>
      <w:rPr>
        <w:lang w:val="en-US"/>
      </w:rPr>
    </w:pPr>
    <w:r>
      <w:tab/>
    </w:r>
    <w:r>
      <w:rPr>
        <w:b/>
        <w:bCs/>
      </w:rPr>
      <w:fldChar w:fldCharType="begin"/>
    </w:r>
    <w:r>
      <w:rPr>
        <w:b/>
        <w:bCs/>
        <w:lang w:val="en-US"/>
      </w:rPr>
      <w:instrText xml:space="preserve"> DOCPROPERTY "Header 3" \* MERGEFORMAT </w:instrText>
    </w:r>
    <w:r>
      <w:rPr>
        <w:b/>
        <w:bCs/>
      </w:rPr>
      <w:fldChar w:fldCharType="separate"/>
    </w:r>
    <w:r w:rsidR="00D34AF0">
      <w:rPr>
        <w:b/>
        <w:bCs/>
        <w:lang w:val="en-US"/>
      </w:rPr>
      <w:t xml:space="preserve">I. </w:t>
    </w:r>
    <w:r>
      <w:rPr>
        <w:b/>
        <w:bCs/>
      </w:rPr>
      <w:fldChar w:fldCharType="end"/>
    </w:r>
    <w:r>
      <w:rPr>
        <w:b/>
        <w:bCs/>
        <w:lang w:val="en-US"/>
      </w:rPr>
      <w:t xml:space="preserve"> </w:t>
    </w:r>
    <w:r>
      <w:rPr>
        <w:b/>
        <w:bCs/>
      </w:rPr>
      <w:fldChar w:fldCharType="begin"/>
    </w:r>
    <w:r>
      <w:rPr>
        <w:b/>
        <w:bCs/>
        <w:lang w:val="en-US"/>
      </w:rPr>
      <w:instrText>styleref href</w:instrText>
    </w:r>
    <w:r>
      <w:rPr>
        <w:b/>
        <w:bCs/>
      </w:rPr>
      <w:fldChar w:fldCharType="separate"/>
    </w:r>
    <w:r w:rsidR="00D34AF0">
      <w:rPr>
        <w:b/>
        <w:bCs/>
        <w:noProof/>
        <w:lang w:val="en-US"/>
      </w:rPr>
      <w:t>UIT-R  SM.2012-7</w:t>
    </w:r>
    <w:r>
      <w:rPr>
        <w:b/>
        <w:bCs/>
      </w:rPr>
      <w:fldChar w:fldCharType="end"/>
    </w:r>
    <w:r>
      <w:rPr>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172</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63F3B" w14:textId="46DC8AE4" w:rsidR="007044BB" w:rsidRPr="007044BB" w:rsidRDefault="007044BB" w:rsidP="007044BB">
    <w:pPr>
      <w:tabs>
        <w:tab w:val="clear" w:pos="794"/>
        <w:tab w:val="clear" w:pos="1191"/>
        <w:tab w:val="clear" w:pos="1588"/>
        <w:tab w:val="clear" w:pos="1985"/>
        <w:tab w:val="center" w:pos="7088"/>
        <w:tab w:val="right" w:pos="13892"/>
      </w:tabs>
      <w:spacing w:before="0"/>
      <w:jc w:val="center"/>
      <w:textAlignment w:val="auto"/>
      <w:rPr>
        <w:b/>
        <w:bCs/>
        <w:lang w:val="en-GB"/>
      </w:rPr>
    </w:pPr>
    <w:r w:rsidRPr="007044BB">
      <w:rPr>
        <w:b/>
        <w:bCs/>
        <w:lang w:val="en-GB"/>
      </w:rPr>
      <w:tab/>
    </w:r>
    <w:r>
      <w:rPr>
        <w:b/>
        <w:bCs/>
      </w:rPr>
      <w:fldChar w:fldCharType="begin"/>
    </w:r>
    <w:r>
      <w:rPr>
        <w:b/>
        <w:bCs/>
        <w:lang w:val="en-US"/>
      </w:rPr>
      <w:instrText xml:space="preserve"> DOCPROPERTY "Header 3" \* MERGEFORMAT </w:instrText>
    </w:r>
    <w:r>
      <w:rPr>
        <w:b/>
        <w:bCs/>
      </w:rPr>
      <w:fldChar w:fldCharType="separate"/>
    </w:r>
    <w:r w:rsidR="00D34AF0">
      <w:rPr>
        <w:b/>
        <w:bCs/>
        <w:lang w:val="en-US"/>
      </w:rPr>
      <w:t xml:space="preserve">I. </w:t>
    </w:r>
    <w:r>
      <w:rPr>
        <w:b/>
        <w:bCs/>
      </w:rPr>
      <w:fldChar w:fldCharType="end"/>
    </w:r>
    <w:r>
      <w:rPr>
        <w:b/>
        <w:bCs/>
        <w:lang w:val="en-US"/>
      </w:rPr>
      <w:t xml:space="preserve"> </w:t>
    </w:r>
    <w:r>
      <w:rPr>
        <w:b/>
        <w:bCs/>
      </w:rPr>
      <w:fldChar w:fldCharType="begin"/>
    </w:r>
    <w:r>
      <w:rPr>
        <w:b/>
        <w:bCs/>
        <w:lang w:val="en-US"/>
      </w:rPr>
      <w:instrText>styleref href</w:instrText>
    </w:r>
    <w:r>
      <w:rPr>
        <w:b/>
        <w:bCs/>
      </w:rPr>
      <w:fldChar w:fldCharType="separate"/>
    </w:r>
    <w:r w:rsidR="007A4381">
      <w:rPr>
        <w:b/>
        <w:bCs/>
        <w:noProof/>
        <w:lang w:val="en-US"/>
      </w:rPr>
      <w:t>UIT-R  SM.2012-7</w:t>
    </w:r>
    <w:r>
      <w:rPr>
        <w:b/>
        <w:bCs/>
      </w:rPr>
      <w:fldChar w:fldCharType="end"/>
    </w:r>
    <w:r w:rsidRPr="007044BB">
      <w:rPr>
        <w:b/>
        <w:bCs/>
        <w:lang w:val="en-GB"/>
      </w:rPr>
      <w:tab/>
    </w:r>
    <w:r w:rsidRPr="007044BB">
      <w:rPr>
        <w:b/>
        <w:bCs/>
        <w:lang w:val="en-GB"/>
      </w:rPr>
      <w:fldChar w:fldCharType="begin"/>
    </w:r>
    <w:r w:rsidRPr="007044BB">
      <w:rPr>
        <w:b/>
        <w:bCs/>
        <w:lang w:val="en-GB"/>
      </w:rPr>
      <w:instrText xml:space="preserve"> PAGE </w:instrText>
    </w:r>
    <w:r w:rsidRPr="007044BB">
      <w:rPr>
        <w:b/>
        <w:bCs/>
        <w:lang w:val="en-GB"/>
      </w:rPr>
      <w:fldChar w:fldCharType="separate"/>
    </w:r>
    <w:r w:rsidRPr="007044BB">
      <w:rPr>
        <w:b/>
        <w:bCs/>
        <w:lang w:val="en-GB"/>
      </w:rPr>
      <w:t>37</w:t>
    </w:r>
    <w:r w:rsidRPr="007044BB">
      <w:rPr>
        <w:b/>
        <w:bCs/>
        <w:lang w:val="en-G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167">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D5B"/>
    <w:rsid w:val="00013002"/>
    <w:rsid w:val="00036EE3"/>
    <w:rsid w:val="00072484"/>
    <w:rsid w:val="00095530"/>
    <w:rsid w:val="00096612"/>
    <w:rsid w:val="000A4A32"/>
    <w:rsid w:val="000B1B2B"/>
    <w:rsid w:val="000B7683"/>
    <w:rsid w:val="000D0677"/>
    <w:rsid w:val="000E0548"/>
    <w:rsid w:val="000E3097"/>
    <w:rsid w:val="000E6A6E"/>
    <w:rsid w:val="00102934"/>
    <w:rsid w:val="00142484"/>
    <w:rsid w:val="00147110"/>
    <w:rsid w:val="001511A6"/>
    <w:rsid w:val="00171C4D"/>
    <w:rsid w:val="0017562F"/>
    <w:rsid w:val="0019307B"/>
    <w:rsid w:val="00193BE8"/>
    <w:rsid w:val="00194A37"/>
    <w:rsid w:val="001B0927"/>
    <w:rsid w:val="001B164E"/>
    <w:rsid w:val="001B7886"/>
    <w:rsid w:val="001F174A"/>
    <w:rsid w:val="001F38BB"/>
    <w:rsid w:val="002058CE"/>
    <w:rsid w:val="002165F1"/>
    <w:rsid w:val="00224A49"/>
    <w:rsid w:val="00233211"/>
    <w:rsid w:val="0025667F"/>
    <w:rsid w:val="00260B24"/>
    <w:rsid w:val="0027411A"/>
    <w:rsid w:val="00276D21"/>
    <w:rsid w:val="00281613"/>
    <w:rsid w:val="00282DCF"/>
    <w:rsid w:val="00282E86"/>
    <w:rsid w:val="00296D7F"/>
    <w:rsid w:val="002A1F3D"/>
    <w:rsid w:val="002A3BC7"/>
    <w:rsid w:val="002A5D45"/>
    <w:rsid w:val="002B3CF6"/>
    <w:rsid w:val="002B3E59"/>
    <w:rsid w:val="002C3223"/>
    <w:rsid w:val="002C768A"/>
    <w:rsid w:val="002D0BD7"/>
    <w:rsid w:val="002D76C4"/>
    <w:rsid w:val="002E47E2"/>
    <w:rsid w:val="002F5199"/>
    <w:rsid w:val="00301DB3"/>
    <w:rsid w:val="00305119"/>
    <w:rsid w:val="003157F1"/>
    <w:rsid w:val="00326136"/>
    <w:rsid w:val="003367C5"/>
    <w:rsid w:val="00346EC2"/>
    <w:rsid w:val="00350CBD"/>
    <w:rsid w:val="00350DAD"/>
    <w:rsid w:val="00356B5D"/>
    <w:rsid w:val="00357707"/>
    <w:rsid w:val="0036627C"/>
    <w:rsid w:val="00386EEF"/>
    <w:rsid w:val="003C4963"/>
    <w:rsid w:val="003E144C"/>
    <w:rsid w:val="003E5516"/>
    <w:rsid w:val="003F4B75"/>
    <w:rsid w:val="00414A38"/>
    <w:rsid w:val="00420DFD"/>
    <w:rsid w:val="00425BC7"/>
    <w:rsid w:val="00437A76"/>
    <w:rsid w:val="004604B2"/>
    <w:rsid w:val="00470E28"/>
    <w:rsid w:val="0047379B"/>
    <w:rsid w:val="00474170"/>
    <w:rsid w:val="00477729"/>
    <w:rsid w:val="00482EF1"/>
    <w:rsid w:val="004842E2"/>
    <w:rsid w:val="00486EB3"/>
    <w:rsid w:val="004934C5"/>
    <w:rsid w:val="004A6FEB"/>
    <w:rsid w:val="004E61FF"/>
    <w:rsid w:val="00502D96"/>
    <w:rsid w:val="005373E0"/>
    <w:rsid w:val="00540C72"/>
    <w:rsid w:val="00556548"/>
    <w:rsid w:val="00567704"/>
    <w:rsid w:val="00571B1C"/>
    <w:rsid w:val="00576D47"/>
    <w:rsid w:val="005819E8"/>
    <w:rsid w:val="00586EF8"/>
    <w:rsid w:val="005B0371"/>
    <w:rsid w:val="005B49AB"/>
    <w:rsid w:val="005B50E7"/>
    <w:rsid w:val="005C4BAB"/>
    <w:rsid w:val="005E12A5"/>
    <w:rsid w:val="005E69F0"/>
    <w:rsid w:val="005E7B4F"/>
    <w:rsid w:val="005F003B"/>
    <w:rsid w:val="005F2E73"/>
    <w:rsid w:val="00601882"/>
    <w:rsid w:val="00607D68"/>
    <w:rsid w:val="00613212"/>
    <w:rsid w:val="006149B1"/>
    <w:rsid w:val="00640332"/>
    <w:rsid w:val="00667C7E"/>
    <w:rsid w:val="0067709F"/>
    <w:rsid w:val="00680D2B"/>
    <w:rsid w:val="00681B32"/>
    <w:rsid w:val="0069322D"/>
    <w:rsid w:val="00693EC3"/>
    <w:rsid w:val="00697887"/>
    <w:rsid w:val="006B1D2B"/>
    <w:rsid w:val="006C37D5"/>
    <w:rsid w:val="006E1131"/>
    <w:rsid w:val="006E2037"/>
    <w:rsid w:val="006E6199"/>
    <w:rsid w:val="007044BB"/>
    <w:rsid w:val="00712870"/>
    <w:rsid w:val="00714AC0"/>
    <w:rsid w:val="0074147D"/>
    <w:rsid w:val="00743D85"/>
    <w:rsid w:val="00744F8B"/>
    <w:rsid w:val="00747D6E"/>
    <w:rsid w:val="007529DF"/>
    <w:rsid w:val="0075343D"/>
    <w:rsid w:val="00753CF4"/>
    <w:rsid w:val="007565CC"/>
    <w:rsid w:val="00760D03"/>
    <w:rsid w:val="007624B1"/>
    <w:rsid w:val="00763B9A"/>
    <w:rsid w:val="00765998"/>
    <w:rsid w:val="007A4381"/>
    <w:rsid w:val="007A6AA8"/>
    <w:rsid w:val="007B0A31"/>
    <w:rsid w:val="007B1357"/>
    <w:rsid w:val="007B3343"/>
    <w:rsid w:val="008310C9"/>
    <w:rsid w:val="008335F0"/>
    <w:rsid w:val="00834306"/>
    <w:rsid w:val="00851ECB"/>
    <w:rsid w:val="00853CC5"/>
    <w:rsid w:val="00866966"/>
    <w:rsid w:val="00877B7A"/>
    <w:rsid w:val="00877E6E"/>
    <w:rsid w:val="008A1BF4"/>
    <w:rsid w:val="008B083A"/>
    <w:rsid w:val="008B7A21"/>
    <w:rsid w:val="008C7848"/>
    <w:rsid w:val="008F5EAD"/>
    <w:rsid w:val="008F628B"/>
    <w:rsid w:val="00906589"/>
    <w:rsid w:val="00906AD6"/>
    <w:rsid w:val="00917AF2"/>
    <w:rsid w:val="009207AE"/>
    <w:rsid w:val="0092418A"/>
    <w:rsid w:val="0092713A"/>
    <w:rsid w:val="00934ED7"/>
    <w:rsid w:val="00940D16"/>
    <w:rsid w:val="009543C3"/>
    <w:rsid w:val="00966E1B"/>
    <w:rsid w:val="009719D1"/>
    <w:rsid w:val="00972F51"/>
    <w:rsid w:val="00984A02"/>
    <w:rsid w:val="009947C0"/>
    <w:rsid w:val="009A4039"/>
    <w:rsid w:val="009A41F9"/>
    <w:rsid w:val="009D4BBD"/>
    <w:rsid w:val="009F2D2C"/>
    <w:rsid w:val="009F5368"/>
    <w:rsid w:val="009F5580"/>
    <w:rsid w:val="00A03C0E"/>
    <w:rsid w:val="00A03DAF"/>
    <w:rsid w:val="00A16BE1"/>
    <w:rsid w:val="00A239D1"/>
    <w:rsid w:val="00A25EE2"/>
    <w:rsid w:val="00A31928"/>
    <w:rsid w:val="00A357C3"/>
    <w:rsid w:val="00A35B27"/>
    <w:rsid w:val="00A507D4"/>
    <w:rsid w:val="00A5147A"/>
    <w:rsid w:val="00A62A14"/>
    <w:rsid w:val="00A6617B"/>
    <w:rsid w:val="00A669C2"/>
    <w:rsid w:val="00A71FE5"/>
    <w:rsid w:val="00A7534B"/>
    <w:rsid w:val="00A76007"/>
    <w:rsid w:val="00A86DD2"/>
    <w:rsid w:val="00A936CB"/>
    <w:rsid w:val="00A971A1"/>
    <w:rsid w:val="00AA3AD8"/>
    <w:rsid w:val="00AB0DC8"/>
    <w:rsid w:val="00AB405C"/>
    <w:rsid w:val="00AC015D"/>
    <w:rsid w:val="00AD0CEB"/>
    <w:rsid w:val="00AD3248"/>
    <w:rsid w:val="00AE698D"/>
    <w:rsid w:val="00AF0286"/>
    <w:rsid w:val="00AF5326"/>
    <w:rsid w:val="00B019A2"/>
    <w:rsid w:val="00B0286E"/>
    <w:rsid w:val="00B033C8"/>
    <w:rsid w:val="00B20F3A"/>
    <w:rsid w:val="00B33425"/>
    <w:rsid w:val="00B42334"/>
    <w:rsid w:val="00B44E24"/>
    <w:rsid w:val="00B4592D"/>
    <w:rsid w:val="00B54ECC"/>
    <w:rsid w:val="00B60AC0"/>
    <w:rsid w:val="00B714F3"/>
    <w:rsid w:val="00B75A52"/>
    <w:rsid w:val="00B874C6"/>
    <w:rsid w:val="00B87B6B"/>
    <w:rsid w:val="00B9169E"/>
    <w:rsid w:val="00B96572"/>
    <w:rsid w:val="00BB3D4C"/>
    <w:rsid w:val="00BB7886"/>
    <w:rsid w:val="00BC5D77"/>
    <w:rsid w:val="00BD4283"/>
    <w:rsid w:val="00BF487A"/>
    <w:rsid w:val="00BF5544"/>
    <w:rsid w:val="00BF78EF"/>
    <w:rsid w:val="00C15F3E"/>
    <w:rsid w:val="00C23458"/>
    <w:rsid w:val="00C37E09"/>
    <w:rsid w:val="00C46BD9"/>
    <w:rsid w:val="00C55258"/>
    <w:rsid w:val="00C73560"/>
    <w:rsid w:val="00C84DB7"/>
    <w:rsid w:val="00C87A35"/>
    <w:rsid w:val="00C926CC"/>
    <w:rsid w:val="00C94F04"/>
    <w:rsid w:val="00CA236C"/>
    <w:rsid w:val="00CB0F14"/>
    <w:rsid w:val="00CC7888"/>
    <w:rsid w:val="00CD659B"/>
    <w:rsid w:val="00CE0A43"/>
    <w:rsid w:val="00CF130D"/>
    <w:rsid w:val="00D00118"/>
    <w:rsid w:val="00D0483A"/>
    <w:rsid w:val="00D16749"/>
    <w:rsid w:val="00D249D4"/>
    <w:rsid w:val="00D34AF0"/>
    <w:rsid w:val="00D5024B"/>
    <w:rsid w:val="00D61962"/>
    <w:rsid w:val="00D72623"/>
    <w:rsid w:val="00D83556"/>
    <w:rsid w:val="00D849A8"/>
    <w:rsid w:val="00DA10D3"/>
    <w:rsid w:val="00DB2E4A"/>
    <w:rsid w:val="00DB45D3"/>
    <w:rsid w:val="00DC60ED"/>
    <w:rsid w:val="00DD0D67"/>
    <w:rsid w:val="00DE5556"/>
    <w:rsid w:val="00DF4176"/>
    <w:rsid w:val="00E0095C"/>
    <w:rsid w:val="00E17240"/>
    <w:rsid w:val="00E34F9D"/>
    <w:rsid w:val="00E5593F"/>
    <w:rsid w:val="00E74595"/>
    <w:rsid w:val="00E77485"/>
    <w:rsid w:val="00E962D7"/>
    <w:rsid w:val="00EA78A3"/>
    <w:rsid w:val="00EB1CB6"/>
    <w:rsid w:val="00EB7C57"/>
    <w:rsid w:val="00ED2695"/>
    <w:rsid w:val="00ED3CA8"/>
    <w:rsid w:val="00ED7C7D"/>
    <w:rsid w:val="00EE04BA"/>
    <w:rsid w:val="00EE3306"/>
    <w:rsid w:val="00EE47C4"/>
    <w:rsid w:val="00EF01E2"/>
    <w:rsid w:val="00EF2D52"/>
    <w:rsid w:val="00F30C9B"/>
    <w:rsid w:val="00F345C5"/>
    <w:rsid w:val="00F354B1"/>
    <w:rsid w:val="00F354D7"/>
    <w:rsid w:val="00F6343F"/>
    <w:rsid w:val="00F72776"/>
    <w:rsid w:val="00F73D5B"/>
    <w:rsid w:val="00F77360"/>
    <w:rsid w:val="00F92A40"/>
    <w:rsid w:val="00F94A6C"/>
    <w:rsid w:val="00FA06FD"/>
    <w:rsid w:val="00FB0E4E"/>
    <w:rsid w:val="00FE79FE"/>
    <w:rsid w:val="00FF322B"/>
    <w:rsid w:val="00FF4F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67">
      <o:colormru v:ext="edit" colors="#d62a47,#f8f8f8"/>
    </o:shapedefaults>
    <o:shapelayout v:ext="edit">
      <o:idmap v:ext="edit" data="2"/>
    </o:shapelayout>
  </w:shapeDefaults>
  <w:decimalSymbol w:val="."/>
  <w:listSeparator w:val=","/>
  <w14:docId w14:val="2CC31D95"/>
  <w15:docId w15:val="{CF695FC4-724D-4939-BB98-1193524C4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5EA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rsid w:val="00A936CB"/>
    <w:pPr>
      <w:spacing w:before="160"/>
      <w:ind w:left="0" w:firstLine="0"/>
      <w:outlineLvl w:val="9"/>
    </w:pPr>
  </w:style>
  <w:style w:type="paragraph" w:customStyle="1" w:styleId="Headingi">
    <w:name w:val="Heading_i"/>
    <w:basedOn w:val="Heading3"/>
    <w:next w:val="Normal"/>
    <w:link w:val="HeadingiCar"/>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link w:val="AnnexNoTitleChar"/>
    <w:rsid w:val="009207AE"/>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link w:val="enumlev2Char"/>
    <w:rsid w:val="00A936CB"/>
    <w:pPr>
      <w:ind w:left="1191" w:hanging="397"/>
    </w:pPr>
  </w:style>
  <w:style w:type="paragraph" w:customStyle="1" w:styleId="enumlev1">
    <w:name w:val="enumlev1"/>
    <w:basedOn w:val="Normal"/>
    <w:link w:val="enumlev1Char"/>
    <w:qFormat/>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link w:val="NoteChar"/>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qFormat/>
    <w:rsid w:val="00A936CB"/>
    <w:pPr>
      <w:spacing w:before="0"/>
    </w:pPr>
    <w:rPr>
      <w:sz w:val="20"/>
      <w:lang w:val="en-GB"/>
    </w:rPr>
  </w:style>
  <w:style w:type="paragraph" w:customStyle="1" w:styleId="Tablehead">
    <w:name w:val="Table_head"/>
    <w:basedOn w:val="Normal"/>
    <w:next w:val="Normal"/>
    <w:link w:val="TableheadChar"/>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A936CB"/>
    <w:pPr>
      <w:keepNext/>
      <w:keepLines/>
      <w:spacing w:before="480"/>
      <w:jc w:val="center"/>
    </w:pPr>
    <w:rPr>
      <w:sz w:val="28"/>
    </w:rPr>
  </w:style>
  <w:style w:type="paragraph" w:customStyle="1" w:styleId="Arttitle">
    <w:name w:val="Art_title"/>
    <w:basedOn w:val="Normal"/>
    <w:next w:val="Normalaftertitle"/>
    <w:link w:val="ArttitleCar"/>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rsid w:val="008F628B"/>
    <w:pPr>
      <w:outlineLvl w:val="0"/>
    </w:pPr>
    <w:rPr>
      <w:b/>
    </w:rPr>
  </w:style>
  <w:style w:type="paragraph" w:customStyle="1" w:styleId="Chaptitle">
    <w:name w:val="Chap_title"/>
    <w:basedOn w:val="Arttitle"/>
    <w:next w:val="Normalaftertitle"/>
    <w:link w:val="ChaptitleChar"/>
    <w:rsid w:val="008F628B"/>
    <w:pPr>
      <w:outlineLvl w:val="0"/>
    </w:pPr>
  </w:style>
  <w:style w:type="character" w:styleId="FootnoteReference">
    <w:name w:val="footnote reference"/>
    <w:basedOn w:val="DefaultParagraphFont"/>
    <w:rsid w:val="00A936CB"/>
    <w:rPr>
      <w:position w:val="6"/>
      <w:sz w:val="18"/>
    </w:rPr>
  </w:style>
  <w:style w:type="paragraph" w:styleId="FootnoteText">
    <w:name w:val="footnote text"/>
    <w:basedOn w:val="Normal"/>
    <w:link w:val="FootnoteTextChar"/>
    <w:rsid w:val="00A936CB"/>
    <w:pPr>
      <w:keepLines/>
      <w:tabs>
        <w:tab w:val="left" w:pos="255"/>
      </w:tabs>
      <w:ind w:left="255" w:hanging="255"/>
    </w:pPr>
    <w:rPr>
      <w:sz w:val="22"/>
    </w:rPr>
  </w:style>
  <w:style w:type="paragraph" w:styleId="Index1">
    <w:name w:val="index 1"/>
    <w:basedOn w:val="Normal"/>
    <w:next w:val="Normal"/>
    <w:rsid w:val="00A936CB"/>
  </w:style>
  <w:style w:type="paragraph" w:styleId="Index2">
    <w:name w:val="index 2"/>
    <w:basedOn w:val="Normal"/>
    <w:next w:val="Normal"/>
    <w:rsid w:val="00A936CB"/>
    <w:pPr>
      <w:ind w:left="283"/>
    </w:pPr>
  </w:style>
  <w:style w:type="paragraph" w:styleId="Index3">
    <w:name w:val="index 3"/>
    <w:basedOn w:val="Normal"/>
    <w:next w:val="Normal"/>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link w:val="RepNoChar"/>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link w:val="ResNoChar"/>
    <w:rsid w:val="00A936CB"/>
  </w:style>
  <w:style w:type="paragraph" w:customStyle="1" w:styleId="Restitle">
    <w:name w:val="Res_title"/>
    <w:basedOn w:val="Normal"/>
    <w:next w:val="Resref"/>
    <w:link w:val="RestitleChar"/>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uiPriority w:val="39"/>
    <w:rsid w:val="00A936CB"/>
    <w:pPr>
      <w:tabs>
        <w:tab w:val="clear" w:pos="1276"/>
        <w:tab w:val="left" w:pos="2155"/>
      </w:tabs>
      <w:ind w:left="2155" w:hanging="879"/>
    </w:pPr>
  </w:style>
  <w:style w:type="paragraph" w:styleId="TOC4">
    <w:name w:val="toc 4"/>
    <w:basedOn w:val="TOC3"/>
    <w:uiPriority w:val="39"/>
    <w:rsid w:val="00A936CB"/>
    <w:pPr>
      <w:tabs>
        <w:tab w:val="left" w:pos="3261"/>
      </w:tabs>
      <w:spacing w:before="80"/>
      <w:ind w:left="3261" w:hanging="993"/>
    </w:pPr>
  </w:style>
  <w:style w:type="paragraph" w:styleId="TOC5">
    <w:name w:val="toc 5"/>
    <w:basedOn w:val="TOC4"/>
    <w:uiPriority w:val="39"/>
    <w:rsid w:val="00A936CB"/>
  </w:style>
  <w:style w:type="paragraph" w:styleId="TOC6">
    <w:name w:val="toc 6"/>
    <w:basedOn w:val="TOC4"/>
    <w:uiPriority w:val="39"/>
    <w:rsid w:val="00A936CB"/>
  </w:style>
  <w:style w:type="paragraph" w:styleId="TOC7">
    <w:name w:val="toc 7"/>
    <w:basedOn w:val="TOC4"/>
    <w:uiPriority w:val="39"/>
    <w:rsid w:val="00A936CB"/>
  </w:style>
  <w:style w:type="paragraph" w:styleId="TOC8">
    <w:name w:val="toc 8"/>
    <w:basedOn w:val="TOC4"/>
    <w:uiPriority w:val="39"/>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A936CB"/>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rsid w:val="00EE47C4"/>
    <w:rPr>
      <w:sz w:val="24"/>
      <w:lang w:val="fr-FR"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styleId="Revision">
    <w:name w:val="Revision"/>
    <w:hidden/>
    <w:uiPriority w:val="99"/>
    <w:semiHidden/>
    <w:rsid w:val="00F73D5B"/>
    <w:rPr>
      <w:sz w:val="24"/>
      <w:lang w:val="es-ES" w:eastAsia="en-US"/>
    </w:rPr>
  </w:style>
  <w:style w:type="character" w:customStyle="1" w:styleId="FootnoteTextChar">
    <w:name w:val="Footnote Text Char"/>
    <w:basedOn w:val="DefaultParagraphFont"/>
    <w:link w:val="FootnoteText"/>
    <w:qFormat/>
    <w:rsid w:val="00F73D5B"/>
    <w:rPr>
      <w:sz w:val="22"/>
      <w:lang w:val="es-ES" w:eastAsia="en-US"/>
    </w:rPr>
  </w:style>
  <w:style w:type="character" w:customStyle="1" w:styleId="Heading1Char">
    <w:name w:val="Heading 1 Char"/>
    <w:basedOn w:val="DefaultParagraphFont"/>
    <w:link w:val="Heading1"/>
    <w:rsid w:val="00F73D5B"/>
    <w:rPr>
      <w:b/>
      <w:sz w:val="24"/>
      <w:lang w:val="es-ES" w:eastAsia="en-US"/>
    </w:rPr>
  </w:style>
  <w:style w:type="character" w:customStyle="1" w:styleId="FooterChar">
    <w:name w:val="Footer Char"/>
    <w:basedOn w:val="DefaultParagraphFont"/>
    <w:link w:val="Footer"/>
    <w:rsid w:val="00F73D5B"/>
    <w:rPr>
      <w:noProof/>
      <w:sz w:val="18"/>
      <w:lang w:val="es-ES" w:eastAsia="en-US"/>
    </w:rPr>
  </w:style>
  <w:style w:type="character" w:customStyle="1" w:styleId="Heading2Char">
    <w:name w:val="Heading 2 Char"/>
    <w:basedOn w:val="DefaultParagraphFont"/>
    <w:link w:val="Heading2"/>
    <w:rsid w:val="00F73D5B"/>
    <w:rPr>
      <w:b/>
      <w:sz w:val="24"/>
      <w:lang w:val="es-ES" w:eastAsia="en-US"/>
    </w:rPr>
  </w:style>
  <w:style w:type="character" w:customStyle="1" w:styleId="Heading3Char">
    <w:name w:val="Heading 3 Char"/>
    <w:basedOn w:val="DefaultParagraphFont"/>
    <w:link w:val="Heading3"/>
    <w:qFormat/>
    <w:rsid w:val="00F73D5B"/>
    <w:rPr>
      <w:b/>
      <w:sz w:val="24"/>
      <w:lang w:val="es-ES" w:eastAsia="en-US"/>
    </w:rPr>
  </w:style>
  <w:style w:type="character" w:customStyle="1" w:styleId="Heading4Char">
    <w:name w:val="Heading 4 Char"/>
    <w:basedOn w:val="DefaultParagraphFont"/>
    <w:link w:val="Heading4"/>
    <w:rsid w:val="00F73D5B"/>
    <w:rPr>
      <w:b/>
      <w:sz w:val="24"/>
      <w:lang w:val="es-ES" w:eastAsia="en-US"/>
    </w:rPr>
  </w:style>
  <w:style w:type="character" w:customStyle="1" w:styleId="Heading5Char">
    <w:name w:val="Heading 5 Char"/>
    <w:basedOn w:val="DefaultParagraphFont"/>
    <w:link w:val="Heading5"/>
    <w:rsid w:val="00F73D5B"/>
    <w:rPr>
      <w:b/>
      <w:sz w:val="24"/>
      <w:lang w:val="es-ES" w:eastAsia="en-US"/>
    </w:rPr>
  </w:style>
  <w:style w:type="character" w:customStyle="1" w:styleId="Heading6Char">
    <w:name w:val="Heading 6 Char"/>
    <w:basedOn w:val="DefaultParagraphFont"/>
    <w:link w:val="Heading6"/>
    <w:rsid w:val="00F73D5B"/>
    <w:rPr>
      <w:b/>
      <w:sz w:val="24"/>
      <w:lang w:val="es-ES" w:eastAsia="en-US"/>
    </w:rPr>
  </w:style>
  <w:style w:type="character" w:customStyle="1" w:styleId="Heading7Char">
    <w:name w:val="Heading 7 Char"/>
    <w:basedOn w:val="DefaultParagraphFont"/>
    <w:link w:val="Heading7"/>
    <w:rsid w:val="00F73D5B"/>
    <w:rPr>
      <w:b/>
      <w:sz w:val="24"/>
      <w:lang w:val="es-ES" w:eastAsia="en-US"/>
    </w:rPr>
  </w:style>
  <w:style w:type="character" w:customStyle="1" w:styleId="Heading8Char">
    <w:name w:val="Heading 8 Char"/>
    <w:basedOn w:val="DefaultParagraphFont"/>
    <w:link w:val="Heading8"/>
    <w:rsid w:val="00F73D5B"/>
    <w:rPr>
      <w:b/>
      <w:sz w:val="24"/>
      <w:lang w:val="es-ES" w:eastAsia="en-US"/>
    </w:rPr>
  </w:style>
  <w:style w:type="character" w:customStyle="1" w:styleId="Heading9Char">
    <w:name w:val="Heading 9 Char"/>
    <w:basedOn w:val="DefaultParagraphFont"/>
    <w:link w:val="Heading9"/>
    <w:rsid w:val="00F73D5B"/>
    <w:rPr>
      <w:b/>
      <w:sz w:val="24"/>
      <w:lang w:val="es-ES" w:eastAsia="en-US"/>
    </w:rPr>
  </w:style>
  <w:style w:type="character" w:customStyle="1" w:styleId="NormalaftertitleChar">
    <w:name w:val="Normal_after_title Char"/>
    <w:basedOn w:val="DefaultParagraphFont"/>
    <w:link w:val="Normalaftertitle"/>
    <w:rsid w:val="00F73D5B"/>
    <w:rPr>
      <w:sz w:val="24"/>
      <w:lang w:val="es-ES" w:eastAsia="en-US"/>
    </w:rPr>
  </w:style>
  <w:style w:type="character" w:customStyle="1" w:styleId="TabletextChar">
    <w:name w:val="Table_text Char"/>
    <w:basedOn w:val="DefaultParagraphFont"/>
    <w:link w:val="Tabletext"/>
    <w:qFormat/>
    <w:rsid w:val="00F73D5B"/>
    <w:rPr>
      <w:sz w:val="22"/>
      <w:lang w:val="es-ES" w:eastAsia="en-US"/>
    </w:rPr>
  </w:style>
  <w:style w:type="character" w:customStyle="1" w:styleId="HeadingbChar">
    <w:name w:val="Heading_b Char"/>
    <w:basedOn w:val="DefaultParagraphFont"/>
    <w:link w:val="Headingb"/>
    <w:locked/>
    <w:rsid w:val="00F73D5B"/>
    <w:rPr>
      <w:b/>
      <w:sz w:val="24"/>
      <w:lang w:val="es-ES" w:eastAsia="en-US"/>
    </w:rPr>
  </w:style>
  <w:style w:type="character" w:customStyle="1" w:styleId="AnnexNoTitleChar">
    <w:name w:val="Annex_NoTitle Char"/>
    <w:basedOn w:val="DefaultParagraphFont"/>
    <w:link w:val="AnnexNoTitle"/>
    <w:rsid w:val="009207AE"/>
    <w:rPr>
      <w:b/>
      <w:sz w:val="28"/>
      <w:lang w:val="es-ES" w:eastAsia="en-US"/>
    </w:rPr>
  </w:style>
  <w:style w:type="character" w:customStyle="1" w:styleId="enumlev1Char">
    <w:name w:val="enumlev1 Char"/>
    <w:basedOn w:val="DefaultParagraphFont"/>
    <w:link w:val="enumlev1"/>
    <w:qFormat/>
    <w:rsid w:val="00F73D5B"/>
    <w:rPr>
      <w:sz w:val="24"/>
      <w:lang w:val="es-ES" w:eastAsia="en-US"/>
    </w:rPr>
  </w:style>
  <w:style w:type="character" w:customStyle="1" w:styleId="EquationChar">
    <w:name w:val="Equation Char"/>
    <w:basedOn w:val="DefaultParagraphFont"/>
    <w:link w:val="Equation"/>
    <w:qFormat/>
    <w:rsid w:val="00F73D5B"/>
    <w:rPr>
      <w:sz w:val="24"/>
      <w:lang w:val="es-ES" w:eastAsia="en-US"/>
    </w:rPr>
  </w:style>
  <w:style w:type="character" w:customStyle="1" w:styleId="NoteChar">
    <w:name w:val="Note Char"/>
    <w:basedOn w:val="DefaultParagraphFont"/>
    <w:link w:val="Note"/>
    <w:rsid w:val="00F73D5B"/>
    <w:rPr>
      <w:sz w:val="22"/>
      <w:lang w:val="es-ES" w:eastAsia="en-US"/>
    </w:rPr>
  </w:style>
  <w:style w:type="character" w:customStyle="1" w:styleId="RectitleChar">
    <w:name w:val="Rec_title Char"/>
    <w:basedOn w:val="DefaultParagraphFont"/>
    <w:link w:val="Rectitle"/>
    <w:locked/>
    <w:rsid w:val="00F73D5B"/>
    <w:rPr>
      <w:b/>
      <w:sz w:val="28"/>
      <w:lang w:val="es-ES" w:eastAsia="en-US"/>
    </w:rPr>
  </w:style>
  <w:style w:type="character" w:customStyle="1" w:styleId="TableheadChar">
    <w:name w:val="Table_head Char"/>
    <w:basedOn w:val="DefaultParagraphFont"/>
    <w:link w:val="Tablehead"/>
    <w:qFormat/>
    <w:locked/>
    <w:rsid w:val="00F73D5B"/>
    <w:rPr>
      <w:b/>
      <w:sz w:val="22"/>
      <w:lang w:val="es-ES" w:eastAsia="en-US"/>
    </w:rPr>
  </w:style>
  <w:style w:type="character" w:customStyle="1" w:styleId="TablelegendChar">
    <w:name w:val="Table_legend Char"/>
    <w:basedOn w:val="DefaultParagraphFont"/>
    <w:link w:val="Tablelegend"/>
    <w:rsid w:val="00F73D5B"/>
    <w:rPr>
      <w:sz w:val="22"/>
      <w:lang w:val="es-ES" w:eastAsia="en-US"/>
    </w:rPr>
  </w:style>
  <w:style w:type="character" w:customStyle="1" w:styleId="TableNoChar">
    <w:name w:val="Table_No Char"/>
    <w:basedOn w:val="DefaultParagraphFont"/>
    <w:link w:val="TableNo"/>
    <w:qFormat/>
    <w:rsid w:val="00F73D5B"/>
    <w:rPr>
      <w:sz w:val="24"/>
      <w:lang w:val="es-ES" w:eastAsia="en-US"/>
    </w:rPr>
  </w:style>
  <w:style w:type="character" w:customStyle="1" w:styleId="FiguretitleChar">
    <w:name w:val="Figure_title Char"/>
    <w:basedOn w:val="TabletitleChar"/>
    <w:link w:val="Figuretitle"/>
    <w:rsid w:val="00F73D5B"/>
    <w:rPr>
      <w:rFonts w:ascii="Times New Roman Bold" w:hAnsi="Times New Roman Bold"/>
      <w:b/>
      <w:sz w:val="18"/>
      <w:lang w:val="es-ES" w:eastAsia="en-US"/>
    </w:rPr>
  </w:style>
  <w:style w:type="character" w:customStyle="1" w:styleId="TabletitleChar">
    <w:name w:val="Table_title Char"/>
    <w:basedOn w:val="DefaultParagraphFont"/>
    <w:link w:val="Tabletitle"/>
    <w:rsid w:val="00F73D5B"/>
    <w:rPr>
      <w:b/>
      <w:sz w:val="24"/>
      <w:lang w:val="es-ES" w:eastAsia="en-US"/>
    </w:rPr>
  </w:style>
  <w:style w:type="character" w:customStyle="1" w:styleId="FigureNoChar">
    <w:name w:val="Figure_No Char"/>
    <w:basedOn w:val="DefaultParagraphFont"/>
    <w:link w:val="FigureNo"/>
    <w:rsid w:val="00F73D5B"/>
    <w:rPr>
      <w:caps/>
      <w:sz w:val="18"/>
      <w:lang w:val="es-ES" w:eastAsia="en-US"/>
    </w:rPr>
  </w:style>
  <w:style w:type="character" w:customStyle="1" w:styleId="ArttitleCar">
    <w:name w:val="Art_title Car"/>
    <w:basedOn w:val="DefaultParagraphFont"/>
    <w:link w:val="Arttitle"/>
    <w:locked/>
    <w:rsid w:val="00F73D5B"/>
    <w:rPr>
      <w:b/>
      <w:sz w:val="28"/>
      <w:lang w:val="es-ES" w:eastAsia="en-US"/>
    </w:rPr>
  </w:style>
  <w:style w:type="character" w:customStyle="1" w:styleId="CallChar">
    <w:name w:val="Call Char"/>
    <w:basedOn w:val="DefaultParagraphFont"/>
    <w:link w:val="Call"/>
    <w:locked/>
    <w:rsid w:val="00F73D5B"/>
    <w:rPr>
      <w:i/>
      <w:sz w:val="24"/>
      <w:lang w:val="es-ES" w:eastAsia="en-US"/>
    </w:rPr>
  </w:style>
  <w:style w:type="character" w:customStyle="1" w:styleId="RestitleChar">
    <w:name w:val="Res_title Char"/>
    <w:basedOn w:val="DefaultParagraphFont"/>
    <w:link w:val="Restitle"/>
    <w:locked/>
    <w:rsid w:val="00F73D5B"/>
    <w:rPr>
      <w:b/>
      <w:sz w:val="28"/>
      <w:lang w:val="es-ES" w:eastAsia="en-US"/>
    </w:rPr>
  </w:style>
  <w:style w:type="character" w:customStyle="1" w:styleId="ResNoChar">
    <w:name w:val="Res_No Char"/>
    <w:basedOn w:val="DefaultParagraphFont"/>
    <w:link w:val="ResNo"/>
    <w:locked/>
    <w:rsid w:val="00F73D5B"/>
    <w:rPr>
      <w:sz w:val="28"/>
      <w:lang w:val="es-ES" w:eastAsia="en-US"/>
    </w:rPr>
  </w:style>
  <w:style w:type="paragraph" w:styleId="TOC9">
    <w:name w:val="toc 9"/>
    <w:basedOn w:val="Normal"/>
    <w:next w:val="Normal"/>
    <w:autoRedefine/>
    <w:uiPriority w:val="39"/>
    <w:unhideWhenUsed/>
    <w:rsid w:val="00F73D5B"/>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rsid w:val="00F73D5B"/>
    <w:rPr>
      <w:color w:val="800080" w:themeColor="followedHyperlink"/>
      <w:u w:val="single"/>
    </w:rPr>
  </w:style>
  <w:style w:type="paragraph" w:styleId="BalloonText">
    <w:name w:val="Balloon Text"/>
    <w:basedOn w:val="Normal"/>
    <w:link w:val="BalloonTextChar"/>
    <w:rsid w:val="00F73D5B"/>
    <w:pPr>
      <w:spacing w:before="0"/>
    </w:pPr>
    <w:rPr>
      <w:rFonts w:ascii="Tahoma" w:hAnsi="Tahoma" w:cs="Tahoma"/>
      <w:sz w:val="16"/>
      <w:szCs w:val="16"/>
      <w:lang w:val="fr-FR"/>
    </w:rPr>
  </w:style>
  <w:style w:type="character" w:customStyle="1" w:styleId="BalloonTextChar">
    <w:name w:val="Balloon Text Char"/>
    <w:basedOn w:val="DefaultParagraphFont"/>
    <w:link w:val="BalloonText"/>
    <w:rsid w:val="00F73D5B"/>
    <w:rPr>
      <w:rFonts w:ascii="Tahoma" w:hAnsi="Tahoma" w:cs="Tahoma"/>
      <w:sz w:val="16"/>
      <w:szCs w:val="16"/>
      <w:lang w:val="fr-FR" w:eastAsia="en-US"/>
    </w:rPr>
  </w:style>
  <w:style w:type="paragraph" w:customStyle="1" w:styleId="Reasons">
    <w:name w:val="Reasons"/>
    <w:basedOn w:val="Normal"/>
    <w:link w:val="ReasonsChar"/>
    <w:qFormat/>
    <w:rsid w:val="00F73D5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PlaceholderText">
    <w:name w:val="Placeholder Text"/>
    <w:basedOn w:val="DefaultParagraphFont"/>
    <w:uiPriority w:val="99"/>
    <w:semiHidden/>
    <w:rsid w:val="00F73D5B"/>
    <w:rPr>
      <w:color w:val="808080"/>
    </w:rPr>
  </w:style>
  <w:style w:type="character" w:styleId="CommentReference">
    <w:name w:val="annotation reference"/>
    <w:basedOn w:val="DefaultParagraphFont"/>
    <w:semiHidden/>
    <w:unhideWhenUsed/>
    <w:rsid w:val="00F73D5B"/>
    <w:rPr>
      <w:sz w:val="16"/>
      <w:szCs w:val="16"/>
    </w:rPr>
  </w:style>
  <w:style w:type="paragraph" w:styleId="CommentText">
    <w:name w:val="annotation text"/>
    <w:basedOn w:val="Normal"/>
    <w:link w:val="CommentTextChar"/>
    <w:unhideWhenUsed/>
    <w:rsid w:val="00F73D5B"/>
    <w:rPr>
      <w:sz w:val="20"/>
      <w:lang w:val="fr-FR"/>
    </w:rPr>
  </w:style>
  <w:style w:type="character" w:customStyle="1" w:styleId="CommentTextChar">
    <w:name w:val="Comment Text Char"/>
    <w:basedOn w:val="DefaultParagraphFont"/>
    <w:link w:val="CommentText"/>
    <w:rsid w:val="00F73D5B"/>
    <w:rPr>
      <w:lang w:val="fr-FR" w:eastAsia="en-US"/>
    </w:rPr>
  </w:style>
  <w:style w:type="paragraph" w:styleId="CommentSubject">
    <w:name w:val="annotation subject"/>
    <w:basedOn w:val="CommentText"/>
    <w:next w:val="CommentText"/>
    <w:link w:val="CommentSubjectChar"/>
    <w:semiHidden/>
    <w:unhideWhenUsed/>
    <w:rsid w:val="00F73D5B"/>
    <w:rPr>
      <w:b/>
      <w:bCs/>
    </w:rPr>
  </w:style>
  <w:style w:type="character" w:customStyle="1" w:styleId="CommentSubjectChar">
    <w:name w:val="Comment Subject Char"/>
    <w:basedOn w:val="CommentTextChar"/>
    <w:link w:val="CommentSubject"/>
    <w:semiHidden/>
    <w:rsid w:val="00F73D5B"/>
    <w:rPr>
      <w:b/>
      <w:bCs/>
      <w:lang w:val="fr-FR" w:eastAsia="en-US"/>
    </w:rPr>
  </w:style>
  <w:style w:type="character" w:customStyle="1" w:styleId="HeadingiCar">
    <w:name w:val="Heading_i Car"/>
    <w:link w:val="Headingi"/>
    <w:rsid w:val="00F73D5B"/>
    <w:rPr>
      <w:i/>
      <w:sz w:val="24"/>
      <w:lang w:val="es-ES" w:eastAsia="en-US"/>
    </w:rPr>
  </w:style>
  <w:style w:type="character" w:customStyle="1" w:styleId="enumlev2Char">
    <w:name w:val="enumlev2 Char"/>
    <w:link w:val="enumlev2"/>
    <w:locked/>
    <w:rsid w:val="00F73D5B"/>
    <w:rPr>
      <w:sz w:val="24"/>
      <w:lang w:val="es-ES" w:eastAsia="en-US"/>
    </w:rPr>
  </w:style>
  <w:style w:type="paragraph" w:styleId="PlainText">
    <w:name w:val="Plain Text"/>
    <w:basedOn w:val="Normal"/>
    <w:link w:val="PlainTextChar"/>
    <w:uiPriority w:val="99"/>
    <w:unhideWhenUsed/>
    <w:rsid w:val="00F73D5B"/>
    <w:pPr>
      <w:tabs>
        <w:tab w:val="clear" w:pos="794"/>
        <w:tab w:val="clear" w:pos="1191"/>
        <w:tab w:val="clear" w:pos="1588"/>
        <w:tab w:val="clear" w:pos="1985"/>
      </w:tabs>
      <w:overflowPunct/>
      <w:autoSpaceDE/>
      <w:autoSpaceDN/>
      <w:adjustRightInd/>
      <w:spacing w:before="0"/>
      <w:jc w:val="left"/>
      <w:textAlignment w:val="auto"/>
    </w:pPr>
    <w:rPr>
      <w:rFonts w:ascii="Calibri" w:eastAsia="SimSun" w:hAnsi="Calibri"/>
      <w:sz w:val="22"/>
      <w:szCs w:val="22"/>
      <w:lang w:val="en-US" w:eastAsia="zh-CN"/>
    </w:rPr>
  </w:style>
  <w:style w:type="character" w:customStyle="1" w:styleId="PlainTextChar">
    <w:name w:val="Plain Text Char"/>
    <w:basedOn w:val="DefaultParagraphFont"/>
    <w:link w:val="PlainText"/>
    <w:uiPriority w:val="99"/>
    <w:rsid w:val="00F73D5B"/>
    <w:rPr>
      <w:rFonts w:ascii="Calibri" w:eastAsia="SimSun" w:hAnsi="Calibri"/>
      <w:sz w:val="22"/>
      <w:szCs w:val="22"/>
    </w:rPr>
  </w:style>
  <w:style w:type="character" w:customStyle="1" w:styleId="ArialNarrow12pt0pt">
    <w:name w:val="Основной текст + Arial Narrow;12 pt;Интервал 0 pt"/>
    <w:rsid w:val="00F73D5B"/>
    <w:rPr>
      <w:rFonts w:ascii="Arial Narrow" w:eastAsia="Arial Narrow" w:hAnsi="Arial Narrow" w:cs="Arial Narrow"/>
      <w:color w:val="000000"/>
      <w:spacing w:val="5"/>
      <w:w w:val="100"/>
      <w:position w:val="0"/>
      <w:sz w:val="24"/>
      <w:szCs w:val="24"/>
      <w:shd w:val="clear" w:color="auto" w:fill="FFFFFF"/>
      <w:lang w:val="es-ES" w:eastAsia="ru-RU" w:bidi="ru-RU"/>
    </w:rPr>
  </w:style>
  <w:style w:type="paragraph" w:styleId="ListParagraph">
    <w:name w:val="List Paragraph"/>
    <w:basedOn w:val="Normal"/>
    <w:link w:val="ListParagraphChar"/>
    <w:uiPriority w:val="34"/>
    <w:qFormat/>
    <w:rsid w:val="00F73D5B"/>
    <w:pPr>
      <w:ind w:left="720"/>
      <w:contextualSpacing/>
    </w:pPr>
    <w:rPr>
      <w:lang w:val="fr-FR"/>
    </w:rPr>
  </w:style>
  <w:style w:type="paragraph" w:customStyle="1" w:styleId="Title1">
    <w:name w:val="Title 1"/>
    <w:basedOn w:val="Normal"/>
    <w:next w:val="Normal"/>
    <w:link w:val="Title1Char"/>
    <w:rsid w:val="00F73D5B"/>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caps/>
      <w:sz w:val="28"/>
    </w:rPr>
  </w:style>
  <w:style w:type="character" w:customStyle="1" w:styleId="Title1Char">
    <w:name w:val="Title 1 Char"/>
    <w:link w:val="Title1"/>
    <w:locked/>
    <w:rsid w:val="00F73D5B"/>
    <w:rPr>
      <w:caps/>
      <w:sz w:val="28"/>
      <w:lang w:val="es-ES" w:eastAsia="en-US"/>
    </w:rPr>
  </w:style>
  <w:style w:type="character" w:customStyle="1" w:styleId="Tabletitle0">
    <w:name w:val="Table_title Знак"/>
    <w:locked/>
    <w:rsid w:val="00F73D5B"/>
    <w:rPr>
      <w:b/>
      <w:sz w:val="24"/>
      <w:lang w:val="fr-FR" w:eastAsia="en-US"/>
    </w:rPr>
  </w:style>
  <w:style w:type="character" w:customStyle="1" w:styleId="RecNoChar">
    <w:name w:val="Rec_No Char"/>
    <w:link w:val="RecNo"/>
    <w:locked/>
    <w:rsid w:val="00F73D5B"/>
    <w:rPr>
      <w:sz w:val="28"/>
      <w:lang w:val="es-ES" w:eastAsia="en-US"/>
    </w:rPr>
  </w:style>
  <w:style w:type="character" w:customStyle="1" w:styleId="RepNoChar">
    <w:name w:val="Rep_No Char"/>
    <w:link w:val="RepNo"/>
    <w:locked/>
    <w:rsid w:val="00F73D5B"/>
    <w:rPr>
      <w:sz w:val="28"/>
      <w:lang w:val="es-ES" w:eastAsia="en-US"/>
    </w:rPr>
  </w:style>
  <w:style w:type="paragraph" w:customStyle="1" w:styleId="Artheading">
    <w:name w:val="Art_heading"/>
    <w:basedOn w:val="Normal"/>
    <w:next w:val="Normal"/>
    <w:rsid w:val="00F73D5B"/>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rsid w:val="00F73D5B"/>
    <w:rPr>
      <w:vertAlign w:val="superscript"/>
    </w:rPr>
  </w:style>
  <w:style w:type="paragraph" w:customStyle="1" w:styleId="Figurewithouttitle">
    <w:name w:val="Figure_without_title"/>
    <w:basedOn w:val="FigureNo"/>
    <w:next w:val="Normal"/>
    <w:rsid w:val="00F73D5B"/>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F73D5B"/>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F73D5B"/>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F73D5B"/>
    <w:pPr>
      <w:tabs>
        <w:tab w:val="left" w:pos="567"/>
        <w:tab w:val="left" w:pos="1134"/>
        <w:tab w:val="left" w:pos="1701"/>
        <w:tab w:val="left" w:pos="2268"/>
        <w:tab w:val="left" w:pos="2835"/>
        <w:tab w:val="left" w:pos="5954"/>
        <w:tab w:val="right" w:pos="9639"/>
      </w:tabs>
      <w:jc w:val="left"/>
    </w:pPr>
    <w:rPr>
      <w:noProof w:val="0"/>
      <w:sz w:val="16"/>
      <w:lang w:val="en-GB"/>
    </w:rPr>
  </w:style>
  <w:style w:type="paragraph" w:customStyle="1" w:styleId="Tableref">
    <w:name w:val="Table_ref"/>
    <w:basedOn w:val="Normal"/>
    <w:next w:val="Normal"/>
    <w:rsid w:val="00F73D5B"/>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2">
    <w:name w:val="Title 2"/>
    <w:basedOn w:val="Source"/>
    <w:next w:val="Normal"/>
    <w:rsid w:val="00F73D5B"/>
    <w:pPr>
      <w:overflowPunct/>
      <w:autoSpaceDE/>
      <w:autoSpaceDN/>
      <w:adjustRightInd/>
      <w:spacing w:before="480"/>
      <w:textAlignment w:val="auto"/>
    </w:pPr>
    <w:rPr>
      <w:b w:val="0"/>
      <w:caps/>
    </w:rPr>
  </w:style>
  <w:style w:type="paragraph" w:customStyle="1" w:styleId="Title3">
    <w:name w:val="Title 3"/>
    <w:basedOn w:val="Title2"/>
    <w:next w:val="Normal"/>
    <w:rsid w:val="00F73D5B"/>
    <w:pPr>
      <w:spacing w:before="240"/>
    </w:pPr>
    <w:rPr>
      <w:caps w:val="0"/>
    </w:rPr>
  </w:style>
  <w:style w:type="paragraph" w:customStyle="1" w:styleId="Title4">
    <w:name w:val="Title 4"/>
    <w:basedOn w:val="Title3"/>
    <w:next w:val="Heading1"/>
    <w:rsid w:val="00F73D5B"/>
    <w:rPr>
      <w:b/>
    </w:rPr>
  </w:style>
  <w:style w:type="character" w:customStyle="1" w:styleId="Appdef">
    <w:name w:val="App_def"/>
    <w:rsid w:val="00F73D5B"/>
    <w:rPr>
      <w:rFonts w:ascii="Times New Roman" w:hAnsi="Times New Roman"/>
      <w:b/>
    </w:rPr>
  </w:style>
  <w:style w:type="character" w:customStyle="1" w:styleId="Appref">
    <w:name w:val="App_ref"/>
    <w:basedOn w:val="DefaultParagraphFont"/>
    <w:rsid w:val="00F73D5B"/>
  </w:style>
  <w:style w:type="character" w:customStyle="1" w:styleId="Artdef">
    <w:name w:val="Art_def"/>
    <w:rsid w:val="00F73D5B"/>
    <w:rPr>
      <w:rFonts w:ascii="Times New Roman" w:hAnsi="Times New Roman"/>
      <w:b/>
    </w:rPr>
  </w:style>
  <w:style w:type="character" w:customStyle="1" w:styleId="Artref">
    <w:name w:val="Art_ref"/>
    <w:basedOn w:val="DefaultParagraphFont"/>
    <w:rsid w:val="00F73D5B"/>
  </w:style>
  <w:style w:type="character" w:customStyle="1" w:styleId="Recdef">
    <w:name w:val="Rec_def"/>
    <w:rsid w:val="00F73D5B"/>
    <w:rPr>
      <w:b/>
    </w:rPr>
  </w:style>
  <w:style w:type="character" w:customStyle="1" w:styleId="Resdef">
    <w:name w:val="Res_def"/>
    <w:rsid w:val="00F73D5B"/>
    <w:rPr>
      <w:rFonts w:ascii="Times New Roman" w:hAnsi="Times New Roman"/>
      <w:b/>
    </w:rPr>
  </w:style>
  <w:style w:type="character" w:customStyle="1" w:styleId="Tablefreq">
    <w:name w:val="Table_freq"/>
    <w:rsid w:val="00F73D5B"/>
    <w:rPr>
      <w:b/>
      <w:color w:val="auto"/>
      <w:sz w:val="20"/>
    </w:rPr>
  </w:style>
  <w:style w:type="paragraph" w:customStyle="1" w:styleId="Formal">
    <w:name w:val="Formal"/>
    <w:basedOn w:val="ASN1"/>
    <w:rsid w:val="00F73D5B"/>
    <w:pPr>
      <w:tabs>
        <w:tab w:val="left" w:pos="1871"/>
      </w:tabs>
      <w:jc w:val="left"/>
    </w:pPr>
    <w:rPr>
      <w:rFonts w:ascii="Times New Roman Bold" w:hAnsi="Times New Roman Bold"/>
      <w:b w:val="0"/>
      <w:lang w:val="en-GB"/>
    </w:rPr>
  </w:style>
  <w:style w:type="paragraph" w:customStyle="1" w:styleId="Section1">
    <w:name w:val="Section_1"/>
    <w:basedOn w:val="Normal"/>
    <w:link w:val="Section1Char"/>
    <w:rsid w:val="00F73D5B"/>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link w:val="Section2Char"/>
    <w:rsid w:val="00F73D5B"/>
    <w:rPr>
      <w:b w:val="0"/>
      <w:i/>
    </w:rPr>
  </w:style>
  <w:style w:type="paragraph" w:customStyle="1" w:styleId="AnnexNo">
    <w:name w:val="Annex_No"/>
    <w:basedOn w:val="Normal"/>
    <w:next w:val="Normal"/>
    <w:link w:val="AnnexNoChar"/>
    <w:rsid w:val="00F73D5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F73D5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link w:val="AppendixNoCar"/>
    <w:rsid w:val="00F73D5B"/>
  </w:style>
  <w:style w:type="paragraph" w:customStyle="1" w:styleId="Appendixtitle">
    <w:name w:val="Appendix_title"/>
    <w:basedOn w:val="Annextitle"/>
    <w:next w:val="Normal"/>
    <w:link w:val="AppendixtitleChar"/>
    <w:rsid w:val="00F73D5B"/>
  </w:style>
  <w:style w:type="paragraph" w:customStyle="1" w:styleId="Border">
    <w:name w:val="Border"/>
    <w:basedOn w:val="Normal"/>
    <w:rsid w:val="00F73D5B"/>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F73D5B"/>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F73D5B"/>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F73D5B"/>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F73D5B"/>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F73D5B"/>
  </w:style>
  <w:style w:type="paragraph" w:customStyle="1" w:styleId="Normalaftertitle0">
    <w:name w:val="Normal after title"/>
    <w:basedOn w:val="Normal"/>
    <w:next w:val="Normal"/>
    <w:link w:val="NormalaftertitleChar0"/>
    <w:rsid w:val="00F73D5B"/>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rsid w:val="00F73D5B"/>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link w:val="Section3Char"/>
    <w:rsid w:val="00F73D5B"/>
    <w:rPr>
      <w:b w:val="0"/>
    </w:rPr>
  </w:style>
  <w:style w:type="paragraph" w:customStyle="1" w:styleId="TableTextS5">
    <w:name w:val="Table_TextS5"/>
    <w:basedOn w:val="Normal"/>
    <w:link w:val="TableTextS5Char"/>
    <w:rsid w:val="00F73D5B"/>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F73D5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F73D5B"/>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F73D5B"/>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F73D5B"/>
  </w:style>
  <w:style w:type="paragraph" w:customStyle="1" w:styleId="Committee">
    <w:name w:val="Committee"/>
    <w:basedOn w:val="Normal"/>
    <w:qFormat/>
    <w:rsid w:val="00F73D5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hAnsi="Calibri" w:cs="Calibri"/>
      <w:b/>
      <w:szCs w:val="24"/>
      <w:lang w:val="en-GB"/>
    </w:rPr>
  </w:style>
  <w:style w:type="paragraph" w:customStyle="1" w:styleId="Normalend">
    <w:name w:val="Normal_end"/>
    <w:basedOn w:val="Normal"/>
    <w:next w:val="Normal"/>
    <w:qFormat/>
    <w:rsid w:val="00F73D5B"/>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F73D5B"/>
  </w:style>
  <w:style w:type="paragraph" w:customStyle="1" w:styleId="Subsection1">
    <w:name w:val="Subsection_1"/>
    <w:basedOn w:val="Section1"/>
    <w:next w:val="Normalaftertitle0"/>
    <w:qFormat/>
    <w:rsid w:val="00F73D5B"/>
  </w:style>
  <w:style w:type="paragraph" w:customStyle="1" w:styleId="Volumetitle">
    <w:name w:val="Volume_title"/>
    <w:basedOn w:val="Normal"/>
    <w:qFormat/>
    <w:rsid w:val="00F73D5B"/>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FootnoteReference10pt">
    <w:name w:val="Footnote Reference + 10 pt"/>
    <w:basedOn w:val="FootnoteText"/>
    <w:rsid w:val="00F73D5B"/>
    <w:pPr>
      <w:ind w:left="0" w:firstLine="0"/>
      <w:jc w:val="left"/>
    </w:pPr>
    <w:rPr>
      <w:sz w:val="20"/>
      <w:lang w:val="fr-FR"/>
    </w:rPr>
  </w:style>
  <w:style w:type="paragraph" w:customStyle="1" w:styleId="FootnoteTextComplex12pt">
    <w:name w:val="Footnote Text + (Complex) 12 pt"/>
    <w:basedOn w:val="FootnoteText"/>
    <w:rsid w:val="00F73D5B"/>
    <w:pPr>
      <w:ind w:left="0" w:firstLine="0"/>
      <w:jc w:val="left"/>
    </w:pPr>
    <w:rPr>
      <w:sz w:val="24"/>
      <w:szCs w:val="24"/>
      <w:lang w:val="en-GB"/>
    </w:rPr>
  </w:style>
  <w:style w:type="paragraph" w:customStyle="1" w:styleId="FooterQP">
    <w:name w:val="Footer_QP"/>
    <w:basedOn w:val="Normal"/>
    <w:rsid w:val="00F73D5B"/>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lang w:val="en-GB"/>
    </w:rPr>
  </w:style>
  <w:style w:type="paragraph" w:customStyle="1" w:styleId="RecNoBR">
    <w:name w:val="Rec_No_BR"/>
    <w:basedOn w:val="Normal"/>
    <w:next w:val="Rectitle"/>
    <w:rsid w:val="00F73D5B"/>
    <w:pPr>
      <w:keepNext/>
      <w:keepLines/>
      <w:tabs>
        <w:tab w:val="clear" w:pos="794"/>
        <w:tab w:val="clear" w:pos="1191"/>
        <w:tab w:val="clear" w:pos="1588"/>
        <w:tab w:val="clear" w:pos="1985"/>
        <w:tab w:val="left" w:pos="1134"/>
        <w:tab w:val="left" w:pos="1871"/>
        <w:tab w:val="left" w:pos="2268"/>
      </w:tabs>
      <w:spacing w:before="480"/>
      <w:jc w:val="center"/>
    </w:pPr>
    <w:rPr>
      <w:caps/>
      <w:sz w:val="26"/>
      <w:lang w:val="ru-RU"/>
    </w:rPr>
  </w:style>
  <w:style w:type="paragraph" w:customStyle="1" w:styleId="QuestionNoBR">
    <w:name w:val="Question_No_BR"/>
    <w:basedOn w:val="RecNoBR"/>
    <w:next w:val="Questiontitle"/>
    <w:rsid w:val="00F73D5B"/>
  </w:style>
  <w:style w:type="paragraph" w:customStyle="1" w:styleId="RepNoBR">
    <w:name w:val="Rep_No_BR"/>
    <w:basedOn w:val="RecNoBR"/>
    <w:next w:val="Reptitle"/>
    <w:rsid w:val="00F73D5B"/>
  </w:style>
  <w:style w:type="paragraph" w:customStyle="1" w:styleId="ResNoBR">
    <w:name w:val="Res_No_BR"/>
    <w:basedOn w:val="RecNoBR"/>
    <w:next w:val="Restitle"/>
    <w:rsid w:val="00F73D5B"/>
  </w:style>
  <w:style w:type="paragraph" w:customStyle="1" w:styleId="TabletitleBR">
    <w:name w:val="Table_title_BR"/>
    <w:basedOn w:val="Normal"/>
    <w:next w:val="Tablehead"/>
    <w:rsid w:val="00F73D5B"/>
    <w:pPr>
      <w:keepNext/>
      <w:keepLines/>
      <w:tabs>
        <w:tab w:val="clear" w:pos="794"/>
        <w:tab w:val="clear" w:pos="1191"/>
        <w:tab w:val="clear" w:pos="1588"/>
        <w:tab w:val="clear" w:pos="1985"/>
        <w:tab w:val="left" w:pos="1134"/>
        <w:tab w:val="left" w:pos="1871"/>
        <w:tab w:val="left" w:pos="2268"/>
      </w:tabs>
      <w:spacing w:before="0" w:after="120"/>
      <w:jc w:val="center"/>
    </w:pPr>
    <w:rPr>
      <w:b/>
      <w:sz w:val="22"/>
      <w:lang w:val="ru-RU"/>
    </w:rPr>
  </w:style>
  <w:style w:type="paragraph" w:customStyle="1" w:styleId="TableNoBR">
    <w:name w:val="Table_No_BR"/>
    <w:basedOn w:val="Normal"/>
    <w:next w:val="TabletitleBR"/>
    <w:rsid w:val="00F73D5B"/>
    <w:pPr>
      <w:keepNext/>
      <w:tabs>
        <w:tab w:val="clear" w:pos="794"/>
        <w:tab w:val="clear" w:pos="1191"/>
        <w:tab w:val="clear" w:pos="1588"/>
        <w:tab w:val="clear" w:pos="1985"/>
        <w:tab w:val="left" w:pos="1134"/>
        <w:tab w:val="left" w:pos="1871"/>
        <w:tab w:val="left" w:pos="2268"/>
      </w:tabs>
      <w:spacing w:before="560" w:after="120"/>
      <w:jc w:val="center"/>
    </w:pPr>
    <w:rPr>
      <w:caps/>
      <w:sz w:val="22"/>
      <w:lang w:val="ru-RU"/>
    </w:rPr>
  </w:style>
  <w:style w:type="paragraph" w:customStyle="1" w:styleId="FiguretitleBR">
    <w:name w:val="Figure_title_BR"/>
    <w:basedOn w:val="TabletitleBR"/>
    <w:next w:val="Figurewithouttitle"/>
    <w:rsid w:val="00F73D5B"/>
    <w:pPr>
      <w:keepNext w:val="0"/>
      <w:spacing w:after="480"/>
    </w:pPr>
  </w:style>
  <w:style w:type="paragraph" w:customStyle="1" w:styleId="FigureNoBR">
    <w:name w:val="Figure_No_BR"/>
    <w:basedOn w:val="Normal"/>
    <w:next w:val="FiguretitleBR"/>
    <w:rsid w:val="00F73D5B"/>
    <w:pPr>
      <w:keepNext/>
      <w:keepLines/>
      <w:tabs>
        <w:tab w:val="clear" w:pos="794"/>
        <w:tab w:val="clear" w:pos="1191"/>
        <w:tab w:val="clear" w:pos="1588"/>
        <w:tab w:val="clear" w:pos="1985"/>
        <w:tab w:val="left" w:pos="1134"/>
        <w:tab w:val="left" w:pos="1871"/>
        <w:tab w:val="left" w:pos="2268"/>
      </w:tabs>
      <w:spacing w:before="480" w:after="120"/>
      <w:jc w:val="center"/>
    </w:pPr>
    <w:rPr>
      <w:caps/>
      <w:sz w:val="22"/>
      <w:lang w:val="ru-RU"/>
    </w:rPr>
  </w:style>
  <w:style w:type="character" w:customStyle="1" w:styleId="SourceChar">
    <w:name w:val="Source Char"/>
    <w:link w:val="Source"/>
    <w:locked/>
    <w:rsid w:val="00F73D5B"/>
    <w:rPr>
      <w:b/>
      <w:sz w:val="28"/>
      <w:lang w:val="en-GB" w:eastAsia="en-US"/>
    </w:rPr>
  </w:style>
  <w:style w:type="character" w:customStyle="1" w:styleId="AnnexNoChar">
    <w:name w:val="Annex_No Char"/>
    <w:link w:val="AnnexNo"/>
    <w:locked/>
    <w:rsid w:val="00F73D5B"/>
    <w:rPr>
      <w:caps/>
      <w:sz w:val="28"/>
      <w:lang w:val="en-GB" w:eastAsia="en-US"/>
    </w:rPr>
  </w:style>
  <w:style w:type="character" w:customStyle="1" w:styleId="AnnextitleChar1">
    <w:name w:val="Annex_title Char1"/>
    <w:link w:val="Annextitle"/>
    <w:locked/>
    <w:rsid w:val="00F73D5B"/>
    <w:rPr>
      <w:rFonts w:ascii="Times New Roman Bold" w:hAnsi="Times New Roman Bold"/>
      <w:b/>
      <w:sz w:val="28"/>
      <w:lang w:val="en-GB" w:eastAsia="en-US"/>
    </w:rPr>
  </w:style>
  <w:style w:type="character" w:customStyle="1" w:styleId="ArtNoChar">
    <w:name w:val="Art_No Char"/>
    <w:link w:val="ArtNo"/>
    <w:locked/>
    <w:rsid w:val="00F73D5B"/>
    <w:rPr>
      <w:sz w:val="28"/>
      <w:lang w:val="es-ES" w:eastAsia="en-US"/>
    </w:rPr>
  </w:style>
  <w:style w:type="character" w:customStyle="1" w:styleId="AppendixNoCar">
    <w:name w:val="Appendix_No Car"/>
    <w:link w:val="AppendixNo"/>
    <w:locked/>
    <w:rsid w:val="00F73D5B"/>
    <w:rPr>
      <w:caps/>
      <w:sz w:val="28"/>
      <w:lang w:val="en-GB" w:eastAsia="en-US"/>
    </w:rPr>
  </w:style>
  <w:style w:type="character" w:customStyle="1" w:styleId="AppendixtitleChar">
    <w:name w:val="Appendix_title Char"/>
    <w:link w:val="Appendixtitle"/>
    <w:locked/>
    <w:rsid w:val="00F73D5B"/>
    <w:rPr>
      <w:rFonts w:ascii="Times New Roman Bold" w:hAnsi="Times New Roman Bold"/>
      <w:b/>
      <w:sz w:val="28"/>
      <w:lang w:val="en-GB" w:eastAsia="en-US"/>
    </w:rPr>
  </w:style>
  <w:style w:type="paragraph" w:styleId="BodyText">
    <w:name w:val="Body Text"/>
    <w:basedOn w:val="Normal"/>
    <w:link w:val="BodyTextChar"/>
    <w:rsid w:val="00F73D5B"/>
    <w:pPr>
      <w:framePr w:hSpace="181" w:wrap="around" w:vAnchor="page" w:hAnchor="margin" w:x="1" w:y="852"/>
      <w:tabs>
        <w:tab w:val="clear" w:pos="794"/>
        <w:tab w:val="clear" w:pos="1191"/>
        <w:tab w:val="clear" w:pos="1588"/>
        <w:tab w:val="clear" w:pos="1985"/>
        <w:tab w:val="left" w:pos="1134"/>
        <w:tab w:val="left" w:pos="1871"/>
        <w:tab w:val="left" w:pos="2268"/>
      </w:tabs>
      <w:jc w:val="center"/>
    </w:pPr>
    <w:rPr>
      <w:b/>
      <w:smallCaps/>
      <w:sz w:val="22"/>
      <w:lang w:val="ru-RU"/>
    </w:rPr>
  </w:style>
  <w:style w:type="character" w:customStyle="1" w:styleId="BodyTextChar">
    <w:name w:val="Body Text Char"/>
    <w:basedOn w:val="DefaultParagraphFont"/>
    <w:link w:val="BodyText"/>
    <w:rsid w:val="00F73D5B"/>
    <w:rPr>
      <w:b/>
      <w:smallCaps/>
      <w:sz w:val="22"/>
      <w:lang w:val="ru-RU" w:eastAsia="en-US"/>
    </w:rPr>
  </w:style>
  <w:style w:type="paragraph" w:customStyle="1" w:styleId="Booktitle">
    <w:name w:val="Book_title"/>
    <w:basedOn w:val="Normal"/>
    <w:qFormat/>
    <w:rsid w:val="00F73D5B"/>
    <w:pPr>
      <w:tabs>
        <w:tab w:val="clear" w:pos="794"/>
        <w:tab w:val="clear" w:pos="1191"/>
        <w:tab w:val="clear" w:pos="1588"/>
        <w:tab w:val="clear" w:pos="1985"/>
        <w:tab w:val="left" w:pos="1134"/>
        <w:tab w:val="left" w:pos="1871"/>
        <w:tab w:val="left" w:pos="2268"/>
      </w:tabs>
      <w:jc w:val="center"/>
    </w:pPr>
    <w:rPr>
      <w:b/>
      <w:bCs/>
      <w:sz w:val="26"/>
      <w:szCs w:val="28"/>
      <w:lang w:val="en-GB"/>
    </w:rPr>
  </w:style>
  <w:style w:type="character" w:customStyle="1" w:styleId="ChaptitleChar">
    <w:name w:val="Chap_title Char"/>
    <w:link w:val="Chaptitle"/>
    <w:locked/>
    <w:rsid w:val="008F628B"/>
    <w:rPr>
      <w:b/>
      <w:sz w:val="28"/>
      <w:lang w:val="es-ES" w:eastAsia="en-US"/>
    </w:rPr>
  </w:style>
  <w:style w:type="paragraph" w:customStyle="1" w:styleId="MEP">
    <w:name w:val="MEP"/>
    <w:basedOn w:val="Normal"/>
    <w:rsid w:val="00F73D5B"/>
    <w:pPr>
      <w:tabs>
        <w:tab w:val="clear" w:pos="794"/>
        <w:tab w:val="clear" w:pos="1191"/>
        <w:tab w:val="clear" w:pos="1588"/>
        <w:tab w:val="clear" w:pos="1985"/>
        <w:tab w:val="left" w:pos="1134"/>
        <w:tab w:val="left" w:pos="1871"/>
        <w:tab w:val="left" w:pos="2268"/>
      </w:tabs>
      <w:spacing w:before="240"/>
      <w:jc w:val="left"/>
    </w:pPr>
    <w:rPr>
      <w:sz w:val="22"/>
      <w:lang w:val="fr-FR"/>
    </w:rPr>
  </w:style>
  <w:style w:type="character" w:customStyle="1" w:styleId="NormalaftertitleChar0">
    <w:name w:val="Normal after title Char"/>
    <w:link w:val="Normalaftertitle0"/>
    <w:locked/>
    <w:rsid w:val="00F73D5B"/>
    <w:rPr>
      <w:sz w:val="24"/>
      <w:lang w:val="en-GB" w:eastAsia="en-US"/>
    </w:rPr>
  </w:style>
  <w:style w:type="character" w:customStyle="1" w:styleId="Section1Char">
    <w:name w:val="Section_1 Char"/>
    <w:link w:val="Section1"/>
    <w:locked/>
    <w:rsid w:val="00F73D5B"/>
    <w:rPr>
      <w:b/>
      <w:sz w:val="24"/>
      <w:lang w:val="en-GB" w:eastAsia="en-US"/>
    </w:rPr>
  </w:style>
  <w:style w:type="character" w:customStyle="1" w:styleId="ProposalChar">
    <w:name w:val="Proposal Char"/>
    <w:link w:val="Proposal"/>
    <w:locked/>
    <w:rsid w:val="00F73D5B"/>
    <w:rPr>
      <w:rFonts w:hAnsi="Times New Roman Bold"/>
      <w:b/>
      <w:sz w:val="24"/>
      <w:lang w:val="en-GB" w:eastAsia="en-US"/>
    </w:rPr>
  </w:style>
  <w:style w:type="character" w:customStyle="1" w:styleId="ReasonsChar">
    <w:name w:val="Reasons Char"/>
    <w:link w:val="Reasons"/>
    <w:locked/>
    <w:rsid w:val="00F73D5B"/>
    <w:rPr>
      <w:sz w:val="24"/>
      <w:lang w:eastAsia="en-US"/>
    </w:rPr>
  </w:style>
  <w:style w:type="character" w:customStyle="1" w:styleId="Section2Char">
    <w:name w:val="Section_2 Char"/>
    <w:link w:val="Section2"/>
    <w:locked/>
    <w:rsid w:val="00F73D5B"/>
    <w:rPr>
      <w:i/>
      <w:sz w:val="24"/>
      <w:lang w:val="en-GB" w:eastAsia="en-US"/>
    </w:rPr>
  </w:style>
  <w:style w:type="character" w:customStyle="1" w:styleId="Section3Char">
    <w:name w:val="Section_3 Char"/>
    <w:link w:val="Section3"/>
    <w:locked/>
    <w:rsid w:val="00F73D5B"/>
    <w:rPr>
      <w:sz w:val="24"/>
      <w:lang w:val="en-GB" w:eastAsia="en-US"/>
    </w:rPr>
  </w:style>
  <w:style w:type="character" w:customStyle="1" w:styleId="TableTextS5Char">
    <w:name w:val="Table_TextS5 Char"/>
    <w:link w:val="TableTextS5"/>
    <w:locked/>
    <w:rsid w:val="00F73D5B"/>
    <w:rPr>
      <w:lang w:val="en-GB" w:eastAsia="en-US"/>
    </w:rPr>
  </w:style>
  <w:style w:type="paragraph" w:customStyle="1" w:styleId="TableNote">
    <w:name w:val="TableNote"/>
    <w:basedOn w:val="Tabletext"/>
    <w:rsid w:val="00F73D5B"/>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Pr>
      <w:sz w:val="20"/>
      <w:lang w:val="fr-FR"/>
    </w:rPr>
  </w:style>
  <w:style w:type="character" w:customStyle="1" w:styleId="hps">
    <w:name w:val="hps"/>
    <w:basedOn w:val="DefaultParagraphFont"/>
    <w:rsid w:val="00F73D5B"/>
  </w:style>
  <w:style w:type="character" w:customStyle="1" w:styleId="shorttext">
    <w:name w:val="short_text"/>
    <w:basedOn w:val="DefaultParagraphFont"/>
    <w:rsid w:val="00F73D5B"/>
  </w:style>
  <w:style w:type="character" w:customStyle="1" w:styleId="ListParagraphChar">
    <w:name w:val="List Paragraph Char"/>
    <w:link w:val="ListParagraph"/>
    <w:uiPriority w:val="34"/>
    <w:rsid w:val="00F73D5B"/>
    <w:rPr>
      <w:sz w:val="24"/>
      <w:lang w:val="fr-FR" w:eastAsia="en-US"/>
    </w:rPr>
  </w:style>
  <w:style w:type="character" w:customStyle="1" w:styleId="a">
    <w:name w:val="Гипертекстовая ссылка"/>
    <w:uiPriority w:val="99"/>
    <w:rsid w:val="00F73D5B"/>
    <w:rPr>
      <w:color w:val="106BBE"/>
    </w:rPr>
  </w:style>
  <w:style w:type="paragraph" w:customStyle="1" w:styleId="a0">
    <w:name w:val="Комментарий"/>
    <w:basedOn w:val="Normal"/>
    <w:next w:val="Normal"/>
    <w:uiPriority w:val="99"/>
    <w:rsid w:val="00F73D5B"/>
    <w:pPr>
      <w:widowControl w:val="0"/>
      <w:tabs>
        <w:tab w:val="clear" w:pos="794"/>
        <w:tab w:val="clear" w:pos="1191"/>
        <w:tab w:val="clear" w:pos="1588"/>
        <w:tab w:val="clear" w:pos="1985"/>
      </w:tabs>
      <w:overflowPunct/>
      <w:spacing w:before="75"/>
      <w:ind w:left="170"/>
      <w:jc w:val="left"/>
      <w:textAlignment w:val="auto"/>
    </w:pPr>
    <w:rPr>
      <w:rFonts w:ascii="Arial" w:eastAsia="SimSun" w:hAnsi="Arial" w:cs="Arial"/>
      <w:color w:val="353842"/>
      <w:szCs w:val="24"/>
      <w:shd w:val="clear" w:color="auto" w:fill="F0F0F0"/>
      <w:lang w:val="ru-RU" w:eastAsia="ru-RU"/>
    </w:rPr>
  </w:style>
  <w:style w:type="paragraph" w:customStyle="1" w:styleId="a1">
    <w:name w:val="Информация об изменениях документа"/>
    <w:basedOn w:val="a0"/>
    <w:next w:val="Normal"/>
    <w:uiPriority w:val="99"/>
    <w:rsid w:val="00F73D5B"/>
    <w:rPr>
      <w:i/>
      <w:iCs/>
    </w:rPr>
  </w:style>
  <w:style w:type="character" w:customStyle="1" w:styleId="a2">
    <w:name w:val="Основной текст_"/>
    <w:link w:val="1"/>
    <w:rsid w:val="00F73D5B"/>
    <w:rPr>
      <w:shd w:val="clear" w:color="auto" w:fill="FFFFFF"/>
    </w:rPr>
  </w:style>
  <w:style w:type="character" w:customStyle="1" w:styleId="ArialNarrow12pt0pt0">
    <w:name w:val="Основной текст + Arial Narrow;12 pt;Полужирный;Интервал 0 pt"/>
    <w:rsid w:val="00F73D5B"/>
    <w:rPr>
      <w:rFonts w:ascii="Arial Narrow" w:eastAsia="Arial Narrow" w:hAnsi="Arial Narrow" w:cs="Arial Narrow"/>
      <w:b/>
      <w:bCs/>
      <w:color w:val="000000"/>
      <w:spacing w:val="8"/>
      <w:w w:val="100"/>
      <w:position w:val="0"/>
      <w:sz w:val="24"/>
      <w:szCs w:val="24"/>
      <w:shd w:val="clear" w:color="auto" w:fill="FFFFFF"/>
      <w:lang w:val="ru-RU" w:eastAsia="ru-RU" w:bidi="ru-RU"/>
    </w:rPr>
  </w:style>
  <w:style w:type="paragraph" w:customStyle="1" w:styleId="1">
    <w:name w:val="Основной текст1"/>
    <w:basedOn w:val="Normal"/>
    <w:link w:val="a2"/>
    <w:rsid w:val="00F73D5B"/>
    <w:pPr>
      <w:widowControl w:val="0"/>
      <w:shd w:val="clear" w:color="auto" w:fill="FFFFFF"/>
      <w:tabs>
        <w:tab w:val="clear" w:pos="794"/>
        <w:tab w:val="clear" w:pos="1191"/>
        <w:tab w:val="clear" w:pos="1588"/>
        <w:tab w:val="clear" w:pos="1985"/>
      </w:tabs>
      <w:overflowPunct/>
      <w:autoSpaceDE/>
      <w:autoSpaceDN/>
      <w:adjustRightInd/>
      <w:spacing w:before="0"/>
      <w:jc w:val="left"/>
      <w:textAlignment w:val="auto"/>
    </w:pPr>
    <w:rPr>
      <w:sz w:val="20"/>
      <w:lang w:val="en-US" w:eastAsia="zh-CN"/>
    </w:rPr>
  </w:style>
  <w:style w:type="paragraph" w:customStyle="1" w:styleId="NormalLeft">
    <w:name w:val="Normal + Left"/>
    <w:aliases w:val="Before:  0 pt"/>
    <w:basedOn w:val="Normal"/>
    <w:rsid w:val="00F73D5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InternetLink">
    <w:name w:val="Internet Link"/>
    <w:basedOn w:val="DefaultParagraphFont"/>
    <w:rsid w:val="00F73D5B"/>
    <w:rPr>
      <w:color w:val="0000FF"/>
      <w:u w:val="single"/>
    </w:rPr>
  </w:style>
  <w:style w:type="character" w:customStyle="1" w:styleId="EquationlegendChar">
    <w:name w:val="Equation_legend Char"/>
    <w:link w:val="Equationlegend"/>
    <w:qFormat/>
    <w:locked/>
    <w:rsid w:val="00F73D5B"/>
    <w:rPr>
      <w:sz w:val="24"/>
      <w:lang w:eastAsia="en-US"/>
    </w:rPr>
  </w:style>
  <w:style w:type="character" w:customStyle="1" w:styleId="FootnoteAnchor">
    <w:name w:val="Footnote Anchor"/>
    <w:rsid w:val="00F73D5B"/>
    <w:rPr>
      <w:vertAlign w:val="superscript"/>
    </w:rPr>
  </w:style>
  <w:style w:type="paragraph" w:customStyle="1" w:styleId="toc20">
    <w:name w:val="toc2"/>
    <w:basedOn w:val="Normal"/>
    <w:rsid w:val="00F73D5B"/>
    <w:pPr>
      <w:spacing w:before="160"/>
    </w:pPr>
    <w:rPr>
      <w:i/>
      <w:sz w:val="20"/>
      <w:lang w:val="es-ES_tradnl"/>
    </w:rPr>
  </w:style>
  <w:style w:type="character" w:customStyle="1" w:styleId="rynqvb">
    <w:name w:val="rynqvb"/>
    <w:basedOn w:val="DefaultParagraphFont"/>
    <w:rsid w:val="00F73D5B"/>
  </w:style>
  <w:style w:type="paragraph" w:styleId="TOCHeading">
    <w:name w:val="TOC Heading"/>
    <w:basedOn w:val="Heading1"/>
    <w:next w:val="Normal"/>
    <w:uiPriority w:val="39"/>
    <w:unhideWhenUsed/>
    <w:qFormat/>
    <w:rsid w:val="00350DAD"/>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Equationlegen">
    <w:name w:val="Equation_legen"/>
    <w:basedOn w:val="Equationlegend"/>
    <w:rsid w:val="00386EEF"/>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image" Target="media/image3.wmf"/><Relationship Id="rId63" Type="http://schemas.openxmlformats.org/officeDocument/2006/relationships/image" Target="media/image23.wmf"/><Relationship Id="rId159" Type="http://schemas.openxmlformats.org/officeDocument/2006/relationships/oleObject" Target="embeddings/oleObject69.bin"/><Relationship Id="rId170" Type="http://schemas.openxmlformats.org/officeDocument/2006/relationships/image" Target="media/image76.wmf"/><Relationship Id="rId226" Type="http://schemas.openxmlformats.org/officeDocument/2006/relationships/image" Target="media/image101.wmf"/><Relationship Id="rId268" Type="http://schemas.openxmlformats.org/officeDocument/2006/relationships/hyperlink" Target="https://www.fcc.gov/about-fcc/advisory-committees-fcc" TargetMode="External"/><Relationship Id="rId11" Type="http://schemas.openxmlformats.org/officeDocument/2006/relationships/hyperlink" Target="https://www.itu.int/publ/R-REP/es" TargetMode="External"/><Relationship Id="rId32" Type="http://schemas.openxmlformats.org/officeDocument/2006/relationships/oleObject" Target="embeddings/oleObject7.bin"/><Relationship Id="rId53" Type="http://schemas.openxmlformats.org/officeDocument/2006/relationships/oleObject" Target="embeddings/oleObject18.bin"/><Relationship Id="rId74" Type="http://schemas.openxmlformats.org/officeDocument/2006/relationships/oleObject" Target="embeddings/oleObject29.bin"/><Relationship Id="rId128" Type="http://schemas.openxmlformats.org/officeDocument/2006/relationships/oleObject" Target="embeddings/oleObject54.bin"/><Relationship Id="rId149" Type="http://schemas.openxmlformats.org/officeDocument/2006/relationships/oleObject" Target="embeddings/oleObject65.bin"/><Relationship Id="rId5" Type="http://schemas.openxmlformats.org/officeDocument/2006/relationships/webSettings" Target="webSettings.xml"/><Relationship Id="rId95" Type="http://schemas.openxmlformats.org/officeDocument/2006/relationships/image" Target="media/image39.wmf"/><Relationship Id="rId160" Type="http://schemas.openxmlformats.org/officeDocument/2006/relationships/image" Target="media/image71.wmf"/><Relationship Id="rId181" Type="http://schemas.openxmlformats.org/officeDocument/2006/relationships/oleObject" Target="embeddings/oleObject80.bin"/><Relationship Id="rId216" Type="http://schemas.openxmlformats.org/officeDocument/2006/relationships/image" Target="media/image98.wmf"/><Relationship Id="rId237" Type="http://schemas.openxmlformats.org/officeDocument/2006/relationships/image" Target="media/image107.wmf"/><Relationship Id="rId258" Type="http://schemas.openxmlformats.org/officeDocument/2006/relationships/hyperlink" Target="https://www.fcc.gov/licensing-databases/fees/application-processing-fees" TargetMode="External"/><Relationship Id="rId22" Type="http://schemas.openxmlformats.org/officeDocument/2006/relationships/oleObject" Target="embeddings/oleObject2.bin"/><Relationship Id="rId43" Type="http://schemas.openxmlformats.org/officeDocument/2006/relationships/image" Target="media/image14.wmf"/><Relationship Id="rId64" Type="http://schemas.openxmlformats.org/officeDocument/2006/relationships/oleObject" Target="embeddings/oleObject24.bin"/><Relationship Id="rId118" Type="http://schemas.openxmlformats.org/officeDocument/2006/relationships/oleObject" Target="embeddings/oleObject49.bin"/><Relationship Id="rId139" Type="http://schemas.openxmlformats.org/officeDocument/2006/relationships/image" Target="media/image60.wmf"/><Relationship Id="rId85" Type="http://schemas.openxmlformats.org/officeDocument/2006/relationships/image" Target="media/image34.emf"/><Relationship Id="rId150" Type="http://schemas.openxmlformats.org/officeDocument/2006/relationships/image" Target="media/image65.wmf"/><Relationship Id="rId171" Type="http://schemas.openxmlformats.org/officeDocument/2006/relationships/oleObject" Target="embeddings/oleObject75.bin"/><Relationship Id="rId192" Type="http://schemas.openxmlformats.org/officeDocument/2006/relationships/image" Target="media/image87.wmf"/><Relationship Id="rId206" Type="http://schemas.openxmlformats.org/officeDocument/2006/relationships/image" Target="media/image93.wmf"/><Relationship Id="rId227" Type="http://schemas.openxmlformats.org/officeDocument/2006/relationships/image" Target="media/image102.wmf"/><Relationship Id="rId248" Type="http://schemas.openxmlformats.org/officeDocument/2006/relationships/oleObject" Target="embeddings/oleObject111.bin"/><Relationship Id="rId269" Type="http://schemas.openxmlformats.org/officeDocument/2006/relationships/hyperlink" Target="https://www.fcc.gov/general/public-safety-frequency-coordinators" TargetMode="External"/><Relationship Id="rId12" Type="http://schemas.openxmlformats.org/officeDocument/2006/relationships/header" Target="header3.xml"/><Relationship Id="rId33" Type="http://schemas.openxmlformats.org/officeDocument/2006/relationships/image" Target="media/image9.emf"/><Relationship Id="rId108" Type="http://schemas.openxmlformats.org/officeDocument/2006/relationships/image" Target="media/image44.wmf"/><Relationship Id="rId129" Type="http://schemas.openxmlformats.org/officeDocument/2006/relationships/image" Target="media/image55.wmf"/><Relationship Id="rId54" Type="http://schemas.openxmlformats.org/officeDocument/2006/relationships/image" Target="media/image19.wmf"/><Relationship Id="rId75" Type="http://schemas.openxmlformats.org/officeDocument/2006/relationships/image" Target="media/image29.wmf"/><Relationship Id="rId96" Type="http://schemas.openxmlformats.org/officeDocument/2006/relationships/oleObject" Target="embeddings/oleObject40.bin"/><Relationship Id="rId140" Type="http://schemas.openxmlformats.org/officeDocument/2006/relationships/oleObject" Target="embeddings/oleObject60.bin"/><Relationship Id="rId161" Type="http://schemas.openxmlformats.org/officeDocument/2006/relationships/oleObject" Target="embeddings/oleObject70.bin"/><Relationship Id="rId182" Type="http://schemas.openxmlformats.org/officeDocument/2006/relationships/image" Target="media/image82.wmf"/><Relationship Id="rId217" Type="http://schemas.openxmlformats.org/officeDocument/2006/relationships/oleObject" Target="embeddings/oleObject97.bin"/><Relationship Id="rId6" Type="http://schemas.openxmlformats.org/officeDocument/2006/relationships/footnotes" Target="footnotes.xml"/><Relationship Id="rId238" Type="http://schemas.openxmlformats.org/officeDocument/2006/relationships/oleObject" Target="embeddings/oleObject105.bin"/><Relationship Id="rId259" Type="http://schemas.openxmlformats.org/officeDocument/2006/relationships/hyperlink" Target="https://www.ecfr.gov/current/title-47/chapter-I/subchapter-A/part-1/subpart-A/subject-group-ECFRe23796df9028e47/section-1.80" TargetMode="External"/><Relationship Id="rId23" Type="http://schemas.openxmlformats.org/officeDocument/2006/relationships/image" Target="media/image4.wmf"/><Relationship Id="rId119" Type="http://schemas.openxmlformats.org/officeDocument/2006/relationships/image" Target="media/image50.wmf"/><Relationship Id="rId270" Type="http://schemas.openxmlformats.org/officeDocument/2006/relationships/footer" Target="footer1.xml"/><Relationship Id="rId44" Type="http://schemas.openxmlformats.org/officeDocument/2006/relationships/oleObject" Target="embeddings/oleObject13.bin"/><Relationship Id="rId65" Type="http://schemas.openxmlformats.org/officeDocument/2006/relationships/image" Target="media/image24.wmf"/><Relationship Id="rId86" Type="http://schemas.openxmlformats.org/officeDocument/2006/relationships/oleObject" Target="embeddings/oleObject35.bin"/><Relationship Id="rId130" Type="http://schemas.openxmlformats.org/officeDocument/2006/relationships/oleObject" Target="embeddings/oleObject55.bin"/><Relationship Id="rId151" Type="http://schemas.openxmlformats.org/officeDocument/2006/relationships/oleObject" Target="embeddings/oleObject66.bin"/><Relationship Id="rId172" Type="http://schemas.openxmlformats.org/officeDocument/2006/relationships/image" Target="media/image77.wmf"/><Relationship Id="rId193" Type="http://schemas.openxmlformats.org/officeDocument/2006/relationships/oleObject" Target="embeddings/oleObject86.bin"/><Relationship Id="rId207" Type="http://schemas.openxmlformats.org/officeDocument/2006/relationships/oleObject" Target="embeddings/oleObject92.bin"/><Relationship Id="rId228" Type="http://schemas.openxmlformats.org/officeDocument/2006/relationships/oleObject" Target="embeddings/oleObject100.bin"/><Relationship Id="rId249" Type="http://schemas.openxmlformats.org/officeDocument/2006/relationships/image" Target="media/image112.wmf"/><Relationship Id="rId13" Type="http://schemas.openxmlformats.org/officeDocument/2006/relationships/header" Target="header4.xml"/><Relationship Id="rId109" Type="http://schemas.openxmlformats.org/officeDocument/2006/relationships/oleObject" Target="embeddings/oleObject45.bin"/><Relationship Id="rId260" Type="http://schemas.openxmlformats.org/officeDocument/2006/relationships/image" Target="media/image116.wmf"/><Relationship Id="rId34" Type="http://schemas.openxmlformats.org/officeDocument/2006/relationships/oleObject" Target="embeddings/oleObject8.bin"/><Relationship Id="rId55" Type="http://schemas.openxmlformats.org/officeDocument/2006/relationships/oleObject" Target="embeddings/oleObject19.bin"/><Relationship Id="rId76" Type="http://schemas.openxmlformats.org/officeDocument/2006/relationships/oleObject" Target="embeddings/oleObject30.bin"/><Relationship Id="rId97" Type="http://schemas.openxmlformats.org/officeDocument/2006/relationships/image" Target="media/image40.wmf"/><Relationship Id="rId120" Type="http://schemas.openxmlformats.org/officeDocument/2006/relationships/oleObject" Target="embeddings/oleObject50.bin"/><Relationship Id="rId141" Type="http://schemas.openxmlformats.org/officeDocument/2006/relationships/image" Target="media/image61.wmf"/><Relationship Id="rId7" Type="http://schemas.openxmlformats.org/officeDocument/2006/relationships/endnotes" Target="endnotes.xml"/><Relationship Id="rId162" Type="http://schemas.openxmlformats.org/officeDocument/2006/relationships/image" Target="media/image72.wmf"/><Relationship Id="rId183" Type="http://schemas.openxmlformats.org/officeDocument/2006/relationships/oleObject" Target="embeddings/oleObject81.bin"/><Relationship Id="rId218" Type="http://schemas.openxmlformats.org/officeDocument/2006/relationships/image" Target="media/image99.wmf"/><Relationship Id="rId239" Type="http://schemas.openxmlformats.org/officeDocument/2006/relationships/image" Target="media/image108.wmf"/><Relationship Id="rId250" Type="http://schemas.openxmlformats.org/officeDocument/2006/relationships/oleObject" Target="embeddings/oleObject112.bin"/><Relationship Id="rId271" Type="http://schemas.openxmlformats.org/officeDocument/2006/relationships/fontTable" Target="fontTable.xml"/><Relationship Id="rId24" Type="http://schemas.openxmlformats.org/officeDocument/2006/relationships/oleObject" Target="embeddings/oleObject3.bin"/><Relationship Id="rId45" Type="http://schemas.openxmlformats.org/officeDocument/2006/relationships/image" Target="media/image15.wmf"/><Relationship Id="rId66" Type="http://schemas.openxmlformats.org/officeDocument/2006/relationships/oleObject" Target="embeddings/oleObject25.bin"/><Relationship Id="rId87" Type="http://schemas.openxmlformats.org/officeDocument/2006/relationships/image" Target="media/image35.wmf"/><Relationship Id="rId110" Type="http://schemas.openxmlformats.org/officeDocument/2006/relationships/image" Target="media/image45.wmf"/><Relationship Id="rId131" Type="http://schemas.openxmlformats.org/officeDocument/2006/relationships/image" Target="media/image56.wmf"/><Relationship Id="rId152" Type="http://schemas.openxmlformats.org/officeDocument/2006/relationships/image" Target="media/image66.wmf"/><Relationship Id="rId173" Type="http://schemas.openxmlformats.org/officeDocument/2006/relationships/oleObject" Target="embeddings/oleObject76.bin"/><Relationship Id="rId194" Type="http://schemas.openxmlformats.org/officeDocument/2006/relationships/image" Target="media/image88.wmf"/><Relationship Id="rId208" Type="http://schemas.openxmlformats.org/officeDocument/2006/relationships/image" Target="media/image94.wmf"/><Relationship Id="rId229" Type="http://schemas.openxmlformats.org/officeDocument/2006/relationships/image" Target="media/image103.wmf"/><Relationship Id="rId240" Type="http://schemas.openxmlformats.org/officeDocument/2006/relationships/oleObject" Target="embeddings/oleObject106.bin"/><Relationship Id="rId261" Type="http://schemas.openxmlformats.org/officeDocument/2006/relationships/oleObject" Target="embeddings/oleObject116.bin"/><Relationship Id="rId14" Type="http://schemas.openxmlformats.org/officeDocument/2006/relationships/image" Target="media/image2.wmf"/><Relationship Id="rId35" Type="http://schemas.openxmlformats.org/officeDocument/2006/relationships/image" Target="media/image10.emf"/><Relationship Id="rId56" Type="http://schemas.openxmlformats.org/officeDocument/2006/relationships/image" Target="media/image20.wmf"/><Relationship Id="rId77" Type="http://schemas.openxmlformats.org/officeDocument/2006/relationships/image" Target="media/image30.wmf"/><Relationship Id="rId100" Type="http://schemas.openxmlformats.org/officeDocument/2006/relationships/oleObject" Target="embeddings/oleObject42.bin"/><Relationship Id="rId8" Type="http://schemas.openxmlformats.org/officeDocument/2006/relationships/header" Target="header1.xml"/><Relationship Id="rId98" Type="http://schemas.openxmlformats.org/officeDocument/2006/relationships/oleObject" Target="embeddings/oleObject41.bin"/><Relationship Id="rId121" Type="http://schemas.openxmlformats.org/officeDocument/2006/relationships/image" Target="media/image51.wmf"/><Relationship Id="rId142" Type="http://schemas.openxmlformats.org/officeDocument/2006/relationships/oleObject" Target="embeddings/oleObject61.bin"/><Relationship Id="rId163" Type="http://schemas.openxmlformats.org/officeDocument/2006/relationships/oleObject" Target="embeddings/oleObject71.bin"/><Relationship Id="rId184" Type="http://schemas.openxmlformats.org/officeDocument/2006/relationships/image" Target="media/image83.wmf"/><Relationship Id="rId219" Type="http://schemas.openxmlformats.org/officeDocument/2006/relationships/oleObject" Target="embeddings/oleObject98.bin"/><Relationship Id="rId230" Type="http://schemas.openxmlformats.org/officeDocument/2006/relationships/oleObject" Target="embeddings/oleObject101.bin"/><Relationship Id="rId251" Type="http://schemas.openxmlformats.org/officeDocument/2006/relationships/image" Target="media/image113.wmf"/><Relationship Id="rId25" Type="http://schemas.openxmlformats.org/officeDocument/2006/relationships/image" Target="media/image5.wmf"/><Relationship Id="rId46" Type="http://schemas.openxmlformats.org/officeDocument/2006/relationships/oleObject" Target="embeddings/oleObject14.bin"/><Relationship Id="rId67" Type="http://schemas.openxmlformats.org/officeDocument/2006/relationships/image" Target="media/image25.wmf"/><Relationship Id="rId272" Type="http://schemas.openxmlformats.org/officeDocument/2006/relationships/theme" Target="theme/theme1.xml"/><Relationship Id="rId88" Type="http://schemas.openxmlformats.org/officeDocument/2006/relationships/oleObject" Target="embeddings/oleObject36.bin"/><Relationship Id="rId111" Type="http://schemas.openxmlformats.org/officeDocument/2006/relationships/oleObject" Target="embeddings/oleObject46.bin"/><Relationship Id="rId132" Type="http://schemas.openxmlformats.org/officeDocument/2006/relationships/oleObject" Target="embeddings/oleObject56.bin"/><Relationship Id="rId153" Type="http://schemas.openxmlformats.org/officeDocument/2006/relationships/image" Target="media/image67.wmf"/><Relationship Id="rId174" Type="http://schemas.openxmlformats.org/officeDocument/2006/relationships/image" Target="media/image78.wmf"/><Relationship Id="rId195" Type="http://schemas.openxmlformats.org/officeDocument/2006/relationships/oleObject" Target="embeddings/oleObject87.bin"/><Relationship Id="rId209" Type="http://schemas.openxmlformats.org/officeDocument/2006/relationships/oleObject" Target="embeddings/oleObject93.bin"/><Relationship Id="rId220" Type="http://schemas.openxmlformats.org/officeDocument/2006/relationships/image" Target="media/image100.emf"/><Relationship Id="rId241" Type="http://schemas.openxmlformats.org/officeDocument/2006/relationships/oleObject" Target="embeddings/oleObject107.bin"/><Relationship Id="rId15" Type="http://schemas.openxmlformats.org/officeDocument/2006/relationships/oleObject" Target="embeddings/oleObject1.bin"/><Relationship Id="rId36" Type="http://schemas.openxmlformats.org/officeDocument/2006/relationships/oleObject" Target="embeddings/oleObject9.bin"/><Relationship Id="rId57" Type="http://schemas.openxmlformats.org/officeDocument/2006/relationships/oleObject" Target="embeddings/oleObject20.bin"/><Relationship Id="rId262" Type="http://schemas.openxmlformats.org/officeDocument/2006/relationships/image" Target="media/image117.wmf"/><Relationship Id="rId78" Type="http://schemas.openxmlformats.org/officeDocument/2006/relationships/oleObject" Target="embeddings/oleObject31.bin"/><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oleObject" Target="embeddings/oleObject51.bin"/><Relationship Id="rId143" Type="http://schemas.openxmlformats.org/officeDocument/2006/relationships/oleObject" Target="embeddings/oleObject62.bin"/><Relationship Id="rId164" Type="http://schemas.openxmlformats.org/officeDocument/2006/relationships/image" Target="media/image73.wmf"/><Relationship Id="rId185" Type="http://schemas.openxmlformats.org/officeDocument/2006/relationships/oleObject" Target="embeddings/oleObject82.bin"/><Relationship Id="rId9" Type="http://schemas.openxmlformats.org/officeDocument/2006/relationships/header" Target="header2.xml"/><Relationship Id="rId210" Type="http://schemas.openxmlformats.org/officeDocument/2006/relationships/image" Target="media/image95.wmf"/><Relationship Id="rId26" Type="http://schemas.openxmlformats.org/officeDocument/2006/relationships/oleObject" Target="embeddings/oleObject4.bin"/><Relationship Id="rId231" Type="http://schemas.openxmlformats.org/officeDocument/2006/relationships/image" Target="media/image104.wmf"/><Relationship Id="rId252" Type="http://schemas.openxmlformats.org/officeDocument/2006/relationships/oleObject" Target="embeddings/oleObject113.bin"/><Relationship Id="rId47" Type="http://schemas.openxmlformats.org/officeDocument/2006/relationships/image" Target="media/image16.wmf"/><Relationship Id="rId68" Type="http://schemas.openxmlformats.org/officeDocument/2006/relationships/oleObject" Target="embeddings/oleObject26.bin"/><Relationship Id="rId89" Type="http://schemas.openxmlformats.org/officeDocument/2006/relationships/image" Target="media/image36.wmf"/><Relationship Id="rId112" Type="http://schemas.openxmlformats.org/officeDocument/2006/relationships/image" Target="media/image46.wmf"/><Relationship Id="rId133" Type="http://schemas.openxmlformats.org/officeDocument/2006/relationships/image" Target="media/image57.wmf"/><Relationship Id="rId154" Type="http://schemas.openxmlformats.org/officeDocument/2006/relationships/image" Target="media/image68.wmf"/><Relationship Id="rId175" Type="http://schemas.openxmlformats.org/officeDocument/2006/relationships/oleObject" Target="embeddings/oleObject77.bin"/><Relationship Id="rId196" Type="http://schemas.openxmlformats.org/officeDocument/2006/relationships/image" Target="media/image89.emf"/><Relationship Id="rId200" Type="http://schemas.openxmlformats.org/officeDocument/2006/relationships/image" Target="media/image90.wmf"/><Relationship Id="rId16" Type="http://schemas.openxmlformats.org/officeDocument/2006/relationships/header" Target="header5.xml"/><Relationship Id="rId221" Type="http://schemas.openxmlformats.org/officeDocument/2006/relationships/oleObject" Target="embeddings/oleObject99.bin"/><Relationship Id="rId242" Type="http://schemas.openxmlformats.org/officeDocument/2006/relationships/image" Target="media/image109.wmf"/><Relationship Id="rId263" Type="http://schemas.openxmlformats.org/officeDocument/2006/relationships/oleObject" Target="embeddings/oleObject117.bin"/><Relationship Id="rId37" Type="http://schemas.openxmlformats.org/officeDocument/2006/relationships/image" Target="media/image11.wmf"/><Relationship Id="rId58" Type="http://schemas.openxmlformats.org/officeDocument/2006/relationships/image" Target="media/image21.wmf"/><Relationship Id="rId79" Type="http://schemas.openxmlformats.org/officeDocument/2006/relationships/image" Target="media/image31.emf"/><Relationship Id="rId102" Type="http://schemas.openxmlformats.org/officeDocument/2006/relationships/oleObject" Target="embeddings/oleObject43.bin"/><Relationship Id="rId123" Type="http://schemas.openxmlformats.org/officeDocument/2006/relationships/image" Target="media/image52.wmf"/><Relationship Id="rId144" Type="http://schemas.openxmlformats.org/officeDocument/2006/relationships/image" Target="media/image62.wmf"/><Relationship Id="rId90" Type="http://schemas.openxmlformats.org/officeDocument/2006/relationships/oleObject" Target="embeddings/oleObject37.bin"/><Relationship Id="rId165" Type="http://schemas.openxmlformats.org/officeDocument/2006/relationships/oleObject" Target="embeddings/oleObject72.bin"/><Relationship Id="rId186" Type="http://schemas.openxmlformats.org/officeDocument/2006/relationships/image" Target="media/image84.wmf"/><Relationship Id="rId211" Type="http://schemas.openxmlformats.org/officeDocument/2006/relationships/oleObject" Target="embeddings/oleObject94.bin"/><Relationship Id="rId232" Type="http://schemas.openxmlformats.org/officeDocument/2006/relationships/oleObject" Target="embeddings/oleObject102.bin"/><Relationship Id="rId253" Type="http://schemas.openxmlformats.org/officeDocument/2006/relationships/image" Target="media/image114.wmf"/><Relationship Id="rId27" Type="http://schemas.openxmlformats.org/officeDocument/2006/relationships/image" Target="media/image6.wmf"/><Relationship Id="rId48" Type="http://schemas.openxmlformats.org/officeDocument/2006/relationships/oleObject" Target="embeddings/oleObject15.bin"/><Relationship Id="rId69" Type="http://schemas.openxmlformats.org/officeDocument/2006/relationships/image" Target="media/image26.wmf"/><Relationship Id="rId113" Type="http://schemas.openxmlformats.org/officeDocument/2006/relationships/oleObject" Target="embeddings/oleObject47.bin"/><Relationship Id="rId134" Type="http://schemas.openxmlformats.org/officeDocument/2006/relationships/oleObject" Target="embeddings/oleObject57.bin"/><Relationship Id="rId80" Type="http://schemas.openxmlformats.org/officeDocument/2006/relationships/oleObject" Target="embeddings/oleObject32.bin"/><Relationship Id="rId155" Type="http://schemas.openxmlformats.org/officeDocument/2006/relationships/oleObject" Target="embeddings/oleObject67.bin"/><Relationship Id="rId176" Type="http://schemas.openxmlformats.org/officeDocument/2006/relationships/image" Target="media/image79.wmf"/><Relationship Id="rId197" Type="http://schemas.openxmlformats.org/officeDocument/2006/relationships/oleObject" Target="embeddings/oleObject88.bin"/><Relationship Id="rId201" Type="http://schemas.openxmlformats.org/officeDocument/2006/relationships/oleObject" Target="embeddings/oleObject89.bin"/><Relationship Id="rId222" Type="http://schemas.openxmlformats.org/officeDocument/2006/relationships/chart" Target="charts/chart1.xml"/><Relationship Id="rId243" Type="http://schemas.openxmlformats.org/officeDocument/2006/relationships/oleObject" Target="embeddings/oleObject108.bin"/><Relationship Id="rId264" Type="http://schemas.openxmlformats.org/officeDocument/2006/relationships/image" Target="media/image118.wmf"/><Relationship Id="rId17" Type="http://schemas.openxmlformats.org/officeDocument/2006/relationships/header" Target="header6.xml"/><Relationship Id="rId38" Type="http://schemas.openxmlformats.org/officeDocument/2006/relationships/oleObject" Target="embeddings/oleObject10.bin"/><Relationship Id="rId59" Type="http://schemas.openxmlformats.org/officeDocument/2006/relationships/oleObject" Target="embeddings/oleObject21.bin"/><Relationship Id="rId103" Type="http://schemas.openxmlformats.org/officeDocument/2006/relationships/image" Target="media/image43.wmf"/><Relationship Id="rId124" Type="http://schemas.openxmlformats.org/officeDocument/2006/relationships/oleObject" Target="embeddings/oleObject52.bin"/><Relationship Id="rId70" Type="http://schemas.openxmlformats.org/officeDocument/2006/relationships/oleObject" Target="embeddings/oleObject27.bin"/><Relationship Id="rId91" Type="http://schemas.openxmlformats.org/officeDocument/2006/relationships/image" Target="media/image37.wmf"/><Relationship Id="rId145" Type="http://schemas.openxmlformats.org/officeDocument/2006/relationships/oleObject" Target="embeddings/oleObject63.bin"/><Relationship Id="rId166" Type="http://schemas.openxmlformats.org/officeDocument/2006/relationships/image" Target="media/image74.wmf"/><Relationship Id="rId187" Type="http://schemas.openxmlformats.org/officeDocument/2006/relationships/oleObject" Target="embeddings/oleObject83.bin"/><Relationship Id="rId1" Type="http://schemas.openxmlformats.org/officeDocument/2006/relationships/customXml" Target="../customXml/item1.xml"/><Relationship Id="rId212" Type="http://schemas.openxmlformats.org/officeDocument/2006/relationships/image" Target="media/image96.wmf"/><Relationship Id="rId233" Type="http://schemas.openxmlformats.org/officeDocument/2006/relationships/image" Target="media/image105.wmf"/><Relationship Id="rId254" Type="http://schemas.openxmlformats.org/officeDocument/2006/relationships/oleObject" Target="embeddings/oleObject114.bin"/><Relationship Id="rId28" Type="http://schemas.openxmlformats.org/officeDocument/2006/relationships/oleObject" Target="embeddings/oleObject5.bin"/><Relationship Id="rId49" Type="http://schemas.openxmlformats.org/officeDocument/2006/relationships/oleObject" Target="embeddings/oleObject16.bin"/><Relationship Id="rId114" Type="http://schemas.openxmlformats.org/officeDocument/2006/relationships/image" Target="media/image47.png"/><Relationship Id="rId60" Type="http://schemas.openxmlformats.org/officeDocument/2006/relationships/image" Target="media/image22.wmf"/><Relationship Id="rId81" Type="http://schemas.openxmlformats.org/officeDocument/2006/relationships/image" Target="media/image32.emf"/><Relationship Id="rId135" Type="http://schemas.openxmlformats.org/officeDocument/2006/relationships/image" Target="media/image58.wmf"/><Relationship Id="rId156" Type="http://schemas.openxmlformats.org/officeDocument/2006/relationships/image" Target="media/image69.wmf"/><Relationship Id="rId177" Type="http://schemas.openxmlformats.org/officeDocument/2006/relationships/oleObject" Target="embeddings/oleObject78.bin"/><Relationship Id="rId198" Type="http://schemas.openxmlformats.org/officeDocument/2006/relationships/hyperlink" Target="https://www.fcc.gov/auctions" TargetMode="External"/><Relationship Id="rId202" Type="http://schemas.openxmlformats.org/officeDocument/2006/relationships/image" Target="media/image91.wmf"/><Relationship Id="rId223" Type="http://schemas.openxmlformats.org/officeDocument/2006/relationships/chart" Target="charts/chart2.xml"/><Relationship Id="rId244" Type="http://schemas.openxmlformats.org/officeDocument/2006/relationships/oleObject" Target="embeddings/oleObject109.bin"/><Relationship Id="rId18" Type="http://schemas.openxmlformats.org/officeDocument/2006/relationships/header" Target="header7.xml"/><Relationship Id="rId39" Type="http://schemas.openxmlformats.org/officeDocument/2006/relationships/image" Target="media/image12.emf"/><Relationship Id="rId265" Type="http://schemas.openxmlformats.org/officeDocument/2006/relationships/oleObject" Target="embeddings/oleObject118.bin"/><Relationship Id="rId50" Type="http://schemas.openxmlformats.org/officeDocument/2006/relationships/image" Target="media/image17.wmf"/><Relationship Id="rId104" Type="http://schemas.openxmlformats.org/officeDocument/2006/relationships/oleObject" Target="embeddings/oleObject44.bin"/><Relationship Id="rId125" Type="http://schemas.openxmlformats.org/officeDocument/2006/relationships/image" Target="media/image53.wmf"/><Relationship Id="rId146" Type="http://schemas.openxmlformats.org/officeDocument/2006/relationships/image" Target="media/image63.wmf"/><Relationship Id="rId167" Type="http://schemas.openxmlformats.org/officeDocument/2006/relationships/oleObject" Target="embeddings/oleObject73.bin"/><Relationship Id="rId188" Type="http://schemas.openxmlformats.org/officeDocument/2006/relationships/image" Target="media/image85.wmf"/><Relationship Id="rId71" Type="http://schemas.openxmlformats.org/officeDocument/2006/relationships/image" Target="media/image27.wmf"/><Relationship Id="rId92" Type="http://schemas.openxmlformats.org/officeDocument/2006/relationships/oleObject" Target="embeddings/oleObject38.bin"/><Relationship Id="rId213" Type="http://schemas.openxmlformats.org/officeDocument/2006/relationships/oleObject" Target="embeddings/oleObject95.bin"/><Relationship Id="rId234" Type="http://schemas.openxmlformats.org/officeDocument/2006/relationships/oleObject" Target="embeddings/oleObject103.bin"/><Relationship Id="rId2" Type="http://schemas.openxmlformats.org/officeDocument/2006/relationships/numbering" Target="numbering.xml"/><Relationship Id="rId29" Type="http://schemas.openxmlformats.org/officeDocument/2006/relationships/image" Target="media/image7.wmf"/><Relationship Id="rId255" Type="http://schemas.openxmlformats.org/officeDocument/2006/relationships/image" Target="media/image115.wmf"/><Relationship Id="rId40" Type="http://schemas.openxmlformats.org/officeDocument/2006/relationships/oleObject" Target="embeddings/oleObject11.bin"/><Relationship Id="rId115" Type="http://schemas.openxmlformats.org/officeDocument/2006/relationships/image" Target="media/image48.wmf"/><Relationship Id="rId136" Type="http://schemas.openxmlformats.org/officeDocument/2006/relationships/oleObject" Target="embeddings/oleObject58.bin"/><Relationship Id="rId157" Type="http://schemas.openxmlformats.org/officeDocument/2006/relationships/oleObject" Target="embeddings/oleObject68.bin"/><Relationship Id="rId178" Type="http://schemas.openxmlformats.org/officeDocument/2006/relationships/image" Target="media/image80.wmf"/><Relationship Id="rId61" Type="http://schemas.openxmlformats.org/officeDocument/2006/relationships/oleObject" Target="embeddings/oleObject22.bin"/><Relationship Id="rId82" Type="http://schemas.openxmlformats.org/officeDocument/2006/relationships/oleObject" Target="embeddings/oleObject33.bin"/><Relationship Id="rId199" Type="http://schemas.openxmlformats.org/officeDocument/2006/relationships/hyperlink" Target="https://dot.gov.in/sites/default/files/Notice%20Inviting%20Applications%202023-24.pdf" TargetMode="External"/><Relationship Id="rId203" Type="http://schemas.openxmlformats.org/officeDocument/2006/relationships/oleObject" Target="embeddings/oleObject90.bin"/><Relationship Id="rId19" Type="http://schemas.openxmlformats.org/officeDocument/2006/relationships/header" Target="header8.xml"/><Relationship Id="rId224" Type="http://schemas.openxmlformats.org/officeDocument/2006/relationships/chart" Target="charts/chart3.xml"/><Relationship Id="rId245" Type="http://schemas.openxmlformats.org/officeDocument/2006/relationships/image" Target="media/image110.wmf"/><Relationship Id="rId266" Type="http://schemas.openxmlformats.org/officeDocument/2006/relationships/image" Target="media/image119.png"/><Relationship Id="rId30" Type="http://schemas.openxmlformats.org/officeDocument/2006/relationships/oleObject" Target="embeddings/oleObject6.bin"/><Relationship Id="rId105" Type="http://schemas.openxmlformats.org/officeDocument/2006/relationships/hyperlink" Target="https://www.itu.int/rec/R-REC-P.2040-1-201507-I/es" TargetMode="External"/><Relationship Id="rId126" Type="http://schemas.openxmlformats.org/officeDocument/2006/relationships/oleObject" Target="embeddings/oleObject53.bin"/><Relationship Id="rId147" Type="http://schemas.openxmlformats.org/officeDocument/2006/relationships/oleObject" Target="embeddings/oleObject64.bin"/><Relationship Id="rId168" Type="http://schemas.openxmlformats.org/officeDocument/2006/relationships/image" Target="media/image75.emf"/><Relationship Id="rId51" Type="http://schemas.openxmlformats.org/officeDocument/2006/relationships/oleObject" Target="embeddings/oleObject17.bin"/><Relationship Id="rId72" Type="http://schemas.openxmlformats.org/officeDocument/2006/relationships/oleObject" Target="embeddings/oleObject28.bin"/><Relationship Id="rId93" Type="http://schemas.openxmlformats.org/officeDocument/2006/relationships/image" Target="media/image38.wmf"/><Relationship Id="rId189" Type="http://schemas.openxmlformats.org/officeDocument/2006/relationships/oleObject" Target="embeddings/oleObject84.bin"/><Relationship Id="rId3" Type="http://schemas.openxmlformats.org/officeDocument/2006/relationships/styles" Target="styles.xml"/><Relationship Id="rId214" Type="http://schemas.openxmlformats.org/officeDocument/2006/relationships/image" Target="media/image97.wmf"/><Relationship Id="rId235" Type="http://schemas.openxmlformats.org/officeDocument/2006/relationships/image" Target="media/image106.wmf"/><Relationship Id="rId256" Type="http://schemas.openxmlformats.org/officeDocument/2006/relationships/oleObject" Target="embeddings/oleObject115.bin"/><Relationship Id="rId116" Type="http://schemas.openxmlformats.org/officeDocument/2006/relationships/oleObject" Target="embeddings/oleObject48.bin"/><Relationship Id="rId137" Type="http://schemas.openxmlformats.org/officeDocument/2006/relationships/image" Target="media/image59.wmf"/><Relationship Id="rId158" Type="http://schemas.openxmlformats.org/officeDocument/2006/relationships/image" Target="media/image70.wmf"/><Relationship Id="rId20" Type="http://schemas.openxmlformats.org/officeDocument/2006/relationships/hyperlink" Target="http://www.itu.int/ITU-D/tech/spectrum_management/docs/MODEL_FULL.pdf" TargetMode="External"/><Relationship Id="rId41" Type="http://schemas.openxmlformats.org/officeDocument/2006/relationships/image" Target="media/image13.emf"/><Relationship Id="rId62" Type="http://schemas.openxmlformats.org/officeDocument/2006/relationships/oleObject" Target="embeddings/oleObject23.bin"/><Relationship Id="rId83" Type="http://schemas.openxmlformats.org/officeDocument/2006/relationships/image" Target="media/image33.emf"/><Relationship Id="rId179" Type="http://schemas.openxmlformats.org/officeDocument/2006/relationships/oleObject" Target="embeddings/oleObject79.bin"/><Relationship Id="rId190" Type="http://schemas.openxmlformats.org/officeDocument/2006/relationships/image" Target="media/image86.wmf"/><Relationship Id="rId204" Type="http://schemas.openxmlformats.org/officeDocument/2006/relationships/image" Target="media/image92.wmf"/><Relationship Id="rId225" Type="http://schemas.openxmlformats.org/officeDocument/2006/relationships/hyperlink" Target="http://www.multitran.ru/c/m.exe?t=5846411_1_2&amp;s1=%D1%EE%E1%F0%E0%ED%E8%E5%20%E7%E0%EA%EE%ED%EE%E4%E0%F2%E5%EB%FC%F1%F2%E2%E0" TargetMode="External"/><Relationship Id="rId246" Type="http://schemas.openxmlformats.org/officeDocument/2006/relationships/oleObject" Target="embeddings/oleObject110.bin"/><Relationship Id="rId267" Type="http://schemas.openxmlformats.org/officeDocument/2006/relationships/image" Target="media/image120.png"/><Relationship Id="rId106" Type="http://schemas.openxmlformats.org/officeDocument/2006/relationships/hyperlink" Target="https://www.itu.int/rec/R-REC-P.2109-0-201706-I/es" TargetMode="External"/><Relationship Id="rId127" Type="http://schemas.openxmlformats.org/officeDocument/2006/relationships/image" Target="media/image54.wmf"/><Relationship Id="rId10" Type="http://schemas.openxmlformats.org/officeDocument/2006/relationships/hyperlink" Target="https://www.itu.int/ITU-R/go/patents/es" TargetMode="External"/><Relationship Id="rId31" Type="http://schemas.openxmlformats.org/officeDocument/2006/relationships/image" Target="media/image8.emf"/><Relationship Id="rId52" Type="http://schemas.openxmlformats.org/officeDocument/2006/relationships/image" Target="media/image18.wmf"/><Relationship Id="rId73" Type="http://schemas.openxmlformats.org/officeDocument/2006/relationships/image" Target="media/image28.wmf"/><Relationship Id="rId94" Type="http://schemas.openxmlformats.org/officeDocument/2006/relationships/oleObject" Target="embeddings/oleObject39.bin"/><Relationship Id="rId148" Type="http://schemas.openxmlformats.org/officeDocument/2006/relationships/image" Target="media/image64.wmf"/><Relationship Id="rId169" Type="http://schemas.openxmlformats.org/officeDocument/2006/relationships/oleObject" Target="embeddings/oleObject74.bin"/><Relationship Id="rId4" Type="http://schemas.openxmlformats.org/officeDocument/2006/relationships/settings" Target="settings.xml"/><Relationship Id="rId180" Type="http://schemas.openxmlformats.org/officeDocument/2006/relationships/image" Target="media/image81.wmf"/><Relationship Id="rId215" Type="http://schemas.openxmlformats.org/officeDocument/2006/relationships/oleObject" Target="embeddings/oleObject96.bin"/><Relationship Id="rId236" Type="http://schemas.openxmlformats.org/officeDocument/2006/relationships/oleObject" Target="embeddings/oleObject104.bin"/><Relationship Id="rId257" Type="http://schemas.openxmlformats.org/officeDocument/2006/relationships/hyperlink" Target="http://www.ofcom.org.uk/research/radiocomms/reports/policy_report/evaluation_report_AIP.pdf" TargetMode="External"/><Relationship Id="rId42" Type="http://schemas.openxmlformats.org/officeDocument/2006/relationships/oleObject" Target="embeddings/oleObject12.bin"/><Relationship Id="rId84" Type="http://schemas.openxmlformats.org/officeDocument/2006/relationships/oleObject" Target="embeddings/oleObject34.bin"/><Relationship Id="rId138" Type="http://schemas.openxmlformats.org/officeDocument/2006/relationships/oleObject" Target="embeddings/oleObject59.bin"/><Relationship Id="rId191" Type="http://schemas.openxmlformats.org/officeDocument/2006/relationships/oleObject" Target="embeddings/oleObject85.bin"/><Relationship Id="rId205" Type="http://schemas.openxmlformats.org/officeDocument/2006/relationships/oleObject" Target="embeddings/oleObject91.bin"/><Relationship Id="rId247" Type="http://schemas.openxmlformats.org/officeDocument/2006/relationships/image" Target="media/image111.wmf"/><Relationship Id="rId107" Type="http://schemas.openxmlformats.org/officeDocument/2006/relationships/hyperlink" Target="https://www.itu.int/pub/R-REP-P.2346/e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obamawhitehouse.archives.gov/the-press-office/2013/06/14/presidential-memorandum-expanding-americas-leadership-wireless-innovatio" TargetMode="External"/><Relationship Id="rId1" Type="http://schemas.openxmlformats.org/officeDocument/2006/relationships/hyperlink" Target="https://www.itu.int/pub/R-REP-SM.2404/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QPUB\BR\COUVERTURES\RepS\2025-ITU-R-REP-SM-S.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G:\2015\&#1044;&#1086;&#1087;_&#1088;&#1072;&#1073;&#1086;&#1090;&#1072;\&#1043;&#1088;&#1072;&#1092;&#1080;&#1082;&#1080;%20&#1076;&#1083;&#1103;%20&#1074;&#1082;&#1083;&#1072;&#1076;&#1072;_07_0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G:\2015\&#1044;&#1086;&#1087;_&#1088;&#1072;&#1073;&#1086;&#1090;&#1072;\&#1043;&#1088;&#1072;&#1092;&#1080;&#1082;&#1080;%20&#1076;&#1083;&#1103;%20&#1074;&#1082;&#1083;&#1072;&#1076;&#1072;_07_0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G:\2015\&#1044;&#1086;&#1087;_&#1088;&#1072;&#1073;&#1086;&#1090;&#1072;\&#1043;&#1088;&#1072;&#1092;&#1080;&#1082;&#1080;%20&#1076;&#1083;&#1103;%20&#1074;&#1082;&#1083;&#1072;&#1076;&#1072;_07_05.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gradFill>
              <a:gsLst>
                <a:gs pos="0">
                  <a:schemeClr val="tx2">
                    <a:lumMod val="75000"/>
                  </a:schemeClr>
                </a:gs>
                <a:gs pos="50000">
                  <a:schemeClr val="tx2">
                    <a:lumMod val="60000"/>
                    <a:lumOff val="40000"/>
                  </a:schemeClr>
                </a:gs>
                <a:gs pos="100000">
                  <a:schemeClr val="tx2">
                    <a:lumMod val="20000"/>
                    <a:lumOff val="80000"/>
                  </a:schemeClr>
                </a:gs>
              </a:gsLst>
              <a:lin ang="5400000" scaled="0"/>
            </a:gradFill>
            <a:scene3d>
              <a:camera prst="orthographicFront"/>
              <a:lightRig rig="threePt" dir="t"/>
            </a:scene3d>
            <a:sp3d>
              <a:bevelT/>
            </a:sp3d>
          </c:spPr>
          <c:invertIfNegative val="0"/>
          <c:dPt>
            <c:idx val="8"/>
            <c:invertIfNegative val="0"/>
            <c:bubble3D val="0"/>
            <c:spPr>
              <a:gradFill>
                <a:gsLst>
                  <a:gs pos="0">
                    <a:schemeClr val="accent6">
                      <a:lumMod val="75000"/>
                    </a:schemeClr>
                  </a:gs>
                  <a:gs pos="50000">
                    <a:schemeClr val="accent6">
                      <a:lumMod val="60000"/>
                      <a:lumOff val="40000"/>
                    </a:schemeClr>
                  </a:gs>
                  <a:gs pos="100000">
                    <a:schemeClr val="accent6">
                      <a:lumMod val="20000"/>
                      <a:lumOff val="80000"/>
                    </a:schemeClr>
                  </a:gs>
                </a:gsLst>
                <a:lin ang="5400000" scaled="0"/>
              </a:gradFill>
              <a:scene3d>
                <a:camera prst="orthographicFront"/>
                <a:lightRig rig="threePt" dir="t"/>
              </a:scene3d>
              <a:sp3d>
                <a:bevelT/>
              </a:sp3d>
            </c:spPr>
            <c:extLst>
              <c:ext xmlns:c16="http://schemas.microsoft.com/office/drawing/2014/chart" uri="{C3380CC4-5D6E-409C-BE32-E72D297353CC}">
                <c16:uniqueId val="{00000001-A84F-4A88-88FD-C0835CA9DE38}"/>
              </c:ext>
            </c:extLst>
          </c:dPt>
          <c:dLbls>
            <c:dLbl>
              <c:idx val="7"/>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84F-4A88-88FD-C0835CA9DE38}"/>
                </c:ext>
              </c:extLst>
            </c:dLbl>
            <c:dLbl>
              <c:idx val="8"/>
              <c:tx>
                <c:rich>
                  <a:bodyPr/>
                  <a:lstStyle/>
                  <a:p>
                    <a:r>
                      <a:rPr lang="en-US"/>
                      <a:t>167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84F-4A88-88FD-C0835CA9DE3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 1'!$A$2:$A$10</c:f>
              <c:strCache>
                <c:ptCount val="9"/>
                <c:pt idx="0">
                  <c:v>IMT-MC-450</c:v>
                </c:pt>
                <c:pt idx="1">
                  <c:v>GSM-900,1800</c:v>
                </c:pt>
                <c:pt idx="2">
                  <c:v>UMTS</c:v>
                </c:pt>
                <c:pt idx="3">
                  <c:v>DTV &amp; ATV</c:v>
                </c:pt>
                <c:pt idx="4">
                  <c:v>WiMAX</c:v>
                </c:pt>
                <c:pt idx="5">
                  <c:v>LTE</c:v>
                </c:pt>
                <c:pt idx="6">
                  <c:v>IEEE 802.11</c:v>
                </c:pt>
                <c:pt idx="7">
                  <c:v>Radar</c:v>
                </c:pt>
                <c:pt idx="8">
                  <c:v>ESSS</c:v>
                </c:pt>
              </c:strCache>
            </c:strRef>
          </c:cat>
          <c:val>
            <c:numRef>
              <c:f>'Рис 1'!$B$2:$B$10</c:f>
              <c:numCache>
                <c:formatCode>General</c:formatCode>
                <c:ptCount val="9"/>
                <c:pt idx="0">
                  <c:v>2</c:v>
                </c:pt>
                <c:pt idx="1">
                  <c:v>4.8600000000000003</c:v>
                </c:pt>
                <c:pt idx="2">
                  <c:v>6</c:v>
                </c:pt>
                <c:pt idx="3">
                  <c:v>8</c:v>
                </c:pt>
                <c:pt idx="4">
                  <c:v>10</c:v>
                </c:pt>
                <c:pt idx="5">
                  <c:v>20</c:v>
                </c:pt>
                <c:pt idx="6">
                  <c:v>40</c:v>
                </c:pt>
                <c:pt idx="7">
                  <c:v>55</c:v>
                </c:pt>
                <c:pt idx="8">
                  <c:v>70</c:v>
                </c:pt>
              </c:numCache>
            </c:numRef>
          </c:val>
          <c:extLst>
            <c:ext xmlns:c16="http://schemas.microsoft.com/office/drawing/2014/chart" uri="{C3380CC4-5D6E-409C-BE32-E72D297353CC}">
              <c16:uniqueId val="{00000003-A84F-4A88-88FD-C0835CA9DE38}"/>
            </c:ext>
          </c:extLst>
        </c:ser>
        <c:dLbls>
          <c:showLegendKey val="0"/>
          <c:showVal val="0"/>
          <c:showCatName val="0"/>
          <c:showSerName val="0"/>
          <c:showPercent val="0"/>
          <c:showBubbleSize val="0"/>
        </c:dLbls>
        <c:gapWidth val="100"/>
        <c:axId val="1848810240"/>
        <c:axId val="1848810784"/>
      </c:barChart>
      <c:catAx>
        <c:axId val="1848810240"/>
        <c:scaling>
          <c:orientation val="minMax"/>
        </c:scaling>
        <c:delete val="0"/>
        <c:axPos val="b"/>
        <c:numFmt formatCode="General" sourceLinked="0"/>
        <c:majorTickMark val="out"/>
        <c:minorTickMark val="none"/>
        <c:tickLblPos val="nextTo"/>
        <c:crossAx val="1848810784"/>
        <c:crosses val="autoZero"/>
        <c:auto val="1"/>
        <c:lblAlgn val="ctr"/>
        <c:lblOffset val="100"/>
        <c:noMultiLvlLbl val="0"/>
      </c:catAx>
      <c:valAx>
        <c:axId val="1848810784"/>
        <c:scaling>
          <c:orientation val="minMax"/>
        </c:scaling>
        <c:delete val="0"/>
        <c:axPos val="l"/>
        <c:title>
          <c:tx>
            <c:rich>
              <a:bodyPr rot="0" vert="horz"/>
              <a:lstStyle/>
              <a:p>
                <a:pPr>
                  <a:defRPr sz="1200"/>
                </a:pPr>
                <a:r>
                  <a:rPr lang="en-US" sz="1200"/>
                  <a:t>MHz</a:t>
                </a:r>
              </a:p>
            </c:rich>
          </c:tx>
          <c:layout>
            <c:manualLayout>
              <c:xMode val="edge"/>
              <c:yMode val="edge"/>
              <c:x val="2.7777777777777776E-2"/>
              <c:y val="4.1188393117526978E-2"/>
            </c:manualLayout>
          </c:layout>
          <c:overlay val="0"/>
        </c:title>
        <c:numFmt formatCode="General" sourceLinked="1"/>
        <c:majorTickMark val="none"/>
        <c:minorTickMark val="none"/>
        <c:tickLblPos val="none"/>
        <c:crossAx val="1848810240"/>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gradFill>
              <a:gsLst>
                <a:gs pos="0">
                  <a:schemeClr val="tx2">
                    <a:lumMod val="75000"/>
                  </a:schemeClr>
                </a:gs>
                <a:gs pos="50000">
                  <a:schemeClr val="tx2">
                    <a:lumMod val="60000"/>
                    <a:lumOff val="40000"/>
                  </a:schemeClr>
                </a:gs>
                <a:gs pos="100000">
                  <a:schemeClr val="tx2">
                    <a:lumMod val="20000"/>
                    <a:lumOff val="80000"/>
                  </a:schemeClr>
                </a:gs>
              </a:gsLst>
              <a:lin ang="5400000" scaled="0"/>
            </a:gradFill>
            <a:scene3d>
              <a:camera prst="orthographicFront"/>
              <a:lightRig rig="threePt" dir="t"/>
            </a:scene3d>
            <a:sp3d>
              <a:bevelT/>
            </a:sp3d>
          </c:spPr>
          <c:invertIfNegative val="0"/>
          <c:dPt>
            <c:idx val="1"/>
            <c:invertIfNegative val="0"/>
            <c:bubble3D val="0"/>
            <c:spPr>
              <a:gradFill>
                <a:gsLst>
                  <a:gs pos="0">
                    <a:schemeClr val="accent6">
                      <a:lumMod val="75000"/>
                    </a:schemeClr>
                  </a:gs>
                  <a:gs pos="50000">
                    <a:schemeClr val="accent6">
                      <a:lumMod val="60000"/>
                      <a:lumOff val="40000"/>
                    </a:schemeClr>
                  </a:gs>
                  <a:gs pos="100000">
                    <a:schemeClr val="accent6">
                      <a:lumMod val="20000"/>
                      <a:lumOff val="80000"/>
                    </a:schemeClr>
                  </a:gs>
                </a:gsLst>
                <a:lin ang="5400000" scaled="0"/>
              </a:gradFill>
              <a:scene3d>
                <a:camera prst="orthographicFront"/>
                <a:lightRig rig="threePt" dir="t"/>
              </a:scene3d>
              <a:sp3d>
                <a:bevelT/>
              </a:sp3d>
            </c:spPr>
            <c:extLst>
              <c:ext xmlns:c16="http://schemas.microsoft.com/office/drawing/2014/chart" uri="{C3380CC4-5D6E-409C-BE32-E72D297353CC}">
                <c16:uniqueId val="{00000001-F5A9-4F77-821D-1E467D3ABA15}"/>
              </c:ext>
            </c:extLst>
          </c:dPt>
          <c:dLbls>
            <c:dLbl>
              <c:idx val="5"/>
              <c:tx>
                <c:rich>
                  <a:bodyPr/>
                  <a:lstStyle/>
                  <a:p>
                    <a:r>
                      <a:rPr lang="en-US"/>
                      <a:t>15260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5A9-4F77-821D-1E467D3ABA15}"/>
                </c:ext>
              </c:extLst>
            </c:dLbl>
            <c:dLbl>
              <c:idx val="6"/>
              <c:tx>
                <c:rich>
                  <a:bodyPr/>
                  <a:lstStyle/>
                  <a:p>
                    <a:r>
                      <a:rPr lang="en-US"/>
                      <a:t>18556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5A9-4F77-821D-1E467D3ABA15}"/>
                </c:ext>
              </c:extLst>
            </c:dLbl>
            <c:dLbl>
              <c:idx val="7"/>
              <c:tx>
                <c:rich>
                  <a:bodyPr/>
                  <a:lstStyle/>
                  <a:p>
                    <a:r>
                      <a:rPr lang="en-US"/>
                      <a:t>20156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5A9-4F77-821D-1E467D3ABA15}"/>
                </c:ext>
              </c:extLst>
            </c:dLbl>
            <c:dLbl>
              <c:idx val="8"/>
              <c:tx>
                <c:rich>
                  <a:bodyPr/>
                  <a:lstStyle/>
                  <a:p>
                    <a:r>
                      <a:rPr lang="en-US"/>
                      <a:t>36739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5A9-4F77-821D-1E467D3ABA15}"/>
                </c:ext>
              </c:extLst>
            </c:dLbl>
            <c:dLbl>
              <c:idx val="9"/>
              <c:tx>
                <c:rich>
                  <a:bodyPr/>
                  <a:lstStyle/>
                  <a:p>
                    <a:r>
                      <a:rPr lang="en-US"/>
                      <a:t>47150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5A9-4F77-821D-1E467D3ABA1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 2'!$A$2:$A$11</c:f>
              <c:strCache>
                <c:ptCount val="10"/>
                <c:pt idx="0">
                  <c:v>IEEE 802.11</c:v>
                </c:pt>
                <c:pt idx="1">
                  <c:v>ESSS</c:v>
                </c:pt>
                <c:pt idx="2">
                  <c:v>Radar</c:v>
                </c:pt>
                <c:pt idx="3">
                  <c:v>DTV &amp; ATV</c:v>
                </c:pt>
                <c:pt idx="4">
                  <c:v>WiMAX</c:v>
                </c:pt>
                <c:pt idx="5">
                  <c:v>LTE</c:v>
                </c:pt>
                <c:pt idx="6">
                  <c:v>UMTS</c:v>
                </c:pt>
                <c:pt idx="7">
                  <c:v>IMT-MC-450</c:v>
                </c:pt>
                <c:pt idx="8">
                  <c:v>GSM-900</c:v>
                </c:pt>
                <c:pt idx="9">
                  <c:v>GSM-1800</c:v>
                </c:pt>
              </c:strCache>
            </c:strRef>
          </c:cat>
          <c:val>
            <c:numRef>
              <c:f>'Рис 2'!$B$2:$B$11</c:f>
              <c:numCache>
                <c:formatCode>General</c:formatCode>
                <c:ptCount val="10"/>
                <c:pt idx="0">
                  <c:v>813</c:v>
                </c:pt>
                <c:pt idx="1">
                  <c:v>1169</c:v>
                </c:pt>
                <c:pt idx="2">
                  <c:v>2678</c:v>
                </c:pt>
                <c:pt idx="3">
                  <c:v>3126</c:v>
                </c:pt>
                <c:pt idx="4">
                  <c:v>4096</c:v>
                </c:pt>
                <c:pt idx="5">
                  <c:v>5260</c:v>
                </c:pt>
                <c:pt idx="6">
                  <c:v>8556</c:v>
                </c:pt>
                <c:pt idx="7">
                  <c:v>10156</c:v>
                </c:pt>
                <c:pt idx="8">
                  <c:v>12739</c:v>
                </c:pt>
                <c:pt idx="9">
                  <c:v>15150</c:v>
                </c:pt>
              </c:numCache>
            </c:numRef>
          </c:val>
          <c:extLst>
            <c:ext xmlns:c16="http://schemas.microsoft.com/office/drawing/2014/chart" uri="{C3380CC4-5D6E-409C-BE32-E72D297353CC}">
              <c16:uniqueId val="{00000007-F5A9-4F77-821D-1E467D3ABA15}"/>
            </c:ext>
          </c:extLst>
        </c:ser>
        <c:dLbls>
          <c:showLegendKey val="0"/>
          <c:showVal val="0"/>
          <c:showCatName val="0"/>
          <c:showSerName val="0"/>
          <c:showPercent val="0"/>
          <c:showBubbleSize val="0"/>
        </c:dLbls>
        <c:gapWidth val="100"/>
        <c:axId val="1848811328"/>
        <c:axId val="1848801536"/>
      </c:barChart>
      <c:catAx>
        <c:axId val="1848811328"/>
        <c:scaling>
          <c:orientation val="minMax"/>
        </c:scaling>
        <c:delete val="0"/>
        <c:axPos val="b"/>
        <c:numFmt formatCode="General" sourceLinked="0"/>
        <c:majorTickMark val="out"/>
        <c:minorTickMark val="none"/>
        <c:tickLblPos val="nextTo"/>
        <c:crossAx val="1848801536"/>
        <c:crosses val="autoZero"/>
        <c:auto val="1"/>
        <c:lblAlgn val="ctr"/>
        <c:lblOffset val="100"/>
        <c:noMultiLvlLbl val="0"/>
      </c:catAx>
      <c:valAx>
        <c:axId val="1848801536"/>
        <c:scaling>
          <c:orientation val="minMax"/>
        </c:scaling>
        <c:delete val="0"/>
        <c:axPos val="l"/>
        <c:title>
          <c:tx>
            <c:rich>
              <a:bodyPr rot="0" vert="horz"/>
              <a:lstStyle/>
              <a:p>
                <a:pPr>
                  <a:defRPr/>
                </a:pPr>
                <a:r>
                  <a:rPr lang="en-US"/>
                  <a:t>Roub.</a:t>
                </a:r>
                <a:endParaRPr lang="ru-RU"/>
              </a:p>
            </c:rich>
          </c:tx>
          <c:layout>
            <c:manualLayout>
              <c:xMode val="edge"/>
              <c:yMode val="edge"/>
              <c:x val="3.0555555555555555E-2"/>
              <c:y val="6.4336541265675118E-2"/>
            </c:manualLayout>
          </c:layout>
          <c:overlay val="0"/>
        </c:title>
        <c:numFmt formatCode="General" sourceLinked="1"/>
        <c:majorTickMark val="none"/>
        <c:minorTickMark val="none"/>
        <c:tickLblPos val="none"/>
        <c:crossAx val="1848811328"/>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791557305336849E-2"/>
          <c:y val="6.0123801004978106E-2"/>
          <c:w val="0.87209733158355207"/>
          <c:h val="0.60742137678213182"/>
        </c:manualLayout>
      </c:layout>
      <c:barChart>
        <c:barDir val="col"/>
        <c:grouping val="clustered"/>
        <c:varyColors val="0"/>
        <c:ser>
          <c:idx val="0"/>
          <c:order val="0"/>
          <c:spPr>
            <a:gradFill>
              <a:gsLst>
                <a:gs pos="0">
                  <a:schemeClr val="tx2">
                    <a:lumMod val="75000"/>
                  </a:schemeClr>
                </a:gs>
                <a:gs pos="50000">
                  <a:schemeClr val="tx2">
                    <a:lumMod val="60000"/>
                    <a:lumOff val="40000"/>
                  </a:schemeClr>
                </a:gs>
                <a:gs pos="100000">
                  <a:schemeClr val="tx2">
                    <a:lumMod val="20000"/>
                    <a:lumOff val="80000"/>
                  </a:schemeClr>
                </a:gs>
              </a:gsLst>
              <a:lin ang="5400000" scaled="0"/>
            </a:gradFill>
            <a:scene3d>
              <a:camera prst="orthographicFront"/>
              <a:lightRig rig="threePt" dir="t"/>
            </a:scene3d>
            <a:sp3d>
              <a:bevelT/>
            </a:sp3d>
          </c:spPr>
          <c:invertIfNegative val="0"/>
          <c:dPt>
            <c:idx val="0"/>
            <c:invertIfNegative val="0"/>
            <c:bubble3D val="0"/>
            <c:spPr>
              <a:gradFill>
                <a:gsLst>
                  <a:gs pos="0">
                    <a:schemeClr val="accent6">
                      <a:lumMod val="75000"/>
                    </a:schemeClr>
                  </a:gs>
                  <a:gs pos="50000">
                    <a:schemeClr val="accent6">
                      <a:lumMod val="60000"/>
                      <a:lumOff val="40000"/>
                    </a:schemeClr>
                  </a:gs>
                  <a:gs pos="100000">
                    <a:schemeClr val="accent6">
                      <a:lumMod val="20000"/>
                      <a:lumOff val="80000"/>
                    </a:schemeClr>
                  </a:gs>
                </a:gsLst>
                <a:lin ang="5400000" scaled="0"/>
              </a:gradFill>
              <a:scene3d>
                <a:camera prst="orthographicFront"/>
                <a:lightRig rig="threePt" dir="t"/>
              </a:scene3d>
              <a:sp3d>
                <a:bevelT/>
              </a:sp3d>
            </c:spPr>
            <c:extLst>
              <c:ext xmlns:c16="http://schemas.microsoft.com/office/drawing/2014/chart" uri="{C3380CC4-5D6E-409C-BE32-E72D297353CC}">
                <c16:uniqueId val="{00000001-66C0-42EC-B130-2297D4FEC7A4}"/>
              </c:ext>
            </c:extLst>
          </c:dPt>
          <c:dLbls>
            <c:dLbl>
              <c:idx val="3"/>
              <c:tx>
                <c:rich>
                  <a:bodyPr/>
                  <a:lstStyle/>
                  <a:p>
                    <a:r>
                      <a:rPr lang="en-US"/>
                      <a:t>391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6C0-42EC-B130-2297D4FEC7A4}"/>
                </c:ext>
              </c:extLst>
            </c:dLbl>
            <c:dLbl>
              <c:idx val="4"/>
              <c:tx>
                <c:rich>
                  <a:bodyPr/>
                  <a:lstStyle/>
                  <a:p>
                    <a:r>
                      <a:rPr lang="en-US"/>
                      <a:t>410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6C0-42EC-B130-2297D4FEC7A4}"/>
                </c:ext>
              </c:extLst>
            </c:dLbl>
            <c:dLbl>
              <c:idx val="5"/>
              <c:tx>
                <c:rich>
                  <a:bodyPr/>
                  <a:lstStyle/>
                  <a:p>
                    <a:r>
                      <a:rPr lang="en-US"/>
                      <a:t>763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6C0-42EC-B130-2297D4FEC7A4}"/>
                </c:ext>
              </c:extLst>
            </c:dLbl>
            <c:dLbl>
              <c:idx val="6"/>
              <c:tx>
                <c:rich>
                  <a:bodyPr/>
                  <a:lstStyle/>
                  <a:p>
                    <a:r>
                      <a:rPr lang="en-US"/>
                      <a:t>3093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6C0-42EC-B130-2297D4FEC7A4}"/>
                </c:ext>
              </c:extLst>
            </c:dLbl>
            <c:dLbl>
              <c:idx val="7"/>
              <c:tx>
                <c:rich>
                  <a:bodyPr/>
                  <a:lstStyle/>
                  <a:p>
                    <a:r>
                      <a:rPr lang="en-US"/>
                      <a:t>7559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66C0-42EC-B130-2297D4FEC7A4}"/>
                </c:ext>
              </c:extLst>
            </c:dLbl>
            <c:dLbl>
              <c:idx val="8"/>
              <c:tx>
                <c:rich>
                  <a:bodyPr/>
                  <a:lstStyle/>
                  <a:p>
                    <a:r>
                      <a:rPr lang="en-US"/>
                      <a:t>9702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6C0-42EC-B130-2297D4FEC7A4}"/>
                </c:ext>
              </c:extLst>
            </c:dLbl>
            <c:dLbl>
              <c:idx val="9"/>
              <c:layout>
                <c:manualLayout>
                  <c:x val="2.7777777777777779E-3"/>
                  <c:y val="0"/>
                </c:manualLayout>
              </c:layout>
              <c:tx>
                <c:rich>
                  <a:bodyPr/>
                  <a:lstStyle/>
                  <a:p>
                    <a:r>
                      <a:rPr lang="en-US"/>
                      <a:t>10078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66C0-42EC-B130-2297D4FEC7A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 3'!$A$1:$A$10</c:f>
              <c:strCache>
                <c:ptCount val="10"/>
                <c:pt idx="0">
                  <c:v>ESSS</c:v>
                </c:pt>
                <c:pt idx="1">
                  <c:v>IEEE 802.11</c:v>
                </c:pt>
                <c:pt idx="2">
                  <c:v>Radar</c:v>
                </c:pt>
                <c:pt idx="3">
                  <c:v>DTV &amp; ATV</c:v>
                </c:pt>
                <c:pt idx="4">
                  <c:v>WiMAX</c:v>
                </c:pt>
                <c:pt idx="5">
                  <c:v>LTE</c:v>
                </c:pt>
                <c:pt idx="6">
                  <c:v>UMTS</c:v>
                </c:pt>
                <c:pt idx="7">
                  <c:v>GSM-900</c:v>
                </c:pt>
                <c:pt idx="8">
                  <c:v>GSM-1800</c:v>
                </c:pt>
                <c:pt idx="9">
                  <c:v>IMT-MC-450</c:v>
                </c:pt>
              </c:strCache>
            </c:strRef>
          </c:cat>
          <c:val>
            <c:numRef>
              <c:f>'Рис 3'!$B$1:$B$10</c:f>
              <c:numCache>
                <c:formatCode>General</c:formatCode>
                <c:ptCount val="10"/>
                <c:pt idx="0">
                  <c:v>7</c:v>
                </c:pt>
                <c:pt idx="1">
                  <c:v>20</c:v>
                </c:pt>
                <c:pt idx="2">
                  <c:v>27</c:v>
                </c:pt>
                <c:pt idx="3">
                  <c:v>39</c:v>
                </c:pt>
                <c:pt idx="4">
                  <c:v>46</c:v>
                </c:pt>
                <c:pt idx="5">
                  <c:v>76</c:v>
                </c:pt>
                <c:pt idx="6">
                  <c:v>103</c:v>
                </c:pt>
                <c:pt idx="7">
                  <c:v>157</c:v>
                </c:pt>
                <c:pt idx="8">
                  <c:v>194</c:v>
                </c:pt>
                <c:pt idx="9">
                  <c:v>224</c:v>
                </c:pt>
              </c:numCache>
            </c:numRef>
          </c:val>
          <c:extLst>
            <c:ext xmlns:c16="http://schemas.microsoft.com/office/drawing/2014/chart" uri="{C3380CC4-5D6E-409C-BE32-E72D297353CC}">
              <c16:uniqueId val="{00000009-66C0-42EC-B130-2297D4FEC7A4}"/>
            </c:ext>
          </c:extLst>
        </c:ser>
        <c:dLbls>
          <c:showLegendKey val="0"/>
          <c:showVal val="0"/>
          <c:showCatName val="0"/>
          <c:showSerName val="0"/>
          <c:showPercent val="0"/>
          <c:showBubbleSize val="0"/>
        </c:dLbls>
        <c:gapWidth val="100"/>
        <c:axId val="1848811872"/>
        <c:axId val="1848813504"/>
      </c:barChart>
      <c:catAx>
        <c:axId val="1848811872"/>
        <c:scaling>
          <c:orientation val="minMax"/>
        </c:scaling>
        <c:delete val="0"/>
        <c:axPos val="b"/>
        <c:numFmt formatCode="General" sourceLinked="0"/>
        <c:majorTickMark val="out"/>
        <c:minorTickMark val="none"/>
        <c:tickLblPos val="nextTo"/>
        <c:crossAx val="1848813504"/>
        <c:crosses val="autoZero"/>
        <c:auto val="1"/>
        <c:lblAlgn val="ctr"/>
        <c:lblOffset val="100"/>
        <c:noMultiLvlLbl val="0"/>
      </c:catAx>
      <c:valAx>
        <c:axId val="1848813504"/>
        <c:scaling>
          <c:orientation val="minMax"/>
        </c:scaling>
        <c:delete val="0"/>
        <c:axPos val="l"/>
        <c:title>
          <c:tx>
            <c:rich>
              <a:bodyPr rot="0" vert="horz"/>
              <a:lstStyle/>
              <a:p>
                <a:pPr>
                  <a:defRPr/>
                </a:pPr>
                <a:r>
                  <a:rPr lang="en-US"/>
                  <a:t>Roub</a:t>
                </a:r>
                <a:r>
                  <a:rPr lang="ru-RU"/>
                  <a:t>.</a:t>
                </a:r>
              </a:p>
            </c:rich>
          </c:tx>
          <c:layout>
            <c:manualLayout>
              <c:xMode val="edge"/>
              <c:yMode val="edge"/>
              <c:x val="0"/>
              <c:y val="4.4648781550527525E-2"/>
            </c:manualLayout>
          </c:layout>
          <c:overlay val="0"/>
        </c:title>
        <c:numFmt formatCode="General" sourceLinked="1"/>
        <c:majorTickMark val="none"/>
        <c:minorTickMark val="none"/>
        <c:tickLblPos val="none"/>
        <c:crossAx val="1848811872"/>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AF0C6-4863-4BDF-B32E-37623FBE3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2025-ITU-R-REP-SM-S.dotx</Template>
  <TotalTime>289</TotalTime>
  <Pages>205</Pages>
  <Words>90393</Words>
  <Characters>476377</Characters>
  <Application>Microsoft Office Word</Application>
  <DocSecurity>0</DocSecurity>
  <Lines>11342</Lines>
  <Paragraphs>6911</Paragraphs>
  <ScaleCrop>false</ScaleCrop>
  <HeadingPairs>
    <vt:vector size="2" baseType="variant">
      <vt:variant>
        <vt:lpstr>Title</vt:lpstr>
      </vt:variant>
      <vt:variant>
        <vt:i4>1</vt:i4>
      </vt:variant>
    </vt:vector>
  </HeadingPairs>
  <TitlesOfParts>
    <vt:vector size="1" baseType="lpstr">
      <vt:lpstr>Informe UIT-R SM.2012-7 (06/2025) - Enfoques económicos de la gestión del espectro</vt:lpstr>
    </vt:vector>
  </TitlesOfParts>
  <Manager/>
  <Company>ITU</Company>
  <LinksUpToDate>false</LinksUpToDate>
  <CharactersWithSpaces>559859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UIT-R SM.2012-7 (06/2025) - Enfoques económicos de la gestión del espectro</dc:title>
  <dc:subject>Serie SM = Gestión del espectro</dc:subject>
  <dc:creator>Oficina de Radiocomunicaciones del UIT (BR)</dc:creator>
  <cp:keywords/>
  <dc:description/>
  <cp:lastModifiedBy>Saez Grau, Ricardo</cp:lastModifiedBy>
  <cp:revision>24</cp:revision>
  <cp:lastPrinted>2025-12-08T12:02:00Z</cp:lastPrinted>
  <dcterms:created xsi:type="dcterms:W3CDTF">2025-12-05T13:36:00Z</dcterms:created>
  <dcterms:modified xsi:type="dcterms:W3CDTF">2025-12-08T12:08:00Z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08 December 2025</vt:lpwstr>
  </property>
</Properties>
</file>